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91C5C" w14:textId="287D079C" w:rsidR="00D96296" w:rsidRPr="001C4E56" w:rsidRDefault="001C4E56" w:rsidP="001C4E56">
      <w:pPr>
        <w:sectPr w:rsidR="00D96296" w:rsidRPr="001C4E56" w:rsidSect="001C4E56">
          <w:headerReference w:type="default" r:id="rId11"/>
          <w:footerReference w:type="default" r:id="rId12"/>
          <w:pgSz w:w="11906" w:h="16838" w:code="9"/>
          <w:pgMar w:top="720" w:right="720" w:bottom="720" w:left="720" w:header="680" w:footer="425" w:gutter="0"/>
          <w:cols w:space="284"/>
          <w:docGrid w:linePitch="360"/>
        </w:sectPr>
      </w:pPr>
      <w:bookmarkStart w:id="0" w:name="_Hlk128122937"/>
      <w:bookmarkStart w:id="1" w:name="Frontpage_Logo_Negativ"/>
      <w:bookmarkEnd w:id="0"/>
      <w:r w:rsidRPr="00C12A17">
        <w:rPr>
          <w:noProof/>
        </w:rPr>
        <mc:AlternateContent>
          <mc:Choice Requires="wpg">
            <w:drawing>
              <wp:anchor distT="0" distB="0" distL="114300" distR="114300" simplePos="0" relativeHeight="251658243" behindDoc="1" locked="0" layoutInCell="1" allowOverlap="1" wp14:anchorId="4E799B0B" wp14:editId="6AA52F71">
                <wp:simplePos x="0" y="0"/>
                <wp:positionH relativeFrom="margin">
                  <wp:posOffset>-488841</wp:posOffset>
                </wp:positionH>
                <wp:positionV relativeFrom="paragraph">
                  <wp:posOffset>-647065</wp:posOffset>
                </wp:positionV>
                <wp:extent cx="7706996" cy="10892582"/>
                <wp:effectExtent l="0" t="0" r="8255" b="444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06996" cy="10892582"/>
                          <a:chOff x="-37565" y="-139882"/>
                          <a:chExt cx="6517645" cy="9211925"/>
                        </a:xfrm>
                      </wpg:grpSpPr>
                      <wps:wsp>
                        <wps:cNvPr id="20" name="Flowchart: Manual Input 20"/>
                        <wps:cNvSpPr/>
                        <wps:spPr>
                          <a:xfrm>
                            <a:off x="0" y="4984526"/>
                            <a:ext cx="6480080" cy="4087517"/>
                          </a:xfrm>
                          <a:prstGeom prst="flowChartManualInput">
                            <a:avLst/>
                          </a:prstGeom>
                          <a:gradFill>
                            <a:gsLst>
                              <a:gs pos="0">
                                <a:srgbClr val="2D3C71"/>
                              </a:gs>
                              <a:gs pos="100000">
                                <a:srgbClr val="1B244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Freeform: Shape 21"/>
                        <wps:cNvSpPr/>
                        <wps:spPr>
                          <a:xfrm>
                            <a:off x="-37565" y="-139882"/>
                            <a:ext cx="6448239" cy="1294297"/>
                          </a:xfrm>
                          <a:custGeom>
                            <a:avLst/>
                            <a:gdLst>
                              <a:gd name="connsiteX0" fmla="*/ 0 w 5756856"/>
                              <a:gd name="connsiteY0" fmla="*/ 0 h 1169084"/>
                              <a:gd name="connsiteX1" fmla="*/ 5756856 w 5756856"/>
                              <a:gd name="connsiteY1" fmla="*/ 0 h 1169084"/>
                              <a:gd name="connsiteX2" fmla="*/ 5756856 w 5756856"/>
                              <a:gd name="connsiteY2" fmla="*/ 15137 h 1169084"/>
                              <a:gd name="connsiteX3" fmla="*/ 0 w 5756856"/>
                              <a:gd name="connsiteY3" fmla="*/ 1169084 h 1169084"/>
                              <a:gd name="connsiteX4" fmla="*/ 0 w 5756856"/>
                              <a:gd name="connsiteY4" fmla="*/ 0 h 11690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56856" h="1169084">
                                <a:moveTo>
                                  <a:pt x="0" y="0"/>
                                </a:moveTo>
                                <a:lnTo>
                                  <a:pt x="5756856" y="0"/>
                                </a:lnTo>
                                <a:lnTo>
                                  <a:pt x="5756856" y="15137"/>
                                </a:lnTo>
                                <a:lnTo>
                                  <a:pt x="0" y="1169084"/>
                                </a:lnTo>
                                <a:lnTo>
                                  <a:pt x="0" y="0"/>
                                </a:lnTo>
                                <a:close/>
                              </a:path>
                            </a:pathLst>
                          </a:custGeom>
                          <a:gradFill flip="none" rotWithShape="1">
                            <a:gsLst>
                              <a:gs pos="0">
                                <a:schemeClr val="bg1"/>
                              </a:gs>
                              <a:gs pos="35000">
                                <a:schemeClr val="bg1">
                                  <a:lumMod val="95000"/>
                                </a:schemeClr>
                              </a:gs>
                              <a:gs pos="100000">
                                <a:schemeClr val="bg1">
                                  <a:lumMod val="9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E28E871" id="Group 12" o:spid="_x0000_s1026" alt="&quot;&quot;" style="position:absolute;margin-left:-38.5pt;margin-top:-50.95pt;width:606.85pt;height:857.7pt;z-index:-251658237;mso-position-horizontal-relative:margin;mso-width-relative:margin;mso-height-relative:margin" coordorigin="-375,-1398" coordsize="65176,9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">
                <v:shapetype id="_x0000_t118" coordsize="21600,21600" o:spt="118" path="m,4292l21600,r,21600l,21600xe">
                  <v:stroke joinstyle="miter"/>
                  <v:path gradientshapeok="t" o:connecttype="custom" o:connectlocs="10800,2146;0,10800;10800,21600;21600,10800" textboxrect="0,4291,21600,21600"/>
                </v:shapetype>
                <v:shape id="Flowchart: Manual Input 20" o:spid="_x0000_s1027" type="#_x0000_t118" style="position:absolute;top:49845;width:64800;height:4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" fillcolor="#2d3c71" stroked="f" strokeweight="2pt">
                  <v:fill color2="#1b2443" focus="100%" type="gradient"/>
                </v:shape>
                <v:shape id="Freeform: Shape 21" o:spid="_x0000_s1028" style="position:absolute;left:-375;top:-1398;width:64481;height:12942;visibility:visible;mso-wrap-style:square;v-text-anchor:middle" coordsize="5756856,1169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" path="m,l5756856,r,15137l,1169084,,xe" fillcolor="white [3212]" stroked="f" strokeweight="2pt">
                  <v:fill color2="#f2f2f2 [3052]" rotate="t" angle="90" colors="0 white;22938f #f2f2f2;1 #f2f2f2" focus="100%" type="gradient"/>
                  <v:path arrowok="t" o:connecttype="custom" o:connectlocs="0,0;6448239,0;6448239,16758;0,1294297;0,0" o:connectangles="0,0,0,0,0"/>
                </v:shape>
                <w10:wrap anchorx="margin"/>
              </v:group>
            </w:pict>
          </mc:Fallback>
        </mc:AlternateContent>
      </w:r>
      <w:bookmarkEnd w:id="1"/>
      <w:r w:rsidR="001E349B" w:rsidRPr="001C4E56">
        <w:rPr>
          <w:noProof/>
          <w:lang w:eastAsia="en-AU"/>
        </w:rPr>
        <mc:AlternateContent>
          <mc:Choice Requires="wps">
            <w:drawing>
              <wp:anchor distT="0" distB="0" distL="114300" distR="114300" simplePos="0" relativeHeight="251658240" behindDoc="1" locked="1" layoutInCell="1" allowOverlap="1" wp14:anchorId="12E1299A" wp14:editId="6E03D671">
                <wp:simplePos x="0" y="0"/>
                <wp:positionH relativeFrom="page">
                  <wp:align>left</wp:align>
                </wp:positionH>
                <wp:positionV relativeFrom="page">
                  <wp:align>top</wp:align>
                </wp:positionV>
                <wp:extent cx="7596000" cy="10728000"/>
                <wp:effectExtent l="0" t="0" r="5080"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50FE3" w14:textId="77777777" w:rsidR="00F12EFB" w:rsidRDefault="00F12EFB" w:rsidP="001C4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1299A" id="Rectangle 35" o:spid="_x0000_s1026" alt="&quot;&quot;" style="position:absolute;margin-left:0;margin-top:0;width:598.1pt;height:844.7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69550FE3" w14:textId="77777777" w:rsidR="00F12EFB" w:rsidRDefault="00F12EFB" w:rsidP="001C4E56"/>
                  </w:txbxContent>
                </v:textbox>
                <w10:wrap anchorx="page" anchory="page"/>
                <w10:anchorlock/>
              </v:rect>
            </w:pict>
          </mc:Fallback>
        </mc:AlternateContent>
      </w:r>
      <w:r w:rsidR="00CD3ADB">
        <w:rPr>
          <w:noProof/>
        </w:rPr>
        <mc:AlternateContent>
          <mc:Choice Requires="wps">
            <w:drawing>
              <wp:anchor distT="45720" distB="45720" distL="114300" distR="114300" simplePos="0" relativeHeight="251658241" behindDoc="0" locked="0" layoutInCell="1" allowOverlap="1" wp14:anchorId="523511BB" wp14:editId="2CB744F3">
                <wp:simplePos x="0" y="0"/>
                <wp:positionH relativeFrom="column">
                  <wp:posOffset>-190500</wp:posOffset>
                </wp:positionH>
                <wp:positionV relativeFrom="paragraph">
                  <wp:posOffset>1272540</wp:posOffset>
                </wp:positionV>
                <wp:extent cx="4962525" cy="2305050"/>
                <wp:effectExtent l="0" t="0" r="9525" b="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305050"/>
                        </a:xfrm>
                        <a:prstGeom prst="rect">
                          <a:avLst/>
                        </a:prstGeom>
                        <a:solidFill>
                          <a:srgbClr val="FFFFFF"/>
                        </a:solidFill>
                        <a:ln w="9525">
                          <a:noFill/>
                          <a:miter lim="800000"/>
                          <a:headEnd/>
                          <a:tailEnd/>
                        </a:ln>
                      </wps:spPr>
                      <wps:txbx>
                        <w:txbxContent>
                          <w:p w14:paraId="34613A97" w14:textId="77777777" w:rsidR="001C4E56" w:rsidRPr="006E1EA7" w:rsidRDefault="001C4E56" w:rsidP="001C4E56">
                            <w:pPr>
                              <w:rPr>
                                <w:b/>
                                <w:bCs/>
                                <w:sz w:val="36"/>
                                <w:szCs w:val="36"/>
                              </w:rPr>
                            </w:pPr>
                            <w:r w:rsidRPr="006E1EA7">
                              <w:rPr>
                                <w:b/>
                                <w:bCs/>
                                <w:sz w:val="36"/>
                                <w:szCs w:val="36"/>
                              </w:rPr>
                              <w:t xml:space="preserve">Independent Review of </w:t>
                            </w:r>
                          </w:p>
                          <w:p w14:paraId="11117492" w14:textId="77777777" w:rsidR="001C4E56" w:rsidRPr="006E1EA7" w:rsidRDefault="001C4E56" w:rsidP="001C4E56">
                            <w:pPr>
                              <w:rPr>
                                <w:b/>
                                <w:bCs/>
                                <w:sz w:val="36"/>
                                <w:szCs w:val="36"/>
                              </w:rPr>
                            </w:pPr>
                            <w:r w:rsidRPr="006E1EA7">
                              <w:rPr>
                                <w:b/>
                                <w:bCs/>
                                <w:sz w:val="36"/>
                                <w:szCs w:val="36"/>
                              </w:rPr>
                              <w:t>Medicare Integrity and Compliance</w:t>
                            </w:r>
                          </w:p>
                          <w:p w14:paraId="65B1C3FA" w14:textId="6B57C267" w:rsidR="001C4E56" w:rsidRDefault="001C4E56" w:rsidP="001C4E56">
                            <w:pPr>
                              <w:rPr>
                                <w:sz w:val="32"/>
                                <w:szCs w:val="32"/>
                              </w:rPr>
                            </w:pPr>
                            <w:r w:rsidRPr="006E1EA7">
                              <w:rPr>
                                <w:sz w:val="32"/>
                                <w:szCs w:val="32"/>
                              </w:rPr>
                              <w:t xml:space="preserve">Final Report </w:t>
                            </w:r>
                            <w:r w:rsidR="00B07C98">
                              <w:rPr>
                                <w:sz w:val="32"/>
                                <w:szCs w:val="32"/>
                              </w:rPr>
                              <w:t>(Public Release)</w:t>
                            </w:r>
                          </w:p>
                          <w:p w14:paraId="2923B606" w14:textId="77777777" w:rsidR="007B5522" w:rsidRDefault="00CD3ADB" w:rsidP="001C4E56">
                            <w:pPr>
                              <w:rPr>
                                <w:sz w:val="32"/>
                                <w:szCs w:val="32"/>
                              </w:rPr>
                            </w:pPr>
                            <w:r>
                              <w:rPr>
                                <w:sz w:val="32"/>
                                <w:szCs w:val="32"/>
                              </w:rPr>
                              <w:t>Dr Pradeep Philip</w:t>
                            </w:r>
                          </w:p>
                          <w:p w14:paraId="7A813666" w14:textId="278EB788" w:rsidR="00CD3ADB" w:rsidRPr="006E1EA7" w:rsidRDefault="00CD3ADB" w:rsidP="001C4E56">
                            <w:pPr>
                              <w:rPr>
                                <w:sz w:val="32"/>
                                <w:szCs w:val="32"/>
                              </w:rPr>
                            </w:pPr>
                            <w:r>
                              <w:rPr>
                                <w:sz w:val="32"/>
                                <w:szCs w:val="32"/>
                              </w:rPr>
                              <w:t>March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511BB" id="_x0000_t202" coordsize="21600,21600" o:spt="202" path="m,l,21600r21600,l21600,xe">
                <v:stroke joinstyle="miter"/>
                <v:path gradientshapeok="t" o:connecttype="rect"/>
              </v:shapetype>
              <v:shape id="Text Box 217" o:spid="_x0000_s1027" type="#_x0000_t202" alt="&quot;&quot;" style="position:absolute;margin-left:-15pt;margin-top:100.2pt;width:390.75pt;height:18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" stroked="f">
                <v:textbox>
                  <w:txbxContent>
                    <w:p w14:paraId="34613A97" w14:textId="77777777" w:rsidR="001C4E56" w:rsidRPr="006E1EA7" w:rsidRDefault="001C4E56" w:rsidP="001C4E56">
                      <w:pPr>
                        <w:rPr>
                          <w:b/>
                          <w:bCs/>
                          <w:sz w:val="36"/>
                          <w:szCs w:val="36"/>
                        </w:rPr>
                      </w:pPr>
                      <w:r w:rsidRPr="006E1EA7">
                        <w:rPr>
                          <w:b/>
                          <w:bCs/>
                          <w:sz w:val="36"/>
                          <w:szCs w:val="36"/>
                        </w:rPr>
                        <w:t xml:space="preserve">Independent Review of </w:t>
                      </w:r>
                    </w:p>
                    <w:p w14:paraId="11117492" w14:textId="77777777" w:rsidR="001C4E56" w:rsidRPr="006E1EA7" w:rsidRDefault="001C4E56" w:rsidP="001C4E56">
                      <w:pPr>
                        <w:rPr>
                          <w:b/>
                          <w:bCs/>
                          <w:sz w:val="36"/>
                          <w:szCs w:val="36"/>
                        </w:rPr>
                      </w:pPr>
                      <w:r w:rsidRPr="006E1EA7">
                        <w:rPr>
                          <w:b/>
                          <w:bCs/>
                          <w:sz w:val="36"/>
                          <w:szCs w:val="36"/>
                        </w:rPr>
                        <w:t>Medicare Integrity and Compliance</w:t>
                      </w:r>
                    </w:p>
                    <w:p w14:paraId="65B1C3FA" w14:textId="6B57C267" w:rsidR="001C4E56" w:rsidRDefault="001C4E56" w:rsidP="001C4E56">
                      <w:pPr>
                        <w:rPr>
                          <w:sz w:val="32"/>
                          <w:szCs w:val="32"/>
                        </w:rPr>
                      </w:pPr>
                      <w:r w:rsidRPr="006E1EA7">
                        <w:rPr>
                          <w:sz w:val="32"/>
                          <w:szCs w:val="32"/>
                        </w:rPr>
                        <w:t xml:space="preserve">Final Report </w:t>
                      </w:r>
                      <w:r w:rsidR="00B07C98">
                        <w:rPr>
                          <w:sz w:val="32"/>
                          <w:szCs w:val="32"/>
                        </w:rPr>
                        <w:t>(Public Release)</w:t>
                      </w:r>
                    </w:p>
                    <w:p w14:paraId="2923B606" w14:textId="77777777" w:rsidR="007B5522" w:rsidRDefault="00CD3ADB" w:rsidP="001C4E56">
                      <w:pPr>
                        <w:rPr>
                          <w:sz w:val="32"/>
                          <w:szCs w:val="32"/>
                        </w:rPr>
                      </w:pPr>
                      <w:r>
                        <w:rPr>
                          <w:sz w:val="32"/>
                          <w:szCs w:val="32"/>
                        </w:rPr>
                        <w:t>Dr Pradeep Philip</w:t>
                      </w:r>
                    </w:p>
                    <w:p w14:paraId="7A813666" w14:textId="278EB788" w:rsidR="00CD3ADB" w:rsidRPr="006E1EA7" w:rsidRDefault="00CD3ADB" w:rsidP="001C4E56">
                      <w:pPr>
                        <w:rPr>
                          <w:sz w:val="32"/>
                          <w:szCs w:val="32"/>
                        </w:rPr>
                      </w:pPr>
                      <w:r>
                        <w:rPr>
                          <w:sz w:val="32"/>
                          <w:szCs w:val="32"/>
                        </w:rPr>
                        <w:t>March 2023</w:t>
                      </w:r>
                    </w:p>
                  </w:txbxContent>
                </v:textbox>
                <w10:wrap type="square"/>
              </v:shape>
            </w:pict>
          </mc:Fallback>
        </mc:AlternateContent>
      </w:r>
    </w:p>
    <w:p w14:paraId="46971E17" w14:textId="2B3C76D2" w:rsidR="002268CC" w:rsidRPr="001C4E56" w:rsidRDefault="002268CC" w:rsidP="002268CC">
      <w:pPr>
        <w:pStyle w:val="TOCHeading"/>
        <w:rPr>
          <w:rFonts w:ascii="OpenSansRegular" w:hAnsi="OpenSansRegular" w:cs="OpenSansRegular"/>
        </w:rPr>
      </w:pPr>
      <w:bookmarkStart w:id="2" w:name="LAN_ContentsRP"/>
      <w:r w:rsidRPr="001C4E56">
        <w:rPr>
          <w:rFonts w:ascii="OpenSansRegular" w:hAnsi="OpenSansRegular" w:cs="OpenSansRegular"/>
        </w:rPr>
        <w:lastRenderedPageBreak/>
        <w:t>Contents</w:t>
      </w:r>
      <w:bookmarkEnd w:id="2"/>
    </w:p>
    <w:p w14:paraId="0294F486" w14:textId="7F7B6DE4" w:rsidR="00614C78" w:rsidRDefault="00614C78" w:rsidP="003F2920">
      <w:pPr>
        <w:pStyle w:val="TOC1"/>
        <w:tabs>
          <w:tab w:val="clear" w:pos="8959"/>
          <w:tab w:val="right" w:pos="9899"/>
        </w:tabs>
        <w:rPr>
          <w:rFonts w:asciiTheme="minorHAnsi" w:eastAsiaTheme="minorEastAsia" w:hAnsiTheme="minorHAnsi" w:cstheme="minorBidi"/>
          <w:noProof/>
          <w:szCs w:val="22"/>
          <w:lang w:eastAsia="en-AU"/>
        </w:rPr>
      </w:pPr>
      <w:r>
        <w:fldChar w:fldCharType="begin"/>
      </w:r>
      <w:r>
        <w:instrText xml:space="preserve"> TOC \o "1-1" \h \z \u </w:instrText>
      </w:r>
      <w:r>
        <w:fldChar w:fldCharType="separate"/>
      </w:r>
      <w:hyperlink w:anchor="_Toc131418561" w:history="1">
        <w:r w:rsidRPr="00A56A9F">
          <w:rPr>
            <w:rStyle w:val="Hyperlink"/>
            <w:noProof/>
          </w:rPr>
          <w:t>Glossary</w:t>
        </w:r>
        <w:r>
          <w:rPr>
            <w:noProof/>
            <w:webHidden/>
          </w:rPr>
          <w:tab/>
        </w:r>
        <w:r>
          <w:rPr>
            <w:noProof/>
            <w:webHidden/>
          </w:rPr>
          <w:fldChar w:fldCharType="begin"/>
        </w:r>
        <w:r>
          <w:rPr>
            <w:noProof/>
            <w:webHidden/>
          </w:rPr>
          <w:instrText xml:space="preserve"> PAGEREF _Toc131418561 \h </w:instrText>
        </w:r>
        <w:r>
          <w:rPr>
            <w:noProof/>
            <w:webHidden/>
          </w:rPr>
        </w:r>
        <w:r>
          <w:rPr>
            <w:noProof/>
            <w:webHidden/>
          </w:rPr>
          <w:fldChar w:fldCharType="separate"/>
        </w:r>
        <w:r>
          <w:rPr>
            <w:noProof/>
            <w:webHidden/>
          </w:rPr>
          <w:t>i</w:t>
        </w:r>
        <w:r>
          <w:rPr>
            <w:noProof/>
            <w:webHidden/>
          </w:rPr>
          <w:fldChar w:fldCharType="end"/>
        </w:r>
      </w:hyperlink>
    </w:p>
    <w:p w14:paraId="27757D2A" w14:textId="79D09DB0" w:rsidR="00614C78" w:rsidRDefault="008F226B" w:rsidP="00614C78">
      <w:pPr>
        <w:pStyle w:val="TOC1"/>
        <w:tabs>
          <w:tab w:val="clear" w:pos="8959"/>
          <w:tab w:val="right" w:pos="9899"/>
        </w:tabs>
        <w:rPr>
          <w:rFonts w:asciiTheme="minorHAnsi" w:eastAsiaTheme="minorEastAsia" w:hAnsiTheme="minorHAnsi" w:cstheme="minorBidi"/>
          <w:noProof/>
          <w:szCs w:val="22"/>
          <w:lang w:eastAsia="en-AU"/>
        </w:rPr>
      </w:pPr>
      <w:hyperlink w:anchor="_Toc131418562" w:history="1">
        <w:r w:rsidR="00614C78" w:rsidRPr="00A56A9F">
          <w:rPr>
            <w:rStyle w:val="Hyperlink"/>
            <w:noProof/>
          </w:rPr>
          <w:t>Transmission and executive summary</w:t>
        </w:r>
        <w:r w:rsidR="00614C78">
          <w:rPr>
            <w:noProof/>
            <w:webHidden/>
          </w:rPr>
          <w:tab/>
        </w:r>
        <w:r w:rsidR="00614C78">
          <w:rPr>
            <w:noProof/>
            <w:webHidden/>
          </w:rPr>
          <w:fldChar w:fldCharType="begin"/>
        </w:r>
        <w:r w:rsidR="00614C78">
          <w:rPr>
            <w:noProof/>
            <w:webHidden/>
          </w:rPr>
          <w:instrText xml:space="preserve"> PAGEREF _Toc131418562 \h </w:instrText>
        </w:r>
        <w:r w:rsidR="00614C78">
          <w:rPr>
            <w:noProof/>
            <w:webHidden/>
          </w:rPr>
        </w:r>
        <w:r w:rsidR="00614C78">
          <w:rPr>
            <w:noProof/>
            <w:webHidden/>
          </w:rPr>
          <w:fldChar w:fldCharType="separate"/>
        </w:r>
        <w:r w:rsidR="00614C78">
          <w:rPr>
            <w:noProof/>
            <w:webHidden/>
          </w:rPr>
          <w:t>3</w:t>
        </w:r>
        <w:r w:rsidR="00614C78">
          <w:rPr>
            <w:noProof/>
            <w:webHidden/>
          </w:rPr>
          <w:fldChar w:fldCharType="end"/>
        </w:r>
      </w:hyperlink>
    </w:p>
    <w:p w14:paraId="614F8ED9" w14:textId="34AC3997" w:rsidR="00614C78" w:rsidRDefault="008F226B" w:rsidP="00614C78">
      <w:pPr>
        <w:pStyle w:val="TOC1"/>
        <w:tabs>
          <w:tab w:val="clear" w:pos="8959"/>
          <w:tab w:val="right" w:pos="9899"/>
        </w:tabs>
        <w:rPr>
          <w:rFonts w:asciiTheme="minorHAnsi" w:eastAsiaTheme="minorEastAsia" w:hAnsiTheme="minorHAnsi" w:cstheme="minorBidi"/>
          <w:noProof/>
          <w:szCs w:val="22"/>
          <w:lang w:eastAsia="en-AU"/>
        </w:rPr>
      </w:pPr>
      <w:hyperlink w:anchor="_Toc131418563" w:history="1">
        <w:r w:rsidR="00614C78" w:rsidRPr="00A56A9F">
          <w:rPr>
            <w:rStyle w:val="Hyperlink"/>
            <w:noProof/>
          </w:rPr>
          <w:t>1</w:t>
        </w:r>
        <w:r w:rsidR="00614C78">
          <w:rPr>
            <w:rFonts w:asciiTheme="minorHAnsi" w:eastAsiaTheme="minorEastAsia" w:hAnsiTheme="minorHAnsi" w:cstheme="minorBidi"/>
            <w:noProof/>
            <w:szCs w:val="22"/>
            <w:lang w:eastAsia="en-AU"/>
          </w:rPr>
          <w:tab/>
        </w:r>
        <w:r w:rsidR="00614C78" w:rsidRPr="00A56A9F">
          <w:rPr>
            <w:rStyle w:val="Hyperlink"/>
            <w:noProof/>
          </w:rPr>
          <w:t>Terms of Reference</w:t>
        </w:r>
        <w:r w:rsidR="00614C78">
          <w:rPr>
            <w:noProof/>
            <w:webHidden/>
          </w:rPr>
          <w:tab/>
        </w:r>
        <w:r w:rsidR="00614C78">
          <w:rPr>
            <w:noProof/>
            <w:webHidden/>
          </w:rPr>
          <w:fldChar w:fldCharType="begin"/>
        </w:r>
        <w:r w:rsidR="00614C78">
          <w:rPr>
            <w:noProof/>
            <w:webHidden/>
          </w:rPr>
          <w:instrText xml:space="preserve"> PAGEREF _Toc131418563 \h </w:instrText>
        </w:r>
        <w:r w:rsidR="00614C78">
          <w:rPr>
            <w:noProof/>
            <w:webHidden/>
          </w:rPr>
        </w:r>
        <w:r w:rsidR="00614C78">
          <w:rPr>
            <w:noProof/>
            <w:webHidden/>
          </w:rPr>
          <w:fldChar w:fldCharType="separate"/>
        </w:r>
        <w:r w:rsidR="00614C78">
          <w:rPr>
            <w:noProof/>
            <w:webHidden/>
          </w:rPr>
          <w:t>12</w:t>
        </w:r>
        <w:r w:rsidR="00614C78">
          <w:rPr>
            <w:noProof/>
            <w:webHidden/>
          </w:rPr>
          <w:fldChar w:fldCharType="end"/>
        </w:r>
      </w:hyperlink>
    </w:p>
    <w:p w14:paraId="4427FC77" w14:textId="1C796A5E" w:rsidR="00614C78" w:rsidRDefault="008F226B" w:rsidP="00614C78">
      <w:pPr>
        <w:pStyle w:val="TOC1"/>
        <w:tabs>
          <w:tab w:val="clear" w:pos="8959"/>
          <w:tab w:val="right" w:pos="9899"/>
        </w:tabs>
        <w:rPr>
          <w:rFonts w:asciiTheme="minorHAnsi" w:eastAsiaTheme="minorEastAsia" w:hAnsiTheme="minorHAnsi" w:cstheme="minorBidi"/>
          <w:noProof/>
          <w:szCs w:val="22"/>
          <w:lang w:eastAsia="en-AU"/>
        </w:rPr>
      </w:pPr>
      <w:hyperlink w:anchor="_Toc131418564" w:history="1">
        <w:r w:rsidR="00614C78" w:rsidRPr="00A56A9F">
          <w:rPr>
            <w:rStyle w:val="Hyperlink"/>
            <w:noProof/>
          </w:rPr>
          <w:t>2</w:t>
        </w:r>
        <w:r w:rsidR="00614C78">
          <w:rPr>
            <w:rFonts w:asciiTheme="minorHAnsi" w:eastAsiaTheme="minorEastAsia" w:hAnsiTheme="minorHAnsi" w:cstheme="minorBidi"/>
            <w:noProof/>
            <w:szCs w:val="22"/>
            <w:lang w:eastAsia="en-AU"/>
          </w:rPr>
          <w:tab/>
        </w:r>
        <w:r w:rsidR="00614C78" w:rsidRPr="00A56A9F">
          <w:rPr>
            <w:rStyle w:val="Hyperlink"/>
            <w:noProof/>
          </w:rPr>
          <w:t>Current state and findings</w:t>
        </w:r>
        <w:r w:rsidR="00614C78">
          <w:rPr>
            <w:noProof/>
            <w:webHidden/>
          </w:rPr>
          <w:tab/>
        </w:r>
        <w:r w:rsidR="00614C78">
          <w:rPr>
            <w:noProof/>
            <w:webHidden/>
          </w:rPr>
          <w:fldChar w:fldCharType="begin"/>
        </w:r>
        <w:r w:rsidR="00614C78">
          <w:rPr>
            <w:noProof/>
            <w:webHidden/>
          </w:rPr>
          <w:instrText xml:space="preserve"> PAGEREF _Toc131418564 \h </w:instrText>
        </w:r>
        <w:r w:rsidR="00614C78">
          <w:rPr>
            <w:noProof/>
            <w:webHidden/>
          </w:rPr>
        </w:r>
        <w:r w:rsidR="00614C78">
          <w:rPr>
            <w:noProof/>
            <w:webHidden/>
          </w:rPr>
          <w:fldChar w:fldCharType="separate"/>
        </w:r>
        <w:r w:rsidR="00614C78">
          <w:rPr>
            <w:noProof/>
            <w:webHidden/>
          </w:rPr>
          <w:t>14</w:t>
        </w:r>
        <w:r w:rsidR="00614C78">
          <w:rPr>
            <w:noProof/>
            <w:webHidden/>
          </w:rPr>
          <w:fldChar w:fldCharType="end"/>
        </w:r>
      </w:hyperlink>
    </w:p>
    <w:p w14:paraId="4D0D2EB5" w14:textId="6722E510" w:rsidR="00614C78" w:rsidRDefault="008F226B" w:rsidP="00614C78">
      <w:pPr>
        <w:pStyle w:val="TOC1"/>
        <w:tabs>
          <w:tab w:val="clear" w:pos="8959"/>
          <w:tab w:val="right" w:pos="9899"/>
        </w:tabs>
        <w:rPr>
          <w:rFonts w:asciiTheme="minorHAnsi" w:eastAsiaTheme="minorEastAsia" w:hAnsiTheme="minorHAnsi" w:cstheme="minorBidi"/>
          <w:noProof/>
          <w:szCs w:val="22"/>
          <w:lang w:eastAsia="en-AU"/>
        </w:rPr>
      </w:pPr>
      <w:hyperlink w:anchor="_Toc131418565" w:history="1">
        <w:r w:rsidR="00614C78" w:rsidRPr="00A56A9F">
          <w:rPr>
            <w:rStyle w:val="Hyperlink"/>
            <w:noProof/>
          </w:rPr>
          <w:t>3</w:t>
        </w:r>
        <w:r w:rsidR="00614C78">
          <w:rPr>
            <w:rFonts w:asciiTheme="minorHAnsi" w:eastAsiaTheme="minorEastAsia" w:hAnsiTheme="minorHAnsi" w:cstheme="minorBidi"/>
            <w:noProof/>
            <w:szCs w:val="22"/>
            <w:lang w:eastAsia="en-AU"/>
          </w:rPr>
          <w:tab/>
        </w:r>
        <w:r w:rsidR="00614C78" w:rsidRPr="00A56A9F">
          <w:rPr>
            <w:rStyle w:val="Hyperlink"/>
            <w:noProof/>
          </w:rPr>
          <w:t>The way forward</w:t>
        </w:r>
        <w:r w:rsidR="00614C78">
          <w:rPr>
            <w:noProof/>
            <w:webHidden/>
          </w:rPr>
          <w:tab/>
        </w:r>
        <w:r w:rsidR="00614C78">
          <w:rPr>
            <w:noProof/>
            <w:webHidden/>
          </w:rPr>
          <w:fldChar w:fldCharType="begin"/>
        </w:r>
        <w:r w:rsidR="00614C78">
          <w:rPr>
            <w:noProof/>
            <w:webHidden/>
          </w:rPr>
          <w:instrText xml:space="preserve"> PAGEREF _Toc131418565 \h </w:instrText>
        </w:r>
        <w:r w:rsidR="00614C78">
          <w:rPr>
            <w:noProof/>
            <w:webHidden/>
          </w:rPr>
        </w:r>
        <w:r w:rsidR="00614C78">
          <w:rPr>
            <w:noProof/>
            <w:webHidden/>
          </w:rPr>
          <w:fldChar w:fldCharType="separate"/>
        </w:r>
        <w:r w:rsidR="00614C78">
          <w:rPr>
            <w:noProof/>
            <w:webHidden/>
          </w:rPr>
          <w:t>47</w:t>
        </w:r>
        <w:r w:rsidR="00614C78">
          <w:rPr>
            <w:noProof/>
            <w:webHidden/>
          </w:rPr>
          <w:fldChar w:fldCharType="end"/>
        </w:r>
      </w:hyperlink>
    </w:p>
    <w:p w14:paraId="0DC5A88E" w14:textId="0F71650D" w:rsidR="00614C78" w:rsidRDefault="008F226B" w:rsidP="00614C78">
      <w:pPr>
        <w:pStyle w:val="TOC1"/>
        <w:tabs>
          <w:tab w:val="clear" w:pos="8959"/>
          <w:tab w:val="right" w:pos="9899"/>
        </w:tabs>
        <w:rPr>
          <w:rFonts w:asciiTheme="minorHAnsi" w:eastAsiaTheme="minorEastAsia" w:hAnsiTheme="minorHAnsi" w:cstheme="minorBidi"/>
          <w:noProof/>
          <w:szCs w:val="22"/>
          <w:lang w:eastAsia="en-AU"/>
        </w:rPr>
      </w:pPr>
      <w:hyperlink w:anchor="_Toc131418566" w:history="1">
        <w:r w:rsidR="00614C78" w:rsidRPr="00A56A9F">
          <w:rPr>
            <w:rStyle w:val="Hyperlink"/>
            <w:noProof/>
          </w:rPr>
          <w:t>4</w:t>
        </w:r>
        <w:r w:rsidR="00614C78">
          <w:rPr>
            <w:rFonts w:asciiTheme="minorHAnsi" w:eastAsiaTheme="minorEastAsia" w:hAnsiTheme="minorHAnsi" w:cstheme="minorBidi"/>
            <w:noProof/>
            <w:szCs w:val="22"/>
            <w:lang w:eastAsia="en-AU"/>
          </w:rPr>
          <w:tab/>
        </w:r>
        <w:r w:rsidR="00614C78" w:rsidRPr="00A56A9F">
          <w:rPr>
            <w:rStyle w:val="Hyperlink"/>
            <w:noProof/>
          </w:rPr>
          <w:t>Implementation considerations</w:t>
        </w:r>
        <w:r w:rsidR="00614C78">
          <w:rPr>
            <w:noProof/>
            <w:webHidden/>
          </w:rPr>
          <w:tab/>
        </w:r>
        <w:r w:rsidR="00614C78">
          <w:rPr>
            <w:noProof/>
            <w:webHidden/>
          </w:rPr>
          <w:fldChar w:fldCharType="begin"/>
        </w:r>
        <w:r w:rsidR="00614C78">
          <w:rPr>
            <w:noProof/>
            <w:webHidden/>
          </w:rPr>
          <w:instrText xml:space="preserve"> PAGEREF _Toc131418566 \h </w:instrText>
        </w:r>
        <w:r w:rsidR="00614C78">
          <w:rPr>
            <w:noProof/>
            <w:webHidden/>
          </w:rPr>
        </w:r>
        <w:r w:rsidR="00614C78">
          <w:rPr>
            <w:noProof/>
            <w:webHidden/>
          </w:rPr>
          <w:fldChar w:fldCharType="separate"/>
        </w:r>
        <w:r w:rsidR="00614C78">
          <w:rPr>
            <w:noProof/>
            <w:webHidden/>
          </w:rPr>
          <w:t>61</w:t>
        </w:r>
        <w:r w:rsidR="00614C78">
          <w:rPr>
            <w:noProof/>
            <w:webHidden/>
          </w:rPr>
          <w:fldChar w:fldCharType="end"/>
        </w:r>
      </w:hyperlink>
    </w:p>
    <w:p w14:paraId="72DFF80B" w14:textId="510791ED" w:rsidR="00614C78" w:rsidRDefault="008F226B" w:rsidP="00614C78">
      <w:pPr>
        <w:pStyle w:val="TOC1"/>
        <w:tabs>
          <w:tab w:val="clear" w:pos="8959"/>
          <w:tab w:val="left" w:pos="1242"/>
          <w:tab w:val="right" w:pos="9899"/>
        </w:tabs>
        <w:rPr>
          <w:rFonts w:asciiTheme="minorHAnsi" w:eastAsiaTheme="minorEastAsia" w:hAnsiTheme="minorHAnsi" w:cstheme="minorBidi"/>
          <w:noProof/>
          <w:szCs w:val="22"/>
          <w:lang w:eastAsia="en-AU"/>
        </w:rPr>
      </w:pPr>
      <w:hyperlink w:anchor="_Toc131418567" w:history="1">
        <w:r w:rsidR="00614C78" w:rsidRPr="00A56A9F">
          <w:rPr>
            <w:rStyle w:val="Hyperlink"/>
            <w:noProof/>
            <w14:scene3d>
              <w14:camera w14:prst="orthographicFront"/>
              <w14:lightRig w14:rig="threePt" w14:dir="t">
                <w14:rot w14:lat="0" w14:lon="0" w14:rev="0"/>
              </w14:lightRig>
            </w14:scene3d>
          </w:rPr>
          <w:t>Appendix A</w:t>
        </w:r>
        <w:r w:rsidR="00614C78">
          <w:rPr>
            <w:rFonts w:asciiTheme="minorHAnsi" w:eastAsiaTheme="minorEastAsia" w:hAnsiTheme="minorHAnsi" w:cstheme="minorBidi"/>
            <w:noProof/>
            <w:szCs w:val="22"/>
            <w:lang w:eastAsia="en-AU"/>
          </w:rPr>
          <w:tab/>
        </w:r>
        <w:r w:rsidR="00614C78" w:rsidRPr="00A56A9F">
          <w:rPr>
            <w:rStyle w:val="Hyperlink"/>
            <w:noProof/>
          </w:rPr>
          <w:t>Previous estimations of non-compliance in Medicare</w:t>
        </w:r>
        <w:r w:rsidR="00614C78">
          <w:rPr>
            <w:noProof/>
            <w:webHidden/>
          </w:rPr>
          <w:tab/>
        </w:r>
        <w:r w:rsidR="00614C78">
          <w:rPr>
            <w:noProof/>
            <w:webHidden/>
          </w:rPr>
          <w:fldChar w:fldCharType="begin"/>
        </w:r>
        <w:r w:rsidR="00614C78">
          <w:rPr>
            <w:noProof/>
            <w:webHidden/>
          </w:rPr>
          <w:instrText xml:space="preserve"> PAGEREF _Toc131418567 \h </w:instrText>
        </w:r>
        <w:r w:rsidR="00614C78">
          <w:rPr>
            <w:noProof/>
            <w:webHidden/>
          </w:rPr>
        </w:r>
        <w:r w:rsidR="00614C78">
          <w:rPr>
            <w:noProof/>
            <w:webHidden/>
          </w:rPr>
          <w:fldChar w:fldCharType="separate"/>
        </w:r>
        <w:r w:rsidR="00614C78">
          <w:rPr>
            <w:noProof/>
            <w:webHidden/>
          </w:rPr>
          <w:t>63</w:t>
        </w:r>
        <w:r w:rsidR="00614C78">
          <w:rPr>
            <w:noProof/>
            <w:webHidden/>
          </w:rPr>
          <w:fldChar w:fldCharType="end"/>
        </w:r>
      </w:hyperlink>
    </w:p>
    <w:p w14:paraId="153BC180" w14:textId="2CCC46C7" w:rsidR="00614C78" w:rsidRDefault="008F226B" w:rsidP="00614C78">
      <w:pPr>
        <w:pStyle w:val="TOC1"/>
        <w:tabs>
          <w:tab w:val="clear" w:pos="8959"/>
          <w:tab w:val="left" w:pos="1234"/>
          <w:tab w:val="right" w:pos="9899"/>
        </w:tabs>
        <w:rPr>
          <w:rFonts w:asciiTheme="minorHAnsi" w:eastAsiaTheme="minorEastAsia" w:hAnsiTheme="minorHAnsi" w:cstheme="minorBidi"/>
          <w:noProof/>
          <w:szCs w:val="22"/>
          <w:lang w:eastAsia="en-AU"/>
        </w:rPr>
      </w:pPr>
      <w:hyperlink w:anchor="_Toc131418568" w:history="1">
        <w:r w:rsidR="00614C78" w:rsidRPr="00A56A9F">
          <w:rPr>
            <w:rStyle w:val="Hyperlink"/>
            <w:noProof/>
            <w14:scene3d>
              <w14:camera w14:prst="orthographicFront"/>
              <w14:lightRig w14:rig="threePt" w14:dir="t">
                <w14:rot w14:lat="0" w14:lon="0" w14:rev="0"/>
              </w14:lightRig>
            </w14:scene3d>
          </w:rPr>
          <w:t>Appendix B</w:t>
        </w:r>
        <w:r w:rsidR="00614C78">
          <w:rPr>
            <w:rFonts w:asciiTheme="minorHAnsi" w:eastAsiaTheme="minorEastAsia" w:hAnsiTheme="minorHAnsi" w:cstheme="minorBidi"/>
            <w:noProof/>
            <w:szCs w:val="22"/>
            <w:lang w:eastAsia="en-AU"/>
          </w:rPr>
          <w:tab/>
        </w:r>
        <w:r w:rsidR="00614C78" w:rsidRPr="00A56A9F">
          <w:rPr>
            <w:rStyle w:val="Hyperlink"/>
            <w:noProof/>
          </w:rPr>
          <w:t>List of consultations</w:t>
        </w:r>
        <w:r w:rsidR="00614C78">
          <w:rPr>
            <w:noProof/>
            <w:webHidden/>
          </w:rPr>
          <w:tab/>
        </w:r>
        <w:r w:rsidR="00614C78">
          <w:rPr>
            <w:noProof/>
            <w:webHidden/>
          </w:rPr>
          <w:fldChar w:fldCharType="begin"/>
        </w:r>
        <w:r w:rsidR="00614C78">
          <w:rPr>
            <w:noProof/>
            <w:webHidden/>
          </w:rPr>
          <w:instrText xml:space="preserve"> PAGEREF _Toc131418568 \h </w:instrText>
        </w:r>
        <w:r w:rsidR="00614C78">
          <w:rPr>
            <w:noProof/>
            <w:webHidden/>
          </w:rPr>
        </w:r>
        <w:r w:rsidR="00614C78">
          <w:rPr>
            <w:noProof/>
            <w:webHidden/>
          </w:rPr>
          <w:fldChar w:fldCharType="separate"/>
        </w:r>
        <w:r w:rsidR="00614C78">
          <w:rPr>
            <w:noProof/>
            <w:webHidden/>
          </w:rPr>
          <w:t>65</w:t>
        </w:r>
        <w:r w:rsidR="00614C78">
          <w:rPr>
            <w:noProof/>
            <w:webHidden/>
          </w:rPr>
          <w:fldChar w:fldCharType="end"/>
        </w:r>
      </w:hyperlink>
    </w:p>
    <w:p w14:paraId="307AF696" w14:textId="0AB506C3" w:rsidR="00614C78" w:rsidRDefault="008F226B" w:rsidP="00614C78">
      <w:pPr>
        <w:pStyle w:val="TOC1"/>
        <w:tabs>
          <w:tab w:val="clear" w:pos="8959"/>
          <w:tab w:val="left" w:pos="1232"/>
          <w:tab w:val="right" w:pos="9899"/>
        </w:tabs>
        <w:rPr>
          <w:rFonts w:asciiTheme="minorHAnsi" w:eastAsiaTheme="minorEastAsia" w:hAnsiTheme="minorHAnsi" w:cstheme="minorBidi"/>
          <w:noProof/>
          <w:szCs w:val="22"/>
          <w:lang w:eastAsia="en-AU"/>
        </w:rPr>
      </w:pPr>
      <w:hyperlink w:anchor="_Toc131418569" w:history="1">
        <w:r w:rsidR="00614C78" w:rsidRPr="00A56A9F">
          <w:rPr>
            <w:rStyle w:val="Hyperlink"/>
            <w:noProof/>
            <w14:scene3d>
              <w14:camera w14:prst="orthographicFront"/>
              <w14:lightRig w14:rig="threePt" w14:dir="t">
                <w14:rot w14:lat="0" w14:lon="0" w14:rev="0"/>
              </w14:lightRig>
            </w14:scene3d>
          </w:rPr>
          <w:t>Appendix C</w:t>
        </w:r>
        <w:r w:rsidR="00614C78">
          <w:rPr>
            <w:rFonts w:asciiTheme="minorHAnsi" w:eastAsiaTheme="minorEastAsia" w:hAnsiTheme="minorHAnsi" w:cstheme="minorBidi"/>
            <w:noProof/>
            <w:szCs w:val="22"/>
            <w:lang w:eastAsia="en-AU"/>
          </w:rPr>
          <w:tab/>
        </w:r>
        <w:r w:rsidR="00614C78" w:rsidRPr="00A56A9F">
          <w:rPr>
            <w:rStyle w:val="Hyperlink"/>
            <w:noProof/>
          </w:rPr>
          <w:t>Medicare claiming and payment pathways</w:t>
        </w:r>
        <w:r w:rsidR="00614C78">
          <w:rPr>
            <w:noProof/>
            <w:webHidden/>
          </w:rPr>
          <w:tab/>
        </w:r>
        <w:r w:rsidR="00614C78">
          <w:rPr>
            <w:noProof/>
            <w:webHidden/>
          </w:rPr>
          <w:fldChar w:fldCharType="begin"/>
        </w:r>
        <w:r w:rsidR="00614C78">
          <w:rPr>
            <w:noProof/>
            <w:webHidden/>
          </w:rPr>
          <w:instrText xml:space="preserve"> PAGEREF _Toc131418569 \h </w:instrText>
        </w:r>
        <w:r w:rsidR="00614C78">
          <w:rPr>
            <w:noProof/>
            <w:webHidden/>
          </w:rPr>
        </w:r>
        <w:r w:rsidR="00614C78">
          <w:rPr>
            <w:noProof/>
            <w:webHidden/>
          </w:rPr>
          <w:fldChar w:fldCharType="separate"/>
        </w:r>
        <w:r w:rsidR="00614C78">
          <w:rPr>
            <w:noProof/>
            <w:webHidden/>
          </w:rPr>
          <w:t>66</w:t>
        </w:r>
        <w:r w:rsidR="00614C78">
          <w:rPr>
            <w:noProof/>
            <w:webHidden/>
          </w:rPr>
          <w:fldChar w:fldCharType="end"/>
        </w:r>
      </w:hyperlink>
    </w:p>
    <w:p w14:paraId="78529CF9" w14:textId="7C67E4EE" w:rsidR="00614C78" w:rsidRDefault="008F226B" w:rsidP="00614C78">
      <w:pPr>
        <w:pStyle w:val="TOC1"/>
        <w:tabs>
          <w:tab w:val="clear" w:pos="8959"/>
          <w:tab w:val="left" w:pos="1250"/>
          <w:tab w:val="right" w:pos="9899"/>
        </w:tabs>
        <w:rPr>
          <w:rFonts w:asciiTheme="minorHAnsi" w:eastAsiaTheme="minorEastAsia" w:hAnsiTheme="minorHAnsi" w:cstheme="minorBidi"/>
          <w:noProof/>
          <w:szCs w:val="22"/>
          <w:lang w:eastAsia="en-AU"/>
        </w:rPr>
      </w:pPr>
      <w:hyperlink w:anchor="_Toc131418570" w:history="1">
        <w:r w:rsidR="00614C78" w:rsidRPr="00A56A9F">
          <w:rPr>
            <w:rStyle w:val="Hyperlink"/>
            <w:noProof/>
            <w14:scene3d>
              <w14:camera w14:prst="orthographicFront"/>
              <w14:lightRig w14:rig="threePt" w14:dir="t">
                <w14:rot w14:lat="0" w14:lon="0" w14:rev="0"/>
              </w14:lightRig>
            </w14:scene3d>
          </w:rPr>
          <w:t>Appendix D</w:t>
        </w:r>
        <w:r w:rsidR="00614C78">
          <w:rPr>
            <w:rFonts w:asciiTheme="minorHAnsi" w:eastAsiaTheme="minorEastAsia" w:hAnsiTheme="minorHAnsi" w:cstheme="minorBidi"/>
            <w:noProof/>
            <w:szCs w:val="22"/>
            <w:lang w:eastAsia="en-AU"/>
          </w:rPr>
          <w:tab/>
        </w:r>
        <w:r w:rsidR="00614C78" w:rsidRPr="00A56A9F">
          <w:rPr>
            <w:rStyle w:val="Hyperlink"/>
            <w:noProof/>
          </w:rPr>
          <w:t>Professional Services Review overview</w:t>
        </w:r>
        <w:r w:rsidR="00614C78">
          <w:rPr>
            <w:noProof/>
            <w:webHidden/>
          </w:rPr>
          <w:tab/>
        </w:r>
        <w:r w:rsidR="00614C78">
          <w:rPr>
            <w:noProof/>
            <w:webHidden/>
          </w:rPr>
          <w:fldChar w:fldCharType="begin"/>
        </w:r>
        <w:r w:rsidR="00614C78">
          <w:rPr>
            <w:noProof/>
            <w:webHidden/>
          </w:rPr>
          <w:instrText xml:space="preserve"> PAGEREF _Toc131418570 \h </w:instrText>
        </w:r>
        <w:r w:rsidR="00614C78">
          <w:rPr>
            <w:noProof/>
            <w:webHidden/>
          </w:rPr>
        </w:r>
        <w:r w:rsidR="00614C78">
          <w:rPr>
            <w:noProof/>
            <w:webHidden/>
          </w:rPr>
          <w:fldChar w:fldCharType="separate"/>
        </w:r>
        <w:r w:rsidR="00614C78">
          <w:rPr>
            <w:noProof/>
            <w:webHidden/>
          </w:rPr>
          <w:t>69</w:t>
        </w:r>
        <w:r w:rsidR="00614C78">
          <w:rPr>
            <w:noProof/>
            <w:webHidden/>
          </w:rPr>
          <w:fldChar w:fldCharType="end"/>
        </w:r>
      </w:hyperlink>
    </w:p>
    <w:p w14:paraId="1596DDDE" w14:textId="145CFD69" w:rsidR="001C4E56" w:rsidRPr="001C4E56" w:rsidRDefault="00614C78" w:rsidP="007B5522">
      <w:pPr>
        <w:sectPr w:rsidR="001C4E56" w:rsidRPr="001C4E56" w:rsidSect="001C4E56">
          <w:headerReference w:type="default" r:id="rId13"/>
          <w:footerReference w:type="default" r:id="rId14"/>
          <w:pgSz w:w="11906" w:h="16838" w:code="9"/>
          <w:pgMar w:top="720" w:right="720" w:bottom="720" w:left="720" w:header="680" w:footer="425" w:gutter="0"/>
          <w:cols w:space="284"/>
          <w:noEndnote/>
          <w:docGrid w:linePitch="360"/>
        </w:sectPr>
      </w:pPr>
      <w:r>
        <w:fldChar w:fldCharType="end"/>
      </w:r>
    </w:p>
    <w:p w14:paraId="1DA6CF04" w14:textId="77777777" w:rsidR="00FC6122" w:rsidRPr="001C4E56" w:rsidRDefault="00FC6122" w:rsidP="00FC6122">
      <w:pPr>
        <w:pStyle w:val="TOCHeading"/>
        <w:rPr>
          <w:rFonts w:ascii="OpenSansRegular" w:hAnsi="OpenSansRegular" w:cs="OpenSansRegular"/>
        </w:rPr>
      </w:pPr>
      <w:bookmarkStart w:id="3" w:name="_Hlk482167878"/>
      <w:r w:rsidRPr="001C4E56">
        <w:rPr>
          <w:rFonts w:ascii="OpenSansRegular" w:hAnsi="OpenSansRegular" w:cs="OpenSansRegular"/>
        </w:rPr>
        <w:lastRenderedPageBreak/>
        <w:t>Tables</w:t>
      </w:r>
    </w:p>
    <w:p w14:paraId="4FDE6E16" w14:textId="3777CA76" w:rsidR="00614C78" w:rsidRDefault="00FC6122" w:rsidP="003F2920">
      <w:pPr>
        <w:pStyle w:val="TOC8"/>
        <w:tabs>
          <w:tab w:val="clear" w:pos="8959"/>
          <w:tab w:val="right" w:pos="9899"/>
        </w:tabs>
        <w:rPr>
          <w:rFonts w:asciiTheme="minorHAnsi" w:eastAsiaTheme="minorEastAsia" w:hAnsiTheme="minorHAnsi" w:cstheme="minorBidi"/>
          <w:noProof/>
          <w:szCs w:val="22"/>
          <w:lang w:eastAsia="en-AU"/>
        </w:rPr>
      </w:pPr>
      <w:r w:rsidRPr="001C4E56">
        <w:fldChar w:fldCharType="begin"/>
      </w:r>
      <w:r w:rsidRPr="001C4E56">
        <w:instrText xml:space="preserve"> TOC \h \z \t "Caption_Table,8,Exec Table Caption,8,Appendix Table Caption,8" </w:instrText>
      </w:r>
      <w:r w:rsidRPr="001C4E56">
        <w:fldChar w:fldCharType="separate"/>
      </w:r>
      <w:hyperlink w:anchor="_Toc131418571" w:history="1">
        <w:r w:rsidR="00614C78" w:rsidRPr="005277DF">
          <w:rPr>
            <w:rStyle w:val="Hyperlink"/>
            <w:noProof/>
          </w:rPr>
          <w:t>Table 2.1 : Description of the range of compliant and non-compliant behaviours</w:t>
        </w:r>
        <w:r w:rsidR="00614C78">
          <w:rPr>
            <w:noProof/>
            <w:webHidden/>
          </w:rPr>
          <w:tab/>
        </w:r>
        <w:r w:rsidR="00614C78">
          <w:rPr>
            <w:noProof/>
            <w:webHidden/>
          </w:rPr>
          <w:fldChar w:fldCharType="begin"/>
        </w:r>
        <w:r w:rsidR="00614C78">
          <w:rPr>
            <w:noProof/>
            <w:webHidden/>
          </w:rPr>
          <w:instrText xml:space="preserve"> PAGEREF _Toc131418571 \h </w:instrText>
        </w:r>
        <w:r w:rsidR="00614C78">
          <w:rPr>
            <w:noProof/>
            <w:webHidden/>
          </w:rPr>
        </w:r>
        <w:r w:rsidR="00614C78">
          <w:rPr>
            <w:noProof/>
            <w:webHidden/>
          </w:rPr>
          <w:fldChar w:fldCharType="separate"/>
        </w:r>
        <w:r w:rsidR="00614C78">
          <w:rPr>
            <w:noProof/>
            <w:webHidden/>
          </w:rPr>
          <w:t>14</w:t>
        </w:r>
        <w:r w:rsidR="00614C78">
          <w:rPr>
            <w:noProof/>
            <w:webHidden/>
          </w:rPr>
          <w:fldChar w:fldCharType="end"/>
        </w:r>
      </w:hyperlink>
    </w:p>
    <w:p w14:paraId="23321A1D" w14:textId="5129E897"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72" w:history="1">
        <w:r w:rsidR="00614C78" w:rsidRPr="005277DF">
          <w:rPr>
            <w:rStyle w:val="Hyperlink"/>
            <w:noProof/>
          </w:rPr>
          <w:t>Table 2.2 : Different definitions of fraud and how it maps to the types of behaviours</w:t>
        </w:r>
        <w:r w:rsidR="00614C78">
          <w:rPr>
            <w:noProof/>
            <w:webHidden/>
          </w:rPr>
          <w:tab/>
        </w:r>
        <w:r w:rsidR="00614C78">
          <w:rPr>
            <w:noProof/>
            <w:webHidden/>
          </w:rPr>
          <w:fldChar w:fldCharType="begin"/>
        </w:r>
        <w:r w:rsidR="00614C78">
          <w:rPr>
            <w:noProof/>
            <w:webHidden/>
          </w:rPr>
          <w:instrText xml:space="preserve"> PAGEREF _Toc131418572 \h </w:instrText>
        </w:r>
        <w:r w:rsidR="00614C78">
          <w:rPr>
            <w:noProof/>
            <w:webHidden/>
          </w:rPr>
        </w:r>
        <w:r w:rsidR="00614C78">
          <w:rPr>
            <w:noProof/>
            <w:webHidden/>
          </w:rPr>
          <w:fldChar w:fldCharType="separate"/>
        </w:r>
        <w:r w:rsidR="00614C78">
          <w:rPr>
            <w:noProof/>
            <w:webHidden/>
          </w:rPr>
          <w:t>16</w:t>
        </w:r>
        <w:r w:rsidR="00614C78">
          <w:rPr>
            <w:noProof/>
            <w:webHidden/>
          </w:rPr>
          <w:fldChar w:fldCharType="end"/>
        </w:r>
      </w:hyperlink>
    </w:p>
    <w:p w14:paraId="54208607" w14:textId="28EC4CDE"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73" w:history="1">
        <w:r w:rsidR="00614C78" w:rsidRPr="005277DF">
          <w:rPr>
            <w:rStyle w:val="Hyperlink"/>
            <w:noProof/>
          </w:rPr>
          <w:t>Table 2.3 : Claiming channels by volume and their associated advantages</w:t>
        </w:r>
        <w:r w:rsidR="00614C78">
          <w:rPr>
            <w:noProof/>
            <w:webHidden/>
          </w:rPr>
          <w:tab/>
        </w:r>
        <w:r w:rsidR="00614C78">
          <w:rPr>
            <w:noProof/>
            <w:webHidden/>
          </w:rPr>
          <w:fldChar w:fldCharType="begin"/>
        </w:r>
        <w:r w:rsidR="00614C78">
          <w:rPr>
            <w:noProof/>
            <w:webHidden/>
          </w:rPr>
          <w:instrText xml:space="preserve"> PAGEREF _Toc131418573 \h </w:instrText>
        </w:r>
        <w:r w:rsidR="00614C78">
          <w:rPr>
            <w:noProof/>
            <w:webHidden/>
          </w:rPr>
        </w:r>
        <w:r w:rsidR="00614C78">
          <w:rPr>
            <w:noProof/>
            <w:webHidden/>
          </w:rPr>
          <w:fldChar w:fldCharType="separate"/>
        </w:r>
        <w:r w:rsidR="00614C78">
          <w:rPr>
            <w:noProof/>
            <w:webHidden/>
          </w:rPr>
          <w:t>19</w:t>
        </w:r>
        <w:r w:rsidR="00614C78">
          <w:rPr>
            <w:noProof/>
            <w:webHidden/>
          </w:rPr>
          <w:fldChar w:fldCharType="end"/>
        </w:r>
      </w:hyperlink>
    </w:p>
    <w:p w14:paraId="7EC29CEC" w14:textId="6CF894B3"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74" w:history="1">
        <w:r w:rsidR="00614C78" w:rsidRPr="005277DF">
          <w:rPr>
            <w:rStyle w:val="Hyperlink"/>
            <w:noProof/>
          </w:rPr>
          <w:t>Table 2.4 : Role, responsibility and compliance activities of the government in relation to Medicare</w:t>
        </w:r>
        <w:r w:rsidR="00614C78">
          <w:rPr>
            <w:noProof/>
            <w:webHidden/>
          </w:rPr>
          <w:tab/>
        </w:r>
        <w:r w:rsidR="00614C78">
          <w:rPr>
            <w:noProof/>
            <w:webHidden/>
          </w:rPr>
          <w:fldChar w:fldCharType="begin"/>
        </w:r>
        <w:r w:rsidR="00614C78">
          <w:rPr>
            <w:noProof/>
            <w:webHidden/>
          </w:rPr>
          <w:instrText xml:space="preserve"> PAGEREF _Toc131418574 \h </w:instrText>
        </w:r>
        <w:r w:rsidR="00614C78">
          <w:rPr>
            <w:noProof/>
            <w:webHidden/>
          </w:rPr>
        </w:r>
        <w:r w:rsidR="00614C78">
          <w:rPr>
            <w:noProof/>
            <w:webHidden/>
          </w:rPr>
          <w:fldChar w:fldCharType="separate"/>
        </w:r>
        <w:r w:rsidR="00614C78">
          <w:rPr>
            <w:noProof/>
            <w:webHidden/>
          </w:rPr>
          <w:t>22</w:t>
        </w:r>
        <w:r w:rsidR="00614C78">
          <w:rPr>
            <w:noProof/>
            <w:webHidden/>
          </w:rPr>
          <w:fldChar w:fldCharType="end"/>
        </w:r>
      </w:hyperlink>
    </w:p>
    <w:p w14:paraId="0B0AF689" w14:textId="35B72716"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75" w:history="1">
        <w:r w:rsidR="00614C78" w:rsidRPr="005277DF">
          <w:rPr>
            <w:rStyle w:val="Hyperlink"/>
            <w:noProof/>
          </w:rPr>
          <w:t>Table 2.5 : Current compliance activities in relation to the MBS</w:t>
        </w:r>
        <w:r w:rsidR="00614C78">
          <w:rPr>
            <w:noProof/>
            <w:webHidden/>
          </w:rPr>
          <w:tab/>
        </w:r>
        <w:r w:rsidR="00614C78">
          <w:rPr>
            <w:noProof/>
            <w:webHidden/>
          </w:rPr>
          <w:fldChar w:fldCharType="begin"/>
        </w:r>
        <w:r w:rsidR="00614C78">
          <w:rPr>
            <w:noProof/>
            <w:webHidden/>
          </w:rPr>
          <w:instrText xml:space="preserve"> PAGEREF _Toc131418575 \h </w:instrText>
        </w:r>
        <w:r w:rsidR="00614C78">
          <w:rPr>
            <w:noProof/>
            <w:webHidden/>
          </w:rPr>
        </w:r>
        <w:r w:rsidR="00614C78">
          <w:rPr>
            <w:noProof/>
            <w:webHidden/>
          </w:rPr>
          <w:fldChar w:fldCharType="separate"/>
        </w:r>
        <w:r w:rsidR="00614C78">
          <w:rPr>
            <w:noProof/>
            <w:webHidden/>
          </w:rPr>
          <w:t>22</w:t>
        </w:r>
        <w:r w:rsidR="00614C78">
          <w:rPr>
            <w:noProof/>
            <w:webHidden/>
          </w:rPr>
          <w:fldChar w:fldCharType="end"/>
        </w:r>
      </w:hyperlink>
    </w:p>
    <w:p w14:paraId="3EA08F5B" w14:textId="4715BA8B"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76" w:history="1">
        <w:r w:rsidR="00614C78" w:rsidRPr="005277DF">
          <w:rPr>
            <w:rStyle w:val="Hyperlink"/>
            <w:noProof/>
          </w:rPr>
          <w:t>Table 2.6 : Description of MBS compliance treatment</w:t>
        </w:r>
        <w:r w:rsidR="00614C78">
          <w:rPr>
            <w:noProof/>
            <w:webHidden/>
          </w:rPr>
          <w:tab/>
        </w:r>
        <w:r w:rsidR="00614C78">
          <w:rPr>
            <w:noProof/>
            <w:webHidden/>
          </w:rPr>
          <w:fldChar w:fldCharType="begin"/>
        </w:r>
        <w:r w:rsidR="00614C78">
          <w:rPr>
            <w:noProof/>
            <w:webHidden/>
          </w:rPr>
          <w:instrText xml:space="preserve"> PAGEREF _Toc131418576 \h </w:instrText>
        </w:r>
        <w:r w:rsidR="00614C78">
          <w:rPr>
            <w:noProof/>
            <w:webHidden/>
          </w:rPr>
        </w:r>
        <w:r w:rsidR="00614C78">
          <w:rPr>
            <w:noProof/>
            <w:webHidden/>
          </w:rPr>
          <w:fldChar w:fldCharType="separate"/>
        </w:r>
        <w:r w:rsidR="00614C78">
          <w:rPr>
            <w:noProof/>
            <w:webHidden/>
          </w:rPr>
          <w:t>23</w:t>
        </w:r>
        <w:r w:rsidR="00614C78">
          <w:rPr>
            <w:noProof/>
            <w:webHidden/>
          </w:rPr>
          <w:fldChar w:fldCharType="end"/>
        </w:r>
      </w:hyperlink>
    </w:p>
    <w:p w14:paraId="30A868A1" w14:textId="1160A87C"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77" w:history="1">
        <w:r w:rsidR="00614C78" w:rsidRPr="005277DF">
          <w:rPr>
            <w:rStyle w:val="Hyperlink"/>
            <w:rFonts w:eastAsia="Calibri"/>
            <w:noProof/>
          </w:rPr>
          <w:t>Table 2.7 : PRP case activity</w:t>
        </w:r>
        <w:r w:rsidR="00614C78">
          <w:rPr>
            <w:noProof/>
            <w:webHidden/>
          </w:rPr>
          <w:tab/>
        </w:r>
        <w:r w:rsidR="00614C78">
          <w:rPr>
            <w:noProof/>
            <w:webHidden/>
          </w:rPr>
          <w:fldChar w:fldCharType="begin"/>
        </w:r>
        <w:r w:rsidR="00614C78">
          <w:rPr>
            <w:noProof/>
            <w:webHidden/>
          </w:rPr>
          <w:instrText xml:space="preserve"> PAGEREF _Toc131418577 \h </w:instrText>
        </w:r>
        <w:r w:rsidR="00614C78">
          <w:rPr>
            <w:noProof/>
            <w:webHidden/>
          </w:rPr>
        </w:r>
        <w:r w:rsidR="00614C78">
          <w:rPr>
            <w:noProof/>
            <w:webHidden/>
          </w:rPr>
          <w:fldChar w:fldCharType="separate"/>
        </w:r>
        <w:r w:rsidR="00614C78">
          <w:rPr>
            <w:noProof/>
            <w:webHidden/>
          </w:rPr>
          <w:t>33</w:t>
        </w:r>
        <w:r w:rsidR="00614C78">
          <w:rPr>
            <w:noProof/>
            <w:webHidden/>
          </w:rPr>
          <w:fldChar w:fldCharType="end"/>
        </w:r>
      </w:hyperlink>
    </w:p>
    <w:p w14:paraId="47C2C8C5" w14:textId="0C0075D0"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78" w:history="1">
        <w:r w:rsidR="00614C78" w:rsidRPr="005277DF">
          <w:rPr>
            <w:rStyle w:val="Hyperlink"/>
            <w:noProof/>
          </w:rPr>
          <w:t>Table 2.8 : Key roles of the PSR</w:t>
        </w:r>
        <w:r w:rsidR="00614C78">
          <w:rPr>
            <w:noProof/>
            <w:webHidden/>
          </w:rPr>
          <w:tab/>
        </w:r>
        <w:r w:rsidR="00614C78">
          <w:rPr>
            <w:noProof/>
            <w:webHidden/>
          </w:rPr>
          <w:fldChar w:fldCharType="begin"/>
        </w:r>
        <w:r w:rsidR="00614C78">
          <w:rPr>
            <w:noProof/>
            <w:webHidden/>
          </w:rPr>
          <w:instrText xml:space="preserve"> PAGEREF _Toc131418578 \h </w:instrText>
        </w:r>
        <w:r w:rsidR="00614C78">
          <w:rPr>
            <w:noProof/>
            <w:webHidden/>
          </w:rPr>
        </w:r>
        <w:r w:rsidR="00614C78">
          <w:rPr>
            <w:noProof/>
            <w:webHidden/>
          </w:rPr>
          <w:fldChar w:fldCharType="separate"/>
        </w:r>
        <w:r w:rsidR="00614C78">
          <w:rPr>
            <w:noProof/>
            <w:webHidden/>
          </w:rPr>
          <w:t>34</w:t>
        </w:r>
        <w:r w:rsidR="00614C78">
          <w:rPr>
            <w:noProof/>
            <w:webHidden/>
          </w:rPr>
          <w:fldChar w:fldCharType="end"/>
        </w:r>
      </w:hyperlink>
    </w:p>
    <w:p w14:paraId="169D1711" w14:textId="74A3CE0D"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79" w:history="1">
        <w:r w:rsidR="00614C78" w:rsidRPr="005277DF">
          <w:rPr>
            <w:rStyle w:val="Hyperlink"/>
            <w:noProof/>
          </w:rPr>
          <w:t>Table 2.9 : Framework for categorising non-compliant behaviour types by validation required</w:t>
        </w:r>
        <w:r w:rsidR="00614C78">
          <w:rPr>
            <w:noProof/>
            <w:webHidden/>
          </w:rPr>
          <w:tab/>
        </w:r>
        <w:r w:rsidR="00614C78">
          <w:rPr>
            <w:noProof/>
            <w:webHidden/>
          </w:rPr>
          <w:fldChar w:fldCharType="begin"/>
        </w:r>
        <w:r w:rsidR="00614C78">
          <w:rPr>
            <w:noProof/>
            <w:webHidden/>
          </w:rPr>
          <w:instrText xml:space="preserve"> PAGEREF _Toc131418579 \h </w:instrText>
        </w:r>
        <w:r w:rsidR="00614C78">
          <w:rPr>
            <w:noProof/>
            <w:webHidden/>
          </w:rPr>
        </w:r>
        <w:r w:rsidR="00614C78">
          <w:rPr>
            <w:noProof/>
            <w:webHidden/>
          </w:rPr>
          <w:fldChar w:fldCharType="separate"/>
        </w:r>
        <w:r w:rsidR="00614C78">
          <w:rPr>
            <w:noProof/>
            <w:webHidden/>
          </w:rPr>
          <w:t>39</w:t>
        </w:r>
        <w:r w:rsidR="00614C78">
          <w:rPr>
            <w:noProof/>
            <w:webHidden/>
          </w:rPr>
          <w:fldChar w:fldCharType="end"/>
        </w:r>
      </w:hyperlink>
    </w:p>
    <w:p w14:paraId="238AB76D" w14:textId="66A55F75"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80" w:history="1">
        <w:r w:rsidR="00614C78" w:rsidRPr="005277DF">
          <w:rPr>
            <w:rStyle w:val="Hyperlink"/>
            <w:noProof/>
          </w:rPr>
          <w:t>Table 2.10 : Types of non-compliance and respective use case themes</w:t>
        </w:r>
        <w:r w:rsidR="00614C78">
          <w:rPr>
            <w:noProof/>
            <w:webHidden/>
          </w:rPr>
          <w:tab/>
        </w:r>
        <w:r w:rsidR="00614C78">
          <w:rPr>
            <w:noProof/>
            <w:webHidden/>
          </w:rPr>
          <w:fldChar w:fldCharType="begin"/>
        </w:r>
        <w:r w:rsidR="00614C78">
          <w:rPr>
            <w:noProof/>
            <w:webHidden/>
          </w:rPr>
          <w:instrText xml:space="preserve"> PAGEREF _Toc131418580 \h </w:instrText>
        </w:r>
        <w:r w:rsidR="00614C78">
          <w:rPr>
            <w:noProof/>
            <w:webHidden/>
          </w:rPr>
        </w:r>
        <w:r w:rsidR="00614C78">
          <w:rPr>
            <w:noProof/>
            <w:webHidden/>
          </w:rPr>
          <w:fldChar w:fldCharType="separate"/>
        </w:r>
        <w:r w:rsidR="00614C78">
          <w:rPr>
            <w:noProof/>
            <w:webHidden/>
          </w:rPr>
          <w:t>42</w:t>
        </w:r>
        <w:r w:rsidR="00614C78">
          <w:rPr>
            <w:noProof/>
            <w:webHidden/>
          </w:rPr>
          <w:fldChar w:fldCharType="end"/>
        </w:r>
      </w:hyperlink>
    </w:p>
    <w:p w14:paraId="1BAB98AE" w14:textId="3B3D0131"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81" w:history="1">
        <w:r w:rsidR="00614C78" w:rsidRPr="005277DF">
          <w:rPr>
            <w:rStyle w:val="Hyperlink"/>
            <w:noProof/>
          </w:rPr>
          <w:t>Table 3.1 : Summary of recommendations from the Review</w:t>
        </w:r>
        <w:r w:rsidR="00614C78">
          <w:rPr>
            <w:noProof/>
            <w:webHidden/>
          </w:rPr>
          <w:tab/>
        </w:r>
        <w:r w:rsidR="00614C78">
          <w:rPr>
            <w:noProof/>
            <w:webHidden/>
          </w:rPr>
          <w:fldChar w:fldCharType="begin"/>
        </w:r>
        <w:r w:rsidR="00614C78">
          <w:rPr>
            <w:noProof/>
            <w:webHidden/>
          </w:rPr>
          <w:instrText xml:space="preserve"> PAGEREF _Toc131418581 \h </w:instrText>
        </w:r>
        <w:r w:rsidR="00614C78">
          <w:rPr>
            <w:noProof/>
            <w:webHidden/>
          </w:rPr>
        </w:r>
        <w:r w:rsidR="00614C78">
          <w:rPr>
            <w:noProof/>
            <w:webHidden/>
          </w:rPr>
          <w:fldChar w:fldCharType="separate"/>
        </w:r>
        <w:r w:rsidR="00614C78">
          <w:rPr>
            <w:noProof/>
            <w:webHidden/>
          </w:rPr>
          <w:t>48</w:t>
        </w:r>
        <w:r w:rsidR="00614C78">
          <w:rPr>
            <w:noProof/>
            <w:webHidden/>
          </w:rPr>
          <w:fldChar w:fldCharType="end"/>
        </w:r>
      </w:hyperlink>
    </w:p>
    <w:p w14:paraId="210D1B03" w14:textId="58D29471"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82" w:history="1">
        <w:r w:rsidR="00614C78" w:rsidRPr="005277DF">
          <w:rPr>
            <w:rStyle w:val="Hyperlink"/>
            <w:noProof/>
          </w:rPr>
          <w:t>Table 3.2 : Three Lines of Defence Model</w:t>
        </w:r>
        <w:r w:rsidR="00614C78">
          <w:rPr>
            <w:noProof/>
            <w:webHidden/>
          </w:rPr>
          <w:tab/>
        </w:r>
        <w:r w:rsidR="00614C78">
          <w:rPr>
            <w:noProof/>
            <w:webHidden/>
          </w:rPr>
          <w:fldChar w:fldCharType="begin"/>
        </w:r>
        <w:r w:rsidR="00614C78">
          <w:rPr>
            <w:noProof/>
            <w:webHidden/>
          </w:rPr>
          <w:instrText xml:space="preserve"> PAGEREF _Toc131418582 \h </w:instrText>
        </w:r>
        <w:r w:rsidR="00614C78">
          <w:rPr>
            <w:noProof/>
            <w:webHidden/>
          </w:rPr>
        </w:r>
        <w:r w:rsidR="00614C78">
          <w:rPr>
            <w:noProof/>
            <w:webHidden/>
          </w:rPr>
          <w:fldChar w:fldCharType="separate"/>
        </w:r>
        <w:r w:rsidR="00614C78">
          <w:rPr>
            <w:noProof/>
            <w:webHidden/>
          </w:rPr>
          <w:t>50</w:t>
        </w:r>
        <w:r w:rsidR="00614C78">
          <w:rPr>
            <w:noProof/>
            <w:webHidden/>
          </w:rPr>
          <w:fldChar w:fldCharType="end"/>
        </w:r>
      </w:hyperlink>
    </w:p>
    <w:p w14:paraId="0ED206BA" w14:textId="796A2643"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83" w:history="1">
        <w:r w:rsidR="00614C78" w:rsidRPr="005277DF">
          <w:rPr>
            <w:rStyle w:val="Hyperlink"/>
            <w:noProof/>
          </w:rPr>
          <w:t>Table 3.3 : Supports and resources for an effective operating model</w:t>
        </w:r>
        <w:r w:rsidR="00614C78">
          <w:rPr>
            <w:noProof/>
            <w:webHidden/>
          </w:rPr>
          <w:tab/>
        </w:r>
        <w:r w:rsidR="00614C78">
          <w:rPr>
            <w:noProof/>
            <w:webHidden/>
          </w:rPr>
          <w:fldChar w:fldCharType="begin"/>
        </w:r>
        <w:r w:rsidR="00614C78">
          <w:rPr>
            <w:noProof/>
            <w:webHidden/>
          </w:rPr>
          <w:instrText xml:space="preserve"> PAGEREF _Toc131418583 \h </w:instrText>
        </w:r>
        <w:r w:rsidR="00614C78">
          <w:rPr>
            <w:noProof/>
            <w:webHidden/>
          </w:rPr>
        </w:r>
        <w:r w:rsidR="00614C78">
          <w:rPr>
            <w:noProof/>
            <w:webHidden/>
          </w:rPr>
          <w:fldChar w:fldCharType="separate"/>
        </w:r>
        <w:r w:rsidR="00614C78">
          <w:rPr>
            <w:noProof/>
            <w:webHidden/>
          </w:rPr>
          <w:t>55</w:t>
        </w:r>
        <w:r w:rsidR="00614C78">
          <w:rPr>
            <w:noProof/>
            <w:webHidden/>
          </w:rPr>
          <w:fldChar w:fldCharType="end"/>
        </w:r>
      </w:hyperlink>
    </w:p>
    <w:p w14:paraId="2A58CFBC" w14:textId="722544A3"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84" w:history="1">
        <w:r w:rsidR="00614C78" w:rsidRPr="005277DF">
          <w:rPr>
            <w:rStyle w:val="Hyperlink"/>
            <w:noProof/>
          </w:rPr>
          <w:t>Table A.1 : Estimates of the cost of health provider non-compliance</w:t>
        </w:r>
        <w:r w:rsidR="00614C78">
          <w:rPr>
            <w:noProof/>
            <w:webHidden/>
          </w:rPr>
          <w:tab/>
        </w:r>
        <w:r w:rsidR="00614C78">
          <w:rPr>
            <w:noProof/>
            <w:webHidden/>
          </w:rPr>
          <w:fldChar w:fldCharType="begin"/>
        </w:r>
        <w:r w:rsidR="00614C78">
          <w:rPr>
            <w:noProof/>
            <w:webHidden/>
          </w:rPr>
          <w:instrText xml:space="preserve"> PAGEREF _Toc131418584 \h </w:instrText>
        </w:r>
        <w:r w:rsidR="00614C78">
          <w:rPr>
            <w:noProof/>
            <w:webHidden/>
          </w:rPr>
        </w:r>
        <w:r w:rsidR="00614C78">
          <w:rPr>
            <w:noProof/>
            <w:webHidden/>
          </w:rPr>
          <w:fldChar w:fldCharType="separate"/>
        </w:r>
        <w:r w:rsidR="00614C78">
          <w:rPr>
            <w:noProof/>
            <w:webHidden/>
          </w:rPr>
          <w:t>63</w:t>
        </w:r>
        <w:r w:rsidR="00614C78">
          <w:rPr>
            <w:noProof/>
            <w:webHidden/>
          </w:rPr>
          <w:fldChar w:fldCharType="end"/>
        </w:r>
      </w:hyperlink>
    </w:p>
    <w:p w14:paraId="2C2621AF" w14:textId="60C83B3F"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85" w:history="1">
        <w:r w:rsidR="00614C78" w:rsidRPr="005277DF">
          <w:rPr>
            <w:rStyle w:val="Hyperlink"/>
            <w:noProof/>
          </w:rPr>
          <w:t>Table B.1 : Consultations throughout this review</w:t>
        </w:r>
        <w:r w:rsidR="00614C78">
          <w:rPr>
            <w:noProof/>
            <w:webHidden/>
          </w:rPr>
          <w:tab/>
        </w:r>
        <w:r w:rsidR="00614C78">
          <w:rPr>
            <w:noProof/>
            <w:webHidden/>
          </w:rPr>
          <w:fldChar w:fldCharType="begin"/>
        </w:r>
        <w:r w:rsidR="00614C78">
          <w:rPr>
            <w:noProof/>
            <w:webHidden/>
          </w:rPr>
          <w:instrText xml:space="preserve"> PAGEREF _Toc131418585 \h </w:instrText>
        </w:r>
        <w:r w:rsidR="00614C78">
          <w:rPr>
            <w:noProof/>
            <w:webHidden/>
          </w:rPr>
        </w:r>
        <w:r w:rsidR="00614C78">
          <w:rPr>
            <w:noProof/>
            <w:webHidden/>
          </w:rPr>
          <w:fldChar w:fldCharType="separate"/>
        </w:r>
        <w:r w:rsidR="00614C78">
          <w:rPr>
            <w:noProof/>
            <w:webHidden/>
          </w:rPr>
          <w:t>65</w:t>
        </w:r>
        <w:r w:rsidR="00614C78">
          <w:rPr>
            <w:noProof/>
            <w:webHidden/>
          </w:rPr>
          <w:fldChar w:fldCharType="end"/>
        </w:r>
      </w:hyperlink>
    </w:p>
    <w:p w14:paraId="4DE70DDD" w14:textId="107C8D9D"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86" w:history="1">
        <w:r w:rsidR="00614C78" w:rsidRPr="005277DF">
          <w:rPr>
            <w:rStyle w:val="Hyperlink"/>
            <w:noProof/>
          </w:rPr>
          <w:t>Table C.1 : Health professionals who can claim MBS benefits</w:t>
        </w:r>
        <w:r w:rsidR="00614C78">
          <w:rPr>
            <w:noProof/>
            <w:webHidden/>
          </w:rPr>
          <w:tab/>
        </w:r>
        <w:r w:rsidR="00614C78">
          <w:rPr>
            <w:noProof/>
            <w:webHidden/>
          </w:rPr>
          <w:fldChar w:fldCharType="begin"/>
        </w:r>
        <w:r w:rsidR="00614C78">
          <w:rPr>
            <w:noProof/>
            <w:webHidden/>
          </w:rPr>
          <w:instrText xml:space="preserve"> PAGEREF _Toc131418586 \h </w:instrText>
        </w:r>
        <w:r w:rsidR="00614C78">
          <w:rPr>
            <w:noProof/>
            <w:webHidden/>
          </w:rPr>
        </w:r>
        <w:r w:rsidR="00614C78">
          <w:rPr>
            <w:noProof/>
            <w:webHidden/>
          </w:rPr>
          <w:fldChar w:fldCharType="separate"/>
        </w:r>
        <w:r w:rsidR="00614C78">
          <w:rPr>
            <w:noProof/>
            <w:webHidden/>
          </w:rPr>
          <w:t>67</w:t>
        </w:r>
        <w:r w:rsidR="00614C78">
          <w:rPr>
            <w:noProof/>
            <w:webHidden/>
          </w:rPr>
          <w:fldChar w:fldCharType="end"/>
        </w:r>
      </w:hyperlink>
    </w:p>
    <w:p w14:paraId="340BC894" w14:textId="7F2B6721"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87" w:history="1">
        <w:r w:rsidR="00614C78" w:rsidRPr="005277DF">
          <w:rPr>
            <w:rStyle w:val="Hyperlink"/>
            <w:noProof/>
          </w:rPr>
          <w:t>Table D.1 : PSR case statistics</w:t>
        </w:r>
        <w:r w:rsidR="00614C78">
          <w:rPr>
            <w:noProof/>
            <w:webHidden/>
          </w:rPr>
          <w:tab/>
        </w:r>
        <w:r w:rsidR="00614C78">
          <w:rPr>
            <w:noProof/>
            <w:webHidden/>
          </w:rPr>
          <w:fldChar w:fldCharType="begin"/>
        </w:r>
        <w:r w:rsidR="00614C78">
          <w:rPr>
            <w:noProof/>
            <w:webHidden/>
          </w:rPr>
          <w:instrText xml:space="preserve"> PAGEREF _Toc131418587 \h </w:instrText>
        </w:r>
        <w:r w:rsidR="00614C78">
          <w:rPr>
            <w:noProof/>
            <w:webHidden/>
          </w:rPr>
        </w:r>
        <w:r w:rsidR="00614C78">
          <w:rPr>
            <w:noProof/>
            <w:webHidden/>
          </w:rPr>
          <w:fldChar w:fldCharType="separate"/>
        </w:r>
        <w:r w:rsidR="00614C78">
          <w:rPr>
            <w:noProof/>
            <w:webHidden/>
          </w:rPr>
          <w:t>71</w:t>
        </w:r>
        <w:r w:rsidR="00614C78">
          <w:rPr>
            <w:noProof/>
            <w:webHidden/>
          </w:rPr>
          <w:fldChar w:fldCharType="end"/>
        </w:r>
      </w:hyperlink>
    </w:p>
    <w:p w14:paraId="431AA1D1" w14:textId="65F73212" w:rsidR="00614C78" w:rsidRDefault="008F226B" w:rsidP="00614C78">
      <w:pPr>
        <w:pStyle w:val="TOC8"/>
        <w:tabs>
          <w:tab w:val="clear" w:pos="8959"/>
          <w:tab w:val="right" w:pos="9899"/>
        </w:tabs>
        <w:rPr>
          <w:rFonts w:asciiTheme="minorHAnsi" w:eastAsiaTheme="minorEastAsia" w:hAnsiTheme="minorHAnsi" w:cstheme="minorBidi"/>
          <w:noProof/>
          <w:szCs w:val="22"/>
          <w:lang w:eastAsia="en-AU"/>
        </w:rPr>
      </w:pPr>
      <w:hyperlink w:anchor="_Toc131418588" w:history="1">
        <w:r w:rsidR="00614C78" w:rsidRPr="005277DF">
          <w:rPr>
            <w:rStyle w:val="Hyperlink"/>
            <w:noProof/>
          </w:rPr>
          <w:t>Table D.2 : Breakdown of PSR outcomes since the 2017–18 financial year</w:t>
        </w:r>
        <w:r w:rsidR="00614C78">
          <w:rPr>
            <w:noProof/>
            <w:webHidden/>
          </w:rPr>
          <w:tab/>
        </w:r>
        <w:r w:rsidR="00614C78">
          <w:rPr>
            <w:noProof/>
            <w:webHidden/>
          </w:rPr>
          <w:fldChar w:fldCharType="begin"/>
        </w:r>
        <w:r w:rsidR="00614C78">
          <w:rPr>
            <w:noProof/>
            <w:webHidden/>
          </w:rPr>
          <w:instrText xml:space="preserve"> PAGEREF _Toc131418588 \h </w:instrText>
        </w:r>
        <w:r w:rsidR="00614C78">
          <w:rPr>
            <w:noProof/>
            <w:webHidden/>
          </w:rPr>
        </w:r>
        <w:r w:rsidR="00614C78">
          <w:rPr>
            <w:noProof/>
            <w:webHidden/>
          </w:rPr>
          <w:fldChar w:fldCharType="separate"/>
        </w:r>
        <w:r w:rsidR="00614C78">
          <w:rPr>
            <w:noProof/>
            <w:webHidden/>
          </w:rPr>
          <w:t>72</w:t>
        </w:r>
        <w:r w:rsidR="00614C78">
          <w:rPr>
            <w:noProof/>
            <w:webHidden/>
          </w:rPr>
          <w:fldChar w:fldCharType="end"/>
        </w:r>
      </w:hyperlink>
    </w:p>
    <w:p w14:paraId="4A578544" w14:textId="6FBEB6C6" w:rsidR="007A7533" w:rsidRDefault="00FC6122" w:rsidP="00B66AF2">
      <w:pPr>
        <w:spacing w:line="360" w:lineRule="auto"/>
      </w:pPr>
      <w:r w:rsidRPr="001C4E56">
        <w:fldChar w:fldCharType="end"/>
      </w:r>
      <w:r w:rsidR="007A7533">
        <w:br w:type="page"/>
      </w:r>
    </w:p>
    <w:p w14:paraId="1AA06EE0" w14:textId="77777777" w:rsidR="00FC6122" w:rsidRPr="001C4E56" w:rsidRDefault="00FC6122" w:rsidP="00FC6122">
      <w:pPr>
        <w:pStyle w:val="TOCHeading"/>
        <w:rPr>
          <w:rFonts w:ascii="OpenSansRegular" w:hAnsi="OpenSansRegular" w:cs="OpenSansRegular"/>
        </w:rPr>
      </w:pPr>
      <w:r w:rsidRPr="001C4E56">
        <w:rPr>
          <w:rFonts w:ascii="OpenSansRegular" w:hAnsi="OpenSansRegular" w:cs="OpenSansRegular"/>
        </w:rPr>
        <w:lastRenderedPageBreak/>
        <w:t>Figures</w:t>
      </w:r>
    </w:p>
    <w:p w14:paraId="3CFCCC41" w14:textId="292EF64E" w:rsidR="00614C78" w:rsidRDefault="00FC6122" w:rsidP="00614C78">
      <w:pPr>
        <w:pStyle w:val="TOC7"/>
        <w:tabs>
          <w:tab w:val="clear" w:pos="8959"/>
          <w:tab w:val="right" w:pos="9899"/>
        </w:tabs>
        <w:rPr>
          <w:rFonts w:asciiTheme="minorHAnsi" w:eastAsiaTheme="minorEastAsia" w:hAnsiTheme="minorHAnsi" w:cstheme="minorBidi"/>
          <w:noProof/>
          <w:szCs w:val="22"/>
          <w:lang w:eastAsia="en-AU"/>
        </w:rPr>
      </w:pPr>
      <w:r w:rsidRPr="001C4E56">
        <w:fldChar w:fldCharType="begin"/>
      </w:r>
      <w:r w:rsidRPr="001C4E56">
        <w:instrText xml:space="preserve"> TOC \o "7-7" \h \z \t "Caption_Figure,7,Exec Figure Caption,7,Appendix Figure Caption,7" </w:instrText>
      </w:r>
      <w:r w:rsidRPr="001C4E56">
        <w:fldChar w:fldCharType="separate"/>
      </w:r>
      <w:hyperlink w:anchor="_Toc131418619" w:history="1">
        <w:r w:rsidR="00614C78" w:rsidRPr="00F436B8">
          <w:rPr>
            <w:rStyle w:val="Hyperlink"/>
            <w:noProof/>
          </w:rPr>
          <w:t>Figure i : Medicare practitioner, patient and payment link</w:t>
        </w:r>
        <w:r w:rsidR="00614C78">
          <w:rPr>
            <w:noProof/>
            <w:webHidden/>
          </w:rPr>
          <w:tab/>
        </w:r>
        <w:r w:rsidR="00614C78">
          <w:rPr>
            <w:noProof/>
            <w:webHidden/>
          </w:rPr>
          <w:fldChar w:fldCharType="begin"/>
        </w:r>
        <w:r w:rsidR="00614C78">
          <w:rPr>
            <w:noProof/>
            <w:webHidden/>
          </w:rPr>
          <w:instrText xml:space="preserve"> PAGEREF _Toc131418619 \h </w:instrText>
        </w:r>
        <w:r w:rsidR="00614C78">
          <w:rPr>
            <w:noProof/>
            <w:webHidden/>
          </w:rPr>
        </w:r>
        <w:r w:rsidR="00614C78">
          <w:rPr>
            <w:noProof/>
            <w:webHidden/>
          </w:rPr>
          <w:fldChar w:fldCharType="separate"/>
        </w:r>
        <w:r w:rsidR="00614C78">
          <w:rPr>
            <w:noProof/>
            <w:webHidden/>
          </w:rPr>
          <w:t>5</w:t>
        </w:r>
        <w:r w:rsidR="00614C78">
          <w:rPr>
            <w:noProof/>
            <w:webHidden/>
          </w:rPr>
          <w:fldChar w:fldCharType="end"/>
        </w:r>
      </w:hyperlink>
    </w:p>
    <w:p w14:paraId="4934A8AA" w14:textId="2FAB3F3A"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0" w:history="1">
        <w:r w:rsidR="00614C78" w:rsidRPr="00F436B8">
          <w:rPr>
            <w:rStyle w:val="Hyperlink"/>
            <w:noProof/>
          </w:rPr>
          <w:t>Figure 2.1 : Subtypes of non-compliant claiming under current definitions</w:t>
        </w:r>
        <w:r w:rsidR="00614C78">
          <w:rPr>
            <w:noProof/>
            <w:webHidden/>
          </w:rPr>
          <w:tab/>
        </w:r>
        <w:r w:rsidR="00614C78">
          <w:rPr>
            <w:noProof/>
            <w:webHidden/>
          </w:rPr>
          <w:fldChar w:fldCharType="begin"/>
        </w:r>
        <w:r w:rsidR="00614C78">
          <w:rPr>
            <w:noProof/>
            <w:webHidden/>
          </w:rPr>
          <w:instrText xml:space="preserve"> PAGEREF _Toc131418620 \h </w:instrText>
        </w:r>
        <w:r w:rsidR="00614C78">
          <w:rPr>
            <w:noProof/>
            <w:webHidden/>
          </w:rPr>
        </w:r>
        <w:r w:rsidR="00614C78">
          <w:rPr>
            <w:noProof/>
            <w:webHidden/>
          </w:rPr>
          <w:fldChar w:fldCharType="separate"/>
        </w:r>
        <w:r w:rsidR="00614C78">
          <w:rPr>
            <w:noProof/>
            <w:webHidden/>
          </w:rPr>
          <w:t>17</w:t>
        </w:r>
        <w:r w:rsidR="00614C78">
          <w:rPr>
            <w:noProof/>
            <w:webHidden/>
          </w:rPr>
          <w:fldChar w:fldCharType="end"/>
        </w:r>
      </w:hyperlink>
    </w:p>
    <w:p w14:paraId="04374D70" w14:textId="7E52963A"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1" w:history="1">
        <w:r w:rsidR="00614C78" w:rsidRPr="00F436B8">
          <w:rPr>
            <w:rStyle w:val="Hyperlink"/>
            <w:noProof/>
          </w:rPr>
          <w:t>Figure 2.2 : Current state of the provider compliance and integrity system</w:t>
        </w:r>
        <w:r w:rsidR="00614C78">
          <w:rPr>
            <w:noProof/>
            <w:webHidden/>
          </w:rPr>
          <w:tab/>
        </w:r>
        <w:r w:rsidR="00614C78">
          <w:rPr>
            <w:noProof/>
            <w:webHidden/>
          </w:rPr>
          <w:fldChar w:fldCharType="begin"/>
        </w:r>
        <w:r w:rsidR="00614C78">
          <w:rPr>
            <w:noProof/>
            <w:webHidden/>
          </w:rPr>
          <w:instrText xml:space="preserve"> PAGEREF _Toc131418621 \h </w:instrText>
        </w:r>
        <w:r w:rsidR="00614C78">
          <w:rPr>
            <w:noProof/>
            <w:webHidden/>
          </w:rPr>
        </w:r>
        <w:r w:rsidR="00614C78">
          <w:rPr>
            <w:noProof/>
            <w:webHidden/>
          </w:rPr>
          <w:fldChar w:fldCharType="separate"/>
        </w:r>
        <w:r w:rsidR="00614C78">
          <w:rPr>
            <w:noProof/>
            <w:webHidden/>
          </w:rPr>
          <w:t>22</w:t>
        </w:r>
        <w:r w:rsidR="00614C78">
          <w:rPr>
            <w:noProof/>
            <w:webHidden/>
          </w:rPr>
          <w:fldChar w:fldCharType="end"/>
        </w:r>
      </w:hyperlink>
    </w:p>
    <w:p w14:paraId="58A286B2" w14:textId="6DB9615E"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2" w:history="1">
        <w:r w:rsidR="00614C78" w:rsidRPr="00F436B8">
          <w:rPr>
            <w:rStyle w:val="Hyperlink"/>
            <w:noProof/>
          </w:rPr>
          <w:t>Figure 2.3 : Case provision by treatment type and source, 2021–22</w:t>
        </w:r>
        <w:r w:rsidR="00614C78">
          <w:rPr>
            <w:noProof/>
            <w:webHidden/>
          </w:rPr>
          <w:tab/>
        </w:r>
        <w:r w:rsidR="00614C78">
          <w:rPr>
            <w:noProof/>
            <w:webHidden/>
          </w:rPr>
          <w:fldChar w:fldCharType="begin"/>
        </w:r>
        <w:r w:rsidR="00614C78">
          <w:rPr>
            <w:noProof/>
            <w:webHidden/>
          </w:rPr>
          <w:instrText xml:space="preserve"> PAGEREF _Toc131418622 \h </w:instrText>
        </w:r>
        <w:r w:rsidR="00614C78">
          <w:rPr>
            <w:noProof/>
            <w:webHidden/>
          </w:rPr>
        </w:r>
        <w:r w:rsidR="00614C78">
          <w:rPr>
            <w:noProof/>
            <w:webHidden/>
          </w:rPr>
          <w:fldChar w:fldCharType="separate"/>
        </w:r>
        <w:r w:rsidR="00614C78">
          <w:rPr>
            <w:noProof/>
            <w:webHidden/>
          </w:rPr>
          <w:t>25</w:t>
        </w:r>
        <w:r w:rsidR="00614C78">
          <w:rPr>
            <w:noProof/>
            <w:webHidden/>
          </w:rPr>
          <w:fldChar w:fldCharType="end"/>
        </w:r>
      </w:hyperlink>
    </w:p>
    <w:p w14:paraId="6E163FAA" w14:textId="66502525"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3" w:history="1">
        <w:r w:rsidR="00614C78" w:rsidRPr="00F436B8">
          <w:rPr>
            <w:rStyle w:val="Hyperlink"/>
            <w:noProof/>
          </w:rPr>
          <w:t>Figure 2.4 : Illustration of the types of compliance risk in relation to potential compliance interventions and cost/severity</w:t>
        </w:r>
        <w:r w:rsidR="00614C78">
          <w:rPr>
            <w:noProof/>
            <w:webHidden/>
          </w:rPr>
          <w:tab/>
        </w:r>
        <w:r w:rsidR="00614C78">
          <w:rPr>
            <w:noProof/>
            <w:webHidden/>
          </w:rPr>
          <w:fldChar w:fldCharType="begin"/>
        </w:r>
        <w:r w:rsidR="00614C78">
          <w:rPr>
            <w:noProof/>
            <w:webHidden/>
          </w:rPr>
          <w:instrText xml:space="preserve"> PAGEREF _Toc131418623 \h </w:instrText>
        </w:r>
        <w:r w:rsidR="00614C78">
          <w:rPr>
            <w:noProof/>
            <w:webHidden/>
          </w:rPr>
        </w:r>
        <w:r w:rsidR="00614C78">
          <w:rPr>
            <w:noProof/>
            <w:webHidden/>
          </w:rPr>
          <w:fldChar w:fldCharType="separate"/>
        </w:r>
        <w:r w:rsidR="00614C78">
          <w:rPr>
            <w:noProof/>
            <w:webHidden/>
          </w:rPr>
          <w:t>30</w:t>
        </w:r>
        <w:r w:rsidR="00614C78">
          <w:rPr>
            <w:noProof/>
            <w:webHidden/>
          </w:rPr>
          <w:fldChar w:fldCharType="end"/>
        </w:r>
      </w:hyperlink>
    </w:p>
    <w:p w14:paraId="66955743" w14:textId="3E83BE14"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4" w:history="1">
        <w:r w:rsidR="00614C78" w:rsidRPr="00F436B8">
          <w:rPr>
            <w:rStyle w:val="Hyperlink"/>
            <w:noProof/>
          </w:rPr>
          <w:t>Figure 2.5 : Health Provider Compliance Strategy 2021–22 Compliance Model</w:t>
        </w:r>
        <w:r w:rsidR="00614C78">
          <w:rPr>
            <w:noProof/>
            <w:webHidden/>
          </w:rPr>
          <w:tab/>
        </w:r>
        <w:r w:rsidR="00614C78">
          <w:rPr>
            <w:noProof/>
            <w:webHidden/>
          </w:rPr>
          <w:fldChar w:fldCharType="begin"/>
        </w:r>
        <w:r w:rsidR="00614C78">
          <w:rPr>
            <w:noProof/>
            <w:webHidden/>
          </w:rPr>
          <w:instrText xml:space="preserve"> PAGEREF _Toc131418624 \h </w:instrText>
        </w:r>
        <w:r w:rsidR="00614C78">
          <w:rPr>
            <w:noProof/>
            <w:webHidden/>
          </w:rPr>
        </w:r>
        <w:r w:rsidR="00614C78">
          <w:rPr>
            <w:noProof/>
            <w:webHidden/>
          </w:rPr>
          <w:fldChar w:fldCharType="separate"/>
        </w:r>
        <w:r w:rsidR="00614C78">
          <w:rPr>
            <w:noProof/>
            <w:webHidden/>
          </w:rPr>
          <w:t>30</w:t>
        </w:r>
        <w:r w:rsidR="00614C78">
          <w:rPr>
            <w:noProof/>
            <w:webHidden/>
          </w:rPr>
          <w:fldChar w:fldCharType="end"/>
        </w:r>
      </w:hyperlink>
    </w:p>
    <w:p w14:paraId="0A41A4F2" w14:textId="3E14BF29"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5" w:history="1">
        <w:r w:rsidR="00614C78" w:rsidRPr="00F436B8">
          <w:rPr>
            <w:rStyle w:val="Hyperlink"/>
            <w:noProof/>
          </w:rPr>
          <w:t>Figure 2.6 : Pathway of case reviewed under the PRP</w:t>
        </w:r>
        <w:r w:rsidR="00614C78">
          <w:rPr>
            <w:noProof/>
            <w:webHidden/>
          </w:rPr>
          <w:tab/>
        </w:r>
        <w:r w:rsidR="00614C78">
          <w:rPr>
            <w:noProof/>
            <w:webHidden/>
          </w:rPr>
          <w:fldChar w:fldCharType="begin"/>
        </w:r>
        <w:r w:rsidR="00614C78">
          <w:rPr>
            <w:noProof/>
            <w:webHidden/>
          </w:rPr>
          <w:instrText xml:space="preserve"> PAGEREF _Toc131418625 \h </w:instrText>
        </w:r>
        <w:r w:rsidR="00614C78">
          <w:rPr>
            <w:noProof/>
            <w:webHidden/>
          </w:rPr>
        </w:r>
        <w:r w:rsidR="00614C78">
          <w:rPr>
            <w:noProof/>
            <w:webHidden/>
          </w:rPr>
          <w:fldChar w:fldCharType="separate"/>
        </w:r>
        <w:r w:rsidR="00614C78">
          <w:rPr>
            <w:noProof/>
            <w:webHidden/>
          </w:rPr>
          <w:t>31</w:t>
        </w:r>
        <w:r w:rsidR="00614C78">
          <w:rPr>
            <w:noProof/>
            <w:webHidden/>
          </w:rPr>
          <w:fldChar w:fldCharType="end"/>
        </w:r>
      </w:hyperlink>
    </w:p>
    <w:p w14:paraId="13619835" w14:textId="311B126F"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6" w:history="1">
        <w:r w:rsidR="00614C78" w:rsidRPr="00F436B8">
          <w:rPr>
            <w:rStyle w:val="Hyperlink"/>
            <w:noProof/>
          </w:rPr>
          <w:t>Figure 2.7 : Detail of the PRP process</w:t>
        </w:r>
        <w:r w:rsidR="00614C78">
          <w:rPr>
            <w:noProof/>
            <w:webHidden/>
          </w:rPr>
          <w:tab/>
        </w:r>
        <w:r w:rsidR="00614C78">
          <w:rPr>
            <w:noProof/>
            <w:webHidden/>
          </w:rPr>
          <w:fldChar w:fldCharType="begin"/>
        </w:r>
        <w:r w:rsidR="00614C78">
          <w:rPr>
            <w:noProof/>
            <w:webHidden/>
          </w:rPr>
          <w:instrText xml:space="preserve"> PAGEREF _Toc131418626 \h </w:instrText>
        </w:r>
        <w:r w:rsidR="00614C78">
          <w:rPr>
            <w:noProof/>
            <w:webHidden/>
          </w:rPr>
        </w:r>
        <w:r w:rsidR="00614C78">
          <w:rPr>
            <w:noProof/>
            <w:webHidden/>
          </w:rPr>
          <w:fldChar w:fldCharType="separate"/>
        </w:r>
        <w:r w:rsidR="00614C78">
          <w:rPr>
            <w:noProof/>
            <w:webHidden/>
          </w:rPr>
          <w:t>32</w:t>
        </w:r>
        <w:r w:rsidR="00614C78">
          <w:rPr>
            <w:noProof/>
            <w:webHidden/>
          </w:rPr>
          <w:fldChar w:fldCharType="end"/>
        </w:r>
      </w:hyperlink>
    </w:p>
    <w:p w14:paraId="2218D6E3" w14:textId="277FE77E"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7" w:history="1">
        <w:r w:rsidR="00614C78" w:rsidRPr="00F436B8">
          <w:rPr>
            <w:rStyle w:val="Hyperlink"/>
            <w:noProof/>
          </w:rPr>
          <w:t>Figure 2.8 : Timeframe of PRP to PSR review processes</w:t>
        </w:r>
        <w:r w:rsidR="00614C78">
          <w:rPr>
            <w:noProof/>
            <w:webHidden/>
          </w:rPr>
          <w:tab/>
        </w:r>
        <w:r w:rsidR="00614C78">
          <w:rPr>
            <w:noProof/>
            <w:webHidden/>
          </w:rPr>
          <w:fldChar w:fldCharType="begin"/>
        </w:r>
        <w:r w:rsidR="00614C78">
          <w:rPr>
            <w:noProof/>
            <w:webHidden/>
          </w:rPr>
          <w:instrText xml:space="preserve"> PAGEREF _Toc131418627 \h </w:instrText>
        </w:r>
        <w:r w:rsidR="00614C78">
          <w:rPr>
            <w:noProof/>
            <w:webHidden/>
          </w:rPr>
        </w:r>
        <w:r w:rsidR="00614C78">
          <w:rPr>
            <w:noProof/>
            <w:webHidden/>
          </w:rPr>
          <w:fldChar w:fldCharType="separate"/>
        </w:r>
        <w:r w:rsidR="00614C78">
          <w:rPr>
            <w:noProof/>
            <w:webHidden/>
          </w:rPr>
          <w:t>33</w:t>
        </w:r>
        <w:r w:rsidR="00614C78">
          <w:rPr>
            <w:noProof/>
            <w:webHidden/>
          </w:rPr>
          <w:fldChar w:fldCharType="end"/>
        </w:r>
      </w:hyperlink>
    </w:p>
    <w:p w14:paraId="2DF88DB2" w14:textId="4EF504FA"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8" w:history="1">
        <w:r w:rsidR="00614C78" w:rsidRPr="00F436B8">
          <w:rPr>
            <w:rStyle w:val="Hyperlink"/>
            <w:noProof/>
          </w:rPr>
          <w:t>Figure 2.9 : Organisational structure of the PSR</w:t>
        </w:r>
        <w:r w:rsidR="00614C78">
          <w:rPr>
            <w:noProof/>
            <w:webHidden/>
          </w:rPr>
          <w:tab/>
        </w:r>
        <w:r w:rsidR="00614C78">
          <w:rPr>
            <w:noProof/>
            <w:webHidden/>
          </w:rPr>
          <w:fldChar w:fldCharType="begin"/>
        </w:r>
        <w:r w:rsidR="00614C78">
          <w:rPr>
            <w:noProof/>
            <w:webHidden/>
          </w:rPr>
          <w:instrText xml:space="preserve"> PAGEREF _Toc131418628 \h </w:instrText>
        </w:r>
        <w:r w:rsidR="00614C78">
          <w:rPr>
            <w:noProof/>
            <w:webHidden/>
          </w:rPr>
        </w:r>
        <w:r w:rsidR="00614C78">
          <w:rPr>
            <w:noProof/>
            <w:webHidden/>
          </w:rPr>
          <w:fldChar w:fldCharType="separate"/>
        </w:r>
        <w:r w:rsidR="00614C78">
          <w:rPr>
            <w:noProof/>
            <w:webHidden/>
          </w:rPr>
          <w:t>34</w:t>
        </w:r>
        <w:r w:rsidR="00614C78">
          <w:rPr>
            <w:noProof/>
            <w:webHidden/>
          </w:rPr>
          <w:fldChar w:fldCharType="end"/>
        </w:r>
      </w:hyperlink>
    </w:p>
    <w:p w14:paraId="3360A73A" w14:textId="03C0BBC3"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29" w:history="1">
        <w:r w:rsidR="00614C78" w:rsidRPr="00F436B8">
          <w:rPr>
            <w:rStyle w:val="Hyperlink"/>
            <w:noProof/>
          </w:rPr>
          <w:t>Figure 2.10 : Risk identification and risk analytics process (July 2020 – June 2022)</w:t>
        </w:r>
        <w:r w:rsidR="00614C78">
          <w:rPr>
            <w:noProof/>
            <w:webHidden/>
          </w:rPr>
          <w:tab/>
        </w:r>
        <w:r w:rsidR="00614C78">
          <w:rPr>
            <w:noProof/>
            <w:webHidden/>
          </w:rPr>
          <w:fldChar w:fldCharType="begin"/>
        </w:r>
        <w:r w:rsidR="00614C78">
          <w:rPr>
            <w:noProof/>
            <w:webHidden/>
          </w:rPr>
          <w:instrText xml:space="preserve"> PAGEREF _Toc131418629 \h </w:instrText>
        </w:r>
        <w:r w:rsidR="00614C78">
          <w:rPr>
            <w:noProof/>
            <w:webHidden/>
          </w:rPr>
        </w:r>
        <w:r w:rsidR="00614C78">
          <w:rPr>
            <w:noProof/>
            <w:webHidden/>
          </w:rPr>
          <w:fldChar w:fldCharType="separate"/>
        </w:r>
        <w:r w:rsidR="00614C78">
          <w:rPr>
            <w:noProof/>
            <w:webHidden/>
          </w:rPr>
          <w:t>44</w:t>
        </w:r>
        <w:r w:rsidR="00614C78">
          <w:rPr>
            <w:noProof/>
            <w:webHidden/>
          </w:rPr>
          <w:fldChar w:fldCharType="end"/>
        </w:r>
      </w:hyperlink>
    </w:p>
    <w:p w14:paraId="1DFC3370" w14:textId="0C631B76"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30" w:history="1">
        <w:r w:rsidR="00614C78" w:rsidRPr="00F436B8">
          <w:rPr>
            <w:rStyle w:val="Hyperlink"/>
            <w:noProof/>
          </w:rPr>
          <w:t>Figure 3.1 : Overview of three lines of defence model for Medicare</w:t>
        </w:r>
        <w:r w:rsidR="00614C78">
          <w:rPr>
            <w:noProof/>
            <w:webHidden/>
          </w:rPr>
          <w:tab/>
        </w:r>
        <w:r w:rsidR="00614C78">
          <w:rPr>
            <w:noProof/>
            <w:webHidden/>
          </w:rPr>
          <w:fldChar w:fldCharType="begin"/>
        </w:r>
        <w:r w:rsidR="00614C78">
          <w:rPr>
            <w:noProof/>
            <w:webHidden/>
          </w:rPr>
          <w:instrText xml:space="preserve"> PAGEREF _Toc131418630 \h </w:instrText>
        </w:r>
        <w:r w:rsidR="00614C78">
          <w:rPr>
            <w:noProof/>
            <w:webHidden/>
          </w:rPr>
        </w:r>
        <w:r w:rsidR="00614C78">
          <w:rPr>
            <w:noProof/>
            <w:webHidden/>
          </w:rPr>
          <w:fldChar w:fldCharType="separate"/>
        </w:r>
        <w:r w:rsidR="00614C78">
          <w:rPr>
            <w:noProof/>
            <w:webHidden/>
          </w:rPr>
          <w:t>47</w:t>
        </w:r>
        <w:r w:rsidR="00614C78">
          <w:rPr>
            <w:noProof/>
            <w:webHidden/>
          </w:rPr>
          <w:fldChar w:fldCharType="end"/>
        </w:r>
      </w:hyperlink>
    </w:p>
    <w:p w14:paraId="6F4E2195" w14:textId="22D3CDC2"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31" w:history="1">
        <w:r w:rsidR="00614C78" w:rsidRPr="00F436B8">
          <w:rPr>
            <w:rStyle w:val="Hyperlink"/>
            <w:noProof/>
          </w:rPr>
          <w:t>Figure 3.2 : Future state of the Medicare system</w:t>
        </w:r>
        <w:r w:rsidR="00614C78">
          <w:rPr>
            <w:noProof/>
            <w:webHidden/>
          </w:rPr>
          <w:tab/>
        </w:r>
        <w:r w:rsidR="00614C78">
          <w:rPr>
            <w:noProof/>
            <w:webHidden/>
          </w:rPr>
          <w:fldChar w:fldCharType="begin"/>
        </w:r>
        <w:r w:rsidR="00614C78">
          <w:rPr>
            <w:noProof/>
            <w:webHidden/>
          </w:rPr>
          <w:instrText xml:space="preserve"> PAGEREF _Toc131418631 \h </w:instrText>
        </w:r>
        <w:r w:rsidR="00614C78">
          <w:rPr>
            <w:noProof/>
            <w:webHidden/>
          </w:rPr>
        </w:r>
        <w:r w:rsidR="00614C78">
          <w:rPr>
            <w:noProof/>
            <w:webHidden/>
          </w:rPr>
          <w:fldChar w:fldCharType="separate"/>
        </w:r>
        <w:r w:rsidR="00614C78">
          <w:rPr>
            <w:noProof/>
            <w:webHidden/>
          </w:rPr>
          <w:t>49</w:t>
        </w:r>
        <w:r w:rsidR="00614C78">
          <w:rPr>
            <w:noProof/>
            <w:webHidden/>
          </w:rPr>
          <w:fldChar w:fldCharType="end"/>
        </w:r>
      </w:hyperlink>
    </w:p>
    <w:p w14:paraId="236B3F6D" w14:textId="274FCBB6"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32" w:history="1">
        <w:r w:rsidR="00614C78" w:rsidRPr="00F436B8">
          <w:rPr>
            <w:rStyle w:val="Hyperlink"/>
            <w:noProof/>
          </w:rPr>
          <w:t>Figure 3.3 : Governance and oversight structure (indicative)</w:t>
        </w:r>
        <w:r w:rsidR="00614C78">
          <w:rPr>
            <w:noProof/>
            <w:webHidden/>
          </w:rPr>
          <w:tab/>
        </w:r>
        <w:r w:rsidR="00614C78">
          <w:rPr>
            <w:noProof/>
            <w:webHidden/>
          </w:rPr>
          <w:fldChar w:fldCharType="begin"/>
        </w:r>
        <w:r w:rsidR="00614C78">
          <w:rPr>
            <w:noProof/>
            <w:webHidden/>
          </w:rPr>
          <w:instrText xml:space="preserve"> PAGEREF _Toc131418632 \h </w:instrText>
        </w:r>
        <w:r w:rsidR="00614C78">
          <w:rPr>
            <w:noProof/>
            <w:webHidden/>
          </w:rPr>
        </w:r>
        <w:r w:rsidR="00614C78">
          <w:rPr>
            <w:noProof/>
            <w:webHidden/>
          </w:rPr>
          <w:fldChar w:fldCharType="separate"/>
        </w:r>
        <w:r w:rsidR="00614C78">
          <w:rPr>
            <w:noProof/>
            <w:webHidden/>
          </w:rPr>
          <w:t>51</w:t>
        </w:r>
        <w:r w:rsidR="00614C78">
          <w:rPr>
            <w:noProof/>
            <w:webHidden/>
          </w:rPr>
          <w:fldChar w:fldCharType="end"/>
        </w:r>
      </w:hyperlink>
    </w:p>
    <w:p w14:paraId="646CFA75" w14:textId="13788108"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33" w:history="1">
        <w:r w:rsidR="00614C78" w:rsidRPr="00F436B8">
          <w:rPr>
            <w:rStyle w:val="Hyperlink"/>
            <w:noProof/>
          </w:rPr>
          <w:t>Figure 3.4 : Future and purpose-built Medicare payments system</w:t>
        </w:r>
        <w:r w:rsidR="00614C78">
          <w:rPr>
            <w:noProof/>
            <w:webHidden/>
          </w:rPr>
          <w:tab/>
        </w:r>
        <w:r w:rsidR="00614C78">
          <w:rPr>
            <w:noProof/>
            <w:webHidden/>
          </w:rPr>
          <w:fldChar w:fldCharType="begin"/>
        </w:r>
        <w:r w:rsidR="00614C78">
          <w:rPr>
            <w:noProof/>
            <w:webHidden/>
          </w:rPr>
          <w:instrText xml:space="preserve"> PAGEREF _Toc131418633 \h </w:instrText>
        </w:r>
        <w:r w:rsidR="00614C78">
          <w:rPr>
            <w:noProof/>
            <w:webHidden/>
          </w:rPr>
        </w:r>
        <w:r w:rsidR="00614C78">
          <w:rPr>
            <w:noProof/>
            <w:webHidden/>
          </w:rPr>
          <w:fldChar w:fldCharType="separate"/>
        </w:r>
        <w:r w:rsidR="00614C78">
          <w:rPr>
            <w:noProof/>
            <w:webHidden/>
          </w:rPr>
          <w:t>59</w:t>
        </w:r>
        <w:r w:rsidR="00614C78">
          <w:rPr>
            <w:noProof/>
            <w:webHidden/>
          </w:rPr>
          <w:fldChar w:fldCharType="end"/>
        </w:r>
      </w:hyperlink>
    </w:p>
    <w:p w14:paraId="43D14DBE" w14:textId="3E5FFE75"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34" w:history="1">
        <w:r w:rsidR="00614C78" w:rsidRPr="00F436B8">
          <w:rPr>
            <w:rStyle w:val="Hyperlink"/>
            <w:noProof/>
          </w:rPr>
          <w:t>Figure 4.1 : Prioritisation of recommendations</w:t>
        </w:r>
        <w:r w:rsidR="00614C78">
          <w:rPr>
            <w:noProof/>
            <w:webHidden/>
          </w:rPr>
          <w:tab/>
        </w:r>
        <w:r w:rsidR="00614C78">
          <w:rPr>
            <w:noProof/>
            <w:webHidden/>
          </w:rPr>
          <w:fldChar w:fldCharType="begin"/>
        </w:r>
        <w:r w:rsidR="00614C78">
          <w:rPr>
            <w:noProof/>
            <w:webHidden/>
          </w:rPr>
          <w:instrText xml:space="preserve"> PAGEREF _Toc131418634 \h </w:instrText>
        </w:r>
        <w:r w:rsidR="00614C78">
          <w:rPr>
            <w:noProof/>
            <w:webHidden/>
          </w:rPr>
        </w:r>
        <w:r w:rsidR="00614C78">
          <w:rPr>
            <w:noProof/>
            <w:webHidden/>
          </w:rPr>
          <w:fldChar w:fldCharType="separate"/>
        </w:r>
        <w:r w:rsidR="00614C78">
          <w:rPr>
            <w:noProof/>
            <w:webHidden/>
          </w:rPr>
          <w:t>61</w:t>
        </w:r>
        <w:r w:rsidR="00614C78">
          <w:rPr>
            <w:noProof/>
            <w:webHidden/>
          </w:rPr>
          <w:fldChar w:fldCharType="end"/>
        </w:r>
      </w:hyperlink>
    </w:p>
    <w:p w14:paraId="4FA059CC" w14:textId="63E1115C"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35" w:history="1">
        <w:r w:rsidR="00614C78" w:rsidRPr="00F436B8">
          <w:rPr>
            <w:rStyle w:val="Hyperlink"/>
            <w:noProof/>
          </w:rPr>
          <w:t>Figure 4.2 : High-level view of the sequencing and dependencies</w:t>
        </w:r>
        <w:r w:rsidR="00614C78">
          <w:rPr>
            <w:noProof/>
            <w:webHidden/>
          </w:rPr>
          <w:tab/>
        </w:r>
        <w:r w:rsidR="00614C78">
          <w:rPr>
            <w:noProof/>
            <w:webHidden/>
          </w:rPr>
          <w:fldChar w:fldCharType="begin"/>
        </w:r>
        <w:r w:rsidR="00614C78">
          <w:rPr>
            <w:noProof/>
            <w:webHidden/>
          </w:rPr>
          <w:instrText xml:space="preserve"> PAGEREF _Toc131418635 \h </w:instrText>
        </w:r>
        <w:r w:rsidR="00614C78">
          <w:rPr>
            <w:noProof/>
            <w:webHidden/>
          </w:rPr>
        </w:r>
        <w:r w:rsidR="00614C78">
          <w:rPr>
            <w:noProof/>
            <w:webHidden/>
          </w:rPr>
          <w:fldChar w:fldCharType="separate"/>
        </w:r>
        <w:r w:rsidR="00614C78">
          <w:rPr>
            <w:noProof/>
            <w:webHidden/>
          </w:rPr>
          <w:t>62</w:t>
        </w:r>
        <w:r w:rsidR="00614C78">
          <w:rPr>
            <w:noProof/>
            <w:webHidden/>
          </w:rPr>
          <w:fldChar w:fldCharType="end"/>
        </w:r>
      </w:hyperlink>
    </w:p>
    <w:p w14:paraId="55A1D6E7" w14:textId="03E22782"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36" w:history="1">
        <w:r w:rsidR="00614C78" w:rsidRPr="00F436B8">
          <w:rPr>
            <w:rStyle w:val="Hyperlink"/>
            <w:noProof/>
          </w:rPr>
          <w:t>Source: Philip Review (2023)</w:t>
        </w:r>
        <w:r w:rsidR="00614C78">
          <w:rPr>
            <w:noProof/>
            <w:webHidden/>
          </w:rPr>
          <w:tab/>
        </w:r>
        <w:r w:rsidR="00614C78">
          <w:rPr>
            <w:noProof/>
            <w:webHidden/>
          </w:rPr>
          <w:fldChar w:fldCharType="begin"/>
        </w:r>
        <w:r w:rsidR="00614C78">
          <w:rPr>
            <w:noProof/>
            <w:webHidden/>
          </w:rPr>
          <w:instrText xml:space="preserve"> PAGEREF _Toc131418636 \h </w:instrText>
        </w:r>
        <w:r w:rsidR="00614C78">
          <w:rPr>
            <w:noProof/>
            <w:webHidden/>
          </w:rPr>
        </w:r>
        <w:r w:rsidR="00614C78">
          <w:rPr>
            <w:noProof/>
            <w:webHidden/>
          </w:rPr>
          <w:fldChar w:fldCharType="separate"/>
        </w:r>
        <w:r w:rsidR="00614C78">
          <w:rPr>
            <w:noProof/>
            <w:webHidden/>
          </w:rPr>
          <w:t>62</w:t>
        </w:r>
        <w:r w:rsidR="00614C78">
          <w:rPr>
            <w:noProof/>
            <w:webHidden/>
          </w:rPr>
          <w:fldChar w:fldCharType="end"/>
        </w:r>
      </w:hyperlink>
    </w:p>
    <w:p w14:paraId="3CBE360F" w14:textId="6087F4A7"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37" w:history="1">
        <w:r w:rsidR="00614C78" w:rsidRPr="00F436B8">
          <w:rPr>
            <w:rStyle w:val="Hyperlink"/>
            <w:noProof/>
          </w:rPr>
          <w:t>Figure C.1 : MBS benefits paid by profession, 2020–21*</w:t>
        </w:r>
        <w:r w:rsidR="00614C78">
          <w:rPr>
            <w:noProof/>
            <w:webHidden/>
          </w:rPr>
          <w:tab/>
        </w:r>
        <w:r w:rsidR="00614C78">
          <w:rPr>
            <w:noProof/>
            <w:webHidden/>
          </w:rPr>
          <w:fldChar w:fldCharType="begin"/>
        </w:r>
        <w:r w:rsidR="00614C78">
          <w:rPr>
            <w:noProof/>
            <w:webHidden/>
          </w:rPr>
          <w:instrText xml:space="preserve"> PAGEREF _Toc131418637 \h </w:instrText>
        </w:r>
        <w:r w:rsidR="00614C78">
          <w:rPr>
            <w:noProof/>
            <w:webHidden/>
          </w:rPr>
        </w:r>
        <w:r w:rsidR="00614C78">
          <w:rPr>
            <w:noProof/>
            <w:webHidden/>
          </w:rPr>
          <w:fldChar w:fldCharType="separate"/>
        </w:r>
        <w:r w:rsidR="00614C78">
          <w:rPr>
            <w:noProof/>
            <w:webHidden/>
          </w:rPr>
          <w:t>66</w:t>
        </w:r>
        <w:r w:rsidR="00614C78">
          <w:rPr>
            <w:noProof/>
            <w:webHidden/>
          </w:rPr>
          <w:fldChar w:fldCharType="end"/>
        </w:r>
      </w:hyperlink>
    </w:p>
    <w:p w14:paraId="682CA4A1" w14:textId="25C83DFB" w:rsidR="00614C78" w:rsidRDefault="008F226B" w:rsidP="00614C78">
      <w:pPr>
        <w:pStyle w:val="TOC7"/>
        <w:tabs>
          <w:tab w:val="clear" w:pos="8959"/>
          <w:tab w:val="right" w:pos="9899"/>
        </w:tabs>
        <w:rPr>
          <w:rFonts w:asciiTheme="minorHAnsi" w:eastAsiaTheme="minorEastAsia" w:hAnsiTheme="minorHAnsi" w:cstheme="minorBidi"/>
          <w:noProof/>
          <w:szCs w:val="22"/>
          <w:lang w:eastAsia="en-AU"/>
        </w:rPr>
      </w:pPr>
      <w:hyperlink w:anchor="_Toc131418638" w:history="1">
        <w:r w:rsidR="00614C78" w:rsidRPr="00F436B8">
          <w:rPr>
            <w:rStyle w:val="Hyperlink"/>
            <w:noProof/>
          </w:rPr>
          <w:t>Figure C.2 : Overview of Medicare claiming channels</w:t>
        </w:r>
        <w:r w:rsidR="00614C78">
          <w:rPr>
            <w:noProof/>
            <w:webHidden/>
          </w:rPr>
          <w:tab/>
        </w:r>
        <w:r w:rsidR="00614C78">
          <w:rPr>
            <w:noProof/>
            <w:webHidden/>
          </w:rPr>
          <w:fldChar w:fldCharType="begin"/>
        </w:r>
        <w:r w:rsidR="00614C78">
          <w:rPr>
            <w:noProof/>
            <w:webHidden/>
          </w:rPr>
          <w:instrText xml:space="preserve"> PAGEREF _Toc131418638 \h </w:instrText>
        </w:r>
        <w:r w:rsidR="00614C78">
          <w:rPr>
            <w:noProof/>
            <w:webHidden/>
          </w:rPr>
        </w:r>
        <w:r w:rsidR="00614C78">
          <w:rPr>
            <w:noProof/>
            <w:webHidden/>
          </w:rPr>
          <w:fldChar w:fldCharType="separate"/>
        </w:r>
        <w:r w:rsidR="00614C78">
          <w:rPr>
            <w:noProof/>
            <w:webHidden/>
          </w:rPr>
          <w:t>67</w:t>
        </w:r>
        <w:r w:rsidR="00614C78">
          <w:rPr>
            <w:noProof/>
            <w:webHidden/>
          </w:rPr>
          <w:fldChar w:fldCharType="end"/>
        </w:r>
      </w:hyperlink>
    </w:p>
    <w:p w14:paraId="04B4BC92" w14:textId="13B4A3C3" w:rsidR="007B5522" w:rsidRDefault="00FC6122" w:rsidP="00B66AF2">
      <w:pPr>
        <w:spacing w:line="360" w:lineRule="auto"/>
      </w:pPr>
      <w:r w:rsidRPr="001C4E56">
        <w:fldChar w:fldCharType="end"/>
      </w:r>
    </w:p>
    <w:bookmarkEnd w:id="3"/>
    <w:p w14:paraId="6E00708A" w14:textId="4E6E9E1E" w:rsidR="00F9113D" w:rsidRPr="001C4E56" w:rsidRDefault="00F9113D" w:rsidP="001C4E56">
      <w:pPr>
        <w:sectPr w:rsidR="00F9113D" w:rsidRPr="001C4E56" w:rsidSect="001C4E56">
          <w:footerReference w:type="default" r:id="rId15"/>
          <w:pgSz w:w="11906" w:h="16838" w:code="9"/>
          <w:pgMar w:top="720" w:right="720" w:bottom="720" w:left="720" w:header="680" w:footer="425" w:gutter="0"/>
          <w:cols w:space="284"/>
          <w:noEndnote/>
          <w:docGrid w:linePitch="360"/>
        </w:sectPr>
      </w:pPr>
    </w:p>
    <w:p w14:paraId="21EA44DD" w14:textId="43EE3CD9" w:rsidR="00BF3260" w:rsidRPr="001C4E56" w:rsidRDefault="00BF3260" w:rsidP="001C4E56">
      <w:pPr>
        <w:pStyle w:val="Heading1un-numbered"/>
      </w:pPr>
      <w:bookmarkStart w:id="4" w:name="_Toc462313127"/>
      <w:bookmarkStart w:id="5" w:name="_Toc462317836"/>
      <w:bookmarkStart w:id="6" w:name="_Toc462397801"/>
      <w:bookmarkStart w:id="7" w:name="_Toc463002428"/>
      <w:bookmarkStart w:id="8" w:name="_Toc472586340"/>
      <w:bookmarkStart w:id="9" w:name="_Toc482168118"/>
      <w:bookmarkStart w:id="10" w:name="_Toc482174905"/>
      <w:bookmarkStart w:id="11" w:name="_Toc131418561"/>
      <w:r w:rsidRPr="001C4E56">
        <w:lastRenderedPageBreak/>
        <w:t>Glossary</w:t>
      </w:r>
      <w:bookmarkEnd w:id="4"/>
      <w:bookmarkEnd w:id="5"/>
      <w:bookmarkEnd w:id="6"/>
      <w:bookmarkEnd w:id="7"/>
      <w:bookmarkEnd w:id="8"/>
      <w:bookmarkEnd w:id="9"/>
      <w:bookmarkEnd w:id="10"/>
      <w:bookmarkEnd w:id="11"/>
    </w:p>
    <w:tbl>
      <w:tblPr>
        <w:tblStyle w:val="Deloittetable"/>
        <w:tblW w:w="5000" w:type="pct"/>
        <w:tblLook w:val="04A0" w:firstRow="1" w:lastRow="0" w:firstColumn="1" w:lastColumn="0" w:noHBand="0" w:noVBand="1"/>
        <w:tblDescription w:val="Glossary table"/>
      </w:tblPr>
      <w:tblGrid>
        <w:gridCol w:w="3211"/>
        <w:gridCol w:w="7255"/>
      </w:tblGrid>
      <w:tr w:rsidR="00194F6D" w:rsidRPr="001C4E56" w14:paraId="6F42283A" w14:textId="77777777" w:rsidTr="00E51A71">
        <w:trPr>
          <w:cnfStyle w:val="100000000000" w:firstRow="1" w:lastRow="0" w:firstColumn="0" w:lastColumn="0" w:oddVBand="0" w:evenVBand="0" w:oddHBand="0" w:evenHBand="0" w:firstRowFirstColumn="0" w:firstRowLastColumn="0" w:lastRowFirstColumn="0" w:lastRowLastColumn="0"/>
          <w:tblHeader/>
        </w:trPr>
        <w:tc>
          <w:tcPr>
            <w:tcW w:w="0" w:type="pct"/>
          </w:tcPr>
          <w:p w14:paraId="336086F6" w14:textId="77777777" w:rsidR="00BF3260" w:rsidRPr="00E51A71" w:rsidRDefault="002B4164" w:rsidP="00E51A71">
            <w:r w:rsidRPr="00E51A71">
              <w:t>Acronym</w:t>
            </w:r>
          </w:p>
        </w:tc>
        <w:tc>
          <w:tcPr>
            <w:tcW w:w="0" w:type="pct"/>
          </w:tcPr>
          <w:p w14:paraId="19265972" w14:textId="77777777" w:rsidR="00BF3260" w:rsidRPr="00E51A71" w:rsidRDefault="002B4164" w:rsidP="00E51A71">
            <w:r w:rsidRPr="00E51A71">
              <w:t>Full name</w:t>
            </w:r>
          </w:p>
        </w:tc>
      </w:tr>
      <w:tr w:rsidR="00194F6D" w:rsidRPr="001C4E56" w14:paraId="43E12D09" w14:textId="77777777" w:rsidTr="00E51A71">
        <w:trPr>
          <w:trHeight w:val="57"/>
        </w:trPr>
        <w:tc>
          <w:tcPr>
            <w:tcW w:w="1534" w:type="pct"/>
          </w:tcPr>
          <w:p w14:paraId="580E33A7" w14:textId="7B48F229" w:rsidR="00FF7A0A" w:rsidRPr="00E51A71" w:rsidRDefault="00FA2D77" w:rsidP="00E51A71">
            <w:pPr>
              <w:pStyle w:val="TabletextLeft"/>
            </w:pPr>
            <w:r w:rsidRPr="00E51A71">
              <w:t>1LOD</w:t>
            </w:r>
          </w:p>
        </w:tc>
        <w:tc>
          <w:tcPr>
            <w:tcW w:w="3466" w:type="pct"/>
          </w:tcPr>
          <w:p w14:paraId="33E06DCD" w14:textId="387F0E33" w:rsidR="00FF7A0A" w:rsidRPr="00E51A71" w:rsidRDefault="00FA2D77" w:rsidP="00E51A71">
            <w:pPr>
              <w:pStyle w:val="TabletextLeft"/>
            </w:pPr>
            <w:r w:rsidRPr="00E51A71">
              <w:t>First line of defence</w:t>
            </w:r>
          </w:p>
        </w:tc>
      </w:tr>
      <w:tr w:rsidR="00194F6D" w:rsidRPr="001C4E56" w14:paraId="4C49CC40" w14:textId="77777777" w:rsidTr="00E51A71">
        <w:trPr>
          <w:trHeight w:val="57"/>
        </w:trPr>
        <w:tc>
          <w:tcPr>
            <w:tcW w:w="1534" w:type="pct"/>
          </w:tcPr>
          <w:p w14:paraId="3BFB01D6" w14:textId="7D508561" w:rsidR="00FF7A0A" w:rsidRPr="00E51A71" w:rsidRDefault="00FA2D77" w:rsidP="00E51A71">
            <w:pPr>
              <w:pStyle w:val="TabletextLeft"/>
            </w:pPr>
            <w:r w:rsidRPr="00E51A71">
              <w:t>2LOD</w:t>
            </w:r>
          </w:p>
        </w:tc>
        <w:tc>
          <w:tcPr>
            <w:tcW w:w="3466" w:type="pct"/>
          </w:tcPr>
          <w:p w14:paraId="2782497B" w14:textId="1519C5B0" w:rsidR="00FF7A0A" w:rsidRPr="00E51A71" w:rsidRDefault="00FA2D77" w:rsidP="00E51A71">
            <w:pPr>
              <w:pStyle w:val="TabletextLeft"/>
            </w:pPr>
            <w:r w:rsidRPr="00E51A71">
              <w:t>Second line of defence</w:t>
            </w:r>
          </w:p>
        </w:tc>
      </w:tr>
      <w:tr w:rsidR="00915F85" w:rsidRPr="001C4E56" w14:paraId="5BEB8E25" w14:textId="77777777" w:rsidTr="00E51A71">
        <w:trPr>
          <w:trHeight w:val="57"/>
        </w:trPr>
        <w:tc>
          <w:tcPr>
            <w:tcW w:w="1534" w:type="pct"/>
          </w:tcPr>
          <w:p w14:paraId="303C1D96" w14:textId="39F9BC76" w:rsidR="00B65862" w:rsidRPr="00E51A71" w:rsidRDefault="00B65862" w:rsidP="00E51A71">
            <w:pPr>
              <w:pStyle w:val="TabletextLeft"/>
            </w:pPr>
            <w:r w:rsidRPr="00E51A71">
              <w:t>3LOD</w:t>
            </w:r>
          </w:p>
        </w:tc>
        <w:tc>
          <w:tcPr>
            <w:tcW w:w="3466" w:type="pct"/>
          </w:tcPr>
          <w:p w14:paraId="0D47BE50" w14:textId="6C80AFEF" w:rsidR="00B65862" w:rsidRPr="00E51A71" w:rsidRDefault="00B65862" w:rsidP="00E51A71">
            <w:pPr>
              <w:pStyle w:val="TabletextLeft"/>
            </w:pPr>
            <w:r w:rsidRPr="00E51A71">
              <w:t>Third line of defence</w:t>
            </w:r>
          </w:p>
        </w:tc>
      </w:tr>
      <w:tr w:rsidR="000D163D" w:rsidRPr="001C4E56" w14:paraId="18E730CD" w14:textId="77777777" w:rsidTr="00E51A71">
        <w:trPr>
          <w:trHeight w:val="57"/>
        </w:trPr>
        <w:tc>
          <w:tcPr>
            <w:tcW w:w="1534" w:type="pct"/>
          </w:tcPr>
          <w:p w14:paraId="718F9BC5" w14:textId="18C1B6B3" w:rsidR="00FF7A0A" w:rsidRPr="00E51A71" w:rsidRDefault="00FA2D77" w:rsidP="00E51A71">
            <w:pPr>
              <w:pStyle w:val="TabletextLeft"/>
            </w:pPr>
            <w:r w:rsidRPr="00E51A71">
              <w:t>AAA</w:t>
            </w:r>
          </w:p>
        </w:tc>
        <w:tc>
          <w:tcPr>
            <w:tcW w:w="3466" w:type="pct"/>
          </w:tcPr>
          <w:p w14:paraId="2D57B5D3" w14:textId="5A8AA89F" w:rsidR="00FF7A0A" w:rsidRPr="00E51A71" w:rsidRDefault="00FA2D77" w:rsidP="00E51A71">
            <w:pPr>
              <w:pStyle w:val="TabletextLeft"/>
            </w:pPr>
            <w:r w:rsidRPr="00E51A71">
              <w:t>Alternative Audit Action</w:t>
            </w:r>
          </w:p>
        </w:tc>
      </w:tr>
      <w:tr w:rsidR="000D163D" w:rsidRPr="001C4E56" w14:paraId="6B3BAF44" w14:textId="77777777" w:rsidTr="00E51A71">
        <w:trPr>
          <w:trHeight w:val="57"/>
        </w:trPr>
        <w:tc>
          <w:tcPr>
            <w:tcW w:w="1534" w:type="pct"/>
          </w:tcPr>
          <w:p w14:paraId="43E1739D" w14:textId="1473D36D" w:rsidR="00FF7A0A" w:rsidRPr="00E51A71" w:rsidRDefault="00FA2D77" w:rsidP="00E51A71">
            <w:pPr>
              <w:pStyle w:val="TabletextLeft"/>
            </w:pPr>
            <w:r w:rsidRPr="00E51A71">
              <w:t>ACCHO</w:t>
            </w:r>
          </w:p>
        </w:tc>
        <w:tc>
          <w:tcPr>
            <w:tcW w:w="3466" w:type="pct"/>
          </w:tcPr>
          <w:p w14:paraId="3B1D39B5" w14:textId="3A82B325" w:rsidR="00FF7A0A" w:rsidRPr="00E51A71" w:rsidRDefault="00FA2D77" w:rsidP="00E51A71">
            <w:pPr>
              <w:pStyle w:val="TabletextLeft"/>
            </w:pPr>
            <w:r w:rsidRPr="00E51A71">
              <w:t>Aboriginal Community Controlled Health Organisation</w:t>
            </w:r>
          </w:p>
        </w:tc>
      </w:tr>
      <w:tr w:rsidR="000D163D" w:rsidRPr="001C4E56" w14:paraId="384F4BFA" w14:textId="77777777" w:rsidTr="00E51A71">
        <w:trPr>
          <w:trHeight w:val="57"/>
        </w:trPr>
        <w:tc>
          <w:tcPr>
            <w:tcW w:w="1534" w:type="pct"/>
          </w:tcPr>
          <w:p w14:paraId="33B81657" w14:textId="431F7546" w:rsidR="00FF7A0A" w:rsidRPr="00E51A71" w:rsidRDefault="00FA2D77" w:rsidP="00E51A71">
            <w:pPr>
              <w:pStyle w:val="TabletextLeft"/>
            </w:pPr>
            <w:r w:rsidRPr="00E51A71">
              <w:t>AHPRA</w:t>
            </w:r>
          </w:p>
        </w:tc>
        <w:tc>
          <w:tcPr>
            <w:tcW w:w="3466" w:type="pct"/>
          </w:tcPr>
          <w:p w14:paraId="383DDCE0" w14:textId="28E2C850" w:rsidR="00FF7A0A" w:rsidRPr="00E51A71" w:rsidRDefault="00FA2D77" w:rsidP="00E51A71">
            <w:pPr>
              <w:pStyle w:val="TabletextLeft"/>
            </w:pPr>
            <w:r w:rsidRPr="00E51A71">
              <w:t>Australian Health Practitioner Regulation Agency</w:t>
            </w:r>
          </w:p>
        </w:tc>
      </w:tr>
      <w:tr w:rsidR="000D163D" w:rsidRPr="001C4E56" w14:paraId="1552E309" w14:textId="77777777" w:rsidTr="00E51A71">
        <w:trPr>
          <w:trHeight w:val="57"/>
        </w:trPr>
        <w:tc>
          <w:tcPr>
            <w:tcW w:w="1534" w:type="pct"/>
          </w:tcPr>
          <w:p w14:paraId="737AE942" w14:textId="1F2B5C49" w:rsidR="00FF7A0A" w:rsidRPr="00E51A71" w:rsidRDefault="00FA2D77" w:rsidP="00E51A71">
            <w:pPr>
              <w:pStyle w:val="TabletextLeft"/>
            </w:pPr>
            <w:r w:rsidRPr="00E51A71">
              <w:t>AMA</w:t>
            </w:r>
          </w:p>
        </w:tc>
        <w:tc>
          <w:tcPr>
            <w:tcW w:w="3466" w:type="pct"/>
          </w:tcPr>
          <w:p w14:paraId="4D537240" w14:textId="5D803156" w:rsidR="00FF7A0A" w:rsidRPr="00E51A71" w:rsidRDefault="00FA2D77" w:rsidP="00E51A71">
            <w:pPr>
              <w:pStyle w:val="TabletextLeft"/>
            </w:pPr>
            <w:r w:rsidRPr="00E51A71">
              <w:t>Australian Medical Association</w:t>
            </w:r>
          </w:p>
        </w:tc>
      </w:tr>
      <w:tr w:rsidR="000D163D" w:rsidRPr="001C4E56" w14:paraId="2EEF6162" w14:textId="77777777" w:rsidTr="00E51A71">
        <w:trPr>
          <w:trHeight w:val="57"/>
        </w:trPr>
        <w:tc>
          <w:tcPr>
            <w:tcW w:w="1534" w:type="pct"/>
          </w:tcPr>
          <w:p w14:paraId="0183B08C" w14:textId="19F1A1C3" w:rsidR="00FF7A0A" w:rsidRPr="00E51A71" w:rsidRDefault="00FA2D77" w:rsidP="00E51A71">
            <w:pPr>
              <w:pStyle w:val="TabletextLeft"/>
            </w:pPr>
            <w:r w:rsidRPr="00E51A71">
              <w:t>BID</w:t>
            </w:r>
          </w:p>
        </w:tc>
        <w:tc>
          <w:tcPr>
            <w:tcW w:w="3466" w:type="pct"/>
          </w:tcPr>
          <w:p w14:paraId="34189A97" w14:textId="2A12263F" w:rsidR="00FF7A0A" w:rsidRPr="00E51A71" w:rsidRDefault="00FA2D77" w:rsidP="00E51A71">
            <w:pPr>
              <w:pStyle w:val="TabletextLeft"/>
            </w:pPr>
            <w:r w:rsidRPr="00E51A71">
              <w:t>Benefits Integrity Division</w:t>
            </w:r>
          </w:p>
        </w:tc>
      </w:tr>
      <w:tr w:rsidR="000D163D" w:rsidRPr="001C4E56" w14:paraId="61D357F3" w14:textId="77777777" w:rsidTr="00E51A71">
        <w:trPr>
          <w:trHeight w:val="57"/>
        </w:trPr>
        <w:tc>
          <w:tcPr>
            <w:tcW w:w="1534" w:type="pct"/>
          </w:tcPr>
          <w:p w14:paraId="529029D1" w14:textId="5B20C541" w:rsidR="00FF7A0A" w:rsidRPr="00E51A71" w:rsidRDefault="00FA2D77" w:rsidP="00E51A71">
            <w:pPr>
              <w:pStyle w:val="TabletextLeft"/>
            </w:pPr>
            <w:r w:rsidRPr="00E51A71">
              <w:t>CDBS</w:t>
            </w:r>
          </w:p>
        </w:tc>
        <w:tc>
          <w:tcPr>
            <w:tcW w:w="3466" w:type="pct"/>
          </w:tcPr>
          <w:p w14:paraId="7FA115EE" w14:textId="133C2F93" w:rsidR="00FF7A0A" w:rsidRPr="00E51A71" w:rsidRDefault="00FA2D77" w:rsidP="00E51A71">
            <w:pPr>
              <w:pStyle w:val="TabletextLeft"/>
            </w:pPr>
            <w:r w:rsidRPr="00E51A71">
              <w:t>Child Dental Benefits Schedule</w:t>
            </w:r>
          </w:p>
        </w:tc>
      </w:tr>
      <w:tr w:rsidR="000D163D" w:rsidRPr="001C4E56" w14:paraId="19398D6A" w14:textId="77777777" w:rsidTr="00E51A71">
        <w:trPr>
          <w:trHeight w:val="57"/>
        </w:trPr>
        <w:tc>
          <w:tcPr>
            <w:tcW w:w="1534" w:type="pct"/>
          </w:tcPr>
          <w:p w14:paraId="32B25111" w14:textId="06F9CF88" w:rsidR="00FF7A0A" w:rsidRPr="00E51A71" w:rsidRDefault="00FA2D77" w:rsidP="00E51A71">
            <w:pPr>
              <w:pStyle w:val="TabletextLeft"/>
            </w:pPr>
            <w:r w:rsidRPr="00E51A71">
              <w:t>CDPP</w:t>
            </w:r>
          </w:p>
        </w:tc>
        <w:tc>
          <w:tcPr>
            <w:tcW w:w="3466" w:type="pct"/>
          </w:tcPr>
          <w:p w14:paraId="7DDCC334" w14:textId="389B3F91" w:rsidR="00FF7A0A" w:rsidRPr="00E51A71" w:rsidRDefault="00FA2D77" w:rsidP="00E51A71">
            <w:pPr>
              <w:pStyle w:val="TabletextLeft"/>
            </w:pPr>
            <w:r w:rsidRPr="00E51A71">
              <w:t>Commonwealth Director of Public Prosecutions</w:t>
            </w:r>
          </w:p>
        </w:tc>
      </w:tr>
      <w:tr w:rsidR="000D163D" w:rsidRPr="001C4E56" w14:paraId="513F49DB" w14:textId="77777777" w:rsidTr="00E51A71">
        <w:trPr>
          <w:trHeight w:val="57"/>
        </w:trPr>
        <w:tc>
          <w:tcPr>
            <w:tcW w:w="1534" w:type="pct"/>
          </w:tcPr>
          <w:p w14:paraId="6F0D8319" w14:textId="36E26921" w:rsidR="00FA2D77" w:rsidRPr="00E51A71" w:rsidRDefault="00FA2D77" w:rsidP="00E51A71">
            <w:pPr>
              <w:pStyle w:val="TabletextLeft"/>
            </w:pPr>
            <w:r w:rsidRPr="00E51A71">
              <w:t>CT</w:t>
            </w:r>
          </w:p>
        </w:tc>
        <w:tc>
          <w:tcPr>
            <w:tcW w:w="3466" w:type="pct"/>
          </w:tcPr>
          <w:p w14:paraId="746B3E3B" w14:textId="26E7ED75" w:rsidR="00FA2D77" w:rsidRPr="00E51A71" w:rsidRDefault="00FA2D77" w:rsidP="00E51A71">
            <w:pPr>
              <w:pStyle w:val="TabletextLeft"/>
            </w:pPr>
            <w:r w:rsidRPr="00E51A71">
              <w:t>Computerised Tomography</w:t>
            </w:r>
          </w:p>
        </w:tc>
      </w:tr>
      <w:tr w:rsidR="000D163D" w:rsidRPr="001C4E56" w14:paraId="02BF30FB" w14:textId="77777777" w:rsidTr="00E51A71">
        <w:trPr>
          <w:trHeight w:val="57"/>
        </w:trPr>
        <w:tc>
          <w:tcPr>
            <w:tcW w:w="1534" w:type="pct"/>
          </w:tcPr>
          <w:p w14:paraId="467E1C25" w14:textId="2A8D6C82" w:rsidR="00FA2D77" w:rsidRPr="00E51A71" w:rsidRDefault="00FA2D77" w:rsidP="00E51A71">
            <w:pPr>
              <w:pStyle w:val="TabletextLeft"/>
            </w:pPr>
            <w:proofErr w:type="spellStart"/>
            <w:r w:rsidRPr="00E51A71">
              <w:t>DoHAC</w:t>
            </w:r>
            <w:proofErr w:type="spellEnd"/>
          </w:p>
        </w:tc>
        <w:tc>
          <w:tcPr>
            <w:tcW w:w="3466" w:type="pct"/>
          </w:tcPr>
          <w:p w14:paraId="6F0A8C8F" w14:textId="0E888A40" w:rsidR="00FA2D77" w:rsidRPr="00E51A71" w:rsidRDefault="00FA2D77" w:rsidP="00E51A71">
            <w:pPr>
              <w:pStyle w:val="TabletextLeft"/>
            </w:pPr>
            <w:r w:rsidRPr="00E51A71">
              <w:t>Department of Health and Aged Care</w:t>
            </w:r>
          </w:p>
        </w:tc>
      </w:tr>
      <w:tr w:rsidR="000D163D" w:rsidRPr="001C4E56" w14:paraId="5D8AAC3D" w14:textId="77777777" w:rsidTr="00E51A71">
        <w:trPr>
          <w:trHeight w:val="57"/>
        </w:trPr>
        <w:tc>
          <w:tcPr>
            <w:tcW w:w="1534" w:type="pct"/>
          </w:tcPr>
          <w:p w14:paraId="621A6333" w14:textId="272C769E" w:rsidR="00FA2D77" w:rsidRPr="00E51A71" w:rsidRDefault="00FA2D77" w:rsidP="00E51A71">
            <w:pPr>
              <w:pStyle w:val="TabletextLeft"/>
            </w:pPr>
            <w:r w:rsidRPr="00E51A71">
              <w:t>GP</w:t>
            </w:r>
          </w:p>
        </w:tc>
        <w:tc>
          <w:tcPr>
            <w:tcW w:w="3466" w:type="pct"/>
          </w:tcPr>
          <w:p w14:paraId="295C85ED" w14:textId="6FCF5C2B" w:rsidR="00FA2D77" w:rsidRPr="00E51A71" w:rsidRDefault="00FA2D77" w:rsidP="00E51A71">
            <w:pPr>
              <w:pStyle w:val="TabletextLeft"/>
            </w:pPr>
            <w:r w:rsidRPr="00E51A71">
              <w:t xml:space="preserve">General practitioner </w:t>
            </w:r>
          </w:p>
        </w:tc>
      </w:tr>
      <w:tr w:rsidR="000D163D" w:rsidRPr="001C4E56" w14:paraId="77F6C0A2" w14:textId="77777777" w:rsidTr="00E51A71">
        <w:trPr>
          <w:trHeight w:val="57"/>
        </w:trPr>
        <w:tc>
          <w:tcPr>
            <w:tcW w:w="1534" w:type="pct"/>
          </w:tcPr>
          <w:p w14:paraId="7BA2DEFC" w14:textId="010FD67C" w:rsidR="00FA2D77" w:rsidRPr="00E51A71" w:rsidRDefault="00FA2D77" w:rsidP="00E51A71">
            <w:pPr>
              <w:pStyle w:val="TabletextLeft"/>
            </w:pPr>
            <w:r w:rsidRPr="00E51A71">
              <w:t>HIA</w:t>
            </w:r>
          </w:p>
        </w:tc>
        <w:tc>
          <w:tcPr>
            <w:tcW w:w="3466" w:type="pct"/>
          </w:tcPr>
          <w:p w14:paraId="3251675A" w14:textId="57A40612" w:rsidR="00FA2D77" w:rsidRPr="00E51A71" w:rsidRDefault="00FA2D77" w:rsidP="00E51A71">
            <w:pPr>
              <w:pStyle w:val="TabletextLeft"/>
            </w:pPr>
            <w:r w:rsidRPr="00E51A71">
              <w:t>Health Insurance Act 1973</w:t>
            </w:r>
          </w:p>
        </w:tc>
      </w:tr>
      <w:tr w:rsidR="000D163D" w:rsidRPr="001C4E56" w14:paraId="18D93A5E" w14:textId="77777777" w:rsidTr="00E51A71">
        <w:trPr>
          <w:trHeight w:val="57"/>
        </w:trPr>
        <w:tc>
          <w:tcPr>
            <w:tcW w:w="1534" w:type="pct"/>
          </w:tcPr>
          <w:p w14:paraId="3D8F0896" w14:textId="4A89D521" w:rsidR="00FA2D77" w:rsidRPr="00E51A71" w:rsidRDefault="00FA2D77" w:rsidP="00E51A71">
            <w:pPr>
              <w:pStyle w:val="TabletextLeft"/>
            </w:pPr>
            <w:r w:rsidRPr="00E51A71">
              <w:t>HPOS</w:t>
            </w:r>
          </w:p>
        </w:tc>
        <w:tc>
          <w:tcPr>
            <w:tcW w:w="3466" w:type="pct"/>
          </w:tcPr>
          <w:p w14:paraId="334929E6" w14:textId="24C22A35" w:rsidR="00FA2D77" w:rsidRPr="00E51A71" w:rsidRDefault="00FA2D77" w:rsidP="00E51A71">
            <w:pPr>
              <w:pStyle w:val="TabletextLeft"/>
            </w:pPr>
            <w:r w:rsidRPr="00E51A71">
              <w:t>Health Professional Online Services</w:t>
            </w:r>
          </w:p>
        </w:tc>
      </w:tr>
      <w:tr w:rsidR="000D163D" w:rsidRPr="001C4E56" w14:paraId="7D37568C" w14:textId="77777777" w:rsidTr="00E51A71">
        <w:trPr>
          <w:trHeight w:val="57"/>
        </w:trPr>
        <w:tc>
          <w:tcPr>
            <w:tcW w:w="1534" w:type="pct"/>
          </w:tcPr>
          <w:p w14:paraId="44F5CE52" w14:textId="47D9F737" w:rsidR="00FA2D77" w:rsidRPr="00E51A71" w:rsidRDefault="00FA2D77" w:rsidP="00E51A71">
            <w:pPr>
              <w:pStyle w:val="TabletextLeft"/>
            </w:pPr>
            <w:r w:rsidRPr="00E51A71">
              <w:t>EDI</w:t>
            </w:r>
          </w:p>
        </w:tc>
        <w:tc>
          <w:tcPr>
            <w:tcW w:w="3466" w:type="pct"/>
          </w:tcPr>
          <w:p w14:paraId="24F8F0B7" w14:textId="0FEDC928" w:rsidR="00FA2D77" w:rsidRPr="00E51A71" w:rsidRDefault="00FA2D77" w:rsidP="00E51A71">
            <w:pPr>
              <w:pStyle w:val="TabletextLeft"/>
            </w:pPr>
            <w:r w:rsidRPr="00E51A71">
              <w:t>Electronic Data Interchange</w:t>
            </w:r>
          </w:p>
        </w:tc>
      </w:tr>
      <w:tr w:rsidR="000D163D" w:rsidRPr="001C4E56" w14:paraId="5F8E86FE" w14:textId="77777777" w:rsidTr="00E51A71">
        <w:trPr>
          <w:trHeight w:val="57"/>
        </w:trPr>
        <w:tc>
          <w:tcPr>
            <w:tcW w:w="1534" w:type="pct"/>
          </w:tcPr>
          <w:p w14:paraId="03E984F9" w14:textId="304AC4A5" w:rsidR="00FA2D77" w:rsidRPr="00E51A71" w:rsidRDefault="00FA2D77" w:rsidP="00E51A71">
            <w:pPr>
              <w:pStyle w:val="TabletextLeft"/>
            </w:pPr>
            <w:r w:rsidRPr="00E51A71">
              <w:t xml:space="preserve">MBS </w:t>
            </w:r>
          </w:p>
        </w:tc>
        <w:tc>
          <w:tcPr>
            <w:tcW w:w="3466" w:type="pct"/>
          </w:tcPr>
          <w:p w14:paraId="309F04F9" w14:textId="341D518B" w:rsidR="00FA2D77" w:rsidRPr="00E51A71" w:rsidRDefault="00777692" w:rsidP="00E51A71">
            <w:pPr>
              <w:pStyle w:val="TabletextLeft"/>
            </w:pPr>
            <w:r w:rsidRPr="00E51A71">
              <w:t xml:space="preserve">Medicare </w:t>
            </w:r>
            <w:r w:rsidR="00FA2D77" w:rsidRPr="00E51A71">
              <w:t xml:space="preserve">Benefits Schedule  </w:t>
            </w:r>
          </w:p>
        </w:tc>
      </w:tr>
      <w:tr w:rsidR="000D163D" w:rsidRPr="001C4E56" w14:paraId="5C9DDD3E" w14:textId="77777777" w:rsidTr="00E51A71">
        <w:trPr>
          <w:trHeight w:val="57"/>
        </w:trPr>
        <w:tc>
          <w:tcPr>
            <w:tcW w:w="1534" w:type="pct"/>
          </w:tcPr>
          <w:p w14:paraId="2690442D" w14:textId="6427FF8B" w:rsidR="00FA2D77" w:rsidRPr="00E51A71" w:rsidRDefault="00FA2D77" w:rsidP="00E51A71">
            <w:pPr>
              <w:pStyle w:val="TabletextLeft"/>
            </w:pPr>
            <w:r w:rsidRPr="00E51A71">
              <w:t>MCA</w:t>
            </w:r>
          </w:p>
        </w:tc>
        <w:tc>
          <w:tcPr>
            <w:tcW w:w="3466" w:type="pct"/>
          </w:tcPr>
          <w:p w14:paraId="07943ABB" w14:textId="6D83638A" w:rsidR="00FA2D77" w:rsidRPr="00E51A71" w:rsidRDefault="00FA2D77" w:rsidP="00E51A71">
            <w:pPr>
              <w:pStyle w:val="TabletextLeft"/>
            </w:pPr>
            <w:r w:rsidRPr="00E51A71">
              <w:t>Medicare Claims Assessment</w:t>
            </w:r>
          </w:p>
        </w:tc>
      </w:tr>
      <w:tr w:rsidR="000D163D" w:rsidRPr="001C4E56" w14:paraId="364294F2" w14:textId="77777777" w:rsidTr="00E51A71">
        <w:trPr>
          <w:trHeight w:val="57"/>
        </w:trPr>
        <w:tc>
          <w:tcPr>
            <w:tcW w:w="1534" w:type="pct"/>
          </w:tcPr>
          <w:p w14:paraId="10A9CCEA" w14:textId="648EA27C" w:rsidR="00FA2D77" w:rsidRPr="00E51A71" w:rsidRDefault="00FA2D77" w:rsidP="00E51A71">
            <w:pPr>
              <w:pStyle w:val="TabletextLeft"/>
            </w:pPr>
            <w:r w:rsidRPr="00E51A71">
              <w:t>MEO</w:t>
            </w:r>
          </w:p>
        </w:tc>
        <w:tc>
          <w:tcPr>
            <w:tcW w:w="3466" w:type="pct"/>
          </w:tcPr>
          <w:p w14:paraId="5D26D83D" w14:textId="4EFC6AE7" w:rsidR="00FA2D77" w:rsidRPr="00E51A71" w:rsidRDefault="00FA2D77" w:rsidP="00E51A71">
            <w:pPr>
              <w:pStyle w:val="TabletextLeft"/>
            </w:pPr>
            <w:r w:rsidRPr="00E51A71">
              <w:t>Medicare Engagement Officers</w:t>
            </w:r>
          </w:p>
        </w:tc>
      </w:tr>
      <w:tr w:rsidR="00915F85" w:rsidRPr="001C4E56" w14:paraId="52CB44AD" w14:textId="77777777" w:rsidTr="00E51A71">
        <w:trPr>
          <w:trHeight w:val="57"/>
        </w:trPr>
        <w:tc>
          <w:tcPr>
            <w:tcW w:w="1534" w:type="pct"/>
          </w:tcPr>
          <w:p w14:paraId="11B0113F" w14:textId="02DB7D54" w:rsidR="00773614" w:rsidRPr="00E51A71" w:rsidRDefault="00773614" w:rsidP="00E51A71">
            <w:pPr>
              <w:pStyle w:val="TabletextLeft"/>
            </w:pPr>
            <w:r w:rsidRPr="00E51A71">
              <w:t>MOU</w:t>
            </w:r>
          </w:p>
        </w:tc>
        <w:tc>
          <w:tcPr>
            <w:tcW w:w="3466" w:type="pct"/>
          </w:tcPr>
          <w:p w14:paraId="2A924B38" w14:textId="60C49496" w:rsidR="00773614" w:rsidRPr="00E51A71" w:rsidRDefault="00773614" w:rsidP="00E51A71">
            <w:pPr>
              <w:pStyle w:val="TabletextLeft"/>
            </w:pPr>
            <w:r w:rsidRPr="00E51A71">
              <w:t>Memorandum of understanding</w:t>
            </w:r>
          </w:p>
        </w:tc>
      </w:tr>
      <w:tr w:rsidR="00915F85" w:rsidRPr="001C4E56" w14:paraId="47F4C37A" w14:textId="77777777" w:rsidTr="00E51A71">
        <w:trPr>
          <w:trHeight w:val="57"/>
        </w:trPr>
        <w:tc>
          <w:tcPr>
            <w:tcW w:w="1534" w:type="pct"/>
          </w:tcPr>
          <w:p w14:paraId="7215C323" w14:textId="5F50CB46" w:rsidR="0032087B" w:rsidRPr="00E51A71" w:rsidRDefault="0032087B" w:rsidP="00E51A71">
            <w:pPr>
              <w:pStyle w:val="TabletextLeft"/>
            </w:pPr>
            <w:r w:rsidRPr="00E51A71">
              <w:t>MRI</w:t>
            </w:r>
          </w:p>
        </w:tc>
        <w:tc>
          <w:tcPr>
            <w:tcW w:w="3464" w:type="pct"/>
          </w:tcPr>
          <w:p w14:paraId="47EBFC5E" w14:textId="0A5F1AF0" w:rsidR="0032087B" w:rsidRPr="00E51A71" w:rsidRDefault="0032087B" w:rsidP="00E51A71">
            <w:pPr>
              <w:pStyle w:val="TabletextLeft"/>
            </w:pPr>
            <w:r w:rsidRPr="00E51A71">
              <w:t>Magnetic Resonance Imaging</w:t>
            </w:r>
          </w:p>
        </w:tc>
      </w:tr>
      <w:tr w:rsidR="000D163D" w:rsidRPr="001C4E56" w14:paraId="6888033C" w14:textId="77777777" w:rsidTr="00E51A71">
        <w:trPr>
          <w:trHeight w:val="57"/>
        </w:trPr>
        <w:tc>
          <w:tcPr>
            <w:tcW w:w="1534" w:type="pct"/>
          </w:tcPr>
          <w:p w14:paraId="65C6ED57" w14:textId="449E036C" w:rsidR="00FA2D77" w:rsidRPr="00E51A71" w:rsidRDefault="00FA2D77" w:rsidP="00E51A71">
            <w:pPr>
              <w:pStyle w:val="TabletextLeft"/>
            </w:pPr>
            <w:r w:rsidRPr="00E51A71">
              <w:t>NACCHO</w:t>
            </w:r>
          </w:p>
        </w:tc>
        <w:tc>
          <w:tcPr>
            <w:tcW w:w="3466" w:type="pct"/>
          </w:tcPr>
          <w:p w14:paraId="1B8C182C" w14:textId="7CF62876" w:rsidR="00FA2D77" w:rsidRPr="00E51A71" w:rsidRDefault="00FA2D77" w:rsidP="00E51A71">
            <w:pPr>
              <w:pStyle w:val="TabletextLeft"/>
            </w:pPr>
            <w:r w:rsidRPr="00E51A71">
              <w:t>National Aboriginal Community Controlled Health Organisation</w:t>
            </w:r>
          </w:p>
        </w:tc>
      </w:tr>
      <w:tr w:rsidR="000D163D" w:rsidRPr="001C4E56" w14:paraId="7CD5E878" w14:textId="77777777" w:rsidTr="00E51A71">
        <w:trPr>
          <w:trHeight w:val="57"/>
        </w:trPr>
        <w:tc>
          <w:tcPr>
            <w:tcW w:w="1534" w:type="pct"/>
          </w:tcPr>
          <w:p w14:paraId="7BE68C4B" w14:textId="0A7B3C18" w:rsidR="00FA2D77" w:rsidRPr="00E51A71" w:rsidRDefault="00FA2D77" w:rsidP="00E51A71">
            <w:pPr>
              <w:pStyle w:val="TabletextLeft"/>
            </w:pPr>
            <w:r w:rsidRPr="00E51A71">
              <w:t>NCDT</w:t>
            </w:r>
          </w:p>
        </w:tc>
        <w:tc>
          <w:tcPr>
            <w:tcW w:w="3466" w:type="pct"/>
          </w:tcPr>
          <w:p w14:paraId="56A11600" w14:textId="34BD16B2" w:rsidR="00FA2D77" w:rsidRPr="00E51A71" w:rsidRDefault="00FA2D77" w:rsidP="00E51A71">
            <w:pPr>
              <w:pStyle w:val="TabletextLeft"/>
            </w:pPr>
            <w:r w:rsidRPr="00E51A71">
              <w:t xml:space="preserve">Non-compliance Detection Tool </w:t>
            </w:r>
          </w:p>
        </w:tc>
      </w:tr>
      <w:tr w:rsidR="000D163D" w:rsidRPr="001C4E56" w14:paraId="0DA6B048" w14:textId="77777777" w:rsidTr="00E51A71">
        <w:trPr>
          <w:trHeight w:val="57"/>
        </w:trPr>
        <w:tc>
          <w:tcPr>
            <w:tcW w:w="1534" w:type="pct"/>
          </w:tcPr>
          <w:p w14:paraId="2D5CF7D1" w14:textId="551C8A6C" w:rsidR="00FA2D77" w:rsidRPr="00E51A71" w:rsidRDefault="00FA2D77" w:rsidP="00E51A71">
            <w:pPr>
              <w:pStyle w:val="TabletextLeft"/>
            </w:pPr>
            <w:r w:rsidRPr="00E51A71">
              <w:t>NDIS</w:t>
            </w:r>
          </w:p>
        </w:tc>
        <w:tc>
          <w:tcPr>
            <w:tcW w:w="3466" w:type="pct"/>
          </w:tcPr>
          <w:p w14:paraId="629BCA24" w14:textId="42F73052" w:rsidR="00FA2D77" w:rsidRPr="00E51A71" w:rsidRDefault="00FA2D77" w:rsidP="00E51A71">
            <w:pPr>
              <w:pStyle w:val="TabletextLeft"/>
            </w:pPr>
            <w:r w:rsidRPr="00E51A71">
              <w:t>National Disability Insurance Scheme</w:t>
            </w:r>
          </w:p>
        </w:tc>
      </w:tr>
      <w:tr w:rsidR="000D163D" w:rsidRPr="001C4E56" w14:paraId="0D60A27C" w14:textId="77777777" w:rsidTr="00E51A71">
        <w:trPr>
          <w:trHeight w:val="57"/>
        </w:trPr>
        <w:tc>
          <w:tcPr>
            <w:tcW w:w="1534" w:type="pct"/>
          </w:tcPr>
          <w:p w14:paraId="04B344C7" w14:textId="0A2ED92B" w:rsidR="00FA2D77" w:rsidRPr="00E51A71" w:rsidRDefault="00FA2D77" w:rsidP="00E51A71">
            <w:pPr>
              <w:pStyle w:val="TabletextLeft"/>
            </w:pPr>
            <w:r w:rsidRPr="00E51A71">
              <w:t>PBS</w:t>
            </w:r>
          </w:p>
        </w:tc>
        <w:tc>
          <w:tcPr>
            <w:tcW w:w="3466" w:type="pct"/>
          </w:tcPr>
          <w:p w14:paraId="6C622CE1" w14:textId="424E020A" w:rsidR="00FA2D77" w:rsidRPr="00E51A71" w:rsidRDefault="00FA2D77" w:rsidP="00E51A71">
            <w:pPr>
              <w:pStyle w:val="TabletextLeft"/>
            </w:pPr>
            <w:r w:rsidRPr="00E51A71">
              <w:t>Pharmaceutical Benefits Scheme</w:t>
            </w:r>
          </w:p>
        </w:tc>
      </w:tr>
      <w:tr w:rsidR="000D163D" w:rsidRPr="001C4E56" w14:paraId="6B0450A7" w14:textId="77777777" w:rsidTr="00E51A71">
        <w:trPr>
          <w:trHeight w:val="57"/>
        </w:trPr>
        <w:tc>
          <w:tcPr>
            <w:tcW w:w="1534" w:type="pct"/>
          </w:tcPr>
          <w:p w14:paraId="1D5FDBD9" w14:textId="45B1150C" w:rsidR="00FA2D77" w:rsidRPr="00E51A71" w:rsidRDefault="00FA2D77" w:rsidP="00E51A71">
            <w:pPr>
              <w:pStyle w:val="TabletextLeft"/>
            </w:pPr>
            <w:r w:rsidRPr="00E51A71">
              <w:t>PIP</w:t>
            </w:r>
          </w:p>
        </w:tc>
        <w:tc>
          <w:tcPr>
            <w:tcW w:w="3466" w:type="pct"/>
          </w:tcPr>
          <w:p w14:paraId="0181C8E3" w14:textId="1BAA2D0B" w:rsidR="00FA2D77" w:rsidRPr="00E51A71" w:rsidRDefault="00FA2D77" w:rsidP="00E51A71">
            <w:pPr>
              <w:pStyle w:val="TabletextLeft"/>
            </w:pPr>
            <w:r w:rsidRPr="00E51A71">
              <w:t>Practice Incentive</w:t>
            </w:r>
            <w:r w:rsidR="00E751ED" w:rsidRPr="00E51A71">
              <w:t>s</w:t>
            </w:r>
            <w:r w:rsidRPr="00E51A71">
              <w:t xml:space="preserve"> Program</w:t>
            </w:r>
          </w:p>
        </w:tc>
      </w:tr>
      <w:tr w:rsidR="000D163D" w:rsidRPr="001C4E56" w14:paraId="5816BCEE" w14:textId="77777777" w:rsidTr="00E51A71">
        <w:trPr>
          <w:trHeight w:val="57"/>
        </w:trPr>
        <w:tc>
          <w:tcPr>
            <w:tcW w:w="1534" w:type="pct"/>
          </w:tcPr>
          <w:p w14:paraId="18C52608" w14:textId="394ADB95" w:rsidR="00FA2D77" w:rsidRPr="00E51A71" w:rsidRDefault="00FA2D77" w:rsidP="00E51A71">
            <w:pPr>
              <w:pStyle w:val="TabletextLeft"/>
            </w:pPr>
            <w:r w:rsidRPr="00E51A71">
              <w:t>PRP</w:t>
            </w:r>
          </w:p>
        </w:tc>
        <w:tc>
          <w:tcPr>
            <w:tcW w:w="3466" w:type="pct"/>
          </w:tcPr>
          <w:p w14:paraId="5E50AD57" w14:textId="07D6B93A" w:rsidR="00FA2D77" w:rsidRPr="00E51A71" w:rsidRDefault="00FA2D77" w:rsidP="00E51A71">
            <w:pPr>
              <w:pStyle w:val="TabletextLeft"/>
            </w:pPr>
            <w:r w:rsidRPr="00E51A71">
              <w:t>Practitioner Review Program</w:t>
            </w:r>
          </w:p>
        </w:tc>
      </w:tr>
      <w:tr w:rsidR="000D163D" w:rsidRPr="001C4E56" w14:paraId="65D6D3A4" w14:textId="77777777" w:rsidTr="00E51A71">
        <w:trPr>
          <w:trHeight w:val="57"/>
        </w:trPr>
        <w:tc>
          <w:tcPr>
            <w:tcW w:w="1534" w:type="pct"/>
          </w:tcPr>
          <w:p w14:paraId="1A1ACE47" w14:textId="538C8E3B" w:rsidR="00FA2D77" w:rsidRPr="00E51A71" w:rsidRDefault="00FA2D77" w:rsidP="00E51A71">
            <w:pPr>
              <w:pStyle w:val="TabletextLeft"/>
            </w:pPr>
            <w:r w:rsidRPr="00E51A71">
              <w:lastRenderedPageBreak/>
              <w:t>PSR</w:t>
            </w:r>
          </w:p>
        </w:tc>
        <w:tc>
          <w:tcPr>
            <w:tcW w:w="3466" w:type="pct"/>
          </w:tcPr>
          <w:p w14:paraId="11683570" w14:textId="5239550F" w:rsidR="00FA2D77" w:rsidRPr="00E51A71" w:rsidRDefault="00FA2D77" w:rsidP="00E51A71">
            <w:pPr>
              <w:pStyle w:val="TabletextLeft"/>
            </w:pPr>
            <w:r w:rsidRPr="00E51A71">
              <w:t xml:space="preserve">Professional Services Review </w:t>
            </w:r>
          </w:p>
        </w:tc>
      </w:tr>
      <w:tr w:rsidR="000D163D" w:rsidRPr="001C4E56" w14:paraId="5ABCBEB6" w14:textId="77777777" w:rsidTr="00E51A71">
        <w:trPr>
          <w:trHeight w:val="57"/>
        </w:trPr>
        <w:tc>
          <w:tcPr>
            <w:tcW w:w="1534" w:type="pct"/>
          </w:tcPr>
          <w:p w14:paraId="5633BA53" w14:textId="7C81024D" w:rsidR="00FA2D77" w:rsidRPr="00E51A71" w:rsidRDefault="00FA2D77" w:rsidP="00E51A71">
            <w:pPr>
              <w:pStyle w:val="TabletextLeft"/>
            </w:pPr>
            <w:proofErr w:type="spellStart"/>
            <w:r w:rsidRPr="00E51A71">
              <w:t>ToR</w:t>
            </w:r>
            <w:proofErr w:type="spellEnd"/>
          </w:p>
        </w:tc>
        <w:tc>
          <w:tcPr>
            <w:tcW w:w="3466" w:type="pct"/>
          </w:tcPr>
          <w:p w14:paraId="197FE68F" w14:textId="4ABA5526" w:rsidR="00FA2D77" w:rsidRPr="00E51A71" w:rsidRDefault="00FA2D77" w:rsidP="00E51A71">
            <w:pPr>
              <w:pStyle w:val="TabletextLeft"/>
            </w:pPr>
            <w:r w:rsidRPr="00E51A71">
              <w:t>Terms of Reference</w:t>
            </w:r>
          </w:p>
        </w:tc>
      </w:tr>
    </w:tbl>
    <w:p w14:paraId="5234C8D3" w14:textId="77777777" w:rsidR="00F9113D" w:rsidRPr="001C4E56" w:rsidRDefault="00F9113D" w:rsidP="001C4E56">
      <w:pPr>
        <w:sectPr w:rsidR="00F9113D" w:rsidRPr="001C4E56" w:rsidSect="001C4E56">
          <w:headerReference w:type="default" r:id="rId16"/>
          <w:footerReference w:type="default" r:id="rId17"/>
          <w:pgSz w:w="11906" w:h="16838" w:code="9"/>
          <w:pgMar w:top="720" w:right="720" w:bottom="720" w:left="720" w:header="680" w:footer="425" w:gutter="0"/>
          <w:pgNumType w:fmt="lowerRoman" w:start="1"/>
          <w:cols w:space="284"/>
          <w:noEndnote/>
          <w:docGrid w:linePitch="360"/>
        </w:sectPr>
      </w:pPr>
    </w:p>
    <w:p w14:paraId="4E09347F" w14:textId="6FAC133D" w:rsidR="00F9113D" w:rsidRPr="001C4E56" w:rsidRDefault="0097751A" w:rsidP="00940D39">
      <w:pPr>
        <w:pStyle w:val="ExecutiveHeading"/>
      </w:pPr>
      <w:bookmarkStart w:id="12" w:name="_Toc215906318"/>
      <w:bookmarkStart w:id="13" w:name="_Toc227746675"/>
      <w:bookmarkStart w:id="14" w:name="_Toc227746679"/>
      <w:bookmarkStart w:id="15" w:name="_Toc227746683"/>
      <w:bookmarkStart w:id="16" w:name="_Toc227746687"/>
      <w:bookmarkStart w:id="17" w:name="_Toc227748309"/>
      <w:bookmarkStart w:id="18" w:name="_Toc227748327"/>
      <w:bookmarkStart w:id="19" w:name="_Toc227748331"/>
      <w:bookmarkStart w:id="20" w:name="_Toc227748335"/>
      <w:bookmarkStart w:id="21" w:name="_Toc227748374"/>
      <w:bookmarkStart w:id="22" w:name="_Toc227748378"/>
      <w:bookmarkStart w:id="23" w:name="_Toc227748382"/>
      <w:bookmarkStart w:id="24" w:name="_Toc227748494"/>
      <w:bookmarkStart w:id="25" w:name="_Toc227748498"/>
      <w:bookmarkStart w:id="26" w:name="_Toc228005205"/>
      <w:bookmarkStart w:id="27" w:name="_Toc228092496"/>
      <w:bookmarkStart w:id="28" w:name="_Toc228264951"/>
      <w:bookmarkStart w:id="29" w:name="_Toc228264973"/>
      <w:bookmarkStart w:id="30" w:name="_Toc228264977"/>
      <w:bookmarkStart w:id="31" w:name="_Toc228264981"/>
      <w:bookmarkStart w:id="32" w:name="_Toc228264985"/>
      <w:bookmarkStart w:id="33" w:name="_Toc228265215"/>
      <w:bookmarkStart w:id="34" w:name="_Toc288198024"/>
      <w:bookmarkStart w:id="35" w:name="_Toc448829185"/>
      <w:bookmarkStart w:id="36" w:name="_Toc456353381"/>
      <w:bookmarkStart w:id="37" w:name="_Toc462313128"/>
      <w:bookmarkStart w:id="38" w:name="_Toc462317837"/>
      <w:bookmarkStart w:id="39" w:name="_Toc462397802"/>
      <w:bookmarkStart w:id="40" w:name="_Toc463002429"/>
      <w:bookmarkStart w:id="41" w:name="_Toc472586341"/>
      <w:bookmarkStart w:id="42" w:name="_Toc482168119"/>
      <w:bookmarkStart w:id="43" w:name="_Toc482174906"/>
      <w:bookmarkStart w:id="44" w:name="_Toc131418562"/>
      <w:r>
        <w:lastRenderedPageBreak/>
        <w:t>Tr</w:t>
      </w:r>
      <w:r w:rsidR="00CD3ADB">
        <w:t>ansmission and e</w:t>
      </w:r>
      <w:r w:rsidR="00F9113D" w:rsidRPr="001C4E56">
        <w:t>xecutive summary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D78B3ED" w14:textId="75BD3415" w:rsidR="00445F46" w:rsidRPr="007B5522" w:rsidRDefault="00445F46" w:rsidP="00EF2981">
      <w:pPr>
        <w:pStyle w:val="ListNumber"/>
        <w:numPr>
          <w:ilvl w:val="0"/>
          <w:numId w:val="0"/>
        </w:numPr>
        <w:ind w:left="340" w:hanging="340"/>
      </w:pPr>
      <w:r w:rsidRPr="007B5522">
        <w:t>Dear Minister,</w:t>
      </w:r>
    </w:p>
    <w:p w14:paraId="0A9B45FF" w14:textId="0192246A" w:rsidR="00445F46" w:rsidRPr="007B5522" w:rsidRDefault="00445F46" w:rsidP="00EF2981">
      <w:r w:rsidRPr="007B5522">
        <w:t>I present my final report to you from the Independent Review of Medicare Integrity and Compliance (The Review) that you announced late last year. In this report, I outline my findings and observations of the system from my limited time conducting this Review, and outline, th</w:t>
      </w:r>
      <w:r w:rsidR="00EA47D2" w:rsidRPr="007B5522">
        <w:t>r</w:t>
      </w:r>
      <w:r w:rsidRPr="007B5522">
        <w:t xml:space="preserve">ough my recommendations, the way forward, for your and the </w:t>
      </w:r>
      <w:r w:rsidR="008373E2" w:rsidRPr="007B5522">
        <w:t>government</w:t>
      </w:r>
      <w:r w:rsidRPr="007B5522">
        <w:t>’s consideration.</w:t>
      </w:r>
    </w:p>
    <w:p w14:paraId="02FB654F" w14:textId="5E8BAB8E" w:rsidR="00911DD9" w:rsidRPr="007B5522" w:rsidRDefault="057D52D7" w:rsidP="007B5522">
      <w:r w:rsidRPr="007B5522">
        <w:t xml:space="preserve">Given the nature of this Review regarding fraud and non-compliance, and vulnerabilities of the payment system, I have been open </w:t>
      </w:r>
      <w:r w:rsidR="00911DD9" w:rsidRPr="007B5522">
        <w:t xml:space="preserve">in my dealings with stakeholders and </w:t>
      </w:r>
      <w:r w:rsidR="009407C4" w:rsidRPr="007B5522">
        <w:t xml:space="preserve">the regulators of the system. Given the nature of some of the vulnerabilities in the system and that public discussion could see this exploited, </w:t>
      </w:r>
      <w:r w:rsidR="00C65DF9" w:rsidRPr="007B5522">
        <w:t xml:space="preserve">there are some aspects of the Review which I will reserve for your </w:t>
      </w:r>
      <w:r w:rsidR="00FA4146" w:rsidRPr="007B5522">
        <w:t>confidential consideration.</w:t>
      </w:r>
    </w:p>
    <w:p w14:paraId="6CF4CC4F" w14:textId="7D0F6EDA" w:rsidR="00445F46" w:rsidRPr="006B7FA4" w:rsidRDefault="5648749B" w:rsidP="432CFFCE">
      <w:pPr>
        <w:rPr>
          <w:rFonts w:eastAsia="OpenSansRegular"/>
          <w:szCs w:val="22"/>
        </w:rPr>
      </w:pPr>
      <w:r w:rsidRPr="006B7FA4">
        <w:rPr>
          <w:rFonts w:eastAsia="OpenSansRegular"/>
          <w:szCs w:val="22"/>
        </w:rPr>
        <w:t>Given the timeframes set for this Review, my formal consultation with stakeholders has been necessarily limited, supplemented by informal discussions with participants, and I have based most of my work on desktop analysis.</w:t>
      </w:r>
    </w:p>
    <w:p w14:paraId="7AD32877" w14:textId="7D62CDFD" w:rsidR="00445F46" w:rsidRPr="00E51A71" w:rsidRDefault="00445F46" w:rsidP="00E51A71">
      <w:r w:rsidRPr="00E51A71">
        <w:t>While this Review is focused on the payment system of the Medicare Benefits Sche</w:t>
      </w:r>
      <w:r w:rsidR="005452EF" w:rsidRPr="00E51A71">
        <w:t>dule</w:t>
      </w:r>
      <w:r w:rsidRPr="00E51A71">
        <w:t xml:space="preserve"> (MBS), my deliberations lead me to the conclusion that a sound and well-functioning compliance and integrity system for MBS payments is critical for Australians </w:t>
      </w:r>
      <w:r w:rsidR="7C893496" w:rsidRPr="00E51A71">
        <w:t xml:space="preserve">to have trust </w:t>
      </w:r>
      <w:r w:rsidRPr="00E51A71">
        <w:t xml:space="preserve">in the Medicare system overall. </w:t>
      </w:r>
    </w:p>
    <w:p w14:paraId="11C4508D" w14:textId="6CE39034" w:rsidR="00445F46" w:rsidRPr="00E51A71" w:rsidRDefault="00445F46" w:rsidP="00E51A71">
      <w:r w:rsidRPr="00E51A71">
        <w:t xml:space="preserve">To this end, I hope this Review assists in the broader reform agenda of Australia’s Medicare system by providing firmer foundations for the system in which Australians can place their trust. I want to also acknowledge the openness and cooperation I have received from your </w:t>
      </w:r>
      <w:r w:rsidR="009931E5" w:rsidRPr="00E51A71">
        <w:t>department</w:t>
      </w:r>
      <w:r w:rsidRPr="00E51A71">
        <w:t>, particularly the Secretariat to this Review, Services Australia, and key stakeholders in the health system, including practitioners and peak bodies.</w:t>
      </w:r>
    </w:p>
    <w:p w14:paraId="3352EA3F" w14:textId="063AE89E" w:rsidR="00445F46" w:rsidRPr="00E51A71" w:rsidRDefault="00445F46" w:rsidP="00E51A71">
      <w:r w:rsidRPr="00E51A71">
        <w:t xml:space="preserve">A great deal of attention has been drawn to the subject matter covered by this Review by public analysis of Dr Margaret Faux’s work. I have had the opportunity to spend time with Dr Faux and thank her for her generosity and openness. Her work </w:t>
      </w:r>
      <w:proofErr w:type="gramStart"/>
      <w:r w:rsidRPr="00E51A71">
        <w:t>has,</w:t>
      </w:r>
      <w:proofErr w:type="gramEnd"/>
      <w:r w:rsidRPr="00E51A71">
        <w:t xml:space="preserve"> on one level, been a great service to the system – in shining a light on the key issue of trust in our health system.</w:t>
      </w:r>
    </w:p>
    <w:p w14:paraId="49069740" w14:textId="71201971" w:rsidR="1BDAC139" w:rsidRPr="00E51A71" w:rsidRDefault="1BDAC139" w:rsidP="00E51A71">
      <w:r w:rsidRPr="00E51A71">
        <w:t>There are significant issues raised in the current debate which highlight the complexity of this area</w:t>
      </w:r>
      <w:r w:rsidR="00E177C2" w:rsidRPr="00E51A71">
        <w:t>. The</w:t>
      </w:r>
      <w:r w:rsidRPr="00E51A71">
        <w:t xml:space="preserve"> evolution of </w:t>
      </w:r>
      <w:r w:rsidR="00E177C2" w:rsidRPr="00E51A71">
        <w:t>the</w:t>
      </w:r>
      <w:r w:rsidRPr="00E51A71">
        <w:t xml:space="preserve"> payments system over many years due to technology, changes in business models, </w:t>
      </w:r>
      <w:r w:rsidR="00A96C43" w:rsidRPr="00E51A71">
        <w:t>and</w:t>
      </w:r>
      <w:r w:rsidR="001157DB" w:rsidRPr="00E51A71">
        <w:t xml:space="preserve"> </w:t>
      </w:r>
      <w:r w:rsidRPr="00E51A71">
        <w:t xml:space="preserve">changes in the delivery of healthcare, </w:t>
      </w:r>
      <w:r w:rsidR="00667D1A" w:rsidRPr="00E51A71">
        <w:t>has</w:t>
      </w:r>
      <w:r w:rsidR="00D21902" w:rsidRPr="00E51A71">
        <w:t xml:space="preserve"> led to</w:t>
      </w:r>
      <w:r w:rsidRPr="00E51A71">
        <w:t xml:space="preserve"> the lack of a </w:t>
      </w:r>
      <w:r w:rsidR="54191006" w:rsidRPr="00E51A71">
        <w:t>system-wide perspective as ad hoc or narrow-cast changes have been made over many years.</w:t>
      </w:r>
    </w:p>
    <w:p w14:paraId="4BB371B7" w14:textId="10E85112" w:rsidR="54191006" w:rsidRPr="00E51A71" w:rsidRDefault="54191006" w:rsidP="00E51A71">
      <w:r w:rsidRPr="00E51A71">
        <w:t>Importantly, there are deep definitional and philosophical questions to be debated, star</w:t>
      </w:r>
      <w:r w:rsidR="55133B30" w:rsidRPr="00E51A71">
        <w:t>t</w:t>
      </w:r>
      <w:r w:rsidRPr="00E51A71">
        <w:t xml:space="preserve">ing with the building blocks of the </w:t>
      </w:r>
      <w:r w:rsidR="005452EF" w:rsidRPr="00E51A71">
        <w:t>MBS</w:t>
      </w:r>
      <w:r w:rsidRPr="00E51A71">
        <w:t>, namely:</w:t>
      </w:r>
    </w:p>
    <w:p w14:paraId="160A408E" w14:textId="5E4EA702" w:rsidR="54191006" w:rsidRPr="007B5522" w:rsidRDefault="54191006" w:rsidP="007B5522">
      <w:pPr>
        <w:pStyle w:val="ListBullet"/>
      </w:pPr>
      <w:r w:rsidRPr="007B5522">
        <w:t xml:space="preserve">A Medicare benefit is paid to a patient, not a provider but which, for a large proportion of </w:t>
      </w:r>
      <w:r w:rsidR="1BCC881F" w:rsidRPr="007B5522">
        <w:t>services</w:t>
      </w:r>
      <w:r w:rsidRPr="007B5522">
        <w:t>, the patient assigns the benefit to the provider</w:t>
      </w:r>
      <w:r w:rsidR="31AD3038" w:rsidRPr="007B5522">
        <w:t>.</w:t>
      </w:r>
    </w:p>
    <w:p w14:paraId="2DB7471A" w14:textId="41592AF2" w:rsidR="65EA7333" w:rsidRPr="006B7FA4" w:rsidRDefault="65EA7333" w:rsidP="007B5522">
      <w:pPr>
        <w:pStyle w:val="ListBullet"/>
      </w:pPr>
      <w:r w:rsidRPr="007B5522">
        <w:t xml:space="preserve">There is a distinction between the clinically appropriate care that a </w:t>
      </w:r>
      <w:r w:rsidR="2D7AE543" w:rsidRPr="007B5522">
        <w:t>practitioner</w:t>
      </w:r>
      <w:r w:rsidRPr="007B5522">
        <w:t xml:space="preserve"> rightfully determines </w:t>
      </w:r>
      <w:r w:rsidR="4C7370F3" w:rsidRPr="007B5522">
        <w:t>versus</w:t>
      </w:r>
      <w:r w:rsidRPr="007B5522">
        <w:t xml:space="preserve"> the MBS requirement for payments to be made in line with specific Medicare items and the </w:t>
      </w:r>
      <w:r w:rsidR="371BE366" w:rsidRPr="007B5522">
        <w:t xml:space="preserve">rules associated with these as detailed in Medicare item notes, and the interaction with various regulatory requirements, including those in the </w:t>
      </w:r>
      <w:r w:rsidR="371BE366" w:rsidRPr="006B7FA4">
        <w:rPr>
          <w:rStyle w:val="Emphasis"/>
          <w:color w:val="auto"/>
        </w:rPr>
        <w:t>Health Insurance Act 1973</w:t>
      </w:r>
      <w:r w:rsidR="005C6A4C" w:rsidRPr="006B7FA4">
        <w:rPr>
          <w:rStyle w:val="Emphasis"/>
          <w:color w:val="auto"/>
        </w:rPr>
        <w:t xml:space="preserve"> (HIA)</w:t>
      </w:r>
      <w:r w:rsidR="371BE366" w:rsidRPr="006B7FA4">
        <w:t>.</w:t>
      </w:r>
    </w:p>
    <w:p w14:paraId="4FD01B04" w14:textId="624848B6" w:rsidR="0C7B59AF" w:rsidRPr="007B5522" w:rsidRDefault="0C7B59AF" w:rsidP="007B5522">
      <w:r w:rsidRPr="007B5522">
        <w:t>The reality is that business practices, technology, and models of healthcare delivery have clouded the understanding of th</w:t>
      </w:r>
      <w:r w:rsidR="00E73622" w:rsidRPr="007B5522">
        <w:t>ese foundations</w:t>
      </w:r>
      <w:r w:rsidR="00857B6F" w:rsidRPr="007B5522">
        <w:t xml:space="preserve">, and </w:t>
      </w:r>
      <w:r w:rsidRPr="007B5522">
        <w:t>this</w:t>
      </w:r>
      <w:r w:rsidR="00857B6F" w:rsidRPr="007B5522">
        <w:t xml:space="preserve"> </w:t>
      </w:r>
      <w:r w:rsidR="007461D5" w:rsidRPr="007B5522">
        <w:t xml:space="preserve">is </w:t>
      </w:r>
      <w:r w:rsidR="72F52982" w:rsidRPr="007B5522">
        <w:t xml:space="preserve">the frame for understanding the key issues in the current debate. It is important to distinguish between the provision and </w:t>
      </w:r>
      <w:r w:rsidR="25667D86" w:rsidRPr="007B5522">
        <w:t>receipt</w:t>
      </w:r>
      <w:r w:rsidR="72F52982" w:rsidRPr="007B5522">
        <w:t xml:space="preserve"> of services in accordance with the MBS vers</w:t>
      </w:r>
      <w:r w:rsidR="24E24B64" w:rsidRPr="007B5522">
        <w:t xml:space="preserve">us what is clinically appropriate. </w:t>
      </w:r>
      <w:r w:rsidR="037426C8" w:rsidRPr="007B5522">
        <w:t>Similarly</w:t>
      </w:r>
      <w:r w:rsidR="24E24B64" w:rsidRPr="007B5522">
        <w:t xml:space="preserve">, it is important to distinguish between inadvertent errors that are isolated or ad hoc versus systematic and repeated error versus downright fraud. </w:t>
      </w:r>
      <w:r w:rsidR="6FBE689F" w:rsidRPr="007B5522">
        <w:t>Indeed, understanding these distinctions helps one understand the breadth of estimates of non-compliance versus fraud, and the debate as to why systematic errors might be considered fraud.</w:t>
      </w:r>
      <w:r w:rsidR="00321781" w:rsidRPr="007B5522">
        <w:t xml:space="preserve"> </w:t>
      </w:r>
    </w:p>
    <w:p w14:paraId="34EC10D1" w14:textId="64DB8B13" w:rsidR="00321781" w:rsidRPr="007B5522" w:rsidRDefault="00DA01EB" w:rsidP="007B5522">
      <w:pPr>
        <w:pStyle w:val="ListBullet"/>
      </w:pPr>
      <w:r w:rsidRPr="007B5522">
        <w:t xml:space="preserve">While the system is </w:t>
      </w:r>
      <w:r w:rsidR="00856837" w:rsidRPr="007B5522">
        <w:t>inherently</w:t>
      </w:r>
      <w:r w:rsidRPr="007B5522">
        <w:t xml:space="preserve"> complex, complexity, per se, should not be interpreted as </w:t>
      </w:r>
      <w:r w:rsidR="00E87101" w:rsidRPr="007B5522">
        <w:t>the sole explanation for the current state of the system.</w:t>
      </w:r>
    </w:p>
    <w:p w14:paraId="0A6D05EC" w14:textId="0A1A49E8" w:rsidR="0097311A" w:rsidRPr="007B5522" w:rsidRDefault="0097311A" w:rsidP="007B5522">
      <w:pPr>
        <w:pStyle w:val="ListBullet"/>
      </w:pPr>
      <w:r w:rsidRPr="007B5522">
        <w:t>While simplification and system changes are required as articulated in t</w:t>
      </w:r>
      <w:r w:rsidR="00BE38BB" w:rsidRPr="007B5522">
        <w:t>h</w:t>
      </w:r>
      <w:r w:rsidRPr="007B5522">
        <w:t>e Review, there must also be a commitment by all stakeholders to change</w:t>
      </w:r>
      <w:r w:rsidR="00856837" w:rsidRPr="007B5522">
        <w:t xml:space="preserve"> which will bolster the integrity and compliance of the MBS.</w:t>
      </w:r>
    </w:p>
    <w:p w14:paraId="5FA1BCF1" w14:textId="15773255" w:rsidR="6FBE689F" w:rsidRPr="007B5522" w:rsidRDefault="6FBE689F" w:rsidP="007B5522">
      <w:r w:rsidRPr="007B5522">
        <w:lastRenderedPageBreak/>
        <w:t>At the core of all this, though, lies the complexity of the system, the lack of clarity of many aspects of the compliance system, the lack of emphasis in decision support pre-claims and pre-payment</w:t>
      </w:r>
      <w:r w:rsidR="1C49B185" w:rsidRPr="007B5522">
        <w:t>, and the lack of continuous monitoring.</w:t>
      </w:r>
      <w:r w:rsidR="40A79FB3" w:rsidRPr="007B5522">
        <w:t xml:space="preserve"> </w:t>
      </w:r>
    </w:p>
    <w:p w14:paraId="567B60BD" w14:textId="5B07B502" w:rsidR="1C49B185" w:rsidRPr="007B5522" w:rsidRDefault="1C49B185" w:rsidP="007B5522">
      <w:r w:rsidRPr="007B5522">
        <w:t>Legislation, governance, systems, processes, and tools are currently not fit for purpose and, without significant attention, will result in significant levels of fraud.</w:t>
      </w:r>
    </w:p>
    <w:p w14:paraId="30182561" w14:textId="0E54DD67" w:rsidR="1C49B185" w:rsidRPr="007B5522" w:rsidRDefault="1C49B185" w:rsidP="007B5522">
      <w:r w:rsidRPr="007B5522">
        <w:t xml:space="preserve">To be </w:t>
      </w:r>
      <w:r w:rsidR="1ABE20FF" w:rsidRPr="007B5522">
        <w:t>blunt</w:t>
      </w:r>
      <w:r w:rsidRPr="007B5522">
        <w:t xml:space="preserve"> about this</w:t>
      </w:r>
      <w:r w:rsidR="1FE36DCA" w:rsidRPr="007B5522">
        <w:t>:</w:t>
      </w:r>
    </w:p>
    <w:p w14:paraId="0E02A689" w14:textId="2D921051" w:rsidR="00875451" w:rsidRPr="007B5522" w:rsidRDefault="00D855B0" w:rsidP="007B5522">
      <w:pPr>
        <w:pStyle w:val="ListBullet"/>
      </w:pPr>
      <w:r w:rsidRPr="007B5522">
        <w:rPr>
          <w:rStyle w:val="Strong"/>
        </w:rPr>
        <w:t>Business practice</w:t>
      </w:r>
      <w:r w:rsidRPr="007B5522">
        <w:t xml:space="preserve">: </w:t>
      </w:r>
      <w:r w:rsidR="00BE38BB" w:rsidRPr="007B5522">
        <w:t>T</w:t>
      </w:r>
      <w:r w:rsidRPr="007B5522">
        <w:t>he controls around new business models and practices need urgent attention and tightening up</w:t>
      </w:r>
      <w:r w:rsidR="00543A99" w:rsidRPr="007B5522">
        <w:t>.</w:t>
      </w:r>
    </w:p>
    <w:p w14:paraId="78263C42" w14:textId="2FDA110F" w:rsidR="1C49B185" w:rsidRPr="007B5522" w:rsidRDefault="1A5F3D73" w:rsidP="007B5522">
      <w:pPr>
        <w:pStyle w:val="ListBullet"/>
      </w:pPr>
      <w:r w:rsidRPr="007B5522">
        <w:rPr>
          <w:rStyle w:val="Strong"/>
        </w:rPr>
        <w:t>Software not accredited</w:t>
      </w:r>
      <w:r w:rsidRPr="007B5522">
        <w:t>:</w:t>
      </w:r>
      <w:r w:rsidR="22CA14CF" w:rsidRPr="007B5522">
        <w:t xml:space="preserve"> </w:t>
      </w:r>
      <w:r w:rsidR="5E1AC55B" w:rsidRPr="007B5522">
        <w:t>To make matters worse, especially given the high volumes of claims and services provided, software for billing</w:t>
      </w:r>
      <w:r w:rsidR="00861725" w:rsidRPr="007B5522">
        <w:t xml:space="preserve"> </w:t>
      </w:r>
      <w:r w:rsidR="005960CB" w:rsidRPr="007B5522">
        <w:t>soluti</w:t>
      </w:r>
      <w:r w:rsidR="0085012F" w:rsidRPr="007B5522">
        <w:t xml:space="preserve">ons </w:t>
      </w:r>
      <w:proofErr w:type="gramStart"/>
      <w:r w:rsidR="0085012F" w:rsidRPr="007B5522">
        <w:t>complete</w:t>
      </w:r>
      <w:proofErr w:type="gramEnd"/>
      <w:r w:rsidR="0085012F" w:rsidRPr="007B5522">
        <w:t xml:space="preserve"> an</w:t>
      </w:r>
      <w:r w:rsidR="00BC14AB" w:rsidRPr="007B5522">
        <w:t xml:space="preserve"> initial accreditation process which consists of a software developer interface agreem</w:t>
      </w:r>
      <w:r w:rsidR="0058576F" w:rsidRPr="007B5522">
        <w:t xml:space="preserve">ent </w:t>
      </w:r>
      <w:r w:rsidR="00927AE6" w:rsidRPr="007B5522">
        <w:t xml:space="preserve">that includes supporting policies and management (e.g. </w:t>
      </w:r>
      <w:r w:rsidR="00977FF0" w:rsidRPr="007B5522">
        <w:t xml:space="preserve">integrated third party security and health and aged care web services), </w:t>
      </w:r>
      <w:r w:rsidR="00BD25A3" w:rsidRPr="007B5522">
        <w:t xml:space="preserve">though these </w:t>
      </w:r>
      <w:r w:rsidR="00FC6C1A" w:rsidRPr="007B5522">
        <w:t>do not go sufficiently far enough to limit the opportunity for non-compliance, fraud and billing errors.</w:t>
      </w:r>
    </w:p>
    <w:p w14:paraId="0D8F9411" w14:textId="75350B1D" w:rsidR="00632F41" w:rsidRPr="007B5522" w:rsidRDefault="00632F41" w:rsidP="007B5522">
      <w:pPr>
        <w:pStyle w:val="ListBullet"/>
      </w:pPr>
      <w:r w:rsidRPr="007B5522">
        <w:rPr>
          <w:rStyle w:val="Strong"/>
        </w:rPr>
        <w:t>Diminution of individual responsibility</w:t>
      </w:r>
      <w:r w:rsidRPr="007B5522">
        <w:t>: Compounding this is the increasing lack of attention paid to the checking of this by practitioners who consider this an administrative burden. This is a function of the greater corporatisation of the system, inadequate education and training in the billing and compliance system, and the squeeze on time as a result of system pressures</w:t>
      </w:r>
      <w:r w:rsidR="00543A99" w:rsidRPr="007B5522">
        <w:t>.</w:t>
      </w:r>
      <w:r w:rsidRPr="007B5522">
        <w:t xml:space="preserve"> </w:t>
      </w:r>
    </w:p>
    <w:p w14:paraId="2BAB202F" w14:textId="10328051" w:rsidR="1C49B185" w:rsidRPr="007B5522" w:rsidRDefault="15FBE2AB" w:rsidP="007B5522">
      <w:pPr>
        <w:pStyle w:val="ListBullet"/>
      </w:pPr>
      <w:r w:rsidRPr="007B5522">
        <w:rPr>
          <w:rStyle w:val="Strong"/>
        </w:rPr>
        <w:t>Lack of due diligence</w:t>
      </w:r>
      <w:r w:rsidRPr="007B5522">
        <w:t xml:space="preserve">: </w:t>
      </w:r>
      <w:r w:rsidR="378199CB" w:rsidRPr="007B5522">
        <w:t xml:space="preserve">The lack of scrutiny by virtue of there being </w:t>
      </w:r>
      <w:r w:rsidR="7F8B24D2" w:rsidRPr="007B5522">
        <w:t>no continuous monitoring regime of MBS transactions</w:t>
      </w:r>
      <w:r w:rsidR="64344698" w:rsidRPr="007B5522">
        <w:t xml:space="preserve"> means there is no meaningful way of education and re</w:t>
      </w:r>
      <w:r w:rsidR="4803D59F" w:rsidRPr="007B5522">
        <w:t>-e</w:t>
      </w:r>
      <w:r w:rsidR="64344698" w:rsidRPr="007B5522">
        <w:t xml:space="preserve">ducation feedback loops to be </w:t>
      </w:r>
      <w:r w:rsidR="1E83D333" w:rsidRPr="007B5522">
        <w:t>fundamental to the system, assisting providers to make more accurate billing claims, and leav</w:t>
      </w:r>
      <w:r w:rsidR="00BE38BB" w:rsidRPr="007B5522">
        <w:t>ing</w:t>
      </w:r>
      <w:r w:rsidR="1E83D333" w:rsidRPr="007B5522">
        <w:t xml:space="preserve"> the gate wide open to fraud. The engine which sits at the heart of the payment system is old and unable to be properly </w:t>
      </w:r>
      <w:r w:rsidR="1B1911BB" w:rsidRPr="007B5522">
        <w:t>utilised for risk based or continuous monitoring activities.</w:t>
      </w:r>
    </w:p>
    <w:p w14:paraId="0D57C802" w14:textId="77777777" w:rsidR="007B5522" w:rsidRPr="007B5522" w:rsidRDefault="0D6BDEAE" w:rsidP="007B5522">
      <w:pPr>
        <w:pStyle w:val="ListBullet"/>
      </w:pPr>
      <w:r w:rsidRPr="007B5522">
        <w:rPr>
          <w:rStyle w:val="Strong"/>
        </w:rPr>
        <w:t>Governance is out of date</w:t>
      </w:r>
      <w:r w:rsidRPr="007B5522">
        <w:t xml:space="preserve">: As the health system as evolved, governance of the compliance system of MBS payments is now inadequate </w:t>
      </w:r>
      <w:r w:rsidR="00BE38BB" w:rsidRPr="007B5522">
        <w:t xml:space="preserve">– </w:t>
      </w:r>
      <w:r w:rsidRPr="007B5522">
        <w:t>running the risk of piecemeal approaches to compliance and fraud and no holistic understanding of major trends and changes in the nature of healthcare deliver</w:t>
      </w:r>
      <w:r w:rsidR="00BE38BB" w:rsidRPr="007B5522">
        <w:t>y</w:t>
      </w:r>
      <w:r w:rsidRPr="007B5522">
        <w:t>.</w:t>
      </w:r>
    </w:p>
    <w:p w14:paraId="0EF12F22" w14:textId="564AC441" w:rsidR="00445F46" w:rsidRPr="007B5522" w:rsidRDefault="00445F46" w:rsidP="007B5522">
      <w:r w:rsidRPr="007B5522">
        <w:t xml:space="preserve">There are too many methodological matters to reconcile the competing views on the extent and proportionality of </w:t>
      </w:r>
      <w:r w:rsidR="005C3008" w:rsidRPr="007B5522">
        <w:t>fraud, non-compliance, waste, low value care and the like</w:t>
      </w:r>
      <w:r w:rsidR="00892A75" w:rsidRPr="007B5522">
        <w:t xml:space="preserve"> which are key parts of the </w:t>
      </w:r>
      <w:r w:rsidR="009A7E7F" w:rsidRPr="007B5522">
        <w:t>debate</w:t>
      </w:r>
      <w:r w:rsidRPr="007B5522">
        <w:t xml:space="preserve">. </w:t>
      </w:r>
      <w:r w:rsidR="00A41E57" w:rsidRPr="007B5522">
        <w:t>However, i</w:t>
      </w:r>
      <w:r w:rsidR="006A1DB7" w:rsidRPr="007B5522">
        <w:t>n this Review</w:t>
      </w:r>
      <w:r w:rsidR="00A41E57" w:rsidRPr="007B5522">
        <w:t>, I</w:t>
      </w:r>
      <w:r w:rsidR="006A1DB7" w:rsidRPr="007B5522">
        <w:t xml:space="preserve"> p</w:t>
      </w:r>
      <w:r w:rsidR="00883864" w:rsidRPr="007B5522">
        <w:t>ropose</w:t>
      </w:r>
      <w:r w:rsidR="006A1DB7" w:rsidRPr="007B5522">
        <w:t xml:space="preserve"> </w:t>
      </w:r>
      <w:r w:rsidR="006935DF" w:rsidRPr="007B5522">
        <w:t>some methodological ways forward and provide a</w:t>
      </w:r>
      <w:r w:rsidR="00CC725C" w:rsidRPr="007B5522">
        <w:t xml:space="preserve">n indicative </w:t>
      </w:r>
      <w:r w:rsidR="005C71B5" w:rsidRPr="007B5522">
        <w:t>analysis</w:t>
      </w:r>
      <w:r w:rsidR="00A41E57" w:rsidRPr="007B5522">
        <w:t>,</w:t>
      </w:r>
      <w:r w:rsidR="00DD0B61" w:rsidRPr="007B5522">
        <w:t xml:space="preserve"> based on limited data and a conservative definition.</w:t>
      </w:r>
      <w:r w:rsidR="00900B47" w:rsidRPr="007B5522">
        <w:t xml:space="preserve"> </w:t>
      </w:r>
      <w:r w:rsidRPr="007B5522">
        <w:t xml:space="preserve">It is not possible for me, based on the </w:t>
      </w:r>
      <w:r w:rsidR="0092174A" w:rsidRPr="007B5522">
        <w:t xml:space="preserve">lack of </w:t>
      </w:r>
      <w:r w:rsidR="4777146E" w:rsidRPr="007B5522">
        <w:t xml:space="preserve">available </w:t>
      </w:r>
      <w:r w:rsidR="0092174A" w:rsidRPr="007B5522">
        <w:t xml:space="preserve">data </w:t>
      </w:r>
      <w:r w:rsidR="00422EFE" w:rsidRPr="007B5522">
        <w:t xml:space="preserve">in the system, </w:t>
      </w:r>
      <w:r w:rsidR="00900B47" w:rsidRPr="007B5522">
        <w:t xml:space="preserve">and </w:t>
      </w:r>
      <w:r w:rsidR="00422EFE" w:rsidRPr="007B5522">
        <w:t>the</w:t>
      </w:r>
      <w:r w:rsidRPr="007B5522">
        <w:t xml:space="preserve"> timeframe for this Review, to conduct and provide you with definitive analysis of the extent of non-compliance and fraud in the system.</w:t>
      </w:r>
    </w:p>
    <w:p w14:paraId="5743FBC8" w14:textId="3A8F5BDC" w:rsidR="003A38B6" w:rsidRPr="007B5522" w:rsidRDefault="00D11562" w:rsidP="007B5522">
      <w:r w:rsidRPr="007B5522">
        <w:t>This analysis provides</w:t>
      </w:r>
      <w:r w:rsidR="000C0E32" w:rsidRPr="007B5522">
        <w:t xml:space="preserve">, an </w:t>
      </w:r>
      <w:r w:rsidR="00E00695" w:rsidRPr="007B5522">
        <w:t>albeit</w:t>
      </w:r>
      <w:r w:rsidR="000C0E32" w:rsidRPr="007B5522">
        <w:t xml:space="preserve"> partial,</w:t>
      </w:r>
      <w:r w:rsidR="003A38B6" w:rsidRPr="007B5522">
        <w:t xml:space="preserve"> perspective that leads me to conclude that on a conservative definition of non-compliance and fraud it is entirely feasible the value of non-compliance could exist in the range of $1.5 billion to $3 billion</w:t>
      </w:r>
      <w:r w:rsidR="001111EF" w:rsidRPr="007B5522">
        <w:t xml:space="preserve">, not inconsistent with </w:t>
      </w:r>
      <w:r w:rsidR="003A38B6" w:rsidRPr="007B5522">
        <w:t xml:space="preserve">previous studies. </w:t>
      </w:r>
      <w:r w:rsidR="0052524B" w:rsidRPr="007B5522">
        <w:t>This comes with a significant caveat, in that</w:t>
      </w:r>
      <w:r w:rsidR="003A38B6" w:rsidRPr="007B5522">
        <w:t xml:space="preserve"> there is </w:t>
      </w:r>
      <w:r w:rsidR="00E37023" w:rsidRPr="007B5522">
        <w:t xml:space="preserve">real </w:t>
      </w:r>
      <w:r w:rsidR="003A38B6" w:rsidRPr="007B5522">
        <w:t xml:space="preserve">potential for the problem to scale to the order of magnitude in Dr Faux’ analysis should </w:t>
      </w:r>
      <w:proofErr w:type="gramStart"/>
      <w:r w:rsidR="003A38B6" w:rsidRPr="007B5522">
        <w:t>effective</w:t>
      </w:r>
      <w:proofErr w:type="gramEnd"/>
      <w:r w:rsidR="003A38B6" w:rsidRPr="007B5522">
        <w:t xml:space="preserve"> controls, systems and education not be put in place.</w:t>
      </w:r>
    </w:p>
    <w:p w14:paraId="710FBA19" w14:textId="21643F95" w:rsidR="00445F46" w:rsidRPr="007B5522" w:rsidRDefault="00445F46" w:rsidP="007B5522">
      <w:r w:rsidRPr="007B5522">
        <w:t xml:space="preserve">It is my strong suggestion to commentators and policymakers that the actual number should not be the main subject of debate, attractive as that may seem, as the main lesson to learn from this </w:t>
      </w:r>
      <w:r w:rsidR="3F76D9BA" w:rsidRPr="007B5522">
        <w:t>R</w:t>
      </w:r>
      <w:r w:rsidRPr="007B5522">
        <w:t xml:space="preserve">eview is that we must focus on the structural issues and controls in the system, </w:t>
      </w:r>
      <w:r w:rsidRPr="007B5522" w:rsidDel="005D234E">
        <w:t>to</w:t>
      </w:r>
      <w:r w:rsidRPr="007B5522">
        <w:t xml:space="preserve"> build trust in Medicare and material</w:t>
      </w:r>
      <w:r w:rsidR="00D53D59" w:rsidRPr="007B5522">
        <w:t>ly</w:t>
      </w:r>
      <w:r w:rsidRPr="007B5522">
        <w:t xml:space="preserve"> reduce non-compliance and fraud. To this end, some of Dr Faux’s key arguments are important to take seriously as they point to vulnerabilities in the payment system. </w:t>
      </w:r>
    </w:p>
    <w:p w14:paraId="03634B25" w14:textId="77777777" w:rsidR="00445F46" w:rsidRPr="007B5522" w:rsidRDefault="00445F46" w:rsidP="007B5522">
      <w:r w:rsidRPr="007B5522">
        <w:t>I am also conscious that there are wider impacts of these sorts of discussions and debates and that a number of key participants in the health system have taken offence to the claims of entrenched, intentioned, and significant fraud in the system. While such impacts don’t change the truth of the debate, it does remind us that the semantics and specifics of language, how we talk about these issues, and how we debate and draw on evidence, should focus on the arguments not the person and be constructive. This equally applies to those on different sides of the debate which is the subject of this Review. To reiterate, there is greater value to be gained from a focus on the structural recommendations in this Review than on the numeric value debate that has been a focus of public discourse to date. Stamping out fraud and reducing non-compliance must be the focus of system reform.</w:t>
      </w:r>
    </w:p>
    <w:p w14:paraId="134679E0" w14:textId="27F9D003" w:rsidR="00445F46" w:rsidRPr="007B5522" w:rsidRDefault="00445F46" w:rsidP="007B5522">
      <w:r w:rsidRPr="007B5522">
        <w:t xml:space="preserve">On the basis of my consultations and my experience with Australia’s health system, the overwhelming majority of practitioners are well </w:t>
      </w:r>
      <w:r w:rsidR="00DB2EE5" w:rsidRPr="007B5522">
        <w:t xml:space="preserve">meaning </w:t>
      </w:r>
      <w:r w:rsidRPr="007B5522">
        <w:t xml:space="preserve">and protective of the Australian health system, particularly of the care they provide to their patients. </w:t>
      </w:r>
    </w:p>
    <w:p w14:paraId="11BE3908" w14:textId="77777777" w:rsidR="00445F46" w:rsidRPr="007B5522" w:rsidRDefault="00445F46" w:rsidP="007B5522">
      <w:r w:rsidRPr="007B5522">
        <w:lastRenderedPageBreak/>
        <w:t xml:space="preserve">A large part of the success and efficacy of Australia’s health system, to date, is due to this level of altruistic behaviour by health professionals. That said, my Review highlights growing vulnerabilities and forces of change which could, in a short period of time, result in significant leakages, including fraud, in the system. </w:t>
      </w:r>
    </w:p>
    <w:p w14:paraId="499E934A" w14:textId="77777777" w:rsidR="00445F46" w:rsidRPr="007B5522" w:rsidRDefault="00445F46" w:rsidP="007B5522">
      <w:r w:rsidRPr="007B5522">
        <w:t>At present, it is my view that a significant part of the leakage in the Medicare payment system stems from non-compliance errors rather than premeditated fraud. Indeed, one could argue that there is a significant amount of ‘fear’ of the compliance regime, notwithstanding it is not as far reaching or effective as it could or should be in practice. But there is no room for complacency. </w:t>
      </w:r>
    </w:p>
    <w:p w14:paraId="63855E3D" w14:textId="77777777" w:rsidR="00445F46" w:rsidRPr="007B5522" w:rsidRDefault="00445F46" w:rsidP="007B5522">
      <w:r w:rsidRPr="007B5522">
        <w:t xml:space="preserve">Critical to addressing this is a recognition that the legislative basis for Medicare is fast becoming out of date, unable to reflect the changing health needs and modes of health service delivery in Australia. </w:t>
      </w:r>
    </w:p>
    <w:p w14:paraId="0E7D3AA2" w14:textId="1DE7F41F" w:rsidR="00445F46" w:rsidRPr="00CB36C0" w:rsidRDefault="00445F46" w:rsidP="00445F46">
      <w:pPr>
        <w:rPr>
          <w:szCs w:val="22"/>
        </w:rPr>
      </w:pPr>
      <w:r w:rsidRPr="00CB36C0">
        <w:rPr>
          <w:szCs w:val="22"/>
        </w:rPr>
        <w:t xml:space="preserve">To ensure that this </w:t>
      </w:r>
      <w:r w:rsidR="00BE38BB">
        <w:rPr>
          <w:szCs w:val="22"/>
        </w:rPr>
        <w:t>R</w:t>
      </w:r>
      <w:r w:rsidRPr="00CB36C0">
        <w:rPr>
          <w:szCs w:val="22"/>
        </w:rPr>
        <w:t>eview remained focused on the bigger picture, the following principles were developed to guide analysis of information and synthesis of consultations:</w:t>
      </w:r>
    </w:p>
    <w:p w14:paraId="753EFE9D" w14:textId="68E0BAC0" w:rsidR="00445F46" w:rsidRPr="007B5522" w:rsidRDefault="00445F46" w:rsidP="007B5522">
      <w:pPr>
        <w:pStyle w:val="ListBullet"/>
      </w:pPr>
      <w:r w:rsidRPr="00CB36C0">
        <w:t xml:space="preserve">Most health practitioners and staff within the system are dedicated to the public good and this needs to be </w:t>
      </w:r>
      <w:r w:rsidRPr="007B5522">
        <w:t xml:space="preserve">acknowledged. </w:t>
      </w:r>
    </w:p>
    <w:p w14:paraId="0CBABBDC" w14:textId="1943066E" w:rsidR="00445F46" w:rsidRPr="007B5522" w:rsidRDefault="00445F46" w:rsidP="007B5522">
      <w:pPr>
        <w:pStyle w:val="ListBullet"/>
      </w:pPr>
      <w:r w:rsidRPr="007B5522">
        <w:t>A balance between investment in compliance activities and the protection of Medicare as Australia’s universal health insurance scheme (the Scheme) and the public good and good of patients, practitioners, and taxpayers needs to be struck</w:t>
      </w:r>
      <w:r w:rsidR="0032087B" w:rsidRPr="007B5522">
        <w:t>.</w:t>
      </w:r>
    </w:p>
    <w:p w14:paraId="72C58CE8" w14:textId="77777777" w:rsidR="00445F46" w:rsidRPr="007B5522" w:rsidRDefault="00445F46" w:rsidP="007B5522">
      <w:pPr>
        <w:pStyle w:val="ListBullet"/>
      </w:pPr>
      <w:r w:rsidRPr="007B5522">
        <w:t xml:space="preserve">The impacts of any potential changes on both patient outcomes and healthcare provision and the emotional and process burdens on practitioners need to be weighed against any potential negative unintended consequences. </w:t>
      </w:r>
    </w:p>
    <w:p w14:paraId="1FBBA402" w14:textId="77777777" w:rsidR="00445F46" w:rsidRPr="007B5522" w:rsidRDefault="00445F46" w:rsidP="007B5522">
      <w:pPr>
        <w:pStyle w:val="ListBullet"/>
      </w:pPr>
      <w:r w:rsidRPr="007B5522">
        <w:t xml:space="preserve">The money available through Medicare needs to be conceptualised as taxpayer money that must be spent in an appropriate and evidence-based way for the betterment of public health and wellbeing. </w:t>
      </w:r>
    </w:p>
    <w:p w14:paraId="7C8FA0C9" w14:textId="77777777" w:rsidR="00445F46" w:rsidRPr="007B5522" w:rsidRDefault="00445F46" w:rsidP="007B5522">
      <w:pPr>
        <w:pStyle w:val="ListBullet"/>
      </w:pPr>
      <w:r w:rsidRPr="007B5522">
        <w:t xml:space="preserve">The funding models and mechanisms of Medicare should work to incentivise best practice, support service accessibility and affordability for individuals and the community, and support health practitioners. </w:t>
      </w:r>
    </w:p>
    <w:p w14:paraId="2D184AD6" w14:textId="3D2B1B95" w:rsidR="00445F46" w:rsidRPr="007B5522" w:rsidRDefault="00445F46" w:rsidP="007B5522">
      <w:pPr>
        <w:pStyle w:val="ListBullet"/>
      </w:pPr>
      <w:r w:rsidRPr="007B5522">
        <w:t>Compliance and integrity activities should identify and reprimand any actors in the system who are dishonestly obtaining benefit or causing loss, and not unintentionally penalise those who are trying to do the right thing.</w:t>
      </w:r>
    </w:p>
    <w:p w14:paraId="5FDCE7FB" w14:textId="77777777" w:rsidR="007B5522" w:rsidRPr="007B5522" w:rsidRDefault="00445F46" w:rsidP="007B5522">
      <w:pPr>
        <w:pStyle w:val="ListBullet"/>
      </w:pPr>
      <w:r w:rsidRPr="007B5522">
        <w:t xml:space="preserve">As with all parts of the healthcare system, Medicare payments should be designed in a way that works backwards from patient outcomes to support the accessibility and quality and safety of health services to those that need it, especially those underserved or vulnerable populations. </w:t>
      </w:r>
    </w:p>
    <w:p w14:paraId="4CC762EC" w14:textId="7BA0B8C2" w:rsidR="00445F46" w:rsidRPr="00CB36C0" w:rsidRDefault="00445F46" w:rsidP="00445F46">
      <w:pPr>
        <w:rPr>
          <w:szCs w:val="22"/>
        </w:rPr>
      </w:pPr>
      <w:r w:rsidRPr="00CB36C0">
        <w:rPr>
          <w:szCs w:val="22"/>
        </w:rPr>
        <w:t xml:space="preserve">Through the process of conducting this Review, it has become clear that Medicare has grown organically over time (in response to changing needs and government agendas) rather than </w:t>
      </w:r>
      <w:r w:rsidR="00850FC2" w:rsidRPr="00CB36C0">
        <w:rPr>
          <w:szCs w:val="22"/>
        </w:rPr>
        <w:t>based on</w:t>
      </w:r>
      <w:r w:rsidRPr="00CB36C0">
        <w:rPr>
          <w:szCs w:val="22"/>
        </w:rPr>
        <w:t xml:space="preserve"> clear strategy, changing demography, burden of disease and emerging therapeutics, models of care and technology. An unintended consequence of this growth over the last nearly 40 years is that there is no longer the same connection that there used to be between patient, the practitioner, and the payment (see </w:t>
      </w:r>
      <w:r w:rsidR="00CC77BF" w:rsidRPr="00494081">
        <w:rPr>
          <w:szCs w:val="22"/>
        </w:rPr>
        <w:fldChar w:fldCharType="begin"/>
      </w:r>
      <w:r w:rsidR="00CC77BF" w:rsidRPr="00494081">
        <w:rPr>
          <w:szCs w:val="22"/>
        </w:rPr>
        <w:instrText xml:space="preserve"> REF _Ref128903431 \r \h </w:instrText>
      </w:r>
      <w:r w:rsidR="00494081" w:rsidRPr="00494081">
        <w:rPr>
          <w:szCs w:val="22"/>
        </w:rPr>
        <w:instrText xml:space="preserve"> \* MERGEFORMAT </w:instrText>
      </w:r>
      <w:r w:rsidR="00CC77BF" w:rsidRPr="00494081">
        <w:rPr>
          <w:szCs w:val="22"/>
        </w:rPr>
      </w:r>
      <w:r w:rsidR="00CC77BF" w:rsidRPr="00494081">
        <w:rPr>
          <w:szCs w:val="22"/>
        </w:rPr>
        <w:fldChar w:fldCharType="separate"/>
      </w:r>
      <w:r w:rsidR="005A1647">
        <w:rPr>
          <w:szCs w:val="22"/>
        </w:rPr>
        <w:t xml:space="preserve">Figure </w:t>
      </w:r>
      <w:proofErr w:type="spellStart"/>
      <w:r w:rsidR="005A1647">
        <w:rPr>
          <w:szCs w:val="22"/>
        </w:rPr>
        <w:t>i</w:t>
      </w:r>
      <w:proofErr w:type="spellEnd"/>
      <w:r w:rsidR="00CC77BF" w:rsidRPr="00494081">
        <w:rPr>
          <w:szCs w:val="22"/>
        </w:rPr>
        <w:fldChar w:fldCharType="end"/>
      </w:r>
      <w:r w:rsidRPr="00494081">
        <w:rPr>
          <w:szCs w:val="22"/>
        </w:rPr>
        <w:t>).</w:t>
      </w:r>
    </w:p>
    <w:p w14:paraId="182AE1D6" w14:textId="77777777" w:rsidR="00445F46" w:rsidRPr="00494081" w:rsidRDefault="00445F46" w:rsidP="00CC77BF">
      <w:pPr>
        <w:pStyle w:val="ExecFigureCaption"/>
        <w:rPr>
          <w:sz w:val="22"/>
          <w:szCs w:val="22"/>
        </w:rPr>
      </w:pPr>
      <w:bookmarkStart w:id="45" w:name="_Ref128903431"/>
      <w:bookmarkStart w:id="46" w:name="_Toc131418619"/>
      <w:r w:rsidRPr="00494081">
        <w:rPr>
          <w:sz w:val="22"/>
          <w:szCs w:val="22"/>
        </w:rPr>
        <w:t xml:space="preserve">: Medicare practitioner, </w:t>
      </w:r>
      <w:proofErr w:type="gramStart"/>
      <w:r w:rsidRPr="00494081">
        <w:rPr>
          <w:sz w:val="22"/>
          <w:szCs w:val="22"/>
        </w:rPr>
        <w:t>patient</w:t>
      </w:r>
      <w:proofErr w:type="gramEnd"/>
      <w:r w:rsidRPr="00494081">
        <w:rPr>
          <w:sz w:val="22"/>
          <w:szCs w:val="22"/>
        </w:rPr>
        <w:t xml:space="preserve"> and payment link</w:t>
      </w:r>
      <w:bookmarkEnd w:id="45"/>
      <w:bookmarkEnd w:id="46"/>
    </w:p>
    <w:p w14:paraId="40268A03" w14:textId="77777777" w:rsidR="00445F46" w:rsidRPr="00CB36C0" w:rsidRDefault="00445F46" w:rsidP="00445F46">
      <w:pPr>
        <w:rPr>
          <w:szCs w:val="22"/>
        </w:rPr>
      </w:pPr>
      <w:r w:rsidRPr="00CB36C0">
        <w:rPr>
          <w:noProof/>
          <w:szCs w:val="22"/>
        </w:rPr>
        <w:drawing>
          <wp:inline distT="0" distB="0" distL="0" distR="0" wp14:anchorId="388958DC" wp14:editId="59EA65EA">
            <wp:extent cx="6216836" cy="2733675"/>
            <wp:effectExtent l="0" t="0" r="0" b="0"/>
            <wp:docPr id="14" name="Picture 14" descr="Figure i is a flow chart showing the relationship between Medicare practitioners, patients, and payment.&#10;Patients no longer have same visibility over payments made, multiple practitioners involved in care of a patient with differing relationships, and practitioners are increasingly separated from b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i is a flow chart showing the relationship between Medicare practitioners, patients, and payment.&#10;Patients no longer have same visibility over payments made, multiple practitioners involved in care of a patient with differing relationships, and practitioners are increasingly separated from bill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0738" cy="2748582"/>
                    </a:xfrm>
                    <a:prstGeom prst="rect">
                      <a:avLst/>
                    </a:prstGeom>
                    <a:noFill/>
                  </pic:spPr>
                </pic:pic>
              </a:graphicData>
            </a:graphic>
          </wp:inline>
        </w:drawing>
      </w:r>
    </w:p>
    <w:p w14:paraId="21896291" w14:textId="773B887C" w:rsidR="00445F46" w:rsidRPr="008F226B" w:rsidRDefault="00445F46" w:rsidP="008F226B">
      <w:pPr>
        <w:pStyle w:val="Caption"/>
      </w:pPr>
      <w:r w:rsidRPr="008F226B">
        <w:lastRenderedPageBreak/>
        <w:t>Source: Philip Review (2023).</w:t>
      </w:r>
    </w:p>
    <w:p w14:paraId="2E972779" w14:textId="77777777" w:rsidR="00445F46" w:rsidRPr="00CB36C0" w:rsidRDefault="00445F46" w:rsidP="00445F46">
      <w:pPr>
        <w:rPr>
          <w:szCs w:val="22"/>
        </w:rPr>
      </w:pPr>
      <w:r w:rsidRPr="00CB36C0">
        <w:rPr>
          <w:szCs w:val="22"/>
        </w:rPr>
        <w:t xml:space="preserve">All these changes open the door for integrity and compliance risks. When there was a clear link between payment, </w:t>
      </w:r>
      <w:proofErr w:type="gramStart"/>
      <w:r w:rsidRPr="00CB36C0">
        <w:rPr>
          <w:szCs w:val="22"/>
        </w:rPr>
        <w:t>patient</w:t>
      </w:r>
      <w:proofErr w:type="gramEnd"/>
      <w:r w:rsidRPr="00CB36C0">
        <w:rPr>
          <w:szCs w:val="22"/>
        </w:rPr>
        <w:t xml:space="preserve"> and practitioner there were inbuilt compliance and integrity checks present that protected practitioners and the Scheme. However, now that some of the fundamental assumptions about the system are no longer always true, there needs to be more consideration given to what this means for the extent, </w:t>
      </w:r>
      <w:proofErr w:type="gramStart"/>
      <w:r w:rsidRPr="00CB36C0">
        <w:rPr>
          <w:szCs w:val="22"/>
        </w:rPr>
        <w:t>nature</w:t>
      </w:r>
      <w:proofErr w:type="gramEnd"/>
      <w:r w:rsidRPr="00CB36C0">
        <w:rPr>
          <w:szCs w:val="22"/>
        </w:rPr>
        <w:t xml:space="preserve"> and type of compliance activities necessary to protect the Scheme and the practitioners who bill to it.</w:t>
      </w:r>
    </w:p>
    <w:p w14:paraId="77D21BC7" w14:textId="77777777" w:rsidR="00445F46" w:rsidRPr="00CB36C0" w:rsidRDefault="00445F46" w:rsidP="00445F46">
      <w:pPr>
        <w:rPr>
          <w:szCs w:val="22"/>
        </w:rPr>
      </w:pPr>
      <w:r w:rsidRPr="00CB36C0">
        <w:rPr>
          <w:szCs w:val="22"/>
        </w:rPr>
        <w:t xml:space="preserve">The compliance and integrity activities which control the Scheme not only have the capacity to influence efficient operation but also the effective and sustainable delivery of high-quality and safe healthcare. </w:t>
      </w:r>
    </w:p>
    <w:p w14:paraId="5280A4CB" w14:textId="15D3E813" w:rsidR="00445F46" w:rsidRPr="007B5522" w:rsidRDefault="00445F46" w:rsidP="007B5522">
      <w:r w:rsidRPr="007B5522">
        <w:t xml:space="preserve">There are a number of factors that are starting to generate </w:t>
      </w:r>
      <w:r w:rsidRPr="007B5522">
        <w:rPr>
          <w:rStyle w:val="Strong"/>
        </w:rPr>
        <w:t>vulnerabilities</w:t>
      </w:r>
      <w:r w:rsidRPr="007B5522">
        <w:t xml:space="preserve"> in Australia’s Medicare payments system, including:</w:t>
      </w:r>
    </w:p>
    <w:p w14:paraId="3EB1F6CD" w14:textId="77777777" w:rsidR="007B5522" w:rsidRDefault="00445F46" w:rsidP="007B5522">
      <w:pPr>
        <w:pStyle w:val="ListNumber"/>
      </w:pPr>
      <w:r w:rsidRPr="007B5522">
        <w:t xml:space="preserve">The </w:t>
      </w:r>
      <w:r w:rsidRPr="007B5522">
        <w:rPr>
          <w:rStyle w:val="Strong"/>
        </w:rPr>
        <w:t>changing burden of disease</w:t>
      </w:r>
      <w:r w:rsidRPr="007B5522">
        <w:t xml:space="preserve"> in Australia: the growth of more complex and chronic diseases is not easily addressed by the current controls in Australia’s payment system.</w:t>
      </w:r>
    </w:p>
    <w:p w14:paraId="00EC2FA7" w14:textId="24D29BDB" w:rsidR="00445F46" w:rsidRPr="007B5522" w:rsidRDefault="00445F46" w:rsidP="007B5522">
      <w:pPr>
        <w:pStyle w:val="ListNumber"/>
      </w:pPr>
      <w:r w:rsidRPr="007B5522">
        <w:t xml:space="preserve">The </w:t>
      </w:r>
      <w:r w:rsidRPr="007B5522">
        <w:rPr>
          <w:rStyle w:val="Strong"/>
        </w:rPr>
        <w:t>changing nature of healthcare delivery</w:t>
      </w:r>
      <w:r w:rsidRPr="007B5522">
        <w:t>: it used to be the case that there was a simple relationship between provider, patient, and payments. This is no longer the case as multidisciplinary teams have formed around more complex cases, a broader range of healthcare professionals have been embraced into the remit of the Medicare system, and where the biller is not necessarily the service provider. </w:t>
      </w:r>
    </w:p>
    <w:p w14:paraId="7FECCDE4" w14:textId="4CBA0C1A" w:rsidR="00445F46" w:rsidRPr="007B5522" w:rsidRDefault="00445F46" w:rsidP="007B5522">
      <w:pPr>
        <w:pStyle w:val="ListNumber"/>
      </w:pPr>
      <w:r w:rsidRPr="007B5522">
        <w:t xml:space="preserve">The </w:t>
      </w:r>
      <w:r w:rsidRPr="007B5522">
        <w:rPr>
          <w:rStyle w:val="Strong"/>
        </w:rPr>
        <w:t>MBS is complex</w:t>
      </w:r>
      <w:r w:rsidRPr="007B5522">
        <w:t xml:space="preserve">: </w:t>
      </w:r>
      <w:r w:rsidR="00EE5568" w:rsidRPr="007B5522">
        <w:t xml:space="preserve">while health practitioners typically claim a limited number of MBS items relevant to their specific practice, </w:t>
      </w:r>
      <w:r w:rsidRPr="007B5522">
        <w:t>there are now around 6,000 Medicare items which are not always clear to navigate and interpret</w:t>
      </w:r>
      <w:r w:rsidR="00D14095" w:rsidRPr="007B5522">
        <w:t xml:space="preserve">. </w:t>
      </w:r>
      <w:r w:rsidR="007250D2" w:rsidRPr="007B5522">
        <w:t>Despite the fact that peak bodies of healthcare professionals continue to be engaged in the design of MBS items through MSAC and the MBS Continuous Review, changes occur to these items</w:t>
      </w:r>
      <w:r w:rsidRPr="007B5522">
        <w:t xml:space="preserve"> at a frequency which is difficult for individual practitioners to keep up with. Indeed, I am advised that some 3,000 Medicare items underwent some change over the last 2-3 years</w:t>
      </w:r>
      <w:r w:rsidR="000702E7" w:rsidRPr="007B5522">
        <w:t>. In this environment, communication of changes to health professionals themselves needs to improve</w:t>
      </w:r>
      <w:r w:rsidRPr="007B5522">
        <w:t>. </w:t>
      </w:r>
    </w:p>
    <w:p w14:paraId="3AA394D2" w14:textId="77777777" w:rsidR="00445F46" w:rsidRPr="007B5522" w:rsidRDefault="00445F46" w:rsidP="007B5522">
      <w:pPr>
        <w:pStyle w:val="ListNumber"/>
      </w:pPr>
      <w:r w:rsidRPr="007B5522">
        <w:rPr>
          <w:rStyle w:val="Strong"/>
        </w:rPr>
        <w:t>Corporatisation of medicine</w:t>
      </w:r>
      <w:r w:rsidRPr="007B5522">
        <w:t>: the growing corporatisation of medicine has further weakened the simple relationship between provider, patient, and payment. Increasingly, practitioners note that they have less and less visibility and control over what is billed in their name. Surprisingly, entities which can run medical centres do not need to be registered for the purposes of submitting Medicare claims and being paid by Medicare. </w:t>
      </w:r>
    </w:p>
    <w:p w14:paraId="30911E5F" w14:textId="1544D2CE" w:rsidR="00445F46" w:rsidRPr="007B5522" w:rsidRDefault="00445F46" w:rsidP="007B5522">
      <w:pPr>
        <w:pStyle w:val="ListNumber"/>
      </w:pPr>
      <w:r w:rsidRPr="007B5522">
        <w:rPr>
          <w:rStyle w:val="Strong"/>
        </w:rPr>
        <w:t>Growth in billing software</w:t>
      </w:r>
      <w:r w:rsidRPr="007B5522">
        <w:t xml:space="preserve">: there is a rise in Medicare billing software employed in practice, yet </w:t>
      </w:r>
      <w:r w:rsidR="00F07A8B" w:rsidRPr="007B5522">
        <w:t xml:space="preserve">the current accreditation processes </w:t>
      </w:r>
      <w:r w:rsidR="00FA5173" w:rsidRPr="007B5522">
        <w:t xml:space="preserve">do not </w:t>
      </w:r>
      <w:r w:rsidR="00053EBB" w:rsidRPr="007B5522">
        <w:t xml:space="preserve">progress far enough to limit the opportunity for non-compliance, </w:t>
      </w:r>
      <w:proofErr w:type="gramStart"/>
      <w:r w:rsidR="00053EBB" w:rsidRPr="007B5522">
        <w:t>fraud</w:t>
      </w:r>
      <w:proofErr w:type="gramEnd"/>
      <w:r w:rsidR="00053EBB" w:rsidRPr="007B5522">
        <w:t xml:space="preserve"> and billing errors.</w:t>
      </w:r>
      <w:r w:rsidRPr="007B5522">
        <w:t> </w:t>
      </w:r>
    </w:p>
    <w:p w14:paraId="4A46F36F" w14:textId="6660B1F4" w:rsidR="00445F46" w:rsidRPr="007B5522" w:rsidRDefault="00445F46" w:rsidP="007B5522">
      <w:pPr>
        <w:pStyle w:val="ListNumber"/>
      </w:pPr>
      <w:r w:rsidRPr="007B5522">
        <w:rPr>
          <w:rStyle w:val="Strong"/>
        </w:rPr>
        <w:t>Public hospitals</w:t>
      </w:r>
      <w:r w:rsidRPr="00E51A71">
        <w:rPr>
          <w:rStyle w:val="Strong"/>
        </w:rPr>
        <w:t xml:space="preserve"> MBS billing arrangements are opaque</w:t>
      </w:r>
      <w:r w:rsidRPr="00E51A71">
        <w:t>:</w:t>
      </w:r>
      <w:r w:rsidRPr="007B5522">
        <w:t xml:space="preserve"> there is increasing concern that medical specialists in public hospitals claim to have little or no visibility of what is billed in their name. This is a matter for further investigation and discussion with States and Territories beyond this Review’s timeframe. </w:t>
      </w:r>
      <w:r w:rsidR="00726DE2" w:rsidRPr="007B5522">
        <w:t xml:space="preserve">This is a matter which should be the subject of further </w:t>
      </w:r>
      <w:r w:rsidR="002139BC" w:rsidRPr="007B5522">
        <w:t>work</w:t>
      </w:r>
      <w:r w:rsidR="00766C2A" w:rsidRPr="007B5522">
        <w:t xml:space="preserve"> as part of broader Commonwealth-State health reforms.</w:t>
      </w:r>
    </w:p>
    <w:p w14:paraId="1EF5C9C2" w14:textId="0C57D7D2" w:rsidR="00445F46" w:rsidRPr="007B5522" w:rsidRDefault="00445F46" w:rsidP="007B5522">
      <w:pPr>
        <w:pStyle w:val="ListNumber"/>
      </w:pPr>
      <w:r w:rsidRPr="007B5522">
        <w:rPr>
          <w:rStyle w:val="Strong"/>
        </w:rPr>
        <w:t>Economics of medicine</w:t>
      </w:r>
      <w:r w:rsidRPr="007B5522">
        <w:t xml:space="preserve">: there is sufficient evidence and arguments that as the economics of practicing medicine come under pressure (namely the prolonged </w:t>
      </w:r>
      <w:r w:rsidR="2AA74A29" w:rsidRPr="007B5522">
        <w:t>period</w:t>
      </w:r>
      <w:r w:rsidR="00B13AFB" w:rsidRPr="007B5522">
        <w:t xml:space="preserve"> </w:t>
      </w:r>
      <w:r w:rsidRPr="007B5522">
        <w:t>of the freezing and non</w:t>
      </w:r>
      <w:r w:rsidR="006C207B" w:rsidRPr="007B5522">
        <w:t>-</w:t>
      </w:r>
      <w:r w:rsidRPr="007B5522">
        <w:t>increase of the Medicare rebate), there will, axiomatically, be an incentive to game or rort the payment system and/or see under billing result in under servicing of Australians and their health needs. </w:t>
      </w:r>
    </w:p>
    <w:p w14:paraId="2F79414D" w14:textId="77777777" w:rsidR="007B5522" w:rsidRPr="007B5522" w:rsidRDefault="00445F46" w:rsidP="007B5522">
      <w:pPr>
        <w:pStyle w:val="ListNumber"/>
      </w:pPr>
      <w:r w:rsidRPr="007B5522">
        <w:rPr>
          <w:rStyle w:val="Strong"/>
        </w:rPr>
        <w:t>Lack of continuous monitoring and compliance</w:t>
      </w:r>
      <w:r w:rsidRPr="007B5522">
        <w:t>: the current system for risk identification and analysis is predominantly project based rather than continuous and proactive. Notwithstanding the ‘fear’ in the system regarding compliance, a very small proportion of payments are scrutinised or systematically analysed. The lack of continuous monitoring and analysis of the 500 million transactions a year is a growing area of vulnerability. </w:t>
      </w:r>
    </w:p>
    <w:p w14:paraId="6C6B313A" w14:textId="276CDC98" w:rsidR="00445F46" w:rsidRPr="007B5522" w:rsidRDefault="00445F46" w:rsidP="007B5522">
      <w:r w:rsidRPr="007B5522">
        <w:t xml:space="preserve">These are significant forces at work in the health system – its evolution not matched by the policy and legislative underpinnings of the payment system. Moreover, </w:t>
      </w:r>
      <w:r w:rsidRPr="007B5522">
        <w:rPr>
          <w:rStyle w:val="Strong"/>
        </w:rPr>
        <w:t>the current system is overly fragmented, disjointed, and lacking in contemporary tools to detect and address non-compliance and fraud, despite the best endeavours of bureaucrats, regulators, and peak bodies</w:t>
      </w:r>
      <w:r w:rsidRPr="007B5522">
        <w:t>.</w:t>
      </w:r>
    </w:p>
    <w:p w14:paraId="674C6D43" w14:textId="5ACA5654" w:rsidR="00445F46" w:rsidRPr="007B5522" w:rsidRDefault="00445F46" w:rsidP="007B5522">
      <w:r w:rsidRPr="007B5522">
        <w:t xml:space="preserve">I observe that each part of the compliance system works to maximise their remit, but there is little connectedness in the system. Policy is disconnected from payment, from risk identification and from risk treatment including compliance letters, </w:t>
      </w:r>
      <w:proofErr w:type="gramStart"/>
      <w:r w:rsidRPr="007B5522">
        <w:t>audits</w:t>
      </w:r>
      <w:proofErr w:type="gramEnd"/>
      <w:r w:rsidRPr="007B5522">
        <w:t xml:space="preserve"> and professional services review. Indeed, an important finding of this Review </w:t>
      </w:r>
      <w:r w:rsidR="1CA94DCC" w:rsidRPr="007B5522">
        <w:t xml:space="preserve">is </w:t>
      </w:r>
      <w:r w:rsidRPr="007B5522">
        <w:t xml:space="preserve">that it is </w:t>
      </w:r>
      <w:r w:rsidRPr="007B5522">
        <w:lastRenderedPageBreak/>
        <w:t xml:space="preserve">difficult to pinpoint who is ultimately responsible for the oversight of the operations of the compliance and integrity system of the Medicare payments system. In significant part, this reflects the administrative arrangements of the system which have moved between agencies and departments over many years even as the nature of the health system has been evolving at pace. Not surprisingly, </w:t>
      </w:r>
      <w:r w:rsidRPr="007B5522">
        <w:rPr>
          <w:rStyle w:val="Strong"/>
        </w:rPr>
        <w:t>governance has not kept up and has, indeed, become fragmented and disjointed</w:t>
      </w:r>
      <w:r w:rsidRPr="007B5522">
        <w:t>. This governance matter needs resolution and is a starting point in recommendations for reform.</w:t>
      </w:r>
    </w:p>
    <w:p w14:paraId="7A089275" w14:textId="77777777" w:rsidR="00445F46" w:rsidRPr="007B5522" w:rsidRDefault="00445F46" w:rsidP="007B5522">
      <w:r w:rsidRPr="007B5522">
        <w:t>In essence, my review makes the following system findings and recommended directions for reform:</w:t>
      </w:r>
    </w:p>
    <w:p w14:paraId="35E77AA8" w14:textId="3AEC6F2D" w:rsidR="00445F46" w:rsidRPr="007B5522" w:rsidRDefault="00445F46" w:rsidP="00DC7291">
      <w:pPr>
        <w:pStyle w:val="ListNumber"/>
        <w:numPr>
          <w:ilvl w:val="0"/>
          <w:numId w:val="24"/>
        </w:numPr>
      </w:pPr>
      <w:r w:rsidRPr="007B5522">
        <w:t xml:space="preserve">The MBS payment system is premised on a notion of patient-provider-payment relationship which is </w:t>
      </w:r>
      <w:r w:rsidR="006C207B" w:rsidRPr="007B5522">
        <w:t>increasingly less</w:t>
      </w:r>
      <w:r w:rsidRPr="007B5522">
        <w:t xml:space="preserve"> </w:t>
      </w:r>
      <w:proofErr w:type="gramStart"/>
      <w:r w:rsidRPr="007B5522">
        <w:t>valid</w:t>
      </w:r>
      <w:proofErr w:type="gramEnd"/>
      <w:r w:rsidRPr="007B5522">
        <w:t xml:space="preserve"> and the system of healthcare delivery is evolving at a pace which is rendering the current conception of the system, in legislation and regulatory practice, not fit for purpose.</w:t>
      </w:r>
    </w:p>
    <w:p w14:paraId="0C594518" w14:textId="7BE934FF" w:rsidR="00445F46" w:rsidRPr="007B5522" w:rsidRDefault="00445F46" w:rsidP="007B5522">
      <w:pPr>
        <w:pStyle w:val="ListBullet"/>
      </w:pPr>
      <w:r w:rsidRPr="007B5522">
        <w:t>The system, including legislation, and regulatory practice must recognise the new models of healthcare delivery such as greater corporatized medicine, greater use of multidisciplinary teams (adding to the complexity of billing), the emerging characteristic where the biller may or may not be the deliverer of the service, and new business models and software reducing the visibility and involvement of providers with their billing practices</w:t>
      </w:r>
      <w:r w:rsidR="0032087B" w:rsidRPr="007B5522">
        <w:t>.</w:t>
      </w:r>
    </w:p>
    <w:p w14:paraId="57BC56D3" w14:textId="3CA30A5B" w:rsidR="00445F46" w:rsidRPr="007B5522" w:rsidRDefault="00445F46" w:rsidP="007B5522">
      <w:pPr>
        <w:pStyle w:val="ListNumber"/>
      </w:pPr>
      <w:r w:rsidRPr="007B5522">
        <w:t xml:space="preserve">There is a </w:t>
      </w:r>
      <w:r w:rsidRPr="007B5522">
        <w:rPr>
          <w:rStyle w:val="Strong"/>
        </w:rPr>
        <w:t>disproportionate focus of the systems on post-payment</w:t>
      </w:r>
      <w:r w:rsidRPr="007B5522">
        <w:t xml:space="preserve"> with little attention paid to pre-payment, pre-claim, provider decision support for billing, or means to improve patient participation. </w:t>
      </w:r>
      <w:r w:rsidR="00BA3254" w:rsidRPr="007B5522">
        <w:t>To</w:t>
      </w:r>
      <w:r w:rsidRPr="007B5522">
        <w:t xml:space="preserve"> reduce non-compliance and fraud, clarity of the rules, </w:t>
      </w:r>
      <w:r w:rsidR="7301D8EE" w:rsidRPr="007B5522">
        <w:t xml:space="preserve">and </w:t>
      </w:r>
      <w:r w:rsidRPr="007B5522">
        <w:t xml:space="preserve">system focus </w:t>
      </w:r>
      <w:r w:rsidR="40F0037A" w:rsidRPr="007B5522">
        <w:t>on</w:t>
      </w:r>
      <w:r w:rsidRPr="007B5522">
        <w:t xml:space="preserve"> pre-claim and pre-payments is a necessity.  </w:t>
      </w:r>
    </w:p>
    <w:p w14:paraId="6F5BC3D3" w14:textId="77777777" w:rsidR="00445F46" w:rsidRPr="007B5522" w:rsidRDefault="00445F46" w:rsidP="007B5522">
      <w:pPr>
        <w:pStyle w:val="ListBullet"/>
      </w:pPr>
      <w:r w:rsidRPr="007B5522">
        <w:t xml:space="preserve">This also points to the importance, over time, of improving the stake that patients have in the billing and payment system, such as patient verification, via SMS, of services received and greater incentive to participate in their </w:t>
      </w:r>
      <w:proofErr w:type="spellStart"/>
      <w:r w:rsidRPr="007B5522">
        <w:t>MyHealth</w:t>
      </w:r>
      <w:proofErr w:type="spellEnd"/>
      <w:r w:rsidRPr="007B5522">
        <w:t xml:space="preserve"> record. </w:t>
      </w:r>
    </w:p>
    <w:p w14:paraId="2E747A6D" w14:textId="509D28EB" w:rsidR="00445F46" w:rsidRPr="007B5522" w:rsidRDefault="00445F46" w:rsidP="007B5522">
      <w:pPr>
        <w:pStyle w:val="ListBullet"/>
      </w:pPr>
      <w:r w:rsidRPr="007B5522">
        <w:t>Moreover, greater investment in decision support for practitioners is vital as technology evolves and data sets are better able to be utilised to reduce non-compliance and fraud in the system.</w:t>
      </w:r>
    </w:p>
    <w:p w14:paraId="45897C57" w14:textId="72DA3EB5" w:rsidR="00445F46" w:rsidRPr="007B5522" w:rsidRDefault="00331B29" w:rsidP="007B5522">
      <w:pPr>
        <w:pStyle w:val="ListNumber"/>
      </w:pPr>
      <w:r w:rsidRPr="007B5522">
        <w:t>A</w:t>
      </w:r>
      <w:r w:rsidR="00445F46" w:rsidRPr="007B5522">
        <w:t xml:space="preserve"> </w:t>
      </w:r>
      <w:r w:rsidR="00445F46" w:rsidRPr="007B5522">
        <w:rPr>
          <w:rStyle w:val="Strong"/>
        </w:rPr>
        <w:t>governance gap</w:t>
      </w:r>
      <w:r w:rsidR="00445F46" w:rsidRPr="007B5522">
        <w:t xml:space="preserve"> </w:t>
      </w:r>
      <w:r w:rsidRPr="007B5522">
        <w:t xml:space="preserve">has emerged </w:t>
      </w:r>
      <w:r w:rsidR="00445F46" w:rsidRPr="007B5522">
        <w:t>over the years. Governance must be improved to drive accountability, co-ordination, and integration in the compliance and integrity of the MBS payment system. Without more end</w:t>
      </w:r>
      <w:r w:rsidR="00924B0B" w:rsidRPr="007B5522">
        <w:t>-</w:t>
      </w:r>
      <w:r w:rsidR="00445F46" w:rsidRPr="007B5522">
        <w:t>to</w:t>
      </w:r>
      <w:r w:rsidR="00924B0B" w:rsidRPr="007B5522">
        <w:t>-</w:t>
      </w:r>
      <w:r w:rsidR="00445F46" w:rsidRPr="007B5522">
        <w:t>end integration and system oversight, it is hard to achieve best practice in good enforcement and compliance regimes. Ensuring that policy intent, changes in the system, feedback loops to practitioners, and risk intelligence is shared and acted upon to deliver outcomes of reduce non-compliance and fraud is paramount.</w:t>
      </w:r>
    </w:p>
    <w:p w14:paraId="46740027" w14:textId="0DE0AFE8" w:rsidR="00445F46" w:rsidRPr="007B5522" w:rsidRDefault="00445F46" w:rsidP="007B5522">
      <w:pPr>
        <w:pStyle w:val="ListNumber"/>
      </w:pPr>
      <w:r w:rsidRPr="007B5522">
        <w:t xml:space="preserve">There is no </w:t>
      </w:r>
      <w:r w:rsidRPr="007B5522">
        <w:rPr>
          <w:rStyle w:val="Strong"/>
        </w:rPr>
        <w:t>continuous monitorin</w:t>
      </w:r>
      <w:r w:rsidRPr="007B5522">
        <w:t>g of payment transactions in the system. With $38b in annual Medicare payments and more than 500 million transactions a year, it would be expected</w:t>
      </w:r>
      <w:r w:rsidR="6130973F" w:rsidRPr="007B5522">
        <w:t xml:space="preserve"> that</w:t>
      </w:r>
      <w:r w:rsidRPr="007B5522">
        <w:t xml:space="preserve">, </w:t>
      </w:r>
      <w:r w:rsidR="008F5AC9" w:rsidRPr="007B5522">
        <w:t>like</w:t>
      </w:r>
      <w:r w:rsidRPr="007B5522">
        <w:t xml:space="preserve"> </w:t>
      </w:r>
      <w:r w:rsidR="2C090D9F" w:rsidRPr="007B5522">
        <w:t xml:space="preserve">what exists in </w:t>
      </w:r>
      <w:r w:rsidRPr="007B5522">
        <w:t>financial institutions, that continuous monitoring be established. This must be given careful consideration to ensure that most payments continue to be paid at time of claim, and that those flagged</w:t>
      </w:r>
      <w:r w:rsidR="49657477" w:rsidRPr="007B5522">
        <w:t>,</w:t>
      </w:r>
      <w:r w:rsidRPr="007B5522">
        <w:t xml:space="preserve"> by risk</w:t>
      </w:r>
      <w:r w:rsidR="63FF3AB2" w:rsidRPr="007B5522">
        <w:t>, for query</w:t>
      </w:r>
      <w:r w:rsidRPr="007B5522">
        <w:t xml:space="preserve"> are resolved within 48 hours to 7 days </w:t>
      </w:r>
      <w:r w:rsidR="00215E51" w:rsidRPr="007B5522">
        <w:t>to</w:t>
      </w:r>
      <w:r w:rsidRPr="007B5522">
        <w:t xml:space="preserve"> minimise any cash flow implications for patients and practitioners. Continuous monitoring would enable for:</w:t>
      </w:r>
    </w:p>
    <w:p w14:paraId="6B36BD3E" w14:textId="1C5F78D0" w:rsidR="00445F46" w:rsidRPr="007B5522" w:rsidRDefault="00924B0B" w:rsidP="007B5522">
      <w:pPr>
        <w:pStyle w:val="ListBullet"/>
      </w:pPr>
      <w:r w:rsidRPr="007B5522">
        <w:t>A</w:t>
      </w:r>
      <w:r w:rsidR="00445F46" w:rsidRPr="007B5522">
        <w:t xml:space="preserve"> timely verification of payments, </w:t>
      </w:r>
    </w:p>
    <w:p w14:paraId="2E06F500" w14:textId="471B9283" w:rsidR="00445F46" w:rsidRPr="007B5522" w:rsidRDefault="00924B0B" w:rsidP="007B5522">
      <w:pPr>
        <w:pStyle w:val="ListBullet"/>
      </w:pPr>
      <w:r w:rsidRPr="007B5522">
        <w:t>T</w:t>
      </w:r>
      <w:r w:rsidR="00445F46" w:rsidRPr="007B5522">
        <w:t xml:space="preserve">he collection of valuable data for risk analysis, </w:t>
      </w:r>
    </w:p>
    <w:p w14:paraId="5BF1D60B" w14:textId="66705510" w:rsidR="00445F46" w:rsidRPr="007B5522" w:rsidRDefault="00924B0B" w:rsidP="007B5522">
      <w:pPr>
        <w:pStyle w:val="ListBullet"/>
      </w:pPr>
      <w:r w:rsidRPr="007B5522">
        <w:t>A</w:t>
      </w:r>
      <w:r w:rsidR="00445F46" w:rsidRPr="007B5522">
        <w:t xml:space="preserve"> timely intervention with practitioners in treatment pathways thus reducing the cost of compliance, and</w:t>
      </w:r>
    </w:p>
    <w:p w14:paraId="67AD440D" w14:textId="4C859D3B" w:rsidR="00445F46" w:rsidRPr="007B5522" w:rsidRDefault="11534DF2" w:rsidP="007B5522">
      <w:pPr>
        <w:pStyle w:val="ListBullet"/>
      </w:pPr>
      <w:r w:rsidRPr="007B5522">
        <w:t>A</w:t>
      </w:r>
      <w:r w:rsidR="002F2A26" w:rsidRPr="007B5522">
        <w:t xml:space="preserve"> </w:t>
      </w:r>
      <w:r w:rsidR="00445F46" w:rsidRPr="007B5522">
        <w:t>better systemic education feedback loo</w:t>
      </w:r>
      <w:r w:rsidR="00062598" w:rsidRPr="007B5522">
        <w:t>p</w:t>
      </w:r>
      <w:r w:rsidR="00445F46" w:rsidRPr="007B5522">
        <w:t xml:space="preserve"> to ensure that practitioners are better educated in close to real time on billing and care, thus reducing non-compliance and cost in the system</w:t>
      </w:r>
      <w:r w:rsidR="00924B0B" w:rsidRPr="007B5522">
        <w:t>.</w:t>
      </w:r>
    </w:p>
    <w:p w14:paraId="7D18A1AD" w14:textId="7BA6C63E" w:rsidR="00445F46" w:rsidRPr="007B5522" w:rsidRDefault="00445F46" w:rsidP="007B5522">
      <w:pPr>
        <w:pStyle w:val="ListNumber"/>
      </w:pPr>
      <w:r w:rsidRPr="007B5522">
        <w:t xml:space="preserve">The current </w:t>
      </w:r>
      <w:r w:rsidRPr="007B5522">
        <w:rPr>
          <w:rStyle w:val="Strong"/>
        </w:rPr>
        <w:t>technology platform</w:t>
      </w:r>
      <w:r w:rsidRPr="007B5522">
        <w:t xml:space="preserve"> for analysis and payments used is old and runs the risk of being unsuitable </w:t>
      </w:r>
      <w:r w:rsidR="00FA1ED5" w:rsidRPr="007B5522">
        <w:t xml:space="preserve">to support </w:t>
      </w:r>
      <w:r w:rsidR="00E65D41" w:rsidRPr="007B5522">
        <w:t>integrity into the future</w:t>
      </w:r>
      <w:r w:rsidRPr="007B5522">
        <w:t>. In order to implement continuous monitoring, the ‘brain’ of the system needs to be modernised, and new controls, in line with a 3 lines of defence methodology, should be adopted. More effective controls means that timeliness of feedback to practitioners becomes central to behaviour change and knowledge exchange. This will require a major investment in modernising the platform and compliance tools and techniques.</w:t>
      </w:r>
    </w:p>
    <w:p w14:paraId="34FF6CD3" w14:textId="00BCF441" w:rsidR="00445F46" w:rsidRPr="007B5522" w:rsidRDefault="00445F46" w:rsidP="007B5522">
      <w:pPr>
        <w:pStyle w:val="ListNumber"/>
      </w:pPr>
      <w:r w:rsidRPr="007B5522">
        <w:t xml:space="preserve">Risk identification and treatment pathways currently rely, overly, on tip offs, outlier analysis, and the limited capacity of the </w:t>
      </w:r>
      <w:r w:rsidR="009931E5" w:rsidRPr="007B5522">
        <w:t>department</w:t>
      </w:r>
      <w:r w:rsidRPr="007B5522">
        <w:t xml:space="preserve"> to conduct a small number of campaigns each year. Continuous monitoring and risk stratification go hand in hand with assessment of each transaction in a continuous monitoring regime. This will require significant resourcing of the </w:t>
      </w:r>
      <w:r w:rsidR="009931E5" w:rsidRPr="007B5522">
        <w:t>department</w:t>
      </w:r>
      <w:r w:rsidRPr="007B5522">
        <w:t xml:space="preserve"> to carry out this function.</w:t>
      </w:r>
      <w:r w:rsidR="00D73089" w:rsidRPr="007B5522">
        <w:t xml:space="preserve"> I also strongly recommend that the </w:t>
      </w:r>
      <w:r w:rsidR="009931E5" w:rsidRPr="007B5522">
        <w:lastRenderedPageBreak/>
        <w:t>department</w:t>
      </w:r>
      <w:r w:rsidR="00A3030E" w:rsidRPr="007B5522">
        <w:t xml:space="preserve"> conduct further </w:t>
      </w:r>
      <w:r w:rsidR="00C01ECD" w:rsidRPr="007B5522">
        <w:t xml:space="preserve">analysis of </w:t>
      </w:r>
      <w:r w:rsidR="00327B6E" w:rsidRPr="007B5522">
        <w:t>non-compliance and fraud, alongside considerations of low value care and waste, based on more comprehensive data sets.</w:t>
      </w:r>
    </w:p>
    <w:p w14:paraId="45FEA19C" w14:textId="65D3782B" w:rsidR="00445F46" w:rsidRPr="007B5522" w:rsidRDefault="00445F46" w:rsidP="007B5522">
      <w:pPr>
        <w:pStyle w:val="ListNumber"/>
      </w:pPr>
      <w:r w:rsidRPr="007B5522">
        <w:t xml:space="preserve">While consultations between the </w:t>
      </w:r>
      <w:r w:rsidR="009931E5" w:rsidRPr="007B5522">
        <w:t>department</w:t>
      </w:r>
      <w:r w:rsidRPr="007B5522">
        <w:t xml:space="preserve"> and the sector are good, they do not translate sufficiently well into proper feedback loops around education. Stakeholder involvement should move significantly more towards education than mere consultation on changes and compliance campaigns. While there are good lines of communication, these need to translate into practitioner support – through greater clarity of billing, changes and new interpretations of items, and better planning to assist practitioners when Medicare items are created or changed.</w:t>
      </w:r>
    </w:p>
    <w:p w14:paraId="333297B4" w14:textId="7CB5EAA6" w:rsidR="00A5446A" w:rsidRPr="007B5522" w:rsidRDefault="00A5446A" w:rsidP="007B5522">
      <w:pPr>
        <w:pStyle w:val="ListNumber"/>
      </w:pPr>
      <w:r w:rsidRPr="007B5522">
        <w:t xml:space="preserve">The </w:t>
      </w:r>
      <w:r w:rsidR="0032087B" w:rsidRPr="007B5522">
        <w:t>Professional Services Review (</w:t>
      </w:r>
      <w:r w:rsidRPr="007B5522">
        <w:t>PSR</w:t>
      </w:r>
      <w:r w:rsidR="0032087B" w:rsidRPr="007B5522">
        <w:t>)</w:t>
      </w:r>
      <w:r w:rsidRPr="007B5522">
        <w:t xml:space="preserve"> regime generates significant ‘fear’ among practitioners despite a very small number of the practitioner population ever getting near the PSR. Many stakeholders agree it is important for there to be an effective, independent Medicare regulator, and current referrals to PSR are based on rigorous analysis of claiming behaviour of those preselected for review. </w:t>
      </w:r>
      <w:r w:rsidR="001157DB" w:rsidRPr="007B5522">
        <w:t>But the sam</w:t>
      </w:r>
      <w:r w:rsidR="0057540F" w:rsidRPr="007B5522">
        <w:t>p</w:t>
      </w:r>
      <w:r w:rsidR="001157DB" w:rsidRPr="007B5522">
        <w:t xml:space="preserve">le size is limited by virtue of there not being any continuous monitoring of all transactions. </w:t>
      </w:r>
    </w:p>
    <w:p w14:paraId="0DBA0A0C" w14:textId="0DBA9E85" w:rsidR="00A5446A" w:rsidRPr="007B5522" w:rsidRDefault="001157DB" w:rsidP="007B5522">
      <w:pPr>
        <w:pStyle w:val="ListNumber"/>
      </w:pPr>
      <w:r w:rsidRPr="007B5522">
        <w:t>Moreover</w:t>
      </w:r>
      <w:r w:rsidR="00A5446A" w:rsidRPr="007B5522">
        <w:t>, factors such as timeliness (lack thereof) and compliance costs risk undermining support for this key integrity mechanism. Continuous monitoring and timely analysis of payments and greater emphasis on early identification of non-compliance and education will help to ensure that the pathways to the PSR are reserved for the most serious cases of non-compliance and potential inappropriate practice. Greater timeliness in identifying serious non-compliance means that concerning behaviours are addressed sooner by PSR.</w:t>
      </w:r>
      <w:r w:rsidR="00267904" w:rsidRPr="007B5522">
        <w:t xml:space="preserve"> </w:t>
      </w:r>
      <w:r w:rsidR="00A5446A" w:rsidRPr="007B5522">
        <w:t xml:space="preserve">An anachronism of the current system is the veto power vested in the AMA on the appointment of the Director of the PSR. On account that the PSR looks across multiple disciplines, this veto approval power should be removed as part of the modernisation of the system. Notwithstanding the views of the AMA, I suggest this is a power that won’t be missed (as it has never been exercised, to date, as </w:t>
      </w:r>
      <w:r w:rsidR="004B75F4" w:rsidRPr="007B5522">
        <w:t>confirmed</w:t>
      </w:r>
      <w:r w:rsidR="00A5446A" w:rsidRPr="007B5522">
        <w:t xml:space="preserve"> by the AMA). </w:t>
      </w:r>
    </w:p>
    <w:p w14:paraId="68C30D5B" w14:textId="6E492CD0" w:rsidR="00445F46" w:rsidRPr="007B5522" w:rsidRDefault="00445F46" w:rsidP="007B5522">
      <w:pPr>
        <w:pStyle w:val="ListNumber"/>
      </w:pPr>
      <w:r w:rsidRPr="007B5522">
        <w:t xml:space="preserve">With around 6,000 Medicare items, which are undergoing constant change, and 14 </w:t>
      </w:r>
      <w:r w:rsidR="00EB362B" w:rsidRPr="007B5522">
        <w:t xml:space="preserve">claim </w:t>
      </w:r>
      <w:r w:rsidRPr="007B5522">
        <w:t xml:space="preserve">channels, simplicity is a critical objective for reform. It will be important to consider reforms to Medicare items to drive simplification and clarity, and a system reduction in </w:t>
      </w:r>
      <w:r w:rsidR="005369B8" w:rsidRPr="007B5522">
        <w:t>claiming channel</w:t>
      </w:r>
      <w:r w:rsidRPr="007B5522">
        <w:t xml:space="preserve">s is necessary. Consideration should be given to restructuring the design and composition of MBS items with a time-based backbone together with additional specific intervention and procedure codes, bundling of co-claimed surgical items to create single procedure codes, and integration of pre-claim decision support into </w:t>
      </w:r>
      <w:r w:rsidR="00B40764" w:rsidRPr="007B5522">
        <w:t xml:space="preserve">primary care </w:t>
      </w:r>
      <w:r w:rsidRPr="007B5522">
        <w:t>practice management software</w:t>
      </w:r>
      <w:r w:rsidR="008E0DE4" w:rsidRPr="007B5522">
        <w:t>.</w:t>
      </w:r>
    </w:p>
    <w:p w14:paraId="5789EFAC" w14:textId="77777777" w:rsidR="007B5522" w:rsidRPr="007B5522" w:rsidRDefault="00445F46" w:rsidP="007B5522">
      <w:pPr>
        <w:pStyle w:val="ListNumber"/>
      </w:pPr>
      <w:r w:rsidRPr="007B5522">
        <w:t xml:space="preserve">Consistent with finding (1) above, and the program of reforms outlined, legislative change will be important to facilitate the objectives of better governance, continuous monitoring, risk identification and treatment, and better capturing the way healthcare is delivered. Some legislative changes to drive better compliance </w:t>
      </w:r>
      <w:r w:rsidR="003D521E" w:rsidRPr="007B5522">
        <w:t>are</w:t>
      </w:r>
      <w:r w:rsidRPr="007B5522">
        <w:t xml:space="preserve"> included in this Review, but more detailed consideration of legislative changes should be considered as the Government determines a course of action flowing from this Review.</w:t>
      </w:r>
    </w:p>
    <w:p w14:paraId="58505A94" w14:textId="0DC0D811" w:rsidR="00445F46" w:rsidRPr="007B5522" w:rsidRDefault="00445F46" w:rsidP="007B5522">
      <w:r w:rsidRPr="007B5522">
        <w:t>In terms of the current compliance regime, it is clear that it is partial and sub-optimal in its effectiveness – significantly due to its project-based approach, ad hoc nature of inputs, over-reliance on tip</w:t>
      </w:r>
      <w:r w:rsidR="00A65897" w:rsidRPr="007B5522">
        <w:t xml:space="preserve"> </w:t>
      </w:r>
      <w:r w:rsidRPr="007B5522">
        <w:t xml:space="preserve">offs, lack of systematic measures for continuous monitoring, and the disjointed nature of the parts of the compliance system which makes it hard to assess success or failure. </w:t>
      </w:r>
      <w:proofErr w:type="gramStart"/>
      <w:r w:rsidRPr="007B5522">
        <w:t>Having noted that, there</w:t>
      </w:r>
      <w:proofErr w:type="gramEnd"/>
      <w:r w:rsidRPr="007B5522">
        <w:t xml:space="preserve"> is much to commend those working in the system (in both the </w:t>
      </w:r>
      <w:r w:rsidR="009931E5" w:rsidRPr="007B5522">
        <w:t>department</w:t>
      </w:r>
      <w:r w:rsidRPr="007B5522">
        <w:t xml:space="preserve"> and Services Australia) who are diligent and working with the best that they have in terms of resources, infrastructure, and tools. Importantly, though, looking ahead, serious consideration needs to be given to the emphasis of the compliance system.</w:t>
      </w:r>
    </w:p>
    <w:p w14:paraId="1DAFB93C" w14:textId="5F9261DA" w:rsidR="00445F46" w:rsidRPr="007B5522" w:rsidRDefault="00445F46" w:rsidP="007B5522">
      <w:r w:rsidRPr="007B5522">
        <w:t xml:space="preserve">A focus on these findings and </w:t>
      </w:r>
      <w:r w:rsidR="058E856E" w:rsidRPr="007B5522">
        <w:t xml:space="preserve">the </w:t>
      </w:r>
      <w:r w:rsidRPr="007B5522">
        <w:t>way-forward can help simplify the navigation of the system by practitioners, patients, and regulators, and lead to better outcomes in terms of fraud and errors being avoided and fraud being detected and caught.</w:t>
      </w:r>
    </w:p>
    <w:p w14:paraId="7961E1A0" w14:textId="77777777" w:rsidR="00445F46" w:rsidRPr="007B5522" w:rsidRDefault="00445F46" w:rsidP="007B5522">
      <w:r w:rsidRPr="007B5522">
        <w:t xml:space="preserve">Based on the various analyses completed to date (consultations and desktop review), and my understanding of the maturity of the system, I consider it likely that non-compliance comprises a more significant component of leakage in the system compared to fraud, however, this could change significantly if left unaddressed. </w:t>
      </w:r>
    </w:p>
    <w:p w14:paraId="3B19A51F" w14:textId="0CFB46EB" w:rsidR="00445F46" w:rsidRPr="007B5522" w:rsidRDefault="00445F46" w:rsidP="007B5522">
      <w:r w:rsidRPr="007B5522">
        <w:t>It is difficult to escape the conclusion that the vulnerabilities in the system are real and material. The nature of the solution is structural – from major investments in the payment platform to handle a workable risk</w:t>
      </w:r>
      <w:r w:rsidR="5C54F620" w:rsidRPr="007B5522">
        <w:t>-</w:t>
      </w:r>
      <w:r w:rsidRPr="007B5522">
        <w:t xml:space="preserve">based system, to better business rules and controls, to continuous monitoring, to better governance and data sharing, to systems which provide better education and decision supports to providers, and, in the longer term, ways to bring greater </w:t>
      </w:r>
      <w:r w:rsidRPr="007B5522">
        <w:lastRenderedPageBreak/>
        <w:t xml:space="preserve">consumer participation into the system (perhaps in conjunction with the Australian Digital </w:t>
      </w:r>
      <w:r w:rsidR="00AD0977" w:rsidRPr="007B5522">
        <w:t>H</w:t>
      </w:r>
      <w:r w:rsidRPr="007B5522">
        <w:t xml:space="preserve">ealth Agency and the Australian Consumer </w:t>
      </w:r>
      <w:r w:rsidR="00E53202" w:rsidRPr="007B5522">
        <w:t xml:space="preserve">Health </w:t>
      </w:r>
      <w:r w:rsidRPr="007B5522">
        <w:t>Forum).</w:t>
      </w:r>
    </w:p>
    <w:p w14:paraId="61E0629D" w14:textId="47D27B94" w:rsidR="00445F46" w:rsidRPr="007B5522" w:rsidRDefault="00445F46" w:rsidP="007B5522">
      <w:r w:rsidRPr="007B5522">
        <w:t xml:space="preserve">The way forward recommended in this Review is not easy, on account of the complexities of the system, inertia and strong positions held by regulators, policymakers, and stakeholders alike. </w:t>
      </w:r>
    </w:p>
    <w:p w14:paraId="7833FE65" w14:textId="3A2DBEEC" w:rsidR="00445F46" w:rsidRPr="007B5522" w:rsidRDefault="00445F46" w:rsidP="007B5522">
      <w:r w:rsidRPr="007B5522">
        <w:t>To illustrate, by the numbers, the current system is complex (some by necessity, some not) in 2021</w:t>
      </w:r>
      <w:r w:rsidR="00CA6D48" w:rsidRPr="007B5522">
        <w:t>–</w:t>
      </w:r>
      <w:r w:rsidRPr="007B5522">
        <w:t>22:</w:t>
      </w:r>
    </w:p>
    <w:p w14:paraId="7DB34EF7" w14:textId="5C057B81" w:rsidR="00445F46" w:rsidRPr="007B5522" w:rsidRDefault="00445F46" w:rsidP="007B5522">
      <w:pPr>
        <w:pStyle w:val="ListBullet"/>
      </w:pPr>
      <w:r w:rsidRPr="007B5522">
        <w:t>511 million transactions</w:t>
      </w:r>
      <w:r w:rsidR="0052700E" w:rsidRPr="007B5522">
        <w:t>; there is no continuous monitoring of these transactions</w:t>
      </w:r>
      <w:r w:rsidRPr="007B5522">
        <w:t> </w:t>
      </w:r>
    </w:p>
    <w:p w14:paraId="62E957AF" w14:textId="77777777" w:rsidR="00445F46" w:rsidRPr="007B5522" w:rsidRDefault="00445F46" w:rsidP="007B5522">
      <w:pPr>
        <w:pStyle w:val="ListBullet"/>
      </w:pPr>
      <w:r w:rsidRPr="007B5522">
        <w:t>Around 6,000 Medicare items </w:t>
      </w:r>
    </w:p>
    <w:p w14:paraId="2CD5BB74" w14:textId="77777777" w:rsidR="00445F46" w:rsidRPr="007B5522" w:rsidRDefault="00445F46" w:rsidP="007B5522">
      <w:pPr>
        <w:pStyle w:val="ListBullet"/>
      </w:pPr>
      <w:r w:rsidRPr="007B5522">
        <w:t>176,000 practitioners who claim </w:t>
      </w:r>
    </w:p>
    <w:p w14:paraId="1E8513AE" w14:textId="38DF0A14" w:rsidR="00445F46" w:rsidRPr="007B5522" w:rsidRDefault="00445F46" w:rsidP="007B5522">
      <w:pPr>
        <w:pStyle w:val="ListBullet"/>
      </w:pPr>
      <w:r w:rsidRPr="007B5522">
        <w:t xml:space="preserve">14 different </w:t>
      </w:r>
      <w:r w:rsidR="005369B8" w:rsidRPr="007B5522">
        <w:t>claiming channel</w:t>
      </w:r>
      <w:r w:rsidRPr="007B5522">
        <w:t>s with different levels of risk and controls</w:t>
      </w:r>
      <w:r w:rsidR="007B5522" w:rsidRPr="007B5522">
        <w:t>.</w:t>
      </w:r>
    </w:p>
    <w:p w14:paraId="7240B08B" w14:textId="39B22A53" w:rsidR="0052700E" w:rsidRPr="00222DC0" w:rsidRDefault="0052700E" w:rsidP="00924B0B">
      <w:pPr>
        <w:pStyle w:val="ListBullet"/>
        <w:rPr>
          <w:szCs w:val="22"/>
        </w:rPr>
      </w:pPr>
      <w:r w:rsidRPr="00222DC0">
        <w:rPr>
          <w:szCs w:val="22"/>
        </w:rPr>
        <w:t>Less than 10</w:t>
      </w:r>
      <w:r w:rsidR="009931E5">
        <w:rPr>
          <w:szCs w:val="22"/>
        </w:rPr>
        <w:t>%</w:t>
      </w:r>
      <w:r w:rsidRPr="00222DC0">
        <w:rPr>
          <w:szCs w:val="22"/>
        </w:rPr>
        <w:t xml:space="preserve"> of risks brought to the attention of regulators are progressed to some sort of treatment pathway</w:t>
      </w:r>
    </w:p>
    <w:p w14:paraId="14F49096" w14:textId="77777777" w:rsidR="007B5522" w:rsidRDefault="00EC7039" w:rsidP="00924B0B">
      <w:pPr>
        <w:pStyle w:val="ListBullet"/>
        <w:rPr>
          <w:szCs w:val="22"/>
        </w:rPr>
      </w:pPr>
      <w:r w:rsidRPr="00222DC0">
        <w:rPr>
          <w:szCs w:val="22"/>
        </w:rPr>
        <w:t xml:space="preserve">Only 40-60 </w:t>
      </w:r>
      <w:r w:rsidR="00DB7C5A">
        <w:rPr>
          <w:szCs w:val="22"/>
        </w:rPr>
        <w:t xml:space="preserve">compliance projects </w:t>
      </w:r>
      <w:r w:rsidR="00C53D13">
        <w:rPr>
          <w:szCs w:val="22"/>
        </w:rPr>
        <w:t>examining cohorts of providers</w:t>
      </w:r>
      <w:r w:rsidRPr="00222DC0">
        <w:rPr>
          <w:szCs w:val="22"/>
        </w:rPr>
        <w:t xml:space="preserve"> </w:t>
      </w:r>
      <w:r w:rsidR="001432C8" w:rsidRPr="00222DC0">
        <w:rPr>
          <w:szCs w:val="22"/>
        </w:rPr>
        <w:t>are conducted each year</w:t>
      </w:r>
    </w:p>
    <w:p w14:paraId="6BC2F43C" w14:textId="77777777" w:rsidR="006B7FA4" w:rsidRDefault="00445F46" w:rsidP="007B5522">
      <w:r w:rsidRPr="007B5522">
        <w:t xml:space="preserve">Add to this the changing burden of disease, corporatisation of the sector, and advances in new technology and forms of healthcare delivery, and you can get a clear picture of complexity and need for a well-functioning compliance and integrity system. </w:t>
      </w:r>
      <w:r w:rsidR="00390106" w:rsidRPr="007B5522">
        <w:t xml:space="preserve">Legislatively, responsibility lies with healthcare providers to ensure Medicare claiming occurring under their provider number meets all requirements, and references in this report to the complexity of the Medicare system should not be considered a legitimate excuse for systemic and intentional non-compliance and fraud. </w:t>
      </w:r>
    </w:p>
    <w:p w14:paraId="7250B913" w14:textId="12C0066B" w:rsidR="00445F46" w:rsidRPr="007B5522" w:rsidRDefault="00390106" w:rsidP="007B5522">
      <w:r w:rsidRPr="007B5522">
        <w:t>However, t</w:t>
      </w:r>
      <w:r w:rsidR="00445F46" w:rsidRPr="007B5522">
        <w:t>here are consequences for persisting with the current overly complex, difficult to navigate system, namely that the directions for abuse of the system will escalate, that more time will be spent by providers on administration not care, that the billing system will drive clinical practice, and that underbilling in the system will shift to underservicing (</w:t>
      </w:r>
      <w:r w:rsidR="00904BFD" w:rsidRPr="007B5522">
        <w:t>i.e.</w:t>
      </w:r>
      <w:r w:rsidR="00445F46" w:rsidRPr="007B5522">
        <w:t xml:space="preserve"> practitioners will cease to pursue altruism and provide a service when they don’t bill for it). In any of these pathways, the health system will be structurally diminished. </w:t>
      </w:r>
      <w:r w:rsidR="00261327" w:rsidRPr="007B5522">
        <w:t>If these challenges are to be addressed</w:t>
      </w:r>
      <w:r w:rsidR="009C4A09" w:rsidRPr="007B5522">
        <w:t>,</w:t>
      </w:r>
      <w:r w:rsidR="00261327" w:rsidRPr="007B5522">
        <w:t xml:space="preserve"> then it will require the government and health sector stakeholders to work together in the design of solutions to reach the ideal future state of Medicare and Australia’s health system that is more focused on addressing patient needs.</w:t>
      </w:r>
    </w:p>
    <w:p w14:paraId="1DD8F6F4" w14:textId="23D89BED" w:rsidR="00445F46" w:rsidRPr="007B5522" w:rsidRDefault="00445F46" w:rsidP="007B5522">
      <w:r w:rsidRPr="007B5522">
        <w:t>Addressing non-compliance and fraud is about trust in Medicare. Zero tolerance on fraud is hard to escape, while a tolerance of waste and errors will be a matter for government judgement and taxpayer concern.</w:t>
      </w:r>
    </w:p>
    <w:p w14:paraId="2786BB98" w14:textId="1A42144A" w:rsidR="00445F46" w:rsidRPr="007B5522" w:rsidRDefault="00445F46" w:rsidP="007B5522">
      <w:r w:rsidRPr="007B5522">
        <w:t xml:space="preserve">Importantly, non-compliance and fraud impact on the quality of care that patients receive. I have been more than surprised during this Review </w:t>
      </w:r>
      <w:r w:rsidR="7EA147F6" w:rsidRPr="007B5522">
        <w:t>by</w:t>
      </w:r>
      <w:r w:rsidR="00213076" w:rsidRPr="007B5522">
        <w:t xml:space="preserve"> </w:t>
      </w:r>
      <w:r w:rsidRPr="007B5522">
        <w:t xml:space="preserve">the lack of mention of patient experience and health and well-being during my consultations and in my review of previous analyses. All aspects of our health system must revolve around this as a matter of the culture of our health system, including deliberations on questions of non-compliance and fraud. </w:t>
      </w:r>
    </w:p>
    <w:p w14:paraId="76D77E99" w14:textId="77777777" w:rsidR="00445F46" w:rsidRPr="007B5522" w:rsidRDefault="00445F46" w:rsidP="007B5522">
      <w:r w:rsidRPr="007B5522">
        <w:t>Yours sincerely</w:t>
      </w:r>
    </w:p>
    <w:p w14:paraId="5F6886F7" w14:textId="77777777" w:rsidR="007B5522" w:rsidRPr="007B5522" w:rsidRDefault="00445F46" w:rsidP="007B5522">
      <w:r w:rsidRPr="007B5522">
        <w:t>Dr Pradeep Philip</w:t>
      </w:r>
    </w:p>
    <w:p w14:paraId="105F8FCC" w14:textId="09C4D693" w:rsidR="00443912" w:rsidRPr="007B5522" w:rsidRDefault="138A0CDA" w:rsidP="007B5522">
      <w:r w:rsidRPr="007B5522">
        <w:t>Head of Deloitte Access Economics</w:t>
      </w:r>
    </w:p>
    <w:p w14:paraId="198AE5E8" w14:textId="77777777" w:rsidR="003D6D96" w:rsidRDefault="003D6D96">
      <w:pPr>
        <w:spacing w:after="0"/>
        <w:rPr>
          <w:szCs w:val="22"/>
        </w:rPr>
      </w:pPr>
      <w:r>
        <w:rPr>
          <w:szCs w:val="22"/>
        </w:rPr>
        <w:br w:type="page"/>
      </w:r>
    </w:p>
    <w:p w14:paraId="53B9B271" w14:textId="00A2BE91" w:rsidR="00443912" w:rsidRPr="003D6D96" w:rsidRDefault="00273B0F" w:rsidP="007B5522">
      <w:pPr>
        <w:pStyle w:val="Heading2un-numbered"/>
      </w:pPr>
      <w:r w:rsidRPr="003D6D96">
        <w:lastRenderedPageBreak/>
        <w:t>Recommendations from this Review</w:t>
      </w:r>
    </w:p>
    <w:tbl>
      <w:tblPr>
        <w:tblStyle w:val="Deloittetable"/>
        <w:tblW w:w="0" w:type="auto"/>
        <w:tblLook w:val="04A0" w:firstRow="1" w:lastRow="0" w:firstColumn="1" w:lastColumn="0" w:noHBand="0" w:noVBand="1"/>
      </w:tblPr>
      <w:tblGrid>
        <w:gridCol w:w="2262"/>
        <w:gridCol w:w="8113"/>
        <w:gridCol w:w="91"/>
      </w:tblGrid>
      <w:tr w:rsidR="00BF4C1D" w:rsidRPr="007F7DC2" w14:paraId="06188F04" w14:textId="77777777" w:rsidTr="00EF2981">
        <w:trPr>
          <w:cnfStyle w:val="100000000000" w:firstRow="1" w:lastRow="0" w:firstColumn="0" w:lastColumn="0" w:oddVBand="0" w:evenVBand="0" w:oddHBand="0" w:evenHBand="0" w:firstRowFirstColumn="0" w:firstRowLastColumn="0" w:lastRowFirstColumn="0" w:lastRowLastColumn="0"/>
          <w:trHeight w:val="180"/>
          <w:tblHeader/>
        </w:trPr>
        <w:tc>
          <w:tcPr>
            <w:tcW w:w="2262" w:type="dxa"/>
          </w:tcPr>
          <w:p w14:paraId="699CAA0B" w14:textId="081AC00A" w:rsidR="00273B0F" w:rsidRPr="00E51A71" w:rsidRDefault="00273B0F" w:rsidP="00E51A71">
            <w:r w:rsidRPr="00E51A71">
              <w:t>Recommendation</w:t>
            </w:r>
          </w:p>
        </w:tc>
        <w:tc>
          <w:tcPr>
            <w:tcW w:w="8204" w:type="dxa"/>
            <w:gridSpan w:val="2"/>
          </w:tcPr>
          <w:p w14:paraId="3A345E75" w14:textId="16577934" w:rsidR="00273B0F" w:rsidRPr="00E51A71" w:rsidRDefault="00273B0F" w:rsidP="00E51A71">
            <w:r w:rsidRPr="00E51A71">
              <w:t>Details</w:t>
            </w:r>
          </w:p>
        </w:tc>
      </w:tr>
      <w:tr w:rsidR="004601E3" w:rsidRPr="00E93FBC" w14:paraId="321ECC4C" w14:textId="77777777" w:rsidTr="007B5522">
        <w:trPr>
          <w:trHeight w:val="553"/>
        </w:trPr>
        <w:tc>
          <w:tcPr>
            <w:tcW w:w="10466" w:type="dxa"/>
            <w:gridSpan w:val="3"/>
            <w:shd w:val="clear" w:color="auto" w:fill="E7E6E6" w:themeFill="background2"/>
          </w:tcPr>
          <w:p w14:paraId="61E89165" w14:textId="231C4F9D" w:rsidR="004601E3" w:rsidRPr="004A77D7" w:rsidRDefault="008875A5" w:rsidP="00D43076">
            <w:pPr>
              <w:pStyle w:val="TabletextLeft"/>
              <w:rPr>
                <w:sz w:val="21"/>
                <w:szCs w:val="21"/>
              </w:rPr>
            </w:pPr>
            <w:r>
              <w:rPr>
                <w:b/>
                <w:sz w:val="21"/>
                <w:szCs w:val="21"/>
              </w:rPr>
              <w:t>Governance and structure</w:t>
            </w:r>
          </w:p>
        </w:tc>
      </w:tr>
      <w:tr w:rsidR="00D43076" w:rsidRPr="00E93FBC" w14:paraId="2E3844D4" w14:textId="77777777" w:rsidTr="007B5522">
        <w:trPr>
          <w:gridAfter w:val="1"/>
          <w:wAfter w:w="91" w:type="dxa"/>
          <w:trHeight w:val="553"/>
        </w:trPr>
        <w:tc>
          <w:tcPr>
            <w:tcW w:w="2262" w:type="dxa"/>
          </w:tcPr>
          <w:p w14:paraId="7C7F26C2" w14:textId="20F1150C" w:rsidR="00D43076" w:rsidRPr="004A77D7" w:rsidRDefault="00D43076" w:rsidP="00D43076">
            <w:pPr>
              <w:pStyle w:val="TabletextLeft"/>
              <w:ind w:left="0"/>
              <w:rPr>
                <w:b/>
                <w:sz w:val="21"/>
                <w:szCs w:val="21"/>
              </w:rPr>
            </w:pPr>
            <w:r w:rsidRPr="004A77D7">
              <w:rPr>
                <w:b/>
                <w:sz w:val="21"/>
                <w:szCs w:val="21"/>
              </w:rPr>
              <w:t xml:space="preserve">Recommendation </w:t>
            </w:r>
            <w:r>
              <w:rPr>
                <w:b/>
                <w:sz w:val="21"/>
                <w:szCs w:val="21"/>
              </w:rPr>
              <w:t>1</w:t>
            </w:r>
          </w:p>
        </w:tc>
        <w:tc>
          <w:tcPr>
            <w:tcW w:w="8113" w:type="dxa"/>
          </w:tcPr>
          <w:p w14:paraId="34FECE2C" w14:textId="3F16A565" w:rsidR="00D43076" w:rsidRPr="00C85A9D" w:rsidDel="00917E8B" w:rsidRDefault="00D43076" w:rsidP="00D43076">
            <w:pPr>
              <w:pStyle w:val="TabletextLeft"/>
              <w:rPr>
                <w:sz w:val="21"/>
                <w:szCs w:val="21"/>
                <w:highlight w:val="green"/>
              </w:rPr>
            </w:pPr>
            <w:r w:rsidRPr="004A77D7">
              <w:rPr>
                <w:sz w:val="21"/>
                <w:szCs w:val="21"/>
              </w:rPr>
              <w:t>Strengthen the governance model overseeing Medicare through each line of defence.</w:t>
            </w:r>
          </w:p>
        </w:tc>
      </w:tr>
      <w:tr w:rsidR="00D43076" w:rsidRPr="00E93FBC" w14:paraId="5108E6A9" w14:textId="77777777" w:rsidTr="007B5522">
        <w:trPr>
          <w:gridAfter w:val="1"/>
          <w:wAfter w:w="91" w:type="dxa"/>
          <w:trHeight w:val="553"/>
        </w:trPr>
        <w:tc>
          <w:tcPr>
            <w:tcW w:w="2262" w:type="dxa"/>
          </w:tcPr>
          <w:p w14:paraId="1F5F5D19" w14:textId="04F84138" w:rsidR="00D43076" w:rsidRPr="004A77D7" w:rsidRDefault="00D43076" w:rsidP="00D43076">
            <w:pPr>
              <w:pStyle w:val="TabletextLeft"/>
              <w:ind w:left="0"/>
              <w:rPr>
                <w:b/>
                <w:sz w:val="21"/>
                <w:szCs w:val="21"/>
              </w:rPr>
            </w:pPr>
            <w:r w:rsidRPr="004A77D7">
              <w:rPr>
                <w:b/>
                <w:sz w:val="21"/>
                <w:szCs w:val="21"/>
              </w:rPr>
              <w:t xml:space="preserve">Recommendation </w:t>
            </w:r>
            <w:r>
              <w:rPr>
                <w:b/>
                <w:sz w:val="21"/>
                <w:szCs w:val="21"/>
              </w:rPr>
              <w:t>1.1</w:t>
            </w:r>
          </w:p>
        </w:tc>
        <w:tc>
          <w:tcPr>
            <w:tcW w:w="8113" w:type="dxa"/>
          </w:tcPr>
          <w:p w14:paraId="288352B6" w14:textId="74111998" w:rsidR="00D43076" w:rsidRPr="00C85A9D" w:rsidDel="00917E8B" w:rsidRDefault="00D43076" w:rsidP="00D43076">
            <w:pPr>
              <w:pStyle w:val="TabletextLeft"/>
              <w:rPr>
                <w:sz w:val="21"/>
                <w:szCs w:val="21"/>
                <w:highlight w:val="green"/>
              </w:rPr>
            </w:pPr>
            <w:r w:rsidRPr="004A77D7">
              <w:rPr>
                <w:sz w:val="21"/>
                <w:szCs w:val="21"/>
              </w:rPr>
              <w:t xml:space="preserve">Introduce an expanded governance structure to embed a Medicare Oversight Committee with representation from </w:t>
            </w:r>
            <w:proofErr w:type="spellStart"/>
            <w:r w:rsidRPr="004A77D7">
              <w:rPr>
                <w:sz w:val="21"/>
                <w:szCs w:val="21"/>
              </w:rPr>
              <w:t>DoHAC</w:t>
            </w:r>
            <w:proofErr w:type="spellEnd"/>
            <w:r w:rsidRPr="004A77D7">
              <w:rPr>
                <w:sz w:val="21"/>
                <w:szCs w:val="21"/>
              </w:rPr>
              <w:t xml:space="preserve"> (</w:t>
            </w:r>
            <w:r w:rsidR="009931E5">
              <w:rPr>
                <w:sz w:val="21"/>
                <w:szCs w:val="21"/>
              </w:rPr>
              <w:t>c</w:t>
            </w:r>
            <w:r w:rsidRPr="004A77D7">
              <w:rPr>
                <w:sz w:val="21"/>
                <w:szCs w:val="21"/>
              </w:rPr>
              <w:t>hair), Services Australia, ADHA, the Digital Transformation Agency and independent experts.</w:t>
            </w:r>
          </w:p>
        </w:tc>
      </w:tr>
      <w:tr w:rsidR="00D43076" w:rsidRPr="00E93FBC" w14:paraId="2B295322" w14:textId="77777777" w:rsidTr="007B5522">
        <w:trPr>
          <w:gridAfter w:val="1"/>
          <w:wAfter w:w="91" w:type="dxa"/>
          <w:trHeight w:val="553"/>
        </w:trPr>
        <w:tc>
          <w:tcPr>
            <w:tcW w:w="2262" w:type="dxa"/>
          </w:tcPr>
          <w:p w14:paraId="14C45AF2" w14:textId="16029BAD" w:rsidR="00D43076" w:rsidRPr="004A77D7" w:rsidRDefault="00D43076" w:rsidP="00D43076">
            <w:pPr>
              <w:pStyle w:val="TabletextLeft"/>
              <w:ind w:left="0"/>
              <w:rPr>
                <w:b/>
                <w:sz w:val="21"/>
                <w:szCs w:val="21"/>
              </w:rPr>
            </w:pPr>
            <w:r w:rsidRPr="004A77D7">
              <w:rPr>
                <w:b/>
                <w:sz w:val="21"/>
                <w:szCs w:val="21"/>
              </w:rPr>
              <w:t xml:space="preserve">Recommendation </w:t>
            </w:r>
            <w:r>
              <w:rPr>
                <w:b/>
                <w:sz w:val="21"/>
                <w:szCs w:val="21"/>
              </w:rPr>
              <w:t>1.2</w:t>
            </w:r>
          </w:p>
        </w:tc>
        <w:tc>
          <w:tcPr>
            <w:tcW w:w="8113" w:type="dxa"/>
          </w:tcPr>
          <w:p w14:paraId="4BE1A951" w14:textId="0604D34A" w:rsidR="00D43076" w:rsidRPr="00C85A9D" w:rsidDel="00917E8B" w:rsidRDefault="00D43076" w:rsidP="00D43076">
            <w:pPr>
              <w:pStyle w:val="TabletextLeft"/>
              <w:rPr>
                <w:sz w:val="21"/>
                <w:szCs w:val="21"/>
                <w:highlight w:val="green"/>
              </w:rPr>
            </w:pPr>
            <w:r w:rsidRPr="004A77D7">
              <w:rPr>
                <w:sz w:val="21"/>
                <w:szCs w:val="21"/>
              </w:rPr>
              <w:t>Establish and embed working groups focused on three key areas of Medicare: ‘Policy, Legislation and Program Evaluation’, ‘Claims and Payments’, and ‘Technology and Data Management’.</w:t>
            </w:r>
          </w:p>
        </w:tc>
      </w:tr>
      <w:tr w:rsidR="00D43076" w:rsidRPr="00E93FBC" w14:paraId="6DB95DDD" w14:textId="77777777" w:rsidTr="007B5522">
        <w:trPr>
          <w:gridAfter w:val="1"/>
          <w:wAfter w:w="91" w:type="dxa"/>
          <w:trHeight w:val="553"/>
        </w:trPr>
        <w:tc>
          <w:tcPr>
            <w:tcW w:w="2262" w:type="dxa"/>
          </w:tcPr>
          <w:p w14:paraId="4471BECE" w14:textId="187E0E1E" w:rsidR="00D43076" w:rsidRPr="004A77D7" w:rsidRDefault="00D43076" w:rsidP="00D43076">
            <w:pPr>
              <w:pStyle w:val="TabletextLeft"/>
              <w:ind w:left="0"/>
              <w:rPr>
                <w:b/>
                <w:sz w:val="21"/>
                <w:szCs w:val="21"/>
              </w:rPr>
            </w:pPr>
            <w:r w:rsidRPr="004A77D7">
              <w:rPr>
                <w:b/>
                <w:sz w:val="21"/>
                <w:szCs w:val="21"/>
              </w:rPr>
              <w:t xml:space="preserve">Recommendation </w:t>
            </w:r>
            <w:r>
              <w:rPr>
                <w:b/>
                <w:sz w:val="21"/>
                <w:szCs w:val="21"/>
              </w:rPr>
              <w:t>1.3</w:t>
            </w:r>
          </w:p>
        </w:tc>
        <w:tc>
          <w:tcPr>
            <w:tcW w:w="8113" w:type="dxa"/>
          </w:tcPr>
          <w:p w14:paraId="5AB1AFFD" w14:textId="5431D388" w:rsidR="00D43076" w:rsidRPr="004A77D7" w:rsidRDefault="00D43076" w:rsidP="00D43076">
            <w:pPr>
              <w:pStyle w:val="TabletextLeft"/>
              <w:rPr>
                <w:sz w:val="21"/>
                <w:szCs w:val="21"/>
              </w:rPr>
            </w:pPr>
            <w:r w:rsidRPr="004A77D7">
              <w:rPr>
                <w:sz w:val="21"/>
                <w:szCs w:val="21"/>
              </w:rPr>
              <w:t>Consider restructuring the design and composition of MBS numbers with a time-based backbone together with additional specific intervention and procedure codes, bundling of co-claimed surgical items to create single procedure codes, and integration of pre-claim decision support into practice management software.</w:t>
            </w:r>
          </w:p>
        </w:tc>
      </w:tr>
      <w:tr w:rsidR="007B5522" w:rsidRPr="00E93FBC" w14:paraId="4666F146" w14:textId="77777777" w:rsidTr="007B5522">
        <w:trPr>
          <w:trHeight w:val="553"/>
        </w:trPr>
        <w:tc>
          <w:tcPr>
            <w:tcW w:w="10466" w:type="dxa"/>
            <w:gridSpan w:val="3"/>
            <w:shd w:val="clear" w:color="auto" w:fill="E7E6E6" w:themeFill="background2"/>
          </w:tcPr>
          <w:p w14:paraId="341FE37D" w14:textId="4A3DDD49" w:rsidR="007B5522" w:rsidRPr="004A77D7" w:rsidRDefault="007B5522" w:rsidP="00394558">
            <w:pPr>
              <w:pStyle w:val="TabletextLeft"/>
              <w:rPr>
                <w:sz w:val="21"/>
                <w:szCs w:val="21"/>
              </w:rPr>
            </w:pPr>
            <w:r>
              <w:rPr>
                <w:b/>
                <w:sz w:val="21"/>
                <w:szCs w:val="21"/>
              </w:rPr>
              <w:t>Operational processes</w:t>
            </w:r>
          </w:p>
        </w:tc>
      </w:tr>
      <w:tr w:rsidR="00394558" w:rsidRPr="00E93FBC" w14:paraId="39F799E7" w14:textId="77777777" w:rsidTr="007B5522">
        <w:trPr>
          <w:gridAfter w:val="1"/>
          <w:wAfter w:w="91" w:type="dxa"/>
          <w:trHeight w:val="553"/>
        </w:trPr>
        <w:tc>
          <w:tcPr>
            <w:tcW w:w="2262" w:type="dxa"/>
          </w:tcPr>
          <w:p w14:paraId="7BF3C2AB" w14:textId="5D505D82" w:rsidR="00394558" w:rsidRPr="004A77D7" w:rsidRDefault="00394558" w:rsidP="00394558">
            <w:pPr>
              <w:pStyle w:val="TabletextLeft"/>
              <w:ind w:left="0"/>
              <w:rPr>
                <w:b/>
                <w:sz w:val="21"/>
                <w:szCs w:val="21"/>
              </w:rPr>
            </w:pPr>
            <w:r w:rsidRPr="004A77D7">
              <w:rPr>
                <w:b/>
                <w:sz w:val="21"/>
                <w:szCs w:val="21"/>
              </w:rPr>
              <w:t xml:space="preserve">Recommendation </w:t>
            </w:r>
            <w:r>
              <w:rPr>
                <w:b/>
                <w:sz w:val="21"/>
                <w:szCs w:val="21"/>
              </w:rPr>
              <w:t>2</w:t>
            </w:r>
          </w:p>
        </w:tc>
        <w:tc>
          <w:tcPr>
            <w:tcW w:w="8113" w:type="dxa"/>
          </w:tcPr>
          <w:p w14:paraId="518016CD" w14:textId="2EB8CAB6" w:rsidR="00394558" w:rsidRPr="004A77D7" w:rsidRDefault="00394558" w:rsidP="00394558">
            <w:pPr>
              <w:pStyle w:val="TabletextLeft"/>
              <w:rPr>
                <w:sz w:val="21"/>
                <w:szCs w:val="21"/>
              </w:rPr>
            </w:pPr>
            <w:r w:rsidRPr="004A77D7">
              <w:rPr>
                <w:sz w:val="21"/>
                <w:szCs w:val="21"/>
              </w:rPr>
              <w:t>Implement enhancements to the end</w:t>
            </w:r>
            <w:r w:rsidR="00D11428">
              <w:rPr>
                <w:sz w:val="21"/>
                <w:szCs w:val="21"/>
              </w:rPr>
              <w:t>-</w:t>
            </w:r>
            <w:r w:rsidRPr="004A77D7">
              <w:rPr>
                <w:sz w:val="21"/>
                <w:szCs w:val="21"/>
              </w:rPr>
              <w:t>to</w:t>
            </w:r>
            <w:r w:rsidR="00D11428">
              <w:rPr>
                <w:sz w:val="21"/>
                <w:szCs w:val="21"/>
              </w:rPr>
              <w:t>-</w:t>
            </w:r>
            <w:r w:rsidRPr="004A77D7">
              <w:rPr>
                <w:sz w:val="21"/>
                <w:szCs w:val="21"/>
              </w:rPr>
              <w:t>end claiming journey to strengthen the first line of defence position and enable continuous monitoring of all MBS claim transactions.</w:t>
            </w:r>
          </w:p>
        </w:tc>
      </w:tr>
      <w:tr w:rsidR="00394558" w:rsidRPr="00E93FBC" w14:paraId="5CC0B549" w14:textId="77777777" w:rsidTr="007B5522">
        <w:trPr>
          <w:gridAfter w:val="1"/>
          <w:wAfter w:w="91" w:type="dxa"/>
          <w:trHeight w:val="553"/>
        </w:trPr>
        <w:tc>
          <w:tcPr>
            <w:tcW w:w="2262" w:type="dxa"/>
          </w:tcPr>
          <w:p w14:paraId="0641DB32" w14:textId="4643F271" w:rsidR="00394558" w:rsidRPr="004A77D7" w:rsidRDefault="00394558" w:rsidP="00394558">
            <w:pPr>
              <w:pStyle w:val="TabletextLeft"/>
              <w:ind w:left="0"/>
              <w:rPr>
                <w:b/>
                <w:sz w:val="21"/>
                <w:szCs w:val="21"/>
              </w:rPr>
            </w:pPr>
            <w:r w:rsidRPr="004A77D7">
              <w:rPr>
                <w:b/>
                <w:sz w:val="21"/>
                <w:szCs w:val="21"/>
              </w:rPr>
              <w:t xml:space="preserve">Recommendation </w:t>
            </w:r>
            <w:r>
              <w:rPr>
                <w:b/>
                <w:sz w:val="21"/>
                <w:szCs w:val="21"/>
              </w:rPr>
              <w:t>3</w:t>
            </w:r>
          </w:p>
        </w:tc>
        <w:tc>
          <w:tcPr>
            <w:tcW w:w="8113" w:type="dxa"/>
          </w:tcPr>
          <w:p w14:paraId="2782B75A" w14:textId="4FCB8F1C" w:rsidR="00394558" w:rsidRPr="004A77D7" w:rsidRDefault="00B10791" w:rsidP="00394558">
            <w:pPr>
              <w:pStyle w:val="TabletextLeft"/>
              <w:rPr>
                <w:sz w:val="21"/>
                <w:szCs w:val="21"/>
              </w:rPr>
            </w:pPr>
            <w:r w:rsidRPr="00E26A4E">
              <w:rPr>
                <w:sz w:val="21"/>
              </w:rPr>
              <w:t>A refreshed design of key frontline operational processes</w:t>
            </w:r>
            <w:r w:rsidR="0054716E">
              <w:rPr>
                <w:sz w:val="21"/>
              </w:rPr>
              <w:t>,</w:t>
            </w:r>
            <w:r w:rsidRPr="00E26A4E">
              <w:rPr>
                <w:sz w:val="21"/>
              </w:rPr>
              <w:t xml:space="preserve"> </w:t>
            </w:r>
            <w:r w:rsidR="0054716E">
              <w:rPr>
                <w:sz w:val="21"/>
              </w:rPr>
              <w:t>and business rules,</w:t>
            </w:r>
            <w:r>
              <w:rPr>
                <w:sz w:val="21"/>
              </w:rPr>
              <w:t xml:space="preserve"> </w:t>
            </w:r>
            <w:r w:rsidRPr="00E26A4E">
              <w:rPr>
                <w:sz w:val="21"/>
              </w:rPr>
              <w:t>which consider fraud and non-compliance risks is required and is urgent in order to sufficiently support the early identification and disruption of fraud and serious non-compliance. Enhanced identification of risks should be applied to disrupt fraudulent activity as early as possible</w:t>
            </w:r>
            <w:r w:rsidR="00394558" w:rsidRPr="004A77D7">
              <w:rPr>
                <w:sz w:val="21"/>
                <w:szCs w:val="21"/>
              </w:rPr>
              <w:t>.</w:t>
            </w:r>
            <w:r w:rsidR="12013618" w:rsidRPr="5A6FBC1B">
              <w:rPr>
                <w:sz w:val="21"/>
                <w:szCs w:val="21"/>
              </w:rPr>
              <w:t xml:space="preserve"> </w:t>
            </w:r>
          </w:p>
        </w:tc>
      </w:tr>
      <w:tr w:rsidR="00941008" w:rsidRPr="00E93FBC" w14:paraId="12FE42BF" w14:textId="77777777" w:rsidTr="007B5522">
        <w:trPr>
          <w:gridAfter w:val="1"/>
          <w:wAfter w:w="91" w:type="dxa"/>
          <w:trHeight w:val="553"/>
        </w:trPr>
        <w:tc>
          <w:tcPr>
            <w:tcW w:w="2262" w:type="dxa"/>
          </w:tcPr>
          <w:p w14:paraId="5B2459F2" w14:textId="0D39BC4B"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3.1</w:t>
            </w:r>
          </w:p>
        </w:tc>
        <w:tc>
          <w:tcPr>
            <w:tcW w:w="8113" w:type="dxa"/>
          </w:tcPr>
          <w:p w14:paraId="1C9B75AE" w14:textId="163EA448" w:rsidR="00941008" w:rsidRPr="004A77D7" w:rsidRDefault="00941008" w:rsidP="00941008">
            <w:pPr>
              <w:pStyle w:val="TabletextLeft"/>
              <w:rPr>
                <w:sz w:val="21"/>
                <w:szCs w:val="21"/>
              </w:rPr>
            </w:pPr>
            <w:r w:rsidRPr="004A77D7">
              <w:rPr>
                <w:sz w:val="21"/>
                <w:szCs w:val="21"/>
              </w:rPr>
              <w:t xml:space="preserve">More formal and deliberate feedback loops into key controls to mitigate program and integrity risks throughout the life of the </w:t>
            </w:r>
            <w:r w:rsidR="0049576C">
              <w:rPr>
                <w:sz w:val="21"/>
                <w:szCs w:val="21"/>
              </w:rPr>
              <w:t>MBS</w:t>
            </w:r>
            <w:r w:rsidRPr="004A77D7">
              <w:rPr>
                <w:sz w:val="21"/>
                <w:szCs w:val="21"/>
              </w:rPr>
              <w:t xml:space="preserve"> must be considered jointly by </w:t>
            </w:r>
            <w:proofErr w:type="spellStart"/>
            <w:r w:rsidRPr="004A77D7">
              <w:rPr>
                <w:sz w:val="21"/>
                <w:szCs w:val="21"/>
              </w:rPr>
              <w:t>DoHAC</w:t>
            </w:r>
            <w:proofErr w:type="spellEnd"/>
            <w:r w:rsidRPr="004A77D7">
              <w:rPr>
                <w:sz w:val="21"/>
                <w:szCs w:val="21"/>
              </w:rPr>
              <w:t xml:space="preserve"> and Services Australia</w:t>
            </w:r>
            <w:r w:rsidR="0049576C">
              <w:rPr>
                <w:sz w:val="21"/>
                <w:szCs w:val="21"/>
              </w:rPr>
              <w:t xml:space="preserve">. This involves greater integration across the various functions in </w:t>
            </w:r>
            <w:proofErr w:type="spellStart"/>
            <w:r w:rsidR="0049576C">
              <w:rPr>
                <w:sz w:val="21"/>
                <w:szCs w:val="21"/>
              </w:rPr>
              <w:t>DoHAC</w:t>
            </w:r>
            <w:proofErr w:type="spellEnd"/>
            <w:r w:rsidR="0049576C">
              <w:rPr>
                <w:sz w:val="21"/>
                <w:szCs w:val="21"/>
              </w:rPr>
              <w:t xml:space="preserve"> and Services Australia to build a complete end-to-end picture of compliance and appropriate data sharing.</w:t>
            </w:r>
          </w:p>
        </w:tc>
      </w:tr>
      <w:tr w:rsidR="00941008" w:rsidRPr="00E93FBC" w14:paraId="0C7A8A5E" w14:textId="77777777" w:rsidTr="007B5522">
        <w:trPr>
          <w:gridAfter w:val="1"/>
          <w:wAfter w:w="91" w:type="dxa"/>
          <w:trHeight w:val="553"/>
        </w:trPr>
        <w:tc>
          <w:tcPr>
            <w:tcW w:w="2262" w:type="dxa"/>
          </w:tcPr>
          <w:p w14:paraId="46AA51F7" w14:textId="32A68555"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3.2</w:t>
            </w:r>
          </w:p>
        </w:tc>
        <w:tc>
          <w:tcPr>
            <w:tcW w:w="8113" w:type="dxa"/>
          </w:tcPr>
          <w:p w14:paraId="0F175091" w14:textId="2BF7A037" w:rsidR="00941008" w:rsidRPr="004A77D7" w:rsidRDefault="00941008" w:rsidP="00941008">
            <w:pPr>
              <w:pStyle w:val="TabletextLeft"/>
              <w:rPr>
                <w:sz w:val="21"/>
                <w:szCs w:val="21"/>
              </w:rPr>
            </w:pPr>
            <w:r w:rsidRPr="004A77D7">
              <w:rPr>
                <w:sz w:val="21"/>
                <w:szCs w:val="21"/>
              </w:rPr>
              <w:t>A comprehensive system for continuously improving and updating education and awareness for providers regarding the application and use of the MBS must be introduced, including the involvement of key stakeholders.</w:t>
            </w:r>
          </w:p>
        </w:tc>
      </w:tr>
      <w:tr w:rsidR="00941008" w:rsidRPr="00E93FBC" w14:paraId="37EE32B5" w14:textId="77777777" w:rsidTr="007B5522">
        <w:trPr>
          <w:gridAfter w:val="1"/>
          <w:wAfter w:w="91" w:type="dxa"/>
          <w:trHeight w:val="553"/>
        </w:trPr>
        <w:tc>
          <w:tcPr>
            <w:tcW w:w="2262" w:type="dxa"/>
          </w:tcPr>
          <w:p w14:paraId="7584A00D" w14:textId="52740E74"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3.3</w:t>
            </w:r>
          </w:p>
        </w:tc>
        <w:tc>
          <w:tcPr>
            <w:tcW w:w="8113" w:type="dxa"/>
          </w:tcPr>
          <w:p w14:paraId="7BFD1A7D" w14:textId="62250425" w:rsidR="00941008" w:rsidRPr="004A77D7" w:rsidRDefault="00941008" w:rsidP="00941008">
            <w:pPr>
              <w:pStyle w:val="TabletextLeft"/>
              <w:rPr>
                <w:sz w:val="21"/>
                <w:szCs w:val="21"/>
              </w:rPr>
            </w:pPr>
            <w:r w:rsidRPr="004A77D7">
              <w:rPr>
                <w:sz w:val="21"/>
                <w:szCs w:val="21"/>
              </w:rPr>
              <w:t xml:space="preserve">Risk identification must be enhanced by both </w:t>
            </w:r>
            <w:proofErr w:type="spellStart"/>
            <w:r w:rsidRPr="004A77D7">
              <w:rPr>
                <w:sz w:val="21"/>
                <w:szCs w:val="21"/>
              </w:rPr>
              <w:t>DoHAC</w:t>
            </w:r>
            <w:proofErr w:type="spellEnd"/>
            <w:r w:rsidRPr="004A77D7">
              <w:rPr>
                <w:sz w:val="21"/>
                <w:szCs w:val="21"/>
              </w:rPr>
              <w:t xml:space="preserve"> and Services Australia, </w:t>
            </w:r>
            <w:r w:rsidR="00E70790">
              <w:rPr>
                <w:sz w:val="21"/>
                <w:szCs w:val="21"/>
              </w:rPr>
              <w:t>based on continuous monitoring</w:t>
            </w:r>
            <w:r w:rsidR="0032087B">
              <w:rPr>
                <w:sz w:val="21"/>
                <w:szCs w:val="21"/>
              </w:rPr>
              <w:t>;</w:t>
            </w:r>
            <w:r w:rsidR="00E70790">
              <w:rPr>
                <w:sz w:val="21"/>
                <w:szCs w:val="21"/>
              </w:rPr>
              <w:t xml:space="preserve"> data from which will enhance</w:t>
            </w:r>
            <w:r w:rsidRPr="004A77D7">
              <w:rPr>
                <w:sz w:val="21"/>
                <w:szCs w:val="21"/>
              </w:rPr>
              <w:t xml:space="preserve"> detection models based on </w:t>
            </w:r>
            <w:r w:rsidR="0032087B" w:rsidRPr="004A77D7">
              <w:rPr>
                <w:sz w:val="21"/>
                <w:szCs w:val="21"/>
              </w:rPr>
              <w:t>casework</w:t>
            </w:r>
            <w:r w:rsidRPr="004A77D7">
              <w:rPr>
                <w:sz w:val="21"/>
                <w:szCs w:val="21"/>
              </w:rPr>
              <w:t xml:space="preserve">, </w:t>
            </w:r>
            <w:proofErr w:type="gramStart"/>
            <w:r w:rsidRPr="004A77D7">
              <w:rPr>
                <w:sz w:val="21"/>
                <w:szCs w:val="21"/>
              </w:rPr>
              <w:t>intelligence</w:t>
            </w:r>
            <w:proofErr w:type="gramEnd"/>
            <w:r w:rsidRPr="004A77D7">
              <w:rPr>
                <w:sz w:val="21"/>
                <w:szCs w:val="21"/>
              </w:rPr>
              <w:t xml:space="preserve"> and tip</w:t>
            </w:r>
            <w:r w:rsidR="00A65897">
              <w:rPr>
                <w:sz w:val="21"/>
                <w:szCs w:val="21"/>
              </w:rPr>
              <w:t xml:space="preserve"> </w:t>
            </w:r>
            <w:r w:rsidRPr="004A77D7">
              <w:rPr>
                <w:sz w:val="21"/>
                <w:szCs w:val="21"/>
              </w:rPr>
              <w:t>offs.</w:t>
            </w:r>
          </w:p>
        </w:tc>
      </w:tr>
      <w:tr w:rsidR="00941008" w:rsidRPr="00E93FBC" w14:paraId="1C7F24B1" w14:textId="77777777" w:rsidTr="007B5522">
        <w:trPr>
          <w:gridAfter w:val="1"/>
          <w:wAfter w:w="91" w:type="dxa"/>
          <w:trHeight w:val="553"/>
        </w:trPr>
        <w:tc>
          <w:tcPr>
            <w:tcW w:w="2262" w:type="dxa"/>
          </w:tcPr>
          <w:p w14:paraId="3734169F" w14:textId="1532D51C"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3.4</w:t>
            </w:r>
          </w:p>
        </w:tc>
        <w:tc>
          <w:tcPr>
            <w:tcW w:w="8113" w:type="dxa"/>
          </w:tcPr>
          <w:p w14:paraId="64549904" w14:textId="6444B0A4" w:rsidR="00941008" w:rsidRPr="004A77D7" w:rsidRDefault="00941008" w:rsidP="00941008">
            <w:pPr>
              <w:pStyle w:val="TabletextLeft"/>
              <w:rPr>
                <w:sz w:val="21"/>
                <w:szCs w:val="21"/>
              </w:rPr>
            </w:pPr>
            <w:r w:rsidRPr="004A77D7">
              <w:rPr>
                <w:sz w:val="21"/>
                <w:szCs w:val="21"/>
              </w:rPr>
              <w:t xml:space="preserve">Implement more proactive identification of policy gaps to further strengthen the </w:t>
            </w:r>
            <w:r w:rsidR="005A44D9">
              <w:rPr>
                <w:sz w:val="21"/>
                <w:szCs w:val="21"/>
              </w:rPr>
              <w:t>MBS</w:t>
            </w:r>
            <w:r w:rsidRPr="004A77D7">
              <w:rPr>
                <w:sz w:val="21"/>
                <w:szCs w:val="21"/>
              </w:rPr>
              <w:t xml:space="preserve"> </w:t>
            </w:r>
            <w:r w:rsidR="004A3E99">
              <w:rPr>
                <w:sz w:val="21"/>
                <w:szCs w:val="21"/>
              </w:rPr>
              <w:t xml:space="preserve">compliance </w:t>
            </w:r>
            <w:r w:rsidRPr="004A77D7">
              <w:rPr>
                <w:sz w:val="21"/>
                <w:szCs w:val="21"/>
              </w:rPr>
              <w:t>capabilities</w:t>
            </w:r>
            <w:r w:rsidR="00706389">
              <w:rPr>
                <w:sz w:val="21"/>
                <w:szCs w:val="21"/>
              </w:rPr>
              <w:t xml:space="preserve"> in line with the risk-based </w:t>
            </w:r>
            <w:r w:rsidR="003D2BB0">
              <w:rPr>
                <w:sz w:val="21"/>
                <w:szCs w:val="21"/>
              </w:rPr>
              <w:t>approach currently being adopted</w:t>
            </w:r>
            <w:r w:rsidRPr="004A77D7">
              <w:rPr>
                <w:sz w:val="21"/>
                <w:szCs w:val="21"/>
              </w:rPr>
              <w:t>.</w:t>
            </w:r>
          </w:p>
        </w:tc>
      </w:tr>
      <w:tr w:rsidR="00941008" w:rsidRPr="00E93FBC" w14:paraId="59D7222D" w14:textId="77777777" w:rsidTr="007B5522">
        <w:trPr>
          <w:gridAfter w:val="1"/>
          <w:wAfter w:w="91" w:type="dxa"/>
          <w:trHeight w:val="553"/>
        </w:trPr>
        <w:tc>
          <w:tcPr>
            <w:tcW w:w="2262" w:type="dxa"/>
          </w:tcPr>
          <w:p w14:paraId="426559E6" w14:textId="3A88287F"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3.5</w:t>
            </w:r>
          </w:p>
        </w:tc>
        <w:tc>
          <w:tcPr>
            <w:tcW w:w="8113" w:type="dxa"/>
          </w:tcPr>
          <w:p w14:paraId="453693F6" w14:textId="411CDD67" w:rsidR="00941008" w:rsidRPr="004A77D7" w:rsidRDefault="00941008" w:rsidP="00941008">
            <w:pPr>
              <w:pStyle w:val="TabletextLeft"/>
              <w:rPr>
                <w:sz w:val="21"/>
                <w:szCs w:val="21"/>
              </w:rPr>
            </w:pPr>
            <w:r w:rsidRPr="004A77D7">
              <w:rPr>
                <w:sz w:val="21"/>
                <w:szCs w:val="21"/>
              </w:rPr>
              <w:t>Consider the optimal operating environment to support a culture of information sharing and risk mitigation awareness across the relevant government agencies and teams</w:t>
            </w:r>
            <w:r w:rsidR="00AD2BB5">
              <w:rPr>
                <w:sz w:val="21"/>
                <w:szCs w:val="21"/>
              </w:rPr>
              <w:t>, includ</w:t>
            </w:r>
            <w:r w:rsidR="00FC1818">
              <w:rPr>
                <w:sz w:val="21"/>
                <w:szCs w:val="21"/>
              </w:rPr>
              <w:t>ing identification of legislative and privacy</w:t>
            </w:r>
            <w:r w:rsidR="0032087B">
              <w:rPr>
                <w:sz w:val="21"/>
                <w:szCs w:val="21"/>
              </w:rPr>
              <w:t>-</w:t>
            </w:r>
            <w:r w:rsidR="00FC1818">
              <w:rPr>
                <w:sz w:val="21"/>
                <w:szCs w:val="21"/>
              </w:rPr>
              <w:t>related concerns</w:t>
            </w:r>
            <w:r w:rsidRPr="004A77D7">
              <w:rPr>
                <w:sz w:val="21"/>
                <w:szCs w:val="21"/>
              </w:rPr>
              <w:t>.</w:t>
            </w:r>
          </w:p>
        </w:tc>
      </w:tr>
      <w:tr w:rsidR="00941008" w:rsidRPr="00E93FBC" w14:paraId="176A597E" w14:textId="77777777" w:rsidTr="007B5522">
        <w:trPr>
          <w:gridAfter w:val="1"/>
          <w:wAfter w:w="91" w:type="dxa"/>
          <w:trHeight w:val="553"/>
        </w:trPr>
        <w:tc>
          <w:tcPr>
            <w:tcW w:w="2262" w:type="dxa"/>
          </w:tcPr>
          <w:p w14:paraId="19183106" w14:textId="643907F4"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3.6</w:t>
            </w:r>
          </w:p>
        </w:tc>
        <w:tc>
          <w:tcPr>
            <w:tcW w:w="8113" w:type="dxa"/>
          </w:tcPr>
          <w:p w14:paraId="501D8454" w14:textId="5F88649F" w:rsidR="00941008" w:rsidRPr="004A77D7" w:rsidRDefault="00941008" w:rsidP="00941008">
            <w:pPr>
              <w:pStyle w:val="TabletextLeft"/>
              <w:rPr>
                <w:sz w:val="21"/>
                <w:szCs w:val="21"/>
              </w:rPr>
            </w:pPr>
            <w:r w:rsidRPr="004A77D7">
              <w:rPr>
                <w:sz w:val="21"/>
                <w:szCs w:val="21"/>
              </w:rPr>
              <w:t xml:space="preserve">Consider expanding the use of practical case studies to support existing information and education materials available to health professionals. Closer collaboration in the preparation of education materials between government agencies and peak bodies, and an expansion of </w:t>
            </w:r>
            <w:r w:rsidRPr="004A77D7">
              <w:rPr>
                <w:sz w:val="21"/>
                <w:szCs w:val="21"/>
              </w:rPr>
              <w:lastRenderedPageBreak/>
              <w:t>the education efforts to include corporate entities and administrative staff involved in preparing MBS claims.</w:t>
            </w:r>
          </w:p>
        </w:tc>
      </w:tr>
      <w:tr w:rsidR="00941008" w:rsidRPr="00E93FBC" w14:paraId="67F985C5" w14:textId="77777777" w:rsidTr="007B5522">
        <w:trPr>
          <w:gridAfter w:val="1"/>
          <w:wAfter w:w="91" w:type="dxa"/>
          <w:trHeight w:val="553"/>
        </w:trPr>
        <w:tc>
          <w:tcPr>
            <w:tcW w:w="2262" w:type="dxa"/>
          </w:tcPr>
          <w:p w14:paraId="73C9EFD3" w14:textId="7A88A01D" w:rsidR="00941008" w:rsidRPr="004A77D7" w:rsidRDefault="00941008" w:rsidP="00941008">
            <w:pPr>
              <w:pStyle w:val="TabletextLeft"/>
              <w:ind w:left="0"/>
              <w:rPr>
                <w:b/>
                <w:sz w:val="21"/>
                <w:szCs w:val="21"/>
              </w:rPr>
            </w:pPr>
            <w:r w:rsidRPr="004A77D7">
              <w:rPr>
                <w:b/>
                <w:sz w:val="21"/>
                <w:szCs w:val="21"/>
              </w:rPr>
              <w:lastRenderedPageBreak/>
              <w:t xml:space="preserve">Recommendation </w:t>
            </w:r>
            <w:r>
              <w:rPr>
                <w:b/>
                <w:sz w:val="21"/>
                <w:szCs w:val="21"/>
              </w:rPr>
              <w:t>3.7</w:t>
            </w:r>
          </w:p>
        </w:tc>
        <w:tc>
          <w:tcPr>
            <w:tcW w:w="8113" w:type="dxa"/>
          </w:tcPr>
          <w:p w14:paraId="2502656B" w14:textId="0B6689B8" w:rsidR="00941008" w:rsidRPr="004A77D7" w:rsidRDefault="00941008" w:rsidP="00941008">
            <w:pPr>
              <w:pStyle w:val="TabletextLeft"/>
              <w:rPr>
                <w:sz w:val="21"/>
                <w:szCs w:val="21"/>
              </w:rPr>
            </w:pPr>
            <w:r w:rsidRPr="004A77D7">
              <w:rPr>
                <w:sz w:val="21"/>
                <w:szCs w:val="21"/>
              </w:rPr>
              <w:t>Consider ongoing tailoring of the education and reference materials available to providers and patients to support complian</w:t>
            </w:r>
            <w:r w:rsidR="0032087B">
              <w:rPr>
                <w:sz w:val="21"/>
                <w:szCs w:val="21"/>
              </w:rPr>
              <w:t>t</w:t>
            </w:r>
            <w:r w:rsidRPr="004A77D7">
              <w:rPr>
                <w:sz w:val="21"/>
                <w:szCs w:val="21"/>
              </w:rPr>
              <w:t xml:space="preserve"> MBS claiming. Ongoing participation in face-to-face seminars and education events for target groups.</w:t>
            </w:r>
          </w:p>
        </w:tc>
      </w:tr>
      <w:tr w:rsidR="004A47A4" w:rsidRPr="00E93FBC" w14:paraId="37B2CCBF" w14:textId="77777777" w:rsidTr="007B5522">
        <w:trPr>
          <w:trHeight w:val="553"/>
        </w:trPr>
        <w:tc>
          <w:tcPr>
            <w:tcW w:w="10466" w:type="dxa"/>
            <w:gridSpan w:val="3"/>
            <w:shd w:val="clear" w:color="auto" w:fill="E7E6E6" w:themeFill="background2"/>
          </w:tcPr>
          <w:p w14:paraId="5F2C0B1A" w14:textId="2D5F3108" w:rsidR="004A47A4" w:rsidRPr="004A77D7" w:rsidRDefault="00AB7DE3" w:rsidP="00941008">
            <w:pPr>
              <w:pStyle w:val="TabletextLeft"/>
              <w:rPr>
                <w:sz w:val="21"/>
                <w:szCs w:val="21"/>
              </w:rPr>
            </w:pPr>
            <w:r>
              <w:rPr>
                <w:b/>
                <w:sz w:val="21"/>
                <w:szCs w:val="21"/>
              </w:rPr>
              <w:t>Modernising technology</w:t>
            </w:r>
          </w:p>
        </w:tc>
      </w:tr>
      <w:tr w:rsidR="00941008" w:rsidRPr="00E93FBC" w14:paraId="6F396B3D" w14:textId="77777777" w:rsidTr="007B5522">
        <w:trPr>
          <w:gridAfter w:val="1"/>
          <w:wAfter w:w="91" w:type="dxa"/>
          <w:trHeight w:val="553"/>
        </w:trPr>
        <w:tc>
          <w:tcPr>
            <w:tcW w:w="2262" w:type="dxa"/>
          </w:tcPr>
          <w:p w14:paraId="35E30836" w14:textId="6681B023"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4</w:t>
            </w:r>
          </w:p>
        </w:tc>
        <w:tc>
          <w:tcPr>
            <w:tcW w:w="8113" w:type="dxa"/>
          </w:tcPr>
          <w:p w14:paraId="61BEC932" w14:textId="513AF528" w:rsidR="00941008" w:rsidRPr="004A77D7" w:rsidRDefault="00941008" w:rsidP="00941008">
            <w:pPr>
              <w:pStyle w:val="TabletextLeft"/>
              <w:rPr>
                <w:sz w:val="21"/>
                <w:szCs w:val="21"/>
              </w:rPr>
            </w:pPr>
            <w:r w:rsidRPr="004A77D7">
              <w:rPr>
                <w:sz w:val="21"/>
                <w:szCs w:val="21"/>
              </w:rPr>
              <w:t xml:space="preserve">Redesign of the Medicare </w:t>
            </w:r>
            <w:r w:rsidR="0032087B">
              <w:rPr>
                <w:sz w:val="21"/>
                <w:szCs w:val="21"/>
              </w:rPr>
              <w:t>p</w:t>
            </w:r>
            <w:r w:rsidRPr="004A77D7">
              <w:rPr>
                <w:sz w:val="21"/>
                <w:szCs w:val="21"/>
              </w:rPr>
              <w:t xml:space="preserve">ayments </w:t>
            </w:r>
            <w:r w:rsidR="0032087B">
              <w:rPr>
                <w:sz w:val="21"/>
                <w:szCs w:val="21"/>
              </w:rPr>
              <w:t>s</w:t>
            </w:r>
            <w:r w:rsidRPr="004A77D7">
              <w:rPr>
                <w:sz w:val="21"/>
                <w:szCs w:val="21"/>
              </w:rPr>
              <w:t>ystem to a level of capability maturity th</w:t>
            </w:r>
            <w:r w:rsidR="00AB7DE3">
              <w:rPr>
                <w:sz w:val="21"/>
                <w:szCs w:val="21"/>
              </w:rPr>
              <w:t>at</w:t>
            </w:r>
            <w:r w:rsidRPr="004A77D7">
              <w:rPr>
                <w:sz w:val="21"/>
                <w:szCs w:val="21"/>
              </w:rPr>
              <w:t xml:space="preserve"> is commensurate with the size and complexity of the Scheme today and into the future.</w:t>
            </w:r>
          </w:p>
        </w:tc>
      </w:tr>
      <w:tr w:rsidR="00941008" w:rsidRPr="00E93FBC" w14:paraId="000D709E" w14:textId="77777777" w:rsidTr="007B5522">
        <w:trPr>
          <w:gridAfter w:val="1"/>
          <w:wAfter w:w="91" w:type="dxa"/>
          <w:trHeight w:val="553"/>
        </w:trPr>
        <w:tc>
          <w:tcPr>
            <w:tcW w:w="2262" w:type="dxa"/>
          </w:tcPr>
          <w:p w14:paraId="29B29D40" w14:textId="2B303F73"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4.1</w:t>
            </w:r>
          </w:p>
        </w:tc>
        <w:tc>
          <w:tcPr>
            <w:tcW w:w="8113" w:type="dxa"/>
          </w:tcPr>
          <w:p w14:paraId="44475826" w14:textId="74FEE4D5" w:rsidR="00941008" w:rsidRPr="004A77D7" w:rsidRDefault="00941008" w:rsidP="00941008">
            <w:pPr>
              <w:pStyle w:val="TabletextLeft"/>
              <w:rPr>
                <w:sz w:val="21"/>
                <w:szCs w:val="21"/>
              </w:rPr>
            </w:pPr>
            <w:r w:rsidRPr="004A77D7">
              <w:rPr>
                <w:sz w:val="21"/>
                <w:szCs w:val="21"/>
              </w:rPr>
              <w:t>Implement requirements for greater data checks and compliance within practice management software. This would enable closer integration of practice management software with the claims assessment rules engine to enable real-time claims assessment for providers to avoid unintentional non-compliant claiming.</w:t>
            </w:r>
          </w:p>
        </w:tc>
      </w:tr>
      <w:tr w:rsidR="00941008" w:rsidRPr="00E93FBC" w14:paraId="03A92DCD" w14:textId="77777777" w:rsidTr="007B5522">
        <w:trPr>
          <w:gridAfter w:val="1"/>
          <w:wAfter w:w="91" w:type="dxa"/>
          <w:trHeight w:val="553"/>
        </w:trPr>
        <w:tc>
          <w:tcPr>
            <w:tcW w:w="2262" w:type="dxa"/>
          </w:tcPr>
          <w:p w14:paraId="5DB44B2E" w14:textId="719DB936"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4.2</w:t>
            </w:r>
          </w:p>
        </w:tc>
        <w:tc>
          <w:tcPr>
            <w:tcW w:w="8113" w:type="dxa"/>
          </w:tcPr>
          <w:p w14:paraId="68B505B7" w14:textId="5FB41BAF" w:rsidR="00941008" w:rsidRPr="004A77D7" w:rsidRDefault="00941008" w:rsidP="00941008">
            <w:pPr>
              <w:pStyle w:val="TabletextLeft"/>
              <w:rPr>
                <w:sz w:val="21"/>
                <w:szCs w:val="21"/>
              </w:rPr>
            </w:pPr>
            <w:r w:rsidRPr="004A77D7">
              <w:rPr>
                <w:sz w:val="21"/>
                <w:szCs w:val="21"/>
              </w:rPr>
              <w:t>Implement technology to enable consistent and complete pre-payment checking and validation of all MBS claims</w:t>
            </w:r>
            <w:r w:rsidR="00273833">
              <w:rPr>
                <w:sz w:val="21"/>
                <w:szCs w:val="21"/>
              </w:rPr>
              <w:t xml:space="preserve"> as part of the first line of defence</w:t>
            </w:r>
            <w:r w:rsidRPr="004A77D7">
              <w:rPr>
                <w:sz w:val="21"/>
                <w:szCs w:val="21"/>
              </w:rPr>
              <w:t>.</w:t>
            </w:r>
          </w:p>
        </w:tc>
      </w:tr>
      <w:tr w:rsidR="00941008" w:rsidRPr="00E93FBC" w14:paraId="6DD85CDE" w14:textId="77777777" w:rsidTr="007B5522">
        <w:trPr>
          <w:gridAfter w:val="1"/>
          <w:wAfter w:w="91" w:type="dxa"/>
          <w:trHeight w:val="553"/>
        </w:trPr>
        <w:tc>
          <w:tcPr>
            <w:tcW w:w="2262" w:type="dxa"/>
          </w:tcPr>
          <w:p w14:paraId="558E9879" w14:textId="131BAF14"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4.3</w:t>
            </w:r>
          </w:p>
        </w:tc>
        <w:tc>
          <w:tcPr>
            <w:tcW w:w="8113" w:type="dxa"/>
          </w:tcPr>
          <w:p w14:paraId="5A7C4E65" w14:textId="1DD2231E" w:rsidR="00941008" w:rsidRPr="004A77D7" w:rsidRDefault="00941008" w:rsidP="00941008">
            <w:pPr>
              <w:pStyle w:val="TabletextLeft"/>
              <w:rPr>
                <w:sz w:val="21"/>
                <w:szCs w:val="21"/>
              </w:rPr>
            </w:pPr>
            <w:r w:rsidRPr="004A77D7">
              <w:rPr>
                <w:sz w:val="21"/>
                <w:szCs w:val="21"/>
              </w:rPr>
              <w:t>A review regarding replacement of legacy Medicare systems, applications and databases should be conducted with</w:t>
            </w:r>
            <w:r>
              <w:rPr>
                <w:sz w:val="21"/>
                <w:szCs w:val="21"/>
              </w:rPr>
              <w:t>in</w:t>
            </w:r>
            <w:r w:rsidRPr="004A77D7">
              <w:rPr>
                <w:sz w:val="21"/>
                <w:szCs w:val="21"/>
              </w:rPr>
              <w:t xml:space="preserve"> 12 months.</w:t>
            </w:r>
          </w:p>
        </w:tc>
      </w:tr>
      <w:tr w:rsidR="00941008" w:rsidRPr="00E93FBC" w14:paraId="5C398A9A" w14:textId="77777777" w:rsidTr="007B5522">
        <w:trPr>
          <w:gridAfter w:val="1"/>
          <w:wAfter w:w="91" w:type="dxa"/>
          <w:trHeight w:val="553"/>
        </w:trPr>
        <w:tc>
          <w:tcPr>
            <w:tcW w:w="2262" w:type="dxa"/>
          </w:tcPr>
          <w:p w14:paraId="22064C58" w14:textId="45AB8208"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4.4</w:t>
            </w:r>
          </w:p>
        </w:tc>
        <w:tc>
          <w:tcPr>
            <w:tcW w:w="8113" w:type="dxa"/>
          </w:tcPr>
          <w:p w14:paraId="66AB7F25" w14:textId="5FA85069" w:rsidR="00941008" w:rsidRPr="004A77D7" w:rsidRDefault="00941008" w:rsidP="00941008">
            <w:pPr>
              <w:pStyle w:val="TabletextLeft"/>
              <w:rPr>
                <w:sz w:val="21"/>
                <w:szCs w:val="21"/>
              </w:rPr>
            </w:pPr>
            <w:r w:rsidRPr="004A77D7">
              <w:rPr>
                <w:sz w:val="21"/>
                <w:szCs w:val="21"/>
              </w:rPr>
              <w:t>Urgent consideration should be given to options for the replacement of the ageing Medicare Common Assessment rules engine to a contemporary technology infrastructure.</w:t>
            </w:r>
          </w:p>
        </w:tc>
      </w:tr>
      <w:tr w:rsidR="00941008" w:rsidRPr="00E93FBC" w14:paraId="4D4EF42B" w14:textId="77777777" w:rsidTr="007B5522">
        <w:trPr>
          <w:gridAfter w:val="1"/>
          <w:wAfter w:w="91" w:type="dxa"/>
          <w:trHeight w:val="553"/>
        </w:trPr>
        <w:tc>
          <w:tcPr>
            <w:tcW w:w="2262" w:type="dxa"/>
          </w:tcPr>
          <w:p w14:paraId="42DB48AC" w14:textId="5721AE60"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4.5</w:t>
            </w:r>
          </w:p>
        </w:tc>
        <w:tc>
          <w:tcPr>
            <w:tcW w:w="8113" w:type="dxa"/>
          </w:tcPr>
          <w:p w14:paraId="717FC254" w14:textId="598D3C62" w:rsidR="00941008" w:rsidRPr="004A77D7" w:rsidRDefault="00941008" w:rsidP="00941008">
            <w:pPr>
              <w:pStyle w:val="TabletextLeft"/>
              <w:rPr>
                <w:sz w:val="21"/>
                <w:szCs w:val="21"/>
              </w:rPr>
            </w:pPr>
            <w:r w:rsidRPr="004A77D7">
              <w:rPr>
                <w:sz w:val="21"/>
                <w:szCs w:val="21"/>
              </w:rPr>
              <w:t xml:space="preserve">New Governance processes should be implemented </w:t>
            </w:r>
            <w:r w:rsidR="0032087B" w:rsidRPr="004A77D7">
              <w:rPr>
                <w:sz w:val="21"/>
                <w:szCs w:val="21"/>
              </w:rPr>
              <w:t xml:space="preserve">(and legislative changes may be required) </w:t>
            </w:r>
            <w:r w:rsidRPr="004A77D7">
              <w:rPr>
                <w:sz w:val="21"/>
                <w:szCs w:val="21"/>
              </w:rPr>
              <w:t xml:space="preserve">to expand the data exchanged between Services Australia and </w:t>
            </w:r>
            <w:proofErr w:type="spellStart"/>
            <w:r w:rsidRPr="004A77D7">
              <w:rPr>
                <w:sz w:val="21"/>
                <w:szCs w:val="21"/>
              </w:rPr>
              <w:t>DoHAC</w:t>
            </w:r>
            <w:proofErr w:type="spellEnd"/>
            <w:r w:rsidRPr="004A77D7">
              <w:rPr>
                <w:sz w:val="21"/>
                <w:szCs w:val="21"/>
              </w:rPr>
              <w:t>.</w:t>
            </w:r>
          </w:p>
        </w:tc>
      </w:tr>
      <w:tr w:rsidR="00941008" w:rsidRPr="00E93FBC" w14:paraId="2C861624" w14:textId="77777777" w:rsidTr="007B5522">
        <w:trPr>
          <w:gridAfter w:val="1"/>
          <w:wAfter w:w="91" w:type="dxa"/>
          <w:trHeight w:val="553"/>
        </w:trPr>
        <w:tc>
          <w:tcPr>
            <w:tcW w:w="2262" w:type="dxa"/>
          </w:tcPr>
          <w:p w14:paraId="541501E1" w14:textId="189D3F7D"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4.6</w:t>
            </w:r>
          </w:p>
        </w:tc>
        <w:tc>
          <w:tcPr>
            <w:tcW w:w="8113" w:type="dxa"/>
          </w:tcPr>
          <w:p w14:paraId="44F600B6" w14:textId="116B5974" w:rsidR="00941008" w:rsidRPr="004A77D7" w:rsidRDefault="00941008" w:rsidP="00941008">
            <w:pPr>
              <w:pStyle w:val="TabletextLeft"/>
              <w:rPr>
                <w:sz w:val="21"/>
                <w:szCs w:val="21"/>
              </w:rPr>
            </w:pPr>
            <w:r w:rsidRPr="004A77D7">
              <w:rPr>
                <w:sz w:val="21"/>
                <w:szCs w:val="21"/>
              </w:rPr>
              <w:t xml:space="preserve">Given the current lack of sufficient controls and analyses, </w:t>
            </w:r>
            <w:r w:rsidR="0032087B">
              <w:rPr>
                <w:sz w:val="21"/>
                <w:szCs w:val="21"/>
              </w:rPr>
              <w:t xml:space="preserve">and </w:t>
            </w:r>
            <w:r w:rsidRPr="004A77D7">
              <w:rPr>
                <w:sz w:val="21"/>
                <w:szCs w:val="21"/>
              </w:rPr>
              <w:t xml:space="preserve">given the vulnerabilities in the system, </w:t>
            </w:r>
            <w:proofErr w:type="spellStart"/>
            <w:r w:rsidRPr="004A77D7">
              <w:rPr>
                <w:sz w:val="21"/>
                <w:szCs w:val="21"/>
              </w:rPr>
              <w:t>DoHAC</w:t>
            </w:r>
            <w:proofErr w:type="spellEnd"/>
            <w:r w:rsidRPr="004A77D7">
              <w:rPr>
                <w:sz w:val="21"/>
                <w:szCs w:val="21"/>
              </w:rPr>
              <w:t xml:space="preserve"> and Services Australia should conduct an urgent strategic review of current data assets and uplift of current data analysis.</w:t>
            </w:r>
          </w:p>
        </w:tc>
      </w:tr>
      <w:tr w:rsidR="00941008" w:rsidRPr="00E93FBC" w14:paraId="191D60F9" w14:textId="77777777" w:rsidTr="007B5522">
        <w:trPr>
          <w:gridAfter w:val="1"/>
          <w:wAfter w:w="91" w:type="dxa"/>
          <w:trHeight w:val="553"/>
        </w:trPr>
        <w:tc>
          <w:tcPr>
            <w:tcW w:w="2262" w:type="dxa"/>
          </w:tcPr>
          <w:p w14:paraId="5E8B6D22" w14:textId="10736EC3"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4.7</w:t>
            </w:r>
          </w:p>
        </w:tc>
        <w:tc>
          <w:tcPr>
            <w:tcW w:w="8113" w:type="dxa"/>
          </w:tcPr>
          <w:p w14:paraId="25E68F8A" w14:textId="376CF4D3" w:rsidR="00941008" w:rsidRPr="004A77D7" w:rsidRDefault="00941008" w:rsidP="00941008">
            <w:pPr>
              <w:pStyle w:val="TabletextLeft"/>
              <w:rPr>
                <w:sz w:val="21"/>
                <w:szCs w:val="21"/>
              </w:rPr>
            </w:pPr>
            <w:r w:rsidRPr="004A77D7">
              <w:rPr>
                <w:sz w:val="21"/>
                <w:szCs w:val="21"/>
              </w:rPr>
              <w:t>Consider consolidation of the EDI simplified billing channel into the ECLIPSE billing channel to centralise all hospital inpatient claiming and enable data linkage to acute hospital datasets for compliance analysis.</w:t>
            </w:r>
          </w:p>
        </w:tc>
      </w:tr>
      <w:tr w:rsidR="0096651C" w:rsidRPr="00E93FBC" w14:paraId="41B94705" w14:textId="77777777" w:rsidTr="007B5522">
        <w:trPr>
          <w:trHeight w:val="553"/>
        </w:trPr>
        <w:tc>
          <w:tcPr>
            <w:tcW w:w="10466" w:type="dxa"/>
            <w:gridSpan w:val="3"/>
            <w:shd w:val="clear" w:color="auto" w:fill="E7E6E6" w:themeFill="background2"/>
          </w:tcPr>
          <w:p w14:paraId="73A951F0" w14:textId="0A422A39" w:rsidR="0096651C" w:rsidRPr="004A77D7" w:rsidRDefault="0096651C" w:rsidP="00941008">
            <w:pPr>
              <w:pStyle w:val="TabletextLeft"/>
              <w:rPr>
                <w:sz w:val="21"/>
                <w:szCs w:val="21"/>
              </w:rPr>
            </w:pPr>
            <w:r>
              <w:rPr>
                <w:b/>
                <w:sz w:val="21"/>
                <w:szCs w:val="21"/>
              </w:rPr>
              <w:t>Strengthening legislation</w:t>
            </w:r>
          </w:p>
        </w:tc>
      </w:tr>
      <w:tr w:rsidR="00941008" w:rsidRPr="00E93FBC" w14:paraId="7734A791" w14:textId="77777777" w:rsidTr="007B5522">
        <w:trPr>
          <w:gridAfter w:val="1"/>
          <w:wAfter w:w="91" w:type="dxa"/>
          <w:trHeight w:val="553"/>
        </w:trPr>
        <w:tc>
          <w:tcPr>
            <w:tcW w:w="2262" w:type="dxa"/>
          </w:tcPr>
          <w:p w14:paraId="01C8BB87" w14:textId="196D571E"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5</w:t>
            </w:r>
          </w:p>
        </w:tc>
        <w:tc>
          <w:tcPr>
            <w:tcW w:w="8113" w:type="dxa"/>
          </w:tcPr>
          <w:p w14:paraId="0CCEDE59" w14:textId="3D2260F5" w:rsidR="00941008" w:rsidRPr="004A77D7" w:rsidRDefault="0029490C" w:rsidP="00941008">
            <w:pPr>
              <w:pStyle w:val="TabletextLeft"/>
              <w:rPr>
                <w:sz w:val="21"/>
                <w:szCs w:val="21"/>
              </w:rPr>
            </w:pPr>
            <w:r w:rsidRPr="00E26A4E">
              <w:rPr>
                <w:sz w:val="21"/>
              </w:rPr>
              <w:t xml:space="preserve">Consider ongoing review of </w:t>
            </w:r>
            <w:r w:rsidRPr="007A7533">
              <w:rPr>
                <w:sz w:val="21"/>
              </w:rPr>
              <w:t>Medicare’s</w:t>
            </w:r>
            <w:r w:rsidRPr="00E26A4E">
              <w:rPr>
                <w:sz w:val="21"/>
              </w:rPr>
              <w:t xml:space="preserve"> enabling legislation and regulations to achieve the envisioned future state. Approaches employed by other regulators to ensure a consistent and contemporary approach should also be considered – including mechanisms such as statutory penalties to deter inappropriate behaviour and encourage earlier resolution of compliance cases, expansion of powers to ensure all types of serious non-compliance can be effectively dealt with and a reduction in regulation and legislation that hinders the effectiveness of compliance activities</w:t>
            </w:r>
            <w:r w:rsidR="0032087B">
              <w:rPr>
                <w:sz w:val="21"/>
              </w:rPr>
              <w:t>.</w:t>
            </w:r>
          </w:p>
        </w:tc>
      </w:tr>
      <w:tr w:rsidR="00941008" w:rsidRPr="00E93FBC" w14:paraId="6DA8474F" w14:textId="77777777" w:rsidTr="007B5522">
        <w:trPr>
          <w:gridAfter w:val="1"/>
          <w:wAfter w:w="91" w:type="dxa"/>
          <w:trHeight w:val="553"/>
        </w:trPr>
        <w:tc>
          <w:tcPr>
            <w:tcW w:w="2262" w:type="dxa"/>
          </w:tcPr>
          <w:p w14:paraId="75A8F58D" w14:textId="5A2B65C5" w:rsidR="00941008" w:rsidRPr="004A77D7" w:rsidRDefault="00941008" w:rsidP="00941008">
            <w:pPr>
              <w:pStyle w:val="TabletextLeft"/>
              <w:ind w:left="0"/>
              <w:rPr>
                <w:b/>
                <w:sz w:val="21"/>
                <w:szCs w:val="21"/>
              </w:rPr>
            </w:pPr>
            <w:r w:rsidRPr="004A77D7">
              <w:rPr>
                <w:b/>
                <w:sz w:val="21"/>
                <w:szCs w:val="21"/>
              </w:rPr>
              <w:t xml:space="preserve">Recommendation </w:t>
            </w:r>
            <w:r>
              <w:rPr>
                <w:b/>
                <w:sz w:val="21"/>
                <w:szCs w:val="21"/>
              </w:rPr>
              <w:t>6</w:t>
            </w:r>
          </w:p>
        </w:tc>
        <w:tc>
          <w:tcPr>
            <w:tcW w:w="8113" w:type="dxa"/>
          </w:tcPr>
          <w:p w14:paraId="6DE10C78" w14:textId="6AEE5DE2" w:rsidR="00941008" w:rsidRPr="004A77D7" w:rsidRDefault="00941008" w:rsidP="00941008">
            <w:pPr>
              <w:pStyle w:val="TabletextLeft"/>
              <w:rPr>
                <w:sz w:val="21"/>
                <w:szCs w:val="21"/>
              </w:rPr>
            </w:pPr>
            <w:r w:rsidRPr="004A77D7">
              <w:rPr>
                <w:sz w:val="21"/>
                <w:szCs w:val="21"/>
              </w:rPr>
              <w:t>Remove the veto power of the AMA in the selection process of the Director of the PSR given the brea</w:t>
            </w:r>
            <w:r w:rsidR="0032087B">
              <w:rPr>
                <w:sz w:val="21"/>
                <w:szCs w:val="21"/>
              </w:rPr>
              <w:t>d</w:t>
            </w:r>
            <w:r w:rsidRPr="004A77D7">
              <w:rPr>
                <w:sz w:val="21"/>
                <w:szCs w:val="21"/>
              </w:rPr>
              <w:t>th of health professions whose registrants could be subject to a review by PSR.</w:t>
            </w:r>
            <w:r w:rsidR="00267904">
              <w:rPr>
                <w:sz w:val="21"/>
                <w:szCs w:val="21"/>
              </w:rPr>
              <w:t xml:space="preserve"> </w:t>
            </w:r>
            <w:r w:rsidRPr="28E4B463">
              <w:rPr>
                <w:sz w:val="21"/>
                <w:szCs w:val="21"/>
              </w:rPr>
              <w:t>Additionally, the appointment of a second in charge or Associate Director could manage conflicts of interest and workloads.</w:t>
            </w:r>
          </w:p>
        </w:tc>
      </w:tr>
    </w:tbl>
    <w:p w14:paraId="30756424" w14:textId="6FC8E67A" w:rsidR="001C4E56" w:rsidRDefault="00790A52" w:rsidP="00940D39">
      <w:pPr>
        <w:pStyle w:val="Heading1"/>
      </w:pPr>
      <w:bookmarkStart w:id="47" w:name="_Toc128909106"/>
      <w:bookmarkStart w:id="48" w:name="_Toc128909109"/>
      <w:bookmarkStart w:id="49" w:name="_Toc128909110"/>
      <w:bookmarkStart w:id="50" w:name="_Toc128909115"/>
      <w:bookmarkStart w:id="51" w:name="_Toc128909116"/>
      <w:bookmarkStart w:id="52" w:name="_Toc131418563"/>
      <w:bookmarkEnd w:id="47"/>
      <w:bookmarkEnd w:id="48"/>
      <w:bookmarkEnd w:id="49"/>
      <w:bookmarkEnd w:id="50"/>
      <w:bookmarkEnd w:id="51"/>
      <w:r>
        <w:lastRenderedPageBreak/>
        <w:t>Terms of Reference</w:t>
      </w:r>
      <w:bookmarkEnd w:id="52"/>
    </w:p>
    <w:p w14:paraId="6202C01E" w14:textId="275A5C63" w:rsidR="001C4E56" w:rsidRPr="00485628" w:rsidRDefault="001C4E56" w:rsidP="001C4E56">
      <w:r w:rsidRPr="00485628">
        <w:t xml:space="preserve">This review has emerged from significant media attention </w:t>
      </w:r>
      <w:r>
        <w:t>regarding</w:t>
      </w:r>
      <w:r w:rsidRPr="00485628">
        <w:t xml:space="preserve"> Medicare and claims about the integrity </w:t>
      </w:r>
      <w:r w:rsidR="00AF6781">
        <w:t>of</w:t>
      </w:r>
      <w:r w:rsidRPr="00485628">
        <w:t xml:space="preserve"> and ‘rorting’ in the system. The terms of reference</w:t>
      </w:r>
      <w:r>
        <w:t xml:space="preserve"> (</w:t>
      </w:r>
      <w:proofErr w:type="spellStart"/>
      <w:r>
        <w:t>ToR</w:t>
      </w:r>
      <w:proofErr w:type="spellEnd"/>
      <w:r>
        <w:t>)</w:t>
      </w:r>
      <w:r w:rsidRPr="00485628">
        <w:t xml:space="preserve"> that have guided the </w:t>
      </w:r>
      <w:r>
        <w:t>R</w:t>
      </w:r>
      <w:r w:rsidRPr="00485628">
        <w:t>eview are:</w:t>
      </w:r>
    </w:p>
    <w:tbl>
      <w:tblPr>
        <w:tblStyle w:val="TableGridLight"/>
        <w:tblW w:w="5000" w:type="pct"/>
        <w:tblLook w:val="04A0" w:firstRow="1" w:lastRow="0" w:firstColumn="1" w:lastColumn="0" w:noHBand="0" w:noVBand="1"/>
      </w:tblPr>
      <w:tblGrid>
        <w:gridCol w:w="1141"/>
        <w:gridCol w:w="9315"/>
      </w:tblGrid>
      <w:tr w:rsidR="007B5522" w14:paraId="35FC7E06" w14:textId="77777777" w:rsidTr="00EF2981">
        <w:trPr>
          <w:trHeight w:val="735"/>
          <w:tblHeader/>
        </w:trPr>
        <w:tc>
          <w:tcPr>
            <w:tcW w:w="409" w:type="pct"/>
          </w:tcPr>
          <w:p w14:paraId="2F6F3E4E" w14:textId="0F7A6D41" w:rsidR="007B5522" w:rsidRPr="00E22B28" w:rsidRDefault="00BF5CDB" w:rsidP="001C4E56">
            <w:pPr>
              <w:rPr>
                <w:b/>
                <w:bCs/>
              </w:rPr>
            </w:pPr>
            <w:r>
              <w:rPr>
                <w:b/>
                <w:bCs/>
              </w:rPr>
              <w:t>Terms of Reference</w:t>
            </w:r>
          </w:p>
        </w:tc>
        <w:tc>
          <w:tcPr>
            <w:tcW w:w="4591" w:type="pct"/>
          </w:tcPr>
          <w:p w14:paraId="59B5FECA" w14:textId="1A7570BE" w:rsidR="007B5522" w:rsidRPr="00EF2981" w:rsidRDefault="00BF5CDB" w:rsidP="001C4E56">
            <w:pPr>
              <w:rPr>
                <w:b/>
                <w:bCs/>
              </w:rPr>
            </w:pPr>
            <w:r w:rsidRPr="00EF2981">
              <w:rPr>
                <w:b/>
                <w:bCs/>
              </w:rPr>
              <w:t>Description</w:t>
            </w:r>
          </w:p>
        </w:tc>
      </w:tr>
      <w:tr w:rsidR="001C4E56" w14:paraId="69A88811" w14:textId="77777777" w:rsidTr="007B5522">
        <w:trPr>
          <w:trHeight w:val="735"/>
        </w:trPr>
        <w:tc>
          <w:tcPr>
            <w:tcW w:w="409" w:type="pct"/>
          </w:tcPr>
          <w:p w14:paraId="1E911E5C" w14:textId="77777777" w:rsidR="001C4E56" w:rsidRPr="00A00EAA" w:rsidRDefault="001C4E56" w:rsidP="001C4E56">
            <w:pPr>
              <w:rPr>
                <w:b/>
                <w:bCs/>
                <w:sz w:val="20"/>
                <w:szCs w:val="20"/>
              </w:rPr>
            </w:pPr>
            <w:proofErr w:type="spellStart"/>
            <w:r w:rsidRPr="00A00EAA">
              <w:rPr>
                <w:b/>
                <w:bCs/>
                <w:sz w:val="20"/>
                <w:szCs w:val="20"/>
              </w:rPr>
              <w:t>ToR</w:t>
            </w:r>
            <w:proofErr w:type="spellEnd"/>
            <w:r w:rsidRPr="00A00EAA">
              <w:rPr>
                <w:b/>
                <w:bCs/>
                <w:sz w:val="20"/>
                <w:szCs w:val="20"/>
              </w:rPr>
              <w:t xml:space="preserve"> 1.</w:t>
            </w:r>
          </w:p>
        </w:tc>
        <w:tc>
          <w:tcPr>
            <w:tcW w:w="4591" w:type="pct"/>
          </w:tcPr>
          <w:p w14:paraId="404672A2" w14:textId="17DCFF19" w:rsidR="001C4E56" w:rsidRPr="00A00EAA" w:rsidRDefault="001C4E56" w:rsidP="001C4E56">
            <w:pPr>
              <w:rPr>
                <w:sz w:val="20"/>
                <w:szCs w:val="20"/>
              </w:rPr>
            </w:pPr>
            <w:r w:rsidRPr="00A00EAA">
              <w:rPr>
                <w:sz w:val="20"/>
                <w:szCs w:val="20"/>
              </w:rPr>
              <w:t xml:space="preserve">Assess at a high-level, additional measures/controls for the </w:t>
            </w:r>
            <w:r w:rsidR="003F77B1" w:rsidRPr="00A00EAA">
              <w:rPr>
                <w:sz w:val="20"/>
                <w:szCs w:val="20"/>
              </w:rPr>
              <w:t>Medicare Benefits Schedule (</w:t>
            </w:r>
            <w:r w:rsidRPr="00A00EAA">
              <w:rPr>
                <w:sz w:val="20"/>
                <w:szCs w:val="20"/>
              </w:rPr>
              <w:t>MBS</w:t>
            </w:r>
            <w:r w:rsidR="003F77B1" w:rsidRPr="00A00EAA">
              <w:rPr>
                <w:sz w:val="20"/>
                <w:szCs w:val="20"/>
              </w:rPr>
              <w:t>)</w:t>
            </w:r>
            <w:r w:rsidRPr="00A00EAA">
              <w:rPr>
                <w:sz w:val="20"/>
                <w:szCs w:val="20"/>
              </w:rPr>
              <w:t xml:space="preserve"> to reduce the risk of fraudulent billing or overservicing before payments are made. Consider measures available to slow, deter and prevent incorrect claiming such as system blocks and authorisations.</w:t>
            </w:r>
          </w:p>
        </w:tc>
      </w:tr>
      <w:tr w:rsidR="001C4E56" w14:paraId="3B4641F6" w14:textId="77777777" w:rsidTr="007B5522">
        <w:trPr>
          <w:trHeight w:val="735"/>
        </w:trPr>
        <w:tc>
          <w:tcPr>
            <w:tcW w:w="409" w:type="pct"/>
          </w:tcPr>
          <w:p w14:paraId="0178DE81" w14:textId="77777777" w:rsidR="001C4E56" w:rsidRPr="00A00EAA" w:rsidRDefault="001C4E56" w:rsidP="001C4E56">
            <w:pPr>
              <w:rPr>
                <w:b/>
                <w:bCs/>
                <w:sz w:val="20"/>
                <w:szCs w:val="20"/>
              </w:rPr>
            </w:pPr>
            <w:proofErr w:type="spellStart"/>
            <w:r w:rsidRPr="00A00EAA">
              <w:rPr>
                <w:b/>
                <w:bCs/>
                <w:sz w:val="20"/>
                <w:szCs w:val="20"/>
              </w:rPr>
              <w:t>ToR</w:t>
            </w:r>
            <w:proofErr w:type="spellEnd"/>
            <w:r w:rsidRPr="00A00EAA">
              <w:rPr>
                <w:b/>
                <w:bCs/>
                <w:sz w:val="20"/>
                <w:szCs w:val="20"/>
              </w:rPr>
              <w:t xml:space="preserve"> 2.</w:t>
            </w:r>
          </w:p>
        </w:tc>
        <w:tc>
          <w:tcPr>
            <w:tcW w:w="4591" w:type="pct"/>
          </w:tcPr>
          <w:p w14:paraId="14FCA4AD" w14:textId="5594A0DC" w:rsidR="001C4E56" w:rsidRPr="00A00EAA" w:rsidRDefault="001C4E56" w:rsidP="001C4E56">
            <w:pPr>
              <w:rPr>
                <w:sz w:val="20"/>
                <w:szCs w:val="20"/>
              </w:rPr>
            </w:pPr>
            <w:r w:rsidRPr="00A00EAA">
              <w:rPr>
                <w:sz w:val="20"/>
                <w:szCs w:val="20"/>
              </w:rPr>
              <w:t xml:space="preserve">Assess at a high-level, the integrity risks for the Medicare payment systems and multiple </w:t>
            </w:r>
            <w:r w:rsidR="005369B8" w:rsidRPr="00A00EAA">
              <w:rPr>
                <w:sz w:val="20"/>
                <w:szCs w:val="20"/>
              </w:rPr>
              <w:t>claiming channel</w:t>
            </w:r>
            <w:r w:rsidRPr="00A00EAA">
              <w:rPr>
                <w:sz w:val="20"/>
                <w:szCs w:val="20"/>
              </w:rPr>
              <w:t>s. Consider whether some of the claiming channels are more susceptible to misuse and fraud, and steps which could be taken to minimise the risk of fraud and inappropriate practice through these channels.</w:t>
            </w:r>
          </w:p>
        </w:tc>
      </w:tr>
      <w:tr w:rsidR="001C4E56" w14:paraId="534E2C68" w14:textId="77777777" w:rsidTr="007B5522">
        <w:trPr>
          <w:trHeight w:val="551"/>
        </w:trPr>
        <w:tc>
          <w:tcPr>
            <w:tcW w:w="409" w:type="pct"/>
          </w:tcPr>
          <w:p w14:paraId="115D59CB" w14:textId="77777777" w:rsidR="001C4E56" w:rsidRPr="00A00EAA" w:rsidRDefault="001C4E56" w:rsidP="001C4E56">
            <w:pPr>
              <w:rPr>
                <w:b/>
                <w:bCs/>
                <w:sz w:val="20"/>
                <w:szCs w:val="20"/>
              </w:rPr>
            </w:pPr>
            <w:proofErr w:type="spellStart"/>
            <w:r w:rsidRPr="00A00EAA">
              <w:rPr>
                <w:b/>
                <w:bCs/>
                <w:sz w:val="20"/>
                <w:szCs w:val="20"/>
              </w:rPr>
              <w:t>ToR</w:t>
            </w:r>
            <w:proofErr w:type="spellEnd"/>
            <w:r w:rsidRPr="00A00EAA">
              <w:rPr>
                <w:b/>
                <w:bCs/>
                <w:sz w:val="20"/>
                <w:szCs w:val="20"/>
              </w:rPr>
              <w:t xml:space="preserve"> 3.</w:t>
            </w:r>
          </w:p>
        </w:tc>
        <w:tc>
          <w:tcPr>
            <w:tcW w:w="4591" w:type="pct"/>
          </w:tcPr>
          <w:p w14:paraId="454A6D41" w14:textId="77777777" w:rsidR="001C4E56" w:rsidRPr="00A00EAA" w:rsidRDefault="001C4E56" w:rsidP="001C4E56">
            <w:pPr>
              <w:rPr>
                <w:sz w:val="20"/>
                <w:szCs w:val="20"/>
              </w:rPr>
            </w:pPr>
            <w:r w:rsidRPr="00A00EAA">
              <w:rPr>
                <w:sz w:val="20"/>
                <w:szCs w:val="20"/>
              </w:rPr>
              <w:t>Develop a methodology to assess the potential value of fraudulent, non-compliant or over servicing risks in Medicare.</w:t>
            </w:r>
          </w:p>
        </w:tc>
      </w:tr>
      <w:tr w:rsidR="001C4E56" w14:paraId="3A11E2FE" w14:textId="77777777" w:rsidTr="007B5522">
        <w:trPr>
          <w:trHeight w:val="920"/>
        </w:trPr>
        <w:tc>
          <w:tcPr>
            <w:tcW w:w="409" w:type="pct"/>
          </w:tcPr>
          <w:p w14:paraId="790A6ACB" w14:textId="50971A3B" w:rsidR="001C4E56" w:rsidRPr="00A00EAA" w:rsidRDefault="001C4E56" w:rsidP="001C4E56">
            <w:pPr>
              <w:rPr>
                <w:b/>
                <w:bCs/>
                <w:sz w:val="20"/>
                <w:szCs w:val="20"/>
              </w:rPr>
            </w:pPr>
            <w:proofErr w:type="spellStart"/>
            <w:r w:rsidRPr="00A00EAA">
              <w:rPr>
                <w:b/>
                <w:bCs/>
                <w:sz w:val="20"/>
                <w:szCs w:val="20"/>
              </w:rPr>
              <w:t>To</w:t>
            </w:r>
            <w:r w:rsidR="005D61B1" w:rsidRPr="00A00EAA">
              <w:rPr>
                <w:b/>
                <w:bCs/>
                <w:sz w:val="20"/>
                <w:szCs w:val="20"/>
              </w:rPr>
              <w:t>R</w:t>
            </w:r>
            <w:proofErr w:type="spellEnd"/>
            <w:r w:rsidRPr="00A00EAA">
              <w:rPr>
                <w:b/>
                <w:bCs/>
                <w:sz w:val="20"/>
                <w:szCs w:val="20"/>
              </w:rPr>
              <w:t xml:space="preserve"> 4.</w:t>
            </w:r>
          </w:p>
        </w:tc>
        <w:tc>
          <w:tcPr>
            <w:tcW w:w="4591" w:type="pct"/>
          </w:tcPr>
          <w:p w14:paraId="1FAFE5DC" w14:textId="77777777" w:rsidR="001C4E56" w:rsidRPr="00A00EAA" w:rsidRDefault="001C4E56" w:rsidP="001C4E56">
            <w:pPr>
              <w:rPr>
                <w:sz w:val="20"/>
                <w:szCs w:val="20"/>
              </w:rPr>
            </w:pPr>
            <w:r w:rsidRPr="00A00EAA">
              <w:rPr>
                <w:sz w:val="20"/>
                <w:szCs w:val="20"/>
              </w:rPr>
              <w:t xml:space="preserve">Identify and scope opportunities for improvements in the Practitioner Review Program and Professional Services Review functions, based on an assessment of their effectiveness, </w:t>
            </w:r>
            <w:proofErr w:type="gramStart"/>
            <w:r w:rsidRPr="00A00EAA">
              <w:rPr>
                <w:sz w:val="20"/>
                <w:szCs w:val="20"/>
              </w:rPr>
              <w:t>transparency</w:t>
            </w:r>
            <w:proofErr w:type="gramEnd"/>
            <w:r w:rsidRPr="00A00EAA">
              <w:rPr>
                <w:sz w:val="20"/>
                <w:szCs w:val="20"/>
              </w:rPr>
              <w:t xml:space="preserve"> and independence, including addressing serious non-compliant behaviours that do not constitute fraud (non-provision) and are not considered auditable under current legislation.</w:t>
            </w:r>
          </w:p>
        </w:tc>
      </w:tr>
      <w:tr w:rsidR="001C4E56" w14:paraId="7F03CB6F" w14:textId="77777777" w:rsidTr="007B5522">
        <w:trPr>
          <w:trHeight w:val="1314"/>
        </w:trPr>
        <w:tc>
          <w:tcPr>
            <w:tcW w:w="409" w:type="pct"/>
          </w:tcPr>
          <w:p w14:paraId="5B3DFB58" w14:textId="77777777" w:rsidR="001C4E56" w:rsidRPr="00A00EAA" w:rsidRDefault="001C4E56" w:rsidP="001C4E56">
            <w:pPr>
              <w:rPr>
                <w:b/>
                <w:bCs/>
                <w:sz w:val="20"/>
                <w:szCs w:val="20"/>
              </w:rPr>
            </w:pPr>
            <w:proofErr w:type="spellStart"/>
            <w:r w:rsidRPr="00A00EAA">
              <w:rPr>
                <w:b/>
                <w:bCs/>
                <w:sz w:val="20"/>
                <w:szCs w:val="20"/>
              </w:rPr>
              <w:t>ToR</w:t>
            </w:r>
            <w:proofErr w:type="spellEnd"/>
            <w:r w:rsidRPr="00A00EAA">
              <w:rPr>
                <w:b/>
                <w:bCs/>
                <w:sz w:val="20"/>
                <w:szCs w:val="20"/>
              </w:rPr>
              <w:t xml:space="preserve"> 5.</w:t>
            </w:r>
          </w:p>
        </w:tc>
        <w:tc>
          <w:tcPr>
            <w:tcW w:w="4591" w:type="pct"/>
          </w:tcPr>
          <w:p w14:paraId="73E04D56" w14:textId="149DCC65" w:rsidR="001C4E56" w:rsidRPr="00A00EAA" w:rsidRDefault="001C4E56" w:rsidP="001C4E56">
            <w:pPr>
              <w:rPr>
                <w:sz w:val="20"/>
                <w:szCs w:val="20"/>
              </w:rPr>
            </w:pPr>
            <w:r w:rsidRPr="00A00EAA">
              <w:rPr>
                <w:sz w:val="20"/>
                <w:szCs w:val="20"/>
              </w:rPr>
              <w:t xml:space="preserve">Review the Health Insurance Act and other associated regulations, as the </w:t>
            </w:r>
            <w:r w:rsidR="0032087B" w:rsidRPr="00A00EAA">
              <w:rPr>
                <w:sz w:val="20"/>
                <w:szCs w:val="20"/>
              </w:rPr>
              <w:t>s</w:t>
            </w:r>
            <w:r w:rsidRPr="00A00EAA">
              <w:rPr>
                <w:sz w:val="20"/>
                <w:szCs w:val="20"/>
              </w:rPr>
              <w:t xml:space="preserve">ervice </w:t>
            </w:r>
            <w:r w:rsidR="0032087B" w:rsidRPr="00A00EAA">
              <w:rPr>
                <w:sz w:val="20"/>
                <w:szCs w:val="20"/>
              </w:rPr>
              <w:t>p</w:t>
            </w:r>
            <w:r w:rsidRPr="00A00EAA">
              <w:rPr>
                <w:sz w:val="20"/>
                <w:szCs w:val="20"/>
              </w:rPr>
              <w:t>rovider considers relevant and appropriate, to identify potential improvements which could be made to up</w:t>
            </w:r>
            <w:r w:rsidR="004A1281" w:rsidRPr="00A00EAA">
              <w:rPr>
                <w:sz w:val="20"/>
                <w:szCs w:val="20"/>
              </w:rPr>
              <w:t>-</w:t>
            </w:r>
            <w:r w:rsidRPr="00A00EAA">
              <w:rPr>
                <w:sz w:val="20"/>
                <w:szCs w:val="20"/>
              </w:rPr>
              <w:t xml:space="preserve">front controls for payment and options to strengthen compliance treatments and penalties for fraud, inappropriate </w:t>
            </w:r>
            <w:proofErr w:type="gramStart"/>
            <w:r w:rsidRPr="00A00EAA">
              <w:rPr>
                <w:sz w:val="20"/>
                <w:szCs w:val="20"/>
              </w:rPr>
              <w:t>practice</w:t>
            </w:r>
            <w:proofErr w:type="gramEnd"/>
            <w:r w:rsidRPr="00A00EAA">
              <w:rPr>
                <w:sz w:val="20"/>
                <w:szCs w:val="20"/>
              </w:rPr>
              <w:t xml:space="preserve"> and non-compliance. And consider the effectiveness of current legislative arrangements for the treatment of non-compliance by non-health provider entities. Also assess the effectiveness of recovery mechanisms for debts due to the Commonwealth, and escalation processes for repeated non-compliance.</w:t>
            </w:r>
          </w:p>
        </w:tc>
      </w:tr>
    </w:tbl>
    <w:p w14:paraId="4FA05071" w14:textId="41FBDFB0" w:rsidR="001C4E56" w:rsidRDefault="001C4E56" w:rsidP="001C4E56">
      <w:r>
        <w:t xml:space="preserve">This report does not explore these </w:t>
      </w:r>
      <w:proofErr w:type="spellStart"/>
      <w:r>
        <w:t>ToR</w:t>
      </w:r>
      <w:proofErr w:type="spellEnd"/>
      <w:r>
        <w:t xml:space="preserve"> individually, but instead presents an overview of the current state, key issues, and findings that have been identified</w:t>
      </w:r>
      <w:r w:rsidR="00DD58FA">
        <w:t xml:space="preserve"> </w:t>
      </w:r>
      <w:r w:rsidR="00AF1C14">
        <w:t>to date</w:t>
      </w:r>
      <w:r>
        <w:t xml:space="preserve"> through the Review. </w:t>
      </w:r>
      <w:r w:rsidR="001B433F">
        <w:t>This</w:t>
      </w:r>
      <w:r>
        <w:t xml:space="preserve"> approach better recognises the need to </w:t>
      </w:r>
      <w:r w:rsidR="00B6659E">
        <w:t>look</w:t>
      </w:r>
      <w:r>
        <w:t xml:space="preserve"> at the Medicare integrity and compliance system as a whole and in the context of its intent and purpose. </w:t>
      </w:r>
      <w:r w:rsidR="00752B16">
        <w:t xml:space="preserve">As such the structure of this document </w:t>
      </w:r>
      <w:r w:rsidR="007B0DFB">
        <w:t>includes:</w:t>
      </w:r>
    </w:p>
    <w:p w14:paraId="5A212179" w14:textId="04B6E895" w:rsidR="007B0DFB" w:rsidRPr="007B5522" w:rsidRDefault="007B0DFB" w:rsidP="007B5522">
      <w:pPr>
        <w:pStyle w:val="ListBullet"/>
      </w:pPr>
      <w:r w:rsidRPr="007B5522">
        <w:t xml:space="preserve">Chapter 2: </w:t>
      </w:r>
      <w:r w:rsidR="0032087B" w:rsidRPr="007B5522">
        <w:t>C</w:t>
      </w:r>
      <w:r w:rsidRPr="007B5522">
        <w:t>urrent state analysis: which describes the current state of the MBS and Medicare system</w:t>
      </w:r>
    </w:p>
    <w:p w14:paraId="371B257F" w14:textId="72C4AB56" w:rsidR="007B0DFB" w:rsidRPr="007B5522" w:rsidRDefault="007B0DFB" w:rsidP="007B5522">
      <w:pPr>
        <w:pStyle w:val="ListBullet"/>
      </w:pPr>
      <w:r w:rsidRPr="007B5522">
        <w:t xml:space="preserve">Chapter 3: The future state direction: which outlines a number of recommendations to address the findings and </w:t>
      </w:r>
      <w:r w:rsidR="00C938DC" w:rsidRPr="007B5522">
        <w:t>contribute to optimising the MBS</w:t>
      </w:r>
      <w:r w:rsidR="00567F06" w:rsidRPr="007B5522">
        <w:t xml:space="preserve"> and Medicare system</w:t>
      </w:r>
    </w:p>
    <w:p w14:paraId="59BF4201" w14:textId="1520D74C" w:rsidR="00567F06" w:rsidRPr="007B5522" w:rsidRDefault="00567F06" w:rsidP="007B5522">
      <w:pPr>
        <w:pStyle w:val="ListBullet"/>
      </w:pPr>
      <w:r w:rsidRPr="007B5522">
        <w:t xml:space="preserve">Chapter 4: Implementation: which suggests a </w:t>
      </w:r>
      <w:r w:rsidR="002E590D" w:rsidRPr="007B5522">
        <w:t xml:space="preserve">roadmap </w:t>
      </w:r>
      <w:r w:rsidR="00BE74F7" w:rsidRPr="007B5522">
        <w:t>to implement the recommendations</w:t>
      </w:r>
    </w:p>
    <w:p w14:paraId="543AE746" w14:textId="1406F175" w:rsidR="001C4E56" w:rsidRDefault="002701C0" w:rsidP="001C4E56">
      <w:r>
        <w:t xml:space="preserve">A list of the stakeholders consulted for the Review </w:t>
      </w:r>
      <w:r w:rsidR="009F2050">
        <w:t>is</w:t>
      </w:r>
      <w:r>
        <w:t xml:space="preserve"> outlined in </w:t>
      </w:r>
      <w:r>
        <w:fldChar w:fldCharType="begin"/>
      </w:r>
      <w:r>
        <w:instrText xml:space="preserve"> REF _Ref125969119 \r \h </w:instrText>
      </w:r>
      <w:r>
        <w:fldChar w:fldCharType="separate"/>
      </w:r>
      <w:r w:rsidR="005A1647">
        <w:t>Appendix B</w:t>
      </w:r>
      <w:r>
        <w:fldChar w:fldCharType="end"/>
      </w:r>
      <w:r>
        <w:t xml:space="preserve">. </w:t>
      </w:r>
    </w:p>
    <w:p w14:paraId="06E985E2" w14:textId="06C289B1" w:rsidR="004153B9" w:rsidRDefault="004153B9" w:rsidP="001C4E56">
      <w:pPr>
        <w:rPr>
          <w:b/>
          <w:bCs/>
        </w:rPr>
      </w:pPr>
      <w:r>
        <w:rPr>
          <w:b/>
          <w:bCs/>
        </w:rPr>
        <w:t>Limitat</w:t>
      </w:r>
      <w:r w:rsidR="00782E61">
        <w:rPr>
          <w:b/>
          <w:bCs/>
        </w:rPr>
        <w:t>ions of this report</w:t>
      </w:r>
    </w:p>
    <w:p w14:paraId="304610AB" w14:textId="72C0C387" w:rsidR="00782E61" w:rsidRDefault="001F2F2E" w:rsidP="001C4E56">
      <w:r>
        <w:t xml:space="preserve">This report has </w:t>
      </w:r>
      <w:r w:rsidR="005B2E1D">
        <w:t xml:space="preserve">been unable to </w:t>
      </w:r>
      <w:r w:rsidR="009B3BD1">
        <w:t>cover all aspects of the MBS and Medicare system</w:t>
      </w:r>
      <w:r w:rsidR="00283D05">
        <w:t xml:space="preserve"> within the bounds of the terms of reference and scope outlined above. </w:t>
      </w:r>
      <w:r w:rsidR="00172106">
        <w:t xml:space="preserve">The following should be </w:t>
      </w:r>
      <w:r w:rsidR="00C85C2C">
        <w:t>considered</w:t>
      </w:r>
      <w:r w:rsidR="00172106">
        <w:t xml:space="preserve"> when reviewing this report:</w:t>
      </w:r>
    </w:p>
    <w:p w14:paraId="42F593B4" w14:textId="4D1B5922" w:rsidR="00172106" w:rsidRPr="007B5522" w:rsidRDefault="00172106" w:rsidP="007B5522">
      <w:pPr>
        <w:pStyle w:val="ListBullet"/>
      </w:pPr>
      <w:r w:rsidRPr="007B5522">
        <w:t>Consideration and commentary regarding the re</w:t>
      </w:r>
      <w:r w:rsidR="00602BCB" w:rsidRPr="007B5522">
        <w:t xml:space="preserve">imbursement </w:t>
      </w:r>
      <w:r w:rsidR="00D71EA6" w:rsidRPr="007B5522">
        <w:t xml:space="preserve">attributed to individual </w:t>
      </w:r>
      <w:r w:rsidR="00831BDF" w:rsidRPr="007B5522">
        <w:t>MBS items</w:t>
      </w:r>
      <w:r w:rsidR="00986405" w:rsidRPr="007B5522">
        <w:t xml:space="preserve">, how they relate to individual health professionals and patients </w:t>
      </w:r>
      <w:r w:rsidR="00852026" w:rsidRPr="007B5522">
        <w:t>has not been within the scope of this Review.</w:t>
      </w:r>
    </w:p>
    <w:p w14:paraId="576C1FE8" w14:textId="02743138" w:rsidR="00852026" w:rsidRPr="007B5522" w:rsidRDefault="009B68CC" w:rsidP="007B5522">
      <w:pPr>
        <w:pStyle w:val="ListBullet"/>
      </w:pPr>
      <w:r w:rsidRPr="007B5522">
        <w:t xml:space="preserve">The timeframes for this Review </w:t>
      </w:r>
      <w:r w:rsidR="001320E3" w:rsidRPr="007B5522">
        <w:t xml:space="preserve">have led to a focus on targeted stakeholder interviews and engagement, and I am grateful for the </w:t>
      </w:r>
      <w:r w:rsidR="005E7D9B" w:rsidRPr="007B5522">
        <w:t xml:space="preserve">time and effort representatives have provided to </w:t>
      </w:r>
      <w:r w:rsidR="007374AC" w:rsidRPr="007B5522">
        <w:t>me</w:t>
      </w:r>
      <w:r w:rsidR="005E7D9B" w:rsidRPr="007B5522">
        <w:t>.</w:t>
      </w:r>
      <w:r w:rsidR="007374AC" w:rsidRPr="007B5522">
        <w:t xml:space="preserve"> I have </w:t>
      </w:r>
      <w:r w:rsidR="00061399" w:rsidRPr="007B5522">
        <w:t xml:space="preserve">not had the opportunity for </w:t>
      </w:r>
      <w:r w:rsidR="0032087B" w:rsidRPr="007B5522">
        <w:t xml:space="preserve">a </w:t>
      </w:r>
      <w:r w:rsidR="00061399" w:rsidRPr="007B5522">
        <w:t>broader community consultation</w:t>
      </w:r>
      <w:r w:rsidR="00751F6E" w:rsidRPr="007B5522">
        <w:t xml:space="preserve"> and submission process.</w:t>
      </w:r>
    </w:p>
    <w:p w14:paraId="247A880F" w14:textId="77777777" w:rsidR="007B5522" w:rsidRPr="007B5522" w:rsidRDefault="00775343" w:rsidP="007B5522">
      <w:pPr>
        <w:pStyle w:val="ListBullet"/>
      </w:pPr>
      <w:r w:rsidRPr="007B5522">
        <w:t xml:space="preserve">Data reflected in this </w:t>
      </w:r>
      <w:r w:rsidR="00197ABC" w:rsidRPr="007B5522">
        <w:t xml:space="preserve">report has been sourced from </w:t>
      </w:r>
      <w:proofErr w:type="gramStart"/>
      <w:r w:rsidR="00197ABC" w:rsidRPr="007B5522">
        <w:t>publicly</w:t>
      </w:r>
      <w:r w:rsidR="00C85C2C" w:rsidRPr="007B5522">
        <w:t>-</w:t>
      </w:r>
      <w:r w:rsidR="00197ABC" w:rsidRPr="007B5522">
        <w:t>available</w:t>
      </w:r>
      <w:proofErr w:type="gramEnd"/>
      <w:r w:rsidR="00197ABC" w:rsidRPr="007B5522">
        <w:t xml:space="preserve"> sources as well as provided directly by </w:t>
      </w:r>
      <w:proofErr w:type="spellStart"/>
      <w:r w:rsidR="00197ABC" w:rsidRPr="007B5522">
        <w:t>DoHAC</w:t>
      </w:r>
      <w:proofErr w:type="spellEnd"/>
      <w:r w:rsidR="00197ABC" w:rsidRPr="007B5522">
        <w:t>, Services Australia</w:t>
      </w:r>
      <w:r w:rsidR="00931F44" w:rsidRPr="007B5522">
        <w:t>, and the representative stakeholder</w:t>
      </w:r>
      <w:r w:rsidR="0032087B" w:rsidRPr="007B5522">
        <w:t>s</w:t>
      </w:r>
      <w:r w:rsidR="00931F44" w:rsidRPr="007B5522">
        <w:t xml:space="preserve"> with whom I have </w:t>
      </w:r>
      <w:r w:rsidR="001E61CB" w:rsidRPr="007B5522">
        <w:t xml:space="preserve">met with through the course of this Review. I have not sought to </w:t>
      </w:r>
      <w:r w:rsidR="002E5998" w:rsidRPr="007B5522">
        <w:t>verify the authenticity</w:t>
      </w:r>
      <w:r w:rsidR="00BA4399" w:rsidRPr="007B5522">
        <w:t xml:space="preserve"> of the data and I have nominated the sources </w:t>
      </w:r>
      <w:r w:rsidR="007C5904" w:rsidRPr="007B5522">
        <w:t>where relevant to provide transparency.</w:t>
      </w:r>
    </w:p>
    <w:p w14:paraId="6C064522" w14:textId="055B8E9B" w:rsidR="00BF3260" w:rsidRDefault="001C4E56" w:rsidP="00940D39">
      <w:pPr>
        <w:pStyle w:val="Heading1"/>
      </w:pPr>
      <w:bookmarkStart w:id="53" w:name="_Toc131418564"/>
      <w:r>
        <w:lastRenderedPageBreak/>
        <w:t xml:space="preserve">Current state and </w:t>
      </w:r>
      <w:r w:rsidR="00C804BD">
        <w:t>findings</w:t>
      </w:r>
      <w:bookmarkEnd w:id="53"/>
      <w:r>
        <w:t xml:space="preserve">  </w:t>
      </w:r>
    </w:p>
    <w:p w14:paraId="343E65F1" w14:textId="2B01B556" w:rsidR="00AC1ACE" w:rsidRDefault="001D7F69" w:rsidP="00940D39">
      <w:pPr>
        <w:pStyle w:val="Heading2"/>
      </w:pPr>
      <w:bookmarkStart w:id="54" w:name="_Toc128669060"/>
      <w:bookmarkStart w:id="55" w:name="_Toc128905516"/>
      <w:bookmarkStart w:id="56" w:name="_Toc128907009"/>
      <w:bookmarkStart w:id="57" w:name="_Toc128909119"/>
      <w:r>
        <w:t>Defining compliance and integrity in the current Medicare system</w:t>
      </w:r>
      <w:bookmarkEnd w:id="54"/>
      <w:bookmarkEnd w:id="55"/>
      <w:bookmarkEnd w:id="56"/>
      <w:bookmarkEnd w:id="57"/>
    </w:p>
    <w:p w14:paraId="303E4023" w14:textId="2FC11278" w:rsidR="000F5EC9" w:rsidRDefault="00303646" w:rsidP="00B80894">
      <w:r>
        <w:t>It is important to acknowledge that definitions of what is considered fraud</w:t>
      </w:r>
      <w:r w:rsidR="000F5EC9">
        <w:t xml:space="preserve"> and non-compliant activity is complex. This complexity increases when </w:t>
      </w:r>
      <w:r w:rsidR="009931E5">
        <w:t>policymaker</w:t>
      </w:r>
      <w:r w:rsidR="000F5EC9">
        <w:t>s consider</w:t>
      </w:r>
      <w:r w:rsidR="009E77E7">
        <w:t xml:space="preserve"> ‘low value’ care. For example, </w:t>
      </w:r>
      <w:r w:rsidR="002B7FC4">
        <w:t xml:space="preserve">claiming </w:t>
      </w:r>
      <w:r w:rsidR="009E77E7">
        <w:t xml:space="preserve">a </w:t>
      </w:r>
      <w:r w:rsidR="0032087B">
        <w:t>c</w:t>
      </w:r>
      <w:r w:rsidR="009E77E7">
        <w:t>ompute</w:t>
      </w:r>
      <w:r w:rsidR="00D340C4">
        <w:t>rised</w:t>
      </w:r>
      <w:r w:rsidR="009E77E7">
        <w:t xml:space="preserve"> </w:t>
      </w:r>
      <w:r w:rsidR="0032087B">
        <w:t>t</w:t>
      </w:r>
      <w:r w:rsidR="009E77E7">
        <w:t xml:space="preserve">omography (CT) scan for a private patient would </w:t>
      </w:r>
      <w:r w:rsidR="005656CB">
        <w:t xml:space="preserve">be considered compliant activity if the </w:t>
      </w:r>
      <w:r w:rsidR="006F45DD">
        <w:t xml:space="preserve">GP validly requested the scan and the </w:t>
      </w:r>
      <w:r w:rsidR="005656CB">
        <w:t xml:space="preserve">Radiologist </w:t>
      </w:r>
      <w:r w:rsidR="006F45DD">
        <w:t>provided the services and claimed</w:t>
      </w:r>
      <w:r w:rsidR="005656CB">
        <w:t xml:space="preserve"> the correct MBS items. This activity would be considered low</w:t>
      </w:r>
      <w:r w:rsidR="0032087B">
        <w:t xml:space="preserve"> </w:t>
      </w:r>
      <w:r w:rsidR="005656CB">
        <w:t xml:space="preserve">value care </w:t>
      </w:r>
      <w:r w:rsidR="00DF10DC">
        <w:t xml:space="preserve">if the patient had already received an </w:t>
      </w:r>
      <w:r w:rsidR="0032087B">
        <w:t>x</w:t>
      </w:r>
      <w:r w:rsidR="00DF10DC">
        <w:t>-</w:t>
      </w:r>
      <w:r w:rsidR="0032087B">
        <w:t>r</w:t>
      </w:r>
      <w:r w:rsidR="00DF10DC">
        <w:t xml:space="preserve">ay and </w:t>
      </w:r>
      <w:r w:rsidR="0032087B">
        <w:t>magnetic resonance imaging (</w:t>
      </w:r>
      <w:r w:rsidR="00DF10DC">
        <w:t>MRI</w:t>
      </w:r>
      <w:r w:rsidR="0032087B">
        <w:t>)</w:t>
      </w:r>
      <w:r w:rsidR="00B95E4D">
        <w:t xml:space="preserve"> investigations.</w:t>
      </w:r>
      <w:r w:rsidR="0063215A">
        <w:t xml:space="preserve"> Table 2.2 in this section</w:t>
      </w:r>
      <w:r w:rsidR="00213FFE">
        <w:t xml:space="preserve"> describes in more detail the variation in understanding about ‘waste’ or low</w:t>
      </w:r>
      <w:r w:rsidR="0032087B">
        <w:t xml:space="preserve"> </w:t>
      </w:r>
      <w:r w:rsidR="00213FFE">
        <w:t>value care and fraud or non-compliant activity.</w:t>
      </w:r>
    </w:p>
    <w:p w14:paraId="403D81F9" w14:textId="043C875D" w:rsidR="00B80894" w:rsidRDefault="00B80894" w:rsidP="00B80894">
      <w:r w:rsidRPr="00FC7DAC" w:rsidDel="003E1553">
        <w:t xml:space="preserve">Different stakeholders have different </w:t>
      </w:r>
      <w:r w:rsidR="009759E6">
        <w:t>understandings</w:t>
      </w:r>
      <w:r w:rsidR="009759E6" w:rsidRPr="00FC7DAC" w:rsidDel="003E1553">
        <w:t xml:space="preserve"> </w:t>
      </w:r>
      <w:r w:rsidRPr="00FC7DAC" w:rsidDel="003E1553">
        <w:t xml:space="preserve">of </w:t>
      </w:r>
      <w:r w:rsidRPr="00FC7DAC" w:rsidDel="00284E6A">
        <w:t>what is considered fraudulent and non-fraudulent behaviour and there are multifaceted interactions between intent, compliance, integrity, and clinical appropriatenes</w:t>
      </w:r>
      <w:r w:rsidRPr="00FC7DAC" w:rsidDel="0040324D">
        <w:t>s that mean distilling definitions to just a simple categorisation of fraud is impossible</w:t>
      </w:r>
      <w:r w:rsidRPr="00FC7DAC" w:rsidDel="00284E6A">
        <w:t>.</w:t>
      </w:r>
    </w:p>
    <w:p w14:paraId="12AFFC5C" w14:textId="2121B1B6" w:rsidR="00B80894" w:rsidRDefault="00E661EF" w:rsidP="00B80894">
      <w:r>
        <w:t>D</w:t>
      </w:r>
      <w:r w:rsidR="00B80894">
        <w:t>ifferentiating</w:t>
      </w:r>
      <w:r w:rsidR="00B80894" w:rsidRPr="00FC7DAC" w:rsidDel="00284E6A">
        <w:t xml:space="preserve"> between the different compl</w:t>
      </w:r>
      <w:r w:rsidR="00B80894">
        <w:t>i</w:t>
      </w:r>
      <w:r w:rsidR="00B80894" w:rsidRPr="00FC7DAC" w:rsidDel="00284E6A">
        <w:t>ant and non-compl</w:t>
      </w:r>
      <w:r w:rsidR="00B80894">
        <w:t>i</w:t>
      </w:r>
      <w:r w:rsidR="00B80894" w:rsidRPr="00FC7DAC" w:rsidDel="00284E6A">
        <w:t xml:space="preserve">ant behaviours is important as there are different appropriate risk identification and treatment activities required for </w:t>
      </w:r>
      <w:r w:rsidR="00B80894">
        <w:t xml:space="preserve">each </w:t>
      </w:r>
      <w:r w:rsidR="006F7B73">
        <w:t>behaviour</w:t>
      </w:r>
      <w:r w:rsidR="00B80894">
        <w:t>.</w:t>
      </w:r>
      <w:r w:rsidR="00B80894" w:rsidRPr="00FC7DAC" w:rsidDel="00284E6A">
        <w:t xml:space="preserve"> </w:t>
      </w:r>
      <w:r w:rsidR="00B80894">
        <w:t xml:space="preserve">There have been a number of studies and media reports over the past five years which provide vastly </w:t>
      </w:r>
      <w:r w:rsidR="00DA3FF5">
        <w:t xml:space="preserve">different </w:t>
      </w:r>
      <w:r w:rsidR="00B80894">
        <w:t>estimations of fraud and non-compliance. In part, th</w:t>
      </w:r>
      <w:r w:rsidR="00CA3858">
        <w:t>ese differences in estimates</w:t>
      </w:r>
      <w:r w:rsidR="00643D98">
        <w:t xml:space="preserve"> are</w:t>
      </w:r>
      <w:r w:rsidR="00B80894">
        <w:t xml:space="preserve"> driven by </w:t>
      </w:r>
      <w:r w:rsidR="00703810">
        <w:t xml:space="preserve">the </w:t>
      </w:r>
      <w:r w:rsidR="00B80894">
        <w:t xml:space="preserve">different definitions </w:t>
      </w:r>
      <w:r w:rsidR="00F165A3">
        <w:t xml:space="preserve">adopted </w:t>
      </w:r>
      <w:r w:rsidR="00B80894">
        <w:t xml:space="preserve">by stakeholders of what constitutes compliance, </w:t>
      </w:r>
      <w:proofErr w:type="gramStart"/>
      <w:r w:rsidR="00B80894">
        <w:t>fraud</w:t>
      </w:r>
      <w:proofErr w:type="gramEnd"/>
      <w:r w:rsidR="00B80894">
        <w:t xml:space="preserve"> and over/under servicing.  </w:t>
      </w:r>
    </w:p>
    <w:p w14:paraId="0471132B" w14:textId="24AB4C11" w:rsidR="00B80894" w:rsidRPr="004D4DAD" w:rsidRDefault="00B80894" w:rsidP="00B80894">
      <w:r>
        <w:t xml:space="preserve">There are several dimensions </w:t>
      </w:r>
      <w:r w:rsidR="00A9461F">
        <w:t xml:space="preserve">to consider </w:t>
      </w:r>
      <w:r w:rsidR="00F31BF2">
        <w:t>w</w:t>
      </w:r>
      <w:r>
        <w:t>hen defining non-compliant behaviour:</w:t>
      </w:r>
    </w:p>
    <w:p w14:paraId="00F8FF83" w14:textId="05742D92" w:rsidR="00B80894" w:rsidRPr="004A14F8" w:rsidRDefault="00B80894" w:rsidP="00940D39">
      <w:pPr>
        <w:pStyle w:val="ListBullet"/>
      </w:pPr>
      <w:r>
        <w:rPr>
          <w:b/>
        </w:rPr>
        <w:t>Legal</w:t>
      </w:r>
      <w:r w:rsidRPr="004A14F8">
        <w:rPr>
          <w:b/>
        </w:rPr>
        <w:t xml:space="preserve"> versus </w:t>
      </w:r>
      <w:r>
        <w:rPr>
          <w:b/>
        </w:rPr>
        <w:t>illegal</w:t>
      </w:r>
      <w:r w:rsidRPr="004A14F8">
        <w:rPr>
          <w:b/>
        </w:rPr>
        <w:t>:</w:t>
      </w:r>
      <w:r w:rsidRPr="004A14F8">
        <w:t xml:space="preserve"> </w:t>
      </w:r>
      <w:r>
        <w:t>D</w:t>
      </w:r>
      <w:r w:rsidRPr="004A14F8">
        <w:t xml:space="preserve">o claims meet the </w:t>
      </w:r>
      <w:r w:rsidR="00472DC7">
        <w:t>l</w:t>
      </w:r>
      <w:r>
        <w:t>egislative</w:t>
      </w:r>
      <w:r w:rsidRPr="004A14F8">
        <w:t xml:space="preserve"> requirements and </w:t>
      </w:r>
      <w:r>
        <w:t>regulated definitions of MBS item numbers and MBS billing practice</w:t>
      </w:r>
      <w:r w:rsidR="00B17967">
        <w:t>s</w:t>
      </w:r>
      <w:r w:rsidR="00430FD4">
        <w:t>?</w:t>
      </w:r>
    </w:p>
    <w:p w14:paraId="6B6F027A" w14:textId="6B9D3AD3" w:rsidR="00B80894" w:rsidRPr="004A14F8" w:rsidRDefault="00B80894" w:rsidP="00940D39">
      <w:pPr>
        <w:pStyle w:val="ListBullet"/>
      </w:pPr>
      <w:r w:rsidRPr="004A14F8">
        <w:rPr>
          <w:b/>
        </w:rPr>
        <w:t>Provided versus not provided:</w:t>
      </w:r>
      <w:r w:rsidRPr="004A14F8">
        <w:t xml:space="preserve"> Were services </w:t>
      </w:r>
      <w:r>
        <w:t>that were claimed actually</w:t>
      </w:r>
      <w:r w:rsidRPr="004A14F8">
        <w:t xml:space="preserve"> provided to patients</w:t>
      </w:r>
      <w:r w:rsidR="00430FD4">
        <w:t>?</w:t>
      </w:r>
      <w:r w:rsidRPr="004A14F8">
        <w:t xml:space="preserve"> </w:t>
      </w:r>
    </w:p>
    <w:p w14:paraId="1CBF03E0" w14:textId="6BF2FC32" w:rsidR="00B80894" w:rsidRPr="004A14F8" w:rsidRDefault="00B80894" w:rsidP="00940D39">
      <w:pPr>
        <w:pStyle w:val="ListBullet"/>
      </w:pPr>
      <w:r w:rsidRPr="004A14F8">
        <w:rPr>
          <w:b/>
        </w:rPr>
        <w:t>Claimed versus not claimed:</w:t>
      </w:r>
      <w:r w:rsidRPr="004A14F8">
        <w:t xml:space="preserve"> Were services </w:t>
      </w:r>
      <w:r>
        <w:t>provided then</w:t>
      </w:r>
      <w:r w:rsidRPr="004A14F8">
        <w:t xml:space="preserve"> claimed to MBS, or not (and if not, were these costs passed on to patients, or</w:t>
      </w:r>
      <w:r w:rsidR="00D677B1">
        <w:t xml:space="preserve"> absorbed</w:t>
      </w:r>
      <w:r w:rsidRPr="004A14F8">
        <w:t xml:space="preserve"> by practitioners</w:t>
      </w:r>
      <w:r w:rsidR="0032087B">
        <w:t>)</w:t>
      </w:r>
      <w:r w:rsidR="00430FD4">
        <w:t>?</w:t>
      </w:r>
    </w:p>
    <w:p w14:paraId="670469A3" w14:textId="4E581BCB" w:rsidR="00B80894" w:rsidRPr="004A14F8" w:rsidRDefault="00B80894" w:rsidP="00940D39">
      <w:pPr>
        <w:pStyle w:val="ListBullet"/>
      </w:pPr>
      <w:r w:rsidRPr="004A14F8">
        <w:rPr>
          <w:b/>
        </w:rPr>
        <w:t>Clinically appropriate versus clinically inappropriate:</w:t>
      </w:r>
      <w:r w:rsidRPr="004A14F8">
        <w:t xml:space="preserve"> Would the services be considered clinically appropriate by a panel of relevant practitioners</w:t>
      </w:r>
      <w:r w:rsidR="009622E8">
        <w:t>?</w:t>
      </w:r>
    </w:p>
    <w:p w14:paraId="2F557413" w14:textId="635E99F9" w:rsidR="00B80894" w:rsidRDefault="00B80894" w:rsidP="00940D39">
      <w:pPr>
        <w:pStyle w:val="ListBullet"/>
      </w:pPr>
      <w:r w:rsidRPr="004A14F8">
        <w:rPr>
          <w:b/>
        </w:rPr>
        <w:t xml:space="preserve">Intentional versus </w:t>
      </w:r>
      <w:r>
        <w:rPr>
          <w:b/>
        </w:rPr>
        <w:t>un</w:t>
      </w:r>
      <w:r w:rsidRPr="004A14F8">
        <w:rPr>
          <w:b/>
        </w:rPr>
        <w:t>intentional:</w:t>
      </w:r>
      <w:r w:rsidRPr="004A14F8">
        <w:t xml:space="preserve"> </w:t>
      </w:r>
      <w:r>
        <w:t>A</w:t>
      </w:r>
      <w:r w:rsidRPr="004A14F8">
        <w:t xml:space="preserve">re </w:t>
      </w:r>
      <w:r w:rsidR="00175383">
        <w:t>players</w:t>
      </w:r>
      <w:r w:rsidRPr="004A14F8">
        <w:t xml:space="preserve"> in the system intentionally trying to claim dishonestly </w:t>
      </w:r>
      <w:r>
        <w:t>or are they making mistakes unintentionally</w:t>
      </w:r>
      <w:r w:rsidR="005C5F83">
        <w:t>?</w:t>
      </w:r>
    </w:p>
    <w:p w14:paraId="3AF5FE75" w14:textId="77777777" w:rsidR="007B5522" w:rsidRDefault="00B80894" w:rsidP="00940D39">
      <w:pPr>
        <w:pStyle w:val="ListBullet"/>
      </w:pPr>
      <w:r w:rsidRPr="004A14F8">
        <w:rPr>
          <w:b/>
        </w:rPr>
        <w:t>Appropriate v</w:t>
      </w:r>
      <w:r w:rsidR="0032087B">
        <w:rPr>
          <w:b/>
        </w:rPr>
        <w:t>ersu</w:t>
      </w:r>
      <w:r w:rsidRPr="004A14F8">
        <w:rPr>
          <w:b/>
        </w:rPr>
        <w:t xml:space="preserve">s </w:t>
      </w:r>
      <w:r>
        <w:rPr>
          <w:b/>
        </w:rPr>
        <w:t>in</w:t>
      </w:r>
      <w:r w:rsidRPr="004A14F8">
        <w:rPr>
          <w:b/>
        </w:rPr>
        <w:t xml:space="preserve">appropriate: </w:t>
      </w:r>
      <w:r>
        <w:t>D</w:t>
      </w:r>
      <w:r w:rsidRPr="004A14F8">
        <w:t>o choices align with the intention of Medicare and the prioritisation of people’s health and wellbeing</w:t>
      </w:r>
      <w:r w:rsidR="005C5F83">
        <w:t>?</w:t>
      </w:r>
    </w:p>
    <w:p w14:paraId="17B2CD93" w14:textId="0BC26053" w:rsidR="00B80894" w:rsidRDefault="00B80894" w:rsidP="00B80894">
      <w:r>
        <w:t xml:space="preserve">Using these dimensions to illustrate the spectrum of compliant and non-compliant behaviours, </w:t>
      </w:r>
      <w:r w:rsidR="009A5540">
        <w:fldChar w:fldCharType="begin"/>
      </w:r>
      <w:r w:rsidR="009A5540">
        <w:instrText xml:space="preserve"> REF _Ref128656480 \r \h </w:instrText>
      </w:r>
      <w:r w:rsidR="009A5540">
        <w:fldChar w:fldCharType="separate"/>
      </w:r>
      <w:r w:rsidR="005A1647">
        <w:t>Table 2.1</w:t>
      </w:r>
      <w:r w:rsidR="009A5540">
        <w:fldChar w:fldCharType="end"/>
      </w:r>
      <w:r>
        <w:t xml:space="preserve"> provides a summary of types of compliant and non-compliant behaviour. Behaviour is a descriptor of the thoughts and actions of actors in the system with respect to billing. Driving factors are the reasons why individuals choose to act this way. </w:t>
      </w:r>
      <w:proofErr w:type="spellStart"/>
      <w:r w:rsidR="00594396">
        <w:t>DoHAC</w:t>
      </w:r>
      <w:proofErr w:type="spellEnd"/>
      <w:r>
        <w:t xml:space="preserve"> selectively intervenes – both by actively identifying, investigating, and treating a subset of these behaviours. This involvement is broadly outlined in the far-right column. Notably, </w:t>
      </w:r>
      <w:proofErr w:type="spellStart"/>
      <w:r w:rsidR="00594396">
        <w:t>DoHAC</w:t>
      </w:r>
      <w:proofErr w:type="spellEnd"/>
      <w:r>
        <w:t xml:space="preserve"> does not intervene in all behaviour types which could be considered ‘non-compliant’ (such as under-claiming).</w:t>
      </w:r>
    </w:p>
    <w:p w14:paraId="41852C9C" w14:textId="2B01B556" w:rsidR="00B80894" w:rsidRPr="00621517" w:rsidRDefault="00B80894" w:rsidP="00940D39">
      <w:pPr>
        <w:pStyle w:val="CaptionTable"/>
        <w:ind w:left="0"/>
      </w:pPr>
      <w:bookmarkStart w:id="58" w:name="_Ref128656480"/>
      <w:bookmarkStart w:id="59" w:name="_Toc131418571"/>
      <w:r>
        <w:t>: Description of the range of compliant and non-compliant behaviours</w:t>
      </w:r>
      <w:bookmarkEnd w:id="58"/>
      <w:bookmarkEnd w:id="59"/>
      <w:r>
        <w:t xml:space="preserve"> </w:t>
      </w:r>
    </w:p>
    <w:tbl>
      <w:tblPr>
        <w:tblStyle w:val="Deloittetable"/>
        <w:tblW w:w="4934" w:type="pct"/>
        <w:tblLook w:val="04A0" w:firstRow="1" w:lastRow="0" w:firstColumn="1" w:lastColumn="0" w:noHBand="0" w:noVBand="1"/>
      </w:tblPr>
      <w:tblGrid>
        <w:gridCol w:w="1370"/>
        <w:gridCol w:w="3284"/>
        <w:gridCol w:w="3284"/>
        <w:gridCol w:w="2390"/>
      </w:tblGrid>
      <w:tr w:rsidR="00B80894" w:rsidRPr="006B7FA4" w14:paraId="4CF7BE40" w14:textId="77777777" w:rsidTr="007B5522">
        <w:trPr>
          <w:cnfStyle w:val="100000000000" w:firstRow="1" w:lastRow="0" w:firstColumn="0" w:lastColumn="0" w:oddVBand="0" w:evenVBand="0" w:oddHBand="0" w:evenHBand="0" w:firstRowFirstColumn="0" w:firstRowLastColumn="0" w:lastRowFirstColumn="0" w:lastRowLastColumn="0"/>
          <w:trHeight w:val="9"/>
          <w:tblHeader/>
        </w:trPr>
        <w:tc>
          <w:tcPr>
            <w:tcW w:w="663" w:type="pct"/>
          </w:tcPr>
          <w:p w14:paraId="2D0D3CF5" w14:textId="77777777" w:rsidR="00B80894" w:rsidRPr="007D0FDE" w:rsidRDefault="00B80894" w:rsidP="007B5522">
            <w:pPr>
              <w:rPr>
                <w:szCs w:val="22"/>
              </w:rPr>
            </w:pPr>
            <w:r w:rsidRPr="007D0FDE">
              <w:rPr>
                <w:szCs w:val="22"/>
              </w:rPr>
              <w:t>Term</w:t>
            </w:r>
          </w:p>
        </w:tc>
        <w:tc>
          <w:tcPr>
            <w:tcW w:w="1590" w:type="pct"/>
          </w:tcPr>
          <w:p w14:paraId="6FE84623" w14:textId="77777777" w:rsidR="00B80894" w:rsidRPr="007D0FDE" w:rsidRDefault="00B80894" w:rsidP="007B5522">
            <w:pPr>
              <w:rPr>
                <w:szCs w:val="22"/>
              </w:rPr>
            </w:pPr>
            <w:r w:rsidRPr="007D0FDE">
              <w:rPr>
                <w:szCs w:val="22"/>
              </w:rPr>
              <w:t xml:space="preserve">Definition </w:t>
            </w:r>
          </w:p>
        </w:tc>
        <w:tc>
          <w:tcPr>
            <w:tcW w:w="1590" w:type="pct"/>
          </w:tcPr>
          <w:p w14:paraId="3CD7A354" w14:textId="77777777" w:rsidR="00B80894" w:rsidRPr="007D0FDE" w:rsidRDefault="00B80894" w:rsidP="007B5522">
            <w:pPr>
              <w:rPr>
                <w:szCs w:val="22"/>
              </w:rPr>
            </w:pPr>
            <w:r w:rsidRPr="007D0FDE">
              <w:rPr>
                <w:szCs w:val="22"/>
              </w:rPr>
              <w:t xml:space="preserve">Driving factors </w:t>
            </w:r>
          </w:p>
        </w:tc>
        <w:tc>
          <w:tcPr>
            <w:tcW w:w="1157" w:type="pct"/>
          </w:tcPr>
          <w:p w14:paraId="37A195AC" w14:textId="77777777" w:rsidR="00B80894" w:rsidRPr="007D0FDE" w:rsidRDefault="00B80894" w:rsidP="007B5522">
            <w:pPr>
              <w:rPr>
                <w:szCs w:val="22"/>
              </w:rPr>
            </w:pPr>
            <w:r w:rsidRPr="007D0FDE">
              <w:rPr>
                <w:szCs w:val="22"/>
              </w:rPr>
              <w:t xml:space="preserve">Departmental involvement </w:t>
            </w:r>
          </w:p>
        </w:tc>
      </w:tr>
      <w:tr w:rsidR="00B80894" w:rsidRPr="006B7FA4" w14:paraId="71BC2BAD" w14:textId="77777777" w:rsidTr="004E7AE1">
        <w:trPr>
          <w:trHeight w:val="233"/>
        </w:trPr>
        <w:tc>
          <w:tcPr>
            <w:tcW w:w="0" w:type="pct"/>
          </w:tcPr>
          <w:p w14:paraId="574A8420" w14:textId="77777777" w:rsidR="00B80894" w:rsidRPr="006B7FA4" w:rsidRDefault="00B80894">
            <w:pPr>
              <w:spacing w:after="0"/>
              <w:contextualSpacing/>
              <w:rPr>
                <w:b/>
                <w:sz w:val="20"/>
                <w:szCs w:val="20"/>
              </w:rPr>
            </w:pPr>
            <w:r w:rsidRPr="006B7FA4">
              <w:rPr>
                <w:b/>
                <w:sz w:val="20"/>
                <w:szCs w:val="20"/>
              </w:rPr>
              <w:t>Appropriate and compliant care</w:t>
            </w:r>
          </w:p>
        </w:tc>
        <w:tc>
          <w:tcPr>
            <w:tcW w:w="0" w:type="pct"/>
          </w:tcPr>
          <w:p w14:paraId="60BBA886" w14:textId="77777777" w:rsidR="00B80894" w:rsidRPr="006B7FA4" w:rsidRDefault="00B80894" w:rsidP="00EF2981">
            <w:pPr>
              <w:pStyle w:val="Tablebullets"/>
              <w:framePr w:wrap="around"/>
              <w:rPr>
                <w:szCs w:val="20"/>
              </w:rPr>
            </w:pPr>
            <w:r w:rsidRPr="006B7FA4">
              <w:rPr>
                <w:szCs w:val="20"/>
              </w:rPr>
              <w:t>Services provided which align with best practice care and Medicare legislative requirements</w:t>
            </w:r>
          </w:p>
        </w:tc>
        <w:tc>
          <w:tcPr>
            <w:tcW w:w="0" w:type="pct"/>
          </w:tcPr>
          <w:p w14:paraId="1A3D01E9" w14:textId="77777777" w:rsidR="00B80894" w:rsidRPr="006B7FA4" w:rsidRDefault="00B80894" w:rsidP="00EF2981">
            <w:pPr>
              <w:pStyle w:val="Tablebullets"/>
              <w:framePr w:wrap="around"/>
              <w:rPr>
                <w:szCs w:val="20"/>
              </w:rPr>
            </w:pPr>
            <w:r w:rsidRPr="006B7FA4">
              <w:rPr>
                <w:szCs w:val="20"/>
              </w:rPr>
              <w:t xml:space="preserve">Practitioners understand and correctly claim MBS items and those items align with clinically appropriate and required care </w:t>
            </w:r>
          </w:p>
        </w:tc>
        <w:tc>
          <w:tcPr>
            <w:tcW w:w="0" w:type="pct"/>
            <w:shd w:val="clear" w:color="auto" w:fill="E7E6E6" w:themeFill="background2"/>
          </w:tcPr>
          <w:p w14:paraId="317F0A55" w14:textId="77777777" w:rsidR="00B80894" w:rsidRPr="006B7FA4" w:rsidRDefault="00B80894" w:rsidP="00EF2981">
            <w:pPr>
              <w:pStyle w:val="Tablebullets"/>
              <w:framePr w:wrap="around"/>
              <w:rPr>
                <w:szCs w:val="20"/>
              </w:rPr>
            </w:pPr>
            <w:r w:rsidRPr="006B7FA4">
              <w:rPr>
                <w:szCs w:val="20"/>
              </w:rPr>
              <w:t>None required</w:t>
            </w:r>
          </w:p>
        </w:tc>
      </w:tr>
      <w:tr w:rsidR="00B80894" w:rsidRPr="006B7FA4" w14:paraId="24C77757" w14:textId="77777777" w:rsidTr="004E7AE1">
        <w:trPr>
          <w:trHeight w:val="233"/>
        </w:trPr>
        <w:tc>
          <w:tcPr>
            <w:tcW w:w="0" w:type="pct"/>
          </w:tcPr>
          <w:p w14:paraId="5AE49304" w14:textId="1CEE638E" w:rsidR="00B80894" w:rsidRPr="006B7FA4" w:rsidRDefault="00B80894">
            <w:pPr>
              <w:spacing w:after="0"/>
              <w:contextualSpacing/>
              <w:rPr>
                <w:b/>
                <w:sz w:val="20"/>
                <w:szCs w:val="20"/>
              </w:rPr>
            </w:pPr>
            <w:r w:rsidRPr="006B7FA4">
              <w:rPr>
                <w:b/>
                <w:sz w:val="20"/>
                <w:szCs w:val="20"/>
              </w:rPr>
              <w:t>Underclaiming (</w:t>
            </w:r>
            <w:r w:rsidR="0032087B" w:rsidRPr="006B7FA4">
              <w:rPr>
                <w:b/>
                <w:sz w:val="20"/>
                <w:szCs w:val="20"/>
              </w:rPr>
              <w:t>i</w:t>
            </w:r>
            <w:r w:rsidRPr="006B7FA4">
              <w:rPr>
                <w:b/>
                <w:sz w:val="20"/>
                <w:szCs w:val="20"/>
              </w:rPr>
              <w:t>ntentional or unintentional)</w:t>
            </w:r>
          </w:p>
        </w:tc>
        <w:tc>
          <w:tcPr>
            <w:tcW w:w="0" w:type="pct"/>
          </w:tcPr>
          <w:p w14:paraId="0DE8F45F" w14:textId="77777777" w:rsidR="00B80894" w:rsidRPr="006B7FA4" w:rsidRDefault="00B80894" w:rsidP="00EF2981">
            <w:pPr>
              <w:pStyle w:val="Tablebullets"/>
              <w:framePr w:wrap="around"/>
              <w:rPr>
                <w:szCs w:val="20"/>
              </w:rPr>
            </w:pPr>
            <w:r w:rsidRPr="006B7FA4">
              <w:rPr>
                <w:szCs w:val="20"/>
              </w:rPr>
              <w:t>Billing behaviour which does not accurately reflect services provided</w:t>
            </w:r>
          </w:p>
        </w:tc>
        <w:tc>
          <w:tcPr>
            <w:tcW w:w="0" w:type="pct"/>
          </w:tcPr>
          <w:p w14:paraId="3CF393EA" w14:textId="77777777" w:rsidR="00B80894" w:rsidRPr="006B7FA4" w:rsidRDefault="00B80894" w:rsidP="00EF2981">
            <w:pPr>
              <w:pStyle w:val="Tablebullets"/>
              <w:framePr w:wrap="around"/>
              <w:rPr>
                <w:szCs w:val="20"/>
              </w:rPr>
            </w:pPr>
            <w:r w:rsidRPr="006B7FA4">
              <w:rPr>
                <w:szCs w:val="20"/>
              </w:rPr>
              <w:t>Lack of understanding of the system and what can be claimed</w:t>
            </w:r>
          </w:p>
          <w:p w14:paraId="677E42B6" w14:textId="77777777" w:rsidR="00B80894" w:rsidRPr="006B7FA4" w:rsidRDefault="00B80894" w:rsidP="00EF2981">
            <w:pPr>
              <w:pStyle w:val="Tablebullets"/>
              <w:framePr w:wrap="around"/>
              <w:rPr>
                <w:szCs w:val="20"/>
              </w:rPr>
            </w:pPr>
            <w:r w:rsidRPr="006B7FA4">
              <w:rPr>
                <w:szCs w:val="20"/>
              </w:rPr>
              <w:lastRenderedPageBreak/>
              <w:t>Fear of retribution if claiming behaviour is seen to be excessive or incorrect</w:t>
            </w:r>
          </w:p>
        </w:tc>
        <w:tc>
          <w:tcPr>
            <w:tcW w:w="0" w:type="pct"/>
            <w:shd w:val="clear" w:color="auto" w:fill="E7E6E6" w:themeFill="background2"/>
          </w:tcPr>
          <w:p w14:paraId="71D21DA0" w14:textId="77777777" w:rsidR="00B80894" w:rsidRPr="006B7FA4" w:rsidRDefault="00B80894" w:rsidP="00EF2981">
            <w:pPr>
              <w:pStyle w:val="Tablebullets"/>
              <w:framePr w:wrap="around"/>
              <w:rPr>
                <w:szCs w:val="20"/>
              </w:rPr>
            </w:pPr>
            <w:r w:rsidRPr="006B7FA4">
              <w:rPr>
                <w:szCs w:val="20"/>
              </w:rPr>
              <w:lastRenderedPageBreak/>
              <w:t>None</w:t>
            </w:r>
          </w:p>
        </w:tc>
      </w:tr>
      <w:tr w:rsidR="00B80894" w:rsidRPr="006B7FA4" w14:paraId="4C51401C" w14:textId="77777777" w:rsidTr="004E7AE1">
        <w:trPr>
          <w:trHeight w:val="233"/>
        </w:trPr>
        <w:tc>
          <w:tcPr>
            <w:tcW w:w="0" w:type="pct"/>
          </w:tcPr>
          <w:p w14:paraId="133A13F5" w14:textId="77777777" w:rsidR="00B80894" w:rsidRPr="006B7FA4" w:rsidRDefault="00B80894">
            <w:pPr>
              <w:spacing w:after="0"/>
              <w:contextualSpacing/>
              <w:rPr>
                <w:b/>
                <w:sz w:val="20"/>
                <w:szCs w:val="20"/>
              </w:rPr>
            </w:pPr>
            <w:r w:rsidRPr="006B7FA4">
              <w:rPr>
                <w:b/>
                <w:sz w:val="20"/>
                <w:szCs w:val="20"/>
              </w:rPr>
              <w:t>Low value care</w:t>
            </w:r>
          </w:p>
        </w:tc>
        <w:tc>
          <w:tcPr>
            <w:tcW w:w="0" w:type="pct"/>
          </w:tcPr>
          <w:p w14:paraId="361C5F31" w14:textId="04112FF8" w:rsidR="00B80894" w:rsidRPr="006B7FA4" w:rsidRDefault="00B80894" w:rsidP="00EF2981">
            <w:pPr>
              <w:pStyle w:val="Tablebullets"/>
              <w:framePr w:wrap="around"/>
              <w:rPr>
                <w:szCs w:val="20"/>
              </w:rPr>
            </w:pPr>
            <w:r w:rsidRPr="006B7FA4">
              <w:rPr>
                <w:szCs w:val="20"/>
              </w:rPr>
              <w:t xml:space="preserve">The use of an intervention </w:t>
            </w:r>
            <w:r w:rsidR="00F975B4" w:rsidRPr="006B7FA4">
              <w:rPr>
                <w:szCs w:val="20"/>
              </w:rPr>
              <w:t>wh</w:t>
            </w:r>
            <w:r w:rsidR="00A553FD" w:rsidRPr="006B7FA4">
              <w:rPr>
                <w:szCs w:val="20"/>
              </w:rPr>
              <w:t>en</w:t>
            </w:r>
            <w:r w:rsidRPr="006B7FA4">
              <w:rPr>
                <w:szCs w:val="20"/>
              </w:rPr>
              <w:t xml:space="preserve"> evidence suggests </w:t>
            </w:r>
            <w:r w:rsidR="0026781D" w:rsidRPr="006B7FA4">
              <w:rPr>
                <w:szCs w:val="20"/>
              </w:rPr>
              <w:t>it</w:t>
            </w:r>
            <w:r w:rsidRPr="006B7FA4">
              <w:rPr>
                <w:szCs w:val="20"/>
              </w:rPr>
              <w:t xml:space="preserve"> confers very little </w:t>
            </w:r>
            <w:r w:rsidR="0050533C" w:rsidRPr="006B7FA4">
              <w:rPr>
                <w:szCs w:val="20"/>
              </w:rPr>
              <w:t xml:space="preserve">or no </w:t>
            </w:r>
            <w:r w:rsidRPr="006B7FA4">
              <w:rPr>
                <w:szCs w:val="20"/>
              </w:rPr>
              <w:t xml:space="preserve">benefit </w:t>
            </w:r>
            <w:r w:rsidR="0026781D" w:rsidRPr="006B7FA4">
              <w:rPr>
                <w:szCs w:val="20"/>
              </w:rPr>
              <w:t>for</w:t>
            </w:r>
            <w:r w:rsidRPr="006B7FA4">
              <w:rPr>
                <w:szCs w:val="20"/>
              </w:rPr>
              <w:t xml:space="preserve"> patients, or that the risk of harm exceeds the likely benefit, or more broadly, that the added costs of the intervention do not provide proportional added benefits</w:t>
            </w:r>
          </w:p>
        </w:tc>
        <w:tc>
          <w:tcPr>
            <w:tcW w:w="0" w:type="pct"/>
          </w:tcPr>
          <w:p w14:paraId="0259C099" w14:textId="77777777" w:rsidR="008A24CA" w:rsidRPr="006B7FA4" w:rsidRDefault="008A24CA" w:rsidP="00EF2981">
            <w:pPr>
              <w:pStyle w:val="Tablebullets"/>
              <w:framePr w:wrap="around"/>
              <w:rPr>
                <w:szCs w:val="20"/>
              </w:rPr>
            </w:pPr>
            <w:r w:rsidRPr="006B7FA4">
              <w:rPr>
                <w:szCs w:val="20"/>
              </w:rPr>
              <w:t xml:space="preserve">Varied interpretation </w:t>
            </w:r>
            <w:r w:rsidR="00797C41" w:rsidRPr="006B7FA4">
              <w:rPr>
                <w:szCs w:val="20"/>
              </w:rPr>
              <w:t>and application of the available evidence</w:t>
            </w:r>
          </w:p>
          <w:p w14:paraId="797CB5B0" w14:textId="23385B85" w:rsidR="00B80894" w:rsidRPr="006B7FA4" w:rsidRDefault="0034708A" w:rsidP="00EF2981">
            <w:pPr>
              <w:pStyle w:val="Tablebullets"/>
              <w:framePr w:wrap="around"/>
              <w:rPr>
                <w:szCs w:val="20"/>
              </w:rPr>
            </w:pPr>
            <w:r w:rsidRPr="006B7FA4">
              <w:rPr>
                <w:szCs w:val="20"/>
              </w:rPr>
              <w:t>Differing teaching and training of health professionals</w:t>
            </w:r>
          </w:p>
        </w:tc>
        <w:tc>
          <w:tcPr>
            <w:tcW w:w="0" w:type="pct"/>
            <w:shd w:val="clear" w:color="auto" w:fill="E7E6E6" w:themeFill="background2"/>
          </w:tcPr>
          <w:p w14:paraId="783D273E" w14:textId="28E9643D" w:rsidR="00F65682" w:rsidRPr="006B7FA4" w:rsidRDefault="008B2E03" w:rsidP="00EF2981">
            <w:pPr>
              <w:pStyle w:val="Tablebullets"/>
              <w:framePr w:wrap="around"/>
              <w:rPr>
                <w:szCs w:val="20"/>
              </w:rPr>
            </w:pPr>
            <w:r w:rsidRPr="006B7FA4">
              <w:rPr>
                <w:szCs w:val="20"/>
              </w:rPr>
              <w:t>Behavioural change campaign and awareness raising letters</w:t>
            </w:r>
          </w:p>
          <w:p w14:paraId="40530771" w14:textId="69BFF9C8" w:rsidR="00B80894" w:rsidRPr="006B7FA4" w:rsidRDefault="00F65682" w:rsidP="00EF2981">
            <w:pPr>
              <w:pStyle w:val="Tablebullets"/>
              <w:framePr w:wrap="around"/>
              <w:rPr>
                <w:szCs w:val="20"/>
              </w:rPr>
            </w:pPr>
            <w:r w:rsidRPr="006B7FA4">
              <w:rPr>
                <w:szCs w:val="20"/>
              </w:rPr>
              <w:t xml:space="preserve">Investigations via the </w:t>
            </w:r>
            <w:r w:rsidR="0032087B" w:rsidRPr="006B7FA4">
              <w:rPr>
                <w:szCs w:val="20"/>
              </w:rPr>
              <w:t>Practitioner Review Program (</w:t>
            </w:r>
            <w:r w:rsidRPr="006B7FA4">
              <w:rPr>
                <w:szCs w:val="20"/>
              </w:rPr>
              <w:t>PRP</w:t>
            </w:r>
            <w:r w:rsidR="0032087B" w:rsidRPr="006B7FA4">
              <w:rPr>
                <w:szCs w:val="20"/>
              </w:rPr>
              <w:t>)</w:t>
            </w:r>
            <w:r w:rsidR="00B80894" w:rsidRPr="006B7FA4">
              <w:rPr>
                <w:szCs w:val="20"/>
              </w:rPr>
              <w:t xml:space="preserve"> </w:t>
            </w:r>
          </w:p>
        </w:tc>
      </w:tr>
      <w:tr w:rsidR="00B80894" w:rsidRPr="006B7FA4" w14:paraId="0BFB50BD" w14:textId="77777777" w:rsidTr="004E7AE1">
        <w:trPr>
          <w:trHeight w:val="233"/>
        </w:trPr>
        <w:tc>
          <w:tcPr>
            <w:tcW w:w="0" w:type="pct"/>
          </w:tcPr>
          <w:p w14:paraId="641545A4" w14:textId="77777777" w:rsidR="00B80894" w:rsidRPr="006B7FA4" w:rsidRDefault="00B80894">
            <w:pPr>
              <w:spacing w:after="0"/>
              <w:contextualSpacing/>
              <w:rPr>
                <w:b/>
                <w:sz w:val="20"/>
                <w:szCs w:val="20"/>
              </w:rPr>
            </w:pPr>
            <w:r w:rsidRPr="006B7FA4">
              <w:rPr>
                <w:b/>
                <w:sz w:val="20"/>
                <w:szCs w:val="20"/>
              </w:rPr>
              <w:t xml:space="preserve">Underservicing </w:t>
            </w:r>
          </w:p>
        </w:tc>
        <w:tc>
          <w:tcPr>
            <w:tcW w:w="0" w:type="pct"/>
          </w:tcPr>
          <w:p w14:paraId="1F1D8BC2" w14:textId="6C8477FC" w:rsidR="00B80894" w:rsidRPr="006B7FA4" w:rsidRDefault="00B80894" w:rsidP="00EF2981">
            <w:pPr>
              <w:pStyle w:val="Tablebullets"/>
              <w:framePr w:wrap="around"/>
              <w:rPr>
                <w:szCs w:val="20"/>
              </w:rPr>
            </w:pPr>
            <w:r w:rsidRPr="006B7FA4">
              <w:rPr>
                <w:szCs w:val="20"/>
              </w:rPr>
              <w:t xml:space="preserve">Services which should have been provided </w:t>
            </w:r>
            <w:r w:rsidR="006E3688" w:rsidRPr="006B7FA4">
              <w:rPr>
                <w:szCs w:val="20"/>
              </w:rPr>
              <w:t>based on clinical needs</w:t>
            </w:r>
            <w:r w:rsidRPr="006B7FA4">
              <w:rPr>
                <w:szCs w:val="20"/>
              </w:rPr>
              <w:t xml:space="preserve"> were not provided owing to confusion or concern about what can be claimed</w:t>
            </w:r>
          </w:p>
        </w:tc>
        <w:tc>
          <w:tcPr>
            <w:tcW w:w="0" w:type="pct"/>
          </w:tcPr>
          <w:p w14:paraId="4B874986" w14:textId="77777777" w:rsidR="00B80894" w:rsidRPr="006B7FA4" w:rsidRDefault="00B80894" w:rsidP="00EF2981">
            <w:pPr>
              <w:pStyle w:val="Tablebullets"/>
              <w:framePr w:wrap="around"/>
              <w:rPr>
                <w:szCs w:val="20"/>
              </w:rPr>
            </w:pPr>
            <w:r w:rsidRPr="006B7FA4">
              <w:rPr>
                <w:szCs w:val="20"/>
              </w:rPr>
              <w:t xml:space="preserve">Practitioner concern about compliance activities </w:t>
            </w:r>
          </w:p>
          <w:p w14:paraId="5BFB5C49" w14:textId="77777777" w:rsidR="00B80894" w:rsidRPr="006B7FA4" w:rsidRDefault="00B80894" w:rsidP="00EF2981">
            <w:pPr>
              <w:pStyle w:val="Tablebullets"/>
              <w:framePr w:wrap="around"/>
              <w:rPr>
                <w:szCs w:val="20"/>
              </w:rPr>
            </w:pPr>
            <w:r w:rsidRPr="006B7FA4">
              <w:rPr>
                <w:szCs w:val="20"/>
              </w:rPr>
              <w:t xml:space="preserve">Complexity and confusion about what items to bill </w:t>
            </w:r>
          </w:p>
          <w:p w14:paraId="201C6E6D" w14:textId="40558109" w:rsidR="00B80894" w:rsidRPr="006B7FA4" w:rsidRDefault="00FD06E0" w:rsidP="00EF2981">
            <w:pPr>
              <w:pStyle w:val="Tablebullets"/>
              <w:framePr w:wrap="around"/>
              <w:rPr>
                <w:szCs w:val="20"/>
              </w:rPr>
            </w:pPr>
            <w:r w:rsidRPr="006B7FA4">
              <w:rPr>
                <w:szCs w:val="20"/>
              </w:rPr>
              <w:t>Restrictions on the number of services which can be co-claimed</w:t>
            </w:r>
          </w:p>
        </w:tc>
        <w:tc>
          <w:tcPr>
            <w:tcW w:w="0" w:type="pct"/>
            <w:shd w:val="clear" w:color="auto" w:fill="E7E6E6" w:themeFill="background2"/>
          </w:tcPr>
          <w:p w14:paraId="7DC50FC7" w14:textId="77777777" w:rsidR="00B80894" w:rsidRPr="006B7FA4" w:rsidRDefault="00B80894" w:rsidP="00EF2981">
            <w:pPr>
              <w:pStyle w:val="Tablebullets"/>
              <w:framePr w:wrap="around"/>
              <w:rPr>
                <w:szCs w:val="20"/>
              </w:rPr>
            </w:pPr>
            <w:r w:rsidRPr="006B7FA4">
              <w:rPr>
                <w:szCs w:val="20"/>
              </w:rPr>
              <w:t>None</w:t>
            </w:r>
          </w:p>
        </w:tc>
      </w:tr>
      <w:tr w:rsidR="00B80894" w:rsidRPr="006B7FA4" w14:paraId="494FF83A" w14:textId="77777777" w:rsidTr="00EF2981">
        <w:trPr>
          <w:trHeight w:val="233"/>
        </w:trPr>
        <w:tc>
          <w:tcPr>
            <w:tcW w:w="0" w:type="pct"/>
          </w:tcPr>
          <w:p w14:paraId="4355177C" w14:textId="006E0FE3" w:rsidR="00B80894" w:rsidRPr="006B7FA4" w:rsidRDefault="00B80894">
            <w:pPr>
              <w:spacing w:after="0"/>
              <w:contextualSpacing/>
              <w:rPr>
                <w:b/>
                <w:sz w:val="20"/>
                <w:szCs w:val="20"/>
              </w:rPr>
            </w:pPr>
            <w:r w:rsidRPr="006B7FA4">
              <w:rPr>
                <w:b/>
                <w:sz w:val="20"/>
                <w:szCs w:val="20"/>
              </w:rPr>
              <w:t>Overservicing (unintentional)</w:t>
            </w:r>
          </w:p>
        </w:tc>
        <w:tc>
          <w:tcPr>
            <w:tcW w:w="0" w:type="pct"/>
          </w:tcPr>
          <w:p w14:paraId="3272CC0F" w14:textId="77777777" w:rsidR="00B80894" w:rsidRPr="006B7FA4" w:rsidRDefault="00B80894" w:rsidP="00EF2981">
            <w:pPr>
              <w:pStyle w:val="Tablebullets"/>
              <w:framePr w:wrap="around"/>
              <w:rPr>
                <w:szCs w:val="20"/>
              </w:rPr>
            </w:pPr>
            <w:r w:rsidRPr="006B7FA4">
              <w:rPr>
                <w:szCs w:val="20"/>
              </w:rPr>
              <w:t>Conduct in the rendering or initiating of services/prescribing that would be unacceptable to the general body of the relevant profession, or where unnecessary repetition of services occurs across the system</w:t>
            </w:r>
          </w:p>
        </w:tc>
        <w:tc>
          <w:tcPr>
            <w:tcW w:w="0" w:type="pct"/>
          </w:tcPr>
          <w:p w14:paraId="790B3762" w14:textId="423E2F43" w:rsidR="00B80894" w:rsidRPr="006B7FA4" w:rsidRDefault="00B80894" w:rsidP="00EF2981">
            <w:pPr>
              <w:pStyle w:val="Tablebullets"/>
              <w:framePr w:wrap="around"/>
              <w:rPr>
                <w:szCs w:val="20"/>
              </w:rPr>
            </w:pPr>
            <w:r w:rsidRPr="006B7FA4">
              <w:rPr>
                <w:szCs w:val="20"/>
              </w:rPr>
              <w:t xml:space="preserve">Complexity of MBS </w:t>
            </w:r>
            <w:r w:rsidR="00145517" w:rsidRPr="006B7FA4">
              <w:rPr>
                <w:szCs w:val="20"/>
              </w:rPr>
              <w:t>items</w:t>
            </w:r>
            <w:r w:rsidR="00847042" w:rsidRPr="006B7FA4">
              <w:rPr>
                <w:szCs w:val="20"/>
              </w:rPr>
              <w:t xml:space="preserve"> and their interpretation</w:t>
            </w:r>
            <w:r w:rsidR="00145517" w:rsidRPr="006B7FA4">
              <w:rPr>
                <w:szCs w:val="20"/>
              </w:rPr>
              <w:t xml:space="preserve"> by health professionals</w:t>
            </w:r>
          </w:p>
          <w:p w14:paraId="1BA74868" w14:textId="2269E628" w:rsidR="000A0202" w:rsidRPr="006B7FA4" w:rsidRDefault="006E1950" w:rsidP="00EF2981">
            <w:pPr>
              <w:pStyle w:val="Tablebullets"/>
              <w:framePr w:wrap="around"/>
              <w:rPr>
                <w:szCs w:val="20"/>
              </w:rPr>
            </w:pPr>
            <w:r w:rsidRPr="006B7FA4">
              <w:rPr>
                <w:szCs w:val="20"/>
              </w:rPr>
              <w:t>Information and data silos between care settings and health professionals</w:t>
            </w:r>
          </w:p>
          <w:p w14:paraId="3E58A5EF" w14:textId="77777777" w:rsidR="00B80894" w:rsidRPr="006B7FA4" w:rsidRDefault="00B80894" w:rsidP="00EF2981">
            <w:pPr>
              <w:pStyle w:val="Tablebullets"/>
              <w:framePr w:wrap="around"/>
              <w:rPr>
                <w:szCs w:val="20"/>
              </w:rPr>
            </w:pPr>
            <w:r w:rsidRPr="006B7FA4">
              <w:rPr>
                <w:szCs w:val="20"/>
              </w:rPr>
              <w:t xml:space="preserve">Poor understanding of item numbers and the underlying legal foundation of MBS </w:t>
            </w:r>
          </w:p>
          <w:p w14:paraId="69E29B10" w14:textId="77777777" w:rsidR="00B80894" w:rsidRPr="006B7FA4" w:rsidRDefault="00B80894" w:rsidP="00EF2981">
            <w:pPr>
              <w:pStyle w:val="Tablebullets"/>
              <w:framePr w:wrap="around"/>
              <w:rPr>
                <w:szCs w:val="20"/>
              </w:rPr>
            </w:pPr>
            <w:r w:rsidRPr="006B7FA4">
              <w:rPr>
                <w:szCs w:val="20"/>
              </w:rPr>
              <w:t xml:space="preserve">Lack of quality education and misinformation </w:t>
            </w:r>
          </w:p>
        </w:tc>
        <w:tc>
          <w:tcPr>
            <w:tcW w:w="0" w:type="pct"/>
          </w:tcPr>
          <w:p w14:paraId="5FD8413C" w14:textId="66A7F142" w:rsidR="00B80894" w:rsidRPr="006B7FA4" w:rsidRDefault="002966E1" w:rsidP="00EF2981">
            <w:pPr>
              <w:pStyle w:val="Tablebullets"/>
              <w:framePr w:wrap="around"/>
              <w:rPr>
                <w:szCs w:val="20"/>
              </w:rPr>
            </w:pPr>
            <w:r w:rsidRPr="006B7FA4">
              <w:rPr>
                <w:szCs w:val="20"/>
              </w:rPr>
              <w:t>Distribution of targeted campaign letters</w:t>
            </w:r>
          </w:p>
          <w:p w14:paraId="35639B77" w14:textId="2DBC62D1" w:rsidR="002966E1" w:rsidRPr="006B7FA4" w:rsidRDefault="002966E1" w:rsidP="00EF2981">
            <w:pPr>
              <w:pStyle w:val="Tablebullets"/>
              <w:framePr w:wrap="around"/>
              <w:rPr>
                <w:szCs w:val="20"/>
              </w:rPr>
            </w:pPr>
            <w:r w:rsidRPr="006B7FA4">
              <w:rPr>
                <w:szCs w:val="20"/>
              </w:rPr>
              <w:t>Possible referral and investigation by PRP</w:t>
            </w:r>
          </w:p>
        </w:tc>
      </w:tr>
      <w:tr w:rsidR="00B80894" w:rsidRPr="006B7FA4" w14:paraId="2A1902F6" w14:textId="77777777" w:rsidTr="00EF2981">
        <w:trPr>
          <w:trHeight w:val="233"/>
        </w:trPr>
        <w:tc>
          <w:tcPr>
            <w:tcW w:w="0" w:type="pct"/>
          </w:tcPr>
          <w:p w14:paraId="1BF2944D" w14:textId="1F7D242A" w:rsidR="00B80894" w:rsidRPr="006B7FA4" w:rsidRDefault="00B80894">
            <w:pPr>
              <w:spacing w:after="0"/>
              <w:contextualSpacing/>
              <w:rPr>
                <w:b/>
                <w:sz w:val="20"/>
                <w:szCs w:val="20"/>
              </w:rPr>
            </w:pPr>
            <w:r w:rsidRPr="006B7FA4">
              <w:rPr>
                <w:b/>
                <w:sz w:val="20"/>
                <w:szCs w:val="20"/>
              </w:rPr>
              <w:t xml:space="preserve">Overservicing (intentional) </w:t>
            </w:r>
          </w:p>
        </w:tc>
        <w:tc>
          <w:tcPr>
            <w:tcW w:w="0" w:type="pct"/>
          </w:tcPr>
          <w:p w14:paraId="44300F89" w14:textId="33460BEC" w:rsidR="00B80894" w:rsidRPr="006B7FA4" w:rsidRDefault="00B80894" w:rsidP="00EF2981">
            <w:pPr>
              <w:pStyle w:val="Tablebullets"/>
              <w:framePr w:wrap="around"/>
              <w:rPr>
                <w:szCs w:val="20"/>
              </w:rPr>
            </w:pPr>
            <w:r w:rsidRPr="006B7FA4">
              <w:rPr>
                <w:szCs w:val="20"/>
              </w:rPr>
              <w:t>Conduct in the rendering or initiating of services/prescribing that would be unacceptable to the general body of the relevant profession</w:t>
            </w:r>
          </w:p>
          <w:p w14:paraId="02D0D224" w14:textId="77777777" w:rsidR="00B80894" w:rsidRPr="006B7FA4" w:rsidRDefault="00B80894" w:rsidP="00EF2981">
            <w:pPr>
              <w:pStyle w:val="Tablebullets"/>
              <w:framePr w:wrap="around"/>
              <w:rPr>
                <w:szCs w:val="20"/>
              </w:rPr>
            </w:pPr>
            <w:r w:rsidRPr="006B7FA4">
              <w:rPr>
                <w:szCs w:val="20"/>
              </w:rPr>
              <w:t>Sometimes called overservicing or inappropriate practice</w:t>
            </w:r>
          </w:p>
        </w:tc>
        <w:tc>
          <w:tcPr>
            <w:tcW w:w="0" w:type="pct"/>
          </w:tcPr>
          <w:p w14:paraId="201A5A9D" w14:textId="3AC9E8A1" w:rsidR="00B80894" w:rsidRPr="006B7FA4" w:rsidRDefault="00FF230F" w:rsidP="00EF2981">
            <w:pPr>
              <w:pStyle w:val="Tablebullets"/>
              <w:framePr w:wrap="around"/>
              <w:rPr>
                <w:szCs w:val="20"/>
              </w:rPr>
            </w:pPr>
            <w:r w:rsidRPr="006B7FA4">
              <w:rPr>
                <w:szCs w:val="20"/>
              </w:rPr>
              <w:t xml:space="preserve">Financial </w:t>
            </w:r>
            <w:r w:rsidR="00B80894" w:rsidRPr="006B7FA4">
              <w:rPr>
                <w:szCs w:val="20"/>
              </w:rPr>
              <w:t xml:space="preserve">gain </w:t>
            </w:r>
          </w:p>
        </w:tc>
        <w:tc>
          <w:tcPr>
            <w:tcW w:w="0" w:type="pct"/>
          </w:tcPr>
          <w:p w14:paraId="2E1300F8" w14:textId="2144321E" w:rsidR="00B80894" w:rsidRPr="006B7FA4" w:rsidRDefault="00D07402" w:rsidP="00EF2981">
            <w:pPr>
              <w:pStyle w:val="Tablebullets"/>
              <w:framePr w:wrap="around"/>
              <w:rPr>
                <w:szCs w:val="20"/>
              </w:rPr>
            </w:pPr>
            <w:r w:rsidRPr="006B7FA4">
              <w:rPr>
                <w:szCs w:val="20"/>
              </w:rPr>
              <w:t xml:space="preserve">Serious </w:t>
            </w:r>
            <w:r w:rsidR="00B80894" w:rsidRPr="006B7FA4">
              <w:rPr>
                <w:szCs w:val="20"/>
              </w:rPr>
              <w:t>cases of overservicing, irrespective of intent, are assessed if identified through projects or tip</w:t>
            </w:r>
            <w:r w:rsidR="00A65897" w:rsidRPr="006B7FA4">
              <w:rPr>
                <w:szCs w:val="20"/>
              </w:rPr>
              <w:t xml:space="preserve"> </w:t>
            </w:r>
            <w:r w:rsidR="00B80894" w:rsidRPr="006B7FA4">
              <w:rPr>
                <w:szCs w:val="20"/>
              </w:rPr>
              <w:t>offs</w:t>
            </w:r>
          </w:p>
        </w:tc>
      </w:tr>
      <w:tr w:rsidR="00B80894" w:rsidRPr="006B7FA4" w14:paraId="51754CCB" w14:textId="77777777" w:rsidTr="00EF2981">
        <w:trPr>
          <w:trHeight w:val="233"/>
        </w:trPr>
        <w:tc>
          <w:tcPr>
            <w:tcW w:w="0" w:type="pct"/>
          </w:tcPr>
          <w:p w14:paraId="1C935B2E" w14:textId="77777777" w:rsidR="00B80894" w:rsidRPr="006B7FA4" w:rsidRDefault="00B80894">
            <w:pPr>
              <w:spacing w:after="0"/>
              <w:contextualSpacing/>
              <w:rPr>
                <w:b/>
                <w:sz w:val="20"/>
                <w:szCs w:val="20"/>
              </w:rPr>
            </w:pPr>
            <w:r w:rsidRPr="006B7FA4">
              <w:rPr>
                <w:b/>
                <w:sz w:val="20"/>
                <w:szCs w:val="20"/>
              </w:rPr>
              <w:t>Incorrect claiming (unintentional)</w:t>
            </w:r>
          </w:p>
        </w:tc>
        <w:tc>
          <w:tcPr>
            <w:tcW w:w="0" w:type="pct"/>
          </w:tcPr>
          <w:p w14:paraId="5C1DB5F2" w14:textId="77777777" w:rsidR="00B80894" w:rsidRPr="006B7FA4" w:rsidRDefault="00B80894" w:rsidP="00EF2981">
            <w:pPr>
              <w:pStyle w:val="Tablebullets"/>
              <w:framePr w:wrap="around"/>
              <w:rPr>
                <w:szCs w:val="20"/>
              </w:rPr>
            </w:pPr>
            <w:r w:rsidRPr="006B7FA4">
              <w:rPr>
                <w:szCs w:val="20"/>
              </w:rPr>
              <w:t xml:space="preserve">A service is provided but the incorrect item is claimed by mistake </w:t>
            </w:r>
          </w:p>
        </w:tc>
        <w:tc>
          <w:tcPr>
            <w:tcW w:w="0" w:type="pct"/>
          </w:tcPr>
          <w:p w14:paraId="5E5C214D" w14:textId="77777777" w:rsidR="00145517" w:rsidRPr="006B7FA4" w:rsidRDefault="00145517" w:rsidP="00EF2981">
            <w:pPr>
              <w:pStyle w:val="Tablebullets"/>
              <w:framePr w:wrap="around"/>
              <w:rPr>
                <w:szCs w:val="20"/>
              </w:rPr>
            </w:pPr>
            <w:r w:rsidRPr="006B7FA4">
              <w:rPr>
                <w:szCs w:val="20"/>
              </w:rPr>
              <w:t>Complexity of MBS items and their interpretation by health professionals</w:t>
            </w:r>
          </w:p>
          <w:p w14:paraId="168ABE06" w14:textId="77777777" w:rsidR="00B80894" w:rsidRPr="006B7FA4" w:rsidRDefault="00B80894" w:rsidP="00EF2981">
            <w:pPr>
              <w:pStyle w:val="Tablebullets"/>
              <w:framePr w:wrap="around"/>
              <w:rPr>
                <w:szCs w:val="20"/>
              </w:rPr>
            </w:pPr>
            <w:r w:rsidRPr="006B7FA4">
              <w:rPr>
                <w:szCs w:val="20"/>
              </w:rPr>
              <w:t xml:space="preserve">Poor understanding of item numbers and the underlying legal foundation of MBS </w:t>
            </w:r>
          </w:p>
          <w:p w14:paraId="6D2F633F" w14:textId="69841070" w:rsidR="00F76424" w:rsidRPr="006B7FA4" w:rsidRDefault="00F76424" w:rsidP="00EF2981">
            <w:pPr>
              <w:pStyle w:val="Tablebullets"/>
              <w:framePr w:wrap="around"/>
              <w:rPr>
                <w:szCs w:val="20"/>
              </w:rPr>
            </w:pPr>
            <w:r w:rsidRPr="006B7FA4">
              <w:rPr>
                <w:szCs w:val="20"/>
              </w:rPr>
              <w:t>Lack of integrated technology solutions to guide MBS item selection</w:t>
            </w:r>
          </w:p>
          <w:p w14:paraId="63A8B7A1" w14:textId="77777777" w:rsidR="00B80894" w:rsidRPr="006B7FA4" w:rsidRDefault="00B80894" w:rsidP="00EF2981">
            <w:pPr>
              <w:pStyle w:val="Tablebullets"/>
              <w:framePr w:wrap="around"/>
              <w:rPr>
                <w:szCs w:val="20"/>
              </w:rPr>
            </w:pPr>
            <w:r w:rsidRPr="006B7FA4">
              <w:rPr>
                <w:szCs w:val="20"/>
              </w:rPr>
              <w:t>Lack of quality education and misinformation</w:t>
            </w:r>
          </w:p>
        </w:tc>
        <w:tc>
          <w:tcPr>
            <w:tcW w:w="0" w:type="pct"/>
          </w:tcPr>
          <w:p w14:paraId="5A999851" w14:textId="50436EC5" w:rsidR="00B80894" w:rsidRPr="006B7FA4" w:rsidRDefault="00752551" w:rsidP="00EF2981">
            <w:pPr>
              <w:pStyle w:val="Tablebullets"/>
              <w:framePr w:wrap="around"/>
              <w:rPr>
                <w:szCs w:val="20"/>
              </w:rPr>
            </w:pPr>
            <w:r w:rsidRPr="006B7FA4">
              <w:rPr>
                <w:szCs w:val="20"/>
              </w:rPr>
              <w:t xml:space="preserve">Serious </w:t>
            </w:r>
            <w:r w:rsidR="00B80894" w:rsidRPr="006B7FA4">
              <w:rPr>
                <w:szCs w:val="20"/>
              </w:rPr>
              <w:t>cases of incorrect claiming where there is reasonable concern and documented evidence are investigated if identified through projects or tip</w:t>
            </w:r>
            <w:r w:rsidR="00A65897" w:rsidRPr="006B7FA4">
              <w:rPr>
                <w:szCs w:val="20"/>
              </w:rPr>
              <w:t xml:space="preserve"> </w:t>
            </w:r>
            <w:r w:rsidR="00B80894" w:rsidRPr="006B7FA4">
              <w:rPr>
                <w:szCs w:val="20"/>
              </w:rPr>
              <w:t>offs</w:t>
            </w:r>
          </w:p>
        </w:tc>
      </w:tr>
      <w:tr w:rsidR="00B80894" w:rsidRPr="006B7FA4" w14:paraId="1FA24595" w14:textId="77777777" w:rsidTr="00EF2981">
        <w:trPr>
          <w:trHeight w:val="233"/>
        </w:trPr>
        <w:tc>
          <w:tcPr>
            <w:tcW w:w="0" w:type="pct"/>
          </w:tcPr>
          <w:p w14:paraId="1C0FDAC5" w14:textId="77777777" w:rsidR="00B80894" w:rsidRPr="006B7FA4" w:rsidRDefault="00B80894">
            <w:pPr>
              <w:spacing w:after="0"/>
              <w:contextualSpacing/>
              <w:rPr>
                <w:b/>
                <w:sz w:val="20"/>
                <w:szCs w:val="20"/>
              </w:rPr>
            </w:pPr>
            <w:r w:rsidRPr="006B7FA4">
              <w:rPr>
                <w:b/>
                <w:sz w:val="20"/>
                <w:szCs w:val="20"/>
              </w:rPr>
              <w:t>Incorrect claiming (intentional)</w:t>
            </w:r>
          </w:p>
        </w:tc>
        <w:tc>
          <w:tcPr>
            <w:tcW w:w="0" w:type="pct"/>
          </w:tcPr>
          <w:p w14:paraId="274874EF" w14:textId="77777777" w:rsidR="00B80894" w:rsidRPr="006B7FA4" w:rsidRDefault="00B80894" w:rsidP="00EF2981">
            <w:pPr>
              <w:pStyle w:val="Tablebullets"/>
              <w:framePr w:wrap="around"/>
              <w:rPr>
                <w:szCs w:val="20"/>
              </w:rPr>
            </w:pPr>
            <w:r w:rsidRPr="006B7FA4">
              <w:rPr>
                <w:szCs w:val="20"/>
              </w:rPr>
              <w:t>A service is provided but the incorrect item is claimed on purpose</w:t>
            </w:r>
          </w:p>
        </w:tc>
        <w:tc>
          <w:tcPr>
            <w:tcW w:w="0" w:type="pct"/>
          </w:tcPr>
          <w:p w14:paraId="21BAC599" w14:textId="77777777" w:rsidR="00B80894" w:rsidRPr="006B7FA4" w:rsidRDefault="00B80894" w:rsidP="00EF2981">
            <w:pPr>
              <w:pStyle w:val="Tablebullets"/>
              <w:framePr w:wrap="around"/>
              <w:rPr>
                <w:szCs w:val="20"/>
              </w:rPr>
            </w:pPr>
            <w:r w:rsidRPr="006B7FA4">
              <w:rPr>
                <w:szCs w:val="20"/>
              </w:rPr>
              <w:t>Financial gain</w:t>
            </w:r>
          </w:p>
        </w:tc>
        <w:tc>
          <w:tcPr>
            <w:tcW w:w="0" w:type="pct"/>
          </w:tcPr>
          <w:p w14:paraId="153B5115" w14:textId="45FD50CC" w:rsidR="00B80894" w:rsidRPr="006B7FA4" w:rsidRDefault="00752551" w:rsidP="00EF2981">
            <w:pPr>
              <w:pStyle w:val="Tablebullets"/>
              <w:framePr w:wrap="around"/>
              <w:rPr>
                <w:szCs w:val="20"/>
              </w:rPr>
            </w:pPr>
            <w:r w:rsidRPr="006B7FA4">
              <w:rPr>
                <w:szCs w:val="20"/>
              </w:rPr>
              <w:t xml:space="preserve">Serious </w:t>
            </w:r>
            <w:r w:rsidR="00B80894" w:rsidRPr="006B7FA4">
              <w:rPr>
                <w:szCs w:val="20"/>
              </w:rPr>
              <w:t xml:space="preserve">cases of incorrect claiming where there is reasonable concern and documented evidence are investigated if </w:t>
            </w:r>
            <w:r w:rsidR="00B80894" w:rsidRPr="006B7FA4">
              <w:rPr>
                <w:szCs w:val="20"/>
              </w:rPr>
              <w:lastRenderedPageBreak/>
              <w:t>identified through projects or tip</w:t>
            </w:r>
            <w:r w:rsidR="00A65897" w:rsidRPr="006B7FA4">
              <w:rPr>
                <w:szCs w:val="20"/>
              </w:rPr>
              <w:t xml:space="preserve"> </w:t>
            </w:r>
            <w:r w:rsidR="00B80894" w:rsidRPr="006B7FA4">
              <w:rPr>
                <w:szCs w:val="20"/>
              </w:rPr>
              <w:t>offs</w:t>
            </w:r>
          </w:p>
        </w:tc>
      </w:tr>
      <w:tr w:rsidR="00B80894" w:rsidRPr="006B7FA4" w14:paraId="38185AD2" w14:textId="77777777" w:rsidTr="00EF2981">
        <w:trPr>
          <w:trHeight w:val="233"/>
        </w:trPr>
        <w:tc>
          <w:tcPr>
            <w:tcW w:w="0" w:type="pct"/>
          </w:tcPr>
          <w:p w14:paraId="2F542C63" w14:textId="77777777" w:rsidR="00B80894" w:rsidRPr="006B7FA4" w:rsidRDefault="00B80894">
            <w:pPr>
              <w:spacing w:after="0"/>
              <w:contextualSpacing/>
              <w:rPr>
                <w:b/>
                <w:sz w:val="20"/>
                <w:szCs w:val="20"/>
              </w:rPr>
            </w:pPr>
            <w:r w:rsidRPr="006B7FA4">
              <w:rPr>
                <w:b/>
                <w:sz w:val="20"/>
                <w:szCs w:val="20"/>
              </w:rPr>
              <w:lastRenderedPageBreak/>
              <w:t xml:space="preserve">Non-provision of services </w:t>
            </w:r>
          </w:p>
        </w:tc>
        <w:tc>
          <w:tcPr>
            <w:tcW w:w="0" w:type="pct"/>
          </w:tcPr>
          <w:p w14:paraId="4B37A1D7" w14:textId="086E7287" w:rsidR="00B80894" w:rsidRPr="006B7FA4" w:rsidRDefault="00B80894" w:rsidP="00EF2981">
            <w:pPr>
              <w:pStyle w:val="Tablebullets"/>
              <w:framePr w:wrap="around"/>
              <w:rPr>
                <w:szCs w:val="20"/>
              </w:rPr>
            </w:pPr>
            <w:r w:rsidRPr="006B7FA4">
              <w:rPr>
                <w:szCs w:val="20"/>
              </w:rPr>
              <w:t>Benefit is obtained by knowingly making false or misleading statement, in connection with a claim for benefit</w:t>
            </w:r>
          </w:p>
          <w:p w14:paraId="304880B6" w14:textId="77850A3A" w:rsidR="00B80894" w:rsidRPr="006B7FA4" w:rsidRDefault="00B80894" w:rsidP="00EF2981">
            <w:pPr>
              <w:pStyle w:val="Tablebullets"/>
              <w:framePr w:wrap="around"/>
              <w:rPr>
                <w:szCs w:val="20"/>
              </w:rPr>
            </w:pPr>
            <w:r w:rsidRPr="006B7FA4">
              <w:rPr>
                <w:szCs w:val="20"/>
              </w:rPr>
              <w:t xml:space="preserve">Criminal prosecution of fraud requires intentional </w:t>
            </w:r>
            <w:r w:rsidR="00062F4A" w:rsidRPr="006B7FA4">
              <w:rPr>
                <w:szCs w:val="20"/>
              </w:rPr>
              <w:t>claiming</w:t>
            </w:r>
            <w:r w:rsidRPr="006B7FA4">
              <w:rPr>
                <w:szCs w:val="20"/>
              </w:rPr>
              <w:t xml:space="preserve"> of </w:t>
            </w:r>
            <w:r w:rsidR="00062F4A" w:rsidRPr="006B7FA4">
              <w:rPr>
                <w:szCs w:val="20"/>
              </w:rPr>
              <w:t>a service that was not provided</w:t>
            </w:r>
            <w:r w:rsidRPr="006B7FA4">
              <w:rPr>
                <w:szCs w:val="20"/>
              </w:rPr>
              <w:t xml:space="preserve"> </w:t>
            </w:r>
          </w:p>
        </w:tc>
        <w:tc>
          <w:tcPr>
            <w:tcW w:w="0" w:type="pct"/>
          </w:tcPr>
          <w:p w14:paraId="687E8428" w14:textId="77777777" w:rsidR="00B80894" w:rsidRPr="006B7FA4" w:rsidRDefault="00B80894" w:rsidP="00EF2981">
            <w:pPr>
              <w:pStyle w:val="Tablebullets"/>
              <w:framePr w:wrap="around"/>
              <w:rPr>
                <w:szCs w:val="20"/>
              </w:rPr>
            </w:pPr>
            <w:r w:rsidRPr="006B7FA4">
              <w:rPr>
                <w:szCs w:val="20"/>
              </w:rPr>
              <w:t>Financial gain</w:t>
            </w:r>
          </w:p>
          <w:p w14:paraId="2E178FCD" w14:textId="4D4048C1" w:rsidR="00B80894" w:rsidRPr="006B7FA4" w:rsidRDefault="00B80894" w:rsidP="00EF2981">
            <w:pPr>
              <w:pStyle w:val="Tablebullets"/>
              <w:framePr w:wrap="around"/>
              <w:rPr>
                <w:szCs w:val="20"/>
              </w:rPr>
            </w:pPr>
            <w:r w:rsidRPr="006B7FA4">
              <w:rPr>
                <w:szCs w:val="20"/>
              </w:rPr>
              <w:t>Identity takeover</w:t>
            </w:r>
          </w:p>
        </w:tc>
        <w:tc>
          <w:tcPr>
            <w:tcW w:w="0" w:type="pct"/>
          </w:tcPr>
          <w:p w14:paraId="58F48828" w14:textId="77777777" w:rsidR="00B80894" w:rsidRPr="006B7FA4" w:rsidRDefault="00B80894" w:rsidP="00EF2981">
            <w:pPr>
              <w:pStyle w:val="Tablebullets"/>
              <w:framePr w:wrap="around"/>
              <w:rPr>
                <w:szCs w:val="20"/>
              </w:rPr>
            </w:pPr>
            <w:r w:rsidRPr="006B7FA4">
              <w:rPr>
                <w:szCs w:val="20"/>
              </w:rPr>
              <w:t xml:space="preserve">Cases of non-provision are assessed and triaged through the Fraud Investigation Team and may proceed to criminal investigation   </w:t>
            </w:r>
          </w:p>
        </w:tc>
      </w:tr>
    </w:tbl>
    <w:p w14:paraId="19610089" w14:textId="2211805F" w:rsidR="00B80894" w:rsidRPr="002A2A4A" w:rsidRDefault="00B80894" w:rsidP="00B80894">
      <w:pPr>
        <w:pStyle w:val="Caption"/>
      </w:pPr>
      <w:r w:rsidRPr="002A2A4A">
        <w:t>Source: Philip Review (2023)</w:t>
      </w:r>
    </w:p>
    <w:p w14:paraId="395E3DDE" w14:textId="72EC2773" w:rsidR="00B80894" w:rsidRDefault="00871C2B" w:rsidP="00B80894">
      <w:r>
        <w:t>T</w:t>
      </w:r>
      <w:r w:rsidR="00B80894">
        <w:t xml:space="preserve">he current compliance and integrity system is built around a particular definition of non-compliance which is not necessarily representative of all types of non-compliant behaviour. </w:t>
      </w:r>
      <w:r w:rsidR="00C83939">
        <w:fldChar w:fldCharType="begin"/>
      </w:r>
      <w:r w:rsidR="00C83939">
        <w:instrText xml:space="preserve"> REF _Ref128656681 \r \h </w:instrText>
      </w:r>
      <w:r w:rsidR="00C83939">
        <w:fldChar w:fldCharType="separate"/>
      </w:r>
      <w:r w:rsidR="005A1647">
        <w:t>Table 2.2</w:t>
      </w:r>
      <w:r w:rsidR="00C83939">
        <w:fldChar w:fldCharType="end"/>
      </w:r>
      <w:r w:rsidR="00B80894">
        <w:t xml:space="preserve"> highlights the way in which the </w:t>
      </w:r>
      <w:r w:rsidR="008373E2">
        <w:t>government</w:t>
      </w:r>
      <w:r w:rsidR="00B80894">
        <w:t xml:space="preserve">’s definition of non-compliance differs from other commonly held definitions and views. </w:t>
      </w:r>
    </w:p>
    <w:p w14:paraId="6F784D08" w14:textId="2198AD38" w:rsidR="00B80894" w:rsidRDefault="00B80894" w:rsidP="00940D39">
      <w:pPr>
        <w:pStyle w:val="CaptionTable"/>
        <w:ind w:left="0"/>
      </w:pPr>
      <w:bookmarkStart w:id="60" w:name="_Ref128656681"/>
      <w:bookmarkStart w:id="61" w:name="_Toc131418572"/>
      <w:r>
        <w:t xml:space="preserve">: Different definitions of </w:t>
      </w:r>
      <w:r w:rsidR="0032087B">
        <w:t>f</w:t>
      </w:r>
      <w:r>
        <w:t>raud and how it maps to the types of behaviours</w:t>
      </w:r>
      <w:bookmarkEnd w:id="60"/>
      <w:bookmarkEnd w:id="61"/>
    </w:p>
    <w:tbl>
      <w:tblPr>
        <w:tblStyle w:val="Deloittetable"/>
        <w:tblW w:w="4929" w:type="pct"/>
        <w:tblLook w:val="04A0" w:firstRow="1" w:lastRow="0" w:firstColumn="1" w:lastColumn="0" w:noHBand="0" w:noVBand="1"/>
      </w:tblPr>
      <w:tblGrid>
        <w:gridCol w:w="2978"/>
        <w:gridCol w:w="2445"/>
        <w:gridCol w:w="2447"/>
        <w:gridCol w:w="2447"/>
      </w:tblGrid>
      <w:tr w:rsidR="00B80894" w:rsidRPr="007B5522" w14:paraId="1401B0B3" w14:textId="77777777" w:rsidTr="007B5522">
        <w:trPr>
          <w:cnfStyle w:val="100000000000" w:firstRow="1" w:lastRow="0" w:firstColumn="0" w:lastColumn="0" w:oddVBand="0" w:evenVBand="0" w:oddHBand="0" w:evenHBand="0" w:firstRowFirstColumn="0" w:firstRowLastColumn="0" w:lastRowFirstColumn="0" w:lastRowLastColumn="0"/>
          <w:trHeight w:val="257"/>
          <w:tblHeader/>
        </w:trPr>
        <w:tc>
          <w:tcPr>
            <w:tcW w:w="1443" w:type="pct"/>
          </w:tcPr>
          <w:p w14:paraId="75300E82" w14:textId="77777777" w:rsidR="00B80894" w:rsidRPr="007B5522" w:rsidRDefault="00B80894" w:rsidP="007B5522">
            <w:r w:rsidRPr="007B5522">
              <w:t>Term</w:t>
            </w:r>
          </w:p>
        </w:tc>
        <w:tc>
          <w:tcPr>
            <w:tcW w:w="1185" w:type="pct"/>
          </w:tcPr>
          <w:p w14:paraId="4FA992ED" w14:textId="77777777" w:rsidR="00B80894" w:rsidRPr="007B5522" w:rsidRDefault="00B80894" w:rsidP="007B5522">
            <w:r w:rsidRPr="007B5522">
              <w:t xml:space="preserve">Department definition </w:t>
            </w:r>
          </w:p>
        </w:tc>
        <w:tc>
          <w:tcPr>
            <w:tcW w:w="1186" w:type="pct"/>
          </w:tcPr>
          <w:p w14:paraId="3776781F" w14:textId="77777777" w:rsidR="00B80894" w:rsidRPr="007B5522" w:rsidRDefault="00B80894" w:rsidP="007B5522">
            <w:r w:rsidRPr="007B5522">
              <w:t>Commonwealth definition*</w:t>
            </w:r>
          </w:p>
        </w:tc>
        <w:tc>
          <w:tcPr>
            <w:tcW w:w="1186" w:type="pct"/>
          </w:tcPr>
          <w:p w14:paraId="56EB17ED" w14:textId="50CFCF29" w:rsidR="00B80894" w:rsidRPr="007B5522" w:rsidRDefault="000A64F8" w:rsidP="007B5522">
            <w:r w:rsidRPr="007B5522">
              <w:t>Academic</w:t>
            </w:r>
            <w:r w:rsidR="00B80894" w:rsidRPr="007B5522">
              <w:t xml:space="preserve"> interpretation**</w:t>
            </w:r>
          </w:p>
        </w:tc>
      </w:tr>
      <w:tr w:rsidR="00B80894" w:rsidRPr="00936E5B" w14:paraId="2DF3AB7C" w14:textId="77777777" w:rsidTr="007B5522">
        <w:trPr>
          <w:trHeight w:val="240"/>
        </w:trPr>
        <w:tc>
          <w:tcPr>
            <w:tcW w:w="1443" w:type="pct"/>
          </w:tcPr>
          <w:p w14:paraId="1FE46F16" w14:textId="77777777" w:rsidR="00B80894" w:rsidRPr="00EF2981" w:rsidRDefault="00B80894" w:rsidP="00EF2981">
            <w:pPr>
              <w:pStyle w:val="TabletextLeft"/>
            </w:pPr>
            <w:r w:rsidRPr="00EF2981">
              <w:t>Appropriate and compliant care</w:t>
            </w:r>
          </w:p>
        </w:tc>
        <w:tc>
          <w:tcPr>
            <w:tcW w:w="1185" w:type="pct"/>
          </w:tcPr>
          <w:p w14:paraId="19867157" w14:textId="77777777" w:rsidR="00B80894" w:rsidRPr="00EF2981" w:rsidRDefault="00B80894" w:rsidP="00EF2981">
            <w:pPr>
              <w:pStyle w:val="TabletextLeft"/>
            </w:pPr>
            <w:r w:rsidRPr="00EF2981">
              <w:t>N.A.</w:t>
            </w:r>
          </w:p>
        </w:tc>
        <w:tc>
          <w:tcPr>
            <w:tcW w:w="1186" w:type="pct"/>
          </w:tcPr>
          <w:p w14:paraId="55B6E1FB" w14:textId="77777777" w:rsidR="00B80894" w:rsidRPr="00EF2981" w:rsidRDefault="00B80894" w:rsidP="00EF2981">
            <w:pPr>
              <w:pStyle w:val="TabletextLeft"/>
            </w:pPr>
            <w:r w:rsidRPr="00EF2981">
              <w:t>N.A.</w:t>
            </w:r>
          </w:p>
        </w:tc>
        <w:tc>
          <w:tcPr>
            <w:tcW w:w="1186" w:type="pct"/>
          </w:tcPr>
          <w:p w14:paraId="6408500B" w14:textId="77777777" w:rsidR="00B80894" w:rsidRPr="00EF2981" w:rsidRDefault="00B80894" w:rsidP="00EF2981">
            <w:pPr>
              <w:pStyle w:val="TabletextLeft"/>
            </w:pPr>
            <w:r w:rsidRPr="00EF2981">
              <w:t>N.A.</w:t>
            </w:r>
          </w:p>
        </w:tc>
      </w:tr>
      <w:tr w:rsidR="00B80894" w:rsidRPr="00936E5B" w14:paraId="16E08A62" w14:textId="77777777" w:rsidTr="007B5522">
        <w:trPr>
          <w:trHeight w:val="240"/>
        </w:trPr>
        <w:tc>
          <w:tcPr>
            <w:tcW w:w="1443" w:type="pct"/>
          </w:tcPr>
          <w:p w14:paraId="780686B1" w14:textId="5560D3AE" w:rsidR="00B80894" w:rsidRPr="00EF2981" w:rsidRDefault="00B80894" w:rsidP="00EF2981">
            <w:pPr>
              <w:pStyle w:val="TabletextLeft"/>
            </w:pPr>
            <w:r w:rsidRPr="00EF2981">
              <w:t>Underclaiming (</w:t>
            </w:r>
            <w:r w:rsidR="0032087B" w:rsidRPr="00EF2981">
              <w:t>i</w:t>
            </w:r>
            <w:r w:rsidRPr="00EF2981">
              <w:t>ntentional or unintentional)</w:t>
            </w:r>
          </w:p>
        </w:tc>
        <w:tc>
          <w:tcPr>
            <w:tcW w:w="1185" w:type="pct"/>
          </w:tcPr>
          <w:p w14:paraId="2D6A1B8E" w14:textId="77777777" w:rsidR="00B80894" w:rsidRPr="00EF2981" w:rsidRDefault="00B80894" w:rsidP="00EF2981">
            <w:pPr>
              <w:pStyle w:val="TabletextLeft"/>
            </w:pPr>
            <w:r w:rsidRPr="00EF2981">
              <w:t>N.A.</w:t>
            </w:r>
          </w:p>
        </w:tc>
        <w:tc>
          <w:tcPr>
            <w:tcW w:w="1186" w:type="pct"/>
          </w:tcPr>
          <w:p w14:paraId="5AAFD5C0" w14:textId="16872A05" w:rsidR="00B80894" w:rsidRPr="00EF2981" w:rsidRDefault="00FA3980" w:rsidP="00EF2981">
            <w:pPr>
              <w:pStyle w:val="TabletextLeft"/>
            </w:pPr>
            <w:r w:rsidRPr="00EF2981">
              <w:t xml:space="preserve">Fraud and </w:t>
            </w:r>
            <w:r w:rsidR="00B80894" w:rsidRPr="00EF2981">
              <w:t>Non-compliance</w:t>
            </w:r>
          </w:p>
        </w:tc>
        <w:tc>
          <w:tcPr>
            <w:tcW w:w="1186" w:type="pct"/>
          </w:tcPr>
          <w:p w14:paraId="26A80550" w14:textId="77777777" w:rsidR="00B80894" w:rsidRPr="00EF2981" w:rsidRDefault="00B80894" w:rsidP="00EF2981">
            <w:pPr>
              <w:pStyle w:val="TabletextLeft"/>
            </w:pPr>
            <w:r w:rsidRPr="00EF2981">
              <w:t>N.A.</w:t>
            </w:r>
          </w:p>
        </w:tc>
      </w:tr>
      <w:tr w:rsidR="00B80894" w:rsidRPr="00936E5B" w14:paraId="5F4410CC" w14:textId="77777777" w:rsidTr="007B5522">
        <w:trPr>
          <w:trHeight w:val="240"/>
        </w:trPr>
        <w:tc>
          <w:tcPr>
            <w:tcW w:w="1443" w:type="pct"/>
          </w:tcPr>
          <w:p w14:paraId="3F298D8B" w14:textId="77777777" w:rsidR="00B80894" w:rsidRPr="00EF2981" w:rsidRDefault="00B80894" w:rsidP="00EF2981">
            <w:pPr>
              <w:pStyle w:val="TabletextLeft"/>
            </w:pPr>
            <w:r w:rsidRPr="00EF2981">
              <w:t>Low value care</w:t>
            </w:r>
          </w:p>
        </w:tc>
        <w:tc>
          <w:tcPr>
            <w:tcW w:w="1185" w:type="pct"/>
          </w:tcPr>
          <w:p w14:paraId="3827F353" w14:textId="739FDF37" w:rsidR="00B80894" w:rsidRPr="00EF2981" w:rsidRDefault="00A03074" w:rsidP="00EF2981">
            <w:pPr>
              <w:pStyle w:val="TabletextLeft"/>
            </w:pPr>
            <w:r w:rsidRPr="00EF2981">
              <w:t>Inappropriate practice</w:t>
            </w:r>
          </w:p>
        </w:tc>
        <w:tc>
          <w:tcPr>
            <w:tcW w:w="1186" w:type="pct"/>
          </w:tcPr>
          <w:p w14:paraId="6FAE8B38" w14:textId="77777777" w:rsidR="00B80894" w:rsidRPr="00EF2981" w:rsidRDefault="00B80894" w:rsidP="00EF2981">
            <w:pPr>
              <w:pStyle w:val="TabletextLeft"/>
            </w:pPr>
            <w:r w:rsidRPr="00EF2981">
              <w:t>Non- compliance</w:t>
            </w:r>
          </w:p>
        </w:tc>
        <w:tc>
          <w:tcPr>
            <w:tcW w:w="1186" w:type="pct"/>
          </w:tcPr>
          <w:p w14:paraId="161FDBE8" w14:textId="77777777" w:rsidR="00B80894" w:rsidRPr="00EF2981" w:rsidRDefault="00B80894" w:rsidP="00EF2981">
            <w:pPr>
              <w:pStyle w:val="TabletextLeft"/>
            </w:pPr>
            <w:r w:rsidRPr="00EF2981">
              <w:t>Fraud</w:t>
            </w:r>
          </w:p>
        </w:tc>
      </w:tr>
      <w:tr w:rsidR="00B80894" w:rsidRPr="001A36CA" w14:paraId="43AFB412" w14:textId="77777777" w:rsidTr="007B5522">
        <w:trPr>
          <w:trHeight w:val="240"/>
        </w:trPr>
        <w:tc>
          <w:tcPr>
            <w:tcW w:w="1443" w:type="pct"/>
          </w:tcPr>
          <w:p w14:paraId="514540D1" w14:textId="77777777" w:rsidR="00B80894" w:rsidRPr="00EF2981" w:rsidRDefault="00B80894" w:rsidP="00EF2981">
            <w:pPr>
              <w:pStyle w:val="TabletextLeft"/>
            </w:pPr>
            <w:r w:rsidRPr="00EF2981">
              <w:t xml:space="preserve">Underservicing </w:t>
            </w:r>
          </w:p>
        </w:tc>
        <w:tc>
          <w:tcPr>
            <w:tcW w:w="1185" w:type="pct"/>
          </w:tcPr>
          <w:p w14:paraId="68D4828A" w14:textId="57433EEF" w:rsidR="00B80894" w:rsidRPr="00EF2981" w:rsidRDefault="00B80894" w:rsidP="00EF2981">
            <w:pPr>
              <w:pStyle w:val="TabletextLeft"/>
            </w:pPr>
            <w:r w:rsidRPr="00EF2981">
              <w:t xml:space="preserve">Inappropriate </w:t>
            </w:r>
            <w:r w:rsidR="00FA23FE" w:rsidRPr="00EF2981">
              <w:t>practice</w:t>
            </w:r>
          </w:p>
        </w:tc>
        <w:tc>
          <w:tcPr>
            <w:tcW w:w="1186" w:type="pct"/>
          </w:tcPr>
          <w:p w14:paraId="3BA0E88F" w14:textId="77777777" w:rsidR="00B80894" w:rsidRPr="00EF2981" w:rsidRDefault="00B80894" w:rsidP="00EF2981">
            <w:pPr>
              <w:pStyle w:val="TabletextLeft"/>
            </w:pPr>
            <w:r w:rsidRPr="00EF2981">
              <w:t>Fraud</w:t>
            </w:r>
          </w:p>
        </w:tc>
        <w:tc>
          <w:tcPr>
            <w:tcW w:w="1186" w:type="pct"/>
          </w:tcPr>
          <w:p w14:paraId="27069C87" w14:textId="77777777" w:rsidR="00B80894" w:rsidRPr="00EF2981" w:rsidRDefault="00B80894" w:rsidP="00EF2981">
            <w:pPr>
              <w:pStyle w:val="TabletextLeft"/>
            </w:pPr>
            <w:r w:rsidRPr="00EF2981">
              <w:t>Fraud</w:t>
            </w:r>
          </w:p>
        </w:tc>
      </w:tr>
      <w:tr w:rsidR="00B80894" w:rsidRPr="00936E5B" w14:paraId="3804CD3B" w14:textId="77777777" w:rsidTr="007B5522">
        <w:trPr>
          <w:trHeight w:val="240"/>
        </w:trPr>
        <w:tc>
          <w:tcPr>
            <w:tcW w:w="1443" w:type="pct"/>
          </w:tcPr>
          <w:p w14:paraId="469BE5E3" w14:textId="7EA5947F" w:rsidR="00B80894" w:rsidRPr="00EF2981" w:rsidRDefault="00B80894" w:rsidP="00EF2981">
            <w:pPr>
              <w:pStyle w:val="TabletextLeft"/>
            </w:pPr>
            <w:r w:rsidRPr="00EF2981">
              <w:t>Overservicing (unintentional)</w:t>
            </w:r>
          </w:p>
        </w:tc>
        <w:tc>
          <w:tcPr>
            <w:tcW w:w="1185" w:type="pct"/>
          </w:tcPr>
          <w:p w14:paraId="65CF1D04" w14:textId="49D23DB3" w:rsidR="00B80894" w:rsidRPr="00EF2981" w:rsidRDefault="00B80894" w:rsidP="00EF2981">
            <w:pPr>
              <w:pStyle w:val="TabletextLeft"/>
            </w:pPr>
            <w:r w:rsidRPr="00EF2981">
              <w:t xml:space="preserve">Inappropriate </w:t>
            </w:r>
            <w:r w:rsidR="00FA23FE" w:rsidRPr="00EF2981">
              <w:t>practice</w:t>
            </w:r>
          </w:p>
        </w:tc>
        <w:tc>
          <w:tcPr>
            <w:tcW w:w="1186" w:type="pct"/>
          </w:tcPr>
          <w:p w14:paraId="5598FD57" w14:textId="77777777" w:rsidR="00B80894" w:rsidRPr="00EF2981" w:rsidRDefault="00B80894" w:rsidP="00EF2981">
            <w:pPr>
              <w:pStyle w:val="TabletextLeft"/>
            </w:pPr>
            <w:r w:rsidRPr="00EF2981">
              <w:t>Non-compliance</w:t>
            </w:r>
          </w:p>
        </w:tc>
        <w:tc>
          <w:tcPr>
            <w:tcW w:w="1186" w:type="pct"/>
          </w:tcPr>
          <w:p w14:paraId="693BD91B" w14:textId="77777777" w:rsidR="00B80894" w:rsidRPr="00EF2981" w:rsidRDefault="00B80894" w:rsidP="00EF2981">
            <w:pPr>
              <w:pStyle w:val="TabletextLeft"/>
            </w:pPr>
            <w:r w:rsidRPr="00EF2981">
              <w:t>Fraud</w:t>
            </w:r>
          </w:p>
        </w:tc>
      </w:tr>
      <w:tr w:rsidR="00B80894" w:rsidRPr="00936E5B" w14:paraId="58B3798E" w14:textId="77777777" w:rsidTr="007B5522">
        <w:trPr>
          <w:trHeight w:val="240"/>
        </w:trPr>
        <w:tc>
          <w:tcPr>
            <w:tcW w:w="1443" w:type="pct"/>
          </w:tcPr>
          <w:p w14:paraId="2B4223E8" w14:textId="77777777" w:rsidR="00B80894" w:rsidRPr="00000ED8" w:rsidRDefault="00B80894">
            <w:pPr>
              <w:pStyle w:val="TabletextLeft"/>
            </w:pPr>
            <w:r w:rsidRPr="00000ED8">
              <w:t xml:space="preserve">Overservicing (intentional) </w:t>
            </w:r>
          </w:p>
        </w:tc>
        <w:tc>
          <w:tcPr>
            <w:tcW w:w="1185" w:type="pct"/>
          </w:tcPr>
          <w:p w14:paraId="23683C19" w14:textId="2195E4EE" w:rsidR="00B80894" w:rsidRPr="00A649C2" w:rsidRDefault="00B80894">
            <w:pPr>
              <w:pStyle w:val="TabletextLeft"/>
            </w:pPr>
            <w:r>
              <w:t xml:space="preserve">Inappropriate </w:t>
            </w:r>
            <w:r w:rsidR="00FA23FE">
              <w:t>practice</w:t>
            </w:r>
          </w:p>
        </w:tc>
        <w:tc>
          <w:tcPr>
            <w:tcW w:w="1186" w:type="pct"/>
          </w:tcPr>
          <w:p w14:paraId="70D64320" w14:textId="77777777" w:rsidR="00B80894" w:rsidRPr="00000ED8" w:rsidRDefault="00B80894">
            <w:pPr>
              <w:pStyle w:val="TabletextLeft"/>
            </w:pPr>
            <w:r w:rsidRPr="00000ED8">
              <w:t>Fraud</w:t>
            </w:r>
          </w:p>
        </w:tc>
        <w:tc>
          <w:tcPr>
            <w:tcW w:w="1186" w:type="pct"/>
          </w:tcPr>
          <w:p w14:paraId="66DA1DBB" w14:textId="77777777" w:rsidR="00B80894" w:rsidRPr="00000ED8" w:rsidRDefault="00B80894">
            <w:pPr>
              <w:pStyle w:val="TabletextLeft"/>
            </w:pPr>
            <w:r w:rsidRPr="00000ED8">
              <w:t>Fraud</w:t>
            </w:r>
          </w:p>
        </w:tc>
      </w:tr>
      <w:tr w:rsidR="00B80894" w14:paraId="00BD311E" w14:textId="77777777" w:rsidTr="007B5522">
        <w:trPr>
          <w:trHeight w:val="240"/>
        </w:trPr>
        <w:tc>
          <w:tcPr>
            <w:tcW w:w="1443" w:type="pct"/>
          </w:tcPr>
          <w:p w14:paraId="784B28A1" w14:textId="77777777" w:rsidR="00B80894" w:rsidRPr="00000ED8" w:rsidRDefault="00B80894">
            <w:pPr>
              <w:pStyle w:val="TabletextLeft"/>
            </w:pPr>
            <w:r w:rsidRPr="00000ED8">
              <w:t>Incorrect claiming (unintentional)</w:t>
            </w:r>
          </w:p>
        </w:tc>
        <w:tc>
          <w:tcPr>
            <w:tcW w:w="1185" w:type="pct"/>
          </w:tcPr>
          <w:p w14:paraId="7662A5D7" w14:textId="77777777" w:rsidR="00B80894" w:rsidRPr="00A649C2" w:rsidRDefault="00B80894">
            <w:pPr>
              <w:pStyle w:val="TabletextLeft"/>
            </w:pPr>
            <w:r>
              <w:t>Incorrect claiming</w:t>
            </w:r>
          </w:p>
        </w:tc>
        <w:tc>
          <w:tcPr>
            <w:tcW w:w="1186" w:type="pct"/>
          </w:tcPr>
          <w:p w14:paraId="418124F6" w14:textId="77777777" w:rsidR="00B80894" w:rsidRPr="00000ED8" w:rsidRDefault="00B80894">
            <w:pPr>
              <w:pStyle w:val="TabletextLeft"/>
            </w:pPr>
            <w:r w:rsidRPr="00000ED8">
              <w:t>Non-compliance</w:t>
            </w:r>
          </w:p>
        </w:tc>
        <w:tc>
          <w:tcPr>
            <w:tcW w:w="1186" w:type="pct"/>
          </w:tcPr>
          <w:p w14:paraId="1273D4F3" w14:textId="77777777" w:rsidR="00B80894" w:rsidRPr="00000ED8" w:rsidRDefault="00B80894">
            <w:pPr>
              <w:pStyle w:val="TabletextLeft"/>
            </w:pPr>
            <w:r w:rsidRPr="00000ED8">
              <w:t>Fraud</w:t>
            </w:r>
          </w:p>
        </w:tc>
      </w:tr>
      <w:tr w:rsidR="00B80894" w14:paraId="33AB37AA" w14:textId="77777777" w:rsidTr="007B5522">
        <w:trPr>
          <w:trHeight w:val="240"/>
        </w:trPr>
        <w:tc>
          <w:tcPr>
            <w:tcW w:w="1443" w:type="pct"/>
          </w:tcPr>
          <w:p w14:paraId="75120045" w14:textId="77777777" w:rsidR="00B80894" w:rsidRPr="00000ED8" w:rsidRDefault="00B80894">
            <w:pPr>
              <w:pStyle w:val="TabletextLeft"/>
            </w:pPr>
            <w:r w:rsidRPr="00000ED8">
              <w:t>Incorrect claiming (intentional)</w:t>
            </w:r>
          </w:p>
        </w:tc>
        <w:tc>
          <w:tcPr>
            <w:tcW w:w="1185" w:type="pct"/>
          </w:tcPr>
          <w:p w14:paraId="4EA155FF" w14:textId="77777777" w:rsidR="00B80894" w:rsidRPr="00A649C2" w:rsidRDefault="00B80894">
            <w:pPr>
              <w:pStyle w:val="TabletextLeft"/>
            </w:pPr>
            <w:r>
              <w:t>Incorrect claiming</w:t>
            </w:r>
          </w:p>
        </w:tc>
        <w:tc>
          <w:tcPr>
            <w:tcW w:w="1186" w:type="pct"/>
          </w:tcPr>
          <w:p w14:paraId="1E6CF17A" w14:textId="77777777" w:rsidR="00B80894" w:rsidRDefault="00B80894">
            <w:pPr>
              <w:pStyle w:val="TabletextLeft"/>
            </w:pPr>
            <w:r>
              <w:t>Fraud</w:t>
            </w:r>
          </w:p>
        </w:tc>
        <w:tc>
          <w:tcPr>
            <w:tcW w:w="1186" w:type="pct"/>
          </w:tcPr>
          <w:p w14:paraId="5478A6FE" w14:textId="77777777" w:rsidR="00B80894" w:rsidRPr="00000ED8" w:rsidRDefault="00B80894">
            <w:pPr>
              <w:pStyle w:val="TabletextLeft"/>
            </w:pPr>
            <w:r w:rsidRPr="00000ED8">
              <w:t>Fraud</w:t>
            </w:r>
          </w:p>
        </w:tc>
      </w:tr>
      <w:tr w:rsidR="00B80894" w:rsidRPr="00124392" w14:paraId="3E64A26A" w14:textId="77777777" w:rsidTr="007B5522">
        <w:trPr>
          <w:trHeight w:val="21"/>
        </w:trPr>
        <w:tc>
          <w:tcPr>
            <w:tcW w:w="1443" w:type="pct"/>
          </w:tcPr>
          <w:p w14:paraId="4A8342FC" w14:textId="77777777" w:rsidR="00B80894" w:rsidRPr="00000ED8" w:rsidRDefault="00B80894">
            <w:pPr>
              <w:pStyle w:val="TabletextLeft"/>
            </w:pPr>
            <w:r w:rsidRPr="00000ED8">
              <w:t>Non-provision of services</w:t>
            </w:r>
          </w:p>
        </w:tc>
        <w:tc>
          <w:tcPr>
            <w:tcW w:w="1185" w:type="pct"/>
          </w:tcPr>
          <w:p w14:paraId="28AD894D" w14:textId="77777777" w:rsidR="00B80894" w:rsidRPr="00A649C2" w:rsidRDefault="00B80894">
            <w:pPr>
              <w:pStyle w:val="TabletextLeft"/>
            </w:pPr>
            <w:r>
              <w:t>Fraud</w:t>
            </w:r>
          </w:p>
        </w:tc>
        <w:tc>
          <w:tcPr>
            <w:tcW w:w="1186" w:type="pct"/>
          </w:tcPr>
          <w:p w14:paraId="24791AF4" w14:textId="77777777" w:rsidR="00B80894" w:rsidRPr="002620B7" w:rsidRDefault="00B80894">
            <w:pPr>
              <w:pStyle w:val="TabletextLeft"/>
            </w:pPr>
            <w:r>
              <w:t>Fraud</w:t>
            </w:r>
          </w:p>
        </w:tc>
        <w:tc>
          <w:tcPr>
            <w:tcW w:w="1186" w:type="pct"/>
          </w:tcPr>
          <w:p w14:paraId="550BBD29" w14:textId="77777777" w:rsidR="00B80894" w:rsidRPr="00124392" w:rsidRDefault="00B80894">
            <w:pPr>
              <w:pStyle w:val="TabletextLeft"/>
            </w:pPr>
            <w:r>
              <w:t>Fraud</w:t>
            </w:r>
          </w:p>
        </w:tc>
      </w:tr>
    </w:tbl>
    <w:p w14:paraId="35B79227" w14:textId="559B227A" w:rsidR="00B80894" w:rsidRPr="001D1C88" w:rsidRDefault="00B80894" w:rsidP="00B80894">
      <w:pPr>
        <w:pStyle w:val="Caption"/>
      </w:pPr>
      <w:r w:rsidRPr="001D1C88">
        <w:t>Source: Philip Review (</w:t>
      </w:r>
      <w:proofErr w:type="gramStart"/>
      <w:r w:rsidRPr="001D1C88">
        <w:t>2023)</w:t>
      </w:r>
      <w:r w:rsidR="006C6F6A">
        <w:t>*</w:t>
      </w:r>
      <w:proofErr w:type="gramEnd"/>
      <w:r w:rsidRPr="005113A7">
        <w:t xml:space="preserve"> Fraud against the Commonwealth is defined as </w:t>
      </w:r>
      <w:r w:rsidRPr="00BD3664">
        <w:rPr>
          <w:i/>
        </w:rPr>
        <w:t>‘dishonestly obtaining a benefit, or causing a loss, by deception or other means’</w:t>
      </w:r>
      <w:r w:rsidRPr="005113A7">
        <w:t xml:space="preserve">. The Commonwealth’s position is that fraud requires intent. It requires more than carelessness, accident, </w:t>
      </w:r>
      <w:proofErr w:type="gramStart"/>
      <w:r w:rsidRPr="005113A7">
        <w:t>mistake</w:t>
      </w:r>
      <w:proofErr w:type="gramEnd"/>
      <w:r w:rsidRPr="005113A7">
        <w:t xml:space="preserve"> or error. When intent cannot be shown, an incident may be non-compliance rather than fraud (Commonwealth Fraud Control Framework 2017</w:t>
      </w:r>
      <w:proofErr w:type="gramStart"/>
      <w:r w:rsidRPr="005113A7">
        <w:t>).</w:t>
      </w:r>
      <w:r w:rsidR="006C6F6A">
        <w:t>*</w:t>
      </w:r>
      <w:proofErr w:type="gramEnd"/>
      <w:r w:rsidR="006C6F6A">
        <w:t>*</w:t>
      </w:r>
      <w:r w:rsidRPr="005113A7">
        <w:t xml:space="preserve"> In consultations it was noted that there are a number of different definitions of ‘fraud’ held by external stakeholders. It appears, noting her model has not been received or reviewed, that this broad definition </w:t>
      </w:r>
      <w:r w:rsidR="00162B88">
        <w:t>has been adopted</w:t>
      </w:r>
      <w:r w:rsidR="002B093A">
        <w:t xml:space="preserve"> and</w:t>
      </w:r>
      <w:r w:rsidR="00162B88" w:rsidRPr="005113A7">
        <w:t xml:space="preserve"> </w:t>
      </w:r>
      <w:r w:rsidRPr="005113A7">
        <w:t xml:space="preserve">applied </w:t>
      </w:r>
      <w:r w:rsidR="002B093A">
        <w:t>by</w:t>
      </w:r>
      <w:r w:rsidR="002B093A" w:rsidRPr="005113A7">
        <w:t xml:space="preserve"> </w:t>
      </w:r>
      <w:r w:rsidRPr="005113A7">
        <w:t>Dr Faux.</w:t>
      </w:r>
      <w:r w:rsidRPr="50CF79C3">
        <w:rPr>
          <w:sz w:val="16"/>
          <w:szCs w:val="16"/>
        </w:rPr>
        <w:t xml:space="preserve"> </w:t>
      </w:r>
    </w:p>
    <w:p w14:paraId="5E6EAD3F" w14:textId="1DBE2D2C" w:rsidR="00B80894" w:rsidRDefault="00B80894" w:rsidP="00B80894">
      <w:r>
        <w:t>The definition of non-compliance is important from two perspectives. First, it i</w:t>
      </w:r>
      <w:r w:rsidR="005F7248">
        <w:t>nfluences</w:t>
      </w:r>
      <w:r>
        <w:t xml:space="preserve"> how we calculate the level of non-compliance and inefficiency inherent within a system. If more appropriately allocated, this ‘excess’ could be used to drive higher value outputs </w:t>
      </w:r>
      <w:r w:rsidR="00056337">
        <w:t>and outcomes</w:t>
      </w:r>
      <w:r>
        <w:t xml:space="preserve"> – either within healthcare or in the public service more broadly. Refer to Section </w:t>
      </w:r>
      <w:r w:rsidR="003622C5">
        <w:rPr>
          <w:highlight w:val="yellow"/>
        </w:rPr>
        <w:fldChar w:fldCharType="begin"/>
      </w:r>
      <w:r w:rsidR="003622C5">
        <w:instrText xml:space="preserve"> REF _Ref128656939 \r \h </w:instrText>
      </w:r>
      <w:r w:rsidR="003622C5">
        <w:rPr>
          <w:highlight w:val="yellow"/>
        </w:rPr>
      </w:r>
      <w:r w:rsidR="003622C5">
        <w:rPr>
          <w:highlight w:val="yellow"/>
        </w:rPr>
        <w:fldChar w:fldCharType="separate"/>
      </w:r>
      <w:r w:rsidR="005A1647">
        <w:t>2.9</w:t>
      </w:r>
      <w:r w:rsidR="003622C5">
        <w:rPr>
          <w:highlight w:val="yellow"/>
        </w:rPr>
        <w:fldChar w:fldCharType="end"/>
      </w:r>
      <w:r>
        <w:t xml:space="preserve"> </w:t>
      </w:r>
      <w:r w:rsidR="00587026">
        <w:t>for further detail</w:t>
      </w:r>
      <w:r>
        <w:t xml:space="preserve"> on valuing non-compliance. </w:t>
      </w:r>
    </w:p>
    <w:p w14:paraId="56F923E0" w14:textId="115083BA" w:rsidR="00B80894" w:rsidRDefault="00B80894" w:rsidP="00B80894">
      <w:r>
        <w:t xml:space="preserve">Second, the definition of non-compliance is also important to how stakeholders within the system behave. Take, for example, underbilling behaviour which is driven by a lack of understanding of the system (complexity) and fear of punishment (owing to lack of transparency in process). In time, the practitioner may begin to introduce or increase co-payments </w:t>
      </w:r>
      <w:r w:rsidR="0093149E">
        <w:t xml:space="preserve">to address their funding shortfall </w:t>
      </w:r>
      <w:r>
        <w:t xml:space="preserve">which </w:t>
      </w:r>
      <w:r w:rsidR="009C5674">
        <w:t xml:space="preserve">has </w:t>
      </w:r>
      <w:r>
        <w:t>implications for patient access. This behaviour drives cost-shifting within the system – from primary care to emergency care</w:t>
      </w:r>
      <w:r w:rsidR="009C578A">
        <w:t xml:space="preserve"> as a result of </w:t>
      </w:r>
      <w:r w:rsidR="00704B75">
        <w:t>delayed time to appropriate and effective care for individual conditions</w:t>
      </w:r>
      <w:r>
        <w:t xml:space="preserve">. Alternatively, the practitioner may begin to underservice their patients at the expense of their clinical outcomes. </w:t>
      </w:r>
    </w:p>
    <w:p w14:paraId="2EE227FC" w14:textId="274800F1" w:rsidR="00B80894" w:rsidRDefault="00E12699" w:rsidP="00B80894">
      <w:r>
        <w:lastRenderedPageBreak/>
        <w:fldChar w:fldCharType="begin"/>
      </w:r>
      <w:r>
        <w:instrText xml:space="preserve"> REF _Ref128657082 \r \h </w:instrText>
      </w:r>
      <w:r>
        <w:fldChar w:fldCharType="separate"/>
      </w:r>
      <w:r w:rsidR="005A1647">
        <w:t>Figure 2.1</w:t>
      </w:r>
      <w:r>
        <w:fldChar w:fldCharType="end"/>
      </w:r>
      <w:r w:rsidR="00B80894">
        <w:t xml:space="preserve"> provides an overview of the definitions employed by the </w:t>
      </w:r>
      <w:r w:rsidR="008373E2">
        <w:t>government</w:t>
      </w:r>
      <w:r w:rsidR="00B80894">
        <w:t xml:space="preserve"> in classifying subtypes of non-compliant behaviour. They are differentiated on the basis of provision and non-provision (whether a service is provided) and clinical appropriateness. </w:t>
      </w:r>
    </w:p>
    <w:p w14:paraId="3524BFB2" w14:textId="2B01B556" w:rsidR="00B80894" w:rsidRDefault="00B80894" w:rsidP="00940D39">
      <w:pPr>
        <w:pStyle w:val="CaptionFigure"/>
      </w:pPr>
      <w:bookmarkStart w:id="62" w:name="_Ref128657082"/>
      <w:bookmarkStart w:id="63" w:name="_Toc131418620"/>
      <w:r>
        <w:t>: Subtypes of non-compliant claiming under current definitions</w:t>
      </w:r>
      <w:bookmarkEnd w:id="62"/>
      <w:bookmarkEnd w:id="63"/>
    </w:p>
    <w:p w14:paraId="309BFE4A" w14:textId="43B07429" w:rsidR="00B80894" w:rsidRPr="00FD2168" w:rsidRDefault="001F7394" w:rsidP="008F226B">
      <w:pPr>
        <w:pStyle w:val="Caption"/>
      </w:pPr>
      <w:r w:rsidRPr="001F7394">
        <w:rPr>
          <w:noProof/>
        </w:rPr>
        <w:drawing>
          <wp:inline distT="0" distB="0" distL="0" distR="0" wp14:anchorId="30D16B8A" wp14:editId="17F207AD">
            <wp:extent cx="6645910" cy="1193800"/>
            <wp:effectExtent l="0" t="0" r="2540" b="6350"/>
            <wp:docPr id="6" name="Picture 6" descr="Figure 2.1 is a graphic showing subtypes of non-compliant claiming against whether the service is clinically appropriate (incorrect claiming) or inappropriate (inappropriate practice) and whether the service was provided or not (fr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1 is a graphic showing subtypes of non-compliant claiming against whether the service is clinically appropriate (incorrect claiming) or inappropriate (inappropriate practice) and whether the service was provided or not (frau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1193800"/>
                    </a:xfrm>
                    <a:prstGeom prst="rect">
                      <a:avLst/>
                    </a:prstGeom>
                    <a:noFill/>
                    <a:ln>
                      <a:noFill/>
                    </a:ln>
                  </pic:spPr>
                </pic:pic>
              </a:graphicData>
            </a:graphic>
          </wp:inline>
        </w:drawing>
      </w:r>
      <w:r w:rsidR="00B80894" w:rsidRPr="008F226B">
        <w:t>Source: Philip Review (2023)</w:t>
      </w:r>
    </w:p>
    <w:p w14:paraId="54FA25B8" w14:textId="7864BE14" w:rsidR="00B80894" w:rsidRDefault="00783D65" w:rsidP="00B80894">
      <w:r>
        <w:t>C</w:t>
      </w:r>
      <w:r w:rsidR="00B80894">
        <w:t xml:space="preserve">hallenges arise with the </w:t>
      </w:r>
      <w:r w:rsidR="008373E2">
        <w:t>government</w:t>
      </w:r>
      <w:r w:rsidR="00B80894">
        <w:t>’s conceptualisation and treatment of compliance and integrity</w:t>
      </w:r>
      <w:r w:rsidR="00F35F28">
        <w:t xml:space="preserve"> in Medicare</w:t>
      </w:r>
      <w:r w:rsidR="00B80894">
        <w:t xml:space="preserve">. First, the distinction between non-compliance and compliance does vary to some degree within the </w:t>
      </w:r>
      <w:r w:rsidR="005452EF">
        <w:t>S</w:t>
      </w:r>
      <w:r w:rsidR="00B80894">
        <w:t>cheme itself. Strictly speaking</w:t>
      </w:r>
      <w:r w:rsidR="00C97A32">
        <w:t>,</w:t>
      </w:r>
      <w:r w:rsidR="00B80894">
        <w:t xml:space="preserve"> the boundary of ‘non-compliance’ is the distinction between legal and illegal application of the Scheme, </w:t>
      </w:r>
      <w:r w:rsidR="00581FDD">
        <w:t xml:space="preserve">noting that </w:t>
      </w:r>
      <w:r w:rsidR="00B80894">
        <w:t xml:space="preserve">some treatment pathways for suspected non-compliant behaviours (the PRP and the PSR) determine ‘inappropriate practice’ based on a clinical rather than a legal judgement. </w:t>
      </w:r>
    </w:p>
    <w:p w14:paraId="1B85DB96" w14:textId="0850BAB5" w:rsidR="00B80894" w:rsidRDefault="00B80894" w:rsidP="00B80894">
      <w:r>
        <w:t>This interaction between legal and clinical judgement has</w:t>
      </w:r>
      <w:r w:rsidR="00581FDD">
        <w:t>,</w:t>
      </w:r>
      <w:r>
        <w:t xml:space="preserve"> at times</w:t>
      </w:r>
      <w:r w:rsidR="00581FDD">
        <w:t>,</w:t>
      </w:r>
      <w:r>
        <w:t xml:space="preserve"> driven uncertainty for both providers and operators of the Scheme. For example, operators of the MBS support email service ‘AskMBS’ report that it is difficult to provide definitive advice to providers noting that even if the advice constitutes a legally accurate definition of billing behaviour it may be deemed </w:t>
      </w:r>
      <w:r w:rsidRPr="00191FBA">
        <w:rPr>
          <w:i/>
          <w:iCs/>
        </w:rPr>
        <w:t>clinically</w:t>
      </w:r>
      <w:r>
        <w:rPr>
          <w:i/>
          <w:iCs/>
        </w:rPr>
        <w:t xml:space="preserve"> </w:t>
      </w:r>
      <w:r>
        <w:t>inappropriate if brought to the attention of the PRP</w:t>
      </w:r>
      <w:r w:rsidR="00581FDD">
        <w:t xml:space="preserve"> and/or</w:t>
      </w:r>
      <w:r w:rsidR="00A34BCC">
        <w:t xml:space="preserve"> the</w:t>
      </w:r>
      <w:r w:rsidR="00477237">
        <w:t xml:space="preserve"> </w:t>
      </w:r>
      <w:r>
        <w:t xml:space="preserve">PSR. </w:t>
      </w:r>
    </w:p>
    <w:p w14:paraId="7945D7DD" w14:textId="77777777" w:rsidR="00B80894" w:rsidRDefault="00B80894" w:rsidP="00B80894">
      <w:r>
        <w:t>One provider came under review of the PSR, having rendered several MBS items in excess of 98% of their peers.</w:t>
      </w:r>
      <w:r>
        <w:rPr>
          <w:rStyle w:val="FootnoteReference"/>
        </w:rPr>
        <w:footnoteReference w:id="2"/>
      </w:r>
      <w:r>
        <w:t xml:space="preserve"> The PSR Director’s review found persistent concerns that: </w:t>
      </w:r>
    </w:p>
    <w:p w14:paraId="07773957" w14:textId="2B01B556" w:rsidR="00B80894" w:rsidRDefault="00B80894" w:rsidP="00940D39">
      <w:pPr>
        <w:pStyle w:val="ListBullet"/>
        <w:ind w:left="284" w:hanging="284"/>
      </w:pPr>
      <w:r w:rsidRPr="001A1124">
        <w:t xml:space="preserve">MBS requirements were not always met </w:t>
      </w:r>
      <w:r>
        <w:t>including that</w:t>
      </w:r>
      <w:r w:rsidRPr="001A1124">
        <w:t xml:space="preserve"> there was not always a clinical indication for health assessment services</w:t>
      </w:r>
      <w:r>
        <w:t xml:space="preserve">. This is an example of </w:t>
      </w:r>
      <w:r w:rsidRPr="00191FBA">
        <w:rPr>
          <w:i/>
        </w:rPr>
        <w:t>overservicing</w:t>
      </w:r>
      <w:r>
        <w:t>, where the service was provided to the patient and claimed correctly, however, deemed inappropriate from a clinical perspective.</w:t>
      </w:r>
    </w:p>
    <w:p w14:paraId="62CFB8D4" w14:textId="77777777" w:rsidR="007B5522" w:rsidRDefault="00B80894" w:rsidP="00940D39">
      <w:pPr>
        <w:pStyle w:val="ListBullet"/>
        <w:ind w:left="284" w:hanging="284"/>
      </w:pPr>
      <w:r w:rsidRPr="00C47C08">
        <w:t xml:space="preserve">Chronic </w:t>
      </w:r>
      <w:r w:rsidR="0032087B">
        <w:t>d</w:t>
      </w:r>
      <w:r w:rsidRPr="00C47C08">
        <w:t xml:space="preserve">isease </w:t>
      </w:r>
      <w:r w:rsidR="0032087B">
        <w:t>m</w:t>
      </w:r>
      <w:r w:rsidRPr="00C47C08">
        <w:t xml:space="preserve">anagement service documents did not reflect </w:t>
      </w:r>
      <w:r>
        <w:t>a</w:t>
      </w:r>
      <w:r w:rsidR="00C15F0A">
        <w:t xml:space="preserve"> comprehensive and thorough</w:t>
      </w:r>
      <w:r w:rsidRPr="00C47C08">
        <w:t xml:space="preserve"> assessment of the patient </w:t>
      </w:r>
      <w:r>
        <w:t>to</w:t>
      </w:r>
      <w:r w:rsidRPr="00C47C08">
        <w:t xml:space="preserve"> determine their healthcare needs</w:t>
      </w:r>
      <w:r>
        <w:t xml:space="preserve">. </w:t>
      </w:r>
      <w:r w:rsidR="00A3380E">
        <w:t xml:space="preserve">Rather, a templated plan was prepared by the health professional that was either incomplete or insufficiently detailed in its observations and findings. </w:t>
      </w:r>
      <w:r>
        <w:t xml:space="preserve">This is an example of </w:t>
      </w:r>
      <w:r w:rsidRPr="00191FBA">
        <w:rPr>
          <w:i/>
          <w:iCs/>
        </w:rPr>
        <w:t>underservicing</w:t>
      </w:r>
      <w:r>
        <w:t xml:space="preserve">, where the </w:t>
      </w:r>
      <w:r w:rsidR="0032087B">
        <w:t>c</w:t>
      </w:r>
      <w:r>
        <w:t xml:space="preserve">hronic </w:t>
      </w:r>
      <w:r w:rsidR="0032087B">
        <w:t>d</w:t>
      </w:r>
      <w:r>
        <w:t xml:space="preserve">isease </w:t>
      </w:r>
      <w:r w:rsidR="0032087B">
        <w:t>m</w:t>
      </w:r>
      <w:r>
        <w:t xml:space="preserve">anagement </w:t>
      </w:r>
      <w:r w:rsidR="0032087B">
        <w:t>p</w:t>
      </w:r>
      <w:r>
        <w:t xml:space="preserve">lan was provided and claimed for, but clinically inadequate as it was not sufficiently individualised for the patient. </w:t>
      </w:r>
    </w:p>
    <w:p w14:paraId="461FCC87" w14:textId="2DE9BC60" w:rsidR="00B80894" w:rsidRDefault="00B80894" w:rsidP="00B80894">
      <w:r>
        <w:t xml:space="preserve">There are also a number of non-compliant behaviour types – including underbilling (a service is provided but the provider does not claim reimbursement) – which are driven mainly by the complexity of the system and the challenges which providers face in interpreting it. The consequences of this drive poor outcomes for both providers and patients. Indeed, even behaviour which is entirely appropriate and compliant is inefficient given the effort it takes to apply the system accurately. </w:t>
      </w:r>
    </w:p>
    <w:p w14:paraId="4C3A0E5A" w14:textId="0E746737" w:rsidR="004D051F" w:rsidRPr="007B5522" w:rsidRDefault="004D051F" w:rsidP="004D051F">
      <w:pPr>
        <w:pStyle w:val="BodyText"/>
      </w:pPr>
      <w:r w:rsidRPr="004D051F">
        <w:t xml:space="preserve">Finding 1: There is a need to clearly define fraud, </w:t>
      </w:r>
      <w:proofErr w:type="gramStart"/>
      <w:r w:rsidRPr="004D051F">
        <w:t>non-compliance</w:t>
      </w:r>
      <w:proofErr w:type="gramEnd"/>
      <w:r w:rsidRPr="004D051F">
        <w:t xml:space="preserve"> and compliant claiming within the context of Medicare and have this supported by objective and measurable data captured within the system.</w:t>
      </w:r>
    </w:p>
    <w:p w14:paraId="1DA2D673" w14:textId="1D1252CA" w:rsidR="00240542" w:rsidRDefault="00CF2097" w:rsidP="00940D39">
      <w:pPr>
        <w:pStyle w:val="Heading2"/>
      </w:pPr>
      <w:bookmarkStart w:id="64" w:name="_Toc128669061"/>
      <w:bookmarkStart w:id="65" w:name="_Toc128905517"/>
      <w:bookmarkStart w:id="66" w:name="_Toc128907010"/>
      <w:bookmarkStart w:id="67" w:name="_Toc128909120"/>
      <w:r>
        <w:t xml:space="preserve">Vulnerabilities within the 14 Medicare </w:t>
      </w:r>
      <w:r w:rsidR="00AD1936">
        <w:t xml:space="preserve">claiming </w:t>
      </w:r>
      <w:r>
        <w:t>channels</w:t>
      </w:r>
      <w:bookmarkEnd w:id="64"/>
      <w:bookmarkEnd w:id="65"/>
      <w:bookmarkEnd w:id="66"/>
      <w:bookmarkEnd w:id="67"/>
    </w:p>
    <w:p w14:paraId="0FCE3BB4" w14:textId="6173F027" w:rsidR="00CF2097" w:rsidRDefault="00CF2097" w:rsidP="00240542">
      <w:r>
        <w:t xml:space="preserve">The number </w:t>
      </w:r>
      <w:r w:rsidR="008774FF">
        <w:t xml:space="preserve">and model of </w:t>
      </w:r>
      <w:r w:rsidR="005369B8">
        <w:t>claiming channel</w:t>
      </w:r>
      <w:r w:rsidR="008774FF">
        <w:t>s has evolved since the inception of Medicare in 1984</w:t>
      </w:r>
      <w:r w:rsidR="00F93ED3">
        <w:t xml:space="preserve">, whereby there are now </w:t>
      </w:r>
      <w:r w:rsidR="008C1DC2">
        <w:t>14</w:t>
      </w:r>
      <w:r w:rsidR="000C5DBD">
        <w:t xml:space="preserve"> </w:t>
      </w:r>
      <w:r w:rsidR="005369B8">
        <w:t>claiming channel</w:t>
      </w:r>
      <w:r w:rsidR="000C5DBD">
        <w:t>s</w:t>
      </w:r>
      <w:r w:rsidR="0033753D">
        <w:t xml:space="preserve"> that support the </w:t>
      </w:r>
      <w:r w:rsidR="00536A6A">
        <w:t xml:space="preserve">rebate of services across the healthcare continuum. </w:t>
      </w:r>
      <w:r w:rsidR="0003386A">
        <w:t xml:space="preserve">Seven digital channels process approximately 99.7% of </w:t>
      </w:r>
      <w:r w:rsidR="00AA3F02">
        <w:t>electronically submitted</w:t>
      </w:r>
      <w:r w:rsidR="0003386A">
        <w:t xml:space="preserve"> </w:t>
      </w:r>
      <w:r w:rsidR="002E0438">
        <w:t xml:space="preserve">patient </w:t>
      </w:r>
      <w:r w:rsidR="00CC7D7D">
        <w:t xml:space="preserve">billed </w:t>
      </w:r>
      <w:r w:rsidR="0003386A">
        <w:t>claim</w:t>
      </w:r>
      <w:r w:rsidR="00821420">
        <w:t xml:space="preserve">s </w:t>
      </w:r>
      <w:r w:rsidR="0003386A">
        <w:t>volumes, while</w:t>
      </w:r>
      <w:r w:rsidR="00536A6A">
        <w:t xml:space="preserve"> seven </w:t>
      </w:r>
      <w:r w:rsidR="00461365">
        <w:t>manual</w:t>
      </w:r>
      <w:r w:rsidR="00536A6A">
        <w:t xml:space="preserve"> </w:t>
      </w:r>
      <w:r w:rsidR="005369B8">
        <w:t>claiming channel</w:t>
      </w:r>
      <w:r w:rsidR="00536A6A">
        <w:t>s</w:t>
      </w:r>
      <w:r w:rsidR="0000133F">
        <w:t xml:space="preserve"> </w:t>
      </w:r>
      <w:r w:rsidR="0003386A">
        <w:t xml:space="preserve">account </w:t>
      </w:r>
      <w:r w:rsidR="0000133F">
        <w:t xml:space="preserve">for </w:t>
      </w:r>
      <w:r w:rsidR="000A7F9E">
        <w:t xml:space="preserve">the </w:t>
      </w:r>
      <w:r w:rsidR="00EB7209">
        <w:t xml:space="preserve">approximately </w:t>
      </w:r>
      <w:r w:rsidR="0000133F">
        <w:t xml:space="preserve">0.3% </w:t>
      </w:r>
      <w:r w:rsidR="000A7F9E">
        <w:t>remaining</w:t>
      </w:r>
      <w:r w:rsidR="00D06009">
        <w:t xml:space="preserve"> volume</w:t>
      </w:r>
      <w:r w:rsidR="00381C0E">
        <w:t>.</w:t>
      </w:r>
      <w:r w:rsidR="002B5F7C">
        <w:t xml:space="preserve"> The transition </w:t>
      </w:r>
      <w:r w:rsidR="00252476">
        <w:t xml:space="preserve">of MBS claims and billings flowing through the digitised </w:t>
      </w:r>
      <w:r w:rsidR="005369B8">
        <w:t>claiming channel</w:t>
      </w:r>
      <w:r w:rsidR="00252476">
        <w:t>s has enabled more efficient and timely payments</w:t>
      </w:r>
      <w:r w:rsidR="004353C0">
        <w:t>. However, in some cases these channels have introduced new vulnerabilit</w:t>
      </w:r>
      <w:r w:rsidR="009A3434">
        <w:t xml:space="preserve">ies </w:t>
      </w:r>
      <w:r w:rsidR="00805087">
        <w:t>to the integrity</w:t>
      </w:r>
      <w:r w:rsidR="007C0517">
        <w:t xml:space="preserve"> of Medicare that were less material and prevalent under manual claiming channels.</w:t>
      </w:r>
    </w:p>
    <w:p w14:paraId="499BDA62" w14:textId="7E5C25EA" w:rsidR="00887B65" w:rsidRDefault="00887B65" w:rsidP="00887B65">
      <w:r>
        <w:lastRenderedPageBreak/>
        <w:t xml:space="preserve">The </w:t>
      </w:r>
      <w:r w:rsidR="00187F9C">
        <w:t>14</w:t>
      </w:r>
      <w:r>
        <w:t xml:space="preserve"> different MBS claiming channels each possess their own unique processes and steps that claimants (patients and healthcare providers) must navigate accordingly (</w:t>
      </w:r>
      <w:r w:rsidR="00CE2ABB">
        <w:rPr>
          <w:shd w:val="clear" w:color="auto" w:fill="FFFF00"/>
        </w:rPr>
        <w:fldChar w:fldCharType="begin"/>
      </w:r>
      <w:r w:rsidR="00CE2ABB">
        <w:instrText xml:space="preserve"> REF _Ref128657500 \r \h </w:instrText>
      </w:r>
      <w:r w:rsidR="00CE2ABB">
        <w:rPr>
          <w:shd w:val="clear" w:color="auto" w:fill="FFFF00"/>
        </w:rPr>
      </w:r>
      <w:r w:rsidR="00CE2ABB">
        <w:rPr>
          <w:shd w:val="clear" w:color="auto" w:fill="FFFF00"/>
        </w:rPr>
        <w:fldChar w:fldCharType="separate"/>
      </w:r>
      <w:r w:rsidR="005A1647">
        <w:t>Appendix C</w:t>
      </w:r>
      <w:r w:rsidR="00CE2ABB">
        <w:rPr>
          <w:shd w:val="clear" w:color="auto" w:fill="FFFF00"/>
        </w:rPr>
        <w:fldChar w:fldCharType="end"/>
      </w:r>
      <w:r>
        <w:t xml:space="preserve"> details all claiming pathways). A summary of claiming channels and </w:t>
      </w:r>
      <w:r w:rsidR="0032087B">
        <w:t>their respective claim volumes and advantages</w:t>
      </w:r>
      <w:r>
        <w:t xml:space="preserve"> is provided in </w:t>
      </w:r>
      <w:r w:rsidR="00617803">
        <w:fldChar w:fldCharType="begin"/>
      </w:r>
      <w:r w:rsidR="00617803">
        <w:instrText xml:space="preserve"> REF _Ref128397676 \r \h </w:instrText>
      </w:r>
      <w:r w:rsidR="00617803">
        <w:fldChar w:fldCharType="separate"/>
      </w:r>
      <w:r w:rsidR="005A1647">
        <w:t>Table 2.3</w:t>
      </w:r>
      <w:r w:rsidR="00617803">
        <w:fldChar w:fldCharType="end"/>
      </w:r>
      <w:r>
        <w:t xml:space="preserve">. </w:t>
      </w:r>
    </w:p>
    <w:p w14:paraId="4EC998BB" w14:textId="2B01B556" w:rsidR="00140D36" w:rsidRDefault="00140D36" w:rsidP="00940D39">
      <w:pPr>
        <w:pStyle w:val="Heading3"/>
      </w:pPr>
      <w:bookmarkStart w:id="68" w:name="_Toc128669062"/>
      <w:bookmarkStart w:id="69" w:name="_Toc128905518"/>
      <w:bookmarkStart w:id="70" w:name="_Toc128907011"/>
      <w:bookmarkStart w:id="71" w:name="_Toc128909121"/>
      <w:r>
        <w:t>Identified vulnerabilities</w:t>
      </w:r>
      <w:bookmarkEnd w:id="68"/>
      <w:bookmarkEnd w:id="69"/>
      <w:bookmarkEnd w:id="70"/>
      <w:bookmarkEnd w:id="71"/>
    </w:p>
    <w:p w14:paraId="7B15C687" w14:textId="4C6C6D1B" w:rsidR="00887B65" w:rsidRDefault="00887B65" w:rsidP="00887B65">
      <w:r>
        <w:t>Almost all current claims (</w:t>
      </w:r>
      <w:r w:rsidRPr="00931768">
        <w:t>99.7%</w:t>
      </w:r>
      <w:r w:rsidRPr="008A07E2">
        <w:t xml:space="preserve"> according to the 2021</w:t>
      </w:r>
      <w:r w:rsidR="00CA6D48">
        <w:t>–</w:t>
      </w:r>
      <w:r w:rsidRPr="008A07E2">
        <w:t>22 volume statistics provided by Services Australia</w:t>
      </w:r>
      <w:r w:rsidRPr="008A07E2">
        <w:rPr>
          <w:rStyle w:val="FootnoteReference"/>
        </w:rPr>
        <w:footnoteReference w:id="3"/>
      </w:r>
      <w:r w:rsidRPr="00931768">
        <w:t>)</w:t>
      </w:r>
      <w:r>
        <w:t xml:space="preserve"> are </w:t>
      </w:r>
      <w:r w:rsidR="00B576B8">
        <w:t xml:space="preserve">lodged </w:t>
      </w:r>
      <w:r>
        <w:t xml:space="preserve">via a digital </w:t>
      </w:r>
      <w:r w:rsidR="005369B8">
        <w:t>claiming channel</w:t>
      </w:r>
      <w:r>
        <w:t>. This explicitly supports the policy goals of equity of access to healthcare services as it minimises any potential financial burden that may be introduced due to a lag in payment of rebates</w:t>
      </w:r>
      <w:r w:rsidR="00F721F7">
        <w:t>, which are</w:t>
      </w:r>
      <w:r>
        <w:t xml:space="preserve"> provided to patients as soon as the </w:t>
      </w:r>
      <w:r w:rsidR="00951286">
        <w:t>existing verification steps and checks are</w:t>
      </w:r>
      <w:r>
        <w:t xml:space="preserve"> completed.</w:t>
      </w:r>
    </w:p>
    <w:p w14:paraId="0D6E1C96" w14:textId="2B01B556" w:rsidR="00887B65" w:rsidRDefault="00887B65" w:rsidP="00887B65">
      <w:r>
        <w:t>Most notably, the digitisation of claiming has led to:</w:t>
      </w:r>
    </w:p>
    <w:p w14:paraId="1CBB7189" w14:textId="1C1494D1" w:rsidR="00974D01" w:rsidRDefault="00974D01" w:rsidP="00DC7291">
      <w:pPr>
        <w:pStyle w:val="ListBullet"/>
        <w:numPr>
          <w:ilvl w:val="0"/>
          <w:numId w:val="22"/>
        </w:numPr>
      </w:pPr>
      <w:r>
        <w:t>An increase in the convenience afforded to providers – reducing the time taken to submit</w:t>
      </w:r>
      <w:r w:rsidR="00A33FFA">
        <w:t xml:space="preserve"> bulk-billed</w:t>
      </w:r>
      <w:r>
        <w:t xml:space="preserve"> claims manually and receive the related payment.</w:t>
      </w:r>
    </w:p>
    <w:p w14:paraId="544B5D90" w14:textId="5129ABC3" w:rsidR="00887B65" w:rsidRDefault="00887B65" w:rsidP="00940D39">
      <w:pPr>
        <w:pStyle w:val="ListBullet"/>
      </w:pPr>
      <w:r>
        <w:t xml:space="preserve">An increase in service access – allowing greater equity for those patients who may </w:t>
      </w:r>
      <w:r w:rsidR="009A4486">
        <w:t xml:space="preserve">have </w:t>
      </w:r>
      <w:r>
        <w:t xml:space="preserve">found the manual claiming pathways inconvenient and </w:t>
      </w:r>
      <w:r w:rsidR="003A729D">
        <w:t>prevented</w:t>
      </w:r>
      <w:r w:rsidR="00D16245">
        <w:t xml:space="preserve"> them from</w:t>
      </w:r>
      <w:r>
        <w:t xml:space="preserve"> claiming for their services or being less inclined to visit a healthcare provider in order to avoid dealing with any challenges (</w:t>
      </w:r>
      <w:proofErr w:type="gramStart"/>
      <w:r w:rsidR="00904BFD">
        <w:t>e.g.</w:t>
      </w:r>
      <w:proofErr w:type="gramEnd"/>
      <w:r>
        <w:t xml:space="preserve"> paperwork required to mail or fax) associated with manual claiming.</w:t>
      </w:r>
    </w:p>
    <w:p w14:paraId="51E8FFAE" w14:textId="77777777" w:rsidR="007B5522" w:rsidRDefault="00887B65" w:rsidP="00940D39">
      <w:pPr>
        <w:pStyle w:val="ListBullet"/>
      </w:pPr>
      <w:r>
        <w:t xml:space="preserve">An increase in speed of payment reimbursement – several digitised </w:t>
      </w:r>
      <w:r w:rsidR="005369B8">
        <w:t>claiming channel</w:t>
      </w:r>
      <w:r>
        <w:t>s offer payments almost immediately, with a one business day turnaround being common</w:t>
      </w:r>
      <w:r w:rsidR="00D0723C">
        <w:t xml:space="preserve"> for patient billed claims</w:t>
      </w:r>
      <w:r>
        <w:t>. Patients who may have previously waited weeks, might have delayed their visit to a healthcare provider due to the burden of cost. These patients now bear that cost for only a short time.</w:t>
      </w:r>
    </w:p>
    <w:p w14:paraId="2F5631AD" w14:textId="55F277C1" w:rsidR="00FE795B" w:rsidRDefault="00887B65" w:rsidP="00887B65">
      <w:r>
        <w:t>The focus on rapid claim processing and payment has delivered a responsive MBS system, with claim channels created for specific care settings (</w:t>
      </w:r>
      <w:proofErr w:type="gramStart"/>
      <w:r w:rsidR="00904BFD">
        <w:t>e.g.</w:t>
      </w:r>
      <w:proofErr w:type="gramEnd"/>
      <w:r>
        <w:t xml:space="preserve"> ECLIPSE and </w:t>
      </w:r>
      <w:r w:rsidR="0049399C" w:rsidRPr="0049399C">
        <w:t>Electronic Data Interchange</w:t>
      </w:r>
      <w:r w:rsidR="0049399C">
        <w:t xml:space="preserve"> [</w:t>
      </w:r>
      <w:r>
        <w:t>EDI</w:t>
      </w:r>
      <w:r w:rsidR="0049399C">
        <w:t>]</w:t>
      </w:r>
      <w:r>
        <w:t xml:space="preserve"> channels for hospital claims processing). However, changes to workflows, and in some cases reduced active compliance checks, have introduced new vulnerabilities that are contributing to non-compliant claiming or have exacerbated those that may have been less significant under manual claiming channels.</w:t>
      </w:r>
    </w:p>
    <w:p w14:paraId="46D5BC1E" w14:textId="0BD830A9" w:rsidR="008C2C15" w:rsidRDefault="00E97644" w:rsidP="00F85D1B">
      <w:r>
        <w:t xml:space="preserve">An </w:t>
      </w:r>
      <w:r w:rsidR="001749A0">
        <w:t>unintended</w:t>
      </w:r>
      <w:r w:rsidR="00287DFD">
        <w:t xml:space="preserve"> consequence of electronic billing has been to </w:t>
      </w:r>
      <w:r w:rsidR="001749A0">
        <w:t>widen the gulf</w:t>
      </w:r>
      <w:r w:rsidR="00D22A1A">
        <w:t xml:space="preserve"> between patient</w:t>
      </w:r>
      <w:r w:rsidR="00076F0E">
        <w:t xml:space="preserve"> participation </w:t>
      </w:r>
      <w:r w:rsidR="001A52D8">
        <w:t xml:space="preserve">in verification of treatment received and </w:t>
      </w:r>
      <w:r w:rsidR="005A6C3A">
        <w:t xml:space="preserve">the </w:t>
      </w:r>
      <w:r w:rsidR="00B0780A">
        <w:t>serv</w:t>
      </w:r>
      <w:r w:rsidR="00535B56">
        <w:t>ice provider billing accordingly.</w:t>
      </w:r>
      <w:r w:rsidR="008A3AD5">
        <w:t xml:space="preserve"> This has further entrenched the asymmetry of information which characterises the health system</w:t>
      </w:r>
      <w:r w:rsidR="00544A20">
        <w:t xml:space="preserve"> – </w:t>
      </w:r>
      <w:r w:rsidR="00581022">
        <w:t xml:space="preserve">with the patient now </w:t>
      </w:r>
      <w:r w:rsidR="0093217F">
        <w:t xml:space="preserve">further </w:t>
      </w:r>
      <w:r w:rsidR="00136437">
        <w:t xml:space="preserve">removed from the </w:t>
      </w:r>
      <w:r w:rsidR="00C151B0">
        <w:t xml:space="preserve">understanding of the </w:t>
      </w:r>
      <w:r w:rsidR="00D91A1D">
        <w:t>payment</w:t>
      </w:r>
      <w:r w:rsidR="00C151B0">
        <w:t>s provided for services rendered.</w:t>
      </w:r>
      <w:r w:rsidR="005368A2">
        <w:t xml:space="preserve"> Noting that patients can view their Medicare claims history</w:t>
      </w:r>
      <w:r w:rsidR="00417F9A">
        <w:t xml:space="preserve"> through their Medicare online Account</w:t>
      </w:r>
      <w:r w:rsidR="0004470D">
        <w:t xml:space="preserve"> linked to their MyGov account. Customers can also view Medicare information in their My Health Record. However, they can only view some </w:t>
      </w:r>
      <w:proofErr w:type="gramStart"/>
      <w:r w:rsidR="0004470D">
        <w:t>information</w:t>
      </w:r>
      <w:proofErr w:type="gramEnd"/>
      <w:r w:rsidR="0004470D">
        <w:t xml:space="preserve"> and this is available only post-payment rather than prompting </w:t>
      </w:r>
      <w:r w:rsidR="00A033DA">
        <w:t>prior to payment</w:t>
      </w:r>
      <w:r w:rsidR="008C2C15">
        <w:t>.</w:t>
      </w:r>
    </w:p>
    <w:p w14:paraId="10055808" w14:textId="3260C3C8" w:rsidR="00FE795B" w:rsidRDefault="008C2C15" w:rsidP="00F85D1B">
      <w:pPr>
        <w:sectPr w:rsidR="00FE795B" w:rsidSect="007B5522">
          <w:footerReference w:type="default" r:id="rId20"/>
          <w:pgSz w:w="11906" w:h="16838" w:code="9"/>
          <w:pgMar w:top="1135" w:right="720" w:bottom="720" w:left="720" w:header="680" w:footer="425" w:gutter="0"/>
          <w:cols w:space="284"/>
          <w:docGrid w:linePitch="360"/>
        </w:sectPr>
      </w:pPr>
      <w:r>
        <w:t xml:space="preserve">Inherent with all claiming channels </w:t>
      </w:r>
      <w:r w:rsidR="00054D4B">
        <w:t>is the limited opportunity to check for clinical appropriateness of the services performe</w:t>
      </w:r>
      <w:r w:rsidR="00320322">
        <w:t xml:space="preserve">d prior to payment. It is acknowledged that </w:t>
      </w:r>
      <w:r w:rsidR="003330AD">
        <w:t xml:space="preserve">it is challenging to assess clinical appropriateness or excess claims on the basis of submitted data alone as multiple variables and </w:t>
      </w:r>
      <w:r w:rsidR="00E37E28">
        <w:t>patient factors would need to be considered.</w:t>
      </w:r>
    </w:p>
    <w:p w14:paraId="3D926ADD" w14:textId="2E0E61F6" w:rsidR="00F85D1B" w:rsidRDefault="00F85D1B" w:rsidP="00940D39">
      <w:pPr>
        <w:pStyle w:val="CaptionTable"/>
        <w:ind w:left="0"/>
      </w:pPr>
      <w:bookmarkStart w:id="72" w:name="_Toc131418573"/>
      <w:bookmarkStart w:id="73" w:name="_Ref128397676"/>
      <w:r>
        <w:lastRenderedPageBreak/>
        <w:t>: Claiming channels by volume and their associated advantages</w:t>
      </w:r>
      <w:bookmarkEnd w:id="72"/>
      <w:r>
        <w:t xml:space="preserve"> </w:t>
      </w:r>
      <w:bookmarkEnd w:id="73"/>
    </w:p>
    <w:tbl>
      <w:tblPr>
        <w:tblStyle w:val="Deloittetable"/>
        <w:tblW w:w="4741" w:type="pct"/>
        <w:tblLook w:val="04A0" w:firstRow="1" w:lastRow="0" w:firstColumn="1" w:lastColumn="0" w:noHBand="0" w:noVBand="1"/>
      </w:tblPr>
      <w:tblGrid>
        <w:gridCol w:w="1135"/>
        <w:gridCol w:w="2145"/>
        <w:gridCol w:w="11320"/>
      </w:tblGrid>
      <w:tr w:rsidR="007A2438" w:rsidRPr="00BF5CDB" w14:paraId="436B023E" w14:textId="77777777" w:rsidTr="00E26A4E">
        <w:trPr>
          <w:cnfStyle w:val="100000000000" w:firstRow="1" w:lastRow="0" w:firstColumn="0" w:lastColumn="0" w:oddVBand="0" w:evenVBand="0" w:oddHBand="0" w:evenHBand="0" w:firstRowFirstColumn="0" w:firstRowLastColumn="0" w:lastRowFirstColumn="0" w:lastRowLastColumn="0"/>
          <w:trHeight w:val="20"/>
          <w:tblHeader/>
        </w:trPr>
        <w:tc>
          <w:tcPr>
            <w:tcW w:w="374" w:type="pct"/>
            <w:tcBorders>
              <w:top w:val="single" w:sz="24" w:space="0" w:color="005B89"/>
            </w:tcBorders>
          </w:tcPr>
          <w:p w14:paraId="351A654C" w14:textId="77777777" w:rsidR="007A2438" w:rsidRPr="004E7AE1" w:rsidRDefault="007A2438" w:rsidP="004E7AE1">
            <w:r w:rsidRPr="004E7AE1">
              <w:t>Channel</w:t>
            </w:r>
          </w:p>
        </w:tc>
        <w:tc>
          <w:tcPr>
            <w:tcW w:w="742" w:type="pct"/>
            <w:tcBorders>
              <w:top w:val="single" w:sz="24" w:space="0" w:color="005B89"/>
            </w:tcBorders>
          </w:tcPr>
          <w:p w14:paraId="50ACD340" w14:textId="3B1D25A1" w:rsidR="007A2438" w:rsidRPr="004E7AE1" w:rsidRDefault="007A2438" w:rsidP="004E7AE1">
            <w:r w:rsidRPr="004E7AE1">
              <w:t>Claim volume* (% of total claims)</w:t>
            </w:r>
          </w:p>
        </w:tc>
        <w:tc>
          <w:tcPr>
            <w:tcW w:w="3883" w:type="pct"/>
            <w:tcBorders>
              <w:top w:val="single" w:sz="24" w:space="0" w:color="005B89"/>
            </w:tcBorders>
          </w:tcPr>
          <w:p w14:paraId="11311266" w14:textId="77777777" w:rsidR="007A2438" w:rsidRPr="004E7AE1" w:rsidRDefault="007A2438" w:rsidP="004E7AE1">
            <w:r w:rsidRPr="004E7AE1">
              <w:t>Advantages</w:t>
            </w:r>
          </w:p>
        </w:tc>
      </w:tr>
      <w:tr w:rsidR="007A2438" w:rsidRPr="00BF5CDB" w14:paraId="05B1ACA4" w14:textId="77777777" w:rsidTr="00E26A4E">
        <w:trPr>
          <w:trHeight w:val="20"/>
        </w:trPr>
        <w:tc>
          <w:tcPr>
            <w:tcW w:w="374" w:type="pct"/>
          </w:tcPr>
          <w:p w14:paraId="439185B4" w14:textId="77777777" w:rsidR="007A2438" w:rsidRPr="00BF5CDB" w:rsidRDefault="007A2438">
            <w:pPr>
              <w:pStyle w:val="TabletextLeft"/>
              <w:rPr>
                <w:b/>
                <w:bCs/>
                <w:szCs w:val="20"/>
              </w:rPr>
            </w:pPr>
            <w:r w:rsidRPr="00BF5CDB">
              <w:rPr>
                <w:b/>
                <w:bCs/>
                <w:szCs w:val="20"/>
              </w:rPr>
              <w:t>Manual claim</w:t>
            </w:r>
          </w:p>
          <w:p w14:paraId="0DC6497D" w14:textId="4DE0CD03" w:rsidR="007A2438" w:rsidRPr="00BF5CDB" w:rsidRDefault="007A2438">
            <w:pPr>
              <w:pStyle w:val="TabletextLeft"/>
              <w:rPr>
                <w:i/>
                <w:iCs/>
                <w:szCs w:val="20"/>
              </w:rPr>
            </w:pPr>
            <w:r w:rsidRPr="00BF5CDB">
              <w:rPr>
                <w:i/>
                <w:iCs/>
                <w:szCs w:val="20"/>
              </w:rPr>
              <w:t>(</w:t>
            </w:r>
            <w:proofErr w:type="gramStart"/>
            <w:r w:rsidRPr="00BF5CDB">
              <w:rPr>
                <w:i/>
                <w:iCs/>
                <w:szCs w:val="20"/>
              </w:rPr>
              <w:t>comprising</w:t>
            </w:r>
            <w:proofErr w:type="gramEnd"/>
            <w:r w:rsidRPr="00BF5CDB">
              <w:rPr>
                <w:i/>
                <w:iCs/>
                <w:szCs w:val="20"/>
              </w:rPr>
              <w:t xml:space="preserve"> 7 channels)</w:t>
            </w:r>
          </w:p>
        </w:tc>
        <w:tc>
          <w:tcPr>
            <w:tcW w:w="742" w:type="pct"/>
          </w:tcPr>
          <w:p w14:paraId="49855407" w14:textId="7DBD6859" w:rsidR="007A2438" w:rsidRPr="00BF5CDB" w:rsidRDefault="007A2438" w:rsidP="004E7AE1">
            <w:pPr>
              <w:pStyle w:val="TabletextLeft"/>
              <w:rPr>
                <w:szCs w:val="20"/>
              </w:rPr>
            </w:pPr>
            <w:r w:rsidRPr="00BF5CDB">
              <w:rPr>
                <w:szCs w:val="20"/>
              </w:rPr>
              <w:t>1.5 million</w:t>
            </w:r>
            <w:r w:rsidR="004E7AE1">
              <w:rPr>
                <w:szCs w:val="20"/>
              </w:rPr>
              <w:t xml:space="preserve"> </w:t>
            </w:r>
            <w:r w:rsidRPr="00BF5CDB">
              <w:rPr>
                <w:szCs w:val="20"/>
              </w:rPr>
              <w:t>(0.3% of all claim types)</w:t>
            </w:r>
          </w:p>
        </w:tc>
        <w:tc>
          <w:tcPr>
            <w:tcW w:w="3883" w:type="pct"/>
          </w:tcPr>
          <w:p w14:paraId="1AF56A76" w14:textId="2DEEFA76" w:rsidR="007A2438" w:rsidRPr="00EF2981" w:rsidRDefault="007A2438" w:rsidP="004D051F">
            <w:pPr>
              <w:pStyle w:val="Tablebullets"/>
              <w:framePr w:wrap="around"/>
              <w:rPr>
                <w:szCs w:val="20"/>
              </w:rPr>
            </w:pPr>
            <w:r w:rsidRPr="00EF2981">
              <w:rPr>
                <w:szCs w:val="20"/>
              </w:rPr>
              <w:t>Enables optimal access to MBS reimbursement for patients who do not have reliable access to digital channels and electronic funds transfer facilities</w:t>
            </w:r>
          </w:p>
          <w:p w14:paraId="5401E325" w14:textId="45439DCE" w:rsidR="007A2438" w:rsidRPr="00EF2981" w:rsidRDefault="007A2438" w:rsidP="004D051F">
            <w:pPr>
              <w:pStyle w:val="Tablebullets"/>
              <w:framePr w:wrap="around"/>
              <w:rPr>
                <w:szCs w:val="20"/>
              </w:rPr>
            </w:pPr>
            <w:r w:rsidRPr="00EF2981">
              <w:rPr>
                <w:szCs w:val="20"/>
              </w:rPr>
              <w:t>Submission of receipt from the provider demonstrates a service has been provided to the patient</w:t>
            </w:r>
          </w:p>
          <w:p w14:paraId="6773D7B5" w14:textId="57B3246F" w:rsidR="007A2438" w:rsidRPr="00EF2981" w:rsidRDefault="007A2438" w:rsidP="004D051F">
            <w:pPr>
              <w:pStyle w:val="Tablebullets"/>
              <w:framePr w:wrap="around"/>
              <w:rPr>
                <w:szCs w:val="20"/>
              </w:rPr>
            </w:pPr>
            <w:r w:rsidRPr="00EF2981">
              <w:rPr>
                <w:szCs w:val="20"/>
              </w:rPr>
              <w:t>Patient has visibility of their claim verification process due to the manual nature of entry for bulk-billed items</w:t>
            </w:r>
          </w:p>
        </w:tc>
      </w:tr>
      <w:tr w:rsidR="007A2438" w:rsidRPr="00BF5CDB" w14:paraId="705F87AD" w14:textId="77777777" w:rsidTr="00E26A4E">
        <w:trPr>
          <w:trHeight w:val="20"/>
        </w:trPr>
        <w:tc>
          <w:tcPr>
            <w:tcW w:w="374" w:type="pct"/>
          </w:tcPr>
          <w:p w14:paraId="669441DA" w14:textId="77777777" w:rsidR="007A2438" w:rsidRPr="00BF5CDB" w:rsidRDefault="007A2438">
            <w:pPr>
              <w:pStyle w:val="TabletextLeft"/>
              <w:rPr>
                <w:b/>
                <w:szCs w:val="20"/>
              </w:rPr>
            </w:pPr>
            <w:r w:rsidRPr="00BF5CDB">
              <w:rPr>
                <w:b/>
                <w:bCs/>
                <w:szCs w:val="20"/>
              </w:rPr>
              <w:t>Medicare Online</w:t>
            </w:r>
          </w:p>
        </w:tc>
        <w:tc>
          <w:tcPr>
            <w:tcW w:w="742" w:type="pct"/>
          </w:tcPr>
          <w:p w14:paraId="3EAA4C0A" w14:textId="03B3226B" w:rsidR="007A2438" w:rsidRPr="00BF5CDB" w:rsidRDefault="007A2438" w:rsidP="004E7AE1">
            <w:pPr>
              <w:pStyle w:val="TabletextLeft"/>
              <w:rPr>
                <w:szCs w:val="20"/>
              </w:rPr>
            </w:pPr>
            <w:r w:rsidRPr="00BF5CDB">
              <w:rPr>
                <w:szCs w:val="20"/>
              </w:rPr>
              <w:t>444.0 million</w:t>
            </w:r>
            <w:r w:rsidR="004E7AE1">
              <w:rPr>
                <w:szCs w:val="20"/>
              </w:rPr>
              <w:t xml:space="preserve"> </w:t>
            </w:r>
            <w:r w:rsidRPr="00BF5CDB">
              <w:rPr>
                <w:szCs w:val="20"/>
              </w:rPr>
              <w:t>(87% of total claims)</w:t>
            </w:r>
          </w:p>
        </w:tc>
        <w:tc>
          <w:tcPr>
            <w:tcW w:w="3883" w:type="pct"/>
          </w:tcPr>
          <w:p w14:paraId="2633EAD5" w14:textId="4E09D2FC" w:rsidR="007A2438" w:rsidRPr="00EF2981" w:rsidRDefault="007A2438" w:rsidP="004D051F">
            <w:pPr>
              <w:pStyle w:val="Tablebullets"/>
              <w:framePr w:wrap="around"/>
              <w:rPr>
                <w:szCs w:val="20"/>
              </w:rPr>
            </w:pPr>
            <w:r w:rsidRPr="00EF2981">
              <w:rPr>
                <w:szCs w:val="20"/>
              </w:rPr>
              <w:t>Enables the payment of the overwhelming majority of MBS claims for primary care and ambulatory care settings and providers (87% as per the 2020</w:t>
            </w:r>
            <w:r w:rsidR="00CA6D48" w:rsidRPr="00EF2981">
              <w:rPr>
                <w:szCs w:val="20"/>
              </w:rPr>
              <w:t>–</w:t>
            </w:r>
            <w:r w:rsidRPr="00EF2981">
              <w:rPr>
                <w:szCs w:val="20"/>
              </w:rPr>
              <w:t>21 MBS volumes provided by Services Australia to the Review)</w:t>
            </w:r>
          </w:p>
          <w:p w14:paraId="30C4C6FF" w14:textId="42BDE5D2" w:rsidR="007A2438" w:rsidRPr="00EF2981" w:rsidRDefault="007A2438" w:rsidP="004D051F">
            <w:pPr>
              <w:pStyle w:val="Tablebullets"/>
              <w:framePr w:wrap="around"/>
              <w:rPr>
                <w:szCs w:val="20"/>
              </w:rPr>
            </w:pPr>
            <w:r w:rsidRPr="00EF2981">
              <w:rPr>
                <w:szCs w:val="20"/>
              </w:rPr>
              <w:t xml:space="preserve">Integrated with provider’s </w:t>
            </w:r>
            <w:r w:rsidR="005452EF" w:rsidRPr="00EF2981">
              <w:rPr>
                <w:szCs w:val="20"/>
              </w:rPr>
              <w:t>p</w:t>
            </w:r>
            <w:r w:rsidRPr="00EF2981">
              <w:rPr>
                <w:szCs w:val="20"/>
              </w:rPr>
              <w:t xml:space="preserve">ractice </w:t>
            </w:r>
            <w:r w:rsidR="005452EF" w:rsidRPr="00EF2981">
              <w:rPr>
                <w:szCs w:val="20"/>
              </w:rPr>
              <w:t>m</w:t>
            </w:r>
            <w:r w:rsidRPr="00EF2981">
              <w:rPr>
                <w:szCs w:val="20"/>
              </w:rPr>
              <w:t xml:space="preserve">anagement </w:t>
            </w:r>
            <w:r w:rsidR="005452EF" w:rsidRPr="00EF2981">
              <w:rPr>
                <w:szCs w:val="20"/>
              </w:rPr>
              <w:t>s</w:t>
            </w:r>
            <w:r w:rsidRPr="00EF2981">
              <w:rPr>
                <w:szCs w:val="20"/>
              </w:rPr>
              <w:t>ystems for streamlined submission of claims. Both bulk bill</w:t>
            </w:r>
            <w:r w:rsidR="005452EF" w:rsidRPr="00EF2981">
              <w:rPr>
                <w:szCs w:val="20"/>
              </w:rPr>
              <w:t>ed</w:t>
            </w:r>
            <w:r w:rsidRPr="00EF2981">
              <w:rPr>
                <w:szCs w:val="20"/>
              </w:rPr>
              <w:t xml:space="preserve"> and non-bulk billed services</w:t>
            </w:r>
            <w:r w:rsidR="005452EF" w:rsidRPr="00EF2981">
              <w:rPr>
                <w:szCs w:val="20"/>
              </w:rPr>
              <w:t>’</w:t>
            </w:r>
            <w:r w:rsidRPr="00EF2981">
              <w:rPr>
                <w:szCs w:val="20"/>
              </w:rPr>
              <w:t xml:space="preserve"> claims flow directly from the provider to the first stage Services Australia validation checks. Claims raised by consumers flow through the provider’s </w:t>
            </w:r>
            <w:r w:rsidR="005452EF" w:rsidRPr="00EF2981">
              <w:rPr>
                <w:szCs w:val="20"/>
              </w:rPr>
              <w:t>p</w:t>
            </w:r>
            <w:r w:rsidRPr="00EF2981">
              <w:rPr>
                <w:szCs w:val="20"/>
              </w:rPr>
              <w:t xml:space="preserve">ractice </w:t>
            </w:r>
            <w:r w:rsidR="005452EF" w:rsidRPr="00EF2981">
              <w:rPr>
                <w:szCs w:val="20"/>
              </w:rPr>
              <w:t>m</w:t>
            </w:r>
            <w:r w:rsidRPr="00EF2981">
              <w:rPr>
                <w:szCs w:val="20"/>
              </w:rPr>
              <w:t xml:space="preserve">anagement </w:t>
            </w:r>
            <w:r w:rsidR="005452EF" w:rsidRPr="00EF2981">
              <w:rPr>
                <w:szCs w:val="20"/>
              </w:rPr>
              <w:t>s</w:t>
            </w:r>
            <w:r w:rsidRPr="00EF2981">
              <w:rPr>
                <w:szCs w:val="20"/>
              </w:rPr>
              <w:t>oftware to verify service has been provided while a statement of claim is lodged by the practice on behalf of the patient as confirmation of submission and service provision</w:t>
            </w:r>
          </w:p>
          <w:p w14:paraId="0812E168" w14:textId="52E42A94" w:rsidR="007A2438" w:rsidRPr="00EF2981" w:rsidRDefault="007A2438" w:rsidP="004D051F">
            <w:pPr>
              <w:pStyle w:val="Tablebullets"/>
              <w:framePr w:wrap="around"/>
              <w:rPr>
                <w:szCs w:val="20"/>
              </w:rPr>
            </w:pPr>
            <w:r w:rsidRPr="00EF2981">
              <w:rPr>
                <w:szCs w:val="20"/>
              </w:rPr>
              <w:t>Enables rebates to be transferred to patients and providers within 48 hours of service via electronic funds transfer, thereby minimising any negative financial impacts for patients</w:t>
            </w:r>
          </w:p>
          <w:p w14:paraId="575E122B" w14:textId="78A6D708" w:rsidR="007A2438" w:rsidRPr="00EF2981" w:rsidRDefault="007A2438" w:rsidP="004D051F">
            <w:pPr>
              <w:pStyle w:val="Tablebullets"/>
              <w:framePr w:wrap="around"/>
              <w:rPr>
                <w:szCs w:val="20"/>
              </w:rPr>
            </w:pPr>
            <w:r w:rsidRPr="00EF2981">
              <w:rPr>
                <w:szCs w:val="20"/>
              </w:rPr>
              <w:t>Nominated bank accounts for patients and providers are used to receive the rebate payments. For patients, these are the accounts linked to their Medicare consumer records, allowing for seamless reimbursements</w:t>
            </w:r>
          </w:p>
        </w:tc>
      </w:tr>
      <w:tr w:rsidR="007A2438" w:rsidRPr="00BF5CDB" w14:paraId="1BE2FB1A" w14:textId="77777777" w:rsidTr="00E26A4E">
        <w:trPr>
          <w:trHeight w:val="20"/>
        </w:trPr>
        <w:tc>
          <w:tcPr>
            <w:tcW w:w="374" w:type="pct"/>
          </w:tcPr>
          <w:p w14:paraId="1BE4E2B3" w14:textId="77777777" w:rsidR="007A2438" w:rsidRPr="00BF5CDB" w:rsidRDefault="007A2438">
            <w:pPr>
              <w:pStyle w:val="TabletextLeft"/>
              <w:rPr>
                <w:b/>
                <w:bCs/>
                <w:szCs w:val="20"/>
              </w:rPr>
            </w:pPr>
            <w:r w:rsidRPr="00BF5CDB">
              <w:rPr>
                <w:b/>
                <w:bCs/>
                <w:szCs w:val="20"/>
              </w:rPr>
              <w:t>ECLIPSE Simplified Billing</w:t>
            </w:r>
          </w:p>
        </w:tc>
        <w:tc>
          <w:tcPr>
            <w:tcW w:w="742" w:type="pct"/>
          </w:tcPr>
          <w:p w14:paraId="5611C4FB" w14:textId="40D5A79D" w:rsidR="007A2438" w:rsidRPr="00BF5CDB" w:rsidRDefault="007A2438" w:rsidP="004E7AE1">
            <w:pPr>
              <w:pStyle w:val="TabletextLeft"/>
              <w:rPr>
                <w:szCs w:val="20"/>
              </w:rPr>
            </w:pPr>
            <w:r w:rsidRPr="00BF5CDB">
              <w:rPr>
                <w:szCs w:val="20"/>
              </w:rPr>
              <w:t>31.6 million</w:t>
            </w:r>
            <w:r w:rsidR="004E7AE1">
              <w:rPr>
                <w:szCs w:val="20"/>
              </w:rPr>
              <w:t xml:space="preserve"> </w:t>
            </w:r>
            <w:r w:rsidRPr="00BF5CDB">
              <w:rPr>
                <w:szCs w:val="20"/>
              </w:rPr>
              <w:t>(6% of total claims)</w:t>
            </w:r>
          </w:p>
        </w:tc>
        <w:tc>
          <w:tcPr>
            <w:tcW w:w="3883" w:type="pct"/>
          </w:tcPr>
          <w:p w14:paraId="02BEC5DA" w14:textId="77777777" w:rsidR="007A2438" w:rsidRPr="00BF5CDB" w:rsidRDefault="007A2438" w:rsidP="00B74B17">
            <w:pPr>
              <w:pStyle w:val="TabletextLeft"/>
              <w:rPr>
                <w:szCs w:val="20"/>
              </w:rPr>
            </w:pPr>
            <w:r w:rsidRPr="00BF5CDB">
              <w:rPr>
                <w:szCs w:val="20"/>
              </w:rPr>
              <w:t>(Public and private hospital claiming)</w:t>
            </w:r>
          </w:p>
          <w:p w14:paraId="6BB8E88D" w14:textId="05025DD3" w:rsidR="007A2438" w:rsidRPr="00EF2981" w:rsidRDefault="007A2438" w:rsidP="004D051F">
            <w:pPr>
              <w:pStyle w:val="Tablebullets"/>
              <w:framePr w:wrap="around"/>
              <w:rPr>
                <w:szCs w:val="20"/>
              </w:rPr>
            </w:pPr>
            <w:r w:rsidRPr="00EF2981">
              <w:rPr>
                <w:szCs w:val="20"/>
              </w:rPr>
              <w:t xml:space="preserve">Allows for dual claim assessment and payment by Medicare and </w:t>
            </w:r>
            <w:r w:rsidR="005452EF" w:rsidRPr="00EF2981">
              <w:rPr>
                <w:szCs w:val="20"/>
              </w:rPr>
              <w:t>p</w:t>
            </w:r>
            <w:r w:rsidRPr="00EF2981">
              <w:rPr>
                <w:szCs w:val="20"/>
              </w:rPr>
              <w:t xml:space="preserve">rivate </w:t>
            </w:r>
            <w:r w:rsidR="005452EF" w:rsidRPr="00EF2981">
              <w:rPr>
                <w:szCs w:val="20"/>
              </w:rPr>
              <w:t>h</w:t>
            </w:r>
            <w:r w:rsidRPr="00EF2981">
              <w:rPr>
                <w:szCs w:val="20"/>
              </w:rPr>
              <w:t>ealth insurer following submission by the provider</w:t>
            </w:r>
          </w:p>
          <w:p w14:paraId="2FBE5772" w14:textId="0C63DB54" w:rsidR="007A2438" w:rsidRPr="00EF2981" w:rsidRDefault="007A2438" w:rsidP="004D051F">
            <w:pPr>
              <w:pStyle w:val="Tablebullets"/>
              <w:framePr w:wrap="around"/>
              <w:rPr>
                <w:szCs w:val="20"/>
              </w:rPr>
            </w:pPr>
            <w:r w:rsidRPr="00EF2981">
              <w:rPr>
                <w:szCs w:val="20"/>
              </w:rPr>
              <w:t>Centralised billing management enabling all services to be claimed for an inpatient episode of care via a single submission, reducing administrative overhead</w:t>
            </w:r>
          </w:p>
        </w:tc>
      </w:tr>
      <w:tr w:rsidR="007A2438" w:rsidRPr="00BF5CDB" w14:paraId="27B2762E" w14:textId="77777777" w:rsidTr="00E26A4E">
        <w:trPr>
          <w:trHeight w:val="20"/>
        </w:trPr>
        <w:tc>
          <w:tcPr>
            <w:tcW w:w="374" w:type="pct"/>
          </w:tcPr>
          <w:p w14:paraId="6DC7C838" w14:textId="5F824546" w:rsidR="007A2438" w:rsidRPr="00BF5CDB" w:rsidRDefault="007A2438">
            <w:pPr>
              <w:pStyle w:val="TabletextLeft"/>
              <w:rPr>
                <w:b/>
                <w:bCs/>
                <w:szCs w:val="20"/>
              </w:rPr>
            </w:pPr>
            <w:proofErr w:type="spellStart"/>
            <w:r w:rsidRPr="00BF5CDB">
              <w:rPr>
                <w:b/>
                <w:bCs/>
                <w:szCs w:val="20"/>
              </w:rPr>
              <w:t>EasyClaim</w:t>
            </w:r>
            <w:proofErr w:type="spellEnd"/>
            <w:r w:rsidRPr="00BF5CDB">
              <w:rPr>
                <w:b/>
                <w:bCs/>
                <w:szCs w:val="20"/>
              </w:rPr>
              <w:t xml:space="preserve"> </w:t>
            </w:r>
          </w:p>
        </w:tc>
        <w:tc>
          <w:tcPr>
            <w:tcW w:w="742" w:type="pct"/>
          </w:tcPr>
          <w:p w14:paraId="047768E3" w14:textId="1937D2FE" w:rsidR="007A2438" w:rsidRPr="00BF5CDB" w:rsidRDefault="007A2438" w:rsidP="004E7AE1">
            <w:pPr>
              <w:pStyle w:val="TabletextLeft"/>
              <w:rPr>
                <w:szCs w:val="20"/>
              </w:rPr>
            </w:pPr>
            <w:r w:rsidRPr="00BF5CDB">
              <w:rPr>
                <w:szCs w:val="20"/>
              </w:rPr>
              <w:t>24.2 million</w:t>
            </w:r>
            <w:r w:rsidR="004E7AE1">
              <w:rPr>
                <w:szCs w:val="20"/>
              </w:rPr>
              <w:t xml:space="preserve"> </w:t>
            </w:r>
            <w:r w:rsidRPr="00BF5CDB">
              <w:rPr>
                <w:szCs w:val="20"/>
              </w:rPr>
              <w:t>(5% of total claims)</w:t>
            </w:r>
          </w:p>
        </w:tc>
        <w:tc>
          <w:tcPr>
            <w:tcW w:w="3883" w:type="pct"/>
          </w:tcPr>
          <w:p w14:paraId="2CBB0699" w14:textId="1E387E5F" w:rsidR="007A2438" w:rsidRPr="00EF2981" w:rsidRDefault="007A2438" w:rsidP="004D051F">
            <w:pPr>
              <w:pStyle w:val="Tablebullets"/>
              <w:framePr w:wrap="around"/>
              <w:rPr>
                <w:szCs w:val="20"/>
              </w:rPr>
            </w:pPr>
            <w:r w:rsidRPr="00EF2981">
              <w:rPr>
                <w:szCs w:val="20"/>
              </w:rPr>
              <w:t>Accessible at point-of-sale with turnaround of payment into nominated bank accounts within two to three working days</w:t>
            </w:r>
          </w:p>
        </w:tc>
      </w:tr>
      <w:tr w:rsidR="007A2438" w:rsidRPr="00BF5CDB" w14:paraId="578C2EFA" w14:textId="77777777" w:rsidTr="00E26A4E">
        <w:trPr>
          <w:trHeight w:val="20"/>
        </w:trPr>
        <w:tc>
          <w:tcPr>
            <w:tcW w:w="374" w:type="pct"/>
          </w:tcPr>
          <w:p w14:paraId="046C80FB" w14:textId="371A2F42" w:rsidR="007A2438" w:rsidRPr="00BF5CDB" w:rsidRDefault="007A2438">
            <w:pPr>
              <w:pStyle w:val="TabletextLeft"/>
              <w:rPr>
                <w:b/>
                <w:szCs w:val="20"/>
              </w:rPr>
            </w:pPr>
            <w:r w:rsidRPr="00BF5CDB">
              <w:rPr>
                <w:b/>
                <w:bCs/>
                <w:szCs w:val="20"/>
              </w:rPr>
              <w:t>Health Professional Online Services (HPOS)</w:t>
            </w:r>
          </w:p>
        </w:tc>
        <w:tc>
          <w:tcPr>
            <w:tcW w:w="742" w:type="pct"/>
          </w:tcPr>
          <w:p w14:paraId="07AA58D2" w14:textId="36C36C6A" w:rsidR="007A2438" w:rsidRPr="00BF5CDB" w:rsidRDefault="007A2438" w:rsidP="004E7AE1">
            <w:pPr>
              <w:pStyle w:val="TabletextLeft"/>
              <w:rPr>
                <w:szCs w:val="20"/>
              </w:rPr>
            </w:pPr>
            <w:r w:rsidRPr="00BF5CDB">
              <w:rPr>
                <w:szCs w:val="20"/>
              </w:rPr>
              <w:t>3.9 million</w:t>
            </w:r>
            <w:r w:rsidR="004E7AE1">
              <w:rPr>
                <w:szCs w:val="20"/>
              </w:rPr>
              <w:t xml:space="preserve"> </w:t>
            </w:r>
            <w:r w:rsidRPr="00BF5CDB">
              <w:rPr>
                <w:szCs w:val="20"/>
              </w:rPr>
              <w:t>(0.8% of total claims)</w:t>
            </w:r>
          </w:p>
        </w:tc>
        <w:tc>
          <w:tcPr>
            <w:tcW w:w="3883" w:type="pct"/>
          </w:tcPr>
          <w:p w14:paraId="78E74104" w14:textId="3B433EED" w:rsidR="007A2438" w:rsidRPr="00EF2981" w:rsidRDefault="007A2438" w:rsidP="004D051F">
            <w:pPr>
              <w:pStyle w:val="Tablebullets"/>
              <w:framePr w:wrap="around"/>
              <w:rPr>
                <w:szCs w:val="20"/>
              </w:rPr>
            </w:pPr>
            <w:r w:rsidRPr="00EF2981">
              <w:rPr>
                <w:szCs w:val="20"/>
              </w:rPr>
              <w:t xml:space="preserve">Webform completed by the providers with the included pre-payment checked details, and no specific software integration is required, enabling broad access to the </w:t>
            </w:r>
            <w:r w:rsidR="005369B8" w:rsidRPr="00EF2981">
              <w:rPr>
                <w:szCs w:val="20"/>
              </w:rPr>
              <w:t>claiming channel</w:t>
            </w:r>
          </w:p>
          <w:p w14:paraId="5AB641F8" w14:textId="1DD1DEB2" w:rsidR="007A2438" w:rsidRPr="00EF2981" w:rsidRDefault="007A2438" w:rsidP="004D051F">
            <w:pPr>
              <w:pStyle w:val="Tablebullets"/>
              <w:framePr w:wrap="around"/>
              <w:rPr>
                <w:szCs w:val="20"/>
              </w:rPr>
            </w:pPr>
            <w:r w:rsidRPr="00EF2981">
              <w:rPr>
                <w:szCs w:val="20"/>
              </w:rPr>
              <w:t>Payment is made directly to the health professional’s practice and their nominated bank account via electronic funds transfer for bulk</w:t>
            </w:r>
            <w:r w:rsidR="005452EF" w:rsidRPr="00EF2981">
              <w:rPr>
                <w:szCs w:val="20"/>
              </w:rPr>
              <w:t xml:space="preserve"> </w:t>
            </w:r>
            <w:r w:rsidRPr="00EF2981">
              <w:rPr>
                <w:szCs w:val="20"/>
              </w:rPr>
              <w:t>billed occasions of service (within two to three working days). For patient rebates, the patient pays the practice in full (verifying service delivery), and the practice nominates the patient’s bank account details attached to the claim and payment is made within one working day.</w:t>
            </w:r>
          </w:p>
        </w:tc>
      </w:tr>
      <w:tr w:rsidR="007A2438" w:rsidRPr="00BF5CDB" w14:paraId="55625676" w14:textId="77777777" w:rsidTr="00E26A4E">
        <w:trPr>
          <w:trHeight w:val="20"/>
        </w:trPr>
        <w:tc>
          <w:tcPr>
            <w:tcW w:w="374" w:type="pct"/>
          </w:tcPr>
          <w:p w14:paraId="37F31426" w14:textId="1A601AA6" w:rsidR="007A2438" w:rsidRPr="00BF5CDB" w:rsidRDefault="007A2438">
            <w:pPr>
              <w:pStyle w:val="TabletextLeft"/>
              <w:rPr>
                <w:b/>
                <w:szCs w:val="20"/>
              </w:rPr>
            </w:pPr>
            <w:r w:rsidRPr="00BF5CDB">
              <w:rPr>
                <w:b/>
                <w:bCs/>
                <w:szCs w:val="20"/>
              </w:rPr>
              <w:t xml:space="preserve">EDI (Safe File Transfer Protocol) </w:t>
            </w:r>
            <w:r w:rsidRPr="00BF5CDB">
              <w:rPr>
                <w:b/>
                <w:bCs/>
                <w:szCs w:val="20"/>
              </w:rPr>
              <w:lastRenderedPageBreak/>
              <w:t>simplified billing</w:t>
            </w:r>
          </w:p>
        </w:tc>
        <w:tc>
          <w:tcPr>
            <w:tcW w:w="742" w:type="pct"/>
          </w:tcPr>
          <w:p w14:paraId="7E2900E2" w14:textId="10A736A4" w:rsidR="007A2438" w:rsidRPr="00BF5CDB" w:rsidRDefault="007A2438" w:rsidP="004E7AE1">
            <w:pPr>
              <w:pStyle w:val="TabletextLeft"/>
              <w:rPr>
                <w:szCs w:val="20"/>
              </w:rPr>
            </w:pPr>
            <w:r w:rsidRPr="00BF5CDB">
              <w:rPr>
                <w:szCs w:val="20"/>
              </w:rPr>
              <w:lastRenderedPageBreak/>
              <w:t>1.2 million</w:t>
            </w:r>
            <w:r w:rsidR="004E7AE1">
              <w:rPr>
                <w:szCs w:val="20"/>
              </w:rPr>
              <w:t xml:space="preserve"> </w:t>
            </w:r>
            <w:r w:rsidRPr="00BF5CDB">
              <w:rPr>
                <w:szCs w:val="20"/>
              </w:rPr>
              <w:t>(0.2% of total claims)</w:t>
            </w:r>
          </w:p>
        </w:tc>
        <w:tc>
          <w:tcPr>
            <w:tcW w:w="3883" w:type="pct"/>
          </w:tcPr>
          <w:p w14:paraId="0613C967" w14:textId="438622D4" w:rsidR="007A2438" w:rsidRPr="00EF2981" w:rsidRDefault="007A2438" w:rsidP="004D051F">
            <w:pPr>
              <w:pStyle w:val="Tablebullets"/>
              <w:framePr w:wrap="around"/>
              <w:rPr>
                <w:szCs w:val="20"/>
              </w:rPr>
            </w:pPr>
            <w:r w:rsidRPr="00EF2981">
              <w:rPr>
                <w:szCs w:val="20"/>
              </w:rPr>
              <w:t>Claim submissions directly from providers include a receipt of service delivery enabling a verification of service provision for a patient</w:t>
            </w:r>
          </w:p>
          <w:p w14:paraId="40222C17" w14:textId="4DB7BFF7" w:rsidR="007A2438" w:rsidRPr="00EF2981" w:rsidRDefault="007A2438" w:rsidP="004D051F">
            <w:pPr>
              <w:pStyle w:val="Tablebullets"/>
              <w:framePr w:wrap="around"/>
              <w:rPr>
                <w:szCs w:val="20"/>
              </w:rPr>
            </w:pPr>
            <w:r w:rsidRPr="00EF2981">
              <w:rPr>
                <w:szCs w:val="20"/>
              </w:rPr>
              <w:t xml:space="preserve">Private </w:t>
            </w:r>
            <w:r w:rsidR="005452EF" w:rsidRPr="00EF2981">
              <w:rPr>
                <w:szCs w:val="20"/>
              </w:rPr>
              <w:t>h</w:t>
            </w:r>
            <w:r w:rsidRPr="00EF2981">
              <w:rPr>
                <w:szCs w:val="20"/>
              </w:rPr>
              <w:t xml:space="preserve">ealth </w:t>
            </w:r>
            <w:r w:rsidR="005452EF" w:rsidRPr="00EF2981">
              <w:rPr>
                <w:szCs w:val="20"/>
              </w:rPr>
              <w:t>i</w:t>
            </w:r>
            <w:r w:rsidRPr="00EF2981">
              <w:rPr>
                <w:szCs w:val="20"/>
              </w:rPr>
              <w:t>nsurer submissions are made via EDI and occur following their review of the claim submission which provides a verification activity</w:t>
            </w:r>
          </w:p>
        </w:tc>
      </w:tr>
      <w:tr w:rsidR="007A2438" w:rsidRPr="00BF5CDB" w14:paraId="6D4322E3" w14:textId="77777777" w:rsidTr="00E26A4E">
        <w:trPr>
          <w:trHeight w:val="20"/>
        </w:trPr>
        <w:tc>
          <w:tcPr>
            <w:tcW w:w="374" w:type="pct"/>
          </w:tcPr>
          <w:p w14:paraId="393C4245" w14:textId="77777777" w:rsidR="007A2438" w:rsidRPr="00BF5CDB" w:rsidRDefault="007A2438">
            <w:pPr>
              <w:pStyle w:val="TabletextLeft"/>
              <w:rPr>
                <w:b/>
                <w:bCs/>
                <w:szCs w:val="20"/>
              </w:rPr>
            </w:pPr>
            <w:r w:rsidRPr="00BF5CDB">
              <w:rPr>
                <w:b/>
                <w:bCs/>
                <w:szCs w:val="20"/>
              </w:rPr>
              <w:t>Medicare Online Account</w:t>
            </w:r>
          </w:p>
        </w:tc>
        <w:tc>
          <w:tcPr>
            <w:tcW w:w="742" w:type="pct"/>
          </w:tcPr>
          <w:p w14:paraId="0EF0F604" w14:textId="4F11E0DB" w:rsidR="007A2438" w:rsidRPr="00BF5CDB" w:rsidRDefault="007A2438" w:rsidP="004E7AE1">
            <w:pPr>
              <w:pStyle w:val="TabletextLeft"/>
              <w:rPr>
                <w:szCs w:val="20"/>
              </w:rPr>
            </w:pPr>
            <w:r w:rsidRPr="00BF5CDB">
              <w:rPr>
                <w:szCs w:val="20"/>
              </w:rPr>
              <w:t>1.8 million</w:t>
            </w:r>
            <w:r w:rsidR="004E7AE1">
              <w:rPr>
                <w:szCs w:val="20"/>
              </w:rPr>
              <w:t xml:space="preserve"> </w:t>
            </w:r>
            <w:r w:rsidRPr="00BF5CDB">
              <w:rPr>
                <w:szCs w:val="20"/>
              </w:rPr>
              <w:t>(0.3% of total claims)</w:t>
            </w:r>
          </w:p>
        </w:tc>
        <w:tc>
          <w:tcPr>
            <w:tcW w:w="3883" w:type="pct"/>
          </w:tcPr>
          <w:p w14:paraId="2D8BA367" w14:textId="116A11CF" w:rsidR="007A2438" w:rsidRPr="00EF2981" w:rsidRDefault="007A2438" w:rsidP="004D051F">
            <w:pPr>
              <w:pStyle w:val="Tablebullets"/>
              <w:framePr w:wrap="around"/>
              <w:rPr>
                <w:szCs w:val="20"/>
              </w:rPr>
            </w:pPr>
            <w:r w:rsidRPr="00EF2981">
              <w:rPr>
                <w:szCs w:val="20"/>
              </w:rPr>
              <w:t xml:space="preserve">Patient is required to log into MyGov and have a linked service to their Medicare </w:t>
            </w:r>
            <w:r w:rsidR="005452EF" w:rsidRPr="00EF2981">
              <w:rPr>
                <w:szCs w:val="20"/>
              </w:rPr>
              <w:t>o</w:t>
            </w:r>
            <w:r w:rsidRPr="00EF2981">
              <w:rPr>
                <w:szCs w:val="20"/>
              </w:rPr>
              <w:t xml:space="preserve">nline </w:t>
            </w:r>
            <w:r w:rsidR="005452EF" w:rsidRPr="00EF2981">
              <w:rPr>
                <w:szCs w:val="20"/>
              </w:rPr>
              <w:t>a</w:t>
            </w:r>
            <w:r w:rsidRPr="00EF2981">
              <w:rPr>
                <w:szCs w:val="20"/>
              </w:rPr>
              <w:t>ccount.</w:t>
            </w:r>
          </w:p>
          <w:p w14:paraId="4D1AB964" w14:textId="11596530" w:rsidR="007A2438" w:rsidRPr="00EF2981" w:rsidRDefault="007A2438" w:rsidP="004D051F">
            <w:pPr>
              <w:pStyle w:val="Tablebullets"/>
              <w:framePr w:wrap="around"/>
              <w:rPr>
                <w:szCs w:val="20"/>
              </w:rPr>
            </w:pPr>
            <w:r w:rsidRPr="00EF2981">
              <w:rPr>
                <w:szCs w:val="20"/>
              </w:rPr>
              <w:t>If a patient submits an MBS claim directly to Services Australia, they are required to attach evidence of the receipt or invoice upon submission thereby acting as a verification of service delivery</w:t>
            </w:r>
          </w:p>
          <w:p w14:paraId="1547052D" w14:textId="692C0AA9" w:rsidR="007A2438" w:rsidRPr="00EF2981" w:rsidRDefault="007A2438" w:rsidP="004D051F">
            <w:pPr>
              <w:pStyle w:val="Tablebullets"/>
              <w:framePr w:wrap="around"/>
              <w:rPr>
                <w:szCs w:val="20"/>
              </w:rPr>
            </w:pPr>
            <w:r w:rsidRPr="00EF2981">
              <w:rPr>
                <w:szCs w:val="20"/>
              </w:rPr>
              <w:t xml:space="preserve">Enables convenient and seamless claim submission by patients </w:t>
            </w:r>
          </w:p>
          <w:p w14:paraId="609E4CA3" w14:textId="4656FE18" w:rsidR="007A2438" w:rsidRPr="00EF2981" w:rsidRDefault="007A2438" w:rsidP="004D051F">
            <w:pPr>
              <w:pStyle w:val="Tablebullets"/>
              <w:framePr w:wrap="around"/>
              <w:rPr>
                <w:szCs w:val="20"/>
              </w:rPr>
            </w:pPr>
            <w:r w:rsidRPr="00EF2981">
              <w:rPr>
                <w:szCs w:val="20"/>
              </w:rPr>
              <w:t>Turnaround of payment into nominated bank accounts within one working day enables the policy principle of equity of access to health services</w:t>
            </w:r>
          </w:p>
        </w:tc>
      </w:tr>
      <w:tr w:rsidR="007A2438" w:rsidRPr="00BF5CDB" w14:paraId="2A0A7612" w14:textId="77777777" w:rsidTr="00E26A4E">
        <w:trPr>
          <w:trHeight w:val="20"/>
        </w:trPr>
        <w:tc>
          <w:tcPr>
            <w:tcW w:w="374" w:type="pct"/>
          </w:tcPr>
          <w:p w14:paraId="439E4857" w14:textId="76B3C1D1" w:rsidR="007A2438" w:rsidRPr="00BF5CDB" w:rsidRDefault="007A2438">
            <w:pPr>
              <w:pStyle w:val="TabletextLeft"/>
              <w:rPr>
                <w:b/>
                <w:bCs/>
                <w:szCs w:val="20"/>
              </w:rPr>
            </w:pPr>
            <w:r w:rsidRPr="00BF5CDB">
              <w:rPr>
                <w:b/>
                <w:bCs/>
                <w:szCs w:val="20"/>
              </w:rPr>
              <w:t>Express Plus Medicare mobile app</w:t>
            </w:r>
          </w:p>
        </w:tc>
        <w:tc>
          <w:tcPr>
            <w:tcW w:w="742" w:type="pct"/>
          </w:tcPr>
          <w:p w14:paraId="756C68AB" w14:textId="2C247B35" w:rsidR="007A2438" w:rsidRPr="00BF5CDB" w:rsidRDefault="007A2438" w:rsidP="004E7AE1">
            <w:pPr>
              <w:pStyle w:val="TabletextLeft"/>
              <w:rPr>
                <w:szCs w:val="20"/>
              </w:rPr>
            </w:pPr>
            <w:r w:rsidRPr="00BF5CDB">
              <w:rPr>
                <w:szCs w:val="20"/>
              </w:rPr>
              <w:t>1.2 million</w:t>
            </w:r>
            <w:r w:rsidR="004E7AE1">
              <w:rPr>
                <w:szCs w:val="20"/>
              </w:rPr>
              <w:t xml:space="preserve"> </w:t>
            </w:r>
            <w:r w:rsidRPr="00BF5CDB">
              <w:rPr>
                <w:szCs w:val="20"/>
              </w:rPr>
              <w:t>(0.2% of total claims)</w:t>
            </w:r>
          </w:p>
        </w:tc>
        <w:tc>
          <w:tcPr>
            <w:tcW w:w="3883" w:type="pct"/>
          </w:tcPr>
          <w:p w14:paraId="5AF86D91" w14:textId="60C33DA9" w:rsidR="007A2438" w:rsidRPr="00EF2981" w:rsidRDefault="007A2438" w:rsidP="004D051F">
            <w:pPr>
              <w:pStyle w:val="Tablebullets"/>
              <w:framePr w:wrap="around"/>
              <w:rPr>
                <w:szCs w:val="20"/>
              </w:rPr>
            </w:pPr>
            <w:r w:rsidRPr="00EF2981">
              <w:rPr>
                <w:szCs w:val="20"/>
              </w:rPr>
              <w:t>Patient is required to sign into the Express Plus app and the patient must verify they are signing in to make a claim using their unique log in credentials</w:t>
            </w:r>
          </w:p>
          <w:p w14:paraId="079040DA" w14:textId="3D216C6A" w:rsidR="007A2438" w:rsidRPr="00EF2981" w:rsidRDefault="007A2438" w:rsidP="004D051F">
            <w:pPr>
              <w:pStyle w:val="Tablebullets"/>
              <w:framePr w:wrap="around"/>
              <w:rPr>
                <w:szCs w:val="20"/>
              </w:rPr>
            </w:pPr>
            <w:r w:rsidRPr="00EF2981">
              <w:rPr>
                <w:szCs w:val="20"/>
              </w:rPr>
              <w:t>Patient is required to reference their receipt number for claim validation</w:t>
            </w:r>
          </w:p>
          <w:p w14:paraId="44149142" w14:textId="4648E730" w:rsidR="007A2438" w:rsidRPr="00EF2981" w:rsidRDefault="007A2438" w:rsidP="004D051F">
            <w:pPr>
              <w:pStyle w:val="Tablebullets"/>
              <w:framePr w:wrap="around"/>
              <w:rPr>
                <w:szCs w:val="20"/>
              </w:rPr>
            </w:pPr>
            <w:r w:rsidRPr="00EF2981">
              <w:rPr>
                <w:szCs w:val="20"/>
              </w:rPr>
              <w:t>The system only accepts claims for reimbursement if they have been paid ahead in full by the patient</w:t>
            </w:r>
          </w:p>
        </w:tc>
      </w:tr>
    </w:tbl>
    <w:p w14:paraId="52D9684F" w14:textId="77777777" w:rsidR="007B5522" w:rsidRDefault="00F85D1B" w:rsidP="00C64B38">
      <w:pPr>
        <w:pStyle w:val="Caption"/>
      </w:pPr>
      <w:r>
        <w:t>Source: Philip Review (2023</w:t>
      </w:r>
      <w:r w:rsidR="007762A8">
        <w:t>)</w:t>
      </w:r>
      <w:r w:rsidR="0095122B">
        <w:t xml:space="preserve"> </w:t>
      </w:r>
      <w:r w:rsidR="007762A8">
        <w:t>*Total claims made for the financial year 2021</w:t>
      </w:r>
      <w:r w:rsidR="00CA6D48">
        <w:t>–</w:t>
      </w:r>
      <w:r w:rsidR="007762A8">
        <w:t>22</w:t>
      </w:r>
      <w:r w:rsidR="00934910">
        <w:t xml:space="preserve"> as supplied by Services Australia</w:t>
      </w:r>
    </w:p>
    <w:p w14:paraId="2569B99D" w14:textId="72A58482" w:rsidR="00FE795B" w:rsidRDefault="00FE795B" w:rsidP="00240542">
      <w:pPr>
        <w:sectPr w:rsidR="00FE795B" w:rsidSect="00FE795B">
          <w:pgSz w:w="16838" w:h="11906" w:orient="landscape" w:code="9"/>
          <w:pgMar w:top="720" w:right="720" w:bottom="720" w:left="720" w:header="680" w:footer="425" w:gutter="0"/>
          <w:cols w:space="284"/>
          <w:docGrid w:linePitch="360"/>
        </w:sectPr>
      </w:pPr>
    </w:p>
    <w:p w14:paraId="1CF12FEC" w14:textId="3E2737A9" w:rsidR="00125FAB" w:rsidRPr="00240542" w:rsidRDefault="00AA2B2F" w:rsidP="00E26A4E">
      <w:r w:rsidRPr="00DE55BA">
        <w:lastRenderedPageBreak/>
        <w:t>A</w:t>
      </w:r>
      <w:r w:rsidR="00105607" w:rsidRPr="00DE55BA">
        <w:t xml:space="preserve"> number of vulnerabilities exist </w:t>
      </w:r>
      <w:r w:rsidR="00997096" w:rsidRPr="00DE55BA">
        <w:t>commonly across the digital channels</w:t>
      </w:r>
      <w:r w:rsidR="00E60182" w:rsidRPr="00DE55BA">
        <w:t xml:space="preserve"> </w:t>
      </w:r>
      <w:r w:rsidR="005452EF">
        <w:t>and consulted s</w:t>
      </w:r>
      <w:r w:rsidR="0022519D" w:rsidRPr="00DE55BA">
        <w:t>takeholders</w:t>
      </w:r>
      <w:r w:rsidR="0022519D">
        <w:t xml:space="preserve"> </w:t>
      </w:r>
      <w:r w:rsidR="00DC657F">
        <w:t>commented on</w:t>
      </w:r>
      <w:r w:rsidR="00C51576">
        <w:t xml:space="preserve"> the increasing role of administrative staff and corporate entities </w:t>
      </w:r>
      <w:r w:rsidR="00FB66AC">
        <w:t>wh</w:t>
      </w:r>
      <w:r w:rsidR="009175DF">
        <w:t xml:space="preserve">o coordinate the </w:t>
      </w:r>
      <w:r w:rsidR="00640A7E">
        <w:t xml:space="preserve">collation and submission of Medicare claims </w:t>
      </w:r>
      <w:r w:rsidR="00034963">
        <w:t xml:space="preserve">via the digital channels </w:t>
      </w:r>
      <w:r w:rsidR="00640A7E">
        <w:t xml:space="preserve">on behalf of the individual health professionals, </w:t>
      </w:r>
      <w:r w:rsidR="00E16586">
        <w:t xml:space="preserve">reducing the direct visibility </w:t>
      </w:r>
      <w:r w:rsidR="00C41025">
        <w:t>they have of the claims be</w:t>
      </w:r>
      <w:r w:rsidR="005B127B">
        <w:t xml:space="preserve">ing raised against their provider numbers. </w:t>
      </w:r>
    </w:p>
    <w:p w14:paraId="57B93067" w14:textId="0C997DE8" w:rsidR="008C034B" w:rsidRDefault="008C034B" w:rsidP="008C034B">
      <w:r>
        <w:t xml:space="preserve">Further to these vulnerabilities is the complexity of the technology infrastructure required to support the </w:t>
      </w:r>
      <w:r w:rsidR="00B65DDD">
        <w:t xml:space="preserve">14 </w:t>
      </w:r>
      <w:r w:rsidR="005369B8">
        <w:t>claiming channel</w:t>
      </w:r>
      <w:r w:rsidR="00E678E3">
        <w:t>s.</w:t>
      </w:r>
      <w:r w:rsidR="00875324">
        <w:t xml:space="preserve"> Feedback was provided to me that </w:t>
      </w:r>
      <w:r w:rsidR="000424EA">
        <w:t xml:space="preserve">investments are in train to uplift and modernise aspects of the </w:t>
      </w:r>
      <w:r w:rsidR="002930EB">
        <w:t>supporting technology environment</w:t>
      </w:r>
      <w:r w:rsidR="00E8501F">
        <w:t xml:space="preserve">. </w:t>
      </w:r>
      <w:r w:rsidR="00E71843">
        <w:t xml:space="preserve">Through discussions with Services Australia and </w:t>
      </w:r>
      <w:proofErr w:type="spellStart"/>
      <w:r w:rsidR="00E71843">
        <w:t>DoHAC</w:t>
      </w:r>
      <w:proofErr w:type="spellEnd"/>
      <w:r w:rsidR="00E71843">
        <w:t xml:space="preserve">, it became apparent to me </w:t>
      </w:r>
      <w:r w:rsidR="004F3397">
        <w:t xml:space="preserve">that </w:t>
      </w:r>
      <w:r w:rsidR="006D2245">
        <w:t xml:space="preserve">there are a number of issues that </w:t>
      </w:r>
      <w:r w:rsidR="00EC5262">
        <w:t xml:space="preserve">should be addressed </w:t>
      </w:r>
      <w:r w:rsidR="00E430D4">
        <w:t xml:space="preserve">as a critical enabler to sustaining </w:t>
      </w:r>
      <w:r w:rsidR="00F9385D">
        <w:t>the Scheme into the future:</w:t>
      </w:r>
    </w:p>
    <w:p w14:paraId="0803F086" w14:textId="574852B5" w:rsidR="00F9385D" w:rsidRDefault="00215FD8" w:rsidP="002031A0">
      <w:pPr>
        <w:pStyle w:val="ListBullet"/>
      </w:pPr>
      <w:r>
        <w:t xml:space="preserve">Data and information sharing </w:t>
      </w:r>
      <w:r w:rsidR="005E0C73">
        <w:t>is inhibited by legislat</w:t>
      </w:r>
      <w:r w:rsidR="00B14A37">
        <w:t>ive</w:t>
      </w:r>
      <w:r w:rsidR="005E0C73">
        <w:t xml:space="preserve"> and technological limitations</w:t>
      </w:r>
      <w:r w:rsidR="00950C5E">
        <w:t xml:space="preserve">. This is </w:t>
      </w:r>
      <w:r w:rsidR="00D96C1D">
        <w:t>blunting</w:t>
      </w:r>
      <w:r w:rsidR="00950C5E">
        <w:t xml:space="preserve"> the </w:t>
      </w:r>
      <w:r w:rsidR="00D96C1D">
        <w:t xml:space="preserve">ability of </w:t>
      </w:r>
      <w:r w:rsidR="00036DDB">
        <w:t>the government agencies to proactively identify and act upon instances of non-compliant claiming behaviours</w:t>
      </w:r>
      <w:r w:rsidR="007B7778">
        <w:t>.</w:t>
      </w:r>
    </w:p>
    <w:p w14:paraId="7B47B419" w14:textId="777FE7A6" w:rsidR="00213E5D" w:rsidRDefault="00213E5D" w:rsidP="002031A0">
      <w:pPr>
        <w:pStyle w:val="ListBullet"/>
      </w:pPr>
      <w:r>
        <w:t>Complex business rules as well as system and data limitation</w:t>
      </w:r>
      <w:r w:rsidR="005452EF">
        <w:t>s</w:t>
      </w:r>
      <w:r>
        <w:t xml:space="preserve"> are preventing the full implementation of new policy and legislative changes.</w:t>
      </w:r>
      <w:r w:rsidR="00E2355E">
        <w:t xml:space="preserve"> The </w:t>
      </w:r>
      <w:r w:rsidR="00FC293E">
        <w:t xml:space="preserve">legacy </w:t>
      </w:r>
      <w:r w:rsidR="00E2355E">
        <w:t xml:space="preserve">technology that underpins the MBS payment system is </w:t>
      </w:r>
      <w:r w:rsidR="00FC293E">
        <w:t>limiting the ability to make reformative change regarding fraud and non-compliance (</w:t>
      </w:r>
      <w:proofErr w:type="gramStart"/>
      <w:r w:rsidR="00904BFD">
        <w:t>e.g.</w:t>
      </w:r>
      <w:proofErr w:type="gramEnd"/>
      <w:r w:rsidR="00FC293E">
        <w:t xml:space="preserve"> implementing pre-payment controls without significant investment in new technology and infrastructure).</w:t>
      </w:r>
    </w:p>
    <w:p w14:paraId="496AEFBA" w14:textId="77777777" w:rsidR="001B52CA" w:rsidRDefault="00D8357E" w:rsidP="002031A0">
      <w:pPr>
        <w:pStyle w:val="ListBullet"/>
      </w:pPr>
      <w:r>
        <w:t>Existing systems are built around the traditional fee-for-service model with a focus on individual transactions and processes.</w:t>
      </w:r>
      <w:r w:rsidR="00616414">
        <w:t xml:space="preserve"> </w:t>
      </w:r>
    </w:p>
    <w:p w14:paraId="46C1F4A1" w14:textId="77777777" w:rsidR="007B5522" w:rsidRDefault="00616414" w:rsidP="002031A0">
      <w:pPr>
        <w:pStyle w:val="ListBullet"/>
      </w:pPr>
      <w:r>
        <w:t xml:space="preserve">There are limited analytical and reporting functionalities and capabilities to enable real-time </w:t>
      </w:r>
      <w:r w:rsidR="0012480A">
        <w:t>claim behaviour tracking</w:t>
      </w:r>
      <w:r w:rsidR="00F02FEC">
        <w:t xml:space="preserve">, analysis and flagging </w:t>
      </w:r>
      <w:r w:rsidR="004A5CAF">
        <w:t>or to apply risk-based models to processing.</w:t>
      </w:r>
    </w:p>
    <w:p w14:paraId="5EB15DA2" w14:textId="79838CEA" w:rsidR="00E31EF2" w:rsidRDefault="00C87D21" w:rsidP="00940D39">
      <w:pPr>
        <w:pStyle w:val="Heading3"/>
      </w:pPr>
      <w:bookmarkStart w:id="74" w:name="_Toc128669063"/>
      <w:bookmarkStart w:id="75" w:name="_Toc128905519"/>
      <w:bookmarkStart w:id="76" w:name="_Toc128907012"/>
      <w:bookmarkStart w:id="77" w:name="_Toc128909122"/>
      <w:r>
        <w:t xml:space="preserve">Duplication across </w:t>
      </w:r>
      <w:r w:rsidR="00FB0633">
        <w:t>channels</w:t>
      </w:r>
      <w:bookmarkEnd w:id="74"/>
      <w:bookmarkEnd w:id="75"/>
      <w:bookmarkEnd w:id="76"/>
      <w:bookmarkEnd w:id="77"/>
    </w:p>
    <w:p w14:paraId="1F74F1D4" w14:textId="79BD86CA" w:rsidR="007826A9" w:rsidRDefault="0037178B" w:rsidP="00E31EF2">
      <w:r>
        <w:t xml:space="preserve">Comparing the </w:t>
      </w:r>
      <w:r w:rsidR="00717AE3">
        <w:t xml:space="preserve">multiple digital channels has revealed overlapping focus areas </w:t>
      </w:r>
      <w:r w:rsidR="0044300A">
        <w:t>and capabilities.</w:t>
      </w:r>
      <w:r w:rsidR="005630C8">
        <w:t xml:space="preserve"> This has the potential to </w:t>
      </w:r>
      <w:r w:rsidR="00EF04E8">
        <w:t xml:space="preserve">exacerbate </w:t>
      </w:r>
      <w:r w:rsidR="00003B3D">
        <w:t xml:space="preserve">vulnerabilities </w:t>
      </w:r>
      <w:r w:rsidR="00D15DC4">
        <w:t xml:space="preserve">as well as </w:t>
      </w:r>
      <w:r w:rsidR="000639C9">
        <w:t xml:space="preserve">increase the complexity and maintenance requirements of the supporting technology infrastructure and </w:t>
      </w:r>
      <w:r w:rsidR="00CD7BB9">
        <w:t>governance structures.</w:t>
      </w:r>
      <w:r w:rsidR="007C4C4F">
        <w:t xml:space="preserve"> For example, hospitals can utilise </w:t>
      </w:r>
      <w:r w:rsidR="00AA0913">
        <w:t xml:space="preserve">either the EDI </w:t>
      </w:r>
      <w:r w:rsidR="004E1B81">
        <w:t>or EC</w:t>
      </w:r>
      <w:r w:rsidR="00B33F02">
        <w:t xml:space="preserve">LIPSE claiming </w:t>
      </w:r>
      <w:proofErr w:type="gramStart"/>
      <w:r w:rsidR="00B33F02">
        <w:t>channels</w:t>
      </w:r>
      <w:proofErr w:type="gramEnd"/>
      <w:r w:rsidR="00B33F02">
        <w:t xml:space="preserve"> </w:t>
      </w:r>
      <w:r w:rsidR="00E30203">
        <w:t xml:space="preserve">and both enable the </w:t>
      </w:r>
      <w:r w:rsidR="00F3644D">
        <w:t>involvement of private health insurers</w:t>
      </w:r>
      <w:r w:rsidR="00967DDC">
        <w:t xml:space="preserve">. There could be an opportunity to </w:t>
      </w:r>
      <w:r w:rsidR="002D3466">
        <w:t>either combine these channels</w:t>
      </w:r>
      <w:r w:rsidR="000522F3">
        <w:t xml:space="preserve"> into a single channel dedicated to hospital claiming</w:t>
      </w:r>
      <w:r w:rsidR="00FF0022">
        <w:t xml:space="preserve">, or even further combine them into the dominant MBS Online channel </w:t>
      </w:r>
      <w:r w:rsidR="00E20ABF">
        <w:t xml:space="preserve">to bring about consistency </w:t>
      </w:r>
      <w:r w:rsidR="00722006">
        <w:t>across all healthcare settings.</w:t>
      </w:r>
    </w:p>
    <w:p w14:paraId="76E8DFF3" w14:textId="1B4AE033" w:rsidR="004D051F" w:rsidRDefault="004D051F" w:rsidP="004D051F">
      <w:pPr>
        <w:pStyle w:val="BodyText"/>
      </w:pPr>
      <w:r w:rsidRPr="004D051F">
        <w:t>Finding 2: The existing 14 MBS claiming channels are complex and opportunities exist to reduce duplication and vulnerabilities regarding patient and provider verification, and the application of up-front claims assessment.</w:t>
      </w:r>
    </w:p>
    <w:p w14:paraId="45F8E767" w14:textId="1AB77D6E" w:rsidR="00FB0633" w:rsidRDefault="002E6F4B" w:rsidP="00940D39">
      <w:pPr>
        <w:pStyle w:val="Heading2"/>
      </w:pPr>
      <w:bookmarkStart w:id="78" w:name="_Toc128669064"/>
      <w:bookmarkStart w:id="79" w:name="_Toc128905520"/>
      <w:bookmarkStart w:id="80" w:name="_Toc128907013"/>
      <w:bookmarkStart w:id="81" w:name="_Toc128909123"/>
      <w:r>
        <w:t>Governance and oversight of Medicare</w:t>
      </w:r>
      <w:bookmarkEnd w:id="78"/>
      <w:bookmarkEnd w:id="79"/>
      <w:bookmarkEnd w:id="80"/>
      <w:bookmarkEnd w:id="81"/>
    </w:p>
    <w:p w14:paraId="0B2DF63C" w14:textId="77777777" w:rsidR="00E65B6F" w:rsidRDefault="00E65B6F" w:rsidP="00E65B6F">
      <w:r>
        <w:t xml:space="preserve">Compliance and integrity activities related to the Scheme are split across </w:t>
      </w:r>
      <w:proofErr w:type="spellStart"/>
      <w:r>
        <w:t>DoHAC</w:t>
      </w:r>
      <w:proofErr w:type="spellEnd"/>
      <w:r>
        <w:t xml:space="preserve"> and Services Australia. At a high level, there are three key types of compliance activities undertaken in relation to Medicare: </w:t>
      </w:r>
    </w:p>
    <w:p w14:paraId="7D4C1E8E" w14:textId="77777777" w:rsidR="00E65B6F" w:rsidRDefault="00E65B6F" w:rsidP="00DC7291">
      <w:pPr>
        <w:pStyle w:val="ListNumber"/>
        <w:numPr>
          <w:ilvl w:val="0"/>
          <w:numId w:val="19"/>
        </w:numPr>
      </w:pPr>
      <w:r>
        <w:t>Provider compliance</w:t>
      </w:r>
    </w:p>
    <w:p w14:paraId="6C3D27B7" w14:textId="77777777" w:rsidR="00E65B6F" w:rsidRDefault="00E65B6F" w:rsidP="00940D39">
      <w:pPr>
        <w:pStyle w:val="ListNumber"/>
      </w:pPr>
      <w:r>
        <w:t xml:space="preserve">Public compliance </w:t>
      </w:r>
    </w:p>
    <w:p w14:paraId="3EC35D31" w14:textId="77777777" w:rsidR="007B5522" w:rsidRDefault="00E65B6F" w:rsidP="00940D39">
      <w:pPr>
        <w:pStyle w:val="ListNumber"/>
      </w:pPr>
      <w:r>
        <w:t xml:space="preserve">Third party compliance. </w:t>
      </w:r>
    </w:p>
    <w:p w14:paraId="460D43C6" w14:textId="19D295A3" w:rsidR="00E65B6F" w:rsidRDefault="00E65B6F" w:rsidP="00E65B6F">
      <w:r>
        <w:t xml:space="preserve">Medicare claims are processed and paid by Services Australia and the </w:t>
      </w:r>
      <w:r w:rsidR="009931E5">
        <w:t>department</w:t>
      </w:r>
      <w:r>
        <w:t xml:space="preserve"> </w:t>
      </w:r>
      <w:r w:rsidR="001B6151">
        <w:t xml:space="preserve">has </w:t>
      </w:r>
      <w:r w:rsidR="00F922B7">
        <w:t>policy responsibility for the MBS</w:t>
      </w:r>
      <w:r>
        <w:t xml:space="preserve">. There were conflicting views in stakeholder consultations and documents provided as to the specific separation of delegations and responsibilities for Medicare. However, </w:t>
      </w:r>
      <w:r w:rsidR="00893351">
        <w:fldChar w:fldCharType="begin"/>
      </w:r>
      <w:r w:rsidR="00893351">
        <w:instrText xml:space="preserve"> REF _Ref128658978 \r \h </w:instrText>
      </w:r>
      <w:r w:rsidR="00752D8B">
        <w:instrText xml:space="preserve"> \* MERGEFORMAT </w:instrText>
      </w:r>
      <w:r w:rsidR="00893351">
        <w:fldChar w:fldCharType="separate"/>
      </w:r>
      <w:r w:rsidR="005A1647">
        <w:t>Table 2.4</w:t>
      </w:r>
      <w:r w:rsidR="00893351">
        <w:fldChar w:fldCharType="end"/>
      </w:r>
      <w:r>
        <w:t xml:space="preserve"> provides a high-level overview of the key roles across these two agencies.</w:t>
      </w:r>
    </w:p>
    <w:p w14:paraId="05EDE786" w14:textId="37B4DC56" w:rsidR="00E65B6F" w:rsidRDefault="00E65B6F" w:rsidP="00E65B6F">
      <w:r>
        <w:t xml:space="preserve">Broadly, the table shows that in addition to administering all payments, Services Australia holds some compliance and integrity functions for public and third-party compliance. </w:t>
      </w:r>
      <w:proofErr w:type="spellStart"/>
      <w:r>
        <w:t>DoHAC</w:t>
      </w:r>
      <w:proofErr w:type="spellEnd"/>
      <w:r>
        <w:t xml:space="preserve"> holds responsibility for provider compliance – which is by far the greatest share of all claims. The roles and responsibilities in relation to these three categories is shared across </w:t>
      </w:r>
      <w:proofErr w:type="spellStart"/>
      <w:r>
        <w:t>DoHAC</w:t>
      </w:r>
      <w:proofErr w:type="spellEnd"/>
      <w:r>
        <w:t xml:space="preserve"> and Service Australia and is documented in the 2021 Compliance Protocol</w:t>
      </w:r>
      <w:r w:rsidR="00752D8B">
        <w:t>.</w:t>
      </w:r>
      <w:r w:rsidR="000110FD">
        <w:rPr>
          <w:rStyle w:val="FootnoteReference"/>
        </w:rPr>
        <w:footnoteReference w:id="4"/>
      </w:r>
      <w:r>
        <w:t xml:space="preserve"> </w:t>
      </w:r>
    </w:p>
    <w:p w14:paraId="12D7C0B8" w14:textId="70FBE20F" w:rsidR="00E65B6F" w:rsidRDefault="00E65B6F" w:rsidP="00940D39">
      <w:pPr>
        <w:pStyle w:val="CaptionTable"/>
        <w:ind w:left="0"/>
      </w:pPr>
      <w:bookmarkStart w:id="82" w:name="_Toc131418574"/>
      <w:bookmarkStart w:id="83" w:name="_Ref128658978"/>
      <w:r>
        <w:lastRenderedPageBreak/>
        <w:t xml:space="preserve">: Role, </w:t>
      </w:r>
      <w:proofErr w:type="gramStart"/>
      <w:r>
        <w:t>responsibility</w:t>
      </w:r>
      <w:proofErr w:type="gramEnd"/>
      <w:r>
        <w:t xml:space="preserve"> and compliance activities of the </w:t>
      </w:r>
      <w:r w:rsidR="008373E2">
        <w:t>government</w:t>
      </w:r>
      <w:r>
        <w:t xml:space="preserve"> in relation to Medicare</w:t>
      </w:r>
      <w:bookmarkEnd w:id="82"/>
      <w:r>
        <w:t xml:space="preserve"> </w:t>
      </w:r>
      <w:bookmarkEnd w:id="83"/>
    </w:p>
    <w:tbl>
      <w:tblPr>
        <w:tblStyle w:val="Deloittetable"/>
        <w:tblW w:w="5000" w:type="pct"/>
        <w:tblLook w:val="04A0" w:firstRow="1" w:lastRow="0" w:firstColumn="1" w:lastColumn="0" w:noHBand="0" w:noVBand="1"/>
      </w:tblPr>
      <w:tblGrid>
        <w:gridCol w:w="891"/>
        <w:gridCol w:w="1379"/>
        <w:gridCol w:w="4098"/>
        <w:gridCol w:w="4098"/>
      </w:tblGrid>
      <w:tr w:rsidR="00E65B6F" w:rsidRPr="004E7AE1" w14:paraId="30A852E2" w14:textId="77777777">
        <w:trPr>
          <w:cnfStyle w:val="100000000000" w:firstRow="1" w:lastRow="0" w:firstColumn="0" w:lastColumn="0" w:oddVBand="0" w:evenVBand="0" w:oddHBand="0" w:evenHBand="0" w:firstRowFirstColumn="0" w:firstRowLastColumn="0" w:lastRowFirstColumn="0" w:lastRowLastColumn="0"/>
          <w:tblHeader/>
        </w:trPr>
        <w:tc>
          <w:tcPr>
            <w:tcW w:w="425" w:type="pct"/>
            <w:tcBorders>
              <w:top w:val="single" w:sz="24" w:space="0" w:color="005B89"/>
            </w:tcBorders>
          </w:tcPr>
          <w:p w14:paraId="7A091FCB" w14:textId="77777777" w:rsidR="00E65B6F" w:rsidRPr="004E7AE1" w:rsidRDefault="00E65B6F" w:rsidP="004E7AE1">
            <w:r w:rsidRPr="004E7AE1">
              <w:t>Agency</w:t>
            </w:r>
          </w:p>
        </w:tc>
        <w:tc>
          <w:tcPr>
            <w:tcW w:w="659" w:type="pct"/>
            <w:tcBorders>
              <w:top w:val="single" w:sz="24" w:space="0" w:color="005B89"/>
            </w:tcBorders>
          </w:tcPr>
          <w:p w14:paraId="4B159D7D" w14:textId="77777777" w:rsidR="00E65B6F" w:rsidRPr="004E7AE1" w:rsidRDefault="00E65B6F" w:rsidP="004E7AE1">
            <w:r w:rsidRPr="004E7AE1">
              <w:t xml:space="preserve">Role </w:t>
            </w:r>
          </w:p>
        </w:tc>
        <w:tc>
          <w:tcPr>
            <w:tcW w:w="1958" w:type="pct"/>
            <w:tcBorders>
              <w:top w:val="single" w:sz="24" w:space="0" w:color="005B89"/>
            </w:tcBorders>
          </w:tcPr>
          <w:p w14:paraId="1747B03C" w14:textId="77777777" w:rsidR="00E65B6F" w:rsidRPr="004E7AE1" w:rsidRDefault="00E65B6F" w:rsidP="004E7AE1">
            <w:r w:rsidRPr="004E7AE1">
              <w:t>Compliance role</w:t>
            </w:r>
          </w:p>
        </w:tc>
        <w:tc>
          <w:tcPr>
            <w:tcW w:w="1958" w:type="pct"/>
            <w:tcBorders>
              <w:top w:val="single" w:sz="24" w:space="0" w:color="005B89"/>
            </w:tcBorders>
          </w:tcPr>
          <w:p w14:paraId="3440AFE2" w14:textId="298F7CBD" w:rsidR="00E65B6F" w:rsidRPr="004E7AE1" w:rsidRDefault="00E65B6F" w:rsidP="004E7AE1">
            <w:r w:rsidRPr="004E7AE1">
              <w:t xml:space="preserve">Relevant divisions/teams </w:t>
            </w:r>
          </w:p>
        </w:tc>
      </w:tr>
      <w:tr w:rsidR="00E65B6F" w:rsidRPr="00BF5CDB" w14:paraId="3BF1E940" w14:textId="77777777">
        <w:tc>
          <w:tcPr>
            <w:tcW w:w="425" w:type="pct"/>
          </w:tcPr>
          <w:p w14:paraId="44808384" w14:textId="77777777" w:rsidR="00E65B6F" w:rsidRPr="00BF5CDB" w:rsidRDefault="00E65B6F">
            <w:pPr>
              <w:pStyle w:val="TabletextLeft"/>
              <w:rPr>
                <w:b/>
                <w:szCs w:val="20"/>
              </w:rPr>
            </w:pPr>
            <w:proofErr w:type="spellStart"/>
            <w:r w:rsidRPr="00BF5CDB">
              <w:rPr>
                <w:b/>
                <w:szCs w:val="20"/>
              </w:rPr>
              <w:t>DoHAC</w:t>
            </w:r>
            <w:proofErr w:type="spellEnd"/>
          </w:p>
        </w:tc>
        <w:tc>
          <w:tcPr>
            <w:tcW w:w="659" w:type="pct"/>
          </w:tcPr>
          <w:p w14:paraId="323F2FCD" w14:textId="3AED07B1" w:rsidR="00E65B6F" w:rsidRPr="00BF5CDB" w:rsidRDefault="00E65B6F" w:rsidP="004D051F">
            <w:pPr>
              <w:pStyle w:val="TabletextLeft"/>
              <w:rPr>
                <w:szCs w:val="20"/>
              </w:rPr>
            </w:pPr>
            <w:r w:rsidRPr="00BF5CDB">
              <w:rPr>
                <w:szCs w:val="20"/>
              </w:rPr>
              <w:t xml:space="preserve">Set policy and oversee </w:t>
            </w:r>
            <w:r w:rsidR="00257A37" w:rsidRPr="00BF5CDB">
              <w:rPr>
                <w:szCs w:val="20"/>
              </w:rPr>
              <w:t xml:space="preserve">provider </w:t>
            </w:r>
            <w:r w:rsidRPr="00BF5CDB">
              <w:rPr>
                <w:szCs w:val="20"/>
              </w:rPr>
              <w:t>compliance</w:t>
            </w:r>
          </w:p>
        </w:tc>
        <w:tc>
          <w:tcPr>
            <w:tcW w:w="1958" w:type="pct"/>
          </w:tcPr>
          <w:p w14:paraId="3D19A191" w14:textId="26677F7D" w:rsidR="00E65B6F" w:rsidRPr="00EF2981" w:rsidRDefault="00E65B6F" w:rsidP="004D051F">
            <w:pPr>
              <w:pStyle w:val="Tablebullets"/>
              <w:framePr w:wrap="around"/>
              <w:rPr>
                <w:szCs w:val="20"/>
              </w:rPr>
            </w:pPr>
            <w:r w:rsidRPr="00EF2981">
              <w:rPr>
                <w:szCs w:val="20"/>
              </w:rPr>
              <w:t xml:space="preserve">Provider </w:t>
            </w:r>
            <w:r w:rsidR="005452EF" w:rsidRPr="00EF2981">
              <w:rPr>
                <w:szCs w:val="20"/>
              </w:rPr>
              <w:t>c</w:t>
            </w:r>
            <w:r w:rsidRPr="00EF2981">
              <w:rPr>
                <w:szCs w:val="20"/>
              </w:rPr>
              <w:t>ompliance (under the delegation of the Chief Executive Medicare)</w:t>
            </w:r>
          </w:p>
        </w:tc>
        <w:tc>
          <w:tcPr>
            <w:tcW w:w="1958" w:type="pct"/>
          </w:tcPr>
          <w:p w14:paraId="1B580634" w14:textId="480D95AD" w:rsidR="00E65B6F" w:rsidRPr="00EF2981" w:rsidRDefault="00E65B6F" w:rsidP="004D051F">
            <w:pPr>
              <w:pStyle w:val="Tablebullets"/>
              <w:framePr w:wrap="around"/>
              <w:rPr>
                <w:szCs w:val="20"/>
              </w:rPr>
            </w:pPr>
            <w:r w:rsidRPr="00EF2981">
              <w:rPr>
                <w:szCs w:val="20"/>
              </w:rPr>
              <w:t>Benefits Integrity Division (BID) including</w:t>
            </w:r>
            <w:r w:rsidR="00613DE1" w:rsidRPr="00EF2981">
              <w:rPr>
                <w:szCs w:val="20"/>
              </w:rPr>
              <w:t xml:space="preserve"> analytical</w:t>
            </w:r>
            <w:r w:rsidR="002A49D6" w:rsidRPr="00EF2981">
              <w:rPr>
                <w:szCs w:val="20"/>
              </w:rPr>
              <w:t>, operational, and system areas</w:t>
            </w:r>
            <w:r w:rsidRPr="00EF2981">
              <w:rPr>
                <w:szCs w:val="20"/>
              </w:rPr>
              <w:t>:</w:t>
            </w:r>
          </w:p>
          <w:p w14:paraId="4778CDE4" w14:textId="2BFE8061" w:rsidR="002C5B77" w:rsidRPr="00EF2981" w:rsidRDefault="002C5B77" w:rsidP="004D051F">
            <w:pPr>
              <w:pStyle w:val="Tablebullets"/>
              <w:framePr w:wrap="around"/>
              <w:rPr>
                <w:szCs w:val="20"/>
              </w:rPr>
            </w:pPr>
            <w:r w:rsidRPr="00EF2981">
              <w:rPr>
                <w:szCs w:val="20"/>
              </w:rPr>
              <w:t>Medicare Benefits and Digital Health Division</w:t>
            </w:r>
          </w:p>
          <w:p w14:paraId="6A624915" w14:textId="2D9D8120" w:rsidR="00C208D1" w:rsidRPr="00EF2981" w:rsidRDefault="00C208D1" w:rsidP="004D051F">
            <w:pPr>
              <w:pStyle w:val="Tablebullets"/>
              <w:framePr w:wrap="around"/>
              <w:rPr>
                <w:szCs w:val="20"/>
              </w:rPr>
            </w:pPr>
            <w:r w:rsidRPr="00EF2981">
              <w:rPr>
                <w:szCs w:val="20"/>
              </w:rPr>
              <w:t>Mental Health Division</w:t>
            </w:r>
          </w:p>
          <w:p w14:paraId="29EE7457" w14:textId="71786B35" w:rsidR="00E65B6F" w:rsidRPr="00EF2981" w:rsidRDefault="008A0C7F" w:rsidP="004D051F">
            <w:pPr>
              <w:pStyle w:val="Tablebullets"/>
              <w:framePr w:wrap="around"/>
              <w:rPr>
                <w:szCs w:val="20"/>
              </w:rPr>
            </w:pPr>
            <w:r w:rsidRPr="00EF2981">
              <w:rPr>
                <w:szCs w:val="20"/>
              </w:rPr>
              <w:t>Primary Care Division</w:t>
            </w:r>
          </w:p>
        </w:tc>
      </w:tr>
      <w:tr w:rsidR="00E65B6F" w:rsidRPr="00BF5CDB" w14:paraId="61EDE298" w14:textId="77777777">
        <w:tc>
          <w:tcPr>
            <w:tcW w:w="425" w:type="pct"/>
          </w:tcPr>
          <w:p w14:paraId="4A8E0634" w14:textId="77777777" w:rsidR="00E65B6F" w:rsidRPr="00BF5CDB" w:rsidRDefault="00E65B6F">
            <w:pPr>
              <w:pStyle w:val="TabletextLeft"/>
              <w:rPr>
                <w:b/>
                <w:szCs w:val="20"/>
              </w:rPr>
            </w:pPr>
            <w:r w:rsidRPr="00BF5CDB">
              <w:rPr>
                <w:b/>
                <w:szCs w:val="20"/>
              </w:rPr>
              <w:t>Services Australia</w:t>
            </w:r>
          </w:p>
        </w:tc>
        <w:tc>
          <w:tcPr>
            <w:tcW w:w="659" w:type="pct"/>
          </w:tcPr>
          <w:p w14:paraId="618C2F1C" w14:textId="324CF063" w:rsidR="00E65B6F" w:rsidRPr="00BF5CDB" w:rsidRDefault="00E65B6F" w:rsidP="004D051F">
            <w:pPr>
              <w:pStyle w:val="TabletextLeft"/>
              <w:rPr>
                <w:szCs w:val="20"/>
              </w:rPr>
            </w:pPr>
            <w:r w:rsidRPr="00BF5CDB">
              <w:rPr>
                <w:szCs w:val="20"/>
              </w:rPr>
              <w:t xml:space="preserve">Administer </w:t>
            </w:r>
            <w:r w:rsidR="005452EF" w:rsidRPr="00BF5CDB">
              <w:rPr>
                <w:szCs w:val="20"/>
              </w:rPr>
              <w:t>p</w:t>
            </w:r>
            <w:r w:rsidRPr="00BF5CDB">
              <w:rPr>
                <w:szCs w:val="20"/>
              </w:rPr>
              <w:t>ayments</w:t>
            </w:r>
          </w:p>
        </w:tc>
        <w:tc>
          <w:tcPr>
            <w:tcW w:w="1958" w:type="pct"/>
          </w:tcPr>
          <w:p w14:paraId="59F83710" w14:textId="5E4D89CE" w:rsidR="00E65B6F" w:rsidRPr="00EF2981" w:rsidRDefault="00E65B6F" w:rsidP="004D051F">
            <w:pPr>
              <w:pStyle w:val="Tablebullets"/>
              <w:framePr w:wrap="around"/>
              <w:rPr>
                <w:szCs w:val="20"/>
              </w:rPr>
            </w:pPr>
            <w:r w:rsidRPr="00EF2981">
              <w:rPr>
                <w:szCs w:val="20"/>
              </w:rPr>
              <w:t xml:space="preserve">Public </w:t>
            </w:r>
            <w:r w:rsidR="005452EF" w:rsidRPr="00EF2981">
              <w:rPr>
                <w:szCs w:val="20"/>
              </w:rPr>
              <w:t>c</w:t>
            </w:r>
            <w:r w:rsidRPr="00EF2981">
              <w:rPr>
                <w:szCs w:val="20"/>
              </w:rPr>
              <w:t>ompliance</w:t>
            </w:r>
          </w:p>
          <w:p w14:paraId="22653E40" w14:textId="798EAE4C" w:rsidR="00E65B6F" w:rsidRPr="00EF2981" w:rsidRDefault="00E65B6F" w:rsidP="004D051F">
            <w:pPr>
              <w:pStyle w:val="Tablebullets"/>
              <w:framePr w:wrap="around"/>
              <w:rPr>
                <w:szCs w:val="20"/>
              </w:rPr>
            </w:pPr>
            <w:r w:rsidRPr="00EF2981">
              <w:rPr>
                <w:szCs w:val="20"/>
              </w:rPr>
              <w:t xml:space="preserve">Third </w:t>
            </w:r>
            <w:r w:rsidR="00A65897" w:rsidRPr="00EF2981">
              <w:rPr>
                <w:szCs w:val="20"/>
              </w:rPr>
              <w:t>p</w:t>
            </w:r>
            <w:r w:rsidRPr="00EF2981">
              <w:rPr>
                <w:szCs w:val="20"/>
              </w:rPr>
              <w:t xml:space="preserve">arty </w:t>
            </w:r>
            <w:r w:rsidR="005452EF" w:rsidRPr="00EF2981">
              <w:rPr>
                <w:szCs w:val="20"/>
              </w:rPr>
              <w:t>c</w:t>
            </w:r>
            <w:r w:rsidRPr="00EF2981">
              <w:rPr>
                <w:szCs w:val="20"/>
              </w:rPr>
              <w:t>ompliance (where payments are made to third parties who claim the MBS payment on behalf of the customer)</w:t>
            </w:r>
          </w:p>
        </w:tc>
        <w:tc>
          <w:tcPr>
            <w:tcW w:w="1958" w:type="pct"/>
          </w:tcPr>
          <w:p w14:paraId="2111E422" w14:textId="77777777" w:rsidR="00E65B6F" w:rsidRPr="00EF2981" w:rsidRDefault="00E65B6F" w:rsidP="004D051F">
            <w:pPr>
              <w:pStyle w:val="Tablebullets"/>
              <w:framePr w:wrap="around"/>
              <w:rPr>
                <w:szCs w:val="20"/>
              </w:rPr>
            </w:pPr>
            <w:r w:rsidRPr="00EF2981">
              <w:rPr>
                <w:szCs w:val="20"/>
              </w:rPr>
              <w:t>Fraud Control and Investigations</w:t>
            </w:r>
          </w:p>
          <w:p w14:paraId="4669BFBF" w14:textId="77777777" w:rsidR="00E65B6F" w:rsidRPr="00EF2981" w:rsidRDefault="00E65B6F" w:rsidP="004D051F">
            <w:pPr>
              <w:pStyle w:val="Tablebullets"/>
              <w:framePr w:wrap="around"/>
              <w:rPr>
                <w:szCs w:val="20"/>
              </w:rPr>
            </w:pPr>
            <w:r w:rsidRPr="00EF2981">
              <w:rPr>
                <w:szCs w:val="20"/>
              </w:rPr>
              <w:t>Medicare Branch</w:t>
            </w:r>
          </w:p>
        </w:tc>
      </w:tr>
    </w:tbl>
    <w:p w14:paraId="7E1AC3BF" w14:textId="71C19B62" w:rsidR="00E65B6F" w:rsidRDefault="00E65B6F" w:rsidP="00E65B6F">
      <w:pPr>
        <w:pStyle w:val="Caption"/>
      </w:pPr>
      <w:r>
        <w:t xml:space="preserve">Source: Philip Review (2023) </w:t>
      </w:r>
    </w:p>
    <w:p w14:paraId="63D4711E" w14:textId="452FCF26" w:rsidR="00E65B6F" w:rsidRDefault="002902C4" w:rsidP="00E65B6F">
      <w:r>
        <w:fldChar w:fldCharType="begin"/>
      </w:r>
      <w:r>
        <w:instrText xml:space="preserve"> REF _Ref128659049 \r \h </w:instrText>
      </w:r>
      <w:r>
        <w:fldChar w:fldCharType="separate"/>
      </w:r>
      <w:r w:rsidR="005A1647">
        <w:t>Figure 2.2</w:t>
      </w:r>
      <w:r>
        <w:fldChar w:fldCharType="end"/>
      </w:r>
      <w:r w:rsidR="00E65B6F">
        <w:t xml:space="preserve"> provides a very high-level overview of the key players and their roles in the current state compliance and integrity system from pre-claim through to post-payment. Within the pre</w:t>
      </w:r>
      <w:r w:rsidR="004A1281">
        <w:t>-</w:t>
      </w:r>
      <w:r w:rsidR="00E65B6F">
        <w:t xml:space="preserve">payment and post-payment check phases, a claim may undergo identification, </w:t>
      </w:r>
      <w:proofErr w:type="gramStart"/>
      <w:r w:rsidR="00E65B6F">
        <w:t>investigation</w:t>
      </w:r>
      <w:proofErr w:type="gramEnd"/>
      <w:r w:rsidR="00E65B6F">
        <w:t xml:space="preserve"> and treatment to ensure services are claimed according to Medicare rules.</w:t>
      </w:r>
    </w:p>
    <w:p w14:paraId="68047A1E" w14:textId="2E6D29FA" w:rsidR="00E65B6F" w:rsidRDefault="00E65B6F" w:rsidP="00940D39">
      <w:pPr>
        <w:pStyle w:val="CaptionFigure"/>
      </w:pPr>
      <w:bookmarkStart w:id="84" w:name="_Ref128659049"/>
      <w:bookmarkStart w:id="85" w:name="_Toc131418621"/>
      <w:r>
        <w:t xml:space="preserve">: Current state of the </w:t>
      </w:r>
      <w:r w:rsidR="00956387">
        <w:t xml:space="preserve">provider </w:t>
      </w:r>
      <w:r>
        <w:t>compliance and integrity system</w:t>
      </w:r>
      <w:bookmarkEnd w:id="84"/>
      <w:bookmarkEnd w:id="85"/>
    </w:p>
    <w:p w14:paraId="0ECDB229" w14:textId="6A3B4244" w:rsidR="00E65B6F" w:rsidRPr="00CF17CF" w:rsidRDefault="00B97935" w:rsidP="00B97935">
      <w:r>
        <w:rPr>
          <w:noProof/>
        </w:rPr>
        <w:drawing>
          <wp:inline distT="0" distB="0" distL="0" distR="0" wp14:anchorId="27A7C921" wp14:editId="25058443">
            <wp:extent cx="6743700" cy="3345188"/>
            <wp:effectExtent l="0" t="0" r="0" b="7620"/>
            <wp:docPr id="3" name="Picture 3" descr="Figure 2.2 is a diagram showing involvement of different stakeholders at different stages of compliance, e.g. preclaim, claim, pre-payment, payment and post-payment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2 is a diagram showing involvement of different stakeholders at different stages of compliance, e.g. preclaim, claim, pre-payment, payment and post-payment chec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9604" cy="3353077"/>
                    </a:xfrm>
                    <a:prstGeom prst="rect">
                      <a:avLst/>
                    </a:prstGeom>
                    <a:noFill/>
                  </pic:spPr>
                </pic:pic>
              </a:graphicData>
            </a:graphic>
          </wp:inline>
        </w:drawing>
      </w:r>
    </w:p>
    <w:p w14:paraId="27A0FDBF" w14:textId="735B90F6" w:rsidR="0066660C" w:rsidRPr="001A3238" w:rsidRDefault="00E65B6F" w:rsidP="001A3238">
      <w:pPr>
        <w:pStyle w:val="Caption"/>
        <w:rPr>
          <w:sz w:val="16"/>
          <w:szCs w:val="14"/>
        </w:rPr>
      </w:pPr>
      <w:r>
        <w:t>Source: Philip Review (2023)</w:t>
      </w:r>
    </w:p>
    <w:p w14:paraId="53A39BB8" w14:textId="77777777" w:rsidR="007B5522" w:rsidRDefault="00950796" w:rsidP="00E65B6F">
      <w:r>
        <w:fldChar w:fldCharType="begin"/>
      </w:r>
      <w:r>
        <w:instrText xml:space="preserve"> REF _Ref128659193 \r \h </w:instrText>
      </w:r>
      <w:r>
        <w:fldChar w:fldCharType="separate"/>
      </w:r>
      <w:r w:rsidR="005A1647">
        <w:t>Table 2.5</w:t>
      </w:r>
      <w:r>
        <w:fldChar w:fldCharType="end"/>
      </w:r>
      <w:r w:rsidR="002C7C5E">
        <w:t xml:space="preserve"> </w:t>
      </w:r>
      <w:r w:rsidR="0043528A">
        <w:t xml:space="preserve">lays out an overview of the key compliance and integrity services undertaken by Services Australia and </w:t>
      </w:r>
      <w:proofErr w:type="spellStart"/>
      <w:r w:rsidR="0043528A">
        <w:t>DoHAC</w:t>
      </w:r>
      <w:proofErr w:type="spellEnd"/>
      <w:r w:rsidR="0043528A">
        <w:t xml:space="preserve">. </w:t>
      </w:r>
      <w:r w:rsidR="007823DB">
        <w:t xml:space="preserve">It </w:t>
      </w:r>
      <w:r w:rsidR="00455C00">
        <w:t>highlights</w:t>
      </w:r>
      <w:r w:rsidR="007823DB">
        <w:t xml:space="preserve"> that the workflow starts at Services Australia and then flows through to </w:t>
      </w:r>
      <w:proofErr w:type="spellStart"/>
      <w:r w:rsidR="007823DB">
        <w:t>DoHAC</w:t>
      </w:r>
      <w:proofErr w:type="spellEnd"/>
      <w:r w:rsidR="007823DB">
        <w:t xml:space="preserve"> following payment. </w:t>
      </w:r>
      <w:r w:rsidR="00D31417">
        <w:fldChar w:fldCharType="begin"/>
      </w:r>
      <w:r w:rsidR="00D31417">
        <w:instrText xml:space="preserve"> REF _Ref128659329 \r \h </w:instrText>
      </w:r>
      <w:r w:rsidR="00D31417">
        <w:fldChar w:fldCharType="separate"/>
      </w:r>
      <w:r w:rsidR="005A1647">
        <w:t>Table 2.6</w:t>
      </w:r>
      <w:r w:rsidR="00D31417">
        <w:fldChar w:fldCharType="end"/>
      </w:r>
      <w:r w:rsidR="000965E6">
        <w:t xml:space="preserve"> </w:t>
      </w:r>
      <w:r w:rsidR="00CC7226">
        <w:t xml:space="preserve">outlines the treatments that </w:t>
      </w:r>
      <w:r w:rsidR="00744D60">
        <w:t>are applied</w:t>
      </w:r>
      <w:r w:rsidR="00E30DA8">
        <w:t>, highlighting the number of ‘enforceable’ treatment types which exist that are largely limited to serious cases of non-compliant claims.</w:t>
      </w:r>
    </w:p>
    <w:p w14:paraId="29DF3D5E" w14:textId="67DAE582" w:rsidR="00E65B6F" w:rsidRDefault="00E65B6F" w:rsidP="00940D39">
      <w:pPr>
        <w:pStyle w:val="CaptionTable"/>
        <w:ind w:left="0"/>
      </w:pPr>
      <w:bookmarkStart w:id="86" w:name="_Ref128659193"/>
      <w:bookmarkStart w:id="87" w:name="_Toc131418575"/>
      <w:r>
        <w:t>: Current compliance activities in relation to the MBS</w:t>
      </w:r>
      <w:bookmarkEnd w:id="86"/>
      <w:bookmarkEnd w:id="87"/>
    </w:p>
    <w:tbl>
      <w:tblPr>
        <w:tblStyle w:val="Deloittetable"/>
        <w:tblW w:w="5000" w:type="pct"/>
        <w:tblLook w:val="04A0" w:firstRow="1" w:lastRow="0" w:firstColumn="1" w:lastColumn="0" w:noHBand="0" w:noVBand="1"/>
      </w:tblPr>
      <w:tblGrid>
        <w:gridCol w:w="1354"/>
        <w:gridCol w:w="4639"/>
        <w:gridCol w:w="4473"/>
      </w:tblGrid>
      <w:tr w:rsidR="00E65B6F" w:rsidRPr="004E7AE1" w14:paraId="3312412B" w14:textId="77777777" w:rsidTr="001C1F74">
        <w:trPr>
          <w:cnfStyle w:val="100000000000" w:firstRow="1" w:lastRow="0" w:firstColumn="0" w:lastColumn="0" w:oddVBand="0" w:evenVBand="0" w:oddHBand="0" w:evenHBand="0" w:firstRowFirstColumn="0" w:firstRowLastColumn="0" w:lastRowFirstColumn="0" w:lastRowLastColumn="0"/>
          <w:trHeight w:val="20"/>
          <w:tblHeader/>
        </w:trPr>
        <w:tc>
          <w:tcPr>
            <w:tcW w:w="610" w:type="pct"/>
            <w:tcBorders>
              <w:top w:val="single" w:sz="24" w:space="0" w:color="005B89"/>
            </w:tcBorders>
          </w:tcPr>
          <w:p w14:paraId="74420787" w14:textId="77777777" w:rsidR="00E65B6F" w:rsidRPr="004E7AE1" w:rsidRDefault="00E65B6F" w:rsidP="004E7AE1">
            <w:r w:rsidRPr="004E7AE1">
              <w:t>Stage</w:t>
            </w:r>
          </w:p>
        </w:tc>
        <w:tc>
          <w:tcPr>
            <w:tcW w:w="2235" w:type="pct"/>
            <w:tcBorders>
              <w:top w:val="single" w:sz="24" w:space="0" w:color="005B89"/>
            </w:tcBorders>
          </w:tcPr>
          <w:p w14:paraId="2427B1B8" w14:textId="77777777" w:rsidR="00E65B6F" w:rsidRPr="004E7AE1" w:rsidRDefault="00E65B6F" w:rsidP="004E7AE1">
            <w:proofErr w:type="spellStart"/>
            <w:r w:rsidRPr="004E7AE1">
              <w:t>DoHAC</w:t>
            </w:r>
            <w:proofErr w:type="spellEnd"/>
          </w:p>
        </w:tc>
        <w:tc>
          <w:tcPr>
            <w:tcW w:w="2156" w:type="pct"/>
            <w:tcBorders>
              <w:top w:val="single" w:sz="24" w:space="0" w:color="005B89"/>
            </w:tcBorders>
          </w:tcPr>
          <w:p w14:paraId="21D99412" w14:textId="77777777" w:rsidR="00E65B6F" w:rsidRPr="004E7AE1" w:rsidRDefault="00E65B6F" w:rsidP="004E7AE1">
            <w:r w:rsidRPr="004E7AE1">
              <w:t>Services Australia</w:t>
            </w:r>
          </w:p>
        </w:tc>
      </w:tr>
      <w:tr w:rsidR="00E65B6F" w:rsidRPr="00BF5CDB" w14:paraId="7EDC525C" w14:textId="77777777" w:rsidTr="001C1F74">
        <w:trPr>
          <w:trHeight w:val="20"/>
        </w:trPr>
        <w:tc>
          <w:tcPr>
            <w:tcW w:w="610" w:type="pct"/>
          </w:tcPr>
          <w:p w14:paraId="5E5AE529" w14:textId="77777777" w:rsidR="00E65B6F" w:rsidRPr="00BF5CDB" w:rsidRDefault="00E65B6F">
            <w:pPr>
              <w:pStyle w:val="TabletextLeft"/>
              <w:rPr>
                <w:b/>
                <w:szCs w:val="20"/>
              </w:rPr>
            </w:pPr>
            <w:r w:rsidRPr="00BF5CDB">
              <w:rPr>
                <w:b/>
                <w:szCs w:val="20"/>
              </w:rPr>
              <w:t>Pre-claim</w:t>
            </w:r>
          </w:p>
        </w:tc>
        <w:tc>
          <w:tcPr>
            <w:tcW w:w="2235" w:type="pct"/>
          </w:tcPr>
          <w:p w14:paraId="60164E3A" w14:textId="1AD530CB" w:rsidR="00E65B6F" w:rsidRPr="004E7AE1" w:rsidRDefault="00E65B6F" w:rsidP="004E7AE1">
            <w:pPr>
              <w:pStyle w:val="Tablebullets"/>
              <w:framePr w:wrap="around"/>
            </w:pPr>
            <w:r w:rsidRPr="00EF2981">
              <w:t>Education and a</w:t>
            </w:r>
            <w:r w:rsidRPr="004E7AE1">
              <w:t>wareness campaigns</w:t>
            </w:r>
          </w:p>
          <w:p w14:paraId="52C3FC55" w14:textId="7FBDA64C" w:rsidR="00E65B6F" w:rsidRPr="004E7AE1" w:rsidRDefault="00E65B6F" w:rsidP="004E7AE1">
            <w:pPr>
              <w:pStyle w:val="Tablebullets"/>
              <w:framePr w:wrap="around"/>
            </w:pPr>
            <w:r w:rsidRPr="004E7AE1">
              <w:t>AskMBS email service to provide advice on appropriate claiming</w:t>
            </w:r>
          </w:p>
          <w:p w14:paraId="43B42CFC" w14:textId="39A57C1A" w:rsidR="00E65B6F" w:rsidRPr="00EF2981" w:rsidRDefault="00E65B6F" w:rsidP="004E7AE1">
            <w:pPr>
              <w:pStyle w:val="Tablebullets"/>
              <w:framePr w:wrap="around"/>
            </w:pPr>
            <w:r w:rsidRPr="004E7AE1">
              <w:t>Define the busin</w:t>
            </w:r>
            <w:r w:rsidRPr="00EF2981">
              <w:t>ess rules around making claims</w:t>
            </w:r>
          </w:p>
        </w:tc>
        <w:tc>
          <w:tcPr>
            <w:tcW w:w="2156" w:type="pct"/>
          </w:tcPr>
          <w:p w14:paraId="72A35E79" w14:textId="5466E6A9" w:rsidR="00E65B6F" w:rsidRPr="00EF2981" w:rsidRDefault="00E65B6F" w:rsidP="004E7AE1">
            <w:pPr>
              <w:pStyle w:val="Tablebullets"/>
              <w:framePr w:wrap="around"/>
            </w:pPr>
            <w:r w:rsidRPr="00EF2981">
              <w:t>Education and support centred on matters related to claiming/payment administration</w:t>
            </w:r>
            <w:r w:rsidR="00CE476F" w:rsidRPr="00EF2981">
              <w:t xml:space="preserve"> </w:t>
            </w:r>
            <w:r w:rsidR="00485BC2" w:rsidRPr="00EF2981">
              <w:t>including:</w:t>
            </w:r>
          </w:p>
          <w:p w14:paraId="374EAAF0" w14:textId="77777777" w:rsidR="00485BC2" w:rsidRPr="004E7AE1" w:rsidRDefault="00485BC2" w:rsidP="004E7AE1">
            <w:pPr>
              <w:pStyle w:val="Tablebullet2"/>
              <w:framePr w:wrap="around"/>
            </w:pPr>
            <w:r w:rsidRPr="00EF2981">
              <w:t>News fo</w:t>
            </w:r>
            <w:r w:rsidRPr="004E7AE1">
              <w:t>r health professionals</w:t>
            </w:r>
          </w:p>
          <w:p w14:paraId="4D9CBBFB" w14:textId="60661CAA" w:rsidR="00485BC2" w:rsidRPr="004E7AE1" w:rsidRDefault="00485BC2" w:rsidP="004E7AE1">
            <w:pPr>
              <w:pStyle w:val="Tablebullet2"/>
              <w:framePr w:wrap="around"/>
            </w:pPr>
            <w:r w:rsidRPr="004E7AE1">
              <w:t xml:space="preserve">Health </w:t>
            </w:r>
            <w:r w:rsidR="00A65897" w:rsidRPr="004E7AE1">
              <w:t>p</w:t>
            </w:r>
            <w:r w:rsidRPr="004E7AE1">
              <w:t xml:space="preserve">rofessional </w:t>
            </w:r>
            <w:r w:rsidR="00A65897" w:rsidRPr="004E7AE1">
              <w:t>e</w:t>
            </w:r>
            <w:r w:rsidRPr="004E7AE1">
              <w:t>ducation resources</w:t>
            </w:r>
          </w:p>
          <w:p w14:paraId="05289B83" w14:textId="4866885D" w:rsidR="00485BC2" w:rsidRPr="00EF2981" w:rsidRDefault="00485BC2" w:rsidP="004E7AE1">
            <w:pPr>
              <w:pStyle w:val="Tablebullet2"/>
              <w:framePr w:wrap="around"/>
            </w:pPr>
            <w:r w:rsidRPr="004E7AE1">
              <w:t>Commun</w:t>
            </w:r>
            <w:r w:rsidRPr="00EF2981">
              <w:t>ications to health peak bodies</w:t>
            </w:r>
          </w:p>
          <w:p w14:paraId="4044BCB8" w14:textId="70D81635" w:rsidR="00485BC2" w:rsidRPr="004E7AE1" w:rsidRDefault="00485BC2" w:rsidP="004E7AE1">
            <w:pPr>
              <w:pStyle w:val="Tablebullets"/>
              <w:framePr w:wrap="around"/>
            </w:pPr>
            <w:r w:rsidRPr="00EF2981">
              <w:lastRenderedPageBreak/>
              <w:t>Outreach servi</w:t>
            </w:r>
            <w:r w:rsidRPr="004E7AE1">
              <w:t>ces through the specialised Medicare Engagement Officers (MEO) to support intensive education and support to healthcare professio</w:t>
            </w:r>
            <w:r w:rsidR="00404737" w:rsidRPr="004E7AE1">
              <w:t>n</w:t>
            </w:r>
            <w:r w:rsidR="00A65897" w:rsidRPr="004E7AE1">
              <w:t>al</w:t>
            </w:r>
            <w:r w:rsidR="00404737" w:rsidRPr="004E7AE1">
              <w:t>s</w:t>
            </w:r>
          </w:p>
          <w:p w14:paraId="562BB9A0" w14:textId="2CD8E950" w:rsidR="006D72B5" w:rsidRPr="004E7AE1" w:rsidRDefault="006D72B5" w:rsidP="004E7AE1">
            <w:pPr>
              <w:pStyle w:val="Tablebullets"/>
              <w:framePr w:wrap="around"/>
            </w:pPr>
            <w:r w:rsidRPr="004E7AE1">
              <w:t xml:space="preserve">Telephone lines for Medicare billing, claiming, payments and provider number </w:t>
            </w:r>
            <w:r w:rsidR="00C95C15" w:rsidRPr="004E7AE1">
              <w:t>enquiries</w:t>
            </w:r>
          </w:p>
          <w:p w14:paraId="722E8CCC" w14:textId="187B77DC" w:rsidR="00E65B6F" w:rsidRPr="00EF2981" w:rsidRDefault="00C95C15" w:rsidP="004E7AE1">
            <w:pPr>
              <w:pStyle w:val="Tablebullets"/>
              <w:framePr w:wrap="around"/>
            </w:pPr>
            <w:r w:rsidRPr="004E7AE1">
              <w:t>MBS Items Online C</w:t>
            </w:r>
            <w:r w:rsidRPr="00EF2981">
              <w:t>hecker available in HPOS</w:t>
            </w:r>
          </w:p>
        </w:tc>
      </w:tr>
      <w:tr w:rsidR="00E65B6F" w:rsidRPr="00BF5CDB" w14:paraId="2131CBAC" w14:textId="77777777" w:rsidTr="001C1F74">
        <w:trPr>
          <w:trHeight w:val="20"/>
        </w:trPr>
        <w:tc>
          <w:tcPr>
            <w:tcW w:w="610" w:type="pct"/>
          </w:tcPr>
          <w:p w14:paraId="6550951F" w14:textId="77777777" w:rsidR="00E65B6F" w:rsidRPr="00BF5CDB" w:rsidRDefault="00E65B6F">
            <w:pPr>
              <w:pStyle w:val="TabletextLeft"/>
              <w:rPr>
                <w:b/>
                <w:szCs w:val="20"/>
              </w:rPr>
            </w:pPr>
            <w:r w:rsidRPr="00BF5CDB">
              <w:rPr>
                <w:b/>
                <w:szCs w:val="20"/>
              </w:rPr>
              <w:lastRenderedPageBreak/>
              <w:t>Pre-payment</w:t>
            </w:r>
          </w:p>
        </w:tc>
        <w:tc>
          <w:tcPr>
            <w:tcW w:w="2235" w:type="pct"/>
          </w:tcPr>
          <w:p w14:paraId="5F75B049" w14:textId="6AC10A26" w:rsidR="00E65B6F" w:rsidRPr="00EF2981" w:rsidRDefault="00E65B6F" w:rsidP="004E7AE1">
            <w:pPr>
              <w:pStyle w:val="Tablebullets"/>
              <w:framePr w:wrap="around"/>
            </w:pPr>
            <w:r w:rsidRPr="00EF2981">
              <w:t>Limited involvement</w:t>
            </w:r>
          </w:p>
        </w:tc>
        <w:tc>
          <w:tcPr>
            <w:tcW w:w="2156" w:type="pct"/>
          </w:tcPr>
          <w:p w14:paraId="059D0E18" w14:textId="4F1B30E9" w:rsidR="00E65B6F" w:rsidRPr="004E7AE1" w:rsidRDefault="00E65B6F" w:rsidP="004E7AE1">
            <w:pPr>
              <w:pStyle w:val="Tablebullets"/>
              <w:framePr w:wrap="around"/>
            </w:pPr>
            <w:r w:rsidRPr="004E7AE1">
              <w:t>Real</w:t>
            </w:r>
            <w:r w:rsidR="00E751ED" w:rsidRPr="004E7AE1">
              <w:t>-</w:t>
            </w:r>
            <w:r w:rsidRPr="004E7AE1">
              <w:t>time analysis for public compliance only</w:t>
            </w:r>
            <w:r w:rsidR="00AB11CE" w:rsidRPr="004E7AE1">
              <w:t xml:space="preserve"> via the M</w:t>
            </w:r>
            <w:r w:rsidR="00A65897" w:rsidRPr="004E7AE1">
              <w:t>edicare</w:t>
            </w:r>
            <w:r w:rsidR="00AB11CE" w:rsidRPr="004E7AE1">
              <w:t xml:space="preserve"> Common Assessing Engine</w:t>
            </w:r>
            <w:r w:rsidR="00405C5B" w:rsidRPr="004E7AE1">
              <w:t xml:space="preserve"> which performs </w:t>
            </w:r>
            <w:r w:rsidR="00FC0C3C" w:rsidRPr="004E7AE1">
              <w:t>the assessment for claims originating through the Medicare claiming channels</w:t>
            </w:r>
            <w:r w:rsidR="007E477C" w:rsidRPr="004E7AE1">
              <w:t xml:space="preserve"> for all claim types</w:t>
            </w:r>
          </w:p>
          <w:p w14:paraId="2F904D3F" w14:textId="61304976" w:rsidR="00404737" w:rsidRPr="004E7AE1" w:rsidRDefault="007D1E34" w:rsidP="004E7AE1">
            <w:pPr>
              <w:pStyle w:val="Tablebullets"/>
              <w:framePr w:wrap="around"/>
            </w:pPr>
            <w:r w:rsidRPr="004E7AE1">
              <w:t xml:space="preserve">Maintenance and integration of </w:t>
            </w:r>
            <w:r w:rsidR="00A365EF" w:rsidRPr="004E7AE1">
              <w:t xml:space="preserve">other core systems </w:t>
            </w:r>
            <w:r w:rsidR="00903E20" w:rsidRPr="004E7AE1">
              <w:t>to match to the Common Assessing Engine, including the Consumer Directory, Provider Directory and Patient History</w:t>
            </w:r>
          </w:p>
          <w:p w14:paraId="40F8BB2F" w14:textId="147F2683" w:rsidR="00E65B6F" w:rsidRPr="004E7AE1" w:rsidRDefault="00671650" w:rsidP="004E7AE1">
            <w:pPr>
              <w:pStyle w:val="Tablebullets"/>
              <w:framePr w:wrap="around"/>
            </w:pPr>
            <w:r w:rsidRPr="004E7AE1">
              <w:t>Cross reference with the Medicare Item Fee File containing the business rules for individual MBS items</w:t>
            </w:r>
            <w:r w:rsidR="006D72B5" w:rsidRPr="004E7AE1">
              <w:t>, and other reference data depending on the claim being assessed</w:t>
            </w:r>
          </w:p>
        </w:tc>
      </w:tr>
      <w:tr w:rsidR="00E65B6F" w:rsidRPr="00BF5CDB" w14:paraId="4F68EC4C" w14:textId="77777777" w:rsidTr="001C1F74">
        <w:trPr>
          <w:trHeight w:val="20"/>
        </w:trPr>
        <w:tc>
          <w:tcPr>
            <w:tcW w:w="610" w:type="pct"/>
          </w:tcPr>
          <w:p w14:paraId="0E5F57E9" w14:textId="77777777" w:rsidR="00E65B6F" w:rsidRPr="00BF5CDB" w:rsidRDefault="00E65B6F">
            <w:pPr>
              <w:pStyle w:val="TabletextLeft"/>
              <w:rPr>
                <w:b/>
                <w:szCs w:val="20"/>
              </w:rPr>
            </w:pPr>
            <w:r w:rsidRPr="00BF5CDB">
              <w:rPr>
                <w:b/>
                <w:szCs w:val="20"/>
              </w:rPr>
              <w:t>Payment</w:t>
            </w:r>
          </w:p>
        </w:tc>
        <w:tc>
          <w:tcPr>
            <w:tcW w:w="2235" w:type="pct"/>
          </w:tcPr>
          <w:p w14:paraId="7ABC31A0" w14:textId="12CADACD" w:rsidR="00E65B6F" w:rsidRPr="00EF2981" w:rsidRDefault="00E65B6F" w:rsidP="004E7AE1">
            <w:pPr>
              <w:pStyle w:val="Tablebullets"/>
              <w:framePr w:wrap="around"/>
            </w:pPr>
            <w:r w:rsidRPr="00EF2981">
              <w:t>None</w:t>
            </w:r>
          </w:p>
        </w:tc>
        <w:tc>
          <w:tcPr>
            <w:tcW w:w="2156" w:type="pct"/>
          </w:tcPr>
          <w:p w14:paraId="20C8B8DE" w14:textId="0B389B41" w:rsidR="00E65B6F" w:rsidRPr="004E7AE1" w:rsidRDefault="00E65B6F" w:rsidP="004E7AE1">
            <w:pPr>
              <w:pStyle w:val="Tablebullets"/>
              <w:framePr w:wrap="around"/>
            </w:pPr>
            <w:r w:rsidRPr="004E7AE1">
              <w:t>Payment is made close to instantaneously with a high degree of importance placed on rapid claims processing</w:t>
            </w:r>
          </w:p>
        </w:tc>
      </w:tr>
      <w:tr w:rsidR="00E65B6F" w:rsidRPr="00BF5CDB" w14:paraId="2EAF0077" w14:textId="77777777" w:rsidTr="001C1F74">
        <w:trPr>
          <w:trHeight w:val="20"/>
        </w:trPr>
        <w:tc>
          <w:tcPr>
            <w:tcW w:w="610" w:type="pct"/>
          </w:tcPr>
          <w:p w14:paraId="073DFCAD" w14:textId="77777777" w:rsidR="00E65B6F" w:rsidRPr="00BF5CDB" w:rsidRDefault="00E65B6F">
            <w:pPr>
              <w:pStyle w:val="TabletextLeft"/>
              <w:rPr>
                <w:b/>
                <w:szCs w:val="20"/>
              </w:rPr>
            </w:pPr>
            <w:r w:rsidRPr="00BF5CDB">
              <w:rPr>
                <w:b/>
                <w:szCs w:val="20"/>
              </w:rPr>
              <w:t>Post-payment (Identification)</w:t>
            </w:r>
          </w:p>
        </w:tc>
        <w:tc>
          <w:tcPr>
            <w:tcW w:w="2235" w:type="pct"/>
          </w:tcPr>
          <w:p w14:paraId="70131CE3" w14:textId="663BE20B" w:rsidR="00E65B6F" w:rsidRPr="004E7AE1" w:rsidRDefault="00E65B6F" w:rsidP="004E7AE1">
            <w:pPr>
              <w:pStyle w:val="Tablebullets"/>
              <w:framePr w:wrap="around"/>
            </w:pPr>
            <w:r w:rsidRPr="00EF2981">
              <w:t xml:space="preserve">The </w:t>
            </w:r>
            <w:r w:rsidR="009931E5" w:rsidRPr="00EF2981">
              <w:t>departm</w:t>
            </w:r>
            <w:r w:rsidR="009931E5" w:rsidRPr="004E7AE1">
              <w:t>ent</w:t>
            </w:r>
            <w:r w:rsidRPr="004E7AE1">
              <w:t xml:space="preserve"> receives post-payment </w:t>
            </w:r>
            <w:proofErr w:type="gramStart"/>
            <w:r w:rsidRPr="004E7AE1">
              <w:t>data</w:t>
            </w:r>
            <w:proofErr w:type="gramEnd"/>
            <w:r w:rsidRPr="004E7AE1">
              <w:t xml:space="preserve"> and this is distributed across various functions in the </w:t>
            </w:r>
            <w:r w:rsidR="009931E5" w:rsidRPr="004E7AE1">
              <w:t>department</w:t>
            </w:r>
          </w:p>
          <w:p w14:paraId="28481878" w14:textId="348D3A57" w:rsidR="00E65B6F" w:rsidRPr="004E7AE1" w:rsidRDefault="00E65B6F" w:rsidP="004E7AE1">
            <w:pPr>
              <w:pStyle w:val="Tablebullets"/>
              <w:framePr w:wrap="around"/>
            </w:pPr>
            <w:r w:rsidRPr="004E7AE1">
              <w:t>Tip</w:t>
            </w:r>
            <w:r w:rsidR="00A65897" w:rsidRPr="004E7AE1">
              <w:t xml:space="preserve"> </w:t>
            </w:r>
            <w:r w:rsidRPr="004E7AE1">
              <w:t xml:space="preserve">offs and targeted ‘projects’ developed </w:t>
            </w:r>
            <w:r w:rsidR="00026E6B" w:rsidRPr="004E7AE1">
              <w:t>based on</w:t>
            </w:r>
            <w:r w:rsidRPr="004E7AE1">
              <w:t xml:space="preserve"> market sensing, tip offs and internal risk prioritisation processes are used to inform further investigation processes. Approximately 60 projects are undertaken in a year</w:t>
            </w:r>
          </w:p>
          <w:p w14:paraId="70DF6B90" w14:textId="2903DF6B" w:rsidR="00E65B6F" w:rsidRPr="004E7AE1" w:rsidRDefault="00E65B6F" w:rsidP="004E7AE1">
            <w:pPr>
              <w:pStyle w:val="Tablebullets"/>
              <w:framePr w:wrap="around"/>
            </w:pPr>
            <w:r w:rsidRPr="004E7AE1">
              <w:t>Recently, advanced analytics have been introduced as a function within the analytics team of BID to develop some rules-based monitoring for non-compliance in the data</w:t>
            </w:r>
          </w:p>
          <w:p w14:paraId="462E6774" w14:textId="1653FB37" w:rsidR="00E65B6F" w:rsidRPr="004E7AE1" w:rsidRDefault="00E65B6F" w:rsidP="004E7AE1">
            <w:pPr>
              <w:pStyle w:val="Tablebullets"/>
              <w:framePr w:wrap="around"/>
            </w:pPr>
            <w:r w:rsidRPr="004E7AE1">
              <w:t xml:space="preserve">The </w:t>
            </w:r>
            <w:r w:rsidR="009931E5" w:rsidRPr="004E7AE1">
              <w:t>department</w:t>
            </w:r>
            <w:r w:rsidRPr="004E7AE1">
              <w:t xml:space="preserve"> also receives external support to operate limited </w:t>
            </w:r>
            <w:r w:rsidR="004F6632" w:rsidRPr="004E7AE1">
              <w:t>analytics</w:t>
            </w:r>
            <w:r w:rsidRPr="004E7AE1">
              <w:t xml:space="preserve"> tools</w:t>
            </w:r>
          </w:p>
          <w:p w14:paraId="7D439598" w14:textId="2ED93849" w:rsidR="00E65B6F" w:rsidRPr="00EF2981" w:rsidRDefault="00E65B6F" w:rsidP="004E7AE1">
            <w:pPr>
              <w:pStyle w:val="Tablebullets"/>
              <w:framePr w:wrap="around"/>
            </w:pPr>
            <w:r w:rsidRPr="004E7AE1">
              <w:t>Tip offs and projects are progressed through analytics to relevant treatment pathways based on categorisation</w:t>
            </w:r>
          </w:p>
        </w:tc>
        <w:tc>
          <w:tcPr>
            <w:tcW w:w="2156" w:type="pct"/>
          </w:tcPr>
          <w:p w14:paraId="24CEDADC" w14:textId="6F76FE44" w:rsidR="00E65B6F" w:rsidRPr="004E7AE1" w:rsidRDefault="00E65B6F" w:rsidP="004E7AE1">
            <w:pPr>
              <w:pStyle w:val="Tablebullets"/>
              <w:framePr w:wrap="around"/>
            </w:pPr>
            <w:r w:rsidRPr="004E7AE1">
              <w:t>Profile</w:t>
            </w:r>
            <w:r w:rsidR="00A65897" w:rsidRPr="004E7AE1">
              <w:t>-</w:t>
            </w:r>
            <w:r w:rsidRPr="004E7AE1">
              <w:t>based analysis (for public compliance only)</w:t>
            </w:r>
          </w:p>
        </w:tc>
      </w:tr>
      <w:tr w:rsidR="00E65B6F" w:rsidRPr="00BF5CDB" w14:paraId="20A8CDFA" w14:textId="77777777" w:rsidTr="001C1F74">
        <w:trPr>
          <w:trHeight w:val="20"/>
        </w:trPr>
        <w:tc>
          <w:tcPr>
            <w:tcW w:w="610" w:type="pct"/>
          </w:tcPr>
          <w:p w14:paraId="0AB1A735" w14:textId="77777777" w:rsidR="00E65B6F" w:rsidRPr="00BF5CDB" w:rsidRDefault="00E65B6F">
            <w:pPr>
              <w:pStyle w:val="TabletextLeft"/>
              <w:rPr>
                <w:b/>
                <w:szCs w:val="20"/>
              </w:rPr>
            </w:pPr>
            <w:r w:rsidRPr="00BF5CDB">
              <w:rPr>
                <w:b/>
                <w:szCs w:val="20"/>
              </w:rPr>
              <w:t>Post-payment (Treatment)</w:t>
            </w:r>
          </w:p>
        </w:tc>
        <w:tc>
          <w:tcPr>
            <w:tcW w:w="2235" w:type="pct"/>
          </w:tcPr>
          <w:p w14:paraId="3FDF52C9" w14:textId="77777777" w:rsidR="00163EF7" w:rsidRPr="004E7AE1" w:rsidRDefault="00E65B6F" w:rsidP="004E7AE1">
            <w:pPr>
              <w:pStyle w:val="Tablebullets"/>
              <w:framePr w:wrap="around"/>
            </w:pPr>
            <w:r w:rsidRPr="00EF2981">
              <w:t>Ta</w:t>
            </w:r>
            <w:r w:rsidRPr="004E7AE1">
              <w:t>rgeted awareness campaign</w:t>
            </w:r>
          </w:p>
          <w:p w14:paraId="2723DD7D" w14:textId="05844F35" w:rsidR="00E65B6F" w:rsidRPr="004E7AE1" w:rsidRDefault="00E65B6F" w:rsidP="004E7AE1">
            <w:pPr>
              <w:pStyle w:val="Tablebullets"/>
              <w:framePr w:wrap="around"/>
            </w:pPr>
            <w:r w:rsidRPr="004E7AE1">
              <w:t>Targeted letter campaign</w:t>
            </w:r>
          </w:p>
          <w:p w14:paraId="25F4D1AA" w14:textId="77777777" w:rsidR="00E65B6F" w:rsidRPr="004E7AE1" w:rsidRDefault="00E65B6F" w:rsidP="004E7AE1">
            <w:pPr>
              <w:pStyle w:val="Tablebullets"/>
              <w:framePr w:wrap="around"/>
            </w:pPr>
            <w:r w:rsidRPr="004E7AE1">
              <w:t>Alternative Audit Actions (AAA)</w:t>
            </w:r>
          </w:p>
          <w:p w14:paraId="3C1C24A6" w14:textId="77777777" w:rsidR="00E65B6F" w:rsidRPr="004E7AE1" w:rsidRDefault="00E65B6F" w:rsidP="004E7AE1">
            <w:pPr>
              <w:pStyle w:val="Tablebullets"/>
              <w:framePr w:wrap="around"/>
            </w:pPr>
            <w:r w:rsidRPr="004E7AE1">
              <w:t xml:space="preserve">Audit </w:t>
            </w:r>
          </w:p>
          <w:p w14:paraId="1EB6CF7F" w14:textId="77777777" w:rsidR="00E65B6F" w:rsidRPr="004E7AE1" w:rsidRDefault="00E65B6F" w:rsidP="004E7AE1">
            <w:pPr>
              <w:pStyle w:val="Tablebullets"/>
              <w:framePr w:wrap="around"/>
            </w:pPr>
            <w:r w:rsidRPr="004E7AE1">
              <w:t>PRP and PSR</w:t>
            </w:r>
          </w:p>
          <w:p w14:paraId="6642F0C9" w14:textId="47F7BA29" w:rsidR="004E7AE1" w:rsidRPr="004E7AE1" w:rsidRDefault="00E65B6F" w:rsidP="004E7AE1">
            <w:pPr>
              <w:pStyle w:val="Tablebullets"/>
              <w:framePr w:wrap="around"/>
            </w:pPr>
            <w:r w:rsidRPr="004E7AE1">
              <w:t>Fraud</w:t>
            </w:r>
            <w:r w:rsidRPr="00EF2981">
              <w:t xml:space="preserve"> investigation</w:t>
            </w:r>
          </w:p>
        </w:tc>
        <w:tc>
          <w:tcPr>
            <w:tcW w:w="2156" w:type="pct"/>
          </w:tcPr>
          <w:p w14:paraId="311C2AF5" w14:textId="63C20991" w:rsidR="00E65B6F" w:rsidRPr="00EF2981" w:rsidRDefault="00E65B6F" w:rsidP="004D051F">
            <w:pPr>
              <w:pStyle w:val="Tablebullets"/>
              <w:framePr w:wrap="around"/>
              <w:rPr>
                <w:szCs w:val="20"/>
              </w:rPr>
            </w:pPr>
            <w:r w:rsidRPr="00EF2981">
              <w:rPr>
                <w:szCs w:val="20"/>
              </w:rPr>
              <w:t>Limited opportunities for post-payment compliance checks</w:t>
            </w:r>
          </w:p>
        </w:tc>
      </w:tr>
    </w:tbl>
    <w:p w14:paraId="145FE7A0" w14:textId="77777777" w:rsidR="007B5522" w:rsidRDefault="00E65B6F" w:rsidP="001C1F74">
      <w:pPr>
        <w:pStyle w:val="Caption"/>
        <w:spacing w:before="120"/>
      </w:pPr>
      <w:r>
        <w:t>Source: Philip Review (2023)</w:t>
      </w:r>
    </w:p>
    <w:p w14:paraId="2552AD94" w14:textId="4699C679" w:rsidR="00E65B6F" w:rsidRPr="0000123F" w:rsidRDefault="00E65B6F" w:rsidP="00940D39">
      <w:pPr>
        <w:pStyle w:val="CaptionTable"/>
        <w:ind w:left="0"/>
      </w:pPr>
      <w:bookmarkStart w:id="88" w:name="_Ref128659329"/>
      <w:bookmarkStart w:id="89" w:name="_Toc131418576"/>
      <w:r>
        <w:t>: Description of MBS compliance treatment</w:t>
      </w:r>
      <w:bookmarkEnd w:id="88"/>
      <w:bookmarkEnd w:id="89"/>
      <w:r>
        <w:t xml:space="preserve"> </w:t>
      </w:r>
    </w:p>
    <w:tbl>
      <w:tblPr>
        <w:tblStyle w:val="Deloittetable"/>
        <w:tblW w:w="5000" w:type="pct"/>
        <w:tblLook w:val="04A0" w:firstRow="1" w:lastRow="0" w:firstColumn="1" w:lastColumn="0" w:noHBand="0" w:noVBand="1"/>
      </w:tblPr>
      <w:tblGrid>
        <w:gridCol w:w="1271"/>
        <w:gridCol w:w="1605"/>
        <w:gridCol w:w="2390"/>
        <w:gridCol w:w="5200"/>
      </w:tblGrid>
      <w:tr w:rsidR="00E65B6F" w:rsidRPr="004E7AE1" w14:paraId="726C0CE7" w14:textId="77777777" w:rsidTr="00A669B1">
        <w:trPr>
          <w:cnfStyle w:val="100000000000" w:firstRow="1" w:lastRow="0" w:firstColumn="0" w:lastColumn="0" w:oddVBand="0" w:evenVBand="0" w:oddHBand="0" w:evenHBand="0" w:firstRowFirstColumn="0" w:firstRowLastColumn="0" w:lastRowFirstColumn="0" w:lastRowLastColumn="0"/>
          <w:trHeight w:val="20"/>
          <w:tblHeader/>
        </w:trPr>
        <w:tc>
          <w:tcPr>
            <w:tcW w:w="577" w:type="pct"/>
            <w:tcBorders>
              <w:top w:val="single" w:sz="24" w:space="0" w:color="005B89"/>
            </w:tcBorders>
          </w:tcPr>
          <w:p w14:paraId="6FD9BCA3" w14:textId="77777777" w:rsidR="00E65B6F" w:rsidRPr="004E7AE1" w:rsidRDefault="00E65B6F" w:rsidP="004E7AE1">
            <w:r w:rsidRPr="004E7AE1">
              <w:t>Activity</w:t>
            </w:r>
          </w:p>
        </w:tc>
        <w:tc>
          <w:tcPr>
            <w:tcW w:w="777" w:type="pct"/>
            <w:tcBorders>
              <w:top w:val="single" w:sz="24" w:space="0" w:color="005B89"/>
            </w:tcBorders>
          </w:tcPr>
          <w:p w14:paraId="0F26AA0F" w14:textId="77777777" w:rsidR="00E65B6F" w:rsidRPr="004E7AE1" w:rsidRDefault="00E65B6F" w:rsidP="004E7AE1">
            <w:r w:rsidRPr="004E7AE1">
              <w:t>Source</w:t>
            </w:r>
          </w:p>
        </w:tc>
        <w:tc>
          <w:tcPr>
            <w:tcW w:w="1152" w:type="pct"/>
            <w:tcBorders>
              <w:top w:val="single" w:sz="24" w:space="0" w:color="005B89"/>
            </w:tcBorders>
          </w:tcPr>
          <w:p w14:paraId="5956CA34" w14:textId="77777777" w:rsidR="00E65B6F" w:rsidRPr="004E7AE1" w:rsidRDefault="00E65B6F" w:rsidP="004E7AE1">
            <w:r w:rsidRPr="004E7AE1">
              <w:t>Scope</w:t>
            </w:r>
          </w:p>
        </w:tc>
        <w:tc>
          <w:tcPr>
            <w:tcW w:w="2494" w:type="pct"/>
            <w:tcBorders>
              <w:top w:val="single" w:sz="24" w:space="0" w:color="005B89"/>
            </w:tcBorders>
          </w:tcPr>
          <w:p w14:paraId="7198150A" w14:textId="77777777" w:rsidR="00E65B6F" w:rsidRPr="004E7AE1" w:rsidRDefault="00E65B6F" w:rsidP="004E7AE1">
            <w:r w:rsidRPr="004E7AE1">
              <w:t>Description</w:t>
            </w:r>
          </w:p>
        </w:tc>
      </w:tr>
      <w:tr w:rsidR="00E65B6F" w:rsidRPr="00BF5CDB" w14:paraId="35B58E56" w14:textId="77777777" w:rsidTr="00A669B1">
        <w:trPr>
          <w:trHeight w:val="240"/>
        </w:trPr>
        <w:tc>
          <w:tcPr>
            <w:tcW w:w="577" w:type="pct"/>
            <w:shd w:val="clear" w:color="auto" w:fill="F2F2F2" w:themeFill="background1" w:themeFillShade="F2"/>
          </w:tcPr>
          <w:p w14:paraId="3637E5E4" w14:textId="77777777" w:rsidR="00E65B6F" w:rsidRPr="00EF2981" w:rsidRDefault="00E65B6F" w:rsidP="004D051F">
            <w:pPr>
              <w:rPr>
                <w:sz w:val="20"/>
                <w:szCs w:val="20"/>
              </w:rPr>
            </w:pPr>
            <w:r w:rsidRPr="00EF2981">
              <w:rPr>
                <w:sz w:val="20"/>
                <w:szCs w:val="20"/>
              </w:rPr>
              <w:t>Education Materials</w:t>
            </w:r>
          </w:p>
        </w:tc>
        <w:tc>
          <w:tcPr>
            <w:tcW w:w="777" w:type="pct"/>
            <w:shd w:val="clear" w:color="auto" w:fill="F2F2F2" w:themeFill="background1" w:themeFillShade="F2"/>
          </w:tcPr>
          <w:p w14:paraId="197B2BEE" w14:textId="77777777" w:rsidR="00E65B6F" w:rsidRPr="00EF2981" w:rsidRDefault="00E65B6F" w:rsidP="004D051F">
            <w:pPr>
              <w:pStyle w:val="Tablebullets"/>
              <w:framePr w:wrap="around"/>
              <w:rPr>
                <w:szCs w:val="20"/>
              </w:rPr>
            </w:pPr>
            <w:r w:rsidRPr="00EF2981">
              <w:rPr>
                <w:szCs w:val="20"/>
              </w:rPr>
              <w:t xml:space="preserve">Practitioner self-refer/access </w:t>
            </w:r>
          </w:p>
        </w:tc>
        <w:tc>
          <w:tcPr>
            <w:tcW w:w="1152" w:type="pct"/>
            <w:shd w:val="clear" w:color="auto" w:fill="F2F2F2" w:themeFill="background1" w:themeFillShade="F2"/>
          </w:tcPr>
          <w:p w14:paraId="2551039B" w14:textId="67BCBF8C" w:rsidR="00E65B6F" w:rsidRPr="00EF2981" w:rsidRDefault="00E65B6F" w:rsidP="004D051F">
            <w:pPr>
              <w:pStyle w:val="Tablebullets"/>
              <w:framePr w:wrap="around"/>
              <w:rPr>
                <w:szCs w:val="20"/>
              </w:rPr>
            </w:pPr>
            <w:r w:rsidRPr="00EF2981">
              <w:rPr>
                <w:szCs w:val="20"/>
              </w:rPr>
              <w:t>Non</w:t>
            </w:r>
            <w:r w:rsidR="00A65897" w:rsidRPr="00EF2981">
              <w:rPr>
                <w:szCs w:val="20"/>
              </w:rPr>
              <w:t>-</w:t>
            </w:r>
            <w:r w:rsidRPr="00EF2981">
              <w:rPr>
                <w:szCs w:val="20"/>
              </w:rPr>
              <w:t>enforceable</w:t>
            </w:r>
          </w:p>
          <w:p w14:paraId="3004295A" w14:textId="4F0D59B7" w:rsidR="00E65B6F" w:rsidRPr="00EF2981" w:rsidRDefault="00E65B6F" w:rsidP="004D051F">
            <w:pPr>
              <w:pStyle w:val="Tablebullets"/>
              <w:framePr w:wrap="around"/>
              <w:rPr>
                <w:szCs w:val="20"/>
              </w:rPr>
            </w:pPr>
            <w:r w:rsidRPr="00EF2981">
              <w:rPr>
                <w:szCs w:val="20"/>
              </w:rPr>
              <w:t>Proactive</w:t>
            </w:r>
          </w:p>
        </w:tc>
        <w:tc>
          <w:tcPr>
            <w:tcW w:w="2494" w:type="pct"/>
            <w:shd w:val="clear" w:color="auto" w:fill="F2F2F2" w:themeFill="background1" w:themeFillShade="F2"/>
          </w:tcPr>
          <w:p w14:paraId="2AB32595" w14:textId="47C139C7" w:rsidR="00E65B6F" w:rsidRPr="004E7AE1" w:rsidRDefault="00E65B6F" w:rsidP="004E7AE1">
            <w:pPr>
              <w:pStyle w:val="TabletextLeft"/>
            </w:pPr>
            <w:r w:rsidRPr="004E7AE1">
              <w:t>There are a range of compliance focused educational resources (</w:t>
            </w:r>
            <w:proofErr w:type="gramStart"/>
            <w:r w:rsidR="00904BFD" w:rsidRPr="004E7AE1">
              <w:t>e.g.</w:t>
            </w:r>
            <w:proofErr w:type="gramEnd"/>
            <w:r w:rsidRPr="004E7AE1">
              <w:t xml:space="preserve"> guidelines, fact sheets, eLearning programs and so on). However, the usability, </w:t>
            </w:r>
            <w:proofErr w:type="gramStart"/>
            <w:r w:rsidRPr="004E7AE1">
              <w:t>accessibility</w:t>
            </w:r>
            <w:proofErr w:type="gramEnd"/>
            <w:r w:rsidRPr="004E7AE1">
              <w:t xml:space="preserve"> and uptake of </w:t>
            </w:r>
            <w:r w:rsidRPr="004E7AE1">
              <w:lastRenderedPageBreak/>
              <w:t>this for practitioners appears to be limited. Some observations include eLearning content of this is largely out of date (</w:t>
            </w:r>
            <w:proofErr w:type="gramStart"/>
            <w:r w:rsidR="00904BFD" w:rsidRPr="004E7AE1">
              <w:t>e.g.</w:t>
            </w:r>
            <w:proofErr w:type="gramEnd"/>
            <w:r w:rsidRPr="004E7AE1">
              <w:t xml:space="preserve"> directs to the 2013-15 Compliance Program). </w:t>
            </w:r>
          </w:p>
        </w:tc>
      </w:tr>
      <w:tr w:rsidR="00E65B6F" w:rsidRPr="00BF5CDB" w14:paraId="6C42A1F8" w14:textId="77777777" w:rsidTr="00A669B1">
        <w:trPr>
          <w:trHeight w:val="240"/>
        </w:trPr>
        <w:tc>
          <w:tcPr>
            <w:tcW w:w="577" w:type="pct"/>
            <w:shd w:val="clear" w:color="auto" w:fill="F2F2F2" w:themeFill="background1" w:themeFillShade="F2"/>
          </w:tcPr>
          <w:p w14:paraId="11223E7B" w14:textId="77777777" w:rsidR="00E65B6F" w:rsidRPr="00EF2981" w:rsidRDefault="00E65B6F" w:rsidP="004D051F">
            <w:pPr>
              <w:rPr>
                <w:sz w:val="20"/>
                <w:szCs w:val="20"/>
              </w:rPr>
            </w:pPr>
            <w:r w:rsidRPr="00EF2981">
              <w:rPr>
                <w:sz w:val="20"/>
                <w:szCs w:val="20"/>
              </w:rPr>
              <w:lastRenderedPageBreak/>
              <w:t xml:space="preserve">Targeted Awareness Raising </w:t>
            </w:r>
          </w:p>
        </w:tc>
        <w:tc>
          <w:tcPr>
            <w:tcW w:w="777" w:type="pct"/>
            <w:shd w:val="clear" w:color="auto" w:fill="F2F2F2" w:themeFill="background1" w:themeFillShade="F2"/>
          </w:tcPr>
          <w:p w14:paraId="69C3A1DD" w14:textId="77777777" w:rsidR="00E65B6F" w:rsidRPr="00EF2981" w:rsidRDefault="00E65B6F" w:rsidP="004D051F">
            <w:pPr>
              <w:pStyle w:val="Tablebullets"/>
              <w:framePr w:wrap="around"/>
              <w:rPr>
                <w:szCs w:val="20"/>
              </w:rPr>
            </w:pPr>
            <w:r w:rsidRPr="00EF2981">
              <w:rPr>
                <w:szCs w:val="20"/>
              </w:rPr>
              <w:t xml:space="preserve">Tip offs </w:t>
            </w:r>
          </w:p>
          <w:p w14:paraId="1125896F" w14:textId="77777777" w:rsidR="00E65B6F" w:rsidRPr="00EF2981" w:rsidRDefault="00E65B6F" w:rsidP="004D051F">
            <w:pPr>
              <w:pStyle w:val="Tablebullets"/>
              <w:framePr w:wrap="around"/>
              <w:rPr>
                <w:szCs w:val="20"/>
              </w:rPr>
            </w:pPr>
            <w:r w:rsidRPr="00EF2981">
              <w:rPr>
                <w:szCs w:val="20"/>
              </w:rPr>
              <w:t>Projects</w:t>
            </w:r>
          </w:p>
        </w:tc>
        <w:tc>
          <w:tcPr>
            <w:tcW w:w="1152" w:type="pct"/>
            <w:shd w:val="clear" w:color="auto" w:fill="F2F2F2" w:themeFill="background1" w:themeFillShade="F2"/>
          </w:tcPr>
          <w:p w14:paraId="68161B3F" w14:textId="77777777" w:rsidR="00E65B6F" w:rsidRPr="00EF2981" w:rsidRDefault="00E65B6F" w:rsidP="004D051F">
            <w:pPr>
              <w:pStyle w:val="Tablebullets"/>
              <w:framePr w:wrap="around"/>
              <w:rPr>
                <w:szCs w:val="20"/>
              </w:rPr>
            </w:pPr>
            <w:r w:rsidRPr="00EF2981">
              <w:rPr>
                <w:szCs w:val="20"/>
              </w:rPr>
              <w:t>Non-enforceable</w:t>
            </w:r>
          </w:p>
          <w:p w14:paraId="33203B5F" w14:textId="77777777" w:rsidR="00E65B6F" w:rsidRPr="00EF2981" w:rsidRDefault="00E65B6F" w:rsidP="004D051F">
            <w:pPr>
              <w:pStyle w:val="Tablebullets"/>
              <w:framePr w:wrap="around"/>
              <w:rPr>
                <w:szCs w:val="20"/>
              </w:rPr>
            </w:pPr>
            <w:r w:rsidRPr="00EF2981">
              <w:rPr>
                <w:szCs w:val="20"/>
              </w:rPr>
              <w:t>Reactive</w:t>
            </w:r>
          </w:p>
          <w:p w14:paraId="76926C2C" w14:textId="77777777" w:rsidR="00E65B6F" w:rsidRPr="00EF2981" w:rsidRDefault="00E65B6F" w:rsidP="004D051F">
            <w:pPr>
              <w:pStyle w:val="Tablebullets"/>
              <w:framePr w:wrap="around"/>
              <w:rPr>
                <w:szCs w:val="20"/>
              </w:rPr>
            </w:pPr>
            <w:r w:rsidRPr="00EF2981">
              <w:rPr>
                <w:szCs w:val="20"/>
              </w:rPr>
              <w:t xml:space="preserve">Targeted to cohorts identified </w:t>
            </w:r>
          </w:p>
          <w:p w14:paraId="6A4CCAD2" w14:textId="0CC13EA7" w:rsidR="00E65B6F" w:rsidRPr="00EF2981" w:rsidRDefault="00E65B6F" w:rsidP="004D051F">
            <w:pPr>
              <w:pStyle w:val="Tablebullets"/>
              <w:framePr w:wrap="around"/>
              <w:rPr>
                <w:szCs w:val="20"/>
              </w:rPr>
            </w:pPr>
            <w:r w:rsidRPr="00EF2981">
              <w:rPr>
                <w:szCs w:val="20"/>
              </w:rPr>
              <w:t xml:space="preserve">Response to inappropriate </w:t>
            </w:r>
            <w:r w:rsidR="00F353E3" w:rsidRPr="00EF2981">
              <w:rPr>
                <w:szCs w:val="20"/>
              </w:rPr>
              <w:t xml:space="preserve">practice </w:t>
            </w:r>
            <w:r w:rsidRPr="00EF2981">
              <w:rPr>
                <w:szCs w:val="20"/>
              </w:rPr>
              <w:t>and incorrect claiming</w:t>
            </w:r>
          </w:p>
        </w:tc>
        <w:tc>
          <w:tcPr>
            <w:tcW w:w="2494" w:type="pct"/>
            <w:shd w:val="clear" w:color="auto" w:fill="F2F2F2" w:themeFill="background1" w:themeFillShade="F2"/>
          </w:tcPr>
          <w:p w14:paraId="1F0DB76D" w14:textId="6C8D40BE" w:rsidR="00E65B6F" w:rsidRPr="004E7AE1" w:rsidRDefault="00E65B6F" w:rsidP="004E7AE1">
            <w:pPr>
              <w:pStyle w:val="TabletextLeft"/>
            </w:pPr>
            <w:r w:rsidRPr="004E7AE1">
              <w:t xml:space="preserve">Targeted letters to providers exhibiting lower levels of possible non-compliance to raise their awareness </w:t>
            </w:r>
            <w:r w:rsidR="00AA5F5A" w:rsidRPr="004E7AE1">
              <w:t xml:space="preserve">of </w:t>
            </w:r>
            <w:r w:rsidRPr="004E7AE1">
              <w:t xml:space="preserve">Medicare claiming rules. This measure complements existing measures to ensure compliance with Medicare claiming rules. </w:t>
            </w:r>
          </w:p>
        </w:tc>
      </w:tr>
      <w:tr w:rsidR="00E65B6F" w:rsidRPr="00BF5CDB" w14:paraId="2DB87891" w14:textId="77777777" w:rsidTr="00A669B1">
        <w:trPr>
          <w:trHeight w:val="240"/>
        </w:trPr>
        <w:tc>
          <w:tcPr>
            <w:tcW w:w="577" w:type="pct"/>
            <w:shd w:val="clear" w:color="auto" w:fill="F2F2F2" w:themeFill="background1" w:themeFillShade="F2"/>
          </w:tcPr>
          <w:p w14:paraId="534C8AF9" w14:textId="5AD26627" w:rsidR="00E65B6F" w:rsidRPr="00EF2981" w:rsidRDefault="00E65B6F" w:rsidP="004D051F">
            <w:pPr>
              <w:rPr>
                <w:sz w:val="20"/>
                <w:szCs w:val="20"/>
              </w:rPr>
            </w:pPr>
            <w:r w:rsidRPr="00EF2981">
              <w:rPr>
                <w:sz w:val="20"/>
                <w:szCs w:val="20"/>
              </w:rPr>
              <w:t>Targeted campaigns (inc</w:t>
            </w:r>
            <w:r w:rsidR="002244BC" w:rsidRPr="00EF2981">
              <w:rPr>
                <w:sz w:val="20"/>
                <w:szCs w:val="20"/>
              </w:rPr>
              <w:t>luding</w:t>
            </w:r>
            <w:r w:rsidRPr="00EF2981">
              <w:rPr>
                <w:sz w:val="20"/>
                <w:szCs w:val="20"/>
              </w:rPr>
              <w:t xml:space="preserve"> Review and Act Now Letters)</w:t>
            </w:r>
          </w:p>
        </w:tc>
        <w:tc>
          <w:tcPr>
            <w:tcW w:w="777" w:type="pct"/>
            <w:shd w:val="clear" w:color="auto" w:fill="F2F2F2" w:themeFill="background1" w:themeFillShade="F2"/>
          </w:tcPr>
          <w:p w14:paraId="3A7C513E" w14:textId="77777777" w:rsidR="00E65B6F" w:rsidRPr="00EF2981" w:rsidRDefault="00E65B6F" w:rsidP="004D051F">
            <w:pPr>
              <w:pStyle w:val="Tablebullets"/>
              <w:framePr w:wrap="around"/>
              <w:rPr>
                <w:szCs w:val="20"/>
              </w:rPr>
            </w:pPr>
            <w:r w:rsidRPr="00EF2981">
              <w:rPr>
                <w:szCs w:val="20"/>
              </w:rPr>
              <w:t xml:space="preserve">Tip offs </w:t>
            </w:r>
          </w:p>
          <w:p w14:paraId="4E4588BF" w14:textId="77777777" w:rsidR="00E65B6F" w:rsidRPr="00EF2981" w:rsidRDefault="00E65B6F" w:rsidP="004D051F">
            <w:pPr>
              <w:pStyle w:val="Tablebullets"/>
              <w:framePr w:wrap="around"/>
              <w:rPr>
                <w:szCs w:val="20"/>
              </w:rPr>
            </w:pPr>
            <w:r w:rsidRPr="00EF2981">
              <w:rPr>
                <w:szCs w:val="20"/>
              </w:rPr>
              <w:t>Projects</w:t>
            </w:r>
          </w:p>
        </w:tc>
        <w:tc>
          <w:tcPr>
            <w:tcW w:w="1152" w:type="pct"/>
            <w:shd w:val="clear" w:color="auto" w:fill="F2F2F2" w:themeFill="background1" w:themeFillShade="F2"/>
          </w:tcPr>
          <w:p w14:paraId="5C9BDD54" w14:textId="77777777" w:rsidR="00E65B6F" w:rsidRPr="00EF2981" w:rsidRDefault="00E65B6F" w:rsidP="004D051F">
            <w:pPr>
              <w:pStyle w:val="Tablebullets"/>
              <w:framePr w:wrap="around"/>
              <w:rPr>
                <w:szCs w:val="20"/>
              </w:rPr>
            </w:pPr>
            <w:r w:rsidRPr="00EF2981">
              <w:rPr>
                <w:szCs w:val="20"/>
              </w:rPr>
              <w:t>Non-enforceable</w:t>
            </w:r>
          </w:p>
          <w:p w14:paraId="6286C677" w14:textId="77777777" w:rsidR="00E65B6F" w:rsidRPr="00EF2981" w:rsidRDefault="00E65B6F" w:rsidP="004D051F">
            <w:pPr>
              <w:pStyle w:val="Tablebullets"/>
              <w:framePr w:wrap="around"/>
              <w:rPr>
                <w:szCs w:val="20"/>
              </w:rPr>
            </w:pPr>
            <w:r w:rsidRPr="00EF2981">
              <w:rPr>
                <w:szCs w:val="20"/>
              </w:rPr>
              <w:t>Reactive</w:t>
            </w:r>
          </w:p>
          <w:p w14:paraId="6778B319" w14:textId="77777777" w:rsidR="00E65B6F" w:rsidRPr="00EF2981" w:rsidRDefault="00E65B6F" w:rsidP="004D051F">
            <w:pPr>
              <w:pStyle w:val="Tablebullets"/>
              <w:framePr w:wrap="around"/>
              <w:rPr>
                <w:szCs w:val="20"/>
              </w:rPr>
            </w:pPr>
            <w:r w:rsidRPr="00EF2981">
              <w:rPr>
                <w:szCs w:val="20"/>
              </w:rPr>
              <w:t>Targeted</w:t>
            </w:r>
          </w:p>
          <w:p w14:paraId="1C7BA731" w14:textId="01F99C15" w:rsidR="00E65B6F" w:rsidRPr="00EF2981" w:rsidRDefault="00E65B6F" w:rsidP="004D051F">
            <w:pPr>
              <w:pStyle w:val="Tablebullets"/>
              <w:framePr w:wrap="around"/>
              <w:rPr>
                <w:szCs w:val="20"/>
              </w:rPr>
            </w:pPr>
            <w:r w:rsidRPr="00EF2981">
              <w:rPr>
                <w:szCs w:val="20"/>
              </w:rPr>
              <w:t xml:space="preserve">Response to inappropriate </w:t>
            </w:r>
            <w:r w:rsidR="00F353E3" w:rsidRPr="00EF2981">
              <w:rPr>
                <w:szCs w:val="20"/>
              </w:rPr>
              <w:t xml:space="preserve">practice </w:t>
            </w:r>
            <w:r w:rsidRPr="00EF2981">
              <w:rPr>
                <w:szCs w:val="20"/>
              </w:rPr>
              <w:t>and incorrect claiming</w:t>
            </w:r>
          </w:p>
        </w:tc>
        <w:tc>
          <w:tcPr>
            <w:tcW w:w="2494" w:type="pct"/>
            <w:shd w:val="clear" w:color="auto" w:fill="F2F2F2" w:themeFill="background1" w:themeFillShade="F2"/>
          </w:tcPr>
          <w:p w14:paraId="4EC9C5DC" w14:textId="7584A13E" w:rsidR="00E65B6F" w:rsidRPr="004E7AE1" w:rsidRDefault="00E65B6F" w:rsidP="004E7AE1">
            <w:pPr>
              <w:pStyle w:val="TabletextLeft"/>
            </w:pPr>
            <w:r w:rsidRPr="004E7AE1">
              <w:t>Potential non-compliance is suspected but cannot be confirmed due to</w:t>
            </w:r>
            <w:r w:rsidR="002244BC" w:rsidRPr="004E7AE1">
              <w:t>:</w:t>
            </w:r>
            <w:r w:rsidR="00267904" w:rsidRPr="004E7AE1">
              <w:t xml:space="preserve"> </w:t>
            </w:r>
            <w:r w:rsidRPr="004E7AE1">
              <w:t>(1) limitations in the availability of data</w:t>
            </w:r>
            <w:r w:rsidR="002244BC" w:rsidRPr="004E7AE1">
              <w:t>,</w:t>
            </w:r>
            <w:r w:rsidRPr="004E7AE1">
              <w:t xml:space="preserve"> (2) the non-compliance does not meet criteria for enforceable action</w:t>
            </w:r>
            <w:r w:rsidR="002244BC" w:rsidRPr="004E7AE1">
              <w:t>,</w:t>
            </w:r>
            <w:r w:rsidRPr="004E7AE1">
              <w:t xml:space="preserve"> and (3) the potential non-compliance value or quantity does not warrant escalated compliance treatment. </w:t>
            </w:r>
          </w:p>
        </w:tc>
      </w:tr>
      <w:tr w:rsidR="00E65B6F" w:rsidRPr="00BF5CDB" w14:paraId="7A44C462" w14:textId="77777777" w:rsidTr="00A669B1">
        <w:trPr>
          <w:trHeight w:val="240"/>
        </w:trPr>
        <w:tc>
          <w:tcPr>
            <w:tcW w:w="577" w:type="pct"/>
            <w:shd w:val="clear" w:color="auto" w:fill="F2F2F2" w:themeFill="background1" w:themeFillShade="F2"/>
          </w:tcPr>
          <w:p w14:paraId="18F61EE1" w14:textId="77777777" w:rsidR="00E65B6F" w:rsidRPr="00EF2981" w:rsidRDefault="00E65B6F" w:rsidP="004D051F">
            <w:pPr>
              <w:rPr>
                <w:sz w:val="20"/>
                <w:szCs w:val="20"/>
              </w:rPr>
            </w:pPr>
            <w:r w:rsidRPr="00EF2981">
              <w:rPr>
                <w:sz w:val="20"/>
                <w:szCs w:val="20"/>
              </w:rPr>
              <w:t>Alternative Audit Approach (AAA)</w:t>
            </w:r>
          </w:p>
        </w:tc>
        <w:tc>
          <w:tcPr>
            <w:tcW w:w="777" w:type="pct"/>
            <w:shd w:val="clear" w:color="auto" w:fill="F2F2F2" w:themeFill="background1" w:themeFillShade="F2"/>
          </w:tcPr>
          <w:p w14:paraId="350B6D2A" w14:textId="77777777" w:rsidR="00E65B6F" w:rsidRPr="00EF2981" w:rsidRDefault="00E65B6F" w:rsidP="004D051F">
            <w:pPr>
              <w:pStyle w:val="Tablebullets"/>
              <w:framePr w:wrap="around"/>
              <w:rPr>
                <w:szCs w:val="20"/>
              </w:rPr>
            </w:pPr>
            <w:r w:rsidRPr="00EF2981">
              <w:rPr>
                <w:szCs w:val="20"/>
              </w:rPr>
              <w:t xml:space="preserve">Tip offs </w:t>
            </w:r>
          </w:p>
          <w:p w14:paraId="1267AC6B" w14:textId="77777777" w:rsidR="00E65B6F" w:rsidRPr="00EF2981" w:rsidRDefault="00E65B6F" w:rsidP="004D051F">
            <w:pPr>
              <w:pStyle w:val="Tablebullets"/>
              <w:framePr w:wrap="around"/>
              <w:rPr>
                <w:szCs w:val="20"/>
              </w:rPr>
            </w:pPr>
            <w:r w:rsidRPr="00EF2981">
              <w:rPr>
                <w:szCs w:val="20"/>
              </w:rPr>
              <w:t>Projects</w:t>
            </w:r>
          </w:p>
        </w:tc>
        <w:tc>
          <w:tcPr>
            <w:tcW w:w="1152" w:type="pct"/>
            <w:shd w:val="clear" w:color="auto" w:fill="F2F2F2" w:themeFill="background1" w:themeFillShade="F2"/>
          </w:tcPr>
          <w:p w14:paraId="2E4E3547" w14:textId="77777777" w:rsidR="00E65B6F" w:rsidRPr="00EF2981" w:rsidRDefault="00E65B6F" w:rsidP="004D051F">
            <w:pPr>
              <w:pStyle w:val="Tablebullets"/>
              <w:framePr w:wrap="around"/>
              <w:rPr>
                <w:szCs w:val="20"/>
              </w:rPr>
            </w:pPr>
            <w:r w:rsidRPr="00EF2981">
              <w:rPr>
                <w:szCs w:val="20"/>
              </w:rPr>
              <w:t>Non-enforceable</w:t>
            </w:r>
          </w:p>
          <w:p w14:paraId="095EA54F" w14:textId="77777777" w:rsidR="00E65B6F" w:rsidRPr="00EF2981" w:rsidRDefault="00E65B6F" w:rsidP="004D051F">
            <w:pPr>
              <w:pStyle w:val="Tablebullets"/>
              <w:framePr w:wrap="around"/>
              <w:rPr>
                <w:szCs w:val="20"/>
              </w:rPr>
            </w:pPr>
            <w:r w:rsidRPr="00EF2981">
              <w:rPr>
                <w:szCs w:val="20"/>
              </w:rPr>
              <w:t>Reactive</w:t>
            </w:r>
          </w:p>
          <w:p w14:paraId="0EF88A3D" w14:textId="77777777" w:rsidR="00E65B6F" w:rsidRPr="00EF2981" w:rsidRDefault="00E65B6F" w:rsidP="004D051F">
            <w:pPr>
              <w:pStyle w:val="Tablebullets"/>
              <w:framePr w:wrap="around"/>
              <w:rPr>
                <w:szCs w:val="20"/>
              </w:rPr>
            </w:pPr>
            <w:r w:rsidRPr="00EF2981">
              <w:rPr>
                <w:szCs w:val="20"/>
              </w:rPr>
              <w:t>Highly targeted</w:t>
            </w:r>
          </w:p>
          <w:p w14:paraId="6FDC0506" w14:textId="77777777" w:rsidR="00E65B6F" w:rsidRPr="00EF2981" w:rsidRDefault="00E65B6F" w:rsidP="004D051F">
            <w:pPr>
              <w:pStyle w:val="Tablebullets"/>
              <w:framePr w:wrap="around"/>
              <w:rPr>
                <w:szCs w:val="20"/>
              </w:rPr>
            </w:pPr>
            <w:r w:rsidRPr="00EF2981">
              <w:rPr>
                <w:szCs w:val="20"/>
              </w:rPr>
              <w:t>Response to incorrect claiming</w:t>
            </w:r>
          </w:p>
        </w:tc>
        <w:tc>
          <w:tcPr>
            <w:tcW w:w="2494" w:type="pct"/>
            <w:shd w:val="clear" w:color="auto" w:fill="F2F2F2" w:themeFill="background1" w:themeFillShade="F2"/>
          </w:tcPr>
          <w:p w14:paraId="66B9A03A" w14:textId="7C2AAED9" w:rsidR="00E65B6F" w:rsidRPr="004E7AE1" w:rsidRDefault="00E65B6F" w:rsidP="004E7AE1">
            <w:pPr>
              <w:pStyle w:val="TabletextLeft"/>
            </w:pPr>
            <w:r w:rsidRPr="004E7AE1">
              <w:t>MBS/</w:t>
            </w:r>
            <w:r w:rsidR="00823502" w:rsidRPr="004E7AE1">
              <w:t>Pharmaceutical Benefits Scheme (</w:t>
            </w:r>
            <w:r w:rsidRPr="004E7AE1">
              <w:t>PBS</w:t>
            </w:r>
            <w:r w:rsidR="00823502" w:rsidRPr="004E7AE1">
              <w:t>)</w:t>
            </w:r>
            <w:r w:rsidRPr="004E7AE1">
              <w:t xml:space="preserve"> claiming data suggests a breach of legislative requirements has occurred, but the identified potential non-compliance does not meet the Audit case value threshold or is of a nature that is more complex and serious and would warrant an individualised letter and an up-front phone call. AAA have no legislative power.</w:t>
            </w:r>
          </w:p>
        </w:tc>
      </w:tr>
      <w:tr w:rsidR="00E65B6F" w:rsidRPr="00BF5CDB" w14:paraId="244CDC32" w14:textId="77777777" w:rsidTr="00A669B1">
        <w:trPr>
          <w:cantSplit/>
          <w:trHeight w:val="240"/>
        </w:trPr>
        <w:tc>
          <w:tcPr>
            <w:tcW w:w="577" w:type="pct"/>
            <w:shd w:val="clear" w:color="auto" w:fill="DFF0F9" w:themeFill="accent3" w:themeFillTint="33"/>
          </w:tcPr>
          <w:p w14:paraId="753AA605" w14:textId="77777777" w:rsidR="00E65B6F" w:rsidRPr="00BF5CDB" w:rsidRDefault="00E65B6F">
            <w:pPr>
              <w:pStyle w:val="TabletextLeft"/>
              <w:rPr>
                <w:b/>
                <w:szCs w:val="20"/>
              </w:rPr>
            </w:pPr>
            <w:r w:rsidRPr="00BF5CDB">
              <w:rPr>
                <w:b/>
                <w:szCs w:val="20"/>
              </w:rPr>
              <w:t>PRP and PSR Scheme</w:t>
            </w:r>
          </w:p>
          <w:p w14:paraId="3B2ED259" w14:textId="0C82A742" w:rsidR="00E14307" w:rsidRPr="00BF5CDB" w:rsidRDefault="00E14307">
            <w:pPr>
              <w:pStyle w:val="TabletextLeft"/>
              <w:rPr>
                <w:b/>
                <w:szCs w:val="20"/>
              </w:rPr>
            </w:pPr>
            <w:r w:rsidRPr="00BF5CDB">
              <w:rPr>
                <w:szCs w:val="20"/>
              </w:rPr>
              <w:t xml:space="preserve">(the PSR can only examine cases referred by the delegates of the </w:t>
            </w:r>
            <w:r w:rsidRPr="00BF5CDB">
              <w:rPr>
                <w:iCs/>
                <w:szCs w:val="20"/>
              </w:rPr>
              <w:t xml:space="preserve">Chief </w:t>
            </w:r>
            <w:proofErr w:type="gramStart"/>
            <w:r w:rsidRPr="00BF5CDB">
              <w:rPr>
                <w:iCs/>
                <w:szCs w:val="20"/>
              </w:rPr>
              <w:t xml:space="preserve">Executive </w:t>
            </w:r>
            <w:r w:rsidR="005C6A4C" w:rsidRPr="00BF5CDB">
              <w:rPr>
                <w:iCs/>
                <w:szCs w:val="20"/>
              </w:rPr>
              <w:t xml:space="preserve"> </w:t>
            </w:r>
            <w:r w:rsidRPr="00BF5CDB">
              <w:rPr>
                <w:iCs/>
                <w:szCs w:val="20"/>
              </w:rPr>
              <w:t>Medicare</w:t>
            </w:r>
            <w:proofErr w:type="gramEnd"/>
            <w:r w:rsidRPr="00BF5CDB">
              <w:rPr>
                <w:szCs w:val="20"/>
              </w:rPr>
              <w:t xml:space="preserve"> and</w:t>
            </w:r>
            <w:r w:rsidRPr="00BF5CDB">
              <w:rPr>
                <w:i/>
                <w:szCs w:val="20"/>
              </w:rPr>
              <w:t xml:space="preserve"> </w:t>
            </w:r>
            <w:r w:rsidRPr="00BF5CDB">
              <w:rPr>
                <w:szCs w:val="20"/>
              </w:rPr>
              <w:t>cannot initiate its own reviews)</w:t>
            </w:r>
          </w:p>
        </w:tc>
        <w:tc>
          <w:tcPr>
            <w:tcW w:w="777" w:type="pct"/>
            <w:shd w:val="clear" w:color="auto" w:fill="DFF0F9" w:themeFill="accent3" w:themeFillTint="33"/>
          </w:tcPr>
          <w:p w14:paraId="0E4865CB" w14:textId="0B573C29" w:rsidR="00E65B6F" w:rsidRPr="00EF2981" w:rsidRDefault="00E65B6F" w:rsidP="004D051F">
            <w:pPr>
              <w:pStyle w:val="Tablebullets"/>
              <w:framePr w:wrap="around"/>
              <w:rPr>
                <w:szCs w:val="20"/>
              </w:rPr>
            </w:pPr>
            <w:r w:rsidRPr="00EF2981">
              <w:rPr>
                <w:szCs w:val="20"/>
              </w:rPr>
              <w:t xml:space="preserve">PRP </w:t>
            </w:r>
            <w:r w:rsidR="00462862" w:rsidRPr="00EF2981">
              <w:rPr>
                <w:szCs w:val="20"/>
              </w:rPr>
              <w:t>(</w:t>
            </w:r>
            <w:proofErr w:type="gramStart"/>
            <w:r w:rsidR="00904BFD" w:rsidRPr="00EF2981">
              <w:rPr>
                <w:szCs w:val="20"/>
              </w:rPr>
              <w:t>e.g.</w:t>
            </w:r>
            <w:proofErr w:type="gramEnd"/>
            <w:r w:rsidR="00462862" w:rsidRPr="00EF2981">
              <w:rPr>
                <w:szCs w:val="20"/>
              </w:rPr>
              <w:t xml:space="preserve"> tip offs, </w:t>
            </w:r>
            <w:r w:rsidR="00685963" w:rsidRPr="00EF2981">
              <w:rPr>
                <w:szCs w:val="20"/>
              </w:rPr>
              <w:t>projects, analytics tools)</w:t>
            </w:r>
          </w:p>
        </w:tc>
        <w:tc>
          <w:tcPr>
            <w:tcW w:w="1152" w:type="pct"/>
            <w:shd w:val="clear" w:color="auto" w:fill="DFF0F9" w:themeFill="accent3" w:themeFillTint="33"/>
          </w:tcPr>
          <w:p w14:paraId="0A75DED6" w14:textId="77777777" w:rsidR="00E65B6F" w:rsidRPr="00EF2981" w:rsidRDefault="00E65B6F" w:rsidP="004D051F">
            <w:pPr>
              <w:pStyle w:val="Tablebullets"/>
              <w:framePr w:wrap="around"/>
              <w:rPr>
                <w:szCs w:val="20"/>
              </w:rPr>
            </w:pPr>
            <w:r w:rsidRPr="00EF2981">
              <w:rPr>
                <w:szCs w:val="20"/>
              </w:rPr>
              <w:t>PSR has enforceable powers</w:t>
            </w:r>
          </w:p>
          <w:p w14:paraId="66F27329" w14:textId="77777777" w:rsidR="00E65B6F" w:rsidRPr="00EF2981" w:rsidRDefault="00E65B6F" w:rsidP="004D051F">
            <w:pPr>
              <w:pStyle w:val="Tablebullets"/>
              <w:framePr w:wrap="around"/>
              <w:rPr>
                <w:szCs w:val="20"/>
              </w:rPr>
            </w:pPr>
            <w:r w:rsidRPr="00EF2981">
              <w:rPr>
                <w:szCs w:val="20"/>
              </w:rPr>
              <w:t>Reactive</w:t>
            </w:r>
          </w:p>
          <w:p w14:paraId="7E38C74E" w14:textId="77777777" w:rsidR="00E65B6F" w:rsidRPr="00EF2981" w:rsidRDefault="00E65B6F" w:rsidP="004D051F">
            <w:pPr>
              <w:pStyle w:val="Tablebullets"/>
              <w:framePr w:wrap="around"/>
              <w:rPr>
                <w:szCs w:val="20"/>
              </w:rPr>
            </w:pPr>
            <w:r w:rsidRPr="00EF2981">
              <w:rPr>
                <w:szCs w:val="20"/>
              </w:rPr>
              <w:t>Highly targeted</w:t>
            </w:r>
          </w:p>
          <w:p w14:paraId="6342EC40" w14:textId="2F26788B" w:rsidR="00E65B6F" w:rsidRPr="00EF2981" w:rsidRDefault="00E65B6F" w:rsidP="004D051F">
            <w:pPr>
              <w:pStyle w:val="Tablebullets"/>
              <w:framePr w:wrap="around"/>
              <w:rPr>
                <w:szCs w:val="20"/>
              </w:rPr>
            </w:pPr>
            <w:r w:rsidRPr="00EF2981">
              <w:rPr>
                <w:szCs w:val="20"/>
              </w:rPr>
              <w:t xml:space="preserve">Response to inappropriate </w:t>
            </w:r>
            <w:r w:rsidR="00F353E3" w:rsidRPr="00EF2981">
              <w:rPr>
                <w:szCs w:val="20"/>
              </w:rPr>
              <w:t>practice</w:t>
            </w:r>
          </w:p>
        </w:tc>
        <w:tc>
          <w:tcPr>
            <w:tcW w:w="2494" w:type="pct"/>
            <w:shd w:val="clear" w:color="auto" w:fill="DFF0F9" w:themeFill="accent3" w:themeFillTint="33"/>
          </w:tcPr>
          <w:p w14:paraId="196E4944" w14:textId="5B5DD6D5" w:rsidR="00E65B6F" w:rsidRPr="00EF2981" w:rsidRDefault="00E65B6F" w:rsidP="004D051F">
            <w:pPr>
              <w:rPr>
                <w:sz w:val="20"/>
                <w:szCs w:val="20"/>
              </w:rPr>
            </w:pPr>
            <w:r w:rsidRPr="00EF2981">
              <w:rPr>
                <w:sz w:val="20"/>
                <w:szCs w:val="20"/>
              </w:rPr>
              <w:t xml:space="preserve">The PRP function within the </w:t>
            </w:r>
            <w:r w:rsidR="009931E5" w:rsidRPr="00EF2981">
              <w:rPr>
                <w:sz w:val="20"/>
                <w:szCs w:val="20"/>
              </w:rPr>
              <w:t>department</w:t>
            </w:r>
            <w:r w:rsidRPr="00EF2981">
              <w:rPr>
                <w:sz w:val="20"/>
                <w:szCs w:val="20"/>
              </w:rPr>
              <w:t xml:space="preserve"> reviews serious cases of inappropriate </w:t>
            </w:r>
            <w:r w:rsidR="00F353E3" w:rsidRPr="00EF2981">
              <w:rPr>
                <w:sz w:val="20"/>
                <w:szCs w:val="20"/>
              </w:rPr>
              <w:t xml:space="preserve">practice </w:t>
            </w:r>
            <w:r w:rsidRPr="00EF2981">
              <w:rPr>
                <w:sz w:val="20"/>
                <w:szCs w:val="20"/>
              </w:rPr>
              <w:t xml:space="preserve">and considers whether the issue should be referred to the PSR. Involves the identification of possible inappropriate practice that is then reviewed by a Professional Medical Advisor in line with the threshold established under s82 of the </w:t>
            </w:r>
            <w:r w:rsidR="005C6A4C" w:rsidRPr="00EF2981">
              <w:rPr>
                <w:sz w:val="20"/>
                <w:szCs w:val="20"/>
              </w:rPr>
              <w:t>HIA</w:t>
            </w:r>
            <w:r w:rsidRPr="00EF2981">
              <w:rPr>
                <w:sz w:val="20"/>
                <w:szCs w:val="20"/>
              </w:rPr>
              <w:t xml:space="preserve">. The PRP has no enforceable treatment capacity in and of itself. </w:t>
            </w:r>
          </w:p>
          <w:p w14:paraId="36FD6C67" w14:textId="77777777" w:rsidR="00E65B6F" w:rsidRPr="00EF2981" w:rsidRDefault="00E65B6F" w:rsidP="004D051F">
            <w:pPr>
              <w:rPr>
                <w:sz w:val="20"/>
                <w:szCs w:val="20"/>
              </w:rPr>
            </w:pPr>
            <w:r w:rsidRPr="00EF2981">
              <w:rPr>
                <w:sz w:val="20"/>
                <w:szCs w:val="20"/>
              </w:rPr>
              <w:t>The PSR Scheme is designed for reviewing and investigating the provision of services by a practitioner or behaviour of a corporate entity to determine the engagement in inappropriate practice by investigating:</w:t>
            </w:r>
          </w:p>
          <w:p w14:paraId="333475D3" w14:textId="77777777" w:rsidR="00E65B6F" w:rsidRPr="00EF2981" w:rsidRDefault="00E65B6F" w:rsidP="004D051F">
            <w:pPr>
              <w:pStyle w:val="Tablebullets"/>
              <w:framePr w:wrap="around"/>
              <w:rPr>
                <w:szCs w:val="20"/>
              </w:rPr>
            </w:pPr>
            <w:r w:rsidRPr="00EF2981">
              <w:rPr>
                <w:szCs w:val="20"/>
              </w:rPr>
              <w:t>If MBS funded health services are clinically relevant</w:t>
            </w:r>
          </w:p>
          <w:p w14:paraId="7E98E149" w14:textId="651C5AC8" w:rsidR="00E65B6F" w:rsidRPr="00EF2981" w:rsidRDefault="00AA5F5A" w:rsidP="004D051F">
            <w:pPr>
              <w:pStyle w:val="Tablebullets"/>
              <w:framePr w:wrap="around"/>
              <w:rPr>
                <w:szCs w:val="20"/>
              </w:rPr>
            </w:pPr>
            <w:r w:rsidRPr="00EF2981">
              <w:rPr>
                <w:szCs w:val="20"/>
              </w:rPr>
              <w:t>W</w:t>
            </w:r>
            <w:r w:rsidR="00E65B6F" w:rsidRPr="00EF2981">
              <w:rPr>
                <w:szCs w:val="20"/>
              </w:rPr>
              <w:t xml:space="preserve">hether benefits are provided in accordance with the regulations of MBS. </w:t>
            </w:r>
          </w:p>
          <w:p w14:paraId="4A07B238" w14:textId="6CA6EB7B" w:rsidR="00E65B6F" w:rsidRPr="00BF5CDB" w:rsidRDefault="00E65B6F">
            <w:pPr>
              <w:pStyle w:val="TabletextLeft"/>
              <w:rPr>
                <w:iCs/>
                <w:szCs w:val="20"/>
              </w:rPr>
            </w:pPr>
            <w:r w:rsidRPr="00BF5CDB">
              <w:rPr>
                <w:szCs w:val="20"/>
              </w:rPr>
              <w:t>Note: the PSR is not responsible</w:t>
            </w:r>
            <w:r w:rsidRPr="00BF5CDB">
              <w:rPr>
                <w:rStyle w:val="FootnoteReference"/>
                <w:szCs w:val="20"/>
              </w:rPr>
              <w:footnoteReference w:id="5"/>
            </w:r>
            <w:r w:rsidRPr="00BF5CDB">
              <w:rPr>
                <w:szCs w:val="20"/>
              </w:rPr>
              <w:t xml:space="preserve"> for pursuing potential criminal activity and if identified, this is referred to the </w:t>
            </w:r>
            <w:r w:rsidRPr="00BF5CDB">
              <w:rPr>
                <w:iCs/>
                <w:szCs w:val="20"/>
              </w:rPr>
              <w:t>Commonwealth Director of Public Prosecution</w:t>
            </w:r>
            <w:r w:rsidR="00776E05" w:rsidRPr="00BF5CDB">
              <w:rPr>
                <w:iCs/>
                <w:szCs w:val="20"/>
              </w:rPr>
              <w:t xml:space="preserve"> (CDPP)</w:t>
            </w:r>
            <w:r w:rsidRPr="00BF5CDB">
              <w:rPr>
                <w:i/>
                <w:szCs w:val="20"/>
              </w:rPr>
              <w:t>.</w:t>
            </w:r>
          </w:p>
        </w:tc>
      </w:tr>
      <w:tr w:rsidR="00E65B6F" w:rsidRPr="00BF5CDB" w14:paraId="2AB33974" w14:textId="77777777" w:rsidTr="00A669B1">
        <w:trPr>
          <w:cantSplit/>
          <w:trHeight w:val="240"/>
        </w:trPr>
        <w:tc>
          <w:tcPr>
            <w:tcW w:w="577" w:type="pct"/>
            <w:shd w:val="clear" w:color="auto" w:fill="DFF0F9" w:themeFill="accent3" w:themeFillTint="33"/>
          </w:tcPr>
          <w:p w14:paraId="33A83970" w14:textId="77777777" w:rsidR="00E65B6F" w:rsidRPr="00BF5CDB" w:rsidRDefault="00E65B6F">
            <w:pPr>
              <w:pStyle w:val="TabletextLeft"/>
              <w:rPr>
                <w:b/>
                <w:szCs w:val="20"/>
              </w:rPr>
            </w:pPr>
            <w:r w:rsidRPr="00BF5CDB">
              <w:rPr>
                <w:b/>
                <w:szCs w:val="20"/>
              </w:rPr>
              <w:t xml:space="preserve">Audits </w:t>
            </w:r>
          </w:p>
        </w:tc>
        <w:tc>
          <w:tcPr>
            <w:tcW w:w="777" w:type="pct"/>
            <w:shd w:val="clear" w:color="auto" w:fill="DFF0F9" w:themeFill="accent3" w:themeFillTint="33"/>
          </w:tcPr>
          <w:p w14:paraId="57B05E45" w14:textId="3A079068" w:rsidR="00E65B6F" w:rsidRPr="004E7AE1" w:rsidRDefault="00E65B6F" w:rsidP="004E7AE1">
            <w:pPr>
              <w:pStyle w:val="Tablebullets"/>
              <w:framePr w:wrap="around"/>
            </w:pPr>
            <w:r w:rsidRPr="004E7AE1">
              <w:t>Tip</w:t>
            </w:r>
            <w:r w:rsidR="00A65897" w:rsidRPr="004E7AE1">
              <w:t xml:space="preserve"> </w:t>
            </w:r>
            <w:r w:rsidRPr="004E7AE1">
              <w:t>offs</w:t>
            </w:r>
          </w:p>
          <w:p w14:paraId="241D5C14" w14:textId="77777777" w:rsidR="00E65B6F" w:rsidRPr="004E7AE1" w:rsidRDefault="00E65B6F" w:rsidP="004E7AE1">
            <w:pPr>
              <w:pStyle w:val="Tablebullets"/>
              <w:framePr w:wrap="around"/>
            </w:pPr>
            <w:r w:rsidRPr="004E7AE1">
              <w:t>Non-compliance detection tools (NCDT)</w:t>
            </w:r>
          </w:p>
          <w:p w14:paraId="15622B08" w14:textId="77777777" w:rsidR="00E65B6F" w:rsidRPr="004E7AE1" w:rsidRDefault="00E65B6F" w:rsidP="004E7AE1">
            <w:pPr>
              <w:pStyle w:val="Tablebullets"/>
              <w:framePr w:wrap="around"/>
            </w:pPr>
            <w:r w:rsidRPr="004E7AE1">
              <w:t xml:space="preserve">Projects  </w:t>
            </w:r>
          </w:p>
        </w:tc>
        <w:tc>
          <w:tcPr>
            <w:tcW w:w="1152" w:type="pct"/>
            <w:shd w:val="clear" w:color="auto" w:fill="DFF0F9" w:themeFill="accent3" w:themeFillTint="33"/>
          </w:tcPr>
          <w:p w14:paraId="72199B7C" w14:textId="77777777" w:rsidR="00E65B6F" w:rsidRPr="004E7AE1" w:rsidRDefault="00E65B6F" w:rsidP="004E7AE1">
            <w:pPr>
              <w:pStyle w:val="Tablebullets"/>
              <w:framePr w:wrap="around"/>
            </w:pPr>
            <w:r w:rsidRPr="004E7AE1">
              <w:t>Audit has enforceable powers</w:t>
            </w:r>
          </w:p>
          <w:p w14:paraId="5B6ECC1F" w14:textId="77777777" w:rsidR="00E65B6F" w:rsidRPr="004E7AE1" w:rsidRDefault="00E65B6F" w:rsidP="004E7AE1">
            <w:pPr>
              <w:pStyle w:val="Tablebullets"/>
              <w:framePr w:wrap="around"/>
            </w:pPr>
            <w:r w:rsidRPr="004E7AE1">
              <w:t>Reactive</w:t>
            </w:r>
          </w:p>
          <w:p w14:paraId="4499A6A4" w14:textId="77777777" w:rsidR="00E65B6F" w:rsidRPr="004E7AE1" w:rsidRDefault="00E65B6F" w:rsidP="004E7AE1">
            <w:pPr>
              <w:pStyle w:val="Tablebullets"/>
              <w:framePr w:wrap="around"/>
            </w:pPr>
            <w:r w:rsidRPr="004E7AE1">
              <w:t>Highly targeted to claims where there is ‘reasonable concern’ of incorrect billing</w:t>
            </w:r>
          </w:p>
        </w:tc>
        <w:tc>
          <w:tcPr>
            <w:tcW w:w="2494" w:type="pct"/>
            <w:shd w:val="clear" w:color="auto" w:fill="DFF0F9" w:themeFill="accent3" w:themeFillTint="33"/>
          </w:tcPr>
          <w:p w14:paraId="559AB233" w14:textId="4F3BB641" w:rsidR="00E65B6F" w:rsidRPr="00EF2981" w:rsidRDefault="00E65B6F" w:rsidP="004D051F">
            <w:pPr>
              <w:rPr>
                <w:sz w:val="20"/>
                <w:szCs w:val="20"/>
              </w:rPr>
            </w:pPr>
            <w:r w:rsidRPr="00EF2981">
              <w:rPr>
                <w:sz w:val="20"/>
                <w:szCs w:val="20"/>
              </w:rPr>
              <w:t>Evidence</w:t>
            </w:r>
            <w:r w:rsidR="00776E05" w:rsidRPr="00EF2981">
              <w:rPr>
                <w:sz w:val="20"/>
                <w:szCs w:val="20"/>
              </w:rPr>
              <w:t>-</w:t>
            </w:r>
            <w:r w:rsidRPr="00EF2981">
              <w:rPr>
                <w:sz w:val="20"/>
                <w:szCs w:val="20"/>
              </w:rPr>
              <w:t xml:space="preserve">based assessments (factual evidence or access to data) of documents supplied by practitioners to check that payments made were compliant. Audits have legislative power and cannot look at clinical relevance. </w:t>
            </w:r>
          </w:p>
        </w:tc>
      </w:tr>
      <w:tr w:rsidR="00E65B6F" w:rsidRPr="00BF5CDB" w14:paraId="47DCF6F8" w14:textId="77777777" w:rsidTr="00A669B1">
        <w:trPr>
          <w:trHeight w:val="240"/>
        </w:trPr>
        <w:tc>
          <w:tcPr>
            <w:tcW w:w="577" w:type="pct"/>
            <w:shd w:val="clear" w:color="auto" w:fill="DFF0F9" w:themeFill="accent3" w:themeFillTint="33"/>
          </w:tcPr>
          <w:p w14:paraId="38AFD256" w14:textId="77777777" w:rsidR="00E65B6F" w:rsidRPr="00BF5CDB" w:rsidRDefault="00E65B6F">
            <w:pPr>
              <w:pStyle w:val="TabletextLeft"/>
              <w:rPr>
                <w:b/>
                <w:szCs w:val="20"/>
              </w:rPr>
            </w:pPr>
            <w:r w:rsidRPr="00BF5CDB">
              <w:rPr>
                <w:b/>
                <w:szCs w:val="20"/>
              </w:rPr>
              <w:lastRenderedPageBreak/>
              <w:t xml:space="preserve">Fraud investigations </w:t>
            </w:r>
          </w:p>
        </w:tc>
        <w:tc>
          <w:tcPr>
            <w:tcW w:w="777" w:type="pct"/>
            <w:shd w:val="clear" w:color="auto" w:fill="DFF0F9" w:themeFill="accent3" w:themeFillTint="33"/>
          </w:tcPr>
          <w:p w14:paraId="4C24F3C0" w14:textId="40CBB899" w:rsidR="00E65B6F" w:rsidRPr="004E7AE1" w:rsidRDefault="00E65B6F" w:rsidP="004E7AE1">
            <w:pPr>
              <w:pStyle w:val="Tablebullets"/>
              <w:framePr w:wrap="around"/>
            </w:pPr>
            <w:r w:rsidRPr="004E7AE1">
              <w:t>Tip</w:t>
            </w:r>
            <w:r w:rsidR="00A65897" w:rsidRPr="004E7AE1">
              <w:t xml:space="preserve"> </w:t>
            </w:r>
            <w:r w:rsidRPr="004E7AE1">
              <w:t>offs</w:t>
            </w:r>
          </w:p>
          <w:p w14:paraId="40A7E3AB" w14:textId="0089A36D" w:rsidR="00E65B6F" w:rsidRPr="004E7AE1" w:rsidRDefault="00E65B6F" w:rsidP="004E7AE1">
            <w:pPr>
              <w:pStyle w:val="Tablebullets"/>
              <w:framePr w:wrap="around"/>
            </w:pPr>
            <w:r w:rsidRPr="004E7AE1">
              <w:t>NCDT</w:t>
            </w:r>
            <w:r w:rsidR="00776E05" w:rsidRPr="004E7AE1">
              <w:t>s</w:t>
            </w:r>
          </w:p>
          <w:p w14:paraId="03D5E593" w14:textId="77777777" w:rsidR="00E65B6F" w:rsidRPr="004E7AE1" w:rsidRDefault="00E65B6F" w:rsidP="004E7AE1">
            <w:pPr>
              <w:pStyle w:val="Tablebullets"/>
              <w:framePr w:wrap="around"/>
            </w:pPr>
            <w:r w:rsidRPr="004E7AE1">
              <w:t xml:space="preserve">Projects  </w:t>
            </w:r>
          </w:p>
        </w:tc>
        <w:tc>
          <w:tcPr>
            <w:tcW w:w="1152" w:type="pct"/>
            <w:shd w:val="clear" w:color="auto" w:fill="DFF0F9" w:themeFill="accent3" w:themeFillTint="33"/>
          </w:tcPr>
          <w:p w14:paraId="3FD4F2B2" w14:textId="77777777" w:rsidR="00E65B6F" w:rsidRPr="004E7AE1" w:rsidRDefault="00E65B6F" w:rsidP="004E7AE1">
            <w:pPr>
              <w:pStyle w:val="Tablebullets"/>
              <w:framePr w:wrap="around"/>
            </w:pPr>
            <w:r w:rsidRPr="004E7AE1">
              <w:t>Enforceable powers</w:t>
            </w:r>
          </w:p>
          <w:p w14:paraId="676F7CA4" w14:textId="77777777" w:rsidR="00E65B6F" w:rsidRPr="004E7AE1" w:rsidRDefault="00E65B6F" w:rsidP="004E7AE1">
            <w:pPr>
              <w:pStyle w:val="Tablebullets"/>
              <w:framePr w:wrap="around"/>
            </w:pPr>
            <w:r w:rsidRPr="004E7AE1">
              <w:t>Reactive</w:t>
            </w:r>
          </w:p>
          <w:p w14:paraId="3B0D8196" w14:textId="77777777" w:rsidR="00E65B6F" w:rsidRPr="004E7AE1" w:rsidRDefault="00E65B6F" w:rsidP="004E7AE1">
            <w:pPr>
              <w:pStyle w:val="Tablebullets"/>
              <w:framePr w:wrap="around"/>
            </w:pPr>
            <w:r w:rsidRPr="004E7AE1">
              <w:t>Highly targeted to cases of non-provision</w:t>
            </w:r>
          </w:p>
        </w:tc>
        <w:tc>
          <w:tcPr>
            <w:tcW w:w="2494" w:type="pct"/>
            <w:shd w:val="clear" w:color="auto" w:fill="DFF0F9" w:themeFill="accent3" w:themeFillTint="33"/>
          </w:tcPr>
          <w:p w14:paraId="10312173" w14:textId="57D6085C" w:rsidR="00E65B6F" w:rsidRPr="00EF2981" w:rsidRDefault="00E65B6F" w:rsidP="004D051F">
            <w:pPr>
              <w:rPr>
                <w:sz w:val="20"/>
                <w:szCs w:val="20"/>
              </w:rPr>
            </w:pPr>
            <w:r w:rsidRPr="00EF2981">
              <w:rPr>
                <w:sz w:val="20"/>
                <w:szCs w:val="20"/>
              </w:rPr>
              <w:t xml:space="preserve">Fraud Investigation team in </w:t>
            </w:r>
            <w:proofErr w:type="spellStart"/>
            <w:r w:rsidRPr="00EF2981">
              <w:rPr>
                <w:sz w:val="20"/>
                <w:szCs w:val="20"/>
              </w:rPr>
              <w:t>DoHAC</w:t>
            </w:r>
            <w:proofErr w:type="spellEnd"/>
            <w:r w:rsidRPr="00EF2981">
              <w:rPr>
                <w:sz w:val="20"/>
                <w:szCs w:val="20"/>
              </w:rPr>
              <w:t xml:space="preserve">. Prosecution of fraud requires the CDPP to prove an intent to defraud to the Commonwealth. </w:t>
            </w:r>
          </w:p>
        </w:tc>
      </w:tr>
    </w:tbl>
    <w:p w14:paraId="0306E4EE" w14:textId="490B8F62" w:rsidR="00E65B6F" w:rsidRPr="003028F2" w:rsidRDefault="00E65B6F" w:rsidP="00A669B1">
      <w:pPr>
        <w:pStyle w:val="Caption"/>
      </w:pPr>
      <w:r w:rsidRPr="003028F2">
        <w:t xml:space="preserve">Source: </w:t>
      </w:r>
      <w:r>
        <w:t>Philip Review</w:t>
      </w:r>
      <w:r w:rsidRPr="003028F2">
        <w:t xml:space="preserve"> (2023). </w:t>
      </w:r>
      <w:r>
        <w:t xml:space="preserve">Note grey cells indicate activity which are non-enforcement compliance mechanisms and blue cells indicate activity which are enforcement compliance mechanisms </w:t>
      </w:r>
    </w:p>
    <w:p w14:paraId="7F8A2F45" w14:textId="6FE5C3ED" w:rsidR="00E65B6F" w:rsidRPr="007570D6" w:rsidRDefault="00A669B1" w:rsidP="00E65B6F">
      <w:r>
        <w:fldChar w:fldCharType="begin"/>
      </w:r>
      <w:r>
        <w:instrText xml:space="preserve"> REF _Ref128659821 \r \h </w:instrText>
      </w:r>
      <w:r>
        <w:fldChar w:fldCharType="separate"/>
      </w:r>
      <w:r w:rsidR="005A1647">
        <w:t>Figure 2.3</w:t>
      </w:r>
      <w:r>
        <w:fldChar w:fldCharType="end"/>
      </w:r>
      <w:r w:rsidR="00E65B6F">
        <w:t xml:space="preserve"> maps all treatments back to their initial point of identification. It indicates a strong relationship between projects and non-enforceable treatment types and, equally, a strong relationship between tip</w:t>
      </w:r>
      <w:r w:rsidR="00A65897">
        <w:t xml:space="preserve"> </w:t>
      </w:r>
      <w:r w:rsidR="00E65B6F">
        <w:t>offs and non-compliance detection tools with enforceable treatment types. It is important that this reliance on tip offs be complemented by greater use of analytics to ensure continuous monitoring in real time or near real time.</w:t>
      </w:r>
      <w:r w:rsidR="0045097F">
        <w:t xml:space="preserve"> Further, it is noted that time-limited </w:t>
      </w:r>
      <w:r w:rsidR="006D6493">
        <w:t>scope-limited projects typically include non-enforceable treatments and that these projects lack a strategic and consistent approach to fraud and non</w:t>
      </w:r>
      <w:r w:rsidR="00473CA5">
        <w:t>-</w:t>
      </w:r>
      <w:r w:rsidR="006D6493">
        <w:t>compliance identification and treatment.</w:t>
      </w:r>
    </w:p>
    <w:p w14:paraId="73446DDD" w14:textId="1CD31B78" w:rsidR="00E65B6F" w:rsidRDefault="00E65B6F" w:rsidP="00940D39">
      <w:pPr>
        <w:pStyle w:val="CaptionFigure"/>
      </w:pPr>
      <w:bookmarkStart w:id="90" w:name="_Toc131418622"/>
      <w:bookmarkStart w:id="91" w:name="_Ref128659821"/>
      <w:r>
        <w:t>: Case provision by treatment type and source, 2021</w:t>
      </w:r>
      <w:r w:rsidR="00CA6D48">
        <w:t>–</w:t>
      </w:r>
      <w:r>
        <w:t>22</w:t>
      </w:r>
      <w:bookmarkEnd w:id="90"/>
      <w:r>
        <w:t xml:space="preserve"> </w:t>
      </w:r>
      <w:bookmarkEnd w:id="91"/>
    </w:p>
    <w:p w14:paraId="2C22412D" w14:textId="562AC1B7" w:rsidR="00E65B6F" w:rsidRPr="001454A0" w:rsidRDefault="00E65B6F" w:rsidP="00E65B6F">
      <w:r>
        <w:rPr>
          <w:noProof/>
        </w:rPr>
        <w:drawing>
          <wp:inline distT="0" distB="0" distL="0" distR="0" wp14:anchorId="22D9940C" wp14:editId="5A4F1506">
            <wp:extent cx="6317936" cy="2700000"/>
            <wp:effectExtent l="0" t="0" r="6985" b="5715"/>
            <wp:docPr id="58" name="Picture 58" descr="Figure 2.3 is a diagram showing various compliance treatment types and their respective case sources, numbers and percentages. The graphic shows case provision for targeted campaigns, targeted awareness raising, public hospital compliance intervention, PRP, audit &amp; AAA, and invest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2.3 is a diagram showing various compliance treatment types and their respective case sources, numbers and percentages. The graphic shows case provision for targeted campaigns, targeted awareness raising, public hospital compliance intervention, PRP, audit &amp; AAA, and investigations."/>
                    <pic:cNvPicPr/>
                  </pic:nvPicPr>
                  <pic:blipFill>
                    <a:blip r:embed="rId22"/>
                    <a:stretch>
                      <a:fillRect/>
                    </a:stretch>
                  </pic:blipFill>
                  <pic:spPr>
                    <a:xfrm>
                      <a:off x="0" y="0"/>
                      <a:ext cx="6317936" cy="2700000"/>
                    </a:xfrm>
                    <a:prstGeom prst="rect">
                      <a:avLst/>
                    </a:prstGeom>
                  </pic:spPr>
                </pic:pic>
              </a:graphicData>
            </a:graphic>
          </wp:inline>
        </w:drawing>
      </w:r>
      <w:r>
        <w:rPr>
          <w:noProof/>
        </w:rPr>
        <w:drawing>
          <wp:inline distT="0" distB="0" distL="0" distR="0" wp14:anchorId="030507AA" wp14:editId="0341068E">
            <wp:extent cx="6604635" cy="381559"/>
            <wp:effectExtent l="0" t="0" r="0" b="0"/>
            <wp:docPr id="59" name="Picture 59" descr="Legend for the above graphic, which shows colours for each type of source and type of treatment. Sources include: Others (dark green), Projects (light green), Tip offs (light blue) and Non-compliance Detection Tool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egend for the above graphic, which shows colours for each type of source and type of treatment. Sources include: Others (dark green), Projects (light green), Tip offs (light blue) and Non-compliance Detection Tools (blu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81642" cy="409116"/>
                    </a:xfrm>
                    <a:prstGeom prst="rect">
                      <a:avLst/>
                    </a:prstGeom>
                  </pic:spPr>
                </pic:pic>
              </a:graphicData>
            </a:graphic>
          </wp:inline>
        </w:drawing>
      </w:r>
    </w:p>
    <w:p w14:paraId="392B1CFC" w14:textId="1E4EB7FB" w:rsidR="00E65B6F" w:rsidRPr="00D172FE" w:rsidRDefault="00E65B6F" w:rsidP="00E65B6F">
      <w:pPr>
        <w:pStyle w:val="Caption"/>
      </w:pPr>
      <w:r>
        <w:t xml:space="preserve">Source: Philip Review (2023) using </w:t>
      </w:r>
      <w:proofErr w:type="spellStart"/>
      <w:r>
        <w:t>DoHAC</w:t>
      </w:r>
      <w:proofErr w:type="spellEnd"/>
      <w:r>
        <w:t xml:space="preserve"> (</w:t>
      </w:r>
      <w:proofErr w:type="gramStart"/>
      <w:r>
        <w:t>2023)</w:t>
      </w:r>
      <w:r w:rsidR="004443BD">
        <w:t>*</w:t>
      </w:r>
      <w:proofErr w:type="gramEnd"/>
      <w:r w:rsidR="0095122B">
        <w:t xml:space="preserve"> </w:t>
      </w:r>
      <w:r>
        <w:t>The ‘others’ category predominantly includes non-MBS compliance data activities and analysis</w:t>
      </w:r>
    </w:p>
    <w:p w14:paraId="70611625" w14:textId="4CF4CDAF" w:rsidR="00AF40BF" w:rsidRPr="00AF40BF" w:rsidRDefault="00AF40BF" w:rsidP="00AF40BF">
      <w:r>
        <w:t>It is clear that</w:t>
      </w:r>
      <w:r w:rsidR="00463163">
        <w:t xml:space="preserve"> </w:t>
      </w:r>
      <w:r w:rsidR="00CA3467">
        <w:t>roles</w:t>
      </w:r>
      <w:r w:rsidR="00463163">
        <w:t xml:space="preserve"> and </w:t>
      </w:r>
      <w:r w:rsidR="00CA3467">
        <w:t>responsibilities across policymakers</w:t>
      </w:r>
      <w:r w:rsidR="00D66D20">
        <w:t xml:space="preserve"> and</w:t>
      </w:r>
      <w:r w:rsidR="003668A5">
        <w:t xml:space="preserve"> those responsible for</w:t>
      </w:r>
      <w:r w:rsidR="00D66D20">
        <w:t xml:space="preserve"> </w:t>
      </w:r>
      <w:r w:rsidR="00DD6C62">
        <w:t>implementation, along with compliance activities, risk identification</w:t>
      </w:r>
      <w:r w:rsidR="001F5382">
        <w:t>, and treatment</w:t>
      </w:r>
      <w:r w:rsidR="00AA63F5">
        <w:t xml:space="preserve"> pathways</w:t>
      </w:r>
      <w:r w:rsidR="00C54A6F">
        <w:t xml:space="preserve"> overlap between </w:t>
      </w:r>
      <w:r w:rsidR="00741E67">
        <w:t xml:space="preserve">Services Australia and the </w:t>
      </w:r>
      <w:r w:rsidR="009931E5">
        <w:t>department</w:t>
      </w:r>
      <w:r w:rsidR="006B5EC1">
        <w:t>, without effective</w:t>
      </w:r>
      <w:r w:rsidR="00A60027">
        <w:t xml:space="preserve"> clear lines of accountabilities</w:t>
      </w:r>
      <w:r w:rsidR="007B6177">
        <w:t>, optimal cooperation</w:t>
      </w:r>
      <w:r w:rsidR="00457215">
        <w:t>, and thus</w:t>
      </w:r>
      <w:r w:rsidR="00CA273A">
        <w:t xml:space="preserve"> governance.</w:t>
      </w:r>
    </w:p>
    <w:p w14:paraId="5C389DDF" w14:textId="75303B33" w:rsidR="00CA273A" w:rsidRPr="00AF40BF" w:rsidRDefault="0055440A" w:rsidP="00AF40BF">
      <w:r>
        <w:t>I</w:t>
      </w:r>
      <w:r w:rsidR="00B46510">
        <w:t xml:space="preserve">n my review, I, on a number of occasions, asked members of both organisations as to where accountability and the apex of governance lay, to which </w:t>
      </w:r>
      <w:r w:rsidR="009A0CC7">
        <w:t>the response was overwhelmingly one of confusion.</w:t>
      </w:r>
    </w:p>
    <w:p w14:paraId="77887D4C" w14:textId="5DE8649D" w:rsidR="00D75537" w:rsidRPr="00AF40BF" w:rsidRDefault="00D75537" w:rsidP="004A77D7">
      <w:r>
        <w:t xml:space="preserve">Key to resolving </w:t>
      </w:r>
      <w:r w:rsidR="008B522D">
        <w:t>the deficiencies</w:t>
      </w:r>
      <w:r w:rsidR="003331F4">
        <w:t xml:space="preserve"> </w:t>
      </w:r>
      <w:r w:rsidR="00415270">
        <w:t xml:space="preserve">in </w:t>
      </w:r>
      <w:r w:rsidR="00294656">
        <w:t>controls</w:t>
      </w:r>
      <w:r>
        <w:t xml:space="preserve"> in the system is having effective governance – end</w:t>
      </w:r>
      <w:r w:rsidR="00D11428">
        <w:t>-</w:t>
      </w:r>
      <w:r>
        <w:t>to</w:t>
      </w:r>
      <w:r w:rsidR="00D11428">
        <w:t>-</w:t>
      </w:r>
      <w:r>
        <w:t xml:space="preserve">end views of compliance and integrity within the broader health system </w:t>
      </w:r>
      <w:r w:rsidR="00294656">
        <w:t>–</w:t>
      </w:r>
      <w:r>
        <w:t xml:space="preserve"> </w:t>
      </w:r>
      <w:r w:rsidR="00294656">
        <w:t>and the system need for better integrated planning, policy translations, and infrastructure for appropriate information flows.</w:t>
      </w:r>
    </w:p>
    <w:p w14:paraId="3C9F4015" w14:textId="2E7CC49B" w:rsidR="00163EF7" w:rsidRDefault="00163EF7" w:rsidP="00163EF7">
      <w:pPr>
        <w:pStyle w:val="BodyText"/>
      </w:pPr>
      <w:r w:rsidRPr="00163EF7">
        <w:t>Finding 3: Governance and operating models have been established and are documented, in practice they are exhibiting a lack of accountability and overall system governance.</w:t>
      </w:r>
    </w:p>
    <w:p w14:paraId="399FE77D" w14:textId="18C79B58" w:rsidR="002E6F4B" w:rsidRDefault="00163EF7" w:rsidP="00163EF7">
      <w:pPr>
        <w:pStyle w:val="BodyText"/>
      </w:pPr>
      <w:r w:rsidRPr="00163EF7">
        <w:t>Finding 4: There is a lack of transparency in how Medicare is governed and delivered between government agencies and between government and external parties, including consumers and</w:t>
      </w:r>
      <w:r>
        <w:t xml:space="preserve"> provider.</w:t>
      </w:r>
    </w:p>
    <w:p w14:paraId="2F95529F" w14:textId="3A1AE380" w:rsidR="009B6D18" w:rsidRDefault="009B6D18" w:rsidP="00940D39">
      <w:pPr>
        <w:pStyle w:val="Heading2"/>
      </w:pPr>
      <w:bookmarkStart w:id="92" w:name="_Toc128669065"/>
      <w:bookmarkStart w:id="93" w:name="_Toc128905521"/>
      <w:bookmarkStart w:id="94" w:name="_Toc128907014"/>
      <w:bookmarkStart w:id="95" w:name="_Toc128909124"/>
      <w:r>
        <w:t>Complexity to deliver and manage</w:t>
      </w:r>
      <w:r w:rsidR="005F6CDC">
        <w:t xml:space="preserve"> Medicare</w:t>
      </w:r>
      <w:bookmarkEnd w:id="92"/>
      <w:bookmarkEnd w:id="93"/>
      <w:bookmarkEnd w:id="94"/>
      <w:bookmarkEnd w:id="95"/>
    </w:p>
    <w:p w14:paraId="1041A06B" w14:textId="134B1285" w:rsidR="009B6D18" w:rsidRPr="009B6D18" w:rsidRDefault="00A54621" w:rsidP="009B6D18">
      <w:r>
        <w:t>At the time of preparing this report, there are approximately 6,000 individual MBS items</w:t>
      </w:r>
      <w:r w:rsidR="00C12509">
        <w:t xml:space="preserve"> covering all clinical specialties, care settings and patient demographics.</w:t>
      </w:r>
    </w:p>
    <w:p w14:paraId="4ADDC550" w14:textId="502BB9D3" w:rsidR="00B737FA" w:rsidRPr="009B6D18" w:rsidRDefault="00B737FA" w:rsidP="009B6D18">
      <w:r>
        <w:lastRenderedPageBreak/>
        <w:t xml:space="preserve">It is clear from the </w:t>
      </w:r>
      <w:r w:rsidR="009A7459">
        <w:t>workings of the system that the volu</w:t>
      </w:r>
      <w:r w:rsidR="005F775C">
        <w:t xml:space="preserve">me of </w:t>
      </w:r>
      <w:r w:rsidR="00535489">
        <w:t>Medicare</w:t>
      </w:r>
      <w:r w:rsidR="005F775C">
        <w:t xml:space="preserve"> items, the variability in clarity </w:t>
      </w:r>
      <w:r w:rsidR="00FC55A7">
        <w:t xml:space="preserve">and understanding </w:t>
      </w:r>
      <w:r w:rsidR="005F775C">
        <w:t>of these items</w:t>
      </w:r>
      <w:r w:rsidR="00F73B17">
        <w:t xml:space="preserve">, </w:t>
      </w:r>
      <w:r w:rsidR="00486F52">
        <w:t>sub-optimal education and decision supports</w:t>
      </w:r>
      <w:r w:rsidR="00A55470">
        <w:t>, and a lack of feedback loops from regulatory decisions to practitioners</w:t>
      </w:r>
      <w:r w:rsidR="00CD5FA1">
        <w:t xml:space="preserve"> </w:t>
      </w:r>
      <w:r w:rsidR="005903EF">
        <w:t>and patients has rendered the system complex and vulnerable to non-compliance and fraud.</w:t>
      </w:r>
    </w:p>
    <w:p w14:paraId="6D6ABB6A" w14:textId="1614FCE7" w:rsidR="00D071D8" w:rsidRPr="009B6D18" w:rsidRDefault="0021786C" w:rsidP="00940D39">
      <w:pPr>
        <w:pStyle w:val="Heading3"/>
      </w:pPr>
      <w:bookmarkStart w:id="96" w:name="_Toc128669066"/>
      <w:bookmarkStart w:id="97" w:name="_Toc128905522"/>
      <w:bookmarkStart w:id="98" w:name="_Toc128907015"/>
      <w:bookmarkStart w:id="99" w:name="_Toc128909125"/>
      <w:r>
        <w:t xml:space="preserve">MBS items do not always reflect </w:t>
      </w:r>
      <w:r w:rsidR="000F786B">
        <w:t>contemporary models of care</w:t>
      </w:r>
      <w:bookmarkEnd w:id="96"/>
      <w:bookmarkEnd w:id="97"/>
      <w:bookmarkEnd w:id="98"/>
      <w:bookmarkEnd w:id="99"/>
    </w:p>
    <w:p w14:paraId="09A968BB" w14:textId="6DEC7F06" w:rsidR="00671180" w:rsidRDefault="009656BD" w:rsidP="009656BD">
      <w:pPr>
        <w:spacing w:after="197"/>
        <w:ind w:left="3" w:right="201"/>
      </w:pPr>
      <w:r w:rsidRPr="00E26A4E">
        <w:t xml:space="preserve">Feedback received through this </w:t>
      </w:r>
      <w:r w:rsidR="00D325FF">
        <w:t xml:space="preserve">Review </w:t>
      </w:r>
      <w:r w:rsidRPr="00E26A4E">
        <w:t>from health professionals described examples where MBS items no longer reflect contemporary service delivery models. Examples put forward included the use of team care arrangement</w:t>
      </w:r>
      <w:r w:rsidR="00D325FF">
        <w:t xml:space="preserve"> items</w:t>
      </w:r>
      <w:r w:rsidRPr="00E26A4E">
        <w:t>, chronic disease management items and mental health items.</w:t>
      </w:r>
    </w:p>
    <w:p w14:paraId="4513E179" w14:textId="79813C20" w:rsidR="009656BD" w:rsidRPr="00E26A4E" w:rsidRDefault="009656BD" w:rsidP="009656BD">
      <w:pPr>
        <w:spacing w:after="197"/>
        <w:ind w:left="3" w:right="201"/>
      </w:pPr>
      <w:r w:rsidRPr="00E26A4E">
        <w:t>It is clear that in many instances the MBS could better reflect contemporary models of care (if not necessarily service delivery models). It is also true that the administrative requirements contained in many of these items, designed to confirm or ensure compliance, are significant. In addition, by their very nature, multidisciplinary care items or items rendered by or on behalf of another practitioner are complex.</w:t>
      </w:r>
    </w:p>
    <w:p w14:paraId="26BDBB32" w14:textId="40E70395" w:rsidR="009656BD" w:rsidRPr="00E26A4E" w:rsidRDefault="009656BD" w:rsidP="009656BD">
      <w:pPr>
        <w:spacing w:after="197"/>
        <w:ind w:left="3" w:right="201"/>
      </w:pPr>
      <w:r w:rsidRPr="00E26A4E">
        <w:t>In other cases, the view that the MBS didn’t reflect contemporary models of care resulted from a lack of understanding of the item requirements themselves and the overarching Medicare rules. This was in part due to a lack of appropriate, accessible education.</w:t>
      </w:r>
    </w:p>
    <w:p w14:paraId="470AA021" w14:textId="0B317FEC" w:rsidR="008C23CD" w:rsidRPr="009B6D18" w:rsidRDefault="008C23CD" w:rsidP="008C23CD">
      <w:r w:rsidRPr="00054175">
        <w:t>As the burden of disease changes, with the rise of chronic disease, more and more clinical presentations will involve multiple items and disciplines as a matter of course.</w:t>
      </w:r>
      <w:r w:rsidR="00267904">
        <w:t xml:space="preserve"> </w:t>
      </w:r>
      <w:r w:rsidRPr="00054175">
        <w:t>This growth in complexity will need to be better accommodated by the MBS and will also necessitate better and different forms of stakeholder engagement and willingness by all parties to understand and engage more fully in the effectiveness of the compliance system</w:t>
      </w:r>
      <w:r w:rsidRPr="00F10B66">
        <w:t>.</w:t>
      </w:r>
    </w:p>
    <w:p w14:paraId="7D386BE4" w14:textId="3662AE40" w:rsidR="000525FC" w:rsidRPr="009B6D18" w:rsidRDefault="009656BD" w:rsidP="009B6D18">
      <w:r w:rsidRPr="00E26A4E">
        <w:t xml:space="preserve">The recent large-scale review of MBS items has highlighted the need for regular and structured reviews of the composition and application of the </w:t>
      </w:r>
      <w:r w:rsidR="00D325FF">
        <w:t>MBS</w:t>
      </w:r>
      <w:r w:rsidRPr="00E26A4E">
        <w:t xml:space="preserve"> in continued consultation with health practitioners. This can assist to ensure the balance between ensuring compliance and achieving value in the provision of Medicare services for patient, </w:t>
      </w:r>
      <w:proofErr w:type="gramStart"/>
      <w:r w:rsidRPr="00E26A4E">
        <w:t>provider</w:t>
      </w:r>
      <w:proofErr w:type="gramEnd"/>
      <w:r w:rsidRPr="00E26A4E">
        <w:t xml:space="preserve"> and </w:t>
      </w:r>
      <w:r w:rsidR="00D325FF" w:rsidRPr="00E26A4E">
        <w:t>taxpayer</w:t>
      </w:r>
      <w:r w:rsidR="003D0D3E">
        <w:t>.</w:t>
      </w:r>
    </w:p>
    <w:p w14:paraId="34BD3730" w14:textId="281EA152" w:rsidR="006E3412" w:rsidRPr="00AD6519" w:rsidRDefault="00010517" w:rsidP="00940D39">
      <w:pPr>
        <w:pStyle w:val="Heading3"/>
      </w:pPr>
      <w:bookmarkStart w:id="100" w:name="_Toc128669067"/>
      <w:bookmarkStart w:id="101" w:name="_Toc128905523"/>
      <w:bookmarkStart w:id="102" w:name="_Toc128907016"/>
      <w:bookmarkStart w:id="103" w:name="_Toc128909126"/>
      <w:r>
        <w:t>Role of the</w:t>
      </w:r>
      <w:r w:rsidR="006E3412" w:rsidRPr="00AD6519">
        <w:t xml:space="preserve"> </w:t>
      </w:r>
      <w:r w:rsidR="006E3412">
        <w:t>Medicare C</w:t>
      </w:r>
      <w:r w:rsidR="006E3412" w:rsidRPr="00AD6519">
        <w:t xml:space="preserve">ommon </w:t>
      </w:r>
      <w:r w:rsidR="00FF79D5">
        <w:t>(</w:t>
      </w:r>
      <w:r w:rsidR="006E3412">
        <w:t>C</w:t>
      </w:r>
      <w:r w:rsidR="006E3412" w:rsidRPr="00AD6519">
        <w:t>laims</w:t>
      </w:r>
      <w:r w:rsidR="00FF79D5">
        <w:t>)</w:t>
      </w:r>
      <w:r w:rsidR="006E3412" w:rsidRPr="00AD6519">
        <w:t xml:space="preserve"> </w:t>
      </w:r>
      <w:r w:rsidR="00FF79D5">
        <w:t>Assessing</w:t>
      </w:r>
      <w:r w:rsidR="00FF79D5" w:rsidRPr="00AD6519">
        <w:t xml:space="preserve"> </w:t>
      </w:r>
      <w:r w:rsidR="00FF79D5">
        <w:t>E</w:t>
      </w:r>
      <w:r w:rsidR="006E3412" w:rsidRPr="00AD6519">
        <w:t>ngine</w:t>
      </w:r>
      <w:bookmarkEnd w:id="100"/>
      <w:bookmarkEnd w:id="101"/>
      <w:bookmarkEnd w:id="102"/>
      <w:bookmarkEnd w:id="103"/>
    </w:p>
    <w:p w14:paraId="6A582CBC" w14:textId="70E52281" w:rsidR="006E3412" w:rsidRDefault="006E3412" w:rsidP="006E3412">
      <w:r>
        <w:t xml:space="preserve">The Medicare Common Assessing </w:t>
      </w:r>
      <w:r w:rsidR="00A97B70">
        <w:t>platform, overseen</w:t>
      </w:r>
      <w:r w:rsidR="0066630A">
        <w:t xml:space="preserve"> by Services Australia</w:t>
      </w:r>
      <w:r w:rsidR="008455CE">
        <w:t>,</w:t>
      </w:r>
      <w:r>
        <w:t xml:space="preserve"> acts as the rules engine for Medicare and has been in place since</w:t>
      </w:r>
      <w:r w:rsidR="00A8448D">
        <w:t xml:space="preserve"> </w:t>
      </w:r>
      <w:r w:rsidR="00A5370E">
        <w:t xml:space="preserve">the </w:t>
      </w:r>
      <w:r>
        <w:t>inception</w:t>
      </w:r>
      <w:r w:rsidR="00A8448D">
        <w:t xml:space="preserve"> of the </w:t>
      </w:r>
      <w:r w:rsidR="005452EF">
        <w:t>S</w:t>
      </w:r>
      <w:r w:rsidR="00A8448D">
        <w:t>cheme</w:t>
      </w:r>
      <w:r>
        <w:t xml:space="preserve">. </w:t>
      </w:r>
      <w:r w:rsidR="003F5558">
        <w:t>At its core, t</w:t>
      </w:r>
      <w:r>
        <w:t xml:space="preserve">his technology platform performs the first pass assessment of submitted claims and checks for high-level validation </w:t>
      </w:r>
      <w:r w:rsidR="000963FA">
        <w:t>covering</w:t>
      </w:r>
      <w:r>
        <w:t>:</w:t>
      </w:r>
    </w:p>
    <w:p w14:paraId="53B917A4" w14:textId="6F0C09E2" w:rsidR="006E3412" w:rsidRDefault="006E3412" w:rsidP="00520404">
      <w:pPr>
        <w:pStyle w:val="ListBullet"/>
      </w:pPr>
      <w:r w:rsidRPr="00EF2981">
        <w:t>Claim initial validation</w:t>
      </w:r>
      <w:r>
        <w:t xml:space="preserve"> (</w:t>
      </w:r>
      <w:proofErr w:type="gramStart"/>
      <w:r w:rsidR="00904BFD">
        <w:t>e.g.</w:t>
      </w:r>
      <w:proofErr w:type="gramEnd"/>
      <w:r>
        <w:t xml:space="preserve"> patient and provider eligibility)</w:t>
      </w:r>
      <w:r w:rsidR="0079291C">
        <w:t>: applies broad check</w:t>
      </w:r>
      <w:r w:rsidR="00831F18">
        <w:t>s</w:t>
      </w:r>
      <w:r w:rsidR="0079291C">
        <w:t xml:space="preserve"> for the validity of key claim data points such as patient, provider and MBS item details</w:t>
      </w:r>
    </w:p>
    <w:p w14:paraId="7ECCC544" w14:textId="36F7FE04" w:rsidR="006E3412" w:rsidRPr="00163EF7" w:rsidRDefault="006E3412" w:rsidP="00163EF7">
      <w:pPr>
        <w:pStyle w:val="ListBullet"/>
      </w:pPr>
      <w:r w:rsidRPr="00163EF7">
        <w:t>Claim line by line validation (</w:t>
      </w:r>
      <w:proofErr w:type="gramStart"/>
      <w:r w:rsidR="00904BFD" w:rsidRPr="00163EF7">
        <w:t>e.g.</w:t>
      </w:r>
      <w:proofErr w:type="gramEnd"/>
      <w:r w:rsidRPr="00163EF7">
        <w:t xml:space="preserve"> provider geocode access)</w:t>
      </w:r>
      <w:r w:rsidR="0079291C" w:rsidRPr="00163EF7">
        <w:t xml:space="preserve">: applies specific checks against items that </w:t>
      </w:r>
      <w:r w:rsidR="00C913C5" w:rsidRPr="00163EF7">
        <w:t>require additional data points such as Location Specific Practice Numbers for diagnostic imaging items</w:t>
      </w:r>
    </w:p>
    <w:p w14:paraId="10B8C7FA" w14:textId="2F18661E" w:rsidR="006E3412" w:rsidRPr="00163EF7" w:rsidRDefault="006E3412" w:rsidP="00163EF7">
      <w:pPr>
        <w:pStyle w:val="ListBullet"/>
      </w:pPr>
      <w:r w:rsidRPr="00163EF7">
        <w:t>Claims interline validation (</w:t>
      </w:r>
      <w:proofErr w:type="gramStart"/>
      <w:r w:rsidR="00904BFD" w:rsidRPr="00163EF7">
        <w:t>e.g.</w:t>
      </w:r>
      <w:proofErr w:type="gramEnd"/>
      <w:r w:rsidRPr="00163EF7">
        <w:t xml:space="preserve"> Medicare Safety Net)</w:t>
      </w:r>
      <w:r w:rsidR="00C913C5" w:rsidRPr="00163EF7">
        <w:t>:</w:t>
      </w:r>
      <w:r w:rsidR="00AD6B44" w:rsidRPr="00163EF7">
        <w:t xml:space="preserve"> these checks determine if special additional rules, not specific to the item level, apply such as special bulk billing incentive rules or if the item should count toward the Medicare Safety Net</w:t>
      </w:r>
    </w:p>
    <w:p w14:paraId="1BDC887B" w14:textId="19EB1E9F" w:rsidR="006E3412" w:rsidRDefault="006E3412" w:rsidP="00163EF7">
      <w:pPr>
        <w:pStyle w:val="ListBullet"/>
      </w:pPr>
      <w:r w:rsidRPr="00163EF7">
        <w:t>Any complex validation requirements for a specific MBS item (</w:t>
      </w:r>
      <w:proofErr w:type="gramStart"/>
      <w:r w:rsidR="00904BFD" w:rsidRPr="00163EF7">
        <w:t>e.g.</w:t>
      </w:r>
      <w:proofErr w:type="gramEnd"/>
      <w:r w:rsidRPr="00163EF7">
        <w:t xml:space="preserve"> item restriction, duplicate services, system or operator overrides)</w:t>
      </w:r>
      <w:r w:rsidR="00282BCB" w:rsidRPr="00163EF7">
        <w:t>: these checks apply the restrictions on services identified in legislation for MBS items. Both the clai</w:t>
      </w:r>
      <w:r w:rsidR="00B70F99" w:rsidRPr="00163EF7">
        <w:t>m</w:t>
      </w:r>
      <w:r w:rsidR="00282BCB" w:rsidRPr="00163EF7">
        <w:t xml:space="preserve"> items and the patient’s </w:t>
      </w:r>
      <w:r w:rsidR="00B70F99" w:rsidRPr="00163EF7">
        <w:t xml:space="preserve">claim history </w:t>
      </w:r>
      <w:r w:rsidR="00DB079F" w:rsidRPr="00163EF7">
        <w:t>are</w:t>
      </w:r>
      <w:r w:rsidR="00B70F99" w:rsidRPr="00163EF7">
        <w:t xml:space="preserve"> checked at this stage. Restricted item combination</w:t>
      </w:r>
      <w:r w:rsidR="00DB079F" w:rsidRPr="00163EF7">
        <w:t>s</w:t>
      </w:r>
      <w:r w:rsidR="00B70F99" w:rsidRPr="00163EF7">
        <w:t xml:space="preserve"> </w:t>
      </w:r>
      <w:r w:rsidR="00B70F99">
        <w:t>or suspected duplicate claimed services are flagged by the system at this stage and require an override to proceed</w:t>
      </w:r>
    </w:p>
    <w:p w14:paraId="766C952C" w14:textId="1B784FD0" w:rsidR="006E3412" w:rsidRPr="00163EF7" w:rsidRDefault="006E3412" w:rsidP="00163EF7">
      <w:pPr>
        <w:pStyle w:val="ListBullet"/>
      </w:pPr>
      <w:r w:rsidRPr="00163EF7">
        <w:t>Benefits calculation</w:t>
      </w:r>
      <w:r w:rsidR="006A2DF8" w:rsidRPr="00163EF7">
        <w:t>: claimed items that have successfully passed all the previous checks will then progress to benefit calculation. Any item claimed that has not passed the common assessing checks will not be assigned a benefit</w:t>
      </w:r>
    </w:p>
    <w:p w14:paraId="0E3316B5" w14:textId="77777777" w:rsidR="007B5522" w:rsidRPr="00163EF7" w:rsidRDefault="006E3412" w:rsidP="00163EF7">
      <w:pPr>
        <w:pStyle w:val="ListBullet"/>
      </w:pPr>
      <w:r w:rsidRPr="00163EF7">
        <w:t>Finalise the assessment and eligibility of the claim</w:t>
      </w:r>
      <w:r w:rsidR="006A2DF8" w:rsidRPr="00163EF7">
        <w:t>: the outcome of the clai</w:t>
      </w:r>
      <w:r w:rsidR="00F23179" w:rsidRPr="00163EF7">
        <w:t xml:space="preserve">m (including rejecting items) </w:t>
      </w:r>
      <w:r w:rsidR="00DB079F" w:rsidRPr="00163EF7">
        <w:t>is</w:t>
      </w:r>
      <w:r w:rsidR="00F23179" w:rsidRPr="00163EF7">
        <w:t xml:space="preserve"> written to patient history.</w:t>
      </w:r>
    </w:p>
    <w:p w14:paraId="22DBE415" w14:textId="11F8BB38" w:rsidR="006E3412" w:rsidRDefault="006E3412" w:rsidP="006E3412">
      <w:r>
        <w:t xml:space="preserve">This rules engine relies on inputs from </w:t>
      </w:r>
      <w:proofErr w:type="spellStart"/>
      <w:r>
        <w:t>DoHAC</w:t>
      </w:r>
      <w:proofErr w:type="spellEnd"/>
      <w:r>
        <w:t xml:space="preserve"> in the form of policy interpretations of individual MBS items that are then built into the system. It has been acknowledged by several stakeholders that the complexity and ambiguity of the wording of some MBS items presents a challenge in applying a definitive rule set to the Medicare Common Assessing platform. This limits an efficient and effective pre-payment eligibility and validation check prior to the payment of an MBS claim.</w:t>
      </w:r>
    </w:p>
    <w:p w14:paraId="68C9AE4D" w14:textId="26D05C98" w:rsidR="006E3412" w:rsidRDefault="006E3412" w:rsidP="006E3412">
      <w:r>
        <w:lastRenderedPageBreak/>
        <w:t xml:space="preserve">The lack of specificity in the </w:t>
      </w:r>
      <w:proofErr w:type="gramStart"/>
      <w:r>
        <w:t>rules</w:t>
      </w:r>
      <w:proofErr w:type="gramEnd"/>
      <w:r>
        <w:t xml:space="preserve"> engine limits the ability to identify non-compliant claims in the form of either over servicing, low value care or waste, or clinically inappropriate services delivered to a patient. As such</w:t>
      </w:r>
      <w:r w:rsidR="00DF1F9C">
        <w:t>,</w:t>
      </w:r>
      <w:r>
        <w:t xml:space="preserve"> the up-front validation checks performed by Services Australia to enable payment of an MBS claim </w:t>
      </w:r>
      <w:r w:rsidR="00637DD9">
        <w:t xml:space="preserve">cover the core elements, however, there is opportunity to further expand </w:t>
      </w:r>
      <w:r w:rsidR="00E942D6">
        <w:t>the types and complexity of the checks performed.</w:t>
      </w:r>
    </w:p>
    <w:p w14:paraId="1C30B46A" w14:textId="44DCBBEB" w:rsidR="006E3412" w:rsidRDefault="00712A86" w:rsidP="00A41F6C">
      <w:r>
        <w:t xml:space="preserve">Moreover, </w:t>
      </w:r>
      <w:r w:rsidR="0033373A">
        <w:t>the</w:t>
      </w:r>
      <w:r w:rsidR="006E3412">
        <w:t xml:space="preserve"> technology used to undertake the Medicare Common Assess</w:t>
      </w:r>
      <w:r w:rsidR="00A65897">
        <w:t>ing</w:t>
      </w:r>
      <w:r w:rsidR="006E3412">
        <w:t xml:space="preserve"> has been </w:t>
      </w:r>
      <w:r w:rsidR="00BE2831">
        <w:t>in place</w:t>
      </w:r>
      <w:r w:rsidR="006E3412">
        <w:t xml:space="preserve"> for the last 40 years. This technology</w:t>
      </w:r>
      <w:r w:rsidR="00044675">
        <w:t xml:space="preserve"> has</w:t>
      </w:r>
      <w:r w:rsidR="006E3412">
        <w:t xml:space="preserve"> limitations due to its age, including the limitation on the application of ‘soft blocks’ on MBS items</w:t>
      </w:r>
      <w:r w:rsidR="00797D1F">
        <w:t>. Soft blocks are types of controls</w:t>
      </w:r>
      <w:r w:rsidR="006E3412">
        <w:t xml:space="preserve"> that would prevent inadvertent </w:t>
      </w:r>
      <w:r w:rsidR="00FA2F2D">
        <w:t xml:space="preserve">or accidental </w:t>
      </w:r>
      <w:r w:rsidR="006E3412">
        <w:t xml:space="preserve">non-compliant claiming behaviour. An example of a beneficial soft block would be to restrict access to specialist medical practitioner </w:t>
      </w:r>
      <w:r w:rsidR="006E3412" w:rsidRPr="00E868FD">
        <w:t>MBS items.</w:t>
      </w:r>
      <w:r w:rsidR="006E3412">
        <w:t xml:space="preserve"> The current technology infrastructure does not readily allow for the application of soft</w:t>
      </w:r>
      <w:r w:rsidR="004A1281">
        <w:t xml:space="preserve"> </w:t>
      </w:r>
      <w:r w:rsidR="006E3412">
        <w:t xml:space="preserve">blocks and matching to provider identity details at the point of </w:t>
      </w:r>
      <w:r w:rsidR="00995372">
        <w:t xml:space="preserve">service provision or </w:t>
      </w:r>
      <w:r w:rsidR="006E3412">
        <w:t>claim submission.</w:t>
      </w:r>
    </w:p>
    <w:p w14:paraId="193B17E5" w14:textId="24D1FC7F" w:rsidR="00D967E7" w:rsidRDefault="00D967E7" w:rsidP="00D967E7">
      <w:r>
        <w:t>Given the age of the technology platform</w:t>
      </w:r>
      <w:r w:rsidR="00AF54A8">
        <w:t>, there are risks to it</w:t>
      </w:r>
      <w:r w:rsidR="0095483B">
        <w:t>s</w:t>
      </w:r>
      <w:r w:rsidR="00AF54A8">
        <w:t xml:space="preserve"> ability to perform the critical tasks for the future, and, indeed, whether it can be </w:t>
      </w:r>
      <w:r w:rsidR="0062748E">
        <w:t>serviceable in the future as old coding skills become harder to find.</w:t>
      </w:r>
    </w:p>
    <w:p w14:paraId="13860454" w14:textId="77777777" w:rsidR="006E3412" w:rsidRPr="005B2135" w:rsidRDefault="006E3412" w:rsidP="00940D39">
      <w:pPr>
        <w:pStyle w:val="Heading4"/>
        <w:rPr>
          <w:u w:val="single"/>
        </w:rPr>
      </w:pPr>
      <w:r w:rsidRPr="00FB04E6">
        <w:t xml:space="preserve">High complexity of MBS leads to </w:t>
      </w:r>
      <w:r w:rsidRPr="00E26A4E">
        <w:t>confusion on item application</w:t>
      </w:r>
    </w:p>
    <w:p w14:paraId="1760B860" w14:textId="28CF18B5" w:rsidR="006E3412" w:rsidRDefault="006E3412" w:rsidP="006E3412">
      <w:r>
        <w:t>It was reported that there is often ambiguity in the description of MBS item numbers, and therefore confusion</w:t>
      </w:r>
      <w:r w:rsidR="00AF44BC">
        <w:t xml:space="preserve"> by healthcare provider who are genuinely attempting to ensure compliance in their own practice.</w:t>
      </w:r>
      <w:r>
        <w:t xml:space="preserve"> Healthcare professionals noted the difficulty in keeping up to date with changes of an already complex MBS that contains </w:t>
      </w:r>
      <w:r w:rsidR="00035EDF">
        <w:t>around</w:t>
      </w:r>
      <w:r>
        <w:t xml:space="preserve"> </w:t>
      </w:r>
      <w:r w:rsidR="00F10AFE">
        <w:t>6,000</w:t>
      </w:r>
      <w:r>
        <w:t xml:space="preserve"> items, which is adjusted on both a periodic and ad-hoc basis. The different interpretations of these item numbers </w:t>
      </w:r>
      <w:proofErr w:type="gramStart"/>
      <w:r>
        <w:t>allow</w:t>
      </w:r>
      <w:r w:rsidR="004A1281">
        <w:t>s</w:t>
      </w:r>
      <w:proofErr w:type="gramEnd"/>
      <w:r>
        <w:t xml:space="preserve"> opportunit</w:t>
      </w:r>
      <w:r w:rsidR="004A1281">
        <w:t>ies</w:t>
      </w:r>
      <w:r>
        <w:t xml:space="preserve"> for incorrect, non-compliant claiming.</w:t>
      </w:r>
    </w:p>
    <w:p w14:paraId="3A6E084A" w14:textId="7BDE4F10" w:rsidR="00990D05" w:rsidRDefault="00025453" w:rsidP="006E3412">
      <w:r>
        <w:t xml:space="preserve">In </w:t>
      </w:r>
      <w:r w:rsidR="00B80C32">
        <w:t xml:space="preserve">addition </w:t>
      </w:r>
      <w:r w:rsidR="00542532">
        <w:t>t</w:t>
      </w:r>
      <w:r w:rsidR="00990D05">
        <w:t>o this</w:t>
      </w:r>
      <w:r w:rsidR="007D057C">
        <w:t>, stakeholder feedback</w:t>
      </w:r>
      <w:r w:rsidR="00252C10">
        <w:t xml:space="preserve"> suggests that</w:t>
      </w:r>
      <w:r w:rsidR="00990D05">
        <w:t xml:space="preserve"> </w:t>
      </w:r>
      <w:r w:rsidR="0060233E">
        <w:t xml:space="preserve">different interpretations </w:t>
      </w:r>
      <w:r w:rsidR="00ED0A1D">
        <w:t>and applications</w:t>
      </w:r>
      <w:r w:rsidR="0060233E">
        <w:t xml:space="preserve"> of MBS items </w:t>
      </w:r>
      <w:r w:rsidR="00ED0A1D">
        <w:t xml:space="preserve">which </w:t>
      </w:r>
      <w:r w:rsidR="000C5E51">
        <w:t>are in conflict with one another</w:t>
      </w:r>
      <w:r w:rsidR="00181B2E">
        <w:t xml:space="preserve"> can be provided to health professionals</w:t>
      </w:r>
      <w:r w:rsidR="00ED0A1D">
        <w:t xml:space="preserve">. Available resources, such as the online </w:t>
      </w:r>
      <w:r w:rsidR="00FF58F3">
        <w:t>website and</w:t>
      </w:r>
      <w:r w:rsidR="00852689">
        <w:t xml:space="preserve"> AskMBS email</w:t>
      </w:r>
      <w:r w:rsidR="00FF58F3">
        <w:t xml:space="preserve"> service </w:t>
      </w:r>
      <w:r w:rsidR="00FE177A">
        <w:t xml:space="preserve">are available, however, the responses to </w:t>
      </w:r>
      <w:r w:rsidR="00001373">
        <w:t>health professionals can lack specificity and direct application</w:t>
      </w:r>
      <w:r w:rsidR="00227259">
        <w:t xml:space="preserve"> to clinical situations</w:t>
      </w:r>
      <w:r w:rsidR="00D265F4">
        <w:t xml:space="preserve"> as they often refer to legal interpretations rather than direct clinical translation</w:t>
      </w:r>
      <w:r w:rsidR="008B3542">
        <w:t>.</w:t>
      </w:r>
      <w:r w:rsidR="000D55CA">
        <w:t xml:space="preserve"> This leads to</w:t>
      </w:r>
      <w:r w:rsidR="00227259">
        <w:t xml:space="preserve"> situations where they </w:t>
      </w:r>
      <w:r w:rsidR="00ED64E0">
        <w:t>refer to the governing legislation</w:t>
      </w:r>
      <w:r w:rsidR="00FC3F26">
        <w:t xml:space="preserve"> rather than a definitive way in which the item should be applied. This has been a source of frustration </w:t>
      </w:r>
      <w:r w:rsidR="002A7147">
        <w:t>for some health professionals and their representative peak bodies</w:t>
      </w:r>
      <w:r w:rsidR="00E8736A">
        <w:t>.</w:t>
      </w:r>
      <w:r w:rsidR="00780648">
        <w:t xml:space="preserve"> Examples of this </w:t>
      </w:r>
      <w:r w:rsidR="0031072A">
        <w:t xml:space="preserve">difficulty with the </w:t>
      </w:r>
      <w:r w:rsidR="00217930">
        <w:t>process were provided through the course of the Review.</w:t>
      </w:r>
    </w:p>
    <w:p w14:paraId="748DF4A4" w14:textId="77777777" w:rsidR="006E3412" w:rsidRPr="002B7BF6" w:rsidRDefault="006E3412" w:rsidP="00940D39">
      <w:pPr>
        <w:pStyle w:val="Heading4"/>
        <w:rPr>
          <w:u w:val="single"/>
        </w:rPr>
      </w:pPr>
      <w:r w:rsidRPr="00FB04E6">
        <w:t xml:space="preserve">Limited decision support for MBS claiming </w:t>
      </w:r>
      <w:r w:rsidRPr="00EF2981">
        <w:t>embedded in workflows</w:t>
      </w:r>
    </w:p>
    <w:p w14:paraId="69487177" w14:textId="56E9933D" w:rsidR="009543FA" w:rsidRDefault="006E3412" w:rsidP="006E3412">
      <w:r>
        <w:t xml:space="preserve">Additionally, there are points of vulnerability caused by human error, as manual intervention is still required to varying degrees across </w:t>
      </w:r>
      <w:r w:rsidR="005369B8">
        <w:t>claiming channel</w:t>
      </w:r>
      <w:r>
        <w:t xml:space="preserve">s, even those that are digitised. </w:t>
      </w:r>
      <w:r w:rsidR="00823A62">
        <w:t xml:space="preserve">Examples of this include the need for </w:t>
      </w:r>
      <w:r w:rsidR="0075290F">
        <w:t>Service Operators at Services Australia to interpret free</w:t>
      </w:r>
      <w:r w:rsidR="008373E2">
        <w:t>-</w:t>
      </w:r>
      <w:r w:rsidR="0075290F">
        <w:t xml:space="preserve">text </w:t>
      </w:r>
      <w:r w:rsidR="00916E1A">
        <w:t xml:space="preserve">data submitted with claims to interpret their validity, and </w:t>
      </w:r>
      <w:r w:rsidR="004967F8">
        <w:t>inadvertent selection errors of items from drop</w:t>
      </w:r>
      <w:r w:rsidR="008373E2">
        <w:t>-</w:t>
      </w:r>
      <w:r w:rsidR="004967F8">
        <w:t>down menus in the online systems.</w:t>
      </w:r>
    </w:p>
    <w:p w14:paraId="04EF3982" w14:textId="338E9755" w:rsidR="006E3412" w:rsidRPr="00451BB2" w:rsidRDefault="006E3412" w:rsidP="006E3412">
      <w:r>
        <w:t>When considering the end-to-end claim journey, there are limited consistent decision support technologies available to health professionals at the point of service delivery that draw from the Medicare Common Assess</w:t>
      </w:r>
      <w:r w:rsidR="00A65897">
        <w:t>ing</w:t>
      </w:r>
      <w:r>
        <w:t xml:space="preserve"> </w:t>
      </w:r>
      <w:r w:rsidR="00FF79D5">
        <w:t>E</w:t>
      </w:r>
      <w:r w:rsidR="00DC3A66">
        <w:t xml:space="preserve">ngine </w:t>
      </w:r>
      <w:r>
        <w:t>and clinical documentation recorded by the health professional. In light of this, the whole system is reliant on health professionals and their support staff maintaining a thorough working knowledge of the MBS, its application to their practice, and how individual patient occasions of service align to the rules and requirements.</w:t>
      </w:r>
    </w:p>
    <w:p w14:paraId="2C418B97" w14:textId="00507684" w:rsidR="00C71032" w:rsidRDefault="006E3412" w:rsidP="006E3412">
      <w:r>
        <w:t>Models of care across the health system have continued to evolve and develop to continue to optimise the health outcomes of Australians. In some cases, MBS items have been written to directly reflect specific models of care or service models</w:t>
      </w:r>
      <w:r w:rsidR="008373E2">
        <w:t>;</w:t>
      </w:r>
      <w:r>
        <w:t xml:space="preserve"> however, not all patients will </w:t>
      </w:r>
      <w:r w:rsidR="00761AEB">
        <w:t>fit easily into</w:t>
      </w:r>
      <w:r>
        <w:t xml:space="preserve"> these models because of clinical variability. This is resulting in health professionals selecting MBS items which ‘best fit’ the clinical scenario for an individual </w:t>
      </w:r>
      <w:proofErr w:type="gramStart"/>
      <w:r>
        <w:t>patient</w:t>
      </w:r>
      <w:proofErr w:type="gramEnd"/>
      <w:r>
        <w:t xml:space="preserve"> </w:t>
      </w:r>
      <w:r w:rsidR="00E1140B">
        <w:t>but which</w:t>
      </w:r>
      <w:r>
        <w:t xml:space="preserve"> may not exactly reflect the requirements and rules of an MBS item. These situations give rise to non-compliant claims, despite being consistent with accepted clinical guidelines and expected quality of care.</w:t>
      </w:r>
      <w:r w:rsidR="00472EB1">
        <w:t xml:space="preserve"> </w:t>
      </w:r>
    </w:p>
    <w:p w14:paraId="3ABA436E" w14:textId="69C5889E" w:rsidR="00C71032" w:rsidRDefault="00472EB1" w:rsidP="004A77D7">
      <w:pPr>
        <w:pStyle w:val="ListBullet"/>
      </w:pPr>
      <w:r>
        <w:t xml:space="preserve">An example provided to the </w:t>
      </w:r>
      <w:r w:rsidR="00A12486">
        <w:t>R</w:t>
      </w:r>
      <w:r>
        <w:t xml:space="preserve">eview described the </w:t>
      </w:r>
      <w:r w:rsidR="00EC6E5B">
        <w:t xml:space="preserve">use of </w:t>
      </w:r>
      <w:r w:rsidR="009A2599">
        <w:t xml:space="preserve">group screening </w:t>
      </w:r>
      <w:r w:rsidR="00A84BD9">
        <w:t>and chronic health</w:t>
      </w:r>
      <w:r w:rsidR="00ED7151">
        <w:t xml:space="preserve"> disease </w:t>
      </w:r>
      <w:r w:rsidR="00B518C1">
        <w:t xml:space="preserve">sessions provided by </w:t>
      </w:r>
      <w:r w:rsidR="00183ED4">
        <w:t>Aboriginal Community Controlled Health Organisations (</w:t>
      </w:r>
      <w:r w:rsidR="00B518C1">
        <w:t>ACCHO</w:t>
      </w:r>
      <w:r w:rsidR="004A6380">
        <w:t>s</w:t>
      </w:r>
      <w:r w:rsidR="00183ED4">
        <w:t>)</w:t>
      </w:r>
      <w:r w:rsidR="004A6380">
        <w:t xml:space="preserve"> for Aboriginal and Torres Strait Islander patients in order to </w:t>
      </w:r>
      <w:r w:rsidR="00865096">
        <w:t xml:space="preserve">optimise access to health services, as these patients </w:t>
      </w:r>
      <w:r w:rsidR="00454667">
        <w:t xml:space="preserve">have </w:t>
      </w:r>
      <w:r w:rsidR="004965C8">
        <w:t>significant barriers</w:t>
      </w:r>
      <w:r w:rsidR="007E7A42">
        <w:t xml:space="preserve"> </w:t>
      </w:r>
      <w:r w:rsidR="00134F09">
        <w:t xml:space="preserve">to keeping </w:t>
      </w:r>
      <w:r w:rsidR="004D1768">
        <w:t>individual appointments.</w:t>
      </w:r>
    </w:p>
    <w:p w14:paraId="1D100A40" w14:textId="6105F9E3" w:rsidR="0033373A" w:rsidRPr="00451BB2" w:rsidRDefault="004D1768" w:rsidP="00163EF7">
      <w:pPr>
        <w:pStyle w:val="ListBullet"/>
      </w:pPr>
      <w:r>
        <w:t xml:space="preserve">Relevant MBS items do not </w:t>
      </w:r>
      <w:r w:rsidR="00F31814">
        <w:t>support</w:t>
      </w:r>
      <w:r>
        <w:t xml:space="preserve"> the provision of these </w:t>
      </w:r>
      <w:r w:rsidR="00051995">
        <w:t xml:space="preserve">group </w:t>
      </w:r>
      <w:r w:rsidR="00B73459">
        <w:t xml:space="preserve">services even though they </w:t>
      </w:r>
      <w:r w:rsidR="00A12486">
        <w:t xml:space="preserve">are </w:t>
      </w:r>
      <w:r w:rsidR="00B73459">
        <w:t>culturally appropriate</w:t>
      </w:r>
      <w:r>
        <w:t xml:space="preserve">, </w:t>
      </w:r>
      <w:r w:rsidR="00E54577">
        <w:t>so non-compliant claims have been submitted to reflect activity provided to patients.</w:t>
      </w:r>
    </w:p>
    <w:p w14:paraId="58FADC8B" w14:textId="745D3948" w:rsidR="007B5522" w:rsidRPr="00163EF7" w:rsidRDefault="00163EF7" w:rsidP="00163EF7">
      <w:pPr>
        <w:pStyle w:val="BodyText"/>
      </w:pPr>
      <w:bookmarkStart w:id="104" w:name="_Toc128669068"/>
      <w:bookmarkStart w:id="105" w:name="_Toc128905524"/>
      <w:bookmarkStart w:id="106" w:name="_Toc128907017"/>
      <w:bookmarkStart w:id="107" w:name="_Toc128909127"/>
      <w:r w:rsidRPr="00163EF7">
        <w:t>Finding 5: There is a need to improve the clarity, specificity, and application of MBS items and improve the technology at the heart of Services Australia.</w:t>
      </w:r>
    </w:p>
    <w:p w14:paraId="454E8568" w14:textId="0135970F" w:rsidR="004105B5" w:rsidRDefault="005133CC" w:rsidP="00940D39">
      <w:pPr>
        <w:pStyle w:val="Heading2"/>
      </w:pPr>
      <w:r>
        <w:lastRenderedPageBreak/>
        <w:t xml:space="preserve">Approach to investigation and treatment of </w:t>
      </w:r>
      <w:r w:rsidR="00F97269">
        <w:t>Medicare</w:t>
      </w:r>
      <w:bookmarkEnd w:id="104"/>
      <w:bookmarkEnd w:id="105"/>
      <w:bookmarkEnd w:id="106"/>
      <w:bookmarkEnd w:id="107"/>
    </w:p>
    <w:p w14:paraId="078F532F" w14:textId="5E534F8E" w:rsidR="00FD6346" w:rsidRDefault="00FD6346" w:rsidP="00FD6346">
      <w:r>
        <w:t>There is little to no pre-claim, pre-payment, or even early (</w:t>
      </w:r>
      <w:proofErr w:type="gramStart"/>
      <w:r w:rsidR="00904BFD">
        <w:t>e.g.</w:t>
      </w:r>
      <w:proofErr w:type="gramEnd"/>
      <w:r>
        <w:t xml:space="preserve"> within seven days) post</w:t>
      </w:r>
      <w:r w:rsidR="004A1281">
        <w:t>-</w:t>
      </w:r>
      <w:r>
        <w:t>payment risk identification undertaken of MBS claims up to what would be considered an acceptable or best practice level, namely:</w:t>
      </w:r>
    </w:p>
    <w:p w14:paraId="2076DD3C" w14:textId="77777777" w:rsidR="00FD6346" w:rsidRDefault="00FD6346" w:rsidP="00520404">
      <w:pPr>
        <w:pStyle w:val="ListBullet"/>
      </w:pPr>
      <w:r>
        <w:t>Risk identification appears to be highly reactive</w:t>
      </w:r>
    </w:p>
    <w:p w14:paraId="0B121241" w14:textId="77777777" w:rsidR="00FD6346" w:rsidRDefault="00FD6346" w:rsidP="00520404">
      <w:pPr>
        <w:pStyle w:val="ListBullet"/>
      </w:pPr>
      <w:r>
        <w:t>Identification of issues emerged primarily from tips offs (from various sources), or through a limited set of projects or campaigns</w:t>
      </w:r>
    </w:p>
    <w:p w14:paraId="6506E595" w14:textId="77777777" w:rsidR="007B5522" w:rsidRDefault="00FD6346" w:rsidP="00520404">
      <w:pPr>
        <w:pStyle w:val="ListBullet"/>
      </w:pPr>
      <w:r>
        <w:t>Point</w:t>
      </w:r>
      <w:r w:rsidR="00E751ED">
        <w:t>-</w:t>
      </w:r>
      <w:r>
        <w:t>in</w:t>
      </w:r>
      <w:r w:rsidR="00E751ED">
        <w:t>-</w:t>
      </w:r>
      <w:r>
        <w:t>time risk reviews performed months after the services delivered to patients</w:t>
      </w:r>
      <w:r w:rsidRPr="009C0B8E">
        <w:t xml:space="preserve"> </w:t>
      </w:r>
      <w:r>
        <w:t>and claims were made.</w:t>
      </w:r>
    </w:p>
    <w:p w14:paraId="48240FDA" w14:textId="227CFF7F" w:rsidR="00FD6346" w:rsidRDefault="00FD6346" w:rsidP="00FD6346">
      <w:r>
        <w:t xml:space="preserve">Use of data analytics to identify risk themes </w:t>
      </w:r>
      <w:r w:rsidR="00E372BF">
        <w:t>utilises</w:t>
      </w:r>
      <w:r>
        <w:t xml:space="preserve"> simple outlier analysis where providers are compared to the billing behaviours of their peers, although more sophisticated analytics </w:t>
      </w:r>
      <w:r w:rsidR="006453C4">
        <w:t>is</w:t>
      </w:r>
      <w:r>
        <w:t xml:space="preserve"> performed as part of targeted project work. This seem</w:t>
      </w:r>
      <w:r w:rsidR="00E42EA7">
        <w:t>s</w:t>
      </w:r>
      <w:r>
        <w:t xml:space="preserve"> to be both an outcome of legislative limitations for the use of data by </w:t>
      </w:r>
      <w:proofErr w:type="spellStart"/>
      <w:r>
        <w:t>DoHAC</w:t>
      </w:r>
      <w:proofErr w:type="spellEnd"/>
      <w:r>
        <w:t xml:space="preserve">, the capability of </w:t>
      </w:r>
      <w:proofErr w:type="spellStart"/>
      <w:r>
        <w:t>DoHAC</w:t>
      </w:r>
      <w:proofErr w:type="spellEnd"/>
      <w:r>
        <w:t xml:space="preserve"> to complete sophisticated analytics for the purposes of identifying areas of risk, and the lack of technology systems and infrastructure to support this.</w:t>
      </w:r>
    </w:p>
    <w:p w14:paraId="040616B1" w14:textId="35792A3E" w:rsidR="00F149A2" w:rsidRPr="00F149A2" w:rsidRDefault="00F149A2" w:rsidP="00FD6346">
      <w:r>
        <w:t xml:space="preserve">It is acknowledged that in April 2019, the Australian Government announced the </w:t>
      </w:r>
      <w:r>
        <w:rPr>
          <w:i/>
          <w:iCs/>
        </w:rPr>
        <w:t>Guaranteeing Medicare – improving quality and safety through strong compliance</w:t>
      </w:r>
      <w:r>
        <w:t xml:space="preserve"> measure. This measure is aimed at improving Medicare compliance</w:t>
      </w:r>
      <w:r w:rsidR="00E111A2">
        <w:t xml:space="preserve"> arrangements and debt recovery</w:t>
      </w:r>
      <w:r w:rsidR="001F5EF5">
        <w:t xml:space="preserve"> practices to ensure Medicare services are targeted at servicing the health needs of Australian patients.</w:t>
      </w:r>
      <w:r w:rsidR="00C9600A">
        <w:t xml:space="preserve"> The measure supports</w:t>
      </w:r>
      <w:r w:rsidR="00BD0371">
        <w:t xml:space="preserve"> making MBS, PBS</w:t>
      </w:r>
      <w:r w:rsidR="00D67200">
        <w:t xml:space="preserve">, </w:t>
      </w:r>
      <w:r w:rsidR="00281D4A" w:rsidRPr="00281D4A">
        <w:t xml:space="preserve">Department of Veterans' Affairs </w:t>
      </w:r>
      <w:r w:rsidR="00281D4A">
        <w:t>(</w:t>
      </w:r>
      <w:r w:rsidR="00D67200">
        <w:t>DVA</w:t>
      </w:r>
      <w:r w:rsidR="00281D4A">
        <w:t>)</w:t>
      </w:r>
      <w:r w:rsidR="00D67200">
        <w:t xml:space="preserve"> and </w:t>
      </w:r>
      <w:r w:rsidR="00A36897" w:rsidRPr="00A36897">
        <w:t xml:space="preserve">Australian Health Practitioner Regulation Agency </w:t>
      </w:r>
      <w:r w:rsidR="00A36897">
        <w:t>(</w:t>
      </w:r>
      <w:r w:rsidR="00D67200">
        <w:t>AHPRA</w:t>
      </w:r>
      <w:r w:rsidR="00A36897">
        <w:t>)</w:t>
      </w:r>
      <w:r w:rsidR="00D67200">
        <w:t xml:space="preserve"> data collected by Services Australia available within </w:t>
      </w:r>
      <w:proofErr w:type="spellStart"/>
      <w:r w:rsidR="00D67200">
        <w:t>DoHAC’s</w:t>
      </w:r>
      <w:proofErr w:type="spellEnd"/>
      <w:r w:rsidR="00D67200">
        <w:t xml:space="preserve"> technology environment. The work of this initiative has included the development of data dictionaries, with naming conventions</w:t>
      </w:r>
      <w:r w:rsidR="006C3823">
        <w:t xml:space="preserve">, and the data is now regularly </w:t>
      </w:r>
      <w:r w:rsidR="002C10EC">
        <w:t xml:space="preserve">transferred to </w:t>
      </w:r>
      <w:proofErr w:type="spellStart"/>
      <w:r w:rsidR="002C10EC">
        <w:t>DoHAC</w:t>
      </w:r>
      <w:proofErr w:type="spellEnd"/>
      <w:r w:rsidR="00AF492E">
        <w:t>. When transferred it includes</w:t>
      </w:r>
      <w:r w:rsidR="00A21D42">
        <w:t xml:space="preserve"> relevant identifiers and linkages to support better targeting of investigations into fraud, inappropriate practice</w:t>
      </w:r>
      <w:r w:rsidR="008373E2">
        <w:t>,</w:t>
      </w:r>
      <w:r w:rsidR="00A21D42">
        <w:t xml:space="preserve"> and incorrect claiming, and to strengthen data analytics and behavioural</w:t>
      </w:r>
      <w:r w:rsidR="008373E2">
        <w:t>-</w:t>
      </w:r>
      <w:r w:rsidR="00A21D42">
        <w:t>driven approaches to improve compliance.</w:t>
      </w:r>
    </w:p>
    <w:p w14:paraId="2A8101ED" w14:textId="04566E9C" w:rsidR="00FD6346" w:rsidRDefault="00FD6346" w:rsidP="00FD6346">
      <w:r>
        <w:t xml:space="preserve">The methodology for risk identification across the pre-claim to post-payment spectrum is not aligned to contemporary best practice, which recommends continuous, real-time detection. There </w:t>
      </w:r>
      <w:r w:rsidR="003B506C">
        <w:t>are</w:t>
      </w:r>
      <w:r>
        <w:t xml:space="preserve"> also differences in terms of what is completed by </w:t>
      </w:r>
      <w:proofErr w:type="spellStart"/>
      <w:r>
        <w:t>DoHAC</w:t>
      </w:r>
      <w:proofErr w:type="spellEnd"/>
      <w:r>
        <w:t xml:space="preserve"> and Services Australia (noting the issues </w:t>
      </w:r>
      <w:r w:rsidR="0053526F">
        <w:t>previously</w:t>
      </w:r>
      <w:r>
        <w:t xml:space="preserve"> raised about the use of and access to data, and how these impact on risk identification). There are also some simple hygiene factors in terms of data governance, data management, and data standardisation (</w:t>
      </w:r>
      <w:proofErr w:type="gramStart"/>
      <w:r w:rsidR="00904BFD">
        <w:t>e.g.</w:t>
      </w:r>
      <w:proofErr w:type="gramEnd"/>
      <w:r>
        <w:t xml:space="preserve"> data dictionaries and naming conventions) that are ultimately making it challenging to implement effective data analytics algorithms in a proactive or coordinated way.</w:t>
      </w:r>
    </w:p>
    <w:p w14:paraId="40113454" w14:textId="77DEAD4D" w:rsidR="00FD6346" w:rsidRDefault="00FD6346" w:rsidP="00940D39">
      <w:pPr>
        <w:pStyle w:val="Heading3"/>
      </w:pPr>
      <w:bookmarkStart w:id="108" w:name="_Toc128669069"/>
      <w:bookmarkStart w:id="109" w:name="_Toc128905525"/>
      <w:bookmarkStart w:id="110" w:name="_Toc128907018"/>
      <w:bookmarkStart w:id="111" w:name="_Toc128909128"/>
      <w:proofErr w:type="spellStart"/>
      <w:r>
        <w:t>DoHAC</w:t>
      </w:r>
      <w:proofErr w:type="spellEnd"/>
      <w:r>
        <w:t xml:space="preserve"> Benefits Integrity Division</w:t>
      </w:r>
      <w:bookmarkEnd w:id="108"/>
      <w:bookmarkEnd w:id="109"/>
      <w:bookmarkEnd w:id="110"/>
      <w:bookmarkEnd w:id="111"/>
    </w:p>
    <w:p w14:paraId="16FF0893" w14:textId="62091371" w:rsidR="006B03C3" w:rsidRDefault="00B945E1" w:rsidP="00A86E48">
      <w:r w:rsidRPr="00B945E1">
        <w:t>Benefits Integrity Division</w:t>
      </w:r>
      <w:r w:rsidR="00A86E48">
        <w:t xml:space="preserve"> relies on tip</w:t>
      </w:r>
      <w:r w:rsidR="00A65897">
        <w:t xml:space="preserve"> </w:t>
      </w:r>
      <w:r w:rsidR="00A86E48">
        <w:t>offs, received from the public or from other agencies</w:t>
      </w:r>
      <w:r w:rsidR="005D149E">
        <w:t xml:space="preserve"> as the starting point for many investigations</w:t>
      </w:r>
      <w:r w:rsidR="00A86E48">
        <w:t>. Outside of tip</w:t>
      </w:r>
      <w:r w:rsidR="00A65897">
        <w:t xml:space="preserve"> </w:t>
      </w:r>
      <w:r w:rsidR="00A86E48">
        <w:t xml:space="preserve">offs, BID identifies risk through a ‘horizon scanning’ process, which monitors emerging risks and threats from external sources. </w:t>
      </w:r>
      <w:r w:rsidR="00A86E48" w:rsidRPr="00333C5D">
        <w:t xml:space="preserve">The horizon scanning process acts as a funnel to capture emerging risk typologies, that is potential, identified risks for assessment and validation. </w:t>
      </w:r>
    </w:p>
    <w:p w14:paraId="08C4BD3C" w14:textId="77FBEEA4" w:rsidR="00A86E48" w:rsidRDefault="00A86E48" w:rsidP="00A86E48">
      <w:r>
        <w:t>Where risks are deemed to meet</w:t>
      </w:r>
      <w:r w:rsidR="001C71F7">
        <w:t xml:space="preserve"> the</w:t>
      </w:r>
      <w:r>
        <w:t xml:space="preserve"> internal materiality threshold and are assessed as actionable with current systems and data, they are captured in a risk register. A number of these risks are then selected for ‘projects’ periodically, which are supported by an analytics </w:t>
      </w:r>
      <w:r w:rsidR="00455C00">
        <w:t>team</w:t>
      </w:r>
      <w:r>
        <w:t xml:space="preserve"> to develop data analysis for review. The focus of data analysis as part of projects is on outliers (claiming behaviour).</w:t>
      </w:r>
    </w:p>
    <w:p w14:paraId="7E9C61EA" w14:textId="76D43CE2" w:rsidR="00A86E48" w:rsidRDefault="00A86E48" w:rsidP="00A86E48">
      <w:r>
        <w:t>Due to the way risks are captured and assessed</w:t>
      </w:r>
      <w:r w:rsidR="008373E2">
        <w:t>,</w:t>
      </w:r>
      <w:r>
        <w:t xml:space="preserve"> gaps exist in the current process:</w:t>
      </w:r>
    </w:p>
    <w:p w14:paraId="50654AE7" w14:textId="00A700B0" w:rsidR="00A86E48" w:rsidRDefault="00A86E48" w:rsidP="00520404">
      <w:pPr>
        <w:pStyle w:val="ListBullet"/>
      </w:pPr>
      <w:r>
        <w:t>As risks must meet materiality thresholds to be included in the risk register, lower value risks (which may be of large volumes) are not considered for analysis in projects</w:t>
      </w:r>
    </w:p>
    <w:p w14:paraId="58F7690B" w14:textId="376A26C0" w:rsidR="00A86E48" w:rsidRDefault="00A86E48" w:rsidP="00520404">
      <w:pPr>
        <w:pStyle w:val="ListBullet"/>
      </w:pPr>
      <w:r>
        <w:t>Similarly, as risks must be deemed as assessable using current technological capabilities to be included in the risk register, any typologies beyond the current capabilities of the department are not captured or</w:t>
      </w:r>
      <w:r w:rsidDel="00C72D25">
        <w:t xml:space="preserve"> </w:t>
      </w:r>
      <w:r>
        <w:t>considered for review</w:t>
      </w:r>
    </w:p>
    <w:p w14:paraId="7735BE54" w14:textId="77777777" w:rsidR="007B5522" w:rsidRDefault="00A86E48" w:rsidP="00520404">
      <w:pPr>
        <w:pStyle w:val="ListBullet"/>
      </w:pPr>
      <w:r>
        <w:t xml:space="preserve">Due to the focused nature of project reviews, more holistic population analysis to identify behaviours across the system are not performed. </w:t>
      </w:r>
    </w:p>
    <w:p w14:paraId="1859FBAC" w14:textId="54A2737F" w:rsidR="002F21C3" w:rsidRDefault="00F34904" w:rsidP="009B0EA5">
      <w:r>
        <w:t xml:space="preserve">A backlog of activities and projects </w:t>
      </w:r>
      <w:r w:rsidR="00E13B88">
        <w:t>is being worked through</w:t>
      </w:r>
      <w:r w:rsidR="00E751ED">
        <w:t xml:space="preserve"> by the BID team</w:t>
      </w:r>
      <w:r w:rsidR="00AC13E9">
        <w:t>. This</w:t>
      </w:r>
      <w:r w:rsidR="00FC6ABE">
        <w:t xml:space="preserve"> backlog</w:t>
      </w:r>
      <w:r w:rsidR="00AC13E9">
        <w:t xml:space="preserve"> is contributing to </w:t>
      </w:r>
      <w:r w:rsidR="008033BC">
        <w:t xml:space="preserve">considerable delays </w:t>
      </w:r>
      <w:r w:rsidR="00E335C2">
        <w:t xml:space="preserve">in the initial identification of </w:t>
      </w:r>
      <w:r w:rsidR="00B77643">
        <w:t>non-compliant claiming</w:t>
      </w:r>
      <w:r w:rsidR="0023063C">
        <w:t>, its investigation and subsequent treatment</w:t>
      </w:r>
      <w:r w:rsidR="005F76DF">
        <w:t xml:space="preserve">. This results in the </w:t>
      </w:r>
      <w:r w:rsidR="00757258">
        <w:t xml:space="preserve">integrity and compliance activities appearing to be remote from the </w:t>
      </w:r>
      <w:proofErr w:type="gramStart"/>
      <w:r w:rsidR="00757258">
        <w:t>time</w:t>
      </w:r>
      <w:r w:rsidR="00E751ED">
        <w:t xml:space="preserve"> </w:t>
      </w:r>
      <w:r w:rsidR="00757258">
        <w:t>of</w:t>
      </w:r>
      <w:r w:rsidR="00E751ED">
        <w:t xml:space="preserve"> </w:t>
      </w:r>
      <w:r w:rsidR="00757258">
        <w:t>service</w:t>
      </w:r>
      <w:proofErr w:type="gramEnd"/>
      <w:r w:rsidR="00757258">
        <w:t xml:space="preserve"> delivery</w:t>
      </w:r>
      <w:r w:rsidR="00AC117B">
        <w:t xml:space="preserve"> from the perspective of </w:t>
      </w:r>
      <w:r w:rsidR="00584132">
        <w:t>health professionals and patients.</w:t>
      </w:r>
    </w:p>
    <w:p w14:paraId="13099439" w14:textId="1BA08437" w:rsidR="0008597D" w:rsidRDefault="0008597D" w:rsidP="00940D39">
      <w:pPr>
        <w:pStyle w:val="Heading3"/>
      </w:pPr>
      <w:bookmarkStart w:id="112" w:name="_Toc128669070"/>
      <w:bookmarkStart w:id="113" w:name="_Toc128905526"/>
      <w:bookmarkStart w:id="114" w:name="_Toc128907019"/>
      <w:bookmarkStart w:id="115" w:name="_Toc128909129"/>
      <w:r>
        <w:lastRenderedPageBreak/>
        <w:t>Services Australia</w:t>
      </w:r>
      <w:bookmarkEnd w:id="112"/>
      <w:bookmarkEnd w:id="113"/>
      <w:bookmarkEnd w:id="114"/>
      <w:bookmarkEnd w:id="115"/>
    </w:p>
    <w:p w14:paraId="4D567758" w14:textId="5CAF84BC" w:rsidR="0008597D" w:rsidRDefault="003364D9" w:rsidP="009B0EA5">
      <w:r>
        <w:t xml:space="preserve">As outlined in the </w:t>
      </w:r>
      <w:r w:rsidR="00783B7A">
        <w:t xml:space="preserve">2021 Compliance Protocol between the Department of Health (and Aged Care) and Services Australia, </w:t>
      </w:r>
      <w:r w:rsidR="009B0EA5">
        <w:t xml:space="preserve">Services Australia </w:t>
      </w:r>
      <w:r w:rsidR="004601C5">
        <w:t>has</w:t>
      </w:r>
      <w:r w:rsidR="009B0EA5">
        <w:t xml:space="preserve"> prime responsibility for public compliance activities which </w:t>
      </w:r>
      <w:r w:rsidR="00FD5395">
        <w:t>include</w:t>
      </w:r>
      <w:r w:rsidR="009B0EA5">
        <w:t>:</w:t>
      </w:r>
    </w:p>
    <w:p w14:paraId="68B8D709" w14:textId="54840BD1" w:rsidR="009B0EA5" w:rsidRDefault="009B0EA5" w:rsidP="00520404">
      <w:pPr>
        <w:pStyle w:val="ListBullet"/>
      </w:pPr>
      <w:r>
        <w:t>Undertak</w:t>
      </w:r>
      <w:r w:rsidR="003570A0">
        <w:t>ing</w:t>
      </w:r>
      <w:r>
        <w:t xml:space="preserve"> functions related to health and aged care programs in accordance with relevant legislation and/or guidelines</w:t>
      </w:r>
    </w:p>
    <w:p w14:paraId="3545AA74" w14:textId="68C643DD" w:rsidR="009B0EA5" w:rsidRDefault="009B0EA5" w:rsidP="00520404">
      <w:pPr>
        <w:pStyle w:val="ListBullet"/>
      </w:pPr>
      <w:r>
        <w:t>Undertak</w:t>
      </w:r>
      <w:r w:rsidR="003570A0">
        <w:t>ing</w:t>
      </w:r>
      <w:r>
        <w:t xml:space="preserve"> </w:t>
      </w:r>
      <w:r w:rsidR="004C08C7">
        <w:t>activities relevant to the degree of risk identified through program management and operational functions</w:t>
      </w:r>
    </w:p>
    <w:p w14:paraId="42376292" w14:textId="1926678E" w:rsidR="004C08C7" w:rsidRDefault="004C08C7" w:rsidP="00520404">
      <w:pPr>
        <w:pStyle w:val="ListBullet"/>
      </w:pPr>
      <w:r>
        <w:t>Liais</w:t>
      </w:r>
      <w:r w:rsidR="003F5E95">
        <w:t>i</w:t>
      </w:r>
      <w:r w:rsidR="00473B6E">
        <w:t>n</w:t>
      </w:r>
      <w:r w:rsidR="003F5E95">
        <w:t>g</w:t>
      </w:r>
      <w:r>
        <w:t xml:space="preserve"> with health and aged care peak bodies</w:t>
      </w:r>
      <w:r w:rsidR="00851FD6">
        <w:t xml:space="preserve"> and other external stakeholders to inform public compliance risks and priorities</w:t>
      </w:r>
    </w:p>
    <w:p w14:paraId="60E9BA95" w14:textId="5595A89C" w:rsidR="000B0B2B" w:rsidRDefault="000B0B2B" w:rsidP="00520404">
      <w:pPr>
        <w:pStyle w:val="ListBullet"/>
      </w:pPr>
      <w:r>
        <w:t>Provid</w:t>
      </w:r>
      <w:r w:rsidR="003F5E95">
        <w:t>ing</w:t>
      </w:r>
      <w:r>
        <w:t xml:space="preserve"> a mechanism for public compliance </w:t>
      </w:r>
      <w:r w:rsidR="00732B34">
        <w:t>tip</w:t>
      </w:r>
      <w:r w:rsidR="00A65897">
        <w:t xml:space="preserve"> </w:t>
      </w:r>
      <w:r w:rsidR="00732B34">
        <w:t>off</w:t>
      </w:r>
      <w:r w:rsidR="0056208B">
        <w:t>s to be reported, operationally triaged and case managed</w:t>
      </w:r>
    </w:p>
    <w:p w14:paraId="50703700" w14:textId="73DE255A" w:rsidR="0056208B" w:rsidRDefault="0056208B" w:rsidP="00520404">
      <w:pPr>
        <w:pStyle w:val="ListBullet"/>
      </w:pPr>
      <w:r>
        <w:t>Investigat</w:t>
      </w:r>
      <w:r w:rsidR="003F5E95">
        <w:t>ing</w:t>
      </w:r>
      <w:r>
        <w:t xml:space="preserve"> </w:t>
      </w:r>
      <w:r w:rsidR="00980DE2">
        <w:t>and progress</w:t>
      </w:r>
      <w:r w:rsidR="0002159F">
        <w:t>ing</w:t>
      </w:r>
      <w:r w:rsidR="00980DE2">
        <w:t xml:space="preserve"> compliance interventions where there are reasonable </w:t>
      </w:r>
      <w:r w:rsidR="006F77E5">
        <w:t>concerns regarding public access to Commonwealth health and aged care programs</w:t>
      </w:r>
    </w:p>
    <w:p w14:paraId="32F4AD78" w14:textId="68E91418" w:rsidR="00AB6DB1" w:rsidRDefault="00AB6DB1" w:rsidP="00520404">
      <w:pPr>
        <w:pStyle w:val="ListBullet"/>
      </w:pPr>
      <w:r>
        <w:t>Inform</w:t>
      </w:r>
      <w:r w:rsidR="003F5E95">
        <w:t>ing</w:t>
      </w:r>
      <w:r>
        <w:t xml:space="preserve"> the Department of Health </w:t>
      </w:r>
      <w:r w:rsidR="002E1B1C">
        <w:t xml:space="preserve">(and Aged Care) </w:t>
      </w:r>
      <w:r>
        <w:t>of changes to risk profiles</w:t>
      </w:r>
      <w:r w:rsidR="002E1B1C">
        <w:t xml:space="preserve"> that may affect the health and aged care provider compliance domain</w:t>
      </w:r>
    </w:p>
    <w:p w14:paraId="32513607" w14:textId="2C4BE967" w:rsidR="002E1B1C" w:rsidRDefault="002E1B1C" w:rsidP="00520404">
      <w:pPr>
        <w:pStyle w:val="ListBullet"/>
      </w:pPr>
      <w:r>
        <w:t>Provid</w:t>
      </w:r>
      <w:r w:rsidR="003F5E95">
        <w:t>ing</w:t>
      </w:r>
      <w:r>
        <w:t xml:space="preserve"> feedback to the Department of Health (and Aged Care)</w:t>
      </w:r>
      <w:r w:rsidR="004601C5">
        <w:t xml:space="preserve"> </w:t>
      </w:r>
      <w:r w:rsidR="002065AA">
        <w:t xml:space="preserve">and internal stakeholders </w:t>
      </w:r>
      <w:r w:rsidR="00144693">
        <w:t>arising from public compliance activities</w:t>
      </w:r>
      <w:r w:rsidR="00A17F56">
        <w:t xml:space="preserve"> that may affect the policy setting, delivery, or guidelines of health and aged care programs</w:t>
      </w:r>
    </w:p>
    <w:p w14:paraId="5D5D1F41" w14:textId="7AA4C6EA" w:rsidR="0095320A" w:rsidRDefault="00A17F56" w:rsidP="00520404">
      <w:pPr>
        <w:pStyle w:val="ListBullet"/>
      </w:pPr>
      <w:r>
        <w:t>Consult</w:t>
      </w:r>
      <w:r w:rsidR="003F5E95">
        <w:t>ing</w:t>
      </w:r>
      <w:r>
        <w:t xml:space="preserve"> with the Department of Health (and Aged Care) in the development of public compliance education materials to ensure consistency of compliance education messages</w:t>
      </w:r>
    </w:p>
    <w:p w14:paraId="45A0AE14" w14:textId="77777777" w:rsidR="007B5522" w:rsidRDefault="0095320A" w:rsidP="00520404">
      <w:pPr>
        <w:pStyle w:val="ListBullet"/>
      </w:pPr>
      <w:r>
        <w:t>Manag</w:t>
      </w:r>
      <w:r w:rsidR="003F5E95">
        <w:t>ing</w:t>
      </w:r>
      <w:r>
        <w:t xml:space="preserve"> the recovery of all debts raised </w:t>
      </w:r>
      <w:r w:rsidR="005164CD">
        <w:t xml:space="preserve">that </w:t>
      </w:r>
      <w:r>
        <w:t xml:space="preserve">result </w:t>
      </w:r>
      <w:r w:rsidR="009D5E5F">
        <w:t>from</w:t>
      </w:r>
      <w:r>
        <w:t xml:space="preserve"> public compliance activities.</w:t>
      </w:r>
    </w:p>
    <w:p w14:paraId="0BFDE96F" w14:textId="63D38BA2" w:rsidR="00B079AD" w:rsidRPr="008C7499" w:rsidRDefault="00B079AD" w:rsidP="00B079AD">
      <w:r w:rsidRPr="008C7499">
        <w:t>Service Australia’s role in risk identification centres on the initial validation of claims via the Medicare Common Assessing platform.</w:t>
      </w:r>
      <w:r w:rsidR="00574D7B">
        <w:t xml:space="preserve"> It is this platform that performs a series of validations and interacts with a number of databases and systems to perform</w:t>
      </w:r>
      <w:r w:rsidR="00B72B40">
        <w:t xml:space="preserve"> assessments of claim data from providers and patients, apply restrictions captured in the Item Fee File business rules</w:t>
      </w:r>
      <w:r w:rsidR="00E751ED">
        <w:t>,</w:t>
      </w:r>
      <w:r w:rsidR="00B72B40">
        <w:t xml:space="preserve"> and calculate the benefits for individual MBS items and claims.</w:t>
      </w:r>
    </w:p>
    <w:p w14:paraId="52C1457B" w14:textId="307D63BE" w:rsidR="00B72B40" w:rsidRDefault="00B72B40" w:rsidP="00B079AD">
      <w:r>
        <w:t>Complex business rules as well as system and data limitations are preventing the full implementation of new policy and legislative changes including effective up-front controls.</w:t>
      </w:r>
      <w:r w:rsidR="00E6172B">
        <w:t xml:space="preserve"> The absence of these </w:t>
      </w:r>
      <w:r w:rsidR="0028523D">
        <w:t xml:space="preserve">results in a strong reliance on manual processes, a need for </w:t>
      </w:r>
      <w:r w:rsidR="00FE7ED2">
        <w:t>manual data entry, system and business process workarounds which introduce more complexity and inflexibility</w:t>
      </w:r>
      <w:r w:rsidR="005F53DA">
        <w:t>, post</w:t>
      </w:r>
      <w:r w:rsidR="004A1281">
        <w:t>-</w:t>
      </w:r>
      <w:r w:rsidR="005F53DA">
        <w:t>payment compliance, and long implementation timeframes for policy intents to be realised.</w:t>
      </w:r>
    </w:p>
    <w:p w14:paraId="556832A2" w14:textId="40937573" w:rsidR="004D051F" w:rsidRDefault="004D051F" w:rsidP="004D051F">
      <w:pPr>
        <w:pStyle w:val="BodyText"/>
      </w:pPr>
      <w:r w:rsidRPr="004D051F">
        <w:t xml:space="preserve">Finding 6: Risk assessment and investigations are overwhelmingly focused on post-payment analysis of claims, with </w:t>
      </w:r>
      <w:proofErr w:type="spellStart"/>
      <w:r w:rsidRPr="004D051F">
        <w:t>DoHAC</w:t>
      </w:r>
      <w:proofErr w:type="spellEnd"/>
      <w:r w:rsidRPr="004D051F">
        <w:t xml:space="preserve"> responsible for provider analysis while Services Australia </w:t>
      </w:r>
      <w:proofErr w:type="gramStart"/>
      <w:r w:rsidRPr="004D051F">
        <w:t>perform</w:t>
      </w:r>
      <w:proofErr w:type="gramEnd"/>
      <w:r w:rsidRPr="004D051F">
        <w:t xml:space="preserve"> public compliance activities.</w:t>
      </w:r>
    </w:p>
    <w:p w14:paraId="49E0C35C" w14:textId="17DAD3B6" w:rsidR="00FD6346" w:rsidRPr="009B63A3" w:rsidRDefault="00FE4BF7" w:rsidP="00940D39">
      <w:pPr>
        <w:pStyle w:val="Heading2"/>
      </w:pPr>
      <w:bookmarkStart w:id="116" w:name="_Toc128669071"/>
      <w:bookmarkStart w:id="117" w:name="_Toc128905527"/>
      <w:bookmarkStart w:id="118" w:name="_Toc128907020"/>
      <w:bookmarkStart w:id="119" w:name="_Toc128909130"/>
      <w:r>
        <w:t>Risk Treatment</w:t>
      </w:r>
      <w:bookmarkEnd w:id="116"/>
      <w:bookmarkEnd w:id="117"/>
      <w:bookmarkEnd w:id="118"/>
      <w:bookmarkEnd w:id="119"/>
    </w:p>
    <w:p w14:paraId="413D0843" w14:textId="40933D90" w:rsidR="00FE4BF7" w:rsidRDefault="00FE4BF7" w:rsidP="00940D39">
      <w:pPr>
        <w:pStyle w:val="Heading3"/>
      </w:pPr>
      <w:bookmarkStart w:id="120" w:name="_Toc128669072"/>
      <w:bookmarkStart w:id="121" w:name="_Toc128905528"/>
      <w:bookmarkStart w:id="122" w:name="_Toc128907021"/>
      <w:bookmarkStart w:id="123" w:name="_Toc128909131"/>
      <w:r>
        <w:t>Overview of the treatment pathways</w:t>
      </w:r>
      <w:bookmarkEnd w:id="120"/>
      <w:bookmarkEnd w:id="121"/>
      <w:bookmarkEnd w:id="122"/>
      <w:bookmarkEnd w:id="123"/>
    </w:p>
    <w:p w14:paraId="0FA977F0" w14:textId="30628188" w:rsidR="00D7603E" w:rsidRPr="00BC6ABD" w:rsidRDefault="000D76DB" w:rsidP="00D7603E">
      <w:r>
        <w:t xml:space="preserve">To effectively treat risks, an understanding is required of the motivation driving </w:t>
      </w:r>
      <w:r w:rsidR="003F2E54">
        <w:t>non-compliant activity.</w:t>
      </w:r>
      <w:r w:rsidR="00C02511">
        <w:t xml:space="preserve"> This can range from accidental non-compliance, with no ill intent, to serious organised crime, where </w:t>
      </w:r>
      <w:r w:rsidR="004747A4">
        <w:t>intent is</w:t>
      </w:r>
      <w:r w:rsidR="00C02511">
        <w:t xml:space="preserve"> for illegal gain.</w:t>
      </w:r>
      <w:r w:rsidR="00D7603E">
        <w:t xml:space="preserve"> The complexity of the activity and the required response increases as the seriousness of the non-compliance increases</w:t>
      </w:r>
      <w:r w:rsidR="00DB2273">
        <w:t xml:space="preserve"> as shown in </w:t>
      </w:r>
      <w:r w:rsidR="00DB2273">
        <w:fldChar w:fldCharType="begin"/>
      </w:r>
      <w:r w:rsidR="00DB2273">
        <w:instrText xml:space="preserve"> REF _Ref128660708 \r \h </w:instrText>
      </w:r>
      <w:r w:rsidR="00DB2273">
        <w:fldChar w:fldCharType="separate"/>
      </w:r>
      <w:r w:rsidR="005A1647">
        <w:t>Figure 2.4</w:t>
      </w:r>
      <w:r w:rsidR="00DB2273">
        <w:fldChar w:fldCharType="end"/>
      </w:r>
      <w:r w:rsidR="00DB2273">
        <w:t>.</w:t>
      </w:r>
    </w:p>
    <w:p w14:paraId="6E76370D" w14:textId="4B725075" w:rsidR="0071092F" w:rsidRPr="00BC6ABD" w:rsidRDefault="00B42E3C" w:rsidP="00940D39">
      <w:pPr>
        <w:pStyle w:val="CaptionFigure"/>
      </w:pPr>
      <w:bookmarkStart w:id="124" w:name="_Ref128660708"/>
      <w:bookmarkStart w:id="125" w:name="_Toc131418623"/>
      <w:r>
        <w:lastRenderedPageBreak/>
        <w:t>:</w:t>
      </w:r>
      <w:bookmarkEnd w:id="124"/>
      <w:r>
        <w:t xml:space="preserve"> </w:t>
      </w:r>
      <w:r w:rsidR="0043237E" w:rsidRPr="0043237E">
        <w:t>Illustration of the types of compliance risk in relation to potential compliance interventions and cost/severity</w:t>
      </w:r>
      <w:bookmarkEnd w:id="125"/>
    </w:p>
    <w:p w14:paraId="656CCE46" w14:textId="36434AED" w:rsidR="00D7603E" w:rsidRDefault="008103BB" w:rsidP="004A77D7">
      <w:pPr>
        <w:pStyle w:val="Caption"/>
      </w:pPr>
      <w:r>
        <w:rPr>
          <w:iCs w:val="0"/>
          <w:noProof/>
        </w:rPr>
        <w:drawing>
          <wp:inline distT="0" distB="0" distL="0" distR="0" wp14:anchorId="380B1838" wp14:editId="1FD23D9B">
            <wp:extent cx="6319869" cy="2700000"/>
            <wp:effectExtent l="0" t="0" r="5080" b="5715"/>
            <wp:docPr id="2" name="Picture 2" descr="Figure 2.4 is a diagram mapping different compliance treatment types against compliance risks types (inadvertent non-compliant, sustained non-compliance, and fraud). There is a linear relationship with increasing cost to government and complexity of complianc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4 is a diagram mapping different compliance treatment types against compliance risks types (inadvertent non-compliant, sustained non-compliance, and fraud). There is a linear relationship with increasing cost to government and complexity of compliance ris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9869" cy="2700000"/>
                    </a:xfrm>
                    <a:prstGeom prst="rect">
                      <a:avLst/>
                    </a:prstGeom>
                    <a:noFill/>
                  </pic:spPr>
                </pic:pic>
              </a:graphicData>
            </a:graphic>
          </wp:inline>
        </w:drawing>
      </w:r>
      <w:r w:rsidR="00D7603E">
        <w:t>Source: Philip Review (2023)</w:t>
      </w:r>
    </w:p>
    <w:p w14:paraId="2AFA7D04" w14:textId="233BF8C3" w:rsidR="00716CEA" w:rsidRDefault="002D6970" w:rsidP="00D7603E">
      <w:r>
        <w:t>Th</w:t>
      </w:r>
      <w:r w:rsidR="00D7603E">
        <w:t xml:space="preserve">e </w:t>
      </w:r>
      <w:r w:rsidR="009931E5">
        <w:t>department</w:t>
      </w:r>
      <w:r w:rsidR="00D7603E">
        <w:t xml:space="preserve"> has developed the </w:t>
      </w:r>
      <w:r w:rsidR="00D7603E" w:rsidRPr="007D7EA8">
        <w:rPr>
          <w:i/>
        </w:rPr>
        <w:t>Health Provider Compliance Strategy 2021–22</w:t>
      </w:r>
      <w:r w:rsidR="00D7603E">
        <w:t xml:space="preserve"> which applies to the MBS, </w:t>
      </w:r>
      <w:r w:rsidR="0044370B">
        <w:t>PBS</w:t>
      </w:r>
      <w:r w:rsidR="00D7603E">
        <w:t>, Child Dental Benefits Schedule</w:t>
      </w:r>
      <w:r w:rsidR="0044370B">
        <w:t xml:space="preserve"> (CDBS)</w:t>
      </w:r>
      <w:r w:rsidR="004601C5">
        <w:t>,</w:t>
      </w:r>
      <w:r w:rsidR="00D7603E">
        <w:t xml:space="preserve"> and Practice Incentive</w:t>
      </w:r>
      <w:r w:rsidR="00E751ED">
        <w:t>s</w:t>
      </w:r>
      <w:r w:rsidR="00D7603E">
        <w:t xml:space="preserve"> Program</w:t>
      </w:r>
      <w:r w:rsidR="0044370B">
        <w:t xml:space="preserve"> (PIP)</w:t>
      </w:r>
      <w:r w:rsidR="00D7603E">
        <w:t xml:space="preserve">. </w:t>
      </w:r>
      <w:r w:rsidR="005F06A3">
        <w:t xml:space="preserve">The Health Provider Compliance Model is illustrated in </w:t>
      </w:r>
      <w:r w:rsidR="005F06A3">
        <w:fldChar w:fldCharType="begin"/>
      </w:r>
      <w:r w:rsidR="005F06A3">
        <w:instrText xml:space="preserve"> REF _Ref128661211 \r \h </w:instrText>
      </w:r>
      <w:r w:rsidR="005F06A3">
        <w:fldChar w:fldCharType="separate"/>
      </w:r>
      <w:r w:rsidR="005A1647">
        <w:t>Figure 2.5</w:t>
      </w:r>
      <w:r w:rsidR="005F06A3">
        <w:fldChar w:fldCharType="end"/>
      </w:r>
      <w:r w:rsidR="005F06A3">
        <w:t>.</w:t>
      </w:r>
    </w:p>
    <w:p w14:paraId="6055B0B6" w14:textId="6AE81DB8" w:rsidR="00716CEA" w:rsidRDefault="00D7603E" w:rsidP="004A77D7">
      <w:pPr>
        <w:pStyle w:val="ListBullet"/>
      </w:pPr>
      <w:r>
        <w:t xml:space="preserve">The Health Provider Compliance Strategy (the Strategy) identifies the principles which govern the </w:t>
      </w:r>
      <w:r w:rsidR="009931E5">
        <w:t>department</w:t>
      </w:r>
      <w:r>
        <w:t xml:space="preserve">’s compliance and enforcement function, and the </w:t>
      </w:r>
      <w:r w:rsidR="009931E5">
        <w:t>department</w:t>
      </w:r>
      <w:r>
        <w:t xml:space="preserve">’s compliance and enforcement priorities. </w:t>
      </w:r>
    </w:p>
    <w:p w14:paraId="2011739F" w14:textId="65C8FBD3" w:rsidR="00716CEA" w:rsidRDefault="00D7603E" w:rsidP="004A77D7">
      <w:pPr>
        <w:pStyle w:val="ListBullet"/>
      </w:pPr>
      <w:r>
        <w:t xml:space="preserve">The Strategy aligns with the </w:t>
      </w:r>
      <w:r w:rsidR="009931E5">
        <w:t>department</w:t>
      </w:r>
      <w:r>
        <w:t xml:space="preserve">’s Corporate Plan 2021–22 and Fraud Control Plan 2021–23. </w:t>
      </w:r>
    </w:p>
    <w:p w14:paraId="1A324C71" w14:textId="6A71C1B7" w:rsidR="00D7603E" w:rsidRDefault="00D7603E" w:rsidP="004A77D7">
      <w:pPr>
        <w:pStyle w:val="ListBullet"/>
      </w:pPr>
      <w:r>
        <w:t xml:space="preserve">Further, the Strategy outlines a comprehensive range of tools and organisational responses to non-compliance and fraud which increase in </w:t>
      </w:r>
      <w:r w:rsidR="00EC65E0">
        <w:t>intensity</w:t>
      </w:r>
      <w:r>
        <w:t xml:space="preserve"> in relation to</w:t>
      </w:r>
      <w:r w:rsidR="00E751ED">
        <w:t>:</w:t>
      </w:r>
      <w:r>
        <w:t xml:space="preserve"> (1) the nature of the alleged behaviour</w:t>
      </w:r>
      <w:r w:rsidR="00E751ED">
        <w:t>,</w:t>
      </w:r>
      <w:r>
        <w:t xml:space="preserve"> and (2) any associated criminal or administrative penalties. For example, less confrontational education and awareness activities are applied where behaviour is assessed to be unintentionally non-compliant, whilst criminal investigations are performed in the case of fraud. </w:t>
      </w:r>
    </w:p>
    <w:p w14:paraId="16AB4BF1" w14:textId="2921712F" w:rsidR="00D7603E" w:rsidRDefault="00D7603E" w:rsidP="00940D39">
      <w:pPr>
        <w:pStyle w:val="CaptionFigure"/>
      </w:pPr>
      <w:bookmarkStart w:id="126" w:name="_Ref128661211"/>
      <w:bookmarkStart w:id="127" w:name="_Toc131418624"/>
      <w:r>
        <w:t>: Health Provider Compliance Strategy 2021</w:t>
      </w:r>
      <w:r w:rsidR="00CA6D48">
        <w:t>–</w:t>
      </w:r>
      <w:r>
        <w:t>22 Compliance Model</w:t>
      </w:r>
      <w:bookmarkEnd w:id="126"/>
      <w:bookmarkEnd w:id="127"/>
    </w:p>
    <w:p w14:paraId="74675A4C" w14:textId="5ABD186B" w:rsidR="00D7603E" w:rsidRDefault="00D7603E" w:rsidP="007D7EA8">
      <w:pPr>
        <w:jc w:val="center"/>
      </w:pPr>
      <w:r>
        <w:rPr>
          <w:noProof/>
        </w:rPr>
        <w:drawing>
          <wp:inline distT="0" distB="0" distL="0" distR="0" wp14:anchorId="704A8286" wp14:editId="0355223E">
            <wp:extent cx="4385543" cy="3162300"/>
            <wp:effectExtent l="0" t="0" r="0" b="0"/>
            <wp:docPr id="21519" name="Picture 21519" descr="Figure 2.5 is a diagram showing compliance strategy in shape of a pyramid. Education is the foundation, while criminal investigations forms the top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21519" descr="Figure 2.5 is a diagram showing compliance strategy in shape of a pyramid. Education is the foundation, while criminal investigations forms the top po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0386" cy="3165792"/>
                    </a:xfrm>
                    <a:prstGeom prst="rect">
                      <a:avLst/>
                    </a:prstGeom>
                    <a:noFill/>
                  </pic:spPr>
                </pic:pic>
              </a:graphicData>
            </a:graphic>
          </wp:inline>
        </w:drawing>
      </w:r>
    </w:p>
    <w:p w14:paraId="3C000088" w14:textId="638D8C9A" w:rsidR="00D7603E" w:rsidRDefault="00D7603E" w:rsidP="00D7603E">
      <w:pPr>
        <w:pStyle w:val="Caption"/>
      </w:pPr>
      <w:r>
        <w:t xml:space="preserve">Source: Philip Review (2023) using </w:t>
      </w:r>
      <w:proofErr w:type="spellStart"/>
      <w:r w:rsidR="006C4B93">
        <w:t>DoHAC</w:t>
      </w:r>
      <w:proofErr w:type="spellEnd"/>
      <w:r w:rsidR="006C4B93">
        <w:t xml:space="preserve"> (2023)</w:t>
      </w:r>
      <w:r w:rsidR="006C4B93">
        <w:rPr>
          <w:rStyle w:val="FootnoteReference"/>
        </w:rPr>
        <w:footnoteReference w:id="6"/>
      </w:r>
      <w:r>
        <w:t xml:space="preserve"> </w:t>
      </w:r>
    </w:p>
    <w:p w14:paraId="67214309" w14:textId="4E9E37C5" w:rsidR="00D7603E" w:rsidRDefault="00D7603E" w:rsidP="004E7AE1">
      <w:pPr>
        <w:keepNext/>
        <w:pageBreakBefore/>
      </w:pPr>
      <w:r>
        <w:lastRenderedPageBreak/>
        <w:t xml:space="preserve">In </w:t>
      </w:r>
      <w:r w:rsidR="005F06A3">
        <w:t>this</w:t>
      </w:r>
      <w:r>
        <w:t xml:space="preserve"> </w:t>
      </w:r>
      <w:r w:rsidR="00477FC0">
        <w:t>R</w:t>
      </w:r>
      <w:r>
        <w:t xml:space="preserve">eview, </w:t>
      </w:r>
      <w:r w:rsidR="004F1FDA">
        <w:t>I</w:t>
      </w:r>
      <w:r>
        <w:t xml:space="preserve"> did not identify any fundamental issues with th</w:t>
      </w:r>
      <w:r w:rsidR="006F7CC0">
        <w:t>is</w:t>
      </w:r>
      <w:r>
        <w:t xml:space="preserve"> </w:t>
      </w:r>
      <w:r w:rsidR="00E751ED">
        <w:t>c</w:t>
      </w:r>
      <w:r>
        <w:t xml:space="preserve">ompliance </w:t>
      </w:r>
      <w:r w:rsidR="00E751ED">
        <w:t>m</w:t>
      </w:r>
      <w:r>
        <w:t xml:space="preserve">odel per se. However, what </w:t>
      </w:r>
      <w:r w:rsidR="00542E7B">
        <w:t>I do</w:t>
      </w:r>
      <w:r>
        <w:t xml:space="preserve"> identify </w:t>
      </w:r>
      <w:r w:rsidR="00542E7B">
        <w:t>are</w:t>
      </w:r>
      <w:r>
        <w:t xml:space="preserve"> lower levels of capability maturity in the systems and processes which would enable the </w:t>
      </w:r>
      <w:r w:rsidR="00E751ED">
        <w:t>c</w:t>
      </w:r>
      <w:r>
        <w:t xml:space="preserve">ompliance </w:t>
      </w:r>
      <w:r w:rsidR="00E751ED">
        <w:t>m</w:t>
      </w:r>
      <w:r>
        <w:t xml:space="preserve">odel to be more effective, including continuous monitoring, </w:t>
      </w:r>
      <w:proofErr w:type="gramStart"/>
      <w:r>
        <w:t>intelligence</w:t>
      </w:r>
      <w:proofErr w:type="gramEnd"/>
      <w:r>
        <w:t xml:space="preserve"> and data analytics, </w:t>
      </w:r>
      <w:r w:rsidR="00832EBF">
        <w:t xml:space="preserve">together with </w:t>
      </w:r>
      <w:r>
        <w:t xml:space="preserve">case management tools that enable the </w:t>
      </w:r>
      <w:r w:rsidR="009931E5">
        <w:t>department</w:t>
      </w:r>
      <w:r>
        <w:t xml:space="preserve"> to adopt a proactive, prevention and early</w:t>
      </w:r>
      <w:r w:rsidR="008373E2">
        <w:t>-</w:t>
      </w:r>
      <w:r>
        <w:t xml:space="preserve">detection focused approach. The implementation of such </w:t>
      </w:r>
      <w:r w:rsidR="001277B1">
        <w:t>a model</w:t>
      </w:r>
      <w:r>
        <w:t xml:space="preserve"> would ideally capture </w:t>
      </w:r>
      <w:r w:rsidR="00F85065">
        <w:t>most</w:t>
      </w:r>
      <w:r>
        <w:t xml:space="preserve"> adverse behaviours as early as possible, minimising the incidence of non-compliance and deterring opportunistic and organised fraud involving the </w:t>
      </w:r>
      <w:r w:rsidR="000C3167">
        <w:t>S</w:t>
      </w:r>
      <w:r>
        <w:t xml:space="preserve">cheme. </w:t>
      </w:r>
    </w:p>
    <w:p w14:paraId="36CD2392" w14:textId="77777777" w:rsidR="00A13B8A" w:rsidRPr="00196F54" w:rsidRDefault="00A13B8A" w:rsidP="00940D39">
      <w:pPr>
        <w:pStyle w:val="Heading4"/>
      </w:pPr>
      <w:r>
        <w:t>Fraud and Organised Crime Taskforces</w:t>
      </w:r>
    </w:p>
    <w:p w14:paraId="76DA6630" w14:textId="315D35A1" w:rsidR="00A13B8A" w:rsidRDefault="00A13B8A" w:rsidP="00A13B8A">
      <w:r>
        <w:t xml:space="preserve">In addition to the </w:t>
      </w:r>
      <w:r w:rsidR="00E751ED">
        <w:t>c</w:t>
      </w:r>
      <w:r>
        <w:t xml:space="preserve">ompliance </w:t>
      </w:r>
      <w:r w:rsidR="00E751ED">
        <w:t>m</w:t>
      </w:r>
      <w:r>
        <w:t>odel outlined above, the Australian Government has historically established inter-agency taskforces to address systemic or complex criminal activity within its schemes and programs</w:t>
      </w:r>
      <w:r w:rsidR="00F30475">
        <w:t>.</w:t>
      </w:r>
      <w:r>
        <w:rPr>
          <w:rStyle w:val="FootnoteReference"/>
        </w:rPr>
        <w:footnoteReference w:id="7"/>
      </w:r>
      <w:r>
        <w:t xml:space="preserve"> Of note, task forces such as these may require special powers and authorisations from </w:t>
      </w:r>
      <w:r w:rsidR="008373E2">
        <w:t>g</w:t>
      </w:r>
      <w:r>
        <w:t xml:space="preserve">overnment to facilitate some aspects of inter-departmental information sharing. An example of this is the inter-agency Fraud Fusion Taskforce funded in the October 2022 budget to help address organised fraud in the </w:t>
      </w:r>
      <w:r w:rsidR="009931E5" w:rsidRPr="00970F5D">
        <w:t xml:space="preserve">National Disability Insurance Scheme </w:t>
      </w:r>
      <w:r w:rsidR="009931E5">
        <w:t>(</w:t>
      </w:r>
      <w:r>
        <w:t>NDIS</w:t>
      </w:r>
      <w:r w:rsidR="009931E5">
        <w:t>)</w:t>
      </w:r>
      <w:r w:rsidR="008F28EE">
        <w:t>.</w:t>
      </w:r>
      <w:r>
        <w:rPr>
          <w:rStyle w:val="FootnoteReference"/>
        </w:rPr>
        <w:footnoteReference w:id="8"/>
      </w:r>
      <w:r>
        <w:t xml:space="preserve"> Task forces play a valuable role in coordinating law enforcement assets</w:t>
      </w:r>
      <w:r w:rsidR="004601C5">
        <w:t>;</w:t>
      </w:r>
      <w:r>
        <w:t xml:space="preserve"> </w:t>
      </w:r>
      <w:r w:rsidR="003614C7">
        <w:t>however,</w:t>
      </w:r>
      <w:r>
        <w:t xml:space="preserve"> they are typically deployed in addition to existing benefits integrity activities on an ‘exceptions </w:t>
      </w:r>
      <w:proofErr w:type="spellStart"/>
      <w:r>
        <w:t>basis’</w:t>
      </w:r>
      <w:proofErr w:type="spellEnd"/>
      <w:r>
        <w:t xml:space="preserve"> and are not a substitute for proactive risk management. </w:t>
      </w:r>
    </w:p>
    <w:p w14:paraId="15E97213" w14:textId="428577E6" w:rsidR="00B66443" w:rsidRPr="00196F54" w:rsidRDefault="00093767" w:rsidP="00940D39">
      <w:pPr>
        <w:pStyle w:val="Heading3"/>
      </w:pPr>
      <w:bookmarkStart w:id="128" w:name="_Toc128669073"/>
      <w:bookmarkStart w:id="129" w:name="_Toc128905529"/>
      <w:bookmarkStart w:id="130" w:name="_Toc128907022"/>
      <w:bookmarkStart w:id="131" w:name="_Toc128909132"/>
      <w:r w:rsidRPr="00093767">
        <w:t xml:space="preserve">Practitioner </w:t>
      </w:r>
      <w:r w:rsidR="008104FB">
        <w:t>R</w:t>
      </w:r>
      <w:r w:rsidRPr="00093767">
        <w:t xml:space="preserve">eview </w:t>
      </w:r>
      <w:r w:rsidR="008104FB">
        <w:t>P</w:t>
      </w:r>
      <w:r w:rsidRPr="00093767">
        <w:t xml:space="preserve">rogram </w:t>
      </w:r>
      <w:r w:rsidR="00B66443">
        <w:t xml:space="preserve">and </w:t>
      </w:r>
      <w:r w:rsidR="00F66957">
        <w:t>Professional Service Review</w:t>
      </w:r>
      <w:bookmarkEnd w:id="128"/>
      <w:bookmarkEnd w:id="129"/>
      <w:bookmarkEnd w:id="130"/>
      <w:bookmarkEnd w:id="131"/>
      <w:r w:rsidR="00F66957">
        <w:t xml:space="preserve"> </w:t>
      </w:r>
    </w:p>
    <w:p w14:paraId="37CA0404" w14:textId="5FDF401F" w:rsidR="00B66443" w:rsidRDefault="00B66443" w:rsidP="00B66443">
      <w:r>
        <w:t xml:space="preserve">As outlined in previous sections, concerns about inappropriate practice are referred to the PRP. The PRP includes PBS and CDBS along with MBS and aims to identify and intervene when billing and servicing behaviour of practitioners or corporate entities seems to indicate potential inappropriate practice as defined by Part VAA of the </w:t>
      </w:r>
      <w:r w:rsidR="005C6A4C">
        <w:t>HIA</w:t>
      </w:r>
      <w:r>
        <w:rPr>
          <w:i/>
          <w:iCs/>
        </w:rPr>
        <w:t xml:space="preserve">. </w:t>
      </w:r>
    </w:p>
    <w:p w14:paraId="5C08E15F" w14:textId="7F6CF1B7" w:rsidR="00B66443" w:rsidRDefault="00B66443" w:rsidP="00940D39">
      <w:pPr>
        <w:pStyle w:val="Heading3"/>
      </w:pPr>
      <w:bookmarkStart w:id="132" w:name="_Toc128669074"/>
      <w:bookmarkStart w:id="133" w:name="_Toc128905530"/>
      <w:bookmarkStart w:id="134" w:name="_Toc128907023"/>
      <w:bookmarkStart w:id="135" w:name="_Toc128909133"/>
      <w:r>
        <w:t xml:space="preserve">Overview of the </w:t>
      </w:r>
      <w:r w:rsidR="008104FB" w:rsidRPr="00093767">
        <w:t xml:space="preserve">Practitioner </w:t>
      </w:r>
      <w:r w:rsidR="008104FB">
        <w:t>R</w:t>
      </w:r>
      <w:r w:rsidR="008104FB" w:rsidRPr="00093767">
        <w:t xml:space="preserve">eview </w:t>
      </w:r>
      <w:r w:rsidR="008104FB">
        <w:t>P</w:t>
      </w:r>
      <w:r w:rsidR="008104FB" w:rsidRPr="00093767">
        <w:t>rogram</w:t>
      </w:r>
      <w:bookmarkEnd w:id="132"/>
      <w:bookmarkEnd w:id="133"/>
      <w:bookmarkEnd w:id="134"/>
      <w:bookmarkEnd w:id="135"/>
    </w:p>
    <w:p w14:paraId="5BBAE422" w14:textId="2CA2F0EA" w:rsidR="00B66443" w:rsidRDefault="00B66443" w:rsidP="00B66443">
      <w:r>
        <w:t>Cases presented to the PRP a</w:t>
      </w:r>
      <w:r w:rsidR="006839D6">
        <w:t>re</w:t>
      </w:r>
      <w:r>
        <w:t xml:space="preserve"> then reviewed to determine the appropriate review, treatment and/or escalation (</w:t>
      </w:r>
      <w:r w:rsidR="00C0155F">
        <w:t xml:space="preserve">see </w:t>
      </w:r>
      <w:r w:rsidR="00C0155F">
        <w:fldChar w:fldCharType="begin"/>
      </w:r>
      <w:r w:rsidR="00C0155F">
        <w:instrText xml:space="preserve"> REF _Ref128661844 \r \h </w:instrText>
      </w:r>
      <w:r w:rsidR="00C0155F">
        <w:fldChar w:fldCharType="separate"/>
      </w:r>
      <w:r w:rsidR="005A1647">
        <w:t>Figure 2.6</w:t>
      </w:r>
      <w:r w:rsidR="00C0155F">
        <w:fldChar w:fldCharType="end"/>
      </w:r>
      <w:r>
        <w:t xml:space="preserve">). </w:t>
      </w:r>
    </w:p>
    <w:p w14:paraId="2BCED866" w14:textId="67CD5857" w:rsidR="00B66443" w:rsidRDefault="008C4E61" w:rsidP="00940D39">
      <w:pPr>
        <w:pStyle w:val="CaptionFigure"/>
      </w:pPr>
      <w:bookmarkStart w:id="136" w:name="_Ref128661844"/>
      <w:bookmarkStart w:id="137" w:name="_Toc131418625"/>
      <w:r>
        <w:t xml:space="preserve">: </w:t>
      </w:r>
      <w:r w:rsidR="00EF64D7">
        <w:t>Pathway of case reviewed under the PRP</w:t>
      </w:r>
      <w:bookmarkEnd w:id="136"/>
      <w:bookmarkEnd w:id="137"/>
    </w:p>
    <w:p w14:paraId="63E5D9C7" w14:textId="26CE59F5" w:rsidR="00B66443" w:rsidRPr="0090363A" w:rsidRDefault="00115594" w:rsidP="008F226B">
      <w:pPr>
        <w:pStyle w:val="Caption"/>
      </w:pPr>
      <w:r>
        <w:rPr>
          <w:noProof/>
        </w:rPr>
        <w:drawing>
          <wp:inline distT="0" distB="0" distL="0" distR="0" wp14:anchorId="26C146A0" wp14:editId="25DCEF35">
            <wp:extent cx="6649093" cy="1577663"/>
            <wp:effectExtent l="0" t="0" r="0" b="3810"/>
            <wp:docPr id="51" name="Picture 51" descr="Figure 2.6 is a diagram showing PRP case progression, including (after assessing information) options for 6 month review under PRP or referral to Director of 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6 is a diagram showing PRP case progression, including (after assessing information) options for 6 month review under PRP or referral to Director of PS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9570" cy="1584894"/>
                    </a:xfrm>
                    <a:prstGeom prst="rect">
                      <a:avLst/>
                    </a:prstGeom>
                    <a:noFill/>
                  </pic:spPr>
                </pic:pic>
              </a:graphicData>
            </a:graphic>
          </wp:inline>
        </w:drawing>
      </w:r>
      <w:r w:rsidR="00B66443" w:rsidRPr="0090363A">
        <w:t xml:space="preserve">Source: </w:t>
      </w:r>
      <w:r w:rsidR="0090363A" w:rsidRPr="0090363A">
        <w:t>Philip Review (2023)</w:t>
      </w:r>
    </w:p>
    <w:p w14:paraId="03E083D5" w14:textId="7EDD2F19" w:rsidR="00B66443" w:rsidRDefault="00B66443" w:rsidP="00B66443">
      <w:r>
        <w:t xml:space="preserve">The referral to the PSR can occur at any point within the PRP review and suitability process. This means that it might be that a case is identified early on as needing to be referred to PSR, or that following </w:t>
      </w:r>
      <w:r w:rsidR="00536011">
        <w:t>six</w:t>
      </w:r>
      <w:r>
        <w:t xml:space="preserve">-month reviews and/or </w:t>
      </w:r>
      <w:r w:rsidR="0009331D">
        <w:t>d</w:t>
      </w:r>
      <w:r>
        <w:t xml:space="preserve">elegate </w:t>
      </w:r>
      <w:r w:rsidR="0009331D">
        <w:t>of the Chief Executive Medicare review, the</w:t>
      </w:r>
      <w:r>
        <w:t xml:space="preserve"> case is </w:t>
      </w:r>
      <w:r w:rsidR="00836C10">
        <w:t xml:space="preserve">then </w:t>
      </w:r>
      <w:r>
        <w:t xml:space="preserve">referred. </w:t>
      </w:r>
      <w:r w:rsidR="00536011">
        <w:t xml:space="preserve">A detailed description of the PRP process is shown in </w:t>
      </w:r>
      <w:r w:rsidR="00536011">
        <w:fldChar w:fldCharType="begin"/>
      </w:r>
      <w:r w:rsidR="00536011">
        <w:instrText xml:space="preserve"> REF _Ref128661905 \r \h </w:instrText>
      </w:r>
      <w:r w:rsidR="00536011">
        <w:fldChar w:fldCharType="separate"/>
      </w:r>
      <w:r w:rsidR="005A1647">
        <w:t>Figure 2.7</w:t>
      </w:r>
      <w:r w:rsidR="00536011">
        <w:fldChar w:fldCharType="end"/>
      </w:r>
      <w:r w:rsidR="00536011">
        <w:t>.</w:t>
      </w:r>
    </w:p>
    <w:p w14:paraId="572E425E" w14:textId="14626AA4" w:rsidR="00B66443" w:rsidRDefault="00AE3831" w:rsidP="00940D39">
      <w:pPr>
        <w:pStyle w:val="CaptionFigure"/>
      </w:pPr>
      <w:bookmarkStart w:id="138" w:name="_Ref128661905"/>
      <w:bookmarkStart w:id="139" w:name="_Toc131418626"/>
      <w:r w:rsidRPr="00C0155F">
        <w:lastRenderedPageBreak/>
        <w:t>:</w:t>
      </w:r>
      <w:r w:rsidR="00B66443" w:rsidRPr="00C0155F">
        <w:t xml:space="preserve"> Detail of the PRP process</w:t>
      </w:r>
      <w:bookmarkEnd w:id="138"/>
      <w:bookmarkEnd w:id="139"/>
      <w:r w:rsidR="00B66443">
        <w:t xml:space="preserve"> </w:t>
      </w:r>
    </w:p>
    <w:p w14:paraId="24B4EEA3" w14:textId="0C89D531" w:rsidR="00B66443" w:rsidRDefault="00F5564D" w:rsidP="00B66443">
      <w:r w:rsidRPr="00F5564D">
        <w:rPr>
          <w:noProof/>
        </w:rPr>
        <w:drawing>
          <wp:inline distT="0" distB="0" distL="0" distR="0" wp14:anchorId="0E76F11D" wp14:editId="22EC8321">
            <wp:extent cx="6645910" cy="3013710"/>
            <wp:effectExtent l="0" t="0" r="2540" b="0"/>
            <wp:docPr id="1" name="Picture 1" descr="Figure 2.7 is a diagram graphic table listing PRP process across identification, PRP review process, and outcomes that may or may not progress to 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7 is a diagram graphic table listing PRP process across identification, PRP review process, and outcomes that may or may not progress to PS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3013710"/>
                    </a:xfrm>
                    <a:prstGeom prst="rect">
                      <a:avLst/>
                    </a:prstGeom>
                    <a:noFill/>
                    <a:ln>
                      <a:noFill/>
                    </a:ln>
                  </pic:spPr>
                </pic:pic>
              </a:graphicData>
            </a:graphic>
          </wp:inline>
        </w:drawing>
      </w:r>
    </w:p>
    <w:p w14:paraId="4C339890" w14:textId="7A8AA19A" w:rsidR="00B66443" w:rsidRDefault="00B66443" w:rsidP="002657CF">
      <w:pPr>
        <w:pStyle w:val="Caption"/>
      </w:pPr>
      <w:r>
        <w:t xml:space="preserve">Source: </w:t>
      </w:r>
      <w:r w:rsidR="00D06D73">
        <w:t>Philip Review (2023)</w:t>
      </w:r>
    </w:p>
    <w:p w14:paraId="7270B2BD" w14:textId="7DC4B40A" w:rsidR="00B66443" w:rsidRDefault="00B66443" w:rsidP="00B66443">
      <w:r w:rsidRPr="00934EC6">
        <w:t xml:space="preserve">Concerns of non-compliant inappropriate practice are raised with </w:t>
      </w:r>
      <w:proofErr w:type="spellStart"/>
      <w:r w:rsidR="002F315E">
        <w:t>DoHAC</w:t>
      </w:r>
      <w:proofErr w:type="spellEnd"/>
      <w:r w:rsidRPr="00934EC6">
        <w:t xml:space="preserve"> </w:t>
      </w:r>
      <w:r w:rsidR="003E4AAE">
        <w:t xml:space="preserve">primarily </w:t>
      </w:r>
      <w:r w:rsidRPr="00934EC6">
        <w:t>via tip</w:t>
      </w:r>
      <w:r w:rsidR="00A65897">
        <w:t xml:space="preserve"> </w:t>
      </w:r>
      <w:r w:rsidRPr="00934EC6">
        <w:t xml:space="preserve">offs or data analysis </w:t>
      </w:r>
      <w:r>
        <w:t>that indicates</w:t>
      </w:r>
      <w:r w:rsidRPr="00934EC6">
        <w:t xml:space="preserve"> unexplained or inconsistent</w:t>
      </w:r>
      <w:r w:rsidRPr="00934EC6">
        <w:rPr>
          <w:rStyle w:val="FootnoteReference"/>
        </w:rPr>
        <w:footnoteReference w:id="9"/>
      </w:r>
      <w:r w:rsidRPr="00934EC6">
        <w:t xml:space="preserve"> variances in a practitioner</w:t>
      </w:r>
      <w:r>
        <w:t xml:space="preserve">/corporate </w:t>
      </w:r>
      <w:r w:rsidRPr="00934EC6">
        <w:t>entity’s initiation or provision of health services.</w:t>
      </w:r>
      <w:r w:rsidRPr="00422CE1">
        <w:t xml:space="preserve"> </w:t>
      </w:r>
      <w:r w:rsidR="00654589">
        <w:t>T</w:t>
      </w:r>
      <w:r w:rsidRPr="00934EC6">
        <w:t>he concern is registered with PRP who review the service provider</w:t>
      </w:r>
      <w:r w:rsidR="009D2F6A">
        <w:t>’</w:t>
      </w:r>
      <w:r w:rsidRPr="00934EC6">
        <w:t xml:space="preserve">s Medicare servicing and PBS prescribing behaviours to understand the unexplained variances.  </w:t>
      </w:r>
    </w:p>
    <w:p w14:paraId="6885E21C" w14:textId="62E6E25A" w:rsidR="00B66443" w:rsidRDefault="00B66443" w:rsidP="00B66443">
      <w:r>
        <w:t xml:space="preserve">Cases are assessed in the first instance by a Senior Medical Advisor, and then allocated a priority based on potential risk. These cases are then assessed by a team of advisors. During this process, practitioners often have multiple opportunities to provide additional information, data, and commentary to the review team. During interviews, the practitioner can have a support person with them, which might include a practice manager or medical defence representative. </w:t>
      </w:r>
    </w:p>
    <w:p w14:paraId="73404A46" w14:textId="7E3BD1C6" w:rsidR="00B66443" w:rsidRDefault="00B66443" w:rsidP="00B66443">
      <w:r>
        <w:t>Concerns classified as criminally fraudulent are referred to the</w:t>
      </w:r>
      <w:r w:rsidRPr="00167E7B">
        <w:t xml:space="preserve"> </w:t>
      </w:r>
      <w:r w:rsidR="00C83840">
        <w:t>investigation area in the Benefits Integrity Division</w:t>
      </w:r>
      <w:r w:rsidRPr="00167E7B">
        <w:t xml:space="preserve"> (</w:t>
      </w:r>
      <w:proofErr w:type="gramStart"/>
      <w:r w:rsidR="00904BFD">
        <w:t>e.g.</w:t>
      </w:r>
      <w:proofErr w:type="gramEnd"/>
      <w:r w:rsidR="009D2F6A">
        <w:t xml:space="preserve"> sections </w:t>
      </w:r>
      <w:r w:rsidRPr="00167E7B">
        <w:t>89A &amp; 106N</w:t>
      </w:r>
      <w:r w:rsidR="009D2F6A">
        <w:t xml:space="preserve"> of HIA</w:t>
      </w:r>
      <w:r w:rsidRPr="00167E7B">
        <w:t>)</w:t>
      </w:r>
      <w:r w:rsidR="0004726C">
        <w:t>;</w:t>
      </w:r>
      <w:r>
        <w:t xml:space="preserve"> neither the PSR or PRP investigate or pursue potential criminal </w:t>
      </w:r>
      <w:r w:rsidR="00836C10">
        <w:t>activity and</w:t>
      </w:r>
      <w:r w:rsidR="00C75D2B">
        <w:t xml:space="preserve"> consider only th</w:t>
      </w:r>
      <w:r w:rsidR="006A6994">
        <w:t>ose</w:t>
      </w:r>
      <w:r w:rsidR="00836C10">
        <w:t xml:space="preserve"> </w:t>
      </w:r>
      <w:r>
        <w:t xml:space="preserve">classified as </w:t>
      </w:r>
      <w:r w:rsidRPr="00934EC6">
        <w:t>non-compliant inappropriate practice</w:t>
      </w:r>
      <w:r>
        <w:t xml:space="preserve">. </w:t>
      </w:r>
      <w:proofErr w:type="spellStart"/>
      <w:r w:rsidR="00DD1899">
        <w:t>DoHAC</w:t>
      </w:r>
      <w:proofErr w:type="spellEnd"/>
      <w:r>
        <w:t xml:space="preserve"> notes that issues relating to corporate entities are usually identified during a review of a practitioner and if concerns are raised and remain following PRP processes they will also then be referred to the Director of the PSR. </w:t>
      </w:r>
    </w:p>
    <w:p w14:paraId="046E542C" w14:textId="57EB99BB" w:rsidR="00B66443" w:rsidRDefault="00B66443" w:rsidP="00B66443">
      <w:pPr>
        <w:rPr>
          <w:highlight w:val="yellow"/>
        </w:rPr>
      </w:pPr>
      <w:r>
        <w:t xml:space="preserve">Those concerns that </w:t>
      </w:r>
      <w:r w:rsidRPr="00934EC6">
        <w:t>are unable to be resolved by a PRP review</w:t>
      </w:r>
      <w:r>
        <w:t xml:space="preserve"> are </w:t>
      </w:r>
      <w:r w:rsidRPr="00934EC6">
        <w:t xml:space="preserve">referred to the Director of the </w:t>
      </w:r>
      <w:r>
        <w:t>PSR</w:t>
      </w:r>
      <w:r w:rsidRPr="00934EC6">
        <w:t xml:space="preserve"> for further investigatio</w:t>
      </w:r>
      <w:r>
        <w:t xml:space="preserve">n. In addition, all 80/20 and 30/20 rule </w:t>
      </w:r>
      <w:r w:rsidR="00821941">
        <w:t>breaches</w:t>
      </w:r>
      <w:r>
        <w:t xml:space="preserve"> are not offered interviews and are referred directly to a </w:t>
      </w:r>
      <w:r w:rsidR="0009331D">
        <w:t>d</w:t>
      </w:r>
      <w:r>
        <w:t>elegate and subsequently to the Director of the PSR.</w:t>
      </w:r>
    </w:p>
    <w:p w14:paraId="179FCF77" w14:textId="6CEACBD0" w:rsidR="00B66443" w:rsidRDefault="00B66443" w:rsidP="00B66443">
      <w:r>
        <w:t xml:space="preserve">If the Director finds a review necessary, they will notify the practitioner/entity and the Chief Executive Medicare of their decision to review. The estimate provided in a submission by </w:t>
      </w:r>
      <w:proofErr w:type="spellStart"/>
      <w:r w:rsidR="00F4681D">
        <w:t>DoHAC</w:t>
      </w:r>
      <w:proofErr w:type="spellEnd"/>
      <w:r>
        <w:t xml:space="preserve"> is that approximately 70% of practitioners change their behaviour after review which means they do not then require referral to the PSR. Referrals to the </w:t>
      </w:r>
      <w:r w:rsidRPr="003544D7">
        <w:t>PSR will have the most severe concerns of potential inappropriate practice after review under the PRP or may have indicated or demonstrated they will not change their behaviour based on</w:t>
      </w:r>
      <w:r>
        <w:t xml:space="preserve"> the review and potentially </w:t>
      </w:r>
      <w:r w:rsidR="00477FC0">
        <w:t xml:space="preserve">their </w:t>
      </w:r>
      <w:r>
        <w:t xml:space="preserve">performance after a </w:t>
      </w:r>
      <w:r w:rsidR="00EE1270">
        <w:t>six</w:t>
      </w:r>
      <w:r>
        <w:t xml:space="preserve">-month review. </w:t>
      </w:r>
    </w:p>
    <w:p w14:paraId="68E6B389" w14:textId="44096CAA" w:rsidR="00B66443" w:rsidRDefault="00B66443" w:rsidP="00940D39">
      <w:pPr>
        <w:pStyle w:val="Heading4"/>
      </w:pPr>
      <w:r>
        <w:t xml:space="preserve">Timelines of the </w:t>
      </w:r>
      <w:r w:rsidR="008104FB" w:rsidRPr="00093767">
        <w:t xml:space="preserve">Practitioner </w:t>
      </w:r>
      <w:r w:rsidR="008104FB">
        <w:t>R</w:t>
      </w:r>
      <w:r w:rsidR="008104FB" w:rsidRPr="00093767">
        <w:t xml:space="preserve">eview </w:t>
      </w:r>
      <w:r w:rsidR="008104FB">
        <w:t>P</w:t>
      </w:r>
      <w:r w:rsidR="008104FB" w:rsidRPr="00093767">
        <w:t>rogram</w:t>
      </w:r>
    </w:p>
    <w:p w14:paraId="75828E85" w14:textId="45629FF3" w:rsidR="00B66443" w:rsidRDefault="00B66443" w:rsidP="00B66443">
      <w:r>
        <w:t xml:space="preserve">As noted above, there are multiple pathways of the PRP that a </w:t>
      </w:r>
      <w:r w:rsidR="00F2109E">
        <w:t>provider</w:t>
      </w:r>
      <w:r>
        <w:t xml:space="preserve"> might go through, and multiple points where they might be referred to the PSR or the case closed out. </w:t>
      </w:r>
    </w:p>
    <w:p w14:paraId="2CA278E8" w14:textId="61D36693" w:rsidR="00B66443" w:rsidRDefault="00E63A01" w:rsidP="00B66443">
      <w:r>
        <w:lastRenderedPageBreak/>
        <w:fldChar w:fldCharType="begin"/>
      </w:r>
      <w:r>
        <w:instrText xml:space="preserve"> REF _Ref128662094 \r \h </w:instrText>
      </w:r>
      <w:r>
        <w:fldChar w:fldCharType="separate"/>
      </w:r>
      <w:r w:rsidR="005A1647">
        <w:t>Figure 2.8</w:t>
      </w:r>
      <w:r>
        <w:fldChar w:fldCharType="end"/>
      </w:r>
      <w:r w:rsidR="00B66443">
        <w:t xml:space="preserve"> provides an estimate of a timeframe for review processes based on consultation with </w:t>
      </w:r>
      <w:proofErr w:type="spellStart"/>
      <w:r w:rsidR="00B66443">
        <w:t>D</w:t>
      </w:r>
      <w:r w:rsidR="008F6FF5">
        <w:t>o</w:t>
      </w:r>
      <w:r w:rsidR="00B66443">
        <w:t>HAC</w:t>
      </w:r>
      <w:proofErr w:type="spellEnd"/>
      <w:r w:rsidR="00B66443">
        <w:t xml:space="preserve">. This assumes the full PRP process with progression to PSR, but </w:t>
      </w:r>
      <w:r w:rsidR="00477FC0">
        <w:t xml:space="preserve">as </w:t>
      </w:r>
      <w:r w:rsidR="0062271D">
        <w:t>previously</w:t>
      </w:r>
      <w:r w:rsidR="00B66443">
        <w:t xml:space="preserve"> mentioned the progress through PRP to PSR or case closure can vary. </w:t>
      </w:r>
    </w:p>
    <w:p w14:paraId="060896B6" w14:textId="04F80393" w:rsidR="002657CF" w:rsidRDefault="002657CF" w:rsidP="00940D39">
      <w:pPr>
        <w:pStyle w:val="CaptionFigure"/>
      </w:pPr>
      <w:bookmarkStart w:id="140" w:name="_Ref128662094"/>
      <w:bookmarkStart w:id="141" w:name="_Toc131418627"/>
      <w:r>
        <w:t xml:space="preserve">: </w:t>
      </w:r>
      <w:bookmarkEnd w:id="140"/>
      <w:r w:rsidR="0041701E">
        <w:t xml:space="preserve">Timeframe of </w:t>
      </w:r>
      <w:r w:rsidR="008B7100">
        <w:t xml:space="preserve">PRP </w:t>
      </w:r>
      <w:r w:rsidR="008027D4">
        <w:t xml:space="preserve">to PSR </w:t>
      </w:r>
      <w:r w:rsidR="0041701E">
        <w:t>review processes</w:t>
      </w:r>
      <w:bookmarkEnd w:id="141"/>
      <w:r w:rsidR="0041701E">
        <w:t xml:space="preserve"> </w:t>
      </w:r>
    </w:p>
    <w:p w14:paraId="10DDAD40" w14:textId="58875BF8" w:rsidR="00B66443" w:rsidRDefault="00723B0F" w:rsidP="00B66443">
      <w:r>
        <w:rPr>
          <w:noProof/>
        </w:rPr>
        <w:drawing>
          <wp:inline distT="0" distB="0" distL="0" distR="0" wp14:anchorId="0D924ABA" wp14:editId="22E5D7FE">
            <wp:extent cx="6684126" cy="1319881"/>
            <wp:effectExtent l="0" t="0" r="2540" b="0"/>
            <wp:docPr id="21549" name="Picture 21549" descr="Figure 2.8 is a diagram showing the timeframe for PRP cases to progress to PSR in the instance that a 6 month period of review is offered to the practitioner. The process from PRP start (excluding identification time) to the Delegate queue is shown as 15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9" name="Picture 21549" descr="Figure 2.8 is a diagram showing the timeframe for PRP cases to progress to PSR in the instance that a 6 month period of review is offered to the practitioner. The process from PRP start (excluding identification time) to the Delegate queue is shown as 15 month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14058" cy="1325792"/>
                    </a:xfrm>
                    <a:prstGeom prst="rect">
                      <a:avLst/>
                    </a:prstGeom>
                    <a:noFill/>
                  </pic:spPr>
                </pic:pic>
              </a:graphicData>
            </a:graphic>
          </wp:inline>
        </w:drawing>
      </w:r>
    </w:p>
    <w:p w14:paraId="234C2AEC" w14:textId="04757E11" w:rsidR="00B66443" w:rsidRDefault="00B66443" w:rsidP="009F50BF">
      <w:pPr>
        <w:pStyle w:val="Caption"/>
      </w:pPr>
      <w:r>
        <w:t xml:space="preserve">Source: </w:t>
      </w:r>
      <w:r w:rsidR="009F50BF">
        <w:t>Philip Review (2023)</w:t>
      </w:r>
    </w:p>
    <w:p w14:paraId="3C175BD4" w14:textId="2A721191" w:rsidR="00B66443" w:rsidRDefault="00B66443" w:rsidP="00B66443">
      <w:r>
        <w:t>It is important to note that this is the timeline from the point of the case progressing t</w:t>
      </w:r>
      <w:r w:rsidR="009D2F6A">
        <w:t>hrough</w:t>
      </w:r>
      <w:r>
        <w:t xml:space="preserve"> the PRP. </w:t>
      </w:r>
      <w:r w:rsidR="00265E0F">
        <w:t>Before</w:t>
      </w:r>
      <w:r>
        <w:t xml:space="preserve"> the PRP, there </w:t>
      </w:r>
      <w:r w:rsidR="00265E0F">
        <w:t>are</w:t>
      </w:r>
      <w:r>
        <w:t xml:space="preserve"> also timeframes for identification and allocation to the PRP area which can vary significantly. </w:t>
      </w:r>
    </w:p>
    <w:p w14:paraId="672AA16A" w14:textId="4FDC0C9C" w:rsidR="00B66443" w:rsidRDefault="00B66443" w:rsidP="00940D39">
      <w:pPr>
        <w:pStyle w:val="Heading4"/>
      </w:pPr>
      <w:r>
        <w:t xml:space="preserve">Case </w:t>
      </w:r>
      <w:r w:rsidR="00FF79D5">
        <w:t>a</w:t>
      </w:r>
      <w:r>
        <w:t xml:space="preserve">ctivity </w:t>
      </w:r>
      <w:r w:rsidR="00FF79D5">
        <w:t>d</w:t>
      </w:r>
      <w:r>
        <w:t xml:space="preserve">ata from the </w:t>
      </w:r>
      <w:r w:rsidR="008104FB" w:rsidRPr="00093767">
        <w:t xml:space="preserve">Practitioner </w:t>
      </w:r>
      <w:r w:rsidR="008104FB">
        <w:t>R</w:t>
      </w:r>
      <w:r w:rsidR="008104FB" w:rsidRPr="00093767">
        <w:t xml:space="preserve">eview </w:t>
      </w:r>
      <w:r w:rsidR="008104FB">
        <w:t>P</w:t>
      </w:r>
      <w:r w:rsidR="008104FB" w:rsidRPr="00093767">
        <w:t>rogram</w:t>
      </w:r>
    </w:p>
    <w:p w14:paraId="697F51B2" w14:textId="20EF3DFF" w:rsidR="00B66443" w:rsidRDefault="00B66443" w:rsidP="00B66443">
      <w:r>
        <w:t xml:space="preserve">The following activity data for the PRP has been provided by </w:t>
      </w:r>
      <w:proofErr w:type="spellStart"/>
      <w:r w:rsidR="000A014E">
        <w:t>DoHAC</w:t>
      </w:r>
      <w:proofErr w:type="spellEnd"/>
      <w:r w:rsidR="000A014E">
        <w:t xml:space="preserve"> for the Review</w:t>
      </w:r>
      <w:r>
        <w:t xml:space="preserve"> (</w:t>
      </w:r>
      <w:r w:rsidR="0029694E">
        <w:t xml:space="preserve">see </w:t>
      </w:r>
      <w:r w:rsidR="0029694E">
        <w:fldChar w:fldCharType="begin"/>
      </w:r>
      <w:r w:rsidR="0029694E">
        <w:instrText xml:space="preserve"> REF _Ref128662169 \r \h </w:instrText>
      </w:r>
      <w:r w:rsidR="0029694E">
        <w:fldChar w:fldCharType="separate"/>
      </w:r>
      <w:r w:rsidR="005A1647">
        <w:t>Table 2.7</w:t>
      </w:r>
      <w:r w:rsidR="0029694E">
        <w:fldChar w:fldCharType="end"/>
      </w:r>
      <w:r>
        <w:t xml:space="preserve">). </w:t>
      </w:r>
    </w:p>
    <w:p w14:paraId="546E12F9" w14:textId="75E4A732" w:rsidR="00B66443" w:rsidRPr="007F00BE" w:rsidRDefault="00831D6D" w:rsidP="00940D39">
      <w:pPr>
        <w:pStyle w:val="CaptionTable"/>
        <w:ind w:left="0"/>
        <w:rPr>
          <w:rFonts w:eastAsia="Calibri" w:cs="OpenSansRegular"/>
          <w:sz w:val="24"/>
          <w:szCs w:val="24"/>
        </w:rPr>
      </w:pPr>
      <w:bookmarkStart w:id="142" w:name="_Ref128662169"/>
      <w:bookmarkStart w:id="143" w:name="_Toc131418577"/>
      <w:r w:rsidRPr="007F00BE">
        <w:rPr>
          <w:rFonts w:eastAsia="Calibri" w:cs="OpenSansRegular"/>
        </w:rPr>
        <w:t xml:space="preserve">: </w:t>
      </w:r>
      <w:r w:rsidR="00B66443" w:rsidRPr="007F00BE">
        <w:rPr>
          <w:rFonts w:eastAsia="Calibri" w:cs="OpenSansRegular"/>
        </w:rPr>
        <w:t>PRP case activity</w:t>
      </w:r>
      <w:bookmarkEnd w:id="142"/>
      <w:bookmarkEnd w:id="143"/>
    </w:p>
    <w:tbl>
      <w:tblPr>
        <w:tblStyle w:val="Deloittetable"/>
        <w:tblW w:w="5000" w:type="pct"/>
        <w:tblLook w:val="04A0" w:firstRow="1" w:lastRow="0" w:firstColumn="1" w:lastColumn="0" w:noHBand="0" w:noVBand="1"/>
      </w:tblPr>
      <w:tblGrid>
        <w:gridCol w:w="1416"/>
        <w:gridCol w:w="1808"/>
        <w:gridCol w:w="1811"/>
        <w:gridCol w:w="1809"/>
        <w:gridCol w:w="1811"/>
        <w:gridCol w:w="1811"/>
      </w:tblGrid>
      <w:tr w:rsidR="00B66443" w:rsidRPr="00405174" w14:paraId="4457696F" w14:textId="77777777" w:rsidTr="00EF2981">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24" w:space="0" w:color="005587"/>
            </w:tcBorders>
          </w:tcPr>
          <w:p w14:paraId="1DDAB738" w14:textId="77777777" w:rsidR="00B66443" w:rsidRPr="00405174" w:rsidRDefault="00B66443" w:rsidP="00405174"/>
        </w:tc>
        <w:tc>
          <w:tcPr>
            <w:tcW w:w="0" w:type="pct"/>
            <w:tcBorders>
              <w:top w:val="single" w:sz="24" w:space="0" w:color="005587"/>
            </w:tcBorders>
            <w:hideMark/>
          </w:tcPr>
          <w:p w14:paraId="6AB3B43C" w14:textId="77777777" w:rsidR="00B66443" w:rsidRPr="00405174" w:rsidRDefault="00B66443" w:rsidP="00405174">
            <w:r w:rsidRPr="00405174">
              <w:t>PRP interviews</w:t>
            </w:r>
          </w:p>
        </w:tc>
        <w:tc>
          <w:tcPr>
            <w:tcW w:w="0" w:type="pct"/>
            <w:tcBorders>
              <w:top w:val="single" w:sz="24" w:space="0" w:color="005587"/>
            </w:tcBorders>
            <w:hideMark/>
          </w:tcPr>
          <w:p w14:paraId="0B165A49" w14:textId="77777777" w:rsidR="00B66443" w:rsidRPr="00405174" w:rsidRDefault="00B66443" w:rsidP="00405174">
            <w:r w:rsidRPr="00405174">
              <w:t>Closed after interview</w:t>
            </w:r>
          </w:p>
        </w:tc>
        <w:tc>
          <w:tcPr>
            <w:tcW w:w="0" w:type="pct"/>
            <w:tcBorders>
              <w:top w:val="single" w:sz="24" w:space="0" w:color="005587"/>
            </w:tcBorders>
            <w:hideMark/>
          </w:tcPr>
          <w:p w14:paraId="739258FD" w14:textId="77777777" w:rsidR="00B66443" w:rsidRPr="00405174" w:rsidRDefault="00B66443" w:rsidP="00405174">
            <w:r w:rsidRPr="00405174">
              <w:t>Closed after 6-month review</w:t>
            </w:r>
          </w:p>
        </w:tc>
        <w:tc>
          <w:tcPr>
            <w:tcW w:w="0" w:type="pct"/>
            <w:tcBorders>
              <w:top w:val="single" w:sz="24" w:space="0" w:color="005587"/>
            </w:tcBorders>
            <w:hideMark/>
          </w:tcPr>
          <w:p w14:paraId="506CE423" w14:textId="77777777" w:rsidR="00B66443" w:rsidRPr="00405174" w:rsidRDefault="00B66443" w:rsidP="00405174">
            <w:r w:rsidRPr="00405174">
              <w:t>Closed after delegate review</w:t>
            </w:r>
          </w:p>
        </w:tc>
        <w:tc>
          <w:tcPr>
            <w:tcW w:w="0" w:type="pct"/>
            <w:tcBorders>
              <w:top w:val="single" w:sz="24" w:space="0" w:color="005587"/>
            </w:tcBorders>
            <w:hideMark/>
          </w:tcPr>
          <w:p w14:paraId="7C78E0DD" w14:textId="77777777" w:rsidR="00B66443" w:rsidRPr="00405174" w:rsidRDefault="00B66443" w:rsidP="00405174">
            <w:r w:rsidRPr="00405174">
              <w:t>Requests to PSR</w:t>
            </w:r>
          </w:p>
        </w:tc>
      </w:tr>
      <w:tr w:rsidR="00B66443" w:rsidRPr="00FA2909" w14:paraId="4A9AD194" w14:textId="77777777" w:rsidTr="00A61175">
        <w:tc>
          <w:tcPr>
            <w:tcW w:w="677" w:type="pct"/>
            <w:hideMark/>
          </w:tcPr>
          <w:p w14:paraId="68749792" w14:textId="47DCA01A" w:rsidR="00B66443" w:rsidRPr="00A61175" w:rsidRDefault="00B66443" w:rsidP="009B778A">
            <w:pPr>
              <w:pStyle w:val="TabletextLeft"/>
              <w:rPr>
                <w:rFonts w:eastAsia="Calibri"/>
                <w:b/>
                <w:lang w:eastAsia="en-AU"/>
              </w:rPr>
            </w:pPr>
            <w:r w:rsidRPr="00A61175">
              <w:rPr>
                <w:rFonts w:eastAsia="Calibri"/>
                <w:b/>
                <w:lang w:eastAsia="en-AU"/>
              </w:rPr>
              <w:t>2019</w:t>
            </w:r>
            <w:r w:rsidR="00CA6D48">
              <w:t>–</w:t>
            </w:r>
            <w:r w:rsidRPr="00A61175">
              <w:rPr>
                <w:rFonts w:eastAsia="Calibri"/>
                <w:b/>
                <w:lang w:eastAsia="en-AU"/>
              </w:rPr>
              <w:t>20</w:t>
            </w:r>
          </w:p>
        </w:tc>
        <w:tc>
          <w:tcPr>
            <w:tcW w:w="864" w:type="pct"/>
            <w:hideMark/>
          </w:tcPr>
          <w:p w14:paraId="5BE7AA7B" w14:textId="77777777" w:rsidR="00B66443" w:rsidRPr="007B0267" w:rsidRDefault="00B66443" w:rsidP="009B778A">
            <w:pPr>
              <w:pStyle w:val="TabletextLeft"/>
              <w:rPr>
                <w:rFonts w:eastAsia="Calibri"/>
                <w:lang w:eastAsia="en-AU"/>
              </w:rPr>
            </w:pPr>
            <w:r w:rsidRPr="007B0267">
              <w:rPr>
                <w:rFonts w:eastAsia="Calibri"/>
                <w:lang w:eastAsia="en-AU"/>
              </w:rPr>
              <w:t>403</w:t>
            </w:r>
          </w:p>
        </w:tc>
        <w:tc>
          <w:tcPr>
            <w:tcW w:w="865" w:type="pct"/>
            <w:hideMark/>
          </w:tcPr>
          <w:p w14:paraId="618426D8" w14:textId="77777777" w:rsidR="00B66443" w:rsidRPr="007B0267" w:rsidRDefault="00B66443" w:rsidP="009B778A">
            <w:pPr>
              <w:pStyle w:val="TabletextLeft"/>
              <w:rPr>
                <w:rFonts w:eastAsia="Calibri"/>
                <w:lang w:eastAsia="en-AU"/>
              </w:rPr>
            </w:pPr>
            <w:r w:rsidRPr="007B0267">
              <w:rPr>
                <w:rFonts w:eastAsia="Calibri"/>
                <w:lang w:eastAsia="en-AU"/>
              </w:rPr>
              <w:t>48</w:t>
            </w:r>
          </w:p>
        </w:tc>
        <w:tc>
          <w:tcPr>
            <w:tcW w:w="864" w:type="pct"/>
            <w:hideMark/>
          </w:tcPr>
          <w:p w14:paraId="25D31778" w14:textId="77777777" w:rsidR="00B66443" w:rsidRPr="007B0267" w:rsidRDefault="00B66443" w:rsidP="009B778A">
            <w:pPr>
              <w:pStyle w:val="TabletextLeft"/>
              <w:rPr>
                <w:rFonts w:eastAsia="Calibri"/>
                <w:lang w:eastAsia="en-AU"/>
              </w:rPr>
            </w:pPr>
            <w:r w:rsidRPr="007B0267">
              <w:rPr>
                <w:rFonts w:eastAsia="Calibri"/>
                <w:lang w:eastAsia="en-AU"/>
              </w:rPr>
              <w:t>392</w:t>
            </w:r>
          </w:p>
        </w:tc>
        <w:tc>
          <w:tcPr>
            <w:tcW w:w="865" w:type="pct"/>
            <w:hideMark/>
          </w:tcPr>
          <w:p w14:paraId="2E3818C2" w14:textId="77777777" w:rsidR="00B66443" w:rsidRPr="007B0267" w:rsidRDefault="00B66443" w:rsidP="009B778A">
            <w:pPr>
              <w:pStyle w:val="TabletextLeft"/>
              <w:rPr>
                <w:rFonts w:eastAsia="Calibri"/>
                <w:lang w:eastAsia="en-AU"/>
              </w:rPr>
            </w:pPr>
            <w:r w:rsidRPr="007B0267">
              <w:rPr>
                <w:rFonts w:eastAsia="Calibri"/>
                <w:lang w:eastAsia="en-AU"/>
              </w:rPr>
              <w:t>14</w:t>
            </w:r>
          </w:p>
        </w:tc>
        <w:tc>
          <w:tcPr>
            <w:tcW w:w="865" w:type="pct"/>
            <w:hideMark/>
          </w:tcPr>
          <w:p w14:paraId="391A8CDD" w14:textId="77777777" w:rsidR="00B66443" w:rsidRPr="007B0267" w:rsidRDefault="00B66443" w:rsidP="009B778A">
            <w:pPr>
              <w:pStyle w:val="TabletextLeft"/>
              <w:rPr>
                <w:rFonts w:eastAsia="Calibri"/>
                <w:lang w:eastAsia="en-AU"/>
              </w:rPr>
            </w:pPr>
            <w:r w:rsidRPr="007B0267">
              <w:rPr>
                <w:rFonts w:eastAsia="Calibri"/>
                <w:lang w:eastAsia="en-AU"/>
              </w:rPr>
              <w:t>126</w:t>
            </w:r>
          </w:p>
        </w:tc>
      </w:tr>
      <w:tr w:rsidR="00B66443" w:rsidRPr="00FA2909" w14:paraId="7E9D1D0C" w14:textId="77777777" w:rsidTr="00A61175">
        <w:tc>
          <w:tcPr>
            <w:tcW w:w="677" w:type="pct"/>
            <w:hideMark/>
          </w:tcPr>
          <w:p w14:paraId="3066E5B2" w14:textId="75F6E0B4" w:rsidR="00B66443" w:rsidRPr="00A61175" w:rsidRDefault="00B66443" w:rsidP="009B778A">
            <w:pPr>
              <w:pStyle w:val="TabletextLeft"/>
              <w:rPr>
                <w:rFonts w:eastAsia="Calibri"/>
                <w:b/>
                <w:lang w:eastAsia="en-AU"/>
              </w:rPr>
            </w:pPr>
            <w:r w:rsidRPr="00A61175">
              <w:rPr>
                <w:rFonts w:eastAsia="Calibri"/>
                <w:b/>
                <w:lang w:eastAsia="en-AU"/>
              </w:rPr>
              <w:t>2020</w:t>
            </w:r>
            <w:r w:rsidR="00CA6D48">
              <w:t>–</w:t>
            </w:r>
            <w:r w:rsidRPr="00A61175">
              <w:rPr>
                <w:rFonts w:eastAsia="Calibri"/>
                <w:b/>
                <w:lang w:eastAsia="en-AU"/>
              </w:rPr>
              <w:t>21</w:t>
            </w:r>
          </w:p>
        </w:tc>
        <w:tc>
          <w:tcPr>
            <w:tcW w:w="864" w:type="pct"/>
            <w:hideMark/>
          </w:tcPr>
          <w:p w14:paraId="7686A9B7" w14:textId="77777777" w:rsidR="00B66443" w:rsidRPr="007B0267" w:rsidRDefault="00B66443" w:rsidP="009B778A">
            <w:pPr>
              <w:pStyle w:val="TabletextLeft"/>
              <w:rPr>
                <w:rFonts w:eastAsia="Calibri"/>
                <w:lang w:eastAsia="en-AU"/>
              </w:rPr>
            </w:pPr>
            <w:r w:rsidRPr="007B0267">
              <w:rPr>
                <w:rFonts w:eastAsia="Calibri"/>
                <w:lang w:eastAsia="en-AU"/>
              </w:rPr>
              <w:t>351</w:t>
            </w:r>
          </w:p>
        </w:tc>
        <w:tc>
          <w:tcPr>
            <w:tcW w:w="865" w:type="pct"/>
            <w:hideMark/>
          </w:tcPr>
          <w:p w14:paraId="2729B955" w14:textId="77777777" w:rsidR="00B66443" w:rsidRPr="007B0267" w:rsidRDefault="00B66443" w:rsidP="009B778A">
            <w:pPr>
              <w:pStyle w:val="TabletextLeft"/>
              <w:rPr>
                <w:rFonts w:eastAsia="Calibri"/>
                <w:lang w:eastAsia="en-AU"/>
              </w:rPr>
            </w:pPr>
            <w:r w:rsidRPr="007B0267">
              <w:rPr>
                <w:rFonts w:eastAsia="Calibri"/>
                <w:lang w:eastAsia="en-AU"/>
              </w:rPr>
              <w:t>17</w:t>
            </w:r>
          </w:p>
        </w:tc>
        <w:tc>
          <w:tcPr>
            <w:tcW w:w="864" w:type="pct"/>
            <w:hideMark/>
          </w:tcPr>
          <w:p w14:paraId="06B7C26E" w14:textId="77777777" w:rsidR="00B66443" w:rsidRPr="007B0267" w:rsidRDefault="00B66443" w:rsidP="009B778A">
            <w:pPr>
              <w:pStyle w:val="TabletextLeft"/>
              <w:rPr>
                <w:rFonts w:eastAsia="Calibri"/>
                <w:lang w:eastAsia="en-AU"/>
              </w:rPr>
            </w:pPr>
            <w:r w:rsidRPr="007B0267">
              <w:rPr>
                <w:rFonts w:eastAsia="Calibri"/>
                <w:lang w:eastAsia="en-AU"/>
              </w:rPr>
              <w:t>180</w:t>
            </w:r>
          </w:p>
        </w:tc>
        <w:tc>
          <w:tcPr>
            <w:tcW w:w="865" w:type="pct"/>
            <w:hideMark/>
          </w:tcPr>
          <w:p w14:paraId="52AAB38D" w14:textId="77777777" w:rsidR="00B66443" w:rsidRPr="007B0267" w:rsidRDefault="00B66443" w:rsidP="009B778A">
            <w:pPr>
              <w:pStyle w:val="TabletextLeft"/>
              <w:rPr>
                <w:rFonts w:eastAsia="Calibri"/>
                <w:lang w:eastAsia="en-AU"/>
              </w:rPr>
            </w:pPr>
            <w:r w:rsidRPr="007B0267">
              <w:rPr>
                <w:rFonts w:eastAsia="Calibri"/>
                <w:lang w:eastAsia="en-AU"/>
              </w:rPr>
              <w:t>14</w:t>
            </w:r>
          </w:p>
        </w:tc>
        <w:tc>
          <w:tcPr>
            <w:tcW w:w="865" w:type="pct"/>
            <w:hideMark/>
          </w:tcPr>
          <w:p w14:paraId="79B70DE6" w14:textId="77777777" w:rsidR="00B66443" w:rsidRPr="007B0267" w:rsidRDefault="00B66443" w:rsidP="009B778A">
            <w:pPr>
              <w:pStyle w:val="TabletextLeft"/>
              <w:rPr>
                <w:rFonts w:eastAsia="Calibri"/>
                <w:lang w:eastAsia="en-AU"/>
              </w:rPr>
            </w:pPr>
            <w:r w:rsidRPr="007B0267">
              <w:rPr>
                <w:rFonts w:eastAsia="Calibri"/>
                <w:lang w:eastAsia="en-AU"/>
              </w:rPr>
              <w:t>72</w:t>
            </w:r>
          </w:p>
        </w:tc>
      </w:tr>
      <w:tr w:rsidR="00B66443" w:rsidRPr="00FA2909" w14:paraId="673F9B2D" w14:textId="77777777" w:rsidTr="00A61175">
        <w:tc>
          <w:tcPr>
            <w:tcW w:w="677" w:type="pct"/>
            <w:hideMark/>
          </w:tcPr>
          <w:p w14:paraId="6C705629" w14:textId="1B1762BD" w:rsidR="00B66443" w:rsidRPr="00A61175" w:rsidRDefault="00B66443" w:rsidP="009B778A">
            <w:pPr>
              <w:pStyle w:val="TabletextLeft"/>
              <w:rPr>
                <w:rFonts w:eastAsia="Calibri"/>
                <w:b/>
                <w:lang w:eastAsia="en-AU"/>
              </w:rPr>
            </w:pPr>
            <w:r w:rsidRPr="00A61175">
              <w:rPr>
                <w:rFonts w:eastAsia="Calibri"/>
                <w:b/>
                <w:lang w:eastAsia="en-AU"/>
              </w:rPr>
              <w:t>2021</w:t>
            </w:r>
            <w:r w:rsidR="00CA6D48">
              <w:t>–</w:t>
            </w:r>
            <w:r w:rsidRPr="00A61175">
              <w:rPr>
                <w:rFonts w:eastAsia="Calibri"/>
                <w:b/>
                <w:lang w:eastAsia="en-AU"/>
              </w:rPr>
              <w:t>22</w:t>
            </w:r>
          </w:p>
        </w:tc>
        <w:tc>
          <w:tcPr>
            <w:tcW w:w="864" w:type="pct"/>
            <w:hideMark/>
          </w:tcPr>
          <w:p w14:paraId="2CA64607" w14:textId="77777777" w:rsidR="00B66443" w:rsidRPr="007B0267" w:rsidRDefault="00B66443" w:rsidP="009B778A">
            <w:pPr>
              <w:pStyle w:val="TabletextLeft"/>
              <w:rPr>
                <w:rFonts w:eastAsia="Calibri"/>
                <w:lang w:eastAsia="en-AU"/>
              </w:rPr>
            </w:pPr>
            <w:r w:rsidRPr="007B0267">
              <w:rPr>
                <w:rFonts w:eastAsia="Calibri"/>
                <w:lang w:eastAsia="en-AU"/>
              </w:rPr>
              <w:t>287</w:t>
            </w:r>
          </w:p>
        </w:tc>
        <w:tc>
          <w:tcPr>
            <w:tcW w:w="865" w:type="pct"/>
            <w:hideMark/>
          </w:tcPr>
          <w:p w14:paraId="01D93A03" w14:textId="77777777" w:rsidR="00B66443" w:rsidRPr="007B0267" w:rsidRDefault="00B66443" w:rsidP="009B778A">
            <w:pPr>
              <w:pStyle w:val="TabletextLeft"/>
              <w:rPr>
                <w:rFonts w:eastAsia="Calibri"/>
                <w:lang w:eastAsia="en-AU"/>
              </w:rPr>
            </w:pPr>
            <w:r w:rsidRPr="007B0267">
              <w:rPr>
                <w:rFonts w:eastAsia="Calibri"/>
                <w:lang w:eastAsia="en-AU"/>
              </w:rPr>
              <w:t>16</w:t>
            </w:r>
          </w:p>
        </w:tc>
        <w:tc>
          <w:tcPr>
            <w:tcW w:w="864" w:type="pct"/>
            <w:hideMark/>
          </w:tcPr>
          <w:p w14:paraId="059332CD" w14:textId="77777777" w:rsidR="00B66443" w:rsidRPr="007B0267" w:rsidRDefault="00B66443" w:rsidP="009B778A">
            <w:pPr>
              <w:pStyle w:val="TabletextLeft"/>
              <w:rPr>
                <w:rFonts w:eastAsia="Calibri"/>
                <w:lang w:eastAsia="en-AU"/>
              </w:rPr>
            </w:pPr>
            <w:r w:rsidRPr="007B0267">
              <w:rPr>
                <w:rFonts w:eastAsia="Calibri"/>
                <w:lang w:eastAsia="en-AU"/>
              </w:rPr>
              <w:t>256</w:t>
            </w:r>
          </w:p>
        </w:tc>
        <w:tc>
          <w:tcPr>
            <w:tcW w:w="865" w:type="pct"/>
            <w:hideMark/>
          </w:tcPr>
          <w:p w14:paraId="7B108E4E" w14:textId="77777777" w:rsidR="00B66443" w:rsidRPr="007B0267" w:rsidRDefault="00B66443" w:rsidP="009B778A">
            <w:pPr>
              <w:pStyle w:val="TabletextLeft"/>
              <w:rPr>
                <w:rFonts w:eastAsia="Calibri"/>
                <w:lang w:eastAsia="en-AU"/>
              </w:rPr>
            </w:pPr>
            <w:r w:rsidRPr="007B0267">
              <w:rPr>
                <w:rFonts w:eastAsia="Calibri"/>
                <w:lang w:eastAsia="en-AU"/>
              </w:rPr>
              <w:t>8</w:t>
            </w:r>
          </w:p>
        </w:tc>
        <w:tc>
          <w:tcPr>
            <w:tcW w:w="865" w:type="pct"/>
            <w:hideMark/>
          </w:tcPr>
          <w:p w14:paraId="45304122" w14:textId="77777777" w:rsidR="00B66443" w:rsidRPr="007B0267" w:rsidRDefault="00B66443" w:rsidP="009B778A">
            <w:pPr>
              <w:pStyle w:val="TabletextLeft"/>
              <w:rPr>
                <w:rFonts w:eastAsia="Calibri"/>
                <w:lang w:eastAsia="en-AU"/>
              </w:rPr>
            </w:pPr>
            <w:r w:rsidRPr="007B0267">
              <w:rPr>
                <w:rFonts w:eastAsia="Calibri"/>
                <w:lang w:eastAsia="en-AU"/>
              </w:rPr>
              <w:t>108</w:t>
            </w:r>
          </w:p>
        </w:tc>
      </w:tr>
      <w:tr w:rsidR="00B66443" w:rsidRPr="00FA2909" w14:paraId="4AA31F1F" w14:textId="77777777" w:rsidTr="00A61175">
        <w:tc>
          <w:tcPr>
            <w:tcW w:w="677" w:type="pct"/>
            <w:hideMark/>
          </w:tcPr>
          <w:p w14:paraId="41FA2BD4" w14:textId="72600EEF" w:rsidR="00A61175" w:rsidRDefault="00B66443" w:rsidP="009B778A">
            <w:pPr>
              <w:pStyle w:val="TabletextLeft"/>
              <w:rPr>
                <w:rFonts w:eastAsia="Calibri"/>
                <w:b/>
                <w:bCs/>
                <w:lang w:eastAsia="en-AU"/>
              </w:rPr>
            </w:pPr>
            <w:r w:rsidRPr="00A61175">
              <w:rPr>
                <w:rFonts w:eastAsia="Calibri"/>
                <w:b/>
                <w:lang w:eastAsia="en-AU"/>
              </w:rPr>
              <w:t>2022</w:t>
            </w:r>
            <w:r w:rsidR="00CA6D48">
              <w:t>–</w:t>
            </w:r>
            <w:r w:rsidRPr="00A61175">
              <w:rPr>
                <w:rFonts w:eastAsia="Calibri"/>
                <w:b/>
                <w:lang w:eastAsia="en-AU"/>
              </w:rPr>
              <w:t>23</w:t>
            </w:r>
          </w:p>
          <w:p w14:paraId="0E3107C9" w14:textId="0867D74E" w:rsidR="00B66443" w:rsidRPr="00A61175" w:rsidRDefault="00B66443" w:rsidP="009B778A">
            <w:pPr>
              <w:pStyle w:val="TabletextLeft"/>
              <w:rPr>
                <w:rFonts w:eastAsia="Calibri"/>
                <w:b/>
                <w:lang w:eastAsia="en-AU"/>
              </w:rPr>
            </w:pPr>
            <w:r w:rsidRPr="00A61175">
              <w:rPr>
                <w:rFonts w:eastAsia="Calibri"/>
                <w:b/>
                <w:bCs/>
                <w:lang w:eastAsia="en-AU"/>
              </w:rPr>
              <w:t>(</w:t>
            </w:r>
            <w:r w:rsidR="00861847">
              <w:rPr>
                <w:rFonts w:eastAsia="Calibri"/>
                <w:b/>
                <w:bCs/>
                <w:lang w:eastAsia="en-AU"/>
              </w:rPr>
              <w:t>T</w:t>
            </w:r>
            <w:r w:rsidRPr="00A61175">
              <w:rPr>
                <w:rFonts w:eastAsia="Calibri"/>
                <w:b/>
                <w:bCs/>
                <w:lang w:eastAsia="en-AU"/>
              </w:rPr>
              <w:t>ill</w:t>
            </w:r>
            <w:r w:rsidRPr="00A61175">
              <w:rPr>
                <w:rFonts w:eastAsia="Calibri"/>
                <w:b/>
                <w:lang w:eastAsia="en-AU"/>
              </w:rPr>
              <w:t xml:space="preserve"> Dec 202</w:t>
            </w:r>
            <w:r w:rsidR="00224FC1">
              <w:rPr>
                <w:rFonts w:eastAsia="Calibri"/>
                <w:b/>
                <w:lang w:eastAsia="en-AU"/>
              </w:rPr>
              <w:t>2</w:t>
            </w:r>
            <w:r w:rsidRPr="00A61175">
              <w:rPr>
                <w:rFonts w:eastAsia="Calibri"/>
                <w:b/>
                <w:lang w:eastAsia="en-AU"/>
              </w:rPr>
              <w:t>)</w:t>
            </w:r>
          </w:p>
        </w:tc>
        <w:tc>
          <w:tcPr>
            <w:tcW w:w="864" w:type="pct"/>
            <w:hideMark/>
          </w:tcPr>
          <w:p w14:paraId="0A0455DB" w14:textId="77777777" w:rsidR="00B66443" w:rsidRPr="007B0267" w:rsidRDefault="00B66443" w:rsidP="009B778A">
            <w:pPr>
              <w:pStyle w:val="TabletextLeft"/>
              <w:rPr>
                <w:rFonts w:eastAsia="Calibri"/>
                <w:lang w:eastAsia="en-AU"/>
              </w:rPr>
            </w:pPr>
            <w:r w:rsidRPr="007B0267">
              <w:rPr>
                <w:rFonts w:eastAsia="Calibri"/>
                <w:lang w:eastAsia="en-AU"/>
              </w:rPr>
              <w:t>130</w:t>
            </w:r>
          </w:p>
        </w:tc>
        <w:tc>
          <w:tcPr>
            <w:tcW w:w="865" w:type="pct"/>
            <w:hideMark/>
          </w:tcPr>
          <w:p w14:paraId="635E6FFF" w14:textId="77777777" w:rsidR="00B66443" w:rsidRPr="007B0267" w:rsidRDefault="00B66443" w:rsidP="009B778A">
            <w:pPr>
              <w:pStyle w:val="TabletextLeft"/>
              <w:rPr>
                <w:rFonts w:eastAsia="Calibri"/>
                <w:lang w:eastAsia="en-AU"/>
              </w:rPr>
            </w:pPr>
            <w:r w:rsidRPr="007B0267">
              <w:rPr>
                <w:rFonts w:eastAsia="Calibri"/>
                <w:lang w:eastAsia="en-AU"/>
              </w:rPr>
              <w:t>4</w:t>
            </w:r>
          </w:p>
        </w:tc>
        <w:tc>
          <w:tcPr>
            <w:tcW w:w="864" w:type="pct"/>
            <w:hideMark/>
          </w:tcPr>
          <w:p w14:paraId="38FB87BE" w14:textId="77777777" w:rsidR="00B66443" w:rsidRPr="007B0267" w:rsidRDefault="00B66443" w:rsidP="009B778A">
            <w:pPr>
              <w:pStyle w:val="TabletextLeft"/>
              <w:rPr>
                <w:rFonts w:eastAsia="Calibri"/>
                <w:lang w:eastAsia="en-AU"/>
              </w:rPr>
            </w:pPr>
            <w:r w:rsidRPr="007B0267">
              <w:rPr>
                <w:rFonts w:eastAsia="Calibri"/>
                <w:lang w:eastAsia="en-AU"/>
              </w:rPr>
              <w:t>70</w:t>
            </w:r>
          </w:p>
        </w:tc>
        <w:tc>
          <w:tcPr>
            <w:tcW w:w="865" w:type="pct"/>
            <w:hideMark/>
          </w:tcPr>
          <w:p w14:paraId="24935267" w14:textId="77777777" w:rsidR="00B66443" w:rsidRPr="007B0267" w:rsidRDefault="00B66443" w:rsidP="009B778A">
            <w:pPr>
              <w:pStyle w:val="TabletextLeft"/>
              <w:rPr>
                <w:rFonts w:eastAsia="Calibri"/>
                <w:lang w:eastAsia="en-AU"/>
              </w:rPr>
            </w:pPr>
            <w:r w:rsidRPr="007B0267">
              <w:rPr>
                <w:rFonts w:eastAsia="Calibri"/>
                <w:lang w:eastAsia="en-AU"/>
              </w:rPr>
              <w:t>4</w:t>
            </w:r>
          </w:p>
        </w:tc>
        <w:tc>
          <w:tcPr>
            <w:tcW w:w="865" w:type="pct"/>
            <w:hideMark/>
          </w:tcPr>
          <w:p w14:paraId="42CCECBE" w14:textId="77777777" w:rsidR="00B66443" w:rsidRPr="007B0267" w:rsidRDefault="00B66443" w:rsidP="009B778A">
            <w:pPr>
              <w:pStyle w:val="TabletextLeft"/>
              <w:rPr>
                <w:rFonts w:eastAsia="Calibri"/>
                <w:lang w:eastAsia="en-AU"/>
              </w:rPr>
            </w:pPr>
            <w:r w:rsidRPr="007B0267">
              <w:rPr>
                <w:rFonts w:eastAsia="Calibri"/>
                <w:lang w:eastAsia="en-AU"/>
              </w:rPr>
              <w:t>53</w:t>
            </w:r>
          </w:p>
        </w:tc>
      </w:tr>
    </w:tbl>
    <w:p w14:paraId="6EEDC9E4" w14:textId="364873C0" w:rsidR="00B66443" w:rsidRDefault="00B66443" w:rsidP="009B778A">
      <w:pPr>
        <w:pStyle w:val="Caption"/>
      </w:pPr>
      <w:r>
        <w:t xml:space="preserve">Source: </w:t>
      </w:r>
      <w:r w:rsidR="007F00BE">
        <w:t xml:space="preserve">Philip Review (2023) using </w:t>
      </w:r>
      <w:proofErr w:type="spellStart"/>
      <w:r w:rsidR="00F730DF">
        <w:t>DoHAC</w:t>
      </w:r>
      <w:proofErr w:type="spellEnd"/>
      <w:r w:rsidR="00F730DF">
        <w:t xml:space="preserve"> (2023)</w:t>
      </w:r>
    </w:p>
    <w:p w14:paraId="2654A535" w14:textId="12BB7CE7" w:rsidR="00C57369" w:rsidRPr="00C57369" w:rsidRDefault="00C57369" w:rsidP="004A77D7">
      <w:r>
        <w:t>The data shows that</w:t>
      </w:r>
      <w:r w:rsidR="00FB55C7">
        <w:t xml:space="preserve"> very few of the </w:t>
      </w:r>
      <w:r w:rsidR="001B0487">
        <w:t>billing transactions in the Medicare system</w:t>
      </w:r>
      <w:r w:rsidR="00496E9C">
        <w:t xml:space="preserve"> are </w:t>
      </w:r>
      <w:r w:rsidR="00DE0FEC">
        <w:t>subject to</w:t>
      </w:r>
      <w:r w:rsidR="00D158C8">
        <w:t xml:space="preserve"> the PRP or PSR processes</w:t>
      </w:r>
      <w:r w:rsidR="00517FE5">
        <w:t xml:space="preserve">. Yet, there is a disproportionate amount of ‘fear’ of the PSR in the system. While regulators should, at one level, be feared, there are questions of process and </w:t>
      </w:r>
      <w:r w:rsidR="001E10EB">
        <w:t>fairness in the workings of the current system which</w:t>
      </w:r>
      <w:r w:rsidR="002C7311">
        <w:t xml:space="preserve"> unnecessarily drive ‘fear’ – namely, the lack of timeliness and </w:t>
      </w:r>
      <w:r w:rsidR="00D5316B">
        <w:t xml:space="preserve">the </w:t>
      </w:r>
      <w:r w:rsidR="002C7311">
        <w:t xml:space="preserve">administrative burden to comply </w:t>
      </w:r>
      <w:r w:rsidR="006916C4">
        <w:t>with</w:t>
      </w:r>
      <w:r w:rsidR="00675BA6">
        <w:t xml:space="preserve"> the</w:t>
      </w:r>
      <w:r w:rsidR="002C7311">
        <w:t xml:space="preserve"> system</w:t>
      </w:r>
      <w:r w:rsidR="00A13AB7">
        <w:t>.</w:t>
      </w:r>
    </w:p>
    <w:p w14:paraId="435A2CB6" w14:textId="2D57312A" w:rsidR="00B66443" w:rsidRDefault="00B66443" w:rsidP="00940D39">
      <w:pPr>
        <w:pStyle w:val="Heading4"/>
      </w:pPr>
      <w:r>
        <w:t xml:space="preserve">Comments on the </w:t>
      </w:r>
      <w:r w:rsidR="008104FB" w:rsidRPr="00093767">
        <w:t xml:space="preserve">Practitioner </w:t>
      </w:r>
      <w:r w:rsidR="008104FB">
        <w:t>R</w:t>
      </w:r>
      <w:r w:rsidR="008104FB" w:rsidRPr="00093767">
        <w:t xml:space="preserve">eview </w:t>
      </w:r>
      <w:r w:rsidR="008104FB">
        <w:t>P</w:t>
      </w:r>
      <w:r w:rsidR="008104FB" w:rsidRPr="00093767">
        <w:t>rogram</w:t>
      </w:r>
    </w:p>
    <w:p w14:paraId="7572173C" w14:textId="669BF886" w:rsidR="00B66443" w:rsidRDefault="00B66443" w:rsidP="00B66443">
      <w:r>
        <w:t>The PRP appears from review and consultation to be a detailed and medical advisor</w:t>
      </w:r>
      <w:r w:rsidR="00104199">
        <w:t>-</w:t>
      </w:r>
      <w:r>
        <w:t>led process that allows responses from practitioners and appropriate support and legal representation. It clearly plays an important role in reviewing the information available and connecting with practitioners to understand if compliance issues being raised are related to the unique demographic, geographic, or function of their practice rather than actual non-compliance. It is important to note that the PRP is considered to be an administrative process and no determinations of non-compliance or inappropriate practice are made as part of the process.</w:t>
      </w:r>
    </w:p>
    <w:p w14:paraId="34F23FD3" w14:textId="089A10F0" w:rsidR="00B66443" w:rsidRDefault="00B66443" w:rsidP="00B66443">
      <w:r>
        <w:t xml:space="preserve">There are a few issues identified in relation to non-compliant or ‘rorting’ behaviours which, while </w:t>
      </w:r>
      <w:r w:rsidR="00BE5CBD">
        <w:t xml:space="preserve">still representing </w:t>
      </w:r>
      <w:r>
        <w:t>a minority of cases, can have large financial implications.</w:t>
      </w:r>
    </w:p>
    <w:p w14:paraId="4C875233" w14:textId="2C68371C" w:rsidR="00B66443" w:rsidRPr="00D60895" w:rsidRDefault="00B66443" w:rsidP="00B66443">
      <w:r>
        <w:t xml:space="preserve">There is also a careful balance required in review and treatment pathways including the PRP in relation to ensuring there is enough time for practitioners to review findings, provide information, seek </w:t>
      </w:r>
      <w:r w:rsidR="00AF220C">
        <w:t>advice</w:t>
      </w:r>
      <w:r w:rsidR="004601C5">
        <w:t>,</w:t>
      </w:r>
      <w:r>
        <w:t xml:space="preserve"> and get legal representation if they require or desire. However, when considered in the context of the overarching timeframes of risk identification and treatment, in the current state the current process can mean practitioners are having to respond to issues related to claims made 6</w:t>
      </w:r>
      <w:r w:rsidR="000704A4">
        <w:t xml:space="preserve"> to</w:t>
      </w:r>
      <w:r w:rsidR="00E120BF">
        <w:t xml:space="preserve"> </w:t>
      </w:r>
      <w:r>
        <w:t xml:space="preserve">18 months </w:t>
      </w:r>
      <w:r w:rsidR="007961B4">
        <w:t>ago</w:t>
      </w:r>
      <w:r>
        <w:t>. In cases where errors are genuinely accidental, this can mean there is significant stress in reviewing a large number of claims and repayments are large.</w:t>
      </w:r>
      <w:r w:rsidR="00D413B1">
        <w:t xml:space="preserve"> </w:t>
      </w:r>
      <w:r w:rsidR="00AE7D35">
        <w:t>A</w:t>
      </w:r>
      <w:r>
        <w:t>ppropriate controls earlier in the process (including pre-claim</w:t>
      </w:r>
      <w:r w:rsidR="002A2F69">
        <w:t xml:space="preserve"> and</w:t>
      </w:r>
      <w:r>
        <w:t xml:space="preserve"> pre-payment) would mean that this would be highly unlikely</w:t>
      </w:r>
      <w:r w:rsidR="006F5A48">
        <w:t>.</w:t>
      </w:r>
      <w:r w:rsidR="00320FC8">
        <w:t xml:space="preserve"> </w:t>
      </w:r>
      <w:r w:rsidR="00320FC8">
        <w:lastRenderedPageBreak/>
        <w:t>I</w:t>
      </w:r>
      <w:r>
        <w:t xml:space="preserve">n the current system where there are insufficient early controls, this can have negative impacts on practitioners who may be unintentionally making errors due to the complexity of the system </w:t>
      </w:r>
      <w:r w:rsidR="00FA3E40">
        <w:t>as</w:t>
      </w:r>
      <w:r>
        <w:t xml:space="preserve"> previously</w:t>
      </w:r>
      <w:r w:rsidR="00FA3E40">
        <w:t xml:space="preserve"> discussed</w:t>
      </w:r>
      <w:r>
        <w:t xml:space="preserve">. </w:t>
      </w:r>
    </w:p>
    <w:p w14:paraId="7BB23A2D" w14:textId="30B34245" w:rsidR="00FE4BF7" w:rsidRPr="00FE4BF7" w:rsidRDefault="00BC4C81" w:rsidP="00940D39">
      <w:pPr>
        <w:pStyle w:val="Heading3"/>
      </w:pPr>
      <w:bookmarkStart w:id="144" w:name="_Toc128669075"/>
      <w:bookmarkStart w:id="145" w:name="_Toc128905531"/>
      <w:bookmarkStart w:id="146" w:name="_Toc128907024"/>
      <w:bookmarkStart w:id="147" w:name="_Toc128909134"/>
      <w:r>
        <w:t xml:space="preserve">The Professional </w:t>
      </w:r>
      <w:r w:rsidR="003D1F13">
        <w:t>Service</w:t>
      </w:r>
      <w:r w:rsidR="009D2F6A">
        <w:t>s</w:t>
      </w:r>
      <w:r>
        <w:t xml:space="preserve"> Review</w:t>
      </w:r>
      <w:bookmarkEnd w:id="144"/>
      <w:bookmarkEnd w:id="145"/>
      <w:bookmarkEnd w:id="146"/>
      <w:bookmarkEnd w:id="147"/>
    </w:p>
    <w:p w14:paraId="447DD6BC" w14:textId="5EEB2A3E" w:rsidR="003D1F13" w:rsidRPr="00FE4BF7" w:rsidRDefault="00FF30E7" w:rsidP="00FE4BF7">
      <w:r w:rsidRPr="00FF30E7">
        <w:t xml:space="preserve">The PSR Scheme </w:t>
      </w:r>
      <w:r w:rsidR="00104199">
        <w:t>was</w:t>
      </w:r>
      <w:r w:rsidRPr="00FF30E7">
        <w:t xml:space="preserve"> introduced under Part VAA of the</w:t>
      </w:r>
      <w:r w:rsidRPr="00A42AAC">
        <w:rPr>
          <w:i/>
        </w:rPr>
        <w:t xml:space="preserve"> </w:t>
      </w:r>
      <w:r w:rsidR="005C6A4C" w:rsidRPr="007A7533">
        <w:rPr>
          <w:iCs/>
        </w:rPr>
        <w:t>HIA</w:t>
      </w:r>
      <w:r w:rsidRPr="00FF30E7">
        <w:t xml:space="preserve"> to protect the integrity of the Commonwealth-funded health benefits programs in Australia. The PSR is designed to review and investigate the provision of services by a practitioner or a corporate entity to determine if </w:t>
      </w:r>
      <w:r>
        <w:t xml:space="preserve">their </w:t>
      </w:r>
      <w:r w:rsidR="009B418E">
        <w:t>MBS claiming, PBS prescribing and CDBS claiming</w:t>
      </w:r>
      <w:r>
        <w:t xml:space="preserve"> is</w:t>
      </w:r>
      <w:r w:rsidRPr="00FF30E7">
        <w:t xml:space="preserve"> classed as inappropriate practice. The PSR was established in July 1994 as an </w:t>
      </w:r>
      <w:r w:rsidR="009D2F6A">
        <w:t>a</w:t>
      </w:r>
      <w:r w:rsidRPr="00FF30E7">
        <w:t xml:space="preserve">gency within the Health Portfolio to administer the PSR </w:t>
      </w:r>
      <w:r w:rsidR="005452EF">
        <w:t>S</w:t>
      </w:r>
      <w:r w:rsidRPr="00FF30E7">
        <w:t xml:space="preserve">cheme </w:t>
      </w:r>
      <w:r w:rsidR="00B31F03" w:rsidRPr="00FF30E7">
        <w:t>to</w:t>
      </w:r>
      <w:r w:rsidRPr="00FF30E7">
        <w:t xml:space="preserve"> safeguard the </w:t>
      </w:r>
      <w:r w:rsidR="00F72020">
        <w:t>MBS, PBS</w:t>
      </w:r>
      <w:r w:rsidRPr="00FF30E7">
        <w:t xml:space="preserve"> and </w:t>
      </w:r>
      <w:r w:rsidR="009D2F6A">
        <w:t>CDBS</w:t>
      </w:r>
      <w:r w:rsidRPr="00FF30E7">
        <w:t xml:space="preserve"> from inappropriate practice and the associated consequences</w:t>
      </w:r>
      <w:r>
        <w:t>.</w:t>
      </w:r>
    </w:p>
    <w:p w14:paraId="58770DAF" w14:textId="35B9743E" w:rsidR="009123DC" w:rsidRPr="0043575D" w:rsidRDefault="009123DC" w:rsidP="009123DC">
      <w:r w:rsidRPr="0043575D">
        <w:t xml:space="preserve">The PSR </w:t>
      </w:r>
      <w:r w:rsidR="00C27F79">
        <w:t>S</w:t>
      </w:r>
      <w:r w:rsidRPr="0043575D">
        <w:t>cheme defines the scope of inappropriate practice,</w:t>
      </w:r>
      <w:r w:rsidR="00323814">
        <w:t xml:space="preserve"> cla</w:t>
      </w:r>
      <w:r w:rsidR="00C05CF7">
        <w:t>rif</w:t>
      </w:r>
      <w:r w:rsidR="00102D11">
        <w:t>i</w:t>
      </w:r>
      <w:r w:rsidRPr="0043575D">
        <w:t xml:space="preserve">es the roles and power of the </w:t>
      </w:r>
      <w:r w:rsidR="001855BF" w:rsidRPr="0043575D">
        <w:t xml:space="preserve">PSR </w:t>
      </w:r>
      <w:r w:rsidR="009D2F6A">
        <w:t>a</w:t>
      </w:r>
      <w:r w:rsidR="001855BF" w:rsidRPr="0043575D">
        <w:t>gency and</w:t>
      </w:r>
      <w:r w:rsidRPr="0043575D">
        <w:t xml:space="preserve"> sets out the PSR review process. Through performing its statutory roles, PSR reduces the risks to patients and the community of inappropriate practice and prevents the Australian Government from having to meet the costs of </w:t>
      </w:r>
      <w:r w:rsidR="009D2F6A">
        <w:t>health</w:t>
      </w:r>
      <w:r w:rsidR="009D2F6A" w:rsidRPr="0043575D">
        <w:t xml:space="preserve"> </w:t>
      </w:r>
      <w:r w:rsidRPr="0043575D">
        <w:t>services because of inappropriate practice. The PSR delivers on these outcomes by:</w:t>
      </w:r>
      <w:r w:rsidRPr="0043575D">
        <w:rPr>
          <w:rStyle w:val="FootnoteReference"/>
        </w:rPr>
        <w:footnoteReference w:id="10"/>
      </w:r>
    </w:p>
    <w:p w14:paraId="6A54DE8B" w14:textId="77777777" w:rsidR="009123DC" w:rsidRPr="0043575D" w:rsidRDefault="009123DC" w:rsidP="00520404">
      <w:pPr>
        <w:pStyle w:val="ListBullet"/>
      </w:pPr>
      <w:r w:rsidRPr="0043575D">
        <w:t>Investigating whether the Commonwealth-funded health services are clinically relevant, and</w:t>
      </w:r>
    </w:p>
    <w:p w14:paraId="6A59FD9B" w14:textId="77777777" w:rsidR="007B5522" w:rsidRDefault="009123DC" w:rsidP="00520404">
      <w:pPr>
        <w:pStyle w:val="ListBullet"/>
      </w:pPr>
      <w:r w:rsidRPr="0043575D">
        <w:t xml:space="preserve">Investigating whether benefits are provided in accordance with the regulations of the </w:t>
      </w:r>
      <w:r>
        <w:t xml:space="preserve">relevant </w:t>
      </w:r>
      <w:r w:rsidRPr="0043575D">
        <w:t>health funding schemes.</w:t>
      </w:r>
    </w:p>
    <w:p w14:paraId="1C80A10A" w14:textId="1ADB4E5D" w:rsidR="00FE4BF7" w:rsidRPr="009B63A3" w:rsidRDefault="00FF53D3" w:rsidP="00940D39">
      <w:pPr>
        <w:pStyle w:val="Heading4"/>
      </w:pPr>
      <w:r>
        <w:t xml:space="preserve">Roles and structure of the </w:t>
      </w:r>
      <w:r w:rsidR="002E092C">
        <w:t>Professional Service Review</w:t>
      </w:r>
    </w:p>
    <w:p w14:paraId="056A3DBD" w14:textId="26AD4704" w:rsidR="00EC451B" w:rsidRPr="00B449AD" w:rsidRDefault="00EC451B" w:rsidP="00EC451B">
      <w:r>
        <w:t xml:space="preserve">The following figure outlines the structure of the PSR. </w:t>
      </w:r>
      <w:r w:rsidRPr="0043575D">
        <w:t xml:space="preserve">The key decision-makers of review, including the PSR Director, the PSR Panel, and the Determining Authority, are appointed by the Minister of Health after consultations with the Australian Medical Association (AMA) or other relevant professional bodies as stipulated in the </w:t>
      </w:r>
      <w:r w:rsidR="009D2F6A">
        <w:t>HIA</w:t>
      </w:r>
      <w:r w:rsidRPr="0043575D">
        <w:t>.</w:t>
      </w:r>
      <w:r w:rsidRPr="0043575D">
        <w:rPr>
          <w:rStyle w:val="FootnoteReference"/>
        </w:rPr>
        <w:footnoteReference w:id="11"/>
      </w:r>
    </w:p>
    <w:p w14:paraId="3722628D" w14:textId="22DADB60" w:rsidR="009B778A" w:rsidRDefault="009B778A" w:rsidP="00940D39">
      <w:pPr>
        <w:pStyle w:val="CaptionFigure"/>
      </w:pPr>
      <w:bookmarkStart w:id="148" w:name="_Toc131418628"/>
      <w:r>
        <w:t xml:space="preserve">: </w:t>
      </w:r>
      <w:r w:rsidRPr="008E5A6A">
        <w:t>Organisational</w:t>
      </w:r>
      <w:r w:rsidRPr="0043575D">
        <w:t xml:space="preserve"> structure of the PSR</w:t>
      </w:r>
      <w:bookmarkEnd w:id="148"/>
    </w:p>
    <w:p w14:paraId="57CF1EA7" w14:textId="4BD57C55" w:rsidR="00EC451B" w:rsidRPr="0043575D" w:rsidRDefault="007E21A4" w:rsidP="00EC451B">
      <w:pPr>
        <w:jc w:val="center"/>
      </w:pPr>
      <w:r>
        <w:rPr>
          <w:noProof/>
        </w:rPr>
        <w:drawing>
          <wp:inline distT="0" distB="0" distL="0" distR="0" wp14:anchorId="4A2D5201" wp14:editId="6CD69EEC">
            <wp:extent cx="6587948" cy="1452535"/>
            <wp:effectExtent l="0" t="0" r="3810" b="0"/>
            <wp:docPr id="11" name="Picture 11" descr="Figure 2.9 is a diagram showing organisational structure of PSR with Director at top, supported by Executive Officer/General Counsel. A number of other roles are also indicated, including Medical Officer, Special Counsels, and Chief Financia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9 is a diagram showing organisational structure of PSR with Director at top, supported by Executive Officer/General Counsel. A number of other roles are also indicated, including Medical Officer, Special Counsels, and Chief Financial Offic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4069" cy="1462704"/>
                    </a:xfrm>
                    <a:prstGeom prst="rect">
                      <a:avLst/>
                    </a:prstGeom>
                    <a:noFill/>
                  </pic:spPr>
                </pic:pic>
              </a:graphicData>
            </a:graphic>
          </wp:inline>
        </w:drawing>
      </w:r>
    </w:p>
    <w:p w14:paraId="16BEC3E1" w14:textId="2FBE94DD" w:rsidR="007E21A4" w:rsidRPr="0043575D" w:rsidRDefault="007E21A4" w:rsidP="007E21A4">
      <w:pPr>
        <w:pStyle w:val="Caption"/>
      </w:pPr>
      <w:r>
        <w:t>Source: Philip Review (2023)</w:t>
      </w:r>
      <w:r w:rsidR="009A4BCD">
        <w:t xml:space="preserve"> using </w:t>
      </w:r>
      <w:r w:rsidR="00AC5EE8">
        <w:t>PSR (2022)</w:t>
      </w:r>
      <w:r w:rsidR="00AC5EE8" w:rsidRPr="008E5A6A">
        <w:rPr>
          <w:rStyle w:val="FootnoteReference"/>
        </w:rPr>
        <w:footnoteReference w:id="12"/>
      </w:r>
      <w:r>
        <w:t xml:space="preserve"> </w:t>
      </w:r>
    </w:p>
    <w:p w14:paraId="52E76668" w14:textId="66BAA8FB" w:rsidR="00EC451B" w:rsidRDefault="00EC451B" w:rsidP="00EC451B">
      <w:r w:rsidRPr="0043575D">
        <w:t xml:space="preserve">The PSR Director is an independent statutory officeholder appointed by the Minister following approval from the AMA and must be a medical practitioner. They are responsible for the administration and management of the PSR scheme. PSR Panel members are medical and other healthcare practitioners who then comprise a peer review </w:t>
      </w:r>
      <w:r w:rsidR="008E6240">
        <w:t>c</w:t>
      </w:r>
      <w:r w:rsidRPr="0043575D">
        <w:t>ommittee as requested for investigat</w:t>
      </w:r>
      <w:r>
        <w:t>ive</w:t>
      </w:r>
      <w:r w:rsidRPr="0043575D">
        <w:t xml:space="preserve"> purpose</w:t>
      </w:r>
      <w:r>
        <w:t>s</w:t>
      </w:r>
      <w:r w:rsidRPr="0043575D">
        <w:t xml:space="preserve"> or </w:t>
      </w:r>
      <w:r>
        <w:t xml:space="preserve">to </w:t>
      </w:r>
      <w:proofErr w:type="gramStart"/>
      <w:r w:rsidRPr="0043575D">
        <w:t>provide assistance to</w:t>
      </w:r>
      <w:proofErr w:type="gramEnd"/>
      <w:r w:rsidRPr="0043575D">
        <w:t xml:space="preserve"> the Director. </w:t>
      </w:r>
    </w:p>
    <w:p w14:paraId="125092AE" w14:textId="1E57A585" w:rsidR="008F226B" w:rsidRDefault="00EC451B" w:rsidP="00EC451B">
      <w:r>
        <w:t xml:space="preserve">In recent times, the </w:t>
      </w:r>
      <w:r w:rsidRPr="0043575D">
        <w:t>PSR has</w:t>
      </w:r>
      <w:r>
        <w:t xml:space="preserve"> started to employ </w:t>
      </w:r>
      <w:r w:rsidRPr="0043575D">
        <w:t>a more diverse panel to cope with the increased scope and complexity of the range of health professionals, specialties, and corporate entities that PSR is being asked to review. The Determining Authority</w:t>
      </w:r>
      <w:r w:rsidR="00B07258">
        <w:t xml:space="preserve"> includes</w:t>
      </w:r>
      <w:r w:rsidRPr="0043575D">
        <w:t xml:space="preserve"> a permanent chair who is a medical practitioner, a permanent lay person, and a </w:t>
      </w:r>
      <w:r w:rsidRPr="0043575D">
        <w:rPr>
          <w:lang w:eastAsia="zh-CN"/>
        </w:rPr>
        <w:t xml:space="preserve">member representing the </w:t>
      </w:r>
      <w:r w:rsidR="0046616B">
        <w:rPr>
          <w:lang w:eastAsia="zh-CN"/>
        </w:rPr>
        <w:t>profession</w:t>
      </w:r>
      <w:r w:rsidR="0046616B" w:rsidRPr="0043575D">
        <w:rPr>
          <w:lang w:eastAsia="zh-CN"/>
        </w:rPr>
        <w:t xml:space="preserve"> </w:t>
      </w:r>
      <w:r w:rsidRPr="0043575D">
        <w:rPr>
          <w:lang w:eastAsia="zh-CN"/>
        </w:rPr>
        <w:t xml:space="preserve">of the practitioner under review. They are responsible for determining the outcomes for the practitioner given a finding of </w:t>
      </w:r>
      <w:r w:rsidR="007862F5">
        <w:rPr>
          <w:lang w:eastAsia="zh-CN"/>
        </w:rPr>
        <w:t>in</w:t>
      </w:r>
      <w:r w:rsidRPr="0043575D">
        <w:rPr>
          <w:lang w:eastAsia="zh-CN"/>
        </w:rPr>
        <w:t xml:space="preserve">appropriate practice. </w:t>
      </w:r>
      <w:r w:rsidRPr="0043575D">
        <w:t>The key decision-makers coordinate and administer matters referred to PSR across the review process.</w:t>
      </w:r>
      <w:r w:rsidR="00266FB0">
        <w:t xml:space="preserve"> Noting also that the Determining Authority is also responsible for ratifying an agreement under section 92 between a practitioner and the Director of the PSR.</w:t>
      </w:r>
      <w:r w:rsidRPr="0043575D">
        <w:t xml:space="preserve"> </w:t>
      </w:r>
      <w:r>
        <w:t xml:space="preserve">These key roles are outlined in </w:t>
      </w:r>
      <w:r w:rsidR="002A43F9">
        <w:fldChar w:fldCharType="begin"/>
      </w:r>
      <w:r w:rsidR="002A43F9">
        <w:instrText xml:space="preserve"> REF _Ref128662742 \r \h </w:instrText>
      </w:r>
      <w:r w:rsidR="002A43F9">
        <w:fldChar w:fldCharType="separate"/>
      </w:r>
      <w:r w:rsidR="005A1647">
        <w:t>Table 2.8</w:t>
      </w:r>
      <w:r w:rsidR="002A43F9">
        <w:fldChar w:fldCharType="end"/>
      </w:r>
      <w:r>
        <w:t>.</w:t>
      </w:r>
      <w:r w:rsidR="008F226B">
        <w:br w:type="page"/>
      </w:r>
    </w:p>
    <w:p w14:paraId="391562E5" w14:textId="56F1FAC8" w:rsidR="00AD2D35" w:rsidRDefault="00AD2D35" w:rsidP="00940D39">
      <w:pPr>
        <w:pStyle w:val="CaptionTable"/>
        <w:ind w:left="0"/>
      </w:pPr>
      <w:bookmarkStart w:id="149" w:name="_Ref128662742"/>
      <w:bookmarkStart w:id="150" w:name="_Toc131418578"/>
      <w:r>
        <w:t>: Key roles of the PSR</w:t>
      </w:r>
      <w:bookmarkEnd w:id="149"/>
      <w:bookmarkEnd w:id="150"/>
    </w:p>
    <w:tbl>
      <w:tblPr>
        <w:tblStyle w:val="Deloittetable"/>
        <w:tblW w:w="4917" w:type="pct"/>
        <w:tblLook w:val="0420" w:firstRow="1" w:lastRow="0" w:firstColumn="0" w:lastColumn="0" w:noHBand="0" w:noVBand="1"/>
      </w:tblPr>
      <w:tblGrid>
        <w:gridCol w:w="3487"/>
        <w:gridCol w:w="3241"/>
        <w:gridCol w:w="3564"/>
      </w:tblGrid>
      <w:tr w:rsidR="00EC451B" w:rsidRPr="00405174" w14:paraId="277275EA" w14:textId="77777777" w:rsidTr="00EF2981">
        <w:trPr>
          <w:cnfStyle w:val="100000000000" w:firstRow="1" w:lastRow="0" w:firstColumn="0" w:lastColumn="0" w:oddVBand="0" w:evenVBand="0" w:oddHBand="0" w:evenHBand="0" w:firstRowFirstColumn="0" w:firstRowLastColumn="0" w:lastRowFirstColumn="0" w:lastRowLastColumn="0"/>
          <w:trHeight w:val="7"/>
        </w:trPr>
        <w:tc>
          <w:tcPr>
            <w:tcW w:w="0" w:type="pct"/>
            <w:tcBorders>
              <w:top w:val="single" w:sz="24" w:space="0" w:color="005587"/>
            </w:tcBorders>
            <w:hideMark/>
          </w:tcPr>
          <w:p w14:paraId="03B0CCFE" w14:textId="77777777" w:rsidR="00EC451B" w:rsidRPr="00181D0F" w:rsidRDefault="00EC451B" w:rsidP="00405174">
            <w:pPr>
              <w:rPr>
                <w:szCs w:val="22"/>
              </w:rPr>
            </w:pPr>
            <w:r w:rsidRPr="00181D0F">
              <w:rPr>
                <w:szCs w:val="22"/>
              </w:rPr>
              <w:t xml:space="preserve">Role </w:t>
            </w:r>
          </w:p>
        </w:tc>
        <w:tc>
          <w:tcPr>
            <w:tcW w:w="0" w:type="pct"/>
            <w:tcBorders>
              <w:top w:val="single" w:sz="24" w:space="0" w:color="005587"/>
            </w:tcBorders>
            <w:hideMark/>
          </w:tcPr>
          <w:p w14:paraId="30B4F0AF" w14:textId="2E4038B7" w:rsidR="00EC451B" w:rsidRPr="00181D0F" w:rsidRDefault="00C05750" w:rsidP="00405174">
            <w:pPr>
              <w:rPr>
                <w:szCs w:val="22"/>
              </w:rPr>
            </w:pPr>
            <w:r w:rsidRPr="00181D0F">
              <w:rPr>
                <w:szCs w:val="22"/>
              </w:rPr>
              <w:t xml:space="preserve">Number </w:t>
            </w:r>
          </w:p>
        </w:tc>
        <w:tc>
          <w:tcPr>
            <w:tcW w:w="0" w:type="pct"/>
            <w:tcBorders>
              <w:top w:val="single" w:sz="24" w:space="0" w:color="005587"/>
            </w:tcBorders>
            <w:hideMark/>
          </w:tcPr>
          <w:p w14:paraId="28823D32" w14:textId="5A3D47D3" w:rsidR="00EC451B" w:rsidRPr="00181D0F" w:rsidRDefault="00FA6F93" w:rsidP="00405174">
            <w:pPr>
              <w:rPr>
                <w:szCs w:val="22"/>
              </w:rPr>
            </w:pPr>
            <w:r w:rsidRPr="00181D0F">
              <w:rPr>
                <w:szCs w:val="22"/>
              </w:rPr>
              <w:t>Description</w:t>
            </w:r>
          </w:p>
        </w:tc>
      </w:tr>
      <w:tr w:rsidR="00EC451B" w:rsidRPr="005D505E" w14:paraId="4A5D64C6" w14:textId="77777777" w:rsidTr="00EF2981">
        <w:trPr>
          <w:trHeight w:val="183"/>
        </w:trPr>
        <w:tc>
          <w:tcPr>
            <w:tcW w:w="0" w:type="pct"/>
            <w:hideMark/>
          </w:tcPr>
          <w:p w14:paraId="6D22682C" w14:textId="77777777" w:rsidR="00EC451B" w:rsidRPr="00BC297E" w:rsidRDefault="00EC451B" w:rsidP="004029FF">
            <w:pPr>
              <w:pStyle w:val="TabletextLeft"/>
              <w:rPr>
                <w:rFonts w:eastAsia="Times New Roman"/>
                <w:b/>
                <w:lang w:eastAsia="en-AU"/>
              </w:rPr>
            </w:pPr>
            <w:r w:rsidRPr="00BC297E">
              <w:rPr>
                <w:b/>
                <w:lang w:eastAsia="en-AU"/>
              </w:rPr>
              <w:lastRenderedPageBreak/>
              <w:t>Director</w:t>
            </w:r>
          </w:p>
        </w:tc>
        <w:tc>
          <w:tcPr>
            <w:tcW w:w="0" w:type="pct"/>
            <w:hideMark/>
          </w:tcPr>
          <w:p w14:paraId="5C035BD7" w14:textId="77777777" w:rsidR="00EC451B" w:rsidRPr="007503DF" w:rsidRDefault="00EC451B" w:rsidP="004029FF">
            <w:pPr>
              <w:pStyle w:val="TabletextLeft"/>
              <w:rPr>
                <w:rFonts w:eastAsia="Times New Roman"/>
                <w:lang w:eastAsia="en-AU"/>
              </w:rPr>
            </w:pPr>
            <w:r w:rsidRPr="007503DF">
              <w:rPr>
                <w:lang w:eastAsia="en-AU"/>
              </w:rPr>
              <w:t>1</w:t>
            </w:r>
          </w:p>
        </w:tc>
        <w:tc>
          <w:tcPr>
            <w:tcW w:w="0" w:type="pct"/>
            <w:hideMark/>
          </w:tcPr>
          <w:p w14:paraId="07E72AB0" w14:textId="08A4982B" w:rsidR="00EC451B" w:rsidRPr="007503DF" w:rsidRDefault="00BC297E" w:rsidP="004029FF">
            <w:pPr>
              <w:pStyle w:val="TabletextLeft"/>
              <w:rPr>
                <w:rFonts w:eastAsia="Times New Roman"/>
                <w:lang w:eastAsia="en-AU"/>
              </w:rPr>
            </w:pPr>
            <w:r>
              <w:rPr>
                <w:lang w:eastAsia="en-AU"/>
              </w:rPr>
              <w:t>I</w:t>
            </w:r>
            <w:r w:rsidR="00EC451B" w:rsidRPr="007503DF">
              <w:rPr>
                <w:lang w:eastAsia="en-AU"/>
              </w:rPr>
              <w:t>ndependent statutory officer and medical practitioner (section 83)</w:t>
            </w:r>
          </w:p>
        </w:tc>
      </w:tr>
      <w:tr w:rsidR="00EC451B" w:rsidRPr="005D505E" w14:paraId="04F6E6A0" w14:textId="77777777" w:rsidTr="00EF2981">
        <w:trPr>
          <w:trHeight w:val="183"/>
        </w:trPr>
        <w:tc>
          <w:tcPr>
            <w:tcW w:w="0" w:type="pct"/>
            <w:hideMark/>
          </w:tcPr>
          <w:p w14:paraId="7BEFDAAA" w14:textId="77777777" w:rsidR="00EC451B" w:rsidRPr="00BC297E" w:rsidRDefault="00EC451B" w:rsidP="004029FF">
            <w:pPr>
              <w:pStyle w:val="TabletextLeft"/>
              <w:rPr>
                <w:rFonts w:eastAsia="Times New Roman"/>
                <w:b/>
                <w:lang w:eastAsia="en-AU"/>
              </w:rPr>
            </w:pPr>
            <w:r w:rsidRPr="00BC297E">
              <w:rPr>
                <w:b/>
                <w:spacing w:val="-4"/>
                <w:lang w:eastAsia="en-AU"/>
              </w:rPr>
              <w:t xml:space="preserve">Determining Authority </w:t>
            </w:r>
          </w:p>
        </w:tc>
        <w:tc>
          <w:tcPr>
            <w:tcW w:w="0" w:type="pct"/>
            <w:hideMark/>
          </w:tcPr>
          <w:p w14:paraId="3BA4AAB0" w14:textId="77777777" w:rsidR="00EC451B" w:rsidRPr="007503DF" w:rsidRDefault="00EC451B" w:rsidP="004029FF">
            <w:pPr>
              <w:pStyle w:val="TabletextLeft"/>
              <w:rPr>
                <w:rFonts w:eastAsia="Times New Roman"/>
                <w:lang w:eastAsia="en-AU"/>
              </w:rPr>
            </w:pPr>
            <w:r w:rsidRPr="007503DF">
              <w:rPr>
                <w:lang w:eastAsia="en-AU"/>
              </w:rPr>
              <w:t>15</w:t>
            </w:r>
          </w:p>
        </w:tc>
        <w:tc>
          <w:tcPr>
            <w:tcW w:w="0" w:type="pct"/>
            <w:hideMark/>
          </w:tcPr>
          <w:p w14:paraId="3734F063" w14:textId="21F18ACA" w:rsidR="00EC451B" w:rsidRPr="007503DF" w:rsidRDefault="00BC297E" w:rsidP="004029FF">
            <w:pPr>
              <w:pStyle w:val="TabletextLeft"/>
              <w:rPr>
                <w:rFonts w:eastAsia="Times New Roman"/>
                <w:lang w:eastAsia="en-AU"/>
              </w:rPr>
            </w:pPr>
            <w:r>
              <w:rPr>
                <w:lang w:eastAsia="en-AU"/>
              </w:rPr>
              <w:t>C</w:t>
            </w:r>
            <w:r w:rsidR="00EC451B" w:rsidRPr="007503DF">
              <w:rPr>
                <w:lang w:eastAsia="en-AU"/>
              </w:rPr>
              <w:t>omprises a permanent chair (medical practitioner), a permanent lay person and a member who represents the profession of the practitioner being reviewed (section 106ZPB)</w:t>
            </w:r>
          </w:p>
        </w:tc>
      </w:tr>
      <w:tr w:rsidR="00EC451B" w:rsidRPr="005D505E" w14:paraId="0DD97676" w14:textId="77777777" w:rsidTr="00EF2981">
        <w:trPr>
          <w:trHeight w:val="183"/>
        </w:trPr>
        <w:tc>
          <w:tcPr>
            <w:tcW w:w="0" w:type="pct"/>
            <w:tcBorders>
              <w:top w:val="single" w:sz="6" w:space="0" w:color="005587"/>
            </w:tcBorders>
            <w:hideMark/>
          </w:tcPr>
          <w:p w14:paraId="0EFA47BE" w14:textId="77777777" w:rsidR="00EC451B" w:rsidRPr="00BC297E" w:rsidRDefault="00EC451B" w:rsidP="004029FF">
            <w:pPr>
              <w:pStyle w:val="TabletextLeft"/>
              <w:rPr>
                <w:rFonts w:eastAsia="Times New Roman"/>
                <w:b/>
                <w:lang w:eastAsia="en-AU"/>
              </w:rPr>
            </w:pPr>
            <w:r w:rsidRPr="00BC297E">
              <w:rPr>
                <w:b/>
                <w:spacing w:val="-4"/>
                <w:lang w:eastAsia="en-AU"/>
              </w:rPr>
              <w:t xml:space="preserve">Panel Members &amp; Deputy Directors </w:t>
            </w:r>
          </w:p>
        </w:tc>
        <w:tc>
          <w:tcPr>
            <w:tcW w:w="0" w:type="pct"/>
            <w:tcBorders>
              <w:top w:val="single" w:sz="6" w:space="0" w:color="005587"/>
            </w:tcBorders>
            <w:hideMark/>
          </w:tcPr>
          <w:p w14:paraId="329EFFAB" w14:textId="77777777" w:rsidR="00EC451B" w:rsidRPr="007503DF" w:rsidRDefault="00EC451B" w:rsidP="004029FF">
            <w:pPr>
              <w:pStyle w:val="TabletextLeft"/>
              <w:rPr>
                <w:rFonts w:eastAsia="Times New Roman"/>
                <w:lang w:eastAsia="en-AU"/>
              </w:rPr>
            </w:pPr>
            <w:r w:rsidRPr="007503DF">
              <w:rPr>
                <w:lang w:eastAsia="en-AU"/>
              </w:rPr>
              <w:t>47</w:t>
            </w:r>
          </w:p>
        </w:tc>
        <w:tc>
          <w:tcPr>
            <w:tcW w:w="0" w:type="pct"/>
            <w:tcBorders>
              <w:top w:val="single" w:sz="6" w:space="0" w:color="005587"/>
            </w:tcBorders>
            <w:hideMark/>
          </w:tcPr>
          <w:p w14:paraId="18C30D14" w14:textId="4A66268C" w:rsidR="00EC451B" w:rsidRPr="007503DF" w:rsidRDefault="00EC451B" w:rsidP="004029FF">
            <w:pPr>
              <w:pStyle w:val="TabletextLeft"/>
              <w:rPr>
                <w:rFonts w:eastAsia="Times New Roman"/>
                <w:lang w:eastAsia="en-AU"/>
              </w:rPr>
            </w:pPr>
            <w:r w:rsidRPr="007503DF">
              <w:rPr>
                <w:lang w:eastAsia="en-AU"/>
              </w:rPr>
              <w:t xml:space="preserve">Panel members who chair PSR </w:t>
            </w:r>
            <w:r w:rsidR="008E6240">
              <w:rPr>
                <w:lang w:eastAsia="en-AU"/>
              </w:rPr>
              <w:t>c</w:t>
            </w:r>
            <w:r w:rsidRPr="007503DF">
              <w:rPr>
                <w:lang w:eastAsia="en-AU"/>
              </w:rPr>
              <w:t>ommittees (section 85)</w:t>
            </w:r>
          </w:p>
        </w:tc>
      </w:tr>
      <w:tr w:rsidR="00EC451B" w:rsidRPr="005D505E" w14:paraId="43C704A8" w14:textId="77777777" w:rsidTr="00EF2981">
        <w:trPr>
          <w:trHeight w:val="183"/>
        </w:trPr>
        <w:tc>
          <w:tcPr>
            <w:tcW w:w="0" w:type="pct"/>
            <w:hideMark/>
          </w:tcPr>
          <w:p w14:paraId="6AA23733" w14:textId="77777777" w:rsidR="00EC451B" w:rsidRPr="00BC297E" w:rsidRDefault="00EC451B" w:rsidP="004029FF">
            <w:pPr>
              <w:pStyle w:val="TabletextLeft"/>
              <w:rPr>
                <w:rFonts w:eastAsia="Times New Roman"/>
                <w:b/>
                <w:lang w:eastAsia="en-AU"/>
              </w:rPr>
            </w:pPr>
            <w:r w:rsidRPr="00BC297E">
              <w:rPr>
                <w:b/>
                <w:spacing w:val="-4"/>
                <w:lang w:eastAsia="en-AU"/>
              </w:rPr>
              <w:t xml:space="preserve">Panel Members </w:t>
            </w:r>
          </w:p>
        </w:tc>
        <w:tc>
          <w:tcPr>
            <w:tcW w:w="0" w:type="pct"/>
            <w:hideMark/>
          </w:tcPr>
          <w:p w14:paraId="6C2C916A" w14:textId="77777777" w:rsidR="00EC451B" w:rsidRPr="007503DF" w:rsidRDefault="00EC451B" w:rsidP="004029FF">
            <w:pPr>
              <w:pStyle w:val="TabletextLeft"/>
              <w:rPr>
                <w:rFonts w:eastAsia="Times New Roman"/>
                <w:lang w:eastAsia="en-AU"/>
              </w:rPr>
            </w:pPr>
            <w:r w:rsidRPr="007503DF">
              <w:rPr>
                <w:lang w:eastAsia="en-AU"/>
              </w:rPr>
              <w:t>107</w:t>
            </w:r>
          </w:p>
        </w:tc>
        <w:tc>
          <w:tcPr>
            <w:tcW w:w="0" w:type="pct"/>
            <w:hideMark/>
          </w:tcPr>
          <w:p w14:paraId="04D39350" w14:textId="04FC8188" w:rsidR="00EC451B" w:rsidRPr="007503DF" w:rsidRDefault="00BC297E" w:rsidP="004029FF">
            <w:pPr>
              <w:pStyle w:val="TabletextLeft"/>
              <w:rPr>
                <w:rFonts w:eastAsia="Times New Roman"/>
                <w:lang w:eastAsia="en-AU"/>
              </w:rPr>
            </w:pPr>
            <w:r>
              <w:rPr>
                <w:lang w:eastAsia="en-AU"/>
              </w:rPr>
              <w:t>M</w:t>
            </w:r>
            <w:r w:rsidR="00EC451B" w:rsidRPr="007503DF">
              <w:rPr>
                <w:lang w:eastAsia="en-AU"/>
              </w:rPr>
              <w:t xml:space="preserve">edical and other healthcare practitioners who may sit on peer review </w:t>
            </w:r>
            <w:r w:rsidR="008E6240">
              <w:rPr>
                <w:lang w:eastAsia="en-AU"/>
              </w:rPr>
              <w:t>c</w:t>
            </w:r>
            <w:r w:rsidR="00EC451B" w:rsidRPr="007503DF">
              <w:rPr>
                <w:lang w:eastAsia="en-AU"/>
              </w:rPr>
              <w:t xml:space="preserve">ommittees (section 84) or </w:t>
            </w:r>
            <w:proofErr w:type="gramStart"/>
            <w:r w:rsidR="00EC451B" w:rsidRPr="007503DF">
              <w:rPr>
                <w:lang w:eastAsia="en-AU"/>
              </w:rPr>
              <w:t>provide assistance to</w:t>
            </w:r>
            <w:proofErr w:type="gramEnd"/>
            <w:r w:rsidR="00EC451B" w:rsidRPr="007503DF">
              <w:rPr>
                <w:lang w:eastAsia="en-AU"/>
              </w:rPr>
              <w:t xml:space="preserve"> the Director (section 90)</w:t>
            </w:r>
            <w:r w:rsidR="00EC451B">
              <w:rPr>
                <w:lang w:eastAsia="en-AU"/>
              </w:rPr>
              <w:t xml:space="preserve"> </w:t>
            </w:r>
          </w:p>
        </w:tc>
      </w:tr>
    </w:tbl>
    <w:p w14:paraId="284195BB" w14:textId="6601FDDE" w:rsidR="00C85EE2" w:rsidRDefault="00C85EE2" w:rsidP="00C85EE2">
      <w:pPr>
        <w:pStyle w:val="Caption"/>
      </w:pPr>
      <w:r>
        <w:t xml:space="preserve">Source: Philip Review (2023) using </w:t>
      </w:r>
      <w:proofErr w:type="spellStart"/>
      <w:r>
        <w:t>DoHAC</w:t>
      </w:r>
      <w:proofErr w:type="spellEnd"/>
      <w:r>
        <w:t xml:space="preserve"> (2023)</w:t>
      </w:r>
    </w:p>
    <w:p w14:paraId="450A7B65" w14:textId="4FC08881" w:rsidR="00EC451B" w:rsidRDefault="00EC451B" w:rsidP="00EC451B">
      <w:r w:rsidRPr="00934EC6">
        <w:t>The PSR reduces the risks of inappropriate practice through ensuring that the provider’s Commonwealth-funded health services are clinically relevant and/or that benefits provided are in accordance with health funding schemes.</w:t>
      </w:r>
      <w:r w:rsidRPr="00934EC6">
        <w:rPr>
          <w:rStyle w:val="FootnoteReference"/>
        </w:rPr>
        <w:footnoteReference w:id="13"/>
      </w:r>
      <w:r>
        <w:t xml:space="preserve"> The </w:t>
      </w:r>
      <w:r w:rsidRPr="0043575D">
        <w:t>PSR adopts a rigorous peer review process and relies on the support of health practitioners, their representative registration bodies, and relevant regulatory authorities to perform its statutory function.</w:t>
      </w:r>
    </w:p>
    <w:p w14:paraId="3E2CADC7" w14:textId="75752814" w:rsidR="00EC451B" w:rsidRDefault="00EC451B" w:rsidP="00EC451B">
      <w:r>
        <w:t xml:space="preserve">The PSR has a relatively small core team and then renumerates the medical and allied health practitioners who sit on </w:t>
      </w:r>
      <w:r w:rsidR="008E6240">
        <w:t>c</w:t>
      </w:r>
      <w:r>
        <w:t xml:space="preserve">ommittees for work performed. </w:t>
      </w:r>
    </w:p>
    <w:p w14:paraId="2E17D2FB" w14:textId="1F396153" w:rsidR="00131F33" w:rsidRDefault="00131F33" w:rsidP="00940D39">
      <w:pPr>
        <w:pStyle w:val="Heading4"/>
      </w:pPr>
      <w:r>
        <w:t xml:space="preserve">Key reflections on </w:t>
      </w:r>
      <w:r w:rsidR="00E32996">
        <w:t xml:space="preserve">the </w:t>
      </w:r>
      <w:r w:rsidR="00D5376E" w:rsidRPr="00D5376E">
        <w:t>Professional Service Review</w:t>
      </w:r>
    </w:p>
    <w:p w14:paraId="6B21C092" w14:textId="2A8F7FD4" w:rsidR="00C74E36" w:rsidRDefault="00177796" w:rsidP="00131F33">
      <w:r>
        <w:t>There is</w:t>
      </w:r>
      <w:r w:rsidR="00131F33">
        <w:t xml:space="preserve"> value </w:t>
      </w:r>
      <w:r w:rsidR="005E058D">
        <w:t>in</w:t>
      </w:r>
      <w:r w:rsidR="00671115">
        <w:t xml:space="preserve"> </w:t>
      </w:r>
      <w:r w:rsidR="00131F33">
        <w:t xml:space="preserve">having a </w:t>
      </w:r>
      <w:r w:rsidR="00306F9D">
        <w:t xml:space="preserve">regulatory </w:t>
      </w:r>
      <w:r w:rsidR="00131F33">
        <w:t xml:space="preserve">body that is perceived to be a real deterrence, and not one </w:t>
      </w:r>
      <w:r w:rsidR="00CC5B81">
        <w:t xml:space="preserve">that is </w:t>
      </w:r>
      <w:r w:rsidR="00131F33">
        <w:t>a ‘toothless tiger</w:t>
      </w:r>
      <w:r w:rsidR="00EF008B">
        <w:t>’, however</w:t>
      </w:r>
      <w:r w:rsidR="005F35FD">
        <w:t>,</w:t>
      </w:r>
      <w:r w:rsidR="00131F33">
        <w:t xml:space="preserve"> this needs to be balanced with a process that is timely, fair, </w:t>
      </w:r>
      <w:r w:rsidR="00463552">
        <w:t>transparent</w:t>
      </w:r>
      <w:r w:rsidR="003570AC">
        <w:t xml:space="preserve"> </w:t>
      </w:r>
      <w:r w:rsidR="00131F33">
        <w:t xml:space="preserve">and does not have unintended negative consequences. The </w:t>
      </w:r>
      <w:r w:rsidR="00F37453">
        <w:t>concern is</w:t>
      </w:r>
      <w:r w:rsidR="0083501E">
        <w:t xml:space="preserve"> that</w:t>
      </w:r>
      <w:r w:rsidR="00131F33">
        <w:t xml:space="preserve"> if the pendulum swings too far toward an overzealous treatment for inappropriate practice</w:t>
      </w:r>
      <w:r w:rsidR="00306F9D">
        <w:t>,</w:t>
      </w:r>
      <w:r w:rsidR="00131F33">
        <w:t xml:space="preserve"> practitioners are less likely to bill for things that they should bill for in fear of the regulator</w:t>
      </w:r>
      <w:r w:rsidR="000B328C">
        <w:t xml:space="preserve"> and becoming </w:t>
      </w:r>
      <w:r w:rsidR="00392AC4">
        <w:t>involved in its processes</w:t>
      </w:r>
      <w:r w:rsidR="00193C2F">
        <w:t xml:space="preserve">. </w:t>
      </w:r>
    </w:p>
    <w:p w14:paraId="6305A61F" w14:textId="5E27A588" w:rsidR="00131F33" w:rsidRDefault="00C74E36" w:rsidP="00B00607">
      <w:r>
        <w:t xml:space="preserve">Based </w:t>
      </w:r>
      <w:r w:rsidR="00131F33">
        <w:t xml:space="preserve">on consultations this seems to negatively impact </w:t>
      </w:r>
      <w:r w:rsidR="002A0EB4">
        <w:t>on</w:t>
      </w:r>
      <w:r w:rsidR="00131F33">
        <w:t xml:space="preserve"> First Nations practitioners disproportionately</w:t>
      </w:r>
      <w:r w:rsidR="007A1885">
        <w:t xml:space="preserve">, to such </w:t>
      </w:r>
      <w:r w:rsidR="005F478A">
        <w:t xml:space="preserve">an extent </w:t>
      </w:r>
      <w:r w:rsidR="006E3B82">
        <w:t xml:space="preserve">that the </w:t>
      </w:r>
      <w:r w:rsidR="00492B15" w:rsidRPr="00492B15">
        <w:t xml:space="preserve">National Aboriginal Community Controlled Health Organisation </w:t>
      </w:r>
      <w:r w:rsidR="00492B15">
        <w:t>(</w:t>
      </w:r>
      <w:r w:rsidR="00131F33">
        <w:t>NACCHO</w:t>
      </w:r>
      <w:r w:rsidR="00492B15">
        <w:t>)</w:t>
      </w:r>
      <w:r w:rsidR="00131F33">
        <w:t xml:space="preserve"> is currently undertaking a project with the </w:t>
      </w:r>
      <w:r w:rsidR="009931E5">
        <w:t>department</w:t>
      </w:r>
      <w:r w:rsidR="00131F33">
        <w:t xml:space="preserve"> to improve billing to Medicare. </w:t>
      </w:r>
    </w:p>
    <w:p w14:paraId="6AC2F1AA" w14:textId="425262F3" w:rsidR="00131F33" w:rsidRDefault="00131F33" w:rsidP="00131F33">
      <w:r>
        <w:t>There has been some media discourse about the intent, nature</w:t>
      </w:r>
      <w:r w:rsidR="004601C5">
        <w:t>,</w:t>
      </w:r>
      <w:r>
        <w:t xml:space="preserve"> and function of the PSR and the lack of understanding by the broader health system and practitioners about the fact that the PSR is only responsible for inappropriate billing practice. Concerns of clinical safety should and are rightly referred to </w:t>
      </w:r>
      <w:r w:rsidR="004601C5">
        <w:t>AHPRA</w:t>
      </w:r>
      <w:r>
        <w:t xml:space="preserve">, and concerns about fraudulent behaviour are referred to the </w:t>
      </w:r>
      <w:r w:rsidRPr="006A395D">
        <w:t>major non-compliance (fraud) division</w:t>
      </w:r>
      <w:r>
        <w:t>. There is a clear need to make sure that there is an understanding by practitioners about the intent and function of the PSR, in that it addresses inappropriate billing</w:t>
      </w:r>
      <w:r w:rsidR="00ED72B6">
        <w:t xml:space="preserve"> and inappropriate prescribing</w:t>
      </w:r>
      <w:r>
        <w:t xml:space="preserve">, and referral to it is not a reflection of </w:t>
      </w:r>
      <w:r w:rsidR="004862D0">
        <w:t>poor or sub-standard</w:t>
      </w:r>
      <w:r>
        <w:t xml:space="preserve"> clinical practice.</w:t>
      </w:r>
    </w:p>
    <w:p w14:paraId="53BDF101" w14:textId="23122437" w:rsidR="00131F33" w:rsidRDefault="00131F33" w:rsidP="00131F33">
      <w:r>
        <w:t xml:space="preserve">As with the broader reflections throughout this report, there are also some components of the PSR that ultimately no longer fit with the way that healthcare is currently delivered, and how it will be delivered into the future. For example, the </w:t>
      </w:r>
      <w:r w:rsidR="002A43E6">
        <w:t>positioning</w:t>
      </w:r>
      <w:r>
        <w:t xml:space="preserve"> of the AMA as a professional body </w:t>
      </w:r>
      <w:r w:rsidR="00455FBE">
        <w:t>who</w:t>
      </w:r>
      <w:r>
        <w:t xml:space="preserve"> can veto the appointment of a PSR </w:t>
      </w:r>
      <w:r w:rsidR="008B7DAA">
        <w:t>D</w:t>
      </w:r>
      <w:r>
        <w:t>irector no longer reflects the fact that there are a range of professionals who will be referred to PSR</w:t>
      </w:r>
      <w:r w:rsidR="003032F3">
        <w:t>.</w:t>
      </w:r>
      <w:r>
        <w:t xml:space="preserve"> </w:t>
      </w:r>
      <w:r w:rsidR="00184200">
        <w:t>E</w:t>
      </w:r>
      <w:r>
        <w:t xml:space="preserve">ither all professions should be </w:t>
      </w:r>
      <w:r w:rsidR="00233A59">
        <w:t>engaged</w:t>
      </w:r>
      <w:r>
        <w:t xml:space="preserve"> </w:t>
      </w:r>
      <w:r w:rsidR="0082649C">
        <w:t>and involved</w:t>
      </w:r>
      <w:r>
        <w:t xml:space="preserve"> in Director appointment decisions, or no</w:t>
      </w:r>
      <w:r w:rsidR="008369B5">
        <w:t xml:space="preserve"> professional bodies should be involved</w:t>
      </w:r>
      <w:r>
        <w:t xml:space="preserve">. </w:t>
      </w:r>
    </w:p>
    <w:p w14:paraId="38D3A2EF" w14:textId="4659BF87" w:rsidR="00131F33" w:rsidRDefault="00131F33" w:rsidP="00131F33">
      <w:r>
        <w:t xml:space="preserve">There were also comments made during the consultations that ultimately </w:t>
      </w:r>
      <w:r w:rsidR="00233A59">
        <w:t xml:space="preserve">the </w:t>
      </w:r>
      <w:r>
        <w:t xml:space="preserve">advice provided by </w:t>
      </w:r>
      <w:proofErr w:type="spellStart"/>
      <w:r>
        <w:t>D</w:t>
      </w:r>
      <w:r w:rsidR="001A4CD7">
        <w:t>o</w:t>
      </w:r>
      <w:r>
        <w:t>HAC</w:t>
      </w:r>
      <w:proofErr w:type="spellEnd"/>
      <w:r>
        <w:t xml:space="preserve">, </w:t>
      </w:r>
      <w:r w:rsidR="00A86B7F">
        <w:t xml:space="preserve">Services </w:t>
      </w:r>
      <w:r>
        <w:t>A</w:t>
      </w:r>
      <w:r w:rsidR="00A86B7F">
        <w:t>ustralia</w:t>
      </w:r>
      <w:r>
        <w:t xml:space="preserve">, or AskMBS are not able to be relied on as a defence to the claims raised by the PSR against the Provider. </w:t>
      </w:r>
    </w:p>
    <w:p w14:paraId="0DE1FA51" w14:textId="32971627" w:rsidR="00FD586F" w:rsidRDefault="00131F33" w:rsidP="00131F33">
      <w:r>
        <w:t>There is also a broader s</w:t>
      </w:r>
      <w:r w:rsidR="00AD5DD3">
        <w:t xml:space="preserve">ection </w:t>
      </w:r>
      <w:r>
        <w:t xml:space="preserve">92 review that has been recently completed. There are ongoing concerns of practitioners and other key stakeholders which were raised </w:t>
      </w:r>
      <w:r w:rsidR="00223B78">
        <w:t>with me</w:t>
      </w:r>
      <w:r>
        <w:t xml:space="preserve"> that include the perception that section 92 agreements are ‘coercive’</w:t>
      </w:r>
      <w:r w:rsidR="00F11F96">
        <w:t xml:space="preserve"> requiring practitioners to acknowledge ‘inappropriate practice’.</w:t>
      </w:r>
      <w:r w:rsidR="00267904">
        <w:t xml:space="preserve"> </w:t>
      </w:r>
      <w:r w:rsidR="0047136F">
        <w:t xml:space="preserve">They are reported to be </w:t>
      </w:r>
      <w:r w:rsidR="0047136F">
        <w:lastRenderedPageBreak/>
        <w:t>ta</w:t>
      </w:r>
      <w:r>
        <w:t xml:space="preserve">ken up because the stress, burden, timeframes, and cost to practitioners of proceeding to a committee review are overwhelming. </w:t>
      </w:r>
    </w:p>
    <w:p w14:paraId="6CBDC2FE" w14:textId="652AAE02" w:rsidR="00131F33" w:rsidRDefault="00131F33" w:rsidP="00C76C4B">
      <w:r>
        <w:t xml:space="preserve">It is also important to consider the outcomes of the PSR, especially in relation to disqualification from billing MBS services for </w:t>
      </w:r>
      <w:r w:rsidR="007901A1">
        <w:t>a period</w:t>
      </w:r>
      <w:r>
        <w:t xml:space="preserve">. It is hard to get a good sense of </w:t>
      </w:r>
      <w:r w:rsidR="00E579E9">
        <w:t>which</w:t>
      </w:r>
      <w:r>
        <w:t xml:space="preserve"> cases this would be </w:t>
      </w:r>
      <w:r w:rsidR="00E579E9">
        <w:t>applied</w:t>
      </w:r>
      <w:r>
        <w:t xml:space="preserve"> </w:t>
      </w:r>
      <w:r w:rsidR="00EC4374">
        <w:t>to</w:t>
      </w:r>
      <w:r>
        <w:t xml:space="preserve"> (</w:t>
      </w:r>
      <w:proofErr w:type="gramStart"/>
      <w:r w:rsidR="00904BFD">
        <w:t>e.g.</w:t>
      </w:r>
      <w:proofErr w:type="gramEnd"/>
      <w:r>
        <w:t xml:space="preserve"> it is likely appropriate to disqualify say a GP from using a highly specialised surgical item) but the concern remains about the ‘big stick’ of the PSR potentially disqualifying practitioners from legitimate items. This then is likely to lead to either underservicing (</w:t>
      </w:r>
      <w:proofErr w:type="gramStart"/>
      <w:r w:rsidR="00904BFD">
        <w:t>e.g.</w:t>
      </w:r>
      <w:proofErr w:type="gramEnd"/>
      <w:r>
        <w:t xml:space="preserve"> turning away patients who need the specific care relevant to the disqualified item), or perversely that the p</w:t>
      </w:r>
      <w:r w:rsidR="00C35BAB">
        <w:t>rac</w:t>
      </w:r>
      <w:r>
        <w:t xml:space="preserve">titioner bills then for ‘most appropriate alternative’ which is inherently a further inaccurate claim. </w:t>
      </w:r>
    </w:p>
    <w:p w14:paraId="46EE786B" w14:textId="3162761E" w:rsidR="00131F33" w:rsidRDefault="00131F33" w:rsidP="00131F33">
      <w:r>
        <w:t xml:space="preserve">There is also the potential for the PSR to feed into the broader recommendations made in this report for continued education and training of providers. Deidentified information about cases and common issues should be fed back to relevant professions, and to date the PSR has done this in a range of ways, including briefings and presentations to Colleges and other peak bodies. Formalisation of this existing work and the broader development of a more rigorous education and training process for MBS will help to contribute to prevention of accidental non-compliance. </w:t>
      </w:r>
      <w:r w:rsidR="008421F5">
        <w:t xml:space="preserve">In my view </w:t>
      </w:r>
      <w:r w:rsidR="00CE49F2">
        <w:t xml:space="preserve">it would, in fact, be useful for the implementation of the results of this </w:t>
      </w:r>
      <w:r w:rsidR="00C540D9">
        <w:t>R</w:t>
      </w:r>
      <w:r w:rsidR="00CE49F2">
        <w:t xml:space="preserve">eview to dovetail with the change management </w:t>
      </w:r>
      <w:r w:rsidR="00D5409C">
        <w:t xml:space="preserve">efforts that will flow from the recently endorsed report of the </w:t>
      </w:r>
      <w:r w:rsidR="00EA2050">
        <w:t>Strengthening Medicare Taskforce</w:t>
      </w:r>
      <w:r w:rsidR="0093767C">
        <w:t xml:space="preserve">. </w:t>
      </w:r>
      <w:r w:rsidR="00842264">
        <w:t>Moving the culture of Medicare integrity towards a better balance between continuous quality and safety improvement and the detection of non-compliance and fraud</w:t>
      </w:r>
      <w:r w:rsidR="00BA7224">
        <w:t>,</w:t>
      </w:r>
      <w:r w:rsidR="008C08EF">
        <w:t xml:space="preserve"> </w:t>
      </w:r>
      <w:r w:rsidR="002214E1">
        <w:t xml:space="preserve">will promote </w:t>
      </w:r>
      <w:r w:rsidR="00F065B9">
        <w:t>more buy in to reform</w:t>
      </w:r>
      <w:r w:rsidR="00A20E8C">
        <w:t xml:space="preserve"> and support retention of those parts of the </w:t>
      </w:r>
      <w:r w:rsidR="00C42D5E">
        <w:t xml:space="preserve">experienced </w:t>
      </w:r>
      <w:r w:rsidR="00A20E8C">
        <w:t xml:space="preserve">clinical workforce </w:t>
      </w:r>
      <w:r w:rsidR="005848C1">
        <w:t xml:space="preserve">necessary to support a safety culture at a time when </w:t>
      </w:r>
      <w:r w:rsidR="00542772">
        <w:t xml:space="preserve">many are considering earlier retirement </w:t>
      </w:r>
      <w:r w:rsidR="00174A84">
        <w:t>or have retired</w:t>
      </w:r>
      <w:r w:rsidR="00542772">
        <w:t xml:space="preserve"> and the system is recovering from high levels of psychosocial and moral injury </w:t>
      </w:r>
      <w:r w:rsidR="003E02EA">
        <w:t>due to the ongoing impact of C</w:t>
      </w:r>
      <w:r w:rsidR="00AA283D">
        <w:t>OVID</w:t>
      </w:r>
      <w:r w:rsidR="0055177A">
        <w:t>-1</w:t>
      </w:r>
      <w:r w:rsidR="003E02EA">
        <w:t>9.</w:t>
      </w:r>
    </w:p>
    <w:p w14:paraId="458E7B4F" w14:textId="4D80C873" w:rsidR="00131F33" w:rsidRDefault="00131F33" w:rsidP="00131F33">
      <w:r>
        <w:t>One final recommendation for the PSR, that would require legislative changes</w:t>
      </w:r>
      <w:r w:rsidR="00C540D9">
        <w:t>,</w:t>
      </w:r>
      <w:r>
        <w:t xml:space="preserve"> is the introduction of an ‘associate’ or other alternative </w:t>
      </w:r>
      <w:r w:rsidR="00036972">
        <w:t>s</w:t>
      </w:r>
      <w:r w:rsidR="005C1D78" w:rsidRPr="005C1D78">
        <w:t>econd-in-command</w:t>
      </w:r>
      <w:r>
        <w:t xml:space="preserve"> role for the Director of the PSR. Currently, there are a range of roles and responsibilities that can only be completed by the Director of the PSR including decision making. </w:t>
      </w:r>
      <w:r w:rsidR="00835164">
        <w:t>In addition</w:t>
      </w:r>
      <w:r>
        <w:t>, if the Director feels that there is a conflict of interest the only options are either to continue with the process or to take a leave of absence so that an acting Director can be appointed. Having the opportunity for an associate or second Director to be available would help to share the load of the work, ensure that conflicts can be handled more appropriately, and potentially assist with succession planning and training for future Directors.</w:t>
      </w:r>
    </w:p>
    <w:p w14:paraId="6096B932" w14:textId="160F5EA7" w:rsidR="004D051F" w:rsidRDefault="004D051F" w:rsidP="004D051F">
      <w:pPr>
        <w:pStyle w:val="BodyText"/>
      </w:pPr>
      <w:r w:rsidRPr="004D051F">
        <w:t xml:space="preserve">Finding 7: The current Medicare system lacks timeliness and relies upon post-payment monitoring, delayed </w:t>
      </w:r>
      <w:proofErr w:type="gramStart"/>
      <w:r w:rsidRPr="004D051F">
        <w:t>identification</w:t>
      </w:r>
      <w:proofErr w:type="gramEnd"/>
      <w:r w:rsidRPr="004D051F">
        <w:t xml:space="preserve"> and investigation of non-compliance.</w:t>
      </w:r>
    </w:p>
    <w:p w14:paraId="57F80F58" w14:textId="77777777" w:rsidR="004C3FF0" w:rsidRDefault="004C3FF0" w:rsidP="004C3FF0">
      <w:pPr>
        <w:pStyle w:val="Heading2"/>
      </w:pPr>
      <w:bookmarkStart w:id="151" w:name="_Toc128669076"/>
      <w:bookmarkStart w:id="152" w:name="_Toc128905532"/>
      <w:bookmarkStart w:id="153" w:name="_Toc128907025"/>
      <w:bookmarkStart w:id="154" w:name="_Toc128909135"/>
      <w:r>
        <w:t>Supporting Medicare legislation considerations</w:t>
      </w:r>
    </w:p>
    <w:p w14:paraId="6271814D" w14:textId="7D2B4256" w:rsidR="004C3FF0" w:rsidRDefault="004C3FF0" w:rsidP="004C3FF0">
      <w:r>
        <w:t xml:space="preserve">The operation of Medicare is primarily governed by the </w:t>
      </w:r>
      <w:r w:rsidR="005C6A4C">
        <w:t>HIA</w:t>
      </w:r>
      <w:r>
        <w:t xml:space="preserve"> and related regulations. Compliance obligations related to MBS are set out in the HIA and associated </w:t>
      </w:r>
      <w:r w:rsidR="00AA283D">
        <w:t>a</w:t>
      </w:r>
      <w:r>
        <w:t>mendments (</w:t>
      </w:r>
      <w:proofErr w:type="gramStart"/>
      <w:r w:rsidR="00904BFD">
        <w:t>e.g.</w:t>
      </w:r>
      <w:proofErr w:type="gramEnd"/>
      <w:r>
        <w:t xml:space="preserve"> Health Legislation Amendment (Medicare Compliance and Other Measures) Act 2022</w:t>
      </w:r>
      <w:r w:rsidR="00AA283D">
        <w:t>)</w:t>
      </w:r>
      <w:r>
        <w:t>. However, Medicare is part of a broader complex legislative landscape that includes numerous other relevant Acts. As I have noted in this Review, it is also important to recognise the proposed changes (including most importantly any potential changes to legislation) are not delivered in a vacuum, and this Review exists in the context of wider health system reform. There are a range of wider policy and practice changes in relation to Medicare (</w:t>
      </w:r>
      <w:proofErr w:type="gramStart"/>
      <w:r w:rsidR="00904BFD">
        <w:t>e.g.</w:t>
      </w:r>
      <w:proofErr w:type="gramEnd"/>
      <w:r>
        <w:t xml:space="preserve"> the Taskforce, discussions about value-based funding mechanisms, and the implementation of findings in relation to item changes) that support the need for coordinated thought and effort in how these changes interrelate as, for example, the appropriate and required compliance activities are informed by the nature of the funding model. </w:t>
      </w:r>
    </w:p>
    <w:p w14:paraId="377A5B1D" w14:textId="77777777" w:rsidR="004C3FF0" w:rsidRDefault="004C3FF0" w:rsidP="004C3FF0">
      <w:r>
        <w:t>In light of these considerations, there are potential serious unintended consequences to changes to legislation that are not considered holistically in the broader landscape, and instead I suggest that there needs to be a focused body of work that considers all recommendations of recent reviews in consolidation and how these interrelate before legislative changes are progressed. As I raised in my interim letter, the current state of Medicare and some of the challenges that I have raised are the result of previous attempts to apply discrete and band-aid solutions to single issues over time and a lack of system thinking and consideration. This has resulted in a system that, while still a crucial part of supporting the health and wellbeing of the public, is clunky to apply and administer and no longer aligns to the reality of what care is delivered, by whom, or in what settings.</w:t>
      </w:r>
    </w:p>
    <w:p w14:paraId="6C062FD7" w14:textId="3EF3DB3B" w:rsidR="004C3FF0" w:rsidRDefault="004C3FF0" w:rsidP="004C3FF0">
      <w:r>
        <w:t xml:space="preserve">In line with these considerations, in the following section I outline some of the key areas for consideration that emerged that would require legislative change. I also note that there were a range of legislative concerns raised during consultations that are not directly related to MBS compliance and integrity, but instead are indirectly related to issues including the changing nature of healthcare delivery and the viability of services in the current climate. </w:t>
      </w:r>
      <w:r>
        <w:lastRenderedPageBreak/>
        <w:t xml:space="preserve">Where appropriate I have provided a summary of some of these key </w:t>
      </w:r>
      <w:proofErr w:type="gramStart"/>
      <w:r>
        <w:t>issues, but</w:t>
      </w:r>
      <w:proofErr w:type="gramEnd"/>
      <w:r>
        <w:t xml:space="preserve"> note that there were several more detailed suggestions provided by stakeholders that, while important, were not able to be included given the scope of this review. In my view, this points to the wider appetite and need for broader system reform that considers these broader challenges (</w:t>
      </w:r>
      <w:proofErr w:type="gramStart"/>
      <w:r w:rsidR="00904BFD">
        <w:t>i.e.</w:t>
      </w:r>
      <w:proofErr w:type="gramEnd"/>
      <w:r>
        <w:t xml:space="preserve"> who delivers care, to whom, where, how, and is it appropriately funded and funded to support interdisciplinary care).</w:t>
      </w:r>
    </w:p>
    <w:p w14:paraId="44662FCF" w14:textId="77777777" w:rsidR="004C3FF0" w:rsidRDefault="004C3FF0" w:rsidP="004C3FF0">
      <w:pPr>
        <w:pStyle w:val="Heading3"/>
      </w:pPr>
      <w:r>
        <w:t>Power to undertake meaningful compliance and integrity activities</w:t>
      </w:r>
    </w:p>
    <w:p w14:paraId="1F44F6D6" w14:textId="3CE2E9CD" w:rsidR="004C3FF0" w:rsidRDefault="004C3FF0" w:rsidP="004C3FF0">
      <w:r w:rsidRPr="00DD67C0">
        <w:t>Multiple stakeholders raised concerns about the ability to undertake meaningful compliance and integrity activities in the current system. As one group described it, the enabling Legislation for compliance is ‘immensely powerful, but extremely narrow’. There was some good discussion with governmental staff about the appropriate balance between the enforcement powers available and the need for some broader scope. A lot of the activities that we have described as ‘non-enforceable’ were and are limited because of the legislation. For example, under the current legislation, statutory (and enforceable) audits can’t take clinical relevance into account, and this remains the purpose and function of the PSR. However, as I noted in my overview of the PSR, its ability to remain a strong deterrent to inappropriate practice requires having appropriate checks and balances in place before things escalate to this process. It is also important to note that the complexity of Medicare billing and compliance means that there are likely often issues that fit within a grey area of claiming and clinical relevance</w:t>
      </w:r>
      <w:r>
        <w:t>.</w:t>
      </w:r>
    </w:p>
    <w:p w14:paraId="2208A5E2" w14:textId="45357EB3" w:rsidR="00A76A12" w:rsidRDefault="00C82A15" w:rsidP="00A76A12">
      <w:r>
        <w:t xml:space="preserve">There are also several requirements under the Act to consult with </w:t>
      </w:r>
      <w:r w:rsidR="00B16D02">
        <w:t>the broad range of professional bodies at multiple different points.</w:t>
      </w:r>
      <w:r w:rsidR="00583A12">
        <w:t xml:space="preserve"> </w:t>
      </w:r>
      <w:r w:rsidR="00583A12" w:rsidRPr="00583A12">
        <w:t>While I don’t believe that there should be no consultation with professional bodies, I do question the extent to which their inclusion in the legislation specifically (and at multiple points) might be restrictive to the compliance activities, burdensome to the professional bodies, and unintentionally increase the timeframes for activities such as audits</w:t>
      </w:r>
      <w:r w:rsidR="00583A12">
        <w:t>.</w:t>
      </w:r>
      <w:r w:rsidR="00A76A12">
        <w:t xml:space="preserve"> While I am not suggesting that we remove connections with professional bodies, as this is an important part of ensuring that the compliance activities are realistic and appropriate, I do think there could be some consideration to a more coordinated approach to this (as appropriate across the spectrum of different compliance activities) and that this is not something that should necessarily be an explicit part of the related legislation. Especially when there is not a lot of guidance about what this means and ultimately restricts the ability of the </w:t>
      </w:r>
      <w:proofErr w:type="spellStart"/>
      <w:r w:rsidR="00A76A12">
        <w:t>D</w:t>
      </w:r>
      <w:r w:rsidR="00443DE1">
        <w:t>o</w:t>
      </w:r>
      <w:r w:rsidR="00A76A12">
        <w:t>HAC</w:t>
      </w:r>
      <w:proofErr w:type="spellEnd"/>
      <w:r w:rsidR="00A76A12">
        <w:t xml:space="preserve"> to use that provision. There were also examples discussed about how the language of the legislation (</w:t>
      </w:r>
      <w:proofErr w:type="gramStart"/>
      <w:r w:rsidR="00904BFD">
        <w:t>e.g.</w:t>
      </w:r>
      <w:proofErr w:type="gramEnd"/>
      <w:r w:rsidR="00A76A12">
        <w:t xml:space="preserve"> the use of a document to substantiate claiming concerns) might not </w:t>
      </w:r>
      <w:r w:rsidR="00F36BB2">
        <w:t xml:space="preserve">always link to </w:t>
      </w:r>
      <w:r w:rsidR="00A76A12">
        <w:t xml:space="preserve">a relevant document that exists, or that is accessible by the investigating officers. </w:t>
      </w:r>
    </w:p>
    <w:p w14:paraId="3E393775" w14:textId="0AF256CF" w:rsidR="00C82A15" w:rsidRDefault="00A76A12" w:rsidP="00A76A12">
      <w:r>
        <w:t xml:space="preserve">Now, these limitations are not without rationale. These limitations ultimately are in place for a reason and work to ensure that there is an appropriate and fair scope of compliance activities for practitioners, but there is further work to be done on if this has been too restrictive, especially in comparison to the investigative powers under other schemes such as the </w:t>
      </w:r>
      <w:r w:rsidRPr="00970F5D">
        <w:t>NDIS</w:t>
      </w:r>
      <w:r>
        <w:t>.</w:t>
      </w:r>
    </w:p>
    <w:p w14:paraId="5B0A6A03" w14:textId="04C5BC2E" w:rsidR="00945DE0" w:rsidRDefault="00945DE0" w:rsidP="00054175">
      <w:pPr>
        <w:pStyle w:val="Heading3"/>
      </w:pPr>
      <w:r>
        <w:t>Broader concerns about the legislation</w:t>
      </w:r>
    </w:p>
    <w:p w14:paraId="2A9933D4" w14:textId="1E590A43" w:rsidR="00CC59B5" w:rsidRDefault="00CC59B5" w:rsidP="00CC59B5">
      <w:r>
        <w:t xml:space="preserve">There were some examples raised in consultations of how the wording of the current legislation can be at times confusing or unclear which might be enabling poor practice. There were also some concerns raised by groups about the way in which lacking penalties in current legislation might be incentivising overservicing that some have raised as problematic. However, it was not possible within the scope of this Review to substantiate the extent and nature of these challenges, only that they were raised by multiple stakeholders. In addition, I report these issues in the interest of completeness, but do not necessarily see them as specifically an issue with compliance activities of the MBS. Instead, it is these sorts of issues that contribute to the overwhelming complexity of the system and that talk to the broader issues about wastage and appropriate care in the system. While I do not see these to be in scope of the review, I do believe that these are issues that are important for government to consider and again point to the importance of a whole-of-system view of drivers of billing behaviours that start to lead towards wastage and leakage of the system, run the risk of tipping into non-compliance, and bring into question for some the integrity of the Scheme as a whole. </w:t>
      </w:r>
    </w:p>
    <w:p w14:paraId="5266281A" w14:textId="68302314" w:rsidR="00CC59B5" w:rsidRDefault="00CC59B5" w:rsidP="00CC59B5">
      <w:r>
        <w:t xml:space="preserve">For example, there were some concerns about the sections of the </w:t>
      </w:r>
      <w:r w:rsidR="00A83C7A">
        <w:t>A</w:t>
      </w:r>
      <w:r>
        <w:t xml:space="preserve">ct that relate to things such as the backdating of pathology lab approvals. The concern was that the lack of clarity currently in the </w:t>
      </w:r>
      <w:r w:rsidR="00E078DE">
        <w:t>A</w:t>
      </w:r>
      <w:r>
        <w:t xml:space="preserve">ct did not support the requirements of practitioners to ensure that there is appropriate information given for backdating, and what the requirements for backdating actually are. </w:t>
      </w:r>
    </w:p>
    <w:p w14:paraId="341D505A" w14:textId="0DF902BE" w:rsidR="00CC59B5" w:rsidRDefault="00CC59B5" w:rsidP="00CC59B5">
      <w:r>
        <w:t>There were also concerns raised about the impacts of wastage on third parties (</w:t>
      </w:r>
      <w:proofErr w:type="gramStart"/>
      <w:r w:rsidR="00904BFD">
        <w:t>e.g.</w:t>
      </w:r>
      <w:proofErr w:type="gramEnd"/>
      <w:r>
        <w:t xml:space="preserve"> insurers) and there is a further discussion to be had about the role of the government in regulating this. I do believe it is important to remember that Australia’s health system ultimately operates as a two-tier system where public healthcare is supported by private insurers. In my view, these sorts of concerns spoke to broader issues about the distribution of costs across </w:t>
      </w:r>
      <w:r>
        <w:lastRenderedPageBreak/>
        <w:t xml:space="preserve">the system and the importance of considering these sorts of downstream impacts of legislation. The maintenance of the Australian health system has to include consideration of the funding mechanisms and levers that exist outside of government. </w:t>
      </w:r>
    </w:p>
    <w:p w14:paraId="63A05D8B" w14:textId="77777777" w:rsidR="00CC59B5" w:rsidRDefault="00CC59B5" w:rsidP="00CC59B5">
      <w:r>
        <w:t xml:space="preserve">Some other concerns raised included that there are limitations on what information can be provided back to insurers, even when inappropriate billing has been determined. This means that private insurers who do pass on any concerns about inappropriate billing do not receive any commensurate return on providing that information.  </w:t>
      </w:r>
    </w:p>
    <w:p w14:paraId="6504723B" w14:textId="05C9CC26" w:rsidR="00945DE0" w:rsidRDefault="00CC59B5" w:rsidP="00CC59B5">
      <w:r>
        <w:t xml:space="preserve">Another example raised in consultation that relates to these ideas about viability, funding, and the broader impacts on other stakeholder groups included the perception that there is no monitoring or compliance of some things that do currently exist in the legislation. For example, the co-location of pathology services and the appropriate </w:t>
      </w:r>
      <w:proofErr w:type="gramStart"/>
      <w:r>
        <w:t>rents</w:t>
      </w:r>
      <w:proofErr w:type="gramEnd"/>
      <w:r>
        <w:t xml:space="preserve"> for these co-located services is specified in the HIA. Again, concerns about the price gouging of these services were raised, as there is a perception that currently there would be few co-located services that align to the legislation. Again, it is hard to in such a short timeframe and without appropriate data speak to the ‘truth’ of these sorts of claims. But I raise them here as a way of demonstrating the importance of having a broader view of what is driving tensions in the sector. Ultimately, issues with viability of healthcare delivery under current funding mechanisms, tensions between stakeholders, and concerns about broader compliance activities (</w:t>
      </w:r>
      <w:proofErr w:type="gramStart"/>
      <w:r w:rsidR="00904BFD">
        <w:t>e.g.</w:t>
      </w:r>
      <w:proofErr w:type="gramEnd"/>
      <w:r>
        <w:t xml:space="preserve"> rent prices by owners of general practice</w:t>
      </w:r>
      <w:r w:rsidR="00E910DC">
        <w:t xml:space="preserve"> clinics</w:t>
      </w:r>
      <w:r>
        <w:t>) contribute to the volatility of the discussion and may lead to the sorts of motivations and rationalisations that justify under or overservicing, inappropriate practice, and potentially fraudulent behaviour. At the end of the day, increasing volatility, concerns of fairness, lacking viability of services, and funding all directly end up impacting the consumer most of all</w:t>
      </w:r>
      <w:r w:rsidR="00CE308B">
        <w:t>.</w:t>
      </w:r>
    </w:p>
    <w:p w14:paraId="29A975AB" w14:textId="4A6C0BB2" w:rsidR="004D051F" w:rsidRDefault="004D051F" w:rsidP="004D051F">
      <w:pPr>
        <w:pStyle w:val="BodyText"/>
      </w:pPr>
      <w:r w:rsidRPr="004D051F">
        <w:t>Finding 8: The current legislative landscape underpinning Medicare both enables the operation and oversight of the Scheme, however, it could also be too restrictive and not allow adequate integrity and compliance enforcement activities.</w:t>
      </w:r>
    </w:p>
    <w:p w14:paraId="45EA9468" w14:textId="1A6289AA" w:rsidR="00FA7C6A" w:rsidRDefault="00390015" w:rsidP="00940D39">
      <w:pPr>
        <w:pStyle w:val="Heading2"/>
      </w:pPr>
      <w:r>
        <w:t>Education to support the application of Medicare</w:t>
      </w:r>
      <w:bookmarkEnd w:id="151"/>
      <w:bookmarkEnd w:id="152"/>
      <w:bookmarkEnd w:id="153"/>
      <w:bookmarkEnd w:id="154"/>
    </w:p>
    <w:p w14:paraId="539E3B1F" w14:textId="5E1F39FF" w:rsidR="00FF53D3" w:rsidRPr="00FF53D3" w:rsidRDefault="00275AB5" w:rsidP="00FF53D3">
      <w:r>
        <w:t xml:space="preserve">It was acknowledged that </w:t>
      </w:r>
      <w:r w:rsidR="00BE0DB6">
        <w:t xml:space="preserve">the targeted education supports provided by </w:t>
      </w:r>
      <w:proofErr w:type="spellStart"/>
      <w:r w:rsidR="00BE0DB6">
        <w:t>DoHAC</w:t>
      </w:r>
      <w:proofErr w:type="spellEnd"/>
      <w:r w:rsidR="00BE0DB6">
        <w:t xml:space="preserve"> in the form of </w:t>
      </w:r>
      <w:r w:rsidR="008B3F1D">
        <w:t>letters and engagement has been beneficial for health professionals who may not have had a full appreciation of the</w:t>
      </w:r>
      <w:r w:rsidR="00AD673D">
        <w:t xml:space="preserve"> application of MBS items.</w:t>
      </w:r>
      <w:r w:rsidR="00C620AE">
        <w:t xml:space="preserve"> The education supports comprise a number of different strategies, including:</w:t>
      </w:r>
    </w:p>
    <w:p w14:paraId="0E64EB50" w14:textId="79D9FB75" w:rsidR="00C620AE" w:rsidRPr="00FF53D3" w:rsidRDefault="00C620AE" w:rsidP="004A77D7">
      <w:pPr>
        <w:pStyle w:val="ListBullet"/>
      </w:pPr>
      <w:r>
        <w:t>Webinars</w:t>
      </w:r>
    </w:p>
    <w:p w14:paraId="2B965DCD" w14:textId="575F41C9" w:rsidR="002A149D" w:rsidRDefault="002A149D" w:rsidP="004A77D7">
      <w:pPr>
        <w:pStyle w:val="ListBullet"/>
      </w:pPr>
      <w:r>
        <w:t>Website materials (including AskMBS</w:t>
      </w:r>
      <w:r w:rsidR="00941B06">
        <w:t>, compliance strategies and fact sheets</w:t>
      </w:r>
      <w:r>
        <w:t>)</w:t>
      </w:r>
    </w:p>
    <w:p w14:paraId="7592E2A1" w14:textId="1F05D439" w:rsidR="002A149D" w:rsidRPr="00FF53D3" w:rsidRDefault="0097040E" w:rsidP="004A77D7">
      <w:pPr>
        <w:pStyle w:val="ListBullet"/>
      </w:pPr>
      <w:r>
        <w:t xml:space="preserve">Face-to-face </w:t>
      </w:r>
      <w:r w:rsidR="00B2562D">
        <w:t xml:space="preserve">education at seminars, </w:t>
      </w:r>
      <w:proofErr w:type="gramStart"/>
      <w:r w:rsidR="00B2562D">
        <w:t>conferences</w:t>
      </w:r>
      <w:proofErr w:type="gramEnd"/>
      <w:r w:rsidR="00B2562D">
        <w:t xml:space="preserve"> and events to priority groups</w:t>
      </w:r>
    </w:p>
    <w:p w14:paraId="723B8706" w14:textId="4073DF63" w:rsidR="00B2562D" w:rsidRPr="00FF53D3" w:rsidRDefault="00B2562D" w:rsidP="004A77D7">
      <w:pPr>
        <w:pStyle w:val="ListBullet"/>
      </w:pPr>
      <w:r>
        <w:t>Implementation of issue specific communication strategies</w:t>
      </w:r>
    </w:p>
    <w:p w14:paraId="0770B724" w14:textId="77777777" w:rsidR="007B5522" w:rsidRDefault="00EE0653" w:rsidP="00DC4242">
      <w:pPr>
        <w:pStyle w:val="ListBullet"/>
      </w:pPr>
      <w:r>
        <w:t>Utilisation of relevant representative peak body organisations</w:t>
      </w:r>
      <w:r w:rsidR="00DC4242">
        <w:t>.</w:t>
      </w:r>
    </w:p>
    <w:p w14:paraId="33DD7073" w14:textId="19630983" w:rsidR="004F5B08" w:rsidRPr="00FF53D3" w:rsidRDefault="00944C66" w:rsidP="004F5B08">
      <w:r>
        <w:t>S</w:t>
      </w:r>
      <w:r w:rsidR="00C60AB5">
        <w:t>takeholders</w:t>
      </w:r>
      <w:r w:rsidR="005A357B">
        <w:t xml:space="preserve"> acknowle</w:t>
      </w:r>
      <w:r w:rsidR="00C60AB5">
        <w:t xml:space="preserve">dged that contemporary </w:t>
      </w:r>
      <w:r w:rsidR="00CF63E7">
        <w:t>understanding</w:t>
      </w:r>
      <w:r w:rsidR="00C60AB5">
        <w:t xml:space="preserve"> of the requirements for MBS items by practitioners may be challenging, and the </w:t>
      </w:r>
      <w:r w:rsidR="00F62828">
        <w:t>increase in corporate entities managing billing is likely contributing to an understanding gap.</w:t>
      </w:r>
      <w:r w:rsidR="00184CDE">
        <w:t xml:space="preserve"> Future education and engagement activities would benefit from inclusion of administration sta</w:t>
      </w:r>
      <w:r w:rsidR="00E9490C">
        <w:t xml:space="preserve">ff who may be </w:t>
      </w:r>
      <w:r w:rsidR="00EF1E4D">
        <w:t>involved in preparing a</w:t>
      </w:r>
      <w:r w:rsidR="006E5308">
        <w:t>nd supporting MBS claims</w:t>
      </w:r>
      <w:r w:rsidR="007D70AC">
        <w:t>.</w:t>
      </w:r>
    </w:p>
    <w:p w14:paraId="56370426" w14:textId="76DB774F" w:rsidR="007D70AC" w:rsidRPr="00FF53D3" w:rsidRDefault="00777C08" w:rsidP="004F5B08">
      <w:r>
        <w:t xml:space="preserve">It became evident through this Review that there is a missed opportunity for subtle support and education of providers in the form of </w:t>
      </w:r>
      <w:r w:rsidR="00C85104">
        <w:t xml:space="preserve">decision support at the </w:t>
      </w:r>
      <w:r w:rsidR="000D5D61">
        <w:t xml:space="preserve">point of care and service delivery. </w:t>
      </w:r>
      <w:r w:rsidR="00F26D0D">
        <w:t xml:space="preserve">Presently, there is </w:t>
      </w:r>
      <w:r w:rsidR="00DA5568">
        <w:t xml:space="preserve">inconsistent </w:t>
      </w:r>
      <w:r w:rsidR="00563988">
        <w:t xml:space="preserve">MBS billing decision support embedded in </w:t>
      </w:r>
      <w:r w:rsidR="00E910DC">
        <w:t>p</w:t>
      </w:r>
      <w:r w:rsidR="00563988">
        <w:t xml:space="preserve">ractice </w:t>
      </w:r>
      <w:r w:rsidR="00E910DC">
        <w:t>m</w:t>
      </w:r>
      <w:r w:rsidR="00563988">
        <w:t xml:space="preserve">anagement </w:t>
      </w:r>
      <w:r w:rsidR="00E910DC">
        <w:t>s</w:t>
      </w:r>
      <w:r w:rsidR="00563988">
        <w:t>ystems</w:t>
      </w:r>
      <w:r w:rsidR="001E7E62">
        <w:t xml:space="preserve"> which can guide the selection of appropriate MBS items based on their </w:t>
      </w:r>
      <w:r w:rsidR="00A017FD">
        <w:t xml:space="preserve">rules and requirements matched to </w:t>
      </w:r>
      <w:r w:rsidR="00BC5243">
        <w:t>patient details and the clinical inputs from the occasion of service.</w:t>
      </w:r>
      <w:r w:rsidR="00450401">
        <w:t xml:space="preserve"> The ability to provide real-time feedback on the </w:t>
      </w:r>
      <w:r w:rsidR="00C47F0C">
        <w:t xml:space="preserve">compliant billing of </w:t>
      </w:r>
      <w:r w:rsidR="0015752E">
        <w:t>MBS items by practitioners</w:t>
      </w:r>
      <w:r w:rsidR="00203488">
        <w:t xml:space="preserve"> could have a significant impact on </w:t>
      </w:r>
      <w:r w:rsidR="00DA41BE">
        <w:t>reducing instances of inadvertent non-compliant claiming.</w:t>
      </w:r>
    </w:p>
    <w:p w14:paraId="6470F285" w14:textId="5C7D1113" w:rsidR="006E02FD" w:rsidRPr="00FF53D3" w:rsidRDefault="00641923" w:rsidP="004F5B08">
      <w:r>
        <w:t xml:space="preserve">Multiple stakeholders </w:t>
      </w:r>
      <w:r w:rsidR="004E68AC">
        <w:t xml:space="preserve">shared </w:t>
      </w:r>
      <w:r w:rsidR="00E93ECF">
        <w:t xml:space="preserve">in </w:t>
      </w:r>
      <w:r w:rsidR="00227022">
        <w:t xml:space="preserve">feedback </w:t>
      </w:r>
      <w:r w:rsidR="00E93ECF">
        <w:t xml:space="preserve">to </w:t>
      </w:r>
      <w:r w:rsidR="00227022">
        <w:t>this Review</w:t>
      </w:r>
      <w:r w:rsidR="004E68AC">
        <w:t xml:space="preserve"> a desire for enhanced fact sheets, including case studies, that are distributed to health professionals when a change to MBS items occurs. This would cover</w:t>
      </w:r>
      <w:r w:rsidR="00AC537C">
        <w:t xml:space="preserve"> the addition, deletion and replacement of MBS Items</w:t>
      </w:r>
      <w:r w:rsidR="00F5512D">
        <w:t xml:space="preserve"> and would be written in a way that makes clear how MBS </w:t>
      </w:r>
      <w:r w:rsidR="00F36BB2">
        <w:t xml:space="preserve">is </w:t>
      </w:r>
      <w:r w:rsidR="00F5512D">
        <w:t xml:space="preserve">to be interpreted </w:t>
      </w:r>
      <w:r w:rsidR="000D54B3">
        <w:t>in clinical practice so as to reduce ambiguity</w:t>
      </w:r>
      <w:r w:rsidR="009D0DE1">
        <w:t xml:space="preserve"> or informal education and advice.</w:t>
      </w:r>
      <w:r w:rsidR="00CD6016">
        <w:t xml:space="preserve"> </w:t>
      </w:r>
      <w:r w:rsidR="00426BF9">
        <w:t xml:space="preserve">These materials would be prepared in collaboration with relevant peak bodies and other representative organisations together with </w:t>
      </w:r>
      <w:proofErr w:type="spellStart"/>
      <w:r w:rsidR="00426BF9">
        <w:t>DoHAC</w:t>
      </w:r>
      <w:proofErr w:type="spellEnd"/>
      <w:r w:rsidR="00426BF9">
        <w:t xml:space="preserve"> and Services Australia.</w:t>
      </w:r>
    </w:p>
    <w:p w14:paraId="3D6F481A" w14:textId="4BB89AE2" w:rsidR="00FF53D3" w:rsidRDefault="005F62F5" w:rsidP="00FD6346">
      <w:r>
        <w:t>A large proportion of stakeholder</w:t>
      </w:r>
      <w:r w:rsidR="00E93ECF">
        <w:t>s</w:t>
      </w:r>
      <w:r>
        <w:t xml:space="preserve"> indicated </w:t>
      </w:r>
      <w:r w:rsidR="00D956CC">
        <w:t xml:space="preserve">through this Review that </w:t>
      </w:r>
      <w:proofErr w:type="spellStart"/>
      <w:r w:rsidR="00D956CC">
        <w:t>DoHAC</w:t>
      </w:r>
      <w:proofErr w:type="spellEnd"/>
      <w:r w:rsidR="00D956CC">
        <w:t xml:space="preserve"> engage with them </w:t>
      </w:r>
      <w:r w:rsidR="00532526">
        <w:t xml:space="preserve">as part of the ongoing refinement to MBS numbers, and if practice issues have been identified at a whole of specialty </w:t>
      </w:r>
      <w:r w:rsidR="00270FA7">
        <w:t xml:space="preserve">level and ahead of targeted education campaigns </w:t>
      </w:r>
      <w:r w:rsidR="001B76CA">
        <w:t xml:space="preserve">they are informed of the details </w:t>
      </w:r>
      <w:r w:rsidR="003F7DAB">
        <w:t xml:space="preserve">by the </w:t>
      </w:r>
      <w:r w:rsidR="009931E5">
        <w:t>department</w:t>
      </w:r>
      <w:r w:rsidR="003F7DAB">
        <w:t>.</w:t>
      </w:r>
      <w:r w:rsidR="0045697F">
        <w:t xml:space="preserve"> This enables the </w:t>
      </w:r>
      <w:r w:rsidR="009931E5">
        <w:lastRenderedPageBreak/>
        <w:t>department</w:t>
      </w:r>
      <w:r w:rsidR="006D1710">
        <w:t xml:space="preserve"> </w:t>
      </w:r>
      <w:r w:rsidR="0045697F">
        <w:t xml:space="preserve">to understand the clinical practice inputs and perspectives in further detail as part of </w:t>
      </w:r>
      <w:r w:rsidR="00155166">
        <w:t>any</w:t>
      </w:r>
      <w:r w:rsidR="0045697F">
        <w:t xml:space="preserve"> investigation activities</w:t>
      </w:r>
      <w:r w:rsidR="00155166">
        <w:t xml:space="preserve">. </w:t>
      </w:r>
    </w:p>
    <w:p w14:paraId="3930659C" w14:textId="4ECA3D4F" w:rsidR="0031075C" w:rsidRDefault="00F248F9" w:rsidP="00FD6346">
      <w:r>
        <w:t xml:space="preserve">It was further put to this Review that there are often </w:t>
      </w:r>
      <w:r w:rsidR="00CE7399">
        <w:t xml:space="preserve">differences of interpretation of Medicare items </w:t>
      </w:r>
      <w:r w:rsidR="00923E5F">
        <w:t xml:space="preserve">within the </w:t>
      </w:r>
      <w:r w:rsidR="009931E5">
        <w:t>department</w:t>
      </w:r>
      <w:r w:rsidR="00943A7C">
        <w:t>, with AskMBS</w:t>
      </w:r>
      <w:r w:rsidR="003E1672">
        <w:t xml:space="preserve"> and other </w:t>
      </w:r>
      <w:r w:rsidR="009931E5">
        <w:t>department</w:t>
      </w:r>
      <w:r w:rsidR="003E1672">
        <w:t>al advice differing from PSR outcomes.</w:t>
      </w:r>
      <w:r w:rsidR="00267904">
        <w:t xml:space="preserve"> </w:t>
      </w:r>
      <w:r w:rsidR="003E1672">
        <w:t xml:space="preserve">This underscores even more </w:t>
      </w:r>
      <w:r w:rsidR="006908AF">
        <w:t>the need to ensure there is a feedback loop from PSR determinations into the education of all actors in the system.</w:t>
      </w:r>
      <w:r w:rsidR="00267904">
        <w:t xml:space="preserve"> </w:t>
      </w:r>
      <w:r w:rsidR="006908AF">
        <w:t xml:space="preserve">Related, but more specific, consideration should be given </w:t>
      </w:r>
      <w:r w:rsidR="00874F5A">
        <w:t xml:space="preserve">to PSR determinations, where the outcome is the finding of </w:t>
      </w:r>
      <w:r w:rsidR="00CA7F11">
        <w:t>misbilling, for relevan</w:t>
      </w:r>
      <w:r w:rsidR="00C90F4A">
        <w:t>t</w:t>
      </w:r>
      <w:r w:rsidR="00CA7F11">
        <w:t xml:space="preserve"> private insurers to be informed so they can recoup their payments. </w:t>
      </w:r>
    </w:p>
    <w:p w14:paraId="1C9E7FA0" w14:textId="443769C2" w:rsidR="009923DA" w:rsidRDefault="009923DA" w:rsidP="00FD6346">
      <w:r>
        <w:t>In the event where new Medicare items are created or existing one</w:t>
      </w:r>
      <w:r w:rsidR="00E93ECF">
        <w:t>s</w:t>
      </w:r>
      <w:r>
        <w:t xml:space="preserve"> materially changed</w:t>
      </w:r>
      <w:r w:rsidR="00C90F4A">
        <w:t xml:space="preserve">, the </w:t>
      </w:r>
      <w:r w:rsidR="009931E5">
        <w:t>department</w:t>
      </w:r>
      <w:r w:rsidR="00C90F4A">
        <w:t xml:space="preserve"> should </w:t>
      </w:r>
      <w:proofErr w:type="gramStart"/>
      <w:r w:rsidR="00C90F4A">
        <w:t>give consideration to</w:t>
      </w:r>
      <w:proofErr w:type="gramEnd"/>
      <w:r w:rsidR="00C90F4A">
        <w:t xml:space="preserve"> </w:t>
      </w:r>
      <w:r w:rsidR="009330B9">
        <w:t xml:space="preserve">a more </w:t>
      </w:r>
      <w:r w:rsidR="00F36BB2">
        <w:t xml:space="preserve">planned </w:t>
      </w:r>
      <w:r w:rsidR="009330B9">
        <w:t>approach prior to announcement</w:t>
      </w:r>
      <w:r w:rsidR="00E93ECF">
        <w:t>, one</w:t>
      </w:r>
      <w:r w:rsidR="009330B9">
        <w:t xml:space="preserve"> which involves consultation with relevant professional groups and the mapping of the new regime to previous </w:t>
      </w:r>
      <w:r w:rsidR="0073770B">
        <w:t>claiming practices so that clinicians know</w:t>
      </w:r>
      <w:r w:rsidR="00A845A3">
        <w:t xml:space="preserve"> how their billing should change.</w:t>
      </w:r>
      <w:r w:rsidR="008D026A">
        <w:t xml:space="preserve"> </w:t>
      </w:r>
    </w:p>
    <w:p w14:paraId="1CE106D4" w14:textId="56655226" w:rsidR="004D051F" w:rsidRPr="009B63A3" w:rsidRDefault="004D051F" w:rsidP="004D051F">
      <w:pPr>
        <w:pStyle w:val="BodyText"/>
      </w:pPr>
      <w:r>
        <w:t>Finding 9: Current education and engagement activities with health professionals are not always meeting their needs and there is an opportunity to create further tailored and implementable supports that include broader administrative support personnel who support the preparation and submission of MBS claims.</w:t>
      </w:r>
    </w:p>
    <w:p w14:paraId="493D5694" w14:textId="3D398F01" w:rsidR="00DA0239" w:rsidRDefault="00677E9B" w:rsidP="00940D39">
      <w:pPr>
        <w:pStyle w:val="Heading2"/>
      </w:pPr>
      <w:bookmarkStart w:id="155" w:name="_Toc128907026"/>
      <w:bookmarkStart w:id="156" w:name="_Toc128909136"/>
      <w:bookmarkStart w:id="157" w:name="_Toc126831462"/>
      <w:bookmarkStart w:id="158" w:name="_Toc126831494"/>
      <w:bookmarkStart w:id="159" w:name="_Ref127516166"/>
      <w:bookmarkStart w:id="160" w:name="_Toc128059882"/>
      <w:bookmarkStart w:id="161" w:name="_Ref128656939"/>
      <w:bookmarkStart w:id="162" w:name="_Toc128669077"/>
      <w:bookmarkStart w:id="163" w:name="_Toc128905533"/>
      <w:bookmarkStart w:id="164" w:name="_Toc128907027"/>
      <w:bookmarkStart w:id="165" w:name="_Toc128909137"/>
      <w:bookmarkEnd w:id="155"/>
      <w:bookmarkEnd w:id="156"/>
      <w:r>
        <w:t>Valuing non-compliance</w:t>
      </w:r>
      <w:bookmarkEnd w:id="157"/>
      <w:bookmarkEnd w:id="158"/>
      <w:bookmarkEnd w:id="159"/>
      <w:bookmarkEnd w:id="160"/>
      <w:bookmarkEnd w:id="161"/>
      <w:bookmarkEnd w:id="162"/>
      <w:bookmarkEnd w:id="163"/>
      <w:bookmarkEnd w:id="164"/>
      <w:bookmarkEnd w:id="165"/>
    </w:p>
    <w:p w14:paraId="2D9681E7" w14:textId="340983A0" w:rsidR="00DA0239" w:rsidRPr="00DA0239" w:rsidRDefault="00375805" w:rsidP="00682908">
      <w:r>
        <w:t xml:space="preserve">A </w:t>
      </w:r>
      <w:r w:rsidR="005C4254">
        <w:t xml:space="preserve">critical question in the discussion of Medicare non-compliance is the </w:t>
      </w:r>
      <w:r w:rsidR="00411D92">
        <w:t>level (volume</w:t>
      </w:r>
      <w:r w:rsidR="00E13E62">
        <w:t xml:space="preserve"> and value</w:t>
      </w:r>
      <w:r w:rsidR="00411D92">
        <w:t>)</w:t>
      </w:r>
      <w:r w:rsidR="00E13E62">
        <w:t xml:space="preserve"> of </w:t>
      </w:r>
      <w:r w:rsidR="00B725BF">
        <w:t xml:space="preserve">MBS </w:t>
      </w:r>
      <w:r w:rsidR="00E13E62">
        <w:t xml:space="preserve">non-compliance </w:t>
      </w:r>
      <w:r w:rsidR="0045079B">
        <w:t xml:space="preserve">that exists </w:t>
      </w:r>
      <w:r w:rsidR="00E13E62">
        <w:t xml:space="preserve">– that is </w:t>
      </w:r>
      <w:r w:rsidR="00890A4E">
        <w:t>(1)</w:t>
      </w:r>
      <w:r w:rsidR="00E13E62">
        <w:t xml:space="preserve"> how much of the </w:t>
      </w:r>
      <w:r w:rsidR="008048BC">
        <w:t>annual expenditure</w:t>
      </w:r>
      <w:r w:rsidR="00F2228F">
        <w:t xml:space="preserve"> </w:t>
      </w:r>
      <w:r w:rsidR="001802A6">
        <w:t>on</w:t>
      </w:r>
      <w:r w:rsidR="00E13E62">
        <w:t xml:space="preserve"> the MBS is </w:t>
      </w:r>
      <w:r w:rsidR="00032F6D">
        <w:t xml:space="preserve">associated with </w:t>
      </w:r>
      <w:r w:rsidR="00DB063F">
        <w:t xml:space="preserve">activities </w:t>
      </w:r>
      <w:r w:rsidR="009159EA">
        <w:t xml:space="preserve">that are </w:t>
      </w:r>
      <w:r w:rsidR="00DB063F">
        <w:t xml:space="preserve">not </w:t>
      </w:r>
      <w:r w:rsidR="00D17620">
        <w:t>in line</w:t>
      </w:r>
      <w:r w:rsidR="00DB063F">
        <w:t xml:space="preserve"> with the intentions of the Scheme and </w:t>
      </w:r>
      <w:r w:rsidR="00890A4E">
        <w:t xml:space="preserve">(2) </w:t>
      </w:r>
      <w:r w:rsidR="005511A3">
        <w:t xml:space="preserve">to what extent does </w:t>
      </w:r>
      <w:r w:rsidR="007B3DA8">
        <w:t>non-</w:t>
      </w:r>
      <w:r w:rsidR="005511A3">
        <w:t>compliance differ across different MBS items and provider</w:t>
      </w:r>
      <w:r w:rsidR="00AB6E7D">
        <w:t xml:space="preserve"> groups</w:t>
      </w:r>
      <w:r w:rsidR="005511A3">
        <w:t>?</w:t>
      </w:r>
    </w:p>
    <w:p w14:paraId="16BA2670" w14:textId="358E2416" w:rsidR="00F01361" w:rsidRDefault="009754F1" w:rsidP="00682908">
      <w:r>
        <w:t xml:space="preserve">The task of quantifying non-compliance is </w:t>
      </w:r>
      <w:r w:rsidR="006746DC">
        <w:t>challenged</w:t>
      </w:r>
      <w:r>
        <w:t xml:space="preserve"> by</w:t>
      </w:r>
      <w:r w:rsidR="00504138">
        <w:t>:</w:t>
      </w:r>
    </w:p>
    <w:p w14:paraId="612E92BE" w14:textId="5F2872B7" w:rsidR="00504138" w:rsidRDefault="008732BB" w:rsidP="00520404">
      <w:pPr>
        <w:pStyle w:val="ListBullet"/>
      </w:pPr>
      <w:r>
        <w:t xml:space="preserve">The </w:t>
      </w:r>
      <w:r w:rsidR="009014B7">
        <w:t>absence of a</w:t>
      </w:r>
      <w:r>
        <w:t xml:space="preserve"> widely endorsed definition of non-compliance (</w:t>
      </w:r>
      <w:proofErr w:type="gramStart"/>
      <w:r w:rsidR="00904BFD">
        <w:t>i.e.</w:t>
      </w:r>
      <w:proofErr w:type="gramEnd"/>
      <w:r w:rsidR="00797FB0">
        <w:t xml:space="preserve"> the agreed </w:t>
      </w:r>
      <w:r w:rsidR="00ED6C04">
        <w:t>types</w:t>
      </w:r>
      <w:r w:rsidR="008063F2">
        <w:t xml:space="preserve"> of non-compliance that should be quantified)</w:t>
      </w:r>
    </w:p>
    <w:p w14:paraId="42B11F12" w14:textId="2DC5CAD8" w:rsidR="004051DE" w:rsidRDefault="00214B6A" w:rsidP="00520404">
      <w:pPr>
        <w:pStyle w:val="ListBullet"/>
      </w:pPr>
      <w:r>
        <w:t xml:space="preserve">The </w:t>
      </w:r>
      <w:r w:rsidR="00645F53">
        <w:t>many type</w:t>
      </w:r>
      <w:r w:rsidR="00BA0FCB">
        <w:t>s</w:t>
      </w:r>
      <w:r w:rsidR="00645F53">
        <w:t xml:space="preserve"> of</w:t>
      </w:r>
      <w:r w:rsidR="00BF26C0">
        <w:t xml:space="preserve"> </w:t>
      </w:r>
      <w:r w:rsidR="00D30B61">
        <w:t>non-</w:t>
      </w:r>
      <w:r w:rsidR="00D30E29">
        <w:t>compliant behaviour</w:t>
      </w:r>
      <w:r w:rsidR="00645F53">
        <w:t xml:space="preserve"> </w:t>
      </w:r>
      <w:r w:rsidR="00D30B61">
        <w:t xml:space="preserve">that cannot </w:t>
      </w:r>
      <w:r w:rsidR="00282AEF">
        <w:t xml:space="preserve">be </w:t>
      </w:r>
      <w:r w:rsidR="00BF26C0">
        <w:t>verified</w:t>
      </w:r>
      <w:r w:rsidR="00FD781E">
        <w:t xml:space="preserve"> </w:t>
      </w:r>
      <w:r w:rsidR="0062495B">
        <w:t>fr</w:t>
      </w:r>
      <w:r w:rsidR="00346B21">
        <w:t>o</w:t>
      </w:r>
      <w:r w:rsidR="0062495B">
        <w:t xml:space="preserve">m analysis </w:t>
      </w:r>
      <w:r w:rsidR="00346B21">
        <w:t>of</w:t>
      </w:r>
      <w:r w:rsidR="0062495B">
        <w:t xml:space="preserve"> data </w:t>
      </w:r>
      <w:r w:rsidR="00346B21">
        <w:t>alone</w:t>
      </w:r>
      <w:r w:rsidR="004051DE">
        <w:t xml:space="preserve"> </w:t>
      </w:r>
      <w:r w:rsidR="003D1509">
        <w:t>(</w:t>
      </w:r>
      <w:proofErr w:type="gramStart"/>
      <w:r w:rsidR="00904BFD">
        <w:t>e.g.</w:t>
      </w:r>
      <w:proofErr w:type="gramEnd"/>
      <w:r w:rsidR="003D1509">
        <w:t xml:space="preserve"> inappropriate practice or compliance with certain</w:t>
      </w:r>
      <w:r w:rsidR="003C30A8">
        <w:t xml:space="preserve"> ambiguous</w:t>
      </w:r>
      <w:r w:rsidR="003D1509">
        <w:t xml:space="preserve"> item rules, which </w:t>
      </w:r>
      <w:r w:rsidR="000F5D6B">
        <w:t xml:space="preserve">typically </w:t>
      </w:r>
      <w:r w:rsidR="003D1509">
        <w:t xml:space="preserve">require </w:t>
      </w:r>
      <w:r w:rsidR="002F54F9">
        <w:t xml:space="preserve">more </w:t>
      </w:r>
      <w:r w:rsidR="00D929BC">
        <w:t>information on the</w:t>
      </w:r>
      <w:r w:rsidR="000F5D6B">
        <w:t xml:space="preserve"> </w:t>
      </w:r>
      <w:r w:rsidR="00D929BC">
        <w:t>clinical circumstance</w:t>
      </w:r>
      <w:r w:rsidR="00683D94">
        <w:t>)</w:t>
      </w:r>
    </w:p>
    <w:p w14:paraId="39638ECD" w14:textId="77777777" w:rsidR="007B5522" w:rsidRDefault="00F36BB2" w:rsidP="00520404">
      <w:pPr>
        <w:pStyle w:val="ListBullet"/>
      </w:pPr>
      <w:r>
        <w:t>Situations w</w:t>
      </w:r>
      <w:r w:rsidR="0030489F">
        <w:t>here non-complian</w:t>
      </w:r>
      <w:r w:rsidR="00D30E29">
        <w:t>t behaviours c</w:t>
      </w:r>
      <w:r w:rsidR="003C30A8">
        <w:t>an</w:t>
      </w:r>
      <w:r w:rsidR="00D30E29">
        <w:t xml:space="preserve"> be</w:t>
      </w:r>
      <w:r w:rsidR="0030489F">
        <w:t xml:space="preserve"> verified</w:t>
      </w:r>
      <w:r w:rsidR="003C30A8">
        <w:t xml:space="preserve"> </w:t>
      </w:r>
      <w:r w:rsidR="00A16803">
        <w:t>from</w:t>
      </w:r>
      <w:r w:rsidR="003C30A8">
        <w:t xml:space="preserve"> analysis of data</w:t>
      </w:r>
      <w:r w:rsidR="00D86CC9">
        <w:t xml:space="preserve"> alone</w:t>
      </w:r>
      <w:r w:rsidR="00E07713">
        <w:t xml:space="preserve"> (</w:t>
      </w:r>
      <w:proofErr w:type="gramStart"/>
      <w:r w:rsidR="00904BFD">
        <w:t>i.e.</w:t>
      </w:r>
      <w:proofErr w:type="gramEnd"/>
      <w:r w:rsidR="00E07713">
        <w:t xml:space="preserve"> </w:t>
      </w:r>
      <w:r w:rsidR="002A2E6C">
        <w:t>data analysis is</w:t>
      </w:r>
      <w:r w:rsidR="00E07713">
        <w:t xml:space="preserve"> deterministic)</w:t>
      </w:r>
      <w:r w:rsidR="0030489F">
        <w:t xml:space="preserve">, </w:t>
      </w:r>
      <w:r>
        <w:t>however</w:t>
      </w:r>
      <w:r w:rsidR="003C30A8">
        <w:t xml:space="preserve">, </w:t>
      </w:r>
      <w:r w:rsidR="00D86CC9">
        <w:t>the necessary data</w:t>
      </w:r>
      <w:r w:rsidR="0083460F">
        <w:t xml:space="preserve"> assets and capabilities</w:t>
      </w:r>
      <w:r w:rsidR="003278D4">
        <w:t xml:space="preserve"> to inform the assessment</w:t>
      </w:r>
      <w:r w:rsidR="00D86CC9">
        <w:t xml:space="preserve"> </w:t>
      </w:r>
      <w:r w:rsidR="0083460F">
        <w:t>are</w:t>
      </w:r>
      <w:r w:rsidR="00C2427D">
        <w:t xml:space="preserve"> </w:t>
      </w:r>
      <w:r>
        <w:t xml:space="preserve">often </w:t>
      </w:r>
      <w:r w:rsidR="00C2427D">
        <w:t>not available</w:t>
      </w:r>
      <w:r w:rsidR="00B57230">
        <w:t xml:space="preserve"> (</w:t>
      </w:r>
      <w:r w:rsidR="00904BFD">
        <w:t>i.e.</w:t>
      </w:r>
      <w:r w:rsidR="00B57230">
        <w:t xml:space="preserve"> </w:t>
      </w:r>
      <w:r w:rsidR="002A2E6C">
        <w:t>data analysis is</w:t>
      </w:r>
      <w:r w:rsidR="00B57230">
        <w:t xml:space="preserve"> not feasible).</w:t>
      </w:r>
    </w:p>
    <w:p w14:paraId="2EC71942" w14:textId="0A2E9DAC" w:rsidR="00DE6847" w:rsidRDefault="007000B0" w:rsidP="00B00873">
      <w:r>
        <w:t>If one puts aside the first challenge</w:t>
      </w:r>
      <w:r w:rsidR="008E6BB9">
        <w:t xml:space="preserve"> and </w:t>
      </w:r>
      <w:r w:rsidR="003F080E">
        <w:t xml:space="preserve">considers only the limitations of the second two challenges, </w:t>
      </w:r>
      <w:r w:rsidR="00332EB4">
        <w:t>it</w:t>
      </w:r>
      <w:r w:rsidR="006D3E69">
        <w:t xml:space="preserve"> may be</w:t>
      </w:r>
      <w:r w:rsidR="00332EB4">
        <w:t xml:space="preserve"> possible to derive </w:t>
      </w:r>
      <w:r w:rsidR="009E7A41">
        <w:t>a</w:t>
      </w:r>
      <w:r w:rsidR="00C56AE4">
        <w:t xml:space="preserve"> broad </w:t>
      </w:r>
      <w:r w:rsidR="00332EB4">
        <w:t>estimate of the</w:t>
      </w:r>
      <w:r w:rsidR="009E7A41">
        <w:t xml:space="preserve"> volume and value of </w:t>
      </w:r>
      <w:r w:rsidR="0012721C">
        <w:t xml:space="preserve">MBS </w:t>
      </w:r>
      <w:r w:rsidR="009E7A41">
        <w:t>non-compliance</w:t>
      </w:r>
      <w:r w:rsidR="0012721C">
        <w:t>.</w:t>
      </w:r>
      <w:r w:rsidR="007763BC">
        <w:t xml:space="preserve"> </w:t>
      </w:r>
      <w:r w:rsidR="000F6619">
        <w:t xml:space="preserve">However, </w:t>
      </w:r>
      <w:r w:rsidR="00056B63">
        <w:t xml:space="preserve">there is no </w:t>
      </w:r>
      <w:r w:rsidR="00165197">
        <w:t>‘one size fits all’ approach</w:t>
      </w:r>
      <w:r w:rsidR="008B655C">
        <w:t xml:space="preserve"> to</w:t>
      </w:r>
      <w:r w:rsidR="00165197">
        <w:t xml:space="preserve"> </w:t>
      </w:r>
      <w:r w:rsidR="00DB3CEA">
        <w:t xml:space="preserve">this </w:t>
      </w:r>
      <w:r w:rsidR="00165197">
        <w:t>analysis</w:t>
      </w:r>
      <w:r w:rsidR="00A44CAB">
        <w:t>. D</w:t>
      </w:r>
      <w:r w:rsidR="00165197">
        <w:t>ifferent non-complian</w:t>
      </w:r>
      <w:r w:rsidR="000671AD">
        <w:t xml:space="preserve">t </w:t>
      </w:r>
      <w:r w:rsidR="00165197">
        <w:t>behaviour type</w:t>
      </w:r>
      <w:r w:rsidR="005542EC">
        <w:t>s</w:t>
      </w:r>
      <w:r w:rsidR="00165197">
        <w:t xml:space="preserve"> require </w:t>
      </w:r>
      <w:r w:rsidR="00EA1C02">
        <w:t xml:space="preserve">different </w:t>
      </w:r>
      <w:r w:rsidR="00117D75">
        <w:t xml:space="preserve">validation </w:t>
      </w:r>
      <w:r w:rsidR="00EA1C02">
        <w:t xml:space="preserve">methods to </w:t>
      </w:r>
      <w:r w:rsidR="00F532EF">
        <w:t>inform a definitive assessment of</w:t>
      </w:r>
      <w:r w:rsidR="003B22EF">
        <w:t xml:space="preserve"> </w:t>
      </w:r>
      <w:r w:rsidR="00EA1C02">
        <w:t>whether</w:t>
      </w:r>
      <w:r w:rsidR="00B956E0">
        <w:t xml:space="preserve"> </w:t>
      </w:r>
      <w:r w:rsidR="00EA1C02">
        <w:t>a claim is non-</w:t>
      </w:r>
      <w:r w:rsidR="003B22EF">
        <w:t>compliant.</w:t>
      </w:r>
      <w:r w:rsidR="00C675FE">
        <w:t xml:space="preserve"> This is shown in</w:t>
      </w:r>
      <w:r w:rsidR="00280690">
        <w:t xml:space="preserve"> </w:t>
      </w:r>
      <w:r w:rsidR="00B76530">
        <w:fldChar w:fldCharType="begin"/>
      </w:r>
      <w:r w:rsidR="00B76530">
        <w:instrText xml:space="preserve"> REF _Ref128639685 \r \h </w:instrText>
      </w:r>
      <w:r w:rsidR="00B76530">
        <w:fldChar w:fldCharType="separate"/>
      </w:r>
      <w:r w:rsidR="005A1647">
        <w:t>Table 2.9</w:t>
      </w:r>
      <w:r w:rsidR="00B76530">
        <w:fldChar w:fldCharType="end"/>
      </w:r>
      <w:r w:rsidR="00C675FE">
        <w:t xml:space="preserve">, which </w:t>
      </w:r>
      <w:r w:rsidR="00381DCB">
        <w:t xml:space="preserve">provides a framework for </w:t>
      </w:r>
      <w:r w:rsidR="00E945EF">
        <w:t>categorising</w:t>
      </w:r>
      <w:r w:rsidR="00381DCB">
        <w:t xml:space="preserve"> </w:t>
      </w:r>
      <w:r w:rsidR="00E945EF">
        <w:t xml:space="preserve">each non-compliant </w:t>
      </w:r>
      <w:r w:rsidR="00994F8F">
        <w:t>behaviour</w:t>
      </w:r>
      <w:r w:rsidR="00E945EF">
        <w:t xml:space="preserve"> type by the validation method required</w:t>
      </w:r>
      <w:r w:rsidR="00C43025">
        <w:t>:</w:t>
      </w:r>
    </w:p>
    <w:p w14:paraId="031E6479" w14:textId="66FE6F70" w:rsidR="00C43025" w:rsidRDefault="0052560B" w:rsidP="00DC7291">
      <w:pPr>
        <w:pStyle w:val="ListNumber"/>
        <w:numPr>
          <w:ilvl w:val="0"/>
          <w:numId w:val="20"/>
        </w:numPr>
      </w:pPr>
      <w:r>
        <w:t>Requires no c</w:t>
      </w:r>
      <w:r w:rsidR="00ED1324">
        <w:t>linical</w:t>
      </w:r>
      <w:r>
        <w:t xml:space="preserve"> context</w:t>
      </w:r>
      <w:r w:rsidR="006459D1">
        <w:t xml:space="preserve"> </w:t>
      </w:r>
      <w:r w:rsidR="00AD281B">
        <w:t>and can be assessed with</w:t>
      </w:r>
      <w:r w:rsidR="007D4BEF">
        <w:t xml:space="preserve"> readily</w:t>
      </w:r>
      <w:r w:rsidR="00AD281B">
        <w:t xml:space="preserve"> available data</w:t>
      </w:r>
    </w:p>
    <w:p w14:paraId="3BCFC17A" w14:textId="5E7CFDFA" w:rsidR="006459D1" w:rsidRDefault="006459D1" w:rsidP="004A77D7">
      <w:pPr>
        <w:pStyle w:val="ListNumber"/>
      </w:pPr>
      <w:r>
        <w:t xml:space="preserve">Requires no clinical </w:t>
      </w:r>
      <w:r w:rsidR="00271CE6">
        <w:t>context but</w:t>
      </w:r>
      <w:r>
        <w:t xml:space="preserve"> </w:t>
      </w:r>
      <w:r w:rsidR="00AD281B">
        <w:t xml:space="preserve">requires </w:t>
      </w:r>
      <w:r w:rsidR="003761AA">
        <w:t>advanced data analytics capabilities</w:t>
      </w:r>
    </w:p>
    <w:p w14:paraId="34231ED7" w14:textId="7378BEDD" w:rsidR="00AD281B" w:rsidRDefault="00271CE6" w:rsidP="004A77D7">
      <w:pPr>
        <w:pStyle w:val="ListNumber"/>
      </w:pPr>
      <w:r>
        <w:t>Requires clinical context.</w:t>
      </w:r>
    </w:p>
    <w:p w14:paraId="0F0B0007" w14:textId="4A7BEF22" w:rsidR="00D17620" w:rsidRDefault="00D17620" w:rsidP="00940D39">
      <w:pPr>
        <w:pStyle w:val="CaptionTable"/>
        <w:ind w:left="0"/>
      </w:pPr>
      <w:bookmarkStart w:id="166" w:name="_Ref128639685"/>
      <w:bookmarkStart w:id="167" w:name="_Toc131418579"/>
      <w:r>
        <w:t>:</w:t>
      </w:r>
      <w:r w:rsidR="005E4C53">
        <w:t xml:space="preserve"> </w:t>
      </w:r>
      <w:r w:rsidR="007A7A15">
        <w:t>Framework for c</w:t>
      </w:r>
      <w:r w:rsidR="005E4C53">
        <w:t>ategori</w:t>
      </w:r>
      <w:r w:rsidR="003960B7">
        <w:t>s</w:t>
      </w:r>
      <w:r w:rsidR="007A7A15">
        <w:t>ing</w:t>
      </w:r>
      <w:r w:rsidR="003960B7">
        <w:t xml:space="preserve"> non-compliant </w:t>
      </w:r>
      <w:r w:rsidR="00996297">
        <w:t xml:space="preserve">behaviour types by </w:t>
      </w:r>
      <w:r w:rsidR="0052502A">
        <w:t>validation required</w:t>
      </w:r>
      <w:bookmarkEnd w:id="166"/>
      <w:bookmarkEnd w:id="167"/>
    </w:p>
    <w:tbl>
      <w:tblPr>
        <w:tblStyle w:val="Deloittetable"/>
        <w:tblW w:w="10490" w:type="dxa"/>
        <w:tblLook w:val="04A0" w:firstRow="1" w:lastRow="0" w:firstColumn="1" w:lastColumn="0" w:noHBand="0" w:noVBand="1"/>
      </w:tblPr>
      <w:tblGrid>
        <w:gridCol w:w="2589"/>
        <w:gridCol w:w="2816"/>
        <w:gridCol w:w="2817"/>
        <w:gridCol w:w="2244"/>
        <w:gridCol w:w="24"/>
      </w:tblGrid>
      <w:tr w:rsidR="00890A4E" w:rsidRPr="00E85674" w14:paraId="43183196" w14:textId="77777777" w:rsidTr="00405174">
        <w:trPr>
          <w:gridAfter w:val="1"/>
          <w:cnfStyle w:val="100000000000" w:firstRow="1" w:lastRow="0" w:firstColumn="0" w:lastColumn="0" w:oddVBand="0" w:evenVBand="0" w:oddHBand="0" w:evenHBand="0" w:firstRowFirstColumn="0" w:firstRowLastColumn="0" w:lastRowFirstColumn="0" w:lastRowLastColumn="0"/>
          <w:wAfter w:w="24" w:type="dxa"/>
          <w:tblHeader/>
        </w:trPr>
        <w:tc>
          <w:tcPr>
            <w:tcW w:w="2589" w:type="dxa"/>
            <w:tcBorders>
              <w:top w:val="single" w:sz="24" w:space="0" w:color="005587"/>
            </w:tcBorders>
          </w:tcPr>
          <w:p w14:paraId="79675B9F" w14:textId="20A24ABB" w:rsidR="00890A4E" w:rsidRPr="00405174" w:rsidRDefault="00890A4E" w:rsidP="00405174">
            <w:r w:rsidRPr="00405174">
              <w:t>Data requirement for validation</w:t>
            </w:r>
          </w:p>
        </w:tc>
        <w:tc>
          <w:tcPr>
            <w:tcW w:w="2816" w:type="dxa"/>
            <w:tcBorders>
              <w:top w:val="single" w:sz="24" w:space="0" w:color="005587"/>
            </w:tcBorders>
          </w:tcPr>
          <w:p w14:paraId="0D32E4EA" w14:textId="0D19BB08" w:rsidR="00890A4E" w:rsidRPr="00405174" w:rsidRDefault="00890A4E" w:rsidP="00405174">
            <w:r w:rsidRPr="00405174">
              <w:t>Description</w:t>
            </w:r>
          </w:p>
        </w:tc>
        <w:tc>
          <w:tcPr>
            <w:tcW w:w="2817" w:type="dxa"/>
            <w:tcBorders>
              <w:top w:val="single" w:sz="24" w:space="0" w:color="005587"/>
            </w:tcBorders>
          </w:tcPr>
          <w:p w14:paraId="7484AC1D" w14:textId="2F28E63E" w:rsidR="00890A4E" w:rsidRPr="00405174" w:rsidRDefault="0020713A" w:rsidP="00405174">
            <w:r w:rsidRPr="00405174">
              <w:t>E</w:t>
            </w:r>
            <w:r w:rsidR="00890A4E" w:rsidRPr="00405174">
              <w:t>xamples</w:t>
            </w:r>
            <w:r w:rsidRPr="00405174">
              <w:t xml:space="preserve"> of non-compliant behaviour</w:t>
            </w:r>
            <w:r w:rsidR="00457B8F" w:rsidRPr="00405174">
              <w:t xml:space="preserve"> types</w:t>
            </w:r>
          </w:p>
        </w:tc>
        <w:tc>
          <w:tcPr>
            <w:tcW w:w="2244" w:type="dxa"/>
            <w:tcBorders>
              <w:top w:val="single" w:sz="24" w:space="0" w:color="005587"/>
            </w:tcBorders>
          </w:tcPr>
          <w:p w14:paraId="20CBBCD6" w14:textId="4F15A52D" w:rsidR="00890A4E" w:rsidRPr="00405174" w:rsidRDefault="001B0373" w:rsidP="00405174">
            <w:r w:rsidRPr="00405174">
              <w:t>F</w:t>
            </w:r>
            <w:r w:rsidR="00890A4E" w:rsidRPr="00405174">
              <w:t>easibility</w:t>
            </w:r>
            <w:r w:rsidRPr="00405174">
              <w:t xml:space="preserve"> of determining non-compliance</w:t>
            </w:r>
          </w:p>
        </w:tc>
      </w:tr>
      <w:tr w:rsidR="00327075" w14:paraId="3FE9ED6E" w14:textId="77777777" w:rsidTr="00405174">
        <w:tc>
          <w:tcPr>
            <w:tcW w:w="2589" w:type="dxa"/>
          </w:tcPr>
          <w:p w14:paraId="12332B26" w14:textId="0F50D884" w:rsidR="00890A4E" w:rsidRPr="00A86B7F" w:rsidRDefault="007B5610" w:rsidP="00405174">
            <w:pPr>
              <w:pStyle w:val="TabletextLeft"/>
              <w:rPr>
                <w:b/>
              </w:rPr>
            </w:pPr>
            <w:r w:rsidRPr="00A86B7F">
              <w:rPr>
                <w:b/>
              </w:rPr>
              <w:t xml:space="preserve">Requires no </w:t>
            </w:r>
            <w:r w:rsidR="00890A4E" w:rsidRPr="00A86B7F">
              <w:rPr>
                <w:b/>
              </w:rPr>
              <w:t xml:space="preserve">clinical context </w:t>
            </w:r>
            <w:r w:rsidRPr="00A86B7F">
              <w:rPr>
                <w:b/>
              </w:rPr>
              <w:t xml:space="preserve">and can be assessed with </w:t>
            </w:r>
            <w:r w:rsidR="00890A4E" w:rsidRPr="00A86B7F">
              <w:rPr>
                <w:b/>
              </w:rPr>
              <w:t>readily available</w:t>
            </w:r>
            <w:r w:rsidRPr="00A86B7F">
              <w:rPr>
                <w:b/>
              </w:rPr>
              <w:t xml:space="preserve"> data</w:t>
            </w:r>
          </w:p>
        </w:tc>
        <w:tc>
          <w:tcPr>
            <w:tcW w:w="2816" w:type="dxa"/>
          </w:tcPr>
          <w:p w14:paraId="500B1A9C" w14:textId="68AF96EE" w:rsidR="00890A4E" w:rsidRPr="00405174" w:rsidRDefault="005A5816" w:rsidP="00405174">
            <w:pPr>
              <w:pStyle w:val="TabletextLeft"/>
            </w:pPr>
            <w:r w:rsidRPr="00405174">
              <w:t>Simple</w:t>
            </w:r>
            <w:r w:rsidR="00890A4E" w:rsidRPr="00405174">
              <w:t xml:space="preserve"> </w:t>
            </w:r>
            <w:r w:rsidR="00C35065" w:rsidRPr="00405174">
              <w:t xml:space="preserve">rules-based </w:t>
            </w:r>
            <w:r w:rsidR="00896B09" w:rsidRPr="00405174">
              <w:t>analysis</w:t>
            </w:r>
            <w:r w:rsidR="007C7E1C" w:rsidRPr="00405174">
              <w:t xml:space="preserve"> </w:t>
            </w:r>
            <w:r w:rsidR="00896B09" w:rsidRPr="00405174">
              <w:t xml:space="preserve">of MBS datasets </w:t>
            </w:r>
            <w:r w:rsidR="00890A4E" w:rsidRPr="00405174">
              <w:t>is required to determine</w:t>
            </w:r>
            <w:r w:rsidR="00896B09" w:rsidRPr="00405174">
              <w:t xml:space="preserve"> </w:t>
            </w:r>
            <w:r w:rsidR="00890A4E" w:rsidRPr="00405174">
              <w:t>non-compliance</w:t>
            </w:r>
          </w:p>
        </w:tc>
        <w:tc>
          <w:tcPr>
            <w:tcW w:w="2817" w:type="dxa"/>
          </w:tcPr>
          <w:p w14:paraId="5508A94A" w14:textId="2B217D65" w:rsidR="00890A4E" w:rsidRPr="00405174" w:rsidRDefault="00890A4E" w:rsidP="00405174">
            <w:pPr>
              <w:pStyle w:val="TabletextLeft"/>
            </w:pPr>
            <w:r w:rsidRPr="00405174">
              <w:t>Specialists and consultants claiming multiple professional attendances on the same day for the same patient</w:t>
            </w:r>
          </w:p>
        </w:tc>
        <w:tc>
          <w:tcPr>
            <w:tcW w:w="2268" w:type="dxa"/>
            <w:gridSpan w:val="2"/>
            <w:shd w:val="clear" w:color="auto" w:fill="E7F5CF" w:themeFill="accent1" w:themeFillTint="33"/>
          </w:tcPr>
          <w:p w14:paraId="485354D3" w14:textId="6750D939" w:rsidR="00890A4E" w:rsidRDefault="00890A4E" w:rsidP="00405174">
            <w:pPr>
              <w:pStyle w:val="TabletextLeft"/>
            </w:pPr>
            <w:r>
              <w:t>High</w:t>
            </w:r>
          </w:p>
        </w:tc>
      </w:tr>
      <w:tr w:rsidR="00327075" w14:paraId="21A06680" w14:textId="77777777" w:rsidTr="00405174">
        <w:tc>
          <w:tcPr>
            <w:tcW w:w="2589" w:type="dxa"/>
          </w:tcPr>
          <w:p w14:paraId="5CBCD8FD" w14:textId="06AFE4EE" w:rsidR="00890A4E" w:rsidRPr="00A86B7F" w:rsidRDefault="007B5610" w:rsidP="00405174">
            <w:pPr>
              <w:pStyle w:val="TabletextLeft"/>
              <w:rPr>
                <w:b/>
              </w:rPr>
            </w:pPr>
            <w:r w:rsidRPr="00A86B7F">
              <w:rPr>
                <w:b/>
              </w:rPr>
              <w:t xml:space="preserve">Requires no clinical context but requires </w:t>
            </w:r>
            <w:r w:rsidR="003761AA" w:rsidRPr="00A86B7F">
              <w:rPr>
                <w:b/>
              </w:rPr>
              <w:t>advanced data analytics capabilities</w:t>
            </w:r>
          </w:p>
        </w:tc>
        <w:tc>
          <w:tcPr>
            <w:tcW w:w="2816" w:type="dxa"/>
          </w:tcPr>
          <w:p w14:paraId="53DD536D" w14:textId="6F1B9C6C" w:rsidR="00890A4E" w:rsidRPr="00405174" w:rsidRDefault="00F971FE" w:rsidP="00405174">
            <w:pPr>
              <w:pStyle w:val="TabletextLeft"/>
            </w:pPr>
            <w:r w:rsidRPr="00405174">
              <w:t xml:space="preserve">Complex </w:t>
            </w:r>
            <w:r w:rsidR="00895B8F" w:rsidRPr="00405174">
              <w:t>analysis of MBS</w:t>
            </w:r>
            <w:r w:rsidR="00890A4E" w:rsidRPr="00405174">
              <w:t xml:space="preserve"> data</w:t>
            </w:r>
            <w:r w:rsidR="00895B8F" w:rsidRPr="00405174">
              <w:t>sets</w:t>
            </w:r>
            <w:r w:rsidR="00A63F99" w:rsidRPr="00405174">
              <w:t xml:space="preserve"> and/or other data </w:t>
            </w:r>
            <w:r w:rsidR="00D405C6" w:rsidRPr="00405174">
              <w:t xml:space="preserve">sources </w:t>
            </w:r>
            <w:r w:rsidRPr="00405174">
              <w:t>is</w:t>
            </w:r>
            <w:r w:rsidR="00890A4E" w:rsidRPr="00405174">
              <w:t xml:space="preserve"> required to determine </w:t>
            </w:r>
            <w:r w:rsidR="00890A4E" w:rsidRPr="00405174">
              <w:lastRenderedPageBreak/>
              <w:t>non-compliance. This</w:t>
            </w:r>
            <w:r w:rsidR="00AD75C3" w:rsidRPr="00405174">
              <w:t xml:space="preserve"> may</w:t>
            </w:r>
            <w:r w:rsidR="00890A4E" w:rsidRPr="00405174">
              <w:t xml:space="preserve"> </w:t>
            </w:r>
            <w:r w:rsidR="008C2DCE" w:rsidRPr="00405174">
              <w:t>require</w:t>
            </w:r>
            <w:r w:rsidR="00890A4E" w:rsidRPr="00405174">
              <w:t xml:space="preserve"> linked service events</w:t>
            </w:r>
            <w:r w:rsidR="003761AA" w:rsidRPr="00405174">
              <w:t xml:space="preserve"> </w:t>
            </w:r>
            <w:r w:rsidR="00895B8F" w:rsidRPr="00405174">
              <w:t>(</w:t>
            </w:r>
            <w:r w:rsidR="003761AA" w:rsidRPr="00405174">
              <w:t>across multiple providers</w:t>
            </w:r>
            <w:r w:rsidR="00895B8F" w:rsidRPr="00405174">
              <w:t xml:space="preserve"> or patients</w:t>
            </w:r>
            <w:r w:rsidR="003761AA" w:rsidRPr="00405174">
              <w:t>)</w:t>
            </w:r>
            <w:r w:rsidR="00890A4E" w:rsidRPr="00405174">
              <w:t xml:space="preserve"> </w:t>
            </w:r>
            <w:r w:rsidR="00063D71" w:rsidRPr="00405174">
              <w:t xml:space="preserve">or </w:t>
            </w:r>
            <w:r w:rsidR="00E35378" w:rsidRPr="00405174">
              <w:t xml:space="preserve">matching with other </w:t>
            </w:r>
            <w:r w:rsidR="00063D71" w:rsidRPr="00405174">
              <w:t xml:space="preserve">data </w:t>
            </w:r>
            <w:r w:rsidR="003761AA" w:rsidRPr="00405174">
              <w:t>assets</w:t>
            </w:r>
            <w:r w:rsidR="00ED728B" w:rsidRPr="00405174">
              <w:t xml:space="preserve"> (</w:t>
            </w:r>
            <w:proofErr w:type="gramStart"/>
            <w:r w:rsidR="00904BFD" w:rsidRPr="00405174">
              <w:t>e.g.</w:t>
            </w:r>
            <w:proofErr w:type="gramEnd"/>
            <w:r w:rsidR="00ED728B" w:rsidRPr="00405174">
              <w:t xml:space="preserve"> </w:t>
            </w:r>
            <w:r w:rsidR="000801A8" w:rsidRPr="00405174">
              <w:t>h</w:t>
            </w:r>
            <w:r w:rsidR="00717EF4" w:rsidRPr="00405174">
              <w:t>ome affairs data)</w:t>
            </w:r>
          </w:p>
        </w:tc>
        <w:tc>
          <w:tcPr>
            <w:tcW w:w="2817" w:type="dxa"/>
          </w:tcPr>
          <w:p w14:paraId="617D102B" w14:textId="77777777" w:rsidR="00890A4E" w:rsidRPr="00405174" w:rsidRDefault="00890A4E" w:rsidP="00405174">
            <w:pPr>
              <w:pStyle w:val="TabletextLeft"/>
            </w:pPr>
            <w:r w:rsidRPr="00405174">
              <w:lastRenderedPageBreak/>
              <w:t xml:space="preserve">Claiming for </w:t>
            </w:r>
            <w:r w:rsidR="00BE0993" w:rsidRPr="00405174">
              <w:t xml:space="preserve">an attendance with </w:t>
            </w:r>
            <w:r w:rsidR="00D23D54" w:rsidRPr="00405174">
              <w:t>a</w:t>
            </w:r>
            <w:r w:rsidRPr="00405174">
              <w:t xml:space="preserve"> deceased patient</w:t>
            </w:r>
          </w:p>
          <w:p w14:paraId="6CD65D8D" w14:textId="15E22581" w:rsidR="00890A4E" w:rsidRPr="00405174" w:rsidRDefault="00890A4E" w:rsidP="00405174">
            <w:pPr>
              <w:pStyle w:val="TabletextLeft"/>
            </w:pPr>
            <w:r w:rsidRPr="00405174">
              <w:lastRenderedPageBreak/>
              <w:t xml:space="preserve">Claiming anaesthesia </w:t>
            </w:r>
            <w:r w:rsidR="00BE0993" w:rsidRPr="00405174">
              <w:t xml:space="preserve">item </w:t>
            </w:r>
            <w:r w:rsidRPr="00405174">
              <w:t>without linked surgical activity</w:t>
            </w:r>
          </w:p>
        </w:tc>
        <w:tc>
          <w:tcPr>
            <w:tcW w:w="2268" w:type="dxa"/>
            <w:gridSpan w:val="2"/>
            <w:shd w:val="clear" w:color="auto" w:fill="FFE181"/>
          </w:tcPr>
          <w:p w14:paraId="76CFEC12" w14:textId="1FC57E36" w:rsidR="00890A4E" w:rsidRDefault="00890A4E" w:rsidP="00405174">
            <w:pPr>
              <w:pStyle w:val="TabletextLeft"/>
            </w:pPr>
            <w:r>
              <w:lastRenderedPageBreak/>
              <w:t>Medium</w:t>
            </w:r>
          </w:p>
        </w:tc>
      </w:tr>
      <w:tr w:rsidR="00327075" w14:paraId="29CA40F4" w14:textId="77777777" w:rsidTr="00405174">
        <w:tc>
          <w:tcPr>
            <w:tcW w:w="2589" w:type="dxa"/>
          </w:tcPr>
          <w:p w14:paraId="3E0A1A90" w14:textId="7687A7DE" w:rsidR="00890A4E" w:rsidRPr="00A86B7F" w:rsidRDefault="007B5610" w:rsidP="00405174">
            <w:pPr>
              <w:pStyle w:val="TabletextLeft"/>
              <w:rPr>
                <w:b/>
              </w:rPr>
            </w:pPr>
            <w:r w:rsidRPr="00A86B7F">
              <w:rPr>
                <w:b/>
              </w:rPr>
              <w:t>Requires clinical context</w:t>
            </w:r>
          </w:p>
        </w:tc>
        <w:tc>
          <w:tcPr>
            <w:tcW w:w="2816" w:type="dxa"/>
          </w:tcPr>
          <w:p w14:paraId="24A9EAB8" w14:textId="4CC786A5" w:rsidR="00890A4E" w:rsidRDefault="00DE6A80" w:rsidP="00405174">
            <w:pPr>
              <w:pStyle w:val="TabletextLeft"/>
            </w:pPr>
            <w:r>
              <w:t>Requires understanding of the clinical</w:t>
            </w:r>
            <w:r w:rsidR="00890A4E">
              <w:t xml:space="preserve"> context </w:t>
            </w:r>
            <w:r>
              <w:t>(</w:t>
            </w:r>
            <w:proofErr w:type="gramStart"/>
            <w:r w:rsidR="00904BFD">
              <w:t>e.g.</w:t>
            </w:r>
            <w:proofErr w:type="gramEnd"/>
            <w:r>
              <w:t xml:space="preserve"> </w:t>
            </w:r>
            <w:r w:rsidR="00890A4E">
              <w:t>through patient medical records or physical presence at time of care</w:t>
            </w:r>
            <w:r>
              <w:t>)</w:t>
            </w:r>
            <w:r w:rsidR="00890A4E">
              <w:t xml:space="preserve"> to definitively determine non-compliance</w:t>
            </w:r>
          </w:p>
        </w:tc>
        <w:tc>
          <w:tcPr>
            <w:tcW w:w="2817" w:type="dxa"/>
          </w:tcPr>
          <w:p w14:paraId="28E9EFA1" w14:textId="77777777" w:rsidR="005F6B4B" w:rsidRPr="00405174" w:rsidRDefault="005375DB" w:rsidP="00405174">
            <w:pPr>
              <w:pStyle w:val="TabletextLeft"/>
            </w:pPr>
            <w:r>
              <w:t>Claiming for</w:t>
            </w:r>
            <w:r w:rsidR="00890A4E" w:rsidRPr="00BA13EC">
              <w:t xml:space="preserve"> </w:t>
            </w:r>
            <w:r w:rsidR="007B72EC">
              <w:t>pathology or diagnostic tests</w:t>
            </w:r>
            <w:r w:rsidR="00890A4E" w:rsidRPr="00BA13EC">
              <w:t xml:space="preserve"> that are</w:t>
            </w:r>
            <w:r w:rsidR="00890A4E">
              <w:t xml:space="preserve"> not</w:t>
            </w:r>
            <w:r w:rsidR="00890A4E" w:rsidRPr="00BA13EC">
              <w:t xml:space="preserve"> clinically indicated </w:t>
            </w:r>
          </w:p>
          <w:p w14:paraId="259E579B" w14:textId="319ACE74" w:rsidR="00890A4E" w:rsidRDefault="00890A4E" w:rsidP="00405174">
            <w:pPr>
              <w:pStyle w:val="TabletextLeft"/>
            </w:pPr>
            <w:r>
              <w:t xml:space="preserve">Abscess drained through regular consultation and no claim made on eligible co-claim procedure item (30219) </w:t>
            </w:r>
          </w:p>
        </w:tc>
        <w:tc>
          <w:tcPr>
            <w:tcW w:w="2268" w:type="dxa"/>
            <w:gridSpan w:val="2"/>
            <w:shd w:val="clear" w:color="auto" w:fill="FF7575"/>
          </w:tcPr>
          <w:p w14:paraId="4693A914" w14:textId="1AEEFF40" w:rsidR="00890A4E" w:rsidRDefault="00890A4E" w:rsidP="00405174">
            <w:pPr>
              <w:pStyle w:val="TabletextLeft"/>
            </w:pPr>
            <w:r>
              <w:t>Low</w:t>
            </w:r>
          </w:p>
        </w:tc>
      </w:tr>
    </w:tbl>
    <w:p w14:paraId="67A57004" w14:textId="22F8D551" w:rsidR="00804C94" w:rsidRPr="008F226B" w:rsidRDefault="00804C94" w:rsidP="008F226B">
      <w:pPr>
        <w:pStyle w:val="Caption"/>
      </w:pPr>
      <w:r>
        <w:t>Source: Philip Review (2023)</w:t>
      </w:r>
    </w:p>
    <w:p w14:paraId="3C806949" w14:textId="35E6FBAE" w:rsidR="002302DD" w:rsidRDefault="00D12B0D" w:rsidP="00682908">
      <w:r w:rsidRPr="009D1791">
        <w:t>Th</w:t>
      </w:r>
      <w:r w:rsidR="00BD4E4C" w:rsidRPr="009D1791">
        <w:t xml:space="preserve">is framework </w:t>
      </w:r>
      <w:r w:rsidR="008213C4" w:rsidRPr="009D1791">
        <w:t>illustrates</w:t>
      </w:r>
      <w:r w:rsidR="00BD4E4C" w:rsidRPr="009D1791">
        <w:t xml:space="preserve"> </w:t>
      </w:r>
      <w:r w:rsidR="00A71139" w:rsidRPr="009D1791">
        <w:t xml:space="preserve">the </w:t>
      </w:r>
      <w:r w:rsidR="00531B63" w:rsidRPr="009D1791">
        <w:t>key</w:t>
      </w:r>
      <w:r w:rsidR="00A71139" w:rsidRPr="009D1791">
        <w:t xml:space="preserve"> challenge inherent </w:t>
      </w:r>
      <w:r w:rsidR="00B956E0" w:rsidRPr="009D1791">
        <w:t xml:space="preserve">in </w:t>
      </w:r>
      <w:r w:rsidR="00BF01EF" w:rsidRPr="009D1791">
        <w:t>attempting to quantify the level of MBS non-compliance</w:t>
      </w:r>
      <w:r w:rsidR="00531B63" w:rsidRPr="009D1791">
        <w:t>: s</w:t>
      </w:r>
      <w:r w:rsidR="0048511C" w:rsidRPr="009D1791">
        <w:t xml:space="preserve">ome </w:t>
      </w:r>
      <w:r w:rsidR="005F0A81" w:rsidRPr="009D1791">
        <w:t>forms of non-compliance can be easily identified through simple analysis of MBS claims data</w:t>
      </w:r>
      <w:r w:rsidR="00E73C97" w:rsidRPr="009D1791">
        <w:t>;</w:t>
      </w:r>
      <w:r w:rsidR="005F0A81" w:rsidRPr="009D1791">
        <w:t xml:space="preserve"> howe</w:t>
      </w:r>
      <w:r w:rsidR="00672C15" w:rsidRPr="009D1791">
        <w:t>ver</w:t>
      </w:r>
      <w:r w:rsidR="00E73C97" w:rsidRPr="009D1791">
        <w:t>,</w:t>
      </w:r>
      <w:r w:rsidR="00672C15" w:rsidRPr="009D1791">
        <w:t xml:space="preserve"> </w:t>
      </w:r>
      <w:r w:rsidR="003A1FFB" w:rsidRPr="009D1791">
        <w:t>many</w:t>
      </w:r>
      <w:r w:rsidR="00672C15" w:rsidRPr="009D1791">
        <w:t xml:space="preserve"> forms of non-compliance </w:t>
      </w:r>
      <w:r w:rsidR="001C65D7" w:rsidRPr="009D1791">
        <w:t xml:space="preserve">require </w:t>
      </w:r>
      <w:r w:rsidR="00616835" w:rsidRPr="009D1791">
        <w:t>a</w:t>
      </w:r>
      <w:r w:rsidR="00403B05" w:rsidRPr="009D1791">
        <w:t xml:space="preserve">n </w:t>
      </w:r>
      <w:r w:rsidR="00616835" w:rsidRPr="009D1791">
        <w:t xml:space="preserve">assessment </w:t>
      </w:r>
      <w:r w:rsidR="00F107CA" w:rsidRPr="009D1791">
        <w:t>of</w:t>
      </w:r>
      <w:r w:rsidR="009950E1" w:rsidRPr="009D1791">
        <w:t xml:space="preserve"> the clinical appropriateness of </w:t>
      </w:r>
      <w:r w:rsidR="005C1186" w:rsidRPr="009D1791">
        <w:t>each</w:t>
      </w:r>
      <w:r w:rsidR="009950E1" w:rsidRPr="009D1791">
        <w:t xml:space="preserve"> claim.</w:t>
      </w:r>
      <w:r w:rsidR="008D40C5">
        <w:t xml:space="preserve"> </w:t>
      </w:r>
    </w:p>
    <w:p w14:paraId="77FFF3EC" w14:textId="5FBF6228" w:rsidR="001E7505" w:rsidRDefault="00EA0E86" w:rsidP="00682908">
      <w:r>
        <w:t>Method</w:t>
      </w:r>
      <w:r w:rsidR="0005361B">
        <w:t>s</w:t>
      </w:r>
      <w:r w:rsidR="001E7505">
        <w:t xml:space="preserve"> to estimate </w:t>
      </w:r>
      <w:r w:rsidR="00CD3AFA">
        <w:t xml:space="preserve">the value of MBS non-compliance </w:t>
      </w:r>
      <w:r w:rsidR="00A15001">
        <w:t xml:space="preserve">can be classified into </w:t>
      </w:r>
      <w:r w:rsidR="003C7A0D">
        <w:t xml:space="preserve">the following </w:t>
      </w:r>
      <w:r w:rsidR="00A15001">
        <w:t>two broad categories</w:t>
      </w:r>
      <w:r w:rsidR="00CD3AFA">
        <w:t>:</w:t>
      </w:r>
    </w:p>
    <w:p w14:paraId="0A88C5E1" w14:textId="592CD8BA" w:rsidR="00A7137A" w:rsidRDefault="00C71F62" w:rsidP="00520404">
      <w:pPr>
        <w:pStyle w:val="ListBullet"/>
      </w:pPr>
      <w:r>
        <w:rPr>
          <w:b/>
        </w:rPr>
        <w:t>E</w:t>
      </w:r>
      <w:r w:rsidR="00ED26E6">
        <w:rPr>
          <w:b/>
        </w:rPr>
        <w:t>xternal approach</w:t>
      </w:r>
      <w:r>
        <w:rPr>
          <w:b/>
        </w:rPr>
        <w:t xml:space="preserve"> </w:t>
      </w:r>
      <w:r w:rsidR="00824553">
        <w:rPr>
          <w:b/>
        </w:rPr>
        <w:t>(</w:t>
      </w:r>
      <w:r>
        <w:rPr>
          <w:b/>
        </w:rPr>
        <w:t>assumption</w:t>
      </w:r>
      <w:r w:rsidR="008C70BF">
        <w:rPr>
          <w:b/>
        </w:rPr>
        <w:t>-led</w:t>
      </w:r>
      <w:r w:rsidR="00A7137A" w:rsidRPr="000A03E7">
        <w:rPr>
          <w:b/>
        </w:rPr>
        <w:t xml:space="preserve"> approaches</w:t>
      </w:r>
      <w:r w:rsidR="008C70BF">
        <w:rPr>
          <w:b/>
        </w:rPr>
        <w:t xml:space="preserve"> </w:t>
      </w:r>
      <w:r w:rsidR="00ED26E6">
        <w:rPr>
          <w:b/>
        </w:rPr>
        <w:t>informed by external benchmarks</w:t>
      </w:r>
      <w:r w:rsidR="00824553">
        <w:rPr>
          <w:b/>
        </w:rPr>
        <w:t>)</w:t>
      </w:r>
      <w:r w:rsidR="00ED26E6">
        <w:rPr>
          <w:b/>
        </w:rPr>
        <w:t xml:space="preserve"> </w:t>
      </w:r>
      <w:r w:rsidR="00824553">
        <w:rPr>
          <w:b/>
        </w:rPr>
        <w:t xml:space="preserve">- </w:t>
      </w:r>
      <w:r w:rsidR="00BE0A47">
        <w:t>Seeks</w:t>
      </w:r>
      <w:r w:rsidR="00A7137A">
        <w:t xml:space="preserve"> to estimate the </w:t>
      </w:r>
      <w:r w:rsidR="00737901">
        <w:t>total</w:t>
      </w:r>
      <w:r w:rsidR="00A91F1D">
        <w:t xml:space="preserve"> level</w:t>
      </w:r>
      <w:r w:rsidR="00007183">
        <w:t xml:space="preserve"> of non-compliance </w:t>
      </w:r>
      <w:r w:rsidR="00B53E7E">
        <w:t xml:space="preserve">by applying </w:t>
      </w:r>
      <w:r w:rsidR="003D5AB5">
        <w:t xml:space="preserve">broad </w:t>
      </w:r>
      <w:r w:rsidR="00B53E7E">
        <w:t xml:space="preserve">assumptions </w:t>
      </w:r>
      <w:r w:rsidR="00763113">
        <w:t>based on</w:t>
      </w:r>
      <w:r w:rsidR="00B53E7E">
        <w:t xml:space="preserve"> the experience of </w:t>
      </w:r>
      <w:r w:rsidR="00E6076C">
        <w:t>comparable</w:t>
      </w:r>
      <w:r w:rsidR="00B53E7E">
        <w:t xml:space="preserve"> schemes</w:t>
      </w:r>
      <w:r w:rsidR="00FD2143">
        <w:t xml:space="preserve"> or sourced from literature</w:t>
      </w:r>
    </w:p>
    <w:p w14:paraId="6FA558BF" w14:textId="77777777" w:rsidR="007B5522" w:rsidRDefault="00C71F62" w:rsidP="00520404">
      <w:pPr>
        <w:pStyle w:val="ListBullet"/>
      </w:pPr>
      <w:r>
        <w:rPr>
          <w:b/>
        </w:rPr>
        <w:t xml:space="preserve">Internal approach </w:t>
      </w:r>
      <w:r w:rsidR="00824553">
        <w:rPr>
          <w:b/>
        </w:rPr>
        <w:t>(</w:t>
      </w:r>
      <w:r>
        <w:rPr>
          <w:b/>
        </w:rPr>
        <w:t>a</w:t>
      </w:r>
      <w:r w:rsidR="00484DF8" w:rsidRPr="00C71F62">
        <w:rPr>
          <w:b/>
        </w:rPr>
        <w:t>pproaches</w:t>
      </w:r>
      <w:r w:rsidR="00484DF8">
        <w:rPr>
          <w:b/>
        </w:rPr>
        <w:t xml:space="preserve"> informed by analysis</w:t>
      </w:r>
      <w:r w:rsidR="0071558E">
        <w:rPr>
          <w:b/>
        </w:rPr>
        <w:t xml:space="preserve"> and </w:t>
      </w:r>
      <w:r w:rsidR="00484DF8">
        <w:rPr>
          <w:b/>
        </w:rPr>
        <w:t xml:space="preserve">audit of </w:t>
      </w:r>
      <w:r w:rsidR="002478CA">
        <w:rPr>
          <w:b/>
        </w:rPr>
        <w:t>MBS claims</w:t>
      </w:r>
      <w:r w:rsidR="00824553">
        <w:rPr>
          <w:b/>
        </w:rPr>
        <w:t>)</w:t>
      </w:r>
      <w:r w:rsidR="008633B6" w:rsidRPr="00C71F62">
        <w:rPr>
          <w:b/>
        </w:rPr>
        <w:t xml:space="preserve"> </w:t>
      </w:r>
      <w:r w:rsidR="00824553">
        <w:rPr>
          <w:b/>
        </w:rPr>
        <w:t xml:space="preserve">- </w:t>
      </w:r>
      <w:r w:rsidR="000C48C9">
        <w:t>Draws</w:t>
      </w:r>
      <w:r w:rsidR="008633B6">
        <w:t xml:space="preserve"> on </w:t>
      </w:r>
      <w:r w:rsidR="0014788F">
        <w:t>a review</w:t>
      </w:r>
      <w:r w:rsidR="008633B6">
        <w:t xml:space="preserve"> of </w:t>
      </w:r>
      <w:r w:rsidR="000C48C9">
        <w:t>MBS claims</w:t>
      </w:r>
      <w:r w:rsidR="003D1365">
        <w:t xml:space="preserve"> and </w:t>
      </w:r>
      <w:r w:rsidR="00080F16">
        <w:t xml:space="preserve">clinical </w:t>
      </w:r>
      <w:r w:rsidR="003D1365">
        <w:t>activity</w:t>
      </w:r>
      <w:r w:rsidR="000C48C9">
        <w:t xml:space="preserve"> </w:t>
      </w:r>
      <w:r w:rsidR="00EF42AA">
        <w:t xml:space="preserve">– </w:t>
      </w:r>
      <w:r w:rsidR="00D17176">
        <w:t xml:space="preserve">through </w:t>
      </w:r>
      <w:r w:rsidR="00036517">
        <w:t xml:space="preserve">deterministic </w:t>
      </w:r>
      <w:r w:rsidR="00D17176">
        <w:t xml:space="preserve">data analytics and/or </w:t>
      </w:r>
      <w:r w:rsidR="00080F16">
        <w:t>assessment</w:t>
      </w:r>
      <w:r w:rsidR="00494ACA">
        <w:t xml:space="preserve"> of </w:t>
      </w:r>
      <w:r w:rsidR="00D17176">
        <w:t>medical records –</w:t>
      </w:r>
      <w:r w:rsidR="000C48C9">
        <w:t xml:space="preserve"> </w:t>
      </w:r>
      <w:r w:rsidR="001D3685">
        <w:t xml:space="preserve">to verify </w:t>
      </w:r>
      <w:r w:rsidR="000E5F2E">
        <w:t>whether non-compliance occurred</w:t>
      </w:r>
      <w:r w:rsidR="00D51E85">
        <w:t xml:space="preserve">. </w:t>
      </w:r>
      <w:r w:rsidR="003F66DD">
        <w:t xml:space="preserve">To manage the </w:t>
      </w:r>
      <w:r w:rsidR="0056618D">
        <w:t xml:space="preserve">scale of analysis, </w:t>
      </w:r>
      <w:r w:rsidR="004C1C0C">
        <w:t>this approach</w:t>
      </w:r>
      <w:r w:rsidR="00C83EEE">
        <w:t xml:space="preserve"> </w:t>
      </w:r>
      <w:r w:rsidR="00D17176">
        <w:t>would typically</w:t>
      </w:r>
      <w:r w:rsidR="00C83EEE">
        <w:t xml:space="preserve"> assess a</w:t>
      </w:r>
      <w:r w:rsidR="009974C1">
        <w:t xml:space="preserve"> sample of claims</w:t>
      </w:r>
      <w:r w:rsidR="00032597">
        <w:t xml:space="preserve"> and scal</w:t>
      </w:r>
      <w:r w:rsidR="00D51E85">
        <w:t>e</w:t>
      </w:r>
      <w:r w:rsidR="00032597">
        <w:t xml:space="preserve"> </w:t>
      </w:r>
      <w:r w:rsidR="00782A56">
        <w:t xml:space="preserve">the </w:t>
      </w:r>
      <w:r w:rsidR="00C83EEE">
        <w:t>findings</w:t>
      </w:r>
      <w:r w:rsidR="00032597">
        <w:t xml:space="preserve"> to </w:t>
      </w:r>
      <w:r w:rsidR="00E048E9">
        <w:t>estimate the total level of non-compliance</w:t>
      </w:r>
      <w:r w:rsidR="00782A56">
        <w:t>.</w:t>
      </w:r>
    </w:p>
    <w:p w14:paraId="40EEE3DC" w14:textId="3B6A149B" w:rsidR="004E79E6" w:rsidRDefault="00F84BC1" w:rsidP="004E79E6">
      <w:r>
        <w:t>T</w:t>
      </w:r>
      <w:r w:rsidR="00336EE0">
        <w:t>he second approach</w:t>
      </w:r>
      <w:r w:rsidR="009F3E8E">
        <w:t xml:space="preserve"> is considered more reliable</w:t>
      </w:r>
      <w:r>
        <w:t>;</w:t>
      </w:r>
      <w:r w:rsidR="009F3E8E">
        <w:t xml:space="preserve"> </w:t>
      </w:r>
      <w:r>
        <w:t>however</w:t>
      </w:r>
      <w:r w:rsidR="009F3E8E">
        <w:t xml:space="preserve">, it is </w:t>
      </w:r>
      <w:r w:rsidR="00BE43B0">
        <w:t>resource intensive</w:t>
      </w:r>
      <w:r w:rsidR="00E20A91">
        <w:t xml:space="preserve"> </w:t>
      </w:r>
      <w:r w:rsidR="001B2BF8">
        <w:t>and</w:t>
      </w:r>
      <w:r w:rsidR="00451F5F" w:rsidRPr="00451F5F">
        <w:t xml:space="preserve"> </w:t>
      </w:r>
      <w:r w:rsidR="00451F5F">
        <w:t>has the potential to face substantial ethical and or legislative barriers to full implementation</w:t>
      </w:r>
      <w:r w:rsidR="00BE43B0">
        <w:t xml:space="preserve">. </w:t>
      </w:r>
    </w:p>
    <w:p w14:paraId="1CA69674" w14:textId="0AD7E26D" w:rsidR="00992506" w:rsidRDefault="00F83E4A" w:rsidP="00992506">
      <w:r>
        <w:t xml:space="preserve">In the following sections </w:t>
      </w:r>
      <w:r w:rsidR="007621D6">
        <w:t xml:space="preserve">the </w:t>
      </w:r>
      <w:r w:rsidR="00C57923">
        <w:t>methods</w:t>
      </w:r>
      <w:r w:rsidR="00047F24">
        <w:t xml:space="preserve"> </w:t>
      </w:r>
      <w:r w:rsidR="00322C59">
        <w:t xml:space="preserve">used </w:t>
      </w:r>
      <w:r w:rsidR="00C96697">
        <w:t xml:space="preserve">to derive </w:t>
      </w:r>
      <w:r w:rsidR="00047F24">
        <w:t>previous estimates</w:t>
      </w:r>
      <w:r w:rsidR="00843BBC">
        <w:t xml:space="preserve"> of MBS non-compliance</w:t>
      </w:r>
      <w:r w:rsidR="00492C9D">
        <w:t xml:space="preserve"> are summarised</w:t>
      </w:r>
      <w:r w:rsidR="00162A7B">
        <w:t xml:space="preserve"> and the</w:t>
      </w:r>
      <w:r w:rsidR="00644833">
        <w:t xml:space="preserve"> </w:t>
      </w:r>
      <w:r w:rsidR="00CE3090">
        <w:t xml:space="preserve">two </w:t>
      </w:r>
      <w:r w:rsidR="009953CB">
        <w:t xml:space="preserve">alternative </w:t>
      </w:r>
      <w:r w:rsidR="006A34DB">
        <w:t>‘internal’</w:t>
      </w:r>
      <w:r w:rsidR="00843BBC">
        <w:t xml:space="preserve"> </w:t>
      </w:r>
      <w:r w:rsidR="00CC6D5F">
        <w:t xml:space="preserve">review </w:t>
      </w:r>
      <w:r w:rsidR="009953CB">
        <w:t>methods</w:t>
      </w:r>
      <w:r w:rsidR="004020EB">
        <w:t xml:space="preserve"> </w:t>
      </w:r>
      <w:r w:rsidR="00843BBC">
        <w:t xml:space="preserve">that </w:t>
      </w:r>
      <w:r w:rsidR="0078520D">
        <w:t xml:space="preserve">should be considered </w:t>
      </w:r>
      <w:r w:rsidR="005D1A88">
        <w:t xml:space="preserve">as </w:t>
      </w:r>
      <w:r w:rsidR="00186F56">
        <w:t xml:space="preserve">a way of </w:t>
      </w:r>
      <w:r w:rsidR="00C96697">
        <w:t>generating</w:t>
      </w:r>
      <w:r w:rsidR="00186F56">
        <w:t xml:space="preserve"> a more reliable estimate</w:t>
      </w:r>
      <w:r w:rsidR="00162A7B">
        <w:t xml:space="preserve"> are described in full</w:t>
      </w:r>
      <w:r w:rsidR="00FD09FB">
        <w:t>.</w:t>
      </w:r>
    </w:p>
    <w:p w14:paraId="622EF790" w14:textId="724EE04A" w:rsidR="00527EDC" w:rsidRDefault="004020EB" w:rsidP="00DC7291">
      <w:pPr>
        <w:pStyle w:val="Heading3"/>
        <w:numPr>
          <w:ilvl w:val="2"/>
          <w:numId w:val="25"/>
        </w:numPr>
      </w:pPr>
      <w:bookmarkStart w:id="168" w:name="_Toc128669078"/>
      <w:bookmarkStart w:id="169" w:name="_Toc128905534"/>
      <w:bookmarkStart w:id="170" w:name="_Toc128907028"/>
      <w:bookmarkStart w:id="171" w:name="_Toc128909138"/>
      <w:r>
        <w:t xml:space="preserve">Methods underpinning previous </w:t>
      </w:r>
      <w:r w:rsidR="008D2D0E">
        <w:t>estimates</w:t>
      </w:r>
      <w:r w:rsidR="004111FD">
        <w:t xml:space="preserve"> of </w:t>
      </w:r>
      <w:r w:rsidR="008A1424">
        <w:t>the value of</w:t>
      </w:r>
      <w:r w:rsidR="004111FD">
        <w:t xml:space="preserve"> </w:t>
      </w:r>
      <w:r w:rsidR="00EA13DB">
        <w:t xml:space="preserve">MBS </w:t>
      </w:r>
      <w:r w:rsidR="004111FD">
        <w:t>non-compliance</w:t>
      </w:r>
      <w:bookmarkEnd w:id="168"/>
      <w:bookmarkEnd w:id="169"/>
      <w:bookmarkEnd w:id="170"/>
      <w:bookmarkEnd w:id="171"/>
    </w:p>
    <w:p w14:paraId="493F51E0" w14:textId="3D79A623" w:rsidR="00A22B45" w:rsidRDefault="00BF4AFC" w:rsidP="00DE2738">
      <w:r>
        <w:t xml:space="preserve">Over the past five years, </w:t>
      </w:r>
      <w:r w:rsidR="00EA17E9">
        <w:t>f</w:t>
      </w:r>
      <w:r w:rsidR="003A465E">
        <w:t>ive</w:t>
      </w:r>
      <w:r w:rsidR="00EA17E9">
        <w:t xml:space="preserve"> studies</w:t>
      </w:r>
      <w:r>
        <w:t xml:space="preserve"> have </w:t>
      </w:r>
      <w:r w:rsidR="00EA17E9">
        <w:t>attempted</w:t>
      </w:r>
      <w:r>
        <w:t xml:space="preserve"> to estimate the value of </w:t>
      </w:r>
      <w:r w:rsidR="00E32E3C">
        <w:t xml:space="preserve">MBS </w:t>
      </w:r>
      <w:r>
        <w:t xml:space="preserve">non-compliance (see </w:t>
      </w:r>
      <w:r>
        <w:fldChar w:fldCharType="begin"/>
      </w:r>
      <w:r>
        <w:instrText xml:space="preserve"> REF _Ref126079134 \r \h </w:instrText>
      </w:r>
      <w:r w:rsidR="00F60F75">
        <w:instrText xml:space="preserve"> \* MERGEFORMAT </w:instrText>
      </w:r>
      <w:r>
        <w:fldChar w:fldCharType="separate"/>
      </w:r>
      <w:r w:rsidR="005A1647">
        <w:t>Appendix A</w:t>
      </w:r>
      <w:r>
        <w:fldChar w:fldCharType="end"/>
      </w:r>
      <w:r w:rsidR="00B70B92">
        <w:t xml:space="preserve"> for </w:t>
      </w:r>
      <w:r w:rsidR="002719F4">
        <w:t>a detail</w:t>
      </w:r>
      <w:r w:rsidR="00C91424">
        <w:t>ed overview</w:t>
      </w:r>
      <w:r w:rsidR="002719F4">
        <w:t xml:space="preserve"> of each study</w:t>
      </w:r>
      <w:r w:rsidR="002820A4">
        <w:t>)</w:t>
      </w:r>
      <w:r w:rsidR="00870E8E">
        <w:t>.</w:t>
      </w:r>
    </w:p>
    <w:p w14:paraId="7144BC12" w14:textId="1716161D" w:rsidR="00700105" w:rsidRPr="00597BBD" w:rsidRDefault="00A22B45" w:rsidP="00700105">
      <w:r>
        <w:t>With the exception of Dr Faux’</w:t>
      </w:r>
      <w:r w:rsidR="00C14132">
        <w:t>s</w:t>
      </w:r>
      <w:r>
        <w:t xml:space="preserve"> work, the studies all variously apply an</w:t>
      </w:r>
      <w:r w:rsidR="007C4784">
        <w:t xml:space="preserve"> external</w:t>
      </w:r>
      <w:r w:rsidR="00E643EE">
        <w:t xml:space="preserve"> approach</w:t>
      </w:r>
      <w:r w:rsidR="00040668">
        <w:t xml:space="preserve">, </w:t>
      </w:r>
      <w:r>
        <w:t>drawing</w:t>
      </w:r>
      <w:r w:rsidRPr="004532D1">
        <w:t xml:space="preserve"> </w:t>
      </w:r>
      <w:r w:rsidR="00FE170C">
        <w:t>one or</w:t>
      </w:r>
      <w:r w:rsidR="00682DEC">
        <w:t xml:space="preserve"> more</w:t>
      </w:r>
      <w:r w:rsidR="00040668">
        <w:t xml:space="preserve"> benchmark value</w:t>
      </w:r>
      <w:r w:rsidR="00FE170C">
        <w:t>s</w:t>
      </w:r>
      <w:r w:rsidR="00040668">
        <w:t xml:space="preserve"> </w:t>
      </w:r>
      <w:r w:rsidR="00063E83">
        <w:t>on rates of non-comp</w:t>
      </w:r>
      <w:r w:rsidR="00A513D7">
        <w:t>liance</w:t>
      </w:r>
      <w:r w:rsidR="00063E83">
        <w:t xml:space="preserve"> from</w:t>
      </w:r>
      <w:r w:rsidR="00DA1D40">
        <w:t xml:space="preserve"> comparable scheme</w:t>
      </w:r>
      <w:r w:rsidR="00A513D7">
        <w:t>s</w:t>
      </w:r>
      <w:r w:rsidR="001340E4">
        <w:t xml:space="preserve"> (or </w:t>
      </w:r>
      <w:r w:rsidR="00322F6A">
        <w:t>associated</w:t>
      </w:r>
      <w:r w:rsidR="001340E4">
        <w:t xml:space="preserve"> literature)</w:t>
      </w:r>
      <w:r w:rsidR="007C7F4A">
        <w:t xml:space="preserve"> to total </w:t>
      </w:r>
      <w:r w:rsidR="00070243">
        <w:t xml:space="preserve">annual </w:t>
      </w:r>
      <w:r w:rsidR="007C7F4A">
        <w:t>Medicare expenditure</w:t>
      </w:r>
      <w:r w:rsidR="001B7FEC">
        <w:t xml:space="preserve"> in the year of </w:t>
      </w:r>
      <w:r w:rsidR="00EC11AD">
        <w:t xml:space="preserve">the </w:t>
      </w:r>
      <w:r w:rsidR="001B7FEC">
        <w:t>study.</w:t>
      </w:r>
      <w:r w:rsidR="00774620" w:rsidRPr="00597BBD">
        <w:t xml:space="preserve"> The estimates put forward in these external approach studies range between $</w:t>
      </w:r>
      <w:r w:rsidR="00F850A5" w:rsidRPr="00597BBD">
        <w:t>366</w:t>
      </w:r>
      <w:r w:rsidR="00774620" w:rsidRPr="00597BBD">
        <w:t xml:space="preserve"> million and $2</w:t>
      </w:r>
      <w:r w:rsidR="00F850A5" w:rsidRPr="00597BBD">
        <w:t>.2</w:t>
      </w:r>
      <w:r w:rsidR="00774620" w:rsidRPr="00597BBD">
        <w:t xml:space="preserve"> billion</w:t>
      </w:r>
      <w:r w:rsidR="00EA2CFC" w:rsidRPr="00597BBD">
        <w:t xml:space="preserve"> (a rate of approximately 1% to 5%). </w:t>
      </w:r>
    </w:p>
    <w:p w14:paraId="215F7D37" w14:textId="06D7816A" w:rsidR="00774620" w:rsidRPr="00597BBD" w:rsidRDefault="00700105" w:rsidP="00DE2738">
      <w:r w:rsidRPr="004A77D7">
        <w:t xml:space="preserve">The applicability of the key benchmark values used in three </w:t>
      </w:r>
      <w:r w:rsidR="00A678FB">
        <w:t>previous</w:t>
      </w:r>
      <w:r w:rsidRPr="004A77D7">
        <w:t xml:space="preserve"> studies </w:t>
      </w:r>
      <w:r w:rsidR="00A678FB">
        <w:t>made available to me</w:t>
      </w:r>
      <w:r w:rsidRPr="004A77D7">
        <w:t xml:space="preserve"> is difficult to determine, as the source is either not referenced or no longer publicly available. </w:t>
      </w:r>
      <w:r w:rsidR="007412EC">
        <w:t xml:space="preserve">One report </w:t>
      </w:r>
      <w:r w:rsidRPr="004A77D7">
        <w:t>references a global meta-analysis by Gee &amp; Button (2016), which found that “6% is considered a reasonable estimate of improper payment rate” in healthcare. However, it is difficult to discern the exact studies used in the analysis from the Australian context as no original sources are included and therefore our ability to review their credibility and applicability to the meta-analysis</w:t>
      </w:r>
      <w:r w:rsidR="00C14132">
        <w:t xml:space="preserve"> is limited</w:t>
      </w:r>
      <w:r w:rsidRPr="004A77D7">
        <w:t>. Further, the scope of the research published in Gee &amp; Button (2016) included both public and private health insurance schemes.</w:t>
      </w:r>
    </w:p>
    <w:p w14:paraId="1FE71C95" w14:textId="67262A99" w:rsidR="00E9688C" w:rsidRPr="00E26A4E" w:rsidRDefault="00AD7B0A" w:rsidP="00E26A4E">
      <w:pPr>
        <w:spacing w:before="100" w:beforeAutospacing="1" w:after="100" w:afterAutospacing="1"/>
        <w:rPr>
          <w:rFonts w:cs="Calibri"/>
          <w:highlight w:val="yellow"/>
        </w:rPr>
      </w:pPr>
      <w:r w:rsidRPr="004A77D7">
        <w:t>Dr Faux’s methodology</w:t>
      </w:r>
      <w:r w:rsidR="00E433E1" w:rsidRPr="004A77D7">
        <w:t xml:space="preserve"> – while still in some instances utilising benchmarked assumptions – does represent the only attempt to build up an estimate of non-compliance and fraud </w:t>
      </w:r>
      <w:r w:rsidR="000D1068" w:rsidRPr="004A77D7">
        <w:t>utilising</w:t>
      </w:r>
      <w:r w:rsidR="00E433E1" w:rsidRPr="004A77D7">
        <w:t xml:space="preserve"> an ‘internal approach’. Faux</w:t>
      </w:r>
      <w:r w:rsidRPr="004A77D7">
        <w:t xml:space="preserve"> uses a </w:t>
      </w:r>
      <w:r w:rsidRPr="004A77D7">
        <w:lastRenderedPageBreak/>
        <w:t xml:space="preserve">combination of data sources, anecdotal </w:t>
      </w:r>
      <w:proofErr w:type="gramStart"/>
      <w:r w:rsidR="00232096">
        <w:t>evidence</w:t>
      </w:r>
      <w:proofErr w:type="gramEnd"/>
      <w:r w:rsidR="00232096">
        <w:t xml:space="preserve"> </w:t>
      </w:r>
      <w:r w:rsidRPr="004A77D7">
        <w:t>and broad assumptions to estimate Medicare fraud and error.</w:t>
      </w:r>
      <w:r w:rsidR="000D1068" w:rsidRPr="004A77D7">
        <w:t xml:space="preserve"> Where available, she draws on billing data from her private business – which is notably small and biased, but real billing data nonetheless – to inform assumptions which are then extrapolated out.</w:t>
      </w:r>
      <w:r w:rsidR="009D20D8" w:rsidRPr="004A77D7">
        <w:t xml:space="preserve"> </w:t>
      </w:r>
      <w:r w:rsidR="006A734C">
        <w:t>Dr Faux’</w:t>
      </w:r>
      <w:r w:rsidR="00395FE0">
        <w:t>s</w:t>
      </w:r>
      <w:r w:rsidR="006A734C">
        <w:t xml:space="preserve"> current estimate of non-compliance is in the order of $10 billion (a rate of approximately 30%).</w:t>
      </w:r>
      <w:r w:rsidR="006A734C" w:rsidRPr="004A77D7">
        <w:rPr>
          <w:rStyle w:val="FootnoteReference"/>
        </w:rPr>
        <w:footnoteReference w:id="14"/>
      </w:r>
      <w:r w:rsidR="006A734C" w:rsidRPr="004A77D7">
        <w:rPr>
          <w:vertAlign w:val="superscript"/>
        </w:rPr>
        <w:t>,</w:t>
      </w:r>
      <w:r w:rsidR="006A734C" w:rsidRPr="004A77D7">
        <w:rPr>
          <w:rStyle w:val="FootnoteReference"/>
        </w:rPr>
        <w:footnoteReference w:id="15"/>
      </w:r>
      <w:r w:rsidR="006A734C" w:rsidRPr="004A77D7">
        <w:t xml:space="preserve"> </w:t>
      </w:r>
      <w:r w:rsidR="006A734C">
        <w:t xml:space="preserve"> </w:t>
      </w:r>
    </w:p>
    <w:p w14:paraId="00405494" w14:textId="3835DD34" w:rsidR="00E9688C" w:rsidRDefault="00E9688C" w:rsidP="004A77D7">
      <w:r>
        <w:t>Notably, Dr Faux’</w:t>
      </w:r>
      <w:r w:rsidR="00395FE0">
        <w:t>s</w:t>
      </w:r>
      <w:r>
        <w:t xml:space="preserve"> estimate is based on a far broader definition of non-compliance and fraud than that contained in other studies or than that </w:t>
      </w:r>
      <w:r w:rsidRPr="00597BBD">
        <w:t xml:space="preserve">currently employed by the </w:t>
      </w:r>
      <w:r w:rsidR="009931E5">
        <w:t>department</w:t>
      </w:r>
      <w:r w:rsidRPr="00597BBD">
        <w:t xml:space="preserve">. </w:t>
      </w:r>
      <w:r w:rsidR="004603DD" w:rsidRPr="004A77D7">
        <w:t xml:space="preserve">Dr Faux’s study includes behaviours which are considered by </w:t>
      </w:r>
      <w:proofErr w:type="spellStart"/>
      <w:r w:rsidR="004603DD" w:rsidRPr="004A77D7">
        <w:t>DoHAC</w:t>
      </w:r>
      <w:proofErr w:type="spellEnd"/>
      <w:r w:rsidR="004603DD" w:rsidRPr="004A77D7">
        <w:t xml:space="preserve"> as compliant</w:t>
      </w:r>
      <w:r w:rsidR="007B4193">
        <w:t xml:space="preserve"> because they cannot be validated via data analysis</w:t>
      </w:r>
      <w:r w:rsidR="000C1D22">
        <w:t xml:space="preserve"> or </w:t>
      </w:r>
      <w:r w:rsidR="003F413F">
        <w:t>are</w:t>
      </w:r>
      <w:r w:rsidR="000C1D22">
        <w:t xml:space="preserve"> </w:t>
      </w:r>
      <w:r w:rsidR="006E0AA2">
        <w:t xml:space="preserve">difficult to treat through strict </w:t>
      </w:r>
      <w:r w:rsidR="00317A27">
        <w:t>interpretation of the rules</w:t>
      </w:r>
      <w:r w:rsidR="000E769A">
        <w:t>.</w:t>
      </w:r>
      <w:r w:rsidR="004603DD" w:rsidRPr="004A77D7">
        <w:t xml:space="preserve"> </w:t>
      </w:r>
      <w:r w:rsidR="00C3687A">
        <w:t>A</w:t>
      </w:r>
      <w:r w:rsidR="004603DD" w:rsidRPr="004A77D7">
        <w:t xml:space="preserve">nd </w:t>
      </w:r>
      <w:proofErr w:type="gramStart"/>
      <w:r w:rsidR="004603DD" w:rsidRPr="004A77D7">
        <w:t>thus</w:t>
      </w:r>
      <w:proofErr w:type="gramEnd"/>
      <w:r w:rsidR="004603DD" w:rsidRPr="004A77D7">
        <w:t xml:space="preserve"> not within the </w:t>
      </w:r>
      <w:r w:rsidR="009931E5">
        <w:t>department</w:t>
      </w:r>
      <w:r w:rsidR="004603DD" w:rsidRPr="004A77D7">
        <w:t>’s purview for intervention.</w:t>
      </w:r>
      <w:r w:rsidR="004603DD" w:rsidRPr="00597BBD">
        <w:t xml:space="preserve"> </w:t>
      </w:r>
      <w:r w:rsidR="00312BC7" w:rsidRPr="004A77D7">
        <w:t xml:space="preserve">The other studies are less clear in what they define as non-compliant, however they are assumed to align more closely with the </w:t>
      </w:r>
      <w:proofErr w:type="spellStart"/>
      <w:r w:rsidR="00312BC7" w:rsidRPr="004A77D7">
        <w:t>DoHAC</w:t>
      </w:r>
      <w:proofErr w:type="spellEnd"/>
      <w:r w:rsidR="00312BC7" w:rsidRPr="004A77D7">
        <w:t xml:space="preserve"> definitions given these studies were commissioned by the </w:t>
      </w:r>
      <w:proofErr w:type="spellStart"/>
      <w:r w:rsidR="00312BC7" w:rsidRPr="004A77D7">
        <w:t>DoHAC</w:t>
      </w:r>
      <w:proofErr w:type="spellEnd"/>
      <w:r w:rsidR="00312BC7" w:rsidRPr="004A77D7">
        <w:t>.</w:t>
      </w:r>
    </w:p>
    <w:p w14:paraId="23AB0304" w14:textId="1CC9A9D7" w:rsidR="00FD4299" w:rsidRDefault="004B3128" w:rsidP="004A77D7">
      <w:r>
        <w:t>The definitional matters raised by Dr F</w:t>
      </w:r>
      <w:r w:rsidR="00A83C0A">
        <w:t>a</w:t>
      </w:r>
      <w:r>
        <w:t>ux should not be dismissed.</w:t>
      </w:r>
      <w:r w:rsidR="00267904">
        <w:t xml:space="preserve"> </w:t>
      </w:r>
      <w:r>
        <w:t xml:space="preserve">There is </w:t>
      </w:r>
      <w:r w:rsidR="00494446">
        <w:t>a real need</w:t>
      </w:r>
      <w:r>
        <w:t xml:space="preserve"> </w:t>
      </w:r>
      <w:r w:rsidR="000D5758">
        <w:t>to think through</w:t>
      </w:r>
      <w:r>
        <w:t xml:space="preserve"> </w:t>
      </w:r>
      <w:r w:rsidR="00452FD7">
        <w:t>whether</w:t>
      </w:r>
      <w:r>
        <w:t xml:space="preserve"> behaviours and system</w:t>
      </w:r>
      <w:r w:rsidR="0074309D">
        <w:t xml:space="preserve">atic billing practices which, while legally compliant, should be </w:t>
      </w:r>
      <w:r w:rsidR="00ED36E2">
        <w:t>considered</w:t>
      </w:r>
      <w:r w:rsidR="0096519D">
        <w:t xml:space="preserve"> as </w:t>
      </w:r>
      <w:r w:rsidR="00E40AF5">
        <w:t>poor-quality</w:t>
      </w:r>
      <w:r w:rsidR="00FD4446">
        <w:t xml:space="preserve"> healthcare or</w:t>
      </w:r>
      <w:r w:rsidR="00625BA9">
        <w:t xml:space="preserve"> indeed fraud.</w:t>
      </w:r>
      <w:r w:rsidR="00267904">
        <w:t xml:space="preserve"> </w:t>
      </w:r>
      <w:r w:rsidR="00625BA9">
        <w:t>Systematic errors could</w:t>
      </w:r>
      <w:r w:rsidR="00F37BB8">
        <w:t xml:space="preserve"> be</w:t>
      </w:r>
      <w:r w:rsidR="00625BA9">
        <w:t xml:space="preserve"> just that – errors perpetuated as business</w:t>
      </w:r>
      <w:r w:rsidR="00562B97">
        <w:t>-</w:t>
      </w:r>
      <w:r w:rsidR="00625BA9">
        <w:t>as</w:t>
      </w:r>
      <w:r w:rsidR="00562B97">
        <w:t>-</w:t>
      </w:r>
      <w:r w:rsidR="00625BA9">
        <w:t xml:space="preserve">usual norms </w:t>
      </w:r>
      <w:r w:rsidR="009B2DF5">
        <w:t>–</w:t>
      </w:r>
      <w:r w:rsidR="00625BA9">
        <w:t xml:space="preserve"> </w:t>
      </w:r>
      <w:r w:rsidR="009B2DF5">
        <w:t xml:space="preserve">however, </w:t>
      </w:r>
      <w:r w:rsidR="00F37BB8">
        <w:t xml:space="preserve">they </w:t>
      </w:r>
      <w:r w:rsidR="009B2DF5">
        <w:t>could, under some circumstances</w:t>
      </w:r>
      <w:r w:rsidR="00F37BB8">
        <w:t>,</w:t>
      </w:r>
      <w:r w:rsidR="009B2DF5">
        <w:t xml:space="preserve"> be </w:t>
      </w:r>
      <w:r w:rsidR="00E915E1">
        <w:t>argued to be fraudulent.</w:t>
      </w:r>
      <w:r w:rsidR="00267904">
        <w:t xml:space="preserve"> </w:t>
      </w:r>
      <w:r w:rsidR="00965C47">
        <w:t xml:space="preserve">Similarly, behaviours such as </w:t>
      </w:r>
      <w:r w:rsidR="00F404A0">
        <w:t>unnecessarily repeated test</w:t>
      </w:r>
      <w:r w:rsidR="00EB6C83">
        <w:t>s</w:t>
      </w:r>
      <w:r w:rsidR="00F1102C">
        <w:t xml:space="preserve"> – a significant waste in the system – should not be tolerated as it violates good value for money for taxpayers.</w:t>
      </w:r>
      <w:r w:rsidR="00435B45">
        <w:t xml:space="preserve"> At the other end of the spectrum, </w:t>
      </w:r>
      <w:r w:rsidR="00EF2F6D">
        <w:t>underbilling</w:t>
      </w:r>
      <w:r w:rsidR="00AA5672">
        <w:t xml:space="preserve"> was indicated to me as a </w:t>
      </w:r>
      <w:r w:rsidR="00F277A3">
        <w:t>growing feature of the system</w:t>
      </w:r>
      <w:r w:rsidR="00395085">
        <w:t>, representing poor value for money</w:t>
      </w:r>
      <w:r w:rsidR="00727388">
        <w:t xml:space="preserve"> and potentially </w:t>
      </w:r>
      <w:r w:rsidR="00B53279">
        <w:t xml:space="preserve">missed opportunities to optimise health </w:t>
      </w:r>
      <w:r w:rsidR="00551658">
        <w:t>out</w:t>
      </w:r>
      <w:r w:rsidR="00B53279">
        <w:t>comes</w:t>
      </w:r>
      <w:r w:rsidR="00395085">
        <w:t xml:space="preserve"> for patients and thus the system overall.</w:t>
      </w:r>
    </w:p>
    <w:p w14:paraId="6B04B02E" w14:textId="1CAFC5A9" w:rsidR="00435B45" w:rsidRPr="00597BBD" w:rsidRDefault="00435B45" w:rsidP="004A77D7">
      <w:r>
        <w:t>All the studies related to non-compliance</w:t>
      </w:r>
      <w:r w:rsidR="00395085">
        <w:t xml:space="preserve"> and fraud suffer from </w:t>
      </w:r>
      <w:r w:rsidR="00E67562">
        <w:t>a</w:t>
      </w:r>
      <w:r w:rsidR="00395085">
        <w:t xml:space="preserve"> lack of data </w:t>
      </w:r>
      <w:r w:rsidR="00816F54">
        <w:t>from</w:t>
      </w:r>
      <w:r w:rsidR="00395085">
        <w:t xml:space="preserve"> which to build </w:t>
      </w:r>
      <w:r w:rsidR="00BB29FD">
        <w:t>objective and comprehensive analysis.</w:t>
      </w:r>
    </w:p>
    <w:p w14:paraId="7173C4D8" w14:textId="2407A5CB" w:rsidR="00527EDC" w:rsidRPr="00527EDC" w:rsidRDefault="004111FD" w:rsidP="00940D39">
      <w:pPr>
        <w:pStyle w:val="Heading3"/>
      </w:pPr>
      <w:bookmarkStart w:id="172" w:name="_Toc128907029"/>
      <w:bookmarkStart w:id="173" w:name="_Toc128909139"/>
      <w:bookmarkStart w:id="174" w:name="_Toc128907030"/>
      <w:bookmarkStart w:id="175" w:name="_Toc128909140"/>
      <w:bookmarkStart w:id="176" w:name="_Toc128907031"/>
      <w:bookmarkStart w:id="177" w:name="_Toc128909141"/>
      <w:bookmarkStart w:id="178" w:name="_Toc128907032"/>
      <w:bookmarkStart w:id="179" w:name="_Toc128909142"/>
      <w:bookmarkStart w:id="180" w:name="_Toc128907033"/>
      <w:bookmarkStart w:id="181" w:name="_Toc128909143"/>
      <w:bookmarkStart w:id="182" w:name="_Toc128669079"/>
      <w:bookmarkStart w:id="183" w:name="_Toc128905535"/>
      <w:bookmarkStart w:id="184" w:name="_Toc128907034"/>
      <w:bookmarkStart w:id="185" w:name="_Toc128909144"/>
      <w:bookmarkEnd w:id="172"/>
      <w:bookmarkEnd w:id="173"/>
      <w:bookmarkEnd w:id="174"/>
      <w:bookmarkEnd w:id="175"/>
      <w:bookmarkEnd w:id="176"/>
      <w:bookmarkEnd w:id="177"/>
      <w:bookmarkEnd w:id="178"/>
      <w:bookmarkEnd w:id="179"/>
      <w:bookmarkEnd w:id="180"/>
      <w:bookmarkEnd w:id="181"/>
      <w:r>
        <w:t>Alternative</w:t>
      </w:r>
      <w:r w:rsidR="00527EDC">
        <w:t xml:space="preserve"> approach</w:t>
      </w:r>
      <w:r w:rsidR="001D3EF1">
        <w:t>es</w:t>
      </w:r>
      <w:r>
        <w:t xml:space="preserve"> to </w:t>
      </w:r>
      <w:r w:rsidR="008A1424">
        <w:t>estimating</w:t>
      </w:r>
      <w:r>
        <w:t xml:space="preserve"> </w:t>
      </w:r>
      <w:r w:rsidR="008A1424">
        <w:t xml:space="preserve">the value of </w:t>
      </w:r>
      <w:r w:rsidR="00EA13DB">
        <w:t xml:space="preserve">MBS </w:t>
      </w:r>
      <w:r w:rsidR="008A1424">
        <w:t>non-compliance</w:t>
      </w:r>
      <w:bookmarkEnd w:id="182"/>
      <w:bookmarkEnd w:id="183"/>
      <w:bookmarkEnd w:id="184"/>
      <w:bookmarkEnd w:id="185"/>
    </w:p>
    <w:p w14:paraId="4D67C3ED" w14:textId="003DE75F" w:rsidR="008F226B" w:rsidRDefault="005D1512" w:rsidP="005D1512">
      <w:r>
        <w:t xml:space="preserve">As noted above, </w:t>
      </w:r>
      <w:r w:rsidR="0071558E">
        <w:t xml:space="preserve">the most reliable method for estimating the value of </w:t>
      </w:r>
      <w:r w:rsidR="00617D5F">
        <w:t xml:space="preserve">MBS </w:t>
      </w:r>
      <w:r w:rsidR="0071558E">
        <w:t xml:space="preserve">non-compliance would draw on </w:t>
      </w:r>
      <w:r w:rsidR="00672861">
        <w:t>a</w:t>
      </w:r>
      <w:r w:rsidR="005F1F3E">
        <w:t>n ‘internal’</w:t>
      </w:r>
      <w:r w:rsidR="00672861">
        <w:t xml:space="preserve"> review</w:t>
      </w:r>
      <w:r w:rsidR="0071558E">
        <w:t xml:space="preserve"> of </w:t>
      </w:r>
      <w:r w:rsidR="0014788F">
        <w:t xml:space="preserve">MBS </w:t>
      </w:r>
      <w:r w:rsidR="0071558E">
        <w:t xml:space="preserve">claims </w:t>
      </w:r>
      <w:r w:rsidR="00672861">
        <w:t xml:space="preserve">data </w:t>
      </w:r>
      <w:r w:rsidR="0014788F">
        <w:t xml:space="preserve">and </w:t>
      </w:r>
      <w:r w:rsidR="00672861">
        <w:t>clinical</w:t>
      </w:r>
      <w:r w:rsidR="0014788F">
        <w:t xml:space="preserve"> activity</w:t>
      </w:r>
      <w:r w:rsidR="0071558E">
        <w:t xml:space="preserve"> </w:t>
      </w:r>
      <w:r w:rsidR="00FD5AA3">
        <w:t>to</w:t>
      </w:r>
      <w:r w:rsidR="0071558E">
        <w:t xml:space="preserve"> verify whether non-compliance occurred. </w:t>
      </w:r>
      <w:r w:rsidR="00A45CCF">
        <w:t xml:space="preserve">One example of this is </w:t>
      </w:r>
      <w:r w:rsidR="005A4128">
        <w:t>a random sampling audit approach</w:t>
      </w:r>
      <w:r w:rsidR="005F1F3E">
        <w:t xml:space="preserve"> (described in Box 1)</w:t>
      </w:r>
      <w:r w:rsidR="005A4128">
        <w:t>, which is considered the gold-standard for estimating rates of non-compliance in payment schemes.</w:t>
      </w:r>
      <w:r w:rsidR="008F226B">
        <w:br w:type="page"/>
      </w:r>
    </w:p>
    <w:p w14:paraId="1D7929D0" w14:textId="3EB4E38D" w:rsidR="00141982" w:rsidRPr="005C266C" w:rsidRDefault="002B5563" w:rsidP="00EF2981">
      <w:pPr>
        <w:pStyle w:val="BodyText"/>
      </w:pPr>
      <w:r>
        <w:t xml:space="preserve">Box 1: </w:t>
      </w:r>
      <w:r w:rsidR="00B2432A">
        <w:t>Ideal</w:t>
      </w:r>
      <w:r w:rsidR="006B2AC7">
        <w:t>-state</w:t>
      </w:r>
      <w:r w:rsidR="00B2432A">
        <w:t xml:space="preserve"> </w:t>
      </w:r>
      <w:r w:rsidR="004111FD">
        <w:t>audit</w:t>
      </w:r>
      <w:r w:rsidR="00141982" w:rsidRPr="00141982">
        <w:t xml:space="preserve"> approach to estimat</w:t>
      </w:r>
      <w:r w:rsidR="00B2432A">
        <w:t>ing</w:t>
      </w:r>
      <w:r w:rsidR="00141982" w:rsidRPr="00141982">
        <w:t xml:space="preserve"> Medicare non-compliance </w:t>
      </w:r>
    </w:p>
    <w:p w14:paraId="177AF9D8" w14:textId="7F855EE4" w:rsidR="00FA5F3F" w:rsidRPr="00EF2981" w:rsidRDefault="00A639B6" w:rsidP="00EF2981">
      <w:pPr>
        <w:pStyle w:val="BodyText"/>
        <w:rPr>
          <w:bCs/>
        </w:rPr>
      </w:pPr>
      <w:r w:rsidRPr="00EF2981">
        <w:rPr>
          <w:b w:val="0"/>
          <w:bCs/>
        </w:rPr>
        <w:t xml:space="preserve">Most other </w:t>
      </w:r>
      <w:r w:rsidR="00B865BF" w:rsidRPr="00EF2981">
        <w:rPr>
          <w:b w:val="0"/>
          <w:bCs/>
        </w:rPr>
        <w:t xml:space="preserve">payment </w:t>
      </w:r>
      <w:r w:rsidRPr="00EF2981">
        <w:rPr>
          <w:b w:val="0"/>
          <w:bCs/>
        </w:rPr>
        <w:t xml:space="preserve">schemes </w:t>
      </w:r>
      <w:r w:rsidR="00FA5F3F" w:rsidRPr="00EF2981">
        <w:rPr>
          <w:b w:val="0"/>
          <w:bCs/>
        </w:rPr>
        <w:t xml:space="preserve">that routinely measure and publish rates of </w:t>
      </w:r>
      <w:r w:rsidR="00367F85" w:rsidRPr="00EF2981">
        <w:rPr>
          <w:b w:val="0"/>
          <w:bCs/>
        </w:rPr>
        <w:t xml:space="preserve">estimated </w:t>
      </w:r>
      <w:r w:rsidR="00FA5F3F" w:rsidRPr="00EF2981">
        <w:rPr>
          <w:b w:val="0"/>
          <w:bCs/>
        </w:rPr>
        <w:t>non-compliance</w:t>
      </w:r>
      <w:r w:rsidR="00B865BF" w:rsidRPr="00EF2981">
        <w:rPr>
          <w:b w:val="0"/>
          <w:bCs/>
        </w:rPr>
        <w:t xml:space="preserve"> (</w:t>
      </w:r>
      <w:r w:rsidR="00904BFD" w:rsidRPr="00EF2981">
        <w:rPr>
          <w:b w:val="0"/>
          <w:bCs/>
        </w:rPr>
        <w:t>e.g.</w:t>
      </w:r>
      <w:r w:rsidR="00B865BF" w:rsidRPr="00EF2981">
        <w:rPr>
          <w:b w:val="0"/>
          <w:bCs/>
        </w:rPr>
        <w:t xml:space="preserve"> </w:t>
      </w:r>
      <w:r w:rsidR="007361E5" w:rsidRPr="00EF2981">
        <w:rPr>
          <w:b w:val="0"/>
          <w:bCs/>
        </w:rPr>
        <w:t xml:space="preserve">tax </w:t>
      </w:r>
      <w:r w:rsidR="00827AD9" w:rsidRPr="00EF2981">
        <w:rPr>
          <w:b w:val="0"/>
          <w:bCs/>
        </w:rPr>
        <w:t>revenue losses</w:t>
      </w:r>
      <w:r w:rsidR="00B865BF" w:rsidRPr="00EF2981">
        <w:rPr>
          <w:b w:val="0"/>
          <w:bCs/>
        </w:rPr>
        <w:t xml:space="preserve">, </w:t>
      </w:r>
      <w:r w:rsidR="007F0793" w:rsidRPr="00EF2981">
        <w:rPr>
          <w:b w:val="0"/>
          <w:bCs/>
        </w:rPr>
        <w:t xml:space="preserve">United States </w:t>
      </w:r>
      <w:r w:rsidR="00B865BF" w:rsidRPr="00EF2981">
        <w:rPr>
          <w:b w:val="0"/>
          <w:bCs/>
        </w:rPr>
        <w:t xml:space="preserve">Medicaid </w:t>
      </w:r>
      <w:r w:rsidR="007361E5" w:rsidRPr="00EF2981">
        <w:rPr>
          <w:b w:val="0"/>
          <w:bCs/>
        </w:rPr>
        <w:t>payment error rates</w:t>
      </w:r>
      <w:r w:rsidR="00B865BF" w:rsidRPr="00EF2981">
        <w:rPr>
          <w:b w:val="0"/>
          <w:bCs/>
        </w:rPr>
        <w:t>)</w:t>
      </w:r>
      <w:r w:rsidRPr="00EF2981">
        <w:rPr>
          <w:b w:val="0"/>
          <w:bCs/>
        </w:rPr>
        <w:t xml:space="preserve"> </w:t>
      </w:r>
      <w:r w:rsidR="0067534A" w:rsidRPr="00EF2981">
        <w:rPr>
          <w:b w:val="0"/>
          <w:bCs/>
        </w:rPr>
        <w:t xml:space="preserve">use </w:t>
      </w:r>
      <w:r w:rsidR="00850986" w:rsidRPr="00EF2981">
        <w:rPr>
          <w:b w:val="0"/>
          <w:bCs/>
        </w:rPr>
        <w:t>random audit</w:t>
      </w:r>
      <w:r w:rsidR="000344FC" w:rsidRPr="00EF2981">
        <w:rPr>
          <w:b w:val="0"/>
          <w:bCs/>
        </w:rPr>
        <w:t>s</w:t>
      </w:r>
      <w:r w:rsidR="00850986" w:rsidRPr="00EF2981">
        <w:rPr>
          <w:b w:val="0"/>
          <w:bCs/>
        </w:rPr>
        <w:t xml:space="preserve"> that collect</w:t>
      </w:r>
      <w:r w:rsidR="007F6CF3" w:rsidRPr="00EF2981">
        <w:rPr>
          <w:b w:val="0"/>
          <w:bCs/>
        </w:rPr>
        <w:t xml:space="preserve"> </w:t>
      </w:r>
      <w:r w:rsidR="00850986" w:rsidRPr="00EF2981">
        <w:rPr>
          <w:b w:val="0"/>
          <w:bCs/>
        </w:rPr>
        <w:t xml:space="preserve">data </w:t>
      </w:r>
      <w:r w:rsidR="006B6754" w:rsidRPr="00EF2981">
        <w:rPr>
          <w:b w:val="0"/>
          <w:bCs/>
        </w:rPr>
        <w:t>from a representative sample of the population and scale the finding</w:t>
      </w:r>
      <w:r w:rsidR="00052D0C" w:rsidRPr="00EF2981">
        <w:rPr>
          <w:b w:val="0"/>
          <w:bCs/>
        </w:rPr>
        <w:t>s to derive an overall</w:t>
      </w:r>
      <w:r w:rsidR="00367F85" w:rsidRPr="00EF2981">
        <w:rPr>
          <w:b w:val="0"/>
          <w:bCs/>
        </w:rPr>
        <w:t xml:space="preserve"> </w:t>
      </w:r>
      <w:r w:rsidR="00052D0C" w:rsidRPr="00EF2981">
        <w:rPr>
          <w:b w:val="0"/>
          <w:bCs/>
        </w:rPr>
        <w:t>estimate</w:t>
      </w:r>
      <w:r w:rsidR="00B524BB" w:rsidRPr="00EF2981">
        <w:rPr>
          <w:b w:val="0"/>
          <w:bCs/>
        </w:rPr>
        <w:t>d error rate</w:t>
      </w:r>
      <w:r w:rsidR="00FE497B" w:rsidRPr="00EF2981">
        <w:rPr>
          <w:b w:val="0"/>
          <w:bCs/>
        </w:rPr>
        <w:t>.</w:t>
      </w:r>
      <w:r w:rsidR="00AD4185" w:rsidRPr="00EF2981">
        <w:rPr>
          <w:bCs/>
        </w:rPr>
        <w:footnoteReference w:id="16"/>
      </w:r>
      <w:r w:rsidR="00FE497B" w:rsidRPr="00EF2981">
        <w:rPr>
          <w:b w:val="0"/>
          <w:bCs/>
        </w:rPr>
        <w:t xml:space="preserve"> </w:t>
      </w:r>
      <w:r w:rsidR="00B524BB" w:rsidRPr="00EF2981">
        <w:rPr>
          <w:b w:val="0"/>
          <w:bCs/>
        </w:rPr>
        <w:t>Th</w:t>
      </w:r>
      <w:r w:rsidR="005C5FD9" w:rsidRPr="00EF2981">
        <w:rPr>
          <w:b w:val="0"/>
          <w:bCs/>
        </w:rPr>
        <w:t xml:space="preserve">ese </w:t>
      </w:r>
      <w:r w:rsidR="0075079A" w:rsidRPr="00EF2981">
        <w:rPr>
          <w:b w:val="0"/>
          <w:bCs/>
        </w:rPr>
        <w:t>audit</w:t>
      </w:r>
      <w:r w:rsidR="005C5FD9" w:rsidRPr="00EF2981">
        <w:rPr>
          <w:b w:val="0"/>
          <w:bCs/>
        </w:rPr>
        <w:t xml:space="preserve"> approaches are considered </w:t>
      </w:r>
      <w:r w:rsidR="00B92578" w:rsidRPr="00EF2981">
        <w:rPr>
          <w:b w:val="0"/>
          <w:bCs/>
        </w:rPr>
        <w:t xml:space="preserve">the most reliable </w:t>
      </w:r>
      <w:r w:rsidR="00076E4A" w:rsidRPr="00EF2981">
        <w:rPr>
          <w:b w:val="0"/>
          <w:bCs/>
        </w:rPr>
        <w:t>way of</w:t>
      </w:r>
      <w:r w:rsidR="00B92578" w:rsidRPr="00EF2981">
        <w:rPr>
          <w:b w:val="0"/>
          <w:bCs/>
        </w:rPr>
        <w:t xml:space="preserve"> estimat</w:t>
      </w:r>
      <w:r w:rsidR="00076E4A" w:rsidRPr="00EF2981">
        <w:rPr>
          <w:b w:val="0"/>
          <w:bCs/>
        </w:rPr>
        <w:t xml:space="preserve">ing </w:t>
      </w:r>
      <w:r w:rsidR="00B92578" w:rsidRPr="00EF2981">
        <w:rPr>
          <w:b w:val="0"/>
          <w:bCs/>
        </w:rPr>
        <w:t>levels of non-compliance</w:t>
      </w:r>
      <w:r w:rsidR="00C84207" w:rsidRPr="00EF2981">
        <w:rPr>
          <w:b w:val="0"/>
          <w:bCs/>
        </w:rPr>
        <w:t xml:space="preserve">, as they </w:t>
      </w:r>
      <w:r w:rsidR="000C1B19" w:rsidRPr="00EF2981">
        <w:rPr>
          <w:b w:val="0"/>
          <w:bCs/>
        </w:rPr>
        <w:t xml:space="preserve">draw on </w:t>
      </w:r>
      <w:r w:rsidR="00FA7173" w:rsidRPr="00EF2981">
        <w:rPr>
          <w:b w:val="0"/>
          <w:bCs/>
        </w:rPr>
        <w:t xml:space="preserve">detailed case-by-case </w:t>
      </w:r>
      <w:r w:rsidR="000C1B19" w:rsidRPr="00EF2981">
        <w:rPr>
          <w:b w:val="0"/>
          <w:bCs/>
        </w:rPr>
        <w:t xml:space="preserve">information </w:t>
      </w:r>
      <w:r w:rsidR="00FA7173" w:rsidRPr="00EF2981">
        <w:rPr>
          <w:b w:val="0"/>
          <w:bCs/>
        </w:rPr>
        <w:t xml:space="preserve">that </w:t>
      </w:r>
      <w:r w:rsidR="005536C2" w:rsidRPr="00EF2981">
        <w:rPr>
          <w:b w:val="0"/>
          <w:bCs/>
        </w:rPr>
        <w:t>is</w:t>
      </w:r>
      <w:r w:rsidR="003F3D81" w:rsidRPr="00EF2981">
        <w:rPr>
          <w:b w:val="0"/>
          <w:bCs/>
        </w:rPr>
        <w:t xml:space="preserve"> often necessary in determining the </w:t>
      </w:r>
      <w:r w:rsidR="00184202" w:rsidRPr="00EF2981">
        <w:rPr>
          <w:b w:val="0"/>
          <w:bCs/>
        </w:rPr>
        <w:t>appropriateness</w:t>
      </w:r>
      <w:r w:rsidR="003F3D81" w:rsidRPr="00EF2981">
        <w:rPr>
          <w:b w:val="0"/>
          <w:bCs/>
        </w:rPr>
        <w:t xml:space="preserve"> of a claim</w:t>
      </w:r>
      <w:r w:rsidR="00184202" w:rsidRPr="00EF2981">
        <w:rPr>
          <w:b w:val="0"/>
          <w:bCs/>
        </w:rPr>
        <w:t>.</w:t>
      </w:r>
    </w:p>
    <w:p w14:paraId="7DF9049B" w14:textId="0061C72C" w:rsidR="006A547E" w:rsidRPr="00EF2981" w:rsidRDefault="00B1512E" w:rsidP="00EF2981">
      <w:pPr>
        <w:pStyle w:val="BodyText"/>
        <w:rPr>
          <w:bCs/>
        </w:rPr>
      </w:pPr>
      <w:r w:rsidRPr="00EF2981">
        <w:rPr>
          <w:b w:val="0"/>
          <w:bCs/>
        </w:rPr>
        <w:t xml:space="preserve">In an ideal state, a similar approach would be </w:t>
      </w:r>
      <w:r w:rsidR="00205D6F" w:rsidRPr="00EF2981">
        <w:rPr>
          <w:b w:val="0"/>
          <w:bCs/>
        </w:rPr>
        <w:t>adopted</w:t>
      </w:r>
      <w:r w:rsidRPr="00EF2981">
        <w:rPr>
          <w:b w:val="0"/>
          <w:bCs/>
        </w:rPr>
        <w:t xml:space="preserve"> to estimate the </w:t>
      </w:r>
      <w:r w:rsidR="00362338" w:rsidRPr="00EF2981">
        <w:rPr>
          <w:b w:val="0"/>
          <w:bCs/>
        </w:rPr>
        <w:t>level of MBS non-compliance</w:t>
      </w:r>
      <w:r w:rsidR="00066737" w:rsidRPr="00EF2981">
        <w:rPr>
          <w:b w:val="0"/>
          <w:bCs/>
        </w:rPr>
        <w:t xml:space="preserve">. </w:t>
      </w:r>
      <w:r w:rsidR="00833B78" w:rsidRPr="00EF2981">
        <w:rPr>
          <w:b w:val="0"/>
          <w:bCs/>
        </w:rPr>
        <w:t>Blind r</w:t>
      </w:r>
      <w:r w:rsidR="00F2422B" w:rsidRPr="00EF2981">
        <w:rPr>
          <w:b w:val="0"/>
          <w:bCs/>
        </w:rPr>
        <w:t>etrospective</w:t>
      </w:r>
      <w:r w:rsidR="00662BF9" w:rsidRPr="00EF2981">
        <w:rPr>
          <w:b w:val="0"/>
          <w:bCs/>
        </w:rPr>
        <w:t xml:space="preserve"> e</w:t>
      </w:r>
      <w:r w:rsidR="00213254" w:rsidRPr="00EF2981">
        <w:rPr>
          <w:b w:val="0"/>
          <w:bCs/>
        </w:rPr>
        <w:t>xamin</w:t>
      </w:r>
      <w:r w:rsidR="00833B78" w:rsidRPr="00EF2981">
        <w:rPr>
          <w:b w:val="0"/>
          <w:bCs/>
        </w:rPr>
        <w:t>ation of</w:t>
      </w:r>
      <w:r w:rsidR="00213254" w:rsidRPr="00EF2981">
        <w:rPr>
          <w:b w:val="0"/>
          <w:bCs/>
        </w:rPr>
        <w:t xml:space="preserve"> </w:t>
      </w:r>
      <w:r w:rsidR="00160431" w:rsidRPr="00EF2981">
        <w:rPr>
          <w:b w:val="0"/>
          <w:bCs/>
        </w:rPr>
        <w:t xml:space="preserve">individual </w:t>
      </w:r>
      <w:r w:rsidR="00C62D2E" w:rsidRPr="00EF2981">
        <w:rPr>
          <w:b w:val="0"/>
          <w:bCs/>
        </w:rPr>
        <w:t xml:space="preserve">medical records </w:t>
      </w:r>
      <w:r w:rsidR="00833B78" w:rsidRPr="00EF2981">
        <w:rPr>
          <w:b w:val="0"/>
          <w:bCs/>
        </w:rPr>
        <w:t>(coupled with</w:t>
      </w:r>
      <w:r w:rsidR="00C62D2E" w:rsidRPr="00EF2981">
        <w:rPr>
          <w:b w:val="0"/>
          <w:bCs/>
        </w:rPr>
        <w:t xml:space="preserve"> </w:t>
      </w:r>
      <w:r w:rsidR="00FE5BA4" w:rsidRPr="00EF2981">
        <w:rPr>
          <w:b w:val="0"/>
          <w:bCs/>
        </w:rPr>
        <w:t>interview</w:t>
      </w:r>
      <w:r w:rsidR="00A56DDD" w:rsidRPr="00EF2981">
        <w:rPr>
          <w:b w:val="0"/>
          <w:bCs/>
        </w:rPr>
        <w:t>s of</w:t>
      </w:r>
      <w:r w:rsidR="00160431" w:rsidRPr="00EF2981">
        <w:rPr>
          <w:b w:val="0"/>
          <w:bCs/>
        </w:rPr>
        <w:t xml:space="preserve"> </w:t>
      </w:r>
      <w:r w:rsidR="00213254" w:rsidRPr="00EF2981">
        <w:rPr>
          <w:b w:val="0"/>
          <w:bCs/>
        </w:rPr>
        <w:t>practitioners and patients involved in the claimed activity</w:t>
      </w:r>
      <w:r w:rsidR="00833B78" w:rsidRPr="00EF2981">
        <w:rPr>
          <w:b w:val="0"/>
          <w:bCs/>
        </w:rPr>
        <w:t>)</w:t>
      </w:r>
      <w:r w:rsidR="007F63A2" w:rsidRPr="00EF2981">
        <w:rPr>
          <w:b w:val="0"/>
          <w:bCs/>
        </w:rPr>
        <w:t xml:space="preserve"> would provide the most reliable assessment of whether </w:t>
      </w:r>
      <w:r w:rsidR="003A1FAF" w:rsidRPr="00EF2981">
        <w:rPr>
          <w:b w:val="0"/>
          <w:bCs/>
        </w:rPr>
        <w:t xml:space="preserve">a </w:t>
      </w:r>
      <w:r w:rsidR="007F63A2" w:rsidRPr="00EF2981">
        <w:rPr>
          <w:b w:val="0"/>
          <w:bCs/>
        </w:rPr>
        <w:t xml:space="preserve">claim </w:t>
      </w:r>
      <w:r w:rsidR="0008482C" w:rsidRPr="00EF2981">
        <w:rPr>
          <w:b w:val="0"/>
          <w:bCs/>
        </w:rPr>
        <w:t>is</w:t>
      </w:r>
      <w:r w:rsidR="007F63A2" w:rsidRPr="00EF2981">
        <w:rPr>
          <w:b w:val="0"/>
          <w:bCs/>
        </w:rPr>
        <w:t xml:space="preserve"> non-</w:t>
      </w:r>
      <w:r w:rsidR="00B55582" w:rsidRPr="00EF2981">
        <w:rPr>
          <w:b w:val="0"/>
          <w:bCs/>
        </w:rPr>
        <w:t>complian</w:t>
      </w:r>
      <w:r w:rsidR="00CA7FBD" w:rsidRPr="00EF2981">
        <w:rPr>
          <w:b w:val="0"/>
          <w:bCs/>
        </w:rPr>
        <w:t>t.</w:t>
      </w:r>
      <w:r w:rsidR="007F63A2" w:rsidRPr="00EF2981">
        <w:rPr>
          <w:b w:val="0"/>
          <w:bCs/>
        </w:rPr>
        <w:t xml:space="preserve"> </w:t>
      </w:r>
      <w:r w:rsidR="00013C74" w:rsidRPr="00EF2981">
        <w:rPr>
          <w:b w:val="0"/>
          <w:bCs/>
        </w:rPr>
        <w:t>This is especially</w:t>
      </w:r>
      <w:r w:rsidR="00456B0F" w:rsidRPr="00EF2981">
        <w:rPr>
          <w:b w:val="0"/>
          <w:bCs/>
        </w:rPr>
        <w:t xml:space="preserve"> </w:t>
      </w:r>
      <w:r w:rsidR="00A13E20" w:rsidRPr="00EF2981">
        <w:rPr>
          <w:b w:val="0"/>
          <w:bCs/>
        </w:rPr>
        <w:t>important</w:t>
      </w:r>
      <w:r w:rsidR="007F63A2" w:rsidRPr="00EF2981">
        <w:rPr>
          <w:b w:val="0"/>
          <w:bCs/>
        </w:rPr>
        <w:t xml:space="preserve"> for the </w:t>
      </w:r>
      <w:r w:rsidR="00554725" w:rsidRPr="00EF2981">
        <w:rPr>
          <w:b w:val="0"/>
          <w:bCs/>
        </w:rPr>
        <w:t>non-compli</w:t>
      </w:r>
      <w:r w:rsidR="00572A50" w:rsidRPr="00EF2981">
        <w:rPr>
          <w:b w:val="0"/>
          <w:bCs/>
        </w:rPr>
        <w:t>a</w:t>
      </w:r>
      <w:r w:rsidR="00554725" w:rsidRPr="00EF2981">
        <w:rPr>
          <w:b w:val="0"/>
          <w:bCs/>
        </w:rPr>
        <w:t xml:space="preserve">nt </w:t>
      </w:r>
      <w:r w:rsidR="00013C74" w:rsidRPr="00EF2981">
        <w:rPr>
          <w:b w:val="0"/>
          <w:bCs/>
        </w:rPr>
        <w:t>behaviour</w:t>
      </w:r>
      <w:r w:rsidR="00554725" w:rsidRPr="00EF2981">
        <w:rPr>
          <w:b w:val="0"/>
          <w:bCs/>
        </w:rPr>
        <w:t xml:space="preserve"> </w:t>
      </w:r>
      <w:r w:rsidR="00013C74" w:rsidRPr="00EF2981">
        <w:rPr>
          <w:b w:val="0"/>
          <w:bCs/>
        </w:rPr>
        <w:t>types</w:t>
      </w:r>
      <w:r w:rsidR="000D1E46" w:rsidRPr="00EF2981">
        <w:rPr>
          <w:b w:val="0"/>
          <w:bCs/>
        </w:rPr>
        <w:t xml:space="preserve"> </w:t>
      </w:r>
      <w:r w:rsidR="00554725" w:rsidRPr="00EF2981">
        <w:rPr>
          <w:b w:val="0"/>
          <w:bCs/>
        </w:rPr>
        <w:t>that require information on the cli</w:t>
      </w:r>
      <w:r w:rsidR="00B86670" w:rsidRPr="00EF2981">
        <w:rPr>
          <w:b w:val="0"/>
          <w:bCs/>
        </w:rPr>
        <w:t xml:space="preserve">nical context to assess whether </w:t>
      </w:r>
      <w:r w:rsidR="00013C74" w:rsidRPr="00EF2981">
        <w:rPr>
          <w:b w:val="0"/>
          <w:bCs/>
        </w:rPr>
        <w:t>inappropriate practice occurred.</w:t>
      </w:r>
      <w:r w:rsidR="00AF75AB" w:rsidRPr="00EF2981">
        <w:rPr>
          <w:b w:val="0"/>
          <w:bCs/>
        </w:rPr>
        <w:t xml:space="preserve"> </w:t>
      </w:r>
      <w:r w:rsidR="00061690" w:rsidRPr="00EF2981">
        <w:rPr>
          <w:b w:val="0"/>
          <w:bCs/>
        </w:rPr>
        <w:t xml:space="preserve">In fact, </w:t>
      </w:r>
      <w:r w:rsidR="000A257F" w:rsidRPr="00EF2981">
        <w:rPr>
          <w:b w:val="0"/>
          <w:bCs/>
        </w:rPr>
        <w:t>for these behaviour types</w:t>
      </w:r>
      <w:r w:rsidR="002A4759" w:rsidRPr="00EF2981">
        <w:rPr>
          <w:b w:val="0"/>
          <w:bCs/>
        </w:rPr>
        <w:t xml:space="preserve"> (</w:t>
      </w:r>
      <w:r w:rsidR="00E40AF5" w:rsidRPr="00EF2981">
        <w:rPr>
          <w:b w:val="0"/>
          <w:bCs/>
        </w:rPr>
        <w:t>c</w:t>
      </w:r>
      <w:r w:rsidR="002A4759" w:rsidRPr="00EF2981">
        <w:rPr>
          <w:b w:val="0"/>
          <w:bCs/>
        </w:rPr>
        <w:t xml:space="preserve">ategory 3 in </w:t>
      </w:r>
      <w:r w:rsidR="00E40AF5" w:rsidRPr="00EF2981">
        <w:rPr>
          <w:b w:val="0"/>
          <w:bCs/>
        </w:rPr>
        <w:fldChar w:fldCharType="begin"/>
      </w:r>
      <w:r w:rsidR="00E40AF5" w:rsidRPr="00EF2981">
        <w:rPr>
          <w:b w:val="0"/>
          <w:bCs/>
        </w:rPr>
        <w:instrText xml:space="preserve"> REF  _Ref128639685 \h \r </w:instrText>
      </w:r>
      <w:r w:rsidR="00BF5CDB" w:rsidRPr="00EF2981">
        <w:rPr>
          <w:b w:val="0"/>
          <w:bCs/>
        </w:rPr>
        <w:instrText xml:space="preserve"> \* MERGEFORMAT </w:instrText>
      </w:r>
      <w:r w:rsidR="00E40AF5" w:rsidRPr="00EF2981">
        <w:rPr>
          <w:b w:val="0"/>
          <w:bCs/>
        </w:rPr>
      </w:r>
      <w:r w:rsidR="00E40AF5" w:rsidRPr="00EF2981">
        <w:rPr>
          <w:b w:val="0"/>
          <w:bCs/>
        </w:rPr>
        <w:fldChar w:fldCharType="separate"/>
      </w:r>
      <w:r w:rsidR="005A1647" w:rsidRPr="00EF2981">
        <w:rPr>
          <w:b w:val="0"/>
          <w:bCs/>
        </w:rPr>
        <w:t>Table 2.9</w:t>
      </w:r>
      <w:r w:rsidR="00E40AF5" w:rsidRPr="00EF2981">
        <w:rPr>
          <w:b w:val="0"/>
          <w:bCs/>
        </w:rPr>
        <w:fldChar w:fldCharType="end"/>
      </w:r>
      <w:r w:rsidR="002A4759" w:rsidRPr="00EF2981">
        <w:rPr>
          <w:b w:val="0"/>
          <w:bCs/>
        </w:rPr>
        <w:t>)</w:t>
      </w:r>
      <w:r w:rsidR="000A257F" w:rsidRPr="00EF2981">
        <w:rPr>
          <w:b w:val="0"/>
          <w:bCs/>
        </w:rPr>
        <w:t xml:space="preserve">, </w:t>
      </w:r>
      <w:r w:rsidR="00AD03F4" w:rsidRPr="00EF2981">
        <w:rPr>
          <w:b w:val="0"/>
          <w:bCs/>
        </w:rPr>
        <w:t>th</w:t>
      </w:r>
      <w:r w:rsidR="006257BA" w:rsidRPr="00EF2981">
        <w:rPr>
          <w:b w:val="0"/>
          <w:bCs/>
        </w:rPr>
        <w:t>e</w:t>
      </w:r>
      <w:r w:rsidR="00AD03F4" w:rsidRPr="00EF2981">
        <w:rPr>
          <w:b w:val="0"/>
          <w:bCs/>
        </w:rPr>
        <w:t xml:space="preserve"> audit approach </w:t>
      </w:r>
      <w:r w:rsidR="006257BA" w:rsidRPr="00EF2981">
        <w:rPr>
          <w:b w:val="0"/>
          <w:bCs/>
        </w:rPr>
        <w:t>is</w:t>
      </w:r>
      <w:r w:rsidR="00AD03F4" w:rsidRPr="00EF2981">
        <w:rPr>
          <w:b w:val="0"/>
          <w:bCs/>
        </w:rPr>
        <w:t xml:space="preserve"> the only way of </w:t>
      </w:r>
      <w:r w:rsidR="006257BA" w:rsidRPr="00EF2981">
        <w:rPr>
          <w:b w:val="0"/>
          <w:bCs/>
        </w:rPr>
        <w:t>deriving</w:t>
      </w:r>
      <w:r w:rsidR="00AD03F4" w:rsidRPr="00EF2981">
        <w:rPr>
          <w:b w:val="0"/>
          <w:bCs/>
        </w:rPr>
        <w:t xml:space="preserve"> </w:t>
      </w:r>
      <w:r w:rsidR="006257BA" w:rsidRPr="00EF2981">
        <w:rPr>
          <w:b w:val="0"/>
          <w:bCs/>
        </w:rPr>
        <w:t>estimated</w:t>
      </w:r>
      <w:r w:rsidR="00AD03F4" w:rsidRPr="00EF2981">
        <w:rPr>
          <w:b w:val="0"/>
          <w:bCs/>
        </w:rPr>
        <w:t xml:space="preserve"> rates of non-</w:t>
      </w:r>
      <w:r w:rsidR="006257BA" w:rsidRPr="00EF2981">
        <w:rPr>
          <w:b w:val="0"/>
          <w:bCs/>
        </w:rPr>
        <w:t>compliance</w:t>
      </w:r>
      <w:r w:rsidR="00AD03F4" w:rsidRPr="00EF2981">
        <w:rPr>
          <w:b w:val="0"/>
          <w:bCs/>
        </w:rPr>
        <w:t>.</w:t>
      </w:r>
      <w:r w:rsidR="0007013F" w:rsidRPr="00EF2981">
        <w:rPr>
          <w:b w:val="0"/>
          <w:bCs/>
        </w:rPr>
        <w:t xml:space="preserve"> </w:t>
      </w:r>
      <w:r w:rsidR="00EF6F1C" w:rsidRPr="00EF2981">
        <w:rPr>
          <w:b w:val="0"/>
          <w:bCs/>
        </w:rPr>
        <w:t>This</w:t>
      </w:r>
      <w:r w:rsidR="00E64E2D" w:rsidRPr="00EF2981">
        <w:rPr>
          <w:b w:val="0"/>
          <w:bCs/>
        </w:rPr>
        <w:t xml:space="preserve"> blinded approach</w:t>
      </w:r>
      <w:r w:rsidR="00EF6F1C" w:rsidRPr="00EF2981">
        <w:rPr>
          <w:b w:val="0"/>
          <w:bCs/>
        </w:rPr>
        <w:t xml:space="preserve"> is</w:t>
      </w:r>
      <w:r w:rsidR="00807C62" w:rsidRPr="00EF2981">
        <w:rPr>
          <w:b w:val="0"/>
          <w:bCs/>
        </w:rPr>
        <w:t xml:space="preserve"> an</w:t>
      </w:r>
      <w:r w:rsidR="00EF6F1C" w:rsidRPr="00EF2981">
        <w:rPr>
          <w:b w:val="0"/>
          <w:bCs/>
        </w:rPr>
        <w:t xml:space="preserve"> important aspect of the </w:t>
      </w:r>
      <w:r w:rsidR="00807C62" w:rsidRPr="00EF2981">
        <w:rPr>
          <w:b w:val="0"/>
          <w:bCs/>
        </w:rPr>
        <w:t xml:space="preserve">study design as </w:t>
      </w:r>
      <w:r w:rsidR="003A5AFF" w:rsidRPr="00EF2981">
        <w:rPr>
          <w:b w:val="0"/>
          <w:bCs/>
        </w:rPr>
        <w:t xml:space="preserve">to not affect provider’s behaviour at the time of services and billing. </w:t>
      </w:r>
      <w:r w:rsidR="00EF6F1C" w:rsidRPr="00EF2981">
        <w:rPr>
          <w:b w:val="0"/>
          <w:bCs/>
        </w:rPr>
        <w:t xml:space="preserve"> </w:t>
      </w:r>
    </w:p>
    <w:p w14:paraId="05481FFD" w14:textId="77777777" w:rsidR="007B5522" w:rsidRPr="00EF2981" w:rsidRDefault="00AF75AB" w:rsidP="00EF2981">
      <w:pPr>
        <w:pStyle w:val="BodyText"/>
        <w:rPr>
          <w:bCs/>
        </w:rPr>
      </w:pPr>
      <w:r w:rsidRPr="00EF2981">
        <w:rPr>
          <w:b w:val="0"/>
          <w:bCs/>
        </w:rPr>
        <w:t>If the sample siz</w:t>
      </w:r>
      <w:r w:rsidR="00546424" w:rsidRPr="00EF2981">
        <w:rPr>
          <w:b w:val="0"/>
          <w:bCs/>
        </w:rPr>
        <w:t xml:space="preserve">e had sufficient statistical power and was </w:t>
      </w:r>
      <w:r w:rsidR="00144CB8" w:rsidRPr="00EF2981">
        <w:rPr>
          <w:b w:val="0"/>
          <w:bCs/>
        </w:rPr>
        <w:t>representative</w:t>
      </w:r>
      <w:r w:rsidR="00711FB9" w:rsidRPr="00EF2981">
        <w:rPr>
          <w:b w:val="0"/>
          <w:bCs/>
        </w:rPr>
        <w:t xml:space="preserve"> of the claiming population</w:t>
      </w:r>
      <w:r w:rsidR="00144CB8" w:rsidRPr="00EF2981">
        <w:rPr>
          <w:b w:val="0"/>
          <w:bCs/>
        </w:rPr>
        <w:t>,</w:t>
      </w:r>
      <w:r w:rsidR="00F2422B" w:rsidRPr="00EF2981">
        <w:rPr>
          <w:b w:val="0"/>
          <w:bCs/>
        </w:rPr>
        <w:t xml:space="preserve"> it could then be scaled to provide a robust estimate of </w:t>
      </w:r>
      <w:r w:rsidR="00AB1262" w:rsidRPr="00EF2981">
        <w:rPr>
          <w:b w:val="0"/>
          <w:bCs/>
        </w:rPr>
        <w:t>MBS non-compliance</w:t>
      </w:r>
      <w:r w:rsidR="00725ED8" w:rsidRPr="00EF2981">
        <w:rPr>
          <w:b w:val="0"/>
          <w:bCs/>
        </w:rPr>
        <w:t xml:space="preserve"> in the study year.</w:t>
      </w:r>
      <w:r w:rsidR="00D6267C" w:rsidRPr="00EF2981">
        <w:rPr>
          <w:b w:val="0"/>
          <w:bCs/>
        </w:rPr>
        <w:t xml:space="preserve"> The chosen sample </w:t>
      </w:r>
      <w:r w:rsidR="002C4108" w:rsidRPr="00EF2981">
        <w:rPr>
          <w:b w:val="0"/>
          <w:bCs/>
        </w:rPr>
        <w:t>should</w:t>
      </w:r>
      <w:r w:rsidR="00D6267C" w:rsidRPr="00EF2981">
        <w:rPr>
          <w:b w:val="0"/>
          <w:bCs/>
        </w:rPr>
        <w:t xml:space="preserve"> be representative of </w:t>
      </w:r>
      <w:r w:rsidR="00DD0464" w:rsidRPr="00EF2981">
        <w:rPr>
          <w:b w:val="0"/>
          <w:bCs/>
        </w:rPr>
        <w:t>a range of variables, especially those that may be a driver of non-compliance such as:</w:t>
      </w:r>
      <w:r w:rsidR="00E430A6" w:rsidRPr="00EF2981">
        <w:rPr>
          <w:b w:val="0"/>
          <w:bCs/>
        </w:rPr>
        <w:t xml:space="preserve"> </w:t>
      </w:r>
      <w:r w:rsidR="00EB39C2" w:rsidRPr="00EF2981">
        <w:rPr>
          <w:b w:val="0"/>
          <w:bCs/>
        </w:rPr>
        <w:t xml:space="preserve">profession type; care settings; industry type; </w:t>
      </w:r>
      <w:proofErr w:type="gramStart"/>
      <w:r w:rsidR="00EB39C2" w:rsidRPr="00EF2981">
        <w:rPr>
          <w:b w:val="0"/>
          <w:bCs/>
        </w:rPr>
        <w:t>or,</w:t>
      </w:r>
      <w:proofErr w:type="gramEnd"/>
      <w:r w:rsidR="00EB39C2" w:rsidRPr="00EF2981">
        <w:rPr>
          <w:b w:val="0"/>
          <w:bCs/>
        </w:rPr>
        <w:t xml:space="preserve"> geographic area of care delivery. </w:t>
      </w:r>
    </w:p>
    <w:p w14:paraId="0574A3CA" w14:textId="354A7A71" w:rsidR="00956F0F" w:rsidRDefault="00BE063B" w:rsidP="00150334">
      <w:r>
        <w:lastRenderedPageBreak/>
        <w:t xml:space="preserve">The feasibility of the approach described in Box 1 is challenged by </w:t>
      </w:r>
      <w:r w:rsidR="005E3981">
        <w:t>several practical constraints</w:t>
      </w:r>
      <w:r w:rsidR="00B24C06">
        <w:t xml:space="preserve"> – it is likely to face resource constraints in the first instance and, has the potential to later face legal or ethical approval barriers</w:t>
      </w:r>
      <w:r w:rsidR="005E3981">
        <w:t xml:space="preserve">. </w:t>
      </w:r>
      <w:r w:rsidR="00F81786">
        <w:t>A</w:t>
      </w:r>
      <w:r w:rsidR="00C74E27">
        <w:t xml:space="preserve"> </w:t>
      </w:r>
      <w:r w:rsidR="00AB1BB3">
        <w:t xml:space="preserve">lighter touch approach </w:t>
      </w:r>
      <w:r w:rsidR="004E3F2A">
        <w:t>tha</w:t>
      </w:r>
      <w:r w:rsidR="00364261">
        <w:t>t retains the</w:t>
      </w:r>
      <w:r w:rsidR="001F306D">
        <w:t xml:space="preserve"> ‘internal’ </w:t>
      </w:r>
      <w:r w:rsidR="000F20CC">
        <w:t>focus</w:t>
      </w:r>
      <w:r w:rsidR="001F306D">
        <w:t xml:space="preserve"> of </w:t>
      </w:r>
      <w:r w:rsidR="00944682">
        <w:t>review</w:t>
      </w:r>
      <w:r w:rsidR="000F20CC">
        <w:t>ing</w:t>
      </w:r>
      <w:r w:rsidR="001F306D">
        <w:t xml:space="preserve"> MBS data and records</w:t>
      </w:r>
      <w:r w:rsidR="004D6671">
        <w:t xml:space="preserve"> could be considered as an alternative</w:t>
      </w:r>
      <w:r w:rsidR="001F306D">
        <w:t>.</w:t>
      </w:r>
      <w:r w:rsidR="007A35A2">
        <w:t xml:space="preserve"> </w:t>
      </w:r>
      <w:r w:rsidR="00745382">
        <w:t>T</w:t>
      </w:r>
      <w:r w:rsidR="002C1603">
        <w:t xml:space="preserve">he </w:t>
      </w:r>
      <w:r w:rsidR="00C06794">
        <w:t>trade-off</w:t>
      </w:r>
      <w:r w:rsidR="006D1253">
        <w:t xml:space="preserve"> </w:t>
      </w:r>
      <w:r w:rsidR="004776E7">
        <w:t xml:space="preserve">is the </w:t>
      </w:r>
      <w:r w:rsidR="009240BC">
        <w:t xml:space="preserve">completeness of the estimate </w:t>
      </w:r>
      <w:r w:rsidR="002E2932">
        <w:t xml:space="preserve">– </w:t>
      </w:r>
      <w:r w:rsidR="00296CB1">
        <w:t xml:space="preserve">by balancing administrative burden, </w:t>
      </w:r>
      <w:r w:rsidR="0042473B">
        <w:t xml:space="preserve">the </w:t>
      </w:r>
      <w:r w:rsidR="002E2932">
        <w:t>proposed</w:t>
      </w:r>
      <w:r w:rsidR="0042473B">
        <w:t xml:space="preserve"> </w:t>
      </w:r>
      <w:r w:rsidR="008779CF">
        <w:t>approach</w:t>
      </w:r>
      <w:r w:rsidR="00D22DCA">
        <w:t xml:space="preserve"> can only</w:t>
      </w:r>
      <w:r w:rsidR="002E0FD3">
        <w:t xml:space="preserve"> generate a lower-bound estimate of the </w:t>
      </w:r>
      <w:r w:rsidR="0068341B">
        <w:t>value of MBS non-compliance.</w:t>
      </w:r>
    </w:p>
    <w:p w14:paraId="1ED269C0" w14:textId="2DA3E36B" w:rsidR="00507299" w:rsidRDefault="00CE00E0" w:rsidP="00150334">
      <w:r>
        <w:t>An example of such a lighter touch approach might be to calculate the</w:t>
      </w:r>
      <w:r w:rsidR="00F907FA">
        <w:t xml:space="preserve"> value of</w:t>
      </w:r>
      <w:r w:rsidR="00B03DA1">
        <w:t xml:space="preserve"> non-complian</w:t>
      </w:r>
      <w:r w:rsidR="002350F0">
        <w:t xml:space="preserve">t </w:t>
      </w:r>
      <w:r w:rsidR="00B03DA1">
        <w:t xml:space="preserve">behaviour types </w:t>
      </w:r>
      <w:r w:rsidR="0008291E">
        <w:t>that</w:t>
      </w:r>
      <w:r w:rsidR="004645F9">
        <w:t xml:space="preserve"> require</w:t>
      </w:r>
      <w:r w:rsidR="0008291E">
        <w:t xml:space="preserve"> no clinical context and c</w:t>
      </w:r>
      <w:r w:rsidR="00930BC0">
        <w:t>an</w:t>
      </w:r>
      <w:r w:rsidR="0008291E">
        <w:t xml:space="preserve"> be </w:t>
      </w:r>
      <w:r w:rsidR="00930BC0">
        <w:t>verified</w:t>
      </w:r>
      <w:r w:rsidR="0008291E">
        <w:t xml:space="preserve"> with readily available data</w:t>
      </w:r>
      <w:r w:rsidR="00D048C8">
        <w:t xml:space="preserve"> </w:t>
      </w:r>
      <w:r w:rsidR="00CE15E7">
        <w:t xml:space="preserve">– that is, </w:t>
      </w:r>
      <w:r w:rsidR="001469DA">
        <w:t>evaluating</w:t>
      </w:r>
      <w:r w:rsidR="00BA39BC">
        <w:t xml:space="preserve"> non-compliance </w:t>
      </w:r>
      <w:r w:rsidR="00793F85">
        <w:t>using</w:t>
      </w:r>
      <w:r w:rsidR="00BA39BC">
        <w:t xml:space="preserve"> </w:t>
      </w:r>
      <w:r w:rsidR="00FE072B">
        <w:t xml:space="preserve">data </w:t>
      </w:r>
      <w:r w:rsidR="00C539B4">
        <w:t xml:space="preserve">analysis </w:t>
      </w:r>
      <w:r w:rsidR="00FE072B">
        <w:t>alone is</w:t>
      </w:r>
      <w:r w:rsidR="009F265C">
        <w:t xml:space="preserve"> both </w:t>
      </w:r>
      <w:r w:rsidR="00CE15E7">
        <w:t>deterministic and feasible</w:t>
      </w:r>
      <w:r w:rsidR="00D048C8">
        <w:t xml:space="preserve"> </w:t>
      </w:r>
      <w:r w:rsidR="00C70A0A">
        <w:t>(</w:t>
      </w:r>
      <w:proofErr w:type="gramStart"/>
      <w:r w:rsidR="00904BFD">
        <w:t>i.e.</w:t>
      </w:r>
      <w:proofErr w:type="gramEnd"/>
      <w:r w:rsidR="00C70A0A">
        <w:t xml:space="preserve"> </w:t>
      </w:r>
      <w:r w:rsidR="00E40AF5">
        <w:t>c</w:t>
      </w:r>
      <w:r w:rsidR="00D048C8">
        <w:t xml:space="preserve">ategory 1 in </w:t>
      </w:r>
      <w:r w:rsidR="00E40AF5">
        <w:fldChar w:fldCharType="begin"/>
      </w:r>
      <w:r w:rsidR="00E40AF5">
        <w:instrText xml:space="preserve"> REF  _Ref128639685 \h \r </w:instrText>
      </w:r>
      <w:r w:rsidR="00E40AF5">
        <w:fldChar w:fldCharType="separate"/>
      </w:r>
      <w:r w:rsidR="005A1647">
        <w:t>Table 2.9</w:t>
      </w:r>
      <w:r w:rsidR="00E40AF5">
        <w:fldChar w:fldCharType="end"/>
      </w:r>
      <w:r w:rsidR="00D048C8">
        <w:t>)</w:t>
      </w:r>
      <w:r w:rsidR="00AF5AAA">
        <w:t>.</w:t>
      </w:r>
      <w:r w:rsidR="008779CF">
        <w:t xml:space="preserve"> </w:t>
      </w:r>
      <w:r w:rsidR="00507299">
        <w:t xml:space="preserve">The framework </w:t>
      </w:r>
      <w:r w:rsidR="00705637">
        <w:t>for this approach would involve three</w:t>
      </w:r>
      <w:r w:rsidR="00507299">
        <w:t xml:space="preserve"> sequential steps:</w:t>
      </w:r>
    </w:p>
    <w:p w14:paraId="18892C13" w14:textId="0BFA7932" w:rsidR="00507299" w:rsidRDefault="0038499B" w:rsidP="00DC7291">
      <w:pPr>
        <w:pStyle w:val="ListNumber"/>
        <w:numPr>
          <w:ilvl w:val="0"/>
          <w:numId w:val="17"/>
        </w:numPr>
      </w:pPr>
      <w:r>
        <w:t>Develop list of non-compliant use cases</w:t>
      </w:r>
      <w:r w:rsidR="00F141A2">
        <w:t xml:space="preserve"> </w:t>
      </w:r>
      <w:r w:rsidR="00A71F47">
        <w:t xml:space="preserve">across </w:t>
      </w:r>
      <w:r w:rsidR="009801F9">
        <w:t>identified risks</w:t>
      </w:r>
    </w:p>
    <w:p w14:paraId="18589862" w14:textId="6AB9635D" w:rsidR="005356FB" w:rsidRDefault="0038499B" w:rsidP="00520404">
      <w:pPr>
        <w:pStyle w:val="ListNumber"/>
      </w:pPr>
      <w:r>
        <w:t>Map use case</w:t>
      </w:r>
      <w:r w:rsidR="005C6B79">
        <w:t xml:space="preserve">s to </w:t>
      </w:r>
      <w:r w:rsidR="0029680B">
        <w:t xml:space="preserve">one of the three </w:t>
      </w:r>
      <w:r w:rsidR="00C92B2E">
        <w:t>non-compliant validation methods required (</w:t>
      </w:r>
      <w:r w:rsidR="00270A9B">
        <w:t>see</w:t>
      </w:r>
      <w:r w:rsidR="00C92B2E">
        <w:t xml:space="preserve"> </w:t>
      </w:r>
      <w:r w:rsidR="00E40AF5">
        <w:fldChar w:fldCharType="begin"/>
      </w:r>
      <w:r w:rsidR="00E40AF5">
        <w:instrText xml:space="preserve"> REF  _Ref128639685 \h \r </w:instrText>
      </w:r>
      <w:r w:rsidR="00E40AF5">
        <w:fldChar w:fldCharType="separate"/>
      </w:r>
      <w:r w:rsidR="005A1647">
        <w:t>Table 2.9</w:t>
      </w:r>
      <w:r w:rsidR="00E40AF5">
        <w:fldChar w:fldCharType="end"/>
      </w:r>
      <w:r w:rsidR="00270A9B">
        <w:t>)</w:t>
      </w:r>
    </w:p>
    <w:p w14:paraId="49D32545" w14:textId="7632F696" w:rsidR="00FB2BA2" w:rsidRDefault="00832E1C" w:rsidP="00520404">
      <w:pPr>
        <w:pStyle w:val="ListNumber"/>
      </w:pPr>
      <w:r>
        <w:t xml:space="preserve">Perform </w:t>
      </w:r>
      <w:r w:rsidR="00E669A8">
        <w:t xml:space="preserve">data </w:t>
      </w:r>
      <w:r w:rsidR="005E0FF1">
        <w:t>analysis</w:t>
      </w:r>
      <w:r w:rsidR="00E669A8">
        <w:t xml:space="preserve"> </w:t>
      </w:r>
      <w:r w:rsidR="00390A87">
        <w:t xml:space="preserve">on use cases </w:t>
      </w:r>
      <w:r w:rsidR="00E92A2A">
        <w:t>in the chosen category in</w:t>
      </w:r>
      <w:r w:rsidR="008B7E6C" w:rsidRPr="00B76530">
        <w:t xml:space="preserve"> </w:t>
      </w:r>
      <w:r w:rsidR="00B76530">
        <w:fldChar w:fldCharType="begin"/>
      </w:r>
      <w:r w:rsidR="00B76530">
        <w:instrText xml:space="preserve"> REF _Ref128639705 \r \h  \* MERGEFORMAT </w:instrText>
      </w:r>
      <w:r w:rsidR="00B76530">
        <w:fldChar w:fldCharType="separate"/>
      </w:r>
      <w:r w:rsidR="005A1647">
        <w:t>Table 2.10</w:t>
      </w:r>
      <w:r w:rsidR="00B76530">
        <w:fldChar w:fldCharType="end"/>
      </w:r>
      <w:r w:rsidR="00590100">
        <w:t>.</w:t>
      </w:r>
      <w:r w:rsidR="00372D02">
        <w:t xml:space="preserve"> </w:t>
      </w:r>
      <w:r w:rsidR="00590100">
        <w:t>U</w:t>
      </w:r>
      <w:r w:rsidR="00372D02">
        <w:t>se claim volumes and values to estimate the value of non-compliance</w:t>
      </w:r>
      <w:r w:rsidR="00F64AD1">
        <w:t xml:space="preserve"> for this segment of behaviour types.</w:t>
      </w:r>
      <w:r w:rsidR="00E048E9">
        <w:t xml:space="preserve"> </w:t>
      </w:r>
    </w:p>
    <w:p w14:paraId="2DCC331F" w14:textId="2387C1B5" w:rsidR="00D17620" w:rsidRDefault="00D17620" w:rsidP="00940D39">
      <w:pPr>
        <w:pStyle w:val="CaptionTable"/>
        <w:ind w:left="0"/>
      </w:pPr>
      <w:bookmarkStart w:id="186" w:name="_Ref128639705"/>
      <w:bookmarkStart w:id="187" w:name="_Toc131418580"/>
      <w:r>
        <w:t>: Types of non-compliance and respective use case themes</w:t>
      </w:r>
      <w:bookmarkEnd w:id="186"/>
      <w:bookmarkEnd w:id="187"/>
    </w:p>
    <w:tbl>
      <w:tblPr>
        <w:tblStyle w:val="Deloittetable"/>
        <w:tblW w:w="10490" w:type="dxa"/>
        <w:tblBorders>
          <w:top w:val="single" w:sz="24" w:space="0" w:color="005587"/>
        </w:tblBorders>
        <w:tblLook w:val="04A0" w:firstRow="1" w:lastRow="0" w:firstColumn="1" w:lastColumn="0" w:noHBand="0" w:noVBand="1"/>
      </w:tblPr>
      <w:tblGrid>
        <w:gridCol w:w="1560"/>
        <w:gridCol w:w="3496"/>
        <w:gridCol w:w="3642"/>
        <w:gridCol w:w="1768"/>
        <w:gridCol w:w="24"/>
      </w:tblGrid>
      <w:tr w:rsidR="00B7746F" w:rsidRPr="00405174" w14:paraId="1E9A7AFD" w14:textId="77777777" w:rsidTr="00CB7B80">
        <w:trPr>
          <w:gridAfter w:val="1"/>
          <w:cnfStyle w:val="100000000000" w:firstRow="1" w:lastRow="0" w:firstColumn="0" w:lastColumn="0" w:oddVBand="0" w:evenVBand="0" w:oddHBand="0" w:evenHBand="0" w:firstRowFirstColumn="0" w:firstRowLastColumn="0" w:lastRowFirstColumn="0" w:lastRowLastColumn="0"/>
          <w:wAfter w:w="24" w:type="dxa"/>
          <w:tblHeader/>
        </w:trPr>
        <w:tc>
          <w:tcPr>
            <w:tcW w:w="1560" w:type="dxa"/>
            <w:tcBorders>
              <w:top w:val="single" w:sz="18" w:space="0" w:color="005587"/>
            </w:tcBorders>
          </w:tcPr>
          <w:p w14:paraId="41CF6281" w14:textId="77250289" w:rsidR="00B7746F" w:rsidRPr="00405174" w:rsidRDefault="00B7746F" w:rsidP="00405174">
            <w:r w:rsidRPr="00405174">
              <w:t xml:space="preserve">Category </w:t>
            </w:r>
          </w:p>
        </w:tc>
        <w:tc>
          <w:tcPr>
            <w:tcW w:w="3496" w:type="dxa"/>
            <w:tcBorders>
              <w:top w:val="single" w:sz="18" w:space="0" w:color="005587"/>
            </w:tcBorders>
          </w:tcPr>
          <w:p w14:paraId="4C02D00B" w14:textId="61DF4903" w:rsidR="00B7746F" w:rsidRPr="00405174" w:rsidRDefault="00B7746F" w:rsidP="00405174">
            <w:r w:rsidRPr="00405174">
              <w:t>Use case themes</w:t>
            </w:r>
          </w:p>
        </w:tc>
        <w:tc>
          <w:tcPr>
            <w:tcW w:w="3642" w:type="dxa"/>
            <w:tcBorders>
              <w:top w:val="single" w:sz="18" w:space="0" w:color="005587"/>
            </w:tcBorders>
          </w:tcPr>
          <w:p w14:paraId="22F42664" w14:textId="4E00F30C" w:rsidR="00B7746F" w:rsidRPr="00405174" w:rsidRDefault="00B7746F" w:rsidP="00405174">
            <w:r w:rsidRPr="00405174">
              <w:t>Examples</w:t>
            </w:r>
          </w:p>
        </w:tc>
        <w:tc>
          <w:tcPr>
            <w:tcW w:w="1768" w:type="dxa"/>
            <w:tcBorders>
              <w:top w:val="single" w:sz="18" w:space="0" w:color="005587"/>
            </w:tcBorders>
          </w:tcPr>
          <w:p w14:paraId="0B718F7E" w14:textId="1578EFF9" w:rsidR="00B7746F" w:rsidRPr="00405174" w:rsidRDefault="00B7746F" w:rsidP="00405174">
            <w:r w:rsidRPr="00405174">
              <w:t>Analysis feasibility</w:t>
            </w:r>
          </w:p>
        </w:tc>
      </w:tr>
      <w:tr w:rsidR="00B7746F" w:rsidRPr="00BF5CDB" w14:paraId="7B46D5D0" w14:textId="77777777" w:rsidTr="00B13E5E">
        <w:trPr>
          <w:gridAfter w:val="1"/>
          <w:wAfter w:w="24" w:type="dxa"/>
        </w:trPr>
        <w:tc>
          <w:tcPr>
            <w:tcW w:w="1560" w:type="dxa"/>
            <w:vMerge w:val="restart"/>
          </w:tcPr>
          <w:p w14:paraId="276D07D0" w14:textId="53455A99" w:rsidR="00B7746F" w:rsidRPr="00BF5CDB" w:rsidRDefault="0042428E" w:rsidP="008A5EF8">
            <w:pPr>
              <w:pStyle w:val="TabletextLeft"/>
              <w:rPr>
                <w:b/>
                <w:szCs w:val="20"/>
              </w:rPr>
            </w:pPr>
            <w:r w:rsidRPr="00BF5CDB">
              <w:rPr>
                <w:b/>
                <w:bCs/>
                <w:szCs w:val="20"/>
              </w:rPr>
              <w:t xml:space="preserve">1. </w:t>
            </w:r>
            <w:r w:rsidR="00B7746F" w:rsidRPr="00BF5CDB">
              <w:rPr>
                <w:b/>
                <w:szCs w:val="20"/>
              </w:rPr>
              <w:t>Underclaiming</w:t>
            </w:r>
          </w:p>
        </w:tc>
        <w:tc>
          <w:tcPr>
            <w:tcW w:w="3496" w:type="dxa"/>
          </w:tcPr>
          <w:p w14:paraId="1CD1907B" w14:textId="4B35C406" w:rsidR="00B7746F" w:rsidRPr="00BF5CDB" w:rsidRDefault="00B7746F" w:rsidP="008A5EF8">
            <w:pPr>
              <w:pStyle w:val="TabletextLeft"/>
              <w:rPr>
                <w:szCs w:val="20"/>
              </w:rPr>
            </w:pPr>
            <w:r w:rsidRPr="00BF5CDB">
              <w:rPr>
                <w:b/>
                <w:bCs/>
                <w:szCs w:val="20"/>
              </w:rPr>
              <w:t xml:space="preserve">Down coding: </w:t>
            </w:r>
            <w:r w:rsidRPr="00BF5CDB">
              <w:rPr>
                <w:szCs w:val="20"/>
              </w:rPr>
              <w:t>services eligible for higher complexity / time-based code but not claimed</w:t>
            </w:r>
          </w:p>
        </w:tc>
        <w:tc>
          <w:tcPr>
            <w:tcW w:w="3642" w:type="dxa"/>
          </w:tcPr>
          <w:p w14:paraId="2EA070F6" w14:textId="16AE4A8E" w:rsidR="00B7746F" w:rsidRPr="00EF2981" w:rsidRDefault="00B7746F" w:rsidP="00405174">
            <w:pPr>
              <w:pStyle w:val="Tablebullets"/>
              <w:framePr w:wrap="around"/>
            </w:pPr>
            <w:r w:rsidRPr="00EF2981">
              <w:t>Not claiming a higher value time-based attendance code because allowable reporting time was not factored into the time calculation</w:t>
            </w:r>
          </w:p>
        </w:tc>
        <w:tc>
          <w:tcPr>
            <w:tcW w:w="1768" w:type="dxa"/>
            <w:shd w:val="clear" w:color="auto" w:fill="FF7575"/>
          </w:tcPr>
          <w:p w14:paraId="5C1A62A2" w14:textId="376ED5DF" w:rsidR="00B7746F" w:rsidRPr="00BF5CDB" w:rsidRDefault="00B7746F" w:rsidP="008A5EF8">
            <w:pPr>
              <w:pStyle w:val="TabletextLeft"/>
              <w:rPr>
                <w:szCs w:val="20"/>
              </w:rPr>
            </w:pPr>
            <w:r w:rsidRPr="00BF5CDB">
              <w:rPr>
                <w:szCs w:val="20"/>
              </w:rPr>
              <w:t>Low</w:t>
            </w:r>
          </w:p>
        </w:tc>
      </w:tr>
      <w:tr w:rsidR="00B7746F" w:rsidRPr="00BF5CDB" w14:paraId="24D96300" w14:textId="77777777" w:rsidTr="00B13E5E">
        <w:trPr>
          <w:gridAfter w:val="1"/>
          <w:wAfter w:w="24" w:type="dxa"/>
        </w:trPr>
        <w:tc>
          <w:tcPr>
            <w:tcW w:w="1560" w:type="dxa"/>
            <w:vMerge/>
          </w:tcPr>
          <w:p w14:paraId="67857B28" w14:textId="77777777" w:rsidR="00B7746F" w:rsidRPr="00BF5CDB" w:rsidRDefault="00B7746F" w:rsidP="008A5EF8">
            <w:pPr>
              <w:pStyle w:val="TabletextLeft"/>
              <w:rPr>
                <w:b/>
                <w:szCs w:val="20"/>
              </w:rPr>
            </w:pPr>
          </w:p>
        </w:tc>
        <w:tc>
          <w:tcPr>
            <w:tcW w:w="3496" w:type="dxa"/>
          </w:tcPr>
          <w:p w14:paraId="06D28B45" w14:textId="320F8CE7" w:rsidR="00B7746F" w:rsidRPr="00BF5CDB" w:rsidRDefault="00B7746F" w:rsidP="008A5EF8">
            <w:pPr>
              <w:pStyle w:val="TabletextLeft"/>
              <w:rPr>
                <w:szCs w:val="20"/>
              </w:rPr>
            </w:pPr>
            <w:r w:rsidRPr="00BF5CDB">
              <w:rPr>
                <w:b/>
                <w:bCs/>
                <w:szCs w:val="20"/>
              </w:rPr>
              <w:t xml:space="preserve">Inefficient code selection: </w:t>
            </w:r>
            <w:r w:rsidRPr="00BF5CDB">
              <w:rPr>
                <w:szCs w:val="20"/>
              </w:rPr>
              <w:t>lower value item claimed when a higher value item should have been claimed</w:t>
            </w:r>
          </w:p>
        </w:tc>
        <w:tc>
          <w:tcPr>
            <w:tcW w:w="3642" w:type="dxa"/>
          </w:tcPr>
          <w:p w14:paraId="56359275" w14:textId="199D38EF" w:rsidR="00B7746F" w:rsidRPr="00EF2981" w:rsidRDefault="00B7746F" w:rsidP="00405174">
            <w:pPr>
              <w:pStyle w:val="Tablebullets"/>
              <w:framePr w:wrap="around"/>
            </w:pPr>
            <w:r w:rsidRPr="00EF2981">
              <w:t>Claiming a time-based attendance item when a higher billing antenatal attendance item could have been claimed</w:t>
            </w:r>
          </w:p>
        </w:tc>
        <w:tc>
          <w:tcPr>
            <w:tcW w:w="1768" w:type="dxa"/>
            <w:shd w:val="clear" w:color="auto" w:fill="FF7575"/>
          </w:tcPr>
          <w:p w14:paraId="60407BC7" w14:textId="3F9DF973" w:rsidR="00B7746F" w:rsidRPr="00BF5CDB" w:rsidRDefault="00B7746F" w:rsidP="008A5EF8">
            <w:pPr>
              <w:pStyle w:val="TabletextLeft"/>
              <w:rPr>
                <w:szCs w:val="20"/>
              </w:rPr>
            </w:pPr>
            <w:r w:rsidRPr="00BF5CDB">
              <w:rPr>
                <w:szCs w:val="20"/>
              </w:rPr>
              <w:t>Low</w:t>
            </w:r>
          </w:p>
        </w:tc>
      </w:tr>
      <w:tr w:rsidR="00B7746F" w:rsidRPr="00BF5CDB" w14:paraId="42C79B2C" w14:textId="77777777" w:rsidTr="00B13E5E">
        <w:trPr>
          <w:gridAfter w:val="1"/>
          <w:wAfter w:w="24" w:type="dxa"/>
        </w:trPr>
        <w:tc>
          <w:tcPr>
            <w:tcW w:w="1560" w:type="dxa"/>
            <w:vMerge/>
          </w:tcPr>
          <w:p w14:paraId="08EBD6D0" w14:textId="77777777" w:rsidR="00B7746F" w:rsidRPr="00BF5CDB" w:rsidRDefault="00B7746F" w:rsidP="008A5EF8">
            <w:pPr>
              <w:pStyle w:val="TabletextLeft"/>
              <w:rPr>
                <w:b/>
                <w:szCs w:val="20"/>
              </w:rPr>
            </w:pPr>
          </w:p>
        </w:tc>
        <w:tc>
          <w:tcPr>
            <w:tcW w:w="3496" w:type="dxa"/>
          </w:tcPr>
          <w:p w14:paraId="5A9C9C70" w14:textId="2A777557" w:rsidR="00B7746F" w:rsidRPr="00BF5CDB" w:rsidRDefault="00B7746F" w:rsidP="008A5EF8">
            <w:pPr>
              <w:pStyle w:val="TabletextLeft"/>
              <w:rPr>
                <w:szCs w:val="20"/>
              </w:rPr>
            </w:pPr>
            <w:r w:rsidRPr="00BF5CDB">
              <w:rPr>
                <w:b/>
                <w:bCs/>
                <w:szCs w:val="20"/>
              </w:rPr>
              <w:t>Eligible co-claiming or unbundling:</w:t>
            </w:r>
            <w:r w:rsidRPr="00BF5CDB">
              <w:rPr>
                <w:szCs w:val="20"/>
              </w:rPr>
              <w:t xml:space="preserve"> services eligible for co-claim or unbundling were not claimed or claimed using a bundled item, respectively</w:t>
            </w:r>
          </w:p>
        </w:tc>
        <w:tc>
          <w:tcPr>
            <w:tcW w:w="3642" w:type="dxa"/>
          </w:tcPr>
          <w:p w14:paraId="452A5B57" w14:textId="43DD45CD" w:rsidR="00B7746F" w:rsidRPr="00EF2981" w:rsidRDefault="00B7746F" w:rsidP="00405174">
            <w:pPr>
              <w:pStyle w:val="Tablebullets"/>
              <w:framePr w:wrap="around"/>
            </w:pPr>
            <w:r w:rsidRPr="00EF2981">
              <w:t xml:space="preserve">Abscess drained through regular consultation and no claim made on eligible co-claim procedure item (30219) </w:t>
            </w:r>
          </w:p>
        </w:tc>
        <w:tc>
          <w:tcPr>
            <w:tcW w:w="1768" w:type="dxa"/>
            <w:shd w:val="clear" w:color="auto" w:fill="FF7575"/>
          </w:tcPr>
          <w:p w14:paraId="04FEEC9B" w14:textId="1ACB8FFC" w:rsidR="00B7746F" w:rsidRPr="00BF5CDB" w:rsidRDefault="00B7746F" w:rsidP="008A5EF8">
            <w:pPr>
              <w:pStyle w:val="TabletextLeft"/>
              <w:rPr>
                <w:szCs w:val="20"/>
              </w:rPr>
            </w:pPr>
            <w:r w:rsidRPr="00BF5CDB">
              <w:rPr>
                <w:szCs w:val="20"/>
              </w:rPr>
              <w:t>Low</w:t>
            </w:r>
          </w:p>
        </w:tc>
      </w:tr>
      <w:tr w:rsidR="00B7746F" w:rsidRPr="00BF5CDB" w14:paraId="4959D5F1" w14:textId="77777777" w:rsidTr="00B13E5E">
        <w:trPr>
          <w:gridAfter w:val="1"/>
          <w:wAfter w:w="24" w:type="dxa"/>
        </w:trPr>
        <w:tc>
          <w:tcPr>
            <w:tcW w:w="1560" w:type="dxa"/>
            <w:vMerge w:val="restart"/>
          </w:tcPr>
          <w:p w14:paraId="77299D42" w14:textId="64560BEC" w:rsidR="00B7746F" w:rsidRPr="00BF5CDB" w:rsidRDefault="0042428E" w:rsidP="008A5EF8">
            <w:pPr>
              <w:pStyle w:val="TabletextLeft"/>
              <w:rPr>
                <w:b/>
                <w:szCs w:val="20"/>
              </w:rPr>
            </w:pPr>
            <w:r w:rsidRPr="00BF5CDB">
              <w:rPr>
                <w:b/>
                <w:bCs/>
                <w:szCs w:val="20"/>
              </w:rPr>
              <w:t xml:space="preserve">2. </w:t>
            </w:r>
            <w:r w:rsidR="00B7746F" w:rsidRPr="00BF5CDB">
              <w:rPr>
                <w:b/>
                <w:szCs w:val="20"/>
              </w:rPr>
              <w:t>Low</w:t>
            </w:r>
            <w:r w:rsidR="0032087B" w:rsidRPr="00BF5CDB">
              <w:rPr>
                <w:b/>
                <w:szCs w:val="20"/>
              </w:rPr>
              <w:t xml:space="preserve"> </w:t>
            </w:r>
            <w:r w:rsidR="00B7746F" w:rsidRPr="00BF5CDB">
              <w:rPr>
                <w:b/>
                <w:szCs w:val="20"/>
              </w:rPr>
              <w:t>value care / overservicing</w:t>
            </w:r>
          </w:p>
        </w:tc>
        <w:tc>
          <w:tcPr>
            <w:tcW w:w="3496" w:type="dxa"/>
          </w:tcPr>
          <w:p w14:paraId="1282EEE8" w14:textId="7D031EE4" w:rsidR="00B7746F" w:rsidRPr="00BF5CDB" w:rsidRDefault="00B7746F" w:rsidP="008A5EF8">
            <w:pPr>
              <w:pStyle w:val="TabletextLeft"/>
              <w:rPr>
                <w:szCs w:val="20"/>
              </w:rPr>
            </w:pPr>
            <w:r w:rsidRPr="00BF5CDB">
              <w:rPr>
                <w:b/>
                <w:bCs/>
                <w:szCs w:val="20"/>
              </w:rPr>
              <w:t>Inefficient provision of time-based attendances:</w:t>
            </w:r>
            <w:r w:rsidRPr="00BF5CDB">
              <w:rPr>
                <w:szCs w:val="20"/>
              </w:rPr>
              <w:t xml:space="preserve"> unnecessary (according to relevant clinical guidelines) time-consuming activities leading to time-based upcoding </w:t>
            </w:r>
          </w:p>
        </w:tc>
        <w:tc>
          <w:tcPr>
            <w:tcW w:w="3642" w:type="dxa"/>
          </w:tcPr>
          <w:p w14:paraId="4413EC8F" w14:textId="7BC517D8" w:rsidR="00B7746F" w:rsidRPr="00EF2981" w:rsidRDefault="00B7746F" w:rsidP="00405174">
            <w:pPr>
              <w:pStyle w:val="Tablebullets"/>
              <w:framePr w:wrap="around"/>
            </w:pPr>
            <w:r w:rsidRPr="00EF2981">
              <w:t>Undertaking extensive physical examinations during consult that are not clinically indicated given the assessment of the patient and best practice clinical guidelines</w:t>
            </w:r>
          </w:p>
        </w:tc>
        <w:tc>
          <w:tcPr>
            <w:tcW w:w="1768" w:type="dxa"/>
            <w:shd w:val="clear" w:color="auto" w:fill="FF7575"/>
          </w:tcPr>
          <w:p w14:paraId="4B66FF38" w14:textId="5330C5F5" w:rsidR="00B7746F" w:rsidRPr="00BF5CDB" w:rsidRDefault="00B7746F" w:rsidP="008A5EF8">
            <w:pPr>
              <w:pStyle w:val="TabletextLeft"/>
              <w:rPr>
                <w:szCs w:val="20"/>
              </w:rPr>
            </w:pPr>
            <w:r w:rsidRPr="00BF5CDB">
              <w:rPr>
                <w:szCs w:val="20"/>
              </w:rPr>
              <w:t>Low</w:t>
            </w:r>
          </w:p>
        </w:tc>
      </w:tr>
      <w:tr w:rsidR="00B7746F" w:rsidRPr="00BF5CDB" w14:paraId="61306150" w14:textId="77777777" w:rsidTr="00B13E5E">
        <w:trPr>
          <w:gridAfter w:val="1"/>
          <w:wAfter w:w="24" w:type="dxa"/>
        </w:trPr>
        <w:tc>
          <w:tcPr>
            <w:tcW w:w="1560" w:type="dxa"/>
            <w:vMerge/>
          </w:tcPr>
          <w:p w14:paraId="57F6BD8D" w14:textId="77777777" w:rsidR="00B7746F" w:rsidRPr="00BF5CDB" w:rsidRDefault="00B7746F" w:rsidP="008A5EF8">
            <w:pPr>
              <w:pStyle w:val="TabletextLeft"/>
              <w:rPr>
                <w:b/>
                <w:szCs w:val="20"/>
              </w:rPr>
            </w:pPr>
          </w:p>
        </w:tc>
        <w:tc>
          <w:tcPr>
            <w:tcW w:w="3496" w:type="dxa"/>
          </w:tcPr>
          <w:p w14:paraId="2FD29EAB" w14:textId="54143D8A" w:rsidR="00B7746F" w:rsidRPr="00BF5CDB" w:rsidRDefault="00B7746F" w:rsidP="008A5EF8">
            <w:pPr>
              <w:pStyle w:val="TabletextLeft"/>
              <w:rPr>
                <w:szCs w:val="20"/>
              </w:rPr>
            </w:pPr>
            <w:r w:rsidRPr="00BF5CDB">
              <w:rPr>
                <w:b/>
                <w:bCs/>
                <w:szCs w:val="20"/>
              </w:rPr>
              <w:t xml:space="preserve">Overprovision of additional services: </w:t>
            </w:r>
            <w:r w:rsidRPr="00BF5CDB">
              <w:rPr>
                <w:szCs w:val="20"/>
              </w:rPr>
              <w:t>additional services (</w:t>
            </w:r>
            <w:proofErr w:type="gramStart"/>
            <w:r w:rsidR="00904BFD" w:rsidRPr="00BF5CDB">
              <w:rPr>
                <w:szCs w:val="20"/>
              </w:rPr>
              <w:t>e.g.</w:t>
            </w:r>
            <w:proofErr w:type="gramEnd"/>
            <w:r w:rsidRPr="00BF5CDB">
              <w:rPr>
                <w:szCs w:val="20"/>
              </w:rPr>
              <w:t xml:space="preserve"> diagnostics, health assessment) referred to or supplied more than necessary (according to relevant clinical guidelines)</w:t>
            </w:r>
          </w:p>
        </w:tc>
        <w:tc>
          <w:tcPr>
            <w:tcW w:w="3642" w:type="dxa"/>
          </w:tcPr>
          <w:p w14:paraId="3E1DD4CC" w14:textId="289D06DD" w:rsidR="00B7746F" w:rsidRPr="00EF2981" w:rsidRDefault="00B7746F" w:rsidP="00405174">
            <w:pPr>
              <w:pStyle w:val="Tablebullets"/>
              <w:framePr w:wrap="around"/>
            </w:pPr>
            <w:r w:rsidRPr="00EF2981">
              <w:t>Referral for blood tests that are not clinically indicated</w:t>
            </w:r>
          </w:p>
        </w:tc>
        <w:tc>
          <w:tcPr>
            <w:tcW w:w="1768" w:type="dxa"/>
            <w:shd w:val="clear" w:color="auto" w:fill="FF7575"/>
          </w:tcPr>
          <w:p w14:paraId="19796550" w14:textId="2B1D071B" w:rsidR="00B7746F" w:rsidRPr="00BF5CDB" w:rsidRDefault="00B7746F" w:rsidP="008A5EF8">
            <w:pPr>
              <w:pStyle w:val="TabletextLeft"/>
              <w:rPr>
                <w:szCs w:val="20"/>
              </w:rPr>
            </w:pPr>
            <w:r w:rsidRPr="00BF5CDB">
              <w:rPr>
                <w:szCs w:val="20"/>
              </w:rPr>
              <w:t>Low</w:t>
            </w:r>
          </w:p>
        </w:tc>
      </w:tr>
      <w:tr w:rsidR="00B7746F" w:rsidRPr="00BF5CDB" w14:paraId="03827FA3" w14:textId="77777777" w:rsidTr="00B13E5E">
        <w:trPr>
          <w:gridAfter w:val="1"/>
          <w:wAfter w:w="24" w:type="dxa"/>
        </w:trPr>
        <w:tc>
          <w:tcPr>
            <w:tcW w:w="1560" w:type="dxa"/>
            <w:vMerge/>
          </w:tcPr>
          <w:p w14:paraId="5B60D10B" w14:textId="77777777" w:rsidR="00B7746F" w:rsidRPr="00BF5CDB" w:rsidRDefault="00B7746F" w:rsidP="008A5EF8">
            <w:pPr>
              <w:pStyle w:val="TabletextLeft"/>
              <w:rPr>
                <w:b/>
                <w:szCs w:val="20"/>
              </w:rPr>
            </w:pPr>
          </w:p>
        </w:tc>
        <w:tc>
          <w:tcPr>
            <w:tcW w:w="3496" w:type="dxa"/>
          </w:tcPr>
          <w:p w14:paraId="2C406E43" w14:textId="13A660D7" w:rsidR="00B7746F" w:rsidRPr="00BF5CDB" w:rsidRDefault="00B7746F" w:rsidP="008A5EF8">
            <w:pPr>
              <w:pStyle w:val="TabletextLeft"/>
              <w:rPr>
                <w:szCs w:val="20"/>
              </w:rPr>
            </w:pPr>
            <w:r w:rsidRPr="00BF5CDB">
              <w:rPr>
                <w:b/>
                <w:bCs/>
                <w:szCs w:val="20"/>
              </w:rPr>
              <w:t xml:space="preserve">Unnecessary repeat / follow-up services: </w:t>
            </w:r>
            <w:r w:rsidRPr="00BF5CDB">
              <w:rPr>
                <w:szCs w:val="20"/>
              </w:rPr>
              <w:t>providers scheduling and providing excessive repeat / follow-up services (according to relevant clinical guidelines)</w:t>
            </w:r>
          </w:p>
        </w:tc>
        <w:tc>
          <w:tcPr>
            <w:tcW w:w="3642" w:type="dxa"/>
          </w:tcPr>
          <w:p w14:paraId="3ED2BCF5" w14:textId="2789CB0C" w:rsidR="00B7746F" w:rsidRPr="00EF2981" w:rsidRDefault="00B7746F" w:rsidP="00405174">
            <w:pPr>
              <w:pStyle w:val="Tablebullets"/>
              <w:framePr w:wrap="around"/>
            </w:pPr>
            <w:r w:rsidRPr="00EF2981">
              <w:t>Scheduling follow</w:t>
            </w:r>
            <w:r w:rsidR="00E40AF5" w:rsidRPr="00EF2981">
              <w:t>-</w:t>
            </w:r>
            <w:r w:rsidRPr="00EF2981">
              <w:t>up services that are not clinically indicated</w:t>
            </w:r>
          </w:p>
        </w:tc>
        <w:tc>
          <w:tcPr>
            <w:tcW w:w="1768" w:type="dxa"/>
            <w:shd w:val="clear" w:color="auto" w:fill="FFE181"/>
          </w:tcPr>
          <w:p w14:paraId="35A7DAD2" w14:textId="0A7E4649" w:rsidR="00B7746F" w:rsidRPr="00BF5CDB" w:rsidRDefault="00B7746F" w:rsidP="008A5EF8">
            <w:pPr>
              <w:pStyle w:val="TabletextLeft"/>
              <w:rPr>
                <w:szCs w:val="20"/>
              </w:rPr>
            </w:pPr>
            <w:r w:rsidRPr="00BF5CDB">
              <w:rPr>
                <w:szCs w:val="20"/>
              </w:rPr>
              <w:t>Medium</w:t>
            </w:r>
          </w:p>
        </w:tc>
      </w:tr>
      <w:tr w:rsidR="00B7746F" w:rsidRPr="00BF5CDB" w14:paraId="1AF38444" w14:textId="77777777" w:rsidTr="00B13E5E">
        <w:trPr>
          <w:gridAfter w:val="1"/>
          <w:wAfter w:w="24" w:type="dxa"/>
        </w:trPr>
        <w:tc>
          <w:tcPr>
            <w:tcW w:w="1560" w:type="dxa"/>
            <w:vMerge/>
          </w:tcPr>
          <w:p w14:paraId="2DAED52C" w14:textId="77777777" w:rsidR="00B7746F" w:rsidRPr="00BF5CDB" w:rsidRDefault="00B7746F" w:rsidP="008A5EF8">
            <w:pPr>
              <w:pStyle w:val="TabletextLeft"/>
              <w:rPr>
                <w:b/>
                <w:szCs w:val="20"/>
              </w:rPr>
            </w:pPr>
          </w:p>
        </w:tc>
        <w:tc>
          <w:tcPr>
            <w:tcW w:w="3496" w:type="dxa"/>
          </w:tcPr>
          <w:p w14:paraId="2734B634" w14:textId="295B0436" w:rsidR="00B7746F" w:rsidRPr="00BF5CDB" w:rsidRDefault="00B7746F" w:rsidP="008A5EF8">
            <w:pPr>
              <w:pStyle w:val="TabletextLeft"/>
              <w:rPr>
                <w:szCs w:val="20"/>
              </w:rPr>
            </w:pPr>
            <w:r w:rsidRPr="00BF5CDB">
              <w:rPr>
                <w:b/>
                <w:bCs/>
                <w:szCs w:val="20"/>
              </w:rPr>
              <w:t xml:space="preserve">Duplicate servicing: </w:t>
            </w:r>
            <w:r w:rsidRPr="00BF5CDB">
              <w:rPr>
                <w:szCs w:val="20"/>
              </w:rPr>
              <w:t>provision of care already provided by another practitioner</w:t>
            </w:r>
          </w:p>
        </w:tc>
        <w:tc>
          <w:tcPr>
            <w:tcW w:w="3642" w:type="dxa"/>
          </w:tcPr>
          <w:p w14:paraId="2C3EABBA" w14:textId="23BD4D1B" w:rsidR="00B7746F" w:rsidRPr="00EF2981" w:rsidRDefault="00B7746F" w:rsidP="00405174">
            <w:pPr>
              <w:pStyle w:val="Tablebullets"/>
              <w:framePr w:wrap="around"/>
            </w:pPr>
            <w:r w:rsidRPr="00EF2981">
              <w:t>Patient presents to multiple GPs seeking non-indicated referral to specialist</w:t>
            </w:r>
          </w:p>
        </w:tc>
        <w:tc>
          <w:tcPr>
            <w:tcW w:w="1768" w:type="dxa"/>
            <w:shd w:val="clear" w:color="auto" w:fill="FFE181"/>
          </w:tcPr>
          <w:p w14:paraId="7B4ED94E" w14:textId="3043D535" w:rsidR="00B7746F" w:rsidRPr="00BF5CDB" w:rsidRDefault="00B7746F" w:rsidP="008A5EF8">
            <w:pPr>
              <w:pStyle w:val="TabletextLeft"/>
              <w:rPr>
                <w:szCs w:val="20"/>
              </w:rPr>
            </w:pPr>
            <w:r w:rsidRPr="00BF5CDB">
              <w:rPr>
                <w:szCs w:val="20"/>
              </w:rPr>
              <w:t>Medium</w:t>
            </w:r>
          </w:p>
        </w:tc>
      </w:tr>
      <w:tr w:rsidR="00B7746F" w:rsidRPr="00BF5CDB" w14:paraId="67B976FE" w14:textId="77777777" w:rsidTr="00B13E5E">
        <w:trPr>
          <w:gridAfter w:val="1"/>
          <w:wAfter w:w="24" w:type="dxa"/>
        </w:trPr>
        <w:tc>
          <w:tcPr>
            <w:tcW w:w="1560" w:type="dxa"/>
            <w:vMerge w:val="restart"/>
          </w:tcPr>
          <w:p w14:paraId="14C3FB85" w14:textId="5C68843C" w:rsidR="00B7746F" w:rsidRPr="00BF5CDB" w:rsidRDefault="0042428E" w:rsidP="008A5EF8">
            <w:pPr>
              <w:pStyle w:val="TabletextLeft"/>
              <w:rPr>
                <w:b/>
                <w:szCs w:val="20"/>
              </w:rPr>
            </w:pPr>
            <w:r w:rsidRPr="00BF5CDB">
              <w:rPr>
                <w:b/>
                <w:bCs/>
                <w:szCs w:val="20"/>
              </w:rPr>
              <w:t xml:space="preserve">3. </w:t>
            </w:r>
            <w:r w:rsidR="00B7746F" w:rsidRPr="00BF5CDB">
              <w:rPr>
                <w:b/>
                <w:szCs w:val="20"/>
              </w:rPr>
              <w:t>Underservicing</w:t>
            </w:r>
          </w:p>
        </w:tc>
        <w:tc>
          <w:tcPr>
            <w:tcW w:w="3496" w:type="dxa"/>
          </w:tcPr>
          <w:p w14:paraId="3D94DC68" w14:textId="6BB0CCFC" w:rsidR="00B7746F" w:rsidRPr="00BF5CDB" w:rsidRDefault="00B7746F" w:rsidP="008A5EF8">
            <w:pPr>
              <w:pStyle w:val="TabletextLeft"/>
              <w:rPr>
                <w:szCs w:val="20"/>
              </w:rPr>
            </w:pPr>
            <w:r w:rsidRPr="00BF5CDB">
              <w:rPr>
                <w:b/>
                <w:bCs/>
                <w:szCs w:val="20"/>
              </w:rPr>
              <w:t xml:space="preserve">Partial servicing: </w:t>
            </w:r>
            <w:r w:rsidRPr="00BF5CDB">
              <w:rPr>
                <w:szCs w:val="20"/>
              </w:rPr>
              <w:t xml:space="preserve">providers did not fulfill all expected services as outlined in the item descriptor  </w:t>
            </w:r>
          </w:p>
        </w:tc>
        <w:tc>
          <w:tcPr>
            <w:tcW w:w="3642" w:type="dxa"/>
          </w:tcPr>
          <w:p w14:paraId="12D85960" w14:textId="78B4CB4A" w:rsidR="00B7746F" w:rsidRPr="00EF2981" w:rsidRDefault="00B7746F" w:rsidP="00405174">
            <w:pPr>
              <w:pStyle w:val="Tablebullets"/>
              <w:framePr w:wrap="around"/>
            </w:pPr>
            <w:r w:rsidRPr="00EF2981">
              <w:t xml:space="preserve">Health assessment item claimed, however not all of the indicated components of the assessment were </w:t>
            </w:r>
            <w:r w:rsidRPr="00EF2981">
              <w:lastRenderedPageBreak/>
              <w:t>completed in line with the item’s guidance notes</w:t>
            </w:r>
          </w:p>
        </w:tc>
        <w:tc>
          <w:tcPr>
            <w:tcW w:w="1768" w:type="dxa"/>
            <w:shd w:val="clear" w:color="auto" w:fill="FFE181"/>
          </w:tcPr>
          <w:p w14:paraId="10E97851" w14:textId="4AE7DDE1" w:rsidR="00B7746F" w:rsidRPr="00BF5CDB" w:rsidRDefault="00B7746F" w:rsidP="008A5EF8">
            <w:pPr>
              <w:pStyle w:val="TabletextLeft"/>
              <w:rPr>
                <w:szCs w:val="20"/>
              </w:rPr>
            </w:pPr>
            <w:r w:rsidRPr="00BF5CDB">
              <w:rPr>
                <w:szCs w:val="20"/>
              </w:rPr>
              <w:lastRenderedPageBreak/>
              <w:t>Medium</w:t>
            </w:r>
          </w:p>
        </w:tc>
      </w:tr>
      <w:tr w:rsidR="00B7746F" w:rsidRPr="00BF5CDB" w14:paraId="6E69E6D0" w14:textId="77777777" w:rsidTr="00B13E5E">
        <w:trPr>
          <w:gridAfter w:val="1"/>
          <w:wAfter w:w="24" w:type="dxa"/>
        </w:trPr>
        <w:tc>
          <w:tcPr>
            <w:tcW w:w="1560" w:type="dxa"/>
            <w:vMerge/>
          </w:tcPr>
          <w:p w14:paraId="249F7EC2" w14:textId="77777777" w:rsidR="00B7746F" w:rsidRPr="00BF5CDB" w:rsidRDefault="00B7746F" w:rsidP="008A5EF8">
            <w:pPr>
              <w:pStyle w:val="TabletextLeft"/>
              <w:rPr>
                <w:b/>
                <w:szCs w:val="20"/>
              </w:rPr>
            </w:pPr>
          </w:p>
        </w:tc>
        <w:tc>
          <w:tcPr>
            <w:tcW w:w="3496" w:type="dxa"/>
          </w:tcPr>
          <w:p w14:paraId="15CE9D7D" w14:textId="3C37CE4A" w:rsidR="00B7746F" w:rsidRPr="00BF5CDB" w:rsidRDefault="00B7746F" w:rsidP="008A5EF8">
            <w:pPr>
              <w:pStyle w:val="TabletextLeft"/>
              <w:rPr>
                <w:szCs w:val="20"/>
              </w:rPr>
            </w:pPr>
            <w:r w:rsidRPr="00BF5CDB">
              <w:rPr>
                <w:b/>
                <w:bCs/>
                <w:szCs w:val="20"/>
              </w:rPr>
              <w:t xml:space="preserve">Service avoidance: </w:t>
            </w:r>
            <w:r w:rsidRPr="00BF5CDB">
              <w:rPr>
                <w:szCs w:val="20"/>
              </w:rPr>
              <w:t xml:space="preserve">providers not providing all of the care required by the patient and within the provider’s capability (according to relevant clinical guidelines) </w:t>
            </w:r>
          </w:p>
        </w:tc>
        <w:tc>
          <w:tcPr>
            <w:tcW w:w="3642" w:type="dxa"/>
          </w:tcPr>
          <w:p w14:paraId="327C830D" w14:textId="56FD8BD6" w:rsidR="00B7746F" w:rsidRPr="00EF2981" w:rsidRDefault="00B7746F" w:rsidP="00405174">
            <w:pPr>
              <w:pStyle w:val="Tablebullets"/>
              <w:framePr w:wrap="around"/>
            </w:pPr>
            <w:r w:rsidRPr="00EF2981">
              <w:t xml:space="preserve">A GP under time pressure may advise patient to present to local </w:t>
            </w:r>
            <w:r w:rsidR="00A86B7F" w:rsidRPr="00EF2981">
              <w:t>emergency department</w:t>
            </w:r>
            <w:r w:rsidRPr="00EF2981">
              <w:t xml:space="preserve"> for a time-consuming wound repair</w:t>
            </w:r>
          </w:p>
        </w:tc>
        <w:tc>
          <w:tcPr>
            <w:tcW w:w="1768" w:type="dxa"/>
            <w:shd w:val="clear" w:color="auto" w:fill="FF7575"/>
          </w:tcPr>
          <w:p w14:paraId="6DBC5DDD" w14:textId="2D5E9902" w:rsidR="00B7746F" w:rsidRPr="00BF5CDB" w:rsidRDefault="00B7746F" w:rsidP="008A5EF8">
            <w:pPr>
              <w:pStyle w:val="TabletextLeft"/>
              <w:rPr>
                <w:szCs w:val="20"/>
              </w:rPr>
            </w:pPr>
            <w:r w:rsidRPr="00BF5CDB">
              <w:rPr>
                <w:szCs w:val="20"/>
              </w:rPr>
              <w:t>Low</w:t>
            </w:r>
          </w:p>
        </w:tc>
      </w:tr>
      <w:tr w:rsidR="00B7746F" w:rsidRPr="00BF5CDB" w14:paraId="0FBF4B19" w14:textId="77777777" w:rsidTr="00B13E5E">
        <w:trPr>
          <w:gridAfter w:val="1"/>
          <w:wAfter w:w="24" w:type="dxa"/>
        </w:trPr>
        <w:tc>
          <w:tcPr>
            <w:tcW w:w="1560" w:type="dxa"/>
            <w:vMerge w:val="restart"/>
          </w:tcPr>
          <w:p w14:paraId="629BFE45" w14:textId="02778834" w:rsidR="00B7746F" w:rsidRPr="00BF5CDB" w:rsidRDefault="0042428E" w:rsidP="008A5EF8">
            <w:pPr>
              <w:pStyle w:val="TabletextLeft"/>
              <w:rPr>
                <w:b/>
                <w:szCs w:val="20"/>
              </w:rPr>
            </w:pPr>
            <w:r w:rsidRPr="00BF5CDB">
              <w:rPr>
                <w:b/>
                <w:bCs/>
                <w:szCs w:val="20"/>
              </w:rPr>
              <w:t xml:space="preserve">4. </w:t>
            </w:r>
            <w:r w:rsidR="00B7746F" w:rsidRPr="00BF5CDB">
              <w:rPr>
                <w:b/>
                <w:szCs w:val="20"/>
              </w:rPr>
              <w:t>Incorrect claiming</w:t>
            </w:r>
          </w:p>
        </w:tc>
        <w:tc>
          <w:tcPr>
            <w:tcW w:w="3496" w:type="dxa"/>
          </w:tcPr>
          <w:p w14:paraId="15768958" w14:textId="57174754" w:rsidR="00B7746F" w:rsidRPr="00BF5CDB" w:rsidRDefault="00B7746F" w:rsidP="008A5EF8">
            <w:pPr>
              <w:pStyle w:val="TabletextLeft"/>
              <w:rPr>
                <w:szCs w:val="20"/>
              </w:rPr>
            </w:pPr>
            <w:r w:rsidRPr="00BF5CDB">
              <w:rPr>
                <w:b/>
                <w:bCs/>
                <w:szCs w:val="20"/>
              </w:rPr>
              <w:t xml:space="preserve">Upcoding: </w:t>
            </w:r>
            <w:r w:rsidRPr="00BF5CDB">
              <w:rPr>
                <w:szCs w:val="20"/>
              </w:rPr>
              <w:t>billing for a higher complexity / time-based code tha</w:t>
            </w:r>
            <w:r w:rsidR="00E40AF5" w:rsidRPr="00BF5CDB">
              <w:rPr>
                <w:szCs w:val="20"/>
              </w:rPr>
              <w:t>n</w:t>
            </w:r>
            <w:r w:rsidRPr="00BF5CDB">
              <w:rPr>
                <w:szCs w:val="20"/>
              </w:rPr>
              <w:t xml:space="preserve"> the service provided</w:t>
            </w:r>
          </w:p>
        </w:tc>
        <w:tc>
          <w:tcPr>
            <w:tcW w:w="3642" w:type="dxa"/>
          </w:tcPr>
          <w:p w14:paraId="7F7FA286" w14:textId="64AB235D" w:rsidR="00B7746F" w:rsidRPr="00EF2981" w:rsidRDefault="00B7746F" w:rsidP="00405174">
            <w:pPr>
              <w:pStyle w:val="Tablebullets"/>
              <w:framePr w:wrap="around"/>
            </w:pPr>
            <w:r w:rsidRPr="00EF2981">
              <w:t>Longer time-based item claimed even though time requirements not met</w:t>
            </w:r>
          </w:p>
        </w:tc>
        <w:tc>
          <w:tcPr>
            <w:tcW w:w="1768" w:type="dxa"/>
            <w:shd w:val="clear" w:color="auto" w:fill="FF7575"/>
          </w:tcPr>
          <w:p w14:paraId="5E8AD94D" w14:textId="1478875F" w:rsidR="00B7746F" w:rsidRPr="00BF5CDB" w:rsidRDefault="00B7746F" w:rsidP="008A5EF8">
            <w:pPr>
              <w:pStyle w:val="TabletextLeft"/>
              <w:rPr>
                <w:szCs w:val="20"/>
              </w:rPr>
            </w:pPr>
            <w:r w:rsidRPr="00BF5CDB">
              <w:rPr>
                <w:szCs w:val="20"/>
              </w:rPr>
              <w:t>Low</w:t>
            </w:r>
          </w:p>
        </w:tc>
      </w:tr>
      <w:tr w:rsidR="00B7746F" w:rsidRPr="00BF5CDB" w14:paraId="72A7763C" w14:textId="77777777" w:rsidTr="00B13E5E">
        <w:trPr>
          <w:gridAfter w:val="1"/>
          <w:wAfter w:w="24" w:type="dxa"/>
        </w:trPr>
        <w:tc>
          <w:tcPr>
            <w:tcW w:w="1560" w:type="dxa"/>
            <w:vMerge/>
          </w:tcPr>
          <w:p w14:paraId="4DF412BD" w14:textId="77777777" w:rsidR="00B7746F" w:rsidRPr="00BF5CDB" w:rsidRDefault="00B7746F" w:rsidP="008A5EF8">
            <w:pPr>
              <w:pStyle w:val="TabletextLeft"/>
              <w:rPr>
                <w:b/>
                <w:szCs w:val="20"/>
              </w:rPr>
            </w:pPr>
          </w:p>
        </w:tc>
        <w:tc>
          <w:tcPr>
            <w:tcW w:w="3496" w:type="dxa"/>
          </w:tcPr>
          <w:p w14:paraId="277FBA3F" w14:textId="44399D44" w:rsidR="00B7746F" w:rsidRPr="00BF5CDB" w:rsidRDefault="00B7746F" w:rsidP="008A5EF8">
            <w:pPr>
              <w:pStyle w:val="TabletextLeft"/>
              <w:rPr>
                <w:szCs w:val="20"/>
              </w:rPr>
            </w:pPr>
            <w:r w:rsidRPr="00BF5CDB">
              <w:rPr>
                <w:b/>
                <w:bCs/>
                <w:szCs w:val="20"/>
              </w:rPr>
              <w:t xml:space="preserve">Unmet item prerequisites: </w:t>
            </w:r>
            <w:r w:rsidRPr="00BF5CDB">
              <w:rPr>
                <w:szCs w:val="20"/>
              </w:rPr>
              <w:t>minimum requirements for a service (</w:t>
            </w:r>
            <w:proofErr w:type="gramStart"/>
            <w:r w:rsidR="00904BFD" w:rsidRPr="00BF5CDB">
              <w:rPr>
                <w:szCs w:val="20"/>
              </w:rPr>
              <w:t>e.g.</w:t>
            </w:r>
            <w:proofErr w:type="gramEnd"/>
            <w:r w:rsidRPr="00BF5CDB">
              <w:rPr>
                <w:szCs w:val="20"/>
              </w:rPr>
              <w:t xml:space="preserve"> initial attendance, patient demography) not met before claiming</w:t>
            </w:r>
          </w:p>
        </w:tc>
        <w:tc>
          <w:tcPr>
            <w:tcW w:w="3642" w:type="dxa"/>
          </w:tcPr>
          <w:p w14:paraId="3DB0CBD4" w14:textId="715304DB" w:rsidR="00B7746F" w:rsidRPr="00EF2981" w:rsidRDefault="00B7746F" w:rsidP="00405174">
            <w:pPr>
              <w:pStyle w:val="Tablebullets"/>
              <w:framePr w:wrap="around"/>
            </w:pPr>
            <w:r w:rsidRPr="00EF2981">
              <w:t xml:space="preserve">Health assessment undertaken and claimed more frequently than allowed for </w:t>
            </w:r>
            <w:r w:rsidR="00E40AF5" w:rsidRPr="00EF2981">
              <w:t>the</w:t>
            </w:r>
            <w:r w:rsidRPr="00EF2981">
              <w:t xml:space="preserve"> patient</w:t>
            </w:r>
          </w:p>
          <w:p w14:paraId="42885C0E" w14:textId="77777777" w:rsidR="00B7746F" w:rsidRPr="00EF2981" w:rsidRDefault="00B7746F" w:rsidP="00405174">
            <w:pPr>
              <w:pStyle w:val="Tablebullets"/>
              <w:framePr w:wrap="around"/>
            </w:pPr>
            <w:r w:rsidRPr="00EF2981">
              <w:t>Claiming anaesthesia without linked surgical activity</w:t>
            </w:r>
          </w:p>
          <w:p w14:paraId="04406F57" w14:textId="77777777" w:rsidR="00B7746F" w:rsidRPr="00EF2981" w:rsidRDefault="00B7746F" w:rsidP="00405174">
            <w:pPr>
              <w:pStyle w:val="Tablebullets"/>
              <w:framePr w:wrap="around"/>
            </w:pPr>
            <w:r w:rsidRPr="00EF2981">
              <w:t>Antenatal attendance claimed for pre-pregnancy fertility discussion with couple</w:t>
            </w:r>
          </w:p>
          <w:p w14:paraId="6A18D7B4" w14:textId="36FBFF73" w:rsidR="00B7746F" w:rsidRPr="00EF2981" w:rsidRDefault="00B7746F" w:rsidP="00405174">
            <w:pPr>
              <w:pStyle w:val="Tablebullets"/>
              <w:framePr w:wrap="around"/>
            </w:pPr>
            <w:r w:rsidRPr="00EF2981">
              <w:t>Non-usual medical practitioner claiming GP Management Plan</w:t>
            </w:r>
          </w:p>
        </w:tc>
        <w:tc>
          <w:tcPr>
            <w:tcW w:w="1768" w:type="dxa"/>
            <w:shd w:val="clear" w:color="auto" w:fill="E7F5CF" w:themeFill="accent1" w:themeFillTint="33"/>
          </w:tcPr>
          <w:p w14:paraId="561805E8" w14:textId="7C83A402" w:rsidR="00B7746F" w:rsidRPr="00BF5CDB" w:rsidRDefault="00B7746F" w:rsidP="008A5EF8">
            <w:pPr>
              <w:pStyle w:val="TabletextLeft"/>
              <w:rPr>
                <w:szCs w:val="20"/>
              </w:rPr>
            </w:pPr>
            <w:r w:rsidRPr="00BF5CDB">
              <w:rPr>
                <w:szCs w:val="20"/>
              </w:rPr>
              <w:t>High</w:t>
            </w:r>
          </w:p>
        </w:tc>
      </w:tr>
      <w:tr w:rsidR="00B7746F" w:rsidRPr="00BF5CDB" w14:paraId="09500FD4" w14:textId="77777777" w:rsidTr="00B13E5E">
        <w:trPr>
          <w:gridAfter w:val="1"/>
          <w:wAfter w:w="24" w:type="dxa"/>
        </w:trPr>
        <w:tc>
          <w:tcPr>
            <w:tcW w:w="1560" w:type="dxa"/>
            <w:vMerge/>
          </w:tcPr>
          <w:p w14:paraId="35B85836" w14:textId="77777777" w:rsidR="00B7746F" w:rsidRPr="00BF5CDB" w:rsidRDefault="00B7746F" w:rsidP="008A5EF8">
            <w:pPr>
              <w:pStyle w:val="TabletextLeft"/>
              <w:rPr>
                <w:b/>
                <w:szCs w:val="20"/>
              </w:rPr>
            </w:pPr>
          </w:p>
        </w:tc>
        <w:tc>
          <w:tcPr>
            <w:tcW w:w="3496" w:type="dxa"/>
          </w:tcPr>
          <w:p w14:paraId="7C1CDC91" w14:textId="5F7BFA67" w:rsidR="00B7746F" w:rsidRPr="00BF5CDB" w:rsidRDefault="00B7746F" w:rsidP="008A5EF8">
            <w:pPr>
              <w:pStyle w:val="TabletextLeft"/>
              <w:rPr>
                <w:b/>
                <w:bCs/>
                <w:szCs w:val="20"/>
              </w:rPr>
            </w:pPr>
            <w:r w:rsidRPr="00BF5CDB">
              <w:rPr>
                <w:b/>
                <w:bCs/>
                <w:szCs w:val="20"/>
              </w:rPr>
              <w:t xml:space="preserve">Ineligible co-claiming: </w:t>
            </w:r>
            <w:r w:rsidRPr="00BF5CDB">
              <w:rPr>
                <w:szCs w:val="20"/>
              </w:rPr>
              <w:t>services ineligible for unbundling but claimed separately</w:t>
            </w:r>
          </w:p>
        </w:tc>
        <w:tc>
          <w:tcPr>
            <w:tcW w:w="3642" w:type="dxa"/>
          </w:tcPr>
          <w:p w14:paraId="32422436" w14:textId="76405046" w:rsidR="00B7746F" w:rsidRPr="00EF2981" w:rsidRDefault="00B7746F" w:rsidP="00405174">
            <w:pPr>
              <w:pStyle w:val="Tablebullets"/>
              <w:framePr w:wrap="around"/>
            </w:pPr>
            <w:r w:rsidRPr="00EF2981">
              <w:t xml:space="preserve">Co-claiming </w:t>
            </w:r>
            <w:r w:rsidR="003D57DE" w:rsidRPr="00EF2981">
              <w:t>Computerised Tomography (</w:t>
            </w:r>
            <w:r w:rsidRPr="00EF2981">
              <w:t>CT</w:t>
            </w:r>
            <w:r w:rsidR="003D57DE" w:rsidRPr="00EF2981">
              <w:t>)</w:t>
            </w:r>
            <w:r w:rsidRPr="00EF2981">
              <w:t xml:space="preserve"> scans that are not permitted within the same patient episode</w:t>
            </w:r>
          </w:p>
          <w:p w14:paraId="7A46956B" w14:textId="2E74053C" w:rsidR="00B7746F" w:rsidRPr="00EF2981" w:rsidRDefault="00B7746F" w:rsidP="00405174">
            <w:pPr>
              <w:pStyle w:val="Tablebullets"/>
              <w:framePr w:wrap="around"/>
            </w:pPr>
            <w:r w:rsidRPr="00EF2981">
              <w:t>Specialists and consultants claiming multiple professional attendances on the same day for the same patient</w:t>
            </w:r>
          </w:p>
        </w:tc>
        <w:tc>
          <w:tcPr>
            <w:tcW w:w="1768" w:type="dxa"/>
            <w:shd w:val="clear" w:color="auto" w:fill="FFE181"/>
          </w:tcPr>
          <w:p w14:paraId="00DF15B2" w14:textId="2064C84C" w:rsidR="00B7746F" w:rsidRPr="00BF5CDB" w:rsidRDefault="00B7746F" w:rsidP="008A5EF8">
            <w:pPr>
              <w:pStyle w:val="TabletextLeft"/>
              <w:rPr>
                <w:szCs w:val="20"/>
              </w:rPr>
            </w:pPr>
            <w:r w:rsidRPr="00BF5CDB">
              <w:rPr>
                <w:szCs w:val="20"/>
              </w:rPr>
              <w:t xml:space="preserve">High - </w:t>
            </w:r>
            <w:r w:rsidR="007F3A8E" w:rsidRPr="00BF5CDB">
              <w:rPr>
                <w:szCs w:val="20"/>
              </w:rPr>
              <w:t>M</w:t>
            </w:r>
            <w:r w:rsidRPr="00BF5CDB">
              <w:rPr>
                <w:szCs w:val="20"/>
              </w:rPr>
              <w:t>edium</w:t>
            </w:r>
          </w:p>
        </w:tc>
      </w:tr>
      <w:tr w:rsidR="00B7746F" w14:paraId="76458BCE" w14:textId="77777777" w:rsidTr="00B13E5E">
        <w:tc>
          <w:tcPr>
            <w:tcW w:w="1560" w:type="dxa"/>
          </w:tcPr>
          <w:p w14:paraId="1A216036" w14:textId="73362A90" w:rsidR="00B7746F" w:rsidRPr="00BF5CDB" w:rsidRDefault="0042428E" w:rsidP="008A5EF8">
            <w:pPr>
              <w:pStyle w:val="TabletextLeft"/>
              <w:rPr>
                <w:b/>
                <w:szCs w:val="20"/>
              </w:rPr>
            </w:pPr>
            <w:r w:rsidRPr="00BF5CDB">
              <w:rPr>
                <w:b/>
                <w:bCs/>
                <w:szCs w:val="20"/>
              </w:rPr>
              <w:t xml:space="preserve">5. </w:t>
            </w:r>
            <w:proofErr w:type="gramStart"/>
            <w:r w:rsidR="00B7746F" w:rsidRPr="00BF5CDB">
              <w:rPr>
                <w:b/>
                <w:szCs w:val="20"/>
              </w:rPr>
              <w:t>Non-provision</w:t>
            </w:r>
            <w:proofErr w:type="gramEnd"/>
            <w:r w:rsidR="00B7746F" w:rsidRPr="00BF5CDB">
              <w:rPr>
                <w:b/>
                <w:szCs w:val="20"/>
              </w:rPr>
              <w:t xml:space="preserve"> of services</w:t>
            </w:r>
          </w:p>
        </w:tc>
        <w:tc>
          <w:tcPr>
            <w:tcW w:w="3496" w:type="dxa"/>
          </w:tcPr>
          <w:p w14:paraId="0D74B43D" w14:textId="630FDCE2" w:rsidR="00B7746F" w:rsidRPr="00BF5CDB" w:rsidRDefault="00B7746F" w:rsidP="008A5EF8">
            <w:pPr>
              <w:pStyle w:val="TabletextLeft"/>
              <w:rPr>
                <w:b/>
                <w:bCs/>
                <w:szCs w:val="20"/>
              </w:rPr>
            </w:pPr>
            <w:r w:rsidRPr="00BF5CDB">
              <w:rPr>
                <w:b/>
                <w:bCs/>
                <w:szCs w:val="20"/>
              </w:rPr>
              <w:t xml:space="preserve">Non-provision: </w:t>
            </w:r>
            <w:r w:rsidRPr="00BF5CDB">
              <w:rPr>
                <w:szCs w:val="20"/>
              </w:rPr>
              <w:t xml:space="preserve">claiming of services that were not provided </w:t>
            </w:r>
          </w:p>
        </w:tc>
        <w:tc>
          <w:tcPr>
            <w:tcW w:w="3642" w:type="dxa"/>
          </w:tcPr>
          <w:p w14:paraId="5133399D" w14:textId="7299B04D" w:rsidR="00B7746F" w:rsidRPr="00EF2981" w:rsidRDefault="00B7746F" w:rsidP="00405174">
            <w:pPr>
              <w:pStyle w:val="Tablebullets"/>
              <w:framePr w:wrap="around"/>
            </w:pPr>
            <w:r w:rsidRPr="00EF2981">
              <w:t>Claiming a consult for deceased patients</w:t>
            </w:r>
          </w:p>
        </w:tc>
        <w:tc>
          <w:tcPr>
            <w:tcW w:w="1792" w:type="dxa"/>
            <w:gridSpan w:val="2"/>
            <w:shd w:val="clear" w:color="auto" w:fill="FFE181"/>
          </w:tcPr>
          <w:p w14:paraId="35361161" w14:textId="0D0D70E3" w:rsidR="00B7746F" w:rsidRPr="00BF5CDB" w:rsidRDefault="00B7746F" w:rsidP="008A5EF8">
            <w:pPr>
              <w:pStyle w:val="TabletextLeft"/>
              <w:rPr>
                <w:szCs w:val="20"/>
              </w:rPr>
            </w:pPr>
            <w:r w:rsidRPr="00BF5CDB">
              <w:rPr>
                <w:szCs w:val="20"/>
              </w:rPr>
              <w:t>High - Medium</w:t>
            </w:r>
          </w:p>
        </w:tc>
      </w:tr>
    </w:tbl>
    <w:p w14:paraId="562C3F9C" w14:textId="18EE2685" w:rsidR="00603A61" w:rsidRDefault="00C45A51" w:rsidP="00C45A51">
      <w:pPr>
        <w:pStyle w:val="Caption"/>
      </w:pPr>
      <w:r>
        <w:t>Source: Philip Review (2023)</w:t>
      </w:r>
    </w:p>
    <w:p w14:paraId="73030EC3" w14:textId="174E0FAE" w:rsidR="00D17620" w:rsidRDefault="00BC04A3" w:rsidP="00D17620">
      <w:r>
        <w:t xml:space="preserve">This framework could be used by </w:t>
      </w:r>
      <w:proofErr w:type="spellStart"/>
      <w:r>
        <w:t>D</w:t>
      </w:r>
      <w:r w:rsidRPr="008A25DD">
        <w:t>oHAC</w:t>
      </w:r>
      <w:proofErr w:type="spellEnd"/>
      <w:r w:rsidR="009D5129">
        <w:t xml:space="preserve"> on a routine basis to generate a</w:t>
      </w:r>
      <w:r w:rsidR="004C3E9B">
        <w:t xml:space="preserve"> lower-bound estimate of the</w:t>
      </w:r>
      <w:r w:rsidR="00A34B35">
        <w:t xml:space="preserve"> value of</w:t>
      </w:r>
      <w:r w:rsidR="004C3E9B">
        <w:t xml:space="preserve"> </w:t>
      </w:r>
      <w:r w:rsidR="00C64C2D">
        <w:t>non-compliance that exists</w:t>
      </w:r>
      <w:r w:rsidR="008E32EF">
        <w:t xml:space="preserve"> in a given year</w:t>
      </w:r>
      <w:r w:rsidR="00C64C2D">
        <w:t xml:space="preserve">. </w:t>
      </w:r>
      <w:r w:rsidR="004B10B9">
        <w:t>A</w:t>
      </w:r>
      <w:r w:rsidR="00AF73BA">
        <w:t>s more advanced data assets and capabilities become available, the framework</w:t>
      </w:r>
      <w:r w:rsidR="00C64C2D">
        <w:t xml:space="preserve"> could be expanded </w:t>
      </w:r>
      <w:r w:rsidR="00576B76">
        <w:t xml:space="preserve">to include </w:t>
      </w:r>
      <w:r w:rsidR="004C3E9B">
        <w:t xml:space="preserve">the </w:t>
      </w:r>
      <w:r w:rsidR="00964401">
        <w:t xml:space="preserve">behaviour types </w:t>
      </w:r>
      <w:r w:rsidR="007D7B7E">
        <w:t>include</w:t>
      </w:r>
      <w:r w:rsidR="00AF73BA">
        <w:t>d</w:t>
      </w:r>
      <w:r w:rsidR="00964401">
        <w:t xml:space="preserve"> in </w:t>
      </w:r>
      <w:r w:rsidR="00E40AF5">
        <w:t>c</w:t>
      </w:r>
      <w:r w:rsidR="00576B76" w:rsidRPr="00B76530">
        <w:t xml:space="preserve">ategory 2 </w:t>
      </w:r>
      <w:r w:rsidR="00964401" w:rsidRPr="00B76530">
        <w:t>of</w:t>
      </w:r>
      <w:r w:rsidR="00576B76" w:rsidRPr="00B76530">
        <w:t xml:space="preserve"> </w:t>
      </w:r>
      <w:r w:rsidR="00E40AF5">
        <w:fldChar w:fldCharType="begin"/>
      </w:r>
      <w:r w:rsidR="00E40AF5">
        <w:instrText xml:space="preserve"> REF  _Ref128639685 \h \r  \* MERGEFORMAT </w:instrText>
      </w:r>
      <w:r w:rsidR="00E40AF5">
        <w:fldChar w:fldCharType="separate"/>
      </w:r>
      <w:r w:rsidR="005A1647">
        <w:t>Table 2.9</w:t>
      </w:r>
      <w:r w:rsidR="00E40AF5">
        <w:fldChar w:fldCharType="end"/>
      </w:r>
      <w:r w:rsidR="00CC5119">
        <w:t xml:space="preserve">. </w:t>
      </w:r>
      <w:r w:rsidR="00496A60">
        <w:t xml:space="preserve">Adding the behaviour types that fall in </w:t>
      </w:r>
      <w:r w:rsidR="00E40AF5">
        <w:t>c</w:t>
      </w:r>
      <w:r w:rsidR="00496A60" w:rsidRPr="00B76530">
        <w:t xml:space="preserve">ategory </w:t>
      </w:r>
      <w:r w:rsidR="00AE3D11" w:rsidRPr="00B76530">
        <w:t>3</w:t>
      </w:r>
      <w:r w:rsidR="00496A60" w:rsidRPr="00B76530">
        <w:t xml:space="preserve"> of </w:t>
      </w:r>
      <w:r w:rsidR="00E40AF5">
        <w:fldChar w:fldCharType="begin"/>
      </w:r>
      <w:r w:rsidR="00E40AF5">
        <w:instrText xml:space="preserve"> REF  _Ref128639685 \h \r  \* MERGEFORMAT </w:instrText>
      </w:r>
      <w:r w:rsidR="00E40AF5">
        <w:fldChar w:fldCharType="separate"/>
      </w:r>
      <w:r w:rsidR="005A1647">
        <w:t>Table 2.9</w:t>
      </w:r>
      <w:r w:rsidR="00E40AF5">
        <w:fldChar w:fldCharType="end"/>
      </w:r>
      <w:r w:rsidR="00603A61">
        <w:t xml:space="preserve"> would provide a more complete picture of the</w:t>
      </w:r>
      <w:r w:rsidR="00D044D2">
        <w:t xml:space="preserve"> true</w:t>
      </w:r>
      <w:r w:rsidR="00603A61">
        <w:t xml:space="preserve"> level of MBS non-compliance, however this </w:t>
      </w:r>
      <w:r w:rsidR="00EA13DB">
        <w:t>segment</w:t>
      </w:r>
      <w:r w:rsidR="00D044D2">
        <w:t xml:space="preserve"> of </w:t>
      </w:r>
      <w:r w:rsidR="00277AF2">
        <w:t>behaviour</w:t>
      </w:r>
      <w:r w:rsidR="00D763B0">
        <w:t xml:space="preserve"> types would </w:t>
      </w:r>
      <w:r w:rsidR="00277AF2">
        <w:t xml:space="preserve">require </w:t>
      </w:r>
      <w:r w:rsidR="002B5563">
        <w:t xml:space="preserve">some form of </w:t>
      </w:r>
      <w:r w:rsidR="000E5E00">
        <w:t>the</w:t>
      </w:r>
      <w:r w:rsidR="002B5563">
        <w:t xml:space="preserve"> random sample audit des</w:t>
      </w:r>
      <w:r w:rsidR="004D5745">
        <w:t>cribed</w:t>
      </w:r>
      <w:r w:rsidR="002B5563">
        <w:t xml:space="preserve"> in Box 1.</w:t>
      </w:r>
    </w:p>
    <w:p w14:paraId="2D3C78CA" w14:textId="15D75746" w:rsidR="001269DC" w:rsidRDefault="00937E95" w:rsidP="00940D39">
      <w:pPr>
        <w:pStyle w:val="Heading4"/>
      </w:pPr>
      <w:r>
        <w:t>Preliminary estimate of Medicare non-compliance value</w:t>
      </w:r>
      <w:r w:rsidR="00C14CBE">
        <w:t xml:space="preserve"> using </w:t>
      </w:r>
      <w:r w:rsidR="00703042" w:rsidRPr="00703042">
        <w:t xml:space="preserve">Benefits Integrity </w:t>
      </w:r>
      <w:r w:rsidR="00E40AF5">
        <w:t>Division r</w:t>
      </w:r>
      <w:r w:rsidR="00C14CBE">
        <w:t xml:space="preserve">isk </w:t>
      </w:r>
      <w:r w:rsidR="00E40AF5">
        <w:t>a</w:t>
      </w:r>
      <w:r w:rsidR="00C14CBE">
        <w:t>ssessment records</w:t>
      </w:r>
    </w:p>
    <w:p w14:paraId="491139BD" w14:textId="4AFE2DDE" w:rsidR="000F20CC" w:rsidRPr="000F20CC" w:rsidRDefault="00CF673E" w:rsidP="000F20CC">
      <w:r>
        <w:t>Even the lighter touch approach</w:t>
      </w:r>
      <w:r w:rsidR="000C2CDE">
        <w:t xml:space="preserve"> described above was not feasible to implement within the constraints of th</w:t>
      </w:r>
      <w:r w:rsidR="00D27224">
        <w:t>is</w:t>
      </w:r>
      <w:r w:rsidR="000C2CDE">
        <w:t xml:space="preserve"> </w:t>
      </w:r>
      <w:r w:rsidR="000E5E00">
        <w:t>R</w:t>
      </w:r>
      <w:r w:rsidR="000C2CDE">
        <w:t xml:space="preserve">eview. To generate a lower-bound estimate of the value of MBS non-compliance, </w:t>
      </w:r>
      <w:r w:rsidR="00012594">
        <w:t>I have</w:t>
      </w:r>
      <w:r w:rsidR="000C2CDE">
        <w:t xml:space="preserve"> thus relied on records</w:t>
      </w:r>
      <w:r w:rsidR="00AC5E9A">
        <w:t xml:space="preserve"> of suspected cases of non-compliance</w:t>
      </w:r>
      <w:r w:rsidR="000C2CDE">
        <w:t xml:space="preserve"> </w:t>
      </w:r>
      <w:r w:rsidR="00AC5E9A">
        <w:t>detected by</w:t>
      </w:r>
      <w:r w:rsidR="000328C9">
        <w:t xml:space="preserve"> the </w:t>
      </w:r>
      <w:proofErr w:type="spellStart"/>
      <w:r w:rsidR="000328C9">
        <w:t>D</w:t>
      </w:r>
      <w:r w:rsidR="000328C9" w:rsidRPr="008A25DD">
        <w:t>oHAC</w:t>
      </w:r>
      <w:r w:rsidR="000328C9">
        <w:t>’s</w:t>
      </w:r>
      <w:proofErr w:type="spellEnd"/>
      <w:r w:rsidR="000328C9">
        <w:t xml:space="preserve"> </w:t>
      </w:r>
      <w:r w:rsidR="00E40AF5">
        <w:t>BID</w:t>
      </w:r>
      <w:r w:rsidR="000328C9">
        <w:t xml:space="preserve"> </w:t>
      </w:r>
      <w:r w:rsidR="00E40AF5">
        <w:t>r</w:t>
      </w:r>
      <w:r w:rsidR="000328C9">
        <w:t xml:space="preserve">isk </w:t>
      </w:r>
      <w:r w:rsidR="00E40AF5">
        <w:t>i</w:t>
      </w:r>
      <w:r w:rsidR="000328C9">
        <w:t xml:space="preserve">dentification and </w:t>
      </w:r>
      <w:r w:rsidR="00E40AF5">
        <w:t>r</w:t>
      </w:r>
      <w:r w:rsidR="000328C9">
        <w:t xml:space="preserve">isk </w:t>
      </w:r>
      <w:r w:rsidR="00E40AF5">
        <w:t>a</w:t>
      </w:r>
      <w:r w:rsidR="000328C9">
        <w:t>nalytics teams.</w:t>
      </w:r>
    </w:p>
    <w:p w14:paraId="296C5175" w14:textId="7F2F8F80" w:rsidR="00832850" w:rsidRDefault="00D17620" w:rsidP="00D41C97">
      <w:r>
        <w:t xml:space="preserve">As described in Section </w:t>
      </w:r>
      <w:r w:rsidRPr="00891F67">
        <w:t>2.</w:t>
      </w:r>
      <w:r w:rsidR="00E40AF5">
        <w:t>5</w:t>
      </w:r>
      <w:r>
        <w:t xml:space="preserve"> and </w:t>
      </w:r>
      <w:r w:rsidR="007B5594">
        <w:t xml:space="preserve">Section </w:t>
      </w:r>
      <w:r w:rsidRPr="00891F67">
        <w:t>2.</w:t>
      </w:r>
      <w:r w:rsidR="00E40AF5">
        <w:t>6</w:t>
      </w:r>
      <w:r>
        <w:t xml:space="preserve">, </w:t>
      </w:r>
      <w:proofErr w:type="spellStart"/>
      <w:r w:rsidR="00E9026C">
        <w:t>D</w:t>
      </w:r>
      <w:r w:rsidR="00E9026C" w:rsidRPr="008A25DD">
        <w:t>oHAC</w:t>
      </w:r>
      <w:r w:rsidR="000D6BD2">
        <w:t>’s</w:t>
      </w:r>
      <w:proofErr w:type="spellEnd"/>
      <w:r w:rsidR="00762251">
        <w:t xml:space="preserve"> BID</w:t>
      </w:r>
      <w:r w:rsidR="000D6BD2">
        <w:t xml:space="preserve"> </w:t>
      </w:r>
      <w:r w:rsidR="00E40AF5">
        <w:t>r</w:t>
      </w:r>
      <w:r w:rsidR="000D6BD2">
        <w:t xml:space="preserve">isk </w:t>
      </w:r>
      <w:r w:rsidR="00E40AF5">
        <w:t>i</w:t>
      </w:r>
      <w:r w:rsidR="001413E3">
        <w:t>dentification</w:t>
      </w:r>
      <w:r w:rsidR="000D6BD2">
        <w:t xml:space="preserve"> </w:t>
      </w:r>
      <w:r w:rsidR="001413E3">
        <w:t xml:space="preserve">and </w:t>
      </w:r>
      <w:r w:rsidR="00E40AF5">
        <w:t>r</w:t>
      </w:r>
      <w:r w:rsidR="001413E3">
        <w:t xml:space="preserve">isk </w:t>
      </w:r>
      <w:r w:rsidR="00E40AF5">
        <w:t>a</w:t>
      </w:r>
      <w:r w:rsidR="001413E3">
        <w:t xml:space="preserve">nalytics teams </w:t>
      </w:r>
      <w:r w:rsidR="00DC0B4B">
        <w:t>have integrity controls in place to detect</w:t>
      </w:r>
      <w:r w:rsidR="008B2EC5">
        <w:t xml:space="preserve">, treat and recover </w:t>
      </w:r>
      <w:r w:rsidR="009D37A8">
        <w:t xml:space="preserve">suspected </w:t>
      </w:r>
      <w:r w:rsidR="006E096D">
        <w:t>cases of non-compliance.</w:t>
      </w:r>
      <w:r w:rsidR="00DC52EB">
        <w:t xml:space="preserve"> </w:t>
      </w:r>
      <w:r w:rsidR="00782102">
        <w:t xml:space="preserve">Notably, these are risks that have largely been brought to the attention of the </w:t>
      </w:r>
      <w:r w:rsidR="009931E5">
        <w:t>department</w:t>
      </w:r>
      <w:r w:rsidR="0018451D">
        <w:t xml:space="preserve"> and subsequently triaged</w:t>
      </w:r>
      <w:r w:rsidR="00782102">
        <w:t xml:space="preserve"> rather than systematically identified. </w:t>
      </w:r>
    </w:p>
    <w:p w14:paraId="1A359254" w14:textId="680F5745" w:rsidR="00214963" w:rsidRDefault="00FB2F9B" w:rsidP="00D41C97">
      <w:r>
        <w:t xml:space="preserve">Capacity constraints mean that not all identified risks are considered further. </w:t>
      </w:r>
      <w:r w:rsidR="00F934C9">
        <w:t xml:space="preserve">Only a subset of identified risks </w:t>
      </w:r>
      <w:proofErr w:type="gramStart"/>
      <w:r w:rsidR="00F934C9">
        <w:t>are</w:t>
      </w:r>
      <w:proofErr w:type="gramEnd"/>
      <w:r w:rsidR="00F934C9">
        <w:t xml:space="preserve"> </w:t>
      </w:r>
      <w:r w:rsidR="00E06143">
        <w:t xml:space="preserve">deliberately </w:t>
      </w:r>
      <w:r w:rsidR="0014447E">
        <w:t xml:space="preserve">selected to progress to </w:t>
      </w:r>
      <w:r w:rsidR="00A10C76">
        <w:t>a stage of further analysis</w:t>
      </w:r>
      <w:r w:rsidR="004D5F89">
        <w:t xml:space="preserve"> </w:t>
      </w:r>
      <w:r w:rsidR="00E40AF5">
        <w:t>–</w:t>
      </w:r>
      <w:r w:rsidR="00B23358">
        <w:t xml:space="preserve"> </w:t>
      </w:r>
      <w:r w:rsidR="00E40AF5">
        <w:t xml:space="preserve">i.e. </w:t>
      </w:r>
      <w:r w:rsidR="00B23358">
        <w:t>‘</w:t>
      </w:r>
      <w:r w:rsidR="00A10C76">
        <w:t>risk assessment’</w:t>
      </w:r>
      <w:r w:rsidR="00546116">
        <w:t xml:space="preserve"> (See Figure </w:t>
      </w:r>
      <w:r w:rsidR="00E40AF5">
        <w:t>2</w:t>
      </w:r>
      <w:r w:rsidR="00546116">
        <w:t>.10)</w:t>
      </w:r>
      <w:r w:rsidR="00A10C76">
        <w:t xml:space="preserve">. </w:t>
      </w:r>
      <w:r w:rsidR="00F934C9">
        <w:t xml:space="preserve">The </w:t>
      </w:r>
      <w:r w:rsidR="00083CAA">
        <w:t>criteria</w:t>
      </w:r>
      <w:r w:rsidR="00F934C9">
        <w:t xml:space="preserve"> for progression include a consideration of the potential scale/impact of identified risks and whether the risks have been recently reviewed. </w:t>
      </w:r>
    </w:p>
    <w:p w14:paraId="161D189D" w14:textId="625E235C" w:rsidR="00565D4E" w:rsidRDefault="002357CF" w:rsidP="00D41C97">
      <w:r>
        <w:lastRenderedPageBreak/>
        <w:t xml:space="preserve">Within the risk assessment process, a desktop assessment of potentially non-compliant billing is </w:t>
      </w:r>
      <w:r w:rsidR="00880765">
        <w:t xml:space="preserve">conducted – predominantly through variation/outlier analysis and deterministic rules-based analysis. The output for each risk assessment is a document which provides a conservative valuation of the scale of the identified risk if applied across all MBS transactions of relevance. </w:t>
      </w:r>
    </w:p>
    <w:p w14:paraId="236D9F70" w14:textId="2F93D69F" w:rsidR="00837851" w:rsidRDefault="00837851" w:rsidP="00D41C97">
      <w:r>
        <w:t xml:space="preserve">The documents are considered by the </w:t>
      </w:r>
      <w:r w:rsidR="005238D1">
        <w:t>Analytics</w:t>
      </w:r>
      <w:r>
        <w:t xml:space="preserve"> and </w:t>
      </w:r>
      <w:r w:rsidR="005238D1">
        <w:t>Strategy</w:t>
      </w:r>
      <w:r>
        <w:t xml:space="preserve"> Development Working Group and a decision is made at this point </w:t>
      </w:r>
      <w:r w:rsidR="005238D1">
        <w:t xml:space="preserve">as to whether the risk should be investigated and progressed further. </w:t>
      </w:r>
    </w:p>
    <w:p w14:paraId="5B370FA2" w14:textId="559D6275" w:rsidR="005238D1" w:rsidRDefault="005238D1" w:rsidP="00D41C97">
      <w:r>
        <w:t xml:space="preserve">The value of non-compliance estimated in the risk assessment documentation therefore represents a unique </w:t>
      </w:r>
      <w:r w:rsidR="00854601">
        <w:t>point</w:t>
      </w:r>
      <w:r>
        <w:t xml:space="preserve"> of information held by the </w:t>
      </w:r>
      <w:r w:rsidR="009931E5">
        <w:t>department</w:t>
      </w:r>
      <w:r>
        <w:t xml:space="preserve"> – a </w:t>
      </w:r>
      <w:r w:rsidR="000300C0">
        <w:t>statistical estimate of the</w:t>
      </w:r>
      <w:r>
        <w:t xml:space="preserve"> scale of risks</w:t>
      </w:r>
      <w:r w:rsidR="0009006B">
        <w:t xml:space="preserve"> calculated</w:t>
      </w:r>
      <w:r>
        <w:t xml:space="preserve"> </w:t>
      </w:r>
      <w:r w:rsidR="00131999">
        <w:t xml:space="preserve">ahead of treatment considerations. </w:t>
      </w:r>
    </w:p>
    <w:p w14:paraId="3AA866DE" w14:textId="53E06CDF" w:rsidR="00AF47EF" w:rsidRDefault="00AF47EF" w:rsidP="00940D39">
      <w:pPr>
        <w:pStyle w:val="CaptionFigure"/>
      </w:pPr>
      <w:bookmarkStart w:id="188" w:name="_Toc128907117"/>
      <w:bookmarkStart w:id="189" w:name="_Toc128909090"/>
      <w:bookmarkStart w:id="190" w:name="_Toc128907118"/>
      <w:bookmarkStart w:id="191" w:name="_Toc128909091"/>
      <w:bookmarkStart w:id="192" w:name="_Toc131418629"/>
      <w:bookmarkEnd w:id="188"/>
      <w:bookmarkEnd w:id="189"/>
      <w:bookmarkEnd w:id="190"/>
      <w:bookmarkEnd w:id="191"/>
      <w:r>
        <w:t xml:space="preserve">: </w:t>
      </w:r>
      <w:r w:rsidRPr="00AF47EF">
        <w:t xml:space="preserve">Risk </w:t>
      </w:r>
      <w:r w:rsidR="00E40AF5">
        <w:t>i</w:t>
      </w:r>
      <w:r w:rsidRPr="00AF47EF">
        <w:t xml:space="preserve">dentification and </w:t>
      </w:r>
      <w:r w:rsidR="00E40AF5">
        <w:t>r</w:t>
      </w:r>
      <w:r w:rsidRPr="00AF47EF">
        <w:t xml:space="preserve">isk </w:t>
      </w:r>
      <w:r w:rsidR="00E40AF5">
        <w:t>a</w:t>
      </w:r>
      <w:r w:rsidRPr="00AF47EF">
        <w:t>nalytics proces</w:t>
      </w:r>
      <w:r>
        <w:t>s</w:t>
      </w:r>
      <w:r w:rsidR="002E766D">
        <w:t xml:space="preserve"> (Jul</w:t>
      </w:r>
      <w:r w:rsidR="00CA6D48">
        <w:t>y</w:t>
      </w:r>
      <w:r w:rsidR="002E766D">
        <w:t xml:space="preserve"> 2020 – Jun</w:t>
      </w:r>
      <w:r w:rsidR="00CA6D48">
        <w:t>e</w:t>
      </w:r>
      <w:r w:rsidR="002E766D">
        <w:t xml:space="preserve"> 2022)</w:t>
      </w:r>
      <w:bookmarkEnd w:id="192"/>
    </w:p>
    <w:p w14:paraId="3F454CA9" w14:textId="0BD4F421" w:rsidR="00C37BCD" w:rsidRDefault="00EC6529" w:rsidP="00D17620">
      <w:r w:rsidRPr="00EC6529">
        <w:rPr>
          <w:noProof/>
        </w:rPr>
        <w:drawing>
          <wp:inline distT="0" distB="0" distL="0" distR="0" wp14:anchorId="7DB01A68" wp14:editId="44657B06">
            <wp:extent cx="6645910" cy="3506470"/>
            <wp:effectExtent l="0" t="0" r="2540" b="0"/>
            <wp:docPr id="5" name="Picture 5" descr="Figure 2.10 is a graphic showing funnelling of risk identification and analytics processes. There are 621 known risks that are progressed through various stages to eventually treat 6612 complianc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10 is a graphic showing funnelling of risk identification and analytics processes. There are 621 known risks that are progressed through various stages to eventually treat 6612 compliance ca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3506470"/>
                    </a:xfrm>
                    <a:prstGeom prst="rect">
                      <a:avLst/>
                    </a:prstGeom>
                    <a:noFill/>
                    <a:ln>
                      <a:noFill/>
                    </a:ln>
                  </pic:spPr>
                </pic:pic>
              </a:graphicData>
            </a:graphic>
          </wp:inline>
        </w:drawing>
      </w:r>
    </w:p>
    <w:p w14:paraId="5E57BC2C" w14:textId="6A57334C" w:rsidR="00DC12A6" w:rsidRPr="00E352BE" w:rsidRDefault="0034150B" w:rsidP="00E352BE">
      <w:pPr>
        <w:pStyle w:val="Caption"/>
      </w:pPr>
      <w:r>
        <w:t>Source: Philip Review (2023)</w:t>
      </w:r>
      <w:r w:rsidR="009A2ECB">
        <w:t xml:space="preserve">. </w:t>
      </w:r>
      <w:r w:rsidR="00851643" w:rsidRPr="00E352BE">
        <w:t>Note: the</w:t>
      </w:r>
      <w:r w:rsidR="00DC12A6" w:rsidRPr="00E352BE">
        <w:t xml:space="preserve"> </w:t>
      </w:r>
      <w:r w:rsidR="00E1126A" w:rsidRPr="00E352BE">
        <w:t xml:space="preserve">volume of </w:t>
      </w:r>
      <w:r w:rsidR="00DC12A6" w:rsidRPr="00E352BE">
        <w:t xml:space="preserve">risks and cases </w:t>
      </w:r>
      <w:r w:rsidR="00AD3ABD" w:rsidRPr="00E352BE">
        <w:t xml:space="preserve">shown in the diagram </w:t>
      </w:r>
      <w:r w:rsidR="00354C0A" w:rsidRPr="00E352BE">
        <w:t xml:space="preserve">under </w:t>
      </w:r>
      <w:r w:rsidR="00B43D6B" w:rsidRPr="00E352BE">
        <w:t xml:space="preserve">the Review, Detailed Assessment and Treatment </w:t>
      </w:r>
      <w:r w:rsidR="001C77BE" w:rsidRPr="00E352BE">
        <w:t xml:space="preserve">phases </w:t>
      </w:r>
      <w:r w:rsidR="00AD646D" w:rsidRPr="00E352BE">
        <w:t xml:space="preserve">is not </w:t>
      </w:r>
      <w:r w:rsidR="00FD45A9" w:rsidRPr="00E352BE">
        <w:t>indicative</w:t>
      </w:r>
      <w:r w:rsidR="00AD646D" w:rsidRPr="00E352BE">
        <w:t xml:space="preserve"> of all the risks (and their cases) </w:t>
      </w:r>
      <w:r w:rsidR="00F2266B" w:rsidRPr="00E352BE">
        <w:t xml:space="preserve">that will progress to </w:t>
      </w:r>
      <w:r w:rsidR="008F548C" w:rsidRPr="00E352BE">
        <w:t>these</w:t>
      </w:r>
      <w:r w:rsidR="00F2266B" w:rsidRPr="00E352BE">
        <w:t xml:space="preserve"> phases </w:t>
      </w:r>
      <w:r w:rsidR="00907B3E" w:rsidRPr="00E352BE">
        <w:t>(</w:t>
      </w:r>
      <w:r w:rsidR="00271642" w:rsidRPr="00E352BE">
        <w:t>from the 118 risks</w:t>
      </w:r>
      <w:r w:rsidR="00F03AC5" w:rsidRPr="00E352BE">
        <w:t xml:space="preserve"> </w:t>
      </w:r>
      <w:r w:rsidR="00090511" w:rsidRPr="00E352BE">
        <w:t xml:space="preserve">that were </w:t>
      </w:r>
      <w:r w:rsidR="00E40AF5">
        <w:t>i</w:t>
      </w:r>
      <w:r w:rsidR="0035512B" w:rsidRPr="00E352BE">
        <w:t>dentified</w:t>
      </w:r>
      <w:r w:rsidR="00090511" w:rsidRPr="00E352BE">
        <w:t xml:space="preserve"> </w:t>
      </w:r>
      <w:r w:rsidR="00FE74E0" w:rsidRPr="00E352BE">
        <w:t xml:space="preserve">and </w:t>
      </w:r>
      <w:r w:rsidR="00E40AF5">
        <w:t>a</w:t>
      </w:r>
      <w:r w:rsidR="00FE74E0" w:rsidRPr="00E352BE">
        <w:t xml:space="preserve">ssessed </w:t>
      </w:r>
      <w:r w:rsidR="00090511" w:rsidRPr="00E352BE">
        <w:t>over the</w:t>
      </w:r>
      <w:r w:rsidR="00F03AC5" w:rsidRPr="00E352BE">
        <w:t xml:space="preserve"> period </w:t>
      </w:r>
      <w:r w:rsidR="009C4402" w:rsidRPr="00E352BE">
        <w:t>FY20-</w:t>
      </w:r>
      <w:r w:rsidR="00F03AC5" w:rsidRPr="00E352BE">
        <w:t>22</w:t>
      </w:r>
      <w:r w:rsidR="00374D0D" w:rsidRPr="00E352BE">
        <w:t>)</w:t>
      </w:r>
      <w:r w:rsidR="0030438D" w:rsidRPr="00E352BE">
        <w:t>.</w:t>
      </w:r>
      <w:r w:rsidR="00C71FCD" w:rsidRPr="00E352BE">
        <w:t xml:space="preserve"> </w:t>
      </w:r>
      <w:r w:rsidR="00BE1E45" w:rsidRPr="00E352BE">
        <w:t xml:space="preserve">This is because </w:t>
      </w:r>
      <w:r w:rsidR="009574F8" w:rsidRPr="00E352BE">
        <w:t xml:space="preserve">some risks were only </w:t>
      </w:r>
      <w:r w:rsidR="00E40AF5">
        <w:t>a</w:t>
      </w:r>
      <w:r w:rsidR="00FE74E0" w:rsidRPr="00E352BE">
        <w:t>ssessed</w:t>
      </w:r>
      <w:r w:rsidR="009574F8" w:rsidRPr="00E352BE">
        <w:t xml:space="preserve"> toward the end of </w:t>
      </w:r>
      <w:r w:rsidR="00F943A8" w:rsidRPr="00E352BE">
        <w:t>this 24-month period</w:t>
      </w:r>
      <w:r w:rsidR="00F3671C" w:rsidRPr="00E352BE">
        <w:t>. F</w:t>
      </w:r>
      <w:r w:rsidR="00AB0700" w:rsidRPr="00E352BE">
        <w:t xml:space="preserve">or these risks, </w:t>
      </w:r>
      <w:r w:rsidR="009574F8" w:rsidRPr="00E352BE">
        <w:t xml:space="preserve">the window for </w:t>
      </w:r>
      <w:r w:rsidR="003C7535" w:rsidRPr="00E352BE">
        <w:t xml:space="preserve">analysis </w:t>
      </w:r>
      <w:r w:rsidR="009574F8" w:rsidRPr="00E352BE">
        <w:t xml:space="preserve">is not long enough to </w:t>
      </w:r>
      <w:r w:rsidR="00C15D80" w:rsidRPr="00E352BE">
        <w:t xml:space="preserve">observe progression </w:t>
      </w:r>
      <w:r w:rsidR="003A7866" w:rsidRPr="00E352BE">
        <w:t>through the</w:t>
      </w:r>
      <w:r w:rsidR="00B63A03" w:rsidRPr="00E352BE">
        <w:t>se</w:t>
      </w:r>
      <w:r w:rsidR="00490146" w:rsidRPr="00E352BE">
        <w:t xml:space="preserve"> final </w:t>
      </w:r>
      <w:r w:rsidR="00A831F8" w:rsidRPr="00E352BE">
        <w:t xml:space="preserve">three </w:t>
      </w:r>
      <w:r w:rsidR="00490146" w:rsidRPr="00E352BE">
        <w:t>p</w:t>
      </w:r>
      <w:r w:rsidR="00AB22BE" w:rsidRPr="00E352BE">
        <w:t>hases</w:t>
      </w:r>
    </w:p>
    <w:p w14:paraId="252D420E" w14:textId="70DCFE55" w:rsidR="00E20703" w:rsidRPr="004A77D7" w:rsidRDefault="009B15B0" w:rsidP="009718D2">
      <w:r w:rsidRPr="004A77D7">
        <w:t>Risk assessment documentation over a two</w:t>
      </w:r>
      <w:r w:rsidR="00BE3EDF" w:rsidRPr="004A77D7">
        <w:t>-</w:t>
      </w:r>
      <w:r w:rsidRPr="004A77D7">
        <w:t>year sample frame (Jul</w:t>
      </w:r>
      <w:r w:rsidR="00191FBA">
        <w:t>y</w:t>
      </w:r>
      <w:r w:rsidRPr="004A77D7">
        <w:t xml:space="preserve"> 2020 to Jun</w:t>
      </w:r>
      <w:r w:rsidR="00191FBA">
        <w:t>e</w:t>
      </w:r>
      <w:r w:rsidRPr="004A77D7">
        <w:t xml:space="preserve"> 2022) was obtained and analysed. In total the sample </w:t>
      </w:r>
      <w:r w:rsidR="00AB5C4F">
        <w:t>included</w:t>
      </w:r>
      <w:r w:rsidRPr="004A77D7">
        <w:t xml:space="preserve"> 118 Risk Analytics Section papers</w:t>
      </w:r>
      <w:r w:rsidR="00D03185">
        <w:t xml:space="preserve"> (less than 20</w:t>
      </w:r>
      <w:r w:rsidR="009931E5">
        <w:t>%</w:t>
      </w:r>
      <w:r w:rsidR="00B72168">
        <w:t xml:space="preserve"> of risks identified)</w:t>
      </w:r>
      <w:r w:rsidRPr="004A77D7">
        <w:t xml:space="preserve">. </w:t>
      </w:r>
      <w:r w:rsidR="0094762D" w:rsidRPr="004A77D7">
        <w:t xml:space="preserve">Duplicate risk assessments (where the same risk is assessed multiple times within the same year) were cleaned to ensure there was no double counting. </w:t>
      </w:r>
      <w:r w:rsidR="003671E3" w:rsidRPr="004A77D7">
        <w:t xml:space="preserve">The unique risks were then totalled and scaled such that the output is as though all risks occurred within a single year. The output of the analysis therefore represents a constructed estimate of non-compliance within a single year as informed by a sample of risk assessment documents sourced across a </w:t>
      </w:r>
      <w:r w:rsidR="00AD4B33" w:rsidRPr="00AD4B33">
        <w:t>two-year</w:t>
      </w:r>
      <w:r w:rsidR="003671E3" w:rsidRPr="004A77D7">
        <w:t xml:space="preserve"> sample-frame. </w:t>
      </w:r>
      <w:r w:rsidR="00F8498E">
        <w:t>This</w:t>
      </w:r>
      <w:r w:rsidR="00F8498E" w:rsidRPr="00052E0F">
        <w:t xml:space="preserve"> </w:t>
      </w:r>
      <w:r w:rsidR="000E5E00">
        <w:t>analysis</w:t>
      </w:r>
      <w:r w:rsidR="000E5E00" w:rsidRPr="00052E0F">
        <w:t xml:space="preserve"> </w:t>
      </w:r>
      <w:r w:rsidR="00F8498E" w:rsidRPr="00052E0F">
        <w:t xml:space="preserve">found that the </w:t>
      </w:r>
      <w:r w:rsidR="00191FBA">
        <w:t>r</w:t>
      </w:r>
      <w:r w:rsidR="00F8498E" w:rsidRPr="00052E0F">
        <w:t xml:space="preserve">isk </w:t>
      </w:r>
      <w:r w:rsidR="00191FBA">
        <w:t>i</w:t>
      </w:r>
      <w:r w:rsidR="00F8498E" w:rsidRPr="00052E0F">
        <w:t xml:space="preserve">dentification and </w:t>
      </w:r>
      <w:r w:rsidR="00191FBA">
        <w:t>r</w:t>
      </w:r>
      <w:r w:rsidR="00F8498E" w:rsidRPr="00052E0F">
        <w:t xml:space="preserve">isk </w:t>
      </w:r>
      <w:r w:rsidR="00191FBA">
        <w:t>a</w:t>
      </w:r>
      <w:r w:rsidR="00F8498E" w:rsidRPr="00052E0F">
        <w:t xml:space="preserve">nalytics process had identified approximately </w:t>
      </w:r>
      <w:r w:rsidR="00F8498E" w:rsidRPr="00C353B7">
        <w:rPr>
          <w:b/>
        </w:rPr>
        <w:t>$582 million of potential Medicare non-compliance</w:t>
      </w:r>
      <w:r w:rsidR="00F8498E" w:rsidRPr="00052E0F">
        <w:rPr>
          <w:b/>
          <w:i/>
        </w:rPr>
        <w:t xml:space="preserve"> </w:t>
      </w:r>
      <w:r w:rsidR="00F8498E" w:rsidRPr="00052E0F">
        <w:t>at the point of initial risk assessment</w:t>
      </w:r>
      <w:r w:rsidR="00EA562F">
        <w:t>.</w:t>
      </w:r>
    </w:p>
    <w:p w14:paraId="7861D5E3" w14:textId="68658E50" w:rsidR="00B76BD1" w:rsidRPr="009065F4" w:rsidRDefault="00C06232" w:rsidP="009718D2">
      <w:r w:rsidRPr="009065F4">
        <w:t>The</w:t>
      </w:r>
      <w:r w:rsidR="00834A05" w:rsidRPr="009065F4">
        <w:t xml:space="preserve">re are </w:t>
      </w:r>
      <w:r w:rsidR="00B53F46" w:rsidRPr="004A77D7">
        <w:rPr>
          <w:b/>
        </w:rPr>
        <w:t>several</w:t>
      </w:r>
      <w:r w:rsidR="00834A05" w:rsidRPr="004A77D7">
        <w:rPr>
          <w:b/>
        </w:rPr>
        <w:t xml:space="preserve"> key </w:t>
      </w:r>
      <w:r w:rsidR="00AF0AFD" w:rsidRPr="004A77D7">
        <w:rPr>
          <w:b/>
        </w:rPr>
        <w:t>limitations</w:t>
      </w:r>
      <w:r w:rsidR="00AF0AFD" w:rsidRPr="009065F4">
        <w:t xml:space="preserve"> </w:t>
      </w:r>
      <w:r w:rsidR="00EF1FB6" w:rsidRPr="009065F4">
        <w:t>in using</w:t>
      </w:r>
      <w:r w:rsidR="00AF0AFD" w:rsidRPr="009065F4">
        <w:t xml:space="preserve"> this estimate as an indicator of </w:t>
      </w:r>
      <w:r w:rsidR="00A22ECB" w:rsidRPr="009065F4">
        <w:t>the true level of</w:t>
      </w:r>
      <w:r w:rsidR="00AF0AFD" w:rsidRPr="009065F4">
        <w:t xml:space="preserve"> non-compliance</w:t>
      </w:r>
      <w:r w:rsidR="00B76BD1" w:rsidRPr="009065F4">
        <w:t>:</w:t>
      </w:r>
    </w:p>
    <w:p w14:paraId="3A9D24CA" w14:textId="6915E58F" w:rsidR="00CC63FF" w:rsidRPr="004A77D7" w:rsidRDefault="00CC63FF" w:rsidP="00DC7291">
      <w:pPr>
        <w:pStyle w:val="ListNumber"/>
        <w:numPr>
          <w:ilvl w:val="0"/>
          <w:numId w:val="26"/>
        </w:numPr>
      </w:pPr>
      <w:r w:rsidRPr="004A77D7">
        <w:t xml:space="preserve">Only risks that are identified by the </w:t>
      </w:r>
      <w:r w:rsidR="009931E5">
        <w:t>department</w:t>
      </w:r>
      <w:r w:rsidRPr="004A77D7">
        <w:t xml:space="preserve"> are able to be processed through to risk assessment. Therefore, risks which are missed through lack of systematic monitoring will – by definition – be excluded from this analysis. </w:t>
      </w:r>
    </w:p>
    <w:p w14:paraId="67E3B8EF" w14:textId="7B6B1EA8" w:rsidR="009718D2" w:rsidRPr="009065F4" w:rsidRDefault="00412A07" w:rsidP="00DC7291">
      <w:pPr>
        <w:pStyle w:val="ListNumber"/>
      </w:pPr>
      <w:r w:rsidRPr="009065F4">
        <w:t>T</w:t>
      </w:r>
      <w:r w:rsidR="000877DA" w:rsidRPr="009065F4">
        <w:t xml:space="preserve">he </w:t>
      </w:r>
      <w:r w:rsidR="00191FBA">
        <w:t>r</w:t>
      </w:r>
      <w:r w:rsidR="000877DA" w:rsidRPr="009065F4">
        <w:t xml:space="preserve">isk </w:t>
      </w:r>
      <w:r w:rsidR="00191FBA">
        <w:t>i</w:t>
      </w:r>
      <w:r w:rsidR="000877DA" w:rsidRPr="009065F4">
        <w:t xml:space="preserve">dentification and </w:t>
      </w:r>
      <w:r w:rsidR="00191FBA">
        <w:t>r</w:t>
      </w:r>
      <w:r w:rsidR="000877DA" w:rsidRPr="009065F4">
        <w:t xml:space="preserve">isk </w:t>
      </w:r>
      <w:r w:rsidR="00191FBA">
        <w:t>a</w:t>
      </w:r>
      <w:r w:rsidR="000877DA" w:rsidRPr="009065F4">
        <w:t xml:space="preserve">nalytics process does not assess every form of potential non-compliance each year (due to capacity constraints) </w:t>
      </w:r>
      <w:r w:rsidR="00AF0AFD" w:rsidRPr="009065F4">
        <w:t xml:space="preserve">– </w:t>
      </w:r>
      <w:r w:rsidR="007C503A" w:rsidRPr="009065F4">
        <w:t xml:space="preserve">thus </w:t>
      </w:r>
      <w:r w:rsidR="00CB6E75" w:rsidRPr="009065F4">
        <w:t>understating</w:t>
      </w:r>
      <w:r w:rsidR="00AF0AFD" w:rsidRPr="009065F4">
        <w:t xml:space="preserve"> the value of non-compliance</w:t>
      </w:r>
      <w:r w:rsidR="00BE30A3" w:rsidRPr="009065F4">
        <w:t>.</w:t>
      </w:r>
      <w:r w:rsidR="00F8498E" w:rsidRPr="004A77D7">
        <w:t xml:space="preserve"> Within the sample frame only </w:t>
      </w:r>
      <w:r w:rsidR="00476F96" w:rsidRPr="004A77D7">
        <w:t xml:space="preserve">19% of identified risks were subject to risk assessment. </w:t>
      </w:r>
    </w:p>
    <w:p w14:paraId="59025570" w14:textId="75BE7781" w:rsidR="00A67C90" w:rsidRPr="009065F4" w:rsidRDefault="00A67C90" w:rsidP="00DC7291">
      <w:pPr>
        <w:pStyle w:val="ListNumber"/>
      </w:pPr>
      <w:r w:rsidRPr="009065F4">
        <w:t>The list of risks identified only includes projects that have been endorsed by the Case Flow Committee as per the Division’s current</w:t>
      </w:r>
      <w:r w:rsidR="00267904">
        <w:t xml:space="preserve"> </w:t>
      </w:r>
      <w:r w:rsidR="00191FBA">
        <w:t>o</w:t>
      </w:r>
      <w:r w:rsidRPr="009065F4">
        <w:t xml:space="preserve">perating </w:t>
      </w:r>
      <w:r w:rsidR="00191FBA">
        <w:t>m</w:t>
      </w:r>
      <w:r w:rsidRPr="009065F4">
        <w:t>odel’s governance processes. Projects/cases stemming from the following sources are therefore not included – understating the value of non-compliance</w:t>
      </w:r>
      <w:r w:rsidR="00BF0850" w:rsidRPr="009065F4">
        <w:t>:</w:t>
      </w:r>
    </w:p>
    <w:p w14:paraId="4FE64953" w14:textId="51186FF1" w:rsidR="00A67C90" w:rsidRPr="009065F4" w:rsidRDefault="00187846" w:rsidP="00DC7291">
      <w:pPr>
        <w:pStyle w:val="ListNumber2"/>
      </w:pPr>
      <w:r>
        <w:t>Non-compliance detection tools</w:t>
      </w:r>
    </w:p>
    <w:p w14:paraId="5097C5D9" w14:textId="318B4C27" w:rsidR="00A67C90" w:rsidRPr="009065F4" w:rsidRDefault="00A67C90" w:rsidP="00DC7291">
      <w:pPr>
        <w:pStyle w:val="ListNumber2"/>
      </w:pPr>
      <w:r w:rsidRPr="009065F4">
        <w:lastRenderedPageBreak/>
        <w:t xml:space="preserve">Projects/cases generated through </w:t>
      </w:r>
      <w:r w:rsidR="008F0880">
        <w:t>analysis tools</w:t>
      </w:r>
    </w:p>
    <w:p w14:paraId="698E07B9" w14:textId="1CC42310" w:rsidR="00A67C90" w:rsidRPr="009065F4" w:rsidRDefault="00A67C90" w:rsidP="00DC7291">
      <w:pPr>
        <w:pStyle w:val="ListNumber2"/>
      </w:pPr>
      <w:r w:rsidRPr="009065F4">
        <w:t xml:space="preserve">Public </w:t>
      </w:r>
      <w:r w:rsidR="00191FBA">
        <w:t>h</w:t>
      </w:r>
      <w:r w:rsidRPr="009065F4">
        <w:t xml:space="preserve">ospital </w:t>
      </w:r>
      <w:r w:rsidR="00191FBA">
        <w:t>c</w:t>
      </w:r>
      <w:r w:rsidRPr="009065F4">
        <w:t xml:space="preserve">ompliance projects (noting they are subject to a separate endorsement process) </w:t>
      </w:r>
    </w:p>
    <w:p w14:paraId="3FFC6A12" w14:textId="2EF80EDB" w:rsidR="00A67C90" w:rsidRPr="009065F4" w:rsidRDefault="00A67C90" w:rsidP="00DC7291">
      <w:pPr>
        <w:pStyle w:val="ListNumber2"/>
      </w:pPr>
      <w:r w:rsidRPr="009065F4">
        <w:t xml:space="preserve">Cases that are treated as part of the eHealth PIP </w:t>
      </w:r>
      <w:r w:rsidR="00191FBA">
        <w:t>c</w:t>
      </w:r>
      <w:r w:rsidRPr="009065F4">
        <w:t xml:space="preserve">ancelled </w:t>
      </w:r>
      <w:r w:rsidR="00191FBA">
        <w:t>p</w:t>
      </w:r>
      <w:r w:rsidRPr="009065F4">
        <w:t>ayment projects (noting these are also subject to alternative approval arrangements</w:t>
      </w:r>
      <w:r w:rsidR="00D57DCD">
        <w:t xml:space="preserve">) and </w:t>
      </w:r>
      <w:r w:rsidR="00675266">
        <w:t>cases (including fraud cases) identified through tip offs</w:t>
      </w:r>
      <w:r w:rsidR="00A31975">
        <w:t xml:space="preserve"> or data tools, or compliance concerns which cannot be identified in the data</w:t>
      </w:r>
      <w:r w:rsidRPr="009065F4">
        <w:t>.</w:t>
      </w:r>
    </w:p>
    <w:p w14:paraId="7281579A" w14:textId="6F7C39DC" w:rsidR="00036136" w:rsidRPr="009065F4" w:rsidRDefault="00036136" w:rsidP="00DC7291">
      <w:pPr>
        <w:pStyle w:val="ListNumber"/>
      </w:pPr>
      <w:r w:rsidRPr="009065F4">
        <w:t xml:space="preserve">On the other hand, through subsequent review, analysis, and engagement the value of potential non-compliance estimated in the </w:t>
      </w:r>
      <w:r w:rsidR="00191FBA">
        <w:t>r</w:t>
      </w:r>
      <w:r w:rsidRPr="009065F4">
        <w:t xml:space="preserve">isk </w:t>
      </w:r>
      <w:r w:rsidR="00191FBA">
        <w:t>a</w:t>
      </w:r>
      <w:r w:rsidRPr="009065F4">
        <w:t>ssessment stage is generally reduced as non-compliant activity is typically found to only be a subset of the estimate.</w:t>
      </w:r>
    </w:p>
    <w:p w14:paraId="670AAAA6" w14:textId="388C30F4" w:rsidR="00036136" w:rsidRPr="009065F4" w:rsidRDefault="00036136" w:rsidP="00DC7291">
      <w:pPr>
        <w:pStyle w:val="ListNumber"/>
      </w:pPr>
      <w:r w:rsidRPr="009065F4">
        <w:t xml:space="preserve">These assessments generally do not investigate potential underclaiming (not in scope of the </w:t>
      </w:r>
      <w:r w:rsidR="00191FBA">
        <w:t>r</w:t>
      </w:r>
      <w:r w:rsidRPr="009065F4">
        <w:t xml:space="preserve">isk </w:t>
      </w:r>
      <w:r w:rsidR="00191FBA">
        <w:t>i</w:t>
      </w:r>
      <w:r w:rsidRPr="009065F4">
        <w:t xml:space="preserve">dentification and </w:t>
      </w:r>
      <w:r w:rsidR="00191FBA">
        <w:t>r</w:t>
      </w:r>
      <w:r w:rsidRPr="009065F4">
        <w:t xml:space="preserve">isk </w:t>
      </w:r>
      <w:r w:rsidR="00191FBA">
        <w:t>a</w:t>
      </w:r>
      <w:r w:rsidRPr="009065F4">
        <w:t>nalytics process) which is frequent given the system’s complexity and everchanging rules</w:t>
      </w:r>
      <w:r w:rsidR="00CC63FF" w:rsidRPr="004A77D7">
        <w:t>.</w:t>
      </w:r>
    </w:p>
    <w:p w14:paraId="189EEF3B" w14:textId="229CD392" w:rsidR="00D63FB8" w:rsidRPr="00DF00EE" w:rsidRDefault="00280B01" w:rsidP="00940D39">
      <w:pPr>
        <w:pStyle w:val="Heading3"/>
      </w:pPr>
      <w:bookmarkStart w:id="193" w:name="_Toc128907035"/>
      <w:bookmarkStart w:id="194" w:name="_Toc128909145"/>
      <w:bookmarkStart w:id="195" w:name="_Toc128669080"/>
      <w:bookmarkStart w:id="196" w:name="_Toc128905536"/>
      <w:bookmarkStart w:id="197" w:name="_Toc128907036"/>
      <w:bookmarkStart w:id="198" w:name="_Toc128909146"/>
      <w:bookmarkEnd w:id="193"/>
      <w:bookmarkEnd w:id="194"/>
      <w:r>
        <w:t xml:space="preserve">Overview of </w:t>
      </w:r>
      <w:r w:rsidR="0E43A3D2">
        <w:t>the breadth of</w:t>
      </w:r>
      <w:r w:rsidR="00187846">
        <w:t xml:space="preserve"> </w:t>
      </w:r>
      <w:r w:rsidR="00070518" w:rsidRPr="00DF00EE">
        <w:t>estimates</w:t>
      </w:r>
      <w:bookmarkEnd w:id="195"/>
      <w:bookmarkEnd w:id="196"/>
      <w:bookmarkEnd w:id="197"/>
      <w:bookmarkEnd w:id="198"/>
    </w:p>
    <w:p w14:paraId="1A6979E6" w14:textId="03EC596A" w:rsidR="00F02F15" w:rsidRDefault="0097458A" w:rsidP="004A77D7">
      <w:pPr>
        <w:spacing w:before="100" w:beforeAutospacing="1" w:after="100" w:afterAutospacing="1"/>
        <w:rPr>
          <w:rFonts w:eastAsia="Times New Roman"/>
        </w:rPr>
      </w:pPr>
      <w:r>
        <w:rPr>
          <w:rFonts w:eastAsia="Times New Roman"/>
        </w:rPr>
        <w:t xml:space="preserve">In recent years, five </w:t>
      </w:r>
      <w:r w:rsidR="00F02F15">
        <w:rPr>
          <w:rFonts w:eastAsia="Times New Roman"/>
        </w:rPr>
        <w:t>studies have attempted to estimate the quantum of non-compliance and fraud in MBS billing</w:t>
      </w:r>
      <w:r>
        <w:rPr>
          <w:rFonts w:eastAsia="Times New Roman"/>
        </w:rPr>
        <w:t xml:space="preserve"> – most recently the work of Dr Faux.</w:t>
      </w:r>
      <w:r w:rsidR="00267904">
        <w:rPr>
          <w:rFonts w:eastAsia="Times New Roman"/>
        </w:rPr>
        <w:t xml:space="preserve"> </w:t>
      </w:r>
      <w:r w:rsidR="00F02F15">
        <w:rPr>
          <w:rFonts w:eastAsia="Times New Roman"/>
        </w:rPr>
        <w:t>With the exception of Dr Faux’</w:t>
      </w:r>
      <w:r w:rsidR="00395FE0">
        <w:rPr>
          <w:rFonts w:eastAsia="Times New Roman"/>
        </w:rPr>
        <w:t>s</w:t>
      </w:r>
      <w:r w:rsidR="00F02F15">
        <w:rPr>
          <w:rFonts w:eastAsia="Times New Roman"/>
        </w:rPr>
        <w:t xml:space="preserve"> analysis, the studies have </w:t>
      </w:r>
      <w:r w:rsidR="00B62E66">
        <w:rPr>
          <w:rFonts w:eastAsia="Times New Roman"/>
        </w:rPr>
        <w:t>utilised</w:t>
      </w:r>
      <w:r w:rsidR="00F02F15">
        <w:rPr>
          <w:rFonts w:eastAsia="Times New Roman"/>
        </w:rPr>
        <w:t xml:space="preserve"> external estimates of non-compliance and fraud in comparable systems and applied them to the value of MBS. Their estimates range from $3</w:t>
      </w:r>
      <w:r w:rsidR="00C61216">
        <w:rPr>
          <w:rFonts w:eastAsia="Times New Roman"/>
        </w:rPr>
        <w:t>66</w:t>
      </w:r>
      <w:r w:rsidR="00B62E66">
        <w:rPr>
          <w:rFonts w:eastAsia="Times New Roman"/>
        </w:rPr>
        <w:t xml:space="preserve"> million</w:t>
      </w:r>
      <w:r w:rsidR="00F02F15">
        <w:rPr>
          <w:rFonts w:eastAsia="Times New Roman"/>
        </w:rPr>
        <w:t xml:space="preserve"> to $2</w:t>
      </w:r>
      <w:r w:rsidR="00C61216">
        <w:rPr>
          <w:rFonts w:eastAsia="Times New Roman"/>
        </w:rPr>
        <w:t>.2</w:t>
      </w:r>
      <w:r w:rsidR="00B62E66">
        <w:rPr>
          <w:rFonts w:eastAsia="Times New Roman"/>
        </w:rPr>
        <w:t xml:space="preserve"> billion</w:t>
      </w:r>
      <w:r w:rsidR="00F02F15">
        <w:rPr>
          <w:rFonts w:eastAsia="Times New Roman"/>
        </w:rPr>
        <w:t>. Their methods and assumptions are further detailed in Appendix</w:t>
      </w:r>
      <w:r w:rsidR="00822178">
        <w:rPr>
          <w:rFonts w:eastAsia="Times New Roman"/>
        </w:rPr>
        <w:t xml:space="preserve"> A</w:t>
      </w:r>
      <w:r w:rsidR="00F02F15">
        <w:rPr>
          <w:rFonts w:eastAsia="Times New Roman"/>
        </w:rPr>
        <w:t>.</w:t>
      </w:r>
    </w:p>
    <w:p w14:paraId="30FAC37B" w14:textId="65AE18AD" w:rsidR="00F02F15" w:rsidRPr="00597BBD" w:rsidRDefault="00F02F15" w:rsidP="004A77D7">
      <w:pPr>
        <w:spacing w:before="100" w:beforeAutospacing="1" w:after="100" w:afterAutospacing="1"/>
        <w:rPr>
          <w:rFonts w:eastAsia="Times New Roman"/>
        </w:rPr>
      </w:pPr>
      <w:r>
        <w:rPr>
          <w:rFonts w:eastAsia="Times New Roman"/>
        </w:rPr>
        <w:t xml:space="preserve">Dr Faux utilised a mix of data from her private business, her personal </w:t>
      </w:r>
      <w:proofErr w:type="gramStart"/>
      <w:r>
        <w:rPr>
          <w:rFonts w:eastAsia="Times New Roman"/>
        </w:rPr>
        <w:t>experience</w:t>
      </w:r>
      <w:proofErr w:type="gramEnd"/>
      <w:r>
        <w:rPr>
          <w:rFonts w:eastAsia="Times New Roman"/>
        </w:rPr>
        <w:t xml:space="preserve"> and various sources of literature to build up an estimate of non-compliance in a ‘bottom up’ manner. Her latest estimate of non-compliance and fraud is in the order of $10</w:t>
      </w:r>
      <w:r w:rsidR="00B62E66">
        <w:rPr>
          <w:rFonts w:eastAsia="Times New Roman"/>
        </w:rPr>
        <w:t xml:space="preserve"> billion</w:t>
      </w:r>
      <w:r>
        <w:rPr>
          <w:rFonts w:eastAsia="Times New Roman"/>
        </w:rPr>
        <w:t>.</w:t>
      </w:r>
      <w:r w:rsidR="002D48B2">
        <w:rPr>
          <w:rFonts w:eastAsia="Times New Roman"/>
        </w:rPr>
        <w:t xml:space="preserve"> </w:t>
      </w:r>
      <w:r w:rsidR="00AF1850" w:rsidRPr="00737A85">
        <w:rPr>
          <w:rFonts w:eastAsia="Times New Roman"/>
        </w:rPr>
        <w:t xml:space="preserve">Whilst there </w:t>
      </w:r>
      <w:r w:rsidRPr="00737A85">
        <w:rPr>
          <w:rFonts w:eastAsia="Times New Roman"/>
        </w:rPr>
        <w:t xml:space="preserve">are methodological issues and definitional challenges with </w:t>
      </w:r>
      <w:r w:rsidR="00974861" w:rsidRPr="00737A85">
        <w:rPr>
          <w:rFonts w:eastAsia="Times New Roman"/>
        </w:rPr>
        <w:t xml:space="preserve">Dr </w:t>
      </w:r>
      <w:r w:rsidRPr="00737A85">
        <w:rPr>
          <w:rFonts w:eastAsia="Times New Roman"/>
        </w:rPr>
        <w:t>Faux’</w:t>
      </w:r>
      <w:r w:rsidR="00395FE0" w:rsidRPr="00737A85">
        <w:rPr>
          <w:rFonts w:eastAsia="Times New Roman"/>
        </w:rPr>
        <w:t>s</w:t>
      </w:r>
      <w:r w:rsidRPr="00737A85">
        <w:rPr>
          <w:rFonts w:eastAsia="Times New Roman"/>
        </w:rPr>
        <w:t xml:space="preserve"> estimates</w:t>
      </w:r>
      <w:r w:rsidR="00DB68DB" w:rsidRPr="00E26A4E">
        <w:rPr>
          <w:rFonts w:eastAsia="Times New Roman"/>
        </w:rPr>
        <w:t>,</w:t>
      </w:r>
      <w:r w:rsidR="003A4D3F" w:rsidRPr="00737A85">
        <w:rPr>
          <w:rFonts w:eastAsia="Times New Roman"/>
        </w:rPr>
        <w:t xml:space="preserve"> </w:t>
      </w:r>
      <w:r w:rsidR="00730072" w:rsidRPr="00737A85">
        <w:rPr>
          <w:rFonts w:eastAsia="Times New Roman"/>
        </w:rPr>
        <w:t>her</w:t>
      </w:r>
      <w:r w:rsidR="00C61216" w:rsidRPr="00737A85">
        <w:rPr>
          <w:rFonts w:eastAsia="Times New Roman"/>
        </w:rPr>
        <w:t xml:space="preserve"> </w:t>
      </w:r>
      <w:r w:rsidR="00191FBA" w:rsidRPr="00737A85">
        <w:rPr>
          <w:rFonts w:eastAsia="Times New Roman"/>
        </w:rPr>
        <w:t>build-up</w:t>
      </w:r>
      <w:r w:rsidR="00C61216" w:rsidRPr="00737A85">
        <w:rPr>
          <w:rFonts w:eastAsia="Times New Roman"/>
        </w:rPr>
        <w:t xml:space="preserve"> </w:t>
      </w:r>
      <w:r w:rsidR="00DE0FC8" w:rsidRPr="00737A85">
        <w:rPr>
          <w:rFonts w:eastAsia="Times New Roman"/>
        </w:rPr>
        <w:t xml:space="preserve">of </w:t>
      </w:r>
      <w:r w:rsidR="00C61216" w:rsidRPr="00737A85">
        <w:rPr>
          <w:rFonts w:eastAsia="Times New Roman"/>
        </w:rPr>
        <w:t>a</w:t>
      </w:r>
      <w:r w:rsidR="00DE0FC8" w:rsidRPr="00737A85">
        <w:rPr>
          <w:rFonts w:eastAsia="Times New Roman"/>
        </w:rPr>
        <w:t>n</w:t>
      </w:r>
      <w:r w:rsidR="00C61216" w:rsidRPr="00737A85">
        <w:rPr>
          <w:rFonts w:eastAsia="Times New Roman"/>
        </w:rPr>
        <w:t xml:space="preserve"> estimate of non</w:t>
      </w:r>
      <w:r w:rsidR="00191FBA">
        <w:rPr>
          <w:rFonts w:eastAsia="Times New Roman"/>
        </w:rPr>
        <w:t>-</w:t>
      </w:r>
      <w:r w:rsidR="00C61216" w:rsidRPr="00737A85">
        <w:rPr>
          <w:rFonts w:eastAsia="Times New Roman"/>
        </w:rPr>
        <w:t xml:space="preserve">compliance from </w:t>
      </w:r>
      <w:r w:rsidR="00DB68DB" w:rsidRPr="00E26A4E">
        <w:rPr>
          <w:rFonts w:eastAsia="Times New Roman"/>
        </w:rPr>
        <w:t>a</w:t>
      </w:r>
      <w:r w:rsidR="00C61216" w:rsidRPr="00737A85">
        <w:rPr>
          <w:rFonts w:eastAsia="Times New Roman"/>
        </w:rPr>
        <w:t xml:space="preserve"> sample of MBS billing data and observations of the system is instructive. </w:t>
      </w:r>
      <w:r w:rsidRPr="00737A85">
        <w:rPr>
          <w:rFonts w:eastAsia="Times New Roman"/>
        </w:rPr>
        <w:t xml:space="preserve">While it is not directly comparable, it appears approximately </w:t>
      </w:r>
      <w:r w:rsidR="00DB1B6D" w:rsidRPr="00737A85">
        <w:rPr>
          <w:rFonts w:eastAsia="Times New Roman"/>
        </w:rPr>
        <w:t>$</w:t>
      </w:r>
      <w:r w:rsidR="00502E08" w:rsidRPr="00737A85">
        <w:rPr>
          <w:rFonts w:eastAsia="Times New Roman"/>
        </w:rPr>
        <w:t>3 billion</w:t>
      </w:r>
      <w:r w:rsidRPr="00737A85">
        <w:rPr>
          <w:rFonts w:eastAsia="Times New Roman"/>
        </w:rPr>
        <w:t xml:space="preserve"> of Faux’</w:t>
      </w:r>
      <w:r w:rsidR="00191FBA">
        <w:rPr>
          <w:rFonts w:eastAsia="Times New Roman"/>
        </w:rPr>
        <w:t>s</w:t>
      </w:r>
      <w:r w:rsidRPr="00737A85">
        <w:rPr>
          <w:rFonts w:eastAsia="Times New Roman"/>
        </w:rPr>
        <w:t xml:space="preserve"> estimate shares the same definition of non-compliance and fraud currently employed by the </w:t>
      </w:r>
      <w:r w:rsidR="009931E5">
        <w:rPr>
          <w:rFonts w:eastAsia="Times New Roman"/>
        </w:rPr>
        <w:t>department</w:t>
      </w:r>
      <w:r w:rsidRPr="00737A85">
        <w:rPr>
          <w:rFonts w:eastAsia="Times New Roman"/>
        </w:rPr>
        <w:t>.</w:t>
      </w:r>
      <w:r w:rsidRPr="00597BBD">
        <w:rPr>
          <w:rFonts w:eastAsia="Times New Roman"/>
        </w:rPr>
        <w:t xml:space="preserve"> </w:t>
      </w:r>
    </w:p>
    <w:p w14:paraId="7CB3657B" w14:textId="5BB0033C" w:rsidR="00A73DEF" w:rsidRPr="00597BBD" w:rsidRDefault="00A73DEF" w:rsidP="004A77D7">
      <w:pPr>
        <w:spacing w:before="100" w:beforeAutospacing="1" w:after="100" w:afterAutospacing="1"/>
        <w:rPr>
          <w:rFonts w:eastAsia="Times New Roman"/>
        </w:rPr>
      </w:pPr>
      <w:r w:rsidRPr="00597BBD">
        <w:rPr>
          <w:rFonts w:eastAsia="Times New Roman"/>
        </w:rPr>
        <w:t xml:space="preserve">The methodology </w:t>
      </w:r>
      <w:r w:rsidR="00ED4298">
        <w:rPr>
          <w:rFonts w:eastAsia="Times New Roman"/>
        </w:rPr>
        <w:t xml:space="preserve">I have </w:t>
      </w:r>
      <w:r w:rsidRPr="00597BBD">
        <w:rPr>
          <w:rFonts w:eastAsia="Times New Roman"/>
        </w:rPr>
        <w:t xml:space="preserve">employed differs from </w:t>
      </w:r>
      <w:r w:rsidR="00C66403" w:rsidRPr="00597BBD">
        <w:rPr>
          <w:rFonts w:eastAsia="Times New Roman"/>
        </w:rPr>
        <w:t>previous studies</w:t>
      </w:r>
      <w:r w:rsidRPr="00597BBD">
        <w:rPr>
          <w:rFonts w:eastAsia="Times New Roman"/>
        </w:rPr>
        <w:t xml:space="preserve"> in </w:t>
      </w:r>
      <w:r w:rsidR="002842A3" w:rsidRPr="00597BBD">
        <w:rPr>
          <w:rFonts w:eastAsia="Times New Roman"/>
        </w:rPr>
        <w:t xml:space="preserve">that it utilises </w:t>
      </w:r>
      <w:r w:rsidR="00747DDC" w:rsidRPr="00597BBD">
        <w:rPr>
          <w:rFonts w:eastAsia="Times New Roman"/>
        </w:rPr>
        <w:t xml:space="preserve">a far more ‘bottom-up’ approach to building up the estimate. </w:t>
      </w:r>
      <w:r w:rsidR="00842C76" w:rsidRPr="00597BBD">
        <w:rPr>
          <w:rFonts w:eastAsia="Times New Roman"/>
        </w:rPr>
        <w:t>The</w:t>
      </w:r>
      <w:r w:rsidR="00F60B91" w:rsidRPr="00597BBD">
        <w:rPr>
          <w:rFonts w:eastAsia="Times New Roman"/>
        </w:rPr>
        <w:t xml:space="preserve"> analysis which underpins it</w:t>
      </w:r>
      <w:r w:rsidR="00ED4298">
        <w:rPr>
          <w:rFonts w:eastAsia="Times New Roman"/>
        </w:rPr>
        <w:t xml:space="preserve"> is</w:t>
      </w:r>
      <w:r w:rsidR="00F60B91" w:rsidRPr="00597BBD">
        <w:rPr>
          <w:rFonts w:eastAsia="Times New Roman"/>
        </w:rPr>
        <w:t xml:space="preserve"> targeted to consider relevant Medicare items across all specific providers with a history of billing the item within </w:t>
      </w:r>
      <w:r w:rsidR="00842C76" w:rsidRPr="00597BBD">
        <w:rPr>
          <w:rFonts w:eastAsia="Times New Roman"/>
        </w:rPr>
        <w:t>its</w:t>
      </w:r>
      <w:r w:rsidR="00F60B91" w:rsidRPr="00597BBD">
        <w:rPr>
          <w:rFonts w:eastAsia="Times New Roman"/>
        </w:rPr>
        <w:t xml:space="preserve"> sample frame. </w:t>
      </w:r>
    </w:p>
    <w:p w14:paraId="3E916BB2" w14:textId="5DA49F92" w:rsidR="003820C0" w:rsidRDefault="00F02F15" w:rsidP="007157D1">
      <w:pPr>
        <w:spacing w:before="100" w:beforeAutospacing="1" w:after="100" w:afterAutospacing="1"/>
        <w:rPr>
          <w:rFonts w:eastAsia="Times New Roman"/>
        </w:rPr>
      </w:pPr>
      <w:r w:rsidRPr="00597BBD">
        <w:rPr>
          <w:rFonts w:eastAsia="Times New Roman"/>
        </w:rPr>
        <w:t>Critically, this estimate</w:t>
      </w:r>
      <w:r w:rsidR="00304B81">
        <w:rPr>
          <w:rFonts w:eastAsia="Times New Roman"/>
        </w:rPr>
        <w:t xml:space="preserve"> is</w:t>
      </w:r>
      <w:r w:rsidRPr="00597BBD">
        <w:rPr>
          <w:rFonts w:eastAsia="Times New Roman"/>
        </w:rPr>
        <w:t xml:space="preserve"> missing two </w:t>
      </w:r>
      <w:r w:rsidR="00AA4DDC" w:rsidRPr="00597BBD">
        <w:rPr>
          <w:rFonts w:eastAsia="Times New Roman"/>
        </w:rPr>
        <w:t>things.</w:t>
      </w:r>
      <w:r w:rsidR="00AA4DDC">
        <w:rPr>
          <w:rFonts w:eastAsia="Times New Roman"/>
        </w:rPr>
        <w:t xml:space="preserve"> First, onl</w:t>
      </w:r>
      <w:r w:rsidR="00B75FA6">
        <w:rPr>
          <w:rFonts w:eastAsia="Times New Roman"/>
        </w:rPr>
        <w:t xml:space="preserve">y risks progressed by the </w:t>
      </w:r>
      <w:r w:rsidR="009931E5">
        <w:rPr>
          <w:rFonts w:eastAsia="Times New Roman"/>
        </w:rPr>
        <w:t>department</w:t>
      </w:r>
      <w:r w:rsidR="00B75FA6">
        <w:rPr>
          <w:rFonts w:eastAsia="Times New Roman"/>
        </w:rPr>
        <w:t xml:space="preserve"> to risk assessment are </w:t>
      </w:r>
      <w:r w:rsidR="005B5C56">
        <w:rPr>
          <w:rFonts w:eastAsia="Times New Roman"/>
        </w:rPr>
        <w:t>considered</w:t>
      </w:r>
      <w:r w:rsidRPr="00597BBD">
        <w:rPr>
          <w:rFonts w:eastAsia="Times New Roman"/>
        </w:rPr>
        <w:t>.</w:t>
      </w:r>
      <w:r w:rsidR="008F14F4" w:rsidRPr="00597BBD">
        <w:rPr>
          <w:rFonts w:eastAsia="Times New Roman"/>
        </w:rPr>
        <w:t xml:space="preserve"> </w:t>
      </w:r>
      <w:r w:rsidR="005B5C56">
        <w:rPr>
          <w:rFonts w:eastAsia="Times New Roman"/>
        </w:rPr>
        <w:t>Owing to capacity const</w:t>
      </w:r>
      <w:r w:rsidR="000D1539">
        <w:rPr>
          <w:rFonts w:eastAsia="Times New Roman"/>
        </w:rPr>
        <w:t xml:space="preserve">raints </w:t>
      </w:r>
      <w:r w:rsidR="001F2B7C">
        <w:rPr>
          <w:rFonts w:eastAsia="Times New Roman"/>
        </w:rPr>
        <w:t>less than 20</w:t>
      </w:r>
      <w:r w:rsidR="009931E5">
        <w:rPr>
          <w:rFonts w:eastAsia="Times New Roman"/>
        </w:rPr>
        <w:t>%</w:t>
      </w:r>
      <w:r w:rsidR="000D1539">
        <w:rPr>
          <w:rFonts w:eastAsia="Times New Roman"/>
        </w:rPr>
        <w:t xml:space="preserve"> of identified risks are progressed to this stage. </w:t>
      </w:r>
      <w:r w:rsidR="00205298">
        <w:rPr>
          <w:rFonts w:eastAsia="Times New Roman"/>
        </w:rPr>
        <w:t xml:space="preserve">Notably, this progression is determined </w:t>
      </w:r>
      <w:r w:rsidR="00191FBA">
        <w:rPr>
          <w:rFonts w:eastAsia="Times New Roman"/>
        </w:rPr>
        <w:t>i</w:t>
      </w:r>
      <w:r w:rsidR="00205298">
        <w:rPr>
          <w:rFonts w:eastAsia="Times New Roman"/>
        </w:rPr>
        <w:t xml:space="preserve">n a deliberate selection process – prioritising risks that are likely to be more substantive in impact/scale – however, </w:t>
      </w:r>
      <w:r w:rsidR="003820C0">
        <w:rPr>
          <w:rFonts w:eastAsia="Times New Roman"/>
        </w:rPr>
        <w:t xml:space="preserve">it is </w:t>
      </w:r>
      <w:r w:rsidR="00181C98">
        <w:rPr>
          <w:rFonts w:eastAsia="Times New Roman"/>
        </w:rPr>
        <w:t xml:space="preserve">inevitable that </w:t>
      </w:r>
      <w:r w:rsidR="009F7608">
        <w:rPr>
          <w:rFonts w:eastAsia="Times New Roman"/>
        </w:rPr>
        <w:t>a large volume of risks in aggregate will be missed</w:t>
      </w:r>
      <w:r w:rsidR="003820C0">
        <w:rPr>
          <w:rFonts w:eastAsia="Times New Roman"/>
        </w:rPr>
        <w:t xml:space="preserve">. Additional selection criteria mean that the sample used for </w:t>
      </w:r>
      <w:r w:rsidR="007E78D1">
        <w:rPr>
          <w:rFonts w:eastAsia="Times New Roman"/>
        </w:rPr>
        <w:t xml:space="preserve">my </w:t>
      </w:r>
      <w:r w:rsidR="00181C98">
        <w:rPr>
          <w:rFonts w:eastAsia="Times New Roman"/>
        </w:rPr>
        <w:t>analysis</w:t>
      </w:r>
      <w:r w:rsidR="003820C0">
        <w:rPr>
          <w:rFonts w:eastAsia="Times New Roman"/>
        </w:rPr>
        <w:t xml:space="preserve"> also systematically excludes </w:t>
      </w:r>
      <w:r w:rsidR="00191FBA">
        <w:rPr>
          <w:rFonts w:eastAsia="Times New Roman"/>
        </w:rPr>
        <w:t xml:space="preserve">other </w:t>
      </w:r>
      <w:r w:rsidR="00181C98">
        <w:rPr>
          <w:rFonts w:eastAsia="Times New Roman"/>
        </w:rPr>
        <w:t xml:space="preserve">cases </w:t>
      </w:r>
      <w:r w:rsidR="00191FBA">
        <w:rPr>
          <w:rFonts w:eastAsia="Times New Roman"/>
        </w:rPr>
        <w:t xml:space="preserve">such as those </w:t>
      </w:r>
      <w:r w:rsidR="00181C98">
        <w:rPr>
          <w:rFonts w:eastAsia="Times New Roman"/>
        </w:rPr>
        <w:t xml:space="preserve">identified through </w:t>
      </w:r>
      <w:r w:rsidR="00191FBA">
        <w:rPr>
          <w:rFonts w:eastAsia="Times New Roman"/>
        </w:rPr>
        <w:t>p</w:t>
      </w:r>
      <w:r w:rsidR="00181C98">
        <w:rPr>
          <w:rFonts w:eastAsia="Times New Roman"/>
        </w:rPr>
        <w:t xml:space="preserve">ublic </w:t>
      </w:r>
      <w:r w:rsidR="00191FBA">
        <w:rPr>
          <w:rFonts w:eastAsia="Times New Roman"/>
        </w:rPr>
        <w:t>h</w:t>
      </w:r>
      <w:r w:rsidR="00181C98">
        <w:rPr>
          <w:rFonts w:eastAsia="Times New Roman"/>
        </w:rPr>
        <w:t xml:space="preserve">ospital </w:t>
      </w:r>
      <w:r w:rsidR="00191FBA">
        <w:rPr>
          <w:rFonts w:eastAsia="Times New Roman"/>
        </w:rPr>
        <w:t>c</w:t>
      </w:r>
      <w:r w:rsidR="00181C98">
        <w:rPr>
          <w:rFonts w:eastAsia="Times New Roman"/>
        </w:rPr>
        <w:t xml:space="preserve">ompliance </w:t>
      </w:r>
      <w:r w:rsidR="00191FBA">
        <w:rPr>
          <w:rFonts w:eastAsia="Times New Roman"/>
        </w:rPr>
        <w:t>p</w:t>
      </w:r>
      <w:r w:rsidR="00181C98">
        <w:rPr>
          <w:rFonts w:eastAsia="Times New Roman"/>
        </w:rPr>
        <w:t xml:space="preserve">rojects and those treated through the eHealth PIP </w:t>
      </w:r>
      <w:r w:rsidR="00191FBA">
        <w:rPr>
          <w:rFonts w:eastAsia="Times New Roman"/>
        </w:rPr>
        <w:t>c</w:t>
      </w:r>
      <w:r w:rsidR="00181C98">
        <w:rPr>
          <w:rFonts w:eastAsia="Times New Roman"/>
        </w:rPr>
        <w:t xml:space="preserve">ancelled </w:t>
      </w:r>
      <w:r w:rsidR="00191FBA">
        <w:rPr>
          <w:rFonts w:eastAsia="Times New Roman"/>
        </w:rPr>
        <w:t>p</w:t>
      </w:r>
      <w:r w:rsidR="00181C98">
        <w:rPr>
          <w:rFonts w:eastAsia="Times New Roman"/>
        </w:rPr>
        <w:t xml:space="preserve">ayment program. </w:t>
      </w:r>
    </w:p>
    <w:p w14:paraId="59067B19" w14:textId="7694FD2A" w:rsidR="00F02F15" w:rsidRPr="00597BBD" w:rsidRDefault="00B96453" w:rsidP="007157D1">
      <w:pPr>
        <w:spacing w:before="100" w:beforeAutospacing="1" w:after="100" w:afterAutospacing="1"/>
        <w:rPr>
          <w:rFonts w:eastAsia="Times New Roman"/>
        </w:rPr>
      </w:pPr>
      <w:r w:rsidRPr="00597BBD">
        <w:t>A second</w:t>
      </w:r>
      <w:r w:rsidR="00920B29" w:rsidRPr="00597BBD">
        <w:t xml:space="preserve"> missing aspect of </w:t>
      </w:r>
      <w:r w:rsidR="00655895">
        <w:t>my</w:t>
      </w:r>
      <w:r w:rsidR="00655895" w:rsidRPr="00597BBD">
        <w:t xml:space="preserve"> </w:t>
      </w:r>
      <w:r w:rsidR="00920B29" w:rsidRPr="00597BBD">
        <w:t>analysis</w:t>
      </w:r>
      <w:r w:rsidR="008317D9" w:rsidRPr="00597BBD">
        <w:rPr>
          <w:rFonts w:eastAsia="Times New Roman"/>
        </w:rPr>
        <w:t xml:space="preserve"> – and likely more significant </w:t>
      </w:r>
      <w:r w:rsidRPr="00597BBD">
        <w:rPr>
          <w:rFonts w:eastAsia="Times New Roman"/>
        </w:rPr>
        <w:t xml:space="preserve">– </w:t>
      </w:r>
      <w:r w:rsidR="00920B29" w:rsidRPr="00597BBD">
        <w:rPr>
          <w:rFonts w:eastAsia="Times New Roman"/>
        </w:rPr>
        <w:t>is that its inputs are</w:t>
      </w:r>
      <w:r w:rsidR="003B0C09" w:rsidRPr="00597BBD">
        <w:rPr>
          <w:rFonts w:eastAsia="Times New Roman"/>
        </w:rPr>
        <w:t xml:space="preserve"> constrained by the </w:t>
      </w:r>
      <w:r w:rsidR="00C32F5F" w:rsidRPr="00597BBD">
        <w:rPr>
          <w:rFonts w:eastAsia="Times New Roman"/>
        </w:rPr>
        <w:t>volume</w:t>
      </w:r>
      <w:r w:rsidR="003B0C09" w:rsidRPr="00597BBD">
        <w:rPr>
          <w:rFonts w:eastAsia="Times New Roman"/>
        </w:rPr>
        <w:t xml:space="preserve"> of risk</w:t>
      </w:r>
      <w:r w:rsidR="00C32F5F" w:rsidRPr="00597BBD">
        <w:rPr>
          <w:rFonts w:eastAsia="Times New Roman"/>
        </w:rPr>
        <w:t>s</w:t>
      </w:r>
      <w:r w:rsidR="003B0C09" w:rsidRPr="00597BBD">
        <w:rPr>
          <w:rFonts w:eastAsia="Times New Roman"/>
        </w:rPr>
        <w:t xml:space="preserve"> which </w:t>
      </w:r>
      <w:r w:rsidR="00C32F5F" w:rsidRPr="00597BBD">
        <w:rPr>
          <w:rFonts w:eastAsia="Times New Roman"/>
        </w:rPr>
        <w:t>are</w:t>
      </w:r>
      <w:r w:rsidR="003B0C09" w:rsidRPr="00597BBD">
        <w:rPr>
          <w:rFonts w:eastAsia="Times New Roman"/>
        </w:rPr>
        <w:t xml:space="preserve"> put onto the risk register</w:t>
      </w:r>
      <w:r w:rsidR="00C32F5F" w:rsidRPr="00597BBD">
        <w:rPr>
          <w:rFonts w:eastAsia="Times New Roman"/>
        </w:rPr>
        <w:t xml:space="preserve"> in the first place</w:t>
      </w:r>
      <w:r w:rsidR="003B0C09" w:rsidRPr="00597BBD">
        <w:rPr>
          <w:rFonts w:eastAsia="Times New Roman"/>
        </w:rPr>
        <w:t xml:space="preserve"> (the 600 risks). These risks </w:t>
      </w:r>
      <w:r w:rsidR="00590375">
        <w:rPr>
          <w:rFonts w:eastAsia="Times New Roman"/>
        </w:rPr>
        <w:t xml:space="preserve">are </w:t>
      </w:r>
      <w:r w:rsidR="004E2CE5" w:rsidRPr="00597BBD">
        <w:rPr>
          <w:rFonts w:eastAsia="Times New Roman"/>
        </w:rPr>
        <w:t>largely</w:t>
      </w:r>
      <w:r w:rsidR="00F02F15" w:rsidRPr="00597BBD">
        <w:rPr>
          <w:rFonts w:eastAsia="Times New Roman"/>
        </w:rPr>
        <w:t xml:space="preserve"> </w:t>
      </w:r>
      <w:r w:rsidR="007D700B" w:rsidRPr="00597BBD">
        <w:rPr>
          <w:rFonts w:eastAsia="Times New Roman"/>
        </w:rPr>
        <w:t>ones</w:t>
      </w:r>
      <w:r w:rsidR="00F02F15" w:rsidRPr="00597BBD">
        <w:rPr>
          <w:rFonts w:eastAsia="Times New Roman"/>
        </w:rPr>
        <w:t xml:space="preserve"> </w:t>
      </w:r>
      <w:r w:rsidR="004E2CE5" w:rsidRPr="00597BBD">
        <w:rPr>
          <w:rFonts w:eastAsia="Times New Roman"/>
        </w:rPr>
        <w:t>that have been</w:t>
      </w:r>
      <w:r w:rsidR="00F02F15" w:rsidRPr="00597BBD">
        <w:rPr>
          <w:rFonts w:eastAsia="Times New Roman"/>
        </w:rPr>
        <w:t xml:space="preserve"> brought to the attention of the </w:t>
      </w:r>
      <w:r w:rsidR="009931E5">
        <w:rPr>
          <w:rFonts w:eastAsia="Times New Roman"/>
        </w:rPr>
        <w:t>department</w:t>
      </w:r>
      <w:r w:rsidR="00AE1C33">
        <w:rPr>
          <w:rFonts w:eastAsia="Times New Roman"/>
        </w:rPr>
        <w:t xml:space="preserve"> and does not include</w:t>
      </w:r>
      <w:r w:rsidR="00D30E4B">
        <w:rPr>
          <w:rFonts w:eastAsia="Times New Roman"/>
        </w:rPr>
        <w:t xml:space="preserve"> non-compliance identified through tip</w:t>
      </w:r>
      <w:r w:rsidR="00A65897">
        <w:rPr>
          <w:rFonts w:eastAsia="Times New Roman"/>
        </w:rPr>
        <w:t xml:space="preserve"> </w:t>
      </w:r>
      <w:r w:rsidR="00D30E4B">
        <w:rPr>
          <w:rFonts w:eastAsia="Times New Roman"/>
        </w:rPr>
        <w:t>offs, or the fraud and serious non-compliance cases identified through data</w:t>
      </w:r>
      <w:r w:rsidR="00F02F15" w:rsidRPr="00597BBD">
        <w:rPr>
          <w:rFonts w:eastAsia="Times New Roman"/>
        </w:rPr>
        <w:t>. Th</w:t>
      </w:r>
      <w:r w:rsidR="004E6425" w:rsidRPr="00597BBD">
        <w:rPr>
          <w:rFonts w:eastAsia="Times New Roman"/>
        </w:rPr>
        <w:t xml:space="preserve">at </w:t>
      </w:r>
      <w:r w:rsidR="00191FBA" w:rsidRPr="00597BBD">
        <w:rPr>
          <w:rFonts w:eastAsia="Times New Roman"/>
        </w:rPr>
        <w:t>is,</w:t>
      </w:r>
      <w:r w:rsidR="004E6425" w:rsidRPr="00597BBD">
        <w:rPr>
          <w:rFonts w:eastAsia="Times New Roman"/>
        </w:rPr>
        <w:t xml:space="preserve"> they are not</w:t>
      </w:r>
      <w:r w:rsidR="00F02F15" w:rsidRPr="00597BBD">
        <w:rPr>
          <w:rFonts w:eastAsia="Times New Roman"/>
        </w:rPr>
        <w:t xml:space="preserve"> inputs </w:t>
      </w:r>
      <w:r w:rsidR="004E6425" w:rsidRPr="00597BBD">
        <w:rPr>
          <w:rFonts w:eastAsia="Times New Roman"/>
        </w:rPr>
        <w:t>that are drawn</w:t>
      </w:r>
      <w:r w:rsidR="00F02F15" w:rsidRPr="00597BBD">
        <w:rPr>
          <w:rFonts w:eastAsia="Times New Roman"/>
        </w:rPr>
        <w:t xml:space="preserve"> from a sample </w:t>
      </w:r>
      <w:r w:rsidR="004E6425" w:rsidRPr="00597BBD">
        <w:rPr>
          <w:rFonts w:eastAsia="Times New Roman"/>
        </w:rPr>
        <w:t>of</w:t>
      </w:r>
      <w:r w:rsidR="00F02F15" w:rsidRPr="00597BBD">
        <w:rPr>
          <w:rFonts w:eastAsia="Times New Roman"/>
        </w:rPr>
        <w:t xml:space="preserve"> risks which </w:t>
      </w:r>
      <w:r w:rsidR="004E6425" w:rsidRPr="00597BBD">
        <w:rPr>
          <w:rFonts w:eastAsia="Times New Roman"/>
        </w:rPr>
        <w:t>have been</w:t>
      </w:r>
      <w:r w:rsidR="00F02F15" w:rsidRPr="00597BBD">
        <w:rPr>
          <w:rFonts w:eastAsia="Times New Roman"/>
        </w:rPr>
        <w:t xml:space="preserve"> identified though </w:t>
      </w:r>
      <w:r w:rsidR="004E6425" w:rsidRPr="00597BBD">
        <w:rPr>
          <w:rFonts w:eastAsia="Times New Roman"/>
        </w:rPr>
        <w:t xml:space="preserve">broad </w:t>
      </w:r>
      <w:r w:rsidR="00F02F15" w:rsidRPr="00597BBD">
        <w:rPr>
          <w:rFonts w:eastAsia="Times New Roman"/>
        </w:rPr>
        <w:t>systematic monitoring.</w:t>
      </w:r>
      <w:r w:rsidR="00A46F39" w:rsidRPr="00597BBD">
        <w:rPr>
          <w:rFonts w:eastAsia="Times New Roman"/>
        </w:rPr>
        <w:t xml:space="preserve"> </w:t>
      </w:r>
    </w:p>
    <w:p w14:paraId="67F1B697" w14:textId="2A7F9C4B" w:rsidR="00BF2D7D" w:rsidRPr="00597BBD" w:rsidRDefault="00F1381E" w:rsidP="007157D1">
      <w:pPr>
        <w:spacing w:before="100" w:beforeAutospacing="1" w:after="100" w:afterAutospacing="1"/>
        <w:rPr>
          <w:rFonts w:eastAsia="Times New Roman"/>
        </w:rPr>
      </w:pPr>
      <w:r w:rsidRPr="00597BBD">
        <w:rPr>
          <w:rFonts w:eastAsia="Times New Roman"/>
        </w:rPr>
        <w:t xml:space="preserve">Together, this implies that </w:t>
      </w:r>
      <w:r w:rsidR="00304B81">
        <w:rPr>
          <w:rFonts w:eastAsia="Times New Roman"/>
        </w:rPr>
        <w:t>my</w:t>
      </w:r>
      <w:r w:rsidRPr="00597BBD">
        <w:rPr>
          <w:rFonts w:eastAsia="Times New Roman"/>
        </w:rPr>
        <w:t xml:space="preserve"> </w:t>
      </w:r>
      <w:r w:rsidR="000A7664" w:rsidRPr="00597BBD">
        <w:rPr>
          <w:rFonts w:eastAsia="Times New Roman"/>
        </w:rPr>
        <w:t>bottom end</w:t>
      </w:r>
      <w:r w:rsidRPr="00597BBD">
        <w:rPr>
          <w:rFonts w:eastAsia="Times New Roman"/>
        </w:rPr>
        <w:t xml:space="preserve"> estimate of $582 million should be scaled up substantially to represent the </w:t>
      </w:r>
      <w:r w:rsidRPr="00597BBD">
        <w:rPr>
          <w:rFonts w:eastAsia="Times New Roman"/>
          <w:i/>
          <w:iCs/>
        </w:rPr>
        <w:t>true</w:t>
      </w:r>
      <w:r w:rsidRPr="00597BBD">
        <w:rPr>
          <w:rFonts w:eastAsia="Times New Roman"/>
        </w:rPr>
        <w:t xml:space="preserve"> value of non-compliance. A methodology for doing so was not investigated as part of this analysis. </w:t>
      </w:r>
    </w:p>
    <w:p w14:paraId="66182D83" w14:textId="40E527E3" w:rsidR="00F1381E" w:rsidRPr="00597BBD" w:rsidRDefault="00F1381E" w:rsidP="004A77D7">
      <w:pPr>
        <w:spacing w:before="100" w:beforeAutospacing="1" w:after="100" w:afterAutospacing="1"/>
        <w:rPr>
          <w:rFonts w:eastAsia="Times New Roman"/>
        </w:rPr>
      </w:pPr>
      <w:r w:rsidRPr="00597BBD">
        <w:rPr>
          <w:rFonts w:eastAsia="Times New Roman"/>
        </w:rPr>
        <w:t xml:space="preserve">However, even without </w:t>
      </w:r>
      <w:r w:rsidR="00F363CE" w:rsidRPr="00597BBD">
        <w:rPr>
          <w:rFonts w:eastAsia="Times New Roman"/>
        </w:rPr>
        <w:t xml:space="preserve">quantitatively scaling up </w:t>
      </w:r>
      <w:r w:rsidR="004D797A">
        <w:rPr>
          <w:rFonts w:eastAsia="Times New Roman"/>
        </w:rPr>
        <w:t>the</w:t>
      </w:r>
      <w:r w:rsidR="004D797A" w:rsidRPr="00597BBD">
        <w:rPr>
          <w:rFonts w:eastAsia="Times New Roman"/>
        </w:rPr>
        <w:t xml:space="preserve"> </w:t>
      </w:r>
      <w:r w:rsidR="00F363CE" w:rsidRPr="00597BBD">
        <w:rPr>
          <w:rFonts w:eastAsia="Times New Roman"/>
        </w:rPr>
        <w:t xml:space="preserve">finding, the point estimate serves as a meaningful ‘validation’ point for the top-down estimates put forward in recent studies. </w:t>
      </w:r>
      <w:r w:rsidR="00DA343B" w:rsidRPr="00597BBD">
        <w:rPr>
          <w:rFonts w:eastAsia="Times New Roman"/>
        </w:rPr>
        <w:t xml:space="preserve">Considered in light of the challenges highlighted elsewhere in this report, it is </w:t>
      </w:r>
      <w:r w:rsidR="00DD2FAB">
        <w:t>entirely conceivable</w:t>
      </w:r>
      <w:r w:rsidR="00DD2FAB" w:rsidRPr="00597BBD">
        <w:t xml:space="preserve"> </w:t>
      </w:r>
      <w:r w:rsidR="00DA343B" w:rsidRPr="00597BBD">
        <w:rPr>
          <w:rFonts w:eastAsia="Times New Roman"/>
        </w:rPr>
        <w:t>that the true value of non-compliance could be</w:t>
      </w:r>
      <w:r w:rsidR="00381AFE">
        <w:rPr>
          <w:rFonts w:eastAsia="Times New Roman"/>
        </w:rPr>
        <w:t xml:space="preserve"> multiples</w:t>
      </w:r>
      <w:r w:rsidR="00DA343B" w:rsidRPr="00597BBD">
        <w:rPr>
          <w:rFonts w:eastAsia="Times New Roman"/>
        </w:rPr>
        <w:t xml:space="preserve"> higher than the bottom end figure of $582 million. </w:t>
      </w:r>
    </w:p>
    <w:p w14:paraId="5B98AFCD" w14:textId="027E1D96" w:rsidR="00F02F15" w:rsidRPr="00597BBD" w:rsidRDefault="00F02F15" w:rsidP="004A77D7">
      <w:pPr>
        <w:spacing w:before="100" w:beforeAutospacing="1" w:after="100" w:afterAutospacing="1"/>
        <w:rPr>
          <w:rFonts w:eastAsia="Times New Roman"/>
        </w:rPr>
      </w:pPr>
      <w:r w:rsidRPr="00597BBD">
        <w:rPr>
          <w:rFonts w:eastAsia="Times New Roman"/>
        </w:rPr>
        <w:t>Together, this analysis highlights three issues</w:t>
      </w:r>
      <w:r w:rsidR="001C4849">
        <w:rPr>
          <w:rFonts w:eastAsia="Times New Roman"/>
        </w:rPr>
        <w:t>:</w:t>
      </w:r>
    </w:p>
    <w:p w14:paraId="53E72C12" w14:textId="0D8994F8" w:rsidR="00D76775" w:rsidRDefault="00F02F15" w:rsidP="00DC7291">
      <w:pPr>
        <w:pStyle w:val="ListNumber"/>
        <w:numPr>
          <w:ilvl w:val="0"/>
          <w:numId w:val="21"/>
        </w:numPr>
      </w:pPr>
      <w:r w:rsidRPr="00597BBD">
        <w:lastRenderedPageBreak/>
        <w:t xml:space="preserve">First, even without changing practices around systematic monitoring there are opportunities for the </w:t>
      </w:r>
      <w:r w:rsidR="009931E5">
        <w:t>department</w:t>
      </w:r>
      <w:r w:rsidRPr="00597BBD">
        <w:t xml:space="preserve"> to identify a larger volume of risks per annum than it currently does. </w:t>
      </w:r>
      <w:r w:rsidR="00DB62BB">
        <w:t>My</w:t>
      </w:r>
      <w:r w:rsidRPr="00597BBD">
        <w:t xml:space="preserve"> estimate - based on multiple years of </w:t>
      </w:r>
      <w:r w:rsidR="009931E5">
        <w:t>department</w:t>
      </w:r>
      <w:r w:rsidRPr="00597BBD">
        <w:t>al analysis alone - is close to 50</w:t>
      </w:r>
      <w:r w:rsidR="009931E5">
        <w:t xml:space="preserve">% </w:t>
      </w:r>
      <w:r w:rsidRPr="00597BBD">
        <w:t>higher than what is identified in a single year. The analysis comprises independent risks which could reasonably be assessed together within a single year</w:t>
      </w:r>
      <w:r w:rsidR="004707F1">
        <w:t xml:space="preserve"> – let alone the volume that could be assessed if the capacity constraints</w:t>
      </w:r>
      <w:r w:rsidR="00191FBA">
        <w:t>,</w:t>
      </w:r>
      <w:r w:rsidR="004707F1">
        <w:t xml:space="preserve"> which see only 19</w:t>
      </w:r>
      <w:r w:rsidR="009931E5">
        <w:t xml:space="preserve">% </w:t>
      </w:r>
      <w:r w:rsidR="004707F1">
        <w:t>of identified risks progressed</w:t>
      </w:r>
      <w:r w:rsidR="00415F1D">
        <w:t xml:space="preserve"> to further analysis</w:t>
      </w:r>
      <w:r w:rsidR="00191FBA">
        <w:t>,</w:t>
      </w:r>
      <w:r w:rsidR="004707F1">
        <w:t xml:space="preserve"> were reviewed.</w:t>
      </w:r>
    </w:p>
    <w:p w14:paraId="236C0255" w14:textId="7BD2053E" w:rsidR="00F2604B" w:rsidRPr="00597BBD" w:rsidRDefault="00F02F15" w:rsidP="004A77D7">
      <w:pPr>
        <w:pStyle w:val="ListNumber"/>
      </w:pPr>
      <w:r w:rsidRPr="00597BBD">
        <w:t xml:space="preserve">Second, the analysis which the </w:t>
      </w:r>
      <w:r w:rsidR="009931E5">
        <w:t>department</w:t>
      </w:r>
      <w:r w:rsidRPr="00597BBD">
        <w:t xml:space="preserve"> conducts is constrained by its selection process and then again by its sampling - which is largely limited to matters brought to the attention of the </w:t>
      </w:r>
      <w:r w:rsidR="009931E5">
        <w:t>department</w:t>
      </w:r>
      <w:r w:rsidRPr="00597BBD">
        <w:t xml:space="preserve">. These gaps imply </w:t>
      </w:r>
      <w:r w:rsidR="004D797A">
        <w:t>my</w:t>
      </w:r>
      <w:r w:rsidR="004D797A" w:rsidRPr="00597BBD">
        <w:t xml:space="preserve"> </w:t>
      </w:r>
      <w:r w:rsidR="00191FBA" w:rsidRPr="00597BBD">
        <w:t>bottom-up</w:t>
      </w:r>
      <w:r w:rsidRPr="00597BBD">
        <w:t xml:space="preserve"> estimate can and </w:t>
      </w:r>
      <w:r w:rsidRPr="007E446B">
        <w:rPr>
          <w:i/>
        </w:rPr>
        <w:t>should</w:t>
      </w:r>
      <w:r w:rsidRPr="00597BBD">
        <w:t xml:space="preserve"> be scaled up. Estimates put forward in previous studies which are </w:t>
      </w:r>
      <w:r w:rsidR="0053513C">
        <w:t>multiple</w:t>
      </w:r>
      <w:r w:rsidR="00E92F3E">
        <w:t xml:space="preserve"> times</w:t>
      </w:r>
      <w:r w:rsidRPr="00597BBD">
        <w:t xml:space="preserve"> higher are </w:t>
      </w:r>
      <w:r w:rsidR="00DD2FAB">
        <w:t>entirely conceivable</w:t>
      </w:r>
      <w:r w:rsidRPr="00597BBD">
        <w:t xml:space="preserve"> when considered in light of the challenges highlighted in other parts of this paper.</w:t>
      </w:r>
    </w:p>
    <w:p w14:paraId="3292F12C" w14:textId="47053F13" w:rsidR="008D79CD" w:rsidRPr="00DE4C23" w:rsidRDefault="00F02F15" w:rsidP="007B5522">
      <w:pPr>
        <w:pStyle w:val="ListNumber"/>
      </w:pPr>
      <w:r w:rsidRPr="00597BBD">
        <w:t xml:space="preserve">Third, while there are challenges </w:t>
      </w:r>
      <w:r w:rsidR="00191FBA">
        <w:t xml:space="preserve">with </w:t>
      </w:r>
      <w:r w:rsidRPr="00597BBD">
        <w:t>Dr Faux’</w:t>
      </w:r>
      <w:r w:rsidR="00DF551A">
        <w:t>s</w:t>
      </w:r>
      <w:r w:rsidRPr="00597BBD">
        <w:t xml:space="preserve"> methodology, it does present as one of the only attempts to build up a ‘bottom</w:t>
      </w:r>
      <w:r w:rsidR="007813CA" w:rsidRPr="00597BBD">
        <w:t>-</w:t>
      </w:r>
      <w:r w:rsidRPr="00597BBD">
        <w:t xml:space="preserve">up’ measure of non-compliance through a </w:t>
      </w:r>
      <w:r w:rsidR="00191FBA">
        <w:t xml:space="preserve">– </w:t>
      </w:r>
      <w:r w:rsidRPr="00597BBD">
        <w:t xml:space="preserve">highly limited </w:t>
      </w:r>
      <w:r w:rsidR="00191FBA">
        <w:t>–</w:t>
      </w:r>
      <w:r w:rsidRPr="00597BBD">
        <w:t xml:space="preserve"> sample of real billing data. </w:t>
      </w:r>
      <w:r w:rsidR="00F30329" w:rsidRPr="00597BBD">
        <w:t xml:space="preserve">In the estimate I put forward in this </w:t>
      </w:r>
      <w:r w:rsidR="008B4703">
        <w:t>report</w:t>
      </w:r>
      <w:r w:rsidR="00F30329" w:rsidRPr="00597BBD">
        <w:t xml:space="preserve">, </w:t>
      </w:r>
      <w:r w:rsidR="00A12AD6" w:rsidRPr="00597BBD">
        <w:t>I too have sought to use available data to build a ‘</w:t>
      </w:r>
      <w:r w:rsidR="001D5045" w:rsidRPr="00597BBD">
        <w:t>bottom-up</w:t>
      </w:r>
      <w:r w:rsidR="00A12AD6" w:rsidRPr="00597BBD">
        <w:t xml:space="preserve"> estimate’. The direction for analysis is to </w:t>
      </w:r>
      <w:r w:rsidR="00F2769B" w:rsidRPr="00597BBD">
        <w:t>pur</w:t>
      </w:r>
      <w:r w:rsidR="00F2769B">
        <w:t>sue</w:t>
      </w:r>
      <w:r w:rsidR="00A12AD6" w:rsidRPr="00597BBD">
        <w:t xml:space="preserve"> a </w:t>
      </w:r>
      <w:r w:rsidR="0093547F" w:rsidRPr="00597BBD">
        <w:t>‘gold standard’ measure of non-</w:t>
      </w:r>
      <w:r w:rsidR="001D5045" w:rsidRPr="00597BBD">
        <w:t xml:space="preserve">compliance. This would </w:t>
      </w:r>
      <w:r w:rsidR="000779DF" w:rsidRPr="00597BBD">
        <w:t xml:space="preserve">involve a robust sampling across activity to identify risks and then a more complete analysis of all identified risks. </w:t>
      </w:r>
    </w:p>
    <w:p w14:paraId="3C6CC7DD" w14:textId="77777777" w:rsidR="00BF5CDB" w:rsidRDefault="00BF5CDB" w:rsidP="00BF5CDB">
      <w:pPr>
        <w:pStyle w:val="Recommendationtextbox"/>
        <w:shd w:val="clear" w:color="auto" w:fill="005587"/>
      </w:pPr>
      <w:r>
        <w:t xml:space="preserve">Finding 10: </w:t>
      </w:r>
      <w:r w:rsidRPr="00376D61">
        <w:t>Calculation of the true quantum of non-compliance is</w:t>
      </w:r>
      <w:r>
        <w:t xml:space="preserve"> limited</w:t>
      </w:r>
      <w:r w:rsidRPr="00376D61">
        <w:t xml:space="preserve"> by data availability</w:t>
      </w:r>
      <w:r>
        <w:t>,</w:t>
      </w:r>
      <w:r w:rsidRPr="00376D61">
        <w:t xml:space="preserve"> linkage challenges then muddied by differences in definition</w:t>
      </w:r>
      <w:r>
        <w:t>s</w:t>
      </w:r>
      <w:r w:rsidRPr="00376D61">
        <w:t xml:space="preserve">. </w:t>
      </w:r>
      <w:r>
        <w:t>Previous e</w:t>
      </w:r>
      <w:r w:rsidRPr="00376D61">
        <w:t>stimates range from $3</w:t>
      </w:r>
      <w:r>
        <w:t xml:space="preserve">66 </w:t>
      </w:r>
      <w:r w:rsidRPr="00376D61">
        <w:t>million to $</w:t>
      </w:r>
      <w:r>
        <w:t xml:space="preserve">10 </w:t>
      </w:r>
      <w:r w:rsidRPr="00376D61">
        <w:t xml:space="preserve">billion. Even simple extrapolation of risks currently identified by </w:t>
      </w:r>
      <w:proofErr w:type="spellStart"/>
      <w:r>
        <w:t>DoHAC</w:t>
      </w:r>
      <w:proofErr w:type="spellEnd"/>
      <w:r w:rsidRPr="00376D61">
        <w:t xml:space="preserve"> suggests a bottom end figure of $</w:t>
      </w:r>
      <w:r>
        <w:t xml:space="preserve">582 </w:t>
      </w:r>
      <w:r w:rsidRPr="00376D61">
        <w:t>million. Reasoning through the data constraints which inform this figure</w:t>
      </w:r>
      <w:r>
        <w:t xml:space="preserve">, it is reasonable to consider that estimates put forward in previous ‘top down’ studies that are two to three times this value are entirely conceivable. </w:t>
      </w:r>
    </w:p>
    <w:p w14:paraId="42947841" w14:textId="77777777" w:rsidR="001617F2" w:rsidRDefault="001617F2">
      <w:pPr>
        <w:spacing w:after="0"/>
        <w:rPr>
          <w:highlight w:val="yellow"/>
        </w:rPr>
      </w:pPr>
      <w:r>
        <w:rPr>
          <w:highlight w:val="yellow"/>
        </w:rPr>
        <w:br w:type="page"/>
      </w:r>
    </w:p>
    <w:p w14:paraId="6BA49792" w14:textId="5CD328D4" w:rsidR="006A353B" w:rsidRDefault="00EB6320" w:rsidP="00940D39">
      <w:pPr>
        <w:pStyle w:val="Heading1"/>
      </w:pPr>
      <w:bookmarkStart w:id="199" w:name="_Toc131418565"/>
      <w:r>
        <w:lastRenderedPageBreak/>
        <w:t>The way forward</w:t>
      </w:r>
      <w:bookmarkEnd w:id="199"/>
    </w:p>
    <w:p w14:paraId="3BBBDA72" w14:textId="0DB48F01" w:rsidR="0001350E" w:rsidRPr="0001350E" w:rsidRDefault="002B3B01" w:rsidP="004A77D7">
      <w:r>
        <w:t xml:space="preserve">The findings of this Review </w:t>
      </w:r>
      <w:r w:rsidR="007E4553">
        <w:t xml:space="preserve">have provided the basis of recommended solutions I see that will </w:t>
      </w:r>
      <w:r w:rsidR="00284EFE">
        <w:t>further strengthen the foundation of Medicare and ensure it remains fit for purpose and meet</w:t>
      </w:r>
      <w:r w:rsidR="00697A59">
        <w:t>s</w:t>
      </w:r>
      <w:r w:rsidR="00284EFE">
        <w:t xml:space="preserve"> the needs of the Australian population into the future.</w:t>
      </w:r>
      <w:r w:rsidR="00FA5C60">
        <w:t xml:space="preserve"> In forming these recommended </w:t>
      </w:r>
      <w:r w:rsidR="00182F88">
        <w:t>solutions,</w:t>
      </w:r>
      <w:r w:rsidR="00FA5C60">
        <w:t xml:space="preserve"> I would like to acknowledge the </w:t>
      </w:r>
      <w:r w:rsidR="003B68F9">
        <w:t>improvement and enhancements</w:t>
      </w:r>
      <w:r w:rsidR="00FA5C60">
        <w:t xml:space="preserve"> already </w:t>
      </w:r>
      <w:r w:rsidR="003B68F9">
        <w:t xml:space="preserve">being implemented by </w:t>
      </w:r>
      <w:proofErr w:type="spellStart"/>
      <w:r w:rsidR="003B68F9">
        <w:t>DoHAC</w:t>
      </w:r>
      <w:proofErr w:type="spellEnd"/>
      <w:r w:rsidR="003B68F9">
        <w:t xml:space="preserve"> and Services Australia in collaboration with </w:t>
      </w:r>
      <w:r w:rsidR="008C4192">
        <w:t>sector representatives and consumers.</w:t>
      </w:r>
    </w:p>
    <w:p w14:paraId="3B7E7C03" w14:textId="0A196122" w:rsidR="003824F9" w:rsidRDefault="000E4256" w:rsidP="00940D39">
      <w:pPr>
        <w:pStyle w:val="Heading2"/>
      </w:pPr>
      <w:bookmarkStart w:id="200" w:name="_Toc128905538"/>
      <w:bookmarkStart w:id="201" w:name="_Toc128907038"/>
      <w:bookmarkStart w:id="202" w:name="_Toc128909148"/>
      <w:bookmarkStart w:id="203" w:name="_Toc128059886"/>
      <w:bookmarkStart w:id="204" w:name="_Toc126831464"/>
      <w:bookmarkStart w:id="205" w:name="_Toc126831496"/>
      <w:r>
        <w:t xml:space="preserve">Establishing and operating </w:t>
      </w:r>
      <w:r w:rsidR="00D72D4B">
        <w:t>Three Lines of Defence</w:t>
      </w:r>
      <w:bookmarkEnd w:id="200"/>
      <w:bookmarkEnd w:id="201"/>
      <w:bookmarkEnd w:id="202"/>
    </w:p>
    <w:p w14:paraId="19B467A7" w14:textId="54DC755C" w:rsidR="00D72D4B" w:rsidRDefault="00136DD4" w:rsidP="003824F9">
      <w:r>
        <w:t xml:space="preserve">In line with the findings of this </w:t>
      </w:r>
      <w:r w:rsidR="00F35B7D">
        <w:t>R</w:t>
      </w:r>
      <w:r>
        <w:t xml:space="preserve">eview there is the fundamental need </w:t>
      </w:r>
      <w:r w:rsidR="00EE555F">
        <w:t xml:space="preserve">for </w:t>
      </w:r>
      <w:r w:rsidR="00F013F6">
        <w:t>more structured</w:t>
      </w:r>
      <w:r w:rsidR="00F77553">
        <w:t xml:space="preserve"> and proactive integrity and compliance monitoring of Medicare</w:t>
      </w:r>
      <w:r w:rsidR="006B41A9">
        <w:t xml:space="preserve"> and MBS payments.</w:t>
      </w:r>
      <w:r w:rsidR="00E678EA">
        <w:t xml:space="preserve"> To achieve </w:t>
      </w:r>
      <w:r w:rsidR="00182F88">
        <w:t>this,</w:t>
      </w:r>
      <w:r w:rsidR="00E678EA">
        <w:t xml:space="preserve"> I propose that a </w:t>
      </w:r>
      <w:r w:rsidR="00A11EBE">
        <w:t>‘Three Lines of Defence’ structure and model be implemented.</w:t>
      </w:r>
    </w:p>
    <w:p w14:paraId="5A18A9EC" w14:textId="4BB651A7" w:rsidR="00D77ABC" w:rsidRDefault="00D77ABC" w:rsidP="003824F9">
      <w:r>
        <w:t xml:space="preserve">Each layer of the </w:t>
      </w:r>
      <w:r w:rsidR="00AC4B30">
        <w:t>defence model</w:t>
      </w:r>
      <w:r w:rsidR="00651AB8">
        <w:t xml:space="preserve"> would deliver </w:t>
      </w:r>
      <w:r w:rsidR="00961E21">
        <w:t xml:space="preserve">defined strategies </w:t>
      </w:r>
      <w:r w:rsidR="00A51ACA">
        <w:t>to optimise the oversight and delivery of Medicare</w:t>
      </w:r>
      <w:r w:rsidR="007C0E0D">
        <w:t>, at both a macro and micro level</w:t>
      </w:r>
      <w:r w:rsidR="00AD1216">
        <w:t xml:space="preserve"> while building upon and c</w:t>
      </w:r>
      <w:r w:rsidR="009D3F66">
        <w:t xml:space="preserve">omplementing </w:t>
      </w:r>
      <w:r w:rsidR="002B13F5">
        <w:t>each other</w:t>
      </w:r>
      <w:r w:rsidR="007C0E0D">
        <w:t xml:space="preserve">. This would put in place </w:t>
      </w:r>
      <w:r w:rsidR="003A5905">
        <w:t xml:space="preserve">a proactive and </w:t>
      </w:r>
      <w:r w:rsidR="00C31E53">
        <w:t xml:space="preserve">predictive </w:t>
      </w:r>
      <w:r w:rsidR="001A73E1">
        <w:t>posture</w:t>
      </w:r>
      <w:r w:rsidR="00506E7D">
        <w:t xml:space="preserve"> for compliance activities, and importantly enhance the transparency </w:t>
      </w:r>
      <w:r w:rsidR="00C810D1">
        <w:t>while</w:t>
      </w:r>
      <w:r w:rsidR="00576BF8">
        <w:t xml:space="preserve"> simultaneously</w:t>
      </w:r>
      <w:r w:rsidR="00C810D1">
        <w:t xml:space="preserve"> reducing complexity in the system which we heard </w:t>
      </w:r>
      <w:r w:rsidR="00676D95">
        <w:t xml:space="preserve">as a common theme </w:t>
      </w:r>
      <w:r w:rsidR="00C810D1">
        <w:t xml:space="preserve">through the </w:t>
      </w:r>
      <w:r w:rsidR="00A50492">
        <w:t xml:space="preserve">feedback from </w:t>
      </w:r>
      <w:r w:rsidR="005120DA">
        <w:t>the sector.</w:t>
      </w:r>
      <w:r w:rsidR="000B22A6">
        <w:t xml:space="preserve"> The approach I have applied is one that looks at the system as a whole, rather than focusing on individual </w:t>
      </w:r>
      <w:r w:rsidR="00875BD8">
        <w:t>challenges, because</w:t>
      </w:r>
      <w:r w:rsidR="00915837">
        <w:t>,</w:t>
      </w:r>
      <w:r w:rsidR="00875BD8">
        <w:t xml:space="preserve"> in my view</w:t>
      </w:r>
      <w:r w:rsidR="00915837">
        <w:t>,</w:t>
      </w:r>
      <w:r w:rsidR="00875BD8">
        <w:t xml:space="preserve"> it is a whole of system coordinated tr</w:t>
      </w:r>
      <w:r w:rsidR="00283352">
        <w:t xml:space="preserve">ansformation that is required to </w:t>
      </w:r>
      <w:r w:rsidR="00226060">
        <w:t>modernise</w:t>
      </w:r>
      <w:r w:rsidR="004444D2">
        <w:t xml:space="preserve"> and </w:t>
      </w:r>
      <w:r w:rsidR="00772202">
        <w:t xml:space="preserve">future proof </w:t>
      </w:r>
      <w:r w:rsidR="002630D1">
        <w:t>Medicare with appropriate levels of control and governance in place</w:t>
      </w:r>
      <w:r w:rsidR="00AC4E69">
        <w:t>.</w:t>
      </w:r>
    </w:p>
    <w:p w14:paraId="7982AAC4" w14:textId="5925F94A" w:rsidR="002B13F5" w:rsidRPr="00C82CCB" w:rsidRDefault="00182F88" w:rsidP="003824F9">
      <w:r w:rsidRPr="00C82CCB">
        <w:fldChar w:fldCharType="begin"/>
      </w:r>
      <w:r w:rsidRPr="00C82CCB">
        <w:instrText xml:space="preserve"> REF _Ref128904327 \r \h </w:instrText>
      </w:r>
      <w:r w:rsidR="00F15B9E" w:rsidRPr="00E26A4E">
        <w:instrText xml:space="preserve"> \* MERGEFORMAT </w:instrText>
      </w:r>
      <w:r w:rsidRPr="00C82CCB">
        <w:fldChar w:fldCharType="separate"/>
      </w:r>
      <w:r w:rsidR="005A1647">
        <w:t>Figure 3.1</w:t>
      </w:r>
      <w:r w:rsidRPr="00C82CCB">
        <w:fldChar w:fldCharType="end"/>
      </w:r>
      <w:r w:rsidR="002B13F5" w:rsidRPr="00C82CCB">
        <w:t xml:space="preserve"> provides an overview of </w:t>
      </w:r>
      <w:r w:rsidR="006C4502" w:rsidRPr="00C82CCB">
        <w:t xml:space="preserve">how the three lines of defence will </w:t>
      </w:r>
      <w:r w:rsidR="00103270" w:rsidRPr="00C82CCB">
        <w:t xml:space="preserve">operate </w:t>
      </w:r>
      <w:r w:rsidR="007159FF" w:rsidRPr="00C82CCB">
        <w:t>and enable continuous and full monitoring of all MBS claim transactions.</w:t>
      </w:r>
    </w:p>
    <w:p w14:paraId="1AED647C" w14:textId="39A18522" w:rsidR="00527425" w:rsidRPr="00C82CCB" w:rsidRDefault="00527425" w:rsidP="004A77D7">
      <w:pPr>
        <w:pStyle w:val="CaptionFigure"/>
      </w:pPr>
      <w:bookmarkStart w:id="206" w:name="_Ref128904327"/>
      <w:bookmarkStart w:id="207" w:name="_Toc131418630"/>
      <w:r w:rsidRPr="00C82CCB">
        <w:t>: Overview of three lines of defence model for Medicare</w:t>
      </w:r>
      <w:bookmarkEnd w:id="206"/>
      <w:bookmarkEnd w:id="207"/>
    </w:p>
    <w:p w14:paraId="60B1277F" w14:textId="047D2CA4" w:rsidR="007159FF" w:rsidRPr="00C82CCB" w:rsidRDefault="00A776D5" w:rsidP="003824F9">
      <w:r w:rsidRPr="00C82CCB">
        <w:rPr>
          <w:noProof/>
        </w:rPr>
        <w:drawing>
          <wp:inline distT="0" distB="0" distL="0" distR="0" wp14:anchorId="38DFA29F" wp14:editId="1189518F">
            <wp:extent cx="6635750" cy="2942738"/>
            <wp:effectExtent l="0" t="0" r="0" b="0"/>
            <wp:docPr id="28" name="Picture 28" descr="Figure 3.1 is a diagram showing the three lines of defence model. The first line focuses on registration, clearer rules and claiming channels. The second line focuses on education, compliance operations, and engagement. The third layer focuses on continuous improvement and 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3.1 is a diagram showing the three lines of defence model. The first line focuses on registration, clearer rules and claiming channels. The second line focuses on education, compliance operations, and engagement. The third layer focuses on continuous improvement and PS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6067" cy="2956183"/>
                    </a:xfrm>
                    <a:prstGeom prst="rect">
                      <a:avLst/>
                    </a:prstGeom>
                    <a:noFill/>
                  </pic:spPr>
                </pic:pic>
              </a:graphicData>
            </a:graphic>
          </wp:inline>
        </w:drawing>
      </w:r>
    </w:p>
    <w:p w14:paraId="1D5C3737" w14:textId="704A3074" w:rsidR="005344C5" w:rsidRDefault="005344C5" w:rsidP="004A77D7">
      <w:pPr>
        <w:pStyle w:val="Caption"/>
      </w:pPr>
      <w:r w:rsidRPr="00C82CCB">
        <w:t>Source: Philip Review (2023)</w:t>
      </w:r>
    </w:p>
    <w:p w14:paraId="74A315D3" w14:textId="75A3889A" w:rsidR="00D100C2" w:rsidRDefault="00D100C2" w:rsidP="003824F9">
      <w:r>
        <w:t xml:space="preserve">Inherent within the three lines of defence are five </w:t>
      </w:r>
      <w:r w:rsidR="00760251">
        <w:t>focus areas and categories that I believe should be considered</w:t>
      </w:r>
      <w:r w:rsidR="000B744F">
        <w:t xml:space="preserve"> as </w:t>
      </w:r>
      <w:r w:rsidR="007468F7">
        <w:t xml:space="preserve">the basis for a broad transformation </w:t>
      </w:r>
      <w:r w:rsidR="00611F76">
        <w:t>of Medicare.</w:t>
      </w:r>
      <w:r w:rsidR="00B657CE">
        <w:t xml:space="preserve"> These </w:t>
      </w:r>
      <w:r w:rsidR="00793140">
        <w:t xml:space="preserve">span the enabling legislative environment and instruments, governance of the Scheme, the operating model, the technology and infrastructure, and the </w:t>
      </w:r>
      <w:r w:rsidR="009F0278">
        <w:t xml:space="preserve">analytics and continuous monitoring of transactions. </w:t>
      </w:r>
      <w:r w:rsidR="00B657CE">
        <w:t>Each of these areas is explored in further detail over subsequent sections.</w:t>
      </w:r>
    </w:p>
    <w:p w14:paraId="293C326B" w14:textId="6931CE12" w:rsidR="00061D33" w:rsidRDefault="00061D33" w:rsidP="00DC7291">
      <w:pPr>
        <w:pStyle w:val="Heading3"/>
        <w:numPr>
          <w:ilvl w:val="2"/>
          <w:numId w:val="23"/>
        </w:numPr>
      </w:pPr>
      <w:bookmarkStart w:id="208" w:name="_Toc128907039"/>
      <w:bookmarkStart w:id="209" w:name="_Toc128909149"/>
      <w:bookmarkStart w:id="210" w:name="_Toc128669083"/>
      <w:bookmarkStart w:id="211" w:name="_Toc128905539"/>
      <w:bookmarkStart w:id="212" w:name="_Toc128907040"/>
      <w:bookmarkStart w:id="213" w:name="_Toc128909150"/>
      <w:bookmarkEnd w:id="208"/>
      <w:bookmarkEnd w:id="209"/>
      <w:r>
        <w:t xml:space="preserve">Summary of </w:t>
      </w:r>
      <w:r w:rsidR="00FF79D5">
        <w:t>r</w:t>
      </w:r>
      <w:r>
        <w:t>ecommendations</w:t>
      </w:r>
      <w:bookmarkEnd w:id="210"/>
      <w:bookmarkEnd w:id="211"/>
      <w:bookmarkEnd w:id="212"/>
      <w:bookmarkEnd w:id="213"/>
    </w:p>
    <w:p w14:paraId="23CB0A3C" w14:textId="3F1C4E01" w:rsidR="00FF3D09" w:rsidRDefault="00021736" w:rsidP="003824F9">
      <w:r>
        <w:t>The</w:t>
      </w:r>
      <w:r w:rsidR="0002003A">
        <w:t xml:space="preserve"> recommendations </w:t>
      </w:r>
      <w:r w:rsidR="0059012D">
        <w:t xml:space="preserve">are </w:t>
      </w:r>
      <w:r w:rsidR="0002003A">
        <w:t xml:space="preserve">logically </w:t>
      </w:r>
      <w:r w:rsidR="0059012D">
        <w:t xml:space="preserve">grouped </w:t>
      </w:r>
      <w:r w:rsidR="0002003A">
        <w:t xml:space="preserve">into </w:t>
      </w:r>
      <w:r w:rsidR="0059012D">
        <w:t>five</w:t>
      </w:r>
      <w:r w:rsidR="0002003A">
        <w:t xml:space="preserve"> areas of focus, and operationally against </w:t>
      </w:r>
      <w:r w:rsidR="0059012D">
        <w:t>three</w:t>
      </w:r>
      <w:r w:rsidR="0002003A">
        <w:t xml:space="preserve"> broad areas of the Medicare process – claims, payment, and post</w:t>
      </w:r>
      <w:r w:rsidR="004A1281">
        <w:t>-</w:t>
      </w:r>
      <w:r w:rsidR="0002003A">
        <w:t xml:space="preserve">payment. </w:t>
      </w:r>
      <w:r w:rsidR="00061D33">
        <w:t>R</w:t>
      </w:r>
      <w:r w:rsidR="00982826">
        <w:t xml:space="preserve">ecommendations have been summarised </w:t>
      </w:r>
      <w:r w:rsidR="0011676A">
        <w:t xml:space="preserve">in </w:t>
      </w:r>
      <w:r w:rsidR="00643A77">
        <w:fldChar w:fldCharType="begin"/>
      </w:r>
      <w:r w:rsidR="00643A77">
        <w:instrText xml:space="preserve"> REF _Ref128664613 \r \h </w:instrText>
      </w:r>
      <w:r w:rsidR="00643A77">
        <w:fldChar w:fldCharType="separate"/>
      </w:r>
      <w:r w:rsidR="005A1647">
        <w:t>Table 3.1</w:t>
      </w:r>
      <w:r w:rsidR="00643A77">
        <w:fldChar w:fldCharType="end"/>
      </w:r>
      <w:r w:rsidR="00982826">
        <w:t xml:space="preserve">, with further details </w:t>
      </w:r>
      <w:r w:rsidR="00FD7774">
        <w:t xml:space="preserve">included in </w:t>
      </w:r>
      <w:r w:rsidR="00643A77">
        <w:t>S</w:t>
      </w:r>
      <w:r w:rsidR="00FD7774">
        <w:t>ection 3</w:t>
      </w:r>
      <w:r w:rsidR="002873CA">
        <w:t>.2</w:t>
      </w:r>
      <w:r w:rsidR="00FD7774">
        <w:t xml:space="preserve">. </w:t>
      </w:r>
    </w:p>
    <w:p w14:paraId="395A53AD" w14:textId="744452AC" w:rsidR="00F8138A" w:rsidRDefault="00582359" w:rsidP="00940D39">
      <w:pPr>
        <w:pStyle w:val="CaptionTable"/>
        <w:ind w:left="0"/>
      </w:pPr>
      <w:bookmarkStart w:id="214" w:name="_Toc131418581"/>
      <w:bookmarkStart w:id="215" w:name="_Ref128664613"/>
      <w:r>
        <w:lastRenderedPageBreak/>
        <w:t xml:space="preserve">: </w:t>
      </w:r>
      <w:r w:rsidR="000D6EE4">
        <w:t xml:space="preserve">Summary of recommendations from </w:t>
      </w:r>
      <w:r w:rsidR="00351FF8">
        <w:t>the</w:t>
      </w:r>
      <w:r w:rsidR="000D6EE4">
        <w:t xml:space="preserve"> Review</w:t>
      </w:r>
      <w:bookmarkEnd w:id="214"/>
    </w:p>
    <w:bookmarkEnd w:id="215"/>
    <w:tbl>
      <w:tblPr>
        <w:tblStyle w:val="Deloittetable"/>
        <w:tblW w:w="5000" w:type="pct"/>
        <w:tblBorders>
          <w:top w:val="single" w:sz="24" w:space="0" w:color="005B89"/>
        </w:tblBorders>
        <w:tblLook w:val="04A0" w:firstRow="1" w:lastRow="0" w:firstColumn="1" w:lastColumn="0" w:noHBand="0" w:noVBand="1"/>
      </w:tblPr>
      <w:tblGrid>
        <w:gridCol w:w="2430"/>
        <w:gridCol w:w="2596"/>
        <w:gridCol w:w="2577"/>
        <w:gridCol w:w="2863"/>
      </w:tblGrid>
      <w:tr w:rsidR="00DA29D4" w:rsidRPr="006B7FA4" w14:paraId="2E13B865" w14:textId="77777777" w:rsidTr="004A77D7">
        <w:trPr>
          <w:cnfStyle w:val="100000000000" w:firstRow="1" w:lastRow="0" w:firstColumn="0" w:lastColumn="0" w:oddVBand="0" w:evenVBand="0" w:oddHBand="0" w:evenHBand="0" w:firstRowFirstColumn="0" w:firstRowLastColumn="0" w:lastRowFirstColumn="0" w:lastRowLastColumn="0"/>
          <w:tblHeader/>
        </w:trPr>
        <w:tc>
          <w:tcPr>
            <w:tcW w:w="1161" w:type="pct"/>
          </w:tcPr>
          <w:p w14:paraId="4E52EE23" w14:textId="77777777" w:rsidR="00DA29D4" w:rsidRPr="007D0FDE" w:rsidRDefault="00DA29D4" w:rsidP="00405174">
            <w:pPr>
              <w:rPr>
                <w:szCs w:val="22"/>
              </w:rPr>
            </w:pPr>
          </w:p>
        </w:tc>
        <w:tc>
          <w:tcPr>
            <w:tcW w:w="1240" w:type="pct"/>
          </w:tcPr>
          <w:p w14:paraId="5E868436" w14:textId="2F2F69DB" w:rsidR="00DA29D4" w:rsidRPr="007D0FDE" w:rsidRDefault="00637335" w:rsidP="00405174">
            <w:pPr>
              <w:rPr>
                <w:szCs w:val="22"/>
              </w:rPr>
            </w:pPr>
            <w:r w:rsidRPr="007D0FDE">
              <w:rPr>
                <w:szCs w:val="22"/>
              </w:rPr>
              <w:t>Claims</w:t>
            </w:r>
          </w:p>
        </w:tc>
        <w:tc>
          <w:tcPr>
            <w:tcW w:w="1231" w:type="pct"/>
          </w:tcPr>
          <w:p w14:paraId="698B011A" w14:textId="734FCD27" w:rsidR="00DA29D4" w:rsidRPr="007D0FDE" w:rsidRDefault="00637335" w:rsidP="00405174">
            <w:pPr>
              <w:rPr>
                <w:szCs w:val="22"/>
              </w:rPr>
            </w:pPr>
            <w:r w:rsidRPr="007D0FDE">
              <w:rPr>
                <w:szCs w:val="22"/>
              </w:rPr>
              <w:t>Payment</w:t>
            </w:r>
          </w:p>
        </w:tc>
        <w:tc>
          <w:tcPr>
            <w:tcW w:w="1368" w:type="pct"/>
          </w:tcPr>
          <w:p w14:paraId="14B63B75" w14:textId="516B1CEA" w:rsidR="00DA29D4" w:rsidRPr="007D0FDE" w:rsidRDefault="00637335" w:rsidP="00405174">
            <w:pPr>
              <w:rPr>
                <w:szCs w:val="22"/>
              </w:rPr>
            </w:pPr>
            <w:r w:rsidRPr="007D0FDE">
              <w:rPr>
                <w:szCs w:val="22"/>
              </w:rPr>
              <w:t>Post</w:t>
            </w:r>
            <w:r w:rsidR="004A1281" w:rsidRPr="007D0FDE">
              <w:rPr>
                <w:szCs w:val="22"/>
              </w:rPr>
              <w:t>-p</w:t>
            </w:r>
            <w:r w:rsidRPr="007D0FDE">
              <w:rPr>
                <w:szCs w:val="22"/>
              </w:rPr>
              <w:t>ayment</w:t>
            </w:r>
          </w:p>
        </w:tc>
      </w:tr>
      <w:tr w:rsidR="00DA29D4" w:rsidRPr="006B7FA4" w14:paraId="083C5BA2" w14:textId="77777777" w:rsidTr="004A77D7">
        <w:tc>
          <w:tcPr>
            <w:tcW w:w="1161" w:type="pct"/>
          </w:tcPr>
          <w:p w14:paraId="4595B9B5" w14:textId="5228D7E1" w:rsidR="00DA29D4" w:rsidRPr="006B7FA4" w:rsidRDefault="00637335" w:rsidP="003824F9">
            <w:pPr>
              <w:rPr>
                <w:b/>
                <w:sz w:val="20"/>
                <w:szCs w:val="20"/>
              </w:rPr>
            </w:pPr>
            <w:r w:rsidRPr="006B7FA4">
              <w:rPr>
                <w:b/>
                <w:sz w:val="20"/>
                <w:szCs w:val="20"/>
              </w:rPr>
              <w:t>Legislation</w:t>
            </w:r>
            <w:r w:rsidR="00A710B7" w:rsidRPr="006B7FA4">
              <w:rPr>
                <w:b/>
                <w:sz w:val="20"/>
                <w:szCs w:val="20"/>
              </w:rPr>
              <w:t xml:space="preserve"> considerations</w:t>
            </w:r>
          </w:p>
        </w:tc>
        <w:tc>
          <w:tcPr>
            <w:tcW w:w="1240" w:type="pct"/>
          </w:tcPr>
          <w:p w14:paraId="5F646F59" w14:textId="1541198C" w:rsidR="00496ECF" w:rsidRPr="006B7FA4" w:rsidRDefault="00E3699A" w:rsidP="004D051F">
            <w:pPr>
              <w:pStyle w:val="Tablebullets"/>
              <w:framePr w:wrap="around"/>
              <w:rPr>
                <w:szCs w:val="20"/>
              </w:rPr>
            </w:pPr>
            <w:r w:rsidRPr="006B7FA4">
              <w:rPr>
                <w:szCs w:val="20"/>
              </w:rPr>
              <w:t xml:space="preserve">Support </w:t>
            </w:r>
            <w:r w:rsidR="00033730" w:rsidRPr="006B7FA4">
              <w:rPr>
                <w:szCs w:val="20"/>
              </w:rPr>
              <w:t>streamlining, control, and simplification of claims handling</w:t>
            </w:r>
            <w:r w:rsidR="0045059B" w:rsidRPr="006B7FA4">
              <w:rPr>
                <w:szCs w:val="20"/>
              </w:rPr>
              <w:t xml:space="preserve"> through changes in legislation wording and </w:t>
            </w:r>
            <w:r w:rsidR="009A6960" w:rsidRPr="006B7FA4">
              <w:rPr>
                <w:szCs w:val="20"/>
              </w:rPr>
              <w:t>enforcement of existing legislation</w:t>
            </w:r>
          </w:p>
          <w:p w14:paraId="1C022561" w14:textId="3D76BA71" w:rsidR="00DA29D4" w:rsidRPr="006B7FA4" w:rsidRDefault="000052B7" w:rsidP="004D051F">
            <w:pPr>
              <w:pStyle w:val="Tablebullets"/>
              <w:framePr w:wrap="around"/>
              <w:rPr>
                <w:szCs w:val="20"/>
              </w:rPr>
            </w:pPr>
            <w:r w:rsidRPr="006B7FA4">
              <w:rPr>
                <w:szCs w:val="20"/>
              </w:rPr>
              <w:t xml:space="preserve">Review </w:t>
            </w:r>
            <w:r w:rsidR="00835900" w:rsidRPr="006B7FA4">
              <w:rPr>
                <w:szCs w:val="20"/>
              </w:rPr>
              <w:t>criteria that</w:t>
            </w:r>
            <w:r w:rsidR="00783C60" w:rsidRPr="006B7FA4">
              <w:rPr>
                <w:szCs w:val="20"/>
              </w:rPr>
              <w:t xml:space="preserve"> disqualify certain patients from being able </w:t>
            </w:r>
            <w:r w:rsidRPr="006B7FA4">
              <w:rPr>
                <w:szCs w:val="20"/>
              </w:rPr>
              <w:t>to claim Medicare benefits</w:t>
            </w:r>
          </w:p>
        </w:tc>
        <w:tc>
          <w:tcPr>
            <w:tcW w:w="1231" w:type="pct"/>
          </w:tcPr>
          <w:p w14:paraId="1960BECD" w14:textId="7D7DCFD8" w:rsidR="00F266B7" w:rsidRPr="006B7FA4" w:rsidRDefault="001139AB" w:rsidP="004D051F">
            <w:pPr>
              <w:pStyle w:val="Tablebullets"/>
              <w:framePr w:wrap="around"/>
              <w:rPr>
                <w:szCs w:val="20"/>
              </w:rPr>
            </w:pPr>
            <w:r w:rsidRPr="006B7FA4">
              <w:rPr>
                <w:szCs w:val="20"/>
              </w:rPr>
              <w:t xml:space="preserve">Enable </w:t>
            </w:r>
            <w:r w:rsidR="006411E6" w:rsidRPr="006B7FA4">
              <w:rPr>
                <w:szCs w:val="20"/>
              </w:rPr>
              <w:t xml:space="preserve">expanded and appropriate data sharing and linkage for the purposes of </w:t>
            </w:r>
            <w:r w:rsidR="00F01A79" w:rsidRPr="006B7FA4">
              <w:rPr>
                <w:szCs w:val="20"/>
              </w:rPr>
              <w:t>integrity and compliance activities</w:t>
            </w:r>
            <w:r w:rsidR="008446C5" w:rsidRPr="006B7FA4">
              <w:rPr>
                <w:szCs w:val="20"/>
              </w:rPr>
              <w:t xml:space="preserve"> (</w:t>
            </w:r>
            <w:proofErr w:type="gramStart"/>
            <w:r w:rsidR="00904BFD" w:rsidRPr="006B7FA4">
              <w:rPr>
                <w:szCs w:val="20"/>
              </w:rPr>
              <w:t>e.g.</w:t>
            </w:r>
            <w:proofErr w:type="gramEnd"/>
            <w:r w:rsidR="008446C5" w:rsidRPr="006B7FA4">
              <w:rPr>
                <w:szCs w:val="20"/>
              </w:rPr>
              <w:t xml:space="preserve"> </w:t>
            </w:r>
            <w:r w:rsidR="009C3B93" w:rsidRPr="006B7FA4">
              <w:rPr>
                <w:szCs w:val="20"/>
              </w:rPr>
              <w:t xml:space="preserve">tighter links with the Hospital </w:t>
            </w:r>
            <w:proofErr w:type="spellStart"/>
            <w:r w:rsidR="009C3B93" w:rsidRPr="006B7FA4">
              <w:rPr>
                <w:szCs w:val="20"/>
              </w:rPr>
              <w:t>Casemix</w:t>
            </w:r>
            <w:proofErr w:type="spellEnd"/>
            <w:r w:rsidR="009C3B93" w:rsidRPr="006B7FA4">
              <w:rPr>
                <w:szCs w:val="20"/>
              </w:rPr>
              <w:t xml:space="preserve"> Protocol and </w:t>
            </w:r>
            <w:r w:rsidR="009B3592" w:rsidRPr="006B7FA4">
              <w:rPr>
                <w:szCs w:val="20"/>
              </w:rPr>
              <w:t>Private Hospital Data Bureau</w:t>
            </w:r>
            <w:r w:rsidR="00964C8E" w:rsidRPr="006B7FA4">
              <w:rPr>
                <w:szCs w:val="20"/>
              </w:rPr>
              <w:t xml:space="preserve"> datasets)</w:t>
            </w:r>
          </w:p>
        </w:tc>
        <w:tc>
          <w:tcPr>
            <w:tcW w:w="1368" w:type="pct"/>
          </w:tcPr>
          <w:p w14:paraId="4878C7A6" w14:textId="21EB134A" w:rsidR="00A150C4" w:rsidRPr="006B7FA4" w:rsidRDefault="00E3699A" w:rsidP="004D051F">
            <w:pPr>
              <w:pStyle w:val="Tablebullets"/>
              <w:framePr w:wrap="around"/>
              <w:rPr>
                <w:szCs w:val="20"/>
              </w:rPr>
            </w:pPr>
            <w:r w:rsidRPr="006B7FA4">
              <w:rPr>
                <w:szCs w:val="20"/>
              </w:rPr>
              <w:t>Increase effectiveness of enforcement through clarification and specification of legislation</w:t>
            </w:r>
          </w:p>
          <w:p w14:paraId="7530F076" w14:textId="77777777" w:rsidR="00DA29D4" w:rsidRPr="006B7FA4" w:rsidRDefault="00797CF5" w:rsidP="004D051F">
            <w:pPr>
              <w:pStyle w:val="Tablebullets"/>
              <w:framePr w:wrap="around"/>
              <w:rPr>
                <w:szCs w:val="20"/>
              </w:rPr>
            </w:pPr>
            <w:r w:rsidRPr="006B7FA4">
              <w:rPr>
                <w:szCs w:val="20"/>
              </w:rPr>
              <w:t xml:space="preserve">Clarify </w:t>
            </w:r>
            <w:r w:rsidR="00345FD8" w:rsidRPr="006B7FA4">
              <w:rPr>
                <w:szCs w:val="20"/>
              </w:rPr>
              <w:t xml:space="preserve">audit responsibilities and </w:t>
            </w:r>
            <w:r w:rsidR="00496ECF" w:rsidRPr="006B7FA4">
              <w:rPr>
                <w:szCs w:val="20"/>
              </w:rPr>
              <w:t>wording to enhance effectiveness of audit measures</w:t>
            </w:r>
          </w:p>
          <w:p w14:paraId="2F8479AB" w14:textId="5E9B9651" w:rsidR="00DA29D4" w:rsidRPr="006B7FA4" w:rsidRDefault="00B65862" w:rsidP="004D051F">
            <w:pPr>
              <w:pStyle w:val="Tablebullets"/>
              <w:framePr w:wrap="around"/>
              <w:rPr>
                <w:szCs w:val="20"/>
              </w:rPr>
            </w:pPr>
            <w:r w:rsidRPr="006B7FA4">
              <w:rPr>
                <w:szCs w:val="20"/>
              </w:rPr>
              <w:t xml:space="preserve">Under </w:t>
            </w:r>
            <w:r w:rsidR="00AC2F56" w:rsidRPr="006B7FA4">
              <w:rPr>
                <w:szCs w:val="20"/>
              </w:rPr>
              <w:t>third</w:t>
            </w:r>
            <w:r w:rsidRPr="006B7FA4">
              <w:rPr>
                <w:szCs w:val="20"/>
              </w:rPr>
              <w:t xml:space="preserve"> line of defence (3LOD), p</w:t>
            </w:r>
            <w:r w:rsidR="00B0068E" w:rsidRPr="006B7FA4">
              <w:rPr>
                <w:szCs w:val="20"/>
              </w:rPr>
              <w:t xml:space="preserve">rovide </w:t>
            </w:r>
            <w:r w:rsidR="004557BF" w:rsidRPr="006B7FA4">
              <w:rPr>
                <w:szCs w:val="20"/>
              </w:rPr>
              <w:t xml:space="preserve">alternatives to admission of </w:t>
            </w:r>
            <w:r w:rsidR="00D67ECC" w:rsidRPr="006B7FA4">
              <w:rPr>
                <w:szCs w:val="20"/>
              </w:rPr>
              <w:t xml:space="preserve">inappropriate </w:t>
            </w:r>
            <w:r w:rsidR="00B25250" w:rsidRPr="006B7FA4">
              <w:rPr>
                <w:szCs w:val="20"/>
              </w:rPr>
              <w:t xml:space="preserve">clinical </w:t>
            </w:r>
            <w:r w:rsidR="00D67ECC" w:rsidRPr="006B7FA4">
              <w:rPr>
                <w:szCs w:val="20"/>
              </w:rPr>
              <w:t>action</w:t>
            </w:r>
            <w:r w:rsidR="004557BF" w:rsidRPr="006B7FA4">
              <w:rPr>
                <w:szCs w:val="20"/>
              </w:rPr>
              <w:t xml:space="preserve"> as a result of PSR</w:t>
            </w:r>
          </w:p>
        </w:tc>
      </w:tr>
      <w:tr w:rsidR="00DA29D4" w:rsidRPr="006B7FA4" w14:paraId="48EFE8E3" w14:textId="77777777" w:rsidTr="004A77D7">
        <w:tc>
          <w:tcPr>
            <w:tcW w:w="1161" w:type="pct"/>
          </w:tcPr>
          <w:p w14:paraId="0E940669" w14:textId="14A9D297" w:rsidR="00DA29D4" w:rsidRPr="006B7FA4" w:rsidRDefault="00637335" w:rsidP="003824F9">
            <w:pPr>
              <w:rPr>
                <w:b/>
                <w:sz w:val="20"/>
                <w:szCs w:val="20"/>
              </w:rPr>
            </w:pPr>
            <w:r w:rsidRPr="006B7FA4">
              <w:rPr>
                <w:b/>
                <w:sz w:val="20"/>
                <w:szCs w:val="20"/>
              </w:rPr>
              <w:t>Governance</w:t>
            </w:r>
          </w:p>
        </w:tc>
        <w:tc>
          <w:tcPr>
            <w:tcW w:w="1240" w:type="pct"/>
          </w:tcPr>
          <w:p w14:paraId="1C6659B3" w14:textId="11E27D37" w:rsidR="00AB7581" w:rsidRPr="006B7FA4" w:rsidRDefault="00AB7581" w:rsidP="004D051F">
            <w:pPr>
              <w:pStyle w:val="Tablebullets"/>
              <w:framePr w:wrap="around"/>
              <w:rPr>
                <w:szCs w:val="20"/>
              </w:rPr>
            </w:pPr>
            <w:r w:rsidRPr="006B7FA4">
              <w:rPr>
                <w:szCs w:val="20"/>
              </w:rPr>
              <w:t xml:space="preserve">End-to-end review of </w:t>
            </w:r>
            <w:r w:rsidR="00816D99" w:rsidRPr="006B7FA4">
              <w:rPr>
                <w:szCs w:val="20"/>
              </w:rPr>
              <w:t>risks</w:t>
            </w:r>
            <w:r w:rsidRPr="006B7FA4">
              <w:rPr>
                <w:szCs w:val="20"/>
              </w:rPr>
              <w:t xml:space="preserve"> and controls </w:t>
            </w:r>
            <w:r w:rsidR="00816D99" w:rsidRPr="006B7FA4">
              <w:rPr>
                <w:szCs w:val="20"/>
              </w:rPr>
              <w:t xml:space="preserve">coverage </w:t>
            </w:r>
            <w:r w:rsidR="00A66C4B" w:rsidRPr="006B7FA4">
              <w:rPr>
                <w:szCs w:val="20"/>
              </w:rPr>
              <w:t xml:space="preserve">over </w:t>
            </w:r>
            <w:r w:rsidRPr="006B7FA4">
              <w:rPr>
                <w:szCs w:val="20"/>
              </w:rPr>
              <w:t>claims</w:t>
            </w:r>
            <w:r w:rsidR="00A66C4B" w:rsidRPr="006B7FA4">
              <w:rPr>
                <w:szCs w:val="20"/>
              </w:rPr>
              <w:t xml:space="preserve"> and payments</w:t>
            </w:r>
          </w:p>
          <w:p w14:paraId="5FC6923B" w14:textId="148B4A6D" w:rsidR="00B253E6" w:rsidRPr="006B7FA4" w:rsidRDefault="00A66C4B" w:rsidP="004D051F">
            <w:pPr>
              <w:pStyle w:val="Tablebullets"/>
              <w:framePr w:wrap="around"/>
              <w:rPr>
                <w:szCs w:val="20"/>
              </w:rPr>
            </w:pPr>
            <w:r w:rsidRPr="006B7FA4">
              <w:rPr>
                <w:szCs w:val="20"/>
              </w:rPr>
              <w:t xml:space="preserve">Introduce </w:t>
            </w:r>
            <w:r w:rsidR="00AC2F56" w:rsidRPr="006B7FA4">
              <w:rPr>
                <w:szCs w:val="20"/>
              </w:rPr>
              <w:t>first</w:t>
            </w:r>
            <w:r w:rsidR="003E4442" w:rsidRPr="006B7FA4">
              <w:rPr>
                <w:szCs w:val="20"/>
              </w:rPr>
              <w:t xml:space="preserve"> </w:t>
            </w:r>
            <w:r w:rsidR="004B316F" w:rsidRPr="006B7FA4">
              <w:rPr>
                <w:szCs w:val="20"/>
              </w:rPr>
              <w:t xml:space="preserve">line of defence </w:t>
            </w:r>
            <w:r w:rsidR="003E4442" w:rsidRPr="006B7FA4">
              <w:rPr>
                <w:szCs w:val="20"/>
              </w:rPr>
              <w:t xml:space="preserve">(1LOD) </w:t>
            </w:r>
            <w:r w:rsidR="00A30D3B" w:rsidRPr="006B7FA4">
              <w:rPr>
                <w:szCs w:val="20"/>
              </w:rPr>
              <w:t>accountability for claims operation and controls</w:t>
            </w:r>
          </w:p>
        </w:tc>
        <w:tc>
          <w:tcPr>
            <w:tcW w:w="1231" w:type="pct"/>
          </w:tcPr>
          <w:p w14:paraId="5FE4C217" w14:textId="3EB2E933" w:rsidR="00DA29D4" w:rsidRPr="006B7FA4" w:rsidRDefault="00A30D3B" w:rsidP="004D051F">
            <w:pPr>
              <w:pStyle w:val="Tablebullets"/>
              <w:framePr w:wrap="around"/>
              <w:rPr>
                <w:szCs w:val="20"/>
              </w:rPr>
            </w:pPr>
            <w:r w:rsidRPr="006B7FA4">
              <w:rPr>
                <w:szCs w:val="20"/>
              </w:rPr>
              <w:t>L</w:t>
            </w:r>
            <w:r w:rsidR="00EF2578" w:rsidRPr="006B7FA4">
              <w:rPr>
                <w:szCs w:val="20"/>
              </w:rPr>
              <w:t>ine of defence</w:t>
            </w:r>
            <w:r w:rsidRPr="006B7FA4">
              <w:rPr>
                <w:szCs w:val="20"/>
              </w:rPr>
              <w:t xml:space="preserve"> accountability for payment operation and controls</w:t>
            </w:r>
          </w:p>
        </w:tc>
        <w:tc>
          <w:tcPr>
            <w:tcW w:w="1368" w:type="pct"/>
          </w:tcPr>
          <w:p w14:paraId="64FF18D5" w14:textId="70A92CCE" w:rsidR="001853C9" w:rsidRPr="006B7FA4" w:rsidRDefault="001853C9" w:rsidP="004D051F">
            <w:pPr>
              <w:pStyle w:val="Tablebullets"/>
              <w:framePr w:wrap="around"/>
              <w:rPr>
                <w:szCs w:val="20"/>
              </w:rPr>
            </w:pPr>
            <w:r w:rsidRPr="006B7FA4">
              <w:rPr>
                <w:szCs w:val="20"/>
              </w:rPr>
              <w:t xml:space="preserve">1LOD accountability for </w:t>
            </w:r>
            <w:r w:rsidR="00FD64D8" w:rsidRPr="006B7FA4">
              <w:rPr>
                <w:szCs w:val="20"/>
              </w:rPr>
              <w:t>post</w:t>
            </w:r>
            <w:r w:rsidR="004A1281" w:rsidRPr="006B7FA4">
              <w:rPr>
                <w:szCs w:val="20"/>
              </w:rPr>
              <w:t>-</w:t>
            </w:r>
            <w:r w:rsidR="00FD64D8" w:rsidRPr="006B7FA4">
              <w:rPr>
                <w:szCs w:val="20"/>
              </w:rPr>
              <w:t>payment integrity detection and investigation</w:t>
            </w:r>
          </w:p>
          <w:p w14:paraId="7336560F" w14:textId="2987D5E7" w:rsidR="00FD64D8" w:rsidRPr="006B7FA4" w:rsidRDefault="00AC2F56" w:rsidP="004D051F">
            <w:pPr>
              <w:pStyle w:val="Tablebullets"/>
              <w:framePr w:wrap="around"/>
              <w:rPr>
                <w:szCs w:val="20"/>
              </w:rPr>
            </w:pPr>
            <w:r w:rsidRPr="006B7FA4">
              <w:rPr>
                <w:szCs w:val="20"/>
              </w:rPr>
              <w:t>Second</w:t>
            </w:r>
            <w:r w:rsidR="00A30D3B" w:rsidRPr="006B7FA4">
              <w:rPr>
                <w:szCs w:val="20"/>
              </w:rPr>
              <w:t xml:space="preserve"> line of defence (2LOD) accountability for </w:t>
            </w:r>
            <w:r w:rsidR="00AA1C60" w:rsidRPr="006B7FA4">
              <w:rPr>
                <w:szCs w:val="20"/>
              </w:rPr>
              <w:t>risk</w:t>
            </w:r>
            <w:r w:rsidR="00A32242" w:rsidRPr="006B7FA4">
              <w:rPr>
                <w:szCs w:val="20"/>
              </w:rPr>
              <w:t xml:space="preserve"> policy, review,</w:t>
            </w:r>
            <w:r w:rsidR="00AA1C60" w:rsidRPr="006B7FA4">
              <w:rPr>
                <w:szCs w:val="20"/>
              </w:rPr>
              <w:t xml:space="preserve"> </w:t>
            </w:r>
            <w:r w:rsidR="00FD64D8" w:rsidRPr="006B7FA4">
              <w:rPr>
                <w:szCs w:val="20"/>
              </w:rPr>
              <w:t>and challenge</w:t>
            </w:r>
          </w:p>
          <w:p w14:paraId="529BBC32" w14:textId="77777777" w:rsidR="00DA29D4" w:rsidRPr="006B7FA4" w:rsidRDefault="00AB46D0" w:rsidP="004D051F">
            <w:pPr>
              <w:pStyle w:val="Tablebullets"/>
              <w:framePr w:wrap="around"/>
              <w:rPr>
                <w:szCs w:val="20"/>
              </w:rPr>
            </w:pPr>
            <w:r w:rsidRPr="006B7FA4">
              <w:rPr>
                <w:szCs w:val="20"/>
              </w:rPr>
              <w:t xml:space="preserve">Introduction of </w:t>
            </w:r>
            <w:r w:rsidR="00C7621B" w:rsidRPr="006B7FA4">
              <w:rPr>
                <w:szCs w:val="20"/>
              </w:rPr>
              <w:t>Oversight Committee</w:t>
            </w:r>
            <w:r w:rsidR="00A32242" w:rsidRPr="006B7FA4">
              <w:rPr>
                <w:szCs w:val="20"/>
              </w:rPr>
              <w:t xml:space="preserve"> </w:t>
            </w:r>
            <w:r w:rsidR="009756C8" w:rsidRPr="006B7FA4">
              <w:rPr>
                <w:szCs w:val="20"/>
              </w:rPr>
              <w:t>and supporting functions</w:t>
            </w:r>
            <w:r w:rsidR="00A32242" w:rsidRPr="006B7FA4">
              <w:rPr>
                <w:szCs w:val="20"/>
              </w:rPr>
              <w:t xml:space="preserve"> for risk reporting and monitoring</w:t>
            </w:r>
          </w:p>
          <w:p w14:paraId="65F6D255" w14:textId="6A1972EF" w:rsidR="00FB2779" w:rsidRPr="006B7FA4" w:rsidRDefault="00FB2779" w:rsidP="004D051F">
            <w:pPr>
              <w:pStyle w:val="Tablebullets"/>
              <w:framePr w:wrap="around"/>
              <w:rPr>
                <w:szCs w:val="20"/>
              </w:rPr>
            </w:pPr>
            <w:r w:rsidRPr="006B7FA4">
              <w:rPr>
                <w:szCs w:val="20"/>
              </w:rPr>
              <w:t>Remove</w:t>
            </w:r>
            <w:r w:rsidR="00463992" w:rsidRPr="006B7FA4">
              <w:rPr>
                <w:szCs w:val="20"/>
              </w:rPr>
              <w:t xml:space="preserve"> the veto </w:t>
            </w:r>
            <w:r w:rsidR="001A7EF5" w:rsidRPr="006B7FA4">
              <w:rPr>
                <w:szCs w:val="20"/>
              </w:rPr>
              <w:t>power of the AMA for the appointment of the PSR Director role</w:t>
            </w:r>
          </w:p>
        </w:tc>
      </w:tr>
      <w:tr w:rsidR="00DA29D4" w:rsidRPr="006B7FA4" w14:paraId="55109C26" w14:textId="77777777" w:rsidTr="004A77D7">
        <w:tc>
          <w:tcPr>
            <w:tcW w:w="1161" w:type="pct"/>
          </w:tcPr>
          <w:p w14:paraId="36C6166C" w14:textId="468DFC79" w:rsidR="00DA29D4" w:rsidRPr="006B7FA4" w:rsidRDefault="00637335" w:rsidP="003824F9">
            <w:pPr>
              <w:rPr>
                <w:b/>
                <w:sz w:val="20"/>
                <w:szCs w:val="20"/>
              </w:rPr>
            </w:pPr>
            <w:r w:rsidRPr="006B7FA4">
              <w:rPr>
                <w:b/>
                <w:sz w:val="20"/>
                <w:szCs w:val="20"/>
              </w:rPr>
              <w:t>Operating Model</w:t>
            </w:r>
          </w:p>
        </w:tc>
        <w:tc>
          <w:tcPr>
            <w:tcW w:w="1240" w:type="pct"/>
          </w:tcPr>
          <w:p w14:paraId="3EDE59E1" w14:textId="448EB03E" w:rsidR="00B11CD5" w:rsidRPr="006B7FA4" w:rsidRDefault="00B11CD5" w:rsidP="004D051F">
            <w:pPr>
              <w:pStyle w:val="Tablebullets"/>
              <w:framePr w:wrap="around"/>
              <w:rPr>
                <w:szCs w:val="20"/>
              </w:rPr>
            </w:pPr>
            <w:r w:rsidRPr="006B7FA4">
              <w:rPr>
                <w:szCs w:val="20"/>
              </w:rPr>
              <w:t>Reduction of the number of claiming channels</w:t>
            </w:r>
            <w:r w:rsidR="001614E9" w:rsidRPr="006B7FA4">
              <w:rPr>
                <w:szCs w:val="20"/>
              </w:rPr>
              <w:t xml:space="preserve"> to reduce potential for </w:t>
            </w:r>
            <w:r w:rsidR="009B5B0D" w:rsidRPr="006B7FA4">
              <w:rPr>
                <w:szCs w:val="20"/>
              </w:rPr>
              <w:t xml:space="preserve">inappropriate </w:t>
            </w:r>
            <w:r w:rsidR="00A754B3" w:rsidRPr="006B7FA4">
              <w:rPr>
                <w:szCs w:val="20"/>
              </w:rPr>
              <w:t>claims and duplicate claims.</w:t>
            </w:r>
          </w:p>
          <w:p w14:paraId="60CB862E" w14:textId="3FB2867E" w:rsidR="00267DDE" w:rsidRPr="006B7FA4" w:rsidRDefault="00020A7E" w:rsidP="004D051F">
            <w:pPr>
              <w:pStyle w:val="Tablebullets"/>
              <w:framePr w:wrap="around"/>
              <w:rPr>
                <w:szCs w:val="20"/>
              </w:rPr>
            </w:pPr>
            <w:r w:rsidRPr="006B7FA4">
              <w:rPr>
                <w:szCs w:val="20"/>
              </w:rPr>
              <w:t xml:space="preserve">Mechanisms to provide </w:t>
            </w:r>
            <w:r w:rsidR="001C4CA6" w:rsidRPr="006B7FA4">
              <w:rPr>
                <w:szCs w:val="20"/>
              </w:rPr>
              <w:t xml:space="preserve">active </w:t>
            </w:r>
            <w:r w:rsidR="00267DDE" w:rsidRPr="006B7FA4">
              <w:rPr>
                <w:szCs w:val="20"/>
              </w:rPr>
              <w:t>notifications</w:t>
            </w:r>
            <w:r w:rsidR="005567EF" w:rsidRPr="006B7FA4">
              <w:rPr>
                <w:szCs w:val="20"/>
              </w:rPr>
              <w:t xml:space="preserve"> </w:t>
            </w:r>
            <w:r w:rsidRPr="006B7FA4">
              <w:rPr>
                <w:szCs w:val="20"/>
              </w:rPr>
              <w:t>to</w:t>
            </w:r>
            <w:r w:rsidR="005567EF" w:rsidRPr="006B7FA4">
              <w:rPr>
                <w:szCs w:val="20"/>
              </w:rPr>
              <w:t xml:space="preserve"> patients, providers, and corporate entities of claims processed through Medicare</w:t>
            </w:r>
          </w:p>
          <w:p w14:paraId="6856EB6C" w14:textId="3F612290" w:rsidR="00DA29D4" w:rsidRPr="006B7FA4" w:rsidRDefault="000E5532" w:rsidP="004D051F">
            <w:pPr>
              <w:pStyle w:val="Tablebullets"/>
              <w:framePr w:wrap="around"/>
              <w:rPr>
                <w:szCs w:val="20"/>
              </w:rPr>
            </w:pPr>
            <w:r w:rsidRPr="006B7FA4">
              <w:rPr>
                <w:szCs w:val="20"/>
              </w:rPr>
              <w:t xml:space="preserve">Provide proactive guidance to </w:t>
            </w:r>
            <w:r w:rsidR="008E23B7" w:rsidRPr="006B7FA4">
              <w:rPr>
                <w:szCs w:val="20"/>
              </w:rPr>
              <w:t xml:space="preserve">claimants at the point of claim, </w:t>
            </w:r>
            <w:r w:rsidR="00C83C9F" w:rsidRPr="006B7FA4">
              <w:rPr>
                <w:szCs w:val="20"/>
              </w:rPr>
              <w:t xml:space="preserve">to assist in </w:t>
            </w:r>
            <w:r w:rsidR="0001302E" w:rsidRPr="006B7FA4">
              <w:rPr>
                <w:szCs w:val="20"/>
              </w:rPr>
              <w:t xml:space="preserve">selecting correct </w:t>
            </w:r>
            <w:r w:rsidR="00B165C6" w:rsidRPr="006B7FA4">
              <w:rPr>
                <w:szCs w:val="20"/>
              </w:rPr>
              <w:t>item numbers and avoid inadvertent non-compliance</w:t>
            </w:r>
          </w:p>
        </w:tc>
        <w:tc>
          <w:tcPr>
            <w:tcW w:w="1231" w:type="pct"/>
          </w:tcPr>
          <w:p w14:paraId="6992854B" w14:textId="558F00EF" w:rsidR="00DC3380" w:rsidRPr="006B7FA4" w:rsidRDefault="00281B83" w:rsidP="004D051F">
            <w:pPr>
              <w:pStyle w:val="Tablebullets"/>
              <w:framePr w:wrap="around"/>
              <w:rPr>
                <w:szCs w:val="20"/>
              </w:rPr>
            </w:pPr>
            <w:r w:rsidRPr="006B7FA4">
              <w:rPr>
                <w:szCs w:val="20"/>
              </w:rPr>
              <w:t xml:space="preserve">Extend </w:t>
            </w:r>
            <w:r w:rsidR="00F12E86" w:rsidRPr="006B7FA4">
              <w:rPr>
                <w:szCs w:val="20"/>
              </w:rPr>
              <w:t xml:space="preserve">use of </w:t>
            </w:r>
            <w:r w:rsidR="00EF2578" w:rsidRPr="006B7FA4">
              <w:rPr>
                <w:szCs w:val="20"/>
              </w:rPr>
              <w:t>‘</w:t>
            </w:r>
            <w:r w:rsidR="00F12E86" w:rsidRPr="006B7FA4">
              <w:rPr>
                <w:szCs w:val="20"/>
              </w:rPr>
              <w:t>further assessment</w:t>
            </w:r>
            <w:r w:rsidR="00EF2578" w:rsidRPr="006B7FA4">
              <w:rPr>
                <w:szCs w:val="20"/>
              </w:rPr>
              <w:t>’</w:t>
            </w:r>
            <w:r w:rsidR="00F12E86" w:rsidRPr="006B7FA4">
              <w:rPr>
                <w:szCs w:val="20"/>
              </w:rPr>
              <w:t xml:space="preserve"> mechanisms </w:t>
            </w:r>
            <w:r w:rsidR="0091287C" w:rsidRPr="006B7FA4">
              <w:rPr>
                <w:szCs w:val="20"/>
              </w:rPr>
              <w:t xml:space="preserve">for </w:t>
            </w:r>
            <w:r w:rsidR="004B316F" w:rsidRPr="006B7FA4">
              <w:rPr>
                <w:szCs w:val="20"/>
              </w:rPr>
              <w:t xml:space="preserve">payments </w:t>
            </w:r>
            <w:r w:rsidR="00F12E86" w:rsidRPr="006B7FA4">
              <w:rPr>
                <w:szCs w:val="20"/>
              </w:rPr>
              <w:t xml:space="preserve">that are flagged as non-compliant or </w:t>
            </w:r>
            <w:r w:rsidR="0091287C" w:rsidRPr="006B7FA4">
              <w:rPr>
                <w:szCs w:val="20"/>
              </w:rPr>
              <w:t>requiring investigation</w:t>
            </w:r>
          </w:p>
        </w:tc>
        <w:tc>
          <w:tcPr>
            <w:tcW w:w="1368" w:type="pct"/>
          </w:tcPr>
          <w:p w14:paraId="6185C1D2" w14:textId="65242221" w:rsidR="00DA29D4" w:rsidRPr="006B7FA4" w:rsidRDefault="00F64255" w:rsidP="004D051F">
            <w:pPr>
              <w:pStyle w:val="Tablebullets"/>
              <w:framePr w:wrap="around"/>
              <w:rPr>
                <w:szCs w:val="20"/>
              </w:rPr>
            </w:pPr>
            <w:r w:rsidRPr="006B7FA4">
              <w:rPr>
                <w:szCs w:val="20"/>
              </w:rPr>
              <w:t>Uplift of investigations capability</w:t>
            </w:r>
          </w:p>
          <w:p w14:paraId="35108023" w14:textId="6A23A93D" w:rsidR="00F64255" w:rsidRPr="006B7FA4" w:rsidRDefault="00F64255" w:rsidP="004D051F">
            <w:pPr>
              <w:pStyle w:val="Tablebullets"/>
              <w:framePr w:wrap="around"/>
              <w:rPr>
                <w:szCs w:val="20"/>
              </w:rPr>
            </w:pPr>
            <w:r w:rsidRPr="006B7FA4">
              <w:rPr>
                <w:szCs w:val="20"/>
              </w:rPr>
              <w:t>Built</w:t>
            </w:r>
            <w:r w:rsidR="00B65862" w:rsidRPr="006B7FA4">
              <w:rPr>
                <w:szCs w:val="20"/>
              </w:rPr>
              <w:t>-</w:t>
            </w:r>
            <w:r w:rsidRPr="006B7FA4">
              <w:rPr>
                <w:szCs w:val="20"/>
              </w:rPr>
              <w:t>in feedback mechanisms to improve claims and payment controls</w:t>
            </w:r>
          </w:p>
        </w:tc>
      </w:tr>
      <w:tr w:rsidR="00DA29D4" w:rsidRPr="006B7FA4" w14:paraId="0DB86DDE" w14:textId="77777777" w:rsidTr="004A77D7">
        <w:tc>
          <w:tcPr>
            <w:tcW w:w="1161" w:type="pct"/>
          </w:tcPr>
          <w:p w14:paraId="79434B0C" w14:textId="4D3ADEFB" w:rsidR="00DA29D4" w:rsidRPr="006B7FA4" w:rsidRDefault="00637335" w:rsidP="003824F9">
            <w:pPr>
              <w:rPr>
                <w:b/>
                <w:sz w:val="20"/>
                <w:szCs w:val="20"/>
              </w:rPr>
            </w:pPr>
            <w:r w:rsidRPr="006B7FA4">
              <w:rPr>
                <w:b/>
                <w:sz w:val="20"/>
                <w:szCs w:val="20"/>
              </w:rPr>
              <w:t>Technology and Infrastructure</w:t>
            </w:r>
          </w:p>
        </w:tc>
        <w:tc>
          <w:tcPr>
            <w:tcW w:w="1240" w:type="pct"/>
          </w:tcPr>
          <w:p w14:paraId="79556AAA" w14:textId="44045D79" w:rsidR="00DA29D4" w:rsidRPr="006B7FA4" w:rsidRDefault="003B4B8E" w:rsidP="004D051F">
            <w:pPr>
              <w:pStyle w:val="Tablebullets"/>
              <w:framePr w:wrap="around"/>
              <w:rPr>
                <w:szCs w:val="20"/>
              </w:rPr>
            </w:pPr>
            <w:r w:rsidRPr="006B7FA4">
              <w:rPr>
                <w:szCs w:val="20"/>
              </w:rPr>
              <w:t>Improvemen</w:t>
            </w:r>
            <w:r w:rsidR="000C2950" w:rsidRPr="006B7FA4">
              <w:rPr>
                <w:szCs w:val="20"/>
              </w:rPr>
              <w:t>ts to</w:t>
            </w:r>
            <w:r w:rsidR="00BA41EC" w:rsidRPr="006B7FA4">
              <w:rPr>
                <w:szCs w:val="20"/>
              </w:rPr>
              <w:t xml:space="preserve"> claims interfaces, </w:t>
            </w:r>
            <w:r w:rsidR="00D437F6" w:rsidRPr="006B7FA4">
              <w:rPr>
                <w:szCs w:val="20"/>
              </w:rPr>
              <w:t xml:space="preserve">uplift of </w:t>
            </w:r>
            <w:r w:rsidR="00603DFC" w:rsidRPr="006B7FA4">
              <w:rPr>
                <w:szCs w:val="20"/>
              </w:rPr>
              <w:t>data checks performed during claim submission</w:t>
            </w:r>
          </w:p>
          <w:p w14:paraId="25A3051F" w14:textId="4D2DE475" w:rsidR="009B76AB" w:rsidRPr="006B7FA4" w:rsidRDefault="000C2950" w:rsidP="004D051F">
            <w:pPr>
              <w:pStyle w:val="Tablebullets"/>
              <w:framePr w:wrap="around"/>
              <w:rPr>
                <w:szCs w:val="20"/>
              </w:rPr>
            </w:pPr>
            <w:r w:rsidRPr="006B7FA4">
              <w:rPr>
                <w:szCs w:val="20"/>
              </w:rPr>
              <w:t xml:space="preserve">Uplift of </w:t>
            </w:r>
            <w:r w:rsidR="0030288F" w:rsidRPr="006B7FA4">
              <w:rPr>
                <w:szCs w:val="20"/>
              </w:rPr>
              <w:t xml:space="preserve">claims data model, </w:t>
            </w:r>
            <w:r w:rsidR="00141314" w:rsidRPr="006B7FA4">
              <w:rPr>
                <w:szCs w:val="20"/>
              </w:rPr>
              <w:t xml:space="preserve">increasing </w:t>
            </w:r>
            <w:r w:rsidR="008D6E79" w:rsidRPr="006B7FA4">
              <w:rPr>
                <w:szCs w:val="20"/>
              </w:rPr>
              <w:t xml:space="preserve">mandatory </w:t>
            </w:r>
            <w:r w:rsidR="009B76AB" w:rsidRPr="006B7FA4">
              <w:rPr>
                <w:szCs w:val="20"/>
              </w:rPr>
              <w:t>fields</w:t>
            </w:r>
            <w:r w:rsidR="00BF2921" w:rsidRPr="006B7FA4">
              <w:rPr>
                <w:szCs w:val="20"/>
              </w:rPr>
              <w:t xml:space="preserve"> and </w:t>
            </w:r>
            <w:r w:rsidR="00CB56C5" w:rsidRPr="006B7FA4">
              <w:rPr>
                <w:szCs w:val="20"/>
              </w:rPr>
              <w:t>standardised invoice formats</w:t>
            </w:r>
          </w:p>
        </w:tc>
        <w:tc>
          <w:tcPr>
            <w:tcW w:w="1231" w:type="pct"/>
          </w:tcPr>
          <w:p w14:paraId="09AB5AEB" w14:textId="3D72CD4B" w:rsidR="00DA29D4" w:rsidRPr="006B7FA4" w:rsidRDefault="00C942C3" w:rsidP="004D051F">
            <w:pPr>
              <w:pStyle w:val="Tablebullets"/>
              <w:framePr w:wrap="around"/>
              <w:rPr>
                <w:szCs w:val="20"/>
              </w:rPr>
            </w:pPr>
            <w:r w:rsidRPr="006B7FA4">
              <w:rPr>
                <w:szCs w:val="20"/>
              </w:rPr>
              <w:t xml:space="preserve">Strategic replacement of </w:t>
            </w:r>
            <w:r w:rsidR="00973F74" w:rsidRPr="006B7FA4">
              <w:rPr>
                <w:szCs w:val="20"/>
              </w:rPr>
              <w:t xml:space="preserve">legacy </w:t>
            </w:r>
            <w:r w:rsidR="008A1DB9" w:rsidRPr="006B7FA4">
              <w:rPr>
                <w:szCs w:val="20"/>
              </w:rPr>
              <w:t>M</w:t>
            </w:r>
            <w:r w:rsidR="00A65897" w:rsidRPr="006B7FA4">
              <w:rPr>
                <w:szCs w:val="20"/>
              </w:rPr>
              <w:t>edicare</w:t>
            </w:r>
            <w:r w:rsidR="008A1DB9" w:rsidRPr="006B7FA4">
              <w:rPr>
                <w:szCs w:val="20"/>
              </w:rPr>
              <w:t xml:space="preserve"> Common Assess</w:t>
            </w:r>
            <w:r w:rsidR="00A65897" w:rsidRPr="006B7FA4">
              <w:rPr>
                <w:szCs w:val="20"/>
              </w:rPr>
              <w:t>ing</w:t>
            </w:r>
            <w:r w:rsidR="008A1DB9" w:rsidRPr="006B7FA4">
              <w:rPr>
                <w:szCs w:val="20"/>
              </w:rPr>
              <w:t xml:space="preserve"> Engine</w:t>
            </w:r>
            <w:r w:rsidR="00870AC7" w:rsidRPr="006B7FA4">
              <w:rPr>
                <w:szCs w:val="20"/>
              </w:rPr>
              <w:t xml:space="preserve"> (</w:t>
            </w:r>
            <w:r w:rsidR="00EB39D2" w:rsidRPr="006B7FA4">
              <w:rPr>
                <w:szCs w:val="20"/>
              </w:rPr>
              <w:t>m</w:t>
            </w:r>
            <w:r w:rsidR="00870AC7" w:rsidRPr="006B7FA4">
              <w:rPr>
                <w:szCs w:val="20"/>
              </w:rPr>
              <w:t xml:space="preserve">ainframe) </w:t>
            </w:r>
          </w:p>
          <w:p w14:paraId="7A08302E" w14:textId="7A1DB84E" w:rsidR="008A1DB9" w:rsidRPr="006B7FA4" w:rsidRDefault="00B04A26" w:rsidP="004D051F">
            <w:pPr>
              <w:pStyle w:val="Tablebullets"/>
              <w:framePr w:wrap="around"/>
              <w:rPr>
                <w:szCs w:val="20"/>
              </w:rPr>
            </w:pPr>
            <w:r w:rsidRPr="006B7FA4">
              <w:rPr>
                <w:szCs w:val="20"/>
              </w:rPr>
              <w:t xml:space="preserve">Data quality and governance uplift </w:t>
            </w:r>
            <w:r w:rsidR="008411E9" w:rsidRPr="006B7FA4">
              <w:rPr>
                <w:szCs w:val="20"/>
              </w:rPr>
              <w:t xml:space="preserve">of </w:t>
            </w:r>
            <w:r w:rsidR="00B65862" w:rsidRPr="006B7FA4">
              <w:rPr>
                <w:szCs w:val="20"/>
              </w:rPr>
              <w:t>p</w:t>
            </w:r>
            <w:r w:rsidR="008D6E79" w:rsidRPr="006B7FA4">
              <w:rPr>
                <w:szCs w:val="20"/>
              </w:rPr>
              <w:t>atient</w:t>
            </w:r>
            <w:r w:rsidR="008411E9" w:rsidRPr="006B7FA4">
              <w:rPr>
                <w:szCs w:val="20"/>
              </w:rPr>
              <w:t xml:space="preserve">, </w:t>
            </w:r>
            <w:r w:rsidR="00B65862" w:rsidRPr="006B7FA4">
              <w:rPr>
                <w:szCs w:val="20"/>
              </w:rPr>
              <w:t>p</w:t>
            </w:r>
            <w:r w:rsidR="008411E9" w:rsidRPr="006B7FA4">
              <w:rPr>
                <w:szCs w:val="20"/>
              </w:rPr>
              <w:t xml:space="preserve">rovider, </w:t>
            </w:r>
            <w:r w:rsidR="00B65862" w:rsidRPr="006B7FA4">
              <w:rPr>
                <w:szCs w:val="20"/>
              </w:rPr>
              <w:t>c</w:t>
            </w:r>
            <w:r w:rsidR="008411E9" w:rsidRPr="006B7FA4">
              <w:rPr>
                <w:szCs w:val="20"/>
              </w:rPr>
              <w:t xml:space="preserve">laims, and </w:t>
            </w:r>
            <w:r w:rsidR="00B65862" w:rsidRPr="006B7FA4">
              <w:rPr>
                <w:szCs w:val="20"/>
              </w:rPr>
              <w:t>p</w:t>
            </w:r>
            <w:r w:rsidR="008411E9" w:rsidRPr="006B7FA4">
              <w:rPr>
                <w:szCs w:val="20"/>
              </w:rPr>
              <w:t>ayment data</w:t>
            </w:r>
          </w:p>
        </w:tc>
        <w:tc>
          <w:tcPr>
            <w:tcW w:w="1368" w:type="pct"/>
          </w:tcPr>
          <w:p w14:paraId="69C7B4F1" w14:textId="55BFE0F2" w:rsidR="00DA29D4" w:rsidRPr="006B7FA4" w:rsidRDefault="00573D23" w:rsidP="004D051F">
            <w:pPr>
              <w:pStyle w:val="Tablebullets"/>
              <w:framePr w:wrap="around"/>
              <w:rPr>
                <w:szCs w:val="20"/>
              </w:rPr>
            </w:pPr>
            <w:r w:rsidRPr="006B7FA4">
              <w:rPr>
                <w:szCs w:val="20"/>
              </w:rPr>
              <w:t xml:space="preserve">Entity resolution and cleansing of </w:t>
            </w:r>
            <w:r w:rsidR="00625825" w:rsidRPr="006B7FA4">
              <w:rPr>
                <w:szCs w:val="20"/>
              </w:rPr>
              <w:t xml:space="preserve">Medicare data </w:t>
            </w:r>
            <w:r w:rsidR="0001142C" w:rsidRPr="006B7FA4">
              <w:rPr>
                <w:szCs w:val="20"/>
              </w:rPr>
              <w:t>used for analysis</w:t>
            </w:r>
          </w:p>
          <w:p w14:paraId="0ECFA03A" w14:textId="352AE18B" w:rsidR="00625825" w:rsidRPr="006B7FA4" w:rsidRDefault="009E1C1B" w:rsidP="004D051F">
            <w:pPr>
              <w:pStyle w:val="Tablebullets"/>
              <w:framePr w:wrap="around"/>
              <w:rPr>
                <w:szCs w:val="20"/>
              </w:rPr>
            </w:pPr>
            <w:r w:rsidRPr="006B7FA4">
              <w:rPr>
                <w:szCs w:val="20"/>
              </w:rPr>
              <w:t xml:space="preserve">Replacement </w:t>
            </w:r>
            <w:r w:rsidR="0001142C" w:rsidRPr="006B7FA4">
              <w:rPr>
                <w:szCs w:val="20"/>
              </w:rPr>
              <w:t xml:space="preserve">of </w:t>
            </w:r>
            <w:r w:rsidR="00B65862" w:rsidRPr="006B7FA4">
              <w:rPr>
                <w:szCs w:val="20"/>
              </w:rPr>
              <w:t>c</w:t>
            </w:r>
            <w:r w:rsidRPr="006B7FA4">
              <w:rPr>
                <w:szCs w:val="20"/>
              </w:rPr>
              <w:t xml:space="preserve">ase </w:t>
            </w:r>
            <w:r w:rsidR="00B65862" w:rsidRPr="006B7FA4">
              <w:rPr>
                <w:szCs w:val="20"/>
              </w:rPr>
              <w:t>m</w:t>
            </w:r>
            <w:r w:rsidRPr="006B7FA4">
              <w:rPr>
                <w:szCs w:val="20"/>
              </w:rPr>
              <w:t xml:space="preserve">anagement </w:t>
            </w:r>
            <w:r w:rsidR="00455255" w:rsidRPr="006B7FA4">
              <w:rPr>
                <w:szCs w:val="20"/>
              </w:rPr>
              <w:t>system</w:t>
            </w:r>
          </w:p>
          <w:p w14:paraId="272D3E36" w14:textId="52714CAE" w:rsidR="00DB67B5" w:rsidRPr="006B7FA4" w:rsidRDefault="00134487" w:rsidP="004D051F">
            <w:pPr>
              <w:pStyle w:val="Tablebullets"/>
              <w:framePr w:wrap="around"/>
              <w:rPr>
                <w:szCs w:val="20"/>
              </w:rPr>
            </w:pPr>
            <w:r w:rsidRPr="006B7FA4">
              <w:rPr>
                <w:szCs w:val="20"/>
              </w:rPr>
              <w:t>Uplift of analytical capabilities to include continuous monitoring</w:t>
            </w:r>
            <w:r w:rsidR="00365BD4" w:rsidRPr="006B7FA4">
              <w:rPr>
                <w:szCs w:val="20"/>
              </w:rPr>
              <w:t xml:space="preserve"> alerting and triage</w:t>
            </w:r>
          </w:p>
        </w:tc>
      </w:tr>
      <w:tr w:rsidR="00DA29D4" w:rsidRPr="006B7FA4" w14:paraId="2A876E30" w14:textId="77777777" w:rsidTr="004A77D7">
        <w:tc>
          <w:tcPr>
            <w:tcW w:w="1161" w:type="pct"/>
          </w:tcPr>
          <w:p w14:paraId="775BA5BA" w14:textId="5CBAEBB4" w:rsidR="00DA29D4" w:rsidRPr="006B7FA4" w:rsidRDefault="00637335" w:rsidP="003824F9">
            <w:pPr>
              <w:rPr>
                <w:b/>
                <w:sz w:val="20"/>
                <w:szCs w:val="20"/>
              </w:rPr>
            </w:pPr>
            <w:r w:rsidRPr="006B7FA4">
              <w:rPr>
                <w:b/>
                <w:sz w:val="20"/>
                <w:szCs w:val="20"/>
              </w:rPr>
              <w:lastRenderedPageBreak/>
              <w:t>Analytics and Continuous Monitoring</w:t>
            </w:r>
          </w:p>
        </w:tc>
        <w:tc>
          <w:tcPr>
            <w:tcW w:w="1240" w:type="pct"/>
          </w:tcPr>
          <w:p w14:paraId="2E2B0D9A" w14:textId="77777777" w:rsidR="00DA29D4" w:rsidRPr="006B7FA4" w:rsidRDefault="00F64255" w:rsidP="004D051F">
            <w:pPr>
              <w:pStyle w:val="Tablebullets"/>
              <w:framePr w:wrap="around"/>
              <w:rPr>
                <w:szCs w:val="20"/>
              </w:rPr>
            </w:pPr>
            <w:r w:rsidRPr="006B7FA4">
              <w:rPr>
                <w:szCs w:val="20"/>
              </w:rPr>
              <w:t>Uplift of preventative controls for erroneous and fraudulent claims</w:t>
            </w:r>
          </w:p>
          <w:p w14:paraId="479B43C2" w14:textId="77777777" w:rsidR="00A3041C" w:rsidRPr="006B7FA4" w:rsidRDefault="00A267BC" w:rsidP="004D051F">
            <w:pPr>
              <w:pStyle w:val="Tablebullets"/>
              <w:framePr w:wrap="around"/>
              <w:rPr>
                <w:szCs w:val="20"/>
              </w:rPr>
            </w:pPr>
            <w:r w:rsidRPr="006B7FA4">
              <w:rPr>
                <w:szCs w:val="20"/>
              </w:rPr>
              <w:t>Uplift of data quality checks for submitted claims</w:t>
            </w:r>
          </w:p>
          <w:p w14:paraId="11F1C6BC" w14:textId="70D7E7EF" w:rsidR="00FB7871" w:rsidRPr="006B7FA4" w:rsidRDefault="00EC5709" w:rsidP="004D051F">
            <w:pPr>
              <w:pStyle w:val="Tablebullets"/>
              <w:framePr w:wrap="around"/>
              <w:rPr>
                <w:szCs w:val="20"/>
              </w:rPr>
            </w:pPr>
            <w:r w:rsidRPr="006B7FA4">
              <w:rPr>
                <w:szCs w:val="20"/>
              </w:rPr>
              <w:t xml:space="preserve">Uplift of </w:t>
            </w:r>
            <w:r w:rsidR="00B80CB9" w:rsidRPr="006B7FA4">
              <w:rPr>
                <w:szCs w:val="20"/>
              </w:rPr>
              <w:t xml:space="preserve">controls </w:t>
            </w:r>
            <w:r w:rsidR="00B74616" w:rsidRPr="006B7FA4">
              <w:rPr>
                <w:szCs w:val="20"/>
              </w:rPr>
              <w:t xml:space="preserve">for provider </w:t>
            </w:r>
            <w:r w:rsidR="002B1529" w:rsidRPr="006B7FA4">
              <w:rPr>
                <w:szCs w:val="20"/>
              </w:rPr>
              <w:t>identifiers</w:t>
            </w:r>
            <w:r w:rsidR="002D6626" w:rsidRPr="006B7FA4">
              <w:rPr>
                <w:szCs w:val="20"/>
              </w:rPr>
              <w:t xml:space="preserve"> used for claims</w:t>
            </w:r>
          </w:p>
        </w:tc>
        <w:tc>
          <w:tcPr>
            <w:tcW w:w="1231" w:type="pct"/>
          </w:tcPr>
          <w:p w14:paraId="0361DF03" w14:textId="15BCFC0A" w:rsidR="00DA29D4" w:rsidRPr="006B7FA4" w:rsidRDefault="00F64255" w:rsidP="004D051F">
            <w:pPr>
              <w:pStyle w:val="Tablebullets"/>
              <w:framePr w:wrap="around"/>
              <w:rPr>
                <w:szCs w:val="20"/>
              </w:rPr>
            </w:pPr>
            <w:r w:rsidRPr="006B7FA4">
              <w:rPr>
                <w:szCs w:val="20"/>
              </w:rPr>
              <w:t>Uplift of preventative controls for erroneous and fraudulent payments</w:t>
            </w:r>
          </w:p>
        </w:tc>
        <w:tc>
          <w:tcPr>
            <w:tcW w:w="1368" w:type="pct"/>
          </w:tcPr>
          <w:p w14:paraId="0439FF3B" w14:textId="77777777" w:rsidR="00DA29D4" w:rsidRPr="006B7FA4" w:rsidRDefault="004B316F" w:rsidP="004D051F">
            <w:pPr>
              <w:pStyle w:val="Tablebullets"/>
              <w:framePr w:wrap="around"/>
              <w:rPr>
                <w:szCs w:val="20"/>
              </w:rPr>
            </w:pPr>
            <w:r w:rsidRPr="006B7FA4">
              <w:rPr>
                <w:szCs w:val="20"/>
              </w:rPr>
              <w:t>Advanced whole population pattern analysis</w:t>
            </w:r>
          </w:p>
          <w:p w14:paraId="5CB518DB" w14:textId="004C10A0" w:rsidR="004B316F" w:rsidRPr="006B7FA4" w:rsidRDefault="004B316F" w:rsidP="004D051F">
            <w:pPr>
              <w:pStyle w:val="Tablebullets"/>
              <w:framePr w:wrap="around"/>
              <w:rPr>
                <w:szCs w:val="20"/>
              </w:rPr>
            </w:pPr>
            <w:r w:rsidRPr="006B7FA4">
              <w:rPr>
                <w:szCs w:val="20"/>
              </w:rPr>
              <w:t>Introduction of continuous monitoring detection</w:t>
            </w:r>
          </w:p>
        </w:tc>
      </w:tr>
    </w:tbl>
    <w:p w14:paraId="2BA3E16A" w14:textId="491B52FC" w:rsidR="00DA29D4" w:rsidRDefault="00E87718" w:rsidP="00E87718">
      <w:pPr>
        <w:pStyle w:val="Caption"/>
      </w:pPr>
      <w:r>
        <w:t xml:space="preserve">Source: </w:t>
      </w:r>
      <w:r w:rsidR="00E849B6">
        <w:t>Philip Review (2023)</w:t>
      </w:r>
    </w:p>
    <w:p w14:paraId="4A76B36E" w14:textId="77B68B5B" w:rsidR="00DD252A" w:rsidRDefault="002873CA" w:rsidP="00940D39">
      <w:pPr>
        <w:pStyle w:val="Heading3"/>
      </w:pPr>
      <w:bookmarkStart w:id="216" w:name="_Ref128667781"/>
      <w:bookmarkStart w:id="217" w:name="_Toc128669084"/>
      <w:bookmarkStart w:id="218" w:name="_Toc128905540"/>
      <w:bookmarkStart w:id="219" w:name="_Toc128907041"/>
      <w:bookmarkStart w:id="220" w:name="_Toc128909151"/>
      <w:r>
        <w:t xml:space="preserve">Future </w:t>
      </w:r>
      <w:r w:rsidR="00292A73">
        <w:t>state</w:t>
      </w:r>
      <w:bookmarkEnd w:id="216"/>
      <w:bookmarkEnd w:id="217"/>
      <w:bookmarkEnd w:id="218"/>
      <w:bookmarkEnd w:id="219"/>
      <w:bookmarkEnd w:id="220"/>
      <w:r w:rsidR="00292A73">
        <w:t xml:space="preserve"> </w:t>
      </w:r>
    </w:p>
    <w:p w14:paraId="546B6AEA" w14:textId="54BF884E" w:rsidR="00A201A5" w:rsidRDefault="00EB42DC" w:rsidP="0074230E">
      <w:r>
        <w:t xml:space="preserve">The recommendations in </w:t>
      </w:r>
      <w:r w:rsidR="005C2563">
        <w:t>S</w:t>
      </w:r>
      <w:r>
        <w:t>ection</w:t>
      </w:r>
      <w:r w:rsidR="005C2563">
        <w:t xml:space="preserve"> </w:t>
      </w:r>
      <w:r>
        <w:t xml:space="preserve">3.1.1 </w:t>
      </w:r>
      <w:r w:rsidR="00645606">
        <w:t xml:space="preserve">provide the foundations for a future state Medicare system that </w:t>
      </w:r>
      <w:r w:rsidR="00A9646D">
        <w:t>is supported by strengthened governance and</w:t>
      </w:r>
      <w:r w:rsidR="00D05493">
        <w:t xml:space="preserve"> preventative controls, enhanced capabilities for </w:t>
      </w:r>
      <w:r w:rsidR="00173A86">
        <w:t xml:space="preserve">the </w:t>
      </w:r>
      <w:r w:rsidR="00D05493">
        <w:t>detection of non-compliance and fraud, and</w:t>
      </w:r>
      <w:r w:rsidR="00E4684F">
        <w:t xml:space="preserve"> modernised technology platform</w:t>
      </w:r>
      <w:r w:rsidR="002C0EF0">
        <w:t>s</w:t>
      </w:r>
      <w:r w:rsidR="00E4684F">
        <w:t>. A high</w:t>
      </w:r>
      <w:r w:rsidR="00FF2E12">
        <w:t>-</w:t>
      </w:r>
      <w:r w:rsidR="00E4684F">
        <w:t>level overview of this future state</w:t>
      </w:r>
      <w:r w:rsidR="00A201A5">
        <w:t xml:space="preserve"> with key enhancements based on </w:t>
      </w:r>
      <w:r w:rsidR="00FB54E3">
        <w:t>these</w:t>
      </w:r>
      <w:r w:rsidR="00A201A5">
        <w:t xml:space="preserve"> recommendations </w:t>
      </w:r>
      <w:r w:rsidR="00B65862">
        <w:t xml:space="preserve">is </w:t>
      </w:r>
      <w:r w:rsidR="00A201A5">
        <w:t xml:space="preserve">detailed </w:t>
      </w:r>
      <w:r w:rsidR="00F63FFE">
        <w:t xml:space="preserve">in </w:t>
      </w:r>
      <w:r w:rsidR="00F63FFE">
        <w:fldChar w:fldCharType="begin"/>
      </w:r>
      <w:r w:rsidR="00F63FFE">
        <w:instrText xml:space="preserve"> REF _Ref128670275 \r \h </w:instrText>
      </w:r>
      <w:r w:rsidR="00F63FFE">
        <w:fldChar w:fldCharType="separate"/>
      </w:r>
      <w:r w:rsidR="005A1647">
        <w:t>Figure 3.2</w:t>
      </w:r>
      <w:r w:rsidR="00F63FFE">
        <w:fldChar w:fldCharType="end"/>
      </w:r>
      <w:r w:rsidR="00F63FFE">
        <w:t xml:space="preserve"> and in the text </w:t>
      </w:r>
      <w:r w:rsidR="00A201A5">
        <w:t>below.</w:t>
      </w:r>
    </w:p>
    <w:p w14:paraId="0222624E" w14:textId="073A6599" w:rsidR="00D76904" w:rsidRDefault="00D76904" w:rsidP="00940D39">
      <w:pPr>
        <w:pStyle w:val="CaptionFigure"/>
      </w:pPr>
      <w:bookmarkStart w:id="221" w:name="_Ref128670275"/>
      <w:bookmarkStart w:id="222" w:name="_Toc131418631"/>
      <w:r>
        <w:t xml:space="preserve">: </w:t>
      </w:r>
      <w:r w:rsidR="00B5308D">
        <w:t xml:space="preserve">Future state </w:t>
      </w:r>
      <w:r w:rsidR="00F8364F">
        <w:t>of the Medicare system</w:t>
      </w:r>
      <w:bookmarkEnd w:id="221"/>
      <w:bookmarkEnd w:id="222"/>
    </w:p>
    <w:p w14:paraId="42CCFF4F" w14:textId="74125BCF" w:rsidR="00A201A5" w:rsidRDefault="00A0296F" w:rsidP="0074230E">
      <w:r>
        <w:rPr>
          <w:noProof/>
        </w:rPr>
        <w:drawing>
          <wp:inline distT="0" distB="0" distL="0" distR="0" wp14:anchorId="4EDEB035" wp14:editId="354770E7">
            <wp:extent cx="6653254" cy="2476914"/>
            <wp:effectExtent l="0" t="0" r="0" b="0"/>
            <wp:docPr id="55" name="Picture 55" descr="Figure 3.3 is a diagram showing connections between compliance mechanisms and assets in an idealised future state Medicare. Graphic shows different elements across claims, payment and post payment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3.3 is a diagram showing connections between compliance mechanisms and assets in an idealised future state Medicare. Graphic shows different elements across claims, payment and post payment environm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9080" cy="2482806"/>
                    </a:xfrm>
                    <a:prstGeom prst="rect">
                      <a:avLst/>
                    </a:prstGeom>
                    <a:noFill/>
                  </pic:spPr>
                </pic:pic>
              </a:graphicData>
            </a:graphic>
          </wp:inline>
        </w:drawing>
      </w:r>
    </w:p>
    <w:p w14:paraId="10FF4A61" w14:textId="7F91B261" w:rsidR="00D76904" w:rsidRDefault="00D76904" w:rsidP="00D76904">
      <w:pPr>
        <w:pStyle w:val="Caption"/>
      </w:pPr>
      <w:r>
        <w:t xml:space="preserve">Source: </w:t>
      </w:r>
      <w:r w:rsidR="00E12E42">
        <w:t>Philip Review (2023)</w:t>
      </w:r>
    </w:p>
    <w:p w14:paraId="16704A88" w14:textId="71C9627E" w:rsidR="00DD252A" w:rsidRDefault="002A7A94" w:rsidP="0074230E">
      <w:r>
        <w:t>Within</w:t>
      </w:r>
      <w:r w:rsidR="002C0EF0">
        <w:t xml:space="preserve"> this future state:</w:t>
      </w:r>
    </w:p>
    <w:p w14:paraId="76E78957" w14:textId="2795EB18" w:rsidR="00DD252A" w:rsidRDefault="008E4908" w:rsidP="00520404">
      <w:pPr>
        <w:pStyle w:val="ListBullet"/>
      </w:pPr>
      <w:r>
        <w:t xml:space="preserve">The oversight committee </w:t>
      </w:r>
      <w:r w:rsidR="00AA1185">
        <w:t>has visibility of risk coverage</w:t>
      </w:r>
      <w:r w:rsidR="00E80D99">
        <w:t xml:space="preserve">, </w:t>
      </w:r>
      <w:r w:rsidR="00590B9A">
        <w:t>control</w:t>
      </w:r>
      <w:r w:rsidR="00885CB8">
        <w:t xml:space="preserve">s performance, </w:t>
      </w:r>
      <w:r w:rsidR="00635B48">
        <w:t>case s</w:t>
      </w:r>
      <w:r w:rsidR="00FB18E7">
        <w:t>tatistics for det</w:t>
      </w:r>
      <w:r w:rsidR="00271565">
        <w:t>ected instances of non-compliance</w:t>
      </w:r>
      <w:r w:rsidR="00766519">
        <w:t>/</w:t>
      </w:r>
      <w:r w:rsidR="00271565">
        <w:t>fraud</w:t>
      </w:r>
      <w:r w:rsidR="00AA79D8">
        <w:t xml:space="preserve">, and </w:t>
      </w:r>
      <w:r w:rsidR="00A61B09">
        <w:t>emerging fraud typologies.</w:t>
      </w:r>
      <w:r w:rsidR="00532718">
        <w:t xml:space="preserve"> </w:t>
      </w:r>
      <w:r w:rsidR="00766519">
        <w:t xml:space="preserve">This provides a vehicle for </w:t>
      </w:r>
      <w:r w:rsidR="00532718">
        <w:t>transparency between agencies</w:t>
      </w:r>
      <w:r w:rsidR="00F4517E">
        <w:t xml:space="preserve"> and government, </w:t>
      </w:r>
      <w:r w:rsidR="00766519">
        <w:t xml:space="preserve">as well as a necessary </w:t>
      </w:r>
      <w:r w:rsidR="00504EE7">
        <w:t>mechanism</w:t>
      </w:r>
      <w:r w:rsidR="00EF7FA0">
        <w:t xml:space="preserve"> for oversight, challenge, and accountability of integrity risk.</w:t>
      </w:r>
      <w:r w:rsidR="00504EE7">
        <w:t xml:space="preserve"> </w:t>
      </w:r>
    </w:p>
    <w:p w14:paraId="2B65B9EE" w14:textId="51F5D13C" w:rsidR="00742D26" w:rsidRDefault="005369B8" w:rsidP="00520404">
      <w:pPr>
        <w:pStyle w:val="ListBullet"/>
      </w:pPr>
      <w:r>
        <w:t>Claiming channel</w:t>
      </w:r>
      <w:r w:rsidR="00742D26">
        <w:t xml:space="preserve">s are </w:t>
      </w:r>
      <w:r w:rsidR="00092380">
        <w:t>rationalised</w:t>
      </w:r>
      <w:r w:rsidR="00213ABB">
        <w:t xml:space="preserve"> and merged where appropriate to reduce the </w:t>
      </w:r>
      <w:r w:rsidR="0038751F">
        <w:t xml:space="preserve">potential for duplication and </w:t>
      </w:r>
      <w:proofErr w:type="spellStart"/>
      <w:r w:rsidR="0038751F">
        <w:t>misclaiming</w:t>
      </w:r>
      <w:proofErr w:type="spellEnd"/>
      <w:r w:rsidR="00927121">
        <w:t xml:space="preserve">, as well as </w:t>
      </w:r>
      <w:r w:rsidR="005F29C0">
        <w:t xml:space="preserve">streamlining the infrastructure to support the </w:t>
      </w:r>
      <w:r>
        <w:t>claiming channel</w:t>
      </w:r>
      <w:r w:rsidR="00A81C76">
        <w:t>s</w:t>
      </w:r>
      <w:r w:rsidR="0038751F">
        <w:t>.</w:t>
      </w:r>
    </w:p>
    <w:p w14:paraId="502F37AD" w14:textId="5E68B99F" w:rsidR="00DD252A" w:rsidRDefault="00CC3098" w:rsidP="00520404">
      <w:pPr>
        <w:pStyle w:val="ListBullet"/>
      </w:pPr>
      <w:r>
        <w:t>Participants are provided with guidance about item numbers that are being claimed at the point of claim</w:t>
      </w:r>
      <w:r w:rsidR="0050491E">
        <w:t xml:space="preserve"> to </w:t>
      </w:r>
      <w:r w:rsidR="00FC08E4">
        <w:t>minimise inadvertent non-compliance.</w:t>
      </w:r>
    </w:p>
    <w:p w14:paraId="61D5F6A5" w14:textId="72A5E5E5" w:rsidR="00FC08E4" w:rsidRDefault="00640AFA" w:rsidP="00520404">
      <w:pPr>
        <w:pStyle w:val="ListBullet"/>
      </w:pPr>
      <w:r>
        <w:t>Further d</w:t>
      </w:r>
      <w:r w:rsidR="00FC08E4">
        <w:t xml:space="preserve">ata validation controls are </w:t>
      </w:r>
      <w:r>
        <w:t xml:space="preserve">implemented </w:t>
      </w:r>
      <w:r w:rsidR="00FC08E4">
        <w:t xml:space="preserve">within claim channels </w:t>
      </w:r>
      <w:r w:rsidR="00824C54">
        <w:t xml:space="preserve">to prevent submission of claims that </w:t>
      </w:r>
      <w:r w:rsidR="006F5A41">
        <w:t xml:space="preserve">do not meet required </w:t>
      </w:r>
      <w:r w:rsidR="00C542F7">
        <w:t>claim rules.</w:t>
      </w:r>
    </w:p>
    <w:p w14:paraId="22687FBB" w14:textId="617179ED" w:rsidR="00364133" w:rsidRDefault="004B2991" w:rsidP="00520404">
      <w:pPr>
        <w:pStyle w:val="ListBullet"/>
      </w:pPr>
      <w:r>
        <w:t xml:space="preserve">The Medicare </w:t>
      </w:r>
      <w:r w:rsidR="00B65862">
        <w:t xml:space="preserve">Common </w:t>
      </w:r>
      <w:r>
        <w:t>Assess</w:t>
      </w:r>
      <w:r w:rsidR="00B65862">
        <w:t>ing</w:t>
      </w:r>
      <w:r>
        <w:t xml:space="preserve"> Engine is migrated from </w:t>
      </w:r>
      <w:r w:rsidR="00131128">
        <w:t xml:space="preserve">the </w:t>
      </w:r>
      <w:r>
        <w:t xml:space="preserve">current </w:t>
      </w:r>
      <w:r w:rsidR="0079592F">
        <w:t>legacy m</w:t>
      </w:r>
      <w:r>
        <w:t>ainframe</w:t>
      </w:r>
      <w:r w:rsidR="0079592F">
        <w:t xml:space="preserve"> to a modern platform</w:t>
      </w:r>
      <w:r w:rsidR="009B39C6">
        <w:t xml:space="preserve">, including </w:t>
      </w:r>
      <w:r w:rsidR="00B27A7C">
        <w:t xml:space="preserve">upgrades to </w:t>
      </w:r>
      <w:r w:rsidR="00364133">
        <w:t>assessment applications, data model, and data storage.</w:t>
      </w:r>
    </w:p>
    <w:p w14:paraId="0667E548" w14:textId="595F5D20" w:rsidR="009B39C6" w:rsidRDefault="00E52617" w:rsidP="00520404">
      <w:pPr>
        <w:pStyle w:val="ListBullet"/>
      </w:pPr>
      <w:r>
        <w:t xml:space="preserve">Rules </w:t>
      </w:r>
      <w:r w:rsidR="00284848">
        <w:t xml:space="preserve">within the Medicare </w:t>
      </w:r>
      <w:r w:rsidR="00B65862">
        <w:t xml:space="preserve">Common </w:t>
      </w:r>
      <w:r w:rsidR="00284848">
        <w:t>Assess</w:t>
      </w:r>
      <w:r w:rsidR="00B65862">
        <w:t>ing</w:t>
      </w:r>
      <w:r w:rsidR="00284848">
        <w:t xml:space="preserve"> Engine</w:t>
      </w:r>
      <w:r w:rsidR="00190CAB">
        <w:t xml:space="preserve"> are enhanced</w:t>
      </w:r>
      <w:r w:rsidR="00462BC4">
        <w:t xml:space="preserve"> to detect </w:t>
      </w:r>
      <w:r w:rsidR="00CF16B1">
        <w:t>non-compliance and fraud</w:t>
      </w:r>
      <w:r w:rsidR="00F921A7">
        <w:t>;</w:t>
      </w:r>
      <w:r w:rsidR="00FC0B49">
        <w:t xml:space="preserve"> </w:t>
      </w:r>
      <w:r w:rsidR="00B56245">
        <w:t xml:space="preserve">flagged </w:t>
      </w:r>
      <w:r w:rsidR="00FC0B49">
        <w:t xml:space="preserve">claims </w:t>
      </w:r>
      <w:r w:rsidR="006A220D">
        <w:t>are passed to specialist teams for further assessment</w:t>
      </w:r>
      <w:r w:rsidR="00B56245">
        <w:t xml:space="preserve">, with all other claims </w:t>
      </w:r>
      <w:r w:rsidR="007E165F">
        <w:t>processed for payment.</w:t>
      </w:r>
    </w:p>
    <w:p w14:paraId="39A0878D" w14:textId="6A2FF5DD" w:rsidR="00EF7377" w:rsidRDefault="007A3CD8" w:rsidP="00520404">
      <w:pPr>
        <w:pStyle w:val="ListBullet"/>
      </w:pPr>
      <w:r>
        <w:t xml:space="preserve">Notifications are </w:t>
      </w:r>
      <w:r w:rsidR="00EF7377">
        <w:t xml:space="preserve">implemented to </w:t>
      </w:r>
      <w:r>
        <w:t xml:space="preserve">inform </w:t>
      </w:r>
      <w:r w:rsidR="00080C40">
        <w:t xml:space="preserve">participants of when their </w:t>
      </w:r>
      <w:r w:rsidR="00B65862">
        <w:t>p</w:t>
      </w:r>
      <w:r w:rsidR="00080C40">
        <w:t>rovider/Medicare identifier has been used as part of a claim/payment</w:t>
      </w:r>
      <w:r w:rsidR="00E01A5A">
        <w:t xml:space="preserve"> to promote transparency </w:t>
      </w:r>
      <w:r w:rsidR="00FA3232">
        <w:t xml:space="preserve">and </w:t>
      </w:r>
      <w:r>
        <w:t xml:space="preserve">a mechanism to report </w:t>
      </w:r>
      <w:r w:rsidR="00F12FF0">
        <w:t>misuse</w:t>
      </w:r>
      <w:r w:rsidR="001849AE">
        <w:t>.</w:t>
      </w:r>
    </w:p>
    <w:p w14:paraId="1E3FE792" w14:textId="4CF7FED1" w:rsidR="00105E73" w:rsidRDefault="001B5146" w:rsidP="00520404">
      <w:pPr>
        <w:pStyle w:val="ListBullet"/>
      </w:pPr>
      <w:r>
        <w:t>Tip</w:t>
      </w:r>
      <w:r w:rsidR="00A65897">
        <w:t xml:space="preserve"> </w:t>
      </w:r>
      <w:r>
        <w:t xml:space="preserve">offs, intelligence from </w:t>
      </w:r>
      <w:r w:rsidR="00366743">
        <w:t xml:space="preserve">law enforcement and other agencies, and </w:t>
      </w:r>
      <w:r w:rsidR="00BB6332">
        <w:t xml:space="preserve">integrity risks are </w:t>
      </w:r>
      <w:r w:rsidR="00B741FF">
        <w:t xml:space="preserve">mapped against </w:t>
      </w:r>
      <w:r w:rsidR="00852F9A">
        <w:t>claims and payment data.</w:t>
      </w:r>
      <w:r w:rsidR="000059F8">
        <w:t xml:space="preserve"> All </w:t>
      </w:r>
      <w:r w:rsidR="00A17F5D">
        <w:t xml:space="preserve">such intelligence is used to develop </w:t>
      </w:r>
      <w:r w:rsidR="00063E40">
        <w:t>analytical monitoring controls.</w:t>
      </w:r>
    </w:p>
    <w:p w14:paraId="7B783869" w14:textId="60F78877" w:rsidR="00852F9A" w:rsidRDefault="00852F9A" w:rsidP="00520404">
      <w:pPr>
        <w:pStyle w:val="ListBullet"/>
      </w:pPr>
      <w:r>
        <w:lastRenderedPageBreak/>
        <w:t>Post</w:t>
      </w:r>
      <w:r w:rsidR="004A1281">
        <w:t>-</w:t>
      </w:r>
      <w:r>
        <w:t xml:space="preserve">payment </w:t>
      </w:r>
      <w:r w:rsidR="00A23841">
        <w:t xml:space="preserve">detection of </w:t>
      </w:r>
      <w:r w:rsidR="00B72205">
        <w:t xml:space="preserve">non-compliance and fraud </w:t>
      </w:r>
      <w:r w:rsidR="00B46BB2">
        <w:t>includes both targeted projects and continuous monitoring.</w:t>
      </w:r>
    </w:p>
    <w:p w14:paraId="1E2198C6" w14:textId="2744D838" w:rsidR="00BD5D22" w:rsidRDefault="00902DDF" w:rsidP="00520404">
      <w:pPr>
        <w:pStyle w:val="ListBullet"/>
      </w:pPr>
      <w:r>
        <w:t xml:space="preserve">All flagged cases are </w:t>
      </w:r>
      <w:r w:rsidR="00CE4216">
        <w:t>governed by a modern case management system, which facilitates case triage (based on risk/severity), case assignment, tracking of status,</w:t>
      </w:r>
      <w:r w:rsidR="00BD5D22">
        <w:t xml:space="preserve"> investigation, and detailed reporting. </w:t>
      </w:r>
      <w:r w:rsidR="00CD3B97">
        <w:t xml:space="preserve">Case outcomes are provided to PRP/PSR </w:t>
      </w:r>
      <w:r w:rsidR="0010355A">
        <w:t>as an additional escalation point.</w:t>
      </w:r>
    </w:p>
    <w:p w14:paraId="061C1E75" w14:textId="77777777" w:rsidR="007B5522" w:rsidRDefault="004310B0" w:rsidP="00520404">
      <w:pPr>
        <w:pStyle w:val="ListBullet"/>
      </w:pPr>
      <w:r>
        <w:t xml:space="preserve">Feedback from </w:t>
      </w:r>
      <w:r w:rsidR="00BD503E">
        <w:t xml:space="preserve">confirmed instances of non-compliance and fraud are fed back into </w:t>
      </w:r>
      <w:r w:rsidR="00C54772">
        <w:t>upstream claims and payment systems for continuous improvement of the overall system.</w:t>
      </w:r>
    </w:p>
    <w:p w14:paraId="04923CE7" w14:textId="51C7DC98" w:rsidR="00017C12" w:rsidRDefault="00D9431F" w:rsidP="00940D39">
      <w:pPr>
        <w:pStyle w:val="Heading2"/>
      </w:pPr>
      <w:bookmarkStart w:id="223" w:name="_Toc128669085"/>
      <w:bookmarkStart w:id="224" w:name="_Toc128905541"/>
      <w:bookmarkStart w:id="225" w:name="_Toc128907042"/>
      <w:bookmarkStart w:id="226" w:name="_Toc128909152"/>
      <w:bookmarkEnd w:id="203"/>
      <w:r>
        <w:t>Detailed recommendations</w:t>
      </w:r>
      <w:bookmarkEnd w:id="223"/>
      <w:bookmarkEnd w:id="224"/>
      <w:bookmarkEnd w:id="225"/>
      <w:bookmarkEnd w:id="226"/>
    </w:p>
    <w:p w14:paraId="54005308" w14:textId="23E1EE2D" w:rsidR="00A4635A" w:rsidRDefault="00A4635A" w:rsidP="00A4635A">
      <w:pPr>
        <w:pStyle w:val="Heading3"/>
      </w:pPr>
      <w:r>
        <w:t>Governance</w:t>
      </w:r>
    </w:p>
    <w:p w14:paraId="4FE52EFD" w14:textId="77777777" w:rsidR="004D051F" w:rsidRDefault="004D051F" w:rsidP="004D051F">
      <w:pPr>
        <w:pStyle w:val="Recommendationtextbox"/>
      </w:pPr>
      <w:r>
        <w:t>Recommendation 1: Strengthen the governance model overseeing Medicare through each line of defence.</w:t>
      </w:r>
    </w:p>
    <w:p w14:paraId="26488703" w14:textId="77777777" w:rsidR="004D051F" w:rsidRDefault="004D051F" w:rsidP="004D051F">
      <w:pPr>
        <w:pStyle w:val="Recommendationtextbox"/>
      </w:pPr>
      <w:r>
        <w:t xml:space="preserve">Recommendation 1.1: Introduce an expanded governance structure to embed a Medicare Oversight Committee with representation from </w:t>
      </w:r>
      <w:proofErr w:type="spellStart"/>
      <w:r>
        <w:t>DoHAC</w:t>
      </w:r>
      <w:proofErr w:type="spellEnd"/>
      <w:r>
        <w:t xml:space="preserve"> (chair), Services Australia, ADHA, the Digital Transformation Agency and independent experts.</w:t>
      </w:r>
    </w:p>
    <w:p w14:paraId="47705588" w14:textId="77777777" w:rsidR="004D051F" w:rsidRDefault="004D051F" w:rsidP="004D051F">
      <w:pPr>
        <w:pStyle w:val="Recommendationtextbox"/>
      </w:pPr>
      <w:r>
        <w:t>Recommendation 1.2: Establish and embed working groups focused on three key areas of Medicare: ‘Policy, Legislation and Program Evaluation’, ‘Claims and Payments’, and ‘Technology and Data Management’.</w:t>
      </w:r>
    </w:p>
    <w:p w14:paraId="2D7B0BF1" w14:textId="3B8E1B46" w:rsidR="004D051F" w:rsidRPr="004D051F" w:rsidRDefault="004D051F" w:rsidP="004D051F">
      <w:pPr>
        <w:pStyle w:val="Recommendationtextbox"/>
      </w:pPr>
      <w:r>
        <w:t>Recommendation 1.3: Consider restructuring the design and composition of MBS numbers with a time-based backbone together with additional specific intervention and procedure codes, bundling of co-claimed surgical items to create single procedure codes, and integration of pre-claim decision support into practice management software.</w:t>
      </w:r>
    </w:p>
    <w:p w14:paraId="5BA17BA6" w14:textId="2BFCF485" w:rsidR="00A4635A" w:rsidRPr="00BC6ABD" w:rsidRDefault="00A4635A" w:rsidP="00A4635A">
      <w:r w:rsidRPr="00BC6ABD">
        <w:t>A formal governance model is required to ensure benefits integrity risks are identified, assessed, and managed in a timely manner. Such a model would facilitate risk-based decision</w:t>
      </w:r>
      <w:r>
        <w:t>-</w:t>
      </w:r>
      <w:r w:rsidRPr="00BC6ABD">
        <w:t>making and ensure adequate end-to-end oversight of Medica</w:t>
      </w:r>
      <w:r>
        <w:t>re</w:t>
      </w:r>
      <w:r w:rsidRPr="00BC6ABD">
        <w:t xml:space="preserve">. Importantly, these activities must be undertaken in a manner that ensures compliance with existing legislation and frameworks, including the </w:t>
      </w:r>
      <w:r w:rsidRPr="00D34C8E">
        <w:rPr>
          <w:i/>
        </w:rPr>
        <w:t>Public Governance, Performance and Accountability Act 2013</w:t>
      </w:r>
      <w:r w:rsidRPr="00BC6ABD">
        <w:t xml:space="preserve">, Commonwealth Risk Management Policy, and the Commonwealth Fraud Control Framework. </w:t>
      </w:r>
    </w:p>
    <w:p w14:paraId="5D116E50" w14:textId="77777777" w:rsidR="00A4635A" w:rsidRPr="00207EC8" w:rsidRDefault="00A4635A" w:rsidP="00A4635A">
      <w:pPr>
        <w:pStyle w:val="CaptionTable"/>
        <w:ind w:left="0"/>
      </w:pPr>
      <w:bookmarkStart w:id="227" w:name="_Toc131418582"/>
      <w:r w:rsidRPr="00BC6ABD">
        <w:t>: Three Lines of Defence Model</w:t>
      </w:r>
      <w:bookmarkEnd w:id="227"/>
    </w:p>
    <w:tbl>
      <w:tblPr>
        <w:tblStyle w:val="Deloittetable"/>
        <w:tblW w:w="5000" w:type="pct"/>
        <w:tblBorders>
          <w:top w:val="single" w:sz="24" w:space="0" w:color="005B89"/>
        </w:tblBorders>
        <w:tblLook w:val="04A0" w:firstRow="1" w:lastRow="0" w:firstColumn="1" w:lastColumn="0" w:noHBand="0" w:noVBand="1"/>
      </w:tblPr>
      <w:tblGrid>
        <w:gridCol w:w="710"/>
        <w:gridCol w:w="9756"/>
      </w:tblGrid>
      <w:tr w:rsidR="00A4635A" w:rsidRPr="00405174" w14:paraId="0AB9CF52" w14:textId="77777777">
        <w:trPr>
          <w:cnfStyle w:val="100000000000" w:firstRow="1" w:lastRow="0" w:firstColumn="0" w:lastColumn="0" w:oddVBand="0" w:evenVBand="0" w:oddHBand="0" w:evenHBand="0" w:firstRowFirstColumn="0" w:firstRowLastColumn="0" w:lastRowFirstColumn="0" w:lastRowLastColumn="0"/>
          <w:trHeight w:val="264"/>
          <w:tblHeader/>
        </w:trPr>
        <w:tc>
          <w:tcPr>
            <w:tcW w:w="0" w:type="pct"/>
          </w:tcPr>
          <w:p w14:paraId="00C1D932" w14:textId="77777777" w:rsidR="00A4635A" w:rsidRPr="00405174" w:rsidRDefault="00A4635A" w:rsidP="00405174">
            <w:r w:rsidRPr="00405174">
              <w:t>Line</w:t>
            </w:r>
          </w:p>
        </w:tc>
        <w:tc>
          <w:tcPr>
            <w:tcW w:w="0" w:type="pct"/>
          </w:tcPr>
          <w:p w14:paraId="27B5F662" w14:textId="77777777" w:rsidR="00A4635A" w:rsidRPr="00405174" w:rsidRDefault="00A4635A" w:rsidP="00405174">
            <w:r w:rsidRPr="00405174">
              <w:t>Responsibilities</w:t>
            </w:r>
          </w:p>
        </w:tc>
      </w:tr>
      <w:tr w:rsidR="00A4635A" w:rsidRPr="00BC6ABD" w14:paraId="0578F418" w14:textId="77777777">
        <w:trPr>
          <w:trHeight w:val="70"/>
        </w:trPr>
        <w:tc>
          <w:tcPr>
            <w:tcW w:w="339" w:type="pct"/>
          </w:tcPr>
          <w:p w14:paraId="155320DF" w14:textId="77777777" w:rsidR="00A4635A" w:rsidRPr="004A77D7" w:rsidRDefault="00A4635A">
            <w:pPr>
              <w:rPr>
                <w:b/>
              </w:rPr>
            </w:pPr>
            <w:r w:rsidRPr="004A77D7">
              <w:rPr>
                <w:b/>
              </w:rPr>
              <w:t>1LOD</w:t>
            </w:r>
          </w:p>
        </w:tc>
        <w:tc>
          <w:tcPr>
            <w:tcW w:w="4661" w:type="pct"/>
          </w:tcPr>
          <w:p w14:paraId="3120BCF4" w14:textId="28CFD330" w:rsidR="00A4635A" w:rsidRPr="00BC6ABD" w:rsidRDefault="00A4635A" w:rsidP="004D051F">
            <w:pPr>
              <w:pStyle w:val="Tablebullets"/>
              <w:framePr w:wrap="around"/>
            </w:pPr>
            <w:r w:rsidRPr="00BC6ABD">
              <w:t xml:space="preserve">Responsible for the </w:t>
            </w:r>
            <w:r w:rsidR="00B65862">
              <w:t>o</w:t>
            </w:r>
            <w:r w:rsidRPr="00BC6ABD">
              <w:t>peration of preventative controls in provider</w:t>
            </w:r>
            <w:r w:rsidR="00B65862">
              <w:t>-</w:t>
            </w:r>
            <w:r w:rsidRPr="00BC6ABD">
              <w:t>facing business processes and claims/payments systems</w:t>
            </w:r>
          </w:p>
          <w:p w14:paraId="4FFDA5BC" w14:textId="77777777" w:rsidR="00A4635A" w:rsidRPr="00BC6ABD" w:rsidRDefault="00A4635A" w:rsidP="004D051F">
            <w:pPr>
              <w:pStyle w:val="Tablebullets"/>
              <w:framePr w:wrap="around"/>
            </w:pPr>
            <w:r w:rsidRPr="00BC6ABD">
              <w:t>Daily operation and tuning of continuous monitoring analytics models (detective controls)</w:t>
            </w:r>
          </w:p>
          <w:p w14:paraId="50CBEB42" w14:textId="47E5AA2F" w:rsidR="00A4635A" w:rsidRPr="00BC6ABD" w:rsidRDefault="00A4635A" w:rsidP="004D051F">
            <w:pPr>
              <w:pStyle w:val="Tablebullets"/>
              <w:framePr w:wrap="around"/>
            </w:pPr>
            <w:r w:rsidRPr="00BC6ABD">
              <w:t>Identification, assessment, and mitigation of emerging threats and risks</w:t>
            </w:r>
          </w:p>
          <w:p w14:paraId="3A0D2FEC" w14:textId="77777777" w:rsidR="00A4635A" w:rsidRPr="00BC6ABD" w:rsidRDefault="00A4635A" w:rsidP="004D051F">
            <w:pPr>
              <w:pStyle w:val="Tablebullets"/>
              <w:framePr w:wrap="around"/>
            </w:pPr>
            <w:r w:rsidRPr="00BC6ABD">
              <w:t xml:space="preserve">Actioning (triage, assignment, and treatment) of continuous monitoring alerts </w:t>
            </w:r>
          </w:p>
          <w:p w14:paraId="26F44E9F" w14:textId="77777777" w:rsidR="00A4635A" w:rsidRPr="00BC6ABD" w:rsidRDefault="00A4635A" w:rsidP="004D051F">
            <w:pPr>
              <w:pStyle w:val="Tablebullets"/>
              <w:framePr w:wrap="around"/>
            </w:pPr>
            <w:r w:rsidRPr="00BC6ABD">
              <w:t>Provider onboarding (including identity verification</w:t>
            </w:r>
            <w:r>
              <w:t xml:space="preserve"> and provider due diligence</w:t>
            </w:r>
            <w:r w:rsidRPr="00BC6ABD">
              <w:t>)</w:t>
            </w:r>
          </w:p>
        </w:tc>
      </w:tr>
      <w:tr w:rsidR="00A4635A" w:rsidRPr="00BC6ABD" w14:paraId="38B0FAB0" w14:textId="77777777">
        <w:trPr>
          <w:trHeight w:val="1124"/>
        </w:trPr>
        <w:tc>
          <w:tcPr>
            <w:tcW w:w="339" w:type="pct"/>
          </w:tcPr>
          <w:p w14:paraId="0C38F764" w14:textId="77777777" w:rsidR="00A4635A" w:rsidRPr="004A77D7" w:rsidRDefault="00A4635A">
            <w:pPr>
              <w:rPr>
                <w:b/>
              </w:rPr>
            </w:pPr>
            <w:r w:rsidRPr="004A77D7">
              <w:rPr>
                <w:b/>
              </w:rPr>
              <w:t>2LOD</w:t>
            </w:r>
          </w:p>
        </w:tc>
        <w:tc>
          <w:tcPr>
            <w:tcW w:w="4661" w:type="pct"/>
          </w:tcPr>
          <w:p w14:paraId="0077736D" w14:textId="061A8FD1" w:rsidR="00A4635A" w:rsidRPr="00BC6ABD" w:rsidRDefault="00A4635A" w:rsidP="004D051F">
            <w:pPr>
              <w:pStyle w:val="Tablebullets"/>
              <w:framePr w:wrap="around"/>
            </w:pPr>
            <w:r w:rsidRPr="00BC6ABD">
              <w:t>Own, develop, and manage the risk management framework</w:t>
            </w:r>
          </w:p>
          <w:p w14:paraId="0193C3A4" w14:textId="183D1080" w:rsidR="00A4635A" w:rsidRPr="00BC6ABD" w:rsidRDefault="00A4635A" w:rsidP="004D051F">
            <w:pPr>
              <w:pStyle w:val="Tablebullets"/>
              <w:framePr w:wrap="around"/>
            </w:pPr>
            <w:r w:rsidRPr="00BC6ABD">
              <w:t xml:space="preserve">Conduct risk assessments across all business functions and processes, </w:t>
            </w:r>
            <w:r w:rsidR="00B65862">
              <w:t xml:space="preserve">as well as </w:t>
            </w:r>
            <w:r w:rsidRPr="00BC6ABD">
              <w:t xml:space="preserve">maintaining and updating risk and control registers </w:t>
            </w:r>
          </w:p>
          <w:p w14:paraId="1CC5100C" w14:textId="4865E1B7" w:rsidR="00A4635A" w:rsidRPr="00BC6ABD" w:rsidRDefault="00A4635A" w:rsidP="004D051F">
            <w:pPr>
              <w:pStyle w:val="Tablebullets"/>
              <w:framePr w:wrap="around"/>
            </w:pPr>
            <w:r w:rsidRPr="00BC6ABD">
              <w:t xml:space="preserve">Provide reporting on the effectiveness of risk management to </w:t>
            </w:r>
            <w:r w:rsidR="00B65862">
              <w:t>s</w:t>
            </w:r>
            <w:r w:rsidRPr="00BC6ABD">
              <w:t xml:space="preserve">enior </w:t>
            </w:r>
            <w:r w:rsidR="00B65862">
              <w:t>e</w:t>
            </w:r>
            <w:r w:rsidRPr="00BC6ABD">
              <w:t xml:space="preserve">xecutives, </w:t>
            </w:r>
            <w:r w:rsidR="00B65862">
              <w:t>w</w:t>
            </w:r>
            <w:r w:rsidRPr="00BC6ABD">
              <w:t xml:space="preserve">orking </w:t>
            </w:r>
            <w:r w:rsidR="00B65862">
              <w:t>g</w:t>
            </w:r>
            <w:r w:rsidRPr="00BC6ABD">
              <w:t xml:space="preserve">roups and </w:t>
            </w:r>
            <w:r w:rsidR="00B65862">
              <w:t>s</w:t>
            </w:r>
            <w:r w:rsidRPr="00BC6ABD">
              <w:t xml:space="preserve">teering </w:t>
            </w:r>
            <w:r w:rsidR="00B65862">
              <w:t>c</w:t>
            </w:r>
            <w:r w:rsidRPr="00BC6ABD">
              <w:t>ommittees</w:t>
            </w:r>
          </w:p>
          <w:p w14:paraId="4F055471" w14:textId="07911468" w:rsidR="00A4635A" w:rsidRPr="00BC6ABD" w:rsidRDefault="00A4635A" w:rsidP="004D051F">
            <w:pPr>
              <w:pStyle w:val="Tablebullets"/>
              <w:framePr w:wrap="around"/>
            </w:pPr>
            <w:r w:rsidRPr="00BC6ABD">
              <w:t>Responsible for interpretation and providing guidance on the implementation of complex policy and legislation obligations</w:t>
            </w:r>
          </w:p>
          <w:p w14:paraId="1A854776" w14:textId="4B27CA6F" w:rsidR="00A4635A" w:rsidRPr="00BC6ABD" w:rsidRDefault="00A4635A" w:rsidP="004D051F">
            <w:pPr>
              <w:pStyle w:val="Tablebullets"/>
              <w:framePr w:wrap="around"/>
            </w:pPr>
            <w:r w:rsidRPr="00BC6ABD">
              <w:t xml:space="preserve">Provide specialist advice to the Minister and senior </w:t>
            </w:r>
            <w:r w:rsidR="009931E5">
              <w:t>department</w:t>
            </w:r>
            <w:r w:rsidRPr="00BC6ABD">
              <w:t>al executives on key risks, mitigation strategies and action plans</w:t>
            </w:r>
          </w:p>
          <w:p w14:paraId="061331EB" w14:textId="508DD2C6" w:rsidR="00A4635A" w:rsidRPr="00BC6ABD" w:rsidRDefault="00A4635A" w:rsidP="004D051F">
            <w:pPr>
              <w:pStyle w:val="Tablebullets"/>
              <w:framePr w:wrap="around"/>
            </w:pPr>
            <w:r w:rsidRPr="00BC6ABD">
              <w:t>Provide oversight of risk functions to ensure current risk profile aligns with the organisational risk appetite</w:t>
            </w:r>
          </w:p>
          <w:p w14:paraId="296EB2C1" w14:textId="6BC41E78" w:rsidR="00A4635A" w:rsidRPr="00BC6ABD" w:rsidRDefault="00A4635A" w:rsidP="004D051F">
            <w:pPr>
              <w:pStyle w:val="Tablebullets"/>
              <w:framePr w:wrap="around"/>
            </w:pPr>
            <w:r w:rsidRPr="00BC6ABD">
              <w:t xml:space="preserve">Provide risk-based training to 1LOD </w:t>
            </w:r>
            <w:r w:rsidR="00B65862">
              <w:t>o</w:t>
            </w:r>
            <w:r w:rsidRPr="00BC6ABD">
              <w:t>peration</w:t>
            </w:r>
            <w:r w:rsidRPr="00BC6ABD" w:rsidDel="000579B6">
              <w:t>al</w:t>
            </w:r>
            <w:r w:rsidRPr="00BC6ABD">
              <w:t xml:space="preserve"> </w:t>
            </w:r>
            <w:r w:rsidR="00B65862">
              <w:t>s</w:t>
            </w:r>
            <w:r w:rsidRPr="00BC6ABD">
              <w:t>taff</w:t>
            </w:r>
          </w:p>
          <w:p w14:paraId="16CC5A4D" w14:textId="534C94D8" w:rsidR="00A4635A" w:rsidRPr="00BC6ABD" w:rsidRDefault="00A4635A" w:rsidP="004D051F">
            <w:pPr>
              <w:pStyle w:val="Tablebullets"/>
              <w:framePr w:wrap="around"/>
            </w:pPr>
            <w:r w:rsidRPr="00BC6ABD">
              <w:t>Conduct regular post</w:t>
            </w:r>
            <w:r w:rsidR="00B65862">
              <w:t>-</w:t>
            </w:r>
            <w:r w:rsidRPr="00BC6ABD">
              <w:t>incident reviews and identifies learnings for enhancement of first line controls</w:t>
            </w:r>
          </w:p>
        </w:tc>
      </w:tr>
      <w:tr w:rsidR="00A4635A" w:rsidRPr="00BC6ABD" w14:paraId="16609433" w14:textId="77777777">
        <w:trPr>
          <w:trHeight w:val="253"/>
        </w:trPr>
        <w:tc>
          <w:tcPr>
            <w:tcW w:w="339" w:type="pct"/>
          </w:tcPr>
          <w:p w14:paraId="788E0D0C" w14:textId="77777777" w:rsidR="00A4635A" w:rsidRPr="004A77D7" w:rsidRDefault="00A4635A">
            <w:pPr>
              <w:rPr>
                <w:b/>
              </w:rPr>
            </w:pPr>
            <w:r w:rsidRPr="004A77D7">
              <w:rPr>
                <w:b/>
              </w:rPr>
              <w:t>3LOD</w:t>
            </w:r>
          </w:p>
        </w:tc>
        <w:tc>
          <w:tcPr>
            <w:tcW w:w="4661" w:type="pct"/>
          </w:tcPr>
          <w:p w14:paraId="7C9780C3" w14:textId="04C0D81D" w:rsidR="00A4635A" w:rsidRPr="00BC6ABD" w:rsidRDefault="00A4635A" w:rsidP="004D051F">
            <w:pPr>
              <w:pStyle w:val="Tablebullets"/>
              <w:framePr w:wrap="around"/>
            </w:pPr>
            <w:r w:rsidRPr="00BC6ABD">
              <w:t xml:space="preserve">Provide independent assurance on adequacy/effectiveness of risk management program, </w:t>
            </w:r>
            <w:proofErr w:type="gramStart"/>
            <w:r w:rsidRPr="00BC6ABD">
              <w:t>policies</w:t>
            </w:r>
            <w:proofErr w:type="gramEnd"/>
            <w:r w:rsidRPr="00BC6ABD">
              <w:t xml:space="preserve"> </w:t>
            </w:r>
            <w:r w:rsidR="00B65862">
              <w:t xml:space="preserve">and </w:t>
            </w:r>
            <w:r w:rsidRPr="00BC6ABD">
              <w:t>legislation</w:t>
            </w:r>
          </w:p>
          <w:p w14:paraId="5B33BF56" w14:textId="77777777" w:rsidR="00A4635A" w:rsidRPr="00BC6ABD" w:rsidRDefault="00A4635A" w:rsidP="004D051F">
            <w:pPr>
              <w:pStyle w:val="Tablebullets"/>
              <w:framePr w:wrap="around"/>
            </w:pPr>
            <w:r w:rsidRPr="00BC6ABD">
              <w:t>Perform independent reviews of systemic failure or major incidents</w:t>
            </w:r>
          </w:p>
          <w:p w14:paraId="6B4021E1" w14:textId="7F4CDC34" w:rsidR="00A4635A" w:rsidRPr="00BC6ABD" w:rsidRDefault="00A4635A" w:rsidP="004D051F">
            <w:pPr>
              <w:pStyle w:val="Tablebullets"/>
              <w:framePr w:wrap="around"/>
            </w:pPr>
            <w:r w:rsidRPr="00BC6ABD">
              <w:t>Advise the working group and steer</w:t>
            </w:r>
            <w:r w:rsidR="00B65862">
              <w:t xml:space="preserve">ing </w:t>
            </w:r>
            <w:r w:rsidRPr="00BC6ABD">
              <w:t>co</w:t>
            </w:r>
            <w:r w:rsidR="00B65862">
              <w:t>mmittee</w:t>
            </w:r>
            <w:r w:rsidRPr="00BC6ABD">
              <w:t xml:space="preserve"> on impairments in the risk management process</w:t>
            </w:r>
            <w:r w:rsidR="00B65862">
              <w:t xml:space="preserve"> and</w:t>
            </w:r>
            <w:r w:rsidRPr="00BC6ABD">
              <w:t xml:space="preserve"> potential safeguards/controls to fix</w:t>
            </w:r>
          </w:p>
        </w:tc>
      </w:tr>
    </w:tbl>
    <w:p w14:paraId="12222BE4" w14:textId="42A8B7EB" w:rsidR="00A4635A" w:rsidRDefault="00A4635A" w:rsidP="00A4635A">
      <w:pPr>
        <w:pStyle w:val="Caption"/>
      </w:pPr>
      <w:r>
        <w:lastRenderedPageBreak/>
        <w:t>Source: Philip Review (2023) using Australian Prudential Regulation Authority (2018)</w:t>
      </w:r>
      <w:r>
        <w:rPr>
          <w:rStyle w:val="FootnoteReference"/>
        </w:rPr>
        <w:footnoteReference w:id="17"/>
      </w:r>
      <w:r>
        <w:t xml:space="preserve"> </w:t>
      </w:r>
    </w:p>
    <w:p w14:paraId="43FA889E" w14:textId="77777777" w:rsidR="00A4635A" w:rsidRPr="00D34C8E" w:rsidRDefault="00A4635A" w:rsidP="00A4635A">
      <w:pPr>
        <w:pStyle w:val="Heading4"/>
        <w:rPr>
          <w:b w:val="0"/>
        </w:rPr>
      </w:pPr>
      <w:r w:rsidRPr="00BC6ABD">
        <w:t>Appropriate Governance and Oversight</w:t>
      </w:r>
    </w:p>
    <w:p w14:paraId="7D57F77A" w14:textId="027CCBED" w:rsidR="00A4635A" w:rsidRPr="00BC6ABD" w:rsidRDefault="00A4635A" w:rsidP="00A4635A">
      <w:r w:rsidRPr="00BC6ABD">
        <w:t xml:space="preserve">To ensure there is appropriate supervision and oversight </w:t>
      </w:r>
      <w:r>
        <w:t>of</w:t>
      </w:r>
      <w:r w:rsidRPr="00BC6ABD">
        <w:t xml:space="preserve"> the governance framework, establishment of an Oversight Committee (independent board)</w:t>
      </w:r>
      <w:r>
        <w:t xml:space="preserve"> is recommended</w:t>
      </w:r>
      <w:r w:rsidRPr="00BC6ABD">
        <w:t xml:space="preserve">. This committee would provide review </w:t>
      </w:r>
      <w:r w:rsidR="00B65862">
        <w:t xml:space="preserve">of </w:t>
      </w:r>
      <w:r w:rsidRPr="00BC6ABD">
        <w:t>and challenge the performance and effectiveness of the governance framework and would receive reporting highlighting key performance and risk indicators (for example, trends in fraud and non-complian</w:t>
      </w:r>
      <w:r w:rsidR="00B65862">
        <w:t>t</w:t>
      </w:r>
      <w:r w:rsidRPr="00BC6ABD">
        <w:t xml:space="preserve"> cases detected, value and volume of cases under investigation, or cases identified and awaiting treatment).</w:t>
      </w:r>
      <w:r>
        <w:t xml:space="preserve"> An illustration of how such a governance structure </w:t>
      </w:r>
      <w:r w:rsidR="00B65862">
        <w:t xml:space="preserve">may work </w:t>
      </w:r>
      <w:r>
        <w:t xml:space="preserve">is shown in </w:t>
      </w:r>
      <w:r w:rsidR="00B65862">
        <w:fldChar w:fldCharType="begin"/>
      </w:r>
      <w:r w:rsidR="00B65862">
        <w:instrText xml:space="preserve"> REF  _Toc129960298 \h \r </w:instrText>
      </w:r>
      <w:r w:rsidR="00B65862">
        <w:fldChar w:fldCharType="separate"/>
      </w:r>
      <w:r w:rsidR="005A1647">
        <w:t>Figure 3.3</w:t>
      </w:r>
      <w:r w:rsidR="00B65862">
        <w:fldChar w:fldCharType="end"/>
      </w:r>
      <w:r>
        <w:t>.</w:t>
      </w:r>
    </w:p>
    <w:p w14:paraId="32BDFA9B" w14:textId="6C3E52C1" w:rsidR="00A4635A" w:rsidRDefault="00A4635A" w:rsidP="00A4635A">
      <w:pPr>
        <w:pStyle w:val="CaptionFigure"/>
      </w:pPr>
      <w:bookmarkStart w:id="228" w:name="_Toc131418632"/>
      <w:r>
        <w:t xml:space="preserve">: Governance and </w:t>
      </w:r>
      <w:r w:rsidR="00B65862">
        <w:t>o</w:t>
      </w:r>
      <w:r>
        <w:t>versight structure (indicative)</w:t>
      </w:r>
      <w:bookmarkEnd w:id="228"/>
    </w:p>
    <w:p w14:paraId="3D43ECBE" w14:textId="77777777" w:rsidR="00A4635A" w:rsidRPr="00BC6ABD" w:rsidRDefault="00A4635A" w:rsidP="00A4635A">
      <w:r>
        <w:rPr>
          <w:noProof/>
        </w:rPr>
        <w:drawing>
          <wp:inline distT="0" distB="0" distL="0" distR="0" wp14:anchorId="2770B795" wp14:editId="7ECEE7D1">
            <wp:extent cx="6379449" cy="2901315"/>
            <wp:effectExtent l="0" t="0" r="2540" b="0"/>
            <wp:docPr id="9" name="Picture 9" descr="Figure 3.3 is a diagram showing a suggested governance and oversight structure with the Minister for Health and Aged Care as the head, with a Secretaries Committee and Oversight Committee underneath. Working groups/taskforces branch out beneath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3 is a diagram showing a suggested governance and oversight structure with the Minister for Health and Aged Care as the head, with a Secretaries Committee and Oversight Committee underneath. Working groups/taskforces branch out beneath those."/>
                    <pic:cNvPicPr/>
                  </pic:nvPicPr>
                  <pic:blipFill>
                    <a:blip r:embed="rId33">
                      <a:extLst>
                        <a:ext uri="{28A0092B-C50C-407E-A947-70E740481C1C}">
                          <a14:useLocalDpi xmlns:a14="http://schemas.microsoft.com/office/drawing/2010/main" val="0"/>
                        </a:ext>
                      </a:extLst>
                    </a:blip>
                    <a:stretch>
                      <a:fillRect/>
                    </a:stretch>
                  </pic:blipFill>
                  <pic:spPr>
                    <a:xfrm>
                      <a:off x="0" y="0"/>
                      <a:ext cx="6379449" cy="2901315"/>
                    </a:xfrm>
                    <a:prstGeom prst="rect">
                      <a:avLst/>
                    </a:prstGeom>
                  </pic:spPr>
                </pic:pic>
              </a:graphicData>
            </a:graphic>
          </wp:inline>
        </w:drawing>
      </w:r>
    </w:p>
    <w:p w14:paraId="71DE0618" w14:textId="2DF9A4EF" w:rsidR="00A4635A" w:rsidRPr="00BC6ABD" w:rsidRDefault="00A4635A" w:rsidP="00A4635A">
      <w:pPr>
        <w:pStyle w:val="Caption"/>
      </w:pPr>
      <w:r>
        <w:t>Source: Philip Review (2023)</w:t>
      </w:r>
    </w:p>
    <w:p w14:paraId="6D9CB516" w14:textId="77777777" w:rsidR="00A4635A" w:rsidRPr="00BC6ABD" w:rsidRDefault="00A4635A" w:rsidP="00A4635A">
      <w:r>
        <w:t>T</w:t>
      </w:r>
      <w:r w:rsidRPr="00BC6ABD">
        <w:t xml:space="preserve">he Oversight Committee </w:t>
      </w:r>
      <w:r>
        <w:t xml:space="preserve">could </w:t>
      </w:r>
      <w:r w:rsidRPr="00BC6ABD">
        <w:t>comprise agency stakeholders, as well as independent experts from industry. Senior executives from relevant departments and agencies would provide a contextual and operational view of Medicare, while experts from industry who have experience in claims and payments systems would provide visibility of best practices in the detection and treatment of fraud and non-compliance from a wider perspective.</w:t>
      </w:r>
    </w:p>
    <w:p w14:paraId="2FDBFC43" w14:textId="77777777" w:rsidR="00A4635A" w:rsidRDefault="00A4635A" w:rsidP="00A4635A">
      <w:r w:rsidRPr="00BC6ABD">
        <w:t xml:space="preserve">Aside from direct operational reporting, the Oversight Committee would also be provided with feedback and reporting from various Working Groups working to improve aspects of the Medicare system (for example, a technology working group providing updates on system and platform upgrades). The committee could also be provided with feedback from, for example, industry advisory bodies providing feedback and guidance on how the system is working from a customer (end user) perspective, with an emphasis on continuous improvement and ensuring the system is fit for purpose. The Oversight Committee would receive regular reporting highlighting performance, feedback and intelligence detailing key risk management outcomes and information. </w:t>
      </w:r>
    </w:p>
    <w:p w14:paraId="25696624" w14:textId="77777777" w:rsidR="00A4635A" w:rsidRDefault="00A4635A" w:rsidP="00A4635A">
      <w:pPr>
        <w:pStyle w:val="Heading4"/>
      </w:pPr>
      <w:r>
        <w:t>Improve the clarity and specificity of MBS items</w:t>
      </w:r>
    </w:p>
    <w:p w14:paraId="578037B6" w14:textId="77777777" w:rsidR="00A4635A" w:rsidRDefault="00A4635A" w:rsidP="00A4635A">
      <w:r>
        <w:t xml:space="preserve">There is a distinct need to enhance the clarity of MBS items, with interpretation of these numbers a real challenge for healthcare providers. This includes: </w:t>
      </w:r>
    </w:p>
    <w:p w14:paraId="6CE629A4" w14:textId="762068B5" w:rsidR="00A4635A" w:rsidRDefault="00A4635A" w:rsidP="00A4635A">
      <w:pPr>
        <w:pStyle w:val="ListBullet"/>
      </w:pPr>
      <w:r w:rsidRPr="00E91E5A">
        <w:rPr>
          <w:b/>
        </w:rPr>
        <w:t>Simplification of language</w:t>
      </w:r>
      <w:r w:rsidR="00B65862">
        <w:t>:</w:t>
      </w:r>
      <w:r>
        <w:t xml:space="preserve"> Focus on the clinical scenarios and application of the MBS item rather than the current legal language that is present in a number of items</w:t>
      </w:r>
    </w:p>
    <w:p w14:paraId="54D86154" w14:textId="2DB5E080" w:rsidR="00A4635A" w:rsidRDefault="00A4635A" w:rsidP="00A4635A">
      <w:pPr>
        <w:pStyle w:val="ListBullet"/>
      </w:pPr>
      <w:r w:rsidRPr="00E91E5A">
        <w:rPr>
          <w:b/>
        </w:rPr>
        <w:t>Improved specificity</w:t>
      </w:r>
      <w:r w:rsidR="00B65862">
        <w:t>:</w:t>
      </w:r>
      <w:r>
        <w:t xml:space="preserve"> Specific details of the service</w:t>
      </w:r>
      <w:r w:rsidR="00B65862">
        <w:t xml:space="preserve"> – </w:t>
      </w:r>
      <w:r>
        <w:t xml:space="preserve">including type, duration, location, </w:t>
      </w:r>
      <w:r w:rsidR="00B65862">
        <w:t xml:space="preserve">and </w:t>
      </w:r>
      <w:r>
        <w:t>mode</w:t>
      </w:r>
      <w:r w:rsidR="00B65862">
        <w:t>,</w:t>
      </w:r>
      <w:r>
        <w:t xml:space="preserve"> are </w:t>
      </w:r>
      <w:proofErr w:type="gramStart"/>
      <w:r>
        <w:t>captured</w:t>
      </w:r>
      <w:proofErr w:type="gramEnd"/>
      <w:r>
        <w:t xml:space="preserve"> and articulated to ensure providers can be confident with their claiming and translation to individual patient presentations and clinical scenarios</w:t>
      </w:r>
    </w:p>
    <w:p w14:paraId="643D33EE" w14:textId="77777777" w:rsidR="007B5522" w:rsidRDefault="00A4635A" w:rsidP="00A4635A">
      <w:pPr>
        <w:pStyle w:val="ListBullet"/>
      </w:pPr>
      <w:r w:rsidRPr="00E91E5A">
        <w:rPr>
          <w:b/>
        </w:rPr>
        <w:t>Relevancy</w:t>
      </w:r>
      <w:r w:rsidR="00B65862">
        <w:t>:</w:t>
      </w:r>
      <w:r>
        <w:t xml:space="preserve"> Ensuring MBS item numbers reflect contemporary models of care and remain up to date with the most recent clinical guidelines as they emerge.</w:t>
      </w:r>
    </w:p>
    <w:p w14:paraId="5DDA9BD2" w14:textId="7FC92FD6" w:rsidR="00A4635A" w:rsidRDefault="00A4635A" w:rsidP="00A4635A">
      <w:r>
        <w:lastRenderedPageBreak/>
        <w:t>Currently, if a healthcare provider bills a combined or comprehensive item, they cannot bill the individual services that make up these items.</w:t>
      </w:r>
    </w:p>
    <w:p w14:paraId="2698AFF7" w14:textId="485B7B3F" w:rsidR="00A4635A" w:rsidRDefault="00A4635A" w:rsidP="00A4635A">
      <w:r>
        <w:t xml:space="preserve">Further to this, if more than one item covers a service, the current reliance is on the healthcare provider to understand each item’s description and requirements. However, given the sea of MBS </w:t>
      </w:r>
      <w:r w:rsidR="00B65862">
        <w:t>i</w:t>
      </w:r>
      <w:r>
        <w:t xml:space="preserve">tem </w:t>
      </w:r>
      <w:r w:rsidR="00B65862">
        <w:t>n</w:t>
      </w:r>
      <w:r>
        <w:t>umbers, the constant changes to claim rules, complexity of interpretation and nature that certain item numbers can be co-</w:t>
      </w:r>
      <w:proofErr w:type="gramStart"/>
      <w:r>
        <w:t>claimed</w:t>
      </w:r>
      <w:proofErr w:type="gramEnd"/>
      <w:r>
        <w:t xml:space="preserve"> and others cannot, this leaves an opportunity for claiming errors and non-compliance.</w:t>
      </w:r>
    </w:p>
    <w:p w14:paraId="4AA3670E" w14:textId="77777777" w:rsidR="00A4635A" w:rsidRDefault="00A4635A" w:rsidP="00A4635A">
      <w:r>
        <w:t>My recommendation is to support enhanced clarity by providing a tiered model which provides structure when co-claiming, helping providers to bill the correct item and preventing errant claiming due to a lack of knowledge.</w:t>
      </w:r>
    </w:p>
    <w:p w14:paraId="79B55322" w14:textId="621F0C60" w:rsidR="00A4635A" w:rsidRDefault="00B65862" w:rsidP="00A4635A">
      <w:r>
        <w:t>T</w:t>
      </w:r>
      <w:r w:rsidR="00A4635A">
        <w:t>he proposed model is categorised by common elements of co-claiming</w:t>
      </w:r>
      <w:r>
        <w:t>;</w:t>
      </w:r>
      <w:r w:rsidR="00A4635A">
        <w:t xml:space="preserve"> represented through a patient journey</w:t>
      </w:r>
      <w:r>
        <w:t>,</w:t>
      </w:r>
      <w:r w:rsidR="00A4635A">
        <w:t xml:space="preserve"> </w:t>
      </w:r>
      <w:r>
        <w:t xml:space="preserve">an example </w:t>
      </w:r>
      <w:r w:rsidR="00A4635A">
        <w:t>is shown below:</w:t>
      </w:r>
    </w:p>
    <w:tbl>
      <w:tblPr>
        <w:tblStyle w:val="Deloittetable"/>
        <w:tblW w:w="10490" w:type="dxa"/>
        <w:tblBorders>
          <w:top w:val="single" w:sz="24" w:space="0" w:color="005B89"/>
        </w:tblBorders>
        <w:tblLook w:val="04A0" w:firstRow="1" w:lastRow="0" w:firstColumn="1" w:lastColumn="0" w:noHBand="0" w:noVBand="1"/>
      </w:tblPr>
      <w:tblGrid>
        <w:gridCol w:w="544"/>
        <w:gridCol w:w="9946"/>
      </w:tblGrid>
      <w:tr w:rsidR="00A4635A" w:rsidRPr="002936ED" w14:paraId="0C6CB30A" w14:textId="77777777" w:rsidTr="00EF2981">
        <w:trPr>
          <w:cnfStyle w:val="100000000000" w:firstRow="1" w:lastRow="0" w:firstColumn="0" w:lastColumn="0" w:oddVBand="0" w:evenVBand="0" w:oddHBand="0" w:evenHBand="0" w:firstRowFirstColumn="0" w:firstRowLastColumn="0" w:lastRowFirstColumn="0" w:lastRowLastColumn="0"/>
          <w:tblHeader/>
        </w:trPr>
        <w:tc>
          <w:tcPr>
            <w:tcW w:w="0" w:type="dxa"/>
          </w:tcPr>
          <w:p w14:paraId="3C433165" w14:textId="5C2AAC32" w:rsidR="00A4635A" w:rsidRPr="006B7FA4" w:rsidRDefault="00A4635A">
            <w:pPr>
              <w:rPr>
                <w:b w:val="0"/>
                <w:bCs/>
                <w:color w:val="auto"/>
                <w:sz w:val="20"/>
                <w:szCs w:val="20"/>
              </w:rPr>
            </w:pPr>
            <w:r w:rsidRPr="006B7FA4">
              <w:rPr>
                <w:bCs/>
                <w:color w:val="auto"/>
                <w:sz w:val="20"/>
                <w:szCs w:val="20"/>
              </w:rPr>
              <w:t xml:space="preserve">Level 1 </w:t>
            </w:r>
          </w:p>
        </w:tc>
        <w:tc>
          <w:tcPr>
            <w:tcW w:w="0" w:type="dxa"/>
          </w:tcPr>
          <w:p w14:paraId="78CAB4D9" w14:textId="77777777" w:rsidR="00A4635A" w:rsidRPr="006B7FA4" w:rsidRDefault="00A4635A">
            <w:pPr>
              <w:pStyle w:val="TabletextLeft"/>
              <w:spacing w:after="60"/>
              <w:rPr>
                <w:b w:val="0"/>
                <w:bCs/>
                <w:color w:val="auto"/>
              </w:rPr>
            </w:pPr>
            <w:r w:rsidRPr="006B7FA4">
              <w:rPr>
                <w:bCs/>
                <w:color w:val="auto"/>
              </w:rPr>
              <w:t>Baseline of the time-based item</w:t>
            </w:r>
          </w:p>
          <w:p w14:paraId="1388DBC6" w14:textId="6C1CD486" w:rsidR="00A4635A" w:rsidRPr="006B7FA4" w:rsidRDefault="00A4635A">
            <w:pPr>
              <w:pStyle w:val="TabletextLeft"/>
              <w:spacing w:after="60"/>
              <w:rPr>
                <w:b w:val="0"/>
                <w:color w:val="auto"/>
                <w:szCs w:val="17"/>
              </w:rPr>
            </w:pPr>
            <w:r w:rsidRPr="006B7FA4">
              <w:rPr>
                <w:b w:val="0"/>
                <w:color w:val="auto"/>
                <w:szCs w:val="17"/>
              </w:rPr>
              <w:t xml:space="preserve">A </w:t>
            </w:r>
            <w:r w:rsidR="00B65862" w:rsidRPr="006B7FA4">
              <w:rPr>
                <w:b w:val="0"/>
                <w:color w:val="auto"/>
                <w:szCs w:val="17"/>
              </w:rPr>
              <w:t>p</w:t>
            </w:r>
            <w:r w:rsidRPr="006B7FA4">
              <w:rPr>
                <w:b w:val="0"/>
                <w:color w:val="auto"/>
                <w:szCs w:val="17"/>
              </w:rPr>
              <w:t>atient visits a general practitioner regarding a recent cut/laceration.</w:t>
            </w:r>
          </w:p>
          <w:p w14:paraId="046406FC" w14:textId="77777777" w:rsidR="00A4635A" w:rsidRPr="006B7FA4" w:rsidRDefault="00A4635A">
            <w:pPr>
              <w:pStyle w:val="TabletextLeft"/>
              <w:spacing w:after="60"/>
              <w:rPr>
                <w:color w:val="auto"/>
              </w:rPr>
            </w:pPr>
            <w:r w:rsidRPr="006B7FA4">
              <w:rPr>
                <w:b w:val="0"/>
                <w:color w:val="auto"/>
                <w:szCs w:val="17"/>
              </w:rPr>
              <w:t>Example: MBS Item 23 Level B - Professional attendance by a general practitioner at consulting rooms (other than a service to which another item in the table applies), lasting less than 20 minutes.</w:t>
            </w:r>
          </w:p>
        </w:tc>
      </w:tr>
      <w:tr w:rsidR="00A4635A" w:rsidRPr="002936ED" w14:paraId="14CA62B8" w14:textId="77777777">
        <w:tc>
          <w:tcPr>
            <w:tcW w:w="522" w:type="dxa"/>
          </w:tcPr>
          <w:p w14:paraId="411D30AB" w14:textId="29121B22" w:rsidR="00A4635A" w:rsidRPr="00EF2981" w:rsidRDefault="00A4635A">
            <w:pPr>
              <w:rPr>
                <w:b/>
                <w:bCs/>
                <w:sz w:val="20"/>
                <w:szCs w:val="20"/>
              </w:rPr>
            </w:pPr>
            <w:r w:rsidRPr="00EF2981">
              <w:rPr>
                <w:b/>
                <w:bCs/>
                <w:sz w:val="20"/>
                <w:szCs w:val="20"/>
              </w:rPr>
              <w:t xml:space="preserve">Level 2 </w:t>
            </w:r>
          </w:p>
        </w:tc>
        <w:tc>
          <w:tcPr>
            <w:tcW w:w="9968" w:type="dxa"/>
          </w:tcPr>
          <w:p w14:paraId="17E0E624" w14:textId="77777777" w:rsidR="00A4635A" w:rsidRPr="002936ED" w:rsidRDefault="00A4635A">
            <w:pPr>
              <w:pStyle w:val="TabletextLeft"/>
              <w:spacing w:after="60"/>
              <w:rPr>
                <w:b/>
                <w:bCs/>
              </w:rPr>
            </w:pPr>
            <w:r w:rsidRPr="002936ED">
              <w:rPr>
                <w:b/>
                <w:bCs/>
              </w:rPr>
              <w:t>Any additional intervention provided at the occasion of service</w:t>
            </w:r>
          </w:p>
          <w:p w14:paraId="29E9BAA3" w14:textId="36A7A3F8" w:rsidR="00A4635A" w:rsidRPr="002936ED" w:rsidRDefault="00A4635A">
            <w:pPr>
              <w:pStyle w:val="TabletextLeft"/>
              <w:spacing w:after="60"/>
            </w:pPr>
            <w:r w:rsidRPr="002936ED">
              <w:t xml:space="preserve">The practitioner deems that it is clinically appropriate to repair the wound. The </w:t>
            </w:r>
            <w:r w:rsidR="00B65862">
              <w:t>p</w:t>
            </w:r>
            <w:r w:rsidRPr="002936ED">
              <w:t>atient receives wound repair using sutures.</w:t>
            </w:r>
          </w:p>
          <w:p w14:paraId="39E80310" w14:textId="7B9BA4CA" w:rsidR="00A4635A" w:rsidRPr="002936ED" w:rsidRDefault="00A4635A" w:rsidP="00B65862">
            <w:pPr>
              <w:pStyle w:val="TabletextLeft"/>
              <w:spacing w:after="60"/>
            </w:pPr>
            <w:r w:rsidRPr="002936ED">
              <w:t>Example: MBS Item Number 30032</w:t>
            </w:r>
            <w:r w:rsidR="00B65862">
              <w:t xml:space="preserve"> - </w:t>
            </w:r>
            <w:r w:rsidRPr="002936ED">
              <w:t>SKIN AND SUBCUTANEOUS TISSUE OR MUCOUS MEMBRANE, REPAIR OF WOUND OF, other than wound closure at time of surgery, on face or neck, small (NOT MORE THAN 7 CM LONG), superficial.</w:t>
            </w:r>
          </w:p>
        </w:tc>
      </w:tr>
      <w:tr w:rsidR="00A4635A" w:rsidRPr="002936ED" w14:paraId="0922E58D" w14:textId="77777777">
        <w:tc>
          <w:tcPr>
            <w:tcW w:w="522" w:type="dxa"/>
          </w:tcPr>
          <w:p w14:paraId="3339E185" w14:textId="1D0DDDEF" w:rsidR="00A4635A" w:rsidRPr="00EF2981" w:rsidRDefault="00A4635A">
            <w:pPr>
              <w:rPr>
                <w:b/>
                <w:bCs/>
                <w:sz w:val="20"/>
                <w:szCs w:val="20"/>
              </w:rPr>
            </w:pPr>
            <w:r w:rsidRPr="00EF2981">
              <w:rPr>
                <w:b/>
                <w:bCs/>
                <w:sz w:val="20"/>
                <w:szCs w:val="20"/>
              </w:rPr>
              <w:t xml:space="preserve">Level 3 </w:t>
            </w:r>
          </w:p>
        </w:tc>
        <w:tc>
          <w:tcPr>
            <w:tcW w:w="9968" w:type="dxa"/>
          </w:tcPr>
          <w:p w14:paraId="4E8D7964" w14:textId="77777777" w:rsidR="00A4635A" w:rsidRPr="002936ED" w:rsidRDefault="00A4635A">
            <w:pPr>
              <w:pStyle w:val="TabletextLeft"/>
              <w:spacing w:after="60"/>
              <w:rPr>
                <w:b/>
                <w:bCs/>
              </w:rPr>
            </w:pPr>
            <w:r w:rsidRPr="002936ED">
              <w:rPr>
                <w:b/>
                <w:bCs/>
              </w:rPr>
              <w:t>Any additional procedure provided at the occasion of service.</w:t>
            </w:r>
          </w:p>
          <w:p w14:paraId="2476D582" w14:textId="77777777" w:rsidR="00A4635A" w:rsidRPr="002936ED" w:rsidRDefault="00A4635A">
            <w:pPr>
              <w:pStyle w:val="TabletextLeft"/>
              <w:spacing w:after="60"/>
            </w:pPr>
            <w:r w:rsidRPr="002936ED">
              <w:t>The practitioner deems that it is clinically appropriate to administer a tetanus vaccine.</w:t>
            </w:r>
          </w:p>
          <w:p w14:paraId="7DE9B071" w14:textId="77777777" w:rsidR="00A4635A" w:rsidRPr="002936ED" w:rsidRDefault="00A4635A">
            <w:pPr>
              <w:pStyle w:val="TabletextLeft"/>
              <w:spacing w:after="60"/>
            </w:pPr>
            <w:r w:rsidRPr="002936ED">
              <w:t xml:space="preserve">There would be no item number to claim for, as this would be covered through the professional attendance item (23) provided at </w:t>
            </w:r>
            <w:r w:rsidRPr="007A7533">
              <w:t>Level 1</w:t>
            </w:r>
            <w:r w:rsidRPr="00B65862">
              <w:t>.</w:t>
            </w:r>
          </w:p>
        </w:tc>
      </w:tr>
    </w:tbl>
    <w:p w14:paraId="46A57298" w14:textId="2038FF2E" w:rsidR="00A4635A" w:rsidRDefault="00A4635A" w:rsidP="00A4635A">
      <w:r>
        <w:t>This structured logic model would enable healthcare providers to actively work through the correct number and type of services that correspond to each individual level/tier, that do not contradict the rulings and parameters of MBS Item Numbers. This model could be beneficial for certain types of patients who often present for multiple, complex issues and/or experience co-morbidities.</w:t>
      </w:r>
    </w:p>
    <w:p w14:paraId="542A1ACB" w14:textId="77777777" w:rsidR="00A4635A" w:rsidRDefault="00A4635A" w:rsidP="00A4635A">
      <w:r>
        <w:t>Further to this refined structure would be the automatic matching of provider and patient details for each claim item. At the provider registration point the clinical speciality and practice setting will be established. This is a central set of attributes that can then either lock or unlock access to MBS items based on scope of practice that is built into the Item Fee File and applied by the Medicare Common Assessing platform. For example, a GP would be prevented access to complex neurosurgery MBS items for procedures that would be performed in a hospital.</w:t>
      </w:r>
    </w:p>
    <w:p w14:paraId="75F52BB0" w14:textId="77777777" w:rsidR="00A4635A" w:rsidRDefault="00A4635A" w:rsidP="00A4635A">
      <w:r>
        <w:t>These provider and patient attribute checks would be performed by Services Australia with linkages to their relevant databases and could not be overridden by providers through the claims process.</w:t>
      </w:r>
    </w:p>
    <w:p w14:paraId="5999F58C" w14:textId="77777777" w:rsidR="00A4635A" w:rsidRDefault="00A4635A" w:rsidP="00A4635A">
      <w:r>
        <w:t>Combined, these measures would assist avoiding inadvertent claims errors by providers through the timely application of the rules engine to submitted claims.</w:t>
      </w:r>
    </w:p>
    <w:p w14:paraId="026DEA62" w14:textId="00FEF3D7" w:rsidR="00A4635A" w:rsidRDefault="00A4635A" w:rsidP="00A4635A">
      <w:pPr>
        <w:pStyle w:val="Heading4"/>
      </w:pPr>
      <w:r>
        <w:t xml:space="preserve">‘Bundled’ MBS </w:t>
      </w:r>
      <w:r w:rsidR="00BF48FD">
        <w:t>i</w:t>
      </w:r>
      <w:r>
        <w:t xml:space="preserve">tem </w:t>
      </w:r>
      <w:r w:rsidR="00BF48FD">
        <w:t>n</w:t>
      </w:r>
      <w:r>
        <w:t>umbers for common procedures</w:t>
      </w:r>
    </w:p>
    <w:p w14:paraId="4DC56201" w14:textId="4FDD1E46" w:rsidR="00A4635A" w:rsidRDefault="00A4635A" w:rsidP="00A4635A">
      <w:r>
        <w:t xml:space="preserve">In some instances, certain MBS </w:t>
      </w:r>
      <w:r w:rsidR="00BF48FD">
        <w:t>i</w:t>
      </w:r>
      <w:r>
        <w:t xml:space="preserve">tem numbers are often associated and co-claimed with others. This offers simplicity by ‘pooling’ those particular services under the one code, eliminating the need for providers to recall specific elements of a routine service. </w:t>
      </w:r>
    </w:p>
    <w:p w14:paraId="284DA73E" w14:textId="427A37F5" w:rsidR="00A4635A" w:rsidRPr="00967A9E" w:rsidRDefault="00A4635A" w:rsidP="00A4635A">
      <w:r>
        <w:t xml:space="preserve">An example of this is highlighted through MBS </w:t>
      </w:r>
      <w:r w:rsidR="00BF48FD">
        <w:t>i</w:t>
      </w:r>
      <w:r>
        <w:t>tem 16519, which covers “</w:t>
      </w:r>
      <w:r w:rsidRPr="006525BE">
        <w:t>birth by any means including Caesarean section.</w:t>
      </w:r>
      <w:r>
        <w:t xml:space="preserve">” This </w:t>
      </w:r>
      <w:r w:rsidR="00BF48FD">
        <w:t>i</w:t>
      </w:r>
      <w:r>
        <w:t>tem number can draw from four different elements of the service, outlined below:</w:t>
      </w:r>
    </w:p>
    <w:p w14:paraId="4615CF10" w14:textId="77777777" w:rsidR="00A4635A" w:rsidRDefault="00A4635A" w:rsidP="00A4635A">
      <w:pPr>
        <w:pStyle w:val="ListBullet"/>
      </w:pPr>
      <w:r>
        <w:t>Surgical and/or intravenous infusion induction of labour</w:t>
      </w:r>
    </w:p>
    <w:p w14:paraId="4DB574F9" w14:textId="77777777" w:rsidR="00A4635A" w:rsidRDefault="00A4635A" w:rsidP="00A4635A">
      <w:pPr>
        <w:pStyle w:val="ListBullet"/>
      </w:pPr>
      <w:r>
        <w:t>Forceps or vacuum extraction</w:t>
      </w:r>
    </w:p>
    <w:p w14:paraId="45555E55" w14:textId="65C185D9" w:rsidR="00A4635A" w:rsidRDefault="00A4635A" w:rsidP="00A4635A">
      <w:pPr>
        <w:pStyle w:val="ListBullet"/>
      </w:pPr>
      <w:r>
        <w:t>Evacuation of products of conception by manual removal (not being an independent procedure)</w:t>
      </w:r>
    </w:p>
    <w:p w14:paraId="1FB0D2E3" w14:textId="77777777" w:rsidR="007B5522" w:rsidRDefault="00A4635A" w:rsidP="00A4635A">
      <w:pPr>
        <w:pStyle w:val="ListBullet"/>
      </w:pPr>
      <w:r>
        <w:t>Episiotomy or repair of tears.</w:t>
      </w:r>
    </w:p>
    <w:p w14:paraId="08516846" w14:textId="77777777" w:rsidR="007B5522" w:rsidRDefault="00A4635A" w:rsidP="00A4635A">
      <w:r>
        <w:lastRenderedPageBreak/>
        <w:t xml:space="preserve">Pooling MBS items under one code that encompasses other aspects of care for those very common and routine procedures can reduce the potential for error by healthcare providers by claiming incorrect codes that are not part of the service, and ultimately reduce </w:t>
      </w:r>
      <w:r w:rsidR="00BF48FD">
        <w:t>the</w:t>
      </w:r>
      <w:r>
        <w:t xml:space="preserve"> amount </w:t>
      </w:r>
      <w:r w:rsidR="00BF48FD">
        <w:t xml:space="preserve">of </w:t>
      </w:r>
      <w:r>
        <w:t>non-compliant claiming.</w:t>
      </w:r>
    </w:p>
    <w:p w14:paraId="70001EB6" w14:textId="0148BDAC" w:rsidR="001F0883" w:rsidRDefault="006F31AC" w:rsidP="001F0883">
      <w:pPr>
        <w:pStyle w:val="Heading3"/>
      </w:pPr>
      <w:r>
        <w:t xml:space="preserve"> </w:t>
      </w:r>
      <w:r w:rsidR="001F0883">
        <w:t xml:space="preserve">Continuous </w:t>
      </w:r>
      <w:r w:rsidR="00FF79D5">
        <w:t>m</w:t>
      </w:r>
      <w:r w:rsidR="001F0883">
        <w:t xml:space="preserve">onitoring and </w:t>
      </w:r>
      <w:r w:rsidR="00FF79D5">
        <w:t>d</w:t>
      </w:r>
      <w:r w:rsidR="001F0883">
        <w:t xml:space="preserve">ata </w:t>
      </w:r>
      <w:r w:rsidR="00FF79D5">
        <w:t>a</w:t>
      </w:r>
      <w:r w:rsidR="001F0883">
        <w:t>nalytics</w:t>
      </w:r>
    </w:p>
    <w:p w14:paraId="5EA11ADE" w14:textId="08EB10B9" w:rsidR="004D051F" w:rsidRPr="004D051F" w:rsidRDefault="004D051F" w:rsidP="004D051F">
      <w:pPr>
        <w:pStyle w:val="Recommendationtextbox"/>
      </w:pPr>
      <w:r>
        <w:t>Recommendation 2: Implement enhancements to the end-to-end claiming journey to strengthen the first line of defence position and enable continuous monitoring of all MBS claim transactions.</w:t>
      </w:r>
    </w:p>
    <w:p w14:paraId="21988137" w14:textId="63D50750" w:rsidR="001F0883" w:rsidRDefault="001F0883" w:rsidP="001F0883">
      <w:r w:rsidRPr="00BC6ABD">
        <w:t xml:space="preserve">Continuous </w:t>
      </w:r>
      <w:r w:rsidR="004A3E99">
        <w:t>m</w:t>
      </w:r>
      <w:r w:rsidRPr="00BC6ABD">
        <w:t>onitoring is a term given to the ongoing review and assessment of anomalous activity in a transaction-based data environment, so as to quickly identify and respond to potential issues of non-compliance or fraud. Early identification is critical as this enables compliance officers to employ</w:t>
      </w:r>
      <w:r>
        <w:t xml:space="preserve"> the application of</w:t>
      </w:r>
      <w:r w:rsidRPr="00BC6ABD">
        <w:t xml:space="preserve"> more constructive and less confrontational compliance interventions before patterns of behaviour become systemic or even criminal. </w:t>
      </w:r>
    </w:p>
    <w:p w14:paraId="72A1D725" w14:textId="15276758" w:rsidR="001F0883" w:rsidRDefault="001F0883" w:rsidP="001F0883">
      <w:r w:rsidRPr="00BC6ABD">
        <w:t xml:space="preserve">Payments are made once a claim is submitted by an authorised actor, </w:t>
      </w:r>
      <w:r>
        <w:t>such as a provider, practice manager, outsourced business processing company or patient. In leading practice, monitoring of payments is only performed once a claim has been validated and assessed as ready for payment. This avoids the need for a more costly reactive response which is onerous on both the Commonwealth and the actor(s) concerned. Whilst some types of benefits integrity risk are most easily detected at the point of payment (such as those involving payments to a common bank account number)</w:t>
      </w:r>
      <w:r w:rsidR="004A3E99">
        <w:t>,</w:t>
      </w:r>
      <w:r>
        <w:t xml:space="preserve"> in an ideal state invalid claims should not be paid until their status is either resolved or a claim is correctly submitted. We note that deviations to this principle may be appropriate for exceptional circumstances (such as during the response and recovery phase of natural disasters), however such claims and payments should always be quarantined and treated separately.</w:t>
      </w:r>
    </w:p>
    <w:p w14:paraId="45C7A12D" w14:textId="7D1E4A13" w:rsidR="001F0883" w:rsidRDefault="001F0883" w:rsidP="001F0883">
      <w:r>
        <w:t>H</w:t>
      </w:r>
      <w:r w:rsidRPr="00BC6ABD">
        <w:t>owever continuous monitoring of payments is reactive. Reliance on non-compliance and fraud detection solely at the payments stage</w:t>
      </w:r>
      <w:r w:rsidRPr="00D34C8E">
        <w:rPr>
          <w:i/>
        </w:rPr>
        <w:t xml:space="preserve"> </w:t>
      </w:r>
      <w:r w:rsidRPr="00BC6ABD">
        <w:t>forces an organisation to rely on more expensive and onerous debt recovery, litigation, and enforcement mechanisms to recover monies which might otherwise have been avoided if addressed at the ‘actor’ and ‘claim’ stages in the system.</w:t>
      </w:r>
    </w:p>
    <w:p w14:paraId="0E0CBF27" w14:textId="0333872A" w:rsidR="00BF5CDB" w:rsidRPr="00BC6ABD" w:rsidRDefault="00BF5CDB" w:rsidP="001F0883">
      <w:r w:rsidRPr="00BC6ABD">
        <w:t xml:space="preserve">Analytics-based </w:t>
      </w:r>
      <w:r>
        <w:t>c</w:t>
      </w:r>
      <w:r w:rsidRPr="00BC6ABD">
        <w:t xml:space="preserve">ontinuous </w:t>
      </w:r>
      <w:r>
        <w:t>m</w:t>
      </w:r>
      <w:r w:rsidRPr="00BC6ABD">
        <w:t>onitoring capabilities are not intended to be a replacement for community-based t</w:t>
      </w:r>
      <w:r>
        <w:t>oo</w:t>
      </w:r>
      <w:r w:rsidRPr="00BC6ABD">
        <w:t>ls such as tip</w:t>
      </w:r>
      <w:r>
        <w:t xml:space="preserve"> </w:t>
      </w:r>
      <w:r w:rsidRPr="00BC6ABD">
        <w:t>offs and interagency referrals. However, in an ideal state most anomalies would be detected using analytics, with the information provided via a tip</w:t>
      </w:r>
      <w:r>
        <w:t xml:space="preserve"> </w:t>
      </w:r>
      <w:r w:rsidRPr="00BC6ABD">
        <w:t>off supplementing the data or providing more context not available via other means. We note that in highly complex fraud scenarios it may not be readily possible to detect such intentional activity using analytics with current technologies and data science, and that these cases will be reliant on reactive methods such as tip</w:t>
      </w:r>
      <w:r>
        <w:t xml:space="preserve"> </w:t>
      </w:r>
      <w:r w:rsidRPr="00BC6ABD">
        <w:t xml:space="preserve">offs. </w:t>
      </w:r>
    </w:p>
    <w:p w14:paraId="2E3AF4E0" w14:textId="6FC9F4B0" w:rsidR="001F0883" w:rsidRPr="00D34C8E" w:rsidRDefault="001F0883" w:rsidP="001F0883">
      <w:pPr>
        <w:pStyle w:val="Heading4"/>
        <w:rPr>
          <w:b w:val="0"/>
          <w:bCs w:val="0"/>
        </w:rPr>
      </w:pPr>
      <w:r w:rsidRPr="00D34C8E">
        <w:t xml:space="preserve">What are the core components of a </w:t>
      </w:r>
      <w:r w:rsidR="004A3E99">
        <w:t>c</w:t>
      </w:r>
      <w:r w:rsidRPr="00D34C8E">
        <w:t xml:space="preserve">ontinuous </w:t>
      </w:r>
      <w:r w:rsidR="004A3E99">
        <w:t>m</w:t>
      </w:r>
      <w:r w:rsidRPr="00D34C8E">
        <w:t>onitoring syste</w:t>
      </w:r>
      <w:r w:rsidRPr="00EF2981">
        <w:t>m?</w:t>
      </w:r>
    </w:p>
    <w:p w14:paraId="26D10254" w14:textId="38E1CE5A" w:rsidR="001F0883" w:rsidRPr="00BC6ABD" w:rsidRDefault="001F0883" w:rsidP="001F0883">
      <w:r w:rsidRPr="00BC6ABD">
        <w:t xml:space="preserve">Continuous </w:t>
      </w:r>
      <w:r w:rsidR="004A3E99">
        <w:t>m</w:t>
      </w:r>
      <w:r w:rsidRPr="00BC6ABD">
        <w:t xml:space="preserve">onitoring systems used to detect non-compliance and fraud are typically integrated with, but adjacent to, core customer relationship management systems, payments infrastructure, and associated environments. Continuous </w:t>
      </w:r>
      <w:r w:rsidR="004A3E99">
        <w:t>m</w:t>
      </w:r>
      <w:r w:rsidRPr="00BC6ABD">
        <w:t xml:space="preserve">onitoring capabilities use the data retained in core systems and apply intelligence-led models and risk-based processes to that data in order to identify potential instances of non-compliance or fraud (referred to as ‘anomalies’), which are then flagged and referred for review and investigation. </w:t>
      </w:r>
    </w:p>
    <w:p w14:paraId="3B5318E6" w14:textId="6C981849" w:rsidR="001F0883" w:rsidRPr="00BC6ABD" w:rsidRDefault="001F0883" w:rsidP="001F0883">
      <w:r w:rsidRPr="00BC6ABD">
        <w:t xml:space="preserve">There are three main capabilities within a </w:t>
      </w:r>
      <w:r w:rsidR="004A3E99">
        <w:t>c</w:t>
      </w:r>
      <w:r w:rsidRPr="00BC6ABD">
        <w:t xml:space="preserve">ontinuous </w:t>
      </w:r>
      <w:r w:rsidR="004A3E99">
        <w:t>m</w:t>
      </w:r>
      <w:r w:rsidRPr="00BC6ABD">
        <w:t>onitoring system which should be considered by Medicare, being:</w:t>
      </w:r>
    </w:p>
    <w:p w14:paraId="7DEEF4DC" w14:textId="77777777" w:rsidR="001F0883" w:rsidRPr="00BC6ABD" w:rsidRDefault="001F0883" w:rsidP="001F0883">
      <w:pPr>
        <w:pStyle w:val="ListBullet"/>
      </w:pPr>
      <w:r w:rsidRPr="00BD3DB0">
        <w:rPr>
          <w:b/>
        </w:rPr>
        <w:t>Intelligence:</w:t>
      </w:r>
      <w:r w:rsidRPr="00BC6ABD">
        <w:t xml:space="preserve"> Comprises the systems and processes which identify behaviours of concern by actors and involves the application of intelligence analysis techniques as well as inter-agency liaison to identify emerging trends and patterns for use in detection analytics.</w:t>
      </w:r>
    </w:p>
    <w:p w14:paraId="53349CCC" w14:textId="77777777" w:rsidR="001F0883" w:rsidRPr="00BC6ABD" w:rsidRDefault="001F0883" w:rsidP="001F0883">
      <w:pPr>
        <w:pStyle w:val="ListBullet"/>
      </w:pPr>
      <w:r w:rsidRPr="00BD3DB0">
        <w:rPr>
          <w:b/>
        </w:rPr>
        <w:t>Detection analytics:</w:t>
      </w:r>
      <w:r w:rsidRPr="00BC6ABD">
        <w:t xml:space="preserve"> Uses insights provided by the intelligence function to design and continuously improve rules, scenarios and models using data science techniques to enable the detection of anomalies in real time or near-real time.</w:t>
      </w:r>
    </w:p>
    <w:p w14:paraId="1E26A5AE" w14:textId="77777777" w:rsidR="007B5522" w:rsidRDefault="001F0883" w:rsidP="001F0883">
      <w:pPr>
        <w:pStyle w:val="ListBullet"/>
      </w:pPr>
      <w:r w:rsidRPr="00BD3DB0">
        <w:rPr>
          <w:b/>
        </w:rPr>
        <w:t>Integrated case management system:</w:t>
      </w:r>
      <w:r w:rsidRPr="00BC6ABD">
        <w:t xml:space="preserve"> Provides a repository of case information, enables automatic case creation of anomalies referred by the detection analytics system, and incorporates advanced </w:t>
      </w:r>
      <w:r>
        <w:t>too</w:t>
      </w:r>
      <w:r w:rsidRPr="00BC6ABD">
        <w:t xml:space="preserve">ls such as decision engines, risk scoring models, automated workflows, management dashboards and reporting. The </w:t>
      </w:r>
      <w:r w:rsidR="004A3E99">
        <w:t>i</w:t>
      </w:r>
      <w:r w:rsidRPr="00BC6ABD">
        <w:t xml:space="preserve">nvestigation </w:t>
      </w:r>
      <w:r w:rsidR="004A3E99">
        <w:t>c</w:t>
      </w:r>
      <w:r w:rsidRPr="00BC6ABD">
        <w:t xml:space="preserve">ase </w:t>
      </w:r>
      <w:r w:rsidR="004A3E99">
        <w:t>m</w:t>
      </w:r>
      <w:r w:rsidRPr="00BC6ABD">
        <w:t xml:space="preserve">anagement </w:t>
      </w:r>
      <w:r w:rsidR="004A3E99">
        <w:t>s</w:t>
      </w:r>
      <w:r w:rsidRPr="00BC6ABD">
        <w:t>ystem is typically integrated with, but separated from</w:t>
      </w:r>
      <w:r>
        <w:t>,</w:t>
      </w:r>
      <w:r w:rsidRPr="00BC6ABD">
        <w:t xml:space="preserve"> the standard </w:t>
      </w:r>
      <w:r w:rsidR="004A3E99">
        <w:t>c</w:t>
      </w:r>
      <w:r w:rsidRPr="00BC6ABD">
        <w:t xml:space="preserve">ustomer </w:t>
      </w:r>
      <w:r w:rsidR="004A3E99">
        <w:t>r</w:t>
      </w:r>
      <w:r w:rsidRPr="00BC6ABD">
        <w:t xml:space="preserve">elationship </w:t>
      </w:r>
      <w:r w:rsidR="004A3E99">
        <w:t>m</w:t>
      </w:r>
      <w:r w:rsidRPr="00BC6ABD">
        <w:t xml:space="preserve">anagement system to provide greater confidentiality, maintain legal privilege and facilitate proper evidence management. </w:t>
      </w:r>
    </w:p>
    <w:p w14:paraId="5C3C1A0C" w14:textId="3619FDB4" w:rsidR="001F0883" w:rsidRPr="00BC6ABD" w:rsidRDefault="001F0883" w:rsidP="001F0883">
      <w:r w:rsidRPr="00BC6ABD">
        <w:t xml:space="preserve">When properly designed and implemented, </w:t>
      </w:r>
      <w:r w:rsidR="004A3E99">
        <w:t>c</w:t>
      </w:r>
      <w:r w:rsidRPr="00BC6ABD">
        <w:t xml:space="preserve">ontinuous </w:t>
      </w:r>
      <w:r w:rsidR="004A3E99">
        <w:t>m</w:t>
      </w:r>
      <w:r w:rsidRPr="00BC6ABD">
        <w:t>onitoring systems provide the opportunity to continuously monitor and evaluate large volumes of data with a comparatively small team</w:t>
      </w:r>
      <w:r>
        <w:t>.</w:t>
      </w:r>
      <w:r w:rsidRPr="00BC6ABD">
        <w:t xml:space="preserve"> The components of a </w:t>
      </w:r>
      <w:r w:rsidR="004A3E99">
        <w:t>c</w:t>
      </w:r>
      <w:r w:rsidRPr="00BC6ABD">
        <w:t xml:space="preserve">ontinuous </w:t>
      </w:r>
      <w:r w:rsidR="004A3E99">
        <w:lastRenderedPageBreak/>
        <w:t>m</w:t>
      </w:r>
      <w:r w:rsidRPr="00BC6ABD">
        <w:t xml:space="preserve">onitoring system must be </w:t>
      </w:r>
      <w:r w:rsidRPr="00D34C8E">
        <w:t>enabled</w:t>
      </w:r>
      <w:r w:rsidRPr="00BC6ABD">
        <w:t xml:space="preserve"> </w:t>
      </w:r>
      <w:r w:rsidRPr="00D34C8E">
        <w:t xml:space="preserve">by </w:t>
      </w:r>
      <w:r w:rsidRPr="00BC6ABD">
        <w:t xml:space="preserve">an appropriate </w:t>
      </w:r>
      <w:r w:rsidRPr="00D34C8E">
        <w:t xml:space="preserve">enterprise data </w:t>
      </w:r>
      <w:r w:rsidRPr="00BC6ABD">
        <w:t>environment.</w:t>
      </w:r>
      <w:r w:rsidR="00267904">
        <w:t xml:space="preserve"> </w:t>
      </w:r>
      <w:r w:rsidRPr="00D34C8E">
        <w:t xml:space="preserve">System configurations and access to data should be </w:t>
      </w:r>
      <w:r w:rsidRPr="00BC6ABD">
        <w:t>designed</w:t>
      </w:r>
      <w:r w:rsidRPr="00D34C8E">
        <w:t xml:space="preserve"> in a manner that ensures compliance with legislation</w:t>
      </w:r>
      <w:r w:rsidRPr="00BC6ABD">
        <w:t>, such as data matching,</w:t>
      </w:r>
      <w:r w:rsidRPr="00D34C8E">
        <w:t xml:space="preserve"> whilst providing adequate levels of security and audit. </w:t>
      </w:r>
      <w:r w:rsidRPr="00BC6ABD">
        <w:t xml:space="preserve">In addition, such a </w:t>
      </w:r>
      <w:r w:rsidR="004A3E99">
        <w:t>c</w:t>
      </w:r>
      <w:r w:rsidRPr="00BC6ABD">
        <w:t xml:space="preserve">ontinuous </w:t>
      </w:r>
      <w:r w:rsidR="004A3E99">
        <w:t>m</w:t>
      </w:r>
      <w:r w:rsidRPr="00BC6ABD">
        <w:t xml:space="preserve">onitoring system would require real-time access, via system integrations, with external data sources held by other government agencies as well as public records to inform detection models and risk scoring. </w:t>
      </w:r>
    </w:p>
    <w:p w14:paraId="08C03739" w14:textId="1640664F" w:rsidR="001F0883" w:rsidRPr="00BC6ABD" w:rsidRDefault="001F0883" w:rsidP="001F0883">
      <w:r w:rsidRPr="00BC6ABD">
        <w:t xml:space="preserve">To keep both </w:t>
      </w:r>
      <w:r>
        <w:t>full-time equivalent</w:t>
      </w:r>
      <w:r w:rsidRPr="00BC6ABD">
        <w:t xml:space="preserve"> requirements and case volumes within manageable limits, t</w:t>
      </w:r>
      <w:r>
        <w:t>oo</w:t>
      </w:r>
      <w:r w:rsidRPr="00BC6ABD">
        <w:t xml:space="preserve">ls such as automation, decision engines, risk </w:t>
      </w:r>
      <w:r w:rsidR="004A3E99" w:rsidRPr="00BC6ABD">
        <w:t>scoring,</w:t>
      </w:r>
      <w:r w:rsidRPr="00BC6ABD">
        <w:t xml:space="preserve"> and workflows are used by the financial services industry and service delivery agencies to focus human intervention at key points in the process. </w:t>
      </w:r>
    </w:p>
    <w:p w14:paraId="697172A6" w14:textId="44759622" w:rsidR="001F0883" w:rsidRPr="00BC6ABD" w:rsidRDefault="001F0883" w:rsidP="001F0883">
      <w:r>
        <w:t>A</w:t>
      </w:r>
      <w:r w:rsidRPr="00BC6ABD">
        <w:t xml:space="preserve">chievement of a future state capability is not possible using technology alone. Successful implementation requires a comprehensive capability comprising appropriate governance, processes, </w:t>
      </w:r>
      <w:proofErr w:type="gramStart"/>
      <w:r w:rsidRPr="00BC6ABD">
        <w:t>people</w:t>
      </w:r>
      <w:proofErr w:type="gramEnd"/>
      <w:r w:rsidRPr="00BC6ABD">
        <w:t xml:space="preserve"> and data in addition to technology. The role of technology in this construct is as an enabler which provides decision support, allowing </w:t>
      </w:r>
      <w:r w:rsidR="009931E5">
        <w:t>department</w:t>
      </w:r>
      <w:r w:rsidRPr="00BC6ABD">
        <w:t xml:space="preserve">al officers to appropriately monitor 100% of all actors, claims and payments in the Medicare Scheme in an efficient, </w:t>
      </w:r>
      <w:proofErr w:type="gramStart"/>
      <w:r w:rsidRPr="00BC6ABD">
        <w:t>effective</w:t>
      </w:r>
      <w:proofErr w:type="gramEnd"/>
      <w:r w:rsidRPr="00BC6ABD">
        <w:t xml:space="preserve"> and publicly accountable manner. </w:t>
      </w:r>
    </w:p>
    <w:p w14:paraId="58611E7C" w14:textId="161719BD" w:rsidR="00375ED8" w:rsidRDefault="00375ED8" w:rsidP="00375ED8">
      <w:pPr>
        <w:pStyle w:val="Heading3"/>
      </w:pPr>
      <w:r>
        <w:t xml:space="preserve">Operating </w:t>
      </w:r>
      <w:r w:rsidR="00FF79D5">
        <w:t>m</w:t>
      </w:r>
      <w:r>
        <w:t>odel</w:t>
      </w:r>
    </w:p>
    <w:p w14:paraId="219F768D" w14:textId="77777777" w:rsidR="004D051F" w:rsidRDefault="004D051F" w:rsidP="004D051F">
      <w:pPr>
        <w:pStyle w:val="Recommendationtextbox"/>
      </w:pPr>
      <w:r>
        <w:t xml:space="preserve">Recommendation 3: </w:t>
      </w:r>
      <w:r w:rsidRPr="001D02B6">
        <w:t>A refreshed design of key frontline operational processes, and business rules, which consider fraud and non-compliance risks is required and is urgent in order to sufficiently support the early identification and disruption of fraud and serious non-compliance. Enhanced identification of risks should be applied to disrupt fraudulent activity as early as possible</w:t>
      </w:r>
      <w:r>
        <w:t>.</w:t>
      </w:r>
    </w:p>
    <w:p w14:paraId="7D93CF64" w14:textId="77777777" w:rsidR="004D051F" w:rsidRDefault="004D051F" w:rsidP="004D051F">
      <w:pPr>
        <w:pStyle w:val="Recommendationtextbox"/>
      </w:pPr>
      <w:r>
        <w:t xml:space="preserve">Recommendation 3.1: More formal and deliberate feedback loops into key controls to mitigate program and integrity risks throughout the life of the MBS must be considered jointly by </w:t>
      </w:r>
      <w:proofErr w:type="spellStart"/>
      <w:r>
        <w:t>DoHAC</w:t>
      </w:r>
      <w:proofErr w:type="spellEnd"/>
      <w:r>
        <w:t xml:space="preserve"> and Services Australia. This involves greater integration across the various functions in </w:t>
      </w:r>
      <w:proofErr w:type="spellStart"/>
      <w:r>
        <w:t>DoHAC</w:t>
      </w:r>
      <w:proofErr w:type="spellEnd"/>
      <w:r>
        <w:t xml:space="preserve"> and Services Australia to build a complete end-to-end picture of compliance and appropriate data sharing.</w:t>
      </w:r>
    </w:p>
    <w:p w14:paraId="2A883D2B" w14:textId="77777777" w:rsidR="004D051F" w:rsidRDefault="004D051F" w:rsidP="004D051F">
      <w:pPr>
        <w:pStyle w:val="Recommendationtextbox"/>
      </w:pPr>
      <w:r>
        <w:t>Recommendation 3.2: A comprehensive system for continuously improving and updating education and awareness for providers regarding the application and use of the MBS must be introduced, including the involvement of key stakeholders.</w:t>
      </w:r>
    </w:p>
    <w:p w14:paraId="479F6E9E" w14:textId="77777777" w:rsidR="004D051F" w:rsidRDefault="004D051F" w:rsidP="004D051F">
      <w:pPr>
        <w:pStyle w:val="Recommendationtextbox"/>
      </w:pPr>
      <w:r>
        <w:t xml:space="preserve">Recommendation 3.3: Risk identification must be enhanced by both </w:t>
      </w:r>
      <w:proofErr w:type="spellStart"/>
      <w:r>
        <w:t>DoHAC</w:t>
      </w:r>
      <w:proofErr w:type="spellEnd"/>
      <w:r>
        <w:t xml:space="preserve"> and Services Australia, based on continuous monitoring; data from which will enhance detection models based on casework, </w:t>
      </w:r>
      <w:proofErr w:type="gramStart"/>
      <w:r>
        <w:t>intelligence</w:t>
      </w:r>
      <w:proofErr w:type="gramEnd"/>
      <w:r>
        <w:t xml:space="preserve"> and tip offs.</w:t>
      </w:r>
    </w:p>
    <w:p w14:paraId="4A636EA0" w14:textId="77777777" w:rsidR="004D051F" w:rsidRDefault="004D051F" w:rsidP="004D051F">
      <w:pPr>
        <w:pStyle w:val="Recommendationtextbox"/>
      </w:pPr>
      <w:r>
        <w:t>Recommendation 3.4: Implement more proactive identification of policy gaps to further strengthen the MBS compliance capabilities in line with the risk-based approach currently being adopted.</w:t>
      </w:r>
    </w:p>
    <w:p w14:paraId="6397D80C" w14:textId="77777777" w:rsidR="004D051F" w:rsidRDefault="004D051F" w:rsidP="004D051F">
      <w:pPr>
        <w:pStyle w:val="Recommendationtextbox"/>
      </w:pPr>
      <w:r>
        <w:t>Recommendation 3.5: Consider the optimal operating environment to support a culture of information sharing and risk mitigation awareness across the relevant government agencies and teams, including identification of legislative and privacy-related concerns.</w:t>
      </w:r>
    </w:p>
    <w:p w14:paraId="53484217" w14:textId="77777777" w:rsidR="004D051F" w:rsidRDefault="004D051F" w:rsidP="004D051F">
      <w:pPr>
        <w:pStyle w:val="Recommendationtextbox"/>
      </w:pPr>
      <w:r>
        <w:t>Recommendation 3.6: Consider e</w:t>
      </w:r>
      <w:r w:rsidRPr="00EF2E20">
        <w:t>xpand</w:t>
      </w:r>
      <w:r>
        <w:t>ing</w:t>
      </w:r>
      <w:r w:rsidRPr="00EF2E20">
        <w:t xml:space="preserve"> the use of practical case studies to support existing information and education materials available to health professionals. Closer collaboration in the preparation of education materials between government agencies and peak bodies, and an expansion of the education efforts to include corporate entities and administrative staff involved in preparing MBS claims</w:t>
      </w:r>
      <w:r>
        <w:t>.</w:t>
      </w:r>
    </w:p>
    <w:p w14:paraId="0F432734" w14:textId="161C3E41" w:rsidR="004D051F" w:rsidRPr="004D051F" w:rsidRDefault="004D051F" w:rsidP="004D051F">
      <w:pPr>
        <w:pStyle w:val="Recommendationtextbox"/>
      </w:pPr>
      <w:r>
        <w:t>Recommendation 3.7: Consider ongoing t</w:t>
      </w:r>
      <w:r w:rsidRPr="00EF2E20">
        <w:t>ailoring of the education and reference materials available to providers and patients to support complian</w:t>
      </w:r>
      <w:r>
        <w:t>t</w:t>
      </w:r>
      <w:r w:rsidRPr="00EF2E20">
        <w:t xml:space="preserve"> MBS claiming. Ongoing participation in face-to-face seminars and education events for target groups</w:t>
      </w:r>
      <w:r>
        <w:t>.</w:t>
      </w:r>
    </w:p>
    <w:p w14:paraId="61C08E5A" w14:textId="30464496" w:rsidR="00375ED8" w:rsidRPr="00095243" w:rsidRDefault="00375ED8" w:rsidP="00375ED8">
      <w:r w:rsidRPr="00BC6ABD">
        <w:t>Implementation of these future state capabilities requires a ‘fit for purpose’, risk-based operating model which reflects the challenges and complexities inherent in Medicare such as legislation and the need for information exchange and interoperability between the Commonwealth and State/Territory Governments. Existing Medicare operating models will require the requisite supports and resources to undergo this transformation</w:t>
      </w:r>
      <w:r>
        <w:t xml:space="preserve">, as outlined in </w:t>
      </w:r>
      <w:r w:rsidR="00000FD1">
        <w:fldChar w:fldCharType="begin"/>
      </w:r>
      <w:r w:rsidR="00000FD1">
        <w:instrText xml:space="preserve"> REF  _Toc129959023 \h \r </w:instrText>
      </w:r>
      <w:r w:rsidR="00000FD1">
        <w:fldChar w:fldCharType="separate"/>
      </w:r>
      <w:r w:rsidR="005A1647">
        <w:t>Table 3.3</w:t>
      </w:r>
      <w:r w:rsidR="00000FD1">
        <w:fldChar w:fldCharType="end"/>
      </w:r>
      <w:r w:rsidR="00000FD1">
        <w:t>.</w:t>
      </w:r>
    </w:p>
    <w:p w14:paraId="33220137" w14:textId="02EF6A07" w:rsidR="00375ED8" w:rsidRDefault="00375ED8" w:rsidP="00375ED8">
      <w:pPr>
        <w:pStyle w:val="CaptionTable"/>
        <w:ind w:left="0"/>
      </w:pPr>
      <w:bookmarkStart w:id="229" w:name="_Toc131418583"/>
      <w:r>
        <w:lastRenderedPageBreak/>
        <w:t xml:space="preserve">: Supports and resources for an effective </w:t>
      </w:r>
      <w:r w:rsidR="00000FD1">
        <w:t>o</w:t>
      </w:r>
      <w:r>
        <w:t xml:space="preserve">perating </w:t>
      </w:r>
      <w:r w:rsidR="00000FD1">
        <w:t>m</w:t>
      </w:r>
      <w:r>
        <w:t>odel</w:t>
      </w:r>
      <w:bookmarkEnd w:id="229"/>
    </w:p>
    <w:tbl>
      <w:tblPr>
        <w:tblStyle w:val="Deloittetable"/>
        <w:tblW w:w="0" w:type="auto"/>
        <w:tblBorders>
          <w:top w:val="single" w:sz="24" w:space="0" w:color="005B89"/>
        </w:tblBorders>
        <w:tblLayout w:type="fixed"/>
        <w:tblLook w:val="04A0" w:firstRow="1" w:lastRow="0" w:firstColumn="1" w:lastColumn="0" w:noHBand="0" w:noVBand="1"/>
      </w:tblPr>
      <w:tblGrid>
        <w:gridCol w:w="2694"/>
        <w:gridCol w:w="7654"/>
      </w:tblGrid>
      <w:tr w:rsidR="00375ED8" w:rsidRPr="00405174" w14:paraId="45D35A3D" w14:textId="77777777">
        <w:trPr>
          <w:cnfStyle w:val="100000000000" w:firstRow="1" w:lastRow="0" w:firstColumn="0" w:lastColumn="0" w:oddVBand="0" w:evenVBand="0" w:oddHBand="0" w:evenHBand="0" w:firstRowFirstColumn="0" w:firstRowLastColumn="0" w:lastRowFirstColumn="0" w:lastRowLastColumn="0"/>
          <w:tblHeader/>
        </w:trPr>
        <w:tc>
          <w:tcPr>
            <w:tcW w:w="2694" w:type="dxa"/>
          </w:tcPr>
          <w:p w14:paraId="3A9571C0" w14:textId="77777777" w:rsidR="00375ED8" w:rsidRPr="00405174" w:rsidRDefault="00375ED8" w:rsidP="00405174">
            <w:r w:rsidRPr="00405174">
              <w:t xml:space="preserve">Concept </w:t>
            </w:r>
          </w:p>
        </w:tc>
        <w:tc>
          <w:tcPr>
            <w:tcW w:w="7654" w:type="dxa"/>
          </w:tcPr>
          <w:p w14:paraId="12399344" w14:textId="77777777" w:rsidR="00375ED8" w:rsidRPr="00405174" w:rsidRDefault="00375ED8" w:rsidP="00405174">
            <w:r w:rsidRPr="00405174">
              <w:t>Description</w:t>
            </w:r>
          </w:p>
        </w:tc>
      </w:tr>
      <w:tr w:rsidR="00375ED8" w:rsidRPr="00BC6ABD" w14:paraId="7BDE9C40" w14:textId="77777777">
        <w:tc>
          <w:tcPr>
            <w:tcW w:w="2694" w:type="dxa"/>
          </w:tcPr>
          <w:p w14:paraId="5839BB63" w14:textId="77777777" w:rsidR="00375ED8" w:rsidRPr="0073176C" w:rsidRDefault="00375ED8">
            <w:pPr>
              <w:pStyle w:val="TabletextLeft"/>
              <w:rPr>
                <w:b/>
              </w:rPr>
            </w:pPr>
            <w:r w:rsidRPr="0073176C">
              <w:rPr>
                <w:b/>
              </w:rPr>
              <w:t>Design of key frontline operational processes</w:t>
            </w:r>
          </w:p>
        </w:tc>
        <w:tc>
          <w:tcPr>
            <w:tcW w:w="7654" w:type="dxa"/>
          </w:tcPr>
          <w:p w14:paraId="39D6AE04" w14:textId="35C34551" w:rsidR="00375ED8" w:rsidRPr="00BC6ABD" w:rsidRDefault="00375ED8">
            <w:pPr>
              <w:pStyle w:val="TabletextLeft"/>
            </w:pPr>
            <w:r w:rsidRPr="00BC6ABD">
              <w:t xml:space="preserve">Implement frontline processes, including provider onboarding and claiming procedures, that consider fraud and non-compliance risks in their design to prevent illegitimate or inappropriate claiming or entry into the </w:t>
            </w:r>
            <w:r w:rsidR="00773614">
              <w:t>S</w:t>
            </w:r>
            <w:r w:rsidRPr="00BC6ABD">
              <w:t>cheme.</w:t>
            </w:r>
          </w:p>
        </w:tc>
      </w:tr>
      <w:tr w:rsidR="00375ED8" w:rsidRPr="00BC6ABD" w14:paraId="04BB9ECA" w14:textId="77777777">
        <w:tc>
          <w:tcPr>
            <w:tcW w:w="2694" w:type="dxa"/>
          </w:tcPr>
          <w:p w14:paraId="261D4A6C" w14:textId="02B65DFF" w:rsidR="00375ED8" w:rsidRPr="0073176C" w:rsidRDefault="00375ED8">
            <w:pPr>
              <w:pStyle w:val="TabletextLeft"/>
              <w:rPr>
                <w:b/>
              </w:rPr>
            </w:pPr>
            <w:r w:rsidRPr="0073176C">
              <w:rPr>
                <w:b/>
              </w:rPr>
              <w:t xml:space="preserve">Continuous improvement of key controls (preventative, proactive, </w:t>
            </w:r>
            <w:proofErr w:type="gramStart"/>
            <w:r w:rsidRPr="0073176C">
              <w:rPr>
                <w:b/>
              </w:rPr>
              <w:t>detective</w:t>
            </w:r>
            <w:proofErr w:type="gramEnd"/>
            <w:r w:rsidRPr="0073176C">
              <w:rPr>
                <w:b/>
              </w:rPr>
              <w:t xml:space="preserve"> </w:t>
            </w:r>
            <w:r w:rsidR="00773614">
              <w:rPr>
                <w:b/>
              </w:rPr>
              <w:t>and</w:t>
            </w:r>
            <w:r w:rsidRPr="0073176C">
              <w:rPr>
                <w:b/>
              </w:rPr>
              <w:t xml:space="preserve"> analytical models) to mitigate program and integrity risks throughout the life of the program</w:t>
            </w:r>
          </w:p>
        </w:tc>
        <w:tc>
          <w:tcPr>
            <w:tcW w:w="7654" w:type="dxa"/>
          </w:tcPr>
          <w:p w14:paraId="4CBCDEC9" w14:textId="7807501B" w:rsidR="00375ED8" w:rsidRPr="00BC6ABD" w:rsidRDefault="00375ED8">
            <w:pPr>
              <w:pStyle w:val="TabletextLeft"/>
            </w:pPr>
            <w:r w:rsidRPr="00BC6ABD">
              <w:t>Build feedback l</w:t>
            </w:r>
            <w:r>
              <w:t>oop</w:t>
            </w:r>
            <w:r w:rsidRPr="00BC6ABD">
              <w:t xml:space="preserve">s into the current control environment to ensure controls are operating as intended, </w:t>
            </w:r>
            <w:r w:rsidR="00773614">
              <w:t xml:space="preserve">and </w:t>
            </w:r>
            <w:r w:rsidRPr="00BC6ABD">
              <w:t>adequately mitigating fraud and non-compliance risks.</w:t>
            </w:r>
            <w:r w:rsidR="00267904">
              <w:t xml:space="preserve"> </w:t>
            </w:r>
            <w:r w:rsidRPr="00BC6ABD">
              <w:t xml:space="preserve">This process of </w:t>
            </w:r>
            <w:r w:rsidR="00773614">
              <w:t>c</w:t>
            </w:r>
            <w:r w:rsidRPr="00BC6ABD">
              <w:t xml:space="preserve">ontinuous improvement may include assurance activities such as the pressure testing of controls, analysis of </w:t>
            </w:r>
            <w:r w:rsidR="00773614">
              <w:t>‘</w:t>
            </w:r>
            <w:r w:rsidRPr="00BC6ABD">
              <w:t xml:space="preserve">near </w:t>
            </w:r>
            <w:proofErr w:type="spellStart"/>
            <w:r w:rsidRPr="00BC6ABD">
              <w:t>miss</w:t>
            </w:r>
            <w:r w:rsidR="00773614">
              <w:t>’</w:t>
            </w:r>
            <w:proofErr w:type="spellEnd"/>
            <w:r w:rsidRPr="00BC6ABD">
              <w:t xml:space="preserve"> events and lessons learnt through identified cases of fraud.</w:t>
            </w:r>
          </w:p>
        </w:tc>
      </w:tr>
      <w:tr w:rsidR="00375ED8" w:rsidRPr="00BC6ABD" w14:paraId="3DFAE5B2" w14:textId="77777777">
        <w:tc>
          <w:tcPr>
            <w:tcW w:w="2694" w:type="dxa"/>
          </w:tcPr>
          <w:p w14:paraId="2CC74FB9" w14:textId="77777777" w:rsidR="00375ED8" w:rsidRPr="0073176C" w:rsidRDefault="00375ED8">
            <w:pPr>
              <w:pStyle w:val="TabletextLeft"/>
              <w:rPr>
                <w:b/>
              </w:rPr>
            </w:pPr>
            <w:r w:rsidRPr="0073176C">
              <w:rPr>
                <w:b/>
              </w:rPr>
              <w:t>Continuously improving and updating education and awareness for providers</w:t>
            </w:r>
          </w:p>
        </w:tc>
        <w:tc>
          <w:tcPr>
            <w:tcW w:w="7654" w:type="dxa"/>
          </w:tcPr>
          <w:p w14:paraId="754A49B7" w14:textId="4AA69E7E" w:rsidR="00375ED8" w:rsidRPr="00BC6ABD" w:rsidRDefault="00375ED8">
            <w:pPr>
              <w:pStyle w:val="TabletextLeft"/>
            </w:pPr>
            <w:r w:rsidRPr="00BC6ABD">
              <w:t xml:space="preserve">Ensuring feedback from lessons learned, risk events, near misses, complaints, industry outreach and similar sources are collated, analysed, and appropriately communicated to providers on an ongoing basis. This will help to encourage greater awareness and change non-compliant behaviours whilst making sure providers and patients in the Scheme are aware of their obligations, the </w:t>
            </w:r>
            <w:r w:rsidR="00773614">
              <w:t>a</w:t>
            </w:r>
            <w:r w:rsidRPr="00BC6ABD">
              <w:t>gency’s stance on fraud and ongoing efforts to identify and respond to instances of fraud and non-compliance acting as a general deterrent to inadvertent and opportunistic exploitation of the Scheme.</w:t>
            </w:r>
          </w:p>
        </w:tc>
      </w:tr>
      <w:tr w:rsidR="00375ED8" w:rsidRPr="00BC6ABD" w14:paraId="5EB5F577" w14:textId="77777777">
        <w:tc>
          <w:tcPr>
            <w:tcW w:w="2694" w:type="dxa"/>
          </w:tcPr>
          <w:p w14:paraId="5D4AAD03" w14:textId="77777777" w:rsidR="00375ED8" w:rsidRPr="0073176C" w:rsidRDefault="00375ED8">
            <w:pPr>
              <w:pStyle w:val="TabletextLeft"/>
              <w:rPr>
                <w:b/>
              </w:rPr>
            </w:pPr>
            <w:r w:rsidRPr="0073176C">
              <w:rPr>
                <w:b/>
              </w:rPr>
              <w:t xml:space="preserve">Enhancements to detection models based on case work, </w:t>
            </w:r>
            <w:proofErr w:type="gramStart"/>
            <w:r w:rsidRPr="0073176C">
              <w:rPr>
                <w:b/>
              </w:rPr>
              <w:t>intelligence</w:t>
            </w:r>
            <w:proofErr w:type="gramEnd"/>
            <w:r w:rsidRPr="0073176C">
              <w:rPr>
                <w:b/>
              </w:rPr>
              <w:t xml:space="preserve"> and tip offs</w:t>
            </w:r>
          </w:p>
        </w:tc>
        <w:tc>
          <w:tcPr>
            <w:tcW w:w="7654" w:type="dxa"/>
          </w:tcPr>
          <w:p w14:paraId="14DC33A5" w14:textId="730A3536" w:rsidR="00375ED8" w:rsidRPr="00BC6ABD" w:rsidRDefault="00375ED8">
            <w:pPr>
              <w:pStyle w:val="TabletextLeft"/>
            </w:pPr>
            <w:r w:rsidRPr="00BC6ABD">
              <w:t xml:space="preserve">Feedback should be applied to analytics and intelligence to continuously refine and improve the </w:t>
            </w:r>
            <w:r w:rsidR="009931E5">
              <w:t>department</w:t>
            </w:r>
            <w:r w:rsidRPr="00BC6ABD">
              <w:t>’s understanding of fraud and non-compliance and the way it materialises within the Scheme (noting that criminals in particular are constantly evolving their tactics and techniques). This will help ensure detection systems can readily detect undesirable behaviours and trends in a proactive manner (</w:t>
            </w:r>
            <w:proofErr w:type="gramStart"/>
            <w:r w:rsidR="00904BFD">
              <w:t>i.e.</w:t>
            </w:r>
            <w:proofErr w:type="gramEnd"/>
            <w:r w:rsidRPr="00BC6ABD">
              <w:t xml:space="preserve"> pre-payment or on provider enrolment into the Scheme), reducing reliance on reactive practices and move towards proactive system-based detection.</w:t>
            </w:r>
          </w:p>
        </w:tc>
      </w:tr>
      <w:tr w:rsidR="00375ED8" w:rsidRPr="00BC6ABD" w14:paraId="7D0BFC86" w14:textId="77777777">
        <w:tc>
          <w:tcPr>
            <w:tcW w:w="2694" w:type="dxa"/>
          </w:tcPr>
          <w:p w14:paraId="0596BCBC" w14:textId="69A85406" w:rsidR="00375ED8" w:rsidRPr="0073176C" w:rsidRDefault="00375ED8">
            <w:pPr>
              <w:pStyle w:val="TabletextLeft"/>
              <w:rPr>
                <w:b/>
              </w:rPr>
            </w:pPr>
            <w:r w:rsidRPr="0073176C">
              <w:rPr>
                <w:b/>
              </w:rPr>
              <w:t xml:space="preserve">Proactive identification of policy gaps to further strengthen </w:t>
            </w:r>
            <w:r w:rsidR="00773614">
              <w:rPr>
                <w:b/>
              </w:rPr>
              <w:t>S</w:t>
            </w:r>
            <w:r w:rsidRPr="0073176C">
              <w:rPr>
                <w:b/>
              </w:rPr>
              <w:t>cheme capabilities</w:t>
            </w:r>
          </w:p>
        </w:tc>
        <w:tc>
          <w:tcPr>
            <w:tcW w:w="7654" w:type="dxa"/>
          </w:tcPr>
          <w:p w14:paraId="02D33E5C" w14:textId="49C9588E" w:rsidR="00375ED8" w:rsidRPr="00BC6ABD" w:rsidRDefault="00375ED8">
            <w:pPr>
              <w:pStyle w:val="TabletextLeft"/>
            </w:pPr>
            <w:r w:rsidRPr="00BC6ABD">
              <w:t xml:space="preserve">Where capabilities have been historically limited by the Commonwealth’s access to information and data and/or ability to share information and data between </w:t>
            </w:r>
            <w:r w:rsidR="00773614">
              <w:t>a</w:t>
            </w:r>
            <w:r w:rsidRPr="00BC6ABD">
              <w:t xml:space="preserve">gencies, amendments to policies and </w:t>
            </w:r>
            <w:r w:rsidR="00773614">
              <w:t>memorandums of understanding (</w:t>
            </w:r>
            <w:r w:rsidRPr="00BC6ABD">
              <w:t>MOUs</w:t>
            </w:r>
            <w:r w:rsidR="00773614">
              <w:t>) should be pursued</w:t>
            </w:r>
            <w:r w:rsidRPr="00BC6ABD">
              <w:t xml:space="preserve"> to ensure the right information is available at the right time to effectively prevent, detect and respond to the risk of fraud and non-compliance. This will support the ability to continue to generate a viable </w:t>
            </w:r>
            <w:r w:rsidR="00773614">
              <w:t>S</w:t>
            </w:r>
            <w:r w:rsidRPr="00BC6ABD">
              <w:t xml:space="preserve">cheme that meets </w:t>
            </w:r>
            <w:r w:rsidR="008373E2">
              <w:t>government</w:t>
            </w:r>
            <w:r w:rsidR="00773614">
              <w:t>’</w:t>
            </w:r>
            <w:r w:rsidRPr="00BC6ABD">
              <w:t>s expectations and promotes g</w:t>
            </w:r>
            <w:r>
              <w:t>oo</w:t>
            </w:r>
            <w:r w:rsidRPr="00BC6ABD">
              <w:t>d customer experience.</w:t>
            </w:r>
          </w:p>
        </w:tc>
      </w:tr>
      <w:tr w:rsidR="00375ED8" w:rsidRPr="00BC6ABD" w14:paraId="405AD128" w14:textId="77777777">
        <w:tc>
          <w:tcPr>
            <w:tcW w:w="2694" w:type="dxa"/>
          </w:tcPr>
          <w:p w14:paraId="4FE3AE39" w14:textId="77777777" w:rsidR="00375ED8" w:rsidRPr="0073176C" w:rsidRDefault="00375ED8">
            <w:pPr>
              <w:pStyle w:val="TabletextLeft"/>
              <w:rPr>
                <w:b/>
              </w:rPr>
            </w:pPr>
            <w:r w:rsidRPr="0073176C">
              <w:rPr>
                <w:b/>
              </w:rPr>
              <w:t>Support a culture of information sharing and risk mitigation awareness</w:t>
            </w:r>
          </w:p>
        </w:tc>
        <w:tc>
          <w:tcPr>
            <w:tcW w:w="7654" w:type="dxa"/>
          </w:tcPr>
          <w:p w14:paraId="6C9F8FC1" w14:textId="4C572E2E" w:rsidR="00375ED8" w:rsidRPr="00BC6ABD" w:rsidRDefault="00375ED8">
            <w:pPr>
              <w:pStyle w:val="TabletextLeft"/>
            </w:pPr>
            <w:r w:rsidRPr="00BC6ABD">
              <w:t>Improving both intra</w:t>
            </w:r>
            <w:r w:rsidR="00773614">
              <w:t>-</w:t>
            </w:r>
            <w:r w:rsidRPr="00BC6ABD">
              <w:t xml:space="preserve"> and inter-</w:t>
            </w:r>
            <w:r w:rsidR="00773614">
              <w:t>a</w:t>
            </w:r>
            <w:r w:rsidRPr="00BC6ABD">
              <w:t>gency collaboration would help to ensure a single line of sight between risk and control owners, supporting continuous improvements to the control environment.</w:t>
            </w:r>
          </w:p>
        </w:tc>
      </w:tr>
    </w:tbl>
    <w:p w14:paraId="7716B0B0" w14:textId="47937872" w:rsidR="00375ED8" w:rsidRPr="00BC6ABD" w:rsidRDefault="00375ED8" w:rsidP="00375ED8">
      <w:pPr>
        <w:pStyle w:val="Caption"/>
      </w:pPr>
      <w:r>
        <w:t>Source: Philip Review (2023)</w:t>
      </w:r>
    </w:p>
    <w:p w14:paraId="5F637DCA" w14:textId="77777777" w:rsidR="00375ED8" w:rsidRDefault="00375ED8" w:rsidP="00375ED8">
      <w:pPr>
        <w:pStyle w:val="Heading3"/>
      </w:pPr>
      <w:r>
        <w:t>Future composition and role of the PSR</w:t>
      </w:r>
    </w:p>
    <w:p w14:paraId="06DD963D" w14:textId="77777777" w:rsidR="00375ED8" w:rsidRDefault="00375ED8" w:rsidP="00375ED8">
      <w:r>
        <w:t>As with the broader reflections throughout this report, there are also some components of the PSR that ultimately no longer fit with the way that healthcare is currently delivered, and how it will be delivered into the future. For example, the inclusion of only the AMA as a professional body that can veto the appointment of a PSR director no longer reflects the fact that there are a range of professionals who will be referred to PSR and either all professions should be reflected in Director appointment decisions, or none at all. Acknowledging that legislative change would be required to achieve this and that it is not a straightforward decision, I believe it could bring about a measurable enhancement to the perception of the PSR by the sector and any perceived conflicts of interest.</w:t>
      </w:r>
    </w:p>
    <w:p w14:paraId="7DD94C31" w14:textId="4C69CFDF" w:rsidR="00375ED8" w:rsidRDefault="00375ED8" w:rsidP="00375ED8">
      <w:r>
        <w:t xml:space="preserve">One final recommendation for the PSR, that would require legislative changes is the introduction of an ‘associate’ or other alternative </w:t>
      </w:r>
      <w:r w:rsidR="00496988">
        <w:t>second in charge</w:t>
      </w:r>
      <w:r>
        <w:t xml:space="preserve"> role </w:t>
      </w:r>
      <w:r w:rsidR="00496988">
        <w:t xml:space="preserve">supporting </w:t>
      </w:r>
      <w:r>
        <w:t xml:space="preserve">the Director of the PSR. Currently, there are a range of roles and responsibilities that can only be completed by the Director of the PSR including decision making. On top of this, if the Director feels that there is a conflict of interest the only options available to them are either to continue with the process or to take a leave of absence so that an acting Director can be appointed. Having the opportunity for an associate or second Director to be available would help to share the load of the work, ensure that conflicts can be </w:t>
      </w:r>
      <w:r>
        <w:lastRenderedPageBreak/>
        <w:t xml:space="preserve">handled more appropriately, and potentially assist with succession planning and training for future Directors. I understand a similar recommendation was made in the </w:t>
      </w:r>
      <w:r w:rsidR="00FF79D5">
        <w:t>s</w:t>
      </w:r>
      <w:r w:rsidRPr="00496988">
        <w:t>ection 92 review</w:t>
      </w:r>
      <w:r w:rsidR="00496988">
        <w:rPr>
          <w:rStyle w:val="FootnoteReference"/>
        </w:rPr>
        <w:footnoteReference w:id="18"/>
      </w:r>
      <w:r w:rsidRPr="00496988">
        <w:t>.</w:t>
      </w:r>
    </w:p>
    <w:p w14:paraId="144CF02F" w14:textId="351AB4DF" w:rsidR="00375ED8" w:rsidRDefault="00375ED8" w:rsidP="00375ED8">
      <w:pPr>
        <w:pStyle w:val="Heading4"/>
      </w:pPr>
      <w:r>
        <w:t>Proactive education of providers and the sector</w:t>
      </w:r>
    </w:p>
    <w:p w14:paraId="66A702A1" w14:textId="19C133C7" w:rsidR="00375ED8" w:rsidRPr="00A40541" w:rsidRDefault="00375ED8" w:rsidP="00375ED8">
      <w:r>
        <w:t xml:space="preserve">Building upon the previous recommendations is the important area of the education of health professionals, consumers, </w:t>
      </w:r>
      <w:proofErr w:type="gramStart"/>
      <w:r>
        <w:t>providers</w:t>
      </w:r>
      <w:proofErr w:type="gramEnd"/>
      <w:r>
        <w:t xml:space="preserve"> and administrative stakeholders who all play a pivotal role in maintaining the integrity </w:t>
      </w:r>
      <w:r w:rsidR="00FF79D5">
        <w:t xml:space="preserve">of </w:t>
      </w:r>
      <w:r>
        <w:t xml:space="preserve">and compliance with the </w:t>
      </w:r>
      <w:r w:rsidR="00FF79D5">
        <w:t>MBS</w:t>
      </w:r>
      <w:r>
        <w:t xml:space="preserve">. It is recommended that a tiered approach is considered for ongoing education activities and stakeholder engagement and is informed by the enhanced analytics and monitoring of the </w:t>
      </w:r>
      <w:r w:rsidR="00FF79D5">
        <w:t>MBS</w:t>
      </w:r>
      <w:r>
        <w:t>.</w:t>
      </w:r>
    </w:p>
    <w:p w14:paraId="301CC63D" w14:textId="77777777" w:rsidR="00375ED8" w:rsidRDefault="00375ED8" w:rsidP="00375ED8">
      <w:pPr>
        <w:pStyle w:val="Heading3un-numbered"/>
        <w:outlineLvl w:val="9"/>
      </w:pPr>
      <w:r>
        <w:t>Tier 1: Readily accessible education materials and advice</w:t>
      </w:r>
    </w:p>
    <w:p w14:paraId="5AEDCD47" w14:textId="23EC27BF" w:rsidR="00375ED8" w:rsidRDefault="00375ED8" w:rsidP="00375ED8">
      <w:r>
        <w:t xml:space="preserve">Leveraging existing information and communication channels, it is recommended that digital resources are streamlined and tailored to the high priority groups (such as primary and acute care medical practitioners, allied health providers, nursing providers, pathology, </w:t>
      </w:r>
      <w:proofErr w:type="gramStart"/>
      <w:r>
        <w:t>radiology</w:t>
      </w:r>
      <w:proofErr w:type="gramEnd"/>
      <w:r>
        <w:t xml:space="preserve"> and aged care providers). This would include refinement of the ‘AskMBS’ web and email service, </w:t>
      </w:r>
      <w:r w:rsidR="00FF79D5">
        <w:t xml:space="preserve">and </w:t>
      </w:r>
      <w:r>
        <w:t>inclusion of more case study examples of the implementation of individual MBS items.</w:t>
      </w:r>
    </w:p>
    <w:p w14:paraId="6FE902B1" w14:textId="77777777" w:rsidR="00375ED8" w:rsidRDefault="00375ED8" w:rsidP="00375ED8">
      <w:r>
        <w:t xml:space="preserve">Given the strong and symbiotic collaboration between </w:t>
      </w:r>
      <w:proofErr w:type="spellStart"/>
      <w:r>
        <w:t>DoHAC</w:t>
      </w:r>
      <w:proofErr w:type="spellEnd"/>
      <w:r>
        <w:t xml:space="preserve"> and Services Australia, it is recommended that these education materials are co-designed with representatives from each agency and relevant peak bodies where appropriate. This would include periodic review cycles for the information and advice made available to the sector.</w:t>
      </w:r>
    </w:p>
    <w:p w14:paraId="591941B3" w14:textId="2BC78F17" w:rsidR="00375ED8" w:rsidRDefault="00375ED8" w:rsidP="00375ED8">
      <w:r>
        <w:t xml:space="preserve">Where new MBS items are added to the </w:t>
      </w:r>
      <w:r w:rsidR="00FF79D5">
        <w:t>MBS</w:t>
      </w:r>
      <w:r>
        <w:t xml:space="preserve"> or amendments are made to existing items, to assist the translation of the changes it is recommended that consideration be given to the preparation of an information or </w:t>
      </w:r>
      <w:r w:rsidR="00FF79D5">
        <w:t>f</w:t>
      </w:r>
      <w:r>
        <w:t xml:space="preserve">act </w:t>
      </w:r>
      <w:r w:rsidR="00FF79D5">
        <w:t>p</w:t>
      </w:r>
      <w:r>
        <w:t>ack to support the implementation of the changes. Examples of the contents of the fact pack would include clear and concise description of the changes made with a comparison between current and future items, case study examples of how the new MBS item</w:t>
      </w:r>
      <w:r w:rsidR="00B96239">
        <w:t>/s</w:t>
      </w:r>
      <w:r>
        <w:t xml:space="preserve"> will be implemented (relating to the business rules applied to it) highlighting what is different to current practice, and these would be supported by an appropriate lead</w:t>
      </w:r>
      <w:r w:rsidR="00FF79D5">
        <w:t>-</w:t>
      </w:r>
      <w:r>
        <w:t>in time to implementation. It was suggested to me through the consultations with stakeholders for this Review, that at least 6 months is required for appropriate education and informing of the sector prior to a change to the MBS going live to enable the appropriate change management and education support to providers to be completed.</w:t>
      </w:r>
    </w:p>
    <w:p w14:paraId="38FA648B" w14:textId="77777777" w:rsidR="00375ED8" w:rsidRDefault="00375ED8" w:rsidP="00375ED8">
      <w:pPr>
        <w:pStyle w:val="Heading3un-numbered"/>
        <w:outlineLvl w:val="9"/>
      </w:pPr>
      <w:r>
        <w:t>Tier 2: Face-to-Face engagement with health professionals</w:t>
      </w:r>
    </w:p>
    <w:p w14:paraId="78EFED47" w14:textId="77777777" w:rsidR="00375ED8" w:rsidRDefault="00375ED8" w:rsidP="00375ED8">
      <w:r>
        <w:t>It is recommended that the ongoing communication and engagement strategies to reach health professionals via their relevant peak bodies and education seminars in a face-to-face environment continue. Planning engagement at these events to coincide with the outcomes of specific campaigns and compliance drives has the potential to improve compliance with relevant MBS items and practice settings.</w:t>
      </w:r>
    </w:p>
    <w:p w14:paraId="276EB342" w14:textId="77777777" w:rsidR="00375ED8" w:rsidRDefault="00375ED8" w:rsidP="00375ED8">
      <w:r>
        <w:t>Supplementing these activities with issue specific communication strategies can further enhance the impact the campaigns can have on MBS claiming behaviour.</w:t>
      </w:r>
    </w:p>
    <w:p w14:paraId="5CDFA532" w14:textId="21C930F6" w:rsidR="00375ED8" w:rsidRPr="00F559A3" w:rsidRDefault="00375ED8" w:rsidP="00375ED8">
      <w:r>
        <w:t xml:space="preserve">These activities can commence during undergraduate and pre-registration training periods. There is a beneficial element to building the foundational knowledge of the structure and application of the </w:t>
      </w:r>
      <w:r w:rsidR="00FF79D5">
        <w:t>MBS</w:t>
      </w:r>
      <w:r>
        <w:t xml:space="preserve"> that can be built upon as health professionals specialise through their career and refer to a narrower area of the MBS.</w:t>
      </w:r>
    </w:p>
    <w:p w14:paraId="0AD14E2D" w14:textId="77777777" w:rsidR="00375ED8" w:rsidRPr="00652345" w:rsidRDefault="00375ED8" w:rsidP="00375ED8">
      <w:pPr>
        <w:pStyle w:val="Heading3un-numbered"/>
        <w:outlineLvl w:val="9"/>
      </w:pPr>
      <w:r>
        <w:t>Tier 3: Targeted letters and engagement with peak bodies</w:t>
      </w:r>
    </w:p>
    <w:p w14:paraId="1AB0D41D" w14:textId="77777777" w:rsidR="00375ED8" w:rsidRPr="009F0D77" w:rsidRDefault="00375ED8" w:rsidP="00375ED8">
      <w:r>
        <w:t>It is recommended that the existing targeted letters and engagement with peak bodies to ensure compliance with the MBS continue into the future. Where anomalies in claiming behaviour are identified and intervention is required, the assistance of the relevant peak bodies to propagate the message of concern regarding the claiming as well as to clarify the service delivery model considerations is critical.</w:t>
      </w:r>
    </w:p>
    <w:p w14:paraId="0CC6261E" w14:textId="340D010D" w:rsidR="00375ED8" w:rsidRPr="00316E69" w:rsidRDefault="00375ED8" w:rsidP="00375ED8">
      <w:pPr>
        <w:pStyle w:val="Heading3"/>
      </w:pPr>
      <w:r w:rsidRPr="00D34C8E">
        <w:t xml:space="preserve">Broader </w:t>
      </w:r>
      <w:r w:rsidR="00FF79D5">
        <w:t>h</w:t>
      </w:r>
      <w:r w:rsidRPr="00316E69">
        <w:t xml:space="preserve">ealth </w:t>
      </w:r>
      <w:r w:rsidR="00FF79D5">
        <w:t>p</w:t>
      </w:r>
      <w:r w:rsidRPr="00316E69">
        <w:t xml:space="preserve">olicy </w:t>
      </w:r>
      <w:r w:rsidR="00FF79D5">
        <w:t>r</w:t>
      </w:r>
      <w:r w:rsidRPr="00316E69">
        <w:t>esponse</w:t>
      </w:r>
    </w:p>
    <w:p w14:paraId="28B10E9D" w14:textId="77777777" w:rsidR="00375ED8" w:rsidRPr="00BC6ABD" w:rsidRDefault="00375ED8" w:rsidP="00375ED8">
      <w:r w:rsidRPr="00D34C8E">
        <w:t>In addition to mitigating fraud and compliance risk, develop</w:t>
      </w:r>
      <w:r w:rsidRPr="00BC6ABD">
        <w:t xml:space="preserve">ment of </w:t>
      </w:r>
      <w:r w:rsidRPr="00D34C8E">
        <w:t>appropriate feedback l</w:t>
      </w:r>
      <w:r>
        <w:t>oo</w:t>
      </w:r>
      <w:r w:rsidRPr="00D34C8E">
        <w:t>ps</w:t>
      </w:r>
      <w:r w:rsidRPr="00BC6ABD">
        <w:t xml:space="preserve"> would enhance the ability to effectively share </w:t>
      </w:r>
      <w:r>
        <w:t xml:space="preserve">accurate </w:t>
      </w:r>
      <w:r w:rsidRPr="00BC6ABD">
        <w:t xml:space="preserve">Medicare information </w:t>
      </w:r>
      <w:r w:rsidRPr="00D34C8E">
        <w:t>across</w:t>
      </w:r>
      <w:r w:rsidRPr="00BC6ABD">
        <w:t xml:space="preserve"> </w:t>
      </w:r>
      <w:r w:rsidRPr="00D34C8E">
        <w:t xml:space="preserve">internal and external </w:t>
      </w:r>
      <w:r w:rsidRPr="00BC6ABD">
        <w:t>stakeholder group</w:t>
      </w:r>
      <w:r>
        <w:t>s</w:t>
      </w:r>
      <w:r w:rsidRPr="00BC6ABD">
        <w:t xml:space="preserve"> </w:t>
      </w:r>
      <w:r w:rsidRPr="00D34C8E">
        <w:t>to inform and drive broader public g</w:t>
      </w:r>
      <w:r>
        <w:t>oo</w:t>
      </w:r>
      <w:r w:rsidRPr="00D34C8E">
        <w:t xml:space="preserve">d measures. </w:t>
      </w:r>
      <w:r w:rsidRPr="00BC6ABD">
        <w:t xml:space="preserve">This includes: </w:t>
      </w:r>
    </w:p>
    <w:p w14:paraId="2B8A5BFA" w14:textId="77777777" w:rsidR="00375ED8" w:rsidRPr="00BC6ABD" w:rsidRDefault="00375ED8" w:rsidP="00375ED8">
      <w:pPr>
        <w:pStyle w:val="ListBullet"/>
      </w:pPr>
      <w:r w:rsidRPr="00BC6ABD">
        <w:t xml:space="preserve">Improved visibility of clinical information, process improvements and workflow gaps across state healthcare settings </w:t>
      </w:r>
    </w:p>
    <w:p w14:paraId="75F74F79" w14:textId="71EE2C68" w:rsidR="00375ED8" w:rsidRPr="00BC6ABD" w:rsidRDefault="00375ED8" w:rsidP="00375ED8">
      <w:pPr>
        <w:pStyle w:val="ListBullet"/>
      </w:pPr>
      <w:r w:rsidRPr="00BC6ABD">
        <w:lastRenderedPageBreak/>
        <w:t xml:space="preserve">Improved communication across healthcare professionals, working together to provide enhanced continuity of care and health outcomes for patients </w:t>
      </w:r>
    </w:p>
    <w:p w14:paraId="2BB0C401" w14:textId="592A8612" w:rsidR="00375ED8" w:rsidRPr="00BC6ABD" w:rsidRDefault="00375ED8" w:rsidP="00375ED8">
      <w:pPr>
        <w:pStyle w:val="ListBullet"/>
      </w:pPr>
      <w:r w:rsidRPr="00BC6ABD">
        <w:t xml:space="preserve">Capitalising on early clinical information systems investment and opportunities to aggregate data and improve </w:t>
      </w:r>
      <w:r w:rsidR="00FF79D5">
        <w:t>health</w:t>
      </w:r>
      <w:r w:rsidRPr="00BC6ABD">
        <w:t xml:space="preserve">care outcomes </w:t>
      </w:r>
    </w:p>
    <w:p w14:paraId="375C1555" w14:textId="77777777" w:rsidR="00375ED8" w:rsidRPr="00BC6ABD" w:rsidRDefault="00375ED8" w:rsidP="00375ED8">
      <w:pPr>
        <w:pStyle w:val="ListBullet"/>
      </w:pPr>
      <w:r w:rsidRPr="00BC6ABD">
        <w:t xml:space="preserve">Improved health system planning, management, evaluation, and quality improvement which is informed by data collected across the system </w:t>
      </w:r>
    </w:p>
    <w:p w14:paraId="62AB35D8" w14:textId="77777777" w:rsidR="00375ED8" w:rsidRPr="00BC6ABD" w:rsidRDefault="00375ED8" w:rsidP="00375ED8">
      <w:pPr>
        <w:pStyle w:val="ListBullet"/>
      </w:pPr>
      <w:r w:rsidRPr="00BC6ABD">
        <w:t>Feedback from consumers, carers and clinicians is routinely collected and analysed to monitor care experiences and outcomes</w:t>
      </w:r>
    </w:p>
    <w:p w14:paraId="5D3D82BF" w14:textId="77777777" w:rsidR="00375ED8" w:rsidRPr="00BC6ABD" w:rsidRDefault="00375ED8" w:rsidP="00375ED8">
      <w:pPr>
        <w:pStyle w:val="ListBullet"/>
      </w:pPr>
      <w:r w:rsidRPr="00BC6ABD">
        <w:t>Better user experiences, time efficiency and productivity across the system</w:t>
      </w:r>
    </w:p>
    <w:p w14:paraId="1BCDCD14" w14:textId="77777777" w:rsidR="00375ED8" w:rsidRPr="00BC6ABD" w:rsidRDefault="00375ED8" w:rsidP="00375ED8">
      <w:pPr>
        <w:pStyle w:val="ListBullet"/>
      </w:pPr>
      <w:r w:rsidRPr="00BC6ABD">
        <w:t>Healthcare demand and capacity across the state can be viewed centrally in real-time</w:t>
      </w:r>
    </w:p>
    <w:p w14:paraId="0970651D" w14:textId="77777777" w:rsidR="007B5522" w:rsidRDefault="00375ED8" w:rsidP="00375ED8">
      <w:pPr>
        <w:pStyle w:val="ListBullet"/>
      </w:pPr>
      <w:r w:rsidRPr="00BC6ABD">
        <w:t>Healthcare resources are mobilised, and patient flow is directed in response to changing healthcare needs and priorities (</w:t>
      </w:r>
      <w:proofErr w:type="gramStart"/>
      <w:r w:rsidR="00904BFD">
        <w:t>i.e.</w:t>
      </w:r>
      <w:proofErr w:type="gramEnd"/>
      <w:r w:rsidRPr="00BC6ABD">
        <w:t xml:space="preserve"> epidemiology </w:t>
      </w:r>
      <w:r>
        <w:t>disease</w:t>
      </w:r>
      <w:r w:rsidRPr="00BC6ABD">
        <w:t xml:space="preserve"> outbreaks)</w:t>
      </w:r>
      <w:r>
        <w:t>.</w:t>
      </w:r>
    </w:p>
    <w:p w14:paraId="77DD21AF" w14:textId="4BAEBC08" w:rsidR="00375ED8" w:rsidRPr="00BC6ABD" w:rsidRDefault="00375ED8" w:rsidP="00375ED8">
      <w:r w:rsidRPr="00BC6ABD">
        <w:t>By implementing and enhancing information sharing across the stakeholder groups within Medicare, the program will more readily be aware</w:t>
      </w:r>
      <w:r w:rsidR="00015509">
        <w:t xml:space="preserve"> of</w:t>
      </w:r>
      <w:r w:rsidRPr="00BC6ABD">
        <w:t xml:space="preserve"> and respond to public health consideration (with more targeted medical campaigns), better program evaluation and feedback to highlight gaps in the program and provide greater strategic and policy alignment with Federal and State Government </w:t>
      </w:r>
      <w:r>
        <w:t>c</w:t>
      </w:r>
      <w:r w:rsidRPr="00BC6ABD">
        <w:t>ounterparts. This will build stronger foundations for public g</w:t>
      </w:r>
      <w:r>
        <w:t>oo</w:t>
      </w:r>
      <w:r w:rsidRPr="00BC6ABD">
        <w:t xml:space="preserve">d. </w:t>
      </w:r>
    </w:p>
    <w:p w14:paraId="7962356D" w14:textId="77777777" w:rsidR="00375ED8" w:rsidRDefault="00375ED8" w:rsidP="00375ED8">
      <w:r>
        <w:t xml:space="preserve">There is a clear need for learning to take place within </w:t>
      </w:r>
      <w:proofErr w:type="spellStart"/>
      <w:r>
        <w:t>DoHAC</w:t>
      </w:r>
      <w:proofErr w:type="spellEnd"/>
      <w:r>
        <w:t xml:space="preserve"> and Services Australia from large investigations, which include:</w:t>
      </w:r>
    </w:p>
    <w:p w14:paraId="47A8845E" w14:textId="1F50731F" w:rsidR="00375ED8" w:rsidRDefault="00375ED8" w:rsidP="00375ED8">
      <w:pPr>
        <w:pStyle w:val="ListBullet"/>
      </w:pPr>
      <w:r>
        <w:t xml:space="preserve">Common patterns of </w:t>
      </w:r>
      <w:r w:rsidR="00015509">
        <w:t xml:space="preserve">identified </w:t>
      </w:r>
      <w:r>
        <w:t>non-compliant claiming should be proactively applied to other item numbers, professions and claiming channels</w:t>
      </w:r>
    </w:p>
    <w:p w14:paraId="26EAE809" w14:textId="77777777" w:rsidR="00375ED8" w:rsidRDefault="00375ED8" w:rsidP="00375ED8">
      <w:pPr>
        <w:pStyle w:val="ListBullet"/>
      </w:pPr>
      <w:r>
        <w:t>Outcomes of investigations need to inform education material and advice provided to health professionals and patients</w:t>
      </w:r>
    </w:p>
    <w:p w14:paraId="1CD46B9A" w14:textId="4C6C1DC3" w:rsidR="00375ED8" w:rsidRDefault="00375ED8" w:rsidP="00375ED8">
      <w:pPr>
        <w:pStyle w:val="ListBullet"/>
      </w:pPr>
      <w:r>
        <w:t>Simplification of MBS items and structures (</w:t>
      </w:r>
      <w:proofErr w:type="gramStart"/>
      <w:r w:rsidR="00904BFD">
        <w:t>e.g.</w:t>
      </w:r>
      <w:proofErr w:type="gramEnd"/>
      <w:r>
        <w:t xml:space="preserve"> how MBS claims are put together) is an important element. Ambiguously written MBS items need to be updated, and clear business rules that are transparent for health professionals to apply in their practice settings have to be applied</w:t>
      </w:r>
    </w:p>
    <w:p w14:paraId="1C30AD9E" w14:textId="6ABE9D2D" w:rsidR="00375ED8" w:rsidRDefault="00375ED8" w:rsidP="00375ED8">
      <w:pPr>
        <w:pStyle w:val="ListBullet"/>
      </w:pPr>
      <w:r>
        <w:t>Shifting to a continuous improvement cycle rather than a pure internal audit approach will be a significant step forward</w:t>
      </w:r>
    </w:p>
    <w:p w14:paraId="1281427E" w14:textId="36A34612" w:rsidR="00375ED8" w:rsidRDefault="00375ED8" w:rsidP="00375ED8">
      <w:pPr>
        <w:pStyle w:val="ListBullet"/>
      </w:pPr>
      <w:r>
        <w:t>Input and consultation will continue to be required with the sector to ensure the MBS will remain fit for purpose as models of care change and evolve.</w:t>
      </w:r>
    </w:p>
    <w:p w14:paraId="49F7C682" w14:textId="30C3FA9B" w:rsidR="00DE3BB9" w:rsidRDefault="00884929" w:rsidP="008F226B">
      <w:pPr>
        <w:pStyle w:val="Heading3"/>
        <w:pageBreakBefore/>
      </w:pPr>
      <w:bookmarkStart w:id="230" w:name="_Toc128907045"/>
      <w:bookmarkStart w:id="231" w:name="_Toc128909155"/>
      <w:bookmarkStart w:id="232" w:name="_Toc128907046"/>
      <w:bookmarkStart w:id="233" w:name="_Toc128909156"/>
      <w:bookmarkStart w:id="234" w:name="_Toc128907047"/>
      <w:bookmarkStart w:id="235" w:name="_Toc128909157"/>
      <w:bookmarkStart w:id="236" w:name="_Toc128907048"/>
      <w:bookmarkStart w:id="237" w:name="_Toc128909158"/>
      <w:bookmarkStart w:id="238" w:name="_Toc128907049"/>
      <w:bookmarkStart w:id="239" w:name="_Toc128909159"/>
      <w:bookmarkStart w:id="240" w:name="_Toc128907050"/>
      <w:bookmarkStart w:id="241" w:name="_Toc128909160"/>
      <w:bookmarkStart w:id="242" w:name="_Toc128669088"/>
      <w:bookmarkStart w:id="243" w:name="_Toc128905544"/>
      <w:bookmarkStart w:id="244" w:name="_Toc128907051"/>
      <w:bookmarkStart w:id="245" w:name="_Toc128909161"/>
      <w:bookmarkEnd w:id="230"/>
      <w:bookmarkEnd w:id="231"/>
      <w:bookmarkEnd w:id="232"/>
      <w:bookmarkEnd w:id="233"/>
      <w:bookmarkEnd w:id="234"/>
      <w:bookmarkEnd w:id="235"/>
      <w:bookmarkEnd w:id="236"/>
      <w:bookmarkEnd w:id="237"/>
      <w:bookmarkEnd w:id="238"/>
      <w:bookmarkEnd w:id="239"/>
      <w:bookmarkEnd w:id="240"/>
      <w:bookmarkEnd w:id="241"/>
      <w:r>
        <w:t xml:space="preserve">Technology and </w:t>
      </w:r>
      <w:r w:rsidR="00FF79D5">
        <w:t>i</w:t>
      </w:r>
      <w:r>
        <w:t>nfrastructure</w:t>
      </w:r>
      <w:bookmarkEnd w:id="242"/>
      <w:bookmarkEnd w:id="243"/>
      <w:bookmarkEnd w:id="244"/>
      <w:bookmarkEnd w:id="245"/>
    </w:p>
    <w:p w14:paraId="62776710" w14:textId="77777777" w:rsidR="004D051F" w:rsidRDefault="004D051F" w:rsidP="004D051F">
      <w:pPr>
        <w:pStyle w:val="Recommendationtextbox"/>
      </w:pPr>
      <w:r>
        <w:t>Recommendation 4: Redesign of the Medicare payments system to a level of capability maturity that is commensurate with the size and complexity of the Scheme today and into the future.</w:t>
      </w:r>
    </w:p>
    <w:p w14:paraId="19B9C075" w14:textId="77777777" w:rsidR="004D051F" w:rsidRDefault="004D051F" w:rsidP="004D051F">
      <w:pPr>
        <w:pStyle w:val="Recommendationtextbox"/>
      </w:pPr>
      <w:r>
        <w:t>Recommendation 4.1: Implement requirements for greater data checks and compliance within practice management software. This would enable closer integration of practice management software with the claims assessment rules engine to enable real-time claims assessment for providers to avoid unintentional non-compliant claiming.</w:t>
      </w:r>
    </w:p>
    <w:p w14:paraId="061914B6" w14:textId="77777777" w:rsidR="004D051F" w:rsidRDefault="004D051F" w:rsidP="004D051F">
      <w:pPr>
        <w:pStyle w:val="Recommendationtextbox"/>
      </w:pPr>
      <w:r>
        <w:t>Recommendation 4.2: Implement technology to enable consistent and complete pre-payment checking and validation of all MBS claims as part of the first line of defence.</w:t>
      </w:r>
    </w:p>
    <w:p w14:paraId="0B3C332E" w14:textId="77777777" w:rsidR="004D051F" w:rsidRDefault="004D051F" w:rsidP="004D051F">
      <w:pPr>
        <w:pStyle w:val="Recommendationtextbox"/>
      </w:pPr>
      <w:r>
        <w:t>Recommendation 4.3: A review regarding replacement of legacy Medicare systems, applications and databases should be conducted within 12 months.</w:t>
      </w:r>
    </w:p>
    <w:p w14:paraId="1F8433DF" w14:textId="77777777" w:rsidR="004D051F" w:rsidRDefault="004D051F" w:rsidP="004D051F">
      <w:pPr>
        <w:pStyle w:val="Recommendationtextbox"/>
      </w:pPr>
      <w:r>
        <w:t>Recommendation 4.4: Urgent consideration should be given to options for the replacement of the ageing Medicare Common Assessment rules engine to a contemporary technology infrastructure.</w:t>
      </w:r>
    </w:p>
    <w:p w14:paraId="2DC6A26B" w14:textId="77777777" w:rsidR="004D051F" w:rsidRDefault="004D051F" w:rsidP="004D051F">
      <w:pPr>
        <w:pStyle w:val="Recommendationtextbox"/>
      </w:pPr>
      <w:r>
        <w:t xml:space="preserve">Recommendation 4.5: New Governance processes should be implemented (and legislative changes may be required) to expand the data exchanged between Services Australia and </w:t>
      </w:r>
      <w:proofErr w:type="spellStart"/>
      <w:r>
        <w:t>DoHAC</w:t>
      </w:r>
      <w:proofErr w:type="spellEnd"/>
      <w:r>
        <w:t>.</w:t>
      </w:r>
    </w:p>
    <w:p w14:paraId="3851A363" w14:textId="77777777" w:rsidR="004D051F" w:rsidRDefault="004D051F" w:rsidP="004D051F">
      <w:pPr>
        <w:pStyle w:val="Recommendationtextbox"/>
      </w:pPr>
      <w:r>
        <w:t xml:space="preserve">Recommendation 4.6: Given the current lack of sufficient controls and analyses, and given the vulnerabilities in the system, </w:t>
      </w:r>
      <w:proofErr w:type="spellStart"/>
      <w:r>
        <w:t>DoHAC</w:t>
      </w:r>
      <w:proofErr w:type="spellEnd"/>
      <w:r>
        <w:t xml:space="preserve"> and Services Australia should conduct an urgent strategic review of current data assets and uplift of current data analysis.</w:t>
      </w:r>
    </w:p>
    <w:p w14:paraId="6971CC85" w14:textId="2EF5CF81" w:rsidR="004D051F" w:rsidRPr="004D051F" w:rsidRDefault="004D051F" w:rsidP="004D051F">
      <w:pPr>
        <w:pStyle w:val="Recommendationtextbox"/>
      </w:pPr>
      <w:r>
        <w:t>Recommendation 4.7: Consider consolidation of the EDI simplified billing channel into the ECLIPSE billing channel to centralise all hospital inpatient claiming and enable data linkage to acute hospital datasets for compliance analysis.</w:t>
      </w:r>
    </w:p>
    <w:p w14:paraId="06A9AF78" w14:textId="1949C41A" w:rsidR="0060670E" w:rsidRPr="00BC6ABD" w:rsidRDefault="0060670E" w:rsidP="0060670E">
      <w:r w:rsidRPr="00BC6ABD">
        <w:lastRenderedPageBreak/>
        <w:t>To facilitate the identification of non-compliance and fraudulent claims, and to allow claims processing and payment systems to operate with sufficient levels of quality, efficiency, and control, the quality of data submitted with each claim is critical. As Medicare facilitates claims through multiple channels via multiple vendor solutions, there is an increased risk of incongruous and p</w:t>
      </w:r>
      <w:r w:rsidR="009C2DAE">
        <w:t>oo</w:t>
      </w:r>
      <w:r w:rsidRPr="00BC6ABD">
        <w:t>r</w:t>
      </w:r>
      <w:r w:rsidR="002E7D97" w:rsidRPr="00BC6ABD">
        <w:t>-</w:t>
      </w:r>
      <w:r w:rsidRPr="00BC6ABD">
        <w:t>quality data being entered and successfully processed at the point of claim. The complexity of this data landscape causes difficulties in harmonising data from the different claim channels, which is a contributing factor to unintentional non-compliance while also introducing gaps that may be exploited for fraudulent purposes. P</w:t>
      </w:r>
      <w:r w:rsidR="00497383">
        <w:t>oo</w:t>
      </w:r>
      <w:r w:rsidRPr="00BC6ABD">
        <w:t xml:space="preserve">r quality and incongruous data from multiple channels also </w:t>
      </w:r>
      <w:proofErr w:type="gramStart"/>
      <w:r w:rsidR="00F13B72" w:rsidRPr="00BC6ABD">
        <w:t>limit</w:t>
      </w:r>
      <w:r w:rsidR="00791CF2">
        <w:t>s</w:t>
      </w:r>
      <w:proofErr w:type="gramEnd"/>
      <w:r w:rsidRPr="00BC6ABD">
        <w:t xml:space="preserve"> data analysis that can be performed to detect non-compliance and fraud. The accuracy, quality and reliability of the collected data ultimately determines its value in downstream analytical and detection capabilities, insight generation and the ability to capture, reuse and embed business intelligence and learnings for continuous improvement in compliance and the integrity of Medicare.</w:t>
      </w:r>
    </w:p>
    <w:p w14:paraId="5AD09096" w14:textId="3453CDCA" w:rsidR="0060670E" w:rsidRPr="00BC6ABD" w:rsidRDefault="0060670E" w:rsidP="0060670E">
      <w:r w:rsidRPr="00BC6ABD">
        <w:t xml:space="preserve">The existing technology, data and data flows within the Medicare </w:t>
      </w:r>
      <w:r w:rsidR="00EB39D2">
        <w:t>p</w:t>
      </w:r>
      <w:r w:rsidRPr="00BC6ABD">
        <w:t xml:space="preserve">ayments </w:t>
      </w:r>
      <w:r w:rsidR="00EB39D2">
        <w:t>s</w:t>
      </w:r>
      <w:r w:rsidRPr="00BC6ABD">
        <w:t>ystem require redesign to a level of capability maturity commensurate with the size and complexity of the Scheme today and into the future. Achieving this level of capability maturity will confer benefits beyond those related to integrity alone, and be available for reuse in, for example, healthcare modelling, policy development</w:t>
      </w:r>
      <w:r w:rsidR="00A05E62">
        <w:t xml:space="preserve">, </w:t>
      </w:r>
      <w:r w:rsidR="00376D3A">
        <w:t>decision support and clinician</w:t>
      </w:r>
      <w:r w:rsidR="00C5060D">
        <w:t>/provider education,</w:t>
      </w:r>
      <w:r w:rsidRPr="00BC6ABD">
        <w:t xml:space="preserve"> or public health decisions.</w:t>
      </w:r>
      <w:r w:rsidR="00986B5F">
        <w:t xml:space="preserve"> This is illustrated in </w:t>
      </w:r>
      <w:r w:rsidR="00986B5F">
        <w:fldChar w:fldCharType="begin"/>
      </w:r>
      <w:r w:rsidR="00986B5F">
        <w:instrText xml:space="preserve"> REF _Ref128665857 \r \h </w:instrText>
      </w:r>
      <w:r w:rsidR="00986B5F">
        <w:fldChar w:fldCharType="separate"/>
      </w:r>
      <w:r w:rsidR="005A1647">
        <w:t>Figure 3.4</w:t>
      </w:r>
      <w:r w:rsidR="00986B5F">
        <w:fldChar w:fldCharType="end"/>
      </w:r>
      <w:r w:rsidR="00986B5F">
        <w:t xml:space="preserve"> and </w:t>
      </w:r>
      <w:r w:rsidR="000F6E7B">
        <w:t xml:space="preserve">discussed in detail below: </w:t>
      </w:r>
    </w:p>
    <w:p w14:paraId="700D44CE" w14:textId="77C5A238" w:rsidR="0060670E" w:rsidRPr="00BC6ABD" w:rsidRDefault="0076457A" w:rsidP="00DC7291">
      <w:pPr>
        <w:pStyle w:val="ListNumber"/>
        <w:numPr>
          <w:ilvl w:val="0"/>
          <w:numId w:val="18"/>
        </w:numPr>
      </w:pPr>
      <w:r>
        <w:t>Requirements</w:t>
      </w:r>
      <w:r w:rsidR="0060670E" w:rsidRPr="00BC6ABD">
        <w:t xml:space="preserve"> should be </w:t>
      </w:r>
      <w:r w:rsidR="00D3058E">
        <w:t>introduced for greater</w:t>
      </w:r>
      <w:r w:rsidR="0060670E" w:rsidRPr="00BC6ABD">
        <w:t xml:space="preserve"> </w:t>
      </w:r>
      <w:r w:rsidR="0027366D">
        <w:t xml:space="preserve">data checks within </w:t>
      </w:r>
      <w:r w:rsidR="0060670E" w:rsidRPr="00BC6ABD">
        <w:t xml:space="preserve">practice management software. For example, the system should not allow submission of incomplete or unvalidated claims, incorrectly formatted data, or duplicate information. </w:t>
      </w:r>
      <w:r w:rsidR="00D54E99">
        <w:t>Opportunities also exist</w:t>
      </w:r>
      <w:r w:rsidR="0060670E" w:rsidRPr="00BC6ABD">
        <w:t xml:space="preserve"> to </w:t>
      </w:r>
      <w:r w:rsidR="00D54E99">
        <w:t>implement</w:t>
      </w:r>
      <w:r w:rsidR="00245E95">
        <w:t xml:space="preserve"> active decision </w:t>
      </w:r>
      <w:r w:rsidR="00A66DE7">
        <w:t xml:space="preserve">support for MBS </w:t>
      </w:r>
      <w:r w:rsidR="00EB39D2">
        <w:t>i</w:t>
      </w:r>
      <w:r w:rsidR="00A66DE7">
        <w:t>tem selection</w:t>
      </w:r>
      <w:r w:rsidR="009137B9">
        <w:t xml:space="preserve"> at the point of decision</w:t>
      </w:r>
      <w:r w:rsidR="00A66DE7">
        <w:t>,</w:t>
      </w:r>
      <w:r w:rsidR="0060670E" w:rsidRPr="00BC6ABD">
        <w:t xml:space="preserve"> </w:t>
      </w:r>
      <w:r w:rsidR="00D54E99">
        <w:t>which would remove</w:t>
      </w:r>
      <w:r w:rsidR="0060670E" w:rsidRPr="00BC6ABD">
        <w:t xml:space="preserve"> some of the complexity involved in interpreting Medicare guidelines when submitting a claim, reducing unintentional non-compliance.</w:t>
      </w:r>
    </w:p>
    <w:p w14:paraId="48157777" w14:textId="7315C971" w:rsidR="0060670E" w:rsidRPr="00BC6ABD" w:rsidRDefault="0060670E" w:rsidP="00940D39">
      <w:pPr>
        <w:pStyle w:val="ListNumber"/>
      </w:pPr>
      <w:r w:rsidRPr="00BC6ABD">
        <w:t>The application of extensive data and claim validation would reduce the number of inappropriate claims at the point of claim, before payment and without the need for any compliance effort. For example, validation that an individual is authorised to use a provider number, MBS codes used are compatible with a provider’s specialisation</w:t>
      </w:r>
      <w:r w:rsidR="00F36BB2">
        <w:t>,</w:t>
      </w:r>
      <w:r w:rsidRPr="00BC6ABD">
        <w:t xml:space="preserve"> or comparing provider and patient location could be performed prior to allowing online submission of the claim. This would simplify processes for providers and enable practice staff to identify and correct inadvertent data entry errors at the time </w:t>
      </w:r>
      <w:r w:rsidR="007C0333">
        <w:t>prior to</w:t>
      </w:r>
      <w:r w:rsidRPr="00BC6ABD">
        <w:t xml:space="preserve"> claiming. </w:t>
      </w:r>
    </w:p>
    <w:p w14:paraId="7A94E7F8" w14:textId="54885D41" w:rsidR="0060670E" w:rsidRPr="00BC6ABD" w:rsidRDefault="0060670E" w:rsidP="00940D39">
      <w:pPr>
        <w:pStyle w:val="ListNumber"/>
      </w:pPr>
      <w:r w:rsidRPr="00BC6ABD">
        <w:t>A deliberate and strategic overhaul of existing legacy Medicare systems and the myriad of applications and databases that reside on it requires research and consideration. A decision needs to be made about whether this takes the form of system replacement or consolidation and streamlining of the existing system</w:t>
      </w:r>
      <w:r w:rsidR="00EA66E4">
        <w:t>s</w:t>
      </w:r>
      <w:r w:rsidRPr="00BC6ABD">
        <w:t>. Current system complexity and the lack of integration with other systems complicates achievement of a ‘single view of provider/claimant’ and the timely identification of undesirable or high</w:t>
      </w:r>
      <w:r w:rsidR="00EA66E4">
        <w:t>-</w:t>
      </w:r>
      <w:r w:rsidRPr="00BC6ABD">
        <w:t xml:space="preserve">risk behaviours in the Scheme. </w:t>
      </w:r>
      <w:r w:rsidR="0086799E">
        <w:t>Furthermore, as the</w:t>
      </w:r>
      <w:r w:rsidR="00EA659B">
        <w:t xml:space="preserve"> Medicare </w:t>
      </w:r>
      <w:r w:rsidR="00B65862">
        <w:t xml:space="preserve">Common </w:t>
      </w:r>
      <w:r w:rsidR="00EA659B">
        <w:t>Assess</w:t>
      </w:r>
      <w:r w:rsidR="00B65862">
        <w:t>ing</w:t>
      </w:r>
      <w:r w:rsidR="00EA659B">
        <w:t xml:space="preserve"> Engine is built on a legacy </w:t>
      </w:r>
      <w:r w:rsidR="00EB39D2">
        <w:t>m</w:t>
      </w:r>
      <w:r w:rsidR="00EA659B">
        <w:t xml:space="preserve">ainframe platform, there </w:t>
      </w:r>
      <w:r w:rsidR="00FB5D5A">
        <w:t>are end</w:t>
      </w:r>
      <w:r w:rsidR="00EB39D2">
        <w:t>-</w:t>
      </w:r>
      <w:r w:rsidR="00FB5D5A">
        <w:t>of</w:t>
      </w:r>
      <w:r w:rsidR="00EB39D2">
        <w:t>-</w:t>
      </w:r>
      <w:r w:rsidR="00FB5D5A">
        <w:t xml:space="preserve">life issues </w:t>
      </w:r>
      <w:r w:rsidR="002B3175">
        <w:t xml:space="preserve">related to the lack of skilled programmers who </w:t>
      </w:r>
      <w:r w:rsidR="00E61FEE">
        <w:t xml:space="preserve">are able to code changes to applications </w:t>
      </w:r>
      <w:r w:rsidR="0036588D">
        <w:t>at present</w:t>
      </w:r>
      <w:r w:rsidR="00037574">
        <w:t xml:space="preserve">, which will continue to escalate in the </w:t>
      </w:r>
      <w:r w:rsidR="00EB5C3F">
        <w:t xml:space="preserve">future. </w:t>
      </w:r>
      <w:r w:rsidRPr="00BC6ABD">
        <w:t xml:space="preserve">The impact of this is that the </w:t>
      </w:r>
      <w:r w:rsidR="009931E5">
        <w:t>department</w:t>
      </w:r>
      <w:r w:rsidRPr="00BC6ABD">
        <w:t xml:space="preserve"> may need to resort to more onerous or unnecessary treatments which may also impact provider experience and confidence in the Scheme. </w:t>
      </w:r>
    </w:p>
    <w:p w14:paraId="3D9409D5" w14:textId="5ACF7D90" w:rsidR="0060670E" w:rsidRPr="00BC6ABD" w:rsidRDefault="0060670E" w:rsidP="00940D39">
      <w:pPr>
        <w:pStyle w:val="ListNumber"/>
      </w:pPr>
      <w:r w:rsidRPr="00BC6ABD">
        <w:t xml:space="preserve">Work to enhance the quality, reliability and insightfulness of data exchanged between Services Australia and </w:t>
      </w:r>
      <w:proofErr w:type="spellStart"/>
      <w:r w:rsidRPr="00BC6ABD">
        <w:t>D</w:t>
      </w:r>
      <w:r w:rsidR="00EA7173">
        <w:t>o</w:t>
      </w:r>
      <w:r w:rsidRPr="00BC6ABD">
        <w:t>HAC</w:t>
      </w:r>
      <w:proofErr w:type="spellEnd"/>
      <w:r w:rsidRPr="00BC6ABD">
        <w:t xml:space="preserve"> s</w:t>
      </w:r>
      <w:r w:rsidR="00A66DE7">
        <w:t>h</w:t>
      </w:r>
      <w:r w:rsidRPr="00BC6ABD">
        <w:t xml:space="preserve">ould be undertaken. Typically, this will include data cleansing, entity resolution and data transformation prior to transfer to </w:t>
      </w:r>
      <w:proofErr w:type="spellStart"/>
      <w:r w:rsidRPr="00BC6ABD">
        <w:t>D</w:t>
      </w:r>
      <w:r w:rsidR="00EA7173">
        <w:t>o</w:t>
      </w:r>
      <w:r w:rsidRPr="00BC6ABD">
        <w:t>HAC</w:t>
      </w:r>
      <w:proofErr w:type="spellEnd"/>
      <w:r w:rsidRPr="00BC6ABD">
        <w:t xml:space="preserve">. Data cleansing and transformation makes the downstream use of any data easier, more accurate and reliable. Entity resolution identifies duplicate provider/claimant records for subsequent removal and/or merging. A single provider or claimant profile enables better analysis and identification of behaviours for both policy and integrity applications. Further, this level of insight on providers allows the application of targeted public education and user support to those areas </w:t>
      </w:r>
      <w:r w:rsidR="00952BEC">
        <w:t>that</w:t>
      </w:r>
      <w:r w:rsidRPr="00BC6ABD">
        <w:t xml:space="preserve"> really need it. More robust and meaningful data builds confidence in subsequent decisions.</w:t>
      </w:r>
    </w:p>
    <w:p w14:paraId="35727DCD" w14:textId="77777777" w:rsidR="007B5522" w:rsidRDefault="00116811" w:rsidP="00940D39">
      <w:pPr>
        <w:pStyle w:val="ListNumber"/>
      </w:pPr>
      <w:r>
        <w:t>A s</w:t>
      </w:r>
      <w:r w:rsidR="0060670E" w:rsidRPr="00D34C8E">
        <w:t xml:space="preserve">trategic review of current data assets and uplift of current data analysis coverage should be performed as a matter of priority. </w:t>
      </w:r>
      <w:proofErr w:type="spellStart"/>
      <w:r w:rsidR="0060670E" w:rsidRPr="00D34C8E">
        <w:t>D</w:t>
      </w:r>
      <w:r w:rsidR="00EA7173">
        <w:t>o</w:t>
      </w:r>
      <w:r w:rsidR="0060670E" w:rsidRPr="00D34C8E">
        <w:t>HAC</w:t>
      </w:r>
      <w:proofErr w:type="spellEnd"/>
      <w:r w:rsidR="0060670E" w:rsidRPr="00D34C8E">
        <w:t xml:space="preserve"> should formally assess current data assets (including data curated from other agencies and external data providers) to identify what additional data is required to enable detection, and what gaps exist in existing data assets. Notwithstanding any identified data gaps, </w:t>
      </w:r>
      <w:proofErr w:type="spellStart"/>
      <w:r w:rsidR="0060670E" w:rsidRPr="00D34C8E">
        <w:t>D</w:t>
      </w:r>
      <w:r w:rsidR="00EA7173">
        <w:t>o</w:t>
      </w:r>
      <w:r w:rsidR="0060670E" w:rsidRPr="00D34C8E">
        <w:t>HAC</w:t>
      </w:r>
      <w:proofErr w:type="spellEnd"/>
      <w:r w:rsidR="0060670E" w:rsidRPr="00D34C8E">
        <w:t xml:space="preserve"> should also uplift the scope and coverage of data analysis to, at a minimum, better quantify the volume and value of non-compliant and fraudulent claims within the system. This </w:t>
      </w:r>
      <w:r w:rsidR="0060670E" w:rsidRPr="00BC6ABD">
        <w:t>should include an all</w:t>
      </w:r>
      <w:r w:rsidR="00EB39D2">
        <w:t>-</w:t>
      </w:r>
      <w:r w:rsidR="0060670E" w:rsidRPr="00BC6ABD">
        <w:t>of</w:t>
      </w:r>
      <w:r w:rsidR="00EB39D2">
        <w:t>-</w:t>
      </w:r>
      <w:r w:rsidR="0060670E" w:rsidRPr="00BC6ABD">
        <w:t xml:space="preserve">population assessment against </w:t>
      </w:r>
      <w:r w:rsidR="0060670E" w:rsidRPr="00D34C8E">
        <w:t>known risk typologies (behaviours)</w:t>
      </w:r>
      <w:r w:rsidR="0060670E" w:rsidRPr="00BC6ABD">
        <w:t xml:space="preserve"> </w:t>
      </w:r>
      <w:r w:rsidR="0060670E" w:rsidRPr="00D34C8E">
        <w:t xml:space="preserve">and would form </w:t>
      </w:r>
      <w:r w:rsidR="0060670E" w:rsidRPr="00BC6ABD">
        <w:t xml:space="preserve">foundational analysis </w:t>
      </w:r>
      <w:r w:rsidR="0060670E" w:rsidRPr="00D34C8E">
        <w:t>for a shift to continuous monitoring detection.</w:t>
      </w:r>
    </w:p>
    <w:p w14:paraId="32F4C6F1" w14:textId="37E3B3B8" w:rsidR="004F7436" w:rsidRPr="00BC6ABD" w:rsidRDefault="004F7436" w:rsidP="00940D39">
      <w:pPr>
        <w:pStyle w:val="CaptionFigure"/>
      </w:pPr>
      <w:bookmarkStart w:id="246" w:name="_Ref128665857"/>
      <w:bookmarkStart w:id="247" w:name="_Toc131418633"/>
      <w:r>
        <w:lastRenderedPageBreak/>
        <w:t xml:space="preserve">: </w:t>
      </w:r>
      <w:bookmarkEnd w:id="246"/>
      <w:r w:rsidR="00DE0211">
        <w:t xml:space="preserve">Future and purpose-built </w:t>
      </w:r>
      <w:r w:rsidR="00DE0211" w:rsidRPr="00DE0211">
        <w:t xml:space="preserve">Medicare </w:t>
      </w:r>
      <w:r w:rsidR="00EB39D2">
        <w:t>p</w:t>
      </w:r>
      <w:r w:rsidR="00DE0211" w:rsidRPr="00DE0211">
        <w:t xml:space="preserve">ayments </w:t>
      </w:r>
      <w:r w:rsidR="00EB39D2">
        <w:t>s</w:t>
      </w:r>
      <w:r w:rsidR="00DE0211" w:rsidRPr="00DE0211">
        <w:t>ystem</w:t>
      </w:r>
      <w:bookmarkEnd w:id="247"/>
    </w:p>
    <w:p w14:paraId="5A0C9277" w14:textId="797102A1" w:rsidR="00896245" w:rsidRPr="00896245" w:rsidRDefault="006550DE" w:rsidP="00FF7373">
      <w:r>
        <w:rPr>
          <w:noProof/>
        </w:rPr>
        <w:drawing>
          <wp:inline distT="0" distB="0" distL="0" distR="0" wp14:anchorId="48B33264" wp14:editId="374A9B8B">
            <wp:extent cx="6231313" cy="3581400"/>
            <wp:effectExtent l="0" t="0" r="0" b="0"/>
            <wp:docPr id="21557" name="Picture 21557" descr="Figure 3.4 is a diagram showing flow of Medicare data from Services Australia to the department, across front end, mainframe and E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7" name="Picture 21557" descr="Figure 3.4 is a diagram showing flow of Medicare data from Services Australia to the department, across front end, mainframe and ED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0247" cy="3592282"/>
                    </a:xfrm>
                    <a:prstGeom prst="rect">
                      <a:avLst/>
                    </a:prstGeom>
                    <a:noFill/>
                  </pic:spPr>
                </pic:pic>
              </a:graphicData>
            </a:graphic>
          </wp:inline>
        </w:drawing>
      </w:r>
    </w:p>
    <w:bookmarkEnd w:id="204"/>
    <w:bookmarkEnd w:id="205"/>
    <w:p w14:paraId="04597AEF" w14:textId="3887D9CC" w:rsidR="00587570" w:rsidRDefault="0083590B" w:rsidP="0083590B">
      <w:pPr>
        <w:pStyle w:val="Caption"/>
      </w:pPr>
      <w:r>
        <w:t xml:space="preserve">Source: </w:t>
      </w:r>
      <w:r w:rsidR="00896245">
        <w:t>Philip Review (2023)</w:t>
      </w:r>
    </w:p>
    <w:p w14:paraId="5666F13E" w14:textId="3F22891B" w:rsidR="00515CF5" w:rsidRDefault="00515CF5" w:rsidP="00515CF5">
      <w:pPr>
        <w:pStyle w:val="Heading4"/>
      </w:pPr>
      <w:r>
        <w:t>Replacement of the Medicare Common Assess</w:t>
      </w:r>
      <w:r w:rsidR="00A65897">
        <w:t>ing</w:t>
      </w:r>
      <w:r>
        <w:t xml:space="preserve"> </w:t>
      </w:r>
      <w:r w:rsidR="00FF79D5">
        <w:t>(R</w:t>
      </w:r>
      <w:r>
        <w:t>ules</w:t>
      </w:r>
      <w:r w:rsidR="00FF79D5">
        <w:t>)</w:t>
      </w:r>
      <w:r>
        <w:t xml:space="preserve"> </w:t>
      </w:r>
      <w:r w:rsidR="00FF79D5">
        <w:t>E</w:t>
      </w:r>
      <w:r>
        <w:t>ngine</w:t>
      </w:r>
    </w:p>
    <w:p w14:paraId="4641AF44" w14:textId="39F11AD5" w:rsidR="00515CF5" w:rsidRDefault="00515CF5" w:rsidP="004B3EDA">
      <w:r>
        <w:t>It is acknowledged that the Medicare Common Assess</w:t>
      </w:r>
      <w:r w:rsidR="00A65897">
        <w:t>ing</w:t>
      </w:r>
      <w:r>
        <w:t xml:space="preserve"> </w:t>
      </w:r>
      <w:r w:rsidR="00FF79D5">
        <w:t>E</w:t>
      </w:r>
      <w:r>
        <w:t>ngine is maintained on an end-of-life mainframe technology that is not sustainable into the future. It comprises over 200 separate applications to form the engine, and given its age, feedback was provided to me during the Review that maintenance and updates to the platform require a very specific skillset and knowledge base that is not commonly available. As such there is significant risk for the ongoing viability of this critical piece of infrastructure.</w:t>
      </w:r>
    </w:p>
    <w:p w14:paraId="60ED9214" w14:textId="0241A61A" w:rsidR="00515CF5" w:rsidRDefault="00515CF5" w:rsidP="004B3EDA">
      <w:r>
        <w:t>As such, it is recommended that consideration be given to modernising the rules engine</w:t>
      </w:r>
      <w:r w:rsidR="00A82DDA">
        <w:t xml:space="preserve"> as well as the Item Fee File</w:t>
      </w:r>
      <w:r>
        <w:t xml:space="preserve"> to </w:t>
      </w:r>
      <w:r w:rsidR="007A607E">
        <w:t xml:space="preserve">be </w:t>
      </w:r>
      <w:r>
        <w:t>contemporary and fit</w:t>
      </w:r>
      <w:r w:rsidR="00EB39D2">
        <w:t>-</w:t>
      </w:r>
      <w:r>
        <w:t>for</w:t>
      </w:r>
      <w:r w:rsidR="00EB39D2">
        <w:t>-</w:t>
      </w:r>
      <w:r>
        <w:t>purpose technology infrastructure. This will enable more agile updates and refinements to be made to MBS items and the Scheme as a whole.</w:t>
      </w:r>
    </w:p>
    <w:p w14:paraId="1509E2F5" w14:textId="2B8DD3BE" w:rsidR="00515CF5" w:rsidRPr="00F43B68" w:rsidRDefault="00515CF5" w:rsidP="00515CF5">
      <w:r>
        <w:t xml:space="preserve">Embedded within the future Medicare Common Assessing platform should be the close collaboration between </w:t>
      </w:r>
      <w:proofErr w:type="spellStart"/>
      <w:r>
        <w:t>DoHAC</w:t>
      </w:r>
      <w:proofErr w:type="spellEnd"/>
      <w:r>
        <w:t xml:space="preserve"> and Services Australia to define and agree the critical inputs for the Item Fee File that is uploaded to the Medicare Common Assessing platform. This file</w:t>
      </w:r>
      <w:r w:rsidR="00EB39D2">
        <w:t>,</w:t>
      </w:r>
      <w:r>
        <w:t xml:space="preserve"> for each MBS item</w:t>
      </w:r>
      <w:r w:rsidR="00EB39D2">
        <w:t>,</w:t>
      </w:r>
      <w:r>
        <w:t xml:space="preserve"> establishes the common business rules that will be applied to all submitted claims and will form the backbone of the first line of defence integrity and compliance reviews.</w:t>
      </w:r>
    </w:p>
    <w:p w14:paraId="375494BD" w14:textId="77777777" w:rsidR="00515CF5" w:rsidRPr="009F09C7" w:rsidRDefault="00515CF5" w:rsidP="00515CF5">
      <w:pPr>
        <w:pStyle w:val="Heading4"/>
      </w:pPr>
      <w:r w:rsidRPr="009F09C7">
        <w:t>Integration of practice management software and the claims assessment rules engine</w:t>
      </w:r>
    </w:p>
    <w:p w14:paraId="42DAF84B" w14:textId="6B654B29" w:rsidR="00515CF5" w:rsidRDefault="00515CF5" w:rsidP="00515CF5">
      <w:r>
        <w:t xml:space="preserve">It is recommended that practice management software </w:t>
      </w:r>
      <w:r w:rsidR="0082258A">
        <w:t xml:space="preserve">is integrated with </w:t>
      </w:r>
      <w:r>
        <w:t xml:space="preserve">the rules engine </w:t>
      </w:r>
      <w:r w:rsidR="00332152">
        <w:t xml:space="preserve">to </w:t>
      </w:r>
      <w:r>
        <w:t>support best</w:t>
      </w:r>
      <w:r w:rsidR="00EB39D2">
        <w:t xml:space="preserve"> </w:t>
      </w:r>
      <w:r>
        <w:t>practice, compliant billing and claims management.</w:t>
      </w:r>
    </w:p>
    <w:p w14:paraId="657422B8" w14:textId="5830676A" w:rsidR="00515CF5" w:rsidRDefault="00515CF5" w:rsidP="00515CF5">
      <w:r>
        <w:t xml:space="preserve">When an MBS item is captured into the practice management software, it would be cross-referenced with the </w:t>
      </w:r>
      <w:proofErr w:type="gramStart"/>
      <w:r>
        <w:t>rules</w:t>
      </w:r>
      <w:proofErr w:type="gramEnd"/>
      <w:r>
        <w:t xml:space="preserve"> engine. If the item numbers aligned with a service, and adhere to the parameters of the </w:t>
      </w:r>
      <w:proofErr w:type="gramStart"/>
      <w:r>
        <w:t>rules</w:t>
      </w:r>
      <w:proofErr w:type="gramEnd"/>
      <w:r>
        <w:t xml:space="preserve"> engine, there would be no ‘red flag’, indicating an error. However, if it did result in a claiming error, this would provide, live, real-time feedback for the provider (</w:t>
      </w:r>
      <w:proofErr w:type="gramStart"/>
      <w:r w:rsidR="00904BFD">
        <w:t>e.g.</w:t>
      </w:r>
      <w:proofErr w:type="gramEnd"/>
      <w:r>
        <w:t xml:space="preserve"> a member of staff, practice manager) to then confirm with the practitioner.</w:t>
      </w:r>
    </w:p>
    <w:p w14:paraId="3364E601" w14:textId="7FD6FAAB" w:rsidR="00515CF5" w:rsidRDefault="00515CF5" w:rsidP="00515CF5">
      <w:r>
        <w:t>These ‘soft blocks’ would be implemented</w:t>
      </w:r>
      <w:r w:rsidRPr="001E32E0">
        <w:t xml:space="preserve"> when there are clear</w:t>
      </w:r>
      <w:r>
        <w:t>, distinct</w:t>
      </w:r>
      <w:r w:rsidRPr="001E32E0">
        <w:t xml:space="preserve"> clinical scenarios that would mean the services</w:t>
      </w:r>
      <w:r>
        <w:t xml:space="preserve"> could, or could not be claimed. </w:t>
      </w:r>
    </w:p>
    <w:p w14:paraId="6630198A" w14:textId="77777777" w:rsidR="007B5522" w:rsidRDefault="00515CF5" w:rsidP="00515CF5">
      <w:r>
        <w:t>The benefits of this would also be realised by providers, reducing the number of occasions of a retrospective audit, along with the time and resources necessary to respond to an audit.</w:t>
      </w:r>
    </w:p>
    <w:p w14:paraId="028C165D" w14:textId="6F7B3F16" w:rsidR="0097281A" w:rsidRDefault="0097281A" w:rsidP="004A77D7">
      <w:pPr>
        <w:pStyle w:val="Heading4"/>
      </w:pPr>
      <w:r>
        <w:t xml:space="preserve">Consolidation of MBS </w:t>
      </w:r>
      <w:r w:rsidR="00C66959">
        <w:t>claim</w:t>
      </w:r>
      <w:r w:rsidR="00EB39D2">
        <w:t>ing</w:t>
      </w:r>
      <w:r w:rsidR="00C66959">
        <w:t xml:space="preserve"> </w:t>
      </w:r>
      <w:r>
        <w:t>channels</w:t>
      </w:r>
    </w:p>
    <w:p w14:paraId="03049614" w14:textId="7ADE891C" w:rsidR="0097281A" w:rsidRDefault="001F4FEF" w:rsidP="0097281A">
      <w:r>
        <w:t>S</w:t>
      </w:r>
      <w:r w:rsidR="0097281A">
        <w:t>ignificant duplication</w:t>
      </w:r>
      <w:r>
        <w:t xml:space="preserve"> exists</w:t>
      </w:r>
      <w:r w:rsidR="0097281A">
        <w:t xml:space="preserve"> amongst claiming channels, which provides the opportunity to consolidate these to provide an enhanced, and less convoluted claiming experience. </w:t>
      </w:r>
      <w:r w:rsidR="0097281A" w:rsidRPr="002C43D0">
        <w:t>For example,</w:t>
      </w:r>
      <w:r w:rsidR="0097281A">
        <w:t xml:space="preserve"> at present, hospitals and private health </w:t>
      </w:r>
      <w:r w:rsidR="0097281A">
        <w:lastRenderedPageBreak/>
        <w:t xml:space="preserve">insurers can utilise either </w:t>
      </w:r>
      <w:r w:rsidR="0097281A" w:rsidRPr="002C43D0">
        <w:t xml:space="preserve">the EDI or ECLIPSE claiming channels, and both enable the involvement of private health insurers. </w:t>
      </w:r>
      <w:r w:rsidR="0097281A">
        <w:t xml:space="preserve">The </w:t>
      </w:r>
      <w:r w:rsidR="0097281A" w:rsidRPr="002C43D0">
        <w:t xml:space="preserve">opportunity </w:t>
      </w:r>
      <w:r w:rsidR="0097281A">
        <w:t xml:space="preserve">exists </w:t>
      </w:r>
      <w:r w:rsidR="0097281A" w:rsidRPr="002C43D0">
        <w:t xml:space="preserve">to </w:t>
      </w:r>
      <w:r w:rsidR="0097281A">
        <w:t xml:space="preserve">consolidate EDI, which is used for </w:t>
      </w:r>
      <w:r w:rsidR="00EB39D2">
        <w:t>i</w:t>
      </w:r>
      <w:r w:rsidR="0097281A">
        <w:t xml:space="preserve">npatient </w:t>
      </w:r>
      <w:r w:rsidR="00EB39D2">
        <w:t>c</w:t>
      </w:r>
      <w:r w:rsidR="0097281A">
        <w:t xml:space="preserve">laims and represents 0.2% of total claim volumes, into the ECLIPSE Simplified Billing channel, which is also used for Inpatient </w:t>
      </w:r>
      <w:r w:rsidR="00EB39D2">
        <w:t>m</w:t>
      </w:r>
      <w:r w:rsidR="0097281A">
        <w:t xml:space="preserve">edical </w:t>
      </w:r>
      <w:r w:rsidR="00EB39D2">
        <w:t>c</w:t>
      </w:r>
      <w:r w:rsidR="0097281A">
        <w:t>laims</w:t>
      </w:r>
      <w:r w:rsidR="00EB39D2">
        <w:t xml:space="preserve"> </w:t>
      </w:r>
      <w:r w:rsidR="0097281A">
        <w:t>and processes approximately 6% of total claim volumes.</w:t>
      </w:r>
    </w:p>
    <w:p w14:paraId="61FE3A08" w14:textId="51E9F88E" w:rsidR="0097281A" w:rsidRDefault="001F4FEF" w:rsidP="0097281A">
      <w:r>
        <w:t>Combining</w:t>
      </w:r>
      <w:r w:rsidR="0097281A">
        <w:t xml:space="preserve"> the two hospital inpatient billing channels will enable:</w:t>
      </w:r>
    </w:p>
    <w:p w14:paraId="71052AA9" w14:textId="78E9EC84" w:rsidR="0097281A" w:rsidRDefault="0097281A" w:rsidP="0097281A">
      <w:pPr>
        <w:pStyle w:val="ListBullet"/>
      </w:pPr>
      <w:r>
        <w:t>Streamlined and centralised MBS data sets to enable linking with the acute hospital datasets for the purposes of claims verification (</w:t>
      </w:r>
      <w:proofErr w:type="gramStart"/>
      <w:r w:rsidR="00904BFD">
        <w:t>e.g.</w:t>
      </w:r>
      <w:proofErr w:type="gramEnd"/>
      <w:r>
        <w:t xml:space="preserve"> visibility of admission and discharge dates, application of Diagnosis Related Groups and their link to MBS procedure items)</w:t>
      </w:r>
    </w:p>
    <w:p w14:paraId="6E42797F" w14:textId="3FBF4F02" w:rsidR="0097281A" w:rsidRDefault="0097281A" w:rsidP="0097281A">
      <w:pPr>
        <w:pStyle w:val="ListBullet"/>
      </w:pPr>
      <w:r>
        <w:t>Build</w:t>
      </w:r>
      <w:r w:rsidR="00EB39D2">
        <w:t>ing</w:t>
      </w:r>
      <w:r>
        <w:t xml:space="preserve"> and maintenance of common technology infrastructure that links to the relevant hospital technologies to optimise data, and avoid</w:t>
      </w:r>
      <w:r w:rsidR="00194F6D">
        <w:t>ance of</w:t>
      </w:r>
      <w:r>
        <w:t xml:space="preserve"> duplicated effort, </w:t>
      </w:r>
      <w:proofErr w:type="gramStart"/>
      <w:r>
        <w:t>costs</w:t>
      </w:r>
      <w:proofErr w:type="gramEnd"/>
      <w:r>
        <w:t xml:space="preserve"> and technology capability currently in place across the two channels.</w:t>
      </w:r>
    </w:p>
    <w:p w14:paraId="5757BA78" w14:textId="77777777" w:rsidR="007B5522" w:rsidRDefault="0097281A" w:rsidP="00D13478">
      <w:pPr>
        <w:pStyle w:val="ListBullet"/>
      </w:pPr>
      <w:r>
        <w:t xml:space="preserve">Enhanced provider and health insurer experience with the need to interact with a single </w:t>
      </w:r>
      <w:r w:rsidR="005369B8">
        <w:t>claiming channel</w:t>
      </w:r>
      <w:r>
        <w:t>.</w:t>
      </w:r>
    </w:p>
    <w:p w14:paraId="218FDA15" w14:textId="5E50A85C" w:rsidR="0097281A" w:rsidRDefault="0097281A" w:rsidP="0097281A">
      <w:r>
        <w:t xml:space="preserve">Into the future there could be opportunities to further consolidate and rationalise the </w:t>
      </w:r>
      <w:r w:rsidR="005369B8">
        <w:t>claiming channel</w:t>
      </w:r>
      <w:r>
        <w:t xml:space="preserve">s as enhancements and replacement of the supporting technology infrastructure is realised. This could enable the consolidation of the digital channels into MBS Online as the existing dominant </w:t>
      </w:r>
      <w:r w:rsidR="005369B8">
        <w:t>claiming channel</w:t>
      </w:r>
      <w:r>
        <w:t>. This has the potential to reduce confusion or ambiguity in the application and operation of Medicare, though, it would need to be balanced with the transformation and change management needed for the transition to the centralised channel.</w:t>
      </w:r>
    </w:p>
    <w:p w14:paraId="2AED7349" w14:textId="77777777" w:rsidR="007B5522" w:rsidRDefault="0097281A" w:rsidP="0097281A">
      <w:r>
        <w:t xml:space="preserve">Consideration can be given to rationalisation of the manual </w:t>
      </w:r>
      <w:r w:rsidR="00F35606">
        <w:t>claim</w:t>
      </w:r>
      <w:r w:rsidR="00EB39D2">
        <w:t>ing</w:t>
      </w:r>
      <w:r w:rsidR="00F35606">
        <w:t xml:space="preserve"> </w:t>
      </w:r>
      <w:r>
        <w:t xml:space="preserve">channels, however, it is noted that </w:t>
      </w:r>
      <w:proofErr w:type="gramStart"/>
      <w:r>
        <w:t>these handle</w:t>
      </w:r>
      <w:proofErr w:type="gramEnd"/>
      <w:r>
        <w:t xml:space="preserve"> only a small proportion of the overall claims volume (approximately 0.3%) and are vital for people who have limited access to the tools and infrastructure of the digital channels. While there are seven channels operating today, each one represents a preferred method of engagement for patients, and removal of </w:t>
      </w:r>
      <w:r w:rsidR="005B506D">
        <w:t xml:space="preserve">a </w:t>
      </w:r>
      <w:r>
        <w:t>channel should be weighed against the risks of worsening equity of access to Australia’s health system.</w:t>
      </w:r>
    </w:p>
    <w:p w14:paraId="18A107C6" w14:textId="272646BB" w:rsidR="00553604" w:rsidRDefault="00553604" w:rsidP="00553604">
      <w:pPr>
        <w:pStyle w:val="Heading3"/>
      </w:pPr>
      <w:r>
        <w:t xml:space="preserve">Legislation considerations </w:t>
      </w:r>
    </w:p>
    <w:p w14:paraId="7285A254" w14:textId="77777777" w:rsidR="004D051F" w:rsidRDefault="004D051F" w:rsidP="004D051F">
      <w:pPr>
        <w:pStyle w:val="Recommendationtextbox"/>
      </w:pPr>
      <w:r>
        <w:t>Recommendation 5: Consider ongoing review of Medicare’s enabling legislation and regulations to achieve the envisioned future state. Approaches employed by other regulators to ensure a consistent and contemporary approach should also be considered – including mechanisms such as statutory penalties to deter inappropriate behaviour and encourage earlier resolution of compliance cases, expansion of powers to ensure all types of serious non-compliance can be effectively dealt with and a reduction in regulation and legislation that hinders the effectiveness of compliance activities.</w:t>
      </w:r>
    </w:p>
    <w:p w14:paraId="027436A0" w14:textId="0BB16E79" w:rsidR="004D051F" w:rsidRPr="004D051F" w:rsidRDefault="004D051F" w:rsidP="004D051F">
      <w:pPr>
        <w:pStyle w:val="Recommendationtextbox"/>
      </w:pPr>
      <w:r>
        <w:t>Recommendation 6: Remove the veto power of the AMA in the selection process of the Director of the PSR given the breadth of health professions whose registrants could be subject to a review by PSR. Additionally, the appointment of a second in charge or Associate Director could manage conflicts of interest and workloads.</w:t>
      </w:r>
    </w:p>
    <w:p w14:paraId="275C454A" w14:textId="77777777" w:rsidR="00553604" w:rsidRDefault="00553604" w:rsidP="007B5522">
      <w:r>
        <w:t>To respond to findings noted in Chapter 2 of this report and the recommendations outlined in this section, legislative amendments are likely to be needed to enable achievement of the outcomes. I recommend that consideration be given to a whole of system review of relevant legislative instruments and environment, and how these interrelate to inform potential changes, such as:</w:t>
      </w:r>
    </w:p>
    <w:p w14:paraId="19DADCA3" w14:textId="0D91BD1C" w:rsidR="00553604" w:rsidRPr="007B5522" w:rsidRDefault="00553604" w:rsidP="007B5522">
      <w:pPr>
        <w:pStyle w:val="ListBullet"/>
      </w:pPr>
      <w:r w:rsidRPr="007B5522">
        <w:t xml:space="preserve">Amendments to </w:t>
      </w:r>
      <w:r w:rsidR="00192EF5" w:rsidRPr="007B5522">
        <w:t>p</w:t>
      </w:r>
      <w:r w:rsidRPr="007B5522">
        <w:t>rivacy legislation to enable appropriate data and information sharing between government agencies to maintain Scheme integrity</w:t>
      </w:r>
      <w:r w:rsidR="00192EF5" w:rsidRPr="007B5522">
        <w:t>.</w:t>
      </w:r>
      <w:r w:rsidRPr="007B5522">
        <w:t xml:space="preserve"> Amendments to the PSR supporting legislation to enable the appointment of authorised officers as appropriate to perform PSR functions with a removal of the veto power of the AMA in the selection process of the Director of the PSR.</w:t>
      </w:r>
    </w:p>
    <w:p w14:paraId="7C4F07E4" w14:textId="791950DD" w:rsidR="00553604" w:rsidRPr="007B5522" w:rsidRDefault="00553604" w:rsidP="007B5522">
      <w:pPr>
        <w:pStyle w:val="ListBullet"/>
      </w:pPr>
      <w:r w:rsidRPr="007B5522">
        <w:t xml:space="preserve">Review and where appropriate amend existing legislation to allow for the regular and ongoing exchange of information to prevent/detect/investigate/remediate and continuously enhance Scheme integrity and where appropriate introduce suitable criminal offences and/or administrative provisions for non-compliance and fraud. This may require changes to legislation such as </w:t>
      </w:r>
      <w:r w:rsidR="00192EF5" w:rsidRPr="007B5522">
        <w:t>d</w:t>
      </w:r>
      <w:r w:rsidRPr="007B5522">
        <w:t xml:space="preserve">ata </w:t>
      </w:r>
      <w:r w:rsidR="00192EF5" w:rsidRPr="007B5522">
        <w:t>m</w:t>
      </w:r>
      <w:r w:rsidRPr="007B5522">
        <w:t xml:space="preserve">atching </w:t>
      </w:r>
      <w:r w:rsidR="005C6A4C" w:rsidRPr="007B5522">
        <w:t>l</w:t>
      </w:r>
      <w:r w:rsidRPr="007B5522">
        <w:t>egislation, Privacy Act</w:t>
      </w:r>
      <w:r w:rsidR="00192EF5" w:rsidRPr="007B5522">
        <w:t xml:space="preserve"> 1988</w:t>
      </w:r>
      <w:r w:rsidRPr="007B5522">
        <w:t xml:space="preserve">, </w:t>
      </w:r>
      <w:r w:rsidR="005C6A4C" w:rsidRPr="007B5522">
        <w:t>HIA</w:t>
      </w:r>
      <w:r w:rsidRPr="007B5522">
        <w:t>, the PSR Act, and other legislation as determined by the department’s legal advisors.</w:t>
      </w:r>
    </w:p>
    <w:p w14:paraId="7EEEBC3F" w14:textId="77777777" w:rsidR="00553604" w:rsidRPr="007B5522" w:rsidRDefault="00553604" w:rsidP="007B5522">
      <w:pPr>
        <w:pStyle w:val="ListBullet"/>
      </w:pPr>
      <w:r w:rsidRPr="007B5522">
        <w:t xml:space="preserve">Review of the thresholds outlined in various regulatory instruments that determine the trigger points for audits of individual health professional’s practice and MBS item claiming practices. This is with a view to more timely, </w:t>
      </w:r>
      <w:proofErr w:type="gramStart"/>
      <w:r w:rsidRPr="007B5522">
        <w:t>targeted</w:t>
      </w:r>
      <w:proofErr w:type="gramEnd"/>
      <w:r w:rsidRPr="007B5522">
        <w:t xml:space="preserve"> and effective review of practice.</w:t>
      </w:r>
    </w:p>
    <w:p w14:paraId="47B19916" w14:textId="7E9FEC36" w:rsidR="00180972" w:rsidRDefault="00180972" w:rsidP="00244CC0">
      <w:pPr>
        <w:pStyle w:val="Reference"/>
        <w:ind w:left="0" w:firstLine="0"/>
        <w:sectPr w:rsidR="00180972" w:rsidSect="008F226B">
          <w:pgSz w:w="11906" w:h="16838" w:code="9"/>
          <w:pgMar w:top="1135" w:right="720" w:bottom="720" w:left="720" w:header="680" w:footer="363" w:gutter="0"/>
          <w:cols w:space="284"/>
          <w:docGrid w:linePitch="360"/>
        </w:sectPr>
      </w:pPr>
    </w:p>
    <w:p w14:paraId="292CE9A1" w14:textId="421C8C39" w:rsidR="00100A5D" w:rsidRPr="00100A5D" w:rsidRDefault="00963C10" w:rsidP="00940D39">
      <w:pPr>
        <w:pStyle w:val="Heading1"/>
      </w:pPr>
      <w:bookmarkStart w:id="248" w:name="_Toc131418566"/>
      <w:r>
        <w:t>Implementation considerations</w:t>
      </w:r>
      <w:bookmarkEnd w:id="248"/>
    </w:p>
    <w:p w14:paraId="31646918" w14:textId="5B402352" w:rsidR="00525718" w:rsidRPr="00525718" w:rsidRDefault="008A4E87" w:rsidP="00525718">
      <w:r>
        <w:t>Acknowledging</w:t>
      </w:r>
      <w:r w:rsidR="00E523F8">
        <w:t xml:space="preserve"> the </w:t>
      </w:r>
      <w:r w:rsidR="00090597">
        <w:t xml:space="preserve">effort </w:t>
      </w:r>
      <w:proofErr w:type="spellStart"/>
      <w:r w:rsidR="00090597">
        <w:t>DoHAC</w:t>
      </w:r>
      <w:proofErr w:type="spellEnd"/>
      <w:r w:rsidR="00090597">
        <w:t xml:space="preserve">, Services Australia </w:t>
      </w:r>
      <w:r w:rsidR="00E142BB">
        <w:t xml:space="preserve">and peak bodies are </w:t>
      </w:r>
      <w:r w:rsidR="00E20357">
        <w:t xml:space="preserve">directing to the </w:t>
      </w:r>
      <w:r w:rsidR="00DA060F">
        <w:t xml:space="preserve">continuous improvement activities as well as the </w:t>
      </w:r>
      <w:r w:rsidR="00CC3C30">
        <w:t xml:space="preserve">day-to-day management of the Medicare </w:t>
      </w:r>
      <w:r w:rsidR="0095122B">
        <w:t>s</w:t>
      </w:r>
      <w:r w:rsidR="00CC3C30">
        <w:t>ystem</w:t>
      </w:r>
      <w:r w:rsidR="00FB5E3C">
        <w:t>,</w:t>
      </w:r>
      <w:r w:rsidR="006805DA">
        <w:t xml:space="preserve"> </w:t>
      </w:r>
      <w:r w:rsidR="00FB5E3C">
        <w:t>t</w:t>
      </w:r>
      <w:r w:rsidR="00C641CC">
        <w:t xml:space="preserve">he intention of the recommendations outlined in </w:t>
      </w:r>
      <w:r w:rsidR="00680683">
        <w:t>Section</w:t>
      </w:r>
      <w:r w:rsidR="00C641CC">
        <w:t xml:space="preserve"> 3 of this report are to build upon this work and further strengthen</w:t>
      </w:r>
      <w:r w:rsidR="00E161DD">
        <w:t xml:space="preserve"> the integrity</w:t>
      </w:r>
      <w:r w:rsidR="008F5AB7">
        <w:t xml:space="preserve"> of Medicare through </w:t>
      </w:r>
      <w:r w:rsidR="00D24934">
        <w:t>optimised and broader compliance activities.</w:t>
      </w:r>
    </w:p>
    <w:p w14:paraId="65BE40AA" w14:textId="72A3440C" w:rsidR="00D24934" w:rsidRPr="00525718" w:rsidRDefault="00D24934" w:rsidP="00525718">
      <w:bookmarkStart w:id="249" w:name="_Ref128589888"/>
      <w:r>
        <w:t xml:space="preserve">To assist </w:t>
      </w:r>
      <w:r w:rsidR="00CE574B">
        <w:t xml:space="preserve">the prioritisation and sequencing of the </w:t>
      </w:r>
      <w:r w:rsidR="004A77C2">
        <w:t>response to the recommendations</w:t>
      </w:r>
      <w:r w:rsidR="004424F6">
        <w:t xml:space="preserve">, </w:t>
      </w:r>
      <w:r w:rsidR="00255246">
        <w:t>a</w:t>
      </w:r>
      <w:r w:rsidR="00E036BC">
        <w:t xml:space="preserve"> </w:t>
      </w:r>
      <w:r w:rsidR="00B261C7">
        <w:t xml:space="preserve">high-level depiction of how </w:t>
      </w:r>
      <w:r w:rsidR="00737A00">
        <w:t xml:space="preserve">the various activities and recommendations </w:t>
      </w:r>
      <w:r w:rsidR="00F8417C">
        <w:t>should be</w:t>
      </w:r>
      <w:r w:rsidR="00737A00">
        <w:t xml:space="preserve"> acted upon</w:t>
      </w:r>
      <w:r w:rsidR="00F8417C">
        <w:t xml:space="preserve"> are shown in </w:t>
      </w:r>
      <w:r w:rsidR="00F8417C">
        <w:fldChar w:fldCharType="begin"/>
      </w:r>
      <w:r w:rsidR="00F8417C">
        <w:instrText xml:space="preserve"> REF _Ref128667304 \r \h </w:instrText>
      </w:r>
      <w:r w:rsidR="00F8417C">
        <w:fldChar w:fldCharType="separate"/>
      </w:r>
      <w:r w:rsidR="005A1647">
        <w:t>Figure 4.1</w:t>
      </w:r>
      <w:r w:rsidR="00F8417C">
        <w:fldChar w:fldCharType="end"/>
      </w:r>
      <w:r w:rsidR="00F8417C">
        <w:t xml:space="preserve">. </w:t>
      </w:r>
      <w:r w:rsidR="00BE685F">
        <w:t>It</w:t>
      </w:r>
      <w:r w:rsidR="00C115CB">
        <w:t xml:space="preserve"> provides a</w:t>
      </w:r>
      <w:r w:rsidR="0065349B">
        <w:t>n</w:t>
      </w:r>
      <w:r w:rsidR="00C115CB">
        <w:t xml:space="preserve"> </w:t>
      </w:r>
      <w:r w:rsidR="0065349B">
        <w:t xml:space="preserve">assessment of the </w:t>
      </w:r>
      <w:r w:rsidR="008A3160">
        <w:t xml:space="preserve">relative impact and complexity to implement the various recommendations, followed by </w:t>
      </w:r>
      <w:r w:rsidR="00860887">
        <w:fldChar w:fldCharType="begin"/>
      </w:r>
      <w:r w:rsidR="00860887">
        <w:instrText xml:space="preserve"> REF _Ref128667344 \r \h </w:instrText>
      </w:r>
      <w:r w:rsidR="00860887">
        <w:fldChar w:fldCharType="separate"/>
      </w:r>
      <w:r w:rsidR="005A1647">
        <w:t>Figure 4.2</w:t>
      </w:r>
      <w:r w:rsidR="00860887">
        <w:fldChar w:fldCharType="end"/>
      </w:r>
      <w:r w:rsidR="008A3160">
        <w:t xml:space="preserve"> which translates this into </w:t>
      </w:r>
      <w:r w:rsidR="00594ACA">
        <w:t xml:space="preserve">a sequencing based on </w:t>
      </w:r>
      <w:r w:rsidR="00EB29E2">
        <w:t>dependencies</w:t>
      </w:r>
      <w:r w:rsidR="00860887">
        <w:t>.</w:t>
      </w:r>
    </w:p>
    <w:p w14:paraId="5E4C024E" w14:textId="5A62E934" w:rsidR="0076554E" w:rsidRDefault="0076554E" w:rsidP="00940D39">
      <w:pPr>
        <w:pStyle w:val="CaptionFigure"/>
      </w:pPr>
      <w:bookmarkStart w:id="250" w:name="_Ref128667304"/>
      <w:bookmarkStart w:id="251" w:name="_Toc131418634"/>
      <w:bookmarkEnd w:id="249"/>
      <w:r>
        <w:t>: Prioritisation of recommendations</w:t>
      </w:r>
      <w:bookmarkEnd w:id="250"/>
      <w:bookmarkEnd w:id="251"/>
    </w:p>
    <w:p w14:paraId="6608EF11" w14:textId="3791D750" w:rsidR="0076554E" w:rsidRPr="00525718" w:rsidRDefault="00CC3BD1" w:rsidP="00525718">
      <w:r w:rsidRPr="00CC3BD1">
        <w:rPr>
          <w:noProof/>
        </w:rPr>
        <w:drawing>
          <wp:inline distT="0" distB="0" distL="0" distR="0" wp14:anchorId="5CE02F4F" wp14:editId="6E40CCEA">
            <wp:extent cx="6645910" cy="3436620"/>
            <wp:effectExtent l="0" t="0" r="0" b="0"/>
            <wp:docPr id="4" name="Picture 4" descr="Figure 4.1 is a diagram plotting recommendations themes against impact (Y axis) and complexity (X axis). All points are plotted above the midline for impact, though points are plotted above and below midline for complex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1 is a diagram plotting recommendations themes against impact (Y axis) and complexity (X axis). All points are plotted above the midline for impact, though points are plotted above and below midline for complex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5910" cy="3436620"/>
                    </a:xfrm>
                    <a:prstGeom prst="rect">
                      <a:avLst/>
                    </a:prstGeom>
                    <a:noFill/>
                    <a:ln>
                      <a:noFill/>
                    </a:ln>
                  </pic:spPr>
                </pic:pic>
              </a:graphicData>
            </a:graphic>
          </wp:inline>
        </w:drawing>
      </w:r>
    </w:p>
    <w:p w14:paraId="61AA395B" w14:textId="4697F680" w:rsidR="00F84496" w:rsidRPr="00525718" w:rsidRDefault="00F84496" w:rsidP="00AD2C7A">
      <w:pPr>
        <w:pStyle w:val="Caption"/>
      </w:pPr>
      <w:r>
        <w:t>Source: Philip Review (2023)</w:t>
      </w:r>
    </w:p>
    <w:p w14:paraId="53737326" w14:textId="4B7616FC" w:rsidR="000A549B" w:rsidRPr="00525718" w:rsidRDefault="000A549B" w:rsidP="00525718">
      <w:r>
        <w:t xml:space="preserve">Sequencing of the </w:t>
      </w:r>
      <w:r w:rsidR="005421B0">
        <w:t xml:space="preserve">recommendations highlights dependencies that exist between </w:t>
      </w:r>
      <w:r w:rsidR="00C04B79">
        <w:t xml:space="preserve">establishing the </w:t>
      </w:r>
      <w:r w:rsidR="0059284D">
        <w:t>governance and operating model to support Medicare</w:t>
      </w:r>
      <w:r w:rsidR="005B2F68">
        <w:t xml:space="preserve"> that will enable the </w:t>
      </w:r>
      <w:r w:rsidR="00C96CD5">
        <w:t xml:space="preserve">enaction of </w:t>
      </w:r>
      <w:r w:rsidR="00C25874">
        <w:t>legislative changes</w:t>
      </w:r>
      <w:r w:rsidR="009E73CF">
        <w:t xml:space="preserve"> and realisation of the full potential and benefits of the </w:t>
      </w:r>
      <w:r w:rsidR="003E01C6">
        <w:t xml:space="preserve">fit-for-purpose technology environment. </w:t>
      </w:r>
      <w:r w:rsidR="00441422">
        <w:fldChar w:fldCharType="begin"/>
      </w:r>
      <w:r w:rsidR="00441422">
        <w:instrText xml:space="preserve"> REF _Ref128667344 \r \h </w:instrText>
      </w:r>
      <w:r w:rsidR="00441422">
        <w:fldChar w:fldCharType="separate"/>
      </w:r>
      <w:r w:rsidR="005A1647">
        <w:t>Figure 4.2</w:t>
      </w:r>
      <w:r w:rsidR="00441422">
        <w:fldChar w:fldCharType="end"/>
      </w:r>
      <w:r w:rsidR="003E01C6">
        <w:t xml:space="preserve"> outlines the </w:t>
      </w:r>
      <w:r w:rsidR="004F4794">
        <w:t xml:space="preserve">dependencies and therefore sequencing of </w:t>
      </w:r>
      <w:r w:rsidR="00670A82">
        <w:t xml:space="preserve">initiatives that will form part of the broad </w:t>
      </w:r>
      <w:r w:rsidR="00D146D8">
        <w:t>recommendation categories.</w:t>
      </w:r>
    </w:p>
    <w:p w14:paraId="6DE04503" w14:textId="2CB457C2" w:rsidR="00861024" w:rsidRDefault="00861024" w:rsidP="00940D39">
      <w:pPr>
        <w:pStyle w:val="CaptionFigure"/>
      </w:pPr>
      <w:bookmarkStart w:id="252" w:name="_Ref128667344"/>
      <w:bookmarkStart w:id="253" w:name="_Toc131418635"/>
      <w:r>
        <w:lastRenderedPageBreak/>
        <w:t>: High-level view of the sequencing and dependencies</w:t>
      </w:r>
      <w:bookmarkEnd w:id="252"/>
      <w:bookmarkEnd w:id="253"/>
    </w:p>
    <w:p w14:paraId="0078E0BF" w14:textId="4ED8740D" w:rsidR="00E4666A" w:rsidRDefault="00390F77" w:rsidP="0016154E">
      <w:pPr>
        <w:pStyle w:val="CaptionFigure"/>
        <w:numPr>
          <w:ilvl w:val="0"/>
          <w:numId w:val="0"/>
        </w:numPr>
      </w:pPr>
      <w:bookmarkStart w:id="254" w:name="_Toc129959007"/>
      <w:bookmarkStart w:id="255" w:name="_Toc129960302"/>
      <w:bookmarkStart w:id="256" w:name="_Toc131418636"/>
      <w:r w:rsidRPr="00390F77">
        <w:rPr>
          <w:noProof/>
        </w:rPr>
        <w:drawing>
          <wp:inline distT="0" distB="0" distL="0" distR="0" wp14:anchorId="10F215D2" wp14:editId="38F4E94B">
            <wp:extent cx="6645910" cy="3310890"/>
            <wp:effectExtent l="0" t="0" r="2540" b="3810"/>
            <wp:docPr id="7" name="Picture 7" descr="Figure 4.1 is a diagram showing recommendations themes against a timeline from today to 10 years. Short term activities are listed up to 18 months with long activities stretching out to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1 is a diagram showing recommendations themes against a timeline from today to 10 years. Short term activities are listed up to 18 months with long activities stretching out to 10 yea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5910" cy="3310890"/>
                    </a:xfrm>
                    <a:prstGeom prst="rect">
                      <a:avLst/>
                    </a:prstGeom>
                    <a:noFill/>
                    <a:ln>
                      <a:noFill/>
                    </a:ln>
                  </pic:spPr>
                </pic:pic>
              </a:graphicData>
            </a:graphic>
          </wp:inline>
        </w:drawing>
      </w:r>
      <w:bookmarkEnd w:id="254"/>
      <w:r w:rsidR="00E4666A">
        <w:t>Source: Philip Review (2023)</w:t>
      </w:r>
      <w:bookmarkEnd w:id="255"/>
      <w:bookmarkEnd w:id="256"/>
    </w:p>
    <w:p w14:paraId="4839DD4E" w14:textId="77777777" w:rsidR="007B5522" w:rsidRDefault="00AC7875" w:rsidP="00525718">
      <w:r>
        <w:t xml:space="preserve">This is a transformation journey that will require the input and collaboration of all stakeholders from across the healthcare sector. It is essential that we have </w:t>
      </w:r>
      <w:r w:rsidR="00D26B6F">
        <w:t xml:space="preserve">a </w:t>
      </w:r>
      <w:r w:rsidR="00103F73">
        <w:t>long</w:t>
      </w:r>
      <w:r w:rsidR="00A7107E">
        <w:t>-</w:t>
      </w:r>
      <w:r w:rsidR="00103F73">
        <w:t xml:space="preserve">term plan and view to address the findings and enable the recommendations to set Medicare on the correct future path. Medicare is a complex system that supports the Australian population and </w:t>
      </w:r>
      <w:r w:rsidR="00097603">
        <w:t xml:space="preserve">transforming it to be fit for purpose into the future is not realistically achieved in the short term. As such, a 10-year journey is planned for </w:t>
      </w:r>
      <w:r w:rsidR="00A7107E">
        <w:t>with ongoing continuous improvement initiatives</w:t>
      </w:r>
      <w:r w:rsidR="00AD0CCC">
        <w:t xml:space="preserve"> and activities </w:t>
      </w:r>
      <w:r w:rsidR="0095122B">
        <w:t xml:space="preserve">to be </w:t>
      </w:r>
      <w:r w:rsidR="00AD0CCC">
        <w:t>completed.</w:t>
      </w:r>
    </w:p>
    <w:p w14:paraId="4385C0BD" w14:textId="726C8511" w:rsidR="002D34EC" w:rsidRPr="00143BB5" w:rsidRDefault="002D34EC" w:rsidP="00244CC0">
      <w:pPr>
        <w:pStyle w:val="Reference"/>
        <w:ind w:left="0" w:firstLine="0"/>
        <w:sectPr w:rsidR="002D34EC" w:rsidRPr="00143BB5" w:rsidSect="001C4E56">
          <w:pgSz w:w="11906" w:h="16838" w:code="9"/>
          <w:pgMar w:top="720" w:right="720" w:bottom="720" w:left="720" w:header="680" w:footer="425" w:gutter="0"/>
          <w:cols w:space="284"/>
          <w:docGrid w:linePitch="360"/>
        </w:sectPr>
      </w:pPr>
    </w:p>
    <w:p w14:paraId="37D0ECFD" w14:textId="1537B544" w:rsidR="009522DE" w:rsidRPr="00485628" w:rsidRDefault="009522DE" w:rsidP="00940D39">
      <w:pPr>
        <w:pStyle w:val="Appendixhead1"/>
        <w:outlineLvl w:val="0"/>
      </w:pPr>
      <w:bookmarkStart w:id="257" w:name="_Ref126079134"/>
      <w:bookmarkStart w:id="258" w:name="_Toc131418567"/>
      <w:r>
        <w:lastRenderedPageBreak/>
        <w:t>Previous estimations of non-compliance in Medicare</w:t>
      </w:r>
      <w:bookmarkEnd w:id="257"/>
      <w:bookmarkEnd w:id="258"/>
    </w:p>
    <w:p w14:paraId="652065E6" w14:textId="73BD61B0" w:rsidR="009522DE" w:rsidRPr="00EC592D" w:rsidRDefault="00851D9A" w:rsidP="00940D39">
      <w:pPr>
        <w:pStyle w:val="AppendixTableCaption"/>
        <w:outlineLvl w:val="9"/>
      </w:pPr>
      <w:bookmarkStart w:id="259" w:name="_Ref125979116"/>
      <w:bookmarkStart w:id="260" w:name="_Toc131418584"/>
      <w:r>
        <w:t xml:space="preserve">: </w:t>
      </w:r>
      <w:r w:rsidR="009522DE">
        <w:t>Estimates of the cost of health provider non-compliance</w:t>
      </w:r>
      <w:bookmarkEnd w:id="259"/>
      <w:bookmarkEnd w:id="260"/>
    </w:p>
    <w:tbl>
      <w:tblPr>
        <w:tblStyle w:val="Deloittetable"/>
        <w:tblW w:w="5000" w:type="pct"/>
        <w:tblLook w:val="04A0" w:firstRow="1" w:lastRow="0" w:firstColumn="1" w:lastColumn="0" w:noHBand="0" w:noVBand="1"/>
      </w:tblPr>
      <w:tblGrid>
        <w:gridCol w:w="2565"/>
        <w:gridCol w:w="2596"/>
        <w:gridCol w:w="4065"/>
        <w:gridCol w:w="2347"/>
        <w:gridCol w:w="2279"/>
        <w:gridCol w:w="1546"/>
      </w:tblGrid>
      <w:tr w:rsidR="009522DE" w14:paraId="47D36C00" w14:textId="77777777" w:rsidTr="009C7AED">
        <w:trPr>
          <w:cnfStyle w:val="100000000000" w:firstRow="1" w:lastRow="0" w:firstColumn="0" w:lastColumn="0" w:oddVBand="0" w:evenVBand="0" w:oddHBand="0" w:evenHBand="0" w:firstRowFirstColumn="0" w:firstRowLastColumn="0" w:lastRowFirstColumn="0" w:lastRowLastColumn="0"/>
          <w:trHeight w:val="122"/>
          <w:tblHeader/>
        </w:trPr>
        <w:tc>
          <w:tcPr>
            <w:tcW w:w="833" w:type="pct"/>
            <w:tcBorders>
              <w:top w:val="single" w:sz="24" w:space="0" w:color="005B89"/>
            </w:tcBorders>
          </w:tcPr>
          <w:p w14:paraId="26F2070B" w14:textId="77777777" w:rsidR="009522DE" w:rsidRPr="008A638F" w:rsidRDefault="009522DE" w:rsidP="00405174">
            <w:pPr>
              <w:rPr>
                <w:b w:val="0"/>
              </w:rPr>
            </w:pPr>
            <w:r w:rsidRPr="008A638F">
              <w:t>Source</w:t>
            </w:r>
          </w:p>
        </w:tc>
        <w:tc>
          <w:tcPr>
            <w:tcW w:w="843" w:type="pct"/>
            <w:tcBorders>
              <w:top w:val="single" w:sz="24" w:space="0" w:color="005B89"/>
            </w:tcBorders>
          </w:tcPr>
          <w:p w14:paraId="2E04E659" w14:textId="77777777" w:rsidR="009522DE" w:rsidRPr="008A638F" w:rsidRDefault="009522DE" w:rsidP="009C7AED">
            <w:pPr>
              <w:spacing w:before="60" w:after="60"/>
              <w:rPr>
                <w:b w:val="0"/>
                <w:color w:val="005587"/>
              </w:rPr>
            </w:pPr>
            <w:r w:rsidRPr="008A638F">
              <w:rPr>
                <w:color w:val="005587"/>
              </w:rPr>
              <w:t>Extract from source</w:t>
            </w:r>
          </w:p>
        </w:tc>
        <w:tc>
          <w:tcPr>
            <w:tcW w:w="1320" w:type="pct"/>
            <w:tcBorders>
              <w:top w:val="single" w:sz="24" w:space="0" w:color="005B89"/>
            </w:tcBorders>
          </w:tcPr>
          <w:p w14:paraId="0D05A466" w14:textId="77777777" w:rsidR="009522DE" w:rsidRPr="008A638F" w:rsidRDefault="009522DE" w:rsidP="009C7AED">
            <w:pPr>
              <w:spacing w:before="60" w:after="60"/>
              <w:rPr>
                <w:b w:val="0"/>
                <w:color w:val="005587"/>
              </w:rPr>
            </w:pPr>
            <w:r w:rsidRPr="008A638F">
              <w:rPr>
                <w:color w:val="005587"/>
              </w:rPr>
              <w:t xml:space="preserve">Commentary on source used to derive input </w:t>
            </w:r>
          </w:p>
        </w:tc>
        <w:tc>
          <w:tcPr>
            <w:tcW w:w="762" w:type="pct"/>
            <w:tcBorders>
              <w:top w:val="single" w:sz="24" w:space="0" w:color="005B89"/>
            </w:tcBorders>
          </w:tcPr>
          <w:p w14:paraId="2C809C25" w14:textId="77777777" w:rsidR="009522DE" w:rsidRPr="008A638F" w:rsidRDefault="009522DE" w:rsidP="009C7AED">
            <w:pPr>
              <w:spacing w:before="60" w:after="60"/>
              <w:rPr>
                <w:b w:val="0"/>
                <w:color w:val="005587"/>
              </w:rPr>
            </w:pPr>
            <w:r w:rsidRPr="008A638F">
              <w:rPr>
                <w:color w:val="005587"/>
              </w:rPr>
              <w:t>Approach to estimating non-compliance in Medicare in Australia</w:t>
            </w:r>
          </w:p>
        </w:tc>
        <w:tc>
          <w:tcPr>
            <w:tcW w:w="740" w:type="pct"/>
            <w:tcBorders>
              <w:top w:val="single" w:sz="24" w:space="0" w:color="005B89"/>
            </w:tcBorders>
          </w:tcPr>
          <w:p w14:paraId="5CF30F08" w14:textId="6284DF69" w:rsidR="009522DE" w:rsidRPr="008A638F" w:rsidRDefault="009522DE" w:rsidP="009C7AED">
            <w:pPr>
              <w:spacing w:before="60" w:after="60"/>
              <w:rPr>
                <w:b w:val="0"/>
                <w:color w:val="005587"/>
              </w:rPr>
            </w:pPr>
            <w:r w:rsidRPr="008A638F">
              <w:rPr>
                <w:color w:val="005587"/>
              </w:rPr>
              <w:t>Calculation to estimate non-compliance in Medicare in Australia</w:t>
            </w:r>
          </w:p>
        </w:tc>
        <w:tc>
          <w:tcPr>
            <w:tcW w:w="502" w:type="pct"/>
            <w:tcBorders>
              <w:top w:val="single" w:sz="24" w:space="0" w:color="005B89"/>
            </w:tcBorders>
          </w:tcPr>
          <w:p w14:paraId="73948CB4" w14:textId="77777777" w:rsidR="009522DE" w:rsidRPr="008A638F" w:rsidRDefault="009522DE" w:rsidP="009C7AED">
            <w:pPr>
              <w:spacing w:before="60" w:after="60"/>
              <w:rPr>
                <w:b w:val="0"/>
                <w:color w:val="005587"/>
              </w:rPr>
            </w:pPr>
            <w:r w:rsidRPr="008A638F">
              <w:rPr>
                <w:color w:val="005587"/>
              </w:rPr>
              <w:t xml:space="preserve">Value of non-compliance </w:t>
            </w:r>
          </w:p>
          <w:p w14:paraId="24E6DDB0" w14:textId="77777777" w:rsidR="009522DE" w:rsidRPr="008A638F" w:rsidRDefault="009522DE" w:rsidP="009C7AED">
            <w:pPr>
              <w:spacing w:before="60" w:after="60"/>
              <w:rPr>
                <w:b w:val="0"/>
                <w:color w:val="005587"/>
              </w:rPr>
            </w:pPr>
            <w:r w:rsidRPr="008A638F">
              <w:rPr>
                <w:color w:val="005587"/>
              </w:rPr>
              <w:t xml:space="preserve">($ million) </w:t>
            </w:r>
          </w:p>
        </w:tc>
      </w:tr>
      <w:tr w:rsidR="009522DE" w14:paraId="644E675B" w14:textId="77777777" w:rsidTr="009C7AED">
        <w:trPr>
          <w:trHeight w:val="122"/>
        </w:trPr>
        <w:tc>
          <w:tcPr>
            <w:tcW w:w="5000" w:type="pct"/>
            <w:gridSpan w:val="6"/>
            <w:shd w:val="clear" w:color="auto" w:fill="F2F2F2" w:themeFill="background1" w:themeFillShade="F2"/>
          </w:tcPr>
          <w:p w14:paraId="14E30548" w14:textId="267D0C97" w:rsidR="009522DE" w:rsidRPr="00DC7291" w:rsidRDefault="009522DE" w:rsidP="00DC7291">
            <w:pPr>
              <w:rPr>
                <w:rStyle w:val="Strong"/>
              </w:rPr>
            </w:pPr>
            <w:r w:rsidRPr="00A00EAA">
              <w:rPr>
                <w:rStyle w:val="Strong"/>
                <w:sz w:val="20"/>
                <w:szCs w:val="16"/>
              </w:rPr>
              <w:t>Estimates from the Australian National Audit Office (2021) Report</w:t>
            </w:r>
          </w:p>
        </w:tc>
      </w:tr>
      <w:tr w:rsidR="009522DE" w14:paraId="71B52196" w14:textId="77777777" w:rsidTr="009C7AED">
        <w:trPr>
          <w:trHeight w:val="554"/>
        </w:trPr>
        <w:tc>
          <w:tcPr>
            <w:tcW w:w="833" w:type="pct"/>
          </w:tcPr>
          <w:p w14:paraId="630063FC" w14:textId="3E9958E4" w:rsidR="009522DE" w:rsidRPr="00A00EAA" w:rsidRDefault="009522DE" w:rsidP="008F226B">
            <w:pPr>
              <w:spacing w:before="60" w:after="60"/>
              <w:rPr>
                <w:sz w:val="20"/>
                <w:szCs w:val="16"/>
              </w:rPr>
            </w:pPr>
            <w:r w:rsidRPr="00A00EAA">
              <w:rPr>
                <w:sz w:val="20"/>
                <w:szCs w:val="16"/>
              </w:rPr>
              <w:t>Health Provider Compliance Division Strategy and Operating Model Summary</w:t>
            </w:r>
            <w:r w:rsidR="008F226B">
              <w:rPr>
                <w:sz w:val="20"/>
                <w:szCs w:val="16"/>
              </w:rPr>
              <w:t xml:space="preserve"> </w:t>
            </w:r>
            <w:r w:rsidRPr="00A00EAA">
              <w:rPr>
                <w:sz w:val="20"/>
                <w:szCs w:val="16"/>
              </w:rPr>
              <w:t>Boston Consulting Group (2016)</w:t>
            </w:r>
          </w:p>
        </w:tc>
        <w:tc>
          <w:tcPr>
            <w:tcW w:w="843" w:type="pct"/>
          </w:tcPr>
          <w:p w14:paraId="2108B7AE" w14:textId="77777777" w:rsidR="009522DE" w:rsidRPr="00A00EAA" w:rsidRDefault="009522DE" w:rsidP="009C7AED">
            <w:pPr>
              <w:spacing w:before="60" w:after="60"/>
              <w:rPr>
                <w:sz w:val="20"/>
                <w:szCs w:val="16"/>
              </w:rPr>
            </w:pPr>
            <w:r w:rsidRPr="00A00EAA">
              <w:rPr>
                <w:sz w:val="20"/>
                <w:szCs w:val="16"/>
              </w:rPr>
              <w:t xml:space="preserve">“Global examples suggest that a compliance division such as the Health Provider Compliance Division should be able to recover 1-4% of total healthcare spend.” </w:t>
            </w:r>
          </w:p>
        </w:tc>
        <w:tc>
          <w:tcPr>
            <w:tcW w:w="1320" w:type="pct"/>
          </w:tcPr>
          <w:p w14:paraId="667B4EB9" w14:textId="77777777" w:rsidR="009522DE" w:rsidRPr="00A00EAA" w:rsidRDefault="009522DE" w:rsidP="009C7AED">
            <w:pPr>
              <w:spacing w:before="60" w:after="60"/>
              <w:rPr>
                <w:sz w:val="20"/>
                <w:szCs w:val="16"/>
              </w:rPr>
            </w:pPr>
            <w:r w:rsidRPr="00A00EAA">
              <w:rPr>
                <w:sz w:val="20"/>
                <w:szCs w:val="16"/>
              </w:rPr>
              <w:t xml:space="preserve">No source was referenced for the 1-4% figure. A broader desktop review could not locate this figure. </w:t>
            </w:r>
          </w:p>
        </w:tc>
        <w:tc>
          <w:tcPr>
            <w:tcW w:w="762" w:type="pct"/>
          </w:tcPr>
          <w:p w14:paraId="2387F81C" w14:textId="77777777" w:rsidR="009522DE" w:rsidRPr="00A00EAA" w:rsidRDefault="009522DE" w:rsidP="009C7AED">
            <w:pPr>
              <w:spacing w:before="60" w:after="60"/>
              <w:rPr>
                <w:sz w:val="20"/>
                <w:szCs w:val="16"/>
              </w:rPr>
            </w:pPr>
            <w:r w:rsidRPr="00A00EAA">
              <w:rPr>
                <w:sz w:val="20"/>
                <w:szCs w:val="16"/>
              </w:rPr>
              <w:t>Top-down approach</w:t>
            </w:r>
          </w:p>
        </w:tc>
        <w:tc>
          <w:tcPr>
            <w:tcW w:w="740" w:type="pct"/>
          </w:tcPr>
          <w:p w14:paraId="3246090A" w14:textId="60E8F19C" w:rsidR="009522DE" w:rsidRPr="00A00EAA" w:rsidRDefault="009522DE" w:rsidP="009C7AED">
            <w:pPr>
              <w:spacing w:before="60" w:after="60"/>
              <w:rPr>
                <w:sz w:val="20"/>
                <w:szCs w:val="16"/>
              </w:rPr>
            </w:pPr>
            <w:r w:rsidRPr="00A00EAA">
              <w:rPr>
                <w:sz w:val="20"/>
                <w:szCs w:val="16"/>
              </w:rPr>
              <w:t>1-4% * total Medicare expenditure in 2018</w:t>
            </w:r>
            <w:r w:rsidR="00CA6D48" w:rsidRPr="00A00EAA">
              <w:rPr>
                <w:sz w:val="20"/>
                <w:szCs w:val="16"/>
              </w:rPr>
              <w:t>–</w:t>
            </w:r>
            <w:r w:rsidRPr="00A00EAA">
              <w:rPr>
                <w:sz w:val="20"/>
                <w:szCs w:val="16"/>
              </w:rPr>
              <w:t>19</w:t>
            </w:r>
            <w:r w:rsidR="00723700" w:rsidRPr="00A00EAA">
              <w:rPr>
                <w:sz w:val="20"/>
                <w:szCs w:val="16"/>
              </w:rPr>
              <w:t>*</w:t>
            </w:r>
            <w:r w:rsidRPr="00A00EAA">
              <w:rPr>
                <w:sz w:val="20"/>
                <w:szCs w:val="16"/>
              </w:rPr>
              <w:t xml:space="preserve"> </w:t>
            </w:r>
          </w:p>
        </w:tc>
        <w:tc>
          <w:tcPr>
            <w:tcW w:w="502" w:type="pct"/>
          </w:tcPr>
          <w:p w14:paraId="43D58752" w14:textId="48B8A697" w:rsidR="009522DE" w:rsidRPr="00A00EAA" w:rsidRDefault="009522DE" w:rsidP="009C7AED">
            <w:pPr>
              <w:spacing w:before="60" w:after="60"/>
              <w:rPr>
                <w:sz w:val="20"/>
                <w:szCs w:val="16"/>
              </w:rPr>
            </w:pPr>
            <w:r w:rsidRPr="00A00EAA">
              <w:rPr>
                <w:sz w:val="20"/>
                <w:szCs w:val="16"/>
              </w:rPr>
              <w:t xml:space="preserve">366 </w:t>
            </w:r>
            <w:r w:rsidR="00C000DE" w:rsidRPr="00A00EAA">
              <w:rPr>
                <w:sz w:val="20"/>
                <w:szCs w:val="16"/>
              </w:rPr>
              <w:t>–</w:t>
            </w:r>
            <w:r w:rsidRPr="00A00EAA">
              <w:rPr>
                <w:sz w:val="20"/>
                <w:szCs w:val="16"/>
              </w:rPr>
              <w:t xml:space="preserve"> 1,464</w:t>
            </w:r>
          </w:p>
        </w:tc>
      </w:tr>
      <w:tr w:rsidR="009522DE" w14:paraId="7629BEDA" w14:textId="77777777" w:rsidTr="009C7AED">
        <w:trPr>
          <w:trHeight w:val="732"/>
        </w:trPr>
        <w:tc>
          <w:tcPr>
            <w:tcW w:w="833" w:type="pct"/>
          </w:tcPr>
          <w:p w14:paraId="5BC60D4F" w14:textId="57AAD3F6" w:rsidR="009522DE" w:rsidRPr="00A00EAA" w:rsidRDefault="009522DE" w:rsidP="008F226B">
            <w:pPr>
              <w:spacing w:before="60" w:after="60"/>
              <w:rPr>
                <w:sz w:val="20"/>
                <w:szCs w:val="16"/>
              </w:rPr>
            </w:pPr>
            <w:r w:rsidRPr="00A00EAA">
              <w:rPr>
                <w:sz w:val="20"/>
                <w:szCs w:val="16"/>
              </w:rPr>
              <w:t>Analytics in Health Provider Compliance at Department of Health</w:t>
            </w:r>
            <w:r w:rsidR="008F226B">
              <w:rPr>
                <w:sz w:val="20"/>
                <w:szCs w:val="16"/>
              </w:rPr>
              <w:t xml:space="preserve"> </w:t>
            </w:r>
            <w:r w:rsidRPr="00A00EAA">
              <w:rPr>
                <w:sz w:val="20"/>
                <w:szCs w:val="16"/>
              </w:rPr>
              <w:t>McKinsey (2016)</w:t>
            </w:r>
          </w:p>
        </w:tc>
        <w:tc>
          <w:tcPr>
            <w:tcW w:w="843" w:type="pct"/>
          </w:tcPr>
          <w:p w14:paraId="57F96976" w14:textId="77777777" w:rsidR="009522DE" w:rsidRPr="00A00EAA" w:rsidRDefault="009522DE" w:rsidP="009C7AED">
            <w:pPr>
              <w:spacing w:before="60" w:after="60"/>
              <w:rPr>
                <w:sz w:val="20"/>
                <w:szCs w:val="16"/>
              </w:rPr>
            </w:pPr>
            <w:r w:rsidRPr="00A00EAA">
              <w:rPr>
                <w:sz w:val="20"/>
                <w:szCs w:val="16"/>
              </w:rPr>
              <w:t>“6% is considered a reasonable estimate of improper payment rate.”</w:t>
            </w:r>
          </w:p>
        </w:tc>
        <w:tc>
          <w:tcPr>
            <w:tcW w:w="1320" w:type="pct"/>
          </w:tcPr>
          <w:p w14:paraId="164FC4F0" w14:textId="399D8868" w:rsidR="009522DE" w:rsidRPr="00A00EAA" w:rsidRDefault="009522DE" w:rsidP="009C7AED">
            <w:pPr>
              <w:spacing w:before="60" w:after="60"/>
              <w:rPr>
                <w:sz w:val="20"/>
                <w:szCs w:val="16"/>
              </w:rPr>
            </w:pPr>
            <w:r w:rsidRPr="00A00EAA">
              <w:rPr>
                <w:sz w:val="20"/>
                <w:szCs w:val="16"/>
              </w:rPr>
              <w:t xml:space="preserve">This report references a research study undertaken by Gee &amp; Button (2016), which takes account of loss measurement data from 1997 to 2013 and reports on a total of 107 exercises. </w:t>
            </w:r>
            <w:r w:rsidR="0095122B" w:rsidRPr="00A00EAA">
              <w:rPr>
                <w:sz w:val="20"/>
                <w:szCs w:val="16"/>
              </w:rPr>
              <w:t>Fourteen</w:t>
            </w:r>
            <w:r w:rsidRPr="00A00EAA">
              <w:rPr>
                <w:sz w:val="20"/>
                <w:szCs w:val="16"/>
              </w:rPr>
              <w:t xml:space="preserve"> different types of healthcare expenditure in 33 organisations from seven countries are included in their analysis. The source does not describe the methodology adopted in full.</w:t>
            </w:r>
          </w:p>
        </w:tc>
        <w:tc>
          <w:tcPr>
            <w:tcW w:w="762" w:type="pct"/>
          </w:tcPr>
          <w:p w14:paraId="0D42E257" w14:textId="77777777" w:rsidR="009522DE" w:rsidRPr="00A00EAA" w:rsidRDefault="009522DE" w:rsidP="009C7AED">
            <w:pPr>
              <w:spacing w:before="60" w:after="60"/>
              <w:rPr>
                <w:sz w:val="20"/>
                <w:szCs w:val="16"/>
              </w:rPr>
            </w:pPr>
            <w:r w:rsidRPr="00A00EAA">
              <w:rPr>
                <w:sz w:val="20"/>
                <w:szCs w:val="16"/>
              </w:rPr>
              <w:t>Top-down approach</w:t>
            </w:r>
          </w:p>
        </w:tc>
        <w:tc>
          <w:tcPr>
            <w:tcW w:w="740" w:type="pct"/>
          </w:tcPr>
          <w:p w14:paraId="59F1CB17" w14:textId="6B86D140" w:rsidR="009522DE" w:rsidRPr="00A00EAA" w:rsidRDefault="009522DE" w:rsidP="009C7AED">
            <w:pPr>
              <w:spacing w:before="60" w:after="60"/>
              <w:rPr>
                <w:sz w:val="20"/>
                <w:szCs w:val="16"/>
              </w:rPr>
            </w:pPr>
            <w:r w:rsidRPr="00A00EAA">
              <w:rPr>
                <w:sz w:val="20"/>
                <w:szCs w:val="16"/>
              </w:rPr>
              <w:t>6% * total Medicare expenditure in 2018</w:t>
            </w:r>
            <w:r w:rsidR="00CA6D48" w:rsidRPr="00A00EAA">
              <w:rPr>
                <w:sz w:val="20"/>
                <w:szCs w:val="16"/>
              </w:rPr>
              <w:t>–</w:t>
            </w:r>
            <w:r w:rsidRPr="00A00EAA">
              <w:rPr>
                <w:sz w:val="20"/>
                <w:szCs w:val="16"/>
              </w:rPr>
              <w:t>19</w:t>
            </w:r>
            <w:r w:rsidR="00723700" w:rsidRPr="00A00EAA">
              <w:rPr>
                <w:sz w:val="20"/>
                <w:szCs w:val="16"/>
              </w:rPr>
              <w:t>*</w:t>
            </w:r>
          </w:p>
        </w:tc>
        <w:tc>
          <w:tcPr>
            <w:tcW w:w="502" w:type="pct"/>
          </w:tcPr>
          <w:p w14:paraId="2C0926FF" w14:textId="77777777" w:rsidR="009522DE" w:rsidRPr="00A00EAA" w:rsidRDefault="009522DE" w:rsidP="009C7AED">
            <w:pPr>
              <w:spacing w:before="60" w:after="60"/>
              <w:rPr>
                <w:sz w:val="20"/>
                <w:szCs w:val="16"/>
              </w:rPr>
            </w:pPr>
            <w:r w:rsidRPr="00A00EAA">
              <w:rPr>
                <w:sz w:val="20"/>
                <w:szCs w:val="16"/>
              </w:rPr>
              <w:t>2,196</w:t>
            </w:r>
          </w:p>
        </w:tc>
      </w:tr>
      <w:tr w:rsidR="009522DE" w14:paraId="23928169" w14:textId="77777777" w:rsidTr="009C7AED">
        <w:trPr>
          <w:trHeight w:val="454"/>
        </w:trPr>
        <w:tc>
          <w:tcPr>
            <w:tcW w:w="833" w:type="pct"/>
          </w:tcPr>
          <w:p w14:paraId="1CE7BECE" w14:textId="4E8B0D42" w:rsidR="009522DE" w:rsidRPr="00A00EAA" w:rsidRDefault="009522DE" w:rsidP="008F226B">
            <w:pPr>
              <w:spacing w:before="60" w:after="60"/>
              <w:rPr>
                <w:sz w:val="20"/>
                <w:szCs w:val="16"/>
              </w:rPr>
            </w:pPr>
            <w:r w:rsidRPr="00A00EAA">
              <w:rPr>
                <w:sz w:val="20"/>
                <w:szCs w:val="16"/>
              </w:rPr>
              <w:t>PBID Audit Review Boston Consulting Group (2018)</w:t>
            </w:r>
          </w:p>
        </w:tc>
        <w:tc>
          <w:tcPr>
            <w:tcW w:w="843" w:type="pct"/>
          </w:tcPr>
          <w:p w14:paraId="018FAE6B" w14:textId="77777777" w:rsidR="009522DE" w:rsidRPr="00A00EAA" w:rsidRDefault="009522DE" w:rsidP="009C7AED">
            <w:pPr>
              <w:spacing w:before="60" w:after="60"/>
              <w:rPr>
                <w:sz w:val="20"/>
                <w:szCs w:val="16"/>
              </w:rPr>
            </w:pPr>
            <w:r w:rsidRPr="00A00EAA">
              <w:rPr>
                <w:sz w:val="20"/>
                <w:szCs w:val="16"/>
              </w:rPr>
              <w:t>“Industry heuristics and research…show total non-compliance likely to be between 3% and 5% of total payments made.”</w:t>
            </w:r>
          </w:p>
        </w:tc>
        <w:tc>
          <w:tcPr>
            <w:tcW w:w="1320" w:type="pct"/>
          </w:tcPr>
          <w:p w14:paraId="00230096" w14:textId="77777777" w:rsidR="009522DE" w:rsidRPr="00A00EAA" w:rsidRDefault="009522DE" w:rsidP="009C7AED">
            <w:pPr>
              <w:spacing w:before="60" w:after="60"/>
              <w:rPr>
                <w:sz w:val="20"/>
                <w:szCs w:val="16"/>
              </w:rPr>
            </w:pPr>
            <w:r w:rsidRPr="00A00EAA">
              <w:rPr>
                <w:sz w:val="20"/>
                <w:szCs w:val="16"/>
              </w:rPr>
              <w:t xml:space="preserve">The reference for the 3% and 5% was not located in the source. </w:t>
            </w:r>
          </w:p>
        </w:tc>
        <w:tc>
          <w:tcPr>
            <w:tcW w:w="762" w:type="pct"/>
          </w:tcPr>
          <w:p w14:paraId="59DA396F" w14:textId="77777777" w:rsidR="009522DE" w:rsidRPr="00A00EAA" w:rsidRDefault="009522DE" w:rsidP="009C7AED">
            <w:pPr>
              <w:spacing w:before="60" w:after="60"/>
              <w:rPr>
                <w:sz w:val="20"/>
                <w:szCs w:val="16"/>
              </w:rPr>
            </w:pPr>
            <w:r w:rsidRPr="00A00EAA">
              <w:rPr>
                <w:sz w:val="20"/>
                <w:szCs w:val="16"/>
              </w:rPr>
              <w:t>Top-down approach</w:t>
            </w:r>
          </w:p>
        </w:tc>
        <w:tc>
          <w:tcPr>
            <w:tcW w:w="740" w:type="pct"/>
          </w:tcPr>
          <w:p w14:paraId="23DA2C7B" w14:textId="2E166B6D" w:rsidR="009522DE" w:rsidRPr="00A00EAA" w:rsidRDefault="009522DE" w:rsidP="009C7AED">
            <w:pPr>
              <w:spacing w:before="60" w:after="60"/>
              <w:rPr>
                <w:sz w:val="20"/>
                <w:szCs w:val="16"/>
              </w:rPr>
            </w:pPr>
            <w:r w:rsidRPr="00A00EAA">
              <w:rPr>
                <w:sz w:val="20"/>
                <w:szCs w:val="16"/>
              </w:rPr>
              <w:t>3-5% * total Medicare expenditure in 2018</w:t>
            </w:r>
            <w:r w:rsidR="00CA6D48" w:rsidRPr="00A00EAA">
              <w:rPr>
                <w:sz w:val="20"/>
                <w:szCs w:val="16"/>
              </w:rPr>
              <w:t>–</w:t>
            </w:r>
            <w:r w:rsidRPr="00A00EAA">
              <w:rPr>
                <w:sz w:val="20"/>
                <w:szCs w:val="16"/>
              </w:rPr>
              <w:t>19</w:t>
            </w:r>
            <w:r w:rsidR="00723700" w:rsidRPr="00A00EAA">
              <w:rPr>
                <w:sz w:val="20"/>
                <w:szCs w:val="16"/>
              </w:rPr>
              <w:t>*</w:t>
            </w:r>
          </w:p>
        </w:tc>
        <w:tc>
          <w:tcPr>
            <w:tcW w:w="502" w:type="pct"/>
          </w:tcPr>
          <w:p w14:paraId="03E92DE6" w14:textId="6EDBD2CF" w:rsidR="009522DE" w:rsidRPr="00A00EAA" w:rsidRDefault="009522DE" w:rsidP="009C7AED">
            <w:pPr>
              <w:spacing w:before="60" w:after="60"/>
              <w:rPr>
                <w:sz w:val="20"/>
                <w:szCs w:val="16"/>
              </w:rPr>
            </w:pPr>
            <w:r w:rsidRPr="00A00EAA">
              <w:rPr>
                <w:sz w:val="20"/>
                <w:szCs w:val="16"/>
              </w:rPr>
              <w:t xml:space="preserve">1,098 </w:t>
            </w:r>
            <w:r w:rsidR="00C000DE" w:rsidRPr="00A00EAA">
              <w:rPr>
                <w:sz w:val="20"/>
                <w:szCs w:val="16"/>
              </w:rPr>
              <w:t>–</w:t>
            </w:r>
            <w:r w:rsidRPr="00A00EAA">
              <w:rPr>
                <w:sz w:val="20"/>
                <w:szCs w:val="16"/>
              </w:rPr>
              <w:t xml:space="preserve"> 1,830</w:t>
            </w:r>
          </w:p>
        </w:tc>
      </w:tr>
      <w:tr w:rsidR="009522DE" w14:paraId="64F18C6C" w14:textId="77777777" w:rsidTr="009C7AED">
        <w:trPr>
          <w:trHeight w:val="369"/>
        </w:trPr>
        <w:tc>
          <w:tcPr>
            <w:tcW w:w="833" w:type="pct"/>
          </w:tcPr>
          <w:p w14:paraId="05AFA4FC" w14:textId="784853C6" w:rsidR="009522DE" w:rsidRPr="00A00EAA" w:rsidRDefault="009522DE" w:rsidP="008F226B">
            <w:pPr>
              <w:spacing w:before="60" w:after="60"/>
              <w:rPr>
                <w:sz w:val="20"/>
                <w:szCs w:val="16"/>
              </w:rPr>
            </w:pPr>
            <w:r w:rsidRPr="00A00EAA">
              <w:rPr>
                <w:sz w:val="20"/>
                <w:szCs w:val="16"/>
              </w:rPr>
              <w:lastRenderedPageBreak/>
              <w:t>Medicare compliance: what providers need to know</w:t>
            </w:r>
            <w:r w:rsidR="008F226B">
              <w:rPr>
                <w:sz w:val="20"/>
                <w:szCs w:val="16"/>
              </w:rPr>
              <w:t xml:space="preserve"> </w:t>
            </w:r>
            <w:r w:rsidRPr="00A00EAA">
              <w:rPr>
                <w:sz w:val="20"/>
                <w:szCs w:val="16"/>
              </w:rPr>
              <w:t>Department of Health (2019)</w:t>
            </w:r>
          </w:p>
        </w:tc>
        <w:tc>
          <w:tcPr>
            <w:tcW w:w="843" w:type="pct"/>
          </w:tcPr>
          <w:p w14:paraId="3E5918A9" w14:textId="2D241315" w:rsidR="009522DE" w:rsidRPr="00A00EAA" w:rsidRDefault="009522DE" w:rsidP="009C7AED">
            <w:pPr>
              <w:spacing w:before="60" w:after="60"/>
              <w:rPr>
                <w:sz w:val="20"/>
                <w:szCs w:val="16"/>
              </w:rPr>
            </w:pPr>
            <w:r w:rsidRPr="00A00EAA">
              <w:rPr>
                <w:sz w:val="20"/>
                <w:szCs w:val="16"/>
              </w:rPr>
              <w:t>“It is estimated that two to five percent of claiming may be non-compliant.”</w:t>
            </w:r>
          </w:p>
        </w:tc>
        <w:tc>
          <w:tcPr>
            <w:tcW w:w="1320" w:type="pct"/>
          </w:tcPr>
          <w:p w14:paraId="7B13DF50" w14:textId="106A3809" w:rsidR="009522DE" w:rsidRPr="00A00EAA" w:rsidRDefault="009522DE" w:rsidP="009C7AED">
            <w:pPr>
              <w:spacing w:before="60" w:after="60"/>
              <w:rPr>
                <w:sz w:val="20"/>
                <w:szCs w:val="16"/>
              </w:rPr>
            </w:pPr>
            <w:r w:rsidRPr="00A00EAA">
              <w:rPr>
                <w:sz w:val="20"/>
                <w:szCs w:val="16"/>
              </w:rPr>
              <w:t xml:space="preserve">This source was not accessible/available for review. </w:t>
            </w:r>
          </w:p>
        </w:tc>
        <w:tc>
          <w:tcPr>
            <w:tcW w:w="762" w:type="pct"/>
          </w:tcPr>
          <w:p w14:paraId="446AEAAF" w14:textId="77777777" w:rsidR="009522DE" w:rsidRPr="00A00EAA" w:rsidRDefault="009522DE" w:rsidP="009C7AED">
            <w:pPr>
              <w:spacing w:before="60" w:after="60"/>
              <w:rPr>
                <w:sz w:val="20"/>
                <w:szCs w:val="16"/>
              </w:rPr>
            </w:pPr>
            <w:r w:rsidRPr="00A00EAA">
              <w:rPr>
                <w:sz w:val="20"/>
                <w:szCs w:val="16"/>
              </w:rPr>
              <w:t>Top-down approach</w:t>
            </w:r>
          </w:p>
        </w:tc>
        <w:tc>
          <w:tcPr>
            <w:tcW w:w="740" w:type="pct"/>
          </w:tcPr>
          <w:p w14:paraId="54BA27B2" w14:textId="55F4705C" w:rsidR="009522DE" w:rsidRPr="00A00EAA" w:rsidRDefault="009522DE" w:rsidP="009C7AED">
            <w:pPr>
              <w:spacing w:before="60" w:after="60"/>
              <w:rPr>
                <w:sz w:val="20"/>
                <w:szCs w:val="16"/>
              </w:rPr>
            </w:pPr>
            <w:r w:rsidRPr="00A00EAA">
              <w:rPr>
                <w:sz w:val="20"/>
                <w:szCs w:val="16"/>
              </w:rPr>
              <w:t>2-5% * total Medicare expenditure in 2018</w:t>
            </w:r>
            <w:r w:rsidR="00CA6D48" w:rsidRPr="00A00EAA">
              <w:rPr>
                <w:sz w:val="20"/>
                <w:szCs w:val="16"/>
              </w:rPr>
              <w:t>–</w:t>
            </w:r>
            <w:r w:rsidRPr="00A00EAA">
              <w:rPr>
                <w:sz w:val="20"/>
                <w:szCs w:val="16"/>
              </w:rPr>
              <w:t>19</w:t>
            </w:r>
            <w:r w:rsidR="00723700" w:rsidRPr="00A00EAA">
              <w:rPr>
                <w:sz w:val="20"/>
                <w:szCs w:val="16"/>
              </w:rPr>
              <w:t>*</w:t>
            </w:r>
          </w:p>
        </w:tc>
        <w:tc>
          <w:tcPr>
            <w:tcW w:w="502" w:type="pct"/>
          </w:tcPr>
          <w:p w14:paraId="0491B5A1" w14:textId="023334E2" w:rsidR="009522DE" w:rsidRPr="00A00EAA" w:rsidRDefault="009522DE" w:rsidP="009C7AED">
            <w:pPr>
              <w:spacing w:before="60" w:after="60"/>
              <w:rPr>
                <w:sz w:val="20"/>
                <w:szCs w:val="16"/>
              </w:rPr>
            </w:pPr>
            <w:r w:rsidRPr="00A00EAA">
              <w:rPr>
                <w:sz w:val="20"/>
                <w:szCs w:val="16"/>
              </w:rPr>
              <w:t xml:space="preserve">732 </w:t>
            </w:r>
            <w:r w:rsidR="00C000DE" w:rsidRPr="00A00EAA">
              <w:rPr>
                <w:sz w:val="20"/>
                <w:szCs w:val="16"/>
              </w:rPr>
              <w:t>–</w:t>
            </w:r>
            <w:r w:rsidRPr="00A00EAA">
              <w:rPr>
                <w:sz w:val="20"/>
                <w:szCs w:val="16"/>
              </w:rPr>
              <w:t xml:space="preserve"> 1,830</w:t>
            </w:r>
          </w:p>
        </w:tc>
      </w:tr>
      <w:tr w:rsidR="009522DE" w14:paraId="4E6AB645" w14:textId="77777777" w:rsidTr="008C38D0">
        <w:trPr>
          <w:trHeight w:val="22"/>
        </w:trPr>
        <w:tc>
          <w:tcPr>
            <w:tcW w:w="5000" w:type="pct"/>
            <w:gridSpan w:val="6"/>
            <w:shd w:val="clear" w:color="auto" w:fill="F2F2F2" w:themeFill="background1" w:themeFillShade="F2"/>
          </w:tcPr>
          <w:p w14:paraId="21A4E826" w14:textId="77777777" w:rsidR="009522DE" w:rsidRPr="00DC7291" w:rsidRDefault="009522DE" w:rsidP="00DC7291">
            <w:pPr>
              <w:rPr>
                <w:rStyle w:val="Strong"/>
              </w:rPr>
            </w:pPr>
            <w:r w:rsidRPr="00A00EAA">
              <w:rPr>
                <w:rStyle w:val="Strong"/>
                <w:sz w:val="20"/>
                <w:szCs w:val="16"/>
              </w:rPr>
              <w:t xml:space="preserve">Estimate from Dr. Margaret Faux’s Thesis </w:t>
            </w:r>
          </w:p>
        </w:tc>
      </w:tr>
      <w:tr w:rsidR="009522DE" w14:paraId="094C4A0A" w14:textId="77777777" w:rsidTr="009C7AED">
        <w:trPr>
          <w:trHeight w:val="369"/>
        </w:trPr>
        <w:tc>
          <w:tcPr>
            <w:tcW w:w="833" w:type="pct"/>
          </w:tcPr>
          <w:p w14:paraId="0B3E654A" w14:textId="139A808C" w:rsidR="009522DE" w:rsidRPr="00A00EAA" w:rsidRDefault="00634D25" w:rsidP="008F226B">
            <w:pPr>
              <w:spacing w:before="60" w:after="60"/>
              <w:rPr>
                <w:sz w:val="20"/>
                <w:szCs w:val="20"/>
              </w:rPr>
            </w:pPr>
            <w:r w:rsidRPr="00A00EAA">
              <w:rPr>
                <w:sz w:val="20"/>
                <w:szCs w:val="20"/>
              </w:rPr>
              <w:t>Value of Common Medicare Fraud and Errors</w:t>
            </w:r>
            <w:r w:rsidR="008F226B">
              <w:rPr>
                <w:sz w:val="20"/>
                <w:szCs w:val="20"/>
              </w:rPr>
              <w:t xml:space="preserve"> </w:t>
            </w:r>
            <w:r w:rsidR="00A33BEB" w:rsidRPr="00A00EAA">
              <w:rPr>
                <w:sz w:val="20"/>
                <w:szCs w:val="20"/>
              </w:rPr>
              <w:t xml:space="preserve">Dr Faux </w:t>
            </w:r>
            <w:r w:rsidR="009522DE" w:rsidRPr="00A00EAA">
              <w:rPr>
                <w:sz w:val="20"/>
                <w:szCs w:val="20"/>
              </w:rPr>
              <w:t>(</w:t>
            </w:r>
            <w:r w:rsidR="00A33BEB" w:rsidRPr="00A00EAA">
              <w:rPr>
                <w:sz w:val="20"/>
                <w:szCs w:val="20"/>
              </w:rPr>
              <w:t>2023</w:t>
            </w:r>
            <w:r w:rsidR="009522DE" w:rsidRPr="00A00EAA">
              <w:rPr>
                <w:sz w:val="20"/>
                <w:szCs w:val="20"/>
              </w:rPr>
              <w:t>)</w:t>
            </w:r>
          </w:p>
        </w:tc>
        <w:tc>
          <w:tcPr>
            <w:tcW w:w="843" w:type="pct"/>
          </w:tcPr>
          <w:p w14:paraId="73C07669" w14:textId="6E9933F7" w:rsidR="009522DE" w:rsidRPr="00A00EAA" w:rsidRDefault="001F197F" w:rsidP="009C7AED">
            <w:pPr>
              <w:spacing w:before="60" w:after="60"/>
              <w:rPr>
                <w:sz w:val="20"/>
                <w:szCs w:val="20"/>
              </w:rPr>
            </w:pPr>
            <w:r w:rsidRPr="00A00EAA">
              <w:rPr>
                <w:sz w:val="20"/>
                <w:szCs w:val="20"/>
              </w:rPr>
              <w:t>“</w:t>
            </w:r>
            <w:r w:rsidR="00EA3915" w:rsidRPr="00A00EAA">
              <w:rPr>
                <w:sz w:val="20"/>
                <w:szCs w:val="20"/>
              </w:rPr>
              <w:t xml:space="preserve">Grand total </w:t>
            </w:r>
            <w:r w:rsidR="004F5D56" w:rsidRPr="00A00EAA">
              <w:rPr>
                <w:sz w:val="20"/>
                <w:szCs w:val="20"/>
              </w:rPr>
              <w:t>of</w:t>
            </w:r>
            <w:r w:rsidR="00F13DC1" w:rsidRPr="00A00EAA">
              <w:rPr>
                <w:sz w:val="20"/>
                <w:szCs w:val="20"/>
              </w:rPr>
              <w:t xml:space="preserve"> $10.0 billion</w:t>
            </w:r>
            <w:r w:rsidRPr="00A00EAA">
              <w:rPr>
                <w:sz w:val="20"/>
                <w:szCs w:val="20"/>
              </w:rPr>
              <w:t>”</w:t>
            </w:r>
            <w:r w:rsidR="00F13DC1" w:rsidRPr="00A00EAA">
              <w:rPr>
                <w:sz w:val="20"/>
                <w:szCs w:val="20"/>
              </w:rPr>
              <w:t xml:space="preserve"> </w:t>
            </w:r>
          </w:p>
        </w:tc>
        <w:tc>
          <w:tcPr>
            <w:tcW w:w="1320" w:type="pct"/>
          </w:tcPr>
          <w:p w14:paraId="3A850753" w14:textId="05189C73" w:rsidR="009522DE" w:rsidRPr="00A00EAA" w:rsidRDefault="00CD4270" w:rsidP="009C7AED">
            <w:pPr>
              <w:spacing w:before="60" w:after="60"/>
              <w:rPr>
                <w:sz w:val="20"/>
                <w:szCs w:val="20"/>
              </w:rPr>
            </w:pPr>
            <w:r w:rsidRPr="00A00EAA">
              <w:rPr>
                <w:sz w:val="20"/>
                <w:szCs w:val="20"/>
              </w:rPr>
              <w:t>A build</w:t>
            </w:r>
            <w:r w:rsidR="00143E7C" w:rsidRPr="00A00EAA">
              <w:rPr>
                <w:sz w:val="20"/>
                <w:szCs w:val="20"/>
              </w:rPr>
              <w:t>-</w:t>
            </w:r>
            <w:r w:rsidRPr="00A00EAA">
              <w:rPr>
                <w:sz w:val="20"/>
                <w:szCs w:val="20"/>
              </w:rPr>
              <w:t xml:space="preserve">up of a series of assumption drawn from various sources, her </w:t>
            </w:r>
            <w:r w:rsidR="006002B9" w:rsidRPr="00A00EAA">
              <w:rPr>
                <w:sz w:val="20"/>
                <w:szCs w:val="20"/>
              </w:rPr>
              <w:t xml:space="preserve">experience and her own analysis of her company’s data </w:t>
            </w:r>
            <w:r w:rsidR="00DB00CF" w:rsidRPr="00A00EAA">
              <w:rPr>
                <w:sz w:val="20"/>
                <w:szCs w:val="20"/>
              </w:rPr>
              <w:t xml:space="preserve">was used in the updated </w:t>
            </w:r>
            <w:r w:rsidR="00793ECE" w:rsidRPr="00A00EAA">
              <w:rPr>
                <w:sz w:val="20"/>
                <w:szCs w:val="20"/>
              </w:rPr>
              <w:t xml:space="preserve">estimate of Medicare fraud and </w:t>
            </w:r>
            <w:r w:rsidR="008C5E56" w:rsidRPr="00A00EAA">
              <w:rPr>
                <w:sz w:val="20"/>
                <w:szCs w:val="20"/>
              </w:rPr>
              <w:t>error</w:t>
            </w:r>
            <w:r w:rsidR="00AE5255" w:rsidRPr="00A00EAA">
              <w:rPr>
                <w:sz w:val="20"/>
                <w:szCs w:val="20"/>
              </w:rPr>
              <w:t xml:space="preserve">. </w:t>
            </w:r>
          </w:p>
        </w:tc>
        <w:tc>
          <w:tcPr>
            <w:tcW w:w="762" w:type="pct"/>
          </w:tcPr>
          <w:p w14:paraId="1C76D704" w14:textId="2C1786B5" w:rsidR="009522DE" w:rsidRPr="00A00EAA" w:rsidRDefault="00A83F25" w:rsidP="009C7AED">
            <w:pPr>
              <w:spacing w:before="60" w:after="60"/>
              <w:rPr>
                <w:sz w:val="20"/>
                <w:szCs w:val="20"/>
              </w:rPr>
            </w:pPr>
            <w:r w:rsidRPr="00A00EAA">
              <w:rPr>
                <w:sz w:val="20"/>
                <w:szCs w:val="20"/>
              </w:rPr>
              <w:t>Mixed</w:t>
            </w:r>
            <w:r w:rsidR="00F134E9" w:rsidRPr="00A00EAA">
              <w:rPr>
                <w:sz w:val="20"/>
                <w:szCs w:val="20"/>
              </w:rPr>
              <w:t xml:space="preserve"> methods</w:t>
            </w:r>
          </w:p>
        </w:tc>
        <w:tc>
          <w:tcPr>
            <w:tcW w:w="740" w:type="pct"/>
          </w:tcPr>
          <w:p w14:paraId="16238275" w14:textId="0490EBD4" w:rsidR="009522DE" w:rsidRPr="00A00EAA" w:rsidRDefault="00F134E9" w:rsidP="009C7AED">
            <w:pPr>
              <w:spacing w:before="60" w:after="60"/>
              <w:rPr>
                <w:sz w:val="20"/>
                <w:szCs w:val="20"/>
              </w:rPr>
            </w:pPr>
            <w:r w:rsidRPr="00A00EAA">
              <w:rPr>
                <w:sz w:val="20"/>
                <w:szCs w:val="20"/>
              </w:rPr>
              <w:t xml:space="preserve">Various </w:t>
            </w:r>
          </w:p>
        </w:tc>
        <w:tc>
          <w:tcPr>
            <w:tcW w:w="502" w:type="pct"/>
          </w:tcPr>
          <w:p w14:paraId="6B507959" w14:textId="2071CC1E" w:rsidR="009522DE" w:rsidRPr="00A00EAA" w:rsidRDefault="00FF67B7" w:rsidP="009C7AED">
            <w:pPr>
              <w:spacing w:before="60" w:after="60"/>
              <w:rPr>
                <w:sz w:val="20"/>
                <w:szCs w:val="20"/>
              </w:rPr>
            </w:pPr>
            <w:r w:rsidRPr="00A00EAA">
              <w:rPr>
                <w:sz w:val="20"/>
                <w:szCs w:val="20"/>
              </w:rPr>
              <w:t>10</w:t>
            </w:r>
            <w:r w:rsidR="009522DE" w:rsidRPr="00A00EAA">
              <w:rPr>
                <w:sz w:val="20"/>
                <w:szCs w:val="20"/>
              </w:rPr>
              <w:t>,000</w:t>
            </w:r>
          </w:p>
        </w:tc>
      </w:tr>
    </w:tbl>
    <w:p w14:paraId="4EC11B1A" w14:textId="0425CDE8" w:rsidR="009522DE" w:rsidRDefault="009522DE" w:rsidP="009522DE">
      <w:pPr>
        <w:pStyle w:val="Caption"/>
      </w:pPr>
      <w:r>
        <w:t>Source: As indicated in the table</w:t>
      </w:r>
      <w:r w:rsidR="0095122B">
        <w:t xml:space="preserve"> </w:t>
      </w:r>
      <w:r w:rsidR="002D0AFC">
        <w:t>*</w:t>
      </w:r>
      <w:r w:rsidR="004D1439">
        <w:t>Calculations are based on $36.6 billion expenditure in 2018</w:t>
      </w:r>
      <w:r w:rsidR="00CA6D48">
        <w:t>–</w:t>
      </w:r>
      <w:r w:rsidR="004D1439">
        <w:t xml:space="preserve">19 on the three health funding schemes </w:t>
      </w:r>
      <w:r w:rsidR="00493B6A">
        <w:t xml:space="preserve">(MBS, PBS and CDBS) </w:t>
      </w:r>
      <w:r w:rsidR="004D1439">
        <w:t>and an incentive program</w:t>
      </w:r>
      <w:r w:rsidR="00493B6A">
        <w:t xml:space="preserve"> (</w:t>
      </w:r>
      <w:r w:rsidR="00DA632A">
        <w:t>PIP</w:t>
      </w:r>
      <w:r w:rsidR="00493B6A">
        <w:t>)</w:t>
      </w:r>
    </w:p>
    <w:p w14:paraId="79E8E31C" w14:textId="77777777" w:rsidR="009522DE" w:rsidRDefault="009522DE" w:rsidP="009522DE">
      <w:pPr>
        <w:sectPr w:rsidR="009522DE" w:rsidSect="009C7AED">
          <w:pgSz w:w="16838" w:h="11906" w:orient="landscape" w:code="9"/>
          <w:pgMar w:top="720" w:right="720" w:bottom="720" w:left="720" w:header="680" w:footer="425" w:gutter="0"/>
          <w:cols w:space="284"/>
          <w:titlePg/>
          <w:docGrid w:linePitch="360"/>
        </w:sectPr>
      </w:pPr>
    </w:p>
    <w:p w14:paraId="765D955E" w14:textId="3958E046" w:rsidR="009522DE" w:rsidRPr="00485628" w:rsidRDefault="009522DE" w:rsidP="00940D39">
      <w:pPr>
        <w:pStyle w:val="Appendixhead1"/>
        <w:outlineLvl w:val="0"/>
      </w:pPr>
      <w:bookmarkStart w:id="261" w:name="_Ref125969119"/>
      <w:bookmarkStart w:id="262" w:name="_Toc131418568"/>
      <w:r w:rsidRPr="00485628">
        <w:lastRenderedPageBreak/>
        <w:t xml:space="preserve">List of </w:t>
      </w:r>
      <w:r w:rsidR="00FF79D5">
        <w:t>c</w:t>
      </w:r>
      <w:r w:rsidRPr="00485628">
        <w:t>onsultations</w:t>
      </w:r>
      <w:bookmarkEnd w:id="261"/>
      <w:bookmarkEnd w:id="262"/>
    </w:p>
    <w:p w14:paraId="7F381C13" w14:textId="13882FAD" w:rsidR="009522DE" w:rsidRPr="00E71AD0" w:rsidRDefault="009D4D69" w:rsidP="00940D39">
      <w:pPr>
        <w:pStyle w:val="AppendixTableCaption"/>
        <w:outlineLvl w:val="9"/>
      </w:pPr>
      <w:bookmarkStart w:id="263" w:name="_Toc131418585"/>
      <w:r>
        <w:t>:</w:t>
      </w:r>
      <w:r w:rsidR="009522DE">
        <w:t xml:space="preserve"> </w:t>
      </w:r>
      <w:r w:rsidR="009522DE" w:rsidRPr="00E71AD0">
        <w:t xml:space="preserve">Consultations </w:t>
      </w:r>
      <w:r w:rsidR="0010616B">
        <w:t>throughout this review</w:t>
      </w:r>
      <w:bookmarkEnd w:id="263"/>
    </w:p>
    <w:tbl>
      <w:tblPr>
        <w:tblStyle w:val="Deloittetable"/>
        <w:tblW w:w="5000" w:type="pct"/>
        <w:jc w:val="center"/>
        <w:tblLook w:val="04A0" w:firstRow="1" w:lastRow="0" w:firstColumn="1" w:lastColumn="0" w:noHBand="0" w:noVBand="1"/>
      </w:tblPr>
      <w:tblGrid>
        <w:gridCol w:w="10466"/>
      </w:tblGrid>
      <w:tr w:rsidR="009522DE" w:rsidRPr="00405174" w14:paraId="7BDFC447" w14:textId="77777777" w:rsidTr="009C7AED">
        <w:trPr>
          <w:cnfStyle w:val="100000000000" w:firstRow="1" w:lastRow="0" w:firstColumn="0" w:lastColumn="0" w:oddVBand="0" w:evenVBand="0" w:oddHBand="0" w:evenHBand="0" w:firstRowFirstColumn="0" w:firstRowLastColumn="0" w:lastRowFirstColumn="0" w:lastRowLastColumn="0"/>
          <w:tblHeader/>
          <w:jc w:val="center"/>
        </w:trPr>
        <w:tc>
          <w:tcPr>
            <w:tcW w:w="5000" w:type="pct"/>
            <w:tcBorders>
              <w:top w:val="single" w:sz="24" w:space="0" w:color="005B89"/>
            </w:tcBorders>
          </w:tcPr>
          <w:p w14:paraId="2699F885" w14:textId="77777777" w:rsidR="009522DE" w:rsidRPr="00405174" w:rsidRDefault="009522DE" w:rsidP="00405174">
            <w:r w:rsidRPr="00405174">
              <w:t>Organisation/Division/Group</w:t>
            </w:r>
          </w:p>
        </w:tc>
      </w:tr>
      <w:tr w:rsidR="009522DE" w:rsidRPr="00BF5CDB" w14:paraId="289F351B" w14:textId="77777777" w:rsidTr="009C7AED">
        <w:trPr>
          <w:trHeight w:val="170"/>
          <w:jc w:val="center"/>
        </w:trPr>
        <w:tc>
          <w:tcPr>
            <w:tcW w:w="5000" w:type="pct"/>
          </w:tcPr>
          <w:p w14:paraId="5279E050" w14:textId="77777777" w:rsidR="009522DE" w:rsidRPr="00BF5CDB" w:rsidRDefault="009522DE" w:rsidP="009E485D">
            <w:pPr>
              <w:pStyle w:val="TabletextLeft"/>
              <w:spacing w:before="20" w:after="20"/>
              <w:rPr>
                <w:szCs w:val="20"/>
              </w:rPr>
            </w:pPr>
            <w:r w:rsidRPr="00BF5CDB">
              <w:rPr>
                <w:szCs w:val="20"/>
              </w:rPr>
              <w:t xml:space="preserve">Australian Medical Association </w:t>
            </w:r>
          </w:p>
        </w:tc>
      </w:tr>
      <w:tr w:rsidR="009522DE" w:rsidRPr="00BF5CDB" w14:paraId="691E45DE" w14:textId="77777777" w:rsidTr="009C7AED">
        <w:trPr>
          <w:trHeight w:val="170"/>
          <w:jc w:val="center"/>
        </w:trPr>
        <w:tc>
          <w:tcPr>
            <w:tcW w:w="5000" w:type="pct"/>
          </w:tcPr>
          <w:p w14:paraId="7EC510B1" w14:textId="77777777" w:rsidR="009522DE" w:rsidRPr="00BF5CDB" w:rsidRDefault="009522DE" w:rsidP="009E485D">
            <w:pPr>
              <w:pStyle w:val="TabletextLeft"/>
              <w:spacing w:before="20" w:after="20"/>
              <w:rPr>
                <w:szCs w:val="20"/>
              </w:rPr>
            </w:pPr>
            <w:r w:rsidRPr="00BF5CDB">
              <w:rPr>
                <w:szCs w:val="20"/>
              </w:rPr>
              <w:t>Dr Margaret Faux</w:t>
            </w:r>
          </w:p>
        </w:tc>
      </w:tr>
      <w:tr w:rsidR="009522DE" w:rsidRPr="00BF5CDB" w14:paraId="32B5C14E" w14:textId="77777777" w:rsidTr="009C7AED">
        <w:trPr>
          <w:trHeight w:val="170"/>
          <w:jc w:val="center"/>
        </w:trPr>
        <w:tc>
          <w:tcPr>
            <w:tcW w:w="5000" w:type="pct"/>
          </w:tcPr>
          <w:p w14:paraId="496B4152" w14:textId="77777777" w:rsidR="009522DE" w:rsidRPr="00BF5CDB" w:rsidRDefault="009522DE" w:rsidP="009E485D">
            <w:pPr>
              <w:pStyle w:val="TabletextLeft"/>
              <w:spacing w:before="20" w:after="20"/>
              <w:rPr>
                <w:szCs w:val="20"/>
              </w:rPr>
            </w:pPr>
            <w:r w:rsidRPr="00BF5CDB">
              <w:rPr>
                <w:szCs w:val="20"/>
              </w:rPr>
              <w:t xml:space="preserve">Professional Services Review </w:t>
            </w:r>
          </w:p>
        </w:tc>
      </w:tr>
      <w:tr w:rsidR="009522DE" w:rsidRPr="00BF5CDB" w14:paraId="1358614E" w14:textId="77777777" w:rsidTr="009C7AED">
        <w:trPr>
          <w:trHeight w:val="170"/>
          <w:jc w:val="center"/>
        </w:trPr>
        <w:tc>
          <w:tcPr>
            <w:tcW w:w="5000" w:type="pct"/>
          </w:tcPr>
          <w:p w14:paraId="01C59100" w14:textId="77777777" w:rsidR="009522DE" w:rsidRPr="00BF5CDB" w:rsidRDefault="009522DE" w:rsidP="009E485D">
            <w:pPr>
              <w:pStyle w:val="TabletextLeft"/>
              <w:spacing w:before="20" w:after="20"/>
              <w:rPr>
                <w:szCs w:val="20"/>
              </w:rPr>
            </w:pPr>
            <w:r w:rsidRPr="00BF5CDB">
              <w:rPr>
                <w:szCs w:val="20"/>
              </w:rPr>
              <w:t xml:space="preserve">Royal Australian College of General Practitioners </w:t>
            </w:r>
          </w:p>
        </w:tc>
      </w:tr>
      <w:tr w:rsidR="009522DE" w:rsidRPr="00BF5CDB" w14:paraId="5F7F0276" w14:textId="77777777" w:rsidTr="009C7AED">
        <w:trPr>
          <w:trHeight w:val="170"/>
          <w:jc w:val="center"/>
        </w:trPr>
        <w:tc>
          <w:tcPr>
            <w:tcW w:w="5000" w:type="pct"/>
          </w:tcPr>
          <w:p w14:paraId="40999892" w14:textId="77777777" w:rsidR="009522DE" w:rsidRPr="00BF5CDB" w:rsidRDefault="009522DE" w:rsidP="009E485D">
            <w:pPr>
              <w:pStyle w:val="TabletextLeft"/>
              <w:spacing w:before="20" w:after="20"/>
              <w:rPr>
                <w:szCs w:val="20"/>
              </w:rPr>
            </w:pPr>
            <w:r w:rsidRPr="00BF5CDB">
              <w:rPr>
                <w:szCs w:val="20"/>
              </w:rPr>
              <w:t>Services Australia</w:t>
            </w:r>
          </w:p>
        </w:tc>
      </w:tr>
      <w:tr w:rsidR="009522DE" w:rsidRPr="00BF5CDB" w14:paraId="3DE665CB" w14:textId="77777777" w:rsidTr="009C7AED">
        <w:trPr>
          <w:trHeight w:val="170"/>
          <w:jc w:val="center"/>
        </w:trPr>
        <w:tc>
          <w:tcPr>
            <w:tcW w:w="5000" w:type="pct"/>
          </w:tcPr>
          <w:p w14:paraId="268E5883" w14:textId="77777777" w:rsidR="009522DE" w:rsidRPr="00BF5CDB" w:rsidRDefault="009522DE" w:rsidP="009E485D">
            <w:pPr>
              <w:pStyle w:val="TabletextLeft"/>
              <w:spacing w:before="20" w:after="20"/>
              <w:rPr>
                <w:szCs w:val="20"/>
              </w:rPr>
            </w:pPr>
            <w:r w:rsidRPr="00BF5CDB">
              <w:rPr>
                <w:szCs w:val="20"/>
              </w:rPr>
              <w:t xml:space="preserve">Private Healthcare Australia </w:t>
            </w:r>
          </w:p>
        </w:tc>
      </w:tr>
      <w:tr w:rsidR="009522DE" w:rsidRPr="00BF5CDB" w14:paraId="09EA47D5" w14:textId="77777777" w:rsidTr="009C7AED">
        <w:trPr>
          <w:trHeight w:val="170"/>
          <w:jc w:val="center"/>
        </w:trPr>
        <w:tc>
          <w:tcPr>
            <w:tcW w:w="5000" w:type="pct"/>
          </w:tcPr>
          <w:p w14:paraId="4ADBEC2B" w14:textId="77777777" w:rsidR="009522DE" w:rsidRPr="00BF5CDB" w:rsidRDefault="009522DE" w:rsidP="009E485D">
            <w:pPr>
              <w:pStyle w:val="TabletextLeft"/>
              <w:spacing w:before="20" w:after="20"/>
              <w:rPr>
                <w:szCs w:val="20"/>
              </w:rPr>
            </w:pPr>
            <w:r w:rsidRPr="00BF5CDB">
              <w:rPr>
                <w:szCs w:val="20"/>
              </w:rPr>
              <w:t xml:space="preserve">Medical Indemnity Sector </w:t>
            </w:r>
          </w:p>
          <w:p w14:paraId="72001C23" w14:textId="77777777" w:rsidR="009522DE" w:rsidRPr="00EF2981" w:rsidRDefault="009522DE" w:rsidP="00405174">
            <w:pPr>
              <w:pStyle w:val="Tablebullets"/>
              <w:framePr w:wrap="around"/>
            </w:pPr>
            <w:r w:rsidRPr="00EF2981">
              <w:t>Avant</w:t>
            </w:r>
          </w:p>
          <w:p w14:paraId="094467D9" w14:textId="77777777" w:rsidR="009522DE" w:rsidRPr="00EF2981" w:rsidRDefault="009522DE" w:rsidP="00405174">
            <w:pPr>
              <w:pStyle w:val="Tablebullets"/>
              <w:framePr w:wrap="around"/>
            </w:pPr>
            <w:r w:rsidRPr="00EF2981">
              <w:t xml:space="preserve">BH Specialty </w:t>
            </w:r>
          </w:p>
          <w:p w14:paraId="2050B07F" w14:textId="77777777" w:rsidR="009522DE" w:rsidRPr="00EF2981" w:rsidRDefault="009522DE" w:rsidP="00405174">
            <w:pPr>
              <w:pStyle w:val="Tablebullets"/>
              <w:framePr w:wrap="around"/>
            </w:pPr>
            <w:r w:rsidRPr="00EF2981">
              <w:t>MDA National</w:t>
            </w:r>
          </w:p>
          <w:p w14:paraId="528FC89C" w14:textId="77777777" w:rsidR="009522DE" w:rsidRPr="00EF2981" w:rsidRDefault="009522DE" w:rsidP="00405174">
            <w:pPr>
              <w:pStyle w:val="Tablebullets"/>
              <w:framePr w:wrap="around"/>
            </w:pPr>
            <w:r w:rsidRPr="00EF2981">
              <w:t>MIGA</w:t>
            </w:r>
          </w:p>
          <w:p w14:paraId="710FE5A8" w14:textId="77777777" w:rsidR="009522DE" w:rsidRPr="00EF2981" w:rsidRDefault="009522DE" w:rsidP="00405174">
            <w:pPr>
              <w:pStyle w:val="Tablebullets"/>
              <w:framePr w:wrap="around"/>
            </w:pPr>
            <w:r w:rsidRPr="00EF2981">
              <w:t>MIPS</w:t>
            </w:r>
          </w:p>
        </w:tc>
      </w:tr>
      <w:tr w:rsidR="009522DE" w:rsidRPr="00BF5CDB" w14:paraId="034DCB5F" w14:textId="77777777" w:rsidTr="009C7AED">
        <w:trPr>
          <w:trHeight w:val="170"/>
          <w:jc w:val="center"/>
        </w:trPr>
        <w:tc>
          <w:tcPr>
            <w:tcW w:w="5000" w:type="pct"/>
          </w:tcPr>
          <w:p w14:paraId="7BD27C22" w14:textId="31DE1DCC" w:rsidR="009522DE" w:rsidRPr="00BF5CDB" w:rsidRDefault="009522DE" w:rsidP="009E485D">
            <w:pPr>
              <w:pStyle w:val="TabletextLeft"/>
              <w:spacing w:before="20" w:after="20"/>
              <w:rPr>
                <w:szCs w:val="20"/>
              </w:rPr>
            </w:pPr>
            <w:r w:rsidRPr="00BF5CDB">
              <w:rPr>
                <w:szCs w:val="20"/>
              </w:rPr>
              <w:t xml:space="preserve">Department of Health and Aged Care </w:t>
            </w:r>
          </w:p>
          <w:p w14:paraId="54F128AD" w14:textId="6D8BC388" w:rsidR="009522DE" w:rsidRPr="00EF2981" w:rsidRDefault="009522DE" w:rsidP="00405174">
            <w:pPr>
              <w:pStyle w:val="Tablebullets"/>
              <w:framePr w:wrap="around"/>
            </w:pPr>
            <w:r w:rsidRPr="00EF2981">
              <w:t xml:space="preserve">Benefits Integrity Division </w:t>
            </w:r>
            <w:r w:rsidR="0095122B" w:rsidRPr="00EF2981">
              <w:t>s</w:t>
            </w:r>
            <w:r w:rsidRPr="00EF2981">
              <w:t xml:space="preserve">enior </w:t>
            </w:r>
            <w:r w:rsidR="0095122B" w:rsidRPr="00EF2981">
              <w:t>e</w:t>
            </w:r>
            <w:r w:rsidRPr="00EF2981">
              <w:t>xecutives</w:t>
            </w:r>
          </w:p>
          <w:p w14:paraId="42B2464B" w14:textId="77777777" w:rsidR="009522DE" w:rsidRPr="00EF2981" w:rsidRDefault="009522DE" w:rsidP="00405174">
            <w:pPr>
              <w:pStyle w:val="Tablebullet2"/>
              <w:framePr w:wrap="around"/>
            </w:pPr>
            <w:r w:rsidRPr="00EF2981">
              <w:t>Audit Section</w:t>
            </w:r>
          </w:p>
          <w:p w14:paraId="4C3F9618" w14:textId="77777777" w:rsidR="009522DE" w:rsidRPr="00EF2981" w:rsidRDefault="009522DE" w:rsidP="00405174">
            <w:pPr>
              <w:pStyle w:val="Tablebullet2"/>
              <w:framePr w:wrap="around"/>
            </w:pPr>
            <w:r w:rsidRPr="00EF2981">
              <w:t>Health Provider Fraud Section</w:t>
            </w:r>
          </w:p>
          <w:p w14:paraId="3E6DF14F" w14:textId="77777777" w:rsidR="009522DE" w:rsidRPr="00EF2981" w:rsidRDefault="009522DE" w:rsidP="00405174">
            <w:pPr>
              <w:pStyle w:val="Tablebullet2"/>
              <w:framePr w:wrap="around"/>
            </w:pPr>
            <w:r w:rsidRPr="00EF2981">
              <w:t>Professional Review Section</w:t>
            </w:r>
          </w:p>
          <w:p w14:paraId="404A3530" w14:textId="02DA0CBC" w:rsidR="009E36CA" w:rsidRPr="00EF2981" w:rsidRDefault="009E36CA" w:rsidP="00405174">
            <w:pPr>
              <w:pStyle w:val="Tablebullet2"/>
              <w:framePr w:wrap="around"/>
            </w:pPr>
            <w:r w:rsidRPr="00EF2981">
              <w:t>Provider Early Intervention Section</w:t>
            </w:r>
          </w:p>
          <w:p w14:paraId="1ACF2E55" w14:textId="77777777" w:rsidR="009522DE" w:rsidRPr="00EF2981" w:rsidRDefault="009522DE" w:rsidP="00405174">
            <w:pPr>
              <w:pStyle w:val="Tablebullet2"/>
              <w:framePr w:wrap="around"/>
            </w:pPr>
            <w:r w:rsidRPr="00EF2981">
              <w:t>Policy and Legislation Section</w:t>
            </w:r>
          </w:p>
          <w:p w14:paraId="1931230F" w14:textId="77777777" w:rsidR="009522DE" w:rsidRPr="00EF2981" w:rsidRDefault="009522DE" w:rsidP="00405174">
            <w:pPr>
              <w:pStyle w:val="Tablebullet2"/>
              <w:framePr w:wrap="around"/>
            </w:pPr>
            <w:r w:rsidRPr="00EF2981">
              <w:t>Public Hospital Compliance Section</w:t>
            </w:r>
          </w:p>
          <w:p w14:paraId="0D1AC86D" w14:textId="77777777" w:rsidR="009522DE" w:rsidRPr="00EF2981" w:rsidRDefault="009522DE" w:rsidP="00405174">
            <w:pPr>
              <w:pStyle w:val="Tablebullet2"/>
              <w:framePr w:wrap="around"/>
            </w:pPr>
            <w:r w:rsidRPr="00EF2981">
              <w:t>Risk Analytics Section</w:t>
            </w:r>
          </w:p>
          <w:p w14:paraId="5787A622" w14:textId="77777777" w:rsidR="009522DE" w:rsidRPr="00EF2981" w:rsidRDefault="009522DE" w:rsidP="00405174">
            <w:pPr>
              <w:pStyle w:val="Tablebullet2"/>
              <w:framePr w:wrap="around"/>
            </w:pPr>
            <w:r w:rsidRPr="00EF2981">
              <w:t>Risk Identification Section</w:t>
            </w:r>
          </w:p>
          <w:p w14:paraId="09FD4A76" w14:textId="77777777" w:rsidR="009522DE" w:rsidRPr="00EF2981" w:rsidRDefault="009522DE" w:rsidP="00405174">
            <w:pPr>
              <w:pStyle w:val="Tablebullet2"/>
              <w:framePr w:wrap="around"/>
            </w:pPr>
            <w:r w:rsidRPr="00EF2981">
              <w:t>Risk Treatment Section</w:t>
            </w:r>
          </w:p>
          <w:p w14:paraId="6FC1146A" w14:textId="77777777" w:rsidR="009522DE" w:rsidRPr="00EF2981" w:rsidRDefault="009522DE" w:rsidP="00405174">
            <w:pPr>
              <w:pStyle w:val="Tablebullets"/>
              <w:framePr w:wrap="around"/>
            </w:pPr>
            <w:r w:rsidRPr="00EF2981">
              <w:t>Medicare Benefits and Digital Health Division executive</w:t>
            </w:r>
          </w:p>
          <w:p w14:paraId="7E432220" w14:textId="672BB930" w:rsidR="00214AAD" w:rsidRPr="00EF2981" w:rsidRDefault="00214AAD" w:rsidP="00405174">
            <w:pPr>
              <w:pStyle w:val="Tablebullets"/>
              <w:framePr w:wrap="around"/>
            </w:pPr>
            <w:r w:rsidRPr="00EF2981">
              <w:t xml:space="preserve">Chief </w:t>
            </w:r>
            <w:r w:rsidR="00755309" w:rsidRPr="00EF2981">
              <w:t xml:space="preserve">Nursing </w:t>
            </w:r>
            <w:r w:rsidRPr="00EF2981">
              <w:t>and Midwifery Officer</w:t>
            </w:r>
          </w:p>
          <w:p w14:paraId="69FCA0E3" w14:textId="4AA045BE" w:rsidR="00214AAD" w:rsidRPr="00EF2981" w:rsidRDefault="00214AAD" w:rsidP="00405174">
            <w:pPr>
              <w:pStyle w:val="Tablebullets"/>
              <w:framePr w:wrap="around"/>
            </w:pPr>
            <w:r w:rsidRPr="00EF2981">
              <w:t>Brendan Murphy</w:t>
            </w:r>
            <w:r w:rsidR="00755309" w:rsidRPr="00EF2981">
              <w:t xml:space="preserve"> (Secretary)</w:t>
            </w:r>
          </w:p>
          <w:p w14:paraId="551E37C1" w14:textId="0C5FF952" w:rsidR="009522DE" w:rsidRPr="00EF2981" w:rsidRDefault="00214AAD" w:rsidP="00405174">
            <w:pPr>
              <w:pStyle w:val="Tablebullets"/>
              <w:framePr w:wrap="around"/>
            </w:pPr>
            <w:r w:rsidRPr="00EF2981">
              <w:t>Penny Shakespeare</w:t>
            </w:r>
            <w:r w:rsidR="00762FCF" w:rsidRPr="00EF2981">
              <w:t xml:space="preserve"> (Deputy Secretary, Health Resourcing)</w:t>
            </w:r>
          </w:p>
        </w:tc>
      </w:tr>
      <w:tr w:rsidR="009522DE" w:rsidRPr="00BF5CDB" w14:paraId="6F9CAF41" w14:textId="77777777" w:rsidTr="009C7AED">
        <w:trPr>
          <w:trHeight w:val="170"/>
          <w:jc w:val="center"/>
        </w:trPr>
        <w:tc>
          <w:tcPr>
            <w:tcW w:w="5000" w:type="pct"/>
          </w:tcPr>
          <w:p w14:paraId="5A7FB056" w14:textId="77777777" w:rsidR="009522DE" w:rsidRPr="00BF5CDB" w:rsidRDefault="009522DE" w:rsidP="009E485D">
            <w:pPr>
              <w:pStyle w:val="TabletextLeft"/>
              <w:spacing w:before="20" w:after="20"/>
              <w:rPr>
                <w:szCs w:val="20"/>
              </w:rPr>
            </w:pPr>
            <w:r w:rsidRPr="00BF5CDB">
              <w:rPr>
                <w:szCs w:val="20"/>
              </w:rPr>
              <w:t xml:space="preserve">National Aboriginal Community Controlled Health Organisation </w:t>
            </w:r>
          </w:p>
        </w:tc>
      </w:tr>
      <w:tr w:rsidR="00285557" w:rsidRPr="00BF5CDB" w14:paraId="33AE261E" w14:textId="77777777" w:rsidTr="009C7AED">
        <w:trPr>
          <w:trHeight w:val="170"/>
          <w:jc w:val="center"/>
        </w:trPr>
        <w:tc>
          <w:tcPr>
            <w:tcW w:w="5000" w:type="pct"/>
          </w:tcPr>
          <w:p w14:paraId="5F434B57" w14:textId="12B5CFDF" w:rsidR="00285557" w:rsidRPr="00BF5CDB" w:rsidRDefault="002B632D" w:rsidP="009E485D">
            <w:pPr>
              <w:pStyle w:val="TabletextLeft"/>
              <w:spacing w:before="20" w:after="20"/>
              <w:rPr>
                <w:szCs w:val="20"/>
              </w:rPr>
            </w:pPr>
            <w:r w:rsidRPr="00BF5CDB">
              <w:rPr>
                <w:szCs w:val="20"/>
              </w:rPr>
              <w:t>Australian Pathology</w:t>
            </w:r>
          </w:p>
        </w:tc>
      </w:tr>
      <w:tr w:rsidR="00285557" w:rsidRPr="00BF5CDB" w14:paraId="410E51C3" w14:textId="77777777" w:rsidTr="009C7AED">
        <w:trPr>
          <w:trHeight w:val="170"/>
          <w:jc w:val="center"/>
        </w:trPr>
        <w:tc>
          <w:tcPr>
            <w:tcW w:w="5000" w:type="pct"/>
          </w:tcPr>
          <w:p w14:paraId="01840707" w14:textId="13DBAF79" w:rsidR="00285557" w:rsidRPr="00BF5CDB" w:rsidRDefault="00902299" w:rsidP="009E485D">
            <w:pPr>
              <w:pStyle w:val="TabletextLeft"/>
              <w:spacing w:before="20" w:after="20"/>
              <w:rPr>
                <w:szCs w:val="20"/>
              </w:rPr>
            </w:pPr>
            <w:r w:rsidRPr="00BF5CDB">
              <w:rPr>
                <w:szCs w:val="20"/>
              </w:rPr>
              <w:t>Australian Diagnostic Imaging Association</w:t>
            </w:r>
          </w:p>
        </w:tc>
      </w:tr>
      <w:tr w:rsidR="00285557" w:rsidRPr="00BF5CDB" w14:paraId="01BB992A" w14:textId="77777777" w:rsidTr="009C7AED">
        <w:trPr>
          <w:trHeight w:val="170"/>
          <w:jc w:val="center"/>
        </w:trPr>
        <w:tc>
          <w:tcPr>
            <w:tcW w:w="5000" w:type="pct"/>
          </w:tcPr>
          <w:p w14:paraId="4DEC6A6C" w14:textId="43B8305C" w:rsidR="00285557" w:rsidRPr="00BF5CDB" w:rsidRDefault="00902299" w:rsidP="009E485D">
            <w:pPr>
              <w:pStyle w:val="TabletextLeft"/>
              <w:spacing w:before="20" w:after="20"/>
              <w:rPr>
                <w:szCs w:val="20"/>
              </w:rPr>
            </w:pPr>
            <w:r w:rsidRPr="00BF5CDB">
              <w:rPr>
                <w:szCs w:val="20"/>
              </w:rPr>
              <w:t>Consumers Health Forum of Australia</w:t>
            </w:r>
          </w:p>
        </w:tc>
      </w:tr>
      <w:tr w:rsidR="004C455F" w:rsidRPr="00BF5CDB" w14:paraId="083E12CC" w14:textId="77777777" w:rsidTr="009C7AED">
        <w:trPr>
          <w:trHeight w:val="170"/>
          <w:jc w:val="center"/>
        </w:trPr>
        <w:tc>
          <w:tcPr>
            <w:tcW w:w="5000" w:type="pct"/>
          </w:tcPr>
          <w:p w14:paraId="2747CADC" w14:textId="366AF0E3" w:rsidR="004C455F" w:rsidRPr="00BF5CDB" w:rsidRDefault="004C455F" w:rsidP="009E485D">
            <w:pPr>
              <w:pStyle w:val="TabletextLeft"/>
              <w:spacing w:before="20" w:after="20"/>
              <w:rPr>
                <w:szCs w:val="20"/>
              </w:rPr>
            </w:pPr>
            <w:r w:rsidRPr="00BF5CDB">
              <w:rPr>
                <w:szCs w:val="20"/>
              </w:rPr>
              <w:t>Individual and independent consumer</w:t>
            </w:r>
          </w:p>
        </w:tc>
      </w:tr>
      <w:tr w:rsidR="00285557" w:rsidRPr="00BF5CDB" w14:paraId="5431C818" w14:textId="77777777" w:rsidTr="009C7AED">
        <w:trPr>
          <w:trHeight w:val="170"/>
          <w:jc w:val="center"/>
        </w:trPr>
        <w:tc>
          <w:tcPr>
            <w:tcW w:w="5000" w:type="pct"/>
          </w:tcPr>
          <w:p w14:paraId="45A4893D" w14:textId="267E66A1" w:rsidR="00285557" w:rsidRPr="00BF5CDB" w:rsidRDefault="00EB6101" w:rsidP="009E485D">
            <w:pPr>
              <w:pStyle w:val="TabletextLeft"/>
              <w:spacing w:before="20" w:after="20"/>
              <w:rPr>
                <w:szCs w:val="20"/>
              </w:rPr>
            </w:pPr>
            <w:r w:rsidRPr="00BF5CDB">
              <w:rPr>
                <w:szCs w:val="20"/>
              </w:rPr>
              <w:t>Royal Australasian College of Surgeons</w:t>
            </w:r>
          </w:p>
        </w:tc>
      </w:tr>
      <w:tr w:rsidR="00285557" w:rsidRPr="00BF5CDB" w14:paraId="74C35863" w14:textId="77777777" w:rsidTr="009C7AED">
        <w:trPr>
          <w:trHeight w:val="170"/>
          <w:jc w:val="center"/>
        </w:trPr>
        <w:tc>
          <w:tcPr>
            <w:tcW w:w="5000" w:type="pct"/>
          </w:tcPr>
          <w:p w14:paraId="7591C870" w14:textId="57873180" w:rsidR="00285557" w:rsidRPr="00BF5CDB" w:rsidRDefault="00740038" w:rsidP="009E485D">
            <w:pPr>
              <w:pStyle w:val="TabletextLeft"/>
              <w:spacing w:before="20" w:after="20"/>
              <w:rPr>
                <w:szCs w:val="20"/>
              </w:rPr>
            </w:pPr>
            <w:r w:rsidRPr="00BF5CDB">
              <w:rPr>
                <w:szCs w:val="20"/>
              </w:rPr>
              <w:t>Australian Digital Health Agency</w:t>
            </w:r>
          </w:p>
        </w:tc>
      </w:tr>
      <w:tr w:rsidR="00285557" w:rsidRPr="00BF5CDB" w14:paraId="53A4FD9E" w14:textId="77777777" w:rsidTr="009C7AED">
        <w:trPr>
          <w:trHeight w:val="170"/>
          <w:jc w:val="center"/>
        </w:trPr>
        <w:tc>
          <w:tcPr>
            <w:tcW w:w="5000" w:type="pct"/>
          </w:tcPr>
          <w:p w14:paraId="1FCB41B8" w14:textId="6B637963" w:rsidR="00285557" w:rsidRPr="00BF5CDB" w:rsidRDefault="00740038" w:rsidP="009E485D">
            <w:pPr>
              <w:pStyle w:val="TabletextLeft"/>
              <w:spacing w:before="20" w:after="20"/>
              <w:rPr>
                <w:szCs w:val="20"/>
              </w:rPr>
            </w:pPr>
            <w:r w:rsidRPr="00BF5CDB">
              <w:rPr>
                <w:szCs w:val="20"/>
              </w:rPr>
              <w:t>Royal Australasian College of Physicians</w:t>
            </w:r>
          </w:p>
        </w:tc>
      </w:tr>
      <w:tr w:rsidR="00285557" w:rsidRPr="00BF5CDB" w14:paraId="02AD5179" w14:textId="77777777" w:rsidTr="009C7AED">
        <w:trPr>
          <w:trHeight w:val="170"/>
          <w:jc w:val="center"/>
        </w:trPr>
        <w:tc>
          <w:tcPr>
            <w:tcW w:w="5000" w:type="pct"/>
          </w:tcPr>
          <w:p w14:paraId="7BE45C13" w14:textId="10DB08C4" w:rsidR="00285557" w:rsidRPr="00BF5CDB" w:rsidRDefault="00974CF4" w:rsidP="009E485D">
            <w:pPr>
              <w:pStyle w:val="TabletextLeft"/>
              <w:spacing w:before="20" w:after="20"/>
              <w:rPr>
                <w:szCs w:val="20"/>
              </w:rPr>
            </w:pPr>
            <w:r w:rsidRPr="00BF5CDB">
              <w:rPr>
                <w:szCs w:val="20"/>
              </w:rPr>
              <w:t xml:space="preserve">Pharmacy Guild </w:t>
            </w:r>
            <w:r w:rsidR="00377F89" w:rsidRPr="00BF5CDB">
              <w:rPr>
                <w:szCs w:val="20"/>
              </w:rPr>
              <w:t>of Australia</w:t>
            </w:r>
          </w:p>
        </w:tc>
      </w:tr>
    </w:tbl>
    <w:p w14:paraId="1FE3FFE6" w14:textId="25D93BC2" w:rsidR="007629C6" w:rsidRDefault="009522DE" w:rsidP="001966EC">
      <w:pPr>
        <w:pStyle w:val="Caption"/>
      </w:pPr>
      <w:r>
        <w:t>Source: Philip Review (2023)</w:t>
      </w:r>
    </w:p>
    <w:p w14:paraId="0099856D" w14:textId="77777777" w:rsidR="00764303" w:rsidRDefault="00F13D1F">
      <w:pPr>
        <w:spacing w:after="0"/>
        <w:sectPr w:rsidR="00764303" w:rsidSect="009C7AED">
          <w:type w:val="continuous"/>
          <w:pgSz w:w="11906" w:h="16838" w:code="9"/>
          <w:pgMar w:top="720" w:right="720" w:bottom="720" w:left="720" w:header="680" w:footer="425" w:gutter="0"/>
          <w:cols w:space="284"/>
          <w:titlePg/>
          <w:docGrid w:linePitch="360"/>
        </w:sectPr>
      </w:pPr>
      <w:r>
        <w:br w:type="page"/>
      </w:r>
    </w:p>
    <w:p w14:paraId="14A006C4" w14:textId="5EB59ED2" w:rsidR="00F13D1F" w:rsidRPr="00485628" w:rsidRDefault="00F13D1F" w:rsidP="00940D39">
      <w:pPr>
        <w:pStyle w:val="Appendixhead1"/>
        <w:outlineLvl w:val="0"/>
      </w:pPr>
      <w:bookmarkStart w:id="264" w:name="_Ref128657500"/>
      <w:bookmarkStart w:id="265" w:name="_Toc131418569"/>
      <w:r>
        <w:lastRenderedPageBreak/>
        <w:t>Medicare claiming and payment pathway</w:t>
      </w:r>
      <w:r w:rsidRPr="00485628">
        <w:t>s</w:t>
      </w:r>
      <w:bookmarkEnd w:id="264"/>
      <w:bookmarkEnd w:id="265"/>
    </w:p>
    <w:p w14:paraId="5276D7D8" w14:textId="2C906594" w:rsidR="004B1991" w:rsidRDefault="004B1991" w:rsidP="00940D39">
      <w:pPr>
        <w:pStyle w:val="Appendixhead2"/>
      </w:pPr>
      <w:bookmarkStart w:id="266" w:name="_Toc128905559"/>
      <w:bookmarkStart w:id="267" w:name="_Toc128907064"/>
      <w:bookmarkStart w:id="268" w:name="_Toc128909174"/>
      <w:bookmarkStart w:id="269" w:name="_Toc128669103"/>
      <w:r>
        <w:t xml:space="preserve">Overview of MBS </w:t>
      </w:r>
      <w:r w:rsidRPr="004A77D7">
        <w:t>including who can claim</w:t>
      </w:r>
      <w:bookmarkEnd w:id="266"/>
      <w:bookmarkEnd w:id="267"/>
      <w:bookmarkEnd w:id="268"/>
      <w:r w:rsidRPr="004A77D7">
        <w:t xml:space="preserve"> </w:t>
      </w:r>
      <w:bookmarkEnd w:id="269"/>
    </w:p>
    <w:p w14:paraId="4E709D06" w14:textId="0F654AC0" w:rsidR="004B1991" w:rsidRDefault="004B1991" w:rsidP="004B1991">
      <w:r>
        <w:t xml:space="preserve">Medicare is Australia’s universal health insurance scheme that ensures Australians (and some international visitors) have access to appropriate healthcare at low or no cost. The </w:t>
      </w:r>
      <w:r w:rsidRPr="003B19D9">
        <w:t>MBS</w:t>
      </w:r>
      <w:r>
        <w:t xml:space="preserve"> is the listing of the Medicare services that are subsidised by the Australian Government through the Scheme and includes around </w:t>
      </w:r>
      <w:r w:rsidRPr="003F6D26">
        <w:t>6,000 items.</w:t>
      </w:r>
      <w:r w:rsidRPr="0036245F">
        <w:t xml:space="preserve"> </w:t>
      </w:r>
      <w:r>
        <w:t>In 2021</w:t>
      </w:r>
      <w:r w:rsidR="00CA6D48">
        <w:t>–</w:t>
      </w:r>
      <w:r>
        <w:t>22, there were 511.5 million Medicare instances of service, for a total of $29.1 billion in benefits paid (</w:t>
      </w:r>
      <w:r w:rsidR="00B30384">
        <w:t xml:space="preserve">see </w:t>
      </w:r>
      <w:r w:rsidR="005330EA">
        <w:fldChar w:fldCharType="begin"/>
      </w:r>
      <w:r w:rsidR="005330EA">
        <w:instrText xml:space="preserve"> REF _Ref128667555 \r \h </w:instrText>
      </w:r>
      <w:r w:rsidR="005330EA">
        <w:fldChar w:fldCharType="separate"/>
      </w:r>
      <w:r w:rsidR="005A1647">
        <w:t>Figure C.1</w:t>
      </w:r>
      <w:r w:rsidR="005330EA">
        <w:fldChar w:fldCharType="end"/>
      </w:r>
      <w:r>
        <w:t xml:space="preserve">) across 14 </w:t>
      </w:r>
      <w:r w:rsidR="005369B8">
        <w:t>claiming channel</w:t>
      </w:r>
      <w:r>
        <w:t xml:space="preserve">s (see </w:t>
      </w:r>
      <w:r w:rsidR="00BE1392">
        <w:t xml:space="preserve">Section </w:t>
      </w:r>
      <w:r w:rsidR="00BE1392">
        <w:fldChar w:fldCharType="begin"/>
      </w:r>
      <w:r w:rsidR="00BE1392">
        <w:instrText xml:space="preserve"> REF _Ref128905645 \r \h </w:instrText>
      </w:r>
      <w:r w:rsidR="00BE1392">
        <w:fldChar w:fldCharType="separate"/>
      </w:r>
      <w:r w:rsidR="005A1647">
        <w:t>C.2</w:t>
      </w:r>
      <w:r w:rsidR="00BE1392">
        <w:fldChar w:fldCharType="end"/>
      </w:r>
      <w:r>
        <w:t xml:space="preserve">). </w:t>
      </w:r>
    </w:p>
    <w:p w14:paraId="5144C6D8" w14:textId="07A1EFC3" w:rsidR="004B1991" w:rsidRDefault="004B1991" w:rsidP="00693012">
      <w:pPr>
        <w:pStyle w:val="AppendixFigureCaption"/>
        <w:outlineLvl w:val="9"/>
      </w:pPr>
      <w:bookmarkStart w:id="270" w:name="_Ref128667555"/>
      <w:bookmarkStart w:id="271" w:name="_Toc131418637"/>
      <w:r>
        <w:t>: MBS</w:t>
      </w:r>
      <w:r w:rsidRPr="00E22B28">
        <w:t xml:space="preserve"> benefits paid by profession, 2020</w:t>
      </w:r>
      <w:r w:rsidR="00CA6D48">
        <w:t>–</w:t>
      </w:r>
      <w:r w:rsidRPr="00E22B28">
        <w:t>21</w:t>
      </w:r>
      <w:bookmarkEnd w:id="270"/>
      <w:r w:rsidR="005369B8">
        <w:t>*</w:t>
      </w:r>
      <w:bookmarkEnd w:id="271"/>
    </w:p>
    <w:p w14:paraId="568D3A3D" w14:textId="77777777" w:rsidR="004B1991" w:rsidRDefault="004B1991" w:rsidP="004B1991">
      <w:pPr>
        <w:jc w:val="center"/>
      </w:pPr>
      <w:r>
        <w:rPr>
          <w:noProof/>
        </w:rPr>
        <w:drawing>
          <wp:inline distT="0" distB="0" distL="0" distR="0" wp14:anchorId="507A3D59" wp14:editId="1FE972C3">
            <wp:extent cx="6616460" cy="1385614"/>
            <wp:effectExtent l="0" t="0" r="0" b="5080"/>
            <wp:docPr id="50" name="Picture 50" descr="Figure C.1 is a diagram showing MBS benefits for 2020-21 aggregated by (broad) prof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C.1 is a diagram showing MBS benefits for 2020-21 aggregated by (broad) profess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70840" cy="1397002"/>
                    </a:xfrm>
                    <a:prstGeom prst="rect">
                      <a:avLst/>
                    </a:prstGeom>
                    <a:noFill/>
                    <a:ln>
                      <a:noFill/>
                    </a:ln>
                  </pic:spPr>
                </pic:pic>
              </a:graphicData>
            </a:graphic>
          </wp:inline>
        </w:drawing>
      </w:r>
    </w:p>
    <w:p w14:paraId="030013F9" w14:textId="79D19216" w:rsidR="004B1991" w:rsidRDefault="004B1991" w:rsidP="004B1991">
      <w:pPr>
        <w:pStyle w:val="Caption"/>
      </w:pPr>
      <w:r>
        <w:t xml:space="preserve">Source: Philip Review (2023) using </w:t>
      </w:r>
      <w:proofErr w:type="spellStart"/>
      <w:r>
        <w:t>DoHAC</w:t>
      </w:r>
      <w:proofErr w:type="spellEnd"/>
      <w:r>
        <w:t xml:space="preserve"> Medicare data </w:t>
      </w:r>
    </w:p>
    <w:p w14:paraId="350AFAD2" w14:textId="266FBB91" w:rsidR="004B1991" w:rsidRDefault="005369B8" w:rsidP="004B1991">
      <w:pPr>
        <w:pStyle w:val="Caption"/>
        <w:spacing w:before="120"/>
        <w:rPr>
          <w:szCs w:val="17"/>
        </w:rPr>
      </w:pPr>
      <w:r>
        <w:rPr>
          <w:szCs w:val="17"/>
        </w:rPr>
        <w:t>*</w:t>
      </w:r>
      <w:r w:rsidR="004B1991" w:rsidRPr="00384DF3">
        <w:rPr>
          <w:szCs w:val="17"/>
        </w:rPr>
        <w:t xml:space="preserve"> These figures include Dental Practitioners claiming CDBS. Both MBS and CDBS are paid through the same systems and channels. </w:t>
      </w:r>
      <w:r w:rsidR="00532ABD">
        <w:rPr>
          <w:szCs w:val="17"/>
        </w:rPr>
        <w:t>Also, Specialist expenditure includes diagnostic imaging and pathology reimbursements</w:t>
      </w:r>
    </w:p>
    <w:p w14:paraId="01450916" w14:textId="277B756E" w:rsidR="004B1991" w:rsidRDefault="004B1991" w:rsidP="004B1991">
      <w:r>
        <w:t>There has recently been increasing media attention on Medicare</w:t>
      </w:r>
      <w:r w:rsidR="00487A3A">
        <w:rPr>
          <w:rStyle w:val="FootnoteReference"/>
        </w:rPr>
        <w:footnoteReference w:id="19"/>
      </w:r>
      <w:r w:rsidR="00532ABD">
        <w:t>,</w:t>
      </w:r>
      <w:r w:rsidR="00532ABD">
        <w:rPr>
          <w:rStyle w:val="FootnoteReference"/>
        </w:rPr>
        <w:footnoteReference w:id="20"/>
      </w:r>
      <w:r>
        <w:t>, including calls from industry and peak bodies for reform to improve the viability and usability of the Scheme. This has been primarily focused around</w:t>
      </w:r>
      <w:r w:rsidR="005369B8">
        <w:t>:</w:t>
      </w:r>
      <w:r>
        <w:t xml:space="preserve"> (1) discussions about the appropriateness of the MBS and how it does, or does not, reflect current models of care</w:t>
      </w:r>
      <w:r w:rsidR="005369B8">
        <w:t>,</w:t>
      </w:r>
      <w:r>
        <w:t xml:space="preserve"> and (2) reports of significant inefficiencies in the system driven through fraud, </w:t>
      </w:r>
      <w:proofErr w:type="gramStart"/>
      <w:r>
        <w:t>error</w:t>
      </w:r>
      <w:proofErr w:type="gramEnd"/>
      <w:r>
        <w:t xml:space="preserve"> and waste. </w:t>
      </w:r>
    </w:p>
    <w:p w14:paraId="3D4D1403" w14:textId="4654C8F0" w:rsidR="004B1991" w:rsidRDefault="006E091C" w:rsidP="00940D39">
      <w:pPr>
        <w:pStyle w:val="Appendixhead2"/>
      </w:pPr>
      <w:bookmarkStart w:id="272" w:name="_Toc128905560"/>
      <w:bookmarkStart w:id="273" w:name="_Ref128905645"/>
      <w:bookmarkStart w:id="274" w:name="_Toc128907065"/>
      <w:bookmarkStart w:id="275" w:name="_Toc128909175"/>
      <w:bookmarkStart w:id="276" w:name="_Toc128669104"/>
      <w:r>
        <w:t>Claim</w:t>
      </w:r>
      <w:r w:rsidR="005369B8">
        <w:t>ing</w:t>
      </w:r>
      <w:r>
        <w:t xml:space="preserve"> </w:t>
      </w:r>
      <w:r w:rsidR="004B1991">
        <w:t>channels</w:t>
      </w:r>
      <w:bookmarkEnd w:id="272"/>
      <w:bookmarkEnd w:id="273"/>
      <w:bookmarkEnd w:id="274"/>
      <w:bookmarkEnd w:id="275"/>
      <w:r w:rsidR="004B1991">
        <w:t xml:space="preserve"> </w:t>
      </w:r>
      <w:bookmarkEnd w:id="276"/>
    </w:p>
    <w:p w14:paraId="51057D5F" w14:textId="35065497" w:rsidR="004B1991" w:rsidRDefault="004B1991" w:rsidP="004B1991">
      <w:r>
        <w:t xml:space="preserve">The number and model of </w:t>
      </w:r>
      <w:r w:rsidR="00871F0C">
        <w:t>claim</w:t>
      </w:r>
      <w:r w:rsidR="005369B8">
        <w:t>ing</w:t>
      </w:r>
      <w:r w:rsidR="00871F0C">
        <w:t xml:space="preserve"> </w:t>
      </w:r>
      <w:r>
        <w:t xml:space="preserve">channels has evolved since inception of Medicare in 1984 and there are now </w:t>
      </w:r>
      <w:r w:rsidR="00B65DDD">
        <w:t xml:space="preserve">14 </w:t>
      </w:r>
      <w:r>
        <w:t>that seek to accommodate a broader range of health professionals providing MBS reimbursed services and supports. These include seven manual claim</w:t>
      </w:r>
      <w:r w:rsidR="005369B8">
        <w:t>ing</w:t>
      </w:r>
      <w:r>
        <w:t xml:space="preserve"> channels, five </w:t>
      </w:r>
      <w:r w:rsidR="00DD78BC">
        <w:t>p</w:t>
      </w:r>
      <w:r>
        <w:t xml:space="preserve">oint of </w:t>
      </w:r>
      <w:r w:rsidR="00DD78BC">
        <w:t>s</w:t>
      </w:r>
      <w:r>
        <w:t xml:space="preserve">ervice digital </w:t>
      </w:r>
      <w:r w:rsidR="005369B8">
        <w:t>claiming channel</w:t>
      </w:r>
      <w:r>
        <w:t>s, and two customer digital self-service channels (</w:t>
      </w:r>
      <w:r w:rsidR="005330EA">
        <w:fldChar w:fldCharType="begin"/>
      </w:r>
      <w:r w:rsidR="005330EA">
        <w:instrText xml:space="preserve"> REF _Ref128667582 \r \h </w:instrText>
      </w:r>
      <w:r w:rsidR="005330EA">
        <w:fldChar w:fldCharType="separate"/>
      </w:r>
      <w:r w:rsidR="005A1647">
        <w:t>Figure C.2</w:t>
      </w:r>
      <w:r w:rsidR="005330EA">
        <w:fldChar w:fldCharType="end"/>
      </w:r>
      <w:r>
        <w:t xml:space="preserve">). The transition to 99.7% of MBS claims and billings flowing through digitised </w:t>
      </w:r>
      <w:r w:rsidR="005369B8">
        <w:t>claiming channel</w:t>
      </w:r>
      <w:r>
        <w:t>s has enabled more efficient and timely payment of MBS claims.</w:t>
      </w:r>
      <w:r w:rsidRPr="00922DFE">
        <w:t xml:space="preserve"> </w:t>
      </w:r>
    </w:p>
    <w:p w14:paraId="5AA78DE3" w14:textId="77777777" w:rsidR="004B1991" w:rsidRDefault="004B1991" w:rsidP="00693012">
      <w:pPr>
        <w:pStyle w:val="AppendixFigureCaption"/>
        <w:outlineLvl w:val="9"/>
      </w:pPr>
      <w:bookmarkStart w:id="277" w:name="_Ref128667582"/>
      <w:bookmarkStart w:id="278" w:name="_Toc131418638"/>
      <w:r>
        <w:lastRenderedPageBreak/>
        <w:t>: Overview of Medicare claiming channels</w:t>
      </w:r>
      <w:bookmarkEnd w:id="277"/>
      <w:bookmarkEnd w:id="278"/>
    </w:p>
    <w:p w14:paraId="68FB1847" w14:textId="760FD3FE" w:rsidR="004B1991" w:rsidRDefault="00616DC4" w:rsidP="004B1991">
      <w:r>
        <w:rPr>
          <w:noProof/>
        </w:rPr>
        <w:drawing>
          <wp:inline distT="0" distB="0" distL="0" distR="0" wp14:anchorId="5F543F64" wp14:editId="068198DF">
            <wp:extent cx="6913128" cy="2579298"/>
            <wp:effectExtent l="0" t="0" r="2540" b="0"/>
            <wp:docPr id="21527" name="Picture 21527" descr="Figure C.2 is a table that shows an overview of Medicare claiming channels showing detailed information about Medicare claiming channels, including manual claims, EDI(SFTP) simplified billing, Medicare Online, ECLIPSE simplified billing, EasyClaim, HPOS, Medicare Online Account, and Express Plu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7" name="Picture 21527" descr="Figure C.2 is a table that shows an overview of Medicare claiming channels showing detailed information about Medicare claiming channels, including manual claims, EDI(SFTP) simplified billing, Medicare Online, ECLIPSE simplified billing, EasyClaim, HPOS, Medicare Online Account, and Express Plus Ap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13128" cy="2579298"/>
                    </a:xfrm>
                    <a:prstGeom prst="rect">
                      <a:avLst/>
                    </a:prstGeom>
                    <a:noFill/>
                  </pic:spPr>
                </pic:pic>
              </a:graphicData>
            </a:graphic>
          </wp:inline>
        </w:drawing>
      </w:r>
    </w:p>
    <w:p w14:paraId="4EFFC482" w14:textId="59B594E6" w:rsidR="004B1991" w:rsidRPr="00BE7688" w:rsidRDefault="004B1991" w:rsidP="004B1991">
      <w:pPr>
        <w:pStyle w:val="Caption"/>
      </w:pPr>
      <w:r w:rsidRPr="00BE7688">
        <w:t>Source: Philip Review (2023) with information sourced from Services Australia (2023)</w:t>
      </w:r>
    </w:p>
    <w:p w14:paraId="25F3CFB2" w14:textId="31686F46" w:rsidR="004B1991" w:rsidRDefault="004B1991" w:rsidP="004B1991">
      <w:r>
        <w:t xml:space="preserve">A wide range of health professionals can submit MBS claims via these various </w:t>
      </w:r>
      <w:r w:rsidR="005369B8">
        <w:t>claiming channel</w:t>
      </w:r>
      <w:r>
        <w:t>s (</w:t>
      </w:r>
      <w:r w:rsidR="005330EA">
        <w:t xml:space="preserve">see </w:t>
      </w:r>
      <w:r w:rsidR="005330EA">
        <w:fldChar w:fldCharType="begin"/>
      </w:r>
      <w:r w:rsidR="005330EA">
        <w:instrText xml:space="preserve"> REF _Ref128667651 \r \h </w:instrText>
      </w:r>
      <w:r w:rsidR="005330EA">
        <w:fldChar w:fldCharType="separate"/>
      </w:r>
      <w:r w:rsidR="005A1647">
        <w:t>Table C.1</w:t>
      </w:r>
      <w:r w:rsidR="005330EA">
        <w:fldChar w:fldCharType="end"/>
      </w:r>
      <w:r>
        <w:t xml:space="preserve">). Embedded in this list are the diagnostic providers (both </w:t>
      </w:r>
      <w:r w:rsidR="008E6240">
        <w:t>r</w:t>
      </w:r>
      <w:r>
        <w:t xml:space="preserve">adiology and </w:t>
      </w:r>
      <w:r w:rsidR="008E6240">
        <w:t>p</w:t>
      </w:r>
      <w:r>
        <w:t>athology) and both public and private hospital facilities who also play an important role as providers and care settings within the system.</w:t>
      </w:r>
    </w:p>
    <w:p w14:paraId="6D872E45" w14:textId="77777777" w:rsidR="00992D68" w:rsidRDefault="00992D68" w:rsidP="00693012">
      <w:pPr>
        <w:pStyle w:val="AppendixTableCaption"/>
        <w:outlineLvl w:val="9"/>
      </w:pPr>
      <w:bookmarkStart w:id="279" w:name="_Ref128667651"/>
      <w:bookmarkStart w:id="280" w:name="_Toc131418586"/>
      <w:r>
        <w:t>: Health professionals who can claim MBS benefits</w:t>
      </w:r>
      <w:bookmarkEnd w:id="279"/>
      <w:bookmarkEnd w:id="280"/>
    </w:p>
    <w:tbl>
      <w:tblPr>
        <w:tblStyle w:val="Deloittetable"/>
        <w:tblW w:w="4810" w:type="pct"/>
        <w:tblLook w:val="04A0" w:firstRow="1" w:lastRow="0" w:firstColumn="1" w:lastColumn="0" w:noHBand="0" w:noVBand="1"/>
      </w:tblPr>
      <w:tblGrid>
        <w:gridCol w:w="3033"/>
        <w:gridCol w:w="3574"/>
        <w:gridCol w:w="3461"/>
      </w:tblGrid>
      <w:tr w:rsidR="00992D68" w:rsidRPr="006B7FA4" w14:paraId="0D955F99" w14:textId="77777777">
        <w:trPr>
          <w:cnfStyle w:val="100000000000" w:firstRow="1" w:lastRow="0" w:firstColumn="0" w:lastColumn="0" w:oddVBand="0" w:evenVBand="0" w:oddHBand="0" w:evenHBand="0" w:firstRowFirstColumn="0" w:firstRowLastColumn="0" w:lastRowFirstColumn="0" w:lastRowLastColumn="0"/>
          <w:trHeight w:val="222"/>
          <w:tblHeader/>
        </w:trPr>
        <w:tc>
          <w:tcPr>
            <w:tcW w:w="1506" w:type="pct"/>
            <w:tcBorders>
              <w:top w:val="single" w:sz="24" w:space="0" w:color="005B89"/>
            </w:tcBorders>
          </w:tcPr>
          <w:p w14:paraId="760701CD" w14:textId="77777777" w:rsidR="00992D68" w:rsidRPr="007D0FDE" w:rsidRDefault="00992D68">
            <w:pPr>
              <w:spacing w:after="60"/>
              <w:rPr>
                <w:b w:val="0"/>
                <w:color w:val="005587"/>
                <w:szCs w:val="22"/>
              </w:rPr>
            </w:pPr>
            <w:r w:rsidRPr="007D0FDE">
              <w:rPr>
                <w:color w:val="005587"/>
                <w:szCs w:val="22"/>
              </w:rPr>
              <w:t>Category</w:t>
            </w:r>
          </w:p>
        </w:tc>
        <w:tc>
          <w:tcPr>
            <w:tcW w:w="3494" w:type="pct"/>
            <w:gridSpan w:val="2"/>
            <w:tcBorders>
              <w:top w:val="single" w:sz="24" w:space="0" w:color="005B89"/>
            </w:tcBorders>
          </w:tcPr>
          <w:p w14:paraId="05DD15AE" w14:textId="77777777" w:rsidR="00992D68" w:rsidRPr="007D0FDE" w:rsidRDefault="00992D68">
            <w:pPr>
              <w:spacing w:after="60"/>
              <w:rPr>
                <w:b w:val="0"/>
                <w:color w:val="005587"/>
                <w:szCs w:val="22"/>
              </w:rPr>
            </w:pPr>
            <w:r w:rsidRPr="007D0FDE">
              <w:rPr>
                <w:color w:val="005587"/>
                <w:szCs w:val="22"/>
              </w:rPr>
              <w:t>Professions</w:t>
            </w:r>
          </w:p>
        </w:tc>
      </w:tr>
      <w:tr w:rsidR="00992D68" w:rsidRPr="006B7FA4" w14:paraId="1D7C87F3" w14:textId="77777777">
        <w:trPr>
          <w:trHeight w:val="485"/>
        </w:trPr>
        <w:tc>
          <w:tcPr>
            <w:tcW w:w="1506" w:type="pct"/>
          </w:tcPr>
          <w:p w14:paraId="36812A94" w14:textId="77777777" w:rsidR="00992D68" w:rsidRPr="006B7FA4" w:rsidRDefault="00992D68">
            <w:pPr>
              <w:spacing w:after="60"/>
              <w:rPr>
                <w:b/>
                <w:bCs/>
                <w:sz w:val="20"/>
                <w:szCs w:val="20"/>
              </w:rPr>
            </w:pPr>
            <w:r w:rsidRPr="006B7FA4">
              <w:rPr>
                <w:b/>
                <w:bCs/>
                <w:sz w:val="20"/>
                <w:szCs w:val="20"/>
              </w:rPr>
              <w:t>Medical Practitioners</w:t>
            </w:r>
          </w:p>
        </w:tc>
        <w:tc>
          <w:tcPr>
            <w:tcW w:w="1775" w:type="pct"/>
          </w:tcPr>
          <w:p w14:paraId="144B39DF" w14:textId="77777777" w:rsidR="00992D68" w:rsidRPr="006B7FA4" w:rsidRDefault="00992D68" w:rsidP="00405174">
            <w:pPr>
              <w:pStyle w:val="Tablebullets"/>
              <w:framePr w:wrap="around"/>
              <w:rPr>
                <w:szCs w:val="20"/>
              </w:rPr>
            </w:pPr>
            <w:r w:rsidRPr="006B7FA4">
              <w:rPr>
                <w:szCs w:val="20"/>
              </w:rPr>
              <w:t>Medical Registrars</w:t>
            </w:r>
          </w:p>
          <w:p w14:paraId="24F7EC24" w14:textId="77777777" w:rsidR="00992D68" w:rsidRPr="006B7FA4" w:rsidRDefault="00992D68" w:rsidP="00405174">
            <w:pPr>
              <w:pStyle w:val="Tablebullets"/>
              <w:framePr w:wrap="around"/>
              <w:rPr>
                <w:szCs w:val="20"/>
              </w:rPr>
            </w:pPr>
            <w:r w:rsidRPr="006B7FA4">
              <w:rPr>
                <w:szCs w:val="20"/>
              </w:rPr>
              <w:t>Medical Trainees</w:t>
            </w:r>
          </w:p>
          <w:p w14:paraId="562AE988" w14:textId="77777777" w:rsidR="00992D68" w:rsidRPr="006B7FA4" w:rsidRDefault="00992D68" w:rsidP="00405174">
            <w:pPr>
              <w:pStyle w:val="Tablebullets"/>
              <w:framePr w:wrap="around"/>
              <w:rPr>
                <w:szCs w:val="20"/>
              </w:rPr>
            </w:pPr>
            <w:r w:rsidRPr="006B7FA4">
              <w:rPr>
                <w:szCs w:val="20"/>
              </w:rPr>
              <w:t>General Practitioners</w:t>
            </w:r>
          </w:p>
        </w:tc>
        <w:tc>
          <w:tcPr>
            <w:tcW w:w="1719" w:type="pct"/>
          </w:tcPr>
          <w:p w14:paraId="474DF90C" w14:textId="77777777" w:rsidR="00992D68" w:rsidRPr="006B7FA4" w:rsidRDefault="00992D68" w:rsidP="00405174">
            <w:pPr>
              <w:pStyle w:val="Tablebullets"/>
              <w:framePr w:wrap="around"/>
              <w:rPr>
                <w:szCs w:val="20"/>
              </w:rPr>
            </w:pPr>
            <w:r w:rsidRPr="006B7FA4">
              <w:rPr>
                <w:szCs w:val="20"/>
              </w:rPr>
              <w:t>Medical Specialist</w:t>
            </w:r>
          </w:p>
          <w:p w14:paraId="155817C1" w14:textId="77777777" w:rsidR="00992D68" w:rsidRPr="006B7FA4" w:rsidRDefault="00992D68" w:rsidP="00405174">
            <w:pPr>
              <w:pStyle w:val="Tablebullets"/>
              <w:framePr w:wrap="around"/>
              <w:rPr>
                <w:szCs w:val="20"/>
              </w:rPr>
            </w:pPr>
            <w:r w:rsidRPr="006B7FA4">
              <w:rPr>
                <w:szCs w:val="20"/>
              </w:rPr>
              <w:t>Consultant Physician</w:t>
            </w:r>
          </w:p>
          <w:p w14:paraId="6F940B25" w14:textId="77777777" w:rsidR="00992D68" w:rsidRPr="006B7FA4" w:rsidRDefault="00992D68" w:rsidP="00405174">
            <w:pPr>
              <w:pStyle w:val="Tablebullets"/>
              <w:framePr w:wrap="around"/>
              <w:rPr>
                <w:szCs w:val="20"/>
              </w:rPr>
            </w:pPr>
            <w:r w:rsidRPr="006B7FA4">
              <w:rPr>
                <w:szCs w:val="20"/>
              </w:rPr>
              <w:t>Other Medical Practitioners</w:t>
            </w:r>
          </w:p>
        </w:tc>
      </w:tr>
      <w:tr w:rsidR="00992D68" w:rsidRPr="006B7FA4" w14:paraId="0297E954" w14:textId="77777777">
        <w:trPr>
          <w:trHeight w:val="222"/>
        </w:trPr>
        <w:tc>
          <w:tcPr>
            <w:tcW w:w="1506" w:type="pct"/>
          </w:tcPr>
          <w:p w14:paraId="4D783258" w14:textId="77777777" w:rsidR="00992D68" w:rsidRPr="006B7FA4" w:rsidRDefault="00992D68">
            <w:pPr>
              <w:spacing w:after="60"/>
              <w:rPr>
                <w:b/>
                <w:bCs/>
                <w:sz w:val="20"/>
                <w:szCs w:val="20"/>
              </w:rPr>
            </w:pPr>
            <w:r w:rsidRPr="006B7FA4">
              <w:rPr>
                <w:b/>
                <w:bCs/>
                <w:sz w:val="20"/>
                <w:szCs w:val="20"/>
              </w:rPr>
              <w:t>Nurse Practitioners and Midwives</w:t>
            </w:r>
          </w:p>
        </w:tc>
        <w:tc>
          <w:tcPr>
            <w:tcW w:w="1775" w:type="pct"/>
          </w:tcPr>
          <w:p w14:paraId="1730353C" w14:textId="77777777" w:rsidR="00992D68" w:rsidRPr="006B7FA4" w:rsidRDefault="00992D68" w:rsidP="00405174">
            <w:pPr>
              <w:pStyle w:val="Tablebullets"/>
              <w:framePr w:wrap="around"/>
              <w:rPr>
                <w:szCs w:val="20"/>
              </w:rPr>
            </w:pPr>
            <w:r w:rsidRPr="006B7FA4">
              <w:rPr>
                <w:szCs w:val="20"/>
              </w:rPr>
              <w:t>Nurse Practitioner</w:t>
            </w:r>
          </w:p>
        </w:tc>
        <w:tc>
          <w:tcPr>
            <w:tcW w:w="1719" w:type="pct"/>
          </w:tcPr>
          <w:p w14:paraId="2F76FB6A" w14:textId="77777777" w:rsidR="00992D68" w:rsidRPr="006B7FA4" w:rsidRDefault="00992D68" w:rsidP="00405174">
            <w:pPr>
              <w:pStyle w:val="Tablebullets"/>
              <w:framePr w:wrap="around"/>
              <w:rPr>
                <w:szCs w:val="20"/>
              </w:rPr>
            </w:pPr>
            <w:r w:rsidRPr="006B7FA4">
              <w:rPr>
                <w:szCs w:val="20"/>
              </w:rPr>
              <w:t>Midwife</w:t>
            </w:r>
          </w:p>
        </w:tc>
      </w:tr>
      <w:tr w:rsidR="00992D68" w:rsidRPr="006B7FA4" w14:paraId="5A88C59D" w14:textId="77777777">
        <w:trPr>
          <w:trHeight w:val="1216"/>
        </w:trPr>
        <w:tc>
          <w:tcPr>
            <w:tcW w:w="1506" w:type="pct"/>
          </w:tcPr>
          <w:p w14:paraId="18DEEA80" w14:textId="77777777" w:rsidR="00992D68" w:rsidRPr="006B7FA4" w:rsidRDefault="00992D68">
            <w:pPr>
              <w:spacing w:after="60"/>
              <w:rPr>
                <w:b/>
                <w:bCs/>
                <w:sz w:val="20"/>
                <w:szCs w:val="20"/>
              </w:rPr>
            </w:pPr>
            <w:r w:rsidRPr="006B7FA4">
              <w:rPr>
                <w:b/>
                <w:bCs/>
                <w:sz w:val="20"/>
                <w:szCs w:val="20"/>
              </w:rPr>
              <w:t>Allied Health professionals</w:t>
            </w:r>
          </w:p>
        </w:tc>
        <w:tc>
          <w:tcPr>
            <w:tcW w:w="1775" w:type="pct"/>
          </w:tcPr>
          <w:p w14:paraId="3AD6DFB5" w14:textId="77777777" w:rsidR="00992D68" w:rsidRPr="006B7FA4" w:rsidRDefault="00992D68" w:rsidP="00405174">
            <w:pPr>
              <w:pStyle w:val="Tablebullets"/>
              <w:framePr w:wrap="around"/>
              <w:rPr>
                <w:szCs w:val="20"/>
              </w:rPr>
            </w:pPr>
            <w:r w:rsidRPr="006B7FA4">
              <w:rPr>
                <w:szCs w:val="20"/>
              </w:rPr>
              <w:t>Aboriginal Health Workers</w:t>
            </w:r>
          </w:p>
          <w:p w14:paraId="6050FDDD" w14:textId="77777777" w:rsidR="00992D68" w:rsidRPr="006B7FA4" w:rsidRDefault="00992D68" w:rsidP="00405174">
            <w:pPr>
              <w:pStyle w:val="Tablebullets"/>
              <w:framePr w:wrap="around"/>
              <w:rPr>
                <w:szCs w:val="20"/>
              </w:rPr>
            </w:pPr>
            <w:r w:rsidRPr="006B7FA4">
              <w:rPr>
                <w:szCs w:val="20"/>
              </w:rPr>
              <w:t>Audiologists</w:t>
            </w:r>
          </w:p>
          <w:p w14:paraId="1E2802B2" w14:textId="77777777" w:rsidR="00992D68" w:rsidRPr="006B7FA4" w:rsidRDefault="00992D68" w:rsidP="00405174">
            <w:pPr>
              <w:pStyle w:val="Tablebullets"/>
              <w:framePr w:wrap="around"/>
              <w:rPr>
                <w:szCs w:val="20"/>
              </w:rPr>
            </w:pPr>
            <w:r w:rsidRPr="006B7FA4">
              <w:rPr>
                <w:szCs w:val="20"/>
              </w:rPr>
              <w:t>Chiropractors</w:t>
            </w:r>
          </w:p>
          <w:p w14:paraId="7FFC205B" w14:textId="77777777" w:rsidR="00992D68" w:rsidRPr="006B7FA4" w:rsidRDefault="00992D68" w:rsidP="00405174">
            <w:pPr>
              <w:pStyle w:val="Tablebullets"/>
              <w:framePr w:wrap="around"/>
              <w:rPr>
                <w:szCs w:val="20"/>
              </w:rPr>
            </w:pPr>
            <w:r w:rsidRPr="006B7FA4">
              <w:rPr>
                <w:szCs w:val="20"/>
              </w:rPr>
              <w:t>Diabetes Educators</w:t>
            </w:r>
          </w:p>
          <w:p w14:paraId="06723E05" w14:textId="77777777" w:rsidR="00992D68" w:rsidRPr="006B7FA4" w:rsidRDefault="00992D68" w:rsidP="00405174">
            <w:pPr>
              <w:pStyle w:val="Tablebullets"/>
              <w:framePr w:wrap="around"/>
              <w:rPr>
                <w:szCs w:val="20"/>
              </w:rPr>
            </w:pPr>
            <w:r w:rsidRPr="006B7FA4">
              <w:rPr>
                <w:szCs w:val="20"/>
              </w:rPr>
              <w:t>Dieticians</w:t>
            </w:r>
          </w:p>
          <w:p w14:paraId="67C1FC23" w14:textId="77777777" w:rsidR="00992D68" w:rsidRPr="006B7FA4" w:rsidRDefault="00992D68" w:rsidP="00405174">
            <w:pPr>
              <w:pStyle w:val="Tablebullets"/>
              <w:framePr w:wrap="around"/>
              <w:rPr>
                <w:szCs w:val="20"/>
              </w:rPr>
            </w:pPr>
            <w:r w:rsidRPr="006B7FA4">
              <w:rPr>
                <w:szCs w:val="20"/>
              </w:rPr>
              <w:t>Exercise Physiologists</w:t>
            </w:r>
          </w:p>
          <w:p w14:paraId="17F2BF02" w14:textId="77777777" w:rsidR="00992D68" w:rsidRPr="006B7FA4" w:rsidRDefault="00992D68" w:rsidP="00405174">
            <w:pPr>
              <w:pStyle w:val="Tablebullets"/>
              <w:framePr w:wrap="around"/>
              <w:rPr>
                <w:szCs w:val="20"/>
              </w:rPr>
            </w:pPr>
            <w:r w:rsidRPr="006B7FA4">
              <w:rPr>
                <w:szCs w:val="20"/>
              </w:rPr>
              <w:t>Mental Health Nurses</w:t>
            </w:r>
          </w:p>
          <w:p w14:paraId="56965F9B" w14:textId="77777777" w:rsidR="00992D68" w:rsidRPr="006B7FA4" w:rsidRDefault="00992D68" w:rsidP="00405174">
            <w:pPr>
              <w:pStyle w:val="Tablebullets"/>
              <w:framePr w:wrap="around"/>
              <w:rPr>
                <w:szCs w:val="20"/>
              </w:rPr>
            </w:pPr>
            <w:r w:rsidRPr="006B7FA4">
              <w:rPr>
                <w:szCs w:val="20"/>
              </w:rPr>
              <w:t>Occupational Therapists</w:t>
            </w:r>
          </w:p>
        </w:tc>
        <w:tc>
          <w:tcPr>
            <w:tcW w:w="1719" w:type="pct"/>
          </w:tcPr>
          <w:p w14:paraId="61DE99C5" w14:textId="77777777" w:rsidR="00992D68" w:rsidRPr="006B7FA4" w:rsidRDefault="00992D68" w:rsidP="00405174">
            <w:pPr>
              <w:pStyle w:val="Tablebullets"/>
              <w:framePr w:wrap="around"/>
              <w:rPr>
                <w:szCs w:val="20"/>
              </w:rPr>
            </w:pPr>
            <w:r w:rsidRPr="006B7FA4">
              <w:rPr>
                <w:szCs w:val="20"/>
              </w:rPr>
              <w:t>Orthoptists</w:t>
            </w:r>
          </w:p>
          <w:p w14:paraId="33BDF9F4" w14:textId="77777777" w:rsidR="00992D68" w:rsidRPr="006B7FA4" w:rsidRDefault="00992D68" w:rsidP="00405174">
            <w:pPr>
              <w:pStyle w:val="Tablebullets"/>
              <w:framePr w:wrap="around"/>
              <w:rPr>
                <w:szCs w:val="20"/>
              </w:rPr>
            </w:pPr>
            <w:r w:rsidRPr="006B7FA4">
              <w:rPr>
                <w:szCs w:val="20"/>
              </w:rPr>
              <w:t>Osteopaths</w:t>
            </w:r>
          </w:p>
          <w:p w14:paraId="1A2AC1E3" w14:textId="77777777" w:rsidR="00992D68" w:rsidRPr="006B7FA4" w:rsidRDefault="00992D68" w:rsidP="00405174">
            <w:pPr>
              <w:pStyle w:val="Tablebullets"/>
              <w:framePr w:wrap="around"/>
              <w:rPr>
                <w:szCs w:val="20"/>
              </w:rPr>
            </w:pPr>
            <w:r w:rsidRPr="006B7FA4">
              <w:rPr>
                <w:szCs w:val="20"/>
              </w:rPr>
              <w:t>Physiotherapists</w:t>
            </w:r>
          </w:p>
          <w:p w14:paraId="755CD670" w14:textId="77777777" w:rsidR="00992D68" w:rsidRPr="006B7FA4" w:rsidRDefault="00992D68" w:rsidP="00405174">
            <w:pPr>
              <w:pStyle w:val="Tablebullets"/>
              <w:framePr w:wrap="around"/>
              <w:rPr>
                <w:szCs w:val="20"/>
              </w:rPr>
            </w:pPr>
            <w:r w:rsidRPr="006B7FA4">
              <w:rPr>
                <w:szCs w:val="20"/>
              </w:rPr>
              <w:t>Podiatrists</w:t>
            </w:r>
          </w:p>
          <w:p w14:paraId="059B70A4" w14:textId="77777777" w:rsidR="00992D68" w:rsidRPr="006B7FA4" w:rsidRDefault="00992D68" w:rsidP="00405174">
            <w:pPr>
              <w:pStyle w:val="Tablebullets"/>
              <w:framePr w:wrap="around"/>
              <w:rPr>
                <w:szCs w:val="20"/>
              </w:rPr>
            </w:pPr>
            <w:r w:rsidRPr="006B7FA4">
              <w:rPr>
                <w:szCs w:val="20"/>
              </w:rPr>
              <w:t>Psychologists</w:t>
            </w:r>
          </w:p>
          <w:p w14:paraId="373CF10F" w14:textId="77777777" w:rsidR="00992D68" w:rsidRPr="006B7FA4" w:rsidRDefault="00992D68" w:rsidP="00405174">
            <w:pPr>
              <w:pStyle w:val="Tablebullets"/>
              <w:framePr w:wrap="around"/>
              <w:rPr>
                <w:szCs w:val="20"/>
              </w:rPr>
            </w:pPr>
            <w:r w:rsidRPr="006B7FA4">
              <w:rPr>
                <w:szCs w:val="20"/>
              </w:rPr>
              <w:t>Social Workers</w:t>
            </w:r>
          </w:p>
          <w:p w14:paraId="37F8B01B" w14:textId="77777777" w:rsidR="00992D68" w:rsidRPr="006B7FA4" w:rsidRDefault="00992D68" w:rsidP="00405174">
            <w:pPr>
              <w:pStyle w:val="Tablebullets"/>
              <w:framePr w:wrap="around"/>
              <w:rPr>
                <w:szCs w:val="20"/>
              </w:rPr>
            </w:pPr>
            <w:r w:rsidRPr="006B7FA4">
              <w:rPr>
                <w:szCs w:val="20"/>
              </w:rPr>
              <w:t>Speech Pathologists</w:t>
            </w:r>
          </w:p>
        </w:tc>
      </w:tr>
      <w:tr w:rsidR="00992D68" w:rsidRPr="006B7FA4" w14:paraId="14AC2468" w14:textId="77777777">
        <w:trPr>
          <w:trHeight w:val="623"/>
        </w:trPr>
        <w:tc>
          <w:tcPr>
            <w:tcW w:w="1506" w:type="pct"/>
          </w:tcPr>
          <w:p w14:paraId="4C11EEA7" w14:textId="77777777" w:rsidR="00992D68" w:rsidRPr="006B7FA4" w:rsidRDefault="00992D68">
            <w:pPr>
              <w:spacing w:after="60"/>
              <w:rPr>
                <w:b/>
                <w:bCs/>
                <w:sz w:val="20"/>
                <w:szCs w:val="20"/>
              </w:rPr>
            </w:pPr>
            <w:r w:rsidRPr="006B7FA4">
              <w:rPr>
                <w:b/>
                <w:bCs/>
                <w:sz w:val="20"/>
                <w:szCs w:val="20"/>
              </w:rPr>
              <w:t>Dental Practitioner*</w:t>
            </w:r>
          </w:p>
        </w:tc>
        <w:tc>
          <w:tcPr>
            <w:tcW w:w="1775" w:type="pct"/>
          </w:tcPr>
          <w:p w14:paraId="66FD559B" w14:textId="77777777" w:rsidR="00992D68" w:rsidRPr="006B7FA4" w:rsidRDefault="00992D68" w:rsidP="00405174">
            <w:pPr>
              <w:pStyle w:val="Tablebullets"/>
              <w:framePr w:wrap="around"/>
              <w:rPr>
                <w:szCs w:val="20"/>
              </w:rPr>
            </w:pPr>
            <w:r w:rsidRPr="006B7FA4">
              <w:rPr>
                <w:szCs w:val="20"/>
              </w:rPr>
              <w:t>Dental Practitioner</w:t>
            </w:r>
          </w:p>
          <w:p w14:paraId="1FCA0C74" w14:textId="77777777" w:rsidR="00992D68" w:rsidRPr="006B7FA4" w:rsidRDefault="00992D68" w:rsidP="00405174">
            <w:pPr>
              <w:pStyle w:val="Tablebullets"/>
              <w:framePr w:wrap="around"/>
              <w:rPr>
                <w:szCs w:val="20"/>
              </w:rPr>
            </w:pPr>
            <w:r w:rsidRPr="006B7FA4">
              <w:rPr>
                <w:szCs w:val="20"/>
              </w:rPr>
              <w:t>Dental Specialist</w:t>
            </w:r>
          </w:p>
          <w:p w14:paraId="254C7C42" w14:textId="77777777" w:rsidR="00992D68" w:rsidRPr="006B7FA4" w:rsidRDefault="00992D68" w:rsidP="00405174">
            <w:pPr>
              <w:pStyle w:val="Tablebullets"/>
              <w:framePr w:wrap="around"/>
              <w:rPr>
                <w:szCs w:val="20"/>
              </w:rPr>
            </w:pPr>
            <w:r w:rsidRPr="006B7FA4">
              <w:rPr>
                <w:szCs w:val="20"/>
              </w:rPr>
              <w:t xml:space="preserve">Dental Prosthetists (short-term, </w:t>
            </w:r>
            <w:proofErr w:type="gramStart"/>
            <w:r w:rsidRPr="006B7FA4">
              <w:rPr>
                <w:szCs w:val="20"/>
              </w:rPr>
              <w:t>interim</w:t>
            </w:r>
            <w:proofErr w:type="gramEnd"/>
            <w:r w:rsidRPr="006B7FA4">
              <w:rPr>
                <w:szCs w:val="20"/>
              </w:rPr>
              <w:t xml:space="preserve"> or provisional period only)</w:t>
            </w:r>
          </w:p>
        </w:tc>
        <w:tc>
          <w:tcPr>
            <w:tcW w:w="1719" w:type="pct"/>
          </w:tcPr>
          <w:p w14:paraId="0247B9B6" w14:textId="77777777" w:rsidR="00992D68" w:rsidRPr="006B7FA4" w:rsidRDefault="00992D68" w:rsidP="00405174">
            <w:pPr>
              <w:pStyle w:val="Tablebullets"/>
              <w:framePr w:wrap="around"/>
              <w:rPr>
                <w:szCs w:val="20"/>
              </w:rPr>
            </w:pPr>
            <w:r w:rsidRPr="006B7FA4">
              <w:rPr>
                <w:szCs w:val="20"/>
              </w:rPr>
              <w:t xml:space="preserve">Dental Hygienist, dental </w:t>
            </w:r>
            <w:proofErr w:type="gramStart"/>
            <w:r w:rsidRPr="006B7FA4">
              <w:rPr>
                <w:szCs w:val="20"/>
              </w:rPr>
              <w:t>therapist</w:t>
            </w:r>
            <w:proofErr w:type="gramEnd"/>
            <w:r w:rsidRPr="006B7FA4">
              <w:rPr>
                <w:szCs w:val="20"/>
              </w:rPr>
              <w:t xml:space="preserve"> or oral health therapist</w:t>
            </w:r>
          </w:p>
        </w:tc>
      </w:tr>
      <w:tr w:rsidR="00992D68" w:rsidRPr="006B7FA4" w14:paraId="5FA4130A" w14:textId="77777777">
        <w:trPr>
          <w:trHeight w:val="24"/>
        </w:trPr>
        <w:tc>
          <w:tcPr>
            <w:tcW w:w="1506" w:type="pct"/>
          </w:tcPr>
          <w:p w14:paraId="2AFD607C" w14:textId="77777777" w:rsidR="00992D68" w:rsidRPr="006B7FA4" w:rsidRDefault="00992D68">
            <w:pPr>
              <w:spacing w:after="60"/>
              <w:rPr>
                <w:b/>
                <w:bCs/>
                <w:sz w:val="20"/>
                <w:szCs w:val="20"/>
              </w:rPr>
            </w:pPr>
            <w:r w:rsidRPr="006B7FA4">
              <w:rPr>
                <w:b/>
                <w:bCs/>
                <w:sz w:val="20"/>
                <w:szCs w:val="20"/>
              </w:rPr>
              <w:t>Optometrist</w:t>
            </w:r>
          </w:p>
        </w:tc>
        <w:tc>
          <w:tcPr>
            <w:tcW w:w="1775" w:type="pct"/>
          </w:tcPr>
          <w:p w14:paraId="556B3017" w14:textId="77777777" w:rsidR="00992D68" w:rsidRPr="006B7FA4" w:rsidRDefault="00992D68" w:rsidP="00405174">
            <w:pPr>
              <w:pStyle w:val="Tablebullets"/>
              <w:framePr w:wrap="around"/>
              <w:rPr>
                <w:szCs w:val="20"/>
              </w:rPr>
            </w:pPr>
            <w:r w:rsidRPr="006B7FA4">
              <w:rPr>
                <w:szCs w:val="20"/>
              </w:rPr>
              <w:t>Optometrist</w:t>
            </w:r>
          </w:p>
        </w:tc>
        <w:tc>
          <w:tcPr>
            <w:tcW w:w="1719" w:type="pct"/>
          </w:tcPr>
          <w:p w14:paraId="0C20C14B" w14:textId="77777777" w:rsidR="00992D68" w:rsidRPr="006B7FA4" w:rsidRDefault="00992D68">
            <w:pPr>
              <w:pStyle w:val="ListBullet"/>
              <w:numPr>
                <w:ilvl w:val="0"/>
                <w:numId w:val="0"/>
              </w:numPr>
              <w:spacing w:after="60"/>
              <w:rPr>
                <w:sz w:val="20"/>
                <w:szCs w:val="20"/>
              </w:rPr>
            </w:pPr>
          </w:p>
        </w:tc>
      </w:tr>
    </w:tbl>
    <w:p w14:paraId="347B5AB3" w14:textId="6E72459F" w:rsidR="00992D68" w:rsidRPr="000A4514" w:rsidRDefault="00992D68" w:rsidP="00992D68">
      <w:pPr>
        <w:pStyle w:val="Caption"/>
      </w:pPr>
      <w:r w:rsidRPr="00D91500">
        <w:t>Source: Philip Review (</w:t>
      </w:r>
      <w:proofErr w:type="gramStart"/>
      <w:r w:rsidRPr="00D91500">
        <w:t>2023)</w:t>
      </w:r>
      <w:r>
        <w:t>*</w:t>
      </w:r>
      <w:proofErr w:type="gramEnd"/>
      <w:r>
        <w:t xml:space="preserve"> </w:t>
      </w:r>
      <w:r w:rsidRPr="00D91500">
        <w:t xml:space="preserve">Only </w:t>
      </w:r>
      <w:r w:rsidR="008E6240">
        <w:t>c</w:t>
      </w:r>
      <w:r w:rsidRPr="00D91500">
        <w:t>ertain Dental Practitioners can claim Medicare benefits</w:t>
      </w:r>
      <w:r w:rsidR="00B252A0">
        <w:t xml:space="preserve"> and m</w:t>
      </w:r>
      <w:r w:rsidRPr="00D91500">
        <w:t>any of these professions claim under the CDBS</w:t>
      </w:r>
    </w:p>
    <w:p w14:paraId="7B53465D" w14:textId="30E5D335" w:rsidR="00992D68" w:rsidRDefault="00992D68" w:rsidP="00992D68">
      <w:r>
        <w:t xml:space="preserve">The claiming channels and actors operating within them to deliver the payment process are </w:t>
      </w:r>
      <w:r w:rsidR="00D803FB">
        <w:t xml:space="preserve">outlined below </w:t>
      </w:r>
      <w:r w:rsidR="008E6240">
        <w:t xml:space="preserve">which </w:t>
      </w:r>
      <w:r>
        <w:t xml:space="preserve">demonstrates the important roles each stakeholder plays to combine to the fulsome </w:t>
      </w:r>
      <w:r w:rsidR="00C04192">
        <w:t>end-to-end claiming process</w:t>
      </w:r>
      <w:r>
        <w:t>, including:</w:t>
      </w:r>
    </w:p>
    <w:p w14:paraId="44BF469C" w14:textId="047E6577" w:rsidR="00992D68" w:rsidRPr="00E448AB" w:rsidRDefault="00992D68" w:rsidP="00940D39">
      <w:pPr>
        <w:pStyle w:val="ListBullet"/>
      </w:pPr>
      <w:r w:rsidRPr="001434A3">
        <w:rPr>
          <w:b/>
        </w:rPr>
        <w:t>Patients/</w:t>
      </w:r>
      <w:r w:rsidR="008E6240">
        <w:rPr>
          <w:b/>
        </w:rPr>
        <w:t>c</w:t>
      </w:r>
      <w:r w:rsidRPr="001434A3">
        <w:rPr>
          <w:b/>
        </w:rPr>
        <w:t>onsumers</w:t>
      </w:r>
      <w:r w:rsidR="008E6240">
        <w:rPr>
          <w:b/>
          <w:bCs/>
        </w:rPr>
        <w:t>:</w:t>
      </w:r>
      <w:r>
        <w:t xml:space="preserve"> Attend the service and provide their Medicare identification, and in some channels, confirm service provision by way of secondary verification for eligibility for MBS reimbursement</w:t>
      </w:r>
      <w:r w:rsidR="008E6240">
        <w:t>.</w:t>
      </w:r>
    </w:p>
    <w:p w14:paraId="7904AD01" w14:textId="0007404E" w:rsidR="00992D68" w:rsidRPr="00E448AB" w:rsidRDefault="00992D68" w:rsidP="00940D39">
      <w:pPr>
        <w:pStyle w:val="ListBullet"/>
      </w:pPr>
      <w:r w:rsidRPr="001434A3">
        <w:rPr>
          <w:b/>
        </w:rPr>
        <w:t>Individual health professional provider</w:t>
      </w:r>
      <w:r w:rsidR="008E6240">
        <w:rPr>
          <w:b/>
          <w:bCs/>
        </w:rPr>
        <w:t>:</w:t>
      </w:r>
      <w:r>
        <w:t xml:space="preserve"> Deliver services and supports to patients in line with appropriate clinical care and needs. Selection of MBS items to the interaction and attribution of this to the occasion of service. Practitioners should, but are not always able to easily, review the MBS claims attributed to their provider number.</w:t>
      </w:r>
    </w:p>
    <w:p w14:paraId="436DF381" w14:textId="29D1639E" w:rsidR="00992D68" w:rsidRPr="00E448AB" w:rsidRDefault="00992D68" w:rsidP="00940D39">
      <w:pPr>
        <w:pStyle w:val="ListBullet"/>
      </w:pPr>
      <w:r w:rsidRPr="001434A3">
        <w:rPr>
          <w:b/>
        </w:rPr>
        <w:lastRenderedPageBreak/>
        <w:t xml:space="preserve">Patient </w:t>
      </w:r>
      <w:r w:rsidR="008E6240">
        <w:rPr>
          <w:b/>
        </w:rPr>
        <w:t>m</w:t>
      </w:r>
      <w:r w:rsidRPr="001434A3">
        <w:rPr>
          <w:b/>
        </w:rPr>
        <w:t xml:space="preserve">anagement </w:t>
      </w:r>
      <w:r w:rsidR="008E6240">
        <w:rPr>
          <w:b/>
        </w:rPr>
        <w:t>s</w:t>
      </w:r>
      <w:r w:rsidRPr="001434A3">
        <w:rPr>
          <w:b/>
        </w:rPr>
        <w:t>oftware technologies</w:t>
      </w:r>
      <w:r w:rsidR="008E6240">
        <w:rPr>
          <w:b/>
          <w:bCs/>
        </w:rPr>
        <w:t>:</w:t>
      </w:r>
      <w:r>
        <w:t xml:space="preserve"> Some practices and health professionals utilise technology solutions to provide decision supports to determine the most appropriate MBS item numbers, and these systems integrate with the clinical desktop software solutions.</w:t>
      </w:r>
    </w:p>
    <w:p w14:paraId="6C236451" w14:textId="60E76F66" w:rsidR="00992D68" w:rsidRDefault="00992D68" w:rsidP="00940D39">
      <w:pPr>
        <w:pStyle w:val="ListBullet"/>
      </w:pPr>
      <w:r w:rsidRPr="001434A3">
        <w:rPr>
          <w:b/>
        </w:rPr>
        <w:t>Practice Manager</w:t>
      </w:r>
      <w:r w:rsidR="008E6240">
        <w:rPr>
          <w:b/>
        </w:rPr>
        <w:t>:</w:t>
      </w:r>
      <w:r>
        <w:t xml:space="preserve"> Access online webforms to translate the allocated MBS item via integration point with the practice management software. The practice should have in place a process by which submitted MBS claims/bills and their application to patients and providers is accurate.</w:t>
      </w:r>
    </w:p>
    <w:p w14:paraId="24CC6A11" w14:textId="709352A4" w:rsidR="00992D68" w:rsidRDefault="00992D68" w:rsidP="00940D39">
      <w:pPr>
        <w:pStyle w:val="ListBullet"/>
      </w:pPr>
      <w:r w:rsidRPr="001434A3">
        <w:rPr>
          <w:b/>
        </w:rPr>
        <w:t>Services Australia</w:t>
      </w:r>
      <w:r w:rsidR="008E6240">
        <w:rPr>
          <w:b/>
          <w:bCs/>
        </w:rPr>
        <w:t>:</w:t>
      </w:r>
      <w:r>
        <w:t xml:space="preserve"> </w:t>
      </w:r>
      <w:r w:rsidR="005F7F94">
        <w:t>Responsible for the system</w:t>
      </w:r>
      <w:r w:rsidR="00D42296">
        <w:t xml:space="preserve"> and processing, inclusive of the up-front claim verification.</w:t>
      </w:r>
      <w:r>
        <w:t xml:space="preserve"> Following submission of the claim from the practice, initial claim verification activities are completed, including confirming patient Medicare eligibility, provider eligibility and verification, based on the </w:t>
      </w:r>
      <w:proofErr w:type="gramStart"/>
      <w:r>
        <w:t>rules</w:t>
      </w:r>
      <w:proofErr w:type="gramEnd"/>
      <w:r>
        <w:t xml:space="preserve"> engine as part of the supporting technology infrastructure. Following completion of the claim verification activities, Services Australia</w:t>
      </w:r>
      <w:r w:rsidR="00733AFC">
        <w:t xml:space="preserve"> assesses,</w:t>
      </w:r>
      <w:r>
        <w:t xml:space="preserve"> </w:t>
      </w:r>
      <w:proofErr w:type="gramStart"/>
      <w:r w:rsidR="000F5BEF">
        <w:t>processes</w:t>
      </w:r>
      <w:proofErr w:type="gramEnd"/>
      <w:r w:rsidR="000F5BEF">
        <w:t xml:space="preserve"> and pays</w:t>
      </w:r>
      <w:r w:rsidR="004F0559">
        <w:t xml:space="preserve"> </w:t>
      </w:r>
      <w:r w:rsidR="00733AFC">
        <w:t>claim</w:t>
      </w:r>
      <w:r w:rsidR="003A2D24">
        <w:t>s</w:t>
      </w:r>
      <w:r w:rsidR="00733AFC">
        <w:t xml:space="preserve"> </w:t>
      </w:r>
      <w:r>
        <w:t xml:space="preserve">to the provider or patient according to the </w:t>
      </w:r>
      <w:r w:rsidR="005369B8">
        <w:t>claiming channel</w:t>
      </w:r>
      <w:r>
        <w:t xml:space="preserve"> employed.</w:t>
      </w:r>
      <w:r w:rsidR="00B6748D">
        <w:t xml:space="preserve"> </w:t>
      </w:r>
    </w:p>
    <w:p w14:paraId="54419AAB" w14:textId="506E0686" w:rsidR="007B5522" w:rsidRPr="004D051F" w:rsidRDefault="00992D68" w:rsidP="00F53F08">
      <w:pPr>
        <w:pStyle w:val="ListBullet"/>
      </w:pPr>
      <w:proofErr w:type="spellStart"/>
      <w:r w:rsidRPr="001434A3">
        <w:rPr>
          <w:b/>
          <w:bCs/>
        </w:rPr>
        <w:t>D</w:t>
      </w:r>
      <w:r>
        <w:rPr>
          <w:b/>
          <w:bCs/>
        </w:rPr>
        <w:t>o</w:t>
      </w:r>
      <w:r w:rsidRPr="001434A3">
        <w:rPr>
          <w:b/>
          <w:bCs/>
        </w:rPr>
        <w:t>HAC</w:t>
      </w:r>
      <w:proofErr w:type="spellEnd"/>
      <w:r w:rsidR="008E6240">
        <w:rPr>
          <w:b/>
          <w:bCs/>
        </w:rPr>
        <w:t>:</w:t>
      </w:r>
      <w:r>
        <w:t xml:space="preserve"> It is </w:t>
      </w:r>
      <w:proofErr w:type="spellStart"/>
      <w:r w:rsidRPr="001434A3">
        <w:t>D</w:t>
      </w:r>
      <w:r>
        <w:t>o</w:t>
      </w:r>
      <w:r w:rsidRPr="001434A3">
        <w:t>HAC’s</w:t>
      </w:r>
      <w:proofErr w:type="spellEnd"/>
      <w:r>
        <w:t xml:space="preserve"> </w:t>
      </w:r>
      <w:r w:rsidR="006C398B">
        <w:t>responsib</w:t>
      </w:r>
      <w:r w:rsidR="003C5843">
        <w:t>ility for the general</w:t>
      </w:r>
      <w:r w:rsidR="005E754A">
        <w:t xml:space="preserve"> business rules, including their </w:t>
      </w:r>
      <w:r>
        <w:t>role to establish the business rules</w:t>
      </w:r>
      <w:r w:rsidR="00815AE2">
        <w:t xml:space="preserve"> and claiming restrictions</w:t>
      </w:r>
      <w:r w:rsidR="00BF14B1">
        <w:t xml:space="preserve"> applying to items</w:t>
      </w:r>
      <w:r>
        <w:t xml:space="preserve"> that underpin the up-front claim verification performed by Services Australia</w:t>
      </w:r>
      <w:r w:rsidR="006E3251">
        <w:t>, together with post-payment compliance activities</w:t>
      </w:r>
      <w:r>
        <w:t>.</w:t>
      </w:r>
      <w:r w:rsidR="00AC26E0">
        <w:t xml:space="preserve"> It is important to note, that </w:t>
      </w:r>
      <w:r w:rsidR="000929E5">
        <w:t xml:space="preserve">together, whilst </w:t>
      </w:r>
      <w:proofErr w:type="spellStart"/>
      <w:r w:rsidR="00DF3D66">
        <w:t>DoHAC</w:t>
      </w:r>
      <w:proofErr w:type="spellEnd"/>
      <w:r w:rsidR="00DF3D66">
        <w:t xml:space="preserve"> and Services Australia </w:t>
      </w:r>
      <w:r w:rsidR="00F73156">
        <w:t>share a role</w:t>
      </w:r>
      <w:r w:rsidR="000929E5">
        <w:t xml:space="preserve"> </w:t>
      </w:r>
      <w:r w:rsidR="00F73156">
        <w:t>in</w:t>
      </w:r>
      <w:r w:rsidR="000929E5">
        <w:t xml:space="preserve"> </w:t>
      </w:r>
      <w:r w:rsidR="005C3360">
        <w:t xml:space="preserve">compliance, they </w:t>
      </w:r>
      <w:r w:rsidR="00F73156">
        <w:t>have their own</w:t>
      </w:r>
      <w:r w:rsidR="005C3360">
        <w:t xml:space="preserve"> </w:t>
      </w:r>
      <w:r w:rsidR="00F73156">
        <w:t xml:space="preserve">responsibilities for </w:t>
      </w:r>
      <w:r w:rsidR="000929E5">
        <w:t xml:space="preserve">different elements </w:t>
      </w:r>
      <w:r w:rsidR="008E6240">
        <w:t>and</w:t>
      </w:r>
      <w:r w:rsidR="00F73156">
        <w:t xml:space="preserve"> aspects of claiming.</w:t>
      </w:r>
    </w:p>
    <w:p w14:paraId="090D3B55" w14:textId="5075DA39" w:rsidR="008A2FE3" w:rsidRPr="00485628" w:rsidRDefault="0061657D" w:rsidP="00940D39">
      <w:pPr>
        <w:pStyle w:val="Appendixhead1"/>
        <w:outlineLvl w:val="0"/>
      </w:pPr>
      <w:bookmarkStart w:id="281" w:name="_Toc131418570"/>
      <w:r>
        <w:lastRenderedPageBreak/>
        <w:t>Professional Services Review overview</w:t>
      </w:r>
      <w:bookmarkEnd w:id="281"/>
    </w:p>
    <w:p w14:paraId="1FFF9CFA" w14:textId="77777777" w:rsidR="006C24B7" w:rsidRDefault="006C24B7" w:rsidP="004A77D7">
      <w:pPr>
        <w:pStyle w:val="Appendixhead2"/>
        <w:rPr>
          <w:rFonts w:eastAsiaTheme="minorHAnsi"/>
        </w:rPr>
      </w:pPr>
      <w:bookmarkStart w:id="282" w:name="_Toc128907072"/>
      <w:bookmarkStart w:id="283" w:name="_Toc128909182"/>
      <w:bookmarkStart w:id="284" w:name="_Toc128907073"/>
      <w:bookmarkStart w:id="285" w:name="_Toc128909183"/>
      <w:bookmarkStart w:id="286" w:name="_Toc128907074"/>
      <w:bookmarkStart w:id="287" w:name="_Toc128909184"/>
      <w:bookmarkStart w:id="288" w:name="_Toc128907075"/>
      <w:bookmarkStart w:id="289" w:name="_Toc128909185"/>
      <w:bookmarkStart w:id="290" w:name="_Toc128907076"/>
      <w:bookmarkStart w:id="291" w:name="_Toc128909186"/>
      <w:bookmarkStart w:id="292" w:name="_Toc128907077"/>
      <w:bookmarkStart w:id="293" w:name="_Toc128909187"/>
      <w:bookmarkStart w:id="294" w:name="_Toc128907078"/>
      <w:bookmarkStart w:id="295" w:name="_Toc128909188"/>
      <w:bookmarkStart w:id="296" w:name="_Toc128907079"/>
      <w:bookmarkStart w:id="297" w:name="_Toc128909189"/>
      <w:bookmarkStart w:id="298" w:name="_Toc128907080"/>
      <w:bookmarkStart w:id="299" w:name="_Toc128909190"/>
      <w:bookmarkStart w:id="300" w:name="_Toc128907081"/>
      <w:bookmarkStart w:id="301" w:name="_Toc128909191"/>
      <w:bookmarkStart w:id="302" w:name="_Toc128669112"/>
      <w:bookmarkStart w:id="303" w:name="_Toc128905568"/>
      <w:bookmarkStart w:id="304" w:name="_Toc128907082"/>
      <w:bookmarkStart w:id="305" w:name="_Toc128909192"/>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Pr>
          <w:rFonts w:eastAsiaTheme="minorHAnsi"/>
        </w:rPr>
        <w:t>Process of the PSR</w:t>
      </w:r>
      <w:bookmarkEnd w:id="302"/>
      <w:bookmarkEnd w:id="303"/>
      <w:bookmarkEnd w:id="304"/>
      <w:bookmarkEnd w:id="305"/>
    </w:p>
    <w:p w14:paraId="2C35F3F8" w14:textId="77777777" w:rsidR="006C24B7" w:rsidRPr="0043575D" w:rsidRDefault="006C24B7" w:rsidP="006C24B7">
      <w:r w:rsidRPr="0043575D">
        <w:t>The legislated review process followed by PSR comprises up to three stages:</w:t>
      </w:r>
    </w:p>
    <w:p w14:paraId="2CDD4012" w14:textId="77777777" w:rsidR="006C24B7" w:rsidRPr="0043575D" w:rsidRDefault="006C24B7" w:rsidP="00940D39">
      <w:pPr>
        <w:pStyle w:val="ListBullet"/>
      </w:pPr>
      <w:r w:rsidRPr="0043575D">
        <w:t>Stage 1: PSR Director reviews the information</w:t>
      </w:r>
    </w:p>
    <w:p w14:paraId="3EEFB740" w14:textId="77777777" w:rsidR="006C24B7" w:rsidRPr="0043575D" w:rsidRDefault="006C24B7" w:rsidP="00940D39">
      <w:pPr>
        <w:pStyle w:val="ListBullet"/>
      </w:pPr>
      <w:r w:rsidRPr="0043575D">
        <w:t>Stage 2: PSR Committee decides if inappropriate practice occurred</w:t>
      </w:r>
    </w:p>
    <w:p w14:paraId="126CA882" w14:textId="77777777" w:rsidR="007B5522" w:rsidRDefault="006C24B7" w:rsidP="00940D39">
      <w:pPr>
        <w:pStyle w:val="ListBullet"/>
      </w:pPr>
      <w:r w:rsidRPr="0043575D">
        <w:t xml:space="preserve">Stage 3: Determining Authority makes the </w:t>
      </w:r>
      <w:r w:rsidR="008D6EE3">
        <w:t>decision</w:t>
      </w:r>
    </w:p>
    <w:p w14:paraId="31CDFCDE" w14:textId="66C79A05" w:rsidR="006C24B7" w:rsidRPr="0043575D" w:rsidRDefault="006C24B7" w:rsidP="00693012">
      <w:pPr>
        <w:pStyle w:val="Heading3un-numbered"/>
        <w:outlineLvl w:val="9"/>
      </w:pPr>
      <w:bookmarkStart w:id="306" w:name="_Toc128669113"/>
      <w:bookmarkStart w:id="307" w:name="_Toc128905569"/>
      <w:bookmarkStart w:id="308" w:name="_Toc128907083"/>
      <w:bookmarkStart w:id="309" w:name="_Toc128909193"/>
      <w:r w:rsidRPr="0043575D">
        <w:t>Stage 1: PSR Director reviews the information</w:t>
      </w:r>
      <w:bookmarkEnd w:id="306"/>
      <w:bookmarkEnd w:id="307"/>
      <w:bookmarkEnd w:id="308"/>
      <w:bookmarkEnd w:id="309"/>
    </w:p>
    <w:p w14:paraId="466AA851" w14:textId="00890688" w:rsidR="006C24B7" w:rsidRDefault="006C24B7" w:rsidP="006C24B7">
      <w:r w:rsidRPr="0043575D">
        <w:t>The PSR process commences with the request by a delegate of the Chief Executive Medicare that asks the PSR Director to review a practitioner’s provision of services during a specific period</w:t>
      </w:r>
      <w:r>
        <w:t xml:space="preserve"> (through the PRP)</w:t>
      </w:r>
      <w:r w:rsidRPr="0043575D">
        <w:t xml:space="preserve">. Upon receiving a request, the Director considers materials provided by the delegate, and continues to obtain and evaluate a sample of billing statistics of the practitioner if inappropriate practice appears to occur. The Director may then meet with the practitioner to discuss the matters. In cases where the Director could reasonably conclude the occurrence of inappropriate practice, they prepare a report to explain the identified compliance concerns and the rationale behind and invite the practitioner to submit a response to assist the informed decision making. </w:t>
      </w:r>
      <w:r w:rsidR="00F44C03">
        <w:t>It is</w:t>
      </w:r>
      <w:r>
        <w:t xml:space="preserve"> noted that approximately 90% of practitioners have representation at this stage, however </w:t>
      </w:r>
      <w:r w:rsidR="00BA6913">
        <w:t>this data was</w:t>
      </w:r>
      <w:r>
        <w:t xml:space="preserve"> not </w:t>
      </w:r>
      <w:r w:rsidR="00BA6913">
        <w:t>made accessible for this Review</w:t>
      </w:r>
      <w:r>
        <w:t xml:space="preserve">. </w:t>
      </w:r>
    </w:p>
    <w:p w14:paraId="04C7F2D6" w14:textId="5E51700C" w:rsidR="006C24B7" w:rsidRDefault="006C24B7" w:rsidP="006C24B7">
      <w:r>
        <w:t xml:space="preserve">The Director has seven days to alert a practitioner that a review is to take place </w:t>
      </w:r>
      <w:r w:rsidR="008E6240">
        <w:t xml:space="preserve">and </w:t>
      </w:r>
      <w:r>
        <w:t xml:space="preserve">that includes information about the concerns. The recently completed </w:t>
      </w:r>
      <w:r w:rsidR="008E6240">
        <w:t>s</w:t>
      </w:r>
      <w:r>
        <w:t xml:space="preserve">ection 92 </w:t>
      </w:r>
      <w:r w:rsidR="008E6240">
        <w:t>i</w:t>
      </w:r>
      <w:r>
        <w:t>ndependent review</w:t>
      </w:r>
      <w:r w:rsidR="008E6240">
        <w:rPr>
          <w:rStyle w:val="FootnoteReference"/>
        </w:rPr>
        <w:footnoteReference w:id="21"/>
      </w:r>
      <w:r>
        <w:t xml:space="preserve"> noted that this was usually through the practitioner</w:t>
      </w:r>
      <w:r w:rsidR="00020790">
        <w:t>’</w:t>
      </w:r>
      <w:r>
        <w:t xml:space="preserve">s legal or other representative (usually provided by the Medical Indemnity </w:t>
      </w:r>
      <w:r w:rsidR="008E6240">
        <w:t>i</w:t>
      </w:r>
      <w:r>
        <w:t xml:space="preserve">nsurer) and the Director of the PSR reports that they ‘strongly advise’ practitioners to be represented at this stage. </w:t>
      </w:r>
    </w:p>
    <w:p w14:paraId="05BBB331" w14:textId="77777777" w:rsidR="006C24B7" w:rsidRPr="0043575D" w:rsidRDefault="006C24B7" w:rsidP="006C24B7">
      <w:r w:rsidRPr="0043575D">
        <w:t>Upon examining the relevant materials provided, the Director decides on the outcome:</w:t>
      </w:r>
    </w:p>
    <w:p w14:paraId="0CD6222A" w14:textId="09930D59" w:rsidR="006C24B7" w:rsidRPr="0043575D" w:rsidRDefault="006C24B7" w:rsidP="00940D39">
      <w:pPr>
        <w:pStyle w:val="ListBullet"/>
      </w:pPr>
      <w:r w:rsidRPr="0043575D">
        <w:t>Dismissing the matter if there are insufficient grounds to reasonably conclude that the practitioner engaged in inappropriate practice</w:t>
      </w:r>
    </w:p>
    <w:p w14:paraId="0DE9640D" w14:textId="0CFA2381" w:rsidR="006C24B7" w:rsidRPr="0043575D" w:rsidRDefault="006C24B7" w:rsidP="00940D39">
      <w:pPr>
        <w:pStyle w:val="ListBullet"/>
      </w:pPr>
      <w:r w:rsidRPr="0043575D">
        <w:t>Negotiating a section 92 agreement with the practitioner in cases where the practitioner acknowledge</w:t>
      </w:r>
      <w:r w:rsidR="00020790">
        <w:t>s</w:t>
      </w:r>
      <w:r w:rsidRPr="0043575D">
        <w:t xml:space="preserve"> their inappropriate practice</w:t>
      </w:r>
      <w:r>
        <w:t xml:space="preserve"> (t</w:t>
      </w:r>
      <w:r w:rsidRPr="0043575D">
        <w:t>he agreement needs to be ratified by the Determining Authority before it takes effect</w:t>
      </w:r>
      <w:r>
        <w:t>); or</w:t>
      </w:r>
    </w:p>
    <w:p w14:paraId="0518734A" w14:textId="77777777" w:rsidR="007B5522" w:rsidRDefault="006C24B7" w:rsidP="00940D39">
      <w:pPr>
        <w:pStyle w:val="ListBullet"/>
      </w:pPr>
      <w:r w:rsidRPr="0043575D">
        <w:t xml:space="preserve">Referring to a PSR </w:t>
      </w:r>
      <w:r w:rsidR="008E6240">
        <w:t>c</w:t>
      </w:r>
      <w:r w:rsidRPr="0043575D">
        <w:t>ommittee if a section 92 agreement is not achievable.</w:t>
      </w:r>
    </w:p>
    <w:p w14:paraId="745A79F8" w14:textId="18A4CB50" w:rsidR="006C24B7" w:rsidRDefault="006C24B7" w:rsidP="006C24B7">
      <w:r w:rsidRPr="0043575D">
        <w:t xml:space="preserve">The Director is </w:t>
      </w:r>
      <w:r>
        <w:t xml:space="preserve">also </w:t>
      </w:r>
      <w:r w:rsidRPr="0043575D">
        <w:t>required to refer the practitioner under review to appropriate bodies (</w:t>
      </w:r>
      <w:proofErr w:type="gramStart"/>
      <w:r w:rsidR="00904BFD">
        <w:t>e.g.</w:t>
      </w:r>
      <w:proofErr w:type="gramEnd"/>
      <w:r w:rsidRPr="0043575D">
        <w:t xml:space="preserve"> medical boards, AHPRA, etc.) if concerns over patient safety and/or concerns relating to non-compliance with professional standards arise. Additionally, the Director is required to refer cases with evidence of criminal behaviours, including suspected fraud, to the </w:t>
      </w:r>
      <w:r w:rsidRPr="006A41BE">
        <w:t>Commonwealth Director of Public Prosecution</w:t>
      </w:r>
      <w:r w:rsidRPr="0043575D">
        <w:t xml:space="preserve"> for further investigation. </w:t>
      </w:r>
    </w:p>
    <w:p w14:paraId="4E0625E4" w14:textId="77777777" w:rsidR="006C24B7" w:rsidRPr="0043575D" w:rsidRDefault="006C24B7" w:rsidP="006C24B7">
      <w:r w:rsidRPr="0043575D">
        <w:t>Notably, as imposed by relevant legislation, the Director’s stage of a review has a maximum statutory timeframe of 12 months.</w:t>
      </w:r>
      <w:r w:rsidRPr="0043575D">
        <w:rPr>
          <w:rStyle w:val="FootnoteReference"/>
        </w:rPr>
        <w:footnoteReference w:id="22"/>
      </w:r>
    </w:p>
    <w:p w14:paraId="5CE86CF9" w14:textId="79AECAC2" w:rsidR="006C24B7" w:rsidRPr="0043575D" w:rsidRDefault="006C24B7" w:rsidP="00693012">
      <w:pPr>
        <w:pStyle w:val="Heading3un-numbered"/>
        <w:outlineLvl w:val="9"/>
      </w:pPr>
      <w:bookmarkStart w:id="310" w:name="_Toc128669114"/>
      <w:bookmarkStart w:id="311" w:name="_Toc128905570"/>
      <w:bookmarkStart w:id="312" w:name="_Toc128907084"/>
      <w:bookmarkStart w:id="313" w:name="_Toc128909194"/>
      <w:r w:rsidRPr="0043575D">
        <w:t xml:space="preserve">Stage 2: PSR </w:t>
      </w:r>
      <w:r w:rsidR="008E6240">
        <w:t>c</w:t>
      </w:r>
      <w:r w:rsidRPr="0043575D">
        <w:t>ommittee decides if inappropriate practice occurred</w:t>
      </w:r>
      <w:bookmarkEnd w:id="310"/>
      <w:bookmarkEnd w:id="311"/>
      <w:bookmarkEnd w:id="312"/>
      <w:bookmarkEnd w:id="313"/>
    </w:p>
    <w:p w14:paraId="5BA981CB" w14:textId="1E818A6B" w:rsidR="006C24B7" w:rsidRDefault="006C24B7" w:rsidP="006C24B7">
      <w:r w:rsidRPr="0043575D">
        <w:t xml:space="preserve">A PSR </w:t>
      </w:r>
      <w:r w:rsidR="008E6240">
        <w:t>c</w:t>
      </w:r>
      <w:r w:rsidRPr="0043575D">
        <w:t xml:space="preserve">ommittee is an independent decision-making body established by the Director, consisting of at least 3 members drawn from the PSR Panel: </w:t>
      </w:r>
    </w:p>
    <w:p w14:paraId="10E533D2" w14:textId="6AA7E3E4" w:rsidR="006C24B7" w:rsidRDefault="006A41BE" w:rsidP="00940D39">
      <w:pPr>
        <w:pStyle w:val="ListBullet"/>
      </w:pPr>
      <w:r>
        <w:t>A</w:t>
      </w:r>
      <w:r w:rsidR="006C24B7" w:rsidRPr="0043575D">
        <w:t xml:space="preserve"> Deputy Director who serves as the </w:t>
      </w:r>
      <w:r w:rsidR="009931E5">
        <w:t>c</w:t>
      </w:r>
      <w:r w:rsidR="006C24B7" w:rsidRPr="0043575D">
        <w:t>hair of the committee</w:t>
      </w:r>
    </w:p>
    <w:p w14:paraId="4401C86B" w14:textId="2BC509A0" w:rsidR="006C24B7" w:rsidRDefault="006A41BE" w:rsidP="00940D39">
      <w:pPr>
        <w:pStyle w:val="ListBullet"/>
      </w:pPr>
      <w:r>
        <w:t>A</w:t>
      </w:r>
      <w:r w:rsidR="006C24B7" w:rsidRPr="0043575D">
        <w:t xml:space="preserve">t least </w:t>
      </w:r>
      <w:r>
        <w:t>two</w:t>
      </w:r>
      <w:r w:rsidR="006C24B7" w:rsidRPr="0043575D">
        <w:t xml:space="preserve"> members of the practitioner’s profession</w:t>
      </w:r>
    </w:p>
    <w:p w14:paraId="5413B0C2" w14:textId="77777777" w:rsidR="007B5522" w:rsidRDefault="006A41BE" w:rsidP="00940D39">
      <w:pPr>
        <w:pStyle w:val="ListBullet"/>
      </w:pPr>
      <w:r>
        <w:t>A</w:t>
      </w:r>
      <w:r w:rsidR="006C24B7" w:rsidRPr="0043575D">
        <w:t xml:space="preserve">dditional </w:t>
      </w:r>
      <w:r>
        <w:t>one to two</w:t>
      </w:r>
      <w:r w:rsidR="006C24B7" w:rsidRPr="0043575D">
        <w:t xml:space="preserve"> members to provide a wider range of clinical expertise as needed. </w:t>
      </w:r>
    </w:p>
    <w:p w14:paraId="2DDE272B" w14:textId="160B8C57" w:rsidR="006C24B7" w:rsidRPr="00F859B3" w:rsidRDefault="006C24B7" w:rsidP="006C24B7">
      <w:r w:rsidRPr="0043575D">
        <w:lastRenderedPageBreak/>
        <w:t xml:space="preserve">The Director would provide the practitioner with documents that detail the membership of the committee, the MBS, </w:t>
      </w:r>
      <w:r w:rsidRPr="00F859B3">
        <w:t xml:space="preserve">PBS and/or CDBS items of concern being referred to the committee, and a report explaining the reasons for the identified inappropriate practice. Practitioners under review are allowed to challenge the appointment of committee members on the grounds of bias. </w:t>
      </w:r>
    </w:p>
    <w:p w14:paraId="3E916407" w14:textId="45DE846F" w:rsidR="006C24B7" w:rsidRDefault="006C24B7" w:rsidP="006C24B7">
      <w:r w:rsidRPr="00F859B3">
        <w:t>The investigation begins with the committee ask</w:t>
      </w:r>
      <w:r w:rsidR="008E6240">
        <w:t>ing</w:t>
      </w:r>
      <w:r w:rsidRPr="00F859B3">
        <w:t xml:space="preserve"> the practitioner to provide billing statistics regarding the items to be examined. The committee will then hold a hearing if review of the current evidence reveals the possibility of inappropriate practice. The hearing is designed to obtain information from the practitioner regarding their practice and the specific services</w:t>
      </w:r>
      <w:r w:rsidRPr="0043575D">
        <w:t xml:space="preserve"> they have provided. </w:t>
      </w:r>
    </w:p>
    <w:p w14:paraId="6AB73E5A" w14:textId="3A668C52" w:rsidR="006C24B7" w:rsidRDefault="006C24B7" w:rsidP="006C24B7">
      <w:r w:rsidRPr="0043575D">
        <w:t>After the hearing, upon considering the relevant materials provided, the committee prepares a draft report that outlines the preliminary findings about inappropriate practice</w:t>
      </w:r>
      <w:r w:rsidR="004E308C">
        <w:t>,</w:t>
      </w:r>
      <w:r w:rsidRPr="0043575D">
        <w:t xml:space="preserve"> if there is any</w:t>
      </w:r>
      <w:r w:rsidR="004E308C">
        <w:t>,</w:t>
      </w:r>
      <w:r w:rsidRPr="0043575D">
        <w:t xml:space="preserve"> along with the reason for those findings, and invites the practitioner to submit a response to address those findings and suggest changes to the report. </w:t>
      </w:r>
    </w:p>
    <w:p w14:paraId="12DFEC6C" w14:textId="77777777" w:rsidR="006C24B7" w:rsidRPr="0043575D" w:rsidRDefault="006C24B7" w:rsidP="006C24B7">
      <w:r w:rsidRPr="0043575D">
        <w:t>Finally, the committee prepares a final report for the practitioner, the Director, and the Chief Executive Medicare</w:t>
      </w:r>
      <w:r>
        <w:t xml:space="preserve"> with an outcome such as:</w:t>
      </w:r>
    </w:p>
    <w:p w14:paraId="337DAA06" w14:textId="77777777" w:rsidR="006C24B7" w:rsidRPr="0043575D" w:rsidRDefault="006C24B7" w:rsidP="00940D39">
      <w:pPr>
        <w:pStyle w:val="ListBullet"/>
      </w:pPr>
      <w:r w:rsidRPr="0043575D">
        <w:t>Insufficient grounds to conclude inappropriate practice and thus no further action needs to be taken</w:t>
      </w:r>
      <w:r>
        <w:t>; or</w:t>
      </w:r>
    </w:p>
    <w:p w14:paraId="0FD1F4D1" w14:textId="77777777" w:rsidR="007B5522" w:rsidRDefault="006C24B7" w:rsidP="00940D39">
      <w:pPr>
        <w:pStyle w:val="ListBullet"/>
      </w:pPr>
      <w:r w:rsidRPr="0043575D">
        <w:t xml:space="preserve">Inappropriate practice is identified and thus the final report will be </w:t>
      </w:r>
      <w:r w:rsidR="00421F67">
        <w:t>referred</w:t>
      </w:r>
      <w:r w:rsidR="00421F67" w:rsidRPr="0043575D">
        <w:t xml:space="preserve"> </w:t>
      </w:r>
      <w:r w:rsidRPr="0043575D">
        <w:t>to the Determining Authority to decide sanctions following the findings</w:t>
      </w:r>
      <w:r>
        <w:t xml:space="preserve">. </w:t>
      </w:r>
    </w:p>
    <w:p w14:paraId="04F4FD44" w14:textId="1270E370" w:rsidR="006C24B7" w:rsidRPr="0043575D" w:rsidRDefault="006C24B7" w:rsidP="006C24B7">
      <w:pPr>
        <w:spacing w:after="160" w:line="240" w:lineRule="auto"/>
        <w:rPr>
          <w:sz w:val="24"/>
          <w:szCs w:val="24"/>
        </w:rPr>
      </w:pPr>
      <w:r w:rsidRPr="0043575D">
        <w:t xml:space="preserve">It is expected that 80% of PSR </w:t>
      </w:r>
      <w:r w:rsidR="008E6240">
        <w:t>c</w:t>
      </w:r>
      <w:r w:rsidRPr="0043575D">
        <w:t>ommittees can finalise their investigations within 18 months of commencing investigation.</w:t>
      </w:r>
      <w:r w:rsidRPr="0043575D">
        <w:rPr>
          <w:rStyle w:val="FootnoteReference"/>
        </w:rPr>
        <w:footnoteReference w:id="23"/>
      </w:r>
      <w:r w:rsidRPr="0043575D">
        <w:t xml:space="preserve"> This timeframe </w:t>
      </w:r>
      <w:r>
        <w:t>was</w:t>
      </w:r>
      <w:r w:rsidRPr="0043575D">
        <w:t xml:space="preserve"> extended to 24 months in light of COVID-19.</w:t>
      </w:r>
      <w:r w:rsidRPr="0043575D">
        <w:rPr>
          <w:rStyle w:val="FootnoteReference"/>
        </w:rPr>
        <w:footnoteReference w:id="24"/>
      </w:r>
      <w:r w:rsidRPr="0043575D">
        <w:rPr>
          <w:sz w:val="24"/>
          <w:szCs w:val="24"/>
        </w:rPr>
        <w:t xml:space="preserve"> </w:t>
      </w:r>
    </w:p>
    <w:p w14:paraId="45A4D3C6" w14:textId="77777777" w:rsidR="006C24B7" w:rsidRPr="0043575D" w:rsidRDefault="006C24B7" w:rsidP="00693012">
      <w:pPr>
        <w:pStyle w:val="Heading3un-numbered"/>
        <w:outlineLvl w:val="9"/>
      </w:pPr>
      <w:bookmarkStart w:id="314" w:name="_Toc128669115"/>
      <w:bookmarkStart w:id="315" w:name="_Toc128905571"/>
      <w:bookmarkStart w:id="316" w:name="_Toc128907085"/>
      <w:bookmarkStart w:id="317" w:name="_Toc128909195"/>
      <w:r w:rsidRPr="0043575D">
        <w:t>Stage 3: Determining Authority makes the decision</w:t>
      </w:r>
      <w:bookmarkEnd w:id="314"/>
      <w:bookmarkEnd w:id="315"/>
      <w:bookmarkEnd w:id="316"/>
      <w:bookmarkEnd w:id="317"/>
    </w:p>
    <w:p w14:paraId="5F5D2400" w14:textId="77777777" w:rsidR="006C24B7" w:rsidRPr="0043575D" w:rsidRDefault="006C24B7" w:rsidP="006C24B7">
      <w:pPr>
        <w:spacing w:after="160" w:line="256" w:lineRule="auto"/>
      </w:pPr>
      <w:r w:rsidRPr="0043575D">
        <w:t xml:space="preserve">The Determining Authority has two main functions in the PSR process. Firstly, it is responsible for ratifying the agreements entered into between the Director and practitioners under review. Upon considering relevant materials provided by the Director, the Determining Authority ratifies the agreement if it is considered as fair and reasonable. In cases where the agreement is not ratified, the Determining Authority provides reasons for refusal, whereby the Director and the practitioner negotiate a new agreement for ratification. </w:t>
      </w:r>
    </w:p>
    <w:p w14:paraId="133B025F" w14:textId="74944A57" w:rsidR="006C24B7" w:rsidRPr="0043575D" w:rsidRDefault="006C24B7" w:rsidP="006C24B7">
      <w:pPr>
        <w:spacing w:after="160" w:line="256" w:lineRule="auto"/>
      </w:pPr>
      <w:r w:rsidRPr="0043575D">
        <w:t xml:space="preserve">Secondly, the Determining Authority decides sanctions to impose following a committee’s findings of inappropriate practice. The Determining Authority cannot revisit a committee’s findings. Its focus is limited to </w:t>
      </w:r>
      <w:proofErr w:type="gramStart"/>
      <w:r w:rsidRPr="0043575D">
        <w:t>making a determination</w:t>
      </w:r>
      <w:proofErr w:type="gramEnd"/>
      <w:r w:rsidRPr="0043575D">
        <w:t xml:space="preserve"> that includes at least one of the sanctions set out in section 106U of the </w:t>
      </w:r>
      <w:r w:rsidR="004E308C">
        <w:t>HIA</w:t>
      </w:r>
      <w:r w:rsidRPr="0043575D">
        <w:t>:</w:t>
      </w:r>
    </w:p>
    <w:p w14:paraId="59D6BF57" w14:textId="23161A77" w:rsidR="006C24B7" w:rsidRPr="0043575D" w:rsidRDefault="006C24B7" w:rsidP="00940D39">
      <w:pPr>
        <w:pStyle w:val="ListBullet"/>
      </w:pPr>
      <w:r>
        <w:t>A</w:t>
      </w:r>
      <w:r w:rsidRPr="0043575D">
        <w:t xml:space="preserve"> reprimand</w:t>
      </w:r>
    </w:p>
    <w:p w14:paraId="1E775BBA" w14:textId="22021F46" w:rsidR="006C24B7" w:rsidRPr="0043575D" w:rsidRDefault="006C24B7" w:rsidP="00940D39">
      <w:pPr>
        <w:pStyle w:val="ListBullet"/>
      </w:pPr>
      <w:r w:rsidRPr="0043575D">
        <w:t>Counselling</w:t>
      </w:r>
    </w:p>
    <w:p w14:paraId="6406B05B" w14:textId="1C22857E" w:rsidR="006C24B7" w:rsidRPr="0043575D" w:rsidRDefault="00CA0731" w:rsidP="00940D39">
      <w:pPr>
        <w:pStyle w:val="ListBullet"/>
      </w:pPr>
      <w:r>
        <w:t>D</w:t>
      </w:r>
      <w:r w:rsidR="006C24B7" w:rsidRPr="0043575D">
        <w:t>isqualification from billing certain MBS and CDBS items, providing Medicare services to a class of persons, or providing some or all Medicare items from a certain location for up to 3 years</w:t>
      </w:r>
    </w:p>
    <w:p w14:paraId="6FA87F54" w14:textId="756326A0" w:rsidR="006C24B7" w:rsidRPr="0043575D" w:rsidRDefault="00CA0731" w:rsidP="00940D39">
      <w:pPr>
        <w:pStyle w:val="ListBullet"/>
      </w:pPr>
      <w:r>
        <w:t>F</w:t>
      </w:r>
      <w:r w:rsidR="006C24B7" w:rsidRPr="0043575D">
        <w:t>ull disqualification from billing all MBS items for up to 3 years</w:t>
      </w:r>
    </w:p>
    <w:p w14:paraId="2E29A56A" w14:textId="091B808E" w:rsidR="006C24B7" w:rsidRPr="0043575D" w:rsidRDefault="00CA0731" w:rsidP="00940D39">
      <w:pPr>
        <w:pStyle w:val="ListBullet"/>
      </w:pPr>
      <w:r>
        <w:t>R</w:t>
      </w:r>
      <w:r w:rsidR="006C24B7" w:rsidRPr="0043575D">
        <w:t xml:space="preserve">epayment of some or all of the Medicare benefits for MBS or CDBS billed and found to have </w:t>
      </w:r>
      <w:r w:rsidR="004E308C">
        <w:t xml:space="preserve">been </w:t>
      </w:r>
      <w:r w:rsidR="006C24B7" w:rsidRPr="0043575D">
        <w:t>provided inappropriately during the review period</w:t>
      </w:r>
    </w:p>
    <w:p w14:paraId="7A959471" w14:textId="77777777" w:rsidR="007B5522" w:rsidRDefault="00CA0731" w:rsidP="00940D39">
      <w:pPr>
        <w:pStyle w:val="ListBullet"/>
      </w:pPr>
      <w:r>
        <w:t>F</w:t>
      </w:r>
      <w:r w:rsidR="006C24B7" w:rsidRPr="0043575D">
        <w:t>ull disqualification from the PBS for up to 3 years.</w:t>
      </w:r>
    </w:p>
    <w:p w14:paraId="4E721DF9" w14:textId="04A9A117" w:rsidR="006C24B7" w:rsidRDefault="006C24B7" w:rsidP="006C24B7">
      <w:pPr>
        <w:spacing w:after="160" w:line="256" w:lineRule="auto"/>
      </w:pPr>
      <w:r w:rsidRPr="0043575D">
        <w:t xml:space="preserve">Upon considering a committee’s final report and extra information provided by the Director, the Determining Authority invites the practitioner to make a submission about the sanctions it should impose. The practitioner will then be provided with a draft determination and an invitation to make a further submission focusing on the details of the decision and the reasons for any suggested changes to make. </w:t>
      </w:r>
    </w:p>
    <w:p w14:paraId="5BA9EFC3" w14:textId="3198063B" w:rsidR="008A2FE3" w:rsidRDefault="006C24B7" w:rsidP="004B22B9">
      <w:pPr>
        <w:spacing w:after="160" w:line="256" w:lineRule="auto"/>
      </w:pPr>
      <w:r w:rsidRPr="0043575D">
        <w:t xml:space="preserve">The final determination will take effect 35 days after a copy is received by the </w:t>
      </w:r>
      <w:proofErr w:type="gramStart"/>
      <w:r w:rsidRPr="0043575D">
        <w:t>practitioner, unless</w:t>
      </w:r>
      <w:proofErr w:type="gramEnd"/>
      <w:r w:rsidRPr="0043575D">
        <w:t xml:space="preserve"> court proceedings are instituted by the practitioner.</w:t>
      </w:r>
      <w:r>
        <w:t xml:space="preserve"> </w:t>
      </w:r>
    </w:p>
    <w:p w14:paraId="07A790D5" w14:textId="75A427C6" w:rsidR="00FC186D" w:rsidRPr="00780BC1" w:rsidRDefault="00FC186D" w:rsidP="004A77D7">
      <w:pPr>
        <w:pStyle w:val="Appendixhead2"/>
      </w:pPr>
      <w:bookmarkStart w:id="318" w:name="_Toc128907086"/>
      <w:bookmarkStart w:id="319" w:name="_Toc128909196"/>
      <w:r>
        <w:lastRenderedPageBreak/>
        <w:t xml:space="preserve">PSR </w:t>
      </w:r>
      <w:r w:rsidR="00CA6D48">
        <w:t>a</w:t>
      </w:r>
      <w:r>
        <w:t xml:space="preserve">ctivity </w:t>
      </w:r>
      <w:r w:rsidR="00CA6D48">
        <w:t>d</w:t>
      </w:r>
      <w:r>
        <w:t>ata</w:t>
      </w:r>
      <w:bookmarkEnd w:id="318"/>
      <w:bookmarkEnd w:id="319"/>
      <w:r>
        <w:t xml:space="preserve"> </w:t>
      </w:r>
    </w:p>
    <w:p w14:paraId="6E19BBF0" w14:textId="1D6E41C3" w:rsidR="00B950A6" w:rsidRDefault="00CA6D48" w:rsidP="00FC186D">
      <w:r>
        <w:fldChar w:fldCharType="begin"/>
      </w:r>
      <w:r>
        <w:instrText xml:space="preserve"> REF  _Toc129959027 \h \r  \* MERGEFORMAT </w:instrText>
      </w:r>
      <w:r>
        <w:fldChar w:fldCharType="separate"/>
      </w:r>
      <w:r w:rsidR="005A1647">
        <w:t>Table D.1</w:t>
      </w:r>
      <w:r>
        <w:fldChar w:fldCharType="end"/>
      </w:r>
      <w:r w:rsidR="00B950A6" w:rsidRPr="002A462C">
        <w:t xml:space="preserve"> </w:t>
      </w:r>
      <w:r w:rsidR="00FC186D">
        <w:t>provides an overview of the high</w:t>
      </w:r>
      <w:r>
        <w:t>-</w:t>
      </w:r>
      <w:r w:rsidR="00FC186D">
        <w:t>level PSR data</w:t>
      </w:r>
      <w:r w:rsidR="00682482">
        <w:t>.</w:t>
      </w:r>
    </w:p>
    <w:p w14:paraId="3F28164B" w14:textId="4F192737" w:rsidR="00EA6921" w:rsidRDefault="00EA6921" w:rsidP="004A77D7">
      <w:pPr>
        <w:pStyle w:val="AppendixTableCaption"/>
        <w:outlineLvl w:val="9"/>
      </w:pPr>
      <w:bookmarkStart w:id="320" w:name="_Toc131418587"/>
      <w:r>
        <w:t>: PSR case statistics</w:t>
      </w:r>
      <w:bookmarkEnd w:id="320"/>
      <w:r>
        <w:t xml:space="preserve"> </w:t>
      </w:r>
    </w:p>
    <w:tbl>
      <w:tblPr>
        <w:tblStyle w:val="Deloittetable"/>
        <w:tblW w:w="0" w:type="auto"/>
        <w:tblBorders>
          <w:top w:val="single" w:sz="24" w:space="0" w:color="005B89"/>
        </w:tblBorders>
        <w:tblLook w:val="04A0" w:firstRow="1" w:lastRow="0" w:firstColumn="1" w:lastColumn="0" w:noHBand="0" w:noVBand="1"/>
      </w:tblPr>
      <w:tblGrid>
        <w:gridCol w:w="1201"/>
        <w:gridCol w:w="5365"/>
        <w:gridCol w:w="845"/>
        <w:gridCol w:w="708"/>
        <w:gridCol w:w="845"/>
        <w:gridCol w:w="832"/>
        <w:gridCol w:w="670"/>
      </w:tblGrid>
      <w:tr w:rsidR="00EA6921" w:rsidRPr="00405174" w14:paraId="1896DBFF" w14:textId="665D4331" w:rsidTr="004A77D7">
        <w:trPr>
          <w:cnfStyle w:val="100000000000" w:firstRow="1" w:lastRow="0" w:firstColumn="0" w:lastColumn="0" w:oddVBand="0" w:evenVBand="0" w:oddHBand="0" w:evenHBand="0" w:firstRowFirstColumn="0" w:firstRowLastColumn="0" w:lastRowFirstColumn="0" w:lastRowLastColumn="0"/>
          <w:tblHeader/>
        </w:trPr>
        <w:tc>
          <w:tcPr>
            <w:tcW w:w="1202" w:type="dxa"/>
            <w:tcBorders>
              <w:top w:val="single" w:sz="24" w:space="0" w:color="005B89"/>
            </w:tcBorders>
          </w:tcPr>
          <w:p w14:paraId="7E60FE97" w14:textId="09EC4104" w:rsidR="00EA6921" w:rsidRPr="00405174" w:rsidRDefault="00EA6921" w:rsidP="00405174"/>
        </w:tc>
        <w:tc>
          <w:tcPr>
            <w:tcW w:w="5461" w:type="dxa"/>
            <w:tcBorders>
              <w:top w:val="single" w:sz="24" w:space="0" w:color="005B89"/>
            </w:tcBorders>
          </w:tcPr>
          <w:p w14:paraId="6A13E721" w14:textId="27FD2CB4" w:rsidR="00EA6921" w:rsidRPr="00405174" w:rsidRDefault="00EA6921" w:rsidP="00405174">
            <w:r w:rsidRPr="00405174">
              <w:t>Action</w:t>
            </w:r>
          </w:p>
        </w:tc>
        <w:tc>
          <w:tcPr>
            <w:tcW w:w="850" w:type="dxa"/>
            <w:tcBorders>
              <w:top w:val="single" w:sz="24" w:space="0" w:color="005B89"/>
            </w:tcBorders>
          </w:tcPr>
          <w:p w14:paraId="547277CA" w14:textId="33B8F359" w:rsidR="00EA6921" w:rsidRPr="00405174" w:rsidRDefault="00EA6921" w:rsidP="00405174">
            <w:r w:rsidRPr="00405174">
              <w:t xml:space="preserve">2021–2022 </w:t>
            </w:r>
          </w:p>
        </w:tc>
        <w:tc>
          <w:tcPr>
            <w:tcW w:w="709" w:type="dxa"/>
            <w:tcBorders>
              <w:top w:val="single" w:sz="24" w:space="0" w:color="005B89"/>
            </w:tcBorders>
          </w:tcPr>
          <w:p w14:paraId="1720B184" w14:textId="595C6988" w:rsidR="00EA6921" w:rsidRPr="00405174" w:rsidRDefault="00EA6921" w:rsidP="00405174">
            <w:r w:rsidRPr="00405174">
              <w:t xml:space="preserve">2020–2021 </w:t>
            </w:r>
          </w:p>
        </w:tc>
        <w:tc>
          <w:tcPr>
            <w:tcW w:w="850" w:type="dxa"/>
            <w:tcBorders>
              <w:top w:val="single" w:sz="24" w:space="0" w:color="005B89"/>
            </w:tcBorders>
          </w:tcPr>
          <w:p w14:paraId="6B3B5C7B" w14:textId="4FC98E50" w:rsidR="00EA6921" w:rsidRPr="00405174" w:rsidRDefault="00EA6921" w:rsidP="00405174">
            <w:r w:rsidRPr="00405174">
              <w:t>2019</w:t>
            </w:r>
            <w:r w:rsidR="00CA6D48" w:rsidRPr="00405174">
              <w:t>–</w:t>
            </w:r>
            <w:r w:rsidRPr="00405174">
              <w:t xml:space="preserve">2020 </w:t>
            </w:r>
          </w:p>
        </w:tc>
        <w:tc>
          <w:tcPr>
            <w:tcW w:w="836" w:type="dxa"/>
            <w:tcBorders>
              <w:top w:val="single" w:sz="24" w:space="0" w:color="005B89"/>
            </w:tcBorders>
          </w:tcPr>
          <w:p w14:paraId="1D945FE8" w14:textId="026582C9" w:rsidR="00EA6921" w:rsidRPr="00405174" w:rsidRDefault="00EA6921" w:rsidP="00405174">
            <w:r w:rsidRPr="00405174">
              <w:t>2018</w:t>
            </w:r>
            <w:r w:rsidR="00CA6D48" w:rsidRPr="00405174">
              <w:t>–</w:t>
            </w:r>
            <w:r w:rsidRPr="00405174">
              <w:t xml:space="preserve">2019 </w:t>
            </w:r>
          </w:p>
        </w:tc>
        <w:tc>
          <w:tcPr>
            <w:tcW w:w="558" w:type="dxa"/>
            <w:tcBorders>
              <w:top w:val="single" w:sz="24" w:space="0" w:color="005B89"/>
            </w:tcBorders>
          </w:tcPr>
          <w:p w14:paraId="22E78FD6" w14:textId="0B5705D5" w:rsidR="00EA6921" w:rsidRPr="00405174" w:rsidRDefault="00EA6921" w:rsidP="00405174">
            <w:r w:rsidRPr="00405174">
              <w:t>2017</w:t>
            </w:r>
            <w:r w:rsidR="00CA6D48" w:rsidRPr="00405174">
              <w:t>–</w:t>
            </w:r>
            <w:r w:rsidRPr="00405174">
              <w:t xml:space="preserve">2018 </w:t>
            </w:r>
          </w:p>
        </w:tc>
      </w:tr>
      <w:tr w:rsidR="005840C0" w:rsidRPr="00BC6ABD" w14:paraId="148BD264" w14:textId="733D1A44" w:rsidTr="00351838">
        <w:tc>
          <w:tcPr>
            <w:tcW w:w="1202" w:type="dxa"/>
          </w:tcPr>
          <w:p w14:paraId="6E82748A" w14:textId="56A75CA8" w:rsidR="005840C0" w:rsidRPr="0073176C" w:rsidRDefault="005840C0" w:rsidP="00EA6921">
            <w:pPr>
              <w:pStyle w:val="TabletextLeft"/>
              <w:rPr>
                <w:b/>
              </w:rPr>
            </w:pPr>
            <w:r>
              <w:rPr>
                <w:b/>
              </w:rPr>
              <w:t>PSR Director</w:t>
            </w:r>
          </w:p>
        </w:tc>
        <w:tc>
          <w:tcPr>
            <w:tcW w:w="5461" w:type="dxa"/>
          </w:tcPr>
          <w:p w14:paraId="1DBDC719" w14:textId="20301407" w:rsidR="005840C0" w:rsidRPr="00BC6ABD" w:rsidRDefault="005840C0" w:rsidP="00EA6921">
            <w:pPr>
              <w:pStyle w:val="TabletextLeft"/>
            </w:pPr>
            <w:r w:rsidRPr="003D452C">
              <w:rPr>
                <w:rFonts w:eastAsia="Times New Roman"/>
              </w:rPr>
              <w:t>Requests received from the Chief Executive Medicare </w:t>
            </w:r>
          </w:p>
        </w:tc>
        <w:tc>
          <w:tcPr>
            <w:tcW w:w="850" w:type="dxa"/>
            <w:vAlign w:val="center"/>
          </w:tcPr>
          <w:p w14:paraId="795FC11C" w14:textId="6F7D024B" w:rsidR="005840C0" w:rsidRPr="00BC6ABD" w:rsidRDefault="005840C0" w:rsidP="00EA6921">
            <w:pPr>
              <w:pStyle w:val="TabletextLeft"/>
            </w:pPr>
            <w:r w:rsidRPr="003D452C">
              <w:rPr>
                <w:rFonts w:eastAsia="Times New Roman"/>
              </w:rPr>
              <w:t>108 </w:t>
            </w:r>
          </w:p>
        </w:tc>
        <w:tc>
          <w:tcPr>
            <w:tcW w:w="709" w:type="dxa"/>
            <w:vAlign w:val="center"/>
          </w:tcPr>
          <w:p w14:paraId="00A95026" w14:textId="29CDE877" w:rsidR="005840C0" w:rsidRPr="00BC6ABD" w:rsidRDefault="005840C0" w:rsidP="00EA6921">
            <w:pPr>
              <w:pStyle w:val="TabletextLeft"/>
            </w:pPr>
            <w:r w:rsidRPr="003D452C">
              <w:rPr>
                <w:rFonts w:eastAsia="Times New Roman"/>
              </w:rPr>
              <w:t>73 </w:t>
            </w:r>
          </w:p>
        </w:tc>
        <w:tc>
          <w:tcPr>
            <w:tcW w:w="850" w:type="dxa"/>
            <w:vAlign w:val="center"/>
          </w:tcPr>
          <w:p w14:paraId="398EDA99" w14:textId="5B5BE263" w:rsidR="005840C0" w:rsidRPr="00BC6ABD" w:rsidRDefault="005840C0" w:rsidP="00EA6921">
            <w:pPr>
              <w:pStyle w:val="TabletextLeft"/>
            </w:pPr>
            <w:r w:rsidRPr="003D452C">
              <w:rPr>
                <w:rFonts w:eastAsia="Times New Roman"/>
              </w:rPr>
              <w:t>126 </w:t>
            </w:r>
          </w:p>
        </w:tc>
        <w:tc>
          <w:tcPr>
            <w:tcW w:w="836" w:type="dxa"/>
            <w:vAlign w:val="center"/>
          </w:tcPr>
          <w:p w14:paraId="5B3BDF90" w14:textId="6F08E2E7" w:rsidR="005840C0" w:rsidRPr="00BC6ABD" w:rsidRDefault="005840C0" w:rsidP="00EA6921">
            <w:pPr>
              <w:pStyle w:val="TabletextLeft"/>
            </w:pPr>
            <w:r w:rsidRPr="003D452C">
              <w:rPr>
                <w:rFonts w:eastAsia="Times New Roman"/>
              </w:rPr>
              <w:t>101 </w:t>
            </w:r>
          </w:p>
        </w:tc>
        <w:tc>
          <w:tcPr>
            <w:tcW w:w="558" w:type="dxa"/>
            <w:vAlign w:val="center"/>
          </w:tcPr>
          <w:p w14:paraId="0A259C04" w14:textId="42F5AA2F" w:rsidR="005840C0" w:rsidRPr="00BC6ABD" w:rsidRDefault="005840C0" w:rsidP="00EA6921">
            <w:pPr>
              <w:pStyle w:val="TabletextLeft"/>
            </w:pPr>
            <w:r w:rsidRPr="003D452C">
              <w:rPr>
                <w:rFonts w:eastAsia="Times New Roman"/>
              </w:rPr>
              <w:t>109 </w:t>
            </w:r>
          </w:p>
        </w:tc>
      </w:tr>
      <w:tr w:rsidR="005840C0" w:rsidRPr="00BC6ABD" w14:paraId="6EBBBFC2" w14:textId="5440415E" w:rsidTr="00351838">
        <w:tc>
          <w:tcPr>
            <w:tcW w:w="1202" w:type="dxa"/>
          </w:tcPr>
          <w:p w14:paraId="531304AB" w14:textId="32FCA956" w:rsidR="005840C0" w:rsidRPr="0073176C" w:rsidRDefault="005840C0" w:rsidP="00EA6921">
            <w:pPr>
              <w:pStyle w:val="TabletextLeft"/>
              <w:rPr>
                <w:b/>
              </w:rPr>
            </w:pPr>
          </w:p>
        </w:tc>
        <w:tc>
          <w:tcPr>
            <w:tcW w:w="5461" w:type="dxa"/>
          </w:tcPr>
          <w:p w14:paraId="1BA6F2C2" w14:textId="27FA5508" w:rsidR="005840C0" w:rsidRPr="00BC6ABD" w:rsidRDefault="005840C0" w:rsidP="00EA6921">
            <w:pPr>
              <w:pStyle w:val="TabletextLeft"/>
            </w:pPr>
            <w:r w:rsidRPr="004A77D7">
              <w:rPr>
                <w:rFonts w:eastAsia="Times New Roman"/>
              </w:rPr>
              <w:t>Requests by Chief Executive Medicare to review a practitioner with a previous effective determination or negotiated agreement for a second or subsequent time</w:t>
            </w:r>
            <w:r w:rsidRPr="005840C0">
              <w:rPr>
                <w:rFonts w:eastAsia="Times New Roman"/>
              </w:rPr>
              <w:t>  </w:t>
            </w:r>
          </w:p>
        </w:tc>
        <w:tc>
          <w:tcPr>
            <w:tcW w:w="850" w:type="dxa"/>
            <w:vAlign w:val="center"/>
          </w:tcPr>
          <w:p w14:paraId="2DA27F14" w14:textId="55D3EE93" w:rsidR="005840C0" w:rsidRPr="00BC6ABD" w:rsidRDefault="005840C0" w:rsidP="00EA6921">
            <w:pPr>
              <w:pStyle w:val="TabletextLeft"/>
            </w:pPr>
            <w:r w:rsidRPr="003D452C">
              <w:rPr>
                <w:rFonts w:eastAsia="Times New Roman"/>
              </w:rPr>
              <w:t>9 </w:t>
            </w:r>
          </w:p>
        </w:tc>
        <w:tc>
          <w:tcPr>
            <w:tcW w:w="709" w:type="dxa"/>
            <w:vAlign w:val="center"/>
          </w:tcPr>
          <w:p w14:paraId="0BF5C65F" w14:textId="3E74687A" w:rsidR="005840C0" w:rsidRPr="00BC6ABD" w:rsidRDefault="005840C0" w:rsidP="00EA6921">
            <w:pPr>
              <w:pStyle w:val="TabletextLeft"/>
            </w:pPr>
            <w:r w:rsidRPr="003D452C">
              <w:rPr>
                <w:rFonts w:eastAsia="Times New Roman"/>
              </w:rPr>
              <w:t>4 </w:t>
            </w:r>
          </w:p>
        </w:tc>
        <w:tc>
          <w:tcPr>
            <w:tcW w:w="850" w:type="dxa"/>
            <w:vAlign w:val="center"/>
          </w:tcPr>
          <w:p w14:paraId="16C12CED" w14:textId="12D8D974" w:rsidR="005840C0" w:rsidRPr="00BC6ABD" w:rsidRDefault="005840C0" w:rsidP="00EA6921">
            <w:pPr>
              <w:pStyle w:val="TabletextLeft"/>
            </w:pPr>
            <w:r w:rsidRPr="003D452C">
              <w:rPr>
                <w:rFonts w:eastAsia="Times New Roman"/>
              </w:rPr>
              <w:t>4 </w:t>
            </w:r>
          </w:p>
        </w:tc>
        <w:tc>
          <w:tcPr>
            <w:tcW w:w="836" w:type="dxa"/>
            <w:vAlign w:val="center"/>
          </w:tcPr>
          <w:p w14:paraId="5BB48903" w14:textId="241AF568" w:rsidR="005840C0" w:rsidRPr="00BC6ABD" w:rsidRDefault="005840C0" w:rsidP="00EA6921">
            <w:pPr>
              <w:pStyle w:val="TabletextLeft"/>
            </w:pPr>
            <w:r w:rsidRPr="003D452C">
              <w:rPr>
                <w:rFonts w:eastAsia="Times New Roman"/>
              </w:rPr>
              <w:t>3 </w:t>
            </w:r>
          </w:p>
        </w:tc>
        <w:tc>
          <w:tcPr>
            <w:tcW w:w="558" w:type="dxa"/>
            <w:vAlign w:val="center"/>
          </w:tcPr>
          <w:p w14:paraId="4018905C" w14:textId="39456E73" w:rsidR="005840C0" w:rsidRPr="00BC6ABD" w:rsidRDefault="005840C0" w:rsidP="00EA6921">
            <w:pPr>
              <w:pStyle w:val="TabletextLeft"/>
            </w:pPr>
            <w:r w:rsidRPr="003D452C">
              <w:rPr>
                <w:rFonts w:eastAsia="Times New Roman"/>
              </w:rPr>
              <w:t>10 </w:t>
            </w:r>
          </w:p>
        </w:tc>
      </w:tr>
      <w:tr w:rsidR="005840C0" w:rsidRPr="00BC6ABD" w14:paraId="4F534605" w14:textId="69BEBDAA" w:rsidTr="00351838">
        <w:tc>
          <w:tcPr>
            <w:tcW w:w="1202" w:type="dxa"/>
          </w:tcPr>
          <w:p w14:paraId="33B87A07" w14:textId="6E4129ED" w:rsidR="005840C0" w:rsidRPr="0073176C" w:rsidRDefault="005840C0" w:rsidP="00EA6921">
            <w:pPr>
              <w:pStyle w:val="TabletextLeft"/>
              <w:rPr>
                <w:b/>
              </w:rPr>
            </w:pPr>
          </w:p>
        </w:tc>
        <w:tc>
          <w:tcPr>
            <w:tcW w:w="5461" w:type="dxa"/>
          </w:tcPr>
          <w:p w14:paraId="472E1E75" w14:textId="37AAF92F" w:rsidR="005840C0" w:rsidRPr="00BC6ABD" w:rsidRDefault="005840C0" w:rsidP="00EA6921">
            <w:pPr>
              <w:pStyle w:val="TabletextLeft"/>
            </w:pPr>
            <w:r w:rsidRPr="003D452C">
              <w:rPr>
                <w:rFonts w:eastAsia="Times New Roman"/>
              </w:rPr>
              <w:t>No further action</w:t>
            </w:r>
            <w:r w:rsidRPr="003228E6">
              <w:rPr>
                <w:rFonts w:eastAsia="Times New Roman"/>
              </w:rPr>
              <w:t xml:space="preserve"> </w:t>
            </w:r>
            <w:r w:rsidRPr="003D452C">
              <w:rPr>
                <w:rFonts w:eastAsia="Times New Roman"/>
              </w:rPr>
              <w:t>(</w:t>
            </w:r>
            <w:r w:rsidRPr="003228E6">
              <w:rPr>
                <w:rFonts w:eastAsia="Times New Roman"/>
              </w:rPr>
              <w:t xml:space="preserve">under </w:t>
            </w:r>
            <w:r w:rsidRPr="003D452C">
              <w:rPr>
                <w:rFonts w:eastAsia="Times New Roman"/>
              </w:rPr>
              <w:t>sections 88A, 91 or 106KE of the HIA)  </w:t>
            </w:r>
          </w:p>
        </w:tc>
        <w:tc>
          <w:tcPr>
            <w:tcW w:w="850" w:type="dxa"/>
            <w:vAlign w:val="center"/>
          </w:tcPr>
          <w:p w14:paraId="6FE467D0" w14:textId="35265DE3" w:rsidR="005840C0" w:rsidRPr="00BC6ABD" w:rsidRDefault="005840C0" w:rsidP="00EA6921">
            <w:pPr>
              <w:pStyle w:val="TabletextLeft"/>
            </w:pPr>
            <w:r w:rsidRPr="003D452C">
              <w:rPr>
                <w:rFonts w:eastAsia="Times New Roman"/>
              </w:rPr>
              <w:t>6 </w:t>
            </w:r>
          </w:p>
        </w:tc>
        <w:tc>
          <w:tcPr>
            <w:tcW w:w="709" w:type="dxa"/>
            <w:vAlign w:val="center"/>
          </w:tcPr>
          <w:p w14:paraId="67F1305C" w14:textId="1BEC90D4" w:rsidR="005840C0" w:rsidRPr="00BC6ABD" w:rsidRDefault="005840C0" w:rsidP="00EA6921">
            <w:pPr>
              <w:pStyle w:val="TabletextLeft"/>
            </w:pPr>
            <w:r w:rsidRPr="003D452C">
              <w:rPr>
                <w:rFonts w:eastAsia="Times New Roman"/>
              </w:rPr>
              <w:t>6 </w:t>
            </w:r>
          </w:p>
        </w:tc>
        <w:tc>
          <w:tcPr>
            <w:tcW w:w="850" w:type="dxa"/>
            <w:vAlign w:val="center"/>
          </w:tcPr>
          <w:p w14:paraId="35070892" w14:textId="5D7CD3CE" w:rsidR="005840C0" w:rsidRPr="00BC6ABD" w:rsidRDefault="005840C0" w:rsidP="00EA6921">
            <w:pPr>
              <w:pStyle w:val="TabletextLeft"/>
            </w:pPr>
            <w:r w:rsidRPr="003D452C">
              <w:rPr>
                <w:rFonts w:eastAsia="Times New Roman"/>
              </w:rPr>
              <w:t>5 </w:t>
            </w:r>
          </w:p>
        </w:tc>
        <w:tc>
          <w:tcPr>
            <w:tcW w:w="836" w:type="dxa"/>
            <w:vAlign w:val="center"/>
          </w:tcPr>
          <w:p w14:paraId="59743B88" w14:textId="18D667EB" w:rsidR="005840C0" w:rsidRPr="00BC6ABD" w:rsidRDefault="005840C0" w:rsidP="00EA6921">
            <w:pPr>
              <w:pStyle w:val="TabletextLeft"/>
            </w:pPr>
            <w:r w:rsidRPr="003D452C">
              <w:rPr>
                <w:rFonts w:eastAsia="Times New Roman"/>
              </w:rPr>
              <w:t>2 </w:t>
            </w:r>
          </w:p>
        </w:tc>
        <w:tc>
          <w:tcPr>
            <w:tcW w:w="558" w:type="dxa"/>
            <w:vAlign w:val="center"/>
          </w:tcPr>
          <w:p w14:paraId="557F0FDA" w14:textId="745D734A" w:rsidR="005840C0" w:rsidRPr="00BC6ABD" w:rsidRDefault="005840C0" w:rsidP="00EA6921">
            <w:pPr>
              <w:pStyle w:val="TabletextLeft"/>
            </w:pPr>
            <w:r w:rsidRPr="003D452C">
              <w:rPr>
                <w:rFonts w:eastAsia="Times New Roman"/>
              </w:rPr>
              <w:t>1 </w:t>
            </w:r>
          </w:p>
        </w:tc>
      </w:tr>
      <w:tr w:rsidR="005840C0" w:rsidRPr="00BC6ABD" w14:paraId="4D9CAF08" w14:textId="64B736B3" w:rsidTr="00351838">
        <w:tc>
          <w:tcPr>
            <w:tcW w:w="1202" w:type="dxa"/>
          </w:tcPr>
          <w:p w14:paraId="48B20DA6" w14:textId="0CB07745" w:rsidR="005840C0" w:rsidRPr="0073176C" w:rsidRDefault="005840C0" w:rsidP="00EA6921">
            <w:pPr>
              <w:pStyle w:val="TabletextLeft"/>
              <w:rPr>
                <w:b/>
              </w:rPr>
            </w:pPr>
          </w:p>
        </w:tc>
        <w:tc>
          <w:tcPr>
            <w:tcW w:w="5461" w:type="dxa"/>
          </w:tcPr>
          <w:p w14:paraId="71C27F5B" w14:textId="401CE4AE" w:rsidR="005840C0" w:rsidRPr="00BC6ABD" w:rsidRDefault="005840C0" w:rsidP="00EA6921">
            <w:pPr>
              <w:pStyle w:val="TabletextLeft"/>
            </w:pPr>
            <w:r w:rsidRPr="003D452C">
              <w:rPr>
                <w:rFonts w:eastAsia="Times New Roman"/>
              </w:rPr>
              <w:t>Requests withdrawn or lapsed  </w:t>
            </w:r>
          </w:p>
        </w:tc>
        <w:tc>
          <w:tcPr>
            <w:tcW w:w="850" w:type="dxa"/>
            <w:vAlign w:val="center"/>
          </w:tcPr>
          <w:p w14:paraId="2320528F" w14:textId="2F7DB85C" w:rsidR="005840C0" w:rsidRPr="00BC6ABD" w:rsidRDefault="005840C0" w:rsidP="00EA6921">
            <w:pPr>
              <w:pStyle w:val="TabletextLeft"/>
            </w:pPr>
            <w:r w:rsidRPr="003D452C">
              <w:rPr>
                <w:rFonts w:eastAsia="Times New Roman"/>
              </w:rPr>
              <w:t>0 </w:t>
            </w:r>
          </w:p>
        </w:tc>
        <w:tc>
          <w:tcPr>
            <w:tcW w:w="709" w:type="dxa"/>
            <w:vAlign w:val="center"/>
          </w:tcPr>
          <w:p w14:paraId="5209E3C3" w14:textId="05167066" w:rsidR="005840C0" w:rsidRPr="00BC6ABD" w:rsidRDefault="005840C0" w:rsidP="00EA6921">
            <w:pPr>
              <w:pStyle w:val="TabletextLeft"/>
            </w:pPr>
            <w:r w:rsidRPr="003D452C">
              <w:rPr>
                <w:rFonts w:eastAsia="Times New Roman"/>
              </w:rPr>
              <w:t>0 </w:t>
            </w:r>
          </w:p>
        </w:tc>
        <w:tc>
          <w:tcPr>
            <w:tcW w:w="850" w:type="dxa"/>
            <w:vAlign w:val="center"/>
          </w:tcPr>
          <w:p w14:paraId="25DD61C2" w14:textId="48E2BDC4" w:rsidR="005840C0" w:rsidRPr="00BC6ABD" w:rsidRDefault="005840C0" w:rsidP="00EA6921">
            <w:pPr>
              <w:pStyle w:val="TabletextLeft"/>
            </w:pPr>
            <w:r w:rsidRPr="003D452C">
              <w:rPr>
                <w:rFonts w:eastAsia="Times New Roman"/>
              </w:rPr>
              <w:t>0 </w:t>
            </w:r>
          </w:p>
        </w:tc>
        <w:tc>
          <w:tcPr>
            <w:tcW w:w="836" w:type="dxa"/>
            <w:vAlign w:val="center"/>
          </w:tcPr>
          <w:p w14:paraId="79CD088B" w14:textId="3D96D155" w:rsidR="005840C0" w:rsidRPr="00BC6ABD" w:rsidRDefault="005840C0" w:rsidP="00EA6921">
            <w:pPr>
              <w:pStyle w:val="TabletextLeft"/>
            </w:pPr>
            <w:r w:rsidRPr="003D452C">
              <w:rPr>
                <w:rFonts w:eastAsia="Times New Roman"/>
              </w:rPr>
              <w:t>0 </w:t>
            </w:r>
          </w:p>
        </w:tc>
        <w:tc>
          <w:tcPr>
            <w:tcW w:w="558" w:type="dxa"/>
            <w:vAlign w:val="center"/>
          </w:tcPr>
          <w:p w14:paraId="63BA4C70" w14:textId="5DE98E82" w:rsidR="005840C0" w:rsidRPr="00BC6ABD" w:rsidRDefault="005840C0" w:rsidP="00EA6921">
            <w:pPr>
              <w:pStyle w:val="TabletextLeft"/>
            </w:pPr>
            <w:r w:rsidRPr="003D452C">
              <w:rPr>
                <w:rFonts w:eastAsia="Times New Roman"/>
              </w:rPr>
              <w:t>0 </w:t>
            </w:r>
          </w:p>
        </w:tc>
      </w:tr>
      <w:tr w:rsidR="005840C0" w:rsidRPr="00BC6ABD" w14:paraId="5237BDF1" w14:textId="358AB658" w:rsidTr="00351838">
        <w:tc>
          <w:tcPr>
            <w:tcW w:w="1202" w:type="dxa"/>
          </w:tcPr>
          <w:p w14:paraId="0EF3B22E" w14:textId="319FD1FF" w:rsidR="005840C0" w:rsidRPr="0073176C" w:rsidRDefault="005840C0" w:rsidP="00241033">
            <w:pPr>
              <w:pStyle w:val="TabletextLeft"/>
              <w:rPr>
                <w:b/>
              </w:rPr>
            </w:pPr>
            <w:r>
              <w:rPr>
                <w:b/>
              </w:rPr>
              <w:t>PSR Committees</w:t>
            </w:r>
          </w:p>
        </w:tc>
        <w:tc>
          <w:tcPr>
            <w:tcW w:w="5461" w:type="dxa"/>
          </w:tcPr>
          <w:p w14:paraId="3607543F" w14:textId="24876153" w:rsidR="005840C0" w:rsidRPr="00BC6ABD" w:rsidRDefault="005840C0" w:rsidP="00241033">
            <w:pPr>
              <w:pStyle w:val="TabletextLeft"/>
            </w:pPr>
            <w:r w:rsidRPr="003D452C">
              <w:rPr>
                <w:rFonts w:eastAsia="Times New Roman"/>
              </w:rPr>
              <w:t xml:space="preserve">Referrals from the PSR Director to new PSR </w:t>
            </w:r>
            <w:r w:rsidR="008E6240">
              <w:rPr>
                <w:rFonts w:eastAsia="Times New Roman"/>
              </w:rPr>
              <w:t>c</w:t>
            </w:r>
            <w:r w:rsidRPr="003D452C">
              <w:rPr>
                <w:rFonts w:eastAsia="Times New Roman"/>
              </w:rPr>
              <w:t>ommittees </w:t>
            </w:r>
            <w:r w:rsidRPr="003228E6">
              <w:rPr>
                <w:rFonts w:eastAsia="Times New Roman"/>
              </w:rPr>
              <w:t>(under section 93 of the HIA)</w:t>
            </w:r>
            <w:r w:rsidRPr="003D452C">
              <w:rPr>
                <w:rFonts w:eastAsia="Times New Roman"/>
              </w:rPr>
              <w:t> </w:t>
            </w:r>
          </w:p>
        </w:tc>
        <w:tc>
          <w:tcPr>
            <w:tcW w:w="850" w:type="dxa"/>
            <w:vAlign w:val="center"/>
          </w:tcPr>
          <w:p w14:paraId="3CDBCE8E" w14:textId="1E316F59" w:rsidR="005840C0" w:rsidRPr="00BC6ABD" w:rsidRDefault="005840C0" w:rsidP="00241033">
            <w:pPr>
              <w:pStyle w:val="TabletextLeft"/>
            </w:pPr>
            <w:r w:rsidRPr="003D452C">
              <w:rPr>
                <w:rFonts w:eastAsia="Times New Roman"/>
              </w:rPr>
              <w:t>15 </w:t>
            </w:r>
          </w:p>
        </w:tc>
        <w:tc>
          <w:tcPr>
            <w:tcW w:w="709" w:type="dxa"/>
            <w:vAlign w:val="center"/>
          </w:tcPr>
          <w:p w14:paraId="69A3D8C1" w14:textId="69895BC2" w:rsidR="005840C0" w:rsidRPr="00BC6ABD" w:rsidRDefault="005840C0" w:rsidP="00241033">
            <w:pPr>
              <w:pStyle w:val="TabletextLeft"/>
            </w:pPr>
            <w:r w:rsidRPr="003D452C">
              <w:rPr>
                <w:rFonts w:eastAsia="Times New Roman"/>
              </w:rPr>
              <w:t>12 </w:t>
            </w:r>
          </w:p>
        </w:tc>
        <w:tc>
          <w:tcPr>
            <w:tcW w:w="850" w:type="dxa"/>
            <w:vAlign w:val="center"/>
          </w:tcPr>
          <w:p w14:paraId="36649217" w14:textId="559204AE" w:rsidR="005840C0" w:rsidRPr="00BC6ABD" w:rsidRDefault="005840C0" w:rsidP="00241033">
            <w:pPr>
              <w:pStyle w:val="TabletextLeft"/>
            </w:pPr>
            <w:r w:rsidRPr="003D452C">
              <w:rPr>
                <w:rFonts w:eastAsia="Times New Roman"/>
              </w:rPr>
              <w:t>16</w:t>
            </w:r>
            <w:r w:rsidRPr="003D452C">
              <w:rPr>
                <w:rFonts w:eastAsia="Times New Roman"/>
                <w:sz w:val="14"/>
                <w:szCs w:val="14"/>
                <w:vertAlign w:val="superscript"/>
              </w:rPr>
              <w:t>a</w:t>
            </w:r>
            <w:r w:rsidRPr="003D452C">
              <w:rPr>
                <w:rFonts w:eastAsia="Times New Roman"/>
                <w:sz w:val="14"/>
                <w:szCs w:val="14"/>
              </w:rPr>
              <w:t> </w:t>
            </w:r>
          </w:p>
        </w:tc>
        <w:tc>
          <w:tcPr>
            <w:tcW w:w="836" w:type="dxa"/>
            <w:vAlign w:val="center"/>
          </w:tcPr>
          <w:p w14:paraId="688DA183" w14:textId="5DCA73EE" w:rsidR="005840C0" w:rsidRPr="00BC6ABD" w:rsidRDefault="005840C0" w:rsidP="00241033">
            <w:pPr>
              <w:pStyle w:val="TabletextLeft"/>
            </w:pPr>
            <w:r w:rsidRPr="003D452C">
              <w:rPr>
                <w:rFonts w:eastAsia="Times New Roman"/>
              </w:rPr>
              <w:t>19 </w:t>
            </w:r>
          </w:p>
        </w:tc>
        <w:tc>
          <w:tcPr>
            <w:tcW w:w="558" w:type="dxa"/>
            <w:vAlign w:val="center"/>
          </w:tcPr>
          <w:p w14:paraId="25822A6F" w14:textId="3ACE60CE" w:rsidR="005840C0" w:rsidRPr="00BC6ABD" w:rsidRDefault="005840C0" w:rsidP="00241033">
            <w:pPr>
              <w:pStyle w:val="TabletextLeft"/>
            </w:pPr>
            <w:r w:rsidRPr="003D452C">
              <w:rPr>
                <w:rFonts w:eastAsia="Times New Roman"/>
              </w:rPr>
              <w:t>19 </w:t>
            </w:r>
          </w:p>
        </w:tc>
      </w:tr>
      <w:tr w:rsidR="005840C0" w:rsidRPr="00BC6ABD" w14:paraId="434D67D0" w14:textId="37DDB1BE" w:rsidTr="00351838">
        <w:tc>
          <w:tcPr>
            <w:tcW w:w="1202" w:type="dxa"/>
          </w:tcPr>
          <w:p w14:paraId="3F7EA436" w14:textId="39C73C24" w:rsidR="005840C0" w:rsidRPr="0073176C" w:rsidRDefault="005840C0" w:rsidP="00241033">
            <w:pPr>
              <w:pStyle w:val="TabletextLeft"/>
              <w:rPr>
                <w:b/>
              </w:rPr>
            </w:pPr>
          </w:p>
        </w:tc>
        <w:tc>
          <w:tcPr>
            <w:tcW w:w="5461" w:type="dxa"/>
          </w:tcPr>
          <w:p w14:paraId="786E8767" w14:textId="1A649588" w:rsidR="005840C0" w:rsidRPr="00BC6ABD" w:rsidRDefault="005840C0" w:rsidP="00241033">
            <w:pPr>
              <w:pStyle w:val="TabletextLeft"/>
            </w:pPr>
            <w:r w:rsidRPr="003D452C">
              <w:rPr>
                <w:rFonts w:eastAsia="Times New Roman"/>
              </w:rPr>
              <w:t>Committees in progress (</w:t>
            </w:r>
            <w:proofErr w:type="gramStart"/>
            <w:r w:rsidRPr="003D452C">
              <w:rPr>
                <w:rFonts w:eastAsia="Times New Roman"/>
              </w:rPr>
              <w:t>at</w:t>
            </w:r>
            <w:proofErr w:type="gramEnd"/>
            <w:r w:rsidRPr="003D452C">
              <w:rPr>
                <w:rFonts w:eastAsia="Times New Roman"/>
              </w:rPr>
              <w:t xml:space="preserve"> 30 June)  </w:t>
            </w:r>
          </w:p>
        </w:tc>
        <w:tc>
          <w:tcPr>
            <w:tcW w:w="850" w:type="dxa"/>
            <w:vAlign w:val="center"/>
          </w:tcPr>
          <w:p w14:paraId="499E34A8" w14:textId="1FC93BF4" w:rsidR="005840C0" w:rsidRPr="00BC6ABD" w:rsidRDefault="005840C0" w:rsidP="00241033">
            <w:pPr>
              <w:pStyle w:val="TabletextLeft"/>
            </w:pPr>
            <w:r w:rsidRPr="003D452C">
              <w:rPr>
                <w:rFonts w:eastAsia="Times New Roman"/>
              </w:rPr>
              <w:t>32 </w:t>
            </w:r>
          </w:p>
        </w:tc>
        <w:tc>
          <w:tcPr>
            <w:tcW w:w="709" w:type="dxa"/>
            <w:vAlign w:val="center"/>
          </w:tcPr>
          <w:p w14:paraId="6EEC5BE8" w14:textId="060DC64D" w:rsidR="005840C0" w:rsidRPr="00BC6ABD" w:rsidRDefault="005840C0" w:rsidP="00241033">
            <w:pPr>
              <w:pStyle w:val="TabletextLeft"/>
            </w:pPr>
            <w:r w:rsidRPr="003D452C">
              <w:rPr>
                <w:rFonts w:eastAsia="Times New Roman"/>
              </w:rPr>
              <w:t>39 </w:t>
            </w:r>
          </w:p>
        </w:tc>
        <w:tc>
          <w:tcPr>
            <w:tcW w:w="850" w:type="dxa"/>
            <w:vAlign w:val="center"/>
          </w:tcPr>
          <w:p w14:paraId="5C7F2A6E" w14:textId="597D3676" w:rsidR="005840C0" w:rsidRPr="00BC6ABD" w:rsidRDefault="005840C0" w:rsidP="00241033">
            <w:pPr>
              <w:pStyle w:val="TabletextLeft"/>
            </w:pPr>
            <w:r w:rsidRPr="003D452C">
              <w:rPr>
                <w:rFonts w:eastAsia="Times New Roman"/>
              </w:rPr>
              <w:t>34 </w:t>
            </w:r>
          </w:p>
        </w:tc>
        <w:tc>
          <w:tcPr>
            <w:tcW w:w="836" w:type="dxa"/>
            <w:vAlign w:val="center"/>
          </w:tcPr>
          <w:p w14:paraId="2EA31D5D" w14:textId="339F3970" w:rsidR="005840C0" w:rsidRPr="00BC6ABD" w:rsidRDefault="005840C0" w:rsidP="00241033">
            <w:pPr>
              <w:pStyle w:val="TabletextLeft"/>
            </w:pPr>
            <w:r w:rsidRPr="003D452C">
              <w:rPr>
                <w:rFonts w:eastAsia="Times New Roman"/>
              </w:rPr>
              <w:t>31 </w:t>
            </w:r>
          </w:p>
        </w:tc>
        <w:tc>
          <w:tcPr>
            <w:tcW w:w="558" w:type="dxa"/>
            <w:vAlign w:val="center"/>
          </w:tcPr>
          <w:p w14:paraId="4EF8899C" w14:textId="7E6B5F17" w:rsidR="005840C0" w:rsidRPr="00BC6ABD" w:rsidRDefault="005840C0" w:rsidP="00241033">
            <w:pPr>
              <w:pStyle w:val="TabletextLeft"/>
            </w:pPr>
            <w:r w:rsidRPr="003D452C">
              <w:rPr>
                <w:rFonts w:eastAsia="Times New Roman"/>
              </w:rPr>
              <w:t>23 </w:t>
            </w:r>
          </w:p>
        </w:tc>
      </w:tr>
      <w:tr w:rsidR="005840C0" w:rsidRPr="00BC6ABD" w14:paraId="01A7DB91" w14:textId="77777777" w:rsidTr="00351838">
        <w:tc>
          <w:tcPr>
            <w:tcW w:w="1202" w:type="dxa"/>
          </w:tcPr>
          <w:p w14:paraId="45C5796C" w14:textId="77777777" w:rsidR="005840C0" w:rsidRPr="0073176C" w:rsidRDefault="005840C0" w:rsidP="00241033">
            <w:pPr>
              <w:pStyle w:val="TabletextLeft"/>
              <w:rPr>
                <w:b/>
              </w:rPr>
            </w:pPr>
          </w:p>
        </w:tc>
        <w:tc>
          <w:tcPr>
            <w:tcW w:w="5461" w:type="dxa"/>
          </w:tcPr>
          <w:p w14:paraId="43D00784" w14:textId="782BFAA6" w:rsidR="005840C0" w:rsidRPr="00BC6ABD" w:rsidRDefault="005840C0" w:rsidP="00241033">
            <w:pPr>
              <w:pStyle w:val="TabletextLeft"/>
            </w:pPr>
            <w:r w:rsidRPr="003D452C">
              <w:rPr>
                <w:rFonts w:eastAsia="Times New Roman"/>
              </w:rPr>
              <w:t>Committee reports finalised  </w:t>
            </w:r>
          </w:p>
        </w:tc>
        <w:tc>
          <w:tcPr>
            <w:tcW w:w="850" w:type="dxa"/>
            <w:vAlign w:val="center"/>
          </w:tcPr>
          <w:p w14:paraId="1EBD2048" w14:textId="4A3BB7E7" w:rsidR="005840C0" w:rsidRPr="00BC6ABD" w:rsidRDefault="005840C0" w:rsidP="00241033">
            <w:pPr>
              <w:pStyle w:val="TabletextLeft"/>
            </w:pPr>
            <w:r w:rsidRPr="003D452C">
              <w:rPr>
                <w:rFonts w:eastAsia="Times New Roman"/>
              </w:rPr>
              <w:t>19 </w:t>
            </w:r>
          </w:p>
        </w:tc>
        <w:tc>
          <w:tcPr>
            <w:tcW w:w="709" w:type="dxa"/>
            <w:vAlign w:val="center"/>
          </w:tcPr>
          <w:p w14:paraId="588C2F04" w14:textId="700AEDA9" w:rsidR="005840C0" w:rsidRPr="00BC6ABD" w:rsidRDefault="005840C0" w:rsidP="00241033">
            <w:pPr>
              <w:pStyle w:val="TabletextLeft"/>
            </w:pPr>
            <w:r w:rsidRPr="003D452C">
              <w:rPr>
                <w:rFonts w:eastAsia="Times New Roman"/>
              </w:rPr>
              <w:t>10 </w:t>
            </w:r>
          </w:p>
        </w:tc>
        <w:tc>
          <w:tcPr>
            <w:tcW w:w="850" w:type="dxa"/>
            <w:vAlign w:val="center"/>
          </w:tcPr>
          <w:p w14:paraId="14F48386" w14:textId="6E4C56F1" w:rsidR="005840C0" w:rsidRPr="00BC6ABD" w:rsidRDefault="005840C0" w:rsidP="00241033">
            <w:pPr>
              <w:pStyle w:val="TabletextLeft"/>
            </w:pPr>
            <w:r w:rsidRPr="003D452C">
              <w:rPr>
                <w:rFonts w:eastAsia="Times New Roman"/>
              </w:rPr>
              <w:t>11 </w:t>
            </w:r>
          </w:p>
        </w:tc>
        <w:tc>
          <w:tcPr>
            <w:tcW w:w="836" w:type="dxa"/>
            <w:vAlign w:val="center"/>
          </w:tcPr>
          <w:p w14:paraId="036661B5" w14:textId="01B040C8" w:rsidR="005840C0" w:rsidRPr="00BC6ABD" w:rsidRDefault="005840C0" w:rsidP="00241033">
            <w:pPr>
              <w:pStyle w:val="TabletextLeft"/>
            </w:pPr>
            <w:r w:rsidRPr="003D452C">
              <w:rPr>
                <w:rFonts w:eastAsia="Times New Roman"/>
              </w:rPr>
              <w:t>12 </w:t>
            </w:r>
          </w:p>
        </w:tc>
        <w:tc>
          <w:tcPr>
            <w:tcW w:w="558" w:type="dxa"/>
            <w:vAlign w:val="center"/>
          </w:tcPr>
          <w:p w14:paraId="09BF0ECF" w14:textId="61B1FB6A" w:rsidR="005840C0" w:rsidRPr="00BC6ABD" w:rsidRDefault="005840C0" w:rsidP="00241033">
            <w:pPr>
              <w:pStyle w:val="TabletextLeft"/>
            </w:pPr>
            <w:r w:rsidRPr="003D452C">
              <w:rPr>
                <w:rFonts w:eastAsia="Times New Roman"/>
              </w:rPr>
              <w:t>12 </w:t>
            </w:r>
          </w:p>
        </w:tc>
      </w:tr>
      <w:tr w:rsidR="005840C0" w:rsidRPr="00BC6ABD" w14:paraId="457D94EF" w14:textId="77777777" w:rsidTr="00351838">
        <w:tc>
          <w:tcPr>
            <w:tcW w:w="1202" w:type="dxa"/>
          </w:tcPr>
          <w:p w14:paraId="7086C433" w14:textId="77777777" w:rsidR="005840C0" w:rsidRPr="0073176C" w:rsidRDefault="005840C0" w:rsidP="00241033">
            <w:pPr>
              <w:pStyle w:val="TabletextLeft"/>
              <w:rPr>
                <w:b/>
              </w:rPr>
            </w:pPr>
          </w:p>
        </w:tc>
        <w:tc>
          <w:tcPr>
            <w:tcW w:w="5461" w:type="dxa"/>
          </w:tcPr>
          <w:p w14:paraId="7D21C565" w14:textId="04070BA6" w:rsidR="005840C0" w:rsidRPr="00BC6ABD" w:rsidRDefault="005840C0" w:rsidP="00241033">
            <w:pPr>
              <w:pStyle w:val="TabletextLeft"/>
            </w:pPr>
            <w:r w:rsidRPr="003D452C">
              <w:rPr>
                <w:rFonts w:eastAsia="Times New Roman"/>
              </w:rPr>
              <w:t>Reports finding inappropriate practice  </w:t>
            </w:r>
          </w:p>
        </w:tc>
        <w:tc>
          <w:tcPr>
            <w:tcW w:w="850" w:type="dxa"/>
            <w:vAlign w:val="center"/>
          </w:tcPr>
          <w:p w14:paraId="139EB10D" w14:textId="1D568645" w:rsidR="005840C0" w:rsidRPr="00BC6ABD" w:rsidRDefault="005840C0" w:rsidP="00241033">
            <w:pPr>
              <w:pStyle w:val="TabletextLeft"/>
            </w:pPr>
            <w:r w:rsidRPr="003D452C">
              <w:rPr>
                <w:rFonts w:eastAsia="Times New Roman"/>
              </w:rPr>
              <w:t>18 </w:t>
            </w:r>
          </w:p>
        </w:tc>
        <w:tc>
          <w:tcPr>
            <w:tcW w:w="709" w:type="dxa"/>
            <w:vAlign w:val="center"/>
          </w:tcPr>
          <w:p w14:paraId="49FAEEDA" w14:textId="1B69C9EE" w:rsidR="005840C0" w:rsidRPr="00BC6ABD" w:rsidRDefault="005840C0" w:rsidP="00241033">
            <w:pPr>
              <w:pStyle w:val="TabletextLeft"/>
            </w:pPr>
            <w:r w:rsidRPr="003D452C">
              <w:rPr>
                <w:rFonts w:eastAsia="Times New Roman"/>
              </w:rPr>
              <w:t>10 </w:t>
            </w:r>
          </w:p>
        </w:tc>
        <w:tc>
          <w:tcPr>
            <w:tcW w:w="850" w:type="dxa"/>
            <w:vAlign w:val="center"/>
          </w:tcPr>
          <w:p w14:paraId="3AAA04B3" w14:textId="4474602A" w:rsidR="005840C0" w:rsidRPr="00BC6ABD" w:rsidRDefault="005840C0" w:rsidP="00241033">
            <w:pPr>
              <w:pStyle w:val="TabletextLeft"/>
            </w:pPr>
            <w:r w:rsidRPr="003D452C">
              <w:rPr>
                <w:rFonts w:eastAsia="Times New Roman"/>
              </w:rPr>
              <w:t>11 </w:t>
            </w:r>
          </w:p>
        </w:tc>
        <w:tc>
          <w:tcPr>
            <w:tcW w:w="836" w:type="dxa"/>
            <w:vAlign w:val="center"/>
          </w:tcPr>
          <w:p w14:paraId="27832943" w14:textId="3F9A07A5" w:rsidR="005840C0" w:rsidRPr="00BC6ABD" w:rsidRDefault="005840C0" w:rsidP="00241033">
            <w:pPr>
              <w:pStyle w:val="TabletextLeft"/>
            </w:pPr>
            <w:r w:rsidRPr="003D452C">
              <w:rPr>
                <w:rFonts w:eastAsia="Times New Roman"/>
              </w:rPr>
              <w:t>12 </w:t>
            </w:r>
          </w:p>
        </w:tc>
        <w:tc>
          <w:tcPr>
            <w:tcW w:w="558" w:type="dxa"/>
            <w:vAlign w:val="center"/>
          </w:tcPr>
          <w:p w14:paraId="6DD2A7D5" w14:textId="13241D5C" w:rsidR="005840C0" w:rsidRPr="00BC6ABD" w:rsidRDefault="005840C0" w:rsidP="00241033">
            <w:pPr>
              <w:pStyle w:val="TabletextLeft"/>
            </w:pPr>
            <w:r w:rsidRPr="003D452C">
              <w:rPr>
                <w:rFonts w:eastAsia="Times New Roman"/>
              </w:rPr>
              <w:t>12 </w:t>
            </w:r>
          </w:p>
        </w:tc>
      </w:tr>
      <w:tr w:rsidR="005840C0" w:rsidRPr="00BC6ABD" w14:paraId="15B107CF" w14:textId="77777777" w:rsidTr="00351838">
        <w:tc>
          <w:tcPr>
            <w:tcW w:w="1202" w:type="dxa"/>
          </w:tcPr>
          <w:p w14:paraId="1B12CE10" w14:textId="77777777" w:rsidR="005840C0" w:rsidRPr="0073176C" w:rsidRDefault="005840C0" w:rsidP="00241033">
            <w:pPr>
              <w:pStyle w:val="TabletextLeft"/>
              <w:rPr>
                <w:b/>
              </w:rPr>
            </w:pPr>
          </w:p>
        </w:tc>
        <w:tc>
          <w:tcPr>
            <w:tcW w:w="5461" w:type="dxa"/>
          </w:tcPr>
          <w:p w14:paraId="3B780EFC" w14:textId="6B8712C8" w:rsidR="005840C0" w:rsidRPr="00BC6ABD" w:rsidRDefault="005840C0" w:rsidP="00241033">
            <w:pPr>
              <w:pStyle w:val="TabletextLeft"/>
            </w:pPr>
            <w:r w:rsidRPr="003D452C">
              <w:rPr>
                <w:rFonts w:eastAsia="Times New Roman"/>
              </w:rPr>
              <w:t>Reports finding no inappropriate practice  </w:t>
            </w:r>
          </w:p>
        </w:tc>
        <w:tc>
          <w:tcPr>
            <w:tcW w:w="850" w:type="dxa"/>
            <w:vAlign w:val="center"/>
          </w:tcPr>
          <w:p w14:paraId="07E3A4DB" w14:textId="37E883FC" w:rsidR="005840C0" w:rsidRPr="00BC6ABD" w:rsidRDefault="005840C0" w:rsidP="00241033">
            <w:pPr>
              <w:pStyle w:val="TabletextLeft"/>
            </w:pPr>
            <w:r w:rsidRPr="003D452C">
              <w:rPr>
                <w:rFonts w:eastAsia="Times New Roman"/>
              </w:rPr>
              <w:t>1 </w:t>
            </w:r>
          </w:p>
        </w:tc>
        <w:tc>
          <w:tcPr>
            <w:tcW w:w="709" w:type="dxa"/>
            <w:vAlign w:val="center"/>
          </w:tcPr>
          <w:p w14:paraId="433807BA" w14:textId="6E1C21CD" w:rsidR="005840C0" w:rsidRPr="00BC6ABD" w:rsidRDefault="005840C0" w:rsidP="00241033">
            <w:pPr>
              <w:pStyle w:val="TabletextLeft"/>
            </w:pPr>
            <w:r w:rsidRPr="003D452C">
              <w:rPr>
                <w:rFonts w:eastAsia="Times New Roman"/>
              </w:rPr>
              <w:t>0 </w:t>
            </w:r>
          </w:p>
        </w:tc>
        <w:tc>
          <w:tcPr>
            <w:tcW w:w="850" w:type="dxa"/>
            <w:vAlign w:val="center"/>
          </w:tcPr>
          <w:p w14:paraId="578D3DD1" w14:textId="4849ABB6" w:rsidR="005840C0" w:rsidRPr="00BC6ABD" w:rsidRDefault="005840C0" w:rsidP="00241033">
            <w:pPr>
              <w:pStyle w:val="TabletextLeft"/>
            </w:pPr>
            <w:r w:rsidRPr="003D452C">
              <w:rPr>
                <w:rFonts w:eastAsia="Times New Roman"/>
              </w:rPr>
              <w:t>0 </w:t>
            </w:r>
          </w:p>
        </w:tc>
        <w:tc>
          <w:tcPr>
            <w:tcW w:w="836" w:type="dxa"/>
            <w:vAlign w:val="center"/>
          </w:tcPr>
          <w:p w14:paraId="60894D32" w14:textId="4D4D30DF" w:rsidR="005840C0" w:rsidRPr="00BC6ABD" w:rsidRDefault="005840C0" w:rsidP="00241033">
            <w:pPr>
              <w:pStyle w:val="TabletextLeft"/>
            </w:pPr>
            <w:r w:rsidRPr="003D452C">
              <w:rPr>
                <w:rFonts w:eastAsia="Times New Roman"/>
              </w:rPr>
              <w:t>0 </w:t>
            </w:r>
          </w:p>
        </w:tc>
        <w:tc>
          <w:tcPr>
            <w:tcW w:w="558" w:type="dxa"/>
            <w:vAlign w:val="center"/>
          </w:tcPr>
          <w:p w14:paraId="0E6361F1" w14:textId="2558A6FE" w:rsidR="005840C0" w:rsidRPr="00BC6ABD" w:rsidRDefault="005840C0" w:rsidP="00241033">
            <w:pPr>
              <w:pStyle w:val="TabletextLeft"/>
            </w:pPr>
            <w:r w:rsidRPr="003D452C">
              <w:rPr>
                <w:rFonts w:eastAsia="Times New Roman"/>
              </w:rPr>
              <w:t>0 </w:t>
            </w:r>
          </w:p>
        </w:tc>
      </w:tr>
      <w:tr w:rsidR="005840C0" w:rsidRPr="00BC6ABD" w14:paraId="2306F477" w14:textId="77777777" w:rsidTr="00351838">
        <w:tc>
          <w:tcPr>
            <w:tcW w:w="1202" w:type="dxa"/>
          </w:tcPr>
          <w:p w14:paraId="4926E34A" w14:textId="77777777" w:rsidR="005840C0" w:rsidRPr="0073176C" w:rsidRDefault="005840C0" w:rsidP="00241033">
            <w:pPr>
              <w:pStyle w:val="TabletextLeft"/>
              <w:rPr>
                <w:b/>
              </w:rPr>
            </w:pPr>
          </w:p>
        </w:tc>
        <w:tc>
          <w:tcPr>
            <w:tcW w:w="5461" w:type="dxa"/>
          </w:tcPr>
          <w:p w14:paraId="73EA5EF4" w14:textId="550B18CB" w:rsidR="005840C0" w:rsidRPr="005840C0" w:rsidRDefault="005840C0" w:rsidP="00241033">
            <w:pPr>
              <w:pStyle w:val="TabletextLeft"/>
            </w:pPr>
            <w:r w:rsidRPr="004A77D7">
              <w:rPr>
                <w:rFonts w:eastAsia="Times New Roman"/>
              </w:rPr>
              <w:t>Committee matters indefinitely suspended</w:t>
            </w:r>
            <w:r w:rsidRPr="005840C0">
              <w:rPr>
                <w:rFonts w:eastAsia="Times New Roman"/>
              </w:rPr>
              <w:t> </w:t>
            </w:r>
          </w:p>
        </w:tc>
        <w:tc>
          <w:tcPr>
            <w:tcW w:w="850" w:type="dxa"/>
            <w:vAlign w:val="center"/>
          </w:tcPr>
          <w:p w14:paraId="0149A504" w14:textId="25C2F844" w:rsidR="005840C0" w:rsidRPr="00BC6ABD" w:rsidRDefault="005840C0" w:rsidP="00241033">
            <w:pPr>
              <w:pStyle w:val="TabletextLeft"/>
            </w:pPr>
            <w:r w:rsidRPr="003D452C">
              <w:rPr>
                <w:rFonts w:eastAsia="Times New Roman"/>
              </w:rPr>
              <w:t>0 </w:t>
            </w:r>
          </w:p>
        </w:tc>
        <w:tc>
          <w:tcPr>
            <w:tcW w:w="709" w:type="dxa"/>
            <w:vAlign w:val="center"/>
          </w:tcPr>
          <w:p w14:paraId="014C2D00" w14:textId="43BB1E59" w:rsidR="005840C0" w:rsidRPr="00BC6ABD" w:rsidRDefault="005840C0" w:rsidP="00241033">
            <w:pPr>
              <w:pStyle w:val="TabletextLeft"/>
            </w:pPr>
            <w:r w:rsidRPr="003D452C">
              <w:rPr>
                <w:rFonts w:eastAsia="Times New Roman"/>
              </w:rPr>
              <w:t>0 </w:t>
            </w:r>
          </w:p>
        </w:tc>
        <w:tc>
          <w:tcPr>
            <w:tcW w:w="850" w:type="dxa"/>
            <w:vAlign w:val="center"/>
          </w:tcPr>
          <w:p w14:paraId="6267025C" w14:textId="7C880768" w:rsidR="005840C0" w:rsidRPr="00BC6ABD" w:rsidRDefault="005840C0" w:rsidP="00241033">
            <w:pPr>
              <w:pStyle w:val="TabletextLeft"/>
            </w:pPr>
            <w:r w:rsidRPr="003D452C">
              <w:rPr>
                <w:rFonts w:eastAsia="Times New Roman"/>
              </w:rPr>
              <w:t>0 </w:t>
            </w:r>
          </w:p>
        </w:tc>
        <w:tc>
          <w:tcPr>
            <w:tcW w:w="836" w:type="dxa"/>
            <w:vAlign w:val="center"/>
          </w:tcPr>
          <w:p w14:paraId="24D272F4" w14:textId="09912123" w:rsidR="005840C0" w:rsidRPr="00BC6ABD" w:rsidRDefault="005840C0" w:rsidP="00241033">
            <w:pPr>
              <w:pStyle w:val="TabletextLeft"/>
            </w:pPr>
            <w:r w:rsidRPr="003D452C">
              <w:rPr>
                <w:rFonts w:eastAsia="Times New Roman"/>
              </w:rPr>
              <w:t>0 </w:t>
            </w:r>
          </w:p>
        </w:tc>
        <w:tc>
          <w:tcPr>
            <w:tcW w:w="558" w:type="dxa"/>
            <w:vAlign w:val="center"/>
          </w:tcPr>
          <w:p w14:paraId="3890B89B" w14:textId="1FB0F50A" w:rsidR="005840C0" w:rsidRPr="00BC6ABD" w:rsidRDefault="005840C0" w:rsidP="00241033">
            <w:pPr>
              <w:pStyle w:val="TabletextLeft"/>
            </w:pPr>
            <w:r w:rsidRPr="003D452C">
              <w:rPr>
                <w:rFonts w:eastAsia="Times New Roman"/>
              </w:rPr>
              <w:t>3 </w:t>
            </w:r>
          </w:p>
        </w:tc>
      </w:tr>
      <w:tr w:rsidR="005840C0" w:rsidRPr="00BC6ABD" w14:paraId="57A41705" w14:textId="77777777" w:rsidTr="00351838">
        <w:tc>
          <w:tcPr>
            <w:tcW w:w="1202" w:type="dxa"/>
          </w:tcPr>
          <w:p w14:paraId="3FAF0088" w14:textId="77777777" w:rsidR="005840C0" w:rsidRPr="0073176C" w:rsidRDefault="005840C0" w:rsidP="00241033">
            <w:pPr>
              <w:pStyle w:val="TabletextLeft"/>
              <w:rPr>
                <w:b/>
              </w:rPr>
            </w:pPr>
          </w:p>
        </w:tc>
        <w:tc>
          <w:tcPr>
            <w:tcW w:w="5461" w:type="dxa"/>
          </w:tcPr>
          <w:p w14:paraId="37B445BC" w14:textId="4E445F54" w:rsidR="005840C0" w:rsidRPr="005840C0" w:rsidRDefault="005840C0" w:rsidP="00241033">
            <w:pPr>
              <w:pStyle w:val="TabletextLeft"/>
            </w:pPr>
            <w:r w:rsidRPr="005840C0">
              <w:rPr>
                <w:rFonts w:eastAsia="Times New Roman"/>
              </w:rPr>
              <w:t xml:space="preserve">Practitioners referred to </w:t>
            </w:r>
            <w:r w:rsidR="00731717">
              <w:rPr>
                <w:rFonts w:eastAsia="Times New Roman"/>
              </w:rPr>
              <w:t>AHPRA</w:t>
            </w:r>
            <w:r w:rsidRPr="005840C0">
              <w:rPr>
                <w:rFonts w:eastAsia="Times New Roman"/>
              </w:rPr>
              <w:t>/Boards (under sections 106XA or 106XB of the HIA) </w:t>
            </w:r>
          </w:p>
        </w:tc>
        <w:tc>
          <w:tcPr>
            <w:tcW w:w="850" w:type="dxa"/>
            <w:vAlign w:val="center"/>
          </w:tcPr>
          <w:p w14:paraId="19E41F75" w14:textId="5C5ACAD1" w:rsidR="005840C0" w:rsidRPr="00BC6ABD" w:rsidRDefault="005840C0" w:rsidP="00241033">
            <w:pPr>
              <w:pStyle w:val="TabletextLeft"/>
            </w:pPr>
            <w:r w:rsidRPr="003D452C">
              <w:rPr>
                <w:rFonts w:eastAsia="Times New Roman"/>
              </w:rPr>
              <w:t>22 </w:t>
            </w:r>
          </w:p>
        </w:tc>
        <w:tc>
          <w:tcPr>
            <w:tcW w:w="709" w:type="dxa"/>
            <w:vAlign w:val="center"/>
          </w:tcPr>
          <w:p w14:paraId="5F977D08" w14:textId="22239F60" w:rsidR="005840C0" w:rsidRPr="00BC6ABD" w:rsidRDefault="005840C0" w:rsidP="00241033">
            <w:pPr>
              <w:pStyle w:val="TabletextLeft"/>
            </w:pPr>
            <w:r w:rsidRPr="003D452C">
              <w:rPr>
                <w:rFonts w:eastAsia="Times New Roman"/>
              </w:rPr>
              <w:t>22 </w:t>
            </w:r>
          </w:p>
        </w:tc>
        <w:tc>
          <w:tcPr>
            <w:tcW w:w="850" w:type="dxa"/>
            <w:vAlign w:val="center"/>
          </w:tcPr>
          <w:p w14:paraId="51A47838" w14:textId="4BA5EB7C" w:rsidR="005840C0" w:rsidRPr="00BC6ABD" w:rsidRDefault="005840C0" w:rsidP="00241033">
            <w:pPr>
              <w:pStyle w:val="TabletextLeft"/>
            </w:pPr>
            <w:r w:rsidRPr="003D452C">
              <w:rPr>
                <w:rFonts w:eastAsia="Times New Roman"/>
              </w:rPr>
              <w:t>20 </w:t>
            </w:r>
          </w:p>
        </w:tc>
        <w:tc>
          <w:tcPr>
            <w:tcW w:w="836" w:type="dxa"/>
            <w:vAlign w:val="center"/>
          </w:tcPr>
          <w:p w14:paraId="2DA4CDCB" w14:textId="3747C412" w:rsidR="005840C0" w:rsidRPr="00BC6ABD" w:rsidRDefault="005840C0" w:rsidP="00241033">
            <w:pPr>
              <w:pStyle w:val="TabletextLeft"/>
            </w:pPr>
            <w:r w:rsidRPr="003D452C">
              <w:rPr>
                <w:rFonts w:eastAsia="Times New Roman"/>
              </w:rPr>
              <w:t>15</w:t>
            </w:r>
            <w:r w:rsidRPr="003D452C">
              <w:rPr>
                <w:rFonts w:eastAsia="Times New Roman"/>
                <w:sz w:val="14"/>
                <w:szCs w:val="14"/>
                <w:vertAlign w:val="superscript"/>
              </w:rPr>
              <w:t>b</w:t>
            </w:r>
            <w:r w:rsidRPr="003D452C">
              <w:rPr>
                <w:rFonts w:eastAsia="Times New Roman"/>
                <w:sz w:val="14"/>
                <w:szCs w:val="14"/>
              </w:rPr>
              <w:t> </w:t>
            </w:r>
          </w:p>
        </w:tc>
        <w:tc>
          <w:tcPr>
            <w:tcW w:w="558" w:type="dxa"/>
            <w:vAlign w:val="center"/>
          </w:tcPr>
          <w:p w14:paraId="2677A93C" w14:textId="5739C014" w:rsidR="005840C0" w:rsidRPr="00BC6ABD" w:rsidRDefault="005840C0" w:rsidP="00241033">
            <w:pPr>
              <w:pStyle w:val="TabletextLeft"/>
            </w:pPr>
            <w:r w:rsidRPr="003D452C">
              <w:rPr>
                <w:rFonts w:eastAsia="Times New Roman"/>
              </w:rPr>
              <w:t>14 </w:t>
            </w:r>
          </w:p>
        </w:tc>
      </w:tr>
      <w:tr w:rsidR="005840C0" w:rsidRPr="00BC6ABD" w14:paraId="7DFC23AB" w14:textId="77777777" w:rsidTr="00E22DEE">
        <w:tc>
          <w:tcPr>
            <w:tcW w:w="1202" w:type="dxa"/>
          </w:tcPr>
          <w:p w14:paraId="42F4023D" w14:textId="77777777" w:rsidR="005840C0" w:rsidRPr="0073176C" w:rsidRDefault="005840C0" w:rsidP="00241033">
            <w:pPr>
              <w:pStyle w:val="TabletextLeft"/>
              <w:rPr>
                <w:b/>
              </w:rPr>
            </w:pPr>
          </w:p>
        </w:tc>
        <w:tc>
          <w:tcPr>
            <w:tcW w:w="5461" w:type="dxa"/>
          </w:tcPr>
          <w:p w14:paraId="2606AA24" w14:textId="4CF14EA2" w:rsidR="005840C0" w:rsidRPr="005840C0" w:rsidRDefault="005840C0" w:rsidP="00241033">
            <w:pPr>
              <w:pStyle w:val="TabletextLeft"/>
              <w:rPr>
                <w:rFonts w:eastAsia="Times New Roman"/>
              </w:rPr>
            </w:pPr>
            <w:r w:rsidRPr="005840C0">
              <w:rPr>
                <w:rFonts w:eastAsia="Times New Roman"/>
              </w:rPr>
              <w:t>Referrals to Chief Executive Medicare/regulatory authority for suspected fraud  </w:t>
            </w:r>
          </w:p>
        </w:tc>
        <w:tc>
          <w:tcPr>
            <w:tcW w:w="850" w:type="dxa"/>
            <w:vAlign w:val="center"/>
          </w:tcPr>
          <w:p w14:paraId="68B9E198" w14:textId="60626BE6" w:rsidR="005840C0" w:rsidRPr="003D452C" w:rsidRDefault="005840C0" w:rsidP="00241033">
            <w:pPr>
              <w:pStyle w:val="TabletextLeft"/>
              <w:rPr>
                <w:rFonts w:eastAsia="Times New Roman"/>
              </w:rPr>
            </w:pPr>
            <w:r w:rsidRPr="003D452C">
              <w:rPr>
                <w:rFonts w:eastAsia="Times New Roman"/>
              </w:rPr>
              <w:t>3 </w:t>
            </w:r>
          </w:p>
        </w:tc>
        <w:tc>
          <w:tcPr>
            <w:tcW w:w="709" w:type="dxa"/>
            <w:vAlign w:val="center"/>
          </w:tcPr>
          <w:p w14:paraId="3E107F1A" w14:textId="3AD24899" w:rsidR="005840C0" w:rsidRPr="003D452C" w:rsidRDefault="005840C0" w:rsidP="00241033">
            <w:pPr>
              <w:pStyle w:val="TabletextLeft"/>
              <w:rPr>
                <w:rFonts w:eastAsia="Times New Roman"/>
              </w:rPr>
            </w:pPr>
            <w:r w:rsidRPr="003D452C">
              <w:rPr>
                <w:rFonts w:eastAsia="Times New Roman"/>
              </w:rPr>
              <w:t>1 </w:t>
            </w:r>
          </w:p>
        </w:tc>
        <w:tc>
          <w:tcPr>
            <w:tcW w:w="850" w:type="dxa"/>
            <w:vAlign w:val="center"/>
          </w:tcPr>
          <w:p w14:paraId="19E8DE17" w14:textId="3037DA98" w:rsidR="005840C0" w:rsidRPr="003D452C" w:rsidRDefault="005840C0" w:rsidP="00241033">
            <w:pPr>
              <w:pStyle w:val="TabletextLeft"/>
              <w:rPr>
                <w:rFonts w:eastAsia="Times New Roman"/>
              </w:rPr>
            </w:pPr>
            <w:r w:rsidRPr="003D452C">
              <w:rPr>
                <w:rFonts w:eastAsia="Times New Roman"/>
              </w:rPr>
              <w:t>3 </w:t>
            </w:r>
          </w:p>
        </w:tc>
        <w:tc>
          <w:tcPr>
            <w:tcW w:w="836" w:type="dxa"/>
            <w:vAlign w:val="center"/>
          </w:tcPr>
          <w:p w14:paraId="159CE370" w14:textId="69C9B7DB" w:rsidR="005840C0" w:rsidRPr="003D452C" w:rsidRDefault="005840C0" w:rsidP="00241033">
            <w:pPr>
              <w:pStyle w:val="TabletextLeft"/>
              <w:rPr>
                <w:rFonts w:eastAsia="Times New Roman"/>
              </w:rPr>
            </w:pPr>
            <w:r w:rsidRPr="003D452C">
              <w:rPr>
                <w:rFonts w:eastAsia="Times New Roman"/>
              </w:rPr>
              <w:t>2 </w:t>
            </w:r>
          </w:p>
        </w:tc>
        <w:tc>
          <w:tcPr>
            <w:tcW w:w="558" w:type="dxa"/>
            <w:vAlign w:val="center"/>
          </w:tcPr>
          <w:p w14:paraId="3ECDF350" w14:textId="7A9F4710" w:rsidR="005840C0" w:rsidRPr="003D452C" w:rsidRDefault="005840C0" w:rsidP="00241033">
            <w:pPr>
              <w:pStyle w:val="TabletextLeft"/>
              <w:rPr>
                <w:rFonts w:eastAsia="Times New Roman"/>
              </w:rPr>
            </w:pPr>
            <w:r w:rsidRPr="003D452C">
              <w:rPr>
                <w:rFonts w:eastAsia="Times New Roman"/>
              </w:rPr>
              <w:t>1 </w:t>
            </w:r>
          </w:p>
        </w:tc>
      </w:tr>
      <w:tr w:rsidR="005840C0" w:rsidRPr="00BC6ABD" w14:paraId="670202C3" w14:textId="77777777" w:rsidTr="00E22DEE">
        <w:tc>
          <w:tcPr>
            <w:tcW w:w="1202" w:type="dxa"/>
          </w:tcPr>
          <w:p w14:paraId="3307E875" w14:textId="7DE13756" w:rsidR="005840C0" w:rsidRPr="0073176C" w:rsidRDefault="005840C0" w:rsidP="005840C0">
            <w:pPr>
              <w:pStyle w:val="TabletextLeft"/>
              <w:rPr>
                <w:b/>
              </w:rPr>
            </w:pPr>
            <w:r>
              <w:rPr>
                <w:b/>
              </w:rPr>
              <w:t>Determining Authority</w:t>
            </w:r>
          </w:p>
        </w:tc>
        <w:tc>
          <w:tcPr>
            <w:tcW w:w="5461" w:type="dxa"/>
          </w:tcPr>
          <w:p w14:paraId="516DAE17" w14:textId="253FF839" w:rsidR="005840C0" w:rsidRPr="005840C0" w:rsidRDefault="005840C0" w:rsidP="005840C0">
            <w:pPr>
              <w:pStyle w:val="TabletextLeft"/>
              <w:rPr>
                <w:rFonts w:eastAsia="Times New Roman"/>
              </w:rPr>
            </w:pPr>
            <w:r w:rsidRPr="005840C0">
              <w:rPr>
                <w:rFonts w:eastAsia="Times New Roman"/>
              </w:rPr>
              <w:t>Negotiated agreements (under section 92 of HIA) ratified and effective  </w:t>
            </w:r>
          </w:p>
        </w:tc>
        <w:tc>
          <w:tcPr>
            <w:tcW w:w="850" w:type="dxa"/>
            <w:vAlign w:val="center"/>
          </w:tcPr>
          <w:p w14:paraId="77BC7D2C" w14:textId="22226F5C" w:rsidR="005840C0" w:rsidRPr="003D452C" w:rsidRDefault="005840C0" w:rsidP="005840C0">
            <w:pPr>
              <w:pStyle w:val="TabletextLeft"/>
              <w:rPr>
                <w:rFonts w:eastAsia="Times New Roman"/>
              </w:rPr>
            </w:pPr>
            <w:r w:rsidRPr="003D452C">
              <w:rPr>
                <w:rFonts w:eastAsia="Times New Roman"/>
              </w:rPr>
              <w:t>57 </w:t>
            </w:r>
          </w:p>
        </w:tc>
        <w:tc>
          <w:tcPr>
            <w:tcW w:w="709" w:type="dxa"/>
            <w:vAlign w:val="center"/>
          </w:tcPr>
          <w:p w14:paraId="151AF281" w14:textId="1E16EF4C" w:rsidR="005840C0" w:rsidRPr="003D452C" w:rsidRDefault="005840C0" w:rsidP="005840C0">
            <w:pPr>
              <w:pStyle w:val="TabletextLeft"/>
              <w:rPr>
                <w:rFonts w:eastAsia="Times New Roman"/>
              </w:rPr>
            </w:pPr>
            <w:r w:rsidRPr="003D452C">
              <w:rPr>
                <w:rFonts w:eastAsia="Times New Roman"/>
              </w:rPr>
              <w:t>90 </w:t>
            </w:r>
          </w:p>
        </w:tc>
        <w:tc>
          <w:tcPr>
            <w:tcW w:w="850" w:type="dxa"/>
            <w:vAlign w:val="center"/>
          </w:tcPr>
          <w:p w14:paraId="45D5F988" w14:textId="70E6E609" w:rsidR="005840C0" w:rsidRPr="003D452C" w:rsidRDefault="005840C0" w:rsidP="005840C0">
            <w:pPr>
              <w:pStyle w:val="TabletextLeft"/>
              <w:rPr>
                <w:rFonts w:eastAsia="Times New Roman"/>
              </w:rPr>
            </w:pPr>
            <w:r w:rsidRPr="003D452C">
              <w:rPr>
                <w:rFonts w:eastAsia="Times New Roman"/>
              </w:rPr>
              <w:t>78 </w:t>
            </w:r>
          </w:p>
        </w:tc>
        <w:tc>
          <w:tcPr>
            <w:tcW w:w="836" w:type="dxa"/>
            <w:vAlign w:val="center"/>
          </w:tcPr>
          <w:p w14:paraId="3CD2B8DD" w14:textId="6513E6A5" w:rsidR="005840C0" w:rsidRPr="003D452C" w:rsidRDefault="005840C0" w:rsidP="005840C0">
            <w:pPr>
              <w:pStyle w:val="TabletextLeft"/>
              <w:rPr>
                <w:rFonts w:eastAsia="Times New Roman"/>
              </w:rPr>
            </w:pPr>
            <w:r w:rsidRPr="003D452C">
              <w:rPr>
                <w:rFonts w:eastAsia="Times New Roman"/>
              </w:rPr>
              <w:t>90 </w:t>
            </w:r>
          </w:p>
        </w:tc>
        <w:tc>
          <w:tcPr>
            <w:tcW w:w="558" w:type="dxa"/>
            <w:vAlign w:val="center"/>
          </w:tcPr>
          <w:p w14:paraId="7B0AC3AF" w14:textId="4784400D" w:rsidR="005840C0" w:rsidRPr="003D452C" w:rsidRDefault="005840C0" w:rsidP="005840C0">
            <w:pPr>
              <w:pStyle w:val="TabletextLeft"/>
              <w:rPr>
                <w:rFonts w:eastAsia="Times New Roman"/>
              </w:rPr>
            </w:pPr>
            <w:r w:rsidRPr="003D452C">
              <w:rPr>
                <w:rFonts w:eastAsia="Times New Roman"/>
              </w:rPr>
              <w:t>49 </w:t>
            </w:r>
          </w:p>
        </w:tc>
      </w:tr>
      <w:tr w:rsidR="005840C0" w:rsidRPr="00BC6ABD" w14:paraId="10C0ED4F" w14:textId="77777777" w:rsidTr="00E22DEE">
        <w:tc>
          <w:tcPr>
            <w:tcW w:w="1202" w:type="dxa"/>
          </w:tcPr>
          <w:p w14:paraId="70D7ECB5" w14:textId="77777777" w:rsidR="005840C0" w:rsidRPr="0073176C" w:rsidRDefault="005840C0" w:rsidP="005840C0">
            <w:pPr>
              <w:pStyle w:val="TabletextLeft"/>
              <w:rPr>
                <w:b/>
              </w:rPr>
            </w:pPr>
          </w:p>
        </w:tc>
        <w:tc>
          <w:tcPr>
            <w:tcW w:w="5461" w:type="dxa"/>
          </w:tcPr>
          <w:p w14:paraId="26A0C3AE" w14:textId="379A1315" w:rsidR="005840C0" w:rsidRPr="005840C0" w:rsidRDefault="005840C0" w:rsidP="005840C0">
            <w:pPr>
              <w:pStyle w:val="TabletextLeft"/>
              <w:rPr>
                <w:rFonts w:eastAsia="Times New Roman"/>
              </w:rPr>
            </w:pPr>
            <w:r w:rsidRPr="005840C0">
              <w:rPr>
                <w:rFonts w:eastAsia="Times New Roman"/>
              </w:rPr>
              <w:t>Final determinations made  </w:t>
            </w:r>
          </w:p>
        </w:tc>
        <w:tc>
          <w:tcPr>
            <w:tcW w:w="850" w:type="dxa"/>
            <w:vAlign w:val="center"/>
          </w:tcPr>
          <w:p w14:paraId="007FC1A8" w14:textId="2CDAD6BC" w:rsidR="005840C0" w:rsidRPr="003D452C" w:rsidRDefault="005840C0" w:rsidP="005840C0">
            <w:pPr>
              <w:pStyle w:val="TabletextLeft"/>
              <w:rPr>
                <w:rFonts w:eastAsia="Times New Roman"/>
              </w:rPr>
            </w:pPr>
            <w:r w:rsidRPr="003D452C">
              <w:rPr>
                <w:rFonts w:eastAsia="Times New Roman"/>
              </w:rPr>
              <w:t>13 </w:t>
            </w:r>
          </w:p>
        </w:tc>
        <w:tc>
          <w:tcPr>
            <w:tcW w:w="709" w:type="dxa"/>
            <w:vAlign w:val="center"/>
          </w:tcPr>
          <w:p w14:paraId="4034FC89" w14:textId="626CB66C" w:rsidR="005840C0" w:rsidRPr="003D452C" w:rsidRDefault="005840C0" w:rsidP="005840C0">
            <w:pPr>
              <w:pStyle w:val="TabletextLeft"/>
              <w:rPr>
                <w:rFonts w:eastAsia="Times New Roman"/>
              </w:rPr>
            </w:pPr>
            <w:r w:rsidRPr="003D452C">
              <w:rPr>
                <w:rFonts w:eastAsia="Times New Roman"/>
              </w:rPr>
              <w:t>10 </w:t>
            </w:r>
          </w:p>
        </w:tc>
        <w:tc>
          <w:tcPr>
            <w:tcW w:w="850" w:type="dxa"/>
            <w:vAlign w:val="center"/>
          </w:tcPr>
          <w:p w14:paraId="4BC8D795" w14:textId="7F9F3C0D" w:rsidR="005840C0" w:rsidRPr="003D452C" w:rsidRDefault="005840C0" w:rsidP="005840C0">
            <w:pPr>
              <w:pStyle w:val="TabletextLeft"/>
              <w:rPr>
                <w:rFonts w:eastAsia="Times New Roman"/>
              </w:rPr>
            </w:pPr>
            <w:r w:rsidRPr="003D452C">
              <w:rPr>
                <w:rFonts w:eastAsia="Times New Roman"/>
              </w:rPr>
              <w:t>15 </w:t>
            </w:r>
          </w:p>
        </w:tc>
        <w:tc>
          <w:tcPr>
            <w:tcW w:w="836" w:type="dxa"/>
            <w:vAlign w:val="center"/>
          </w:tcPr>
          <w:p w14:paraId="73033CD4" w14:textId="1ACFB15E" w:rsidR="005840C0" w:rsidRPr="003D452C" w:rsidRDefault="005840C0" w:rsidP="005840C0">
            <w:pPr>
              <w:pStyle w:val="TabletextLeft"/>
              <w:rPr>
                <w:rFonts w:eastAsia="Times New Roman"/>
              </w:rPr>
            </w:pPr>
            <w:r w:rsidRPr="003D452C">
              <w:rPr>
                <w:rFonts w:eastAsia="Times New Roman"/>
              </w:rPr>
              <w:t>9 </w:t>
            </w:r>
          </w:p>
        </w:tc>
        <w:tc>
          <w:tcPr>
            <w:tcW w:w="558" w:type="dxa"/>
            <w:vAlign w:val="center"/>
          </w:tcPr>
          <w:p w14:paraId="5E4178B7" w14:textId="2CD41354" w:rsidR="005840C0" w:rsidRPr="003D452C" w:rsidRDefault="005840C0" w:rsidP="005840C0">
            <w:pPr>
              <w:pStyle w:val="TabletextLeft"/>
              <w:rPr>
                <w:rFonts w:eastAsia="Times New Roman"/>
              </w:rPr>
            </w:pPr>
            <w:r w:rsidRPr="003D452C">
              <w:rPr>
                <w:rFonts w:eastAsia="Times New Roman"/>
              </w:rPr>
              <w:t>14 </w:t>
            </w:r>
          </w:p>
        </w:tc>
      </w:tr>
      <w:tr w:rsidR="005840C0" w:rsidRPr="00BC6ABD" w14:paraId="4D58F3EB" w14:textId="77777777" w:rsidTr="000F45C0">
        <w:tc>
          <w:tcPr>
            <w:tcW w:w="1202" w:type="dxa"/>
            <w:tcBorders>
              <w:bottom w:val="single" w:sz="12" w:space="0" w:color="005B89"/>
            </w:tcBorders>
          </w:tcPr>
          <w:p w14:paraId="58070126" w14:textId="77777777" w:rsidR="005840C0" w:rsidRPr="0073176C" w:rsidRDefault="005840C0" w:rsidP="005840C0">
            <w:pPr>
              <w:pStyle w:val="TabletextLeft"/>
              <w:rPr>
                <w:b/>
              </w:rPr>
            </w:pPr>
          </w:p>
        </w:tc>
        <w:tc>
          <w:tcPr>
            <w:tcW w:w="5461" w:type="dxa"/>
            <w:tcBorders>
              <w:bottom w:val="single" w:sz="12" w:space="0" w:color="005B89"/>
            </w:tcBorders>
          </w:tcPr>
          <w:p w14:paraId="1FC3F456" w14:textId="5EF64F7C" w:rsidR="005840C0" w:rsidRPr="005840C0" w:rsidRDefault="005840C0" w:rsidP="005840C0">
            <w:pPr>
              <w:pStyle w:val="TabletextLeft"/>
              <w:rPr>
                <w:rFonts w:eastAsia="Times New Roman"/>
              </w:rPr>
            </w:pPr>
            <w:r w:rsidRPr="005840C0">
              <w:rPr>
                <w:rFonts w:eastAsia="Times New Roman"/>
              </w:rPr>
              <w:t>Final determinations effective  </w:t>
            </w:r>
          </w:p>
        </w:tc>
        <w:tc>
          <w:tcPr>
            <w:tcW w:w="850" w:type="dxa"/>
            <w:tcBorders>
              <w:bottom w:val="single" w:sz="12" w:space="0" w:color="005B89"/>
            </w:tcBorders>
            <w:vAlign w:val="center"/>
          </w:tcPr>
          <w:p w14:paraId="3B813F70" w14:textId="2A543D50" w:rsidR="005840C0" w:rsidRPr="003D452C" w:rsidRDefault="005840C0" w:rsidP="005840C0">
            <w:pPr>
              <w:pStyle w:val="TabletextLeft"/>
              <w:rPr>
                <w:rFonts w:eastAsia="Times New Roman"/>
              </w:rPr>
            </w:pPr>
            <w:r w:rsidRPr="003D452C">
              <w:rPr>
                <w:rFonts w:eastAsia="Times New Roman"/>
              </w:rPr>
              <w:t>13 </w:t>
            </w:r>
          </w:p>
        </w:tc>
        <w:tc>
          <w:tcPr>
            <w:tcW w:w="709" w:type="dxa"/>
            <w:tcBorders>
              <w:bottom w:val="single" w:sz="12" w:space="0" w:color="005B89"/>
            </w:tcBorders>
            <w:vAlign w:val="center"/>
          </w:tcPr>
          <w:p w14:paraId="686B8E5E" w14:textId="7CC0E3CD" w:rsidR="005840C0" w:rsidRPr="003D452C" w:rsidRDefault="005840C0" w:rsidP="005840C0">
            <w:pPr>
              <w:pStyle w:val="TabletextLeft"/>
              <w:rPr>
                <w:rFonts w:eastAsia="Times New Roman"/>
              </w:rPr>
            </w:pPr>
            <w:r w:rsidRPr="003D452C">
              <w:rPr>
                <w:rFonts w:eastAsia="Times New Roman"/>
              </w:rPr>
              <w:t>9 </w:t>
            </w:r>
          </w:p>
        </w:tc>
        <w:tc>
          <w:tcPr>
            <w:tcW w:w="850" w:type="dxa"/>
            <w:tcBorders>
              <w:bottom w:val="single" w:sz="12" w:space="0" w:color="005B89"/>
            </w:tcBorders>
            <w:vAlign w:val="center"/>
          </w:tcPr>
          <w:p w14:paraId="01418E75" w14:textId="0EF02317" w:rsidR="005840C0" w:rsidRPr="003D452C" w:rsidRDefault="005840C0" w:rsidP="005840C0">
            <w:pPr>
              <w:pStyle w:val="TabletextLeft"/>
              <w:rPr>
                <w:rFonts w:eastAsia="Times New Roman"/>
              </w:rPr>
            </w:pPr>
            <w:r w:rsidRPr="003D452C">
              <w:rPr>
                <w:rFonts w:eastAsia="Times New Roman"/>
              </w:rPr>
              <w:t>12 </w:t>
            </w:r>
          </w:p>
        </w:tc>
        <w:tc>
          <w:tcPr>
            <w:tcW w:w="836" w:type="dxa"/>
            <w:tcBorders>
              <w:bottom w:val="single" w:sz="12" w:space="0" w:color="005B89"/>
            </w:tcBorders>
            <w:vAlign w:val="center"/>
          </w:tcPr>
          <w:p w14:paraId="4B02DDF8" w14:textId="2D7EE753" w:rsidR="005840C0" w:rsidRPr="003D452C" w:rsidRDefault="005840C0" w:rsidP="005840C0">
            <w:pPr>
              <w:pStyle w:val="TabletextLeft"/>
              <w:rPr>
                <w:rFonts w:eastAsia="Times New Roman"/>
              </w:rPr>
            </w:pPr>
            <w:r w:rsidRPr="003D452C">
              <w:rPr>
                <w:rFonts w:eastAsia="Times New Roman"/>
              </w:rPr>
              <w:t>8 </w:t>
            </w:r>
          </w:p>
        </w:tc>
        <w:tc>
          <w:tcPr>
            <w:tcW w:w="558" w:type="dxa"/>
            <w:tcBorders>
              <w:bottom w:val="single" w:sz="12" w:space="0" w:color="005B89"/>
            </w:tcBorders>
            <w:vAlign w:val="center"/>
          </w:tcPr>
          <w:p w14:paraId="480A472A" w14:textId="787D16F1" w:rsidR="005840C0" w:rsidRPr="003D452C" w:rsidRDefault="005840C0" w:rsidP="005840C0">
            <w:pPr>
              <w:pStyle w:val="TabletextLeft"/>
              <w:rPr>
                <w:rFonts w:eastAsia="Times New Roman"/>
              </w:rPr>
            </w:pPr>
            <w:r w:rsidRPr="003D452C">
              <w:rPr>
                <w:rFonts w:eastAsia="Times New Roman"/>
              </w:rPr>
              <w:t>17 </w:t>
            </w:r>
          </w:p>
        </w:tc>
      </w:tr>
      <w:tr w:rsidR="005840C0" w:rsidRPr="005840C0" w14:paraId="5B7F6231" w14:textId="77777777" w:rsidTr="000F45C0">
        <w:tc>
          <w:tcPr>
            <w:tcW w:w="1202" w:type="dxa"/>
            <w:tcBorders>
              <w:top w:val="single" w:sz="12" w:space="0" w:color="005B89"/>
            </w:tcBorders>
          </w:tcPr>
          <w:p w14:paraId="33A63663" w14:textId="77777777" w:rsidR="005840C0" w:rsidRPr="008F226B" w:rsidRDefault="005840C0" w:rsidP="008F226B"/>
        </w:tc>
        <w:tc>
          <w:tcPr>
            <w:tcW w:w="5461" w:type="dxa"/>
            <w:tcBorders>
              <w:top w:val="single" w:sz="12" w:space="0" w:color="005B89"/>
            </w:tcBorders>
          </w:tcPr>
          <w:p w14:paraId="0A8139F4" w14:textId="44D60818" w:rsidR="005840C0" w:rsidRPr="004A77D7" w:rsidRDefault="005840C0" w:rsidP="005840C0">
            <w:pPr>
              <w:pStyle w:val="TabletextLeft"/>
              <w:rPr>
                <w:rFonts w:eastAsia="Times New Roman"/>
                <w:b/>
                <w:bCs/>
              </w:rPr>
            </w:pPr>
            <w:r w:rsidRPr="004A77D7">
              <w:rPr>
                <w:rFonts w:eastAsia="Times New Roman"/>
                <w:b/>
                <w:bCs/>
              </w:rPr>
              <w:t xml:space="preserve">Cases on hand </w:t>
            </w:r>
            <w:proofErr w:type="gramStart"/>
            <w:r w:rsidRPr="004A77D7">
              <w:rPr>
                <w:rFonts w:eastAsia="Times New Roman"/>
                <w:b/>
                <w:bCs/>
              </w:rPr>
              <w:t>at</w:t>
            </w:r>
            <w:proofErr w:type="gramEnd"/>
            <w:r w:rsidRPr="004A77D7">
              <w:rPr>
                <w:rFonts w:eastAsia="Times New Roman"/>
                <w:b/>
                <w:bCs/>
              </w:rPr>
              <w:t xml:space="preserve"> 30 Jun</w:t>
            </w:r>
            <w:r w:rsidR="00F11A98" w:rsidRPr="004A77D7">
              <w:rPr>
                <w:rFonts w:eastAsia="Times New Roman"/>
                <w:b/>
                <w:bCs/>
              </w:rPr>
              <w:t xml:space="preserve">e </w:t>
            </w:r>
            <w:r w:rsidRPr="004A77D7">
              <w:rPr>
                <w:rFonts w:eastAsia="Times New Roman"/>
                <w:b/>
                <w:bCs/>
                <w:sz w:val="14"/>
                <w:szCs w:val="14"/>
              </w:rPr>
              <w:t> </w:t>
            </w:r>
          </w:p>
        </w:tc>
        <w:tc>
          <w:tcPr>
            <w:tcW w:w="850" w:type="dxa"/>
            <w:tcBorders>
              <w:top w:val="single" w:sz="12" w:space="0" w:color="005B89"/>
            </w:tcBorders>
            <w:vAlign w:val="center"/>
          </w:tcPr>
          <w:p w14:paraId="1A98EBC8" w14:textId="247C3D19" w:rsidR="005840C0" w:rsidRPr="004A77D7" w:rsidRDefault="005840C0" w:rsidP="005840C0">
            <w:pPr>
              <w:pStyle w:val="TabletextLeft"/>
              <w:rPr>
                <w:rFonts w:eastAsia="Times New Roman"/>
                <w:b/>
                <w:bCs/>
              </w:rPr>
            </w:pPr>
            <w:r w:rsidRPr="004A77D7">
              <w:rPr>
                <w:rFonts w:eastAsia="Times New Roman"/>
                <w:b/>
                <w:bCs/>
              </w:rPr>
              <w:t>154 </w:t>
            </w:r>
          </w:p>
        </w:tc>
        <w:tc>
          <w:tcPr>
            <w:tcW w:w="709" w:type="dxa"/>
            <w:tcBorders>
              <w:top w:val="single" w:sz="12" w:space="0" w:color="005B89"/>
            </w:tcBorders>
            <w:vAlign w:val="center"/>
          </w:tcPr>
          <w:p w14:paraId="779A1C96" w14:textId="4D409C75" w:rsidR="005840C0" w:rsidRPr="004A77D7" w:rsidRDefault="005840C0" w:rsidP="005840C0">
            <w:pPr>
              <w:pStyle w:val="TabletextLeft"/>
              <w:rPr>
                <w:rFonts w:eastAsia="Times New Roman"/>
                <w:b/>
                <w:bCs/>
              </w:rPr>
            </w:pPr>
            <w:r w:rsidRPr="004A77D7">
              <w:rPr>
                <w:rFonts w:eastAsia="Times New Roman"/>
                <w:b/>
                <w:bCs/>
              </w:rPr>
              <w:t>123 </w:t>
            </w:r>
          </w:p>
        </w:tc>
        <w:tc>
          <w:tcPr>
            <w:tcW w:w="850" w:type="dxa"/>
            <w:tcBorders>
              <w:top w:val="single" w:sz="12" w:space="0" w:color="005B89"/>
            </w:tcBorders>
            <w:vAlign w:val="center"/>
          </w:tcPr>
          <w:p w14:paraId="6E47AAE3" w14:textId="42BF0D12" w:rsidR="005840C0" w:rsidRPr="004A77D7" w:rsidRDefault="005840C0" w:rsidP="005840C0">
            <w:pPr>
              <w:pStyle w:val="TabletextLeft"/>
              <w:rPr>
                <w:rFonts w:eastAsia="Times New Roman"/>
                <w:b/>
                <w:bCs/>
              </w:rPr>
            </w:pPr>
            <w:r w:rsidRPr="004A77D7">
              <w:rPr>
                <w:rFonts w:eastAsia="Times New Roman"/>
                <w:b/>
                <w:bCs/>
              </w:rPr>
              <w:t>155 </w:t>
            </w:r>
          </w:p>
        </w:tc>
        <w:tc>
          <w:tcPr>
            <w:tcW w:w="836" w:type="dxa"/>
            <w:tcBorders>
              <w:top w:val="single" w:sz="12" w:space="0" w:color="005B89"/>
            </w:tcBorders>
            <w:vAlign w:val="center"/>
          </w:tcPr>
          <w:p w14:paraId="4E73C52B" w14:textId="366539D7" w:rsidR="005840C0" w:rsidRPr="004A77D7" w:rsidRDefault="005840C0" w:rsidP="005840C0">
            <w:pPr>
              <w:pStyle w:val="TabletextLeft"/>
              <w:rPr>
                <w:rFonts w:eastAsia="Times New Roman"/>
                <w:b/>
                <w:bCs/>
              </w:rPr>
            </w:pPr>
            <w:r w:rsidRPr="004A77D7">
              <w:rPr>
                <w:rFonts w:eastAsia="Times New Roman"/>
                <w:b/>
                <w:bCs/>
              </w:rPr>
              <w:t>125 </w:t>
            </w:r>
          </w:p>
        </w:tc>
        <w:tc>
          <w:tcPr>
            <w:tcW w:w="558" w:type="dxa"/>
            <w:tcBorders>
              <w:top w:val="single" w:sz="12" w:space="0" w:color="005B89"/>
            </w:tcBorders>
            <w:vAlign w:val="center"/>
          </w:tcPr>
          <w:p w14:paraId="4A5FE274" w14:textId="6468BFD3" w:rsidR="005840C0" w:rsidRPr="004A77D7" w:rsidRDefault="005840C0" w:rsidP="005840C0">
            <w:pPr>
              <w:pStyle w:val="TabletextLeft"/>
              <w:rPr>
                <w:rFonts w:eastAsia="Times New Roman"/>
                <w:b/>
                <w:bCs/>
              </w:rPr>
            </w:pPr>
            <w:r w:rsidRPr="004A77D7">
              <w:rPr>
                <w:rFonts w:eastAsia="Times New Roman"/>
                <w:b/>
                <w:bCs/>
              </w:rPr>
              <w:t>125 </w:t>
            </w:r>
          </w:p>
        </w:tc>
      </w:tr>
    </w:tbl>
    <w:p w14:paraId="515B76EF" w14:textId="03202867" w:rsidR="00E22DEE" w:rsidRDefault="005840C0" w:rsidP="004A77D7">
      <w:pPr>
        <w:pStyle w:val="Caption"/>
      </w:pPr>
      <w:r>
        <w:t>Source: Philip Review (2023)</w:t>
      </w:r>
      <w:r w:rsidR="001700D9">
        <w:t xml:space="preserve"> using</w:t>
      </w:r>
      <w:r w:rsidR="008C66AA">
        <w:t xml:space="preserve"> Professional Services Review Annual Report 2018</w:t>
      </w:r>
      <w:r w:rsidR="00CA6D48">
        <w:t>–</w:t>
      </w:r>
      <w:r w:rsidR="008C66AA">
        <w:t>2019; 2019</w:t>
      </w:r>
      <w:r w:rsidR="00CA6D48">
        <w:t>–</w:t>
      </w:r>
      <w:r w:rsidR="008C66AA">
        <w:t>2020; 2020</w:t>
      </w:r>
      <w:r w:rsidR="00CA6D48">
        <w:t>–</w:t>
      </w:r>
      <w:r w:rsidR="008C66AA">
        <w:t>2021; 2021</w:t>
      </w:r>
      <w:r w:rsidR="00CA6D48">
        <w:t>–</w:t>
      </w:r>
      <w:r w:rsidR="008C66AA">
        <w:t>2022</w:t>
      </w:r>
      <w:r w:rsidR="00351838">
        <w:t xml:space="preserve">. </w:t>
      </w:r>
      <w:proofErr w:type="spellStart"/>
      <w:r w:rsidR="00CA6D48" w:rsidRPr="007A7533">
        <w:rPr>
          <w:vertAlign w:val="superscript"/>
        </w:rPr>
        <w:t>a</w:t>
      </w:r>
      <w:proofErr w:type="spellEnd"/>
      <w:r w:rsidR="00351838">
        <w:t xml:space="preserve"> Excluding a matter remitted back to the Director by the Federal Court. </w:t>
      </w:r>
      <w:r w:rsidR="00CA6D48" w:rsidRPr="007A7533">
        <w:rPr>
          <w:vertAlign w:val="superscript"/>
        </w:rPr>
        <w:t>b</w:t>
      </w:r>
      <w:r w:rsidR="00351838">
        <w:t xml:space="preserve"> 15 referrals were in respect of 11 practitioners. </w:t>
      </w:r>
      <w:r w:rsidR="00CA6D48" w:rsidRPr="007A7533">
        <w:rPr>
          <w:vertAlign w:val="superscript"/>
        </w:rPr>
        <w:t>c</w:t>
      </w:r>
      <w:r w:rsidR="00351838">
        <w:t xml:space="preserve"> As PSR receives referrals from Chief Executive Medicare throughout the year, case data cannot be reconciled within a 12-month period </w:t>
      </w:r>
      <w:r>
        <w:t xml:space="preserve"> </w:t>
      </w:r>
    </w:p>
    <w:p w14:paraId="260932EA" w14:textId="4C7915A7" w:rsidR="00E22DEE" w:rsidRPr="00E22DEE" w:rsidRDefault="00E22DEE" w:rsidP="004A77D7">
      <w:r>
        <w:fldChar w:fldCharType="begin"/>
      </w:r>
      <w:r>
        <w:instrText xml:space="preserve"> REF _Ref128906386 \r \h </w:instrText>
      </w:r>
      <w:r>
        <w:rPr>
          <w:iCs/>
        </w:rPr>
        <w:instrText xml:space="preserve"> \* MERGEFORMAT </w:instrText>
      </w:r>
      <w:r>
        <w:fldChar w:fldCharType="separate"/>
      </w:r>
      <w:r w:rsidR="005A1647" w:rsidRPr="005A1647">
        <w:rPr>
          <w:iCs/>
        </w:rPr>
        <w:t>Table D.2</w:t>
      </w:r>
      <w:r>
        <w:fldChar w:fldCharType="end"/>
      </w:r>
      <w:r w:rsidRPr="004A77D7">
        <w:rPr>
          <w:iCs/>
        </w:rPr>
        <w:t xml:space="preserve"> </w:t>
      </w:r>
      <w:r w:rsidRPr="00E22DEE">
        <w:rPr>
          <w:iCs/>
        </w:rPr>
        <w:t>Illustrates</w:t>
      </w:r>
      <w:r>
        <w:t xml:space="preserve"> the breakdown of PSR outcomes since the 2017</w:t>
      </w:r>
      <w:r w:rsidR="00CA6D48">
        <w:t>–</w:t>
      </w:r>
      <w:r>
        <w:t>18 financial year. The majority of PSR outcomes have been section 92 agreements. From 2017</w:t>
      </w:r>
      <w:r w:rsidR="00CA6D48">
        <w:t>–</w:t>
      </w:r>
      <w:r>
        <w:t>18 to 2021</w:t>
      </w:r>
      <w:r w:rsidR="00CA6D48">
        <w:t>–</w:t>
      </w:r>
      <w:r>
        <w:t xml:space="preserve">22, 465 cases were finalised following the PSR process, where 364 cases were finalised with section 92 agreements after review, 81 cases were referred to a PSR </w:t>
      </w:r>
      <w:r w:rsidR="008E6240">
        <w:t>c</w:t>
      </w:r>
      <w:r>
        <w:t>ommittee under section 93, and 20 cases were section 91 outcomes (</w:t>
      </w:r>
      <w:proofErr w:type="gramStart"/>
      <w:r w:rsidR="00904BFD">
        <w:t>i.e.</w:t>
      </w:r>
      <w:proofErr w:type="gramEnd"/>
      <w:r>
        <w:t xml:space="preserve"> no further action needed after review).</w:t>
      </w:r>
    </w:p>
    <w:p w14:paraId="38959280" w14:textId="5FC7AB72" w:rsidR="000F4B8B" w:rsidRDefault="000F4B8B" w:rsidP="004A77D7">
      <w:pPr>
        <w:pStyle w:val="AppendixTableCaption"/>
        <w:outlineLvl w:val="9"/>
      </w:pPr>
      <w:bookmarkStart w:id="321" w:name="_Ref128906386"/>
      <w:bookmarkStart w:id="322" w:name="_Toc131418588"/>
      <w:r>
        <w:lastRenderedPageBreak/>
        <w:t>: Breakdown of PSR outcomes since the 2017</w:t>
      </w:r>
      <w:r w:rsidR="00CA6D48">
        <w:t>–</w:t>
      </w:r>
      <w:r>
        <w:t>18 financial year</w:t>
      </w:r>
      <w:bookmarkEnd w:id="321"/>
      <w:bookmarkEnd w:id="322"/>
      <w:r>
        <w:t xml:space="preserve"> </w:t>
      </w:r>
    </w:p>
    <w:tbl>
      <w:tblPr>
        <w:tblStyle w:val="Deloittetable"/>
        <w:tblW w:w="5000" w:type="pct"/>
        <w:tblBorders>
          <w:top w:val="single" w:sz="24" w:space="0" w:color="005B89"/>
        </w:tblBorders>
        <w:tblLook w:val="04A0" w:firstRow="1" w:lastRow="0" w:firstColumn="1" w:lastColumn="0" w:noHBand="0" w:noVBand="1"/>
      </w:tblPr>
      <w:tblGrid>
        <w:gridCol w:w="1331"/>
        <w:gridCol w:w="1385"/>
        <w:gridCol w:w="1398"/>
        <w:gridCol w:w="1421"/>
        <w:gridCol w:w="1422"/>
        <w:gridCol w:w="1484"/>
        <w:gridCol w:w="2025"/>
      </w:tblGrid>
      <w:tr w:rsidR="00EF698C" w:rsidRPr="00405174" w14:paraId="1FA47FDF" w14:textId="77777777" w:rsidTr="004A77D7">
        <w:trPr>
          <w:cnfStyle w:val="100000000000" w:firstRow="1" w:lastRow="0" w:firstColumn="0" w:lastColumn="0" w:oddVBand="0" w:evenVBand="0" w:oddHBand="0" w:evenHBand="0" w:firstRowFirstColumn="0" w:firstRowLastColumn="0" w:lastRowFirstColumn="0" w:lastRowLastColumn="0"/>
          <w:tblHeader/>
        </w:trPr>
        <w:tc>
          <w:tcPr>
            <w:tcW w:w="644" w:type="pct"/>
            <w:tcBorders>
              <w:top w:val="single" w:sz="24" w:space="0" w:color="005B89"/>
            </w:tcBorders>
          </w:tcPr>
          <w:p w14:paraId="06EA96ED" w14:textId="04C8A2F9" w:rsidR="00EF698C" w:rsidRPr="00405174" w:rsidRDefault="00EF698C" w:rsidP="00405174">
            <w:r w:rsidRPr="00405174">
              <w:t>Year</w:t>
            </w:r>
          </w:p>
        </w:tc>
        <w:tc>
          <w:tcPr>
            <w:tcW w:w="670" w:type="pct"/>
            <w:tcBorders>
              <w:top w:val="single" w:sz="24" w:space="0" w:color="005B89"/>
            </w:tcBorders>
          </w:tcPr>
          <w:p w14:paraId="70ACB39F" w14:textId="376F0DE3" w:rsidR="00EF698C" w:rsidRPr="00405174" w:rsidRDefault="00EF698C" w:rsidP="00405174">
            <w:r w:rsidRPr="00405174">
              <w:t xml:space="preserve">Referrals to PSR from </w:t>
            </w:r>
            <w:proofErr w:type="spellStart"/>
            <w:r w:rsidRPr="00405174">
              <w:t>DoHAC</w:t>
            </w:r>
            <w:proofErr w:type="spellEnd"/>
          </w:p>
        </w:tc>
        <w:tc>
          <w:tcPr>
            <w:tcW w:w="676" w:type="pct"/>
            <w:tcBorders>
              <w:top w:val="single" w:sz="24" w:space="0" w:color="005B89"/>
            </w:tcBorders>
          </w:tcPr>
          <w:p w14:paraId="2C73DD70" w14:textId="3A749608" w:rsidR="00EF698C" w:rsidRPr="00405174" w:rsidRDefault="00EF698C" w:rsidP="00405174">
            <w:r w:rsidRPr="00405174">
              <w:t>Cases dismissed by the PSR Director (s91)</w:t>
            </w:r>
          </w:p>
        </w:tc>
        <w:tc>
          <w:tcPr>
            <w:tcW w:w="687" w:type="pct"/>
            <w:tcBorders>
              <w:top w:val="single" w:sz="24" w:space="0" w:color="005B89"/>
            </w:tcBorders>
          </w:tcPr>
          <w:p w14:paraId="7402E322" w14:textId="25AC7F35" w:rsidR="00EF698C" w:rsidRPr="00405174" w:rsidRDefault="00EF698C" w:rsidP="00405174">
            <w:r w:rsidRPr="00405174">
              <w:t>Negotiated agreements ratified and effective (s92)</w:t>
            </w:r>
          </w:p>
        </w:tc>
        <w:tc>
          <w:tcPr>
            <w:tcW w:w="687" w:type="pct"/>
            <w:tcBorders>
              <w:top w:val="single" w:sz="24" w:space="0" w:color="005B89"/>
            </w:tcBorders>
          </w:tcPr>
          <w:p w14:paraId="2DD07A33" w14:textId="6598E6F9" w:rsidR="00EF698C" w:rsidRPr="00405174" w:rsidRDefault="00EF698C" w:rsidP="00405174">
            <w:r w:rsidRPr="00405174">
              <w:t>Referrals to new PSR committees (s93)</w:t>
            </w:r>
          </w:p>
        </w:tc>
        <w:tc>
          <w:tcPr>
            <w:tcW w:w="703" w:type="pct"/>
            <w:tcBorders>
              <w:top w:val="single" w:sz="24" w:space="0" w:color="005B89"/>
            </w:tcBorders>
          </w:tcPr>
          <w:p w14:paraId="31ECD144" w14:textId="35E1CCAD" w:rsidR="00EF698C" w:rsidRPr="00405174" w:rsidRDefault="00EF698C" w:rsidP="00405174">
            <w:r w:rsidRPr="00405174">
              <w:t xml:space="preserve">Referrals to medical boards/AHPRA by committees </w:t>
            </w:r>
          </w:p>
        </w:tc>
        <w:tc>
          <w:tcPr>
            <w:tcW w:w="933" w:type="pct"/>
            <w:tcBorders>
              <w:top w:val="single" w:sz="24" w:space="0" w:color="005B89"/>
            </w:tcBorders>
          </w:tcPr>
          <w:p w14:paraId="6524F644" w14:textId="7ED964F4" w:rsidR="00EF698C" w:rsidRPr="00405174" w:rsidRDefault="00EF698C" w:rsidP="00405174">
            <w:r w:rsidRPr="00405174">
              <w:t xml:space="preserve">Referrals </w:t>
            </w:r>
            <w:r w:rsidR="00645BE5" w:rsidRPr="00405174">
              <w:t xml:space="preserve">by committees </w:t>
            </w:r>
            <w:r w:rsidRPr="00405174">
              <w:t xml:space="preserve">to Chief Executive Medicare/regulatory authority for suspected fraud </w:t>
            </w:r>
          </w:p>
        </w:tc>
      </w:tr>
      <w:tr w:rsidR="00EF698C" w14:paraId="62A8A082" w14:textId="77777777" w:rsidTr="004A77D7">
        <w:tc>
          <w:tcPr>
            <w:tcW w:w="644" w:type="pct"/>
          </w:tcPr>
          <w:p w14:paraId="04CA55DF" w14:textId="0865E300" w:rsidR="00EF698C" w:rsidRDefault="00EF698C" w:rsidP="00FE4CCF">
            <w:pPr>
              <w:pStyle w:val="TabletextLeft"/>
              <w:rPr>
                <w:lang w:eastAsia="en-AU"/>
              </w:rPr>
            </w:pPr>
            <w:r w:rsidRPr="1869976B">
              <w:t>2017</w:t>
            </w:r>
            <w:r w:rsidR="00CA6D48">
              <w:t>–</w:t>
            </w:r>
            <w:r w:rsidRPr="1869976B">
              <w:t>18</w:t>
            </w:r>
          </w:p>
        </w:tc>
        <w:tc>
          <w:tcPr>
            <w:tcW w:w="670" w:type="pct"/>
          </w:tcPr>
          <w:p w14:paraId="614D06E7" w14:textId="3F324320" w:rsidR="00EF698C" w:rsidRDefault="00EF698C" w:rsidP="00FE4CCF">
            <w:pPr>
              <w:pStyle w:val="TabletextLeft"/>
              <w:rPr>
                <w:lang w:eastAsia="en-AU"/>
              </w:rPr>
            </w:pPr>
            <w:r w:rsidRPr="1869976B">
              <w:t>109</w:t>
            </w:r>
          </w:p>
        </w:tc>
        <w:tc>
          <w:tcPr>
            <w:tcW w:w="676" w:type="pct"/>
          </w:tcPr>
          <w:p w14:paraId="630EC347" w14:textId="0645FEDE" w:rsidR="00EF698C" w:rsidRDefault="00EF698C" w:rsidP="00FE4CCF">
            <w:pPr>
              <w:pStyle w:val="TabletextLeft"/>
              <w:rPr>
                <w:lang w:eastAsia="en-AU"/>
              </w:rPr>
            </w:pPr>
            <w:r w:rsidRPr="1869976B">
              <w:t>1</w:t>
            </w:r>
          </w:p>
        </w:tc>
        <w:tc>
          <w:tcPr>
            <w:tcW w:w="687" w:type="pct"/>
          </w:tcPr>
          <w:p w14:paraId="48666232" w14:textId="464F2EC4" w:rsidR="00EF698C" w:rsidRDefault="00EF698C" w:rsidP="00FE4CCF">
            <w:pPr>
              <w:pStyle w:val="TabletextLeft"/>
              <w:rPr>
                <w:lang w:eastAsia="en-AU"/>
              </w:rPr>
            </w:pPr>
            <w:r w:rsidRPr="1869976B">
              <w:t>49</w:t>
            </w:r>
          </w:p>
        </w:tc>
        <w:tc>
          <w:tcPr>
            <w:tcW w:w="687" w:type="pct"/>
          </w:tcPr>
          <w:p w14:paraId="1AD1E51E" w14:textId="66C1DDCE" w:rsidR="00EF698C" w:rsidRDefault="00EF698C" w:rsidP="00FE4CCF">
            <w:pPr>
              <w:pStyle w:val="TabletextLeft"/>
              <w:rPr>
                <w:lang w:eastAsia="en-AU"/>
              </w:rPr>
            </w:pPr>
            <w:r w:rsidRPr="1869976B">
              <w:t>19</w:t>
            </w:r>
          </w:p>
        </w:tc>
        <w:tc>
          <w:tcPr>
            <w:tcW w:w="703" w:type="pct"/>
          </w:tcPr>
          <w:p w14:paraId="014F7849" w14:textId="3667286A" w:rsidR="00EF698C" w:rsidRDefault="00EF698C" w:rsidP="00FE4CCF">
            <w:pPr>
              <w:pStyle w:val="TabletextLeft"/>
              <w:rPr>
                <w:lang w:eastAsia="en-AU"/>
              </w:rPr>
            </w:pPr>
            <w:r w:rsidRPr="1869976B">
              <w:t>14</w:t>
            </w:r>
          </w:p>
        </w:tc>
        <w:tc>
          <w:tcPr>
            <w:tcW w:w="933" w:type="pct"/>
          </w:tcPr>
          <w:p w14:paraId="60C62777" w14:textId="2E8638A9" w:rsidR="00EF698C" w:rsidRDefault="00EF698C" w:rsidP="00FE4CCF">
            <w:pPr>
              <w:pStyle w:val="TabletextLeft"/>
              <w:rPr>
                <w:lang w:eastAsia="en-AU"/>
              </w:rPr>
            </w:pPr>
            <w:r w:rsidRPr="1869976B">
              <w:t>1</w:t>
            </w:r>
          </w:p>
        </w:tc>
      </w:tr>
      <w:tr w:rsidR="00EF698C" w14:paraId="1F84A853" w14:textId="77777777" w:rsidTr="004A77D7">
        <w:tc>
          <w:tcPr>
            <w:tcW w:w="644" w:type="pct"/>
          </w:tcPr>
          <w:p w14:paraId="7A22943C" w14:textId="7D632D52" w:rsidR="00EF698C" w:rsidRDefault="00EF698C" w:rsidP="00FE4CCF">
            <w:pPr>
              <w:pStyle w:val="TabletextLeft"/>
              <w:rPr>
                <w:lang w:eastAsia="en-AU"/>
              </w:rPr>
            </w:pPr>
            <w:r w:rsidRPr="1869976B">
              <w:t>2018</w:t>
            </w:r>
            <w:r w:rsidR="00CA6D48">
              <w:t>–</w:t>
            </w:r>
            <w:r w:rsidRPr="1869976B">
              <w:t>19</w:t>
            </w:r>
          </w:p>
        </w:tc>
        <w:tc>
          <w:tcPr>
            <w:tcW w:w="670" w:type="pct"/>
          </w:tcPr>
          <w:p w14:paraId="1B9DA90D" w14:textId="063464D0" w:rsidR="00EF698C" w:rsidRDefault="00EF698C" w:rsidP="00FE4CCF">
            <w:pPr>
              <w:pStyle w:val="TabletextLeft"/>
              <w:rPr>
                <w:lang w:eastAsia="en-AU"/>
              </w:rPr>
            </w:pPr>
            <w:r w:rsidRPr="1869976B">
              <w:t>101</w:t>
            </w:r>
          </w:p>
        </w:tc>
        <w:tc>
          <w:tcPr>
            <w:tcW w:w="676" w:type="pct"/>
          </w:tcPr>
          <w:p w14:paraId="0A6B16E4" w14:textId="230C39C9" w:rsidR="00EF698C" w:rsidRDefault="00EF698C" w:rsidP="00FE4CCF">
            <w:pPr>
              <w:pStyle w:val="TabletextLeft"/>
              <w:rPr>
                <w:lang w:eastAsia="en-AU"/>
              </w:rPr>
            </w:pPr>
            <w:r w:rsidRPr="1869976B">
              <w:t>2</w:t>
            </w:r>
          </w:p>
        </w:tc>
        <w:tc>
          <w:tcPr>
            <w:tcW w:w="687" w:type="pct"/>
          </w:tcPr>
          <w:p w14:paraId="4959E106" w14:textId="27118CAB" w:rsidR="00EF698C" w:rsidRDefault="00EF698C" w:rsidP="00FE4CCF">
            <w:pPr>
              <w:pStyle w:val="TabletextLeft"/>
              <w:rPr>
                <w:lang w:eastAsia="en-AU"/>
              </w:rPr>
            </w:pPr>
            <w:r w:rsidRPr="1869976B">
              <w:t>90</w:t>
            </w:r>
          </w:p>
        </w:tc>
        <w:tc>
          <w:tcPr>
            <w:tcW w:w="687" w:type="pct"/>
          </w:tcPr>
          <w:p w14:paraId="181A85DD" w14:textId="674E3BE2" w:rsidR="00EF698C" w:rsidRDefault="00EF698C" w:rsidP="00FE4CCF">
            <w:pPr>
              <w:pStyle w:val="TabletextLeft"/>
              <w:rPr>
                <w:lang w:eastAsia="en-AU"/>
              </w:rPr>
            </w:pPr>
            <w:r w:rsidRPr="1869976B">
              <w:t>19</w:t>
            </w:r>
          </w:p>
        </w:tc>
        <w:tc>
          <w:tcPr>
            <w:tcW w:w="703" w:type="pct"/>
          </w:tcPr>
          <w:p w14:paraId="4C8E2B3A" w14:textId="3F5C3D0B" w:rsidR="00EF698C" w:rsidRDefault="00EF698C" w:rsidP="00FE4CCF">
            <w:pPr>
              <w:pStyle w:val="TabletextLeft"/>
              <w:rPr>
                <w:lang w:eastAsia="en-AU"/>
              </w:rPr>
            </w:pPr>
            <w:r w:rsidRPr="1869976B">
              <w:t>15</w:t>
            </w:r>
          </w:p>
        </w:tc>
        <w:tc>
          <w:tcPr>
            <w:tcW w:w="933" w:type="pct"/>
          </w:tcPr>
          <w:p w14:paraId="051D35E7" w14:textId="509EB712" w:rsidR="00EF698C" w:rsidRDefault="00EF698C" w:rsidP="00FE4CCF">
            <w:pPr>
              <w:pStyle w:val="TabletextLeft"/>
              <w:rPr>
                <w:lang w:eastAsia="en-AU"/>
              </w:rPr>
            </w:pPr>
            <w:r w:rsidRPr="1869976B">
              <w:t>2</w:t>
            </w:r>
          </w:p>
        </w:tc>
      </w:tr>
      <w:tr w:rsidR="00EF698C" w14:paraId="06F2D9AF" w14:textId="77777777" w:rsidTr="004A77D7">
        <w:tc>
          <w:tcPr>
            <w:tcW w:w="644" w:type="pct"/>
          </w:tcPr>
          <w:p w14:paraId="3F3A3598" w14:textId="6EC364E2" w:rsidR="00EF698C" w:rsidRDefault="00EF698C" w:rsidP="00FE4CCF">
            <w:pPr>
              <w:pStyle w:val="TabletextLeft"/>
              <w:rPr>
                <w:lang w:eastAsia="en-AU"/>
              </w:rPr>
            </w:pPr>
            <w:r w:rsidRPr="1869976B">
              <w:t>2019</w:t>
            </w:r>
            <w:r w:rsidR="00CA6D48">
              <w:t>–</w:t>
            </w:r>
            <w:r w:rsidRPr="1869976B">
              <w:t>20</w:t>
            </w:r>
          </w:p>
        </w:tc>
        <w:tc>
          <w:tcPr>
            <w:tcW w:w="670" w:type="pct"/>
          </w:tcPr>
          <w:p w14:paraId="3726DFF6" w14:textId="42F9B220" w:rsidR="00EF698C" w:rsidRDefault="00EF698C" w:rsidP="00FE4CCF">
            <w:pPr>
              <w:pStyle w:val="TabletextLeft"/>
              <w:rPr>
                <w:lang w:eastAsia="en-AU"/>
              </w:rPr>
            </w:pPr>
            <w:r w:rsidRPr="1869976B">
              <w:t>127</w:t>
            </w:r>
          </w:p>
        </w:tc>
        <w:tc>
          <w:tcPr>
            <w:tcW w:w="676" w:type="pct"/>
          </w:tcPr>
          <w:p w14:paraId="696AAEBD" w14:textId="00333E62" w:rsidR="00EF698C" w:rsidRDefault="00EF698C" w:rsidP="00FE4CCF">
            <w:pPr>
              <w:pStyle w:val="TabletextLeft"/>
              <w:rPr>
                <w:lang w:eastAsia="en-AU"/>
              </w:rPr>
            </w:pPr>
            <w:r w:rsidRPr="1869976B">
              <w:t>5</w:t>
            </w:r>
          </w:p>
        </w:tc>
        <w:tc>
          <w:tcPr>
            <w:tcW w:w="687" w:type="pct"/>
          </w:tcPr>
          <w:p w14:paraId="3CBE88B7" w14:textId="48ECF763" w:rsidR="00EF698C" w:rsidRDefault="00EF698C" w:rsidP="00FE4CCF">
            <w:pPr>
              <w:pStyle w:val="TabletextLeft"/>
              <w:rPr>
                <w:lang w:eastAsia="en-AU"/>
              </w:rPr>
            </w:pPr>
            <w:r w:rsidRPr="1869976B">
              <w:t>78</w:t>
            </w:r>
          </w:p>
        </w:tc>
        <w:tc>
          <w:tcPr>
            <w:tcW w:w="687" w:type="pct"/>
          </w:tcPr>
          <w:p w14:paraId="748F9836" w14:textId="45DB7D3D" w:rsidR="00EF698C" w:rsidRDefault="00EF698C" w:rsidP="00FE4CCF">
            <w:pPr>
              <w:pStyle w:val="TabletextLeft"/>
              <w:rPr>
                <w:lang w:eastAsia="en-AU"/>
              </w:rPr>
            </w:pPr>
            <w:r w:rsidRPr="1869976B">
              <w:t>16</w:t>
            </w:r>
          </w:p>
        </w:tc>
        <w:tc>
          <w:tcPr>
            <w:tcW w:w="703" w:type="pct"/>
          </w:tcPr>
          <w:p w14:paraId="43CF579D" w14:textId="10606115" w:rsidR="00EF698C" w:rsidRDefault="00EF698C" w:rsidP="00FE4CCF">
            <w:pPr>
              <w:pStyle w:val="TabletextLeft"/>
              <w:rPr>
                <w:lang w:eastAsia="en-AU"/>
              </w:rPr>
            </w:pPr>
            <w:r w:rsidRPr="1869976B">
              <w:t>20</w:t>
            </w:r>
          </w:p>
        </w:tc>
        <w:tc>
          <w:tcPr>
            <w:tcW w:w="933" w:type="pct"/>
          </w:tcPr>
          <w:p w14:paraId="0460EF97" w14:textId="5C7926E3" w:rsidR="00EF698C" w:rsidRDefault="00EF698C" w:rsidP="00FE4CCF">
            <w:pPr>
              <w:pStyle w:val="TabletextLeft"/>
              <w:rPr>
                <w:lang w:eastAsia="en-AU"/>
              </w:rPr>
            </w:pPr>
            <w:r w:rsidRPr="1869976B">
              <w:t>3</w:t>
            </w:r>
          </w:p>
        </w:tc>
      </w:tr>
      <w:tr w:rsidR="00EF698C" w14:paraId="2841C2B2" w14:textId="77777777" w:rsidTr="004A77D7">
        <w:tc>
          <w:tcPr>
            <w:tcW w:w="644" w:type="pct"/>
          </w:tcPr>
          <w:p w14:paraId="2D95C5B9" w14:textId="590236B9" w:rsidR="00EF698C" w:rsidRDefault="00EF698C" w:rsidP="00FE4CCF">
            <w:pPr>
              <w:pStyle w:val="TabletextLeft"/>
              <w:rPr>
                <w:lang w:eastAsia="en-AU"/>
              </w:rPr>
            </w:pPr>
            <w:r w:rsidRPr="1869976B">
              <w:t>2020</w:t>
            </w:r>
            <w:r w:rsidR="00CA6D48">
              <w:t>–</w:t>
            </w:r>
            <w:r w:rsidRPr="1869976B">
              <w:t>21</w:t>
            </w:r>
          </w:p>
        </w:tc>
        <w:tc>
          <w:tcPr>
            <w:tcW w:w="670" w:type="pct"/>
          </w:tcPr>
          <w:p w14:paraId="65CF180E" w14:textId="58FA7E95" w:rsidR="00EF698C" w:rsidRDefault="00EF698C" w:rsidP="00FE4CCF">
            <w:pPr>
              <w:pStyle w:val="TabletextLeft"/>
              <w:rPr>
                <w:lang w:eastAsia="en-AU"/>
              </w:rPr>
            </w:pPr>
            <w:r w:rsidRPr="1869976B">
              <w:t>73</w:t>
            </w:r>
          </w:p>
        </w:tc>
        <w:tc>
          <w:tcPr>
            <w:tcW w:w="676" w:type="pct"/>
          </w:tcPr>
          <w:p w14:paraId="54DAC6B9" w14:textId="1CD6EF8D" w:rsidR="00EF698C" w:rsidRDefault="00EF698C" w:rsidP="00FE4CCF">
            <w:pPr>
              <w:pStyle w:val="TabletextLeft"/>
              <w:rPr>
                <w:lang w:eastAsia="en-AU"/>
              </w:rPr>
            </w:pPr>
            <w:r w:rsidRPr="1869976B">
              <w:t>6</w:t>
            </w:r>
          </w:p>
        </w:tc>
        <w:tc>
          <w:tcPr>
            <w:tcW w:w="687" w:type="pct"/>
          </w:tcPr>
          <w:p w14:paraId="680687CA" w14:textId="7CB0AA64" w:rsidR="00EF698C" w:rsidRDefault="00EF698C" w:rsidP="00FE4CCF">
            <w:pPr>
              <w:pStyle w:val="TabletextLeft"/>
              <w:rPr>
                <w:lang w:eastAsia="en-AU"/>
              </w:rPr>
            </w:pPr>
            <w:r w:rsidRPr="1869976B">
              <w:t>90</w:t>
            </w:r>
          </w:p>
        </w:tc>
        <w:tc>
          <w:tcPr>
            <w:tcW w:w="687" w:type="pct"/>
          </w:tcPr>
          <w:p w14:paraId="5D942F64" w14:textId="2085CB0C" w:rsidR="00EF698C" w:rsidRDefault="00EF698C" w:rsidP="00FE4CCF">
            <w:pPr>
              <w:pStyle w:val="TabletextLeft"/>
              <w:rPr>
                <w:lang w:eastAsia="en-AU"/>
              </w:rPr>
            </w:pPr>
            <w:r w:rsidRPr="1869976B">
              <w:t>12</w:t>
            </w:r>
          </w:p>
        </w:tc>
        <w:tc>
          <w:tcPr>
            <w:tcW w:w="703" w:type="pct"/>
          </w:tcPr>
          <w:p w14:paraId="18EAF575" w14:textId="47CB43A1" w:rsidR="00EF698C" w:rsidRDefault="00EF698C" w:rsidP="00FE4CCF">
            <w:pPr>
              <w:pStyle w:val="TabletextLeft"/>
              <w:rPr>
                <w:lang w:eastAsia="en-AU"/>
              </w:rPr>
            </w:pPr>
            <w:r w:rsidRPr="1869976B">
              <w:t>22</w:t>
            </w:r>
          </w:p>
        </w:tc>
        <w:tc>
          <w:tcPr>
            <w:tcW w:w="933" w:type="pct"/>
          </w:tcPr>
          <w:p w14:paraId="08D75316" w14:textId="5BEE6123" w:rsidR="00EF698C" w:rsidRDefault="00EF698C" w:rsidP="00FE4CCF">
            <w:pPr>
              <w:pStyle w:val="TabletextLeft"/>
              <w:rPr>
                <w:lang w:eastAsia="en-AU"/>
              </w:rPr>
            </w:pPr>
            <w:r w:rsidRPr="1869976B">
              <w:t>1</w:t>
            </w:r>
          </w:p>
        </w:tc>
      </w:tr>
      <w:tr w:rsidR="00EF698C" w14:paraId="319BD9BC" w14:textId="77777777" w:rsidTr="004A77D7">
        <w:tc>
          <w:tcPr>
            <w:tcW w:w="644" w:type="pct"/>
          </w:tcPr>
          <w:p w14:paraId="7DD6F051" w14:textId="44FA4487" w:rsidR="00EF698C" w:rsidRDefault="00EF698C" w:rsidP="00FE4CCF">
            <w:pPr>
              <w:pStyle w:val="TabletextLeft"/>
              <w:rPr>
                <w:lang w:eastAsia="en-AU"/>
              </w:rPr>
            </w:pPr>
            <w:r w:rsidRPr="1869976B">
              <w:t>2021</w:t>
            </w:r>
            <w:r w:rsidR="00CA6D48">
              <w:t>–</w:t>
            </w:r>
            <w:r w:rsidRPr="1869976B">
              <w:t>22</w:t>
            </w:r>
          </w:p>
        </w:tc>
        <w:tc>
          <w:tcPr>
            <w:tcW w:w="670" w:type="pct"/>
          </w:tcPr>
          <w:p w14:paraId="39CE4278" w14:textId="2BB2B2C2" w:rsidR="00EF698C" w:rsidRDefault="00EF698C" w:rsidP="00FE4CCF">
            <w:pPr>
              <w:pStyle w:val="TabletextLeft"/>
              <w:rPr>
                <w:lang w:eastAsia="en-AU"/>
              </w:rPr>
            </w:pPr>
            <w:r w:rsidRPr="1869976B">
              <w:t>108</w:t>
            </w:r>
          </w:p>
        </w:tc>
        <w:tc>
          <w:tcPr>
            <w:tcW w:w="676" w:type="pct"/>
          </w:tcPr>
          <w:p w14:paraId="38D8D6ED" w14:textId="01808D07" w:rsidR="00EF698C" w:rsidRDefault="00EF698C" w:rsidP="00FE4CCF">
            <w:pPr>
              <w:pStyle w:val="TabletextLeft"/>
              <w:rPr>
                <w:lang w:eastAsia="en-AU"/>
              </w:rPr>
            </w:pPr>
            <w:r w:rsidRPr="1869976B">
              <w:t>6</w:t>
            </w:r>
          </w:p>
        </w:tc>
        <w:tc>
          <w:tcPr>
            <w:tcW w:w="687" w:type="pct"/>
          </w:tcPr>
          <w:p w14:paraId="71BA1A10" w14:textId="3BAF0322" w:rsidR="00EF698C" w:rsidRDefault="00EF698C" w:rsidP="00FE4CCF">
            <w:pPr>
              <w:pStyle w:val="TabletextLeft"/>
              <w:rPr>
                <w:lang w:eastAsia="en-AU"/>
              </w:rPr>
            </w:pPr>
            <w:r w:rsidRPr="1869976B">
              <w:t>57</w:t>
            </w:r>
          </w:p>
        </w:tc>
        <w:tc>
          <w:tcPr>
            <w:tcW w:w="687" w:type="pct"/>
          </w:tcPr>
          <w:p w14:paraId="0B86BB19" w14:textId="44181508" w:rsidR="00EF698C" w:rsidRDefault="00EF698C" w:rsidP="00FE4CCF">
            <w:pPr>
              <w:pStyle w:val="TabletextLeft"/>
              <w:rPr>
                <w:lang w:eastAsia="en-AU"/>
              </w:rPr>
            </w:pPr>
            <w:r w:rsidRPr="1869976B">
              <w:t>15</w:t>
            </w:r>
          </w:p>
        </w:tc>
        <w:tc>
          <w:tcPr>
            <w:tcW w:w="703" w:type="pct"/>
          </w:tcPr>
          <w:p w14:paraId="4AC4551F" w14:textId="6AEBA580" w:rsidR="00EF698C" w:rsidRDefault="00EF698C" w:rsidP="00FE4CCF">
            <w:pPr>
              <w:pStyle w:val="TabletextLeft"/>
              <w:rPr>
                <w:lang w:eastAsia="en-AU"/>
              </w:rPr>
            </w:pPr>
            <w:r w:rsidRPr="1869976B">
              <w:t>22</w:t>
            </w:r>
          </w:p>
        </w:tc>
        <w:tc>
          <w:tcPr>
            <w:tcW w:w="933" w:type="pct"/>
          </w:tcPr>
          <w:p w14:paraId="69025216" w14:textId="6D391848" w:rsidR="00EF698C" w:rsidRDefault="00EF698C" w:rsidP="00FE4CCF">
            <w:pPr>
              <w:pStyle w:val="TabletextLeft"/>
              <w:rPr>
                <w:lang w:eastAsia="en-AU"/>
              </w:rPr>
            </w:pPr>
            <w:r w:rsidRPr="1869976B">
              <w:t>3</w:t>
            </w:r>
          </w:p>
        </w:tc>
      </w:tr>
      <w:tr w:rsidR="00EF698C" w14:paraId="0297982C" w14:textId="77777777" w:rsidTr="00EF698C">
        <w:tc>
          <w:tcPr>
            <w:tcW w:w="644" w:type="pct"/>
          </w:tcPr>
          <w:p w14:paraId="4D41EADF" w14:textId="42657ADE" w:rsidR="00EF698C" w:rsidRDefault="00EF698C" w:rsidP="00FE4CCF">
            <w:pPr>
              <w:pStyle w:val="TabletextLeft"/>
              <w:rPr>
                <w:lang w:eastAsia="en-AU"/>
              </w:rPr>
            </w:pPr>
            <w:r w:rsidRPr="004A77D7">
              <w:t>Total</w:t>
            </w:r>
          </w:p>
        </w:tc>
        <w:tc>
          <w:tcPr>
            <w:tcW w:w="670" w:type="pct"/>
          </w:tcPr>
          <w:p w14:paraId="74DC4918" w14:textId="4A27621A" w:rsidR="00EF698C" w:rsidRDefault="00EF698C" w:rsidP="00FE4CCF">
            <w:pPr>
              <w:pStyle w:val="TabletextLeft"/>
              <w:rPr>
                <w:lang w:eastAsia="en-AU"/>
              </w:rPr>
            </w:pPr>
            <w:r w:rsidRPr="004A77D7">
              <w:rPr>
                <w:color w:val="000000"/>
              </w:rPr>
              <w:t>518</w:t>
            </w:r>
          </w:p>
        </w:tc>
        <w:tc>
          <w:tcPr>
            <w:tcW w:w="676" w:type="pct"/>
          </w:tcPr>
          <w:p w14:paraId="41ED26FD" w14:textId="63EB55E9" w:rsidR="00EF698C" w:rsidRDefault="00EF698C" w:rsidP="00FE4CCF">
            <w:pPr>
              <w:pStyle w:val="TabletextLeft"/>
              <w:rPr>
                <w:lang w:eastAsia="en-AU"/>
              </w:rPr>
            </w:pPr>
            <w:r w:rsidRPr="004A77D7">
              <w:rPr>
                <w:color w:val="000000"/>
              </w:rPr>
              <w:t>20</w:t>
            </w:r>
          </w:p>
        </w:tc>
        <w:tc>
          <w:tcPr>
            <w:tcW w:w="687" w:type="pct"/>
          </w:tcPr>
          <w:p w14:paraId="41FD88C2" w14:textId="564BBD03" w:rsidR="00EF698C" w:rsidRDefault="00EF698C" w:rsidP="00FE4CCF">
            <w:pPr>
              <w:pStyle w:val="TabletextLeft"/>
              <w:rPr>
                <w:lang w:eastAsia="en-AU"/>
              </w:rPr>
            </w:pPr>
            <w:r w:rsidRPr="004A77D7">
              <w:rPr>
                <w:color w:val="000000"/>
              </w:rPr>
              <w:t>364</w:t>
            </w:r>
          </w:p>
        </w:tc>
        <w:tc>
          <w:tcPr>
            <w:tcW w:w="687" w:type="pct"/>
          </w:tcPr>
          <w:p w14:paraId="367453F1" w14:textId="329EEF1D" w:rsidR="00EF698C" w:rsidRDefault="00EF698C" w:rsidP="00FE4CCF">
            <w:pPr>
              <w:pStyle w:val="TabletextLeft"/>
              <w:rPr>
                <w:lang w:eastAsia="en-AU"/>
              </w:rPr>
            </w:pPr>
            <w:r w:rsidRPr="004A77D7">
              <w:rPr>
                <w:color w:val="000000"/>
              </w:rPr>
              <w:t>81</w:t>
            </w:r>
          </w:p>
        </w:tc>
        <w:tc>
          <w:tcPr>
            <w:tcW w:w="703" w:type="pct"/>
          </w:tcPr>
          <w:p w14:paraId="27C519BF" w14:textId="1647E8E8" w:rsidR="00EF698C" w:rsidRDefault="00EF698C" w:rsidP="00FE4CCF">
            <w:pPr>
              <w:pStyle w:val="TabletextLeft"/>
              <w:rPr>
                <w:lang w:eastAsia="en-AU"/>
              </w:rPr>
            </w:pPr>
            <w:r w:rsidRPr="004A77D7">
              <w:rPr>
                <w:color w:val="000000"/>
              </w:rPr>
              <w:t>93</w:t>
            </w:r>
          </w:p>
        </w:tc>
        <w:tc>
          <w:tcPr>
            <w:tcW w:w="933" w:type="pct"/>
          </w:tcPr>
          <w:p w14:paraId="4F797C04" w14:textId="5FBEB6B0" w:rsidR="00EF698C" w:rsidRDefault="00EF698C" w:rsidP="00FE4CCF">
            <w:pPr>
              <w:pStyle w:val="TabletextLeft"/>
              <w:rPr>
                <w:lang w:eastAsia="en-AU"/>
              </w:rPr>
            </w:pPr>
            <w:r w:rsidRPr="004A77D7">
              <w:rPr>
                <w:color w:val="000000"/>
              </w:rPr>
              <w:t>10</w:t>
            </w:r>
          </w:p>
        </w:tc>
      </w:tr>
    </w:tbl>
    <w:p w14:paraId="5E1FE7D2" w14:textId="5023C968" w:rsidR="007629C6" w:rsidRPr="001C4E56" w:rsidRDefault="000F45C0" w:rsidP="004A77D7">
      <w:pPr>
        <w:pStyle w:val="Caption"/>
      </w:pPr>
      <w:r>
        <w:t xml:space="preserve">Source: Philip Review (2023) </w:t>
      </w:r>
    </w:p>
    <w:sectPr w:rsidR="007629C6" w:rsidRPr="001C4E56" w:rsidSect="008F226B">
      <w:pgSz w:w="11906" w:h="16838" w:code="9"/>
      <w:pgMar w:top="993" w:right="720" w:bottom="720" w:left="720" w:header="680" w:footer="425"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E8820" w14:textId="77777777" w:rsidR="000B7AB4" w:rsidRDefault="000B7AB4" w:rsidP="001C4E56"/>
  </w:endnote>
  <w:endnote w:type="continuationSeparator" w:id="0">
    <w:p w14:paraId="623B3330" w14:textId="77777777" w:rsidR="000B7AB4" w:rsidRDefault="000B7AB4" w:rsidP="001C4E56">
      <w:r>
        <w:continuationSeparator/>
      </w:r>
    </w:p>
  </w:endnote>
  <w:endnote w:type="continuationNotice" w:id="1">
    <w:p w14:paraId="4E1AB458" w14:textId="77777777" w:rsidR="000B7AB4" w:rsidRDefault="000B7A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ansRegular">
    <w:altName w:val="Calibri"/>
    <w:charset w:val="00"/>
    <w:family w:val="swiss"/>
    <w:pitch w:val="variable"/>
    <w:sig w:usb0="E00002EF" w:usb1="4000205B" w:usb2="00000028"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3544"/>
      <w:gridCol w:w="7002"/>
    </w:tblGrid>
    <w:tr w:rsidR="00137F51" w14:paraId="4EAAA2C5"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5512DF95" w14:textId="77777777" w:rsidR="00137F51" w:rsidRDefault="00137F51" w:rsidP="001C4E56">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1</w:t>
          </w:r>
          <w:r w:rsidRPr="006C4F67">
            <w:rPr>
              <w:rStyle w:val="PageNumber"/>
            </w:rPr>
            <w:fldChar w:fldCharType="end"/>
          </w:r>
        </w:p>
      </w:tc>
      <w:tc>
        <w:tcPr>
          <w:tcW w:w="7002" w:type="dxa"/>
          <w:vAlign w:val="bottom"/>
        </w:tcPr>
        <w:p w14:paraId="501848B8" w14:textId="77777777" w:rsidR="00137F51" w:rsidRPr="00904097" w:rsidRDefault="00137F51" w:rsidP="001C4E56">
          <w:pPr>
            <w:pStyle w:val="Footer"/>
          </w:pPr>
        </w:p>
      </w:tc>
    </w:tr>
  </w:tbl>
  <w:p w14:paraId="033336F0" w14:textId="77777777" w:rsidR="00137F51" w:rsidRDefault="00137F51" w:rsidP="001C4E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D35DD" w14:textId="3009E89C" w:rsidR="00137F51" w:rsidRPr="00FD7D79" w:rsidRDefault="00137F51" w:rsidP="001C4E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A792" w14:textId="76E458BF" w:rsidR="00A6563E" w:rsidRPr="00FD7D79" w:rsidRDefault="00A6563E" w:rsidP="001C4E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D6A0" w14:textId="77777777" w:rsidR="00137F51" w:rsidRPr="00672300" w:rsidRDefault="00137F51" w:rsidP="001C4E56">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3686B">
      <w:rPr>
        <w:rStyle w:val="PageNumber"/>
        <w:noProof/>
      </w:rPr>
      <w:t>i</w:t>
    </w:r>
    <w:r w:rsidRPr="006C4F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7E0F" w14:textId="6E5EBCC0" w:rsidR="007E7D93" w:rsidRPr="007E7D93" w:rsidRDefault="007E7D93" w:rsidP="001C4E56">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9</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8802E" w14:textId="77777777" w:rsidR="000B7AB4" w:rsidRDefault="000B7AB4" w:rsidP="001C4E56">
      <w:r>
        <w:separator/>
      </w:r>
    </w:p>
  </w:footnote>
  <w:footnote w:type="continuationSeparator" w:id="0">
    <w:p w14:paraId="634F0193" w14:textId="77777777" w:rsidR="000B7AB4" w:rsidRDefault="000B7AB4" w:rsidP="001C4E56">
      <w:r>
        <w:continuationSeparator/>
      </w:r>
    </w:p>
  </w:footnote>
  <w:footnote w:type="continuationNotice" w:id="1">
    <w:p w14:paraId="31FD8A67" w14:textId="77777777" w:rsidR="000B7AB4" w:rsidRDefault="000B7AB4">
      <w:pPr>
        <w:spacing w:after="0" w:line="240" w:lineRule="auto"/>
      </w:pPr>
    </w:p>
  </w:footnote>
  <w:footnote w:id="2">
    <w:p w14:paraId="731F3356" w14:textId="77777777" w:rsidR="00B80894" w:rsidRDefault="00B80894" w:rsidP="00B80894">
      <w:pPr>
        <w:pStyle w:val="FootnoteText"/>
      </w:pPr>
      <w:r>
        <w:rPr>
          <w:rStyle w:val="FootnoteReference"/>
        </w:rPr>
        <w:footnoteRef/>
      </w:r>
      <w:r>
        <w:t xml:space="preserve"> Professional Service Review (2022), PSR Director’s update for November 2022, &gt;</w:t>
      </w:r>
      <w:r w:rsidRPr="00505331">
        <w:t>https://www.psr.gov.au/case-outcomes/psr-directors-update-november-2022</w:t>
      </w:r>
      <w:r>
        <w:t xml:space="preserve">&gt;, accessed on 3 February 2023. </w:t>
      </w:r>
    </w:p>
  </w:footnote>
  <w:footnote w:id="3">
    <w:p w14:paraId="6EECEB1B" w14:textId="77777777" w:rsidR="00887B65" w:rsidRPr="00931768" w:rsidRDefault="00887B65" w:rsidP="00887B65">
      <w:pPr>
        <w:pStyle w:val="FootnoteText"/>
      </w:pPr>
      <w:r>
        <w:rPr>
          <w:rStyle w:val="FootnoteReference"/>
        </w:rPr>
        <w:footnoteRef/>
      </w:r>
      <w:r>
        <w:t xml:space="preserve"> Services Australia, </w:t>
      </w:r>
      <w:r>
        <w:rPr>
          <w:i/>
          <w:iCs/>
        </w:rPr>
        <w:t>Medicare Benefits Claiming</w:t>
      </w:r>
      <w:r>
        <w:t>, 12 January 2023</w:t>
      </w:r>
    </w:p>
  </w:footnote>
  <w:footnote w:id="4">
    <w:p w14:paraId="107FE44D" w14:textId="24AA6505" w:rsidR="000110FD" w:rsidRPr="00E01A0A" w:rsidRDefault="000110FD">
      <w:pPr>
        <w:pStyle w:val="FootnoteText"/>
      </w:pPr>
      <w:r>
        <w:rPr>
          <w:rStyle w:val="FootnoteReference"/>
        </w:rPr>
        <w:footnoteRef/>
      </w:r>
      <w:r>
        <w:t xml:space="preserve"> Australian Government, </w:t>
      </w:r>
      <w:r>
        <w:rPr>
          <w:i/>
          <w:iCs/>
        </w:rPr>
        <w:t>C</w:t>
      </w:r>
      <w:r w:rsidR="007D6F31">
        <w:rPr>
          <w:i/>
          <w:iCs/>
        </w:rPr>
        <w:t xml:space="preserve">ompliance Protocol: Forming part of the </w:t>
      </w:r>
      <w:r w:rsidR="00E01A0A">
        <w:rPr>
          <w:i/>
          <w:iCs/>
        </w:rPr>
        <w:t>statement of intent between the Department of Health and Services Australia</w:t>
      </w:r>
      <w:r w:rsidR="00E01A0A">
        <w:t>, July 2021</w:t>
      </w:r>
    </w:p>
  </w:footnote>
  <w:footnote w:id="5">
    <w:p w14:paraId="6D7633BE" w14:textId="77777777" w:rsidR="00E65B6F" w:rsidRDefault="00E65B6F" w:rsidP="00E65B6F">
      <w:pPr>
        <w:pStyle w:val="FootnoteText"/>
      </w:pPr>
      <w:r>
        <w:rPr>
          <w:rStyle w:val="FootnoteReference"/>
        </w:rPr>
        <w:footnoteRef/>
      </w:r>
      <w:r>
        <w:t xml:space="preserve"> This is commonly misunderstood in public media publications</w:t>
      </w:r>
    </w:p>
  </w:footnote>
  <w:footnote w:id="6">
    <w:p w14:paraId="043E146E" w14:textId="3CA4FC2B" w:rsidR="006C4B93" w:rsidRDefault="006C4B93">
      <w:pPr>
        <w:pStyle w:val="FootnoteText"/>
      </w:pPr>
      <w:r>
        <w:rPr>
          <w:rStyle w:val="FootnoteReference"/>
        </w:rPr>
        <w:footnoteRef/>
      </w:r>
      <w:r>
        <w:t xml:space="preserve"> </w:t>
      </w:r>
      <w:r w:rsidR="00B5718C">
        <w:t xml:space="preserve">Australian Government, </w:t>
      </w:r>
      <w:r w:rsidR="00AF4B58">
        <w:rPr>
          <w:i/>
          <w:iCs/>
        </w:rPr>
        <w:t>Health provider Compliance Strategy 2021-22</w:t>
      </w:r>
      <w:r w:rsidR="00B5718C">
        <w:t xml:space="preserve">, </w:t>
      </w:r>
      <w:r w:rsidR="005A5682">
        <w:t>August</w:t>
      </w:r>
      <w:r w:rsidR="00B5718C">
        <w:t xml:space="preserve"> 2021</w:t>
      </w:r>
      <w:r w:rsidR="005A5682">
        <w:t xml:space="preserve"> </w:t>
      </w:r>
    </w:p>
  </w:footnote>
  <w:footnote w:id="7">
    <w:p w14:paraId="338F2A96" w14:textId="44570F8F" w:rsidR="00A13B8A" w:rsidRDefault="00A13B8A" w:rsidP="00A13B8A">
      <w:pPr>
        <w:pStyle w:val="FootnoteText"/>
      </w:pPr>
      <w:r>
        <w:rPr>
          <w:rStyle w:val="FootnoteReference"/>
        </w:rPr>
        <w:footnoteRef/>
      </w:r>
      <w:r>
        <w:t xml:space="preserve"> </w:t>
      </w:r>
      <w:r w:rsidR="003D43F5">
        <w:t xml:space="preserve">McKenzie, N. &amp; Ballinger, A. </w:t>
      </w:r>
      <w:r w:rsidR="00430EF9">
        <w:t>2022</w:t>
      </w:r>
      <w:r w:rsidR="003D43F5">
        <w:t xml:space="preserve"> </w:t>
      </w:r>
      <w:hyperlink r:id="rId1" w:history="1">
        <w:r w:rsidR="003D43F5" w:rsidRPr="00CA70BB">
          <w:rPr>
            <w:rStyle w:val="Hyperlink"/>
          </w:rPr>
          <w:t>https://www.smh.com.au/national/the-scumbag-scale-how-organised-crime-has-infiltrated-the-ndis-20220811-p5b95s.html</w:t>
        </w:r>
      </w:hyperlink>
      <w:r>
        <w:t xml:space="preserve"> </w:t>
      </w:r>
      <w:r w:rsidR="00430EF9">
        <w:t>Accessed February 2023</w:t>
      </w:r>
    </w:p>
  </w:footnote>
  <w:footnote w:id="8">
    <w:p w14:paraId="16618CBE" w14:textId="12F59D1F" w:rsidR="00A13B8A" w:rsidRDefault="00A13B8A" w:rsidP="00A13B8A">
      <w:pPr>
        <w:pStyle w:val="FootnoteText"/>
      </w:pPr>
      <w:r>
        <w:rPr>
          <w:rStyle w:val="FootnoteReference"/>
        </w:rPr>
        <w:footnoteRef/>
      </w:r>
      <w:r>
        <w:t xml:space="preserve"> </w:t>
      </w:r>
      <w:r w:rsidR="00250799">
        <w:t xml:space="preserve">Australian Government, </w:t>
      </w:r>
      <w:r w:rsidR="00250799">
        <w:rPr>
          <w:i/>
          <w:iCs/>
        </w:rPr>
        <w:t>Budget Paper No. 1</w:t>
      </w:r>
      <w:r w:rsidR="00DC7BE2">
        <w:rPr>
          <w:i/>
          <w:iCs/>
        </w:rPr>
        <w:t>,</w:t>
      </w:r>
      <w:r w:rsidR="00DC7BE2">
        <w:t xml:space="preserve"> October 2022</w:t>
      </w:r>
      <w:r>
        <w:t xml:space="preserve"> </w:t>
      </w:r>
    </w:p>
  </w:footnote>
  <w:footnote w:id="9">
    <w:p w14:paraId="2213665A" w14:textId="77777777" w:rsidR="00B66443" w:rsidRPr="00DC7BE2" w:rsidRDefault="00B66443" w:rsidP="00B66443">
      <w:pPr>
        <w:rPr>
          <w:sz w:val="16"/>
          <w:szCs w:val="20"/>
        </w:rPr>
      </w:pPr>
      <w:r w:rsidRPr="00934EC6">
        <w:rPr>
          <w:rStyle w:val="FootnoteReference"/>
          <w:sz w:val="16"/>
          <w:szCs w:val="16"/>
        </w:rPr>
        <w:footnoteRef/>
      </w:r>
      <w:r w:rsidRPr="00934EC6">
        <w:t xml:space="preserve"> </w:t>
      </w:r>
      <w:r w:rsidRPr="00DC7BE2">
        <w:rPr>
          <w:sz w:val="16"/>
          <w:szCs w:val="20"/>
        </w:rPr>
        <w:t>Inconsistency from peers in the initiation or provision of health services by a practitioner or entity are investigated by the PRP.</w:t>
      </w:r>
    </w:p>
  </w:footnote>
  <w:footnote w:id="10">
    <w:p w14:paraId="40F967A4" w14:textId="2B97709C" w:rsidR="009123DC" w:rsidRPr="00074205" w:rsidRDefault="009123DC" w:rsidP="009123DC">
      <w:pPr>
        <w:pStyle w:val="FootnoteText"/>
        <w:rPr>
          <w:lang w:eastAsia="zh-CN"/>
        </w:rPr>
      </w:pPr>
      <w:r>
        <w:rPr>
          <w:rStyle w:val="FootnoteReference"/>
        </w:rPr>
        <w:footnoteRef/>
      </w:r>
      <w:r>
        <w:t xml:space="preserve"> </w:t>
      </w:r>
      <w:r>
        <w:rPr>
          <w:lang w:eastAsia="zh-CN"/>
        </w:rPr>
        <w:t>PSR Corporate Plan 2021</w:t>
      </w:r>
      <w:r w:rsidR="00CA6D48">
        <w:t>–</w:t>
      </w:r>
      <w:r>
        <w:rPr>
          <w:lang w:eastAsia="zh-CN"/>
        </w:rPr>
        <w:t>22</w:t>
      </w:r>
    </w:p>
  </w:footnote>
  <w:footnote w:id="11">
    <w:p w14:paraId="24D2B95B" w14:textId="3177BEF4" w:rsidR="00EC451B" w:rsidRDefault="00EC451B" w:rsidP="00EC451B">
      <w:pPr>
        <w:pStyle w:val="FootnoteText"/>
        <w:rPr>
          <w:lang w:eastAsia="zh-CN"/>
        </w:rPr>
      </w:pPr>
      <w:r>
        <w:rPr>
          <w:rStyle w:val="FootnoteReference"/>
        </w:rPr>
        <w:footnoteRef/>
      </w:r>
      <w:r>
        <w:t xml:space="preserve"> </w:t>
      </w:r>
      <w:r w:rsidR="00902143">
        <w:t xml:space="preserve">Australian Government, </w:t>
      </w:r>
      <w:r w:rsidR="00902143">
        <w:rPr>
          <w:i/>
          <w:iCs/>
        </w:rPr>
        <w:t>Professional Services Review</w:t>
      </w:r>
      <w:r w:rsidR="005D38F3">
        <w:rPr>
          <w:i/>
          <w:iCs/>
        </w:rPr>
        <w:t xml:space="preserve"> Our People</w:t>
      </w:r>
      <w:r w:rsidR="00902143">
        <w:rPr>
          <w:i/>
          <w:iCs/>
        </w:rPr>
        <w:t>,</w:t>
      </w:r>
      <w:r w:rsidR="00D44AF8">
        <w:rPr>
          <w:i/>
          <w:iCs/>
        </w:rPr>
        <w:t xml:space="preserve"> </w:t>
      </w:r>
      <w:r w:rsidR="00685F7E" w:rsidRPr="00685F7E">
        <w:t>2022</w:t>
      </w:r>
      <w:r w:rsidR="00685F7E">
        <w:t>.</w:t>
      </w:r>
      <w:r>
        <w:t xml:space="preserve"> </w:t>
      </w:r>
    </w:p>
  </w:footnote>
  <w:footnote w:id="12">
    <w:p w14:paraId="50D3F2B1" w14:textId="77777777" w:rsidR="00AC5EE8" w:rsidRDefault="00AC5EE8" w:rsidP="00AC5EE8">
      <w:pPr>
        <w:pStyle w:val="FootnoteText"/>
      </w:pPr>
      <w:r>
        <w:rPr>
          <w:rStyle w:val="FootnoteReference"/>
        </w:rPr>
        <w:footnoteRef/>
      </w:r>
      <w:r>
        <w:t xml:space="preserve"> </w:t>
      </w:r>
      <w:r w:rsidRPr="004F1E78">
        <w:t>Professional Services Review. (2022). Organisational Structure. Australian Government. https://www.psr.gov.au/media/117</w:t>
      </w:r>
    </w:p>
  </w:footnote>
  <w:footnote w:id="13">
    <w:p w14:paraId="6147E3E0" w14:textId="77777777" w:rsidR="00EC451B" w:rsidRDefault="00EC451B" w:rsidP="00EC451B">
      <w:pPr>
        <w:pStyle w:val="FootnoteText"/>
      </w:pPr>
      <w:r w:rsidRPr="00934EC6">
        <w:rPr>
          <w:rStyle w:val="FootnoteReference"/>
          <w:szCs w:val="16"/>
        </w:rPr>
        <w:footnoteRef/>
      </w:r>
      <w:r w:rsidRPr="00934EC6">
        <w:t xml:space="preserve"> Professional Services Review. (2022). About the PSR scheme. </w:t>
      </w:r>
      <w:r w:rsidRPr="00934EC6">
        <w:rPr>
          <w:lang w:eastAsia="zh-CN"/>
        </w:rPr>
        <w:t>https://www.psr.gov.au/about-us</w:t>
      </w:r>
    </w:p>
  </w:footnote>
  <w:footnote w:id="14">
    <w:p w14:paraId="2F0489E6" w14:textId="77777777" w:rsidR="006A734C" w:rsidRDefault="006A734C" w:rsidP="006A734C">
      <w:pPr>
        <w:pStyle w:val="FootnoteText"/>
      </w:pPr>
      <w:r>
        <w:rPr>
          <w:rStyle w:val="FootnoteReference"/>
        </w:rPr>
        <w:footnoteRef/>
      </w:r>
      <w:r>
        <w:t xml:space="preserve"> Dr Faux was consulted during this review and provided an updated estimated value of Medicare fraud and errors than previously published in the media (approx. $8 billion). </w:t>
      </w:r>
    </w:p>
  </w:footnote>
  <w:footnote w:id="15">
    <w:p w14:paraId="5C2B18A4" w14:textId="77777777" w:rsidR="006A734C" w:rsidRDefault="006A734C" w:rsidP="006A734C">
      <w:pPr>
        <w:pStyle w:val="FootnoteText"/>
      </w:pPr>
      <w:r>
        <w:rPr>
          <w:rStyle w:val="FootnoteReference"/>
        </w:rPr>
        <w:footnoteRef/>
      </w:r>
      <w:r>
        <w:t xml:space="preserve"> Ferguson A and Gillett C, 2022, ‘’Medicare is haemorrhaging’: The rorts and waste costing taxpayers billions of dollars a year’, The Sydney Morning Herald, 17 October, </w:t>
      </w:r>
      <w:r w:rsidRPr="00B60D5A">
        <w:t>https://www.smh.com.au/politics/federal/medicare-is-haemorrhaging-the-rorts-and-waste-costing-taxpayers-billions-of-dollars-a-year-20221013-p5bpp9.html</w:t>
      </w:r>
      <w:r>
        <w:t xml:space="preserve">, accessed 14 February 2023. </w:t>
      </w:r>
    </w:p>
  </w:footnote>
  <w:footnote w:id="16">
    <w:p w14:paraId="1563EA78" w14:textId="02F2E92A" w:rsidR="00003291" w:rsidRDefault="00AD4185">
      <w:pPr>
        <w:pStyle w:val="FootnoteText"/>
      </w:pPr>
      <w:r>
        <w:rPr>
          <w:rStyle w:val="FootnoteReference"/>
        </w:rPr>
        <w:footnoteRef/>
      </w:r>
      <w:r>
        <w:t xml:space="preserve"> </w:t>
      </w:r>
      <w:r w:rsidR="007E0FDA">
        <w:t xml:space="preserve">2020 Estimated Improper Payment rates for Centres for Medicare and Medicaid Services Programs, </w:t>
      </w:r>
      <w:hyperlink r:id="rId2" w:history="1">
        <w:r w:rsidR="00C25128" w:rsidRPr="00C25128">
          <w:t>https://www.cms.gov/newsroom/fact-sheets/2020-estimated-improper-payment-rates-centers-medicare-medicaid-services-cms-programs</w:t>
        </w:r>
      </w:hyperlink>
      <w:r w:rsidR="00C25128">
        <w:t xml:space="preserve">, accessed 14 February 2023.  </w:t>
      </w:r>
    </w:p>
  </w:footnote>
  <w:footnote w:id="17">
    <w:p w14:paraId="64E65EEC" w14:textId="77777777" w:rsidR="00A4635A" w:rsidRDefault="00A4635A" w:rsidP="00A4635A">
      <w:pPr>
        <w:pStyle w:val="FootnoteText"/>
      </w:pPr>
      <w:r>
        <w:rPr>
          <w:rStyle w:val="FootnoteReference"/>
        </w:rPr>
        <w:footnoteRef/>
      </w:r>
      <w:r>
        <w:t xml:space="preserve"> Australian Prudential Regulation Authority (2018) Prudential Practice Guide CPG 220 Risk Management, &lt;</w:t>
      </w:r>
      <w:r w:rsidRPr="003D61F5">
        <w:t>https://www.apra.gov.au/sites/default/files/cpg_220_april_2018_version.pdf</w:t>
      </w:r>
      <w:r>
        <w:t xml:space="preserve">&gt;, accessed on 2 March 2023. </w:t>
      </w:r>
    </w:p>
  </w:footnote>
  <w:footnote w:id="18">
    <w:p w14:paraId="6944803E" w14:textId="0460D0C7" w:rsidR="00496988" w:rsidRDefault="00496988">
      <w:pPr>
        <w:pStyle w:val="FootnoteText"/>
      </w:pPr>
      <w:r>
        <w:rPr>
          <w:rStyle w:val="FootnoteReference"/>
        </w:rPr>
        <w:footnoteRef/>
      </w:r>
      <w:r>
        <w:t xml:space="preserve"> Robin Creyke and Dilip Dhupelia, </w:t>
      </w:r>
      <w:r>
        <w:rPr>
          <w:i/>
          <w:iCs/>
        </w:rPr>
        <w:t>Report on review of section 92 of the Health Insurance Act 1973 (Cth</w:t>
      </w:r>
      <w:r w:rsidRPr="000434CC">
        <w:t>)</w:t>
      </w:r>
      <w:r>
        <w:t>, August 2022</w:t>
      </w:r>
    </w:p>
  </w:footnote>
  <w:footnote w:id="19">
    <w:p w14:paraId="684202BC" w14:textId="41AD0E3A" w:rsidR="00487A3A" w:rsidRPr="00037C11" w:rsidRDefault="00487A3A">
      <w:pPr>
        <w:pStyle w:val="FootnoteText"/>
      </w:pPr>
      <w:r>
        <w:rPr>
          <w:rStyle w:val="FootnoteReference"/>
        </w:rPr>
        <w:footnoteRef/>
      </w:r>
      <w:r>
        <w:t xml:space="preserve"> </w:t>
      </w:r>
      <w:r w:rsidR="00515F44">
        <w:t>ABC News</w:t>
      </w:r>
      <w:r w:rsidR="00037C11">
        <w:t xml:space="preserve">, Adele Ferguson, </w:t>
      </w:r>
      <w:r w:rsidR="00037C11">
        <w:rPr>
          <w:i/>
          <w:iCs/>
        </w:rPr>
        <w:t>Expert estimates $8 billion a year lost to Medicare fraud and waste</w:t>
      </w:r>
      <w:r w:rsidR="00037C11">
        <w:t xml:space="preserve">, </w:t>
      </w:r>
      <w:r w:rsidR="00B305C0">
        <w:t>17 Oct 2022</w:t>
      </w:r>
    </w:p>
  </w:footnote>
  <w:footnote w:id="20">
    <w:p w14:paraId="788B6219" w14:textId="06409093" w:rsidR="00532ABD" w:rsidRPr="00532ABD" w:rsidRDefault="00532ABD">
      <w:pPr>
        <w:pStyle w:val="FootnoteText"/>
      </w:pPr>
      <w:r>
        <w:rPr>
          <w:rStyle w:val="FootnoteReference"/>
        </w:rPr>
        <w:footnoteRef/>
      </w:r>
      <w:r>
        <w:t xml:space="preserve"> The Sydney Morning Herald, Adele </w:t>
      </w:r>
      <w:proofErr w:type="gramStart"/>
      <w:r>
        <w:t>Ferguson</w:t>
      </w:r>
      <w:proofErr w:type="gramEnd"/>
      <w:r>
        <w:t xml:space="preserve"> and Chris Gillett, </w:t>
      </w:r>
      <w:r>
        <w:rPr>
          <w:i/>
          <w:iCs/>
        </w:rPr>
        <w:t>Mediare watchdog investigates just 0.07% of medicos each year</w:t>
      </w:r>
      <w:r>
        <w:t>, 24 Oct 2022</w:t>
      </w:r>
    </w:p>
  </w:footnote>
  <w:footnote w:id="21">
    <w:p w14:paraId="0F67671B" w14:textId="0304ED51" w:rsidR="008E6240" w:rsidRDefault="008E6240">
      <w:pPr>
        <w:pStyle w:val="FootnoteText"/>
      </w:pPr>
      <w:r>
        <w:rPr>
          <w:rStyle w:val="FootnoteReference"/>
        </w:rPr>
        <w:footnoteRef/>
      </w:r>
      <w:r>
        <w:t xml:space="preserve"> Robin Creyke and Dilip Dhupelia, </w:t>
      </w:r>
      <w:r>
        <w:rPr>
          <w:i/>
          <w:iCs/>
        </w:rPr>
        <w:t>Report on review of section 92 of the Health Insurance Act 1973 (Cth</w:t>
      </w:r>
      <w:r w:rsidRPr="000434CC">
        <w:t>)</w:t>
      </w:r>
      <w:r>
        <w:t>, August 2022</w:t>
      </w:r>
    </w:p>
  </w:footnote>
  <w:footnote w:id="22">
    <w:p w14:paraId="66E02DE1" w14:textId="6BC7EA82" w:rsidR="006C24B7" w:rsidRDefault="006C24B7" w:rsidP="006C24B7">
      <w:pPr>
        <w:pStyle w:val="FootnoteText"/>
      </w:pPr>
      <w:r>
        <w:rPr>
          <w:rStyle w:val="FootnoteReference"/>
        </w:rPr>
        <w:footnoteRef/>
      </w:r>
      <w:r>
        <w:t xml:space="preserve"> </w:t>
      </w:r>
      <w:r w:rsidR="003B3516">
        <w:t xml:space="preserve">Professional Services Review (2022) Professional Services Review </w:t>
      </w:r>
      <w:r>
        <w:t>Annual report 2021</w:t>
      </w:r>
      <w:r w:rsidR="00CA6D48">
        <w:t>–</w:t>
      </w:r>
      <w:r>
        <w:t>22</w:t>
      </w:r>
      <w:r w:rsidR="003B3516">
        <w:t>, &lt;</w:t>
      </w:r>
      <w:r w:rsidR="003B3516" w:rsidRPr="003B3516">
        <w:t>https://www.psr.gov.au/publications-and-resources/publications/annual-reports/annual-report-2021-22</w:t>
      </w:r>
      <w:r w:rsidR="003B3516">
        <w:t>&gt;, accessed 2 March 2023.</w:t>
      </w:r>
    </w:p>
  </w:footnote>
  <w:footnote w:id="23">
    <w:p w14:paraId="414D0AF2" w14:textId="14AB64E2" w:rsidR="006C24B7" w:rsidRDefault="006C24B7" w:rsidP="006C24B7">
      <w:pPr>
        <w:pStyle w:val="FootnoteText"/>
        <w:rPr>
          <w:rFonts w:asciiTheme="minorHAnsi" w:hAnsiTheme="minorHAnsi"/>
          <w:sz w:val="20"/>
        </w:rPr>
      </w:pPr>
      <w:r>
        <w:rPr>
          <w:rStyle w:val="FootnoteReference"/>
        </w:rPr>
        <w:footnoteRef/>
      </w:r>
      <w:r>
        <w:t xml:space="preserve"> </w:t>
      </w:r>
      <w:r w:rsidR="009565B7">
        <w:t>Professional Services Review (20</w:t>
      </w:r>
      <w:r w:rsidR="00806B22">
        <w:t>19</w:t>
      </w:r>
      <w:r w:rsidR="009565B7">
        <w:t xml:space="preserve">) Professional Services Review Annual report </w:t>
      </w:r>
      <w:r w:rsidR="00806B22">
        <w:t>2018</w:t>
      </w:r>
      <w:r w:rsidR="00CA6D48">
        <w:t>–</w:t>
      </w:r>
      <w:r w:rsidR="00806B22">
        <w:t>19</w:t>
      </w:r>
      <w:r w:rsidR="009565B7">
        <w:t>, &lt;</w:t>
      </w:r>
      <w:r w:rsidR="00806B22" w:rsidRPr="00806B22">
        <w:t xml:space="preserve"> https://www.psr.gov.au/publications-and-resources/publications/annual-reports/annual-report-2018-19</w:t>
      </w:r>
      <w:r w:rsidR="009565B7">
        <w:t>&gt;, accessed 2 March 2023.</w:t>
      </w:r>
    </w:p>
  </w:footnote>
  <w:footnote w:id="24">
    <w:p w14:paraId="43A9C992" w14:textId="0E49E7FA" w:rsidR="006C24B7" w:rsidRDefault="006C24B7" w:rsidP="006C24B7">
      <w:pPr>
        <w:pStyle w:val="FootnoteText"/>
      </w:pPr>
      <w:r>
        <w:rPr>
          <w:rStyle w:val="FootnoteReference"/>
        </w:rPr>
        <w:footnoteRef/>
      </w:r>
      <w:r>
        <w:t xml:space="preserve"> </w:t>
      </w:r>
      <w:r w:rsidR="009565B7">
        <w:t>Professional Services Review (2022) Professional Services Review Annual report 2021</w:t>
      </w:r>
      <w:r w:rsidR="00CA6D48">
        <w:t>–</w:t>
      </w:r>
      <w:r w:rsidR="009565B7">
        <w:t>22, &lt;</w:t>
      </w:r>
      <w:r w:rsidR="009565B7" w:rsidRPr="003B3516">
        <w:t>https://www.psr.gov.au/publications-and-resources/publications/annual-reports/annual-report-2021-22</w:t>
      </w:r>
      <w:r w:rsidR="009565B7">
        <w:t>&gt;, accessed 2 March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8769" w14:textId="77777777" w:rsidR="007B5522" w:rsidRDefault="008F226B" w:rsidP="00474643">
    <w:pPr>
      <w:pStyle w:val="Header"/>
    </w:pPr>
    <w:sdt>
      <w:sdtPr>
        <w:rPr>
          <w:lang w:val="en-US"/>
        </w:rPr>
        <w:alias w:val="Title"/>
        <w:id w:val="122897596"/>
        <w:placeholder>
          <w:docPart w:val="320FB5E9C79748E18DABFD65734C759E"/>
        </w:placeholder>
        <w:dataBinding w:prefixMappings="xmlns:ns0='http://purl.org/dc/elements/1.1/' xmlns:ns1='http://schemas.openxmlformats.org/package/2006/metadata/core-properties' " w:xpath="/ns1:coreProperties[1]/ns0:title[1]" w:storeItemID="{6C3C8BC8-F283-45AE-878A-BAB7291924A1}"/>
        <w:text/>
      </w:sdtPr>
      <w:sdtEndPr/>
      <w:sdtContent>
        <w:r w:rsidR="00C0214B">
          <w:rPr>
            <w:lang w:val="en-US"/>
          </w:rPr>
          <w:t>Independent Review of Medicare Integrity and Compliance</w:t>
        </w:r>
      </w:sdtContent>
    </w:sdt>
  </w:p>
  <w:p w14:paraId="29A2C58D" w14:textId="7A98D970" w:rsidR="00137F51" w:rsidRPr="00474643" w:rsidRDefault="00137F51"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5C3D" w14:textId="0A8F2A07" w:rsidR="00137F51" w:rsidRPr="00E24808" w:rsidRDefault="00137F51" w:rsidP="00612D76">
    <w:pPr>
      <w:pStyle w:val="Header"/>
      <w:spacing w:line="14" w:lineRule="exact"/>
      <w:rPr>
        <w:rFonts w:ascii="OpenSansRegular" w:hAnsi="OpenSansRegular" w:cs="OpenSansRegular"/>
      </w:rPr>
    </w:pPr>
  </w:p>
  <w:p w14:paraId="3C1D8A25" w14:textId="21017C73" w:rsidR="00612D76" w:rsidRPr="00E24808" w:rsidRDefault="008F226B" w:rsidP="00474643">
    <w:pPr>
      <w:pStyle w:val="Header"/>
      <w:rPr>
        <w:rFonts w:ascii="OpenSansRegular" w:hAnsi="OpenSansRegular" w:cs="OpenSansRegular"/>
      </w:rPr>
    </w:pPr>
    <w:sdt>
      <w:sdtPr>
        <w:rPr>
          <w:rFonts w:ascii="OpenSansRegular" w:hAnsi="OpenSansRegular" w:cs="OpenSansRegular"/>
        </w:rPr>
        <w:alias w:val="Title"/>
        <w:id w:val="-315108774"/>
        <w:dataBinding w:prefixMappings="xmlns:ns0='http://purl.org/dc/elements/1.1/' xmlns:ns1='http://schemas.openxmlformats.org/package/2006/metadata/core-properties' " w:xpath="/ns1:coreProperties[1]/ns0:title[1]" w:storeItemID="{6C3C8BC8-F283-45AE-878A-BAB7291924A1}"/>
        <w:text/>
      </w:sdtPr>
      <w:sdtEndPr/>
      <w:sdtContent>
        <w:r w:rsidR="00C0214B">
          <w:rPr>
            <w:rFonts w:ascii="OpenSansRegular" w:hAnsi="OpenSansRegular" w:cs="OpenSansRegular"/>
          </w:rPr>
          <w:t>Independent Review of Medicare Integrity and Compliance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C71E" w14:textId="1F7D03B9" w:rsidR="00137F51" w:rsidRPr="00E24808" w:rsidRDefault="008F226B" w:rsidP="007B5522">
    <w:pPr>
      <w:pStyle w:val="Header"/>
      <w:tabs>
        <w:tab w:val="clear" w:pos="9026"/>
        <w:tab w:val="left" w:pos="6000"/>
      </w:tabs>
      <w:rPr>
        <w:rFonts w:ascii="OpenSansRegular" w:hAnsi="OpenSansRegular" w:cs="OpenSansRegular"/>
      </w:rPr>
    </w:pPr>
    <w:sdt>
      <w:sdtPr>
        <w:rPr>
          <w:rFonts w:ascii="OpenSansRegular" w:hAnsi="OpenSansRegular" w:cs="OpenSansRegular"/>
        </w:rPr>
        <w:alias w:val="Title"/>
        <w:id w:val="-130020643"/>
        <w:dataBinding w:prefixMappings="xmlns:ns0='http://purl.org/dc/elements/1.1/' xmlns:ns1='http://schemas.openxmlformats.org/package/2006/metadata/core-properties' " w:xpath="/ns1:coreProperties[1]/ns0:title[1]" w:storeItemID="{6C3C8BC8-F283-45AE-878A-BAB7291924A1}"/>
        <w:text/>
      </w:sdtPr>
      <w:sdtEndPr/>
      <w:sdtContent>
        <w:r w:rsidR="00C0214B">
          <w:rPr>
            <w:rFonts w:ascii="OpenSansRegular" w:hAnsi="OpenSansRegular" w:cs="OpenSansRegular"/>
          </w:rPr>
          <w:t>Independent Review of Medicare Integrity and Compliance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BE805CD"/>
    <w:multiLevelType w:val="multilevel"/>
    <w:tmpl w:val="D31A1DB8"/>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6"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8" w15:restartNumberingAfterBreak="0">
    <w:nsid w:val="2B9F302D"/>
    <w:multiLevelType w:val="multilevel"/>
    <w:tmpl w:val="58063B50"/>
    <w:lvl w:ilvl="0">
      <w:start w:val="1"/>
      <w:numFmt w:val="bullet"/>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9" w15:restartNumberingAfterBreak="0">
    <w:nsid w:val="3FAD01D2"/>
    <w:multiLevelType w:val="multilevel"/>
    <w:tmpl w:val="BBF4FA76"/>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b/>
        <w:bCs w:val="0"/>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4395" w:firstLine="0"/>
      </w:pPr>
      <w:rPr>
        <w:rFonts w:hint="default"/>
        <w:sz w:val="17"/>
        <w:szCs w:val="17"/>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851" w:firstLine="0"/>
      </w:pPr>
      <w:rPr>
        <w:rFonts w:hint="default"/>
      </w:rPr>
    </w:lvl>
  </w:abstractNum>
  <w:abstractNum w:abstractNumId="10" w15:restartNumberingAfterBreak="0">
    <w:nsid w:val="405F4842"/>
    <w:multiLevelType w:val="multilevel"/>
    <w:tmpl w:val="B28C2A4E"/>
    <w:lvl w:ilvl="0">
      <w:start w:val="1"/>
      <w:numFmt w:val="decimal"/>
      <w:pStyle w:val="ListNumber"/>
      <w:lvlText w:val="%1."/>
      <w:lvlJc w:val="left"/>
      <w:pPr>
        <w:ind w:left="340" w:hanging="340"/>
      </w:pPr>
      <w:rPr>
        <w:rFonts w:hint="default"/>
      </w:rPr>
    </w:lvl>
    <w:lvl w:ilvl="1">
      <w:start w:val="1"/>
      <w:numFmt w:val="bullet"/>
      <w:lvlText w:val=""/>
      <w:lvlJc w:val="left"/>
      <w:pPr>
        <w:ind w:left="700" w:hanging="360"/>
      </w:pPr>
      <w:rPr>
        <w:rFonts w:ascii="Symbol" w:hAnsi="Symbol"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1" w15:restartNumberingAfterBreak="0">
    <w:nsid w:val="451578A7"/>
    <w:multiLevelType w:val="multilevel"/>
    <w:tmpl w:val="A8427AA2"/>
    <w:lvl w:ilvl="0">
      <w:start w:val="1"/>
      <w:numFmt w:val="bullet"/>
      <w:pStyle w:val="ListBullet"/>
      <w:lvlText w:val=""/>
      <w:lvlJc w:val="left"/>
      <w:pPr>
        <w:ind w:left="680" w:hanging="340"/>
      </w:pPr>
      <w:rPr>
        <w:rFonts w:ascii="Symbol" w:hAnsi="Symbol" w:hint="default"/>
        <w:color w:val="auto"/>
      </w:rPr>
    </w:lvl>
    <w:lvl w:ilvl="1">
      <w:start w:val="1"/>
      <w:numFmt w:val="bullet"/>
      <w:lvlText w:val=""/>
      <w:lvlJc w:val="left"/>
      <w:pPr>
        <w:ind w:left="1040" w:hanging="360"/>
      </w:pPr>
      <w:rPr>
        <w:rFonts w:ascii="Symbol" w:hAnsi="Symbol" w:hint="default"/>
      </w:rPr>
    </w:lvl>
    <w:lvl w:ilvl="2">
      <w:start w:val="1"/>
      <w:numFmt w:val="bullet"/>
      <w:lvlText w:val=""/>
      <w:lvlJc w:val="left"/>
      <w:pPr>
        <w:ind w:left="1360" w:hanging="340"/>
      </w:pPr>
      <w:rPr>
        <w:rFonts w:ascii="Symbol" w:hAnsi="Symbol" w:hint="default"/>
        <w:color w:val="auto"/>
      </w:rPr>
    </w:lvl>
    <w:lvl w:ilvl="3">
      <w:start w:val="1"/>
      <w:numFmt w:val="bullet"/>
      <w:lvlText w:val="–"/>
      <w:lvlJc w:val="left"/>
      <w:pPr>
        <w:ind w:left="1700" w:hanging="340"/>
      </w:pPr>
      <w:rPr>
        <w:rFonts w:ascii="Verdana" w:hAnsi="Verdana" w:hint="default"/>
      </w:rPr>
    </w:lvl>
    <w:lvl w:ilvl="4">
      <w:start w:val="1"/>
      <w:numFmt w:val="bullet"/>
      <w:lvlText w:val=""/>
      <w:lvlJc w:val="left"/>
      <w:pPr>
        <w:ind w:left="2040" w:hanging="340"/>
      </w:pPr>
      <w:rPr>
        <w:rFonts w:ascii="Symbol" w:hAnsi="Symbol" w:hint="default"/>
      </w:rPr>
    </w:lvl>
    <w:lvl w:ilvl="5">
      <w:start w:val="1"/>
      <w:numFmt w:val="bullet"/>
      <w:lvlText w:val="–"/>
      <w:lvlJc w:val="left"/>
      <w:pPr>
        <w:ind w:left="2380" w:hanging="340"/>
      </w:pPr>
      <w:rPr>
        <w:rFonts w:ascii="Verdana" w:hAnsi="Verdana" w:hint="default"/>
      </w:rPr>
    </w:lvl>
    <w:lvl w:ilvl="6">
      <w:start w:val="1"/>
      <w:numFmt w:val="bullet"/>
      <w:lvlText w:val=""/>
      <w:lvlJc w:val="left"/>
      <w:pPr>
        <w:ind w:left="2720" w:hanging="340"/>
      </w:pPr>
      <w:rPr>
        <w:rFonts w:ascii="Symbol" w:hAnsi="Symbol" w:hint="default"/>
      </w:rPr>
    </w:lvl>
    <w:lvl w:ilvl="7">
      <w:start w:val="1"/>
      <w:numFmt w:val="bullet"/>
      <w:lvlText w:val="–"/>
      <w:lvlJc w:val="left"/>
      <w:pPr>
        <w:ind w:left="3060" w:hanging="340"/>
      </w:pPr>
      <w:rPr>
        <w:rFonts w:ascii="Verdana" w:hAnsi="Verdana" w:hint="default"/>
      </w:rPr>
    </w:lvl>
    <w:lvl w:ilvl="8">
      <w:start w:val="1"/>
      <w:numFmt w:val="bullet"/>
      <w:lvlText w:val=""/>
      <w:lvlJc w:val="left"/>
      <w:pPr>
        <w:ind w:left="3400" w:hanging="340"/>
      </w:pPr>
      <w:rPr>
        <w:rFonts w:ascii="Symbol" w:hAnsi="Symbol" w:hint="default"/>
      </w:rPr>
    </w:lvl>
  </w:abstractNum>
  <w:abstractNum w:abstractNumId="12" w15:restartNumberingAfterBreak="0">
    <w:nsid w:val="457C67BE"/>
    <w:multiLevelType w:val="hybridMultilevel"/>
    <w:tmpl w:val="076618E8"/>
    <w:lvl w:ilvl="0" w:tplc="065AF768">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60D69B9"/>
    <w:multiLevelType w:val="hybridMultilevel"/>
    <w:tmpl w:val="E08848D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6" w15:restartNumberingAfterBreak="0">
    <w:nsid w:val="5F52169C"/>
    <w:multiLevelType w:val="hybridMultilevel"/>
    <w:tmpl w:val="B5D2CE88"/>
    <w:lvl w:ilvl="0" w:tplc="6D4A510C">
      <w:start w:val="1"/>
      <w:numFmt w:val="lowerLetter"/>
      <w:pStyle w:val="ListNumber2"/>
      <w:lvlText w:val="%1)"/>
      <w:lvlJc w:val="left"/>
      <w:pPr>
        <w:ind w:left="757" w:hanging="360"/>
      </w:pPr>
      <w:rPr>
        <w:rFonts w:ascii="Calibri" w:hAnsi="Calibri" w:hint="default"/>
        <w:b w:val="0"/>
        <w:i w:val="0"/>
        <w:sz w:val="22"/>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7"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18"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num w:numId="1">
    <w:abstractNumId w:val="8"/>
  </w:num>
  <w:num w:numId="2">
    <w:abstractNumId w:val="3"/>
  </w:num>
  <w:num w:numId="3">
    <w:abstractNumId w:val="2"/>
  </w:num>
  <w:num w:numId="4">
    <w:abstractNumId w:val="1"/>
  </w:num>
  <w:num w:numId="5">
    <w:abstractNumId w:val="0"/>
  </w:num>
  <w:num w:numId="6">
    <w:abstractNumId w:val="13"/>
  </w:num>
  <w:num w:numId="7">
    <w:abstractNumId w:val="12"/>
  </w:num>
  <w:num w:numId="8">
    <w:abstractNumId w:val="17"/>
  </w:num>
  <w:num w:numId="9">
    <w:abstractNumId w:val="6"/>
  </w:num>
  <w:num w:numId="10">
    <w:abstractNumId w:val="5"/>
  </w:num>
  <w:num w:numId="11">
    <w:abstractNumId w:val="4"/>
  </w:num>
  <w:num w:numId="12">
    <w:abstractNumId w:val="11"/>
  </w:num>
  <w:num w:numId="13">
    <w:abstractNumId w:val="10"/>
  </w:num>
  <w:num w:numId="14">
    <w:abstractNumId w:val="18"/>
  </w:num>
  <w:num w:numId="15">
    <w:abstractNumId w:val="7"/>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colormenu v:ext="edit" fillcolor="none"/>
    </o:shapedefaults>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239"/>
    <w:rsid w:val="000004AF"/>
    <w:rsid w:val="0000053B"/>
    <w:rsid w:val="000005FE"/>
    <w:rsid w:val="0000060B"/>
    <w:rsid w:val="000006B5"/>
    <w:rsid w:val="000006D7"/>
    <w:rsid w:val="0000070B"/>
    <w:rsid w:val="00000880"/>
    <w:rsid w:val="00000A74"/>
    <w:rsid w:val="00000A76"/>
    <w:rsid w:val="00000B6A"/>
    <w:rsid w:val="00000E9B"/>
    <w:rsid w:val="00000E9F"/>
    <w:rsid w:val="00000FD1"/>
    <w:rsid w:val="00001102"/>
    <w:rsid w:val="00001234"/>
    <w:rsid w:val="0000133F"/>
    <w:rsid w:val="00001373"/>
    <w:rsid w:val="00001458"/>
    <w:rsid w:val="00001680"/>
    <w:rsid w:val="000016D0"/>
    <w:rsid w:val="00001755"/>
    <w:rsid w:val="000019C2"/>
    <w:rsid w:val="00001A6F"/>
    <w:rsid w:val="00001CAB"/>
    <w:rsid w:val="00001D77"/>
    <w:rsid w:val="00002175"/>
    <w:rsid w:val="000022DA"/>
    <w:rsid w:val="00002348"/>
    <w:rsid w:val="0000239D"/>
    <w:rsid w:val="000025B5"/>
    <w:rsid w:val="00002865"/>
    <w:rsid w:val="0000295B"/>
    <w:rsid w:val="00002B41"/>
    <w:rsid w:val="00002C2C"/>
    <w:rsid w:val="00002D30"/>
    <w:rsid w:val="00002D6F"/>
    <w:rsid w:val="00002EC7"/>
    <w:rsid w:val="00003291"/>
    <w:rsid w:val="000033B0"/>
    <w:rsid w:val="00003495"/>
    <w:rsid w:val="0000373E"/>
    <w:rsid w:val="000037CA"/>
    <w:rsid w:val="000038F7"/>
    <w:rsid w:val="0000394C"/>
    <w:rsid w:val="00003979"/>
    <w:rsid w:val="00003A6A"/>
    <w:rsid w:val="00003B3D"/>
    <w:rsid w:val="00003D09"/>
    <w:rsid w:val="00003E4E"/>
    <w:rsid w:val="0000400B"/>
    <w:rsid w:val="000046D3"/>
    <w:rsid w:val="00004AAA"/>
    <w:rsid w:val="00004DF1"/>
    <w:rsid w:val="00004E64"/>
    <w:rsid w:val="00004E83"/>
    <w:rsid w:val="00004F2E"/>
    <w:rsid w:val="000052B7"/>
    <w:rsid w:val="00005381"/>
    <w:rsid w:val="00005696"/>
    <w:rsid w:val="00005789"/>
    <w:rsid w:val="00005812"/>
    <w:rsid w:val="0000588A"/>
    <w:rsid w:val="000059F8"/>
    <w:rsid w:val="00005AA6"/>
    <w:rsid w:val="00005D30"/>
    <w:rsid w:val="00005E18"/>
    <w:rsid w:val="0000602B"/>
    <w:rsid w:val="00006266"/>
    <w:rsid w:val="0000627F"/>
    <w:rsid w:val="00006312"/>
    <w:rsid w:val="000063C9"/>
    <w:rsid w:val="000063FF"/>
    <w:rsid w:val="00006428"/>
    <w:rsid w:val="0000679E"/>
    <w:rsid w:val="000068DF"/>
    <w:rsid w:val="00006A0E"/>
    <w:rsid w:val="00006AF2"/>
    <w:rsid w:val="00006C11"/>
    <w:rsid w:val="00006CEA"/>
    <w:rsid w:val="00006E37"/>
    <w:rsid w:val="00007133"/>
    <w:rsid w:val="00007183"/>
    <w:rsid w:val="000072A6"/>
    <w:rsid w:val="00007578"/>
    <w:rsid w:val="000075FB"/>
    <w:rsid w:val="0000774C"/>
    <w:rsid w:val="000077B5"/>
    <w:rsid w:val="000077D8"/>
    <w:rsid w:val="000079E6"/>
    <w:rsid w:val="00007AA2"/>
    <w:rsid w:val="00007C3F"/>
    <w:rsid w:val="00010311"/>
    <w:rsid w:val="0001043B"/>
    <w:rsid w:val="00010465"/>
    <w:rsid w:val="00010517"/>
    <w:rsid w:val="0001057C"/>
    <w:rsid w:val="000107BC"/>
    <w:rsid w:val="000108BD"/>
    <w:rsid w:val="00010992"/>
    <w:rsid w:val="00010998"/>
    <w:rsid w:val="000109D3"/>
    <w:rsid w:val="00010BA2"/>
    <w:rsid w:val="00010BD8"/>
    <w:rsid w:val="00010C5F"/>
    <w:rsid w:val="00010FD9"/>
    <w:rsid w:val="00011088"/>
    <w:rsid w:val="000110FD"/>
    <w:rsid w:val="000111C4"/>
    <w:rsid w:val="000112C2"/>
    <w:rsid w:val="0001142B"/>
    <w:rsid w:val="0001142C"/>
    <w:rsid w:val="00011457"/>
    <w:rsid w:val="0001163B"/>
    <w:rsid w:val="000116B0"/>
    <w:rsid w:val="000116DD"/>
    <w:rsid w:val="000116ED"/>
    <w:rsid w:val="00011898"/>
    <w:rsid w:val="00011AD1"/>
    <w:rsid w:val="00011DDD"/>
    <w:rsid w:val="00012069"/>
    <w:rsid w:val="0001222A"/>
    <w:rsid w:val="0001223F"/>
    <w:rsid w:val="00012242"/>
    <w:rsid w:val="000123D1"/>
    <w:rsid w:val="000123DD"/>
    <w:rsid w:val="0001240A"/>
    <w:rsid w:val="0001253E"/>
    <w:rsid w:val="00012594"/>
    <w:rsid w:val="0001267F"/>
    <w:rsid w:val="00012757"/>
    <w:rsid w:val="000128F7"/>
    <w:rsid w:val="00012CF1"/>
    <w:rsid w:val="00012D58"/>
    <w:rsid w:val="00012DED"/>
    <w:rsid w:val="00012E70"/>
    <w:rsid w:val="00012F33"/>
    <w:rsid w:val="0001302E"/>
    <w:rsid w:val="000130AA"/>
    <w:rsid w:val="000131A3"/>
    <w:rsid w:val="000132C5"/>
    <w:rsid w:val="0001339E"/>
    <w:rsid w:val="000133C2"/>
    <w:rsid w:val="0001350E"/>
    <w:rsid w:val="00013736"/>
    <w:rsid w:val="000139A7"/>
    <w:rsid w:val="00013C74"/>
    <w:rsid w:val="00013D8B"/>
    <w:rsid w:val="00013E0F"/>
    <w:rsid w:val="00013EEA"/>
    <w:rsid w:val="00013F64"/>
    <w:rsid w:val="0001422F"/>
    <w:rsid w:val="000143C8"/>
    <w:rsid w:val="00014522"/>
    <w:rsid w:val="0001492A"/>
    <w:rsid w:val="00014B89"/>
    <w:rsid w:val="00014D52"/>
    <w:rsid w:val="00014EDB"/>
    <w:rsid w:val="00014FCD"/>
    <w:rsid w:val="0001525A"/>
    <w:rsid w:val="00015509"/>
    <w:rsid w:val="000155B2"/>
    <w:rsid w:val="000155B4"/>
    <w:rsid w:val="00015615"/>
    <w:rsid w:val="000157D2"/>
    <w:rsid w:val="000159C6"/>
    <w:rsid w:val="00015ADE"/>
    <w:rsid w:val="000160AA"/>
    <w:rsid w:val="0001654A"/>
    <w:rsid w:val="00016598"/>
    <w:rsid w:val="000166F5"/>
    <w:rsid w:val="0001680B"/>
    <w:rsid w:val="0001681C"/>
    <w:rsid w:val="00016893"/>
    <w:rsid w:val="00016A23"/>
    <w:rsid w:val="00016DAB"/>
    <w:rsid w:val="00017379"/>
    <w:rsid w:val="000173B3"/>
    <w:rsid w:val="000176AB"/>
    <w:rsid w:val="00017835"/>
    <w:rsid w:val="00017C12"/>
    <w:rsid w:val="00017CB6"/>
    <w:rsid w:val="00017E29"/>
    <w:rsid w:val="0002003A"/>
    <w:rsid w:val="000201A8"/>
    <w:rsid w:val="00020297"/>
    <w:rsid w:val="00020441"/>
    <w:rsid w:val="0002075B"/>
    <w:rsid w:val="00020790"/>
    <w:rsid w:val="00020A7E"/>
    <w:rsid w:val="00020AEE"/>
    <w:rsid w:val="00020B21"/>
    <w:rsid w:val="00020D44"/>
    <w:rsid w:val="00020E58"/>
    <w:rsid w:val="00020E5F"/>
    <w:rsid w:val="00021063"/>
    <w:rsid w:val="000210A8"/>
    <w:rsid w:val="00021109"/>
    <w:rsid w:val="00021115"/>
    <w:rsid w:val="0002126E"/>
    <w:rsid w:val="00021329"/>
    <w:rsid w:val="00021561"/>
    <w:rsid w:val="0002159F"/>
    <w:rsid w:val="00021641"/>
    <w:rsid w:val="000216AB"/>
    <w:rsid w:val="00021736"/>
    <w:rsid w:val="000217B8"/>
    <w:rsid w:val="000219BF"/>
    <w:rsid w:val="00021A2A"/>
    <w:rsid w:val="00021A39"/>
    <w:rsid w:val="00021C2C"/>
    <w:rsid w:val="00021E57"/>
    <w:rsid w:val="00022154"/>
    <w:rsid w:val="0002224C"/>
    <w:rsid w:val="0002246C"/>
    <w:rsid w:val="000224F5"/>
    <w:rsid w:val="0002283F"/>
    <w:rsid w:val="00022CB5"/>
    <w:rsid w:val="000230C7"/>
    <w:rsid w:val="00023308"/>
    <w:rsid w:val="0002368F"/>
    <w:rsid w:val="000236C0"/>
    <w:rsid w:val="00023700"/>
    <w:rsid w:val="000237B4"/>
    <w:rsid w:val="000237C3"/>
    <w:rsid w:val="000238D3"/>
    <w:rsid w:val="000238FB"/>
    <w:rsid w:val="000239E4"/>
    <w:rsid w:val="00023B87"/>
    <w:rsid w:val="00023CC1"/>
    <w:rsid w:val="00023FA1"/>
    <w:rsid w:val="0002421F"/>
    <w:rsid w:val="000243C4"/>
    <w:rsid w:val="00024489"/>
    <w:rsid w:val="000248B2"/>
    <w:rsid w:val="000248F9"/>
    <w:rsid w:val="00024900"/>
    <w:rsid w:val="00024F0C"/>
    <w:rsid w:val="000250A3"/>
    <w:rsid w:val="00025432"/>
    <w:rsid w:val="00025453"/>
    <w:rsid w:val="000258DD"/>
    <w:rsid w:val="00025BF0"/>
    <w:rsid w:val="00025CE1"/>
    <w:rsid w:val="00025E7D"/>
    <w:rsid w:val="00025EC9"/>
    <w:rsid w:val="00026001"/>
    <w:rsid w:val="00026107"/>
    <w:rsid w:val="0002610D"/>
    <w:rsid w:val="000261E8"/>
    <w:rsid w:val="0002625A"/>
    <w:rsid w:val="000262CA"/>
    <w:rsid w:val="0002640F"/>
    <w:rsid w:val="0002652B"/>
    <w:rsid w:val="00026574"/>
    <w:rsid w:val="000265ED"/>
    <w:rsid w:val="000265F9"/>
    <w:rsid w:val="000266BE"/>
    <w:rsid w:val="0002679A"/>
    <w:rsid w:val="00026899"/>
    <w:rsid w:val="000268AF"/>
    <w:rsid w:val="00026E6B"/>
    <w:rsid w:val="000273F2"/>
    <w:rsid w:val="000274B3"/>
    <w:rsid w:val="000277BD"/>
    <w:rsid w:val="000279AD"/>
    <w:rsid w:val="00027D0C"/>
    <w:rsid w:val="00027E75"/>
    <w:rsid w:val="00027E83"/>
    <w:rsid w:val="00027F81"/>
    <w:rsid w:val="000300C0"/>
    <w:rsid w:val="00030321"/>
    <w:rsid w:val="00030653"/>
    <w:rsid w:val="00030854"/>
    <w:rsid w:val="000308CE"/>
    <w:rsid w:val="00030B4B"/>
    <w:rsid w:val="00030BA9"/>
    <w:rsid w:val="00031008"/>
    <w:rsid w:val="00031040"/>
    <w:rsid w:val="0003115F"/>
    <w:rsid w:val="000311B9"/>
    <w:rsid w:val="00031200"/>
    <w:rsid w:val="0003135B"/>
    <w:rsid w:val="00031367"/>
    <w:rsid w:val="00031853"/>
    <w:rsid w:val="00031AC9"/>
    <w:rsid w:val="00031AFE"/>
    <w:rsid w:val="00031CE1"/>
    <w:rsid w:val="00031F08"/>
    <w:rsid w:val="000320E2"/>
    <w:rsid w:val="00032215"/>
    <w:rsid w:val="0003223E"/>
    <w:rsid w:val="00032597"/>
    <w:rsid w:val="00032853"/>
    <w:rsid w:val="000328C9"/>
    <w:rsid w:val="0003290C"/>
    <w:rsid w:val="00032DDD"/>
    <w:rsid w:val="00032E47"/>
    <w:rsid w:val="00032EC6"/>
    <w:rsid w:val="00032EC7"/>
    <w:rsid w:val="00032F57"/>
    <w:rsid w:val="00032F6D"/>
    <w:rsid w:val="000332BD"/>
    <w:rsid w:val="000335A9"/>
    <w:rsid w:val="000335FD"/>
    <w:rsid w:val="00033642"/>
    <w:rsid w:val="00033730"/>
    <w:rsid w:val="000337CC"/>
    <w:rsid w:val="0003386A"/>
    <w:rsid w:val="00033D8C"/>
    <w:rsid w:val="00033D96"/>
    <w:rsid w:val="00033F4B"/>
    <w:rsid w:val="00033F69"/>
    <w:rsid w:val="00034118"/>
    <w:rsid w:val="00034241"/>
    <w:rsid w:val="000344FB"/>
    <w:rsid w:val="000344FC"/>
    <w:rsid w:val="000345A4"/>
    <w:rsid w:val="000346BF"/>
    <w:rsid w:val="00034843"/>
    <w:rsid w:val="00034963"/>
    <w:rsid w:val="0003496C"/>
    <w:rsid w:val="00034DB5"/>
    <w:rsid w:val="00035123"/>
    <w:rsid w:val="00035159"/>
    <w:rsid w:val="00035262"/>
    <w:rsid w:val="000353C8"/>
    <w:rsid w:val="00035639"/>
    <w:rsid w:val="00035662"/>
    <w:rsid w:val="000357DB"/>
    <w:rsid w:val="000359E5"/>
    <w:rsid w:val="00035C3C"/>
    <w:rsid w:val="00035DBA"/>
    <w:rsid w:val="00035EDF"/>
    <w:rsid w:val="00035FF8"/>
    <w:rsid w:val="00036055"/>
    <w:rsid w:val="00036136"/>
    <w:rsid w:val="0003644F"/>
    <w:rsid w:val="000364F3"/>
    <w:rsid w:val="00036517"/>
    <w:rsid w:val="00036561"/>
    <w:rsid w:val="000367F1"/>
    <w:rsid w:val="00036972"/>
    <w:rsid w:val="00036AA5"/>
    <w:rsid w:val="00036C0C"/>
    <w:rsid w:val="00036DDB"/>
    <w:rsid w:val="00036DF1"/>
    <w:rsid w:val="00037574"/>
    <w:rsid w:val="000375C2"/>
    <w:rsid w:val="000378C5"/>
    <w:rsid w:val="0003796A"/>
    <w:rsid w:val="00037AD6"/>
    <w:rsid w:val="00037C11"/>
    <w:rsid w:val="00037C17"/>
    <w:rsid w:val="00037C8B"/>
    <w:rsid w:val="00037E80"/>
    <w:rsid w:val="00037EA5"/>
    <w:rsid w:val="0004027C"/>
    <w:rsid w:val="000402BC"/>
    <w:rsid w:val="00040668"/>
    <w:rsid w:val="00040750"/>
    <w:rsid w:val="00040763"/>
    <w:rsid w:val="000407B7"/>
    <w:rsid w:val="000407C5"/>
    <w:rsid w:val="00040AE3"/>
    <w:rsid w:val="00040CE5"/>
    <w:rsid w:val="0004170F"/>
    <w:rsid w:val="00041A68"/>
    <w:rsid w:val="00041AE1"/>
    <w:rsid w:val="00041B44"/>
    <w:rsid w:val="00041B86"/>
    <w:rsid w:val="00041BFC"/>
    <w:rsid w:val="00041DB4"/>
    <w:rsid w:val="00041DE7"/>
    <w:rsid w:val="00041E02"/>
    <w:rsid w:val="00041E50"/>
    <w:rsid w:val="0004212D"/>
    <w:rsid w:val="000423BC"/>
    <w:rsid w:val="000424A1"/>
    <w:rsid w:val="000424EA"/>
    <w:rsid w:val="00042522"/>
    <w:rsid w:val="0004285B"/>
    <w:rsid w:val="00042936"/>
    <w:rsid w:val="0004294D"/>
    <w:rsid w:val="000429AC"/>
    <w:rsid w:val="00042B6A"/>
    <w:rsid w:val="00042B99"/>
    <w:rsid w:val="00042C0C"/>
    <w:rsid w:val="00042CA1"/>
    <w:rsid w:val="00042E16"/>
    <w:rsid w:val="00042E1C"/>
    <w:rsid w:val="0004305E"/>
    <w:rsid w:val="00043079"/>
    <w:rsid w:val="00043120"/>
    <w:rsid w:val="00043142"/>
    <w:rsid w:val="0004334A"/>
    <w:rsid w:val="0004348C"/>
    <w:rsid w:val="00043A37"/>
    <w:rsid w:val="00043B54"/>
    <w:rsid w:val="00043C36"/>
    <w:rsid w:val="00043CC4"/>
    <w:rsid w:val="00044146"/>
    <w:rsid w:val="00044240"/>
    <w:rsid w:val="00044395"/>
    <w:rsid w:val="000443B4"/>
    <w:rsid w:val="000443EC"/>
    <w:rsid w:val="00044559"/>
    <w:rsid w:val="00044611"/>
    <w:rsid w:val="00044675"/>
    <w:rsid w:val="00044686"/>
    <w:rsid w:val="0004470D"/>
    <w:rsid w:val="00044911"/>
    <w:rsid w:val="00044A42"/>
    <w:rsid w:val="00044CD4"/>
    <w:rsid w:val="00044CDD"/>
    <w:rsid w:val="0004565C"/>
    <w:rsid w:val="00045799"/>
    <w:rsid w:val="000457A0"/>
    <w:rsid w:val="000457D5"/>
    <w:rsid w:val="000457E5"/>
    <w:rsid w:val="00045E3B"/>
    <w:rsid w:val="00045ECD"/>
    <w:rsid w:val="000461AC"/>
    <w:rsid w:val="00046631"/>
    <w:rsid w:val="000466C0"/>
    <w:rsid w:val="000466F1"/>
    <w:rsid w:val="00046897"/>
    <w:rsid w:val="000469A1"/>
    <w:rsid w:val="00046C19"/>
    <w:rsid w:val="0004701C"/>
    <w:rsid w:val="00047111"/>
    <w:rsid w:val="0004726C"/>
    <w:rsid w:val="0004757D"/>
    <w:rsid w:val="0004773A"/>
    <w:rsid w:val="00047811"/>
    <w:rsid w:val="00047843"/>
    <w:rsid w:val="00047970"/>
    <w:rsid w:val="00047B44"/>
    <w:rsid w:val="00047F24"/>
    <w:rsid w:val="0005006E"/>
    <w:rsid w:val="000502D7"/>
    <w:rsid w:val="00050513"/>
    <w:rsid w:val="00050583"/>
    <w:rsid w:val="000506E6"/>
    <w:rsid w:val="00050713"/>
    <w:rsid w:val="00050719"/>
    <w:rsid w:val="00050744"/>
    <w:rsid w:val="00050768"/>
    <w:rsid w:val="00050B08"/>
    <w:rsid w:val="00050DE4"/>
    <w:rsid w:val="00050E38"/>
    <w:rsid w:val="000514AE"/>
    <w:rsid w:val="000514ED"/>
    <w:rsid w:val="000515EA"/>
    <w:rsid w:val="000516AC"/>
    <w:rsid w:val="000516C4"/>
    <w:rsid w:val="000516D3"/>
    <w:rsid w:val="00051726"/>
    <w:rsid w:val="0005172C"/>
    <w:rsid w:val="0005179A"/>
    <w:rsid w:val="000517C0"/>
    <w:rsid w:val="000518A8"/>
    <w:rsid w:val="00051995"/>
    <w:rsid w:val="00051EC2"/>
    <w:rsid w:val="00052118"/>
    <w:rsid w:val="0005211C"/>
    <w:rsid w:val="00052124"/>
    <w:rsid w:val="000521C3"/>
    <w:rsid w:val="00052231"/>
    <w:rsid w:val="000522F3"/>
    <w:rsid w:val="000525FC"/>
    <w:rsid w:val="00052713"/>
    <w:rsid w:val="000528AE"/>
    <w:rsid w:val="0005295F"/>
    <w:rsid w:val="00052A4B"/>
    <w:rsid w:val="00052A52"/>
    <w:rsid w:val="00052BBA"/>
    <w:rsid w:val="00052CE9"/>
    <w:rsid w:val="00052D0C"/>
    <w:rsid w:val="00052E0F"/>
    <w:rsid w:val="00052F4B"/>
    <w:rsid w:val="000531C3"/>
    <w:rsid w:val="00053440"/>
    <w:rsid w:val="00053507"/>
    <w:rsid w:val="0005361B"/>
    <w:rsid w:val="000536A8"/>
    <w:rsid w:val="00053719"/>
    <w:rsid w:val="00053A0E"/>
    <w:rsid w:val="00053B3A"/>
    <w:rsid w:val="00053E9B"/>
    <w:rsid w:val="00053EAE"/>
    <w:rsid w:val="00053EBB"/>
    <w:rsid w:val="00054175"/>
    <w:rsid w:val="000541E0"/>
    <w:rsid w:val="000541F6"/>
    <w:rsid w:val="00054258"/>
    <w:rsid w:val="000543AB"/>
    <w:rsid w:val="000546EC"/>
    <w:rsid w:val="00054913"/>
    <w:rsid w:val="000549F9"/>
    <w:rsid w:val="00054D4B"/>
    <w:rsid w:val="000551F5"/>
    <w:rsid w:val="0005539D"/>
    <w:rsid w:val="0005542F"/>
    <w:rsid w:val="000555DE"/>
    <w:rsid w:val="00055A65"/>
    <w:rsid w:val="00055F5B"/>
    <w:rsid w:val="00055FA4"/>
    <w:rsid w:val="00055FF1"/>
    <w:rsid w:val="0005610F"/>
    <w:rsid w:val="0005615B"/>
    <w:rsid w:val="00056294"/>
    <w:rsid w:val="000562AB"/>
    <w:rsid w:val="00056318"/>
    <w:rsid w:val="00056337"/>
    <w:rsid w:val="000563BC"/>
    <w:rsid w:val="000563FB"/>
    <w:rsid w:val="000563FE"/>
    <w:rsid w:val="0005684D"/>
    <w:rsid w:val="000568EB"/>
    <w:rsid w:val="000569FD"/>
    <w:rsid w:val="00056B48"/>
    <w:rsid w:val="00056B63"/>
    <w:rsid w:val="00056B81"/>
    <w:rsid w:val="00056C49"/>
    <w:rsid w:val="00056FBE"/>
    <w:rsid w:val="00057282"/>
    <w:rsid w:val="000573E7"/>
    <w:rsid w:val="0005791E"/>
    <w:rsid w:val="000579B6"/>
    <w:rsid w:val="000579F5"/>
    <w:rsid w:val="00057C98"/>
    <w:rsid w:val="00057CBE"/>
    <w:rsid w:val="00057EFD"/>
    <w:rsid w:val="00057F32"/>
    <w:rsid w:val="00057F9C"/>
    <w:rsid w:val="0006002E"/>
    <w:rsid w:val="000602CB"/>
    <w:rsid w:val="00060746"/>
    <w:rsid w:val="00060788"/>
    <w:rsid w:val="00060D0A"/>
    <w:rsid w:val="00060DDA"/>
    <w:rsid w:val="00060F38"/>
    <w:rsid w:val="00061399"/>
    <w:rsid w:val="00061441"/>
    <w:rsid w:val="000614FA"/>
    <w:rsid w:val="00061690"/>
    <w:rsid w:val="000616CD"/>
    <w:rsid w:val="00061838"/>
    <w:rsid w:val="00061B74"/>
    <w:rsid w:val="00061D33"/>
    <w:rsid w:val="00061E2D"/>
    <w:rsid w:val="00061E4B"/>
    <w:rsid w:val="0006208B"/>
    <w:rsid w:val="0006243A"/>
    <w:rsid w:val="00062461"/>
    <w:rsid w:val="00062509"/>
    <w:rsid w:val="00062598"/>
    <w:rsid w:val="000625FF"/>
    <w:rsid w:val="0006262A"/>
    <w:rsid w:val="000629FB"/>
    <w:rsid w:val="00062F4A"/>
    <w:rsid w:val="00063000"/>
    <w:rsid w:val="00063067"/>
    <w:rsid w:val="00063163"/>
    <w:rsid w:val="000631AB"/>
    <w:rsid w:val="000631E5"/>
    <w:rsid w:val="000637A6"/>
    <w:rsid w:val="00063841"/>
    <w:rsid w:val="000639C9"/>
    <w:rsid w:val="00063D71"/>
    <w:rsid w:val="00063E40"/>
    <w:rsid w:val="00063E83"/>
    <w:rsid w:val="000640CE"/>
    <w:rsid w:val="00064148"/>
    <w:rsid w:val="00064279"/>
    <w:rsid w:val="00064366"/>
    <w:rsid w:val="0006477D"/>
    <w:rsid w:val="00064859"/>
    <w:rsid w:val="00064998"/>
    <w:rsid w:val="000649C1"/>
    <w:rsid w:val="00064CD6"/>
    <w:rsid w:val="00064D52"/>
    <w:rsid w:val="00064E13"/>
    <w:rsid w:val="00064F9C"/>
    <w:rsid w:val="000650A4"/>
    <w:rsid w:val="0006511C"/>
    <w:rsid w:val="000651B8"/>
    <w:rsid w:val="00065252"/>
    <w:rsid w:val="00065254"/>
    <w:rsid w:val="000652DD"/>
    <w:rsid w:val="00065484"/>
    <w:rsid w:val="000656A3"/>
    <w:rsid w:val="00065713"/>
    <w:rsid w:val="0006575E"/>
    <w:rsid w:val="000657A8"/>
    <w:rsid w:val="00065A25"/>
    <w:rsid w:val="00065BB4"/>
    <w:rsid w:val="00065D26"/>
    <w:rsid w:val="00066060"/>
    <w:rsid w:val="000661AE"/>
    <w:rsid w:val="0006621E"/>
    <w:rsid w:val="00066324"/>
    <w:rsid w:val="0006656E"/>
    <w:rsid w:val="00066737"/>
    <w:rsid w:val="00066842"/>
    <w:rsid w:val="0006695F"/>
    <w:rsid w:val="000669DD"/>
    <w:rsid w:val="00066A8F"/>
    <w:rsid w:val="00066BBA"/>
    <w:rsid w:val="00066C8B"/>
    <w:rsid w:val="00066E65"/>
    <w:rsid w:val="00066E98"/>
    <w:rsid w:val="00066F73"/>
    <w:rsid w:val="000671AD"/>
    <w:rsid w:val="000671B1"/>
    <w:rsid w:val="0006724E"/>
    <w:rsid w:val="00067406"/>
    <w:rsid w:val="00067AAB"/>
    <w:rsid w:val="00067C1B"/>
    <w:rsid w:val="00067D27"/>
    <w:rsid w:val="00067E85"/>
    <w:rsid w:val="00067E91"/>
    <w:rsid w:val="00067F95"/>
    <w:rsid w:val="0007000A"/>
    <w:rsid w:val="0007013F"/>
    <w:rsid w:val="000701FB"/>
    <w:rsid w:val="00070226"/>
    <w:rsid w:val="00070243"/>
    <w:rsid w:val="000702E7"/>
    <w:rsid w:val="0007035C"/>
    <w:rsid w:val="0007038D"/>
    <w:rsid w:val="000704A4"/>
    <w:rsid w:val="00070518"/>
    <w:rsid w:val="00070653"/>
    <w:rsid w:val="00070697"/>
    <w:rsid w:val="000706EC"/>
    <w:rsid w:val="0007072D"/>
    <w:rsid w:val="00070843"/>
    <w:rsid w:val="0007089F"/>
    <w:rsid w:val="00070CF8"/>
    <w:rsid w:val="00070D0A"/>
    <w:rsid w:val="00070DC5"/>
    <w:rsid w:val="000713D6"/>
    <w:rsid w:val="00071509"/>
    <w:rsid w:val="0007161B"/>
    <w:rsid w:val="00071725"/>
    <w:rsid w:val="00071733"/>
    <w:rsid w:val="0007189B"/>
    <w:rsid w:val="00071974"/>
    <w:rsid w:val="00071CE2"/>
    <w:rsid w:val="00071DA3"/>
    <w:rsid w:val="00071FD4"/>
    <w:rsid w:val="00071FE5"/>
    <w:rsid w:val="0007209C"/>
    <w:rsid w:val="00072163"/>
    <w:rsid w:val="000722E0"/>
    <w:rsid w:val="000722E7"/>
    <w:rsid w:val="0007250F"/>
    <w:rsid w:val="000726B3"/>
    <w:rsid w:val="00072825"/>
    <w:rsid w:val="0007282D"/>
    <w:rsid w:val="0007291F"/>
    <w:rsid w:val="00072E8E"/>
    <w:rsid w:val="00073507"/>
    <w:rsid w:val="00073845"/>
    <w:rsid w:val="000739A0"/>
    <w:rsid w:val="00073CE7"/>
    <w:rsid w:val="00073F97"/>
    <w:rsid w:val="00073FAB"/>
    <w:rsid w:val="00074330"/>
    <w:rsid w:val="000743B3"/>
    <w:rsid w:val="000744E6"/>
    <w:rsid w:val="00074582"/>
    <w:rsid w:val="00074871"/>
    <w:rsid w:val="000749AF"/>
    <w:rsid w:val="00074B0B"/>
    <w:rsid w:val="00074B84"/>
    <w:rsid w:val="00074F30"/>
    <w:rsid w:val="00074F83"/>
    <w:rsid w:val="00075354"/>
    <w:rsid w:val="00075514"/>
    <w:rsid w:val="000755D3"/>
    <w:rsid w:val="00075624"/>
    <w:rsid w:val="0007578B"/>
    <w:rsid w:val="00075798"/>
    <w:rsid w:val="00075A6E"/>
    <w:rsid w:val="00075BCF"/>
    <w:rsid w:val="00075CEE"/>
    <w:rsid w:val="00075D29"/>
    <w:rsid w:val="00075D3E"/>
    <w:rsid w:val="00075E63"/>
    <w:rsid w:val="00076059"/>
    <w:rsid w:val="0007614C"/>
    <w:rsid w:val="000761D4"/>
    <w:rsid w:val="00076294"/>
    <w:rsid w:val="000764FA"/>
    <w:rsid w:val="000765A2"/>
    <w:rsid w:val="000766A3"/>
    <w:rsid w:val="0007670A"/>
    <w:rsid w:val="000769B8"/>
    <w:rsid w:val="000769F4"/>
    <w:rsid w:val="00076A11"/>
    <w:rsid w:val="00076C6A"/>
    <w:rsid w:val="00076E4A"/>
    <w:rsid w:val="00076EC7"/>
    <w:rsid w:val="00076F0E"/>
    <w:rsid w:val="00077062"/>
    <w:rsid w:val="000771B7"/>
    <w:rsid w:val="00077423"/>
    <w:rsid w:val="0007765D"/>
    <w:rsid w:val="0007773E"/>
    <w:rsid w:val="000778AA"/>
    <w:rsid w:val="000779DF"/>
    <w:rsid w:val="00077BC5"/>
    <w:rsid w:val="00077D44"/>
    <w:rsid w:val="00077EBB"/>
    <w:rsid w:val="0008009E"/>
    <w:rsid w:val="000801A8"/>
    <w:rsid w:val="0008033A"/>
    <w:rsid w:val="00080468"/>
    <w:rsid w:val="0008050C"/>
    <w:rsid w:val="00080511"/>
    <w:rsid w:val="000805CE"/>
    <w:rsid w:val="00080AA3"/>
    <w:rsid w:val="00080AF9"/>
    <w:rsid w:val="00080C40"/>
    <w:rsid w:val="00080EDA"/>
    <w:rsid w:val="00080F16"/>
    <w:rsid w:val="00080FF2"/>
    <w:rsid w:val="00081093"/>
    <w:rsid w:val="00081154"/>
    <w:rsid w:val="0008127D"/>
    <w:rsid w:val="00081378"/>
    <w:rsid w:val="00081463"/>
    <w:rsid w:val="000815C6"/>
    <w:rsid w:val="000816CE"/>
    <w:rsid w:val="00081A20"/>
    <w:rsid w:val="00081D52"/>
    <w:rsid w:val="00081E39"/>
    <w:rsid w:val="00082056"/>
    <w:rsid w:val="00082257"/>
    <w:rsid w:val="0008232A"/>
    <w:rsid w:val="000823D9"/>
    <w:rsid w:val="000826D3"/>
    <w:rsid w:val="0008291E"/>
    <w:rsid w:val="00082A8C"/>
    <w:rsid w:val="00082DD6"/>
    <w:rsid w:val="00082EE8"/>
    <w:rsid w:val="00082FF8"/>
    <w:rsid w:val="0008301C"/>
    <w:rsid w:val="0008309A"/>
    <w:rsid w:val="000830D6"/>
    <w:rsid w:val="00083326"/>
    <w:rsid w:val="0008346E"/>
    <w:rsid w:val="000835F6"/>
    <w:rsid w:val="00083612"/>
    <w:rsid w:val="000836DB"/>
    <w:rsid w:val="00083CAA"/>
    <w:rsid w:val="00083D27"/>
    <w:rsid w:val="00083DD5"/>
    <w:rsid w:val="00083F57"/>
    <w:rsid w:val="00083FCA"/>
    <w:rsid w:val="000841AB"/>
    <w:rsid w:val="00084512"/>
    <w:rsid w:val="00084558"/>
    <w:rsid w:val="000846D1"/>
    <w:rsid w:val="00084733"/>
    <w:rsid w:val="0008482C"/>
    <w:rsid w:val="00084BA1"/>
    <w:rsid w:val="00084EE7"/>
    <w:rsid w:val="00084F04"/>
    <w:rsid w:val="00085347"/>
    <w:rsid w:val="00085759"/>
    <w:rsid w:val="00085847"/>
    <w:rsid w:val="0008586F"/>
    <w:rsid w:val="0008597D"/>
    <w:rsid w:val="000859BD"/>
    <w:rsid w:val="00085A02"/>
    <w:rsid w:val="00085BB5"/>
    <w:rsid w:val="00085C18"/>
    <w:rsid w:val="00085C31"/>
    <w:rsid w:val="00085D09"/>
    <w:rsid w:val="00086363"/>
    <w:rsid w:val="000864B0"/>
    <w:rsid w:val="00086544"/>
    <w:rsid w:val="000867FC"/>
    <w:rsid w:val="00086943"/>
    <w:rsid w:val="00086A21"/>
    <w:rsid w:val="00086ACD"/>
    <w:rsid w:val="00086D29"/>
    <w:rsid w:val="00086D46"/>
    <w:rsid w:val="00086EC2"/>
    <w:rsid w:val="0008727D"/>
    <w:rsid w:val="00087375"/>
    <w:rsid w:val="000873AF"/>
    <w:rsid w:val="00087692"/>
    <w:rsid w:val="0008778B"/>
    <w:rsid w:val="000877DA"/>
    <w:rsid w:val="00087847"/>
    <w:rsid w:val="00087910"/>
    <w:rsid w:val="00087BA5"/>
    <w:rsid w:val="00087D5B"/>
    <w:rsid w:val="00087DAA"/>
    <w:rsid w:val="0009006B"/>
    <w:rsid w:val="000900FB"/>
    <w:rsid w:val="00090444"/>
    <w:rsid w:val="00090511"/>
    <w:rsid w:val="0009052A"/>
    <w:rsid w:val="00090597"/>
    <w:rsid w:val="0009061D"/>
    <w:rsid w:val="00090637"/>
    <w:rsid w:val="00090702"/>
    <w:rsid w:val="00090A67"/>
    <w:rsid w:val="00090B16"/>
    <w:rsid w:val="00090C65"/>
    <w:rsid w:val="00090E5F"/>
    <w:rsid w:val="00090F98"/>
    <w:rsid w:val="00091436"/>
    <w:rsid w:val="00091A33"/>
    <w:rsid w:val="00091C73"/>
    <w:rsid w:val="00091CA4"/>
    <w:rsid w:val="00091D13"/>
    <w:rsid w:val="00091EB1"/>
    <w:rsid w:val="00091EFB"/>
    <w:rsid w:val="00091F05"/>
    <w:rsid w:val="00092341"/>
    <w:rsid w:val="00092380"/>
    <w:rsid w:val="00092708"/>
    <w:rsid w:val="000927EE"/>
    <w:rsid w:val="000929E5"/>
    <w:rsid w:val="00092C97"/>
    <w:rsid w:val="000931C5"/>
    <w:rsid w:val="00093200"/>
    <w:rsid w:val="000932A9"/>
    <w:rsid w:val="000932C6"/>
    <w:rsid w:val="0009331D"/>
    <w:rsid w:val="00093469"/>
    <w:rsid w:val="0009352F"/>
    <w:rsid w:val="000935FA"/>
    <w:rsid w:val="0009372E"/>
    <w:rsid w:val="00093767"/>
    <w:rsid w:val="000939C6"/>
    <w:rsid w:val="00093A56"/>
    <w:rsid w:val="00093BC7"/>
    <w:rsid w:val="00093FB6"/>
    <w:rsid w:val="000944EB"/>
    <w:rsid w:val="00094767"/>
    <w:rsid w:val="00094841"/>
    <w:rsid w:val="000948BE"/>
    <w:rsid w:val="0009499F"/>
    <w:rsid w:val="00094B0C"/>
    <w:rsid w:val="00094B2A"/>
    <w:rsid w:val="00094BE0"/>
    <w:rsid w:val="00094C5C"/>
    <w:rsid w:val="00094CD0"/>
    <w:rsid w:val="00094DD1"/>
    <w:rsid w:val="00095035"/>
    <w:rsid w:val="00095243"/>
    <w:rsid w:val="00095265"/>
    <w:rsid w:val="000956B3"/>
    <w:rsid w:val="00095755"/>
    <w:rsid w:val="00095785"/>
    <w:rsid w:val="00095839"/>
    <w:rsid w:val="00095A6C"/>
    <w:rsid w:val="00095AAF"/>
    <w:rsid w:val="00095E6D"/>
    <w:rsid w:val="00095F42"/>
    <w:rsid w:val="000961D8"/>
    <w:rsid w:val="000963BD"/>
    <w:rsid w:val="000963FA"/>
    <w:rsid w:val="0009649B"/>
    <w:rsid w:val="00096526"/>
    <w:rsid w:val="00096546"/>
    <w:rsid w:val="000965CE"/>
    <w:rsid w:val="000965E6"/>
    <w:rsid w:val="000966F8"/>
    <w:rsid w:val="00096952"/>
    <w:rsid w:val="000969CE"/>
    <w:rsid w:val="00096DA2"/>
    <w:rsid w:val="00097187"/>
    <w:rsid w:val="00097603"/>
    <w:rsid w:val="000976E4"/>
    <w:rsid w:val="0009777A"/>
    <w:rsid w:val="000978CE"/>
    <w:rsid w:val="00097AE8"/>
    <w:rsid w:val="00097B4C"/>
    <w:rsid w:val="00097BDC"/>
    <w:rsid w:val="00097C2E"/>
    <w:rsid w:val="00097C3E"/>
    <w:rsid w:val="00097D2F"/>
    <w:rsid w:val="000A00A7"/>
    <w:rsid w:val="000A00F8"/>
    <w:rsid w:val="000A014E"/>
    <w:rsid w:val="000A0202"/>
    <w:rsid w:val="000A0266"/>
    <w:rsid w:val="000A0317"/>
    <w:rsid w:val="000A0331"/>
    <w:rsid w:val="000A03E7"/>
    <w:rsid w:val="000A0469"/>
    <w:rsid w:val="000A049F"/>
    <w:rsid w:val="000A076B"/>
    <w:rsid w:val="000A0AD3"/>
    <w:rsid w:val="000A0E09"/>
    <w:rsid w:val="000A0EDC"/>
    <w:rsid w:val="000A0FC5"/>
    <w:rsid w:val="000A10E6"/>
    <w:rsid w:val="000A114B"/>
    <w:rsid w:val="000A125D"/>
    <w:rsid w:val="000A128E"/>
    <w:rsid w:val="000A1467"/>
    <w:rsid w:val="000A1695"/>
    <w:rsid w:val="000A19B5"/>
    <w:rsid w:val="000A20BB"/>
    <w:rsid w:val="000A21F4"/>
    <w:rsid w:val="000A22F3"/>
    <w:rsid w:val="000A2494"/>
    <w:rsid w:val="000A257F"/>
    <w:rsid w:val="000A2DAA"/>
    <w:rsid w:val="000A2DB9"/>
    <w:rsid w:val="000A2DBF"/>
    <w:rsid w:val="000A2F8F"/>
    <w:rsid w:val="000A30B9"/>
    <w:rsid w:val="000A3154"/>
    <w:rsid w:val="000A32A8"/>
    <w:rsid w:val="000A3369"/>
    <w:rsid w:val="000A3566"/>
    <w:rsid w:val="000A3747"/>
    <w:rsid w:val="000A37A7"/>
    <w:rsid w:val="000A389F"/>
    <w:rsid w:val="000A397C"/>
    <w:rsid w:val="000A3A53"/>
    <w:rsid w:val="000A3AFB"/>
    <w:rsid w:val="000A3FD6"/>
    <w:rsid w:val="000A4194"/>
    <w:rsid w:val="000A4279"/>
    <w:rsid w:val="000A43A8"/>
    <w:rsid w:val="000A4514"/>
    <w:rsid w:val="000A45FF"/>
    <w:rsid w:val="000A463D"/>
    <w:rsid w:val="000A4829"/>
    <w:rsid w:val="000A4938"/>
    <w:rsid w:val="000A4A0E"/>
    <w:rsid w:val="000A4AC6"/>
    <w:rsid w:val="000A4AF9"/>
    <w:rsid w:val="000A4BFB"/>
    <w:rsid w:val="000A4D72"/>
    <w:rsid w:val="000A4E36"/>
    <w:rsid w:val="000A5105"/>
    <w:rsid w:val="000A547F"/>
    <w:rsid w:val="000A549B"/>
    <w:rsid w:val="000A55D1"/>
    <w:rsid w:val="000A5633"/>
    <w:rsid w:val="000A56D0"/>
    <w:rsid w:val="000A5905"/>
    <w:rsid w:val="000A5925"/>
    <w:rsid w:val="000A5A0E"/>
    <w:rsid w:val="000A6013"/>
    <w:rsid w:val="000A64F8"/>
    <w:rsid w:val="000A66C4"/>
    <w:rsid w:val="000A6785"/>
    <w:rsid w:val="000A692E"/>
    <w:rsid w:val="000A6934"/>
    <w:rsid w:val="000A6A20"/>
    <w:rsid w:val="000A6BF7"/>
    <w:rsid w:val="000A6E13"/>
    <w:rsid w:val="000A6ED5"/>
    <w:rsid w:val="000A7292"/>
    <w:rsid w:val="000A7329"/>
    <w:rsid w:val="000A7457"/>
    <w:rsid w:val="000A7664"/>
    <w:rsid w:val="000A76CF"/>
    <w:rsid w:val="000A7791"/>
    <w:rsid w:val="000A77C3"/>
    <w:rsid w:val="000A7B96"/>
    <w:rsid w:val="000A7E5E"/>
    <w:rsid w:val="000A7EF2"/>
    <w:rsid w:val="000A7F05"/>
    <w:rsid w:val="000A7F9E"/>
    <w:rsid w:val="000B0199"/>
    <w:rsid w:val="000B01B3"/>
    <w:rsid w:val="000B0311"/>
    <w:rsid w:val="000B053C"/>
    <w:rsid w:val="000B05B1"/>
    <w:rsid w:val="000B0629"/>
    <w:rsid w:val="000B0638"/>
    <w:rsid w:val="000B06EA"/>
    <w:rsid w:val="000B076B"/>
    <w:rsid w:val="000B0898"/>
    <w:rsid w:val="000B093E"/>
    <w:rsid w:val="000B0965"/>
    <w:rsid w:val="000B0AF0"/>
    <w:rsid w:val="000B0B2B"/>
    <w:rsid w:val="000B0BB5"/>
    <w:rsid w:val="000B0BD6"/>
    <w:rsid w:val="000B0BDF"/>
    <w:rsid w:val="000B0C2D"/>
    <w:rsid w:val="000B0C5D"/>
    <w:rsid w:val="000B0F0A"/>
    <w:rsid w:val="000B1215"/>
    <w:rsid w:val="000B136C"/>
    <w:rsid w:val="000B1551"/>
    <w:rsid w:val="000B1C8E"/>
    <w:rsid w:val="000B22A3"/>
    <w:rsid w:val="000B22A6"/>
    <w:rsid w:val="000B240C"/>
    <w:rsid w:val="000B254C"/>
    <w:rsid w:val="000B2598"/>
    <w:rsid w:val="000B281E"/>
    <w:rsid w:val="000B2835"/>
    <w:rsid w:val="000B2979"/>
    <w:rsid w:val="000B2E3C"/>
    <w:rsid w:val="000B2F53"/>
    <w:rsid w:val="000B2FE3"/>
    <w:rsid w:val="000B2FEC"/>
    <w:rsid w:val="000B307E"/>
    <w:rsid w:val="000B30E1"/>
    <w:rsid w:val="000B328C"/>
    <w:rsid w:val="000B362B"/>
    <w:rsid w:val="000B37A7"/>
    <w:rsid w:val="000B3AA8"/>
    <w:rsid w:val="000B3D1E"/>
    <w:rsid w:val="000B3DE8"/>
    <w:rsid w:val="000B4091"/>
    <w:rsid w:val="000B417A"/>
    <w:rsid w:val="000B46DF"/>
    <w:rsid w:val="000B4870"/>
    <w:rsid w:val="000B493D"/>
    <w:rsid w:val="000B5046"/>
    <w:rsid w:val="000B514A"/>
    <w:rsid w:val="000B524B"/>
    <w:rsid w:val="000B528D"/>
    <w:rsid w:val="000B52AE"/>
    <w:rsid w:val="000B535C"/>
    <w:rsid w:val="000B574D"/>
    <w:rsid w:val="000B5801"/>
    <w:rsid w:val="000B5888"/>
    <w:rsid w:val="000B58AD"/>
    <w:rsid w:val="000B59C7"/>
    <w:rsid w:val="000B5A03"/>
    <w:rsid w:val="000B610D"/>
    <w:rsid w:val="000B62C7"/>
    <w:rsid w:val="000B64CD"/>
    <w:rsid w:val="000B6597"/>
    <w:rsid w:val="000B65E4"/>
    <w:rsid w:val="000B686C"/>
    <w:rsid w:val="000B6891"/>
    <w:rsid w:val="000B68CE"/>
    <w:rsid w:val="000B69F9"/>
    <w:rsid w:val="000B6AC2"/>
    <w:rsid w:val="000B6BCB"/>
    <w:rsid w:val="000B6C05"/>
    <w:rsid w:val="000B6C07"/>
    <w:rsid w:val="000B6E2E"/>
    <w:rsid w:val="000B6F3C"/>
    <w:rsid w:val="000B700A"/>
    <w:rsid w:val="000B7094"/>
    <w:rsid w:val="000B7157"/>
    <w:rsid w:val="000B71F0"/>
    <w:rsid w:val="000B725E"/>
    <w:rsid w:val="000B7346"/>
    <w:rsid w:val="000B744F"/>
    <w:rsid w:val="000B763D"/>
    <w:rsid w:val="000B76DA"/>
    <w:rsid w:val="000B7758"/>
    <w:rsid w:val="000B79FC"/>
    <w:rsid w:val="000B7A22"/>
    <w:rsid w:val="000B7AB4"/>
    <w:rsid w:val="000B7C0A"/>
    <w:rsid w:val="000B7C6B"/>
    <w:rsid w:val="000B7D58"/>
    <w:rsid w:val="000B7EBE"/>
    <w:rsid w:val="000C033F"/>
    <w:rsid w:val="000C03D9"/>
    <w:rsid w:val="000C0668"/>
    <w:rsid w:val="000C0A85"/>
    <w:rsid w:val="000C0ABF"/>
    <w:rsid w:val="000C0BD7"/>
    <w:rsid w:val="000C0E15"/>
    <w:rsid w:val="000C0E32"/>
    <w:rsid w:val="000C0FA3"/>
    <w:rsid w:val="000C10F8"/>
    <w:rsid w:val="000C13FF"/>
    <w:rsid w:val="000C14D9"/>
    <w:rsid w:val="000C154C"/>
    <w:rsid w:val="000C1584"/>
    <w:rsid w:val="000C15DF"/>
    <w:rsid w:val="000C1AD6"/>
    <w:rsid w:val="000C1AEB"/>
    <w:rsid w:val="000C1B19"/>
    <w:rsid w:val="000C1BE0"/>
    <w:rsid w:val="000C1D22"/>
    <w:rsid w:val="000C20BD"/>
    <w:rsid w:val="000C2424"/>
    <w:rsid w:val="000C244E"/>
    <w:rsid w:val="000C2562"/>
    <w:rsid w:val="000C25CE"/>
    <w:rsid w:val="000C2879"/>
    <w:rsid w:val="000C2928"/>
    <w:rsid w:val="000C2950"/>
    <w:rsid w:val="000C2971"/>
    <w:rsid w:val="000C2A75"/>
    <w:rsid w:val="000C2B24"/>
    <w:rsid w:val="000C2CDE"/>
    <w:rsid w:val="000C2E80"/>
    <w:rsid w:val="000C2EDC"/>
    <w:rsid w:val="000C3167"/>
    <w:rsid w:val="000C31CC"/>
    <w:rsid w:val="000C336C"/>
    <w:rsid w:val="000C34BA"/>
    <w:rsid w:val="000C36C9"/>
    <w:rsid w:val="000C375A"/>
    <w:rsid w:val="000C3B56"/>
    <w:rsid w:val="000C3CBD"/>
    <w:rsid w:val="000C3F04"/>
    <w:rsid w:val="000C40D8"/>
    <w:rsid w:val="000C41A0"/>
    <w:rsid w:val="000C42D1"/>
    <w:rsid w:val="000C4671"/>
    <w:rsid w:val="000C4726"/>
    <w:rsid w:val="000C48C9"/>
    <w:rsid w:val="000C4A7E"/>
    <w:rsid w:val="000C4C11"/>
    <w:rsid w:val="000C4D16"/>
    <w:rsid w:val="000C4F3A"/>
    <w:rsid w:val="000C502D"/>
    <w:rsid w:val="000C52B2"/>
    <w:rsid w:val="000C5912"/>
    <w:rsid w:val="000C5917"/>
    <w:rsid w:val="000C5994"/>
    <w:rsid w:val="000C5AFC"/>
    <w:rsid w:val="000C5B23"/>
    <w:rsid w:val="000C5C17"/>
    <w:rsid w:val="000C5D45"/>
    <w:rsid w:val="000C5DBD"/>
    <w:rsid w:val="000C5E51"/>
    <w:rsid w:val="000C5EA5"/>
    <w:rsid w:val="000C5FC7"/>
    <w:rsid w:val="000C60AC"/>
    <w:rsid w:val="000C6182"/>
    <w:rsid w:val="000C61F2"/>
    <w:rsid w:val="000C644E"/>
    <w:rsid w:val="000C66E0"/>
    <w:rsid w:val="000C6892"/>
    <w:rsid w:val="000C6AA1"/>
    <w:rsid w:val="000C6B45"/>
    <w:rsid w:val="000C6D0A"/>
    <w:rsid w:val="000C6DA3"/>
    <w:rsid w:val="000C6E2E"/>
    <w:rsid w:val="000C7251"/>
    <w:rsid w:val="000C730F"/>
    <w:rsid w:val="000C73A3"/>
    <w:rsid w:val="000C73C1"/>
    <w:rsid w:val="000C73F5"/>
    <w:rsid w:val="000C75C6"/>
    <w:rsid w:val="000C78F1"/>
    <w:rsid w:val="000C797C"/>
    <w:rsid w:val="000C7A62"/>
    <w:rsid w:val="000C7C11"/>
    <w:rsid w:val="000D0218"/>
    <w:rsid w:val="000D04AD"/>
    <w:rsid w:val="000D08B4"/>
    <w:rsid w:val="000D0AF8"/>
    <w:rsid w:val="000D0BC8"/>
    <w:rsid w:val="000D0CE7"/>
    <w:rsid w:val="000D0D03"/>
    <w:rsid w:val="000D0F24"/>
    <w:rsid w:val="000D0FD6"/>
    <w:rsid w:val="000D1020"/>
    <w:rsid w:val="000D1068"/>
    <w:rsid w:val="000D139D"/>
    <w:rsid w:val="000D1497"/>
    <w:rsid w:val="000D1539"/>
    <w:rsid w:val="000D162D"/>
    <w:rsid w:val="000D163D"/>
    <w:rsid w:val="000D16EA"/>
    <w:rsid w:val="000D176E"/>
    <w:rsid w:val="000D1A00"/>
    <w:rsid w:val="000D1CD2"/>
    <w:rsid w:val="000D1DC9"/>
    <w:rsid w:val="000D1E2C"/>
    <w:rsid w:val="000D1E46"/>
    <w:rsid w:val="000D1ED9"/>
    <w:rsid w:val="000D21D1"/>
    <w:rsid w:val="000D21E6"/>
    <w:rsid w:val="000D234C"/>
    <w:rsid w:val="000D23D8"/>
    <w:rsid w:val="000D2441"/>
    <w:rsid w:val="000D2809"/>
    <w:rsid w:val="000D2845"/>
    <w:rsid w:val="000D28D5"/>
    <w:rsid w:val="000D2997"/>
    <w:rsid w:val="000D2A13"/>
    <w:rsid w:val="000D2A9D"/>
    <w:rsid w:val="000D2AED"/>
    <w:rsid w:val="000D2DE0"/>
    <w:rsid w:val="000D3205"/>
    <w:rsid w:val="000D3250"/>
    <w:rsid w:val="000D3A96"/>
    <w:rsid w:val="000D3DFA"/>
    <w:rsid w:val="000D3E4E"/>
    <w:rsid w:val="000D40DF"/>
    <w:rsid w:val="000D4167"/>
    <w:rsid w:val="000D4262"/>
    <w:rsid w:val="000D45F6"/>
    <w:rsid w:val="000D464A"/>
    <w:rsid w:val="000D468B"/>
    <w:rsid w:val="000D4928"/>
    <w:rsid w:val="000D49B3"/>
    <w:rsid w:val="000D4C5C"/>
    <w:rsid w:val="000D4C8B"/>
    <w:rsid w:val="000D4CB4"/>
    <w:rsid w:val="000D4D0D"/>
    <w:rsid w:val="000D4D71"/>
    <w:rsid w:val="000D4DA3"/>
    <w:rsid w:val="000D4E3E"/>
    <w:rsid w:val="000D4ED1"/>
    <w:rsid w:val="000D4FB1"/>
    <w:rsid w:val="000D50F2"/>
    <w:rsid w:val="000D5292"/>
    <w:rsid w:val="000D54B3"/>
    <w:rsid w:val="000D54E9"/>
    <w:rsid w:val="000D55BF"/>
    <w:rsid w:val="000D55CA"/>
    <w:rsid w:val="000D55EB"/>
    <w:rsid w:val="000D5758"/>
    <w:rsid w:val="000D5929"/>
    <w:rsid w:val="000D5AA0"/>
    <w:rsid w:val="000D5B0F"/>
    <w:rsid w:val="000D5C53"/>
    <w:rsid w:val="000D5D61"/>
    <w:rsid w:val="000D5EBC"/>
    <w:rsid w:val="000D604D"/>
    <w:rsid w:val="000D6261"/>
    <w:rsid w:val="000D65BA"/>
    <w:rsid w:val="000D6675"/>
    <w:rsid w:val="000D6AEC"/>
    <w:rsid w:val="000D6BA0"/>
    <w:rsid w:val="000D6BD2"/>
    <w:rsid w:val="000D6D8A"/>
    <w:rsid w:val="000D6E35"/>
    <w:rsid w:val="000D6E7F"/>
    <w:rsid w:val="000D6E84"/>
    <w:rsid w:val="000D6EC2"/>
    <w:rsid w:val="000D6EE4"/>
    <w:rsid w:val="000D70D7"/>
    <w:rsid w:val="000D763F"/>
    <w:rsid w:val="000D765B"/>
    <w:rsid w:val="000D76DB"/>
    <w:rsid w:val="000D7AC2"/>
    <w:rsid w:val="000D7AC7"/>
    <w:rsid w:val="000D7C4C"/>
    <w:rsid w:val="000D7C7D"/>
    <w:rsid w:val="000D7D98"/>
    <w:rsid w:val="000D7ECC"/>
    <w:rsid w:val="000E027B"/>
    <w:rsid w:val="000E03FB"/>
    <w:rsid w:val="000E03FF"/>
    <w:rsid w:val="000E0527"/>
    <w:rsid w:val="000E0952"/>
    <w:rsid w:val="000E0956"/>
    <w:rsid w:val="000E0C01"/>
    <w:rsid w:val="000E0E63"/>
    <w:rsid w:val="000E1161"/>
    <w:rsid w:val="000E11B6"/>
    <w:rsid w:val="000E12B4"/>
    <w:rsid w:val="000E1762"/>
    <w:rsid w:val="000E176D"/>
    <w:rsid w:val="000E1842"/>
    <w:rsid w:val="000E19AB"/>
    <w:rsid w:val="000E1A73"/>
    <w:rsid w:val="000E1B6F"/>
    <w:rsid w:val="000E1C4E"/>
    <w:rsid w:val="000E1FD4"/>
    <w:rsid w:val="000E201D"/>
    <w:rsid w:val="000E22B5"/>
    <w:rsid w:val="000E22EB"/>
    <w:rsid w:val="000E2702"/>
    <w:rsid w:val="000E2C94"/>
    <w:rsid w:val="000E2DD7"/>
    <w:rsid w:val="000E3188"/>
    <w:rsid w:val="000E31DC"/>
    <w:rsid w:val="000E3206"/>
    <w:rsid w:val="000E3334"/>
    <w:rsid w:val="000E3454"/>
    <w:rsid w:val="000E3612"/>
    <w:rsid w:val="000E3704"/>
    <w:rsid w:val="000E374B"/>
    <w:rsid w:val="000E387C"/>
    <w:rsid w:val="000E3A84"/>
    <w:rsid w:val="000E3B47"/>
    <w:rsid w:val="000E3DCC"/>
    <w:rsid w:val="000E3F20"/>
    <w:rsid w:val="000E3F46"/>
    <w:rsid w:val="000E4042"/>
    <w:rsid w:val="000E418B"/>
    <w:rsid w:val="000E4256"/>
    <w:rsid w:val="000E43C4"/>
    <w:rsid w:val="000E4440"/>
    <w:rsid w:val="000E44A5"/>
    <w:rsid w:val="000E45E9"/>
    <w:rsid w:val="000E4AA4"/>
    <w:rsid w:val="000E4C05"/>
    <w:rsid w:val="000E4C1C"/>
    <w:rsid w:val="000E4DE3"/>
    <w:rsid w:val="000E4F4A"/>
    <w:rsid w:val="000E5367"/>
    <w:rsid w:val="000E54AA"/>
    <w:rsid w:val="000E5532"/>
    <w:rsid w:val="000E55E0"/>
    <w:rsid w:val="000E57E1"/>
    <w:rsid w:val="000E59E6"/>
    <w:rsid w:val="000E5B8F"/>
    <w:rsid w:val="000E5C79"/>
    <w:rsid w:val="000E5E00"/>
    <w:rsid w:val="000E5F2E"/>
    <w:rsid w:val="000E647A"/>
    <w:rsid w:val="000E65FE"/>
    <w:rsid w:val="000E6794"/>
    <w:rsid w:val="000E6CD4"/>
    <w:rsid w:val="000E6FF1"/>
    <w:rsid w:val="000E7033"/>
    <w:rsid w:val="000E7054"/>
    <w:rsid w:val="000E7633"/>
    <w:rsid w:val="000E769A"/>
    <w:rsid w:val="000E7738"/>
    <w:rsid w:val="000E77B3"/>
    <w:rsid w:val="000E79E7"/>
    <w:rsid w:val="000E7A9B"/>
    <w:rsid w:val="000E7B22"/>
    <w:rsid w:val="000E7B34"/>
    <w:rsid w:val="000E7C5E"/>
    <w:rsid w:val="000E7CA8"/>
    <w:rsid w:val="000E7CD4"/>
    <w:rsid w:val="000E7E01"/>
    <w:rsid w:val="000E7F3B"/>
    <w:rsid w:val="000F0328"/>
    <w:rsid w:val="000F032F"/>
    <w:rsid w:val="000F05E4"/>
    <w:rsid w:val="000F0715"/>
    <w:rsid w:val="000F074C"/>
    <w:rsid w:val="000F08D6"/>
    <w:rsid w:val="000F09F6"/>
    <w:rsid w:val="000F0CB1"/>
    <w:rsid w:val="000F0F41"/>
    <w:rsid w:val="000F120C"/>
    <w:rsid w:val="000F140D"/>
    <w:rsid w:val="000F19C1"/>
    <w:rsid w:val="000F1B89"/>
    <w:rsid w:val="000F1B94"/>
    <w:rsid w:val="000F1C2F"/>
    <w:rsid w:val="000F1CF4"/>
    <w:rsid w:val="000F1E32"/>
    <w:rsid w:val="000F1E8D"/>
    <w:rsid w:val="000F1F19"/>
    <w:rsid w:val="000F1FF3"/>
    <w:rsid w:val="000F20CC"/>
    <w:rsid w:val="000F23BF"/>
    <w:rsid w:val="000F25E1"/>
    <w:rsid w:val="000F2665"/>
    <w:rsid w:val="000F2AA5"/>
    <w:rsid w:val="000F2C5F"/>
    <w:rsid w:val="000F2CFB"/>
    <w:rsid w:val="000F2D63"/>
    <w:rsid w:val="000F2F79"/>
    <w:rsid w:val="000F2FAB"/>
    <w:rsid w:val="000F3300"/>
    <w:rsid w:val="000F33E4"/>
    <w:rsid w:val="000F34FD"/>
    <w:rsid w:val="000F3628"/>
    <w:rsid w:val="000F3671"/>
    <w:rsid w:val="000F3AA2"/>
    <w:rsid w:val="000F407A"/>
    <w:rsid w:val="000F412A"/>
    <w:rsid w:val="000F42CB"/>
    <w:rsid w:val="000F4469"/>
    <w:rsid w:val="000F456F"/>
    <w:rsid w:val="000F45C0"/>
    <w:rsid w:val="000F466B"/>
    <w:rsid w:val="000F4818"/>
    <w:rsid w:val="000F4B35"/>
    <w:rsid w:val="000F4B8B"/>
    <w:rsid w:val="000F4EE1"/>
    <w:rsid w:val="000F4FE8"/>
    <w:rsid w:val="000F5212"/>
    <w:rsid w:val="000F53CE"/>
    <w:rsid w:val="000F5596"/>
    <w:rsid w:val="000F58A8"/>
    <w:rsid w:val="000F5971"/>
    <w:rsid w:val="000F5A67"/>
    <w:rsid w:val="000F5BEF"/>
    <w:rsid w:val="000F5C22"/>
    <w:rsid w:val="000F5D6B"/>
    <w:rsid w:val="000F5E32"/>
    <w:rsid w:val="000F5EC9"/>
    <w:rsid w:val="000F6151"/>
    <w:rsid w:val="000F6178"/>
    <w:rsid w:val="000F6253"/>
    <w:rsid w:val="000F62AE"/>
    <w:rsid w:val="000F6522"/>
    <w:rsid w:val="000F6619"/>
    <w:rsid w:val="000F663E"/>
    <w:rsid w:val="000F669F"/>
    <w:rsid w:val="000F671B"/>
    <w:rsid w:val="000F67CB"/>
    <w:rsid w:val="000F67E9"/>
    <w:rsid w:val="000F6B06"/>
    <w:rsid w:val="000F6B8D"/>
    <w:rsid w:val="000F6CC5"/>
    <w:rsid w:val="000F6E31"/>
    <w:rsid w:val="000F6E7B"/>
    <w:rsid w:val="000F7221"/>
    <w:rsid w:val="000F733F"/>
    <w:rsid w:val="000F7378"/>
    <w:rsid w:val="000F73CE"/>
    <w:rsid w:val="000F73DF"/>
    <w:rsid w:val="000F73F8"/>
    <w:rsid w:val="000F786B"/>
    <w:rsid w:val="000F7949"/>
    <w:rsid w:val="000F79CB"/>
    <w:rsid w:val="000F7B30"/>
    <w:rsid w:val="000F7CCC"/>
    <w:rsid w:val="000F7E02"/>
    <w:rsid w:val="000F7F31"/>
    <w:rsid w:val="001005E3"/>
    <w:rsid w:val="001005EE"/>
    <w:rsid w:val="001008A6"/>
    <w:rsid w:val="0010099D"/>
    <w:rsid w:val="00100A5D"/>
    <w:rsid w:val="00100A6B"/>
    <w:rsid w:val="00100D89"/>
    <w:rsid w:val="00100EA7"/>
    <w:rsid w:val="00101120"/>
    <w:rsid w:val="0010113D"/>
    <w:rsid w:val="00101222"/>
    <w:rsid w:val="0010172D"/>
    <w:rsid w:val="001017F5"/>
    <w:rsid w:val="001018AB"/>
    <w:rsid w:val="001018C2"/>
    <w:rsid w:val="00101C21"/>
    <w:rsid w:val="00101C27"/>
    <w:rsid w:val="00101C91"/>
    <w:rsid w:val="00101F39"/>
    <w:rsid w:val="0010216A"/>
    <w:rsid w:val="001021A3"/>
    <w:rsid w:val="001021BC"/>
    <w:rsid w:val="001021D4"/>
    <w:rsid w:val="001021EB"/>
    <w:rsid w:val="001022B2"/>
    <w:rsid w:val="001023D9"/>
    <w:rsid w:val="0010250F"/>
    <w:rsid w:val="001027C7"/>
    <w:rsid w:val="00102C29"/>
    <w:rsid w:val="00102D11"/>
    <w:rsid w:val="00102D27"/>
    <w:rsid w:val="00102F0E"/>
    <w:rsid w:val="0010300D"/>
    <w:rsid w:val="00103070"/>
    <w:rsid w:val="00103270"/>
    <w:rsid w:val="00103303"/>
    <w:rsid w:val="0010355A"/>
    <w:rsid w:val="001035F3"/>
    <w:rsid w:val="001036BA"/>
    <w:rsid w:val="00103826"/>
    <w:rsid w:val="00103A19"/>
    <w:rsid w:val="00103CB6"/>
    <w:rsid w:val="00103D74"/>
    <w:rsid w:val="00103E03"/>
    <w:rsid w:val="00103F73"/>
    <w:rsid w:val="00103F9F"/>
    <w:rsid w:val="0010414D"/>
    <w:rsid w:val="00104199"/>
    <w:rsid w:val="001042A7"/>
    <w:rsid w:val="001042C6"/>
    <w:rsid w:val="00104418"/>
    <w:rsid w:val="0010452A"/>
    <w:rsid w:val="0010462B"/>
    <w:rsid w:val="0010470C"/>
    <w:rsid w:val="0010484D"/>
    <w:rsid w:val="0010490F"/>
    <w:rsid w:val="0010491D"/>
    <w:rsid w:val="00104E2F"/>
    <w:rsid w:val="00104FED"/>
    <w:rsid w:val="00105163"/>
    <w:rsid w:val="001052EC"/>
    <w:rsid w:val="00105312"/>
    <w:rsid w:val="00105607"/>
    <w:rsid w:val="00105641"/>
    <w:rsid w:val="00105849"/>
    <w:rsid w:val="00105C44"/>
    <w:rsid w:val="00105DD5"/>
    <w:rsid w:val="00105E73"/>
    <w:rsid w:val="00106128"/>
    <w:rsid w:val="0010616B"/>
    <w:rsid w:val="001063EB"/>
    <w:rsid w:val="001066BA"/>
    <w:rsid w:val="001068AE"/>
    <w:rsid w:val="0010698E"/>
    <w:rsid w:val="00106A29"/>
    <w:rsid w:val="00106A48"/>
    <w:rsid w:val="00106A7D"/>
    <w:rsid w:val="00106A99"/>
    <w:rsid w:val="00106B47"/>
    <w:rsid w:val="00106CF6"/>
    <w:rsid w:val="00106E45"/>
    <w:rsid w:val="00106FD1"/>
    <w:rsid w:val="00107526"/>
    <w:rsid w:val="001075CC"/>
    <w:rsid w:val="00107828"/>
    <w:rsid w:val="0010784F"/>
    <w:rsid w:val="001079C4"/>
    <w:rsid w:val="00107A12"/>
    <w:rsid w:val="00107F8B"/>
    <w:rsid w:val="001101F1"/>
    <w:rsid w:val="00110284"/>
    <w:rsid w:val="0011031A"/>
    <w:rsid w:val="00110371"/>
    <w:rsid w:val="001103E5"/>
    <w:rsid w:val="0011050B"/>
    <w:rsid w:val="001108CC"/>
    <w:rsid w:val="00110C92"/>
    <w:rsid w:val="00110DE6"/>
    <w:rsid w:val="00111190"/>
    <w:rsid w:val="001111EF"/>
    <w:rsid w:val="00111240"/>
    <w:rsid w:val="00111289"/>
    <w:rsid w:val="001113DB"/>
    <w:rsid w:val="00111443"/>
    <w:rsid w:val="0011151D"/>
    <w:rsid w:val="001116A9"/>
    <w:rsid w:val="001117BD"/>
    <w:rsid w:val="00111BD0"/>
    <w:rsid w:val="00111DA3"/>
    <w:rsid w:val="00111EF9"/>
    <w:rsid w:val="00111F48"/>
    <w:rsid w:val="00112194"/>
    <w:rsid w:val="00112340"/>
    <w:rsid w:val="00112555"/>
    <w:rsid w:val="00112B1E"/>
    <w:rsid w:val="00112BB6"/>
    <w:rsid w:val="00112C23"/>
    <w:rsid w:val="00112D46"/>
    <w:rsid w:val="00112DC3"/>
    <w:rsid w:val="00112E28"/>
    <w:rsid w:val="00112E41"/>
    <w:rsid w:val="00112EEA"/>
    <w:rsid w:val="0011312E"/>
    <w:rsid w:val="0011353B"/>
    <w:rsid w:val="001135C8"/>
    <w:rsid w:val="00113847"/>
    <w:rsid w:val="0011385C"/>
    <w:rsid w:val="00113938"/>
    <w:rsid w:val="001139AB"/>
    <w:rsid w:val="00113AFF"/>
    <w:rsid w:val="00113B50"/>
    <w:rsid w:val="00113C11"/>
    <w:rsid w:val="00113C88"/>
    <w:rsid w:val="00113CA9"/>
    <w:rsid w:val="00113EA6"/>
    <w:rsid w:val="0011439F"/>
    <w:rsid w:val="001144B9"/>
    <w:rsid w:val="0011491F"/>
    <w:rsid w:val="00114C7B"/>
    <w:rsid w:val="00114D39"/>
    <w:rsid w:val="00114F70"/>
    <w:rsid w:val="00115001"/>
    <w:rsid w:val="00115221"/>
    <w:rsid w:val="0011535B"/>
    <w:rsid w:val="0011546E"/>
    <w:rsid w:val="00115594"/>
    <w:rsid w:val="00115607"/>
    <w:rsid w:val="00115681"/>
    <w:rsid w:val="001157DB"/>
    <w:rsid w:val="00115ADE"/>
    <w:rsid w:val="00115E4E"/>
    <w:rsid w:val="00116158"/>
    <w:rsid w:val="001165ED"/>
    <w:rsid w:val="0011676A"/>
    <w:rsid w:val="00116791"/>
    <w:rsid w:val="001167C4"/>
    <w:rsid w:val="001167F9"/>
    <w:rsid w:val="00116811"/>
    <w:rsid w:val="00116910"/>
    <w:rsid w:val="00116B52"/>
    <w:rsid w:val="00116CF4"/>
    <w:rsid w:val="00116CF5"/>
    <w:rsid w:val="00116EB1"/>
    <w:rsid w:val="0011700F"/>
    <w:rsid w:val="0011734E"/>
    <w:rsid w:val="0011736A"/>
    <w:rsid w:val="00117747"/>
    <w:rsid w:val="0011783F"/>
    <w:rsid w:val="00117879"/>
    <w:rsid w:val="001179FD"/>
    <w:rsid w:val="00117A14"/>
    <w:rsid w:val="00117A8A"/>
    <w:rsid w:val="00117B91"/>
    <w:rsid w:val="00117D75"/>
    <w:rsid w:val="00117E4A"/>
    <w:rsid w:val="00117FD9"/>
    <w:rsid w:val="001202BB"/>
    <w:rsid w:val="001207C7"/>
    <w:rsid w:val="00120F7D"/>
    <w:rsid w:val="00121106"/>
    <w:rsid w:val="00121594"/>
    <w:rsid w:val="001215E8"/>
    <w:rsid w:val="001216B2"/>
    <w:rsid w:val="001219A5"/>
    <w:rsid w:val="00121FAA"/>
    <w:rsid w:val="00121FBA"/>
    <w:rsid w:val="0012214F"/>
    <w:rsid w:val="0012243F"/>
    <w:rsid w:val="0012258F"/>
    <w:rsid w:val="00122840"/>
    <w:rsid w:val="001228B6"/>
    <w:rsid w:val="001228DE"/>
    <w:rsid w:val="00122C05"/>
    <w:rsid w:val="00122C1A"/>
    <w:rsid w:val="00122E12"/>
    <w:rsid w:val="00122EE2"/>
    <w:rsid w:val="00122F79"/>
    <w:rsid w:val="00123006"/>
    <w:rsid w:val="00123058"/>
    <w:rsid w:val="00123234"/>
    <w:rsid w:val="001232CD"/>
    <w:rsid w:val="0012344F"/>
    <w:rsid w:val="00123498"/>
    <w:rsid w:val="001235B3"/>
    <w:rsid w:val="001236A3"/>
    <w:rsid w:val="001236F3"/>
    <w:rsid w:val="001237CD"/>
    <w:rsid w:val="00123AD3"/>
    <w:rsid w:val="00123E5D"/>
    <w:rsid w:val="00124217"/>
    <w:rsid w:val="00124385"/>
    <w:rsid w:val="00124633"/>
    <w:rsid w:val="0012480A"/>
    <w:rsid w:val="0012499F"/>
    <w:rsid w:val="00124B34"/>
    <w:rsid w:val="00124BED"/>
    <w:rsid w:val="00124FB8"/>
    <w:rsid w:val="0012531E"/>
    <w:rsid w:val="001255CB"/>
    <w:rsid w:val="0012587D"/>
    <w:rsid w:val="001258BB"/>
    <w:rsid w:val="0012595E"/>
    <w:rsid w:val="001259B9"/>
    <w:rsid w:val="00125A2D"/>
    <w:rsid w:val="00125B1D"/>
    <w:rsid w:val="00125CC2"/>
    <w:rsid w:val="00125FAB"/>
    <w:rsid w:val="001262ED"/>
    <w:rsid w:val="001264DA"/>
    <w:rsid w:val="001265CF"/>
    <w:rsid w:val="0012663B"/>
    <w:rsid w:val="0012667A"/>
    <w:rsid w:val="00126921"/>
    <w:rsid w:val="001269DC"/>
    <w:rsid w:val="00126C03"/>
    <w:rsid w:val="00126C83"/>
    <w:rsid w:val="00126E37"/>
    <w:rsid w:val="0012704F"/>
    <w:rsid w:val="0012720C"/>
    <w:rsid w:val="0012721C"/>
    <w:rsid w:val="00127528"/>
    <w:rsid w:val="001275B9"/>
    <w:rsid w:val="001275EA"/>
    <w:rsid w:val="001275FB"/>
    <w:rsid w:val="00127637"/>
    <w:rsid w:val="001277B1"/>
    <w:rsid w:val="00127D29"/>
    <w:rsid w:val="00127E0F"/>
    <w:rsid w:val="00127EF6"/>
    <w:rsid w:val="00127F7C"/>
    <w:rsid w:val="00130074"/>
    <w:rsid w:val="001300C5"/>
    <w:rsid w:val="00130102"/>
    <w:rsid w:val="00130125"/>
    <w:rsid w:val="0013012C"/>
    <w:rsid w:val="00130191"/>
    <w:rsid w:val="00130205"/>
    <w:rsid w:val="00130287"/>
    <w:rsid w:val="00130360"/>
    <w:rsid w:val="001303A7"/>
    <w:rsid w:val="001305AE"/>
    <w:rsid w:val="00130A0B"/>
    <w:rsid w:val="00130AB6"/>
    <w:rsid w:val="00130B78"/>
    <w:rsid w:val="00130B7E"/>
    <w:rsid w:val="00130B8E"/>
    <w:rsid w:val="00130D47"/>
    <w:rsid w:val="00131021"/>
    <w:rsid w:val="00131076"/>
    <w:rsid w:val="00131128"/>
    <w:rsid w:val="00131309"/>
    <w:rsid w:val="0013158F"/>
    <w:rsid w:val="0013160D"/>
    <w:rsid w:val="00131999"/>
    <w:rsid w:val="00131A48"/>
    <w:rsid w:val="00131ED4"/>
    <w:rsid w:val="00131F33"/>
    <w:rsid w:val="00131FD8"/>
    <w:rsid w:val="00131FF7"/>
    <w:rsid w:val="00132063"/>
    <w:rsid w:val="001320E3"/>
    <w:rsid w:val="0013218D"/>
    <w:rsid w:val="0013244C"/>
    <w:rsid w:val="001326C7"/>
    <w:rsid w:val="0013276C"/>
    <w:rsid w:val="00132BF2"/>
    <w:rsid w:val="00133151"/>
    <w:rsid w:val="0013315B"/>
    <w:rsid w:val="00133467"/>
    <w:rsid w:val="001334DF"/>
    <w:rsid w:val="0013364A"/>
    <w:rsid w:val="001338BC"/>
    <w:rsid w:val="00133A2F"/>
    <w:rsid w:val="00133A8F"/>
    <w:rsid w:val="00133BBB"/>
    <w:rsid w:val="00133E73"/>
    <w:rsid w:val="00133FD6"/>
    <w:rsid w:val="0013402A"/>
    <w:rsid w:val="001340E4"/>
    <w:rsid w:val="0013418D"/>
    <w:rsid w:val="00134338"/>
    <w:rsid w:val="00134388"/>
    <w:rsid w:val="00134487"/>
    <w:rsid w:val="00134494"/>
    <w:rsid w:val="001344F5"/>
    <w:rsid w:val="00134734"/>
    <w:rsid w:val="00134878"/>
    <w:rsid w:val="00134A86"/>
    <w:rsid w:val="00134CC7"/>
    <w:rsid w:val="00134CE4"/>
    <w:rsid w:val="00134D36"/>
    <w:rsid w:val="00134DE1"/>
    <w:rsid w:val="00134E21"/>
    <w:rsid w:val="00134F09"/>
    <w:rsid w:val="00134FD0"/>
    <w:rsid w:val="0013511E"/>
    <w:rsid w:val="001351D6"/>
    <w:rsid w:val="001353AC"/>
    <w:rsid w:val="001353F8"/>
    <w:rsid w:val="0013548E"/>
    <w:rsid w:val="0013552A"/>
    <w:rsid w:val="0013557C"/>
    <w:rsid w:val="0013579F"/>
    <w:rsid w:val="0013581E"/>
    <w:rsid w:val="00135851"/>
    <w:rsid w:val="00135B09"/>
    <w:rsid w:val="00135C6F"/>
    <w:rsid w:val="00135E7C"/>
    <w:rsid w:val="00135E9F"/>
    <w:rsid w:val="00135F78"/>
    <w:rsid w:val="00135F82"/>
    <w:rsid w:val="00135FAC"/>
    <w:rsid w:val="001360AA"/>
    <w:rsid w:val="00136294"/>
    <w:rsid w:val="00136437"/>
    <w:rsid w:val="001365C8"/>
    <w:rsid w:val="001365CD"/>
    <w:rsid w:val="001365ED"/>
    <w:rsid w:val="0013661D"/>
    <w:rsid w:val="0013686B"/>
    <w:rsid w:val="001368F5"/>
    <w:rsid w:val="0013697E"/>
    <w:rsid w:val="00136AFC"/>
    <w:rsid w:val="00136D26"/>
    <w:rsid w:val="00136DD4"/>
    <w:rsid w:val="00136DD8"/>
    <w:rsid w:val="00136EE6"/>
    <w:rsid w:val="00137018"/>
    <w:rsid w:val="001370E3"/>
    <w:rsid w:val="00137397"/>
    <w:rsid w:val="00137415"/>
    <w:rsid w:val="0013756D"/>
    <w:rsid w:val="00137715"/>
    <w:rsid w:val="00137931"/>
    <w:rsid w:val="00137958"/>
    <w:rsid w:val="0013799D"/>
    <w:rsid w:val="00137E92"/>
    <w:rsid w:val="00137F51"/>
    <w:rsid w:val="00140037"/>
    <w:rsid w:val="001402F0"/>
    <w:rsid w:val="001403E3"/>
    <w:rsid w:val="001404D7"/>
    <w:rsid w:val="00140554"/>
    <w:rsid w:val="00140570"/>
    <w:rsid w:val="001406C5"/>
    <w:rsid w:val="0014088B"/>
    <w:rsid w:val="00140BBA"/>
    <w:rsid w:val="00140CF3"/>
    <w:rsid w:val="00140D36"/>
    <w:rsid w:val="00140D87"/>
    <w:rsid w:val="00140EC3"/>
    <w:rsid w:val="001410E8"/>
    <w:rsid w:val="00141139"/>
    <w:rsid w:val="001411D0"/>
    <w:rsid w:val="0014127D"/>
    <w:rsid w:val="00141314"/>
    <w:rsid w:val="001413AB"/>
    <w:rsid w:val="001413E3"/>
    <w:rsid w:val="0014162B"/>
    <w:rsid w:val="001417EE"/>
    <w:rsid w:val="0014191F"/>
    <w:rsid w:val="00141982"/>
    <w:rsid w:val="00141A8D"/>
    <w:rsid w:val="00141B19"/>
    <w:rsid w:val="00141BB1"/>
    <w:rsid w:val="00141EA6"/>
    <w:rsid w:val="001421BD"/>
    <w:rsid w:val="00142292"/>
    <w:rsid w:val="00142523"/>
    <w:rsid w:val="0014291E"/>
    <w:rsid w:val="0014294C"/>
    <w:rsid w:val="00143004"/>
    <w:rsid w:val="0014312B"/>
    <w:rsid w:val="0014315C"/>
    <w:rsid w:val="001432C8"/>
    <w:rsid w:val="001435BF"/>
    <w:rsid w:val="00143631"/>
    <w:rsid w:val="00143BB2"/>
    <w:rsid w:val="00143BB5"/>
    <w:rsid w:val="00143DC1"/>
    <w:rsid w:val="00143E7C"/>
    <w:rsid w:val="00143F28"/>
    <w:rsid w:val="00144093"/>
    <w:rsid w:val="00144147"/>
    <w:rsid w:val="00144251"/>
    <w:rsid w:val="0014435E"/>
    <w:rsid w:val="0014447E"/>
    <w:rsid w:val="0014461F"/>
    <w:rsid w:val="00144693"/>
    <w:rsid w:val="00144AB6"/>
    <w:rsid w:val="00144CB8"/>
    <w:rsid w:val="00144D62"/>
    <w:rsid w:val="00144F4E"/>
    <w:rsid w:val="001452B6"/>
    <w:rsid w:val="0014530B"/>
    <w:rsid w:val="00145517"/>
    <w:rsid w:val="001455F9"/>
    <w:rsid w:val="00145617"/>
    <w:rsid w:val="00145643"/>
    <w:rsid w:val="0014578C"/>
    <w:rsid w:val="001457BC"/>
    <w:rsid w:val="00145869"/>
    <w:rsid w:val="00145877"/>
    <w:rsid w:val="00145AC7"/>
    <w:rsid w:val="00145D20"/>
    <w:rsid w:val="00145E75"/>
    <w:rsid w:val="0014605D"/>
    <w:rsid w:val="0014636E"/>
    <w:rsid w:val="001463CE"/>
    <w:rsid w:val="00146549"/>
    <w:rsid w:val="0014671D"/>
    <w:rsid w:val="001467EF"/>
    <w:rsid w:val="00146907"/>
    <w:rsid w:val="001469DA"/>
    <w:rsid w:val="00146C58"/>
    <w:rsid w:val="00146CD6"/>
    <w:rsid w:val="00146DE3"/>
    <w:rsid w:val="00146E70"/>
    <w:rsid w:val="00146F41"/>
    <w:rsid w:val="0014701A"/>
    <w:rsid w:val="001471C7"/>
    <w:rsid w:val="001472E8"/>
    <w:rsid w:val="001473DD"/>
    <w:rsid w:val="0014748B"/>
    <w:rsid w:val="0014771E"/>
    <w:rsid w:val="0014780D"/>
    <w:rsid w:val="0014786C"/>
    <w:rsid w:val="00147888"/>
    <w:rsid w:val="0014788F"/>
    <w:rsid w:val="00147CDC"/>
    <w:rsid w:val="00147D82"/>
    <w:rsid w:val="00147E38"/>
    <w:rsid w:val="00150012"/>
    <w:rsid w:val="00150230"/>
    <w:rsid w:val="00150334"/>
    <w:rsid w:val="00150465"/>
    <w:rsid w:val="001504D9"/>
    <w:rsid w:val="001505DA"/>
    <w:rsid w:val="0015077C"/>
    <w:rsid w:val="00150967"/>
    <w:rsid w:val="00150A7D"/>
    <w:rsid w:val="00150D5A"/>
    <w:rsid w:val="0015105C"/>
    <w:rsid w:val="00151523"/>
    <w:rsid w:val="0015167E"/>
    <w:rsid w:val="0015184D"/>
    <w:rsid w:val="00151BC8"/>
    <w:rsid w:val="0015202D"/>
    <w:rsid w:val="00152365"/>
    <w:rsid w:val="0015255E"/>
    <w:rsid w:val="00152861"/>
    <w:rsid w:val="00152A59"/>
    <w:rsid w:val="00152D7F"/>
    <w:rsid w:val="00152F9F"/>
    <w:rsid w:val="00152FE6"/>
    <w:rsid w:val="00152FFA"/>
    <w:rsid w:val="0015301F"/>
    <w:rsid w:val="0015314E"/>
    <w:rsid w:val="0015329A"/>
    <w:rsid w:val="0015351B"/>
    <w:rsid w:val="00153539"/>
    <w:rsid w:val="001535A1"/>
    <w:rsid w:val="0015374C"/>
    <w:rsid w:val="00153782"/>
    <w:rsid w:val="00153849"/>
    <w:rsid w:val="00153997"/>
    <w:rsid w:val="001539CC"/>
    <w:rsid w:val="00153AD9"/>
    <w:rsid w:val="00153CD3"/>
    <w:rsid w:val="00153E76"/>
    <w:rsid w:val="00154025"/>
    <w:rsid w:val="00154301"/>
    <w:rsid w:val="001543A5"/>
    <w:rsid w:val="00154460"/>
    <w:rsid w:val="001546DE"/>
    <w:rsid w:val="0015475D"/>
    <w:rsid w:val="0015481C"/>
    <w:rsid w:val="00154A36"/>
    <w:rsid w:val="00154B3F"/>
    <w:rsid w:val="00154B8A"/>
    <w:rsid w:val="00154E35"/>
    <w:rsid w:val="00154E3E"/>
    <w:rsid w:val="00155125"/>
    <w:rsid w:val="00155166"/>
    <w:rsid w:val="001551DB"/>
    <w:rsid w:val="00155327"/>
    <w:rsid w:val="0015555B"/>
    <w:rsid w:val="00155CAC"/>
    <w:rsid w:val="00155D78"/>
    <w:rsid w:val="00155E0A"/>
    <w:rsid w:val="0015606F"/>
    <w:rsid w:val="001562A6"/>
    <w:rsid w:val="001566B9"/>
    <w:rsid w:val="0015678D"/>
    <w:rsid w:val="001567E8"/>
    <w:rsid w:val="00156844"/>
    <w:rsid w:val="0015687A"/>
    <w:rsid w:val="001568C3"/>
    <w:rsid w:val="001569CA"/>
    <w:rsid w:val="00156A1D"/>
    <w:rsid w:val="0015700C"/>
    <w:rsid w:val="001572E8"/>
    <w:rsid w:val="0015752E"/>
    <w:rsid w:val="001575C7"/>
    <w:rsid w:val="00157604"/>
    <w:rsid w:val="00157754"/>
    <w:rsid w:val="00157807"/>
    <w:rsid w:val="00157879"/>
    <w:rsid w:val="001578D3"/>
    <w:rsid w:val="00157ABE"/>
    <w:rsid w:val="00157BD7"/>
    <w:rsid w:val="00157C13"/>
    <w:rsid w:val="00157C41"/>
    <w:rsid w:val="00157E8D"/>
    <w:rsid w:val="00157EDF"/>
    <w:rsid w:val="0016015F"/>
    <w:rsid w:val="00160431"/>
    <w:rsid w:val="00160461"/>
    <w:rsid w:val="001604A4"/>
    <w:rsid w:val="00160619"/>
    <w:rsid w:val="00160A07"/>
    <w:rsid w:val="00160BA0"/>
    <w:rsid w:val="00160C01"/>
    <w:rsid w:val="00160DDD"/>
    <w:rsid w:val="00160FD7"/>
    <w:rsid w:val="00161281"/>
    <w:rsid w:val="001614E9"/>
    <w:rsid w:val="0016154E"/>
    <w:rsid w:val="001616CC"/>
    <w:rsid w:val="0016175F"/>
    <w:rsid w:val="001617F2"/>
    <w:rsid w:val="00161814"/>
    <w:rsid w:val="0016187B"/>
    <w:rsid w:val="001619F4"/>
    <w:rsid w:val="00161AD3"/>
    <w:rsid w:val="00161BE3"/>
    <w:rsid w:val="00161C51"/>
    <w:rsid w:val="00161F1C"/>
    <w:rsid w:val="00161F54"/>
    <w:rsid w:val="001624E8"/>
    <w:rsid w:val="00162A7B"/>
    <w:rsid w:val="00162AEE"/>
    <w:rsid w:val="00162B88"/>
    <w:rsid w:val="00162C1F"/>
    <w:rsid w:val="00162CD2"/>
    <w:rsid w:val="00162E61"/>
    <w:rsid w:val="001632F9"/>
    <w:rsid w:val="00163701"/>
    <w:rsid w:val="0016372F"/>
    <w:rsid w:val="00163881"/>
    <w:rsid w:val="00163AC9"/>
    <w:rsid w:val="00163CE6"/>
    <w:rsid w:val="00163D54"/>
    <w:rsid w:val="00163E6F"/>
    <w:rsid w:val="00163EF5"/>
    <w:rsid w:val="00163EF7"/>
    <w:rsid w:val="00163EFC"/>
    <w:rsid w:val="00164198"/>
    <w:rsid w:val="00164241"/>
    <w:rsid w:val="001642B6"/>
    <w:rsid w:val="001644E0"/>
    <w:rsid w:val="001645B0"/>
    <w:rsid w:val="00164691"/>
    <w:rsid w:val="00164712"/>
    <w:rsid w:val="0016495B"/>
    <w:rsid w:val="00164A18"/>
    <w:rsid w:val="00164A64"/>
    <w:rsid w:val="00164CCE"/>
    <w:rsid w:val="00164D3A"/>
    <w:rsid w:val="00164F6B"/>
    <w:rsid w:val="0016511A"/>
    <w:rsid w:val="00165178"/>
    <w:rsid w:val="00165197"/>
    <w:rsid w:val="001651B2"/>
    <w:rsid w:val="001651C5"/>
    <w:rsid w:val="0016567A"/>
    <w:rsid w:val="00165736"/>
    <w:rsid w:val="0016597D"/>
    <w:rsid w:val="001659E4"/>
    <w:rsid w:val="00165DED"/>
    <w:rsid w:val="00165E1D"/>
    <w:rsid w:val="00165E79"/>
    <w:rsid w:val="001661BB"/>
    <w:rsid w:val="00166259"/>
    <w:rsid w:val="001663D0"/>
    <w:rsid w:val="00166473"/>
    <w:rsid w:val="00166521"/>
    <w:rsid w:val="00166C5A"/>
    <w:rsid w:val="00166CA7"/>
    <w:rsid w:val="00166E49"/>
    <w:rsid w:val="001670FA"/>
    <w:rsid w:val="001671EE"/>
    <w:rsid w:val="0016724F"/>
    <w:rsid w:val="0016727A"/>
    <w:rsid w:val="00167313"/>
    <w:rsid w:val="00167368"/>
    <w:rsid w:val="001675AE"/>
    <w:rsid w:val="00167929"/>
    <w:rsid w:val="00167A5A"/>
    <w:rsid w:val="00167B98"/>
    <w:rsid w:val="00167C42"/>
    <w:rsid w:val="00167D03"/>
    <w:rsid w:val="001700D9"/>
    <w:rsid w:val="001701A8"/>
    <w:rsid w:val="0017022A"/>
    <w:rsid w:val="0017026E"/>
    <w:rsid w:val="00170289"/>
    <w:rsid w:val="001702CB"/>
    <w:rsid w:val="0017035C"/>
    <w:rsid w:val="00170432"/>
    <w:rsid w:val="001704C2"/>
    <w:rsid w:val="00170777"/>
    <w:rsid w:val="0017077A"/>
    <w:rsid w:val="001707BE"/>
    <w:rsid w:val="001708B9"/>
    <w:rsid w:val="00170949"/>
    <w:rsid w:val="00170A6C"/>
    <w:rsid w:val="00170C5F"/>
    <w:rsid w:val="00170C74"/>
    <w:rsid w:val="00170DEC"/>
    <w:rsid w:val="001711AA"/>
    <w:rsid w:val="001711B3"/>
    <w:rsid w:val="001713AB"/>
    <w:rsid w:val="00171486"/>
    <w:rsid w:val="00171498"/>
    <w:rsid w:val="00171724"/>
    <w:rsid w:val="00171ADA"/>
    <w:rsid w:val="00171ED3"/>
    <w:rsid w:val="00171F3F"/>
    <w:rsid w:val="00171F54"/>
    <w:rsid w:val="00172027"/>
    <w:rsid w:val="00172106"/>
    <w:rsid w:val="0017219B"/>
    <w:rsid w:val="0017240C"/>
    <w:rsid w:val="001727F5"/>
    <w:rsid w:val="0017280D"/>
    <w:rsid w:val="001728BC"/>
    <w:rsid w:val="001729F2"/>
    <w:rsid w:val="00172BD9"/>
    <w:rsid w:val="00172D83"/>
    <w:rsid w:val="00172DFF"/>
    <w:rsid w:val="00172F24"/>
    <w:rsid w:val="00172F46"/>
    <w:rsid w:val="00172FA8"/>
    <w:rsid w:val="00172FB0"/>
    <w:rsid w:val="001734F3"/>
    <w:rsid w:val="001736EA"/>
    <w:rsid w:val="001737C7"/>
    <w:rsid w:val="00173A86"/>
    <w:rsid w:val="00173CB6"/>
    <w:rsid w:val="00173DE4"/>
    <w:rsid w:val="00173F66"/>
    <w:rsid w:val="00174218"/>
    <w:rsid w:val="001742E4"/>
    <w:rsid w:val="00174597"/>
    <w:rsid w:val="00174789"/>
    <w:rsid w:val="00174856"/>
    <w:rsid w:val="001749A0"/>
    <w:rsid w:val="00174A84"/>
    <w:rsid w:val="00174F47"/>
    <w:rsid w:val="00175271"/>
    <w:rsid w:val="00175383"/>
    <w:rsid w:val="00175758"/>
    <w:rsid w:val="001757CE"/>
    <w:rsid w:val="00175843"/>
    <w:rsid w:val="0017588D"/>
    <w:rsid w:val="00175952"/>
    <w:rsid w:val="00175A29"/>
    <w:rsid w:val="00175F22"/>
    <w:rsid w:val="00176266"/>
    <w:rsid w:val="0017650E"/>
    <w:rsid w:val="00176560"/>
    <w:rsid w:val="001765CC"/>
    <w:rsid w:val="0017662E"/>
    <w:rsid w:val="00176694"/>
    <w:rsid w:val="001767CF"/>
    <w:rsid w:val="00176898"/>
    <w:rsid w:val="00176C23"/>
    <w:rsid w:val="00176C67"/>
    <w:rsid w:val="00176CA9"/>
    <w:rsid w:val="00176DED"/>
    <w:rsid w:val="00176EED"/>
    <w:rsid w:val="001771AB"/>
    <w:rsid w:val="001771FF"/>
    <w:rsid w:val="0017721A"/>
    <w:rsid w:val="001773A8"/>
    <w:rsid w:val="001774BD"/>
    <w:rsid w:val="001776C0"/>
    <w:rsid w:val="00177796"/>
    <w:rsid w:val="00177871"/>
    <w:rsid w:val="00177A74"/>
    <w:rsid w:val="00177C06"/>
    <w:rsid w:val="00177D27"/>
    <w:rsid w:val="00177F6B"/>
    <w:rsid w:val="001801F7"/>
    <w:rsid w:val="001802A6"/>
    <w:rsid w:val="001802CB"/>
    <w:rsid w:val="0018048F"/>
    <w:rsid w:val="001804F5"/>
    <w:rsid w:val="001804FE"/>
    <w:rsid w:val="00180565"/>
    <w:rsid w:val="00180972"/>
    <w:rsid w:val="00180BDA"/>
    <w:rsid w:val="00180BEF"/>
    <w:rsid w:val="00180DBE"/>
    <w:rsid w:val="0018108F"/>
    <w:rsid w:val="0018109B"/>
    <w:rsid w:val="0018115F"/>
    <w:rsid w:val="00181191"/>
    <w:rsid w:val="0018122D"/>
    <w:rsid w:val="00181292"/>
    <w:rsid w:val="00181892"/>
    <w:rsid w:val="00181936"/>
    <w:rsid w:val="00181A4F"/>
    <w:rsid w:val="00181AD0"/>
    <w:rsid w:val="00181B2E"/>
    <w:rsid w:val="00181C98"/>
    <w:rsid w:val="00181D0F"/>
    <w:rsid w:val="00181D52"/>
    <w:rsid w:val="00181D9F"/>
    <w:rsid w:val="00181DEB"/>
    <w:rsid w:val="00182104"/>
    <w:rsid w:val="0018231B"/>
    <w:rsid w:val="00182498"/>
    <w:rsid w:val="0018285A"/>
    <w:rsid w:val="00182988"/>
    <w:rsid w:val="00182A28"/>
    <w:rsid w:val="00182CFC"/>
    <w:rsid w:val="00182DAF"/>
    <w:rsid w:val="00182F88"/>
    <w:rsid w:val="001834BC"/>
    <w:rsid w:val="001834C5"/>
    <w:rsid w:val="001835C3"/>
    <w:rsid w:val="001836DE"/>
    <w:rsid w:val="00183820"/>
    <w:rsid w:val="0018387B"/>
    <w:rsid w:val="0018388A"/>
    <w:rsid w:val="00183982"/>
    <w:rsid w:val="00183B44"/>
    <w:rsid w:val="00183CE2"/>
    <w:rsid w:val="00183DB6"/>
    <w:rsid w:val="00183ED4"/>
    <w:rsid w:val="00183F21"/>
    <w:rsid w:val="00183FBC"/>
    <w:rsid w:val="00183FD9"/>
    <w:rsid w:val="00184200"/>
    <w:rsid w:val="00184202"/>
    <w:rsid w:val="001842B1"/>
    <w:rsid w:val="0018433F"/>
    <w:rsid w:val="00184388"/>
    <w:rsid w:val="001844AA"/>
    <w:rsid w:val="001844C2"/>
    <w:rsid w:val="0018451D"/>
    <w:rsid w:val="00184542"/>
    <w:rsid w:val="0018475E"/>
    <w:rsid w:val="001849AE"/>
    <w:rsid w:val="00184A3E"/>
    <w:rsid w:val="00184CDE"/>
    <w:rsid w:val="00184EDA"/>
    <w:rsid w:val="00185250"/>
    <w:rsid w:val="001853C9"/>
    <w:rsid w:val="00185449"/>
    <w:rsid w:val="001855BF"/>
    <w:rsid w:val="0018563F"/>
    <w:rsid w:val="00185727"/>
    <w:rsid w:val="0018573C"/>
    <w:rsid w:val="00185767"/>
    <w:rsid w:val="001858D7"/>
    <w:rsid w:val="00185920"/>
    <w:rsid w:val="00185925"/>
    <w:rsid w:val="00185A17"/>
    <w:rsid w:val="00185B6C"/>
    <w:rsid w:val="00185BC0"/>
    <w:rsid w:val="00185E7F"/>
    <w:rsid w:val="00185E8A"/>
    <w:rsid w:val="00185F1E"/>
    <w:rsid w:val="00185FED"/>
    <w:rsid w:val="0018639B"/>
    <w:rsid w:val="00186832"/>
    <w:rsid w:val="00186858"/>
    <w:rsid w:val="00186884"/>
    <w:rsid w:val="00186938"/>
    <w:rsid w:val="00186A23"/>
    <w:rsid w:val="00186D5A"/>
    <w:rsid w:val="00186D84"/>
    <w:rsid w:val="00186F56"/>
    <w:rsid w:val="00186FB8"/>
    <w:rsid w:val="00186FC8"/>
    <w:rsid w:val="00187031"/>
    <w:rsid w:val="001870BD"/>
    <w:rsid w:val="001870FB"/>
    <w:rsid w:val="00187104"/>
    <w:rsid w:val="00187292"/>
    <w:rsid w:val="00187441"/>
    <w:rsid w:val="001876FD"/>
    <w:rsid w:val="00187747"/>
    <w:rsid w:val="00187748"/>
    <w:rsid w:val="00187846"/>
    <w:rsid w:val="00187AA7"/>
    <w:rsid w:val="00187BFB"/>
    <w:rsid w:val="00187C1F"/>
    <w:rsid w:val="00187C60"/>
    <w:rsid w:val="00187CF2"/>
    <w:rsid w:val="00187DED"/>
    <w:rsid w:val="00187F27"/>
    <w:rsid w:val="00187F9C"/>
    <w:rsid w:val="00190869"/>
    <w:rsid w:val="001908A8"/>
    <w:rsid w:val="00190CAB"/>
    <w:rsid w:val="00190E0F"/>
    <w:rsid w:val="00190F38"/>
    <w:rsid w:val="001914F6"/>
    <w:rsid w:val="0019167C"/>
    <w:rsid w:val="00191797"/>
    <w:rsid w:val="0019195A"/>
    <w:rsid w:val="00191A79"/>
    <w:rsid w:val="00191B3E"/>
    <w:rsid w:val="00191B54"/>
    <w:rsid w:val="00191D34"/>
    <w:rsid w:val="00191E97"/>
    <w:rsid w:val="00191F39"/>
    <w:rsid w:val="00191FBA"/>
    <w:rsid w:val="0019224B"/>
    <w:rsid w:val="00192873"/>
    <w:rsid w:val="00192AD5"/>
    <w:rsid w:val="00192BDD"/>
    <w:rsid w:val="00192C78"/>
    <w:rsid w:val="00192CAE"/>
    <w:rsid w:val="00192D95"/>
    <w:rsid w:val="00192E3E"/>
    <w:rsid w:val="00192E68"/>
    <w:rsid w:val="00192EA0"/>
    <w:rsid w:val="00192EBA"/>
    <w:rsid w:val="00192EF5"/>
    <w:rsid w:val="0019326D"/>
    <w:rsid w:val="00193270"/>
    <w:rsid w:val="001937EB"/>
    <w:rsid w:val="0019384C"/>
    <w:rsid w:val="001938F2"/>
    <w:rsid w:val="00193963"/>
    <w:rsid w:val="00193C2F"/>
    <w:rsid w:val="00193F17"/>
    <w:rsid w:val="0019410F"/>
    <w:rsid w:val="001941F8"/>
    <w:rsid w:val="0019424A"/>
    <w:rsid w:val="0019442B"/>
    <w:rsid w:val="001944D5"/>
    <w:rsid w:val="00194617"/>
    <w:rsid w:val="00194E71"/>
    <w:rsid w:val="00194F2A"/>
    <w:rsid w:val="00194F5C"/>
    <w:rsid w:val="00194F6D"/>
    <w:rsid w:val="00194F6E"/>
    <w:rsid w:val="001950C1"/>
    <w:rsid w:val="00195150"/>
    <w:rsid w:val="001956FD"/>
    <w:rsid w:val="00195A29"/>
    <w:rsid w:val="00195B2C"/>
    <w:rsid w:val="00195BCB"/>
    <w:rsid w:val="00195CE3"/>
    <w:rsid w:val="00195D6B"/>
    <w:rsid w:val="00195DD5"/>
    <w:rsid w:val="00195DFF"/>
    <w:rsid w:val="00195E15"/>
    <w:rsid w:val="00195E58"/>
    <w:rsid w:val="00195EE8"/>
    <w:rsid w:val="001960E2"/>
    <w:rsid w:val="001961F5"/>
    <w:rsid w:val="00196290"/>
    <w:rsid w:val="0019637C"/>
    <w:rsid w:val="001964AD"/>
    <w:rsid w:val="001966EC"/>
    <w:rsid w:val="00196716"/>
    <w:rsid w:val="00196777"/>
    <w:rsid w:val="0019685B"/>
    <w:rsid w:val="00196A12"/>
    <w:rsid w:val="00196B4D"/>
    <w:rsid w:val="00196B6C"/>
    <w:rsid w:val="00196C90"/>
    <w:rsid w:val="00196E7E"/>
    <w:rsid w:val="00196EE9"/>
    <w:rsid w:val="00196F2D"/>
    <w:rsid w:val="00196F54"/>
    <w:rsid w:val="00197024"/>
    <w:rsid w:val="0019712B"/>
    <w:rsid w:val="001972C9"/>
    <w:rsid w:val="001973F3"/>
    <w:rsid w:val="00197548"/>
    <w:rsid w:val="00197599"/>
    <w:rsid w:val="001975EF"/>
    <w:rsid w:val="0019765A"/>
    <w:rsid w:val="0019765B"/>
    <w:rsid w:val="001976F1"/>
    <w:rsid w:val="00197805"/>
    <w:rsid w:val="001979E4"/>
    <w:rsid w:val="00197ABC"/>
    <w:rsid w:val="00197C15"/>
    <w:rsid w:val="00197D21"/>
    <w:rsid w:val="00197D92"/>
    <w:rsid w:val="00197DE7"/>
    <w:rsid w:val="00197FD6"/>
    <w:rsid w:val="001A0002"/>
    <w:rsid w:val="001A0249"/>
    <w:rsid w:val="001A04AC"/>
    <w:rsid w:val="001A0516"/>
    <w:rsid w:val="001A07EC"/>
    <w:rsid w:val="001A09E6"/>
    <w:rsid w:val="001A0EA9"/>
    <w:rsid w:val="001A127D"/>
    <w:rsid w:val="001A1454"/>
    <w:rsid w:val="001A166B"/>
    <w:rsid w:val="001A1756"/>
    <w:rsid w:val="001A1864"/>
    <w:rsid w:val="001A1C11"/>
    <w:rsid w:val="001A22E6"/>
    <w:rsid w:val="001A2393"/>
    <w:rsid w:val="001A25CB"/>
    <w:rsid w:val="001A266E"/>
    <w:rsid w:val="001A26E0"/>
    <w:rsid w:val="001A293D"/>
    <w:rsid w:val="001A2A59"/>
    <w:rsid w:val="001A2AA0"/>
    <w:rsid w:val="001A2B8E"/>
    <w:rsid w:val="001A31B1"/>
    <w:rsid w:val="001A31F5"/>
    <w:rsid w:val="001A3238"/>
    <w:rsid w:val="001A34CE"/>
    <w:rsid w:val="001A355E"/>
    <w:rsid w:val="001A3A43"/>
    <w:rsid w:val="001A3B1F"/>
    <w:rsid w:val="001A3BF2"/>
    <w:rsid w:val="001A3CFA"/>
    <w:rsid w:val="001A3D48"/>
    <w:rsid w:val="001A3DAC"/>
    <w:rsid w:val="001A3DB9"/>
    <w:rsid w:val="001A3FA3"/>
    <w:rsid w:val="001A40E8"/>
    <w:rsid w:val="001A4390"/>
    <w:rsid w:val="001A43F9"/>
    <w:rsid w:val="001A45CF"/>
    <w:rsid w:val="001A46C0"/>
    <w:rsid w:val="001A47F0"/>
    <w:rsid w:val="001A4820"/>
    <w:rsid w:val="001A486C"/>
    <w:rsid w:val="001A4A03"/>
    <w:rsid w:val="001A4ABF"/>
    <w:rsid w:val="001A4B97"/>
    <w:rsid w:val="001A4CD7"/>
    <w:rsid w:val="001A4F12"/>
    <w:rsid w:val="001A4FD7"/>
    <w:rsid w:val="001A502B"/>
    <w:rsid w:val="001A522F"/>
    <w:rsid w:val="001A52D8"/>
    <w:rsid w:val="001A53E7"/>
    <w:rsid w:val="001A5D02"/>
    <w:rsid w:val="001A5EFB"/>
    <w:rsid w:val="001A5FA7"/>
    <w:rsid w:val="001A62B7"/>
    <w:rsid w:val="001A62C6"/>
    <w:rsid w:val="001A6384"/>
    <w:rsid w:val="001A65A4"/>
    <w:rsid w:val="001A67D8"/>
    <w:rsid w:val="001A68FF"/>
    <w:rsid w:val="001A6AEC"/>
    <w:rsid w:val="001A6BE1"/>
    <w:rsid w:val="001A6F9A"/>
    <w:rsid w:val="001A7071"/>
    <w:rsid w:val="001A726E"/>
    <w:rsid w:val="001A73E1"/>
    <w:rsid w:val="001A74CC"/>
    <w:rsid w:val="001A789A"/>
    <w:rsid w:val="001A7DF8"/>
    <w:rsid w:val="001A7EF5"/>
    <w:rsid w:val="001A7F93"/>
    <w:rsid w:val="001B006F"/>
    <w:rsid w:val="001B0070"/>
    <w:rsid w:val="001B00FA"/>
    <w:rsid w:val="001B01A5"/>
    <w:rsid w:val="001B0209"/>
    <w:rsid w:val="001B02BF"/>
    <w:rsid w:val="001B0373"/>
    <w:rsid w:val="001B0487"/>
    <w:rsid w:val="001B05BA"/>
    <w:rsid w:val="001B0724"/>
    <w:rsid w:val="001B085E"/>
    <w:rsid w:val="001B09D1"/>
    <w:rsid w:val="001B09D3"/>
    <w:rsid w:val="001B0AC4"/>
    <w:rsid w:val="001B0BD9"/>
    <w:rsid w:val="001B0DDA"/>
    <w:rsid w:val="001B0E2D"/>
    <w:rsid w:val="001B0F94"/>
    <w:rsid w:val="001B1175"/>
    <w:rsid w:val="001B1351"/>
    <w:rsid w:val="001B1446"/>
    <w:rsid w:val="001B14A7"/>
    <w:rsid w:val="001B14CF"/>
    <w:rsid w:val="001B163A"/>
    <w:rsid w:val="001B1929"/>
    <w:rsid w:val="001B1D18"/>
    <w:rsid w:val="001B1D62"/>
    <w:rsid w:val="001B1E5E"/>
    <w:rsid w:val="001B1F37"/>
    <w:rsid w:val="001B2014"/>
    <w:rsid w:val="001B2052"/>
    <w:rsid w:val="001B225C"/>
    <w:rsid w:val="001B2346"/>
    <w:rsid w:val="001B2B33"/>
    <w:rsid w:val="001B2BF8"/>
    <w:rsid w:val="001B2DA9"/>
    <w:rsid w:val="001B3437"/>
    <w:rsid w:val="001B3604"/>
    <w:rsid w:val="001B3779"/>
    <w:rsid w:val="001B386C"/>
    <w:rsid w:val="001B3934"/>
    <w:rsid w:val="001B39E2"/>
    <w:rsid w:val="001B3BDA"/>
    <w:rsid w:val="001B3DBC"/>
    <w:rsid w:val="001B3EEB"/>
    <w:rsid w:val="001B3F6F"/>
    <w:rsid w:val="001B4089"/>
    <w:rsid w:val="001B4093"/>
    <w:rsid w:val="001B40F2"/>
    <w:rsid w:val="001B41C9"/>
    <w:rsid w:val="001B4224"/>
    <w:rsid w:val="001B433F"/>
    <w:rsid w:val="001B4494"/>
    <w:rsid w:val="001B4625"/>
    <w:rsid w:val="001B473B"/>
    <w:rsid w:val="001B4781"/>
    <w:rsid w:val="001B482D"/>
    <w:rsid w:val="001B4A84"/>
    <w:rsid w:val="001B4B43"/>
    <w:rsid w:val="001B4C77"/>
    <w:rsid w:val="001B4D2A"/>
    <w:rsid w:val="001B5146"/>
    <w:rsid w:val="001B52CA"/>
    <w:rsid w:val="001B52E6"/>
    <w:rsid w:val="001B554C"/>
    <w:rsid w:val="001B5951"/>
    <w:rsid w:val="001B5C19"/>
    <w:rsid w:val="001B5DF4"/>
    <w:rsid w:val="001B6151"/>
    <w:rsid w:val="001B635F"/>
    <w:rsid w:val="001B6550"/>
    <w:rsid w:val="001B65BF"/>
    <w:rsid w:val="001B666F"/>
    <w:rsid w:val="001B6703"/>
    <w:rsid w:val="001B68BE"/>
    <w:rsid w:val="001B6935"/>
    <w:rsid w:val="001B697C"/>
    <w:rsid w:val="001B6AE1"/>
    <w:rsid w:val="001B6DCC"/>
    <w:rsid w:val="001B7044"/>
    <w:rsid w:val="001B7107"/>
    <w:rsid w:val="001B7347"/>
    <w:rsid w:val="001B76CA"/>
    <w:rsid w:val="001B7866"/>
    <w:rsid w:val="001B789C"/>
    <w:rsid w:val="001B7A32"/>
    <w:rsid w:val="001B7A35"/>
    <w:rsid w:val="001B7A89"/>
    <w:rsid w:val="001B7CEB"/>
    <w:rsid w:val="001B7F13"/>
    <w:rsid w:val="001B7FEC"/>
    <w:rsid w:val="001C0040"/>
    <w:rsid w:val="001C021B"/>
    <w:rsid w:val="001C037F"/>
    <w:rsid w:val="001C03CD"/>
    <w:rsid w:val="001C07C7"/>
    <w:rsid w:val="001C07DD"/>
    <w:rsid w:val="001C0909"/>
    <w:rsid w:val="001C0C2C"/>
    <w:rsid w:val="001C0F8C"/>
    <w:rsid w:val="001C1328"/>
    <w:rsid w:val="001C15BD"/>
    <w:rsid w:val="001C15EA"/>
    <w:rsid w:val="001C1666"/>
    <w:rsid w:val="001C1AC7"/>
    <w:rsid w:val="001C1BE3"/>
    <w:rsid w:val="001C1F3D"/>
    <w:rsid w:val="001C1F74"/>
    <w:rsid w:val="001C248E"/>
    <w:rsid w:val="001C2AEB"/>
    <w:rsid w:val="001C2BF1"/>
    <w:rsid w:val="001C2F9C"/>
    <w:rsid w:val="001C3075"/>
    <w:rsid w:val="001C37E2"/>
    <w:rsid w:val="001C3822"/>
    <w:rsid w:val="001C397B"/>
    <w:rsid w:val="001C3B41"/>
    <w:rsid w:val="001C3B5E"/>
    <w:rsid w:val="001C3BCC"/>
    <w:rsid w:val="001C3D8C"/>
    <w:rsid w:val="001C3E05"/>
    <w:rsid w:val="001C3E8B"/>
    <w:rsid w:val="001C3ED2"/>
    <w:rsid w:val="001C3FE8"/>
    <w:rsid w:val="001C418E"/>
    <w:rsid w:val="001C4314"/>
    <w:rsid w:val="001C446E"/>
    <w:rsid w:val="001C4849"/>
    <w:rsid w:val="001C48CC"/>
    <w:rsid w:val="001C48F6"/>
    <w:rsid w:val="001C4966"/>
    <w:rsid w:val="001C4C20"/>
    <w:rsid w:val="001C4C62"/>
    <w:rsid w:val="001C4CA6"/>
    <w:rsid w:val="001C4E56"/>
    <w:rsid w:val="001C53CA"/>
    <w:rsid w:val="001C54AA"/>
    <w:rsid w:val="001C55A8"/>
    <w:rsid w:val="001C560B"/>
    <w:rsid w:val="001C5620"/>
    <w:rsid w:val="001C56B0"/>
    <w:rsid w:val="001C574B"/>
    <w:rsid w:val="001C5DFE"/>
    <w:rsid w:val="001C5E6D"/>
    <w:rsid w:val="001C64B3"/>
    <w:rsid w:val="001C6505"/>
    <w:rsid w:val="001C6582"/>
    <w:rsid w:val="001C65D7"/>
    <w:rsid w:val="001C6687"/>
    <w:rsid w:val="001C6829"/>
    <w:rsid w:val="001C6937"/>
    <w:rsid w:val="001C693F"/>
    <w:rsid w:val="001C6A5F"/>
    <w:rsid w:val="001C6BF8"/>
    <w:rsid w:val="001C6C36"/>
    <w:rsid w:val="001C6F06"/>
    <w:rsid w:val="001C6FEE"/>
    <w:rsid w:val="001C71F7"/>
    <w:rsid w:val="001C7220"/>
    <w:rsid w:val="001C7545"/>
    <w:rsid w:val="001C755D"/>
    <w:rsid w:val="001C777A"/>
    <w:rsid w:val="001C77B2"/>
    <w:rsid w:val="001C77BE"/>
    <w:rsid w:val="001C79A7"/>
    <w:rsid w:val="001C7A52"/>
    <w:rsid w:val="001C7C30"/>
    <w:rsid w:val="001C7CDA"/>
    <w:rsid w:val="001C7D8C"/>
    <w:rsid w:val="001C7E42"/>
    <w:rsid w:val="001C7EA0"/>
    <w:rsid w:val="001C7EAE"/>
    <w:rsid w:val="001C7FB2"/>
    <w:rsid w:val="001D01E0"/>
    <w:rsid w:val="001D02B6"/>
    <w:rsid w:val="001D02DB"/>
    <w:rsid w:val="001D037E"/>
    <w:rsid w:val="001D03A7"/>
    <w:rsid w:val="001D040D"/>
    <w:rsid w:val="001D0641"/>
    <w:rsid w:val="001D06E5"/>
    <w:rsid w:val="001D078B"/>
    <w:rsid w:val="001D09D9"/>
    <w:rsid w:val="001D09F8"/>
    <w:rsid w:val="001D0A29"/>
    <w:rsid w:val="001D0ACB"/>
    <w:rsid w:val="001D0C65"/>
    <w:rsid w:val="001D1017"/>
    <w:rsid w:val="001D104B"/>
    <w:rsid w:val="001D1088"/>
    <w:rsid w:val="001D15AE"/>
    <w:rsid w:val="001D17B8"/>
    <w:rsid w:val="001D18F2"/>
    <w:rsid w:val="001D1A16"/>
    <w:rsid w:val="001D1CA0"/>
    <w:rsid w:val="001D1E27"/>
    <w:rsid w:val="001D2018"/>
    <w:rsid w:val="001D203F"/>
    <w:rsid w:val="001D206E"/>
    <w:rsid w:val="001D225A"/>
    <w:rsid w:val="001D225C"/>
    <w:rsid w:val="001D244F"/>
    <w:rsid w:val="001D246A"/>
    <w:rsid w:val="001D2601"/>
    <w:rsid w:val="001D26A1"/>
    <w:rsid w:val="001D26DE"/>
    <w:rsid w:val="001D2951"/>
    <w:rsid w:val="001D29A0"/>
    <w:rsid w:val="001D29E4"/>
    <w:rsid w:val="001D2BA0"/>
    <w:rsid w:val="001D2CC9"/>
    <w:rsid w:val="001D2E98"/>
    <w:rsid w:val="001D2F38"/>
    <w:rsid w:val="001D2F80"/>
    <w:rsid w:val="001D3108"/>
    <w:rsid w:val="001D3177"/>
    <w:rsid w:val="001D3317"/>
    <w:rsid w:val="001D3544"/>
    <w:rsid w:val="001D3685"/>
    <w:rsid w:val="001D368A"/>
    <w:rsid w:val="001D3AC7"/>
    <w:rsid w:val="001D3AC8"/>
    <w:rsid w:val="001D3B36"/>
    <w:rsid w:val="001D3C4B"/>
    <w:rsid w:val="001D3E6A"/>
    <w:rsid w:val="001D3EF1"/>
    <w:rsid w:val="001D3FAB"/>
    <w:rsid w:val="001D3FD6"/>
    <w:rsid w:val="001D4B23"/>
    <w:rsid w:val="001D4B33"/>
    <w:rsid w:val="001D4B7A"/>
    <w:rsid w:val="001D4C14"/>
    <w:rsid w:val="001D4D10"/>
    <w:rsid w:val="001D5045"/>
    <w:rsid w:val="001D5504"/>
    <w:rsid w:val="001D56AE"/>
    <w:rsid w:val="001D56FA"/>
    <w:rsid w:val="001D57A7"/>
    <w:rsid w:val="001D5A15"/>
    <w:rsid w:val="001D5BA1"/>
    <w:rsid w:val="001D5C01"/>
    <w:rsid w:val="001D5F84"/>
    <w:rsid w:val="001D6030"/>
    <w:rsid w:val="001D607A"/>
    <w:rsid w:val="001D6157"/>
    <w:rsid w:val="001D6268"/>
    <w:rsid w:val="001D632E"/>
    <w:rsid w:val="001D6458"/>
    <w:rsid w:val="001D6859"/>
    <w:rsid w:val="001D6B8C"/>
    <w:rsid w:val="001D6BDD"/>
    <w:rsid w:val="001D7016"/>
    <w:rsid w:val="001D7122"/>
    <w:rsid w:val="001D7389"/>
    <w:rsid w:val="001D7409"/>
    <w:rsid w:val="001D75B5"/>
    <w:rsid w:val="001D76A8"/>
    <w:rsid w:val="001D772F"/>
    <w:rsid w:val="001D78E8"/>
    <w:rsid w:val="001D7D4F"/>
    <w:rsid w:val="001D7EC0"/>
    <w:rsid w:val="001D7F38"/>
    <w:rsid w:val="001D7F69"/>
    <w:rsid w:val="001D7FFC"/>
    <w:rsid w:val="001E0025"/>
    <w:rsid w:val="001E0042"/>
    <w:rsid w:val="001E016B"/>
    <w:rsid w:val="001E031D"/>
    <w:rsid w:val="001E053C"/>
    <w:rsid w:val="001E05AD"/>
    <w:rsid w:val="001E0823"/>
    <w:rsid w:val="001E08DD"/>
    <w:rsid w:val="001E0DD5"/>
    <w:rsid w:val="001E0FA7"/>
    <w:rsid w:val="001E0FB2"/>
    <w:rsid w:val="001E10C8"/>
    <w:rsid w:val="001E10EB"/>
    <w:rsid w:val="001E125F"/>
    <w:rsid w:val="001E1348"/>
    <w:rsid w:val="001E1475"/>
    <w:rsid w:val="001E14EF"/>
    <w:rsid w:val="001E16A7"/>
    <w:rsid w:val="001E1812"/>
    <w:rsid w:val="001E1945"/>
    <w:rsid w:val="001E1ADB"/>
    <w:rsid w:val="001E1CEB"/>
    <w:rsid w:val="001E1DA2"/>
    <w:rsid w:val="001E1E69"/>
    <w:rsid w:val="001E1EDA"/>
    <w:rsid w:val="001E20CF"/>
    <w:rsid w:val="001E2205"/>
    <w:rsid w:val="001E2246"/>
    <w:rsid w:val="001E23B0"/>
    <w:rsid w:val="001E2422"/>
    <w:rsid w:val="001E29EF"/>
    <w:rsid w:val="001E2B46"/>
    <w:rsid w:val="001E2F00"/>
    <w:rsid w:val="001E2F25"/>
    <w:rsid w:val="001E30D7"/>
    <w:rsid w:val="001E32E0"/>
    <w:rsid w:val="001E349B"/>
    <w:rsid w:val="001E3531"/>
    <w:rsid w:val="001E354A"/>
    <w:rsid w:val="001E3768"/>
    <w:rsid w:val="001E377E"/>
    <w:rsid w:val="001E38AA"/>
    <w:rsid w:val="001E39D7"/>
    <w:rsid w:val="001E3C09"/>
    <w:rsid w:val="001E3DB7"/>
    <w:rsid w:val="001E3EBF"/>
    <w:rsid w:val="001E3FC4"/>
    <w:rsid w:val="001E41C5"/>
    <w:rsid w:val="001E427A"/>
    <w:rsid w:val="001E42FA"/>
    <w:rsid w:val="001E455E"/>
    <w:rsid w:val="001E4A03"/>
    <w:rsid w:val="001E4B90"/>
    <w:rsid w:val="001E4D0B"/>
    <w:rsid w:val="001E4D95"/>
    <w:rsid w:val="001E4E5F"/>
    <w:rsid w:val="001E50A2"/>
    <w:rsid w:val="001E520D"/>
    <w:rsid w:val="001E5218"/>
    <w:rsid w:val="001E534B"/>
    <w:rsid w:val="001E53A0"/>
    <w:rsid w:val="001E53B4"/>
    <w:rsid w:val="001E5434"/>
    <w:rsid w:val="001E545C"/>
    <w:rsid w:val="001E55CB"/>
    <w:rsid w:val="001E58B6"/>
    <w:rsid w:val="001E5BA7"/>
    <w:rsid w:val="001E5DEA"/>
    <w:rsid w:val="001E5E64"/>
    <w:rsid w:val="001E5F4C"/>
    <w:rsid w:val="001E605C"/>
    <w:rsid w:val="001E61CB"/>
    <w:rsid w:val="001E628A"/>
    <w:rsid w:val="001E64F0"/>
    <w:rsid w:val="001E690C"/>
    <w:rsid w:val="001E6BA3"/>
    <w:rsid w:val="001E6C3E"/>
    <w:rsid w:val="001E6E08"/>
    <w:rsid w:val="001E71D8"/>
    <w:rsid w:val="001E738A"/>
    <w:rsid w:val="001E7415"/>
    <w:rsid w:val="001E741A"/>
    <w:rsid w:val="001E74CE"/>
    <w:rsid w:val="001E7505"/>
    <w:rsid w:val="001E7671"/>
    <w:rsid w:val="001E769A"/>
    <w:rsid w:val="001E78B1"/>
    <w:rsid w:val="001E7A9F"/>
    <w:rsid w:val="001E7AFA"/>
    <w:rsid w:val="001E7BBD"/>
    <w:rsid w:val="001E7CDB"/>
    <w:rsid w:val="001E7D3E"/>
    <w:rsid w:val="001E7D73"/>
    <w:rsid w:val="001E7DA2"/>
    <w:rsid w:val="001E7E62"/>
    <w:rsid w:val="001F01A0"/>
    <w:rsid w:val="001F026E"/>
    <w:rsid w:val="001F05BB"/>
    <w:rsid w:val="001F071E"/>
    <w:rsid w:val="001F0793"/>
    <w:rsid w:val="001F0883"/>
    <w:rsid w:val="001F0AEA"/>
    <w:rsid w:val="001F0B0B"/>
    <w:rsid w:val="001F0B48"/>
    <w:rsid w:val="001F0C0D"/>
    <w:rsid w:val="001F0C71"/>
    <w:rsid w:val="001F0C76"/>
    <w:rsid w:val="001F0E7D"/>
    <w:rsid w:val="001F107A"/>
    <w:rsid w:val="001F142C"/>
    <w:rsid w:val="001F189E"/>
    <w:rsid w:val="001F197F"/>
    <w:rsid w:val="001F20F9"/>
    <w:rsid w:val="001F2123"/>
    <w:rsid w:val="001F218D"/>
    <w:rsid w:val="001F2233"/>
    <w:rsid w:val="001F230E"/>
    <w:rsid w:val="001F25F8"/>
    <w:rsid w:val="001F277A"/>
    <w:rsid w:val="001F281E"/>
    <w:rsid w:val="001F2894"/>
    <w:rsid w:val="001F2973"/>
    <w:rsid w:val="001F29E2"/>
    <w:rsid w:val="001F2A0E"/>
    <w:rsid w:val="001F2B7C"/>
    <w:rsid w:val="001F2C37"/>
    <w:rsid w:val="001F2D70"/>
    <w:rsid w:val="001F2F2E"/>
    <w:rsid w:val="001F306D"/>
    <w:rsid w:val="001F30B3"/>
    <w:rsid w:val="001F3235"/>
    <w:rsid w:val="001F386F"/>
    <w:rsid w:val="001F38BE"/>
    <w:rsid w:val="001F38D6"/>
    <w:rsid w:val="001F3B5C"/>
    <w:rsid w:val="001F3D17"/>
    <w:rsid w:val="001F3E17"/>
    <w:rsid w:val="001F3E96"/>
    <w:rsid w:val="001F3EC9"/>
    <w:rsid w:val="001F3EEF"/>
    <w:rsid w:val="001F427B"/>
    <w:rsid w:val="001F45BE"/>
    <w:rsid w:val="001F4616"/>
    <w:rsid w:val="001F4783"/>
    <w:rsid w:val="001F482E"/>
    <w:rsid w:val="001F48EC"/>
    <w:rsid w:val="001F4B59"/>
    <w:rsid w:val="001F4CBD"/>
    <w:rsid w:val="001F4EAC"/>
    <w:rsid w:val="001F4FEF"/>
    <w:rsid w:val="001F5344"/>
    <w:rsid w:val="001F5382"/>
    <w:rsid w:val="001F55C9"/>
    <w:rsid w:val="001F5685"/>
    <w:rsid w:val="001F56A4"/>
    <w:rsid w:val="001F581E"/>
    <w:rsid w:val="001F5865"/>
    <w:rsid w:val="001F58F5"/>
    <w:rsid w:val="001F5938"/>
    <w:rsid w:val="001F597D"/>
    <w:rsid w:val="001F5B89"/>
    <w:rsid w:val="001F5DA8"/>
    <w:rsid w:val="001F5EF5"/>
    <w:rsid w:val="001F60DB"/>
    <w:rsid w:val="001F61B8"/>
    <w:rsid w:val="001F63F6"/>
    <w:rsid w:val="001F63FC"/>
    <w:rsid w:val="001F6553"/>
    <w:rsid w:val="001F6556"/>
    <w:rsid w:val="001F6839"/>
    <w:rsid w:val="001F6919"/>
    <w:rsid w:val="001F6A34"/>
    <w:rsid w:val="001F6B27"/>
    <w:rsid w:val="001F6E74"/>
    <w:rsid w:val="001F6EB8"/>
    <w:rsid w:val="001F6F3C"/>
    <w:rsid w:val="001F6FA3"/>
    <w:rsid w:val="001F70F1"/>
    <w:rsid w:val="001F7219"/>
    <w:rsid w:val="001F7394"/>
    <w:rsid w:val="001F73CF"/>
    <w:rsid w:val="001F7703"/>
    <w:rsid w:val="001F792E"/>
    <w:rsid w:val="001F7B9C"/>
    <w:rsid w:val="001F7C73"/>
    <w:rsid w:val="001F7DEF"/>
    <w:rsid w:val="002000EE"/>
    <w:rsid w:val="002004A1"/>
    <w:rsid w:val="002004CD"/>
    <w:rsid w:val="0020050D"/>
    <w:rsid w:val="0020056F"/>
    <w:rsid w:val="002008C9"/>
    <w:rsid w:val="00200966"/>
    <w:rsid w:val="0020096C"/>
    <w:rsid w:val="00200A3E"/>
    <w:rsid w:val="00200C7A"/>
    <w:rsid w:val="00200D36"/>
    <w:rsid w:val="00200D43"/>
    <w:rsid w:val="00200EB7"/>
    <w:rsid w:val="00201312"/>
    <w:rsid w:val="00201560"/>
    <w:rsid w:val="002015EC"/>
    <w:rsid w:val="002017F0"/>
    <w:rsid w:val="00201A78"/>
    <w:rsid w:val="00201ABA"/>
    <w:rsid w:val="00201C3B"/>
    <w:rsid w:val="00201D70"/>
    <w:rsid w:val="00201D97"/>
    <w:rsid w:val="00202494"/>
    <w:rsid w:val="002024F6"/>
    <w:rsid w:val="0020290B"/>
    <w:rsid w:val="00202951"/>
    <w:rsid w:val="00202A20"/>
    <w:rsid w:val="00202E32"/>
    <w:rsid w:val="00202FAA"/>
    <w:rsid w:val="002031A0"/>
    <w:rsid w:val="002031E5"/>
    <w:rsid w:val="00203207"/>
    <w:rsid w:val="0020333E"/>
    <w:rsid w:val="00203395"/>
    <w:rsid w:val="002033F4"/>
    <w:rsid w:val="00203488"/>
    <w:rsid w:val="002035BA"/>
    <w:rsid w:val="00203ACD"/>
    <w:rsid w:val="00203AF2"/>
    <w:rsid w:val="00203D01"/>
    <w:rsid w:val="00203F0E"/>
    <w:rsid w:val="00204024"/>
    <w:rsid w:val="00204133"/>
    <w:rsid w:val="002041D6"/>
    <w:rsid w:val="00204367"/>
    <w:rsid w:val="00204417"/>
    <w:rsid w:val="00204601"/>
    <w:rsid w:val="002049BF"/>
    <w:rsid w:val="00204AEF"/>
    <w:rsid w:val="00204B75"/>
    <w:rsid w:val="00204CBA"/>
    <w:rsid w:val="00204CBD"/>
    <w:rsid w:val="00204F16"/>
    <w:rsid w:val="0020503C"/>
    <w:rsid w:val="002050A4"/>
    <w:rsid w:val="00205298"/>
    <w:rsid w:val="00205374"/>
    <w:rsid w:val="00205525"/>
    <w:rsid w:val="00205828"/>
    <w:rsid w:val="002058AE"/>
    <w:rsid w:val="00205930"/>
    <w:rsid w:val="00205B31"/>
    <w:rsid w:val="00205B9C"/>
    <w:rsid w:val="00205BA0"/>
    <w:rsid w:val="00205D6F"/>
    <w:rsid w:val="00205E03"/>
    <w:rsid w:val="00206266"/>
    <w:rsid w:val="00206292"/>
    <w:rsid w:val="00206327"/>
    <w:rsid w:val="00206465"/>
    <w:rsid w:val="002065AA"/>
    <w:rsid w:val="0020663A"/>
    <w:rsid w:val="002066F9"/>
    <w:rsid w:val="00206BB8"/>
    <w:rsid w:val="00206CD8"/>
    <w:rsid w:val="00206EFD"/>
    <w:rsid w:val="00206F61"/>
    <w:rsid w:val="0020713A"/>
    <w:rsid w:val="00207423"/>
    <w:rsid w:val="002077F3"/>
    <w:rsid w:val="002078E8"/>
    <w:rsid w:val="002079CB"/>
    <w:rsid w:val="00207A50"/>
    <w:rsid w:val="00207C04"/>
    <w:rsid w:val="00207CA0"/>
    <w:rsid w:val="00207D20"/>
    <w:rsid w:val="00207EC8"/>
    <w:rsid w:val="0021016E"/>
    <w:rsid w:val="00210278"/>
    <w:rsid w:val="002105FA"/>
    <w:rsid w:val="00210727"/>
    <w:rsid w:val="002107AD"/>
    <w:rsid w:val="002107D9"/>
    <w:rsid w:val="002108C3"/>
    <w:rsid w:val="00210B03"/>
    <w:rsid w:val="00210BDD"/>
    <w:rsid w:val="00210C7A"/>
    <w:rsid w:val="00210DC0"/>
    <w:rsid w:val="00210EBE"/>
    <w:rsid w:val="00210F63"/>
    <w:rsid w:val="002112A5"/>
    <w:rsid w:val="0021169A"/>
    <w:rsid w:val="002116ED"/>
    <w:rsid w:val="00211A04"/>
    <w:rsid w:val="00211BA3"/>
    <w:rsid w:val="00211C4A"/>
    <w:rsid w:val="0021237C"/>
    <w:rsid w:val="00212728"/>
    <w:rsid w:val="00212852"/>
    <w:rsid w:val="00212D73"/>
    <w:rsid w:val="00212E67"/>
    <w:rsid w:val="00212EC2"/>
    <w:rsid w:val="00212F6A"/>
    <w:rsid w:val="00213076"/>
    <w:rsid w:val="0021308A"/>
    <w:rsid w:val="00213254"/>
    <w:rsid w:val="00213295"/>
    <w:rsid w:val="00213411"/>
    <w:rsid w:val="002135C6"/>
    <w:rsid w:val="00213703"/>
    <w:rsid w:val="002139BC"/>
    <w:rsid w:val="00213ABB"/>
    <w:rsid w:val="00213BE5"/>
    <w:rsid w:val="00213CC2"/>
    <w:rsid w:val="00213E5D"/>
    <w:rsid w:val="00213FFE"/>
    <w:rsid w:val="0021463D"/>
    <w:rsid w:val="002146E2"/>
    <w:rsid w:val="0021472C"/>
    <w:rsid w:val="00214963"/>
    <w:rsid w:val="00214AAD"/>
    <w:rsid w:val="00214B6A"/>
    <w:rsid w:val="00214BDA"/>
    <w:rsid w:val="00214BED"/>
    <w:rsid w:val="00214CD7"/>
    <w:rsid w:val="00214D01"/>
    <w:rsid w:val="00215039"/>
    <w:rsid w:val="00215369"/>
    <w:rsid w:val="002153B5"/>
    <w:rsid w:val="002155AA"/>
    <w:rsid w:val="00215614"/>
    <w:rsid w:val="00215620"/>
    <w:rsid w:val="0021593C"/>
    <w:rsid w:val="00215BE0"/>
    <w:rsid w:val="00215C20"/>
    <w:rsid w:val="00215C30"/>
    <w:rsid w:val="00215C58"/>
    <w:rsid w:val="00215CCE"/>
    <w:rsid w:val="00215E51"/>
    <w:rsid w:val="00215FD8"/>
    <w:rsid w:val="0021616F"/>
    <w:rsid w:val="00216438"/>
    <w:rsid w:val="00216605"/>
    <w:rsid w:val="00216611"/>
    <w:rsid w:val="00216697"/>
    <w:rsid w:val="002166B3"/>
    <w:rsid w:val="002166F1"/>
    <w:rsid w:val="00216956"/>
    <w:rsid w:val="0021697D"/>
    <w:rsid w:val="002169C8"/>
    <w:rsid w:val="00216C8F"/>
    <w:rsid w:val="00216CF6"/>
    <w:rsid w:val="00216E34"/>
    <w:rsid w:val="0021734B"/>
    <w:rsid w:val="00217444"/>
    <w:rsid w:val="0021769C"/>
    <w:rsid w:val="002176A5"/>
    <w:rsid w:val="0021782B"/>
    <w:rsid w:val="0021786C"/>
    <w:rsid w:val="00217930"/>
    <w:rsid w:val="00217AD3"/>
    <w:rsid w:val="00217C1E"/>
    <w:rsid w:val="00217E0B"/>
    <w:rsid w:val="0022023B"/>
    <w:rsid w:val="0022027A"/>
    <w:rsid w:val="0022034B"/>
    <w:rsid w:val="002206A0"/>
    <w:rsid w:val="002206A4"/>
    <w:rsid w:val="002208A0"/>
    <w:rsid w:val="00220CB3"/>
    <w:rsid w:val="00220CCF"/>
    <w:rsid w:val="00220F5F"/>
    <w:rsid w:val="00221262"/>
    <w:rsid w:val="002214E1"/>
    <w:rsid w:val="002215F2"/>
    <w:rsid w:val="002216AF"/>
    <w:rsid w:val="002216C4"/>
    <w:rsid w:val="00221714"/>
    <w:rsid w:val="0022175F"/>
    <w:rsid w:val="0022180C"/>
    <w:rsid w:val="0022189F"/>
    <w:rsid w:val="00221A50"/>
    <w:rsid w:val="00221D85"/>
    <w:rsid w:val="00221E13"/>
    <w:rsid w:val="00221E5C"/>
    <w:rsid w:val="002220A6"/>
    <w:rsid w:val="0022227D"/>
    <w:rsid w:val="00222366"/>
    <w:rsid w:val="0022239D"/>
    <w:rsid w:val="00222493"/>
    <w:rsid w:val="00222563"/>
    <w:rsid w:val="00222575"/>
    <w:rsid w:val="002226BA"/>
    <w:rsid w:val="00222712"/>
    <w:rsid w:val="0022273A"/>
    <w:rsid w:val="00222816"/>
    <w:rsid w:val="0022286C"/>
    <w:rsid w:val="002228A5"/>
    <w:rsid w:val="002229C4"/>
    <w:rsid w:val="00222B60"/>
    <w:rsid w:val="00222D39"/>
    <w:rsid w:val="00222DC0"/>
    <w:rsid w:val="00222E83"/>
    <w:rsid w:val="00222F3E"/>
    <w:rsid w:val="002231FE"/>
    <w:rsid w:val="0022320B"/>
    <w:rsid w:val="002233C4"/>
    <w:rsid w:val="002235B0"/>
    <w:rsid w:val="00223B78"/>
    <w:rsid w:val="00223C1E"/>
    <w:rsid w:val="00223C70"/>
    <w:rsid w:val="00223D5C"/>
    <w:rsid w:val="0022400C"/>
    <w:rsid w:val="0022404B"/>
    <w:rsid w:val="00224082"/>
    <w:rsid w:val="0022418F"/>
    <w:rsid w:val="002241EA"/>
    <w:rsid w:val="002242BB"/>
    <w:rsid w:val="002244BC"/>
    <w:rsid w:val="002246B6"/>
    <w:rsid w:val="002246BB"/>
    <w:rsid w:val="00224D32"/>
    <w:rsid w:val="00224D75"/>
    <w:rsid w:val="00224E9D"/>
    <w:rsid w:val="00224F75"/>
    <w:rsid w:val="00224FC1"/>
    <w:rsid w:val="00225165"/>
    <w:rsid w:val="0022519D"/>
    <w:rsid w:val="002252A1"/>
    <w:rsid w:val="00225463"/>
    <w:rsid w:val="0022548D"/>
    <w:rsid w:val="00225527"/>
    <w:rsid w:val="00225541"/>
    <w:rsid w:val="00225815"/>
    <w:rsid w:val="0022581D"/>
    <w:rsid w:val="00225B7C"/>
    <w:rsid w:val="00225CF2"/>
    <w:rsid w:val="00225D9B"/>
    <w:rsid w:val="00225E58"/>
    <w:rsid w:val="00225E8E"/>
    <w:rsid w:val="00226060"/>
    <w:rsid w:val="0022606E"/>
    <w:rsid w:val="00226079"/>
    <w:rsid w:val="002260AF"/>
    <w:rsid w:val="002262FC"/>
    <w:rsid w:val="0022675A"/>
    <w:rsid w:val="002268B1"/>
    <w:rsid w:val="002268CC"/>
    <w:rsid w:val="002268F2"/>
    <w:rsid w:val="0022697E"/>
    <w:rsid w:val="002269BF"/>
    <w:rsid w:val="00226A54"/>
    <w:rsid w:val="00226D97"/>
    <w:rsid w:val="00226DFD"/>
    <w:rsid w:val="00227022"/>
    <w:rsid w:val="00227259"/>
    <w:rsid w:val="00227279"/>
    <w:rsid w:val="00227284"/>
    <w:rsid w:val="0022741F"/>
    <w:rsid w:val="002274B4"/>
    <w:rsid w:val="00227595"/>
    <w:rsid w:val="002276C6"/>
    <w:rsid w:val="0022779C"/>
    <w:rsid w:val="00227A0A"/>
    <w:rsid w:val="00227B5B"/>
    <w:rsid w:val="00227E82"/>
    <w:rsid w:val="00227EB8"/>
    <w:rsid w:val="00227ECA"/>
    <w:rsid w:val="00227F1F"/>
    <w:rsid w:val="00227F87"/>
    <w:rsid w:val="00227F88"/>
    <w:rsid w:val="00227FCB"/>
    <w:rsid w:val="002302DD"/>
    <w:rsid w:val="0023063C"/>
    <w:rsid w:val="00230682"/>
    <w:rsid w:val="0023069C"/>
    <w:rsid w:val="00230B1E"/>
    <w:rsid w:val="00230E4C"/>
    <w:rsid w:val="00231028"/>
    <w:rsid w:val="00231078"/>
    <w:rsid w:val="00231141"/>
    <w:rsid w:val="00231261"/>
    <w:rsid w:val="00231853"/>
    <w:rsid w:val="00231A5E"/>
    <w:rsid w:val="00231B44"/>
    <w:rsid w:val="00231B88"/>
    <w:rsid w:val="00232096"/>
    <w:rsid w:val="0023210A"/>
    <w:rsid w:val="002321B5"/>
    <w:rsid w:val="00232526"/>
    <w:rsid w:val="00232866"/>
    <w:rsid w:val="00232A3F"/>
    <w:rsid w:val="00232A52"/>
    <w:rsid w:val="00232A60"/>
    <w:rsid w:val="00232A9B"/>
    <w:rsid w:val="00232AE0"/>
    <w:rsid w:val="00232B45"/>
    <w:rsid w:val="00232D49"/>
    <w:rsid w:val="002336FE"/>
    <w:rsid w:val="00233702"/>
    <w:rsid w:val="0023379D"/>
    <w:rsid w:val="00233882"/>
    <w:rsid w:val="00233979"/>
    <w:rsid w:val="002339AB"/>
    <w:rsid w:val="00233A59"/>
    <w:rsid w:val="00233CC3"/>
    <w:rsid w:val="00233D44"/>
    <w:rsid w:val="00234019"/>
    <w:rsid w:val="002340B6"/>
    <w:rsid w:val="00234296"/>
    <w:rsid w:val="00234648"/>
    <w:rsid w:val="002347E8"/>
    <w:rsid w:val="00234963"/>
    <w:rsid w:val="00234A46"/>
    <w:rsid w:val="00234B09"/>
    <w:rsid w:val="00234BA2"/>
    <w:rsid w:val="00234E53"/>
    <w:rsid w:val="00234F49"/>
    <w:rsid w:val="002350F0"/>
    <w:rsid w:val="002351B1"/>
    <w:rsid w:val="002353CB"/>
    <w:rsid w:val="002354DF"/>
    <w:rsid w:val="002354FE"/>
    <w:rsid w:val="00235582"/>
    <w:rsid w:val="002357CF"/>
    <w:rsid w:val="00235885"/>
    <w:rsid w:val="00235D34"/>
    <w:rsid w:val="00235D8A"/>
    <w:rsid w:val="00235DBB"/>
    <w:rsid w:val="00235E9E"/>
    <w:rsid w:val="002360BD"/>
    <w:rsid w:val="002361E3"/>
    <w:rsid w:val="00236249"/>
    <w:rsid w:val="002364D0"/>
    <w:rsid w:val="0023659F"/>
    <w:rsid w:val="00236611"/>
    <w:rsid w:val="00236787"/>
    <w:rsid w:val="00236800"/>
    <w:rsid w:val="00236845"/>
    <w:rsid w:val="002369A8"/>
    <w:rsid w:val="00236F42"/>
    <w:rsid w:val="002370AB"/>
    <w:rsid w:val="0023729B"/>
    <w:rsid w:val="0023746D"/>
    <w:rsid w:val="002374F2"/>
    <w:rsid w:val="002375F4"/>
    <w:rsid w:val="00237872"/>
    <w:rsid w:val="00237A22"/>
    <w:rsid w:val="00237A43"/>
    <w:rsid w:val="00237A6C"/>
    <w:rsid w:val="00237B99"/>
    <w:rsid w:val="00237E4E"/>
    <w:rsid w:val="002400C5"/>
    <w:rsid w:val="00240214"/>
    <w:rsid w:val="00240296"/>
    <w:rsid w:val="00240542"/>
    <w:rsid w:val="002407D9"/>
    <w:rsid w:val="00240A71"/>
    <w:rsid w:val="00240AA0"/>
    <w:rsid w:val="00240BDF"/>
    <w:rsid w:val="00240E2C"/>
    <w:rsid w:val="00240E85"/>
    <w:rsid w:val="00240FC3"/>
    <w:rsid w:val="00241033"/>
    <w:rsid w:val="00241103"/>
    <w:rsid w:val="00241359"/>
    <w:rsid w:val="002413B5"/>
    <w:rsid w:val="0024145F"/>
    <w:rsid w:val="00241603"/>
    <w:rsid w:val="0024185C"/>
    <w:rsid w:val="00241883"/>
    <w:rsid w:val="00241A2C"/>
    <w:rsid w:val="00241BE4"/>
    <w:rsid w:val="00241D42"/>
    <w:rsid w:val="00241DC6"/>
    <w:rsid w:val="00241E01"/>
    <w:rsid w:val="00241EFF"/>
    <w:rsid w:val="00242154"/>
    <w:rsid w:val="002421FA"/>
    <w:rsid w:val="002423BA"/>
    <w:rsid w:val="002423CE"/>
    <w:rsid w:val="00242477"/>
    <w:rsid w:val="002424E3"/>
    <w:rsid w:val="002424E4"/>
    <w:rsid w:val="00242514"/>
    <w:rsid w:val="00242747"/>
    <w:rsid w:val="002428B4"/>
    <w:rsid w:val="00242927"/>
    <w:rsid w:val="00242F75"/>
    <w:rsid w:val="00242FEB"/>
    <w:rsid w:val="00243042"/>
    <w:rsid w:val="00243102"/>
    <w:rsid w:val="0024367E"/>
    <w:rsid w:val="00243688"/>
    <w:rsid w:val="0024386B"/>
    <w:rsid w:val="00243943"/>
    <w:rsid w:val="00243D9A"/>
    <w:rsid w:val="00243DE3"/>
    <w:rsid w:val="00244010"/>
    <w:rsid w:val="00244151"/>
    <w:rsid w:val="002441AE"/>
    <w:rsid w:val="00244458"/>
    <w:rsid w:val="00244566"/>
    <w:rsid w:val="0024462C"/>
    <w:rsid w:val="00244A31"/>
    <w:rsid w:val="00244CC0"/>
    <w:rsid w:val="00244DDE"/>
    <w:rsid w:val="00244FFA"/>
    <w:rsid w:val="0024503A"/>
    <w:rsid w:val="002450CB"/>
    <w:rsid w:val="002451CA"/>
    <w:rsid w:val="0024526C"/>
    <w:rsid w:val="002455A5"/>
    <w:rsid w:val="002455AA"/>
    <w:rsid w:val="002455C2"/>
    <w:rsid w:val="00245621"/>
    <w:rsid w:val="002456A5"/>
    <w:rsid w:val="0024577B"/>
    <w:rsid w:val="00245AA7"/>
    <w:rsid w:val="00245C70"/>
    <w:rsid w:val="00245C96"/>
    <w:rsid w:val="00245D6A"/>
    <w:rsid w:val="00245E3E"/>
    <w:rsid w:val="00245E95"/>
    <w:rsid w:val="00245EAC"/>
    <w:rsid w:val="00245F36"/>
    <w:rsid w:val="0024602B"/>
    <w:rsid w:val="00246072"/>
    <w:rsid w:val="00246154"/>
    <w:rsid w:val="002461E0"/>
    <w:rsid w:val="00246201"/>
    <w:rsid w:val="002465EA"/>
    <w:rsid w:val="00246884"/>
    <w:rsid w:val="002468BD"/>
    <w:rsid w:val="002468C8"/>
    <w:rsid w:val="002468CE"/>
    <w:rsid w:val="00246914"/>
    <w:rsid w:val="0024697F"/>
    <w:rsid w:val="00246AF8"/>
    <w:rsid w:val="00246B4C"/>
    <w:rsid w:val="00246EDA"/>
    <w:rsid w:val="00246FA1"/>
    <w:rsid w:val="0024724C"/>
    <w:rsid w:val="0024730C"/>
    <w:rsid w:val="002473E1"/>
    <w:rsid w:val="00247406"/>
    <w:rsid w:val="0024740A"/>
    <w:rsid w:val="0024745C"/>
    <w:rsid w:val="0024758A"/>
    <w:rsid w:val="002478CA"/>
    <w:rsid w:val="00247907"/>
    <w:rsid w:val="0024793A"/>
    <w:rsid w:val="00247996"/>
    <w:rsid w:val="00247ACF"/>
    <w:rsid w:val="00247C41"/>
    <w:rsid w:val="00247DAA"/>
    <w:rsid w:val="00247E9E"/>
    <w:rsid w:val="00247FBC"/>
    <w:rsid w:val="00250078"/>
    <w:rsid w:val="002500CB"/>
    <w:rsid w:val="0025011F"/>
    <w:rsid w:val="00250725"/>
    <w:rsid w:val="00250799"/>
    <w:rsid w:val="002508B8"/>
    <w:rsid w:val="00250B85"/>
    <w:rsid w:val="0025112E"/>
    <w:rsid w:val="00251225"/>
    <w:rsid w:val="00251562"/>
    <w:rsid w:val="00251591"/>
    <w:rsid w:val="002515D9"/>
    <w:rsid w:val="0025173D"/>
    <w:rsid w:val="002518B6"/>
    <w:rsid w:val="00251920"/>
    <w:rsid w:val="00251D1C"/>
    <w:rsid w:val="00251D7A"/>
    <w:rsid w:val="00251DCD"/>
    <w:rsid w:val="002522EA"/>
    <w:rsid w:val="00252314"/>
    <w:rsid w:val="00252476"/>
    <w:rsid w:val="002525F7"/>
    <w:rsid w:val="0025268D"/>
    <w:rsid w:val="002526AF"/>
    <w:rsid w:val="00252813"/>
    <w:rsid w:val="00252975"/>
    <w:rsid w:val="00252AAB"/>
    <w:rsid w:val="00252AD8"/>
    <w:rsid w:val="00252C10"/>
    <w:rsid w:val="00252D78"/>
    <w:rsid w:val="00252D96"/>
    <w:rsid w:val="00252E79"/>
    <w:rsid w:val="00252E82"/>
    <w:rsid w:val="002531EE"/>
    <w:rsid w:val="002533A9"/>
    <w:rsid w:val="00253561"/>
    <w:rsid w:val="00253774"/>
    <w:rsid w:val="002538A8"/>
    <w:rsid w:val="00253B17"/>
    <w:rsid w:val="00253BDE"/>
    <w:rsid w:val="00253D2A"/>
    <w:rsid w:val="00253D3C"/>
    <w:rsid w:val="00253D8A"/>
    <w:rsid w:val="00253E29"/>
    <w:rsid w:val="00253E7F"/>
    <w:rsid w:val="00253F74"/>
    <w:rsid w:val="00253FF7"/>
    <w:rsid w:val="00254022"/>
    <w:rsid w:val="002543B6"/>
    <w:rsid w:val="002546B7"/>
    <w:rsid w:val="002546EA"/>
    <w:rsid w:val="002548D6"/>
    <w:rsid w:val="00254BC8"/>
    <w:rsid w:val="00254DCA"/>
    <w:rsid w:val="00254E79"/>
    <w:rsid w:val="00254EFF"/>
    <w:rsid w:val="00254F65"/>
    <w:rsid w:val="00255246"/>
    <w:rsid w:val="0025528B"/>
    <w:rsid w:val="002552D9"/>
    <w:rsid w:val="00255500"/>
    <w:rsid w:val="00255664"/>
    <w:rsid w:val="002556BF"/>
    <w:rsid w:val="002556CC"/>
    <w:rsid w:val="0025589D"/>
    <w:rsid w:val="00255A4E"/>
    <w:rsid w:val="00255B4E"/>
    <w:rsid w:val="00255C4F"/>
    <w:rsid w:val="00255D53"/>
    <w:rsid w:val="00255D88"/>
    <w:rsid w:val="00255F14"/>
    <w:rsid w:val="002560DA"/>
    <w:rsid w:val="00256101"/>
    <w:rsid w:val="00256163"/>
    <w:rsid w:val="00256283"/>
    <w:rsid w:val="002562D7"/>
    <w:rsid w:val="002563DD"/>
    <w:rsid w:val="002565D6"/>
    <w:rsid w:val="002567CC"/>
    <w:rsid w:val="002568A6"/>
    <w:rsid w:val="002568F5"/>
    <w:rsid w:val="002569D5"/>
    <w:rsid w:val="002569F2"/>
    <w:rsid w:val="00256A2C"/>
    <w:rsid w:val="00256A44"/>
    <w:rsid w:val="00256BB1"/>
    <w:rsid w:val="00256C6F"/>
    <w:rsid w:val="00256D5A"/>
    <w:rsid w:val="00256D88"/>
    <w:rsid w:val="00257076"/>
    <w:rsid w:val="0025707A"/>
    <w:rsid w:val="002570D5"/>
    <w:rsid w:val="00257951"/>
    <w:rsid w:val="00257A37"/>
    <w:rsid w:val="00257A74"/>
    <w:rsid w:val="00257C8A"/>
    <w:rsid w:val="00257CBB"/>
    <w:rsid w:val="00257D28"/>
    <w:rsid w:val="00257E8A"/>
    <w:rsid w:val="0026016D"/>
    <w:rsid w:val="0026022D"/>
    <w:rsid w:val="00260513"/>
    <w:rsid w:val="002605F5"/>
    <w:rsid w:val="0026080B"/>
    <w:rsid w:val="00260871"/>
    <w:rsid w:val="002608B1"/>
    <w:rsid w:val="00260A33"/>
    <w:rsid w:val="00260C1F"/>
    <w:rsid w:val="00260CDE"/>
    <w:rsid w:val="00260EED"/>
    <w:rsid w:val="00260FEC"/>
    <w:rsid w:val="00261045"/>
    <w:rsid w:val="00261327"/>
    <w:rsid w:val="0026132E"/>
    <w:rsid w:val="002613A7"/>
    <w:rsid w:val="00261581"/>
    <w:rsid w:val="00261A35"/>
    <w:rsid w:val="00261A43"/>
    <w:rsid w:val="00261B36"/>
    <w:rsid w:val="00261B7D"/>
    <w:rsid w:val="00261D02"/>
    <w:rsid w:val="00261FC6"/>
    <w:rsid w:val="0026206C"/>
    <w:rsid w:val="00262086"/>
    <w:rsid w:val="00262157"/>
    <w:rsid w:val="0026217E"/>
    <w:rsid w:val="00262383"/>
    <w:rsid w:val="002625AA"/>
    <w:rsid w:val="00262625"/>
    <w:rsid w:val="002627AD"/>
    <w:rsid w:val="00262852"/>
    <w:rsid w:val="002628CD"/>
    <w:rsid w:val="00262A11"/>
    <w:rsid w:val="00262C48"/>
    <w:rsid w:val="00262CFD"/>
    <w:rsid w:val="00262D06"/>
    <w:rsid w:val="00262EAE"/>
    <w:rsid w:val="00262FC1"/>
    <w:rsid w:val="002630D1"/>
    <w:rsid w:val="00263221"/>
    <w:rsid w:val="002632DF"/>
    <w:rsid w:val="002638B0"/>
    <w:rsid w:val="00263A39"/>
    <w:rsid w:val="00263AB0"/>
    <w:rsid w:val="00263C03"/>
    <w:rsid w:val="00263EA9"/>
    <w:rsid w:val="00263F46"/>
    <w:rsid w:val="00264048"/>
    <w:rsid w:val="002644F6"/>
    <w:rsid w:val="002645D4"/>
    <w:rsid w:val="002645F4"/>
    <w:rsid w:val="0026487D"/>
    <w:rsid w:val="0026497D"/>
    <w:rsid w:val="00264A3E"/>
    <w:rsid w:val="00264A97"/>
    <w:rsid w:val="00264AFF"/>
    <w:rsid w:val="00264C49"/>
    <w:rsid w:val="00264C84"/>
    <w:rsid w:val="00264D4E"/>
    <w:rsid w:val="00264ED5"/>
    <w:rsid w:val="002650A2"/>
    <w:rsid w:val="0026514B"/>
    <w:rsid w:val="002652D3"/>
    <w:rsid w:val="002653DC"/>
    <w:rsid w:val="00265420"/>
    <w:rsid w:val="002656D0"/>
    <w:rsid w:val="002657CF"/>
    <w:rsid w:val="002659FD"/>
    <w:rsid w:val="00265BEA"/>
    <w:rsid w:val="00265CF1"/>
    <w:rsid w:val="00265D4D"/>
    <w:rsid w:val="00265E0F"/>
    <w:rsid w:val="0026605B"/>
    <w:rsid w:val="00266102"/>
    <w:rsid w:val="002662EB"/>
    <w:rsid w:val="0026646E"/>
    <w:rsid w:val="002664D0"/>
    <w:rsid w:val="002667F5"/>
    <w:rsid w:val="002668CD"/>
    <w:rsid w:val="00266924"/>
    <w:rsid w:val="0026693F"/>
    <w:rsid w:val="00266ACE"/>
    <w:rsid w:val="00266B46"/>
    <w:rsid w:val="00266C0E"/>
    <w:rsid w:val="00266FB0"/>
    <w:rsid w:val="00267403"/>
    <w:rsid w:val="0026781D"/>
    <w:rsid w:val="00267904"/>
    <w:rsid w:val="002679A9"/>
    <w:rsid w:val="00267B05"/>
    <w:rsid w:val="00267DDE"/>
    <w:rsid w:val="0027007B"/>
    <w:rsid w:val="002701C0"/>
    <w:rsid w:val="002703FB"/>
    <w:rsid w:val="0027044E"/>
    <w:rsid w:val="002705E4"/>
    <w:rsid w:val="00270685"/>
    <w:rsid w:val="002706D8"/>
    <w:rsid w:val="0027095C"/>
    <w:rsid w:val="00270A9B"/>
    <w:rsid w:val="00270AB6"/>
    <w:rsid w:val="00270E51"/>
    <w:rsid w:val="00270E64"/>
    <w:rsid w:val="00270FA7"/>
    <w:rsid w:val="00270FD6"/>
    <w:rsid w:val="002711EE"/>
    <w:rsid w:val="00271219"/>
    <w:rsid w:val="0027126F"/>
    <w:rsid w:val="00271362"/>
    <w:rsid w:val="002714D5"/>
    <w:rsid w:val="00271565"/>
    <w:rsid w:val="00271632"/>
    <w:rsid w:val="00271642"/>
    <w:rsid w:val="002716BA"/>
    <w:rsid w:val="002717EF"/>
    <w:rsid w:val="0027189B"/>
    <w:rsid w:val="00271905"/>
    <w:rsid w:val="002719F4"/>
    <w:rsid w:val="00271AFD"/>
    <w:rsid w:val="00271CE6"/>
    <w:rsid w:val="00271D10"/>
    <w:rsid w:val="00271E4F"/>
    <w:rsid w:val="00271F5C"/>
    <w:rsid w:val="00272002"/>
    <w:rsid w:val="00272024"/>
    <w:rsid w:val="00272079"/>
    <w:rsid w:val="002723C9"/>
    <w:rsid w:val="00272407"/>
    <w:rsid w:val="0027245C"/>
    <w:rsid w:val="00272576"/>
    <w:rsid w:val="00272589"/>
    <w:rsid w:val="002725DF"/>
    <w:rsid w:val="0027285C"/>
    <w:rsid w:val="00272B10"/>
    <w:rsid w:val="00272BAD"/>
    <w:rsid w:val="00272E4F"/>
    <w:rsid w:val="00272ED9"/>
    <w:rsid w:val="002732F5"/>
    <w:rsid w:val="00273317"/>
    <w:rsid w:val="002735CD"/>
    <w:rsid w:val="0027366D"/>
    <w:rsid w:val="00273833"/>
    <w:rsid w:val="002739E2"/>
    <w:rsid w:val="00273B0F"/>
    <w:rsid w:val="00273C0F"/>
    <w:rsid w:val="00273F25"/>
    <w:rsid w:val="00274151"/>
    <w:rsid w:val="002741B8"/>
    <w:rsid w:val="0027427D"/>
    <w:rsid w:val="002742F8"/>
    <w:rsid w:val="002743C8"/>
    <w:rsid w:val="002743E0"/>
    <w:rsid w:val="0027476F"/>
    <w:rsid w:val="00274886"/>
    <w:rsid w:val="00274BB8"/>
    <w:rsid w:val="00274D22"/>
    <w:rsid w:val="00274DD9"/>
    <w:rsid w:val="00274FFD"/>
    <w:rsid w:val="00275100"/>
    <w:rsid w:val="00275216"/>
    <w:rsid w:val="0027524F"/>
    <w:rsid w:val="002755D4"/>
    <w:rsid w:val="002756D2"/>
    <w:rsid w:val="0027593D"/>
    <w:rsid w:val="00275AB5"/>
    <w:rsid w:val="00275BC7"/>
    <w:rsid w:val="00275BE8"/>
    <w:rsid w:val="00275D3E"/>
    <w:rsid w:val="0027604D"/>
    <w:rsid w:val="00276099"/>
    <w:rsid w:val="0027617F"/>
    <w:rsid w:val="002761C7"/>
    <w:rsid w:val="0027625E"/>
    <w:rsid w:val="0027626A"/>
    <w:rsid w:val="00276300"/>
    <w:rsid w:val="00276442"/>
    <w:rsid w:val="0027650B"/>
    <w:rsid w:val="002765DD"/>
    <w:rsid w:val="00276757"/>
    <w:rsid w:val="0027676E"/>
    <w:rsid w:val="002768E8"/>
    <w:rsid w:val="00276966"/>
    <w:rsid w:val="002769E4"/>
    <w:rsid w:val="00276EE7"/>
    <w:rsid w:val="00276F57"/>
    <w:rsid w:val="00276FCA"/>
    <w:rsid w:val="00277185"/>
    <w:rsid w:val="00277484"/>
    <w:rsid w:val="00277563"/>
    <w:rsid w:val="00277658"/>
    <w:rsid w:val="0027766A"/>
    <w:rsid w:val="0027774B"/>
    <w:rsid w:val="0027795D"/>
    <w:rsid w:val="00277AF2"/>
    <w:rsid w:val="00277B9C"/>
    <w:rsid w:val="00277E0B"/>
    <w:rsid w:val="002800FB"/>
    <w:rsid w:val="0028030B"/>
    <w:rsid w:val="002805D6"/>
    <w:rsid w:val="00280690"/>
    <w:rsid w:val="00280752"/>
    <w:rsid w:val="002807FC"/>
    <w:rsid w:val="00280941"/>
    <w:rsid w:val="00280989"/>
    <w:rsid w:val="00280B01"/>
    <w:rsid w:val="00280E80"/>
    <w:rsid w:val="00280EE7"/>
    <w:rsid w:val="00280FD7"/>
    <w:rsid w:val="00281007"/>
    <w:rsid w:val="00281110"/>
    <w:rsid w:val="00281155"/>
    <w:rsid w:val="002817B4"/>
    <w:rsid w:val="00281A4F"/>
    <w:rsid w:val="00281AE6"/>
    <w:rsid w:val="00281B48"/>
    <w:rsid w:val="00281B80"/>
    <w:rsid w:val="00281B83"/>
    <w:rsid w:val="00281C7B"/>
    <w:rsid w:val="00281D4A"/>
    <w:rsid w:val="00281EC1"/>
    <w:rsid w:val="00281F96"/>
    <w:rsid w:val="00282098"/>
    <w:rsid w:val="002820A4"/>
    <w:rsid w:val="002820E7"/>
    <w:rsid w:val="002820F7"/>
    <w:rsid w:val="00282169"/>
    <w:rsid w:val="0028216A"/>
    <w:rsid w:val="00282603"/>
    <w:rsid w:val="002828B5"/>
    <w:rsid w:val="00282A24"/>
    <w:rsid w:val="00282AEF"/>
    <w:rsid w:val="00282BCB"/>
    <w:rsid w:val="00282CB6"/>
    <w:rsid w:val="00282D6B"/>
    <w:rsid w:val="00282DBA"/>
    <w:rsid w:val="00282F5C"/>
    <w:rsid w:val="0028313F"/>
    <w:rsid w:val="00283352"/>
    <w:rsid w:val="002833C5"/>
    <w:rsid w:val="0028379D"/>
    <w:rsid w:val="0028382F"/>
    <w:rsid w:val="00283B75"/>
    <w:rsid w:val="00283C9E"/>
    <w:rsid w:val="00283D05"/>
    <w:rsid w:val="00283DAE"/>
    <w:rsid w:val="00283FCE"/>
    <w:rsid w:val="002842A3"/>
    <w:rsid w:val="0028435F"/>
    <w:rsid w:val="002844CE"/>
    <w:rsid w:val="002845B6"/>
    <w:rsid w:val="0028464A"/>
    <w:rsid w:val="002846A2"/>
    <w:rsid w:val="0028472C"/>
    <w:rsid w:val="002847D0"/>
    <w:rsid w:val="00284803"/>
    <w:rsid w:val="00284848"/>
    <w:rsid w:val="00284946"/>
    <w:rsid w:val="00284D46"/>
    <w:rsid w:val="00284D63"/>
    <w:rsid w:val="00284EBF"/>
    <w:rsid w:val="00284EEE"/>
    <w:rsid w:val="00284EFE"/>
    <w:rsid w:val="002850E2"/>
    <w:rsid w:val="0028523D"/>
    <w:rsid w:val="0028532D"/>
    <w:rsid w:val="0028546D"/>
    <w:rsid w:val="00285557"/>
    <w:rsid w:val="00285580"/>
    <w:rsid w:val="00285626"/>
    <w:rsid w:val="00285CEB"/>
    <w:rsid w:val="00285DC4"/>
    <w:rsid w:val="00285DC8"/>
    <w:rsid w:val="00285E16"/>
    <w:rsid w:val="0028632A"/>
    <w:rsid w:val="00286395"/>
    <w:rsid w:val="002865B1"/>
    <w:rsid w:val="00286642"/>
    <w:rsid w:val="00286688"/>
    <w:rsid w:val="00286753"/>
    <w:rsid w:val="00286973"/>
    <w:rsid w:val="002869F4"/>
    <w:rsid w:val="00286B99"/>
    <w:rsid w:val="00286C63"/>
    <w:rsid w:val="00286DDB"/>
    <w:rsid w:val="00286FB8"/>
    <w:rsid w:val="002871F6"/>
    <w:rsid w:val="0028722F"/>
    <w:rsid w:val="002873CA"/>
    <w:rsid w:val="00287401"/>
    <w:rsid w:val="0028756F"/>
    <w:rsid w:val="00287818"/>
    <w:rsid w:val="0028789D"/>
    <w:rsid w:val="00287A00"/>
    <w:rsid w:val="00287C3B"/>
    <w:rsid w:val="00287D3D"/>
    <w:rsid w:val="00287DFD"/>
    <w:rsid w:val="0029003F"/>
    <w:rsid w:val="002901C4"/>
    <w:rsid w:val="002901F9"/>
    <w:rsid w:val="002902C4"/>
    <w:rsid w:val="0029083C"/>
    <w:rsid w:val="002909D0"/>
    <w:rsid w:val="00290B41"/>
    <w:rsid w:val="00290BC7"/>
    <w:rsid w:val="00290C95"/>
    <w:rsid w:val="0029109A"/>
    <w:rsid w:val="00291391"/>
    <w:rsid w:val="002913DF"/>
    <w:rsid w:val="00291422"/>
    <w:rsid w:val="0029164D"/>
    <w:rsid w:val="0029178E"/>
    <w:rsid w:val="00291892"/>
    <w:rsid w:val="00291A7C"/>
    <w:rsid w:val="00291B90"/>
    <w:rsid w:val="00291B9E"/>
    <w:rsid w:val="00291D48"/>
    <w:rsid w:val="00291E92"/>
    <w:rsid w:val="00292040"/>
    <w:rsid w:val="00292059"/>
    <w:rsid w:val="00292307"/>
    <w:rsid w:val="0029245E"/>
    <w:rsid w:val="002925E0"/>
    <w:rsid w:val="0029268D"/>
    <w:rsid w:val="0029272E"/>
    <w:rsid w:val="002929A3"/>
    <w:rsid w:val="00292A73"/>
    <w:rsid w:val="00292C24"/>
    <w:rsid w:val="00292CBB"/>
    <w:rsid w:val="00292D7C"/>
    <w:rsid w:val="00293051"/>
    <w:rsid w:val="002930B2"/>
    <w:rsid w:val="002930EB"/>
    <w:rsid w:val="002932AA"/>
    <w:rsid w:val="00293474"/>
    <w:rsid w:val="00293515"/>
    <w:rsid w:val="0029363A"/>
    <w:rsid w:val="002936ED"/>
    <w:rsid w:val="00293738"/>
    <w:rsid w:val="002937B7"/>
    <w:rsid w:val="002937D5"/>
    <w:rsid w:val="00293980"/>
    <w:rsid w:val="00293C6E"/>
    <w:rsid w:val="00293D15"/>
    <w:rsid w:val="00293E26"/>
    <w:rsid w:val="00293F65"/>
    <w:rsid w:val="00294093"/>
    <w:rsid w:val="002940AB"/>
    <w:rsid w:val="00294150"/>
    <w:rsid w:val="00294213"/>
    <w:rsid w:val="0029423B"/>
    <w:rsid w:val="002942B7"/>
    <w:rsid w:val="0029450A"/>
    <w:rsid w:val="00294600"/>
    <w:rsid w:val="00294623"/>
    <w:rsid w:val="00294656"/>
    <w:rsid w:val="00294706"/>
    <w:rsid w:val="002947F3"/>
    <w:rsid w:val="0029490C"/>
    <w:rsid w:val="00294916"/>
    <w:rsid w:val="00294B97"/>
    <w:rsid w:val="00294BBA"/>
    <w:rsid w:val="00294FC1"/>
    <w:rsid w:val="00295212"/>
    <w:rsid w:val="0029522A"/>
    <w:rsid w:val="002954DF"/>
    <w:rsid w:val="00295770"/>
    <w:rsid w:val="00295D89"/>
    <w:rsid w:val="00296045"/>
    <w:rsid w:val="00296311"/>
    <w:rsid w:val="00296547"/>
    <w:rsid w:val="002966E1"/>
    <w:rsid w:val="0029680B"/>
    <w:rsid w:val="00296825"/>
    <w:rsid w:val="0029694E"/>
    <w:rsid w:val="00296AE2"/>
    <w:rsid w:val="00296B39"/>
    <w:rsid w:val="00296BF4"/>
    <w:rsid w:val="00296CB1"/>
    <w:rsid w:val="00296D69"/>
    <w:rsid w:val="00296F12"/>
    <w:rsid w:val="00296F29"/>
    <w:rsid w:val="00297214"/>
    <w:rsid w:val="002972D9"/>
    <w:rsid w:val="00297556"/>
    <w:rsid w:val="00297966"/>
    <w:rsid w:val="002979F1"/>
    <w:rsid w:val="00297A67"/>
    <w:rsid w:val="00297CE9"/>
    <w:rsid w:val="00297CF0"/>
    <w:rsid w:val="002A0188"/>
    <w:rsid w:val="002A0224"/>
    <w:rsid w:val="002A0285"/>
    <w:rsid w:val="002A0548"/>
    <w:rsid w:val="002A0667"/>
    <w:rsid w:val="002A0D15"/>
    <w:rsid w:val="002A0EB4"/>
    <w:rsid w:val="002A0F0A"/>
    <w:rsid w:val="002A0FEA"/>
    <w:rsid w:val="002A149D"/>
    <w:rsid w:val="002A1899"/>
    <w:rsid w:val="002A190C"/>
    <w:rsid w:val="002A1E0A"/>
    <w:rsid w:val="002A1E7F"/>
    <w:rsid w:val="002A2022"/>
    <w:rsid w:val="002A204F"/>
    <w:rsid w:val="002A2381"/>
    <w:rsid w:val="002A248B"/>
    <w:rsid w:val="002A264A"/>
    <w:rsid w:val="002A2A15"/>
    <w:rsid w:val="002A2A4A"/>
    <w:rsid w:val="002A2A8D"/>
    <w:rsid w:val="002A2C82"/>
    <w:rsid w:val="002A2D71"/>
    <w:rsid w:val="002A2E6C"/>
    <w:rsid w:val="002A2F69"/>
    <w:rsid w:val="002A3056"/>
    <w:rsid w:val="002A32B3"/>
    <w:rsid w:val="002A32DE"/>
    <w:rsid w:val="002A32FF"/>
    <w:rsid w:val="002A33DC"/>
    <w:rsid w:val="002A34C9"/>
    <w:rsid w:val="002A3887"/>
    <w:rsid w:val="002A38DE"/>
    <w:rsid w:val="002A3A73"/>
    <w:rsid w:val="002A3C06"/>
    <w:rsid w:val="002A3C5F"/>
    <w:rsid w:val="002A3D55"/>
    <w:rsid w:val="002A3D65"/>
    <w:rsid w:val="002A409A"/>
    <w:rsid w:val="002A42DC"/>
    <w:rsid w:val="002A43E6"/>
    <w:rsid w:val="002A43F9"/>
    <w:rsid w:val="002A4548"/>
    <w:rsid w:val="002A462C"/>
    <w:rsid w:val="002A46A6"/>
    <w:rsid w:val="002A46B2"/>
    <w:rsid w:val="002A4759"/>
    <w:rsid w:val="002A495B"/>
    <w:rsid w:val="002A49D6"/>
    <w:rsid w:val="002A4AB1"/>
    <w:rsid w:val="002A4FD7"/>
    <w:rsid w:val="002A516B"/>
    <w:rsid w:val="002A52D9"/>
    <w:rsid w:val="002A55E2"/>
    <w:rsid w:val="002A570F"/>
    <w:rsid w:val="002A57C8"/>
    <w:rsid w:val="002A599E"/>
    <w:rsid w:val="002A5A54"/>
    <w:rsid w:val="002A5AE5"/>
    <w:rsid w:val="002A5AF3"/>
    <w:rsid w:val="002A5F64"/>
    <w:rsid w:val="002A60D1"/>
    <w:rsid w:val="002A6482"/>
    <w:rsid w:val="002A6528"/>
    <w:rsid w:val="002A65CE"/>
    <w:rsid w:val="002A6693"/>
    <w:rsid w:val="002A66D6"/>
    <w:rsid w:val="002A679B"/>
    <w:rsid w:val="002A67D6"/>
    <w:rsid w:val="002A6A9C"/>
    <w:rsid w:val="002A6AF8"/>
    <w:rsid w:val="002A6DD5"/>
    <w:rsid w:val="002A6E47"/>
    <w:rsid w:val="002A6E61"/>
    <w:rsid w:val="002A6FD1"/>
    <w:rsid w:val="002A6FF0"/>
    <w:rsid w:val="002A7147"/>
    <w:rsid w:val="002A72C7"/>
    <w:rsid w:val="002A7414"/>
    <w:rsid w:val="002A74AD"/>
    <w:rsid w:val="002A74DC"/>
    <w:rsid w:val="002A7548"/>
    <w:rsid w:val="002A7779"/>
    <w:rsid w:val="002A7806"/>
    <w:rsid w:val="002A788B"/>
    <w:rsid w:val="002A78CD"/>
    <w:rsid w:val="002A790D"/>
    <w:rsid w:val="002A7A94"/>
    <w:rsid w:val="002A7AAB"/>
    <w:rsid w:val="002A7B1F"/>
    <w:rsid w:val="002A7D7D"/>
    <w:rsid w:val="002A7EEE"/>
    <w:rsid w:val="002A7F33"/>
    <w:rsid w:val="002A7F7E"/>
    <w:rsid w:val="002B0059"/>
    <w:rsid w:val="002B009C"/>
    <w:rsid w:val="002B02AD"/>
    <w:rsid w:val="002B02D9"/>
    <w:rsid w:val="002B0423"/>
    <w:rsid w:val="002B04BE"/>
    <w:rsid w:val="002B056D"/>
    <w:rsid w:val="002B06DF"/>
    <w:rsid w:val="002B093A"/>
    <w:rsid w:val="002B097B"/>
    <w:rsid w:val="002B0D35"/>
    <w:rsid w:val="002B0E34"/>
    <w:rsid w:val="002B1041"/>
    <w:rsid w:val="002B109A"/>
    <w:rsid w:val="002B12D4"/>
    <w:rsid w:val="002B12FA"/>
    <w:rsid w:val="002B13F5"/>
    <w:rsid w:val="002B14EA"/>
    <w:rsid w:val="002B1529"/>
    <w:rsid w:val="002B1625"/>
    <w:rsid w:val="002B1882"/>
    <w:rsid w:val="002B1C8B"/>
    <w:rsid w:val="002B1E19"/>
    <w:rsid w:val="002B2140"/>
    <w:rsid w:val="002B221E"/>
    <w:rsid w:val="002B2376"/>
    <w:rsid w:val="002B2577"/>
    <w:rsid w:val="002B2601"/>
    <w:rsid w:val="002B26E8"/>
    <w:rsid w:val="002B280A"/>
    <w:rsid w:val="002B294D"/>
    <w:rsid w:val="002B2AC0"/>
    <w:rsid w:val="002B30EA"/>
    <w:rsid w:val="002B315C"/>
    <w:rsid w:val="002B3175"/>
    <w:rsid w:val="002B3285"/>
    <w:rsid w:val="002B334C"/>
    <w:rsid w:val="002B35B0"/>
    <w:rsid w:val="002B371A"/>
    <w:rsid w:val="002B37E9"/>
    <w:rsid w:val="002B3883"/>
    <w:rsid w:val="002B39D3"/>
    <w:rsid w:val="002B3ACA"/>
    <w:rsid w:val="002B3B01"/>
    <w:rsid w:val="002B4016"/>
    <w:rsid w:val="002B4054"/>
    <w:rsid w:val="002B40EE"/>
    <w:rsid w:val="002B4164"/>
    <w:rsid w:val="002B44A1"/>
    <w:rsid w:val="002B467C"/>
    <w:rsid w:val="002B47FC"/>
    <w:rsid w:val="002B4CF6"/>
    <w:rsid w:val="002B4D02"/>
    <w:rsid w:val="002B4D57"/>
    <w:rsid w:val="002B4E7A"/>
    <w:rsid w:val="002B4F3E"/>
    <w:rsid w:val="002B529E"/>
    <w:rsid w:val="002B536F"/>
    <w:rsid w:val="002B53F0"/>
    <w:rsid w:val="002B5563"/>
    <w:rsid w:val="002B5758"/>
    <w:rsid w:val="002B582F"/>
    <w:rsid w:val="002B5A82"/>
    <w:rsid w:val="002B5C3B"/>
    <w:rsid w:val="002B5CB5"/>
    <w:rsid w:val="002B5F7C"/>
    <w:rsid w:val="002B5FF8"/>
    <w:rsid w:val="002B6010"/>
    <w:rsid w:val="002B6092"/>
    <w:rsid w:val="002B611E"/>
    <w:rsid w:val="002B632D"/>
    <w:rsid w:val="002B6605"/>
    <w:rsid w:val="002B6973"/>
    <w:rsid w:val="002B6A04"/>
    <w:rsid w:val="002B6BAF"/>
    <w:rsid w:val="002B6C36"/>
    <w:rsid w:val="002B6D2E"/>
    <w:rsid w:val="002B6D7E"/>
    <w:rsid w:val="002B6EB2"/>
    <w:rsid w:val="002B714F"/>
    <w:rsid w:val="002B7167"/>
    <w:rsid w:val="002B75AA"/>
    <w:rsid w:val="002B77A6"/>
    <w:rsid w:val="002B7A8E"/>
    <w:rsid w:val="002B7A90"/>
    <w:rsid w:val="002B7BF6"/>
    <w:rsid w:val="002B7CE7"/>
    <w:rsid w:val="002B7D06"/>
    <w:rsid w:val="002B7D94"/>
    <w:rsid w:val="002B7FC4"/>
    <w:rsid w:val="002C00F6"/>
    <w:rsid w:val="002C017A"/>
    <w:rsid w:val="002C0282"/>
    <w:rsid w:val="002C02DD"/>
    <w:rsid w:val="002C03F8"/>
    <w:rsid w:val="002C070C"/>
    <w:rsid w:val="002C07E6"/>
    <w:rsid w:val="002C08E6"/>
    <w:rsid w:val="002C0C1D"/>
    <w:rsid w:val="002C0C7A"/>
    <w:rsid w:val="002C0EF0"/>
    <w:rsid w:val="002C10EC"/>
    <w:rsid w:val="002C1140"/>
    <w:rsid w:val="002C114B"/>
    <w:rsid w:val="002C118D"/>
    <w:rsid w:val="002C1522"/>
    <w:rsid w:val="002C1603"/>
    <w:rsid w:val="002C1651"/>
    <w:rsid w:val="002C16F3"/>
    <w:rsid w:val="002C1712"/>
    <w:rsid w:val="002C17C8"/>
    <w:rsid w:val="002C185E"/>
    <w:rsid w:val="002C1AB7"/>
    <w:rsid w:val="002C1B71"/>
    <w:rsid w:val="002C1C36"/>
    <w:rsid w:val="002C1CB3"/>
    <w:rsid w:val="002C1FD0"/>
    <w:rsid w:val="002C1FD4"/>
    <w:rsid w:val="002C2974"/>
    <w:rsid w:val="002C29BB"/>
    <w:rsid w:val="002C2AE3"/>
    <w:rsid w:val="002C2B37"/>
    <w:rsid w:val="002C2D50"/>
    <w:rsid w:val="002C2DA4"/>
    <w:rsid w:val="002C2E59"/>
    <w:rsid w:val="002C2F28"/>
    <w:rsid w:val="002C2FFD"/>
    <w:rsid w:val="002C3015"/>
    <w:rsid w:val="002C3686"/>
    <w:rsid w:val="002C3807"/>
    <w:rsid w:val="002C3835"/>
    <w:rsid w:val="002C38DC"/>
    <w:rsid w:val="002C3C46"/>
    <w:rsid w:val="002C3C5B"/>
    <w:rsid w:val="002C3DD9"/>
    <w:rsid w:val="002C4108"/>
    <w:rsid w:val="002C4329"/>
    <w:rsid w:val="002C43D0"/>
    <w:rsid w:val="002C477C"/>
    <w:rsid w:val="002C4BAC"/>
    <w:rsid w:val="002C4DD0"/>
    <w:rsid w:val="002C4DF2"/>
    <w:rsid w:val="002C4F64"/>
    <w:rsid w:val="002C4F7E"/>
    <w:rsid w:val="002C5346"/>
    <w:rsid w:val="002C5356"/>
    <w:rsid w:val="002C536A"/>
    <w:rsid w:val="002C5717"/>
    <w:rsid w:val="002C57AC"/>
    <w:rsid w:val="002C5964"/>
    <w:rsid w:val="002C5B77"/>
    <w:rsid w:val="002C5F03"/>
    <w:rsid w:val="002C5FEA"/>
    <w:rsid w:val="002C601A"/>
    <w:rsid w:val="002C603F"/>
    <w:rsid w:val="002C6254"/>
    <w:rsid w:val="002C62D1"/>
    <w:rsid w:val="002C6344"/>
    <w:rsid w:val="002C643D"/>
    <w:rsid w:val="002C690A"/>
    <w:rsid w:val="002C6948"/>
    <w:rsid w:val="002C6A08"/>
    <w:rsid w:val="002C6A0B"/>
    <w:rsid w:val="002C6A8E"/>
    <w:rsid w:val="002C6C79"/>
    <w:rsid w:val="002C6D7E"/>
    <w:rsid w:val="002C6DCA"/>
    <w:rsid w:val="002C6E3A"/>
    <w:rsid w:val="002C6F4E"/>
    <w:rsid w:val="002C6F50"/>
    <w:rsid w:val="002C7175"/>
    <w:rsid w:val="002C71F3"/>
    <w:rsid w:val="002C7254"/>
    <w:rsid w:val="002C72A9"/>
    <w:rsid w:val="002C72EB"/>
    <w:rsid w:val="002C7311"/>
    <w:rsid w:val="002C75C0"/>
    <w:rsid w:val="002C77E0"/>
    <w:rsid w:val="002C78AE"/>
    <w:rsid w:val="002C7976"/>
    <w:rsid w:val="002C7C3C"/>
    <w:rsid w:val="002C7C5E"/>
    <w:rsid w:val="002C7D29"/>
    <w:rsid w:val="002C7D2E"/>
    <w:rsid w:val="002C7E6E"/>
    <w:rsid w:val="002C7F1A"/>
    <w:rsid w:val="002D0046"/>
    <w:rsid w:val="002D06AA"/>
    <w:rsid w:val="002D07C2"/>
    <w:rsid w:val="002D08B2"/>
    <w:rsid w:val="002D08BE"/>
    <w:rsid w:val="002D0AFC"/>
    <w:rsid w:val="002D0D15"/>
    <w:rsid w:val="002D0EBB"/>
    <w:rsid w:val="002D0EE5"/>
    <w:rsid w:val="002D116A"/>
    <w:rsid w:val="002D1248"/>
    <w:rsid w:val="002D1774"/>
    <w:rsid w:val="002D17A2"/>
    <w:rsid w:val="002D1B51"/>
    <w:rsid w:val="002D1F7E"/>
    <w:rsid w:val="002D2028"/>
    <w:rsid w:val="002D20A9"/>
    <w:rsid w:val="002D20D2"/>
    <w:rsid w:val="002D21EA"/>
    <w:rsid w:val="002D2447"/>
    <w:rsid w:val="002D2450"/>
    <w:rsid w:val="002D268D"/>
    <w:rsid w:val="002D28EB"/>
    <w:rsid w:val="002D2A68"/>
    <w:rsid w:val="002D2B76"/>
    <w:rsid w:val="002D328E"/>
    <w:rsid w:val="002D3466"/>
    <w:rsid w:val="002D3495"/>
    <w:rsid w:val="002D34EC"/>
    <w:rsid w:val="002D359E"/>
    <w:rsid w:val="002D3919"/>
    <w:rsid w:val="002D3DB6"/>
    <w:rsid w:val="002D3DDA"/>
    <w:rsid w:val="002D4101"/>
    <w:rsid w:val="002D41F7"/>
    <w:rsid w:val="002D43BC"/>
    <w:rsid w:val="002D47F9"/>
    <w:rsid w:val="002D48B2"/>
    <w:rsid w:val="002D4A79"/>
    <w:rsid w:val="002D4B89"/>
    <w:rsid w:val="002D4BBB"/>
    <w:rsid w:val="002D4BF8"/>
    <w:rsid w:val="002D4DB4"/>
    <w:rsid w:val="002D4E9C"/>
    <w:rsid w:val="002D4FB0"/>
    <w:rsid w:val="002D513A"/>
    <w:rsid w:val="002D533E"/>
    <w:rsid w:val="002D556B"/>
    <w:rsid w:val="002D55D7"/>
    <w:rsid w:val="002D5619"/>
    <w:rsid w:val="002D591B"/>
    <w:rsid w:val="002D5AC9"/>
    <w:rsid w:val="002D5E9D"/>
    <w:rsid w:val="002D5EFA"/>
    <w:rsid w:val="002D6083"/>
    <w:rsid w:val="002D62D0"/>
    <w:rsid w:val="002D636E"/>
    <w:rsid w:val="002D63BF"/>
    <w:rsid w:val="002D6505"/>
    <w:rsid w:val="002D6626"/>
    <w:rsid w:val="002D6699"/>
    <w:rsid w:val="002D693F"/>
    <w:rsid w:val="002D6970"/>
    <w:rsid w:val="002D7226"/>
    <w:rsid w:val="002D726E"/>
    <w:rsid w:val="002D772A"/>
    <w:rsid w:val="002D793E"/>
    <w:rsid w:val="002D795E"/>
    <w:rsid w:val="002D7B4D"/>
    <w:rsid w:val="002D7B76"/>
    <w:rsid w:val="002D7C37"/>
    <w:rsid w:val="002D7EF5"/>
    <w:rsid w:val="002D7F3E"/>
    <w:rsid w:val="002D7F6E"/>
    <w:rsid w:val="002E022C"/>
    <w:rsid w:val="002E0344"/>
    <w:rsid w:val="002E0438"/>
    <w:rsid w:val="002E092C"/>
    <w:rsid w:val="002E0AB8"/>
    <w:rsid w:val="002E0B77"/>
    <w:rsid w:val="002E0BAD"/>
    <w:rsid w:val="002E0D55"/>
    <w:rsid w:val="002E0FD3"/>
    <w:rsid w:val="002E1062"/>
    <w:rsid w:val="002E1217"/>
    <w:rsid w:val="002E1337"/>
    <w:rsid w:val="002E158B"/>
    <w:rsid w:val="002E19BE"/>
    <w:rsid w:val="002E1B1C"/>
    <w:rsid w:val="002E1B75"/>
    <w:rsid w:val="002E1BA8"/>
    <w:rsid w:val="002E1C00"/>
    <w:rsid w:val="002E1E2A"/>
    <w:rsid w:val="002E1E96"/>
    <w:rsid w:val="002E1F2A"/>
    <w:rsid w:val="002E1F3A"/>
    <w:rsid w:val="002E1F44"/>
    <w:rsid w:val="002E20DD"/>
    <w:rsid w:val="002E2234"/>
    <w:rsid w:val="002E23FA"/>
    <w:rsid w:val="002E26F9"/>
    <w:rsid w:val="002E27EF"/>
    <w:rsid w:val="002E2852"/>
    <w:rsid w:val="002E2932"/>
    <w:rsid w:val="002E2FFA"/>
    <w:rsid w:val="002E30C3"/>
    <w:rsid w:val="002E3404"/>
    <w:rsid w:val="002E340A"/>
    <w:rsid w:val="002E3430"/>
    <w:rsid w:val="002E34E6"/>
    <w:rsid w:val="002E355E"/>
    <w:rsid w:val="002E359F"/>
    <w:rsid w:val="002E391F"/>
    <w:rsid w:val="002E3933"/>
    <w:rsid w:val="002E3999"/>
    <w:rsid w:val="002E3D48"/>
    <w:rsid w:val="002E3D6A"/>
    <w:rsid w:val="002E3E9A"/>
    <w:rsid w:val="002E3EA3"/>
    <w:rsid w:val="002E40D4"/>
    <w:rsid w:val="002E412E"/>
    <w:rsid w:val="002E4296"/>
    <w:rsid w:val="002E42EC"/>
    <w:rsid w:val="002E452A"/>
    <w:rsid w:val="002E466A"/>
    <w:rsid w:val="002E4729"/>
    <w:rsid w:val="002E4734"/>
    <w:rsid w:val="002E48A6"/>
    <w:rsid w:val="002E48B1"/>
    <w:rsid w:val="002E4D80"/>
    <w:rsid w:val="002E4E26"/>
    <w:rsid w:val="002E5107"/>
    <w:rsid w:val="002E5209"/>
    <w:rsid w:val="002E53F6"/>
    <w:rsid w:val="002E5544"/>
    <w:rsid w:val="002E571C"/>
    <w:rsid w:val="002E590D"/>
    <w:rsid w:val="002E5998"/>
    <w:rsid w:val="002E5C1F"/>
    <w:rsid w:val="002E5CC3"/>
    <w:rsid w:val="002E5E4B"/>
    <w:rsid w:val="002E5E89"/>
    <w:rsid w:val="002E5EB4"/>
    <w:rsid w:val="002E5EED"/>
    <w:rsid w:val="002E6057"/>
    <w:rsid w:val="002E6091"/>
    <w:rsid w:val="002E60BD"/>
    <w:rsid w:val="002E6129"/>
    <w:rsid w:val="002E6176"/>
    <w:rsid w:val="002E6393"/>
    <w:rsid w:val="002E6401"/>
    <w:rsid w:val="002E6477"/>
    <w:rsid w:val="002E66B9"/>
    <w:rsid w:val="002E67BC"/>
    <w:rsid w:val="002E68C7"/>
    <w:rsid w:val="002E6953"/>
    <w:rsid w:val="002E6B43"/>
    <w:rsid w:val="002E6B9D"/>
    <w:rsid w:val="002E6F4B"/>
    <w:rsid w:val="002E6F4C"/>
    <w:rsid w:val="002E7005"/>
    <w:rsid w:val="002E7099"/>
    <w:rsid w:val="002E75A0"/>
    <w:rsid w:val="002E75C1"/>
    <w:rsid w:val="002E75EA"/>
    <w:rsid w:val="002E766D"/>
    <w:rsid w:val="002E76FF"/>
    <w:rsid w:val="002E7750"/>
    <w:rsid w:val="002E778E"/>
    <w:rsid w:val="002E78A3"/>
    <w:rsid w:val="002E7BDC"/>
    <w:rsid w:val="002E7CA7"/>
    <w:rsid w:val="002E7D97"/>
    <w:rsid w:val="002F0071"/>
    <w:rsid w:val="002F00D2"/>
    <w:rsid w:val="002F00E1"/>
    <w:rsid w:val="002F028D"/>
    <w:rsid w:val="002F0396"/>
    <w:rsid w:val="002F03DC"/>
    <w:rsid w:val="002F069B"/>
    <w:rsid w:val="002F0E20"/>
    <w:rsid w:val="002F0E42"/>
    <w:rsid w:val="002F0F94"/>
    <w:rsid w:val="002F0FCD"/>
    <w:rsid w:val="002F1053"/>
    <w:rsid w:val="002F13AE"/>
    <w:rsid w:val="002F13ED"/>
    <w:rsid w:val="002F1606"/>
    <w:rsid w:val="002F176E"/>
    <w:rsid w:val="002F1B78"/>
    <w:rsid w:val="002F1CB4"/>
    <w:rsid w:val="002F1CFB"/>
    <w:rsid w:val="002F1E2F"/>
    <w:rsid w:val="002F1E6B"/>
    <w:rsid w:val="002F1FE5"/>
    <w:rsid w:val="002F2151"/>
    <w:rsid w:val="002F21B9"/>
    <w:rsid w:val="002F21C3"/>
    <w:rsid w:val="002F242C"/>
    <w:rsid w:val="002F2593"/>
    <w:rsid w:val="002F2771"/>
    <w:rsid w:val="002F27AD"/>
    <w:rsid w:val="002F27F6"/>
    <w:rsid w:val="002F2A26"/>
    <w:rsid w:val="002F2C9E"/>
    <w:rsid w:val="002F2DA2"/>
    <w:rsid w:val="002F2EA0"/>
    <w:rsid w:val="002F3042"/>
    <w:rsid w:val="002F3138"/>
    <w:rsid w:val="002F315E"/>
    <w:rsid w:val="002F31DC"/>
    <w:rsid w:val="002F3222"/>
    <w:rsid w:val="002F34C9"/>
    <w:rsid w:val="002F34DE"/>
    <w:rsid w:val="002F3529"/>
    <w:rsid w:val="002F3579"/>
    <w:rsid w:val="002F35EB"/>
    <w:rsid w:val="002F37AF"/>
    <w:rsid w:val="002F38F8"/>
    <w:rsid w:val="002F3A4E"/>
    <w:rsid w:val="002F3B47"/>
    <w:rsid w:val="002F3DDA"/>
    <w:rsid w:val="002F411E"/>
    <w:rsid w:val="002F437A"/>
    <w:rsid w:val="002F4469"/>
    <w:rsid w:val="002F446E"/>
    <w:rsid w:val="002F45F1"/>
    <w:rsid w:val="002F4621"/>
    <w:rsid w:val="002F4921"/>
    <w:rsid w:val="002F4B83"/>
    <w:rsid w:val="002F4F04"/>
    <w:rsid w:val="002F529D"/>
    <w:rsid w:val="002F5462"/>
    <w:rsid w:val="002F54F9"/>
    <w:rsid w:val="002F56BB"/>
    <w:rsid w:val="002F56F8"/>
    <w:rsid w:val="002F5A5C"/>
    <w:rsid w:val="002F5CA9"/>
    <w:rsid w:val="002F5D01"/>
    <w:rsid w:val="002F5DC1"/>
    <w:rsid w:val="002F5ECF"/>
    <w:rsid w:val="002F61D1"/>
    <w:rsid w:val="002F6571"/>
    <w:rsid w:val="002F65E6"/>
    <w:rsid w:val="002F669C"/>
    <w:rsid w:val="002F66B7"/>
    <w:rsid w:val="002F68F1"/>
    <w:rsid w:val="002F69C8"/>
    <w:rsid w:val="002F6CA9"/>
    <w:rsid w:val="002F70E6"/>
    <w:rsid w:val="002F71BF"/>
    <w:rsid w:val="002F734D"/>
    <w:rsid w:val="002F7406"/>
    <w:rsid w:val="002F7669"/>
    <w:rsid w:val="002F77C4"/>
    <w:rsid w:val="002F79B8"/>
    <w:rsid w:val="002F7A3F"/>
    <w:rsid w:val="002F7AAA"/>
    <w:rsid w:val="002F7F49"/>
    <w:rsid w:val="00300118"/>
    <w:rsid w:val="0030034A"/>
    <w:rsid w:val="003003C5"/>
    <w:rsid w:val="00300953"/>
    <w:rsid w:val="003009C6"/>
    <w:rsid w:val="00300AC6"/>
    <w:rsid w:val="00300B70"/>
    <w:rsid w:val="00300E0F"/>
    <w:rsid w:val="00300E2C"/>
    <w:rsid w:val="00300E39"/>
    <w:rsid w:val="0030132D"/>
    <w:rsid w:val="00301444"/>
    <w:rsid w:val="003015CC"/>
    <w:rsid w:val="0030181E"/>
    <w:rsid w:val="003019D4"/>
    <w:rsid w:val="00301AF2"/>
    <w:rsid w:val="00301CFA"/>
    <w:rsid w:val="00301D56"/>
    <w:rsid w:val="00301DEF"/>
    <w:rsid w:val="00301DF6"/>
    <w:rsid w:val="00301E8A"/>
    <w:rsid w:val="00301FAD"/>
    <w:rsid w:val="0030227B"/>
    <w:rsid w:val="003023E2"/>
    <w:rsid w:val="0030249C"/>
    <w:rsid w:val="003024FE"/>
    <w:rsid w:val="00302522"/>
    <w:rsid w:val="00302648"/>
    <w:rsid w:val="003026C0"/>
    <w:rsid w:val="00302774"/>
    <w:rsid w:val="003027C7"/>
    <w:rsid w:val="00302868"/>
    <w:rsid w:val="0030288F"/>
    <w:rsid w:val="003029FA"/>
    <w:rsid w:val="00302A2E"/>
    <w:rsid w:val="00302D11"/>
    <w:rsid w:val="003030A1"/>
    <w:rsid w:val="003030A2"/>
    <w:rsid w:val="003032F3"/>
    <w:rsid w:val="003033F1"/>
    <w:rsid w:val="0030363B"/>
    <w:rsid w:val="00303646"/>
    <w:rsid w:val="003036F8"/>
    <w:rsid w:val="00303715"/>
    <w:rsid w:val="0030380A"/>
    <w:rsid w:val="00303A92"/>
    <w:rsid w:val="00303AB7"/>
    <w:rsid w:val="00303D7F"/>
    <w:rsid w:val="00303F0F"/>
    <w:rsid w:val="00303FCD"/>
    <w:rsid w:val="00304277"/>
    <w:rsid w:val="003042F1"/>
    <w:rsid w:val="0030438D"/>
    <w:rsid w:val="003045E3"/>
    <w:rsid w:val="0030466B"/>
    <w:rsid w:val="0030489F"/>
    <w:rsid w:val="00304908"/>
    <w:rsid w:val="00304945"/>
    <w:rsid w:val="00304B81"/>
    <w:rsid w:val="00304CB2"/>
    <w:rsid w:val="00304D81"/>
    <w:rsid w:val="00304EE1"/>
    <w:rsid w:val="00304F9C"/>
    <w:rsid w:val="00305085"/>
    <w:rsid w:val="003050DE"/>
    <w:rsid w:val="0030517C"/>
    <w:rsid w:val="0030522B"/>
    <w:rsid w:val="003052D5"/>
    <w:rsid w:val="003052FB"/>
    <w:rsid w:val="0030533A"/>
    <w:rsid w:val="00305344"/>
    <w:rsid w:val="00305492"/>
    <w:rsid w:val="00305AB0"/>
    <w:rsid w:val="00305B93"/>
    <w:rsid w:val="0030610B"/>
    <w:rsid w:val="00306284"/>
    <w:rsid w:val="00306340"/>
    <w:rsid w:val="003063F2"/>
    <w:rsid w:val="00306592"/>
    <w:rsid w:val="00306683"/>
    <w:rsid w:val="003068D9"/>
    <w:rsid w:val="00306B0F"/>
    <w:rsid w:val="00306BFD"/>
    <w:rsid w:val="00306DA2"/>
    <w:rsid w:val="00306F9D"/>
    <w:rsid w:val="003072DB"/>
    <w:rsid w:val="00307442"/>
    <w:rsid w:val="003075B7"/>
    <w:rsid w:val="00307853"/>
    <w:rsid w:val="00307881"/>
    <w:rsid w:val="003078B7"/>
    <w:rsid w:val="00307987"/>
    <w:rsid w:val="00307A52"/>
    <w:rsid w:val="00307AC6"/>
    <w:rsid w:val="00307B5A"/>
    <w:rsid w:val="003101E7"/>
    <w:rsid w:val="0031042E"/>
    <w:rsid w:val="003104C6"/>
    <w:rsid w:val="003104D8"/>
    <w:rsid w:val="003105B1"/>
    <w:rsid w:val="003105D2"/>
    <w:rsid w:val="0031072A"/>
    <w:rsid w:val="0031075C"/>
    <w:rsid w:val="0031083B"/>
    <w:rsid w:val="0031086A"/>
    <w:rsid w:val="00310AC2"/>
    <w:rsid w:val="00310BEE"/>
    <w:rsid w:val="00310C98"/>
    <w:rsid w:val="00310DD4"/>
    <w:rsid w:val="00310F42"/>
    <w:rsid w:val="00310FAB"/>
    <w:rsid w:val="00310FB4"/>
    <w:rsid w:val="003110B3"/>
    <w:rsid w:val="003113EB"/>
    <w:rsid w:val="003116CE"/>
    <w:rsid w:val="0031191B"/>
    <w:rsid w:val="003119E7"/>
    <w:rsid w:val="003121C1"/>
    <w:rsid w:val="0031235A"/>
    <w:rsid w:val="003124E1"/>
    <w:rsid w:val="00312937"/>
    <w:rsid w:val="00312BC7"/>
    <w:rsid w:val="00313007"/>
    <w:rsid w:val="00313109"/>
    <w:rsid w:val="003132D2"/>
    <w:rsid w:val="003132E9"/>
    <w:rsid w:val="003132F9"/>
    <w:rsid w:val="003136F0"/>
    <w:rsid w:val="003138BD"/>
    <w:rsid w:val="00313965"/>
    <w:rsid w:val="00313D5B"/>
    <w:rsid w:val="00313F1B"/>
    <w:rsid w:val="00313FA5"/>
    <w:rsid w:val="0031407E"/>
    <w:rsid w:val="003142E2"/>
    <w:rsid w:val="0031433B"/>
    <w:rsid w:val="0031450A"/>
    <w:rsid w:val="00314560"/>
    <w:rsid w:val="003146CF"/>
    <w:rsid w:val="00314703"/>
    <w:rsid w:val="0031494C"/>
    <w:rsid w:val="00314D31"/>
    <w:rsid w:val="00314FF7"/>
    <w:rsid w:val="00315088"/>
    <w:rsid w:val="00315117"/>
    <w:rsid w:val="003152D9"/>
    <w:rsid w:val="00315352"/>
    <w:rsid w:val="00315569"/>
    <w:rsid w:val="0031584D"/>
    <w:rsid w:val="00315881"/>
    <w:rsid w:val="00315C25"/>
    <w:rsid w:val="00315C7C"/>
    <w:rsid w:val="00315CC5"/>
    <w:rsid w:val="00315EE0"/>
    <w:rsid w:val="0031612A"/>
    <w:rsid w:val="003161E1"/>
    <w:rsid w:val="00316BC7"/>
    <w:rsid w:val="00316C79"/>
    <w:rsid w:val="00316C7D"/>
    <w:rsid w:val="00316E19"/>
    <w:rsid w:val="00316E69"/>
    <w:rsid w:val="00316EB7"/>
    <w:rsid w:val="00316F6C"/>
    <w:rsid w:val="00316FA6"/>
    <w:rsid w:val="00317186"/>
    <w:rsid w:val="003171BB"/>
    <w:rsid w:val="00317266"/>
    <w:rsid w:val="003172B9"/>
    <w:rsid w:val="003173F7"/>
    <w:rsid w:val="00317526"/>
    <w:rsid w:val="0031761E"/>
    <w:rsid w:val="00317887"/>
    <w:rsid w:val="003178F2"/>
    <w:rsid w:val="00317A27"/>
    <w:rsid w:val="00317D13"/>
    <w:rsid w:val="00317E97"/>
    <w:rsid w:val="00320023"/>
    <w:rsid w:val="00320030"/>
    <w:rsid w:val="00320322"/>
    <w:rsid w:val="0032050C"/>
    <w:rsid w:val="0032087B"/>
    <w:rsid w:val="003209C9"/>
    <w:rsid w:val="00320D49"/>
    <w:rsid w:val="00320FC8"/>
    <w:rsid w:val="00320FDD"/>
    <w:rsid w:val="00321079"/>
    <w:rsid w:val="003210C3"/>
    <w:rsid w:val="00321176"/>
    <w:rsid w:val="003212A7"/>
    <w:rsid w:val="003212E8"/>
    <w:rsid w:val="003213F1"/>
    <w:rsid w:val="00321419"/>
    <w:rsid w:val="0032156E"/>
    <w:rsid w:val="00321781"/>
    <w:rsid w:val="003217C8"/>
    <w:rsid w:val="00321A7C"/>
    <w:rsid w:val="00321B22"/>
    <w:rsid w:val="00321CA1"/>
    <w:rsid w:val="00321EA7"/>
    <w:rsid w:val="00321EF4"/>
    <w:rsid w:val="003220D7"/>
    <w:rsid w:val="0032267A"/>
    <w:rsid w:val="003226B4"/>
    <w:rsid w:val="00322759"/>
    <w:rsid w:val="0032283E"/>
    <w:rsid w:val="00322846"/>
    <w:rsid w:val="00322B31"/>
    <w:rsid w:val="00322C59"/>
    <w:rsid w:val="00322D02"/>
    <w:rsid w:val="00322D16"/>
    <w:rsid w:val="00322D47"/>
    <w:rsid w:val="00322F6A"/>
    <w:rsid w:val="00322F6E"/>
    <w:rsid w:val="0032303A"/>
    <w:rsid w:val="003231C1"/>
    <w:rsid w:val="0032324D"/>
    <w:rsid w:val="0032339C"/>
    <w:rsid w:val="0032370C"/>
    <w:rsid w:val="0032373B"/>
    <w:rsid w:val="00323814"/>
    <w:rsid w:val="003238E0"/>
    <w:rsid w:val="00323A94"/>
    <w:rsid w:val="00323B92"/>
    <w:rsid w:val="00323BF5"/>
    <w:rsid w:val="00323C57"/>
    <w:rsid w:val="00324086"/>
    <w:rsid w:val="003242FF"/>
    <w:rsid w:val="00324418"/>
    <w:rsid w:val="003244E4"/>
    <w:rsid w:val="00324915"/>
    <w:rsid w:val="0032491B"/>
    <w:rsid w:val="00324A8C"/>
    <w:rsid w:val="00324C8C"/>
    <w:rsid w:val="00324D44"/>
    <w:rsid w:val="00324EAA"/>
    <w:rsid w:val="00324FAF"/>
    <w:rsid w:val="00324FDC"/>
    <w:rsid w:val="00325002"/>
    <w:rsid w:val="0032500D"/>
    <w:rsid w:val="00325069"/>
    <w:rsid w:val="0032514A"/>
    <w:rsid w:val="00325258"/>
    <w:rsid w:val="0032540C"/>
    <w:rsid w:val="00325433"/>
    <w:rsid w:val="003255C9"/>
    <w:rsid w:val="00325873"/>
    <w:rsid w:val="00325931"/>
    <w:rsid w:val="003259E1"/>
    <w:rsid w:val="00325D59"/>
    <w:rsid w:val="003260C5"/>
    <w:rsid w:val="003261A2"/>
    <w:rsid w:val="003261E6"/>
    <w:rsid w:val="0032623E"/>
    <w:rsid w:val="00326438"/>
    <w:rsid w:val="00326549"/>
    <w:rsid w:val="003266F4"/>
    <w:rsid w:val="00326852"/>
    <w:rsid w:val="00326A0D"/>
    <w:rsid w:val="00326B51"/>
    <w:rsid w:val="00326BCF"/>
    <w:rsid w:val="00326CBB"/>
    <w:rsid w:val="00327075"/>
    <w:rsid w:val="0032717E"/>
    <w:rsid w:val="003272C5"/>
    <w:rsid w:val="003273E8"/>
    <w:rsid w:val="00327465"/>
    <w:rsid w:val="00327511"/>
    <w:rsid w:val="0032765C"/>
    <w:rsid w:val="003278D4"/>
    <w:rsid w:val="00327934"/>
    <w:rsid w:val="003279EC"/>
    <w:rsid w:val="00327B6E"/>
    <w:rsid w:val="00327D09"/>
    <w:rsid w:val="00327FB0"/>
    <w:rsid w:val="00330335"/>
    <w:rsid w:val="003304AA"/>
    <w:rsid w:val="0033051A"/>
    <w:rsid w:val="003308D7"/>
    <w:rsid w:val="003309CC"/>
    <w:rsid w:val="00330B78"/>
    <w:rsid w:val="00330CD5"/>
    <w:rsid w:val="00330D0A"/>
    <w:rsid w:val="00330DC5"/>
    <w:rsid w:val="00330E34"/>
    <w:rsid w:val="00330E82"/>
    <w:rsid w:val="00331221"/>
    <w:rsid w:val="003312D8"/>
    <w:rsid w:val="003312DF"/>
    <w:rsid w:val="003313CA"/>
    <w:rsid w:val="00331403"/>
    <w:rsid w:val="0033146C"/>
    <w:rsid w:val="003317FF"/>
    <w:rsid w:val="00331A5D"/>
    <w:rsid w:val="00331B29"/>
    <w:rsid w:val="00331D1F"/>
    <w:rsid w:val="00332042"/>
    <w:rsid w:val="00332152"/>
    <w:rsid w:val="003322B4"/>
    <w:rsid w:val="003322BC"/>
    <w:rsid w:val="0033241F"/>
    <w:rsid w:val="003325D5"/>
    <w:rsid w:val="0033266B"/>
    <w:rsid w:val="003326FF"/>
    <w:rsid w:val="00332AC0"/>
    <w:rsid w:val="00332CC8"/>
    <w:rsid w:val="00332CEB"/>
    <w:rsid w:val="00332EB4"/>
    <w:rsid w:val="00332F1E"/>
    <w:rsid w:val="00333082"/>
    <w:rsid w:val="003330AD"/>
    <w:rsid w:val="0033313B"/>
    <w:rsid w:val="003331F4"/>
    <w:rsid w:val="0033324D"/>
    <w:rsid w:val="00333356"/>
    <w:rsid w:val="00333434"/>
    <w:rsid w:val="00333668"/>
    <w:rsid w:val="0033371F"/>
    <w:rsid w:val="0033373A"/>
    <w:rsid w:val="00333983"/>
    <w:rsid w:val="00333B29"/>
    <w:rsid w:val="00333C5D"/>
    <w:rsid w:val="00333FF7"/>
    <w:rsid w:val="0033412B"/>
    <w:rsid w:val="0033428E"/>
    <w:rsid w:val="0033442A"/>
    <w:rsid w:val="003347A8"/>
    <w:rsid w:val="003347FC"/>
    <w:rsid w:val="00334819"/>
    <w:rsid w:val="00334A99"/>
    <w:rsid w:val="00334ADF"/>
    <w:rsid w:val="00334B30"/>
    <w:rsid w:val="00334C29"/>
    <w:rsid w:val="00334C69"/>
    <w:rsid w:val="00334DC6"/>
    <w:rsid w:val="003350C6"/>
    <w:rsid w:val="003350F3"/>
    <w:rsid w:val="00335203"/>
    <w:rsid w:val="0033528A"/>
    <w:rsid w:val="0033528C"/>
    <w:rsid w:val="003355F3"/>
    <w:rsid w:val="00335A96"/>
    <w:rsid w:val="00335CAA"/>
    <w:rsid w:val="00335CDD"/>
    <w:rsid w:val="00335E3C"/>
    <w:rsid w:val="00335F3B"/>
    <w:rsid w:val="00335F71"/>
    <w:rsid w:val="0033609B"/>
    <w:rsid w:val="003360AE"/>
    <w:rsid w:val="003361BC"/>
    <w:rsid w:val="003361D6"/>
    <w:rsid w:val="003361DA"/>
    <w:rsid w:val="003361ED"/>
    <w:rsid w:val="0033629E"/>
    <w:rsid w:val="003362DF"/>
    <w:rsid w:val="003364D9"/>
    <w:rsid w:val="00336A9B"/>
    <w:rsid w:val="00336D16"/>
    <w:rsid w:val="00336D65"/>
    <w:rsid w:val="00336DFF"/>
    <w:rsid w:val="00336E80"/>
    <w:rsid w:val="00336EE0"/>
    <w:rsid w:val="00336F8F"/>
    <w:rsid w:val="0033705B"/>
    <w:rsid w:val="003370BD"/>
    <w:rsid w:val="003370D5"/>
    <w:rsid w:val="003372CD"/>
    <w:rsid w:val="003373BA"/>
    <w:rsid w:val="0033753D"/>
    <w:rsid w:val="00337621"/>
    <w:rsid w:val="00337680"/>
    <w:rsid w:val="003376BC"/>
    <w:rsid w:val="00337790"/>
    <w:rsid w:val="003378AE"/>
    <w:rsid w:val="003378C2"/>
    <w:rsid w:val="003378E5"/>
    <w:rsid w:val="00337AD4"/>
    <w:rsid w:val="00337F13"/>
    <w:rsid w:val="00337FB7"/>
    <w:rsid w:val="003400A7"/>
    <w:rsid w:val="0034012B"/>
    <w:rsid w:val="00340341"/>
    <w:rsid w:val="00340377"/>
    <w:rsid w:val="00340594"/>
    <w:rsid w:val="00340636"/>
    <w:rsid w:val="003408BB"/>
    <w:rsid w:val="00340A2C"/>
    <w:rsid w:val="00340A42"/>
    <w:rsid w:val="00340B58"/>
    <w:rsid w:val="00340BF8"/>
    <w:rsid w:val="00340C95"/>
    <w:rsid w:val="00340E0D"/>
    <w:rsid w:val="00340FD6"/>
    <w:rsid w:val="003410F3"/>
    <w:rsid w:val="00341104"/>
    <w:rsid w:val="00341136"/>
    <w:rsid w:val="00341271"/>
    <w:rsid w:val="00341387"/>
    <w:rsid w:val="003414BC"/>
    <w:rsid w:val="0034150B"/>
    <w:rsid w:val="00341591"/>
    <w:rsid w:val="003418A1"/>
    <w:rsid w:val="00341925"/>
    <w:rsid w:val="00341B09"/>
    <w:rsid w:val="00341D0C"/>
    <w:rsid w:val="00341FBB"/>
    <w:rsid w:val="00342022"/>
    <w:rsid w:val="003421BD"/>
    <w:rsid w:val="003422CA"/>
    <w:rsid w:val="003423EC"/>
    <w:rsid w:val="003424AF"/>
    <w:rsid w:val="003424F5"/>
    <w:rsid w:val="003425C4"/>
    <w:rsid w:val="00342653"/>
    <w:rsid w:val="0034271D"/>
    <w:rsid w:val="003429F1"/>
    <w:rsid w:val="00342A06"/>
    <w:rsid w:val="00342EFE"/>
    <w:rsid w:val="003431DD"/>
    <w:rsid w:val="003431F1"/>
    <w:rsid w:val="003433EB"/>
    <w:rsid w:val="00343530"/>
    <w:rsid w:val="00343643"/>
    <w:rsid w:val="00343A5C"/>
    <w:rsid w:val="00343A75"/>
    <w:rsid w:val="00343BDF"/>
    <w:rsid w:val="00343C29"/>
    <w:rsid w:val="00343DD3"/>
    <w:rsid w:val="00343F35"/>
    <w:rsid w:val="003440DE"/>
    <w:rsid w:val="003440F4"/>
    <w:rsid w:val="00344191"/>
    <w:rsid w:val="0034438A"/>
    <w:rsid w:val="00344739"/>
    <w:rsid w:val="00344791"/>
    <w:rsid w:val="0034485C"/>
    <w:rsid w:val="00344B7C"/>
    <w:rsid w:val="00344BC3"/>
    <w:rsid w:val="00344E1E"/>
    <w:rsid w:val="003457A7"/>
    <w:rsid w:val="00345969"/>
    <w:rsid w:val="00345B1D"/>
    <w:rsid w:val="00345EA0"/>
    <w:rsid w:val="00345FD8"/>
    <w:rsid w:val="00346542"/>
    <w:rsid w:val="003465D6"/>
    <w:rsid w:val="00346B15"/>
    <w:rsid w:val="00346B21"/>
    <w:rsid w:val="00346B2A"/>
    <w:rsid w:val="00346CA9"/>
    <w:rsid w:val="00346D70"/>
    <w:rsid w:val="00346DC1"/>
    <w:rsid w:val="00346F33"/>
    <w:rsid w:val="00347039"/>
    <w:rsid w:val="00347080"/>
    <w:rsid w:val="0034708A"/>
    <w:rsid w:val="00347109"/>
    <w:rsid w:val="00347365"/>
    <w:rsid w:val="00347384"/>
    <w:rsid w:val="00347508"/>
    <w:rsid w:val="0034763E"/>
    <w:rsid w:val="00347C3E"/>
    <w:rsid w:val="00347F27"/>
    <w:rsid w:val="00350167"/>
    <w:rsid w:val="00350259"/>
    <w:rsid w:val="0035031F"/>
    <w:rsid w:val="003504EB"/>
    <w:rsid w:val="003505A8"/>
    <w:rsid w:val="0035074E"/>
    <w:rsid w:val="00350814"/>
    <w:rsid w:val="003509B2"/>
    <w:rsid w:val="00350DCA"/>
    <w:rsid w:val="00350E17"/>
    <w:rsid w:val="00351028"/>
    <w:rsid w:val="00351055"/>
    <w:rsid w:val="003510D3"/>
    <w:rsid w:val="003514CB"/>
    <w:rsid w:val="003515E7"/>
    <w:rsid w:val="0035168A"/>
    <w:rsid w:val="003516DB"/>
    <w:rsid w:val="00351739"/>
    <w:rsid w:val="00351787"/>
    <w:rsid w:val="00351838"/>
    <w:rsid w:val="00351951"/>
    <w:rsid w:val="003519F0"/>
    <w:rsid w:val="00351AFB"/>
    <w:rsid w:val="00351CB9"/>
    <w:rsid w:val="00351D0F"/>
    <w:rsid w:val="00351D44"/>
    <w:rsid w:val="00351FF8"/>
    <w:rsid w:val="0035207C"/>
    <w:rsid w:val="00352190"/>
    <w:rsid w:val="003521D2"/>
    <w:rsid w:val="00352265"/>
    <w:rsid w:val="00352268"/>
    <w:rsid w:val="0035243C"/>
    <w:rsid w:val="00352443"/>
    <w:rsid w:val="0035267F"/>
    <w:rsid w:val="003526F3"/>
    <w:rsid w:val="00352753"/>
    <w:rsid w:val="00352851"/>
    <w:rsid w:val="00352B21"/>
    <w:rsid w:val="00352B29"/>
    <w:rsid w:val="00352B5F"/>
    <w:rsid w:val="00352C8E"/>
    <w:rsid w:val="00352D1D"/>
    <w:rsid w:val="00352D35"/>
    <w:rsid w:val="00352F67"/>
    <w:rsid w:val="0035325F"/>
    <w:rsid w:val="00353276"/>
    <w:rsid w:val="003532C1"/>
    <w:rsid w:val="003534A7"/>
    <w:rsid w:val="003535EA"/>
    <w:rsid w:val="00353652"/>
    <w:rsid w:val="00353C00"/>
    <w:rsid w:val="00354150"/>
    <w:rsid w:val="003543C9"/>
    <w:rsid w:val="00354409"/>
    <w:rsid w:val="0035444C"/>
    <w:rsid w:val="003546A5"/>
    <w:rsid w:val="003547EA"/>
    <w:rsid w:val="00354A6C"/>
    <w:rsid w:val="00354BB1"/>
    <w:rsid w:val="00354C0A"/>
    <w:rsid w:val="00354DF3"/>
    <w:rsid w:val="00355083"/>
    <w:rsid w:val="0035512B"/>
    <w:rsid w:val="003551AE"/>
    <w:rsid w:val="003551E2"/>
    <w:rsid w:val="003553F9"/>
    <w:rsid w:val="0035568C"/>
    <w:rsid w:val="00355A91"/>
    <w:rsid w:val="00355BF2"/>
    <w:rsid w:val="00355C06"/>
    <w:rsid w:val="00355D43"/>
    <w:rsid w:val="00355DAD"/>
    <w:rsid w:val="00356787"/>
    <w:rsid w:val="00356983"/>
    <w:rsid w:val="003569DE"/>
    <w:rsid w:val="00356BF0"/>
    <w:rsid w:val="00356D20"/>
    <w:rsid w:val="00356D24"/>
    <w:rsid w:val="00356D39"/>
    <w:rsid w:val="00356D89"/>
    <w:rsid w:val="003570A0"/>
    <w:rsid w:val="003570AC"/>
    <w:rsid w:val="0035727C"/>
    <w:rsid w:val="00357284"/>
    <w:rsid w:val="003572E0"/>
    <w:rsid w:val="003573AE"/>
    <w:rsid w:val="0035756A"/>
    <w:rsid w:val="003575E1"/>
    <w:rsid w:val="003576DF"/>
    <w:rsid w:val="00357834"/>
    <w:rsid w:val="0035796A"/>
    <w:rsid w:val="00357B62"/>
    <w:rsid w:val="00357D1D"/>
    <w:rsid w:val="00357D61"/>
    <w:rsid w:val="00357E4F"/>
    <w:rsid w:val="00357F65"/>
    <w:rsid w:val="0036008D"/>
    <w:rsid w:val="003600BA"/>
    <w:rsid w:val="0036037B"/>
    <w:rsid w:val="0036058C"/>
    <w:rsid w:val="00360605"/>
    <w:rsid w:val="00360797"/>
    <w:rsid w:val="00360C38"/>
    <w:rsid w:val="00360CC0"/>
    <w:rsid w:val="00360CFC"/>
    <w:rsid w:val="0036108C"/>
    <w:rsid w:val="003610D0"/>
    <w:rsid w:val="00361151"/>
    <w:rsid w:val="0036122B"/>
    <w:rsid w:val="003614C7"/>
    <w:rsid w:val="0036159E"/>
    <w:rsid w:val="003616CD"/>
    <w:rsid w:val="003617C4"/>
    <w:rsid w:val="0036184E"/>
    <w:rsid w:val="003618A1"/>
    <w:rsid w:val="00361BCC"/>
    <w:rsid w:val="00361BDC"/>
    <w:rsid w:val="00361C10"/>
    <w:rsid w:val="00361C87"/>
    <w:rsid w:val="00361E92"/>
    <w:rsid w:val="00361FFE"/>
    <w:rsid w:val="0036205B"/>
    <w:rsid w:val="003622B0"/>
    <w:rsid w:val="003622C5"/>
    <w:rsid w:val="00362338"/>
    <w:rsid w:val="0036263D"/>
    <w:rsid w:val="003626B2"/>
    <w:rsid w:val="00362713"/>
    <w:rsid w:val="0036289B"/>
    <w:rsid w:val="00362942"/>
    <w:rsid w:val="00362A84"/>
    <w:rsid w:val="00362D62"/>
    <w:rsid w:val="0036366B"/>
    <w:rsid w:val="00363737"/>
    <w:rsid w:val="0036386B"/>
    <w:rsid w:val="00363A14"/>
    <w:rsid w:val="00363A20"/>
    <w:rsid w:val="00363A26"/>
    <w:rsid w:val="00363ABD"/>
    <w:rsid w:val="00363C27"/>
    <w:rsid w:val="00363C81"/>
    <w:rsid w:val="00363D07"/>
    <w:rsid w:val="00363E6E"/>
    <w:rsid w:val="00364133"/>
    <w:rsid w:val="00364261"/>
    <w:rsid w:val="00364299"/>
    <w:rsid w:val="00364480"/>
    <w:rsid w:val="003649B5"/>
    <w:rsid w:val="00364A08"/>
    <w:rsid w:val="00364BC0"/>
    <w:rsid w:val="00364C38"/>
    <w:rsid w:val="00364C74"/>
    <w:rsid w:val="00364CBD"/>
    <w:rsid w:val="00364D20"/>
    <w:rsid w:val="00364DBB"/>
    <w:rsid w:val="00364E9D"/>
    <w:rsid w:val="00365185"/>
    <w:rsid w:val="003652D3"/>
    <w:rsid w:val="003654EE"/>
    <w:rsid w:val="003656F6"/>
    <w:rsid w:val="00365872"/>
    <w:rsid w:val="0036588D"/>
    <w:rsid w:val="003658CF"/>
    <w:rsid w:val="003659CA"/>
    <w:rsid w:val="00365A67"/>
    <w:rsid w:val="00365BD4"/>
    <w:rsid w:val="00365F03"/>
    <w:rsid w:val="00365F27"/>
    <w:rsid w:val="00366030"/>
    <w:rsid w:val="003661DE"/>
    <w:rsid w:val="00366208"/>
    <w:rsid w:val="0036620C"/>
    <w:rsid w:val="00366251"/>
    <w:rsid w:val="003663D6"/>
    <w:rsid w:val="003663DA"/>
    <w:rsid w:val="0036650F"/>
    <w:rsid w:val="00366743"/>
    <w:rsid w:val="00366855"/>
    <w:rsid w:val="003668A5"/>
    <w:rsid w:val="00366902"/>
    <w:rsid w:val="003669D7"/>
    <w:rsid w:val="00366B13"/>
    <w:rsid w:val="00366F6B"/>
    <w:rsid w:val="003670DD"/>
    <w:rsid w:val="003671E3"/>
    <w:rsid w:val="00367261"/>
    <w:rsid w:val="00367603"/>
    <w:rsid w:val="00367813"/>
    <w:rsid w:val="003678FE"/>
    <w:rsid w:val="00367964"/>
    <w:rsid w:val="00367DEE"/>
    <w:rsid w:val="00367F85"/>
    <w:rsid w:val="00370101"/>
    <w:rsid w:val="00370664"/>
    <w:rsid w:val="00370C43"/>
    <w:rsid w:val="00370E5D"/>
    <w:rsid w:val="00370F70"/>
    <w:rsid w:val="003716E1"/>
    <w:rsid w:val="0037178B"/>
    <w:rsid w:val="00371B01"/>
    <w:rsid w:val="00371DF9"/>
    <w:rsid w:val="00371E6D"/>
    <w:rsid w:val="0037203F"/>
    <w:rsid w:val="0037207D"/>
    <w:rsid w:val="003720DD"/>
    <w:rsid w:val="00372238"/>
    <w:rsid w:val="00372501"/>
    <w:rsid w:val="00372707"/>
    <w:rsid w:val="00372956"/>
    <w:rsid w:val="00372B44"/>
    <w:rsid w:val="00372B99"/>
    <w:rsid w:val="00372BAF"/>
    <w:rsid w:val="00372CD9"/>
    <w:rsid w:val="00372D02"/>
    <w:rsid w:val="00372E88"/>
    <w:rsid w:val="00372FEC"/>
    <w:rsid w:val="003730EE"/>
    <w:rsid w:val="003730F7"/>
    <w:rsid w:val="00373415"/>
    <w:rsid w:val="003736AE"/>
    <w:rsid w:val="0037388B"/>
    <w:rsid w:val="0037399D"/>
    <w:rsid w:val="00373B67"/>
    <w:rsid w:val="00373C69"/>
    <w:rsid w:val="00373CF2"/>
    <w:rsid w:val="003742EB"/>
    <w:rsid w:val="00374449"/>
    <w:rsid w:val="00374569"/>
    <w:rsid w:val="0037459C"/>
    <w:rsid w:val="00374874"/>
    <w:rsid w:val="003749FA"/>
    <w:rsid w:val="00374A46"/>
    <w:rsid w:val="00374AD1"/>
    <w:rsid w:val="00374D0D"/>
    <w:rsid w:val="00374D74"/>
    <w:rsid w:val="00374E89"/>
    <w:rsid w:val="0037519A"/>
    <w:rsid w:val="003752B5"/>
    <w:rsid w:val="003754B5"/>
    <w:rsid w:val="003756C5"/>
    <w:rsid w:val="00375805"/>
    <w:rsid w:val="00375920"/>
    <w:rsid w:val="00375EB8"/>
    <w:rsid w:val="00375ED8"/>
    <w:rsid w:val="003761AA"/>
    <w:rsid w:val="0037629C"/>
    <w:rsid w:val="00376317"/>
    <w:rsid w:val="003763B3"/>
    <w:rsid w:val="0037640F"/>
    <w:rsid w:val="00376711"/>
    <w:rsid w:val="003768A5"/>
    <w:rsid w:val="00376B31"/>
    <w:rsid w:val="00376D3A"/>
    <w:rsid w:val="00376D61"/>
    <w:rsid w:val="00376F19"/>
    <w:rsid w:val="003770C5"/>
    <w:rsid w:val="0037710C"/>
    <w:rsid w:val="0037713E"/>
    <w:rsid w:val="00377152"/>
    <w:rsid w:val="003771C3"/>
    <w:rsid w:val="00377378"/>
    <w:rsid w:val="0037751F"/>
    <w:rsid w:val="00377578"/>
    <w:rsid w:val="003776B6"/>
    <w:rsid w:val="0037770A"/>
    <w:rsid w:val="003777E3"/>
    <w:rsid w:val="00377832"/>
    <w:rsid w:val="00377AE4"/>
    <w:rsid w:val="00377BF7"/>
    <w:rsid w:val="00377D05"/>
    <w:rsid w:val="00377D4B"/>
    <w:rsid w:val="00377DE9"/>
    <w:rsid w:val="00377F2D"/>
    <w:rsid w:val="00377F89"/>
    <w:rsid w:val="0038003F"/>
    <w:rsid w:val="00380045"/>
    <w:rsid w:val="00380074"/>
    <w:rsid w:val="003800F1"/>
    <w:rsid w:val="003801FE"/>
    <w:rsid w:val="003804EC"/>
    <w:rsid w:val="003805E5"/>
    <w:rsid w:val="00380B0F"/>
    <w:rsid w:val="00380D14"/>
    <w:rsid w:val="00380E79"/>
    <w:rsid w:val="00380F62"/>
    <w:rsid w:val="003810EF"/>
    <w:rsid w:val="0038131B"/>
    <w:rsid w:val="00381366"/>
    <w:rsid w:val="0038139B"/>
    <w:rsid w:val="00381413"/>
    <w:rsid w:val="0038144B"/>
    <w:rsid w:val="00381569"/>
    <w:rsid w:val="00381627"/>
    <w:rsid w:val="003816D2"/>
    <w:rsid w:val="003817DF"/>
    <w:rsid w:val="00381824"/>
    <w:rsid w:val="0038191B"/>
    <w:rsid w:val="0038196F"/>
    <w:rsid w:val="003819A2"/>
    <w:rsid w:val="00381A32"/>
    <w:rsid w:val="00381A86"/>
    <w:rsid w:val="00381AD9"/>
    <w:rsid w:val="00381AFE"/>
    <w:rsid w:val="00381B99"/>
    <w:rsid w:val="00381C0E"/>
    <w:rsid w:val="00381C85"/>
    <w:rsid w:val="00381DCB"/>
    <w:rsid w:val="00381E10"/>
    <w:rsid w:val="00381E3F"/>
    <w:rsid w:val="00381F10"/>
    <w:rsid w:val="003820C0"/>
    <w:rsid w:val="003820DE"/>
    <w:rsid w:val="003820E2"/>
    <w:rsid w:val="003821B5"/>
    <w:rsid w:val="0038233B"/>
    <w:rsid w:val="003824F9"/>
    <w:rsid w:val="0038295C"/>
    <w:rsid w:val="003829F9"/>
    <w:rsid w:val="00382A03"/>
    <w:rsid w:val="00382AAD"/>
    <w:rsid w:val="00382AEE"/>
    <w:rsid w:val="00382CAC"/>
    <w:rsid w:val="00382D8D"/>
    <w:rsid w:val="00382EA4"/>
    <w:rsid w:val="00382F4A"/>
    <w:rsid w:val="0038315B"/>
    <w:rsid w:val="00383385"/>
    <w:rsid w:val="00383514"/>
    <w:rsid w:val="00383621"/>
    <w:rsid w:val="0038366B"/>
    <w:rsid w:val="0038379B"/>
    <w:rsid w:val="003838AF"/>
    <w:rsid w:val="003838F0"/>
    <w:rsid w:val="00383BA6"/>
    <w:rsid w:val="00383D9F"/>
    <w:rsid w:val="00383E2E"/>
    <w:rsid w:val="00383F6C"/>
    <w:rsid w:val="00384000"/>
    <w:rsid w:val="00384116"/>
    <w:rsid w:val="00384153"/>
    <w:rsid w:val="0038457F"/>
    <w:rsid w:val="003847D5"/>
    <w:rsid w:val="00384918"/>
    <w:rsid w:val="0038499B"/>
    <w:rsid w:val="00384ABA"/>
    <w:rsid w:val="00384DF7"/>
    <w:rsid w:val="00385317"/>
    <w:rsid w:val="00385325"/>
    <w:rsid w:val="003853E8"/>
    <w:rsid w:val="003854DA"/>
    <w:rsid w:val="00385568"/>
    <w:rsid w:val="0038568A"/>
    <w:rsid w:val="003858DA"/>
    <w:rsid w:val="0038591F"/>
    <w:rsid w:val="00385ABE"/>
    <w:rsid w:val="00385AF2"/>
    <w:rsid w:val="00385B39"/>
    <w:rsid w:val="00385D0A"/>
    <w:rsid w:val="00385F8B"/>
    <w:rsid w:val="00386022"/>
    <w:rsid w:val="00386326"/>
    <w:rsid w:val="003863C7"/>
    <w:rsid w:val="00386A46"/>
    <w:rsid w:val="00386A4D"/>
    <w:rsid w:val="00386ABE"/>
    <w:rsid w:val="00386C2D"/>
    <w:rsid w:val="00386DA5"/>
    <w:rsid w:val="00386F21"/>
    <w:rsid w:val="00386F24"/>
    <w:rsid w:val="00387242"/>
    <w:rsid w:val="0038738D"/>
    <w:rsid w:val="0038751F"/>
    <w:rsid w:val="00387531"/>
    <w:rsid w:val="00387788"/>
    <w:rsid w:val="00387822"/>
    <w:rsid w:val="00387A54"/>
    <w:rsid w:val="00387FDC"/>
    <w:rsid w:val="00390015"/>
    <w:rsid w:val="0039004A"/>
    <w:rsid w:val="00390106"/>
    <w:rsid w:val="00390297"/>
    <w:rsid w:val="003904DB"/>
    <w:rsid w:val="00390539"/>
    <w:rsid w:val="00390635"/>
    <w:rsid w:val="00390645"/>
    <w:rsid w:val="0039070E"/>
    <w:rsid w:val="003907B5"/>
    <w:rsid w:val="003909A6"/>
    <w:rsid w:val="00390A87"/>
    <w:rsid w:val="00390BF4"/>
    <w:rsid w:val="00390CD3"/>
    <w:rsid w:val="00390D38"/>
    <w:rsid w:val="00390D58"/>
    <w:rsid w:val="00390E01"/>
    <w:rsid w:val="00390E59"/>
    <w:rsid w:val="00390F77"/>
    <w:rsid w:val="003912BD"/>
    <w:rsid w:val="00391309"/>
    <w:rsid w:val="00391816"/>
    <w:rsid w:val="0039181B"/>
    <w:rsid w:val="00391B05"/>
    <w:rsid w:val="00391B5B"/>
    <w:rsid w:val="00391C70"/>
    <w:rsid w:val="00391EC8"/>
    <w:rsid w:val="00392187"/>
    <w:rsid w:val="0039232E"/>
    <w:rsid w:val="003923FD"/>
    <w:rsid w:val="00392514"/>
    <w:rsid w:val="003925AE"/>
    <w:rsid w:val="00392AC4"/>
    <w:rsid w:val="00392F87"/>
    <w:rsid w:val="0039300E"/>
    <w:rsid w:val="0039320B"/>
    <w:rsid w:val="0039322A"/>
    <w:rsid w:val="003938D1"/>
    <w:rsid w:val="00393999"/>
    <w:rsid w:val="00393B0E"/>
    <w:rsid w:val="00393D27"/>
    <w:rsid w:val="00394138"/>
    <w:rsid w:val="0039417E"/>
    <w:rsid w:val="003941DD"/>
    <w:rsid w:val="0039425A"/>
    <w:rsid w:val="003944C2"/>
    <w:rsid w:val="00394558"/>
    <w:rsid w:val="0039464E"/>
    <w:rsid w:val="0039484B"/>
    <w:rsid w:val="00394905"/>
    <w:rsid w:val="00394A8C"/>
    <w:rsid w:val="00394BFE"/>
    <w:rsid w:val="00394E24"/>
    <w:rsid w:val="00394E72"/>
    <w:rsid w:val="00394F9A"/>
    <w:rsid w:val="00395085"/>
    <w:rsid w:val="003950A6"/>
    <w:rsid w:val="00395420"/>
    <w:rsid w:val="00395562"/>
    <w:rsid w:val="00395566"/>
    <w:rsid w:val="003955C5"/>
    <w:rsid w:val="0039567C"/>
    <w:rsid w:val="003959DD"/>
    <w:rsid w:val="00395B73"/>
    <w:rsid w:val="00395CF4"/>
    <w:rsid w:val="00395D23"/>
    <w:rsid w:val="00395FE0"/>
    <w:rsid w:val="003960B7"/>
    <w:rsid w:val="00396108"/>
    <w:rsid w:val="003961C4"/>
    <w:rsid w:val="0039642C"/>
    <w:rsid w:val="00396458"/>
    <w:rsid w:val="003969B4"/>
    <w:rsid w:val="00396A48"/>
    <w:rsid w:val="003970FB"/>
    <w:rsid w:val="003971B4"/>
    <w:rsid w:val="003973BB"/>
    <w:rsid w:val="0039746F"/>
    <w:rsid w:val="003974B5"/>
    <w:rsid w:val="0039762F"/>
    <w:rsid w:val="003976DD"/>
    <w:rsid w:val="00397747"/>
    <w:rsid w:val="0039778A"/>
    <w:rsid w:val="003978F5"/>
    <w:rsid w:val="00397964"/>
    <w:rsid w:val="00397AF4"/>
    <w:rsid w:val="00397BF1"/>
    <w:rsid w:val="00397F4F"/>
    <w:rsid w:val="003A00CA"/>
    <w:rsid w:val="003A038D"/>
    <w:rsid w:val="003A05A0"/>
    <w:rsid w:val="003A05FF"/>
    <w:rsid w:val="003A0A23"/>
    <w:rsid w:val="003A0A63"/>
    <w:rsid w:val="003A0A92"/>
    <w:rsid w:val="003A0BD4"/>
    <w:rsid w:val="003A1168"/>
    <w:rsid w:val="003A11AD"/>
    <w:rsid w:val="003A13D3"/>
    <w:rsid w:val="003A13F4"/>
    <w:rsid w:val="003A14FB"/>
    <w:rsid w:val="003A181F"/>
    <w:rsid w:val="003A1901"/>
    <w:rsid w:val="003A1943"/>
    <w:rsid w:val="003A1C86"/>
    <w:rsid w:val="003A1D47"/>
    <w:rsid w:val="003A1E02"/>
    <w:rsid w:val="003A1FAF"/>
    <w:rsid w:val="003A1FC6"/>
    <w:rsid w:val="003A1FFB"/>
    <w:rsid w:val="003A2074"/>
    <w:rsid w:val="003A20BC"/>
    <w:rsid w:val="003A2423"/>
    <w:rsid w:val="003A245C"/>
    <w:rsid w:val="003A248C"/>
    <w:rsid w:val="003A24EC"/>
    <w:rsid w:val="003A267E"/>
    <w:rsid w:val="003A267F"/>
    <w:rsid w:val="003A2727"/>
    <w:rsid w:val="003A27F6"/>
    <w:rsid w:val="003A2851"/>
    <w:rsid w:val="003A29EA"/>
    <w:rsid w:val="003A2D24"/>
    <w:rsid w:val="003A2F0B"/>
    <w:rsid w:val="003A301E"/>
    <w:rsid w:val="003A308C"/>
    <w:rsid w:val="003A33FA"/>
    <w:rsid w:val="003A354A"/>
    <w:rsid w:val="003A35B3"/>
    <w:rsid w:val="003A388A"/>
    <w:rsid w:val="003A38B6"/>
    <w:rsid w:val="003A3951"/>
    <w:rsid w:val="003A39F5"/>
    <w:rsid w:val="003A3A37"/>
    <w:rsid w:val="003A3A5A"/>
    <w:rsid w:val="003A3D30"/>
    <w:rsid w:val="003A3DE4"/>
    <w:rsid w:val="003A3E68"/>
    <w:rsid w:val="003A4199"/>
    <w:rsid w:val="003A41FE"/>
    <w:rsid w:val="003A44B4"/>
    <w:rsid w:val="003A4515"/>
    <w:rsid w:val="003A465E"/>
    <w:rsid w:val="003A46F0"/>
    <w:rsid w:val="003A48BB"/>
    <w:rsid w:val="003A493F"/>
    <w:rsid w:val="003A494E"/>
    <w:rsid w:val="003A4960"/>
    <w:rsid w:val="003A49CF"/>
    <w:rsid w:val="003A4CEB"/>
    <w:rsid w:val="003A4D3F"/>
    <w:rsid w:val="003A527D"/>
    <w:rsid w:val="003A539C"/>
    <w:rsid w:val="003A53EA"/>
    <w:rsid w:val="003A5708"/>
    <w:rsid w:val="003A570A"/>
    <w:rsid w:val="003A5905"/>
    <w:rsid w:val="003A5AD7"/>
    <w:rsid w:val="003A5AFF"/>
    <w:rsid w:val="003A5CFF"/>
    <w:rsid w:val="003A5D79"/>
    <w:rsid w:val="003A5DCC"/>
    <w:rsid w:val="003A5EEF"/>
    <w:rsid w:val="003A6049"/>
    <w:rsid w:val="003A61E1"/>
    <w:rsid w:val="003A65BE"/>
    <w:rsid w:val="003A6ADF"/>
    <w:rsid w:val="003A6C7F"/>
    <w:rsid w:val="003A6DCA"/>
    <w:rsid w:val="003A71FA"/>
    <w:rsid w:val="003A729D"/>
    <w:rsid w:val="003A7579"/>
    <w:rsid w:val="003A75D2"/>
    <w:rsid w:val="003A776A"/>
    <w:rsid w:val="003A77B8"/>
    <w:rsid w:val="003A785A"/>
    <w:rsid w:val="003A7866"/>
    <w:rsid w:val="003A789B"/>
    <w:rsid w:val="003A7A4F"/>
    <w:rsid w:val="003A7A65"/>
    <w:rsid w:val="003A7BC0"/>
    <w:rsid w:val="003A7BF9"/>
    <w:rsid w:val="003A7D8A"/>
    <w:rsid w:val="003A7ED0"/>
    <w:rsid w:val="003A7F1A"/>
    <w:rsid w:val="003B02C8"/>
    <w:rsid w:val="003B02E8"/>
    <w:rsid w:val="003B04F5"/>
    <w:rsid w:val="003B0559"/>
    <w:rsid w:val="003B0649"/>
    <w:rsid w:val="003B0726"/>
    <w:rsid w:val="003B074E"/>
    <w:rsid w:val="003B0AE1"/>
    <w:rsid w:val="003B0B3F"/>
    <w:rsid w:val="003B0B54"/>
    <w:rsid w:val="003B0B72"/>
    <w:rsid w:val="003B0B88"/>
    <w:rsid w:val="003B0B97"/>
    <w:rsid w:val="003B0C09"/>
    <w:rsid w:val="003B0C3A"/>
    <w:rsid w:val="003B0E85"/>
    <w:rsid w:val="003B0F08"/>
    <w:rsid w:val="003B0F1D"/>
    <w:rsid w:val="003B1097"/>
    <w:rsid w:val="003B10B2"/>
    <w:rsid w:val="003B1373"/>
    <w:rsid w:val="003B141C"/>
    <w:rsid w:val="003B144B"/>
    <w:rsid w:val="003B1616"/>
    <w:rsid w:val="003B16A5"/>
    <w:rsid w:val="003B16EB"/>
    <w:rsid w:val="003B1716"/>
    <w:rsid w:val="003B179A"/>
    <w:rsid w:val="003B1A53"/>
    <w:rsid w:val="003B1A9B"/>
    <w:rsid w:val="003B1DC7"/>
    <w:rsid w:val="003B1DFE"/>
    <w:rsid w:val="003B1EA2"/>
    <w:rsid w:val="003B1F27"/>
    <w:rsid w:val="003B2116"/>
    <w:rsid w:val="003B213B"/>
    <w:rsid w:val="003B213E"/>
    <w:rsid w:val="003B22EF"/>
    <w:rsid w:val="003B23B4"/>
    <w:rsid w:val="003B2624"/>
    <w:rsid w:val="003B2626"/>
    <w:rsid w:val="003B267D"/>
    <w:rsid w:val="003B29A9"/>
    <w:rsid w:val="003B2B1D"/>
    <w:rsid w:val="003B2C0C"/>
    <w:rsid w:val="003B2E4F"/>
    <w:rsid w:val="003B2E8E"/>
    <w:rsid w:val="003B2F3C"/>
    <w:rsid w:val="003B3083"/>
    <w:rsid w:val="003B3263"/>
    <w:rsid w:val="003B3379"/>
    <w:rsid w:val="003B3516"/>
    <w:rsid w:val="003B3517"/>
    <w:rsid w:val="003B3585"/>
    <w:rsid w:val="003B36FB"/>
    <w:rsid w:val="003B3759"/>
    <w:rsid w:val="003B375B"/>
    <w:rsid w:val="003B38F1"/>
    <w:rsid w:val="003B3A8E"/>
    <w:rsid w:val="003B3C47"/>
    <w:rsid w:val="003B3E71"/>
    <w:rsid w:val="003B3F96"/>
    <w:rsid w:val="003B4639"/>
    <w:rsid w:val="003B4720"/>
    <w:rsid w:val="003B47A8"/>
    <w:rsid w:val="003B4912"/>
    <w:rsid w:val="003B4B40"/>
    <w:rsid w:val="003B4B8E"/>
    <w:rsid w:val="003B4BB9"/>
    <w:rsid w:val="003B4CCC"/>
    <w:rsid w:val="003B506C"/>
    <w:rsid w:val="003B5125"/>
    <w:rsid w:val="003B5139"/>
    <w:rsid w:val="003B5190"/>
    <w:rsid w:val="003B51F4"/>
    <w:rsid w:val="003B5247"/>
    <w:rsid w:val="003B5311"/>
    <w:rsid w:val="003B544D"/>
    <w:rsid w:val="003B57DB"/>
    <w:rsid w:val="003B59A5"/>
    <w:rsid w:val="003B5A3B"/>
    <w:rsid w:val="003B5C8E"/>
    <w:rsid w:val="003B5F8E"/>
    <w:rsid w:val="003B6371"/>
    <w:rsid w:val="003B6673"/>
    <w:rsid w:val="003B67BA"/>
    <w:rsid w:val="003B68F9"/>
    <w:rsid w:val="003B6BFA"/>
    <w:rsid w:val="003B6E73"/>
    <w:rsid w:val="003B6EBA"/>
    <w:rsid w:val="003B6EED"/>
    <w:rsid w:val="003B6F34"/>
    <w:rsid w:val="003B6FDC"/>
    <w:rsid w:val="003B6FDF"/>
    <w:rsid w:val="003B7010"/>
    <w:rsid w:val="003B709B"/>
    <w:rsid w:val="003B7122"/>
    <w:rsid w:val="003B7186"/>
    <w:rsid w:val="003B7325"/>
    <w:rsid w:val="003B74E1"/>
    <w:rsid w:val="003B762D"/>
    <w:rsid w:val="003B7654"/>
    <w:rsid w:val="003B7725"/>
    <w:rsid w:val="003B777C"/>
    <w:rsid w:val="003B77D0"/>
    <w:rsid w:val="003B7870"/>
    <w:rsid w:val="003B789C"/>
    <w:rsid w:val="003B78CB"/>
    <w:rsid w:val="003B7AD3"/>
    <w:rsid w:val="003B7B62"/>
    <w:rsid w:val="003B7DB4"/>
    <w:rsid w:val="003B7E00"/>
    <w:rsid w:val="003B7FB6"/>
    <w:rsid w:val="003C0319"/>
    <w:rsid w:val="003C03AC"/>
    <w:rsid w:val="003C05D5"/>
    <w:rsid w:val="003C0900"/>
    <w:rsid w:val="003C0985"/>
    <w:rsid w:val="003C099D"/>
    <w:rsid w:val="003C0B0F"/>
    <w:rsid w:val="003C0B9A"/>
    <w:rsid w:val="003C0BE3"/>
    <w:rsid w:val="003C0BFF"/>
    <w:rsid w:val="003C0D05"/>
    <w:rsid w:val="003C12A0"/>
    <w:rsid w:val="003C12AF"/>
    <w:rsid w:val="003C12BC"/>
    <w:rsid w:val="003C1315"/>
    <w:rsid w:val="003C193F"/>
    <w:rsid w:val="003C1947"/>
    <w:rsid w:val="003C19FD"/>
    <w:rsid w:val="003C1AA1"/>
    <w:rsid w:val="003C1D79"/>
    <w:rsid w:val="003C1F3A"/>
    <w:rsid w:val="003C2516"/>
    <w:rsid w:val="003C25A1"/>
    <w:rsid w:val="003C274F"/>
    <w:rsid w:val="003C2E4E"/>
    <w:rsid w:val="003C2FA2"/>
    <w:rsid w:val="003C30A8"/>
    <w:rsid w:val="003C3143"/>
    <w:rsid w:val="003C3200"/>
    <w:rsid w:val="003C331C"/>
    <w:rsid w:val="003C333D"/>
    <w:rsid w:val="003C358D"/>
    <w:rsid w:val="003C373F"/>
    <w:rsid w:val="003C3936"/>
    <w:rsid w:val="003C3998"/>
    <w:rsid w:val="003C3A51"/>
    <w:rsid w:val="003C3BB0"/>
    <w:rsid w:val="003C3F12"/>
    <w:rsid w:val="003C4069"/>
    <w:rsid w:val="003C41F4"/>
    <w:rsid w:val="003C41F7"/>
    <w:rsid w:val="003C451C"/>
    <w:rsid w:val="003C464C"/>
    <w:rsid w:val="003C4988"/>
    <w:rsid w:val="003C4AF9"/>
    <w:rsid w:val="003C4B21"/>
    <w:rsid w:val="003C4BE4"/>
    <w:rsid w:val="003C4DE4"/>
    <w:rsid w:val="003C4EE6"/>
    <w:rsid w:val="003C51A7"/>
    <w:rsid w:val="003C5515"/>
    <w:rsid w:val="003C551B"/>
    <w:rsid w:val="003C5565"/>
    <w:rsid w:val="003C5699"/>
    <w:rsid w:val="003C571E"/>
    <w:rsid w:val="003C5843"/>
    <w:rsid w:val="003C59DA"/>
    <w:rsid w:val="003C5A7B"/>
    <w:rsid w:val="003C5B63"/>
    <w:rsid w:val="003C5CE6"/>
    <w:rsid w:val="003C5E64"/>
    <w:rsid w:val="003C6554"/>
    <w:rsid w:val="003C67A0"/>
    <w:rsid w:val="003C69DA"/>
    <w:rsid w:val="003C6A84"/>
    <w:rsid w:val="003C6BCC"/>
    <w:rsid w:val="003C6BE6"/>
    <w:rsid w:val="003C6BE7"/>
    <w:rsid w:val="003C6CF4"/>
    <w:rsid w:val="003C6DD5"/>
    <w:rsid w:val="003C6EA5"/>
    <w:rsid w:val="003C6FD5"/>
    <w:rsid w:val="003C7134"/>
    <w:rsid w:val="003C7468"/>
    <w:rsid w:val="003C7535"/>
    <w:rsid w:val="003C76A9"/>
    <w:rsid w:val="003C772F"/>
    <w:rsid w:val="003C79CE"/>
    <w:rsid w:val="003C7A0D"/>
    <w:rsid w:val="003C7C5E"/>
    <w:rsid w:val="003D005F"/>
    <w:rsid w:val="003D0383"/>
    <w:rsid w:val="003D039F"/>
    <w:rsid w:val="003D05DA"/>
    <w:rsid w:val="003D099C"/>
    <w:rsid w:val="003D0A54"/>
    <w:rsid w:val="003D0B6C"/>
    <w:rsid w:val="003D0C10"/>
    <w:rsid w:val="003D0CB4"/>
    <w:rsid w:val="003D0CE0"/>
    <w:rsid w:val="003D0D3E"/>
    <w:rsid w:val="003D0E7D"/>
    <w:rsid w:val="003D0EB3"/>
    <w:rsid w:val="003D0FE6"/>
    <w:rsid w:val="003D124A"/>
    <w:rsid w:val="003D135B"/>
    <w:rsid w:val="003D1365"/>
    <w:rsid w:val="003D1412"/>
    <w:rsid w:val="003D144E"/>
    <w:rsid w:val="003D1509"/>
    <w:rsid w:val="003D160E"/>
    <w:rsid w:val="003D1A80"/>
    <w:rsid w:val="003D1CFF"/>
    <w:rsid w:val="003D1D6C"/>
    <w:rsid w:val="003D1ED2"/>
    <w:rsid w:val="003D1F13"/>
    <w:rsid w:val="003D21DC"/>
    <w:rsid w:val="003D24BC"/>
    <w:rsid w:val="003D26D9"/>
    <w:rsid w:val="003D28CD"/>
    <w:rsid w:val="003D2A83"/>
    <w:rsid w:val="003D2BB0"/>
    <w:rsid w:val="003D2D74"/>
    <w:rsid w:val="003D2E99"/>
    <w:rsid w:val="003D30CE"/>
    <w:rsid w:val="003D3276"/>
    <w:rsid w:val="003D3295"/>
    <w:rsid w:val="003D3315"/>
    <w:rsid w:val="003D34E4"/>
    <w:rsid w:val="003D353E"/>
    <w:rsid w:val="003D368F"/>
    <w:rsid w:val="003D3704"/>
    <w:rsid w:val="003D39F6"/>
    <w:rsid w:val="003D3DCF"/>
    <w:rsid w:val="003D3E14"/>
    <w:rsid w:val="003D3E44"/>
    <w:rsid w:val="003D3EB7"/>
    <w:rsid w:val="003D3FCE"/>
    <w:rsid w:val="003D403E"/>
    <w:rsid w:val="003D4134"/>
    <w:rsid w:val="003D42B3"/>
    <w:rsid w:val="003D4393"/>
    <w:rsid w:val="003D43F5"/>
    <w:rsid w:val="003D46CA"/>
    <w:rsid w:val="003D472C"/>
    <w:rsid w:val="003D4951"/>
    <w:rsid w:val="003D4987"/>
    <w:rsid w:val="003D4B37"/>
    <w:rsid w:val="003D4B6B"/>
    <w:rsid w:val="003D4C42"/>
    <w:rsid w:val="003D4F29"/>
    <w:rsid w:val="003D4F5A"/>
    <w:rsid w:val="003D4FC4"/>
    <w:rsid w:val="003D51FD"/>
    <w:rsid w:val="003D521E"/>
    <w:rsid w:val="003D5223"/>
    <w:rsid w:val="003D540A"/>
    <w:rsid w:val="003D54D3"/>
    <w:rsid w:val="003D5630"/>
    <w:rsid w:val="003D57DE"/>
    <w:rsid w:val="003D58FF"/>
    <w:rsid w:val="003D5AB5"/>
    <w:rsid w:val="003D5DB3"/>
    <w:rsid w:val="003D5DFE"/>
    <w:rsid w:val="003D618B"/>
    <w:rsid w:val="003D61F5"/>
    <w:rsid w:val="003D6213"/>
    <w:rsid w:val="003D632E"/>
    <w:rsid w:val="003D63FE"/>
    <w:rsid w:val="003D6882"/>
    <w:rsid w:val="003D6995"/>
    <w:rsid w:val="003D6C92"/>
    <w:rsid w:val="003D6D96"/>
    <w:rsid w:val="003D6E2C"/>
    <w:rsid w:val="003D7036"/>
    <w:rsid w:val="003D70FE"/>
    <w:rsid w:val="003D7267"/>
    <w:rsid w:val="003D74A7"/>
    <w:rsid w:val="003D74F7"/>
    <w:rsid w:val="003D75C0"/>
    <w:rsid w:val="003D769F"/>
    <w:rsid w:val="003D7880"/>
    <w:rsid w:val="003D7C3E"/>
    <w:rsid w:val="003D7E0B"/>
    <w:rsid w:val="003D7E7F"/>
    <w:rsid w:val="003D7F14"/>
    <w:rsid w:val="003D7F46"/>
    <w:rsid w:val="003E0033"/>
    <w:rsid w:val="003E01C6"/>
    <w:rsid w:val="003E02EA"/>
    <w:rsid w:val="003E03BE"/>
    <w:rsid w:val="003E05F0"/>
    <w:rsid w:val="003E061B"/>
    <w:rsid w:val="003E070E"/>
    <w:rsid w:val="003E074E"/>
    <w:rsid w:val="003E0A81"/>
    <w:rsid w:val="003E0ADE"/>
    <w:rsid w:val="003E0BA3"/>
    <w:rsid w:val="003E0EAE"/>
    <w:rsid w:val="003E1187"/>
    <w:rsid w:val="003E1201"/>
    <w:rsid w:val="003E1203"/>
    <w:rsid w:val="003E1277"/>
    <w:rsid w:val="003E138D"/>
    <w:rsid w:val="003E146D"/>
    <w:rsid w:val="003E14DC"/>
    <w:rsid w:val="003E15BD"/>
    <w:rsid w:val="003E1672"/>
    <w:rsid w:val="003E1820"/>
    <w:rsid w:val="003E1A26"/>
    <w:rsid w:val="003E1B3E"/>
    <w:rsid w:val="003E1BE8"/>
    <w:rsid w:val="003E1C87"/>
    <w:rsid w:val="003E1E8C"/>
    <w:rsid w:val="003E20CB"/>
    <w:rsid w:val="003E2281"/>
    <w:rsid w:val="003E22D4"/>
    <w:rsid w:val="003E2370"/>
    <w:rsid w:val="003E246D"/>
    <w:rsid w:val="003E246F"/>
    <w:rsid w:val="003E2689"/>
    <w:rsid w:val="003E26CD"/>
    <w:rsid w:val="003E2A21"/>
    <w:rsid w:val="003E2C7E"/>
    <w:rsid w:val="003E2D92"/>
    <w:rsid w:val="003E3015"/>
    <w:rsid w:val="003E3150"/>
    <w:rsid w:val="003E3391"/>
    <w:rsid w:val="003E348B"/>
    <w:rsid w:val="003E3A1D"/>
    <w:rsid w:val="003E3ECF"/>
    <w:rsid w:val="003E3F98"/>
    <w:rsid w:val="003E4002"/>
    <w:rsid w:val="003E4442"/>
    <w:rsid w:val="003E466C"/>
    <w:rsid w:val="003E49BA"/>
    <w:rsid w:val="003E4AAE"/>
    <w:rsid w:val="003E4C0B"/>
    <w:rsid w:val="003E4C98"/>
    <w:rsid w:val="003E4CE3"/>
    <w:rsid w:val="003E4CE9"/>
    <w:rsid w:val="003E4E6A"/>
    <w:rsid w:val="003E535F"/>
    <w:rsid w:val="003E5400"/>
    <w:rsid w:val="003E569E"/>
    <w:rsid w:val="003E593D"/>
    <w:rsid w:val="003E594E"/>
    <w:rsid w:val="003E5DA9"/>
    <w:rsid w:val="003E6194"/>
    <w:rsid w:val="003E62BA"/>
    <w:rsid w:val="003E6510"/>
    <w:rsid w:val="003E6631"/>
    <w:rsid w:val="003E6939"/>
    <w:rsid w:val="003E69B9"/>
    <w:rsid w:val="003E69FF"/>
    <w:rsid w:val="003E6AB8"/>
    <w:rsid w:val="003E6B43"/>
    <w:rsid w:val="003E6EA6"/>
    <w:rsid w:val="003E6F12"/>
    <w:rsid w:val="003E70DE"/>
    <w:rsid w:val="003E71E0"/>
    <w:rsid w:val="003E71EC"/>
    <w:rsid w:val="003E7230"/>
    <w:rsid w:val="003E72E1"/>
    <w:rsid w:val="003E7333"/>
    <w:rsid w:val="003E73DB"/>
    <w:rsid w:val="003E73E3"/>
    <w:rsid w:val="003E74AB"/>
    <w:rsid w:val="003E7561"/>
    <w:rsid w:val="003E79F6"/>
    <w:rsid w:val="003E7AFE"/>
    <w:rsid w:val="003F061C"/>
    <w:rsid w:val="003F06AF"/>
    <w:rsid w:val="003F080E"/>
    <w:rsid w:val="003F0857"/>
    <w:rsid w:val="003F0892"/>
    <w:rsid w:val="003F0A0F"/>
    <w:rsid w:val="003F0ADC"/>
    <w:rsid w:val="003F0D5C"/>
    <w:rsid w:val="003F0E1E"/>
    <w:rsid w:val="003F108B"/>
    <w:rsid w:val="003F10B9"/>
    <w:rsid w:val="003F1276"/>
    <w:rsid w:val="003F1637"/>
    <w:rsid w:val="003F16E4"/>
    <w:rsid w:val="003F16EB"/>
    <w:rsid w:val="003F1877"/>
    <w:rsid w:val="003F19DA"/>
    <w:rsid w:val="003F1A04"/>
    <w:rsid w:val="003F1E27"/>
    <w:rsid w:val="003F1E2F"/>
    <w:rsid w:val="003F1EA1"/>
    <w:rsid w:val="003F2136"/>
    <w:rsid w:val="003F2224"/>
    <w:rsid w:val="003F2402"/>
    <w:rsid w:val="003F25C9"/>
    <w:rsid w:val="003F2920"/>
    <w:rsid w:val="003F2A90"/>
    <w:rsid w:val="003F2BEB"/>
    <w:rsid w:val="003F2E28"/>
    <w:rsid w:val="003F2E54"/>
    <w:rsid w:val="003F2FEF"/>
    <w:rsid w:val="003F300B"/>
    <w:rsid w:val="003F3284"/>
    <w:rsid w:val="003F3984"/>
    <w:rsid w:val="003F3AAF"/>
    <w:rsid w:val="003F3C0E"/>
    <w:rsid w:val="003F3D2F"/>
    <w:rsid w:val="003F3D30"/>
    <w:rsid w:val="003F3D81"/>
    <w:rsid w:val="003F3F82"/>
    <w:rsid w:val="003F413F"/>
    <w:rsid w:val="003F446B"/>
    <w:rsid w:val="003F461F"/>
    <w:rsid w:val="003F4A72"/>
    <w:rsid w:val="003F4BB5"/>
    <w:rsid w:val="003F4D48"/>
    <w:rsid w:val="003F4E5E"/>
    <w:rsid w:val="003F4EA6"/>
    <w:rsid w:val="003F4F8C"/>
    <w:rsid w:val="003F5039"/>
    <w:rsid w:val="003F5049"/>
    <w:rsid w:val="003F527B"/>
    <w:rsid w:val="003F5558"/>
    <w:rsid w:val="003F5594"/>
    <w:rsid w:val="003F5644"/>
    <w:rsid w:val="003F56F0"/>
    <w:rsid w:val="003F5818"/>
    <w:rsid w:val="003F5922"/>
    <w:rsid w:val="003F5B89"/>
    <w:rsid w:val="003F5C6B"/>
    <w:rsid w:val="003F5D6F"/>
    <w:rsid w:val="003F5E95"/>
    <w:rsid w:val="003F5EBE"/>
    <w:rsid w:val="003F5EBF"/>
    <w:rsid w:val="003F5FAB"/>
    <w:rsid w:val="003F615A"/>
    <w:rsid w:val="003F6285"/>
    <w:rsid w:val="003F6289"/>
    <w:rsid w:val="003F6570"/>
    <w:rsid w:val="003F66DD"/>
    <w:rsid w:val="003F699A"/>
    <w:rsid w:val="003F69B0"/>
    <w:rsid w:val="003F69C6"/>
    <w:rsid w:val="003F69F9"/>
    <w:rsid w:val="003F6C49"/>
    <w:rsid w:val="003F6D99"/>
    <w:rsid w:val="003F6DD2"/>
    <w:rsid w:val="003F6FF0"/>
    <w:rsid w:val="003F72EB"/>
    <w:rsid w:val="003F7332"/>
    <w:rsid w:val="003F740C"/>
    <w:rsid w:val="003F741B"/>
    <w:rsid w:val="003F76FC"/>
    <w:rsid w:val="003F77B1"/>
    <w:rsid w:val="003F7A13"/>
    <w:rsid w:val="003F7D6B"/>
    <w:rsid w:val="003F7DAB"/>
    <w:rsid w:val="003F7F1C"/>
    <w:rsid w:val="003F7FB7"/>
    <w:rsid w:val="0040000E"/>
    <w:rsid w:val="00400090"/>
    <w:rsid w:val="00400313"/>
    <w:rsid w:val="004003A8"/>
    <w:rsid w:val="00400408"/>
    <w:rsid w:val="00400466"/>
    <w:rsid w:val="004005A5"/>
    <w:rsid w:val="0040062E"/>
    <w:rsid w:val="004006A6"/>
    <w:rsid w:val="004008EA"/>
    <w:rsid w:val="00400AD6"/>
    <w:rsid w:val="00400C4A"/>
    <w:rsid w:val="00400CB0"/>
    <w:rsid w:val="00400CCA"/>
    <w:rsid w:val="00400E58"/>
    <w:rsid w:val="00400E98"/>
    <w:rsid w:val="0040111E"/>
    <w:rsid w:val="00401172"/>
    <w:rsid w:val="00401284"/>
    <w:rsid w:val="004013A2"/>
    <w:rsid w:val="00401580"/>
    <w:rsid w:val="0040164B"/>
    <w:rsid w:val="004016B3"/>
    <w:rsid w:val="0040174E"/>
    <w:rsid w:val="00401B23"/>
    <w:rsid w:val="0040207B"/>
    <w:rsid w:val="004020EB"/>
    <w:rsid w:val="004021A7"/>
    <w:rsid w:val="004022DB"/>
    <w:rsid w:val="0040233B"/>
    <w:rsid w:val="00402464"/>
    <w:rsid w:val="0040278F"/>
    <w:rsid w:val="00402983"/>
    <w:rsid w:val="004029FF"/>
    <w:rsid w:val="00402ABD"/>
    <w:rsid w:val="00402B29"/>
    <w:rsid w:val="00402BCC"/>
    <w:rsid w:val="00402EF6"/>
    <w:rsid w:val="00402F8B"/>
    <w:rsid w:val="00403079"/>
    <w:rsid w:val="00403267"/>
    <w:rsid w:val="00403456"/>
    <w:rsid w:val="00403558"/>
    <w:rsid w:val="004038D1"/>
    <w:rsid w:val="0040399A"/>
    <w:rsid w:val="00403AB2"/>
    <w:rsid w:val="00403B05"/>
    <w:rsid w:val="00403C0F"/>
    <w:rsid w:val="00403E92"/>
    <w:rsid w:val="00404297"/>
    <w:rsid w:val="00404375"/>
    <w:rsid w:val="0040437C"/>
    <w:rsid w:val="00404737"/>
    <w:rsid w:val="0040491C"/>
    <w:rsid w:val="00404A9B"/>
    <w:rsid w:val="00404DC5"/>
    <w:rsid w:val="0040515B"/>
    <w:rsid w:val="00405174"/>
    <w:rsid w:val="004051B8"/>
    <w:rsid w:val="004051DE"/>
    <w:rsid w:val="004051F8"/>
    <w:rsid w:val="004052BC"/>
    <w:rsid w:val="0040545C"/>
    <w:rsid w:val="004054B8"/>
    <w:rsid w:val="00405550"/>
    <w:rsid w:val="00405AD7"/>
    <w:rsid w:val="00405B24"/>
    <w:rsid w:val="00405BF4"/>
    <w:rsid w:val="00405C5B"/>
    <w:rsid w:val="00405C9F"/>
    <w:rsid w:val="00405DEA"/>
    <w:rsid w:val="00405FAC"/>
    <w:rsid w:val="004060C3"/>
    <w:rsid w:val="0040624E"/>
    <w:rsid w:val="0040627B"/>
    <w:rsid w:val="0040637B"/>
    <w:rsid w:val="004066C3"/>
    <w:rsid w:val="00406833"/>
    <w:rsid w:val="00406879"/>
    <w:rsid w:val="004068D5"/>
    <w:rsid w:val="004069A7"/>
    <w:rsid w:val="00406AA3"/>
    <w:rsid w:val="00407106"/>
    <w:rsid w:val="00407359"/>
    <w:rsid w:val="00407547"/>
    <w:rsid w:val="004075F5"/>
    <w:rsid w:val="004077C7"/>
    <w:rsid w:val="00407823"/>
    <w:rsid w:val="00407A22"/>
    <w:rsid w:val="00407A83"/>
    <w:rsid w:val="00407B82"/>
    <w:rsid w:val="00407BFF"/>
    <w:rsid w:val="00407CA1"/>
    <w:rsid w:val="00407CD6"/>
    <w:rsid w:val="00407E92"/>
    <w:rsid w:val="00407FBE"/>
    <w:rsid w:val="004101D5"/>
    <w:rsid w:val="00410356"/>
    <w:rsid w:val="004105B5"/>
    <w:rsid w:val="00410779"/>
    <w:rsid w:val="00410801"/>
    <w:rsid w:val="0041092A"/>
    <w:rsid w:val="00410A7C"/>
    <w:rsid w:val="00410F24"/>
    <w:rsid w:val="004110A8"/>
    <w:rsid w:val="0041116F"/>
    <w:rsid w:val="004111FD"/>
    <w:rsid w:val="004112DD"/>
    <w:rsid w:val="00411301"/>
    <w:rsid w:val="00411646"/>
    <w:rsid w:val="00411724"/>
    <w:rsid w:val="004117BB"/>
    <w:rsid w:val="00411953"/>
    <w:rsid w:val="00411A5B"/>
    <w:rsid w:val="00411B30"/>
    <w:rsid w:val="00411D92"/>
    <w:rsid w:val="00411DF0"/>
    <w:rsid w:val="00411F46"/>
    <w:rsid w:val="00411F9C"/>
    <w:rsid w:val="0041207F"/>
    <w:rsid w:val="004120D0"/>
    <w:rsid w:val="00412358"/>
    <w:rsid w:val="004123B9"/>
    <w:rsid w:val="0041246B"/>
    <w:rsid w:val="0041262C"/>
    <w:rsid w:val="00412771"/>
    <w:rsid w:val="004129D4"/>
    <w:rsid w:val="00412A07"/>
    <w:rsid w:val="00412CF1"/>
    <w:rsid w:val="00412CF3"/>
    <w:rsid w:val="00412E2D"/>
    <w:rsid w:val="00412E66"/>
    <w:rsid w:val="00412EA0"/>
    <w:rsid w:val="00413477"/>
    <w:rsid w:val="0041362C"/>
    <w:rsid w:val="004138DD"/>
    <w:rsid w:val="0041393E"/>
    <w:rsid w:val="00413ABE"/>
    <w:rsid w:val="00413ED4"/>
    <w:rsid w:val="00413FB0"/>
    <w:rsid w:val="00413FFF"/>
    <w:rsid w:val="00414065"/>
    <w:rsid w:val="004141C7"/>
    <w:rsid w:val="00414659"/>
    <w:rsid w:val="004146B4"/>
    <w:rsid w:val="00414970"/>
    <w:rsid w:val="004149D8"/>
    <w:rsid w:val="00414D0D"/>
    <w:rsid w:val="00414DD4"/>
    <w:rsid w:val="00414E12"/>
    <w:rsid w:val="00414E6E"/>
    <w:rsid w:val="00415151"/>
    <w:rsid w:val="00415270"/>
    <w:rsid w:val="004153B9"/>
    <w:rsid w:val="004153E0"/>
    <w:rsid w:val="0041557E"/>
    <w:rsid w:val="004158F7"/>
    <w:rsid w:val="00415C5A"/>
    <w:rsid w:val="00415C77"/>
    <w:rsid w:val="00415D44"/>
    <w:rsid w:val="00415E6A"/>
    <w:rsid w:val="00415E70"/>
    <w:rsid w:val="00415F1D"/>
    <w:rsid w:val="00416074"/>
    <w:rsid w:val="00416083"/>
    <w:rsid w:val="00416260"/>
    <w:rsid w:val="00416470"/>
    <w:rsid w:val="00416669"/>
    <w:rsid w:val="00416700"/>
    <w:rsid w:val="004167EA"/>
    <w:rsid w:val="00416A95"/>
    <w:rsid w:val="00416AB1"/>
    <w:rsid w:val="00416ED4"/>
    <w:rsid w:val="0041701E"/>
    <w:rsid w:val="0041715A"/>
    <w:rsid w:val="004171CE"/>
    <w:rsid w:val="00417214"/>
    <w:rsid w:val="0041729B"/>
    <w:rsid w:val="00417614"/>
    <w:rsid w:val="00417832"/>
    <w:rsid w:val="00417A27"/>
    <w:rsid w:val="00417D85"/>
    <w:rsid w:val="00417F50"/>
    <w:rsid w:val="00417F9A"/>
    <w:rsid w:val="0042006E"/>
    <w:rsid w:val="004200F2"/>
    <w:rsid w:val="00420215"/>
    <w:rsid w:val="00420702"/>
    <w:rsid w:val="00420784"/>
    <w:rsid w:val="0042098A"/>
    <w:rsid w:val="00420BCF"/>
    <w:rsid w:val="00420C87"/>
    <w:rsid w:val="00420D07"/>
    <w:rsid w:val="00421039"/>
    <w:rsid w:val="00421282"/>
    <w:rsid w:val="004213EA"/>
    <w:rsid w:val="0042142C"/>
    <w:rsid w:val="00421508"/>
    <w:rsid w:val="0042165A"/>
    <w:rsid w:val="004218CF"/>
    <w:rsid w:val="00421991"/>
    <w:rsid w:val="004219AF"/>
    <w:rsid w:val="00421A8F"/>
    <w:rsid w:val="00421B41"/>
    <w:rsid w:val="00421B5B"/>
    <w:rsid w:val="00421D71"/>
    <w:rsid w:val="00421E90"/>
    <w:rsid w:val="00421F67"/>
    <w:rsid w:val="0042213C"/>
    <w:rsid w:val="00422294"/>
    <w:rsid w:val="00422341"/>
    <w:rsid w:val="004223CE"/>
    <w:rsid w:val="00422479"/>
    <w:rsid w:val="00422492"/>
    <w:rsid w:val="0042277D"/>
    <w:rsid w:val="00422845"/>
    <w:rsid w:val="0042290B"/>
    <w:rsid w:val="004229F2"/>
    <w:rsid w:val="00422A99"/>
    <w:rsid w:val="00422B0C"/>
    <w:rsid w:val="00422EFE"/>
    <w:rsid w:val="00423171"/>
    <w:rsid w:val="004233F1"/>
    <w:rsid w:val="00423854"/>
    <w:rsid w:val="00423B01"/>
    <w:rsid w:val="00423BBD"/>
    <w:rsid w:val="00423BF6"/>
    <w:rsid w:val="00423DC5"/>
    <w:rsid w:val="00423F11"/>
    <w:rsid w:val="0042413D"/>
    <w:rsid w:val="0042425E"/>
    <w:rsid w:val="0042428E"/>
    <w:rsid w:val="00424309"/>
    <w:rsid w:val="004243AE"/>
    <w:rsid w:val="00424559"/>
    <w:rsid w:val="00424734"/>
    <w:rsid w:val="0042473B"/>
    <w:rsid w:val="0042489E"/>
    <w:rsid w:val="004249CD"/>
    <w:rsid w:val="00424CB7"/>
    <w:rsid w:val="00424ED0"/>
    <w:rsid w:val="00424EFA"/>
    <w:rsid w:val="00424EFC"/>
    <w:rsid w:val="00425049"/>
    <w:rsid w:val="00425141"/>
    <w:rsid w:val="00425468"/>
    <w:rsid w:val="0042553F"/>
    <w:rsid w:val="004255CB"/>
    <w:rsid w:val="004257DD"/>
    <w:rsid w:val="00425A5B"/>
    <w:rsid w:val="00425A70"/>
    <w:rsid w:val="00425D3B"/>
    <w:rsid w:val="0042618A"/>
    <w:rsid w:val="004261E6"/>
    <w:rsid w:val="00426286"/>
    <w:rsid w:val="0042636C"/>
    <w:rsid w:val="004263B6"/>
    <w:rsid w:val="004263C1"/>
    <w:rsid w:val="0042642F"/>
    <w:rsid w:val="004264FE"/>
    <w:rsid w:val="00426670"/>
    <w:rsid w:val="0042675A"/>
    <w:rsid w:val="00426A1E"/>
    <w:rsid w:val="00426A66"/>
    <w:rsid w:val="00426BF9"/>
    <w:rsid w:val="00426CF2"/>
    <w:rsid w:val="00426DCF"/>
    <w:rsid w:val="00426E3D"/>
    <w:rsid w:val="004271F3"/>
    <w:rsid w:val="00427458"/>
    <w:rsid w:val="0042745C"/>
    <w:rsid w:val="00427640"/>
    <w:rsid w:val="004276D7"/>
    <w:rsid w:val="00427AD2"/>
    <w:rsid w:val="00427B19"/>
    <w:rsid w:val="00427D04"/>
    <w:rsid w:val="004302E4"/>
    <w:rsid w:val="0043059B"/>
    <w:rsid w:val="004305F8"/>
    <w:rsid w:val="00430675"/>
    <w:rsid w:val="00430695"/>
    <w:rsid w:val="004306A7"/>
    <w:rsid w:val="00430864"/>
    <w:rsid w:val="00430941"/>
    <w:rsid w:val="00430DA6"/>
    <w:rsid w:val="00430EF9"/>
    <w:rsid w:val="00430FC9"/>
    <w:rsid w:val="00430FD4"/>
    <w:rsid w:val="004310B0"/>
    <w:rsid w:val="0043115D"/>
    <w:rsid w:val="004314E1"/>
    <w:rsid w:val="00431628"/>
    <w:rsid w:val="00431C94"/>
    <w:rsid w:val="00431DC9"/>
    <w:rsid w:val="00431EED"/>
    <w:rsid w:val="00431F27"/>
    <w:rsid w:val="00432002"/>
    <w:rsid w:val="004321B4"/>
    <w:rsid w:val="004321EA"/>
    <w:rsid w:val="004322C2"/>
    <w:rsid w:val="0043237E"/>
    <w:rsid w:val="004323D5"/>
    <w:rsid w:val="004323E9"/>
    <w:rsid w:val="00432465"/>
    <w:rsid w:val="00432505"/>
    <w:rsid w:val="0043279D"/>
    <w:rsid w:val="00432913"/>
    <w:rsid w:val="00432E7C"/>
    <w:rsid w:val="00432FC4"/>
    <w:rsid w:val="004337D5"/>
    <w:rsid w:val="004339C6"/>
    <w:rsid w:val="00433B5F"/>
    <w:rsid w:val="00433BBA"/>
    <w:rsid w:val="00433BFF"/>
    <w:rsid w:val="00433D27"/>
    <w:rsid w:val="00433D2D"/>
    <w:rsid w:val="00434029"/>
    <w:rsid w:val="00434189"/>
    <w:rsid w:val="00434266"/>
    <w:rsid w:val="004343DC"/>
    <w:rsid w:val="00434D19"/>
    <w:rsid w:val="00434D2B"/>
    <w:rsid w:val="00434E68"/>
    <w:rsid w:val="00434E8F"/>
    <w:rsid w:val="00434F25"/>
    <w:rsid w:val="00434F88"/>
    <w:rsid w:val="004350E4"/>
    <w:rsid w:val="0043528A"/>
    <w:rsid w:val="004353C0"/>
    <w:rsid w:val="0043547E"/>
    <w:rsid w:val="00435726"/>
    <w:rsid w:val="00435890"/>
    <w:rsid w:val="004358BB"/>
    <w:rsid w:val="00435A2F"/>
    <w:rsid w:val="00435A8F"/>
    <w:rsid w:val="00435B45"/>
    <w:rsid w:val="00435DBB"/>
    <w:rsid w:val="00435DE0"/>
    <w:rsid w:val="00435DEE"/>
    <w:rsid w:val="00435EE0"/>
    <w:rsid w:val="00436100"/>
    <w:rsid w:val="0043627B"/>
    <w:rsid w:val="004362A7"/>
    <w:rsid w:val="004363AE"/>
    <w:rsid w:val="004363B1"/>
    <w:rsid w:val="004363C0"/>
    <w:rsid w:val="004364AA"/>
    <w:rsid w:val="0043655A"/>
    <w:rsid w:val="00436AF1"/>
    <w:rsid w:val="00436B1F"/>
    <w:rsid w:val="00436B6E"/>
    <w:rsid w:val="00436CB0"/>
    <w:rsid w:val="00436DE0"/>
    <w:rsid w:val="00436E4A"/>
    <w:rsid w:val="004370A4"/>
    <w:rsid w:val="004372D2"/>
    <w:rsid w:val="0043739F"/>
    <w:rsid w:val="00437485"/>
    <w:rsid w:val="004377C3"/>
    <w:rsid w:val="00437B74"/>
    <w:rsid w:val="00437C0F"/>
    <w:rsid w:val="00437EC3"/>
    <w:rsid w:val="00437F13"/>
    <w:rsid w:val="004400C7"/>
    <w:rsid w:val="0044041B"/>
    <w:rsid w:val="00440582"/>
    <w:rsid w:val="00440709"/>
    <w:rsid w:val="0044075D"/>
    <w:rsid w:val="0044079B"/>
    <w:rsid w:val="0044117C"/>
    <w:rsid w:val="004413C7"/>
    <w:rsid w:val="00441422"/>
    <w:rsid w:val="0044173C"/>
    <w:rsid w:val="004417AC"/>
    <w:rsid w:val="00441A16"/>
    <w:rsid w:val="00441A36"/>
    <w:rsid w:val="00441B99"/>
    <w:rsid w:val="00441BAE"/>
    <w:rsid w:val="00441BF4"/>
    <w:rsid w:val="00441C46"/>
    <w:rsid w:val="00441CA0"/>
    <w:rsid w:val="00441E19"/>
    <w:rsid w:val="00441E82"/>
    <w:rsid w:val="00441FE0"/>
    <w:rsid w:val="00441FE7"/>
    <w:rsid w:val="00442110"/>
    <w:rsid w:val="00442167"/>
    <w:rsid w:val="004422BF"/>
    <w:rsid w:val="00442457"/>
    <w:rsid w:val="004424F6"/>
    <w:rsid w:val="004425B3"/>
    <w:rsid w:val="004425EA"/>
    <w:rsid w:val="004426E6"/>
    <w:rsid w:val="00442752"/>
    <w:rsid w:val="00442788"/>
    <w:rsid w:val="004427DE"/>
    <w:rsid w:val="00442808"/>
    <w:rsid w:val="00442961"/>
    <w:rsid w:val="004429B2"/>
    <w:rsid w:val="00442B51"/>
    <w:rsid w:val="00442BC0"/>
    <w:rsid w:val="00442E2A"/>
    <w:rsid w:val="00442E77"/>
    <w:rsid w:val="00442F5A"/>
    <w:rsid w:val="0044300A"/>
    <w:rsid w:val="00443070"/>
    <w:rsid w:val="004430A0"/>
    <w:rsid w:val="00443118"/>
    <w:rsid w:val="004433F3"/>
    <w:rsid w:val="00443517"/>
    <w:rsid w:val="0044370B"/>
    <w:rsid w:val="00443912"/>
    <w:rsid w:val="00443A14"/>
    <w:rsid w:val="00443DE1"/>
    <w:rsid w:val="00443E8D"/>
    <w:rsid w:val="00443EF1"/>
    <w:rsid w:val="0044409C"/>
    <w:rsid w:val="00444177"/>
    <w:rsid w:val="004442A6"/>
    <w:rsid w:val="004443BD"/>
    <w:rsid w:val="004443E7"/>
    <w:rsid w:val="004444D2"/>
    <w:rsid w:val="00444A71"/>
    <w:rsid w:val="00444BFC"/>
    <w:rsid w:val="00444C61"/>
    <w:rsid w:val="00445260"/>
    <w:rsid w:val="00445274"/>
    <w:rsid w:val="00445298"/>
    <w:rsid w:val="00445455"/>
    <w:rsid w:val="00445539"/>
    <w:rsid w:val="00445564"/>
    <w:rsid w:val="0044558B"/>
    <w:rsid w:val="00445673"/>
    <w:rsid w:val="004457DE"/>
    <w:rsid w:val="00445820"/>
    <w:rsid w:val="004458C0"/>
    <w:rsid w:val="004458DF"/>
    <w:rsid w:val="00445A73"/>
    <w:rsid w:val="00445C82"/>
    <w:rsid w:val="00445E5A"/>
    <w:rsid w:val="00445EB8"/>
    <w:rsid w:val="00445F46"/>
    <w:rsid w:val="0044619C"/>
    <w:rsid w:val="0044637A"/>
    <w:rsid w:val="004463FD"/>
    <w:rsid w:val="004464C1"/>
    <w:rsid w:val="004465DA"/>
    <w:rsid w:val="0044684E"/>
    <w:rsid w:val="00446AA1"/>
    <w:rsid w:val="00446B87"/>
    <w:rsid w:val="00446C09"/>
    <w:rsid w:val="00446CA9"/>
    <w:rsid w:val="00446DBC"/>
    <w:rsid w:val="00446E1A"/>
    <w:rsid w:val="004472E4"/>
    <w:rsid w:val="0044744E"/>
    <w:rsid w:val="004474F1"/>
    <w:rsid w:val="004477C0"/>
    <w:rsid w:val="00447820"/>
    <w:rsid w:val="00450401"/>
    <w:rsid w:val="0045047E"/>
    <w:rsid w:val="004504B5"/>
    <w:rsid w:val="00450502"/>
    <w:rsid w:val="0045059B"/>
    <w:rsid w:val="004506C4"/>
    <w:rsid w:val="0045079B"/>
    <w:rsid w:val="0045081C"/>
    <w:rsid w:val="0045097F"/>
    <w:rsid w:val="004509E3"/>
    <w:rsid w:val="00450B1D"/>
    <w:rsid w:val="00450B3B"/>
    <w:rsid w:val="00450D11"/>
    <w:rsid w:val="00450D22"/>
    <w:rsid w:val="00450E3F"/>
    <w:rsid w:val="00450EB7"/>
    <w:rsid w:val="0045107E"/>
    <w:rsid w:val="00451160"/>
    <w:rsid w:val="00451168"/>
    <w:rsid w:val="00451379"/>
    <w:rsid w:val="0045144A"/>
    <w:rsid w:val="0045146F"/>
    <w:rsid w:val="00451676"/>
    <w:rsid w:val="004519F2"/>
    <w:rsid w:val="00451A9C"/>
    <w:rsid w:val="00451AB0"/>
    <w:rsid w:val="00451AD9"/>
    <w:rsid w:val="00451B40"/>
    <w:rsid w:val="00451B7C"/>
    <w:rsid w:val="00451BB2"/>
    <w:rsid w:val="00451DCB"/>
    <w:rsid w:val="00451ECF"/>
    <w:rsid w:val="00451F5F"/>
    <w:rsid w:val="00452216"/>
    <w:rsid w:val="00452268"/>
    <w:rsid w:val="00452527"/>
    <w:rsid w:val="0045256F"/>
    <w:rsid w:val="004525C3"/>
    <w:rsid w:val="004526EF"/>
    <w:rsid w:val="00452993"/>
    <w:rsid w:val="00452AAC"/>
    <w:rsid w:val="00452BA1"/>
    <w:rsid w:val="00452BD2"/>
    <w:rsid w:val="00452D70"/>
    <w:rsid w:val="00452F12"/>
    <w:rsid w:val="00452FD7"/>
    <w:rsid w:val="00453061"/>
    <w:rsid w:val="004532CB"/>
    <w:rsid w:val="004532D1"/>
    <w:rsid w:val="0045331B"/>
    <w:rsid w:val="0045332D"/>
    <w:rsid w:val="004533CA"/>
    <w:rsid w:val="00453439"/>
    <w:rsid w:val="0045349A"/>
    <w:rsid w:val="00453527"/>
    <w:rsid w:val="00453647"/>
    <w:rsid w:val="00453663"/>
    <w:rsid w:val="004536FB"/>
    <w:rsid w:val="0045379B"/>
    <w:rsid w:val="00453B02"/>
    <w:rsid w:val="00453E3D"/>
    <w:rsid w:val="00453E4A"/>
    <w:rsid w:val="00453EC0"/>
    <w:rsid w:val="00453F3C"/>
    <w:rsid w:val="004540F2"/>
    <w:rsid w:val="0045416C"/>
    <w:rsid w:val="004542ED"/>
    <w:rsid w:val="00454503"/>
    <w:rsid w:val="00454667"/>
    <w:rsid w:val="0045487C"/>
    <w:rsid w:val="00454957"/>
    <w:rsid w:val="00454B23"/>
    <w:rsid w:val="00454EB9"/>
    <w:rsid w:val="00455079"/>
    <w:rsid w:val="004550DC"/>
    <w:rsid w:val="004551FB"/>
    <w:rsid w:val="00455255"/>
    <w:rsid w:val="004552D4"/>
    <w:rsid w:val="00455385"/>
    <w:rsid w:val="00455756"/>
    <w:rsid w:val="004557BF"/>
    <w:rsid w:val="00455870"/>
    <w:rsid w:val="00455889"/>
    <w:rsid w:val="0045589E"/>
    <w:rsid w:val="00455ACD"/>
    <w:rsid w:val="00455C00"/>
    <w:rsid w:val="00455C98"/>
    <w:rsid w:val="00455E2B"/>
    <w:rsid w:val="00455E3A"/>
    <w:rsid w:val="00455EF8"/>
    <w:rsid w:val="00455FBE"/>
    <w:rsid w:val="00456556"/>
    <w:rsid w:val="0045658B"/>
    <w:rsid w:val="004565B0"/>
    <w:rsid w:val="004565B5"/>
    <w:rsid w:val="00456699"/>
    <w:rsid w:val="004567B3"/>
    <w:rsid w:val="0045697F"/>
    <w:rsid w:val="00456A0C"/>
    <w:rsid w:val="00456B0F"/>
    <w:rsid w:val="00456BD5"/>
    <w:rsid w:val="00456BE2"/>
    <w:rsid w:val="00456BE7"/>
    <w:rsid w:val="00456D79"/>
    <w:rsid w:val="00456E6B"/>
    <w:rsid w:val="00456F01"/>
    <w:rsid w:val="0045708E"/>
    <w:rsid w:val="00457168"/>
    <w:rsid w:val="004571BB"/>
    <w:rsid w:val="00457215"/>
    <w:rsid w:val="00457555"/>
    <w:rsid w:val="004575BE"/>
    <w:rsid w:val="004577FC"/>
    <w:rsid w:val="00457938"/>
    <w:rsid w:val="00457A69"/>
    <w:rsid w:val="00457B8F"/>
    <w:rsid w:val="00457B94"/>
    <w:rsid w:val="00460010"/>
    <w:rsid w:val="004601C5"/>
    <w:rsid w:val="004601E3"/>
    <w:rsid w:val="004603DD"/>
    <w:rsid w:val="0046044B"/>
    <w:rsid w:val="004604ED"/>
    <w:rsid w:val="00460875"/>
    <w:rsid w:val="00460908"/>
    <w:rsid w:val="00460ADB"/>
    <w:rsid w:val="00460BC5"/>
    <w:rsid w:val="00460E0E"/>
    <w:rsid w:val="00460E8B"/>
    <w:rsid w:val="00461006"/>
    <w:rsid w:val="00461105"/>
    <w:rsid w:val="00461163"/>
    <w:rsid w:val="00461322"/>
    <w:rsid w:val="00461365"/>
    <w:rsid w:val="004613BB"/>
    <w:rsid w:val="00461450"/>
    <w:rsid w:val="00461457"/>
    <w:rsid w:val="004614AE"/>
    <w:rsid w:val="0046175A"/>
    <w:rsid w:val="004617DC"/>
    <w:rsid w:val="0046180B"/>
    <w:rsid w:val="00461861"/>
    <w:rsid w:val="004618C2"/>
    <w:rsid w:val="00461BBE"/>
    <w:rsid w:val="00461D9E"/>
    <w:rsid w:val="00461DB2"/>
    <w:rsid w:val="00461F89"/>
    <w:rsid w:val="00462089"/>
    <w:rsid w:val="004623BC"/>
    <w:rsid w:val="00462617"/>
    <w:rsid w:val="00462862"/>
    <w:rsid w:val="00462962"/>
    <w:rsid w:val="004629EA"/>
    <w:rsid w:val="00462B1B"/>
    <w:rsid w:val="00462B7B"/>
    <w:rsid w:val="00462BC4"/>
    <w:rsid w:val="00462DCE"/>
    <w:rsid w:val="00462F09"/>
    <w:rsid w:val="00462FAF"/>
    <w:rsid w:val="00463163"/>
    <w:rsid w:val="00463552"/>
    <w:rsid w:val="00463619"/>
    <w:rsid w:val="00463992"/>
    <w:rsid w:val="00463DAE"/>
    <w:rsid w:val="00463F43"/>
    <w:rsid w:val="00464080"/>
    <w:rsid w:val="0046412A"/>
    <w:rsid w:val="0046429B"/>
    <w:rsid w:val="00464300"/>
    <w:rsid w:val="004643C9"/>
    <w:rsid w:val="00464528"/>
    <w:rsid w:val="004645F9"/>
    <w:rsid w:val="00464611"/>
    <w:rsid w:val="004646F7"/>
    <w:rsid w:val="004647EC"/>
    <w:rsid w:val="004648E5"/>
    <w:rsid w:val="00464962"/>
    <w:rsid w:val="00464D7B"/>
    <w:rsid w:val="00464F36"/>
    <w:rsid w:val="00464FD2"/>
    <w:rsid w:val="0046523A"/>
    <w:rsid w:val="004653E4"/>
    <w:rsid w:val="0046554F"/>
    <w:rsid w:val="004656D8"/>
    <w:rsid w:val="00465709"/>
    <w:rsid w:val="0046575E"/>
    <w:rsid w:val="004657CA"/>
    <w:rsid w:val="004658C5"/>
    <w:rsid w:val="00465926"/>
    <w:rsid w:val="00465A3A"/>
    <w:rsid w:val="00465AA7"/>
    <w:rsid w:val="00465B89"/>
    <w:rsid w:val="00465DE1"/>
    <w:rsid w:val="00465F88"/>
    <w:rsid w:val="0046614A"/>
    <w:rsid w:val="0046616B"/>
    <w:rsid w:val="00466412"/>
    <w:rsid w:val="004664C3"/>
    <w:rsid w:val="004668BE"/>
    <w:rsid w:val="00466975"/>
    <w:rsid w:val="004669D3"/>
    <w:rsid w:val="004669F6"/>
    <w:rsid w:val="00466A3D"/>
    <w:rsid w:val="00466DCC"/>
    <w:rsid w:val="00467036"/>
    <w:rsid w:val="004670BD"/>
    <w:rsid w:val="004670D7"/>
    <w:rsid w:val="00467323"/>
    <w:rsid w:val="0046733E"/>
    <w:rsid w:val="0046761B"/>
    <w:rsid w:val="0046766D"/>
    <w:rsid w:val="0046788E"/>
    <w:rsid w:val="004678A2"/>
    <w:rsid w:val="00467A15"/>
    <w:rsid w:val="00467CCD"/>
    <w:rsid w:val="00467D04"/>
    <w:rsid w:val="00467D34"/>
    <w:rsid w:val="00467E68"/>
    <w:rsid w:val="00467F5C"/>
    <w:rsid w:val="00467FFB"/>
    <w:rsid w:val="0047004B"/>
    <w:rsid w:val="0047009B"/>
    <w:rsid w:val="004700CB"/>
    <w:rsid w:val="0047059B"/>
    <w:rsid w:val="004706C5"/>
    <w:rsid w:val="00470761"/>
    <w:rsid w:val="004707F1"/>
    <w:rsid w:val="004708F2"/>
    <w:rsid w:val="00470925"/>
    <w:rsid w:val="004709B2"/>
    <w:rsid w:val="00470A10"/>
    <w:rsid w:val="00470A7E"/>
    <w:rsid w:val="00470D1F"/>
    <w:rsid w:val="00470DF7"/>
    <w:rsid w:val="0047119D"/>
    <w:rsid w:val="0047136F"/>
    <w:rsid w:val="004715DE"/>
    <w:rsid w:val="004716FE"/>
    <w:rsid w:val="004717BC"/>
    <w:rsid w:val="00471BD9"/>
    <w:rsid w:val="00471E1C"/>
    <w:rsid w:val="00471F4B"/>
    <w:rsid w:val="004720FC"/>
    <w:rsid w:val="004725A7"/>
    <w:rsid w:val="004726AC"/>
    <w:rsid w:val="004727DE"/>
    <w:rsid w:val="0047291C"/>
    <w:rsid w:val="00472D1A"/>
    <w:rsid w:val="00472DC7"/>
    <w:rsid w:val="00472EB1"/>
    <w:rsid w:val="00472FC3"/>
    <w:rsid w:val="0047315B"/>
    <w:rsid w:val="0047336D"/>
    <w:rsid w:val="00473614"/>
    <w:rsid w:val="0047361E"/>
    <w:rsid w:val="00473689"/>
    <w:rsid w:val="0047376B"/>
    <w:rsid w:val="00473AED"/>
    <w:rsid w:val="00473B6E"/>
    <w:rsid w:val="00473BAD"/>
    <w:rsid w:val="00473BC7"/>
    <w:rsid w:val="00473CA5"/>
    <w:rsid w:val="00473E83"/>
    <w:rsid w:val="00473EFA"/>
    <w:rsid w:val="00474062"/>
    <w:rsid w:val="0047409D"/>
    <w:rsid w:val="004743C8"/>
    <w:rsid w:val="00474643"/>
    <w:rsid w:val="004747A4"/>
    <w:rsid w:val="00474945"/>
    <w:rsid w:val="004749BE"/>
    <w:rsid w:val="00474AF0"/>
    <w:rsid w:val="00474D7A"/>
    <w:rsid w:val="00474FEF"/>
    <w:rsid w:val="004750FF"/>
    <w:rsid w:val="004751DD"/>
    <w:rsid w:val="004752C2"/>
    <w:rsid w:val="00475481"/>
    <w:rsid w:val="004754DF"/>
    <w:rsid w:val="00475A7D"/>
    <w:rsid w:val="00475C72"/>
    <w:rsid w:val="00475CDA"/>
    <w:rsid w:val="004761BB"/>
    <w:rsid w:val="00476217"/>
    <w:rsid w:val="00476350"/>
    <w:rsid w:val="00476360"/>
    <w:rsid w:val="0047644B"/>
    <w:rsid w:val="00476A54"/>
    <w:rsid w:val="00476AB0"/>
    <w:rsid w:val="00476B8E"/>
    <w:rsid w:val="00476DC6"/>
    <w:rsid w:val="00476EEC"/>
    <w:rsid w:val="00476F56"/>
    <w:rsid w:val="00476F96"/>
    <w:rsid w:val="00477044"/>
    <w:rsid w:val="00477109"/>
    <w:rsid w:val="00477179"/>
    <w:rsid w:val="00477237"/>
    <w:rsid w:val="0047754D"/>
    <w:rsid w:val="004776E7"/>
    <w:rsid w:val="004777AD"/>
    <w:rsid w:val="004777CA"/>
    <w:rsid w:val="0047786B"/>
    <w:rsid w:val="00477A4C"/>
    <w:rsid w:val="00477AC7"/>
    <w:rsid w:val="00477B4B"/>
    <w:rsid w:val="00477D42"/>
    <w:rsid w:val="00477DA5"/>
    <w:rsid w:val="00477E02"/>
    <w:rsid w:val="00477F43"/>
    <w:rsid w:val="00477FC0"/>
    <w:rsid w:val="00480310"/>
    <w:rsid w:val="004803CC"/>
    <w:rsid w:val="00480573"/>
    <w:rsid w:val="00480585"/>
    <w:rsid w:val="004805CB"/>
    <w:rsid w:val="00480616"/>
    <w:rsid w:val="0048062B"/>
    <w:rsid w:val="00480755"/>
    <w:rsid w:val="004807AA"/>
    <w:rsid w:val="00480851"/>
    <w:rsid w:val="00480996"/>
    <w:rsid w:val="00480A77"/>
    <w:rsid w:val="00480BCD"/>
    <w:rsid w:val="00480C1B"/>
    <w:rsid w:val="00480C7C"/>
    <w:rsid w:val="00480C9A"/>
    <w:rsid w:val="00480DCA"/>
    <w:rsid w:val="00480F56"/>
    <w:rsid w:val="00480FB3"/>
    <w:rsid w:val="00481282"/>
    <w:rsid w:val="004813E3"/>
    <w:rsid w:val="00481556"/>
    <w:rsid w:val="004815D0"/>
    <w:rsid w:val="004816C8"/>
    <w:rsid w:val="004819DE"/>
    <w:rsid w:val="00481AA4"/>
    <w:rsid w:val="00481AF9"/>
    <w:rsid w:val="00481CAA"/>
    <w:rsid w:val="00481D77"/>
    <w:rsid w:val="00481FF4"/>
    <w:rsid w:val="004820D6"/>
    <w:rsid w:val="00482102"/>
    <w:rsid w:val="00482335"/>
    <w:rsid w:val="0048250E"/>
    <w:rsid w:val="004825BA"/>
    <w:rsid w:val="0048275A"/>
    <w:rsid w:val="0048276C"/>
    <w:rsid w:val="00482809"/>
    <w:rsid w:val="004828BB"/>
    <w:rsid w:val="00482A14"/>
    <w:rsid w:val="00482A95"/>
    <w:rsid w:val="00482AAC"/>
    <w:rsid w:val="00482B77"/>
    <w:rsid w:val="00482EC7"/>
    <w:rsid w:val="004831D1"/>
    <w:rsid w:val="00483601"/>
    <w:rsid w:val="00483651"/>
    <w:rsid w:val="00483663"/>
    <w:rsid w:val="00483BD9"/>
    <w:rsid w:val="00483C54"/>
    <w:rsid w:val="00483EC8"/>
    <w:rsid w:val="0048403D"/>
    <w:rsid w:val="00484084"/>
    <w:rsid w:val="0048416E"/>
    <w:rsid w:val="004841EB"/>
    <w:rsid w:val="0048424A"/>
    <w:rsid w:val="004842CD"/>
    <w:rsid w:val="00484327"/>
    <w:rsid w:val="004843D6"/>
    <w:rsid w:val="004845AF"/>
    <w:rsid w:val="004846E0"/>
    <w:rsid w:val="00484A49"/>
    <w:rsid w:val="00484B96"/>
    <w:rsid w:val="00484BA2"/>
    <w:rsid w:val="00484D17"/>
    <w:rsid w:val="00484DF8"/>
    <w:rsid w:val="004850FD"/>
    <w:rsid w:val="0048511C"/>
    <w:rsid w:val="00485550"/>
    <w:rsid w:val="00485612"/>
    <w:rsid w:val="0048578F"/>
    <w:rsid w:val="004857F1"/>
    <w:rsid w:val="004858A9"/>
    <w:rsid w:val="00485AB4"/>
    <w:rsid w:val="00485B99"/>
    <w:rsid w:val="00485BC2"/>
    <w:rsid w:val="00485C27"/>
    <w:rsid w:val="00485D40"/>
    <w:rsid w:val="00485DFA"/>
    <w:rsid w:val="00485E1C"/>
    <w:rsid w:val="00485F3A"/>
    <w:rsid w:val="004860A3"/>
    <w:rsid w:val="004862D0"/>
    <w:rsid w:val="004863DC"/>
    <w:rsid w:val="00486588"/>
    <w:rsid w:val="00486736"/>
    <w:rsid w:val="004867C9"/>
    <w:rsid w:val="0048699F"/>
    <w:rsid w:val="00486F42"/>
    <w:rsid w:val="00486F52"/>
    <w:rsid w:val="00487136"/>
    <w:rsid w:val="004871F9"/>
    <w:rsid w:val="00487402"/>
    <w:rsid w:val="0048759C"/>
    <w:rsid w:val="004877D2"/>
    <w:rsid w:val="004877EB"/>
    <w:rsid w:val="00487860"/>
    <w:rsid w:val="004878B9"/>
    <w:rsid w:val="00487A3A"/>
    <w:rsid w:val="00487D6B"/>
    <w:rsid w:val="0049003A"/>
    <w:rsid w:val="00490146"/>
    <w:rsid w:val="004901A1"/>
    <w:rsid w:val="004903CB"/>
    <w:rsid w:val="00490430"/>
    <w:rsid w:val="0049043A"/>
    <w:rsid w:val="0049048B"/>
    <w:rsid w:val="004904E5"/>
    <w:rsid w:val="00490574"/>
    <w:rsid w:val="00490A80"/>
    <w:rsid w:val="00490A8C"/>
    <w:rsid w:val="00490B84"/>
    <w:rsid w:val="00490C20"/>
    <w:rsid w:val="00490CCD"/>
    <w:rsid w:val="00490CE7"/>
    <w:rsid w:val="00490D69"/>
    <w:rsid w:val="00490E56"/>
    <w:rsid w:val="00491046"/>
    <w:rsid w:val="0049129F"/>
    <w:rsid w:val="0049131B"/>
    <w:rsid w:val="0049134D"/>
    <w:rsid w:val="004914CD"/>
    <w:rsid w:val="00491665"/>
    <w:rsid w:val="00491914"/>
    <w:rsid w:val="00491A0D"/>
    <w:rsid w:val="00492028"/>
    <w:rsid w:val="004920FB"/>
    <w:rsid w:val="00492263"/>
    <w:rsid w:val="00492441"/>
    <w:rsid w:val="00492583"/>
    <w:rsid w:val="004925FA"/>
    <w:rsid w:val="004926EE"/>
    <w:rsid w:val="00492747"/>
    <w:rsid w:val="00492871"/>
    <w:rsid w:val="0049288B"/>
    <w:rsid w:val="004929BE"/>
    <w:rsid w:val="00492B15"/>
    <w:rsid w:val="00492BEB"/>
    <w:rsid w:val="00492C59"/>
    <w:rsid w:val="00492C9D"/>
    <w:rsid w:val="00492FF4"/>
    <w:rsid w:val="0049302E"/>
    <w:rsid w:val="0049333E"/>
    <w:rsid w:val="00493648"/>
    <w:rsid w:val="0049399C"/>
    <w:rsid w:val="004939DA"/>
    <w:rsid w:val="00493AF9"/>
    <w:rsid w:val="00493B6A"/>
    <w:rsid w:val="00493D2C"/>
    <w:rsid w:val="00494081"/>
    <w:rsid w:val="0049429B"/>
    <w:rsid w:val="0049437A"/>
    <w:rsid w:val="00494446"/>
    <w:rsid w:val="0049446B"/>
    <w:rsid w:val="00494483"/>
    <w:rsid w:val="004944B7"/>
    <w:rsid w:val="004947DD"/>
    <w:rsid w:val="0049487A"/>
    <w:rsid w:val="00494955"/>
    <w:rsid w:val="00494A07"/>
    <w:rsid w:val="00494ACA"/>
    <w:rsid w:val="00494ADB"/>
    <w:rsid w:val="00494B70"/>
    <w:rsid w:val="00494D2A"/>
    <w:rsid w:val="00494E7C"/>
    <w:rsid w:val="00494EC9"/>
    <w:rsid w:val="00494F0A"/>
    <w:rsid w:val="004950E9"/>
    <w:rsid w:val="00495244"/>
    <w:rsid w:val="004952AA"/>
    <w:rsid w:val="004953B4"/>
    <w:rsid w:val="00495464"/>
    <w:rsid w:val="0049576C"/>
    <w:rsid w:val="00495800"/>
    <w:rsid w:val="00495E7D"/>
    <w:rsid w:val="00495FC7"/>
    <w:rsid w:val="00496486"/>
    <w:rsid w:val="004965C8"/>
    <w:rsid w:val="004967F8"/>
    <w:rsid w:val="00496988"/>
    <w:rsid w:val="004969EA"/>
    <w:rsid w:val="00496A4C"/>
    <w:rsid w:val="00496A60"/>
    <w:rsid w:val="00496A8C"/>
    <w:rsid w:val="00496AAF"/>
    <w:rsid w:val="00496B97"/>
    <w:rsid w:val="00496C28"/>
    <w:rsid w:val="00496E9C"/>
    <w:rsid w:val="00496EAC"/>
    <w:rsid w:val="00496ECF"/>
    <w:rsid w:val="00497173"/>
    <w:rsid w:val="00497383"/>
    <w:rsid w:val="004974AD"/>
    <w:rsid w:val="00497512"/>
    <w:rsid w:val="004975FB"/>
    <w:rsid w:val="0049771B"/>
    <w:rsid w:val="004978E1"/>
    <w:rsid w:val="00497926"/>
    <w:rsid w:val="00497E7C"/>
    <w:rsid w:val="00497EC8"/>
    <w:rsid w:val="00497F64"/>
    <w:rsid w:val="004A04F1"/>
    <w:rsid w:val="004A0742"/>
    <w:rsid w:val="004A0A1B"/>
    <w:rsid w:val="004A0A82"/>
    <w:rsid w:val="004A0CD2"/>
    <w:rsid w:val="004A0D15"/>
    <w:rsid w:val="004A0D2F"/>
    <w:rsid w:val="004A0DC6"/>
    <w:rsid w:val="004A0DCC"/>
    <w:rsid w:val="004A1281"/>
    <w:rsid w:val="004A136C"/>
    <w:rsid w:val="004A14E7"/>
    <w:rsid w:val="004A167F"/>
    <w:rsid w:val="004A16FA"/>
    <w:rsid w:val="004A17E7"/>
    <w:rsid w:val="004A1B82"/>
    <w:rsid w:val="004A1BDD"/>
    <w:rsid w:val="004A1D91"/>
    <w:rsid w:val="004A20E9"/>
    <w:rsid w:val="004A212F"/>
    <w:rsid w:val="004A2242"/>
    <w:rsid w:val="004A2376"/>
    <w:rsid w:val="004A23BE"/>
    <w:rsid w:val="004A259E"/>
    <w:rsid w:val="004A2613"/>
    <w:rsid w:val="004A26CD"/>
    <w:rsid w:val="004A2989"/>
    <w:rsid w:val="004A2B5B"/>
    <w:rsid w:val="004A2CAF"/>
    <w:rsid w:val="004A300B"/>
    <w:rsid w:val="004A3236"/>
    <w:rsid w:val="004A331A"/>
    <w:rsid w:val="004A33C9"/>
    <w:rsid w:val="004A34B5"/>
    <w:rsid w:val="004A375A"/>
    <w:rsid w:val="004A376D"/>
    <w:rsid w:val="004A3822"/>
    <w:rsid w:val="004A3B28"/>
    <w:rsid w:val="004A3E22"/>
    <w:rsid w:val="004A3E99"/>
    <w:rsid w:val="004A40C6"/>
    <w:rsid w:val="004A4474"/>
    <w:rsid w:val="004A47A4"/>
    <w:rsid w:val="004A495A"/>
    <w:rsid w:val="004A49AE"/>
    <w:rsid w:val="004A4EFA"/>
    <w:rsid w:val="004A5188"/>
    <w:rsid w:val="004A5339"/>
    <w:rsid w:val="004A533F"/>
    <w:rsid w:val="004A535B"/>
    <w:rsid w:val="004A54D9"/>
    <w:rsid w:val="004A5A6A"/>
    <w:rsid w:val="004A5B70"/>
    <w:rsid w:val="004A5CAF"/>
    <w:rsid w:val="004A603E"/>
    <w:rsid w:val="004A6213"/>
    <w:rsid w:val="004A6378"/>
    <w:rsid w:val="004A6380"/>
    <w:rsid w:val="004A653E"/>
    <w:rsid w:val="004A66C9"/>
    <w:rsid w:val="004A66F3"/>
    <w:rsid w:val="004A677D"/>
    <w:rsid w:val="004A677F"/>
    <w:rsid w:val="004A6814"/>
    <w:rsid w:val="004A6C56"/>
    <w:rsid w:val="004A6CA2"/>
    <w:rsid w:val="004A7262"/>
    <w:rsid w:val="004A73A8"/>
    <w:rsid w:val="004A743A"/>
    <w:rsid w:val="004A77C2"/>
    <w:rsid w:val="004A77D7"/>
    <w:rsid w:val="004A7D77"/>
    <w:rsid w:val="004A7EF9"/>
    <w:rsid w:val="004A7F85"/>
    <w:rsid w:val="004B065F"/>
    <w:rsid w:val="004B0BFC"/>
    <w:rsid w:val="004B0CBF"/>
    <w:rsid w:val="004B0E32"/>
    <w:rsid w:val="004B101A"/>
    <w:rsid w:val="004B10B9"/>
    <w:rsid w:val="004B10D3"/>
    <w:rsid w:val="004B153B"/>
    <w:rsid w:val="004B1674"/>
    <w:rsid w:val="004B1991"/>
    <w:rsid w:val="004B19C8"/>
    <w:rsid w:val="004B19E8"/>
    <w:rsid w:val="004B1D03"/>
    <w:rsid w:val="004B1D73"/>
    <w:rsid w:val="004B22B9"/>
    <w:rsid w:val="004B2360"/>
    <w:rsid w:val="004B246B"/>
    <w:rsid w:val="004B251D"/>
    <w:rsid w:val="004B252C"/>
    <w:rsid w:val="004B263A"/>
    <w:rsid w:val="004B2715"/>
    <w:rsid w:val="004B2780"/>
    <w:rsid w:val="004B295D"/>
    <w:rsid w:val="004B2991"/>
    <w:rsid w:val="004B2AB2"/>
    <w:rsid w:val="004B2B45"/>
    <w:rsid w:val="004B2B85"/>
    <w:rsid w:val="004B2D1D"/>
    <w:rsid w:val="004B2E7B"/>
    <w:rsid w:val="004B2FA4"/>
    <w:rsid w:val="004B3128"/>
    <w:rsid w:val="004B316F"/>
    <w:rsid w:val="004B3618"/>
    <w:rsid w:val="004B3706"/>
    <w:rsid w:val="004B388A"/>
    <w:rsid w:val="004B389D"/>
    <w:rsid w:val="004B38AF"/>
    <w:rsid w:val="004B3A02"/>
    <w:rsid w:val="004B3B3D"/>
    <w:rsid w:val="004B3DEC"/>
    <w:rsid w:val="004B3EDA"/>
    <w:rsid w:val="004B4016"/>
    <w:rsid w:val="004B4154"/>
    <w:rsid w:val="004B430B"/>
    <w:rsid w:val="004B440E"/>
    <w:rsid w:val="004B44BB"/>
    <w:rsid w:val="004B4556"/>
    <w:rsid w:val="004B45A0"/>
    <w:rsid w:val="004B4792"/>
    <w:rsid w:val="004B4A97"/>
    <w:rsid w:val="004B4AA1"/>
    <w:rsid w:val="004B4ACC"/>
    <w:rsid w:val="004B4B73"/>
    <w:rsid w:val="004B4BB3"/>
    <w:rsid w:val="004B4CAA"/>
    <w:rsid w:val="004B4D01"/>
    <w:rsid w:val="004B4E91"/>
    <w:rsid w:val="004B4ED3"/>
    <w:rsid w:val="004B4FE3"/>
    <w:rsid w:val="004B516B"/>
    <w:rsid w:val="004B586B"/>
    <w:rsid w:val="004B5BFA"/>
    <w:rsid w:val="004B5F8C"/>
    <w:rsid w:val="004B5FAF"/>
    <w:rsid w:val="004B603D"/>
    <w:rsid w:val="004B608F"/>
    <w:rsid w:val="004B609A"/>
    <w:rsid w:val="004B6258"/>
    <w:rsid w:val="004B647C"/>
    <w:rsid w:val="004B6857"/>
    <w:rsid w:val="004B6A3C"/>
    <w:rsid w:val="004B6A4A"/>
    <w:rsid w:val="004B6A5D"/>
    <w:rsid w:val="004B6AC1"/>
    <w:rsid w:val="004B6C8B"/>
    <w:rsid w:val="004B6CB2"/>
    <w:rsid w:val="004B6D4E"/>
    <w:rsid w:val="004B6D66"/>
    <w:rsid w:val="004B6DD0"/>
    <w:rsid w:val="004B6E14"/>
    <w:rsid w:val="004B6EE6"/>
    <w:rsid w:val="004B6F07"/>
    <w:rsid w:val="004B70CB"/>
    <w:rsid w:val="004B749E"/>
    <w:rsid w:val="004B75F4"/>
    <w:rsid w:val="004B7680"/>
    <w:rsid w:val="004B781A"/>
    <w:rsid w:val="004B7AE1"/>
    <w:rsid w:val="004B7FED"/>
    <w:rsid w:val="004C0181"/>
    <w:rsid w:val="004C027A"/>
    <w:rsid w:val="004C05EB"/>
    <w:rsid w:val="004C08C7"/>
    <w:rsid w:val="004C091A"/>
    <w:rsid w:val="004C0A13"/>
    <w:rsid w:val="004C0DAD"/>
    <w:rsid w:val="004C1165"/>
    <w:rsid w:val="004C11AF"/>
    <w:rsid w:val="004C134F"/>
    <w:rsid w:val="004C1511"/>
    <w:rsid w:val="004C1520"/>
    <w:rsid w:val="004C1643"/>
    <w:rsid w:val="004C165A"/>
    <w:rsid w:val="004C165C"/>
    <w:rsid w:val="004C1A65"/>
    <w:rsid w:val="004C1A86"/>
    <w:rsid w:val="004C1C0C"/>
    <w:rsid w:val="004C1C38"/>
    <w:rsid w:val="004C1C8A"/>
    <w:rsid w:val="004C1D8D"/>
    <w:rsid w:val="004C1F70"/>
    <w:rsid w:val="004C21A7"/>
    <w:rsid w:val="004C22C6"/>
    <w:rsid w:val="004C243C"/>
    <w:rsid w:val="004C246C"/>
    <w:rsid w:val="004C2593"/>
    <w:rsid w:val="004C2616"/>
    <w:rsid w:val="004C2AC4"/>
    <w:rsid w:val="004C2D36"/>
    <w:rsid w:val="004C2D3F"/>
    <w:rsid w:val="004C2D86"/>
    <w:rsid w:val="004C300F"/>
    <w:rsid w:val="004C3037"/>
    <w:rsid w:val="004C30FE"/>
    <w:rsid w:val="004C3168"/>
    <w:rsid w:val="004C3193"/>
    <w:rsid w:val="004C330D"/>
    <w:rsid w:val="004C332C"/>
    <w:rsid w:val="004C3594"/>
    <w:rsid w:val="004C368C"/>
    <w:rsid w:val="004C3919"/>
    <w:rsid w:val="004C3B87"/>
    <w:rsid w:val="004C3DF2"/>
    <w:rsid w:val="004C3E9B"/>
    <w:rsid w:val="004C3F9E"/>
    <w:rsid w:val="004C3FF0"/>
    <w:rsid w:val="004C4026"/>
    <w:rsid w:val="004C40E4"/>
    <w:rsid w:val="004C433A"/>
    <w:rsid w:val="004C43BA"/>
    <w:rsid w:val="004C455F"/>
    <w:rsid w:val="004C4748"/>
    <w:rsid w:val="004C4871"/>
    <w:rsid w:val="004C4B42"/>
    <w:rsid w:val="004C4C4E"/>
    <w:rsid w:val="004C4CA2"/>
    <w:rsid w:val="004C4D2C"/>
    <w:rsid w:val="004C4E21"/>
    <w:rsid w:val="004C4E79"/>
    <w:rsid w:val="004C4F57"/>
    <w:rsid w:val="004C5082"/>
    <w:rsid w:val="004C5165"/>
    <w:rsid w:val="004C51EE"/>
    <w:rsid w:val="004C567F"/>
    <w:rsid w:val="004C576F"/>
    <w:rsid w:val="004C5A20"/>
    <w:rsid w:val="004C5B3E"/>
    <w:rsid w:val="004C5BD4"/>
    <w:rsid w:val="004C5EF9"/>
    <w:rsid w:val="004C6167"/>
    <w:rsid w:val="004C63CD"/>
    <w:rsid w:val="004C6594"/>
    <w:rsid w:val="004C6BEE"/>
    <w:rsid w:val="004C6C4F"/>
    <w:rsid w:val="004C6D9C"/>
    <w:rsid w:val="004C6DD5"/>
    <w:rsid w:val="004C701B"/>
    <w:rsid w:val="004C7216"/>
    <w:rsid w:val="004C723A"/>
    <w:rsid w:val="004C737C"/>
    <w:rsid w:val="004C7468"/>
    <w:rsid w:val="004C7594"/>
    <w:rsid w:val="004C77C4"/>
    <w:rsid w:val="004C77E6"/>
    <w:rsid w:val="004C7C49"/>
    <w:rsid w:val="004C7C89"/>
    <w:rsid w:val="004C7CE4"/>
    <w:rsid w:val="004C7D72"/>
    <w:rsid w:val="004C7DDB"/>
    <w:rsid w:val="004C7DF6"/>
    <w:rsid w:val="004D00A9"/>
    <w:rsid w:val="004D0163"/>
    <w:rsid w:val="004D04B1"/>
    <w:rsid w:val="004D051F"/>
    <w:rsid w:val="004D0ADE"/>
    <w:rsid w:val="004D0B00"/>
    <w:rsid w:val="004D0E8E"/>
    <w:rsid w:val="004D1119"/>
    <w:rsid w:val="004D1416"/>
    <w:rsid w:val="004D1439"/>
    <w:rsid w:val="004D159E"/>
    <w:rsid w:val="004D1768"/>
    <w:rsid w:val="004D178D"/>
    <w:rsid w:val="004D17FD"/>
    <w:rsid w:val="004D1804"/>
    <w:rsid w:val="004D1896"/>
    <w:rsid w:val="004D18A4"/>
    <w:rsid w:val="004D18FB"/>
    <w:rsid w:val="004D19FE"/>
    <w:rsid w:val="004D1BC4"/>
    <w:rsid w:val="004D1BD5"/>
    <w:rsid w:val="004D1BF3"/>
    <w:rsid w:val="004D1C0B"/>
    <w:rsid w:val="004D1F0E"/>
    <w:rsid w:val="004D1F57"/>
    <w:rsid w:val="004D21B6"/>
    <w:rsid w:val="004D21C7"/>
    <w:rsid w:val="004D23E3"/>
    <w:rsid w:val="004D23F1"/>
    <w:rsid w:val="004D2526"/>
    <w:rsid w:val="004D255A"/>
    <w:rsid w:val="004D26D0"/>
    <w:rsid w:val="004D2717"/>
    <w:rsid w:val="004D274D"/>
    <w:rsid w:val="004D29F8"/>
    <w:rsid w:val="004D2A99"/>
    <w:rsid w:val="004D2EFC"/>
    <w:rsid w:val="004D2F78"/>
    <w:rsid w:val="004D3002"/>
    <w:rsid w:val="004D301B"/>
    <w:rsid w:val="004D3260"/>
    <w:rsid w:val="004D32B3"/>
    <w:rsid w:val="004D346B"/>
    <w:rsid w:val="004D35D2"/>
    <w:rsid w:val="004D3C1A"/>
    <w:rsid w:val="004D3CD9"/>
    <w:rsid w:val="004D3DC8"/>
    <w:rsid w:val="004D3EC2"/>
    <w:rsid w:val="004D3F04"/>
    <w:rsid w:val="004D408B"/>
    <w:rsid w:val="004D449A"/>
    <w:rsid w:val="004D4541"/>
    <w:rsid w:val="004D4981"/>
    <w:rsid w:val="004D49FC"/>
    <w:rsid w:val="004D4A30"/>
    <w:rsid w:val="004D4C76"/>
    <w:rsid w:val="004D4D04"/>
    <w:rsid w:val="004D4DB0"/>
    <w:rsid w:val="004D4EBD"/>
    <w:rsid w:val="004D51BA"/>
    <w:rsid w:val="004D5201"/>
    <w:rsid w:val="004D555F"/>
    <w:rsid w:val="004D5584"/>
    <w:rsid w:val="004D5745"/>
    <w:rsid w:val="004D57AA"/>
    <w:rsid w:val="004D59C4"/>
    <w:rsid w:val="004D5B25"/>
    <w:rsid w:val="004D5D86"/>
    <w:rsid w:val="004D5DC2"/>
    <w:rsid w:val="004D5E02"/>
    <w:rsid w:val="004D5F1D"/>
    <w:rsid w:val="004D5F89"/>
    <w:rsid w:val="004D6092"/>
    <w:rsid w:val="004D6476"/>
    <w:rsid w:val="004D652C"/>
    <w:rsid w:val="004D6671"/>
    <w:rsid w:val="004D66EB"/>
    <w:rsid w:val="004D6986"/>
    <w:rsid w:val="004D6B64"/>
    <w:rsid w:val="004D6E06"/>
    <w:rsid w:val="004D6E50"/>
    <w:rsid w:val="004D6FE6"/>
    <w:rsid w:val="004D74CF"/>
    <w:rsid w:val="004D75A5"/>
    <w:rsid w:val="004D7698"/>
    <w:rsid w:val="004D78A0"/>
    <w:rsid w:val="004D797A"/>
    <w:rsid w:val="004D7AFE"/>
    <w:rsid w:val="004D7CC6"/>
    <w:rsid w:val="004D7E22"/>
    <w:rsid w:val="004D7EF5"/>
    <w:rsid w:val="004E0256"/>
    <w:rsid w:val="004E07E4"/>
    <w:rsid w:val="004E08B6"/>
    <w:rsid w:val="004E09ED"/>
    <w:rsid w:val="004E0B69"/>
    <w:rsid w:val="004E0F3E"/>
    <w:rsid w:val="004E0FA5"/>
    <w:rsid w:val="004E109E"/>
    <w:rsid w:val="004E1261"/>
    <w:rsid w:val="004E15A2"/>
    <w:rsid w:val="004E170A"/>
    <w:rsid w:val="004E171E"/>
    <w:rsid w:val="004E187A"/>
    <w:rsid w:val="004E1887"/>
    <w:rsid w:val="004E18FD"/>
    <w:rsid w:val="004E1B7E"/>
    <w:rsid w:val="004E1B81"/>
    <w:rsid w:val="004E1C15"/>
    <w:rsid w:val="004E1C7A"/>
    <w:rsid w:val="004E1F18"/>
    <w:rsid w:val="004E20A2"/>
    <w:rsid w:val="004E20BE"/>
    <w:rsid w:val="004E20F9"/>
    <w:rsid w:val="004E2131"/>
    <w:rsid w:val="004E2199"/>
    <w:rsid w:val="004E251B"/>
    <w:rsid w:val="004E25E2"/>
    <w:rsid w:val="004E25F6"/>
    <w:rsid w:val="004E26E3"/>
    <w:rsid w:val="004E29C7"/>
    <w:rsid w:val="004E2CE5"/>
    <w:rsid w:val="004E2E78"/>
    <w:rsid w:val="004E2F8D"/>
    <w:rsid w:val="004E3012"/>
    <w:rsid w:val="004E308C"/>
    <w:rsid w:val="004E30EE"/>
    <w:rsid w:val="004E3189"/>
    <w:rsid w:val="004E31B2"/>
    <w:rsid w:val="004E326D"/>
    <w:rsid w:val="004E34E2"/>
    <w:rsid w:val="004E3D6D"/>
    <w:rsid w:val="004E3EE8"/>
    <w:rsid w:val="004E3F2A"/>
    <w:rsid w:val="004E4090"/>
    <w:rsid w:val="004E4095"/>
    <w:rsid w:val="004E4415"/>
    <w:rsid w:val="004E45A2"/>
    <w:rsid w:val="004E487E"/>
    <w:rsid w:val="004E494D"/>
    <w:rsid w:val="004E4B0B"/>
    <w:rsid w:val="004E4D6A"/>
    <w:rsid w:val="004E4F94"/>
    <w:rsid w:val="004E549C"/>
    <w:rsid w:val="004E54E5"/>
    <w:rsid w:val="004E5585"/>
    <w:rsid w:val="004E5662"/>
    <w:rsid w:val="004E57B2"/>
    <w:rsid w:val="004E57BD"/>
    <w:rsid w:val="004E57E1"/>
    <w:rsid w:val="004E5945"/>
    <w:rsid w:val="004E5A9A"/>
    <w:rsid w:val="004E5B07"/>
    <w:rsid w:val="004E5B39"/>
    <w:rsid w:val="004E5C48"/>
    <w:rsid w:val="004E5DD6"/>
    <w:rsid w:val="004E5E9B"/>
    <w:rsid w:val="004E623D"/>
    <w:rsid w:val="004E62EA"/>
    <w:rsid w:val="004E6366"/>
    <w:rsid w:val="004E637E"/>
    <w:rsid w:val="004E6425"/>
    <w:rsid w:val="004E64D5"/>
    <w:rsid w:val="004E64D8"/>
    <w:rsid w:val="004E6702"/>
    <w:rsid w:val="004E6747"/>
    <w:rsid w:val="004E6817"/>
    <w:rsid w:val="004E68AC"/>
    <w:rsid w:val="004E68E7"/>
    <w:rsid w:val="004E6B9A"/>
    <w:rsid w:val="004E6BBD"/>
    <w:rsid w:val="004E7055"/>
    <w:rsid w:val="004E712F"/>
    <w:rsid w:val="004E71D6"/>
    <w:rsid w:val="004E7649"/>
    <w:rsid w:val="004E78DC"/>
    <w:rsid w:val="004E79E6"/>
    <w:rsid w:val="004E7AD0"/>
    <w:rsid w:val="004E7AE1"/>
    <w:rsid w:val="004E7CA9"/>
    <w:rsid w:val="004E7D6C"/>
    <w:rsid w:val="004E7EB4"/>
    <w:rsid w:val="004E7F20"/>
    <w:rsid w:val="004F0559"/>
    <w:rsid w:val="004F0634"/>
    <w:rsid w:val="004F0755"/>
    <w:rsid w:val="004F08F4"/>
    <w:rsid w:val="004F0A7F"/>
    <w:rsid w:val="004F0A94"/>
    <w:rsid w:val="004F0AA4"/>
    <w:rsid w:val="004F0B0B"/>
    <w:rsid w:val="004F0C14"/>
    <w:rsid w:val="004F0CC5"/>
    <w:rsid w:val="004F0D93"/>
    <w:rsid w:val="004F1015"/>
    <w:rsid w:val="004F102F"/>
    <w:rsid w:val="004F13F7"/>
    <w:rsid w:val="004F1482"/>
    <w:rsid w:val="004F16D6"/>
    <w:rsid w:val="004F18CC"/>
    <w:rsid w:val="004F1D75"/>
    <w:rsid w:val="004F1FDA"/>
    <w:rsid w:val="004F20F8"/>
    <w:rsid w:val="004F21D4"/>
    <w:rsid w:val="004F2262"/>
    <w:rsid w:val="004F2671"/>
    <w:rsid w:val="004F29C3"/>
    <w:rsid w:val="004F29F2"/>
    <w:rsid w:val="004F2BB7"/>
    <w:rsid w:val="004F2BD9"/>
    <w:rsid w:val="004F2DAA"/>
    <w:rsid w:val="004F2E45"/>
    <w:rsid w:val="004F2F49"/>
    <w:rsid w:val="004F3125"/>
    <w:rsid w:val="004F3168"/>
    <w:rsid w:val="004F318B"/>
    <w:rsid w:val="004F3361"/>
    <w:rsid w:val="004F3394"/>
    <w:rsid w:val="004F3397"/>
    <w:rsid w:val="004F33C6"/>
    <w:rsid w:val="004F34AB"/>
    <w:rsid w:val="004F35D8"/>
    <w:rsid w:val="004F36DD"/>
    <w:rsid w:val="004F37C2"/>
    <w:rsid w:val="004F3886"/>
    <w:rsid w:val="004F3983"/>
    <w:rsid w:val="004F3BDB"/>
    <w:rsid w:val="004F3E3F"/>
    <w:rsid w:val="004F3E9F"/>
    <w:rsid w:val="004F4530"/>
    <w:rsid w:val="004F460D"/>
    <w:rsid w:val="004F4794"/>
    <w:rsid w:val="004F47B4"/>
    <w:rsid w:val="004F4948"/>
    <w:rsid w:val="004F49D2"/>
    <w:rsid w:val="004F4A4B"/>
    <w:rsid w:val="004F4BAD"/>
    <w:rsid w:val="004F4D09"/>
    <w:rsid w:val="004F4E77"/>
    <w:rsid w:val="004F5084"/>
    <w:rsid w:val="004F50CE"/>
    <w:rsid w:val="004F52C8"/>
    <w:rsid w:val="004F5509"/>
    <w:rsid w:val="004F5580"/>
    <w:rsid w:val="004F5622"/>
    <w:rsid w:val="004F5730"/>
    <w:rsid w:val="004F57E2"/>
    <w:rsid w:val="004F58FE"/>
    <w:rsid w:val="004F5B08"/>
    <w:rsid w:val="004F5D56"/>
    <w:rsid w:val="004F5DBE"/>
    <w:rsid w:val="004F5E82"/>
    <w:rsid w:val="004F5F28"/>
    <w:rsid w:val="004F6632"/>
    <w:rsid w:val="004F67C5"/>
    <w:rsid w:val="004F684B"/>
    <w:rsid w:val="004F6896"/>
    <w:rsid w:val="004F692C"/>
    <w:rsid w:val="004F6BB8"/>
    <w:rsid w:val="004F6BCE"/>
    <w:rsid w:val="004F6CB5"/>
    <w:rsid w:val="004F6D60"/>
    <w:rsid w:val="004F6FE1"/>
    <w:rsid w:val="004F7046"/>
    <w:rsid w:val="004F7157"/>
    <w:rsid w:val="004F71F4"/>
    <w:rsid w:val="004F7436"/>
    <w:rsid w:val="004F7474"/>
    <w:rsid w:val="004F74CC"/>
    <w:rsid w:val="004F77D8"/>
    <w:rsid w:val="004F7843"/>
    <w:rsid w:val="004F7853"/>
    <w:rsid w:val="004F792B"/>
    <w:rsid w:val="004F7A37"/>
    <w:rsid w:val="004F7AE2"/>
    <w:rsid w:val="004F7D06"/>
    <w:rsid w:val="004F7DD7"/>
    <w:rsid w:val="004F7F79"/>
    <w:rsid w:val="004F7FB5"/>
    <w:rsid w:val="0050001B"/>
    <w:rsid w:val="005001AA"/>
    <w:rsid w:val="005001B2"/>
    <w:rsid w:val="005001C7"/>
    <w:rsid w:val="005002AE"/>
    <w:rsid w:val="00500305"/>
    <w:rsid w:val="0050032B"/>
    <w:rsid w:val="0050043B"/>
    <w:rsid w:val="005004C0"/>
    <w:rsid w:val="00500667"/>
    <w:rsid w:val="00500751"/>
    <w:rsid w:val="005008BD"/>
    <w:rsid w:val="00500932"/>
    <w:rsid w:val="00500964"/>
    <w:rsid w:val="00500B36"/>
    <w:rsid w:val="00500CC8"/>
    <w:rsid w:val="00500D0C"/>
    <w:rsid w:val="005010AF"/>
    <w:rsid w:val="00501104"/>
    <w:rsid w:val="00501124"/>
    <w:rsid w:val="005011BD"/>
    <w:rsid w:val="0050136E"/>
    <w:rsid w:val="005014F8"/>
    <w:rsid w:val="00501A11"/>
    <w:rsid w:val="00501A48"/>
    <w:rsid w:val="00501B86"/>
    <w:rsid w:val="00501C01"/>
    <w:rsid w:val="00501CF5"/>
    <w:rsid w:val="00501E9F"/>
    <w:rsid w:val="00501EF4"/>
    <w:rsid w:val="00501EFF"/>
    <w:rsid w:val="00501F55"/>
    <w:rsid w:val="00501F94"/>
    <w:rsid w:val="00502154"/>
    <w:rsid w:val="00502163"/>
    <w:rsid w:val="0050218A"/>
    <w:rsid w:val="005025A0"/>
    <w:rsid w:val="005025CE"/>
    <w:rsid w:val="00502706"/>
    <w:rsid w:val="005027B6"/>
    <w:rsid w:val="00502923"/>
    <w:rsid w:val="00502A27"/>
    <w:rsid w:val="00502E08"/>
    <w:rsid w:val="0050320C"/>
    <w:rsid w:val="005035A2"/>
    <w:rsid w:val="00503785"/>
    <w:rsid w:val="00503953"/>
    <w:rsid w:val="00503C1F"/>
    <w:rsid w:val="00503EFC"/>
    <w:rsid w:val="00504017"/>
    <w:rsid w:val="00504026"/>
    <w:rsid w:val="00504123"/>
    <w:rsid w:val="00504138"/>
    <w:rsid w:val="0050433B"/>
    <w:rsid w:val="00504364"/>
    <w:rsid w:val="005045F7"/>
    <w:rsid w:val="005047B7"/>
    <w:rsid w:val="0050486E"/>
    <w:rsid w:val="0050491E"/>
    <w:rsid w:val="00504A72"/>
    <w:rsid w:val="00504C1B"/>
    <w:rsid w:val="00504E85"/>
    <w:rsid w:val="00504EE7"/>
    <w:rsid w:val="00504F1C"/>
    <w:rsid w:val="00504F7A"/>
    <w:rsid w:val="005052EF"/>
    <w:rsid w:val="0050533C"/>
    <w:rsid w:val="0050546B"/>
    <w:rsid w:val="00505568"/>
    <w:rsid w:val="00505911"/>
    <w:rsid w:val="00505A47"/>
    <w:rsid w:val="00505E59"/>
    <w:rsid w:val="00505E8D"/>
    <w:rsid w:val="00505FE5"/>
    <w:rsid w:val="00506501"/>
    <w:rsid w:val="00506503"/>
    <w:rsid w:val="00506636"/>
    <w:rsid w:val="0050685A"/>
    <w:rsid w:val="00506898"/>
    <w:rsid w:val="005069A1"/>
    <w:rsid w:val="00506BD4"/>
    <w:rsid w:val="00506E7D"/>
    <w:rsid w:val="00506FDF"/>
    <w:rsid w:val="00507215"/>
    <w:rsid w:val="00507299"/>
    <w:rsid w:val="0050766A"/>
    <w:rsid w:val="005076C2"/>
    <w:rsid w:val="00507D2B"/>
    <w:rsid w:val="00507D3C"/>
    <w:rsid w:val="0051007D"/>
    <w:rsid w:val="005100F4"/>
    <w:rsid w:val="005101DF"/>
    <w:rsid w:val="0051033B"/>
    <w:rsid w:val="005103E0"/>
    <w:rsid w:val="005104A2"/>
    <w:rsid w:val="005105C8"/>
    <w:rsid w:val="00510881"/>
    <w:rsid w:val="00510976"/>
    <w:rsid w:val="0051097D"/>
    <w:rsid w:val="00510A9A"/>
    <w:rsid w:val="00510B94"/>
    <w:rsid w:val="00510C1C"/>
    <w:rsid w:val="00510D07"/>
    <w:rsid w:val="00510FC6"/>
    <w:rsid w:val="005110FA"/>
    <w:rsid w:val="0051110B"/>
    <w:rsid w:val="0051130B"/>
    <w:rsid w:val="005115B4"/>
    <w:rsid w:val="005115FF"/>
    <w:rsid w:val="00511863"/>
    <w:rsid w:val="00511BD0"/>
    <w:rsid w:val="00511BF2"/>
    <w:rsid w:val="00511DA8"/>
    <w:rsid w:val="00511F8A"/>
    <w:rsid w:val="005120DA"/>
    <w:rsid w:val="005123FB"/>
    <w:rsid w:val="0051240B"/>
    <w:rsid w:val="005125C7"/>
    <w:rsid w:val="00512C5C"/>
    <w:rsid w:val="00513038"/>
    <w:rsid w:val="005130D3"/>
    <w:rsid w:val="0051311B"/>
    <w:rsid w:val="00513359"/>
    <w:rsid w:val="005133CC"/>
    <w:rsid w:val="005135C1"/>
    <w:rsid w:val="005136A2"/>
    <w:rsid w:val="00513730"/>
    <w:rsid w:val="00513A49"/>
    <w:rsid w:val="00513BE9"/>
    <w:rsid w:val="00513E24"/>
    <w:rsid w:val="00513F98"/>
    <w:rsid w:val="00514012"/>
    <w:rsid w:val="00514098"/>
    <w:rsid w:val="005145B2"/>
    <w:rsid w:val="00514845"/>
    <w:rsid w:val="00514C1B"/>
    <w:rsid w:val="00514C7F"/>
    <w:rsid w:val="00514EB7"/>
    <w:rsid w:val="00514F35"/>
    <w:rsid w:val="00514FA1"/>
    <w:rsid w:val="005150D3"/>
    <w:rsid w:val="00515820"/>
    <w:rsid w:val="00515890"/>
    <w:rsid w:val="00515979"/>
    <w:rsid w:val="005159CF"/>
    <w:rsid w:val="00515CF5"/>
    <w:rsid w:val="00515CFF"/>
    <w:rsid w:val="00515F2F"/>
    <w:rsid w:val="00515F44"/>
    <w:rsid w:val="0051618C"/>
    <w:rsid w:val="0051624D"/>
    <w:rsid w:val="0051638F"/>
    <w:rsid w:val="005163F0"/>
    <w:rsid w:val="005164CD"/>
    <w:rsid w:val="005164D5"/>
    <w:rsid w:val="005164DE"/>
    <w:rsid w:val="005164EB"/>
    <w:rsid w:val="0051676D"/>
    <w:rsid w:val="00516ACC"/>
    <w:rsid w:val="00516AE8"/>
    <w:rsid w:val="00516C55"/>
    <w:rsid w:val="00516D9D"/>
    <w:rsid w:val="00517037"/>
    <w:rsid w:val="00517168"/>
    <w:rsid w:val="005171B0"/>
    <w:rsid w:val="00517306"/>
    <w:rsid w:val="0051759A"/>
    <w:rsid w:val="005176E7"/>
    <w:rsid w:val="00517A40"/>
    <w:rsid w:val="00517A7F"/>
    <w:rsid w:val="00517AAB"/>
    <w:rsid w:val="00517AC9"/>
    <w:rsid w:val="00517ACC"/>
    <w:rsid w:val="00517BDC"/>
    <w:rsid w:val="00517D40"/>
    <w:rsid w:val="00517D44"/>
    <w:rsid w:val="00517D7B"/>
    <w:rsid w:val="00517FE5"/>
    <w:rsid w:val="0052021A"/>
    <w:rsid w:val="00520404"/>
    <w:rsid w:val="005205B3"/>
    <w:rsid w:val="005205F1"/>
    <w:rsid w:val="005206F3"/>
    <w:rsid w:val="005207F7"/>
    <w:rsid w:val="00520867"/>
    <w:rsid w:val="005209E2"/>
    <w:rsid w:val="00520A3E"/>
    <w:rsid w:val="00520A4E"/>
    <w:rsid w:val="00520A5F"/>
    <w:rsid w:val="00520AE0"/>
    <w:rsid w:val="00520E38"/>
    <w:rsid w:val="00520F21"/>
    <w:rsid w:val="00521154"/>
    <w:rsid w:val="00521245"/>
    <w:rsid w:val="005216A7"/>
    <w:rsid w:val="005218E0"/>
    <w:rsid w:val="00521964"/>
    <w:rsid w:val="00521A4B"/>
    <w:rsid w:val="00521A56"/>
    <w:rsid w:val="00521A70"/>
    <w:rsid w:val="00521D5C"/>
    <w:rsid w:val="00521EE8"/>
    <w:rsid w:val="00522086"/>
    <w:rsid w:val="005220BD"/>
    <w:rsid w:val="005220EA"/>
    <w:rsid w:val="0052215B"/>
    <w:rsid w:val="005221BB"/>
    <w:rsid w:val="005221F7"/>
    <w:rsid w:val="00522390"/>
    <w:rsid w:val="005223F0"/>
    <w:rsid w:val="00522452"/>
    <w:rsid w:val="005224B6"/>
    <w:rsid w:val="00522837"/>
    <w:rsid w:val="0052289A"/>
    <w:rsid w:val="00522AB6"/>
    <w:rsid w:val="00522FB5"/>
    <w:rsid w:val="00523245"/>
    <w:rsid w:val="00523383"/>
    <w:rsid w:val="005235E2"/>
    <w:rsid w:val="005238D1"/>
    <w:rsid w:val="005238EA"/>
    <w:rsid w:val="00523A23"/>
    <w:rsid w:val="00523ADB"/>
    <w:rsid w:val="00523C58"/>
    <w:rsid w:val="00523DBB"/>
    <w:rsid w:val="00524125"/>
    <w:rsid w:val="00524480"/>
    <w:rsid w:val="0052458D"/>
    <w:rsid w:val="005245E7"/>
    <w:rsid w:val="0052483C"/>
    <w:rsid w:val="00524885"/>
    <w:rsid w:val="005248B7"/>
    <w:rsid w:val="005248CC"/>
    <w:rsid w:val="00524F05"/>
    <w:rsid w:val="0052502A"/>
    <w:rsid w:val="0052508E"/>
    <w:rsid w:val="0052524B"/>
    <w:rsid w:val="0052560B"/>
    <w:rsid w:val="005256D0"/>
    <w:rsid w:val="00525718"/>
    <w:rsid w:val="0052574D"/>
    <w:rsid w:val="005257F4"/>
    <w:rsid w:val="00525B61"/>
    <w:rsid w:val="00525E36"/>
    <w:rsid w:val="00525E5A"/>
    <w:rsid w:val="005261A5"/>
    <w:rsid w:val="00526636"/>
    <w:rsid w:val="00526688"/>
    <w:rsid w:val="005266C2"/>
    <w:rsid w:val="0052685F"/>
    <w:rsid w:val="00526863"/>
    <w:rsid w:val="0052694B"/>
    <w:rsid w:val="00526A08"/>
    <w:rsid w:val="00526A6C"/>
    <w:rsid w:val="00526AC1"/>
    <w:rsid w:val="00526B94"/>
    <w:rsid w:val="00526D31"/>
    <w:rsid w:val="0052700E"/>
    <w:rsid w:val="005270C8"/>
    <w:rsid w:val="005270F9"/>
    <w:rsid w:val="00527425"/>
    <w:rsid w:val="005274A4"/>
    <w:rsid w:val="005275F2"/>
    <w:rsid w:val="00527995"/>
    <w:rsid w:val="00527B6B"/>
    <w:rsid w:val="00527C01"/>
    <w:rsid w:val="00527EDC"/>
    <w:rsid w:val="00530234"/>
    <w:rsid w:val="005304E4"/>
    <w:rsid w:val="00530688"/>
    <w:rsid w:val="00530968"/>
    <w:rsid w:val="00530A55"/>
    <w:rsid w:val="00530B93"/>
    <w:rsid w:val="00530EF7"/>
    <w:rsid w:val="00530F1F"/>
    <w:rsid w:val="005311D7"/>
    <w:rsid w:val="005312F1"/>
    <w:rsid w:val="005312F9"/>
    <w:rsid w:val="0053138D"/>
    <w:rsid w:val="00531882"/>
    <w:rsid w:val="00531B63"/>
    <w:rsid w:val="00531DCB"/>
    <w:rsid w:val="00531FD6"/>
    <w:rsid w:val="005323B9"/>
    <w:rsid w:val="00532526"/>
    <w:rsid w:val="00532570"/>
    <w:rsid w:val="0053262B"/>
    <w:rsid w:val="00532718"/>
    <w:rsid w:val="00532ABD"/>
    <w:rsid w:val="00532CE4"/>
    <w:rsid w:val="00532FF2"/>
    <w:rsid w:val="00533038"/>
    <w:rsid w:val="0053305D"/>
    <w:rsid w:val="005330BA"/>
    <w:rsid w:val="005330EA"/>
    <w:rsid w:val="005332E2"/>
    <w:rsid w:val="0053338E"/>
    <w:rsid w:val="005336CA"/>
    <w:rsid w:val="00533723"/>
    <w:rsid w:val="00533A23"/>
    <w:rsid w:val="00533E88"/>
    <w:rsid w:val="00533FE5"/>
    <w:rsid w:val="00533FEA"/>
    <w:rsid w:val="0053403C"/>
    <w:rsid w:val="00534245"/>
    <w:rsid w:val="005344C5"/>
    <w:rsid w:val="00534518"/>
    <w:rsid w:val="0053478A"/>
    <w:rsid w:val="00534851"/>
    <w:rsid w:val="00534E31"/>
    <w:rsid w:val="00534F53"/>
    <w:rsid w:val="00534F62"/>
    <w:rsid w:val="0053507C"/>
    <w:rsid w:val="0053513C"/>
    <w:rsid w:val="005351C2"/>
    <w:rsid w:val="0053526F"/>
    <w:rsid w:val="005352A9"/>
    <w:rsid w:val="0053539C"/>
    <w:rsid w:val="0053541D"/>
    <w:rsid w:val="00535489"/>
    <w:rsid w:val="0053562C"/>
    <w:rsid w:val="005356FB"/>
    <w:rsid w:val="00535756"/>
    <w:rsid w:val="00535B56"/>
    <w:rsid w:val="00535C7F"/>
    <w:rsid w:val="00536011"/>
    <w:rsid w:val="00536298"/>
    <w:rsid w:val="005364AB"/>
    <w:rsid w:val="005364F5"/>
    <w:rsid w:val="00536561"/>
    <w:rsid w:val="0053681C"/>
    <w:rsid w:val="005368A2"/>
    <w:rsid w:val="005369B8"/>
    <w:rsid w:val="00536A6A"/>
    <w:rsid w:val="00536AB2"/>
    <w:rsid w:val="00536AB8"/>
    <w:rsid w:val="00536BB0"/>
    <w:rsid w:val="00536D56"/>
    <w:rsid w:val="00536E33"/>
    <w:rsid w:val="005370B9"/>
    <w:rsid w:val="005371A9"/>
    <w:rsid w:val="00537363"/>
    <w:rsid w:val="0053742D"/>
    <w:rsid w:val="00537535"/>
    <w:rsid w:val="005375DB"/>
    <w:rsid w:val="00537BDA"/>
    <w:rsid w:val="00537E30"/>
    <w:rsid w:val="00537F02"/>
    <w:rsid w:val="005402BD"/>
    <w:rsid w:val="00540401"/>
    <w:rsid w:val="005404D7"/>
    <w:rsid w:val="005405CB"/>
    <w:rsid w:val="00540717"/>
    <w:rsid w:val="005407DD"/>
    <w:rsid w:val="0054080A"/>
    <w:rsid w:val="0054085B"/>
    <w:rsid w:val="0054094F"/>
    <w:rsid w:val="00540AA2"/>
    <w:rsid w:val="00540C97"/>
    <w:rsid w:val="00540D51"/>
    <w:rsid w:val="00540D73"/>
    <w:rsid w:val="00540D83"/>
    <w:rsid w:val="00541097"/>
    <w:rsid w:val="00541226"/>
    <w:rsid w:val="0054127A"/>
    <w:rsid w:val="005412AF"/>
    <w:rsid w:val="00541567"/>
    <w:rsid w:val="005417B1"/>
    <w:rsid w:val="005417E2"/>
    <w:rsid w:val="00541857"/>
    <w:rsid w:val="00541AEF"/>
    <w:rsid w:val="00541C3C"/>
    <w:rsid w:val="00541C64"/>
    <w:rsid w:val="00541EFD"/>
    <w:rsid w:val="00541F2C"/>
    <w:rsid w:val="00541F9F"/>
    <w:rsid w:val="00542082"/>
    <w:rsid w:val="005421B0"/>
    <w:rsid w:val="005421E2"/>
    <w:rsid w:val="00542337"/>
    <w:rsid w:val="00542505"/>
    <w:rsid w:val="00542532"/>
    <w:rsid w:val="0054259A"/>
    <w:rsid w:val="005426D5"/>
    <w:rsid w:val="00542772"/>
    <w:rsid w:val="00542C47"/>
    <w:rsid w:val="00542D67"/>
    <w:rsid w:val="00542E15"/>
    <w:rsid w:val="00542E78"/>
    <w:rsid w:val="00542E7B"/>
    <w:rsid w:val="00542F74"/>
    <w:rsid w:val="0054329D"/>
    <w:rsid w:val="00543376"/>
    <w:rsid w:val="005433E7"/>
    <w:rsid w:val="00543571"/>
    <w:rsid w:val="0054386A"/>
    <w:rsid w:val="0054387E"/>
    <w:rsid w:val="005439C2"/>
    <w:rsid w:val="00543A8B"/>
    <w:rsid w:val="00543A99"/>
    <w:rsid w:val="00543BA8"/>
    <w:rsid w:val="00543BCB"/>
    <w:rsid w:val="00544022"/>
    <w:rsid w:val="005440AA"/>
    <w:rsid w:val="005440D6"/>
    <w:rsid w:val="005441FA"/>
    <w:rsid w:val="005442CA"/>
    <w:rsid w:val="00544363"/>
    <w:rsid w:val="00544873"/>
    <w:rsid w:val="00544A20"/>
    <w:rsid w:val="00544B66"/>
    <w:rsid w:val="00544B6B"/>
    <w:rsid w:val="00544E6B"/>
    <w:rsid w:val="00544E78"/>
    <w:rsid w:val="00545030"/>
    <w:rsid w:val="005452EF"/>
    <w:rsid w:val="00545ECE"/>
    <w:rsid w:val="00545F3C"/>
    <w:rsid w:val="0054605A"/>
    <w:rsid w:val="00546116"/>
    <w:rsid w:val="00546424"/>
    <w:rsid w:val="005465D6"/>
    <w:rsid w:val="005467EC"/>
    <w:rsid w:val="005468D5"/>
    <w:rsid w:val="0054702D"/>
    <w:rsid w:val="0054716E"/>
    <w:rsid w:val="005471ED"/>
    <w:rsid w:val="00547498"/>
    <w:rsid w:val="00547785"/>
    <w:rsid w:val="00547804"/>
    <w:rsid w:val="005479E4"/>
    <w:rsid w:val="00547B46"/>
    <w:rsid w:val="00547BF1"/>
    <w:rsid w:val="00547C22"/>
    <w:rsid w:val="00547EAE"/>
    <w:rsid w:val="00547EDE"/>
    <w:rsid w:val="00547F33"/>
    <w:rsid w:val="0055000C"/>
    <w:rsid w:val="005500CF"/>
    <w:rsid w:val="005500E2"/>
    <w:rsid w:val="005500EB"/>
    <w:rsid w:val="00550102"/>
    <w:rsid w:val="005501DC"/>
    <w:rsid w:val="005502F6"/>
    <w:rsid w:val="005504BA"/>
    <w:rsid w:val="00550589"/>
    <w:rsid w:val="005508E2"/>
    <w:rsid w:val="005509BA"/>
    <w:rsid w:val="00550CE3"/>
    <w:rsid w:val="00550D0A"/>
    <w:rsid w:val="00550DB6"/>
    <w:rsid w:val="00550E02"/>
    <w:rsid w:val="00550EAD"/>
    <w:rsid w:val="00550EFA"/>
    <w:rsid w:val="005510A2"/>
    <w:rsid w:val="005511A3"/>
    <w:rsid w:val="00551255"/>
    <w:rsid w:val="0055132A"/>
    <w:rsid w:val="00551451"/>
    <w:rsid w:val="00551658"/>
    <w:rsid w:val="0055177A"/>
    <w:rsid w:val="005518C3"/>
    <w:rsid w:val="00551A3F"/>
    <w:rsid w:val="00551A49"/>
    <w:rsid w:val="00551A84"/>
    <w:rsid w:val="00551C67"/>
    <w:rsid w:val="00551F12"/>
    <w:rsid w:val="00551FB4"/>
    <w:rsid w:val="00551FDB"/>
    <w:rsid w:val="00552062"/>
    <w:rsid w:val="0055224A"/>
    <w:rsid w:val="00552361"/>
    <w:rsid w:val="00552484"/>
    <w:rsid w:val="00552488"/>
    <w:rsid w:val="005524D3"/>
    <w:rsid w:val="0055261C"/>
    <w:rsid w:val="00552947"/>
    <w:rsid w:val="005529B1"/>
    <w:rsid w:val="00552C5F"/>
    <w:rsid w:val="00553283"/>
    <w:rsid w:val="00553432"/>
    <w:rsid w:val="005535B2"/>
    <w:rsid w:val="00553604"/>
    <w:rsid w:val="005536AB"/>
    <w:rsid w:val="005536B0"/>
    <w:rsid w:val="005536C2"/>
    <w:rsid w:val="0055378C"/>
    <w:rsid w:val="005538C5"/>
    <w:rsid w:val="005539ED"/>
    <w:rsid w:val="00553F31"/>
    <w:rsid w:val="00553FCF"/>
    <w:rsid w:val="005542EC"/>
    <w:rsid w:val="0055440A"/>
    <w:rsid w:val="00554426"/>
    <w:rsid w:val="005545C3"/>
    <w:rsid w:val="005545D9"/>
    <w:rsid w:val="00554725"/>
    <w:rsid w:val="00554842"/>
    <w:rsid w:val="00554954"/>
    <w:rsid w:val="005549EB"/>
    <w:rsid w:val="00554D9D"/>
    <w:rsid w:val="00554FC6"/>
    <w:rsid w:val="0055519A"/>
    <w:rsid w:val="0055521A"/>
    <w:rsid w:val="005552D5"/>
    <w:rsid w:val="0055537E"/>
    <w:rsid w:val="00555621"/>
    <w:rsid w:val="00555635"/>
    <w:rsid w:val="005559B4"/>
    <w:rsid w:val="00555CB4"/>
    <w:rsid w:val="00555D0A"/>
    <w:rsid w:val="00555D92"/>
    <w:rsid w:val="00555DD2"/>
    <w:rsid w:val="00555DD6"/>
    <w:rsid w:val="005561E6"/>
    <w:rsid w:val="005562AB"/>
    <w:rsid w:val="0055653C"/>
    <w:rsid w:val="00556622"/>
    <w:rsid w:val="005567C9"/>
    <w:rsid w:val="005567EF"/>
    <w:rsid w:val="00556973"/>
    <w:rsid w:val="00556A61"/>
    <w:rsid w:val="00556BFC"/>
    <w:rsid w:val="00556C3C"/>
    <w:rsid w:val="00556C83"/>
    <w:rsid w:val="00556FA4"/>
    <w:rsid w:val="00557230"/>
    <w:rsid w:val="005572FD"/>
    <w:rsid w:val="00557565"/>
    <w:rsid w:val="00557841"/>
    <w:rsid w:val="0055793C"/>
    <w:rsid w:val="00557D9F"/>
    <w:rsid w:val="00557DA5"/>
    <w:rsid w:val="00557EC8"/>
    <w:rsid w:val="005602F5"/>
    <w:rsid w:val="00560321"/>
    <w:rsid w:val="00560346"/>
    <w:rsid w:val="00560423"/>
    <w:rsid w:val="005608B0"/>
    <w:rsid w:val="0056091A"/>
    <w:rsid w:val="005609C3"/>
    <w:rsid w:val="005609EE"/>
    <w:rsid w:val="005609FF"/>
    <w:rsid w:val="00561050"/>
    <w:rsid w:val="00561215"/>
    <w:rsid w:val="005613A8"/>
    <w:rsid w:val="005616B3"/>
    <w:rsid w:val="00561C2F"/>
    <w:rsid w:val="00561E5C"/>
    <w:rsid w:val="0056208B"/>
    <w:rsid w:val="00562196"/>
    <w:rsid w:val="0056229B"/>
    <w:rsid w:val="00562333"/>
    <w:rsid w:val="0056253A"/>
    <w:rsid w:val="00562883"/>
    <w:rsid w:val="005628E5"/>
    <w:rsid w:val="00562B97"/>
    <w:rsid w:val="00562BD8"/>
    <w:rsid w:val="00562DCE"/>
    <w:rsid w:val="00562E99"/>
    <w:rsid w:val="0056301A"/>
    <w:rsid w:val="005630C8"/>
    <w:rsid w:val="00563175"/>
    <w:rsid w:val="0056336A"/>
    <w:rsid w:val="0056353D"/>
    <w:rsid w:val="0056373B"/>
    <w:rsid w:val="00563809"/>
    <w:rsid w:val="00563988"/>
    <w:rsid w:val="00563C6F"/>
    <w:rsid w:val="00563D81"/>
    <w:rsid w:val="00563DE4"/>
    <w:rsid w:val="00563F0A"/>
    <w:rsid w:val="0056413B"/>
    <w:rsid w:val="0056413E"/>
    <w:rsid w:val="005641B8"/>
    <w:rsid w:val="005642BD"/>
    <w:rsid w:val="00564391"/>
    <w:rsid w:val="005643B7"/>
    <w:rsid w:val="00564683"/>
    <w:rsid w:val="005646A2"/>
    <w:rsid w:val="00564724"/>
    <w:rsid w:val="0056474B"/>
    <w:rsid w:val="005648C6"/>
    <w:rsid w:val="00564A68"/>
    <w:rsid w:val="00564E42"/>
    <w:rsid w:val="00564EAF"/>
    <w:rsid w:val="00564F21"/>
    <w:rsid w:val="00565041"/>
    <w:rsid w:val="0056550F"/>
    <w:rsid w:val="00565538"/>
    <w:rsid w:val="005655B3"/>
    <w:rsid w:val="005656CB"/>
    <w:rsid w:val="005658A1"/>
    <w:rsid w:val="005658C7"/>
    <w:rsid w:val="00565946"/>
    <w:rsid w:val="00565BFC"/>
    <w:rsid w:val="00565C86"/>
    <w:rsid w:val="00565D4E"/>
    <w:rsid w:val="00565D81"/>
    <w:rsid w:val="00565DAA"/>
    <w:rsid w:val="00565FA0"/>
    <w:rsid w:val="00565FD1"/>
    <w:rsid w:val="00566046"/>
    <w:rsid w:val="0056618D"/>
    <w:rsid w:val="005663B1"/>
    <w:rsid w:val="0056654A"/>
    <w:rsid w:val="005665FF"/>
    <w:rsid w:val="00566835"/>
    <w:rsid w:val="0056683D"/>
    <w:rsid w:val="0056686A"/>
    <w:rsid w:val="005668D3"/>
    <w:rsid w:val="00566AC9"/>
    <w:rsid w:val="00566C31"/>
    <w:rsid w:val="00566D18"/>
    <w:rsid w:val="00566D67"/>
    <w:rsid w:val="00566D6D"/>
    <w:rsid w:val="00566F46"/>
    <w:rsid w:val="005671D4"/>
    <w:rsid w:val="0056732E"/>
    <w:rsid w:val="005673A5"/>
    <w:rsid w:val="005673BD"/>
    <w:rsid w:val="00567534"/>
    <w:rsid w:val="00567557"/>
    <w:rsid w:val="005675D9"/>
    <w:rsid w:val="0056776F"/>
    <w:rsid w:val="00567B5F"/>
    <w:rsid w:val="00567ECE"/>
    <w:rsid w:val="00567F06"/>
    <w:rsid w:val="00567F63"/>
    <w:rsid w:val="00567FA3"/>
    <w:rsid w:val="00567FB3"/>
    <w:rsid w:val="0057014C"/>
    <w:rsid w:val="005705B3"/>
    <w:rsid w:val="005705CC"/>
    <w:rsid w:val="005706CF"/>
    <w:rsid w:val="0057083B"/>
    <w:rsid w:val="0057092F"/>
    <w:rsid w:val="00570A1E"/>
    <w:rsid w:val="00570D9A"/>
    <w:rsid w:val="00570DFB"/>
    <w:rsid w:val="00570F1D"/>
    <w:rsid w:val="00571068"/>
    <w:rsid w:val="0057142F"/>
    <w:rsid w:val="0057149B"/>
    <w:rsid w:val="00571AF9"/>
    <w:rsid w:val="00571DBA"/>
    <w:rsid w:val="00571ECF"/>
    <w:rsid w:val="00571EFE"/>
    <w:rsid w:val="00572036"/>
    <w:rsid w:val="005725E1"/>
    <w:rsid w:val="0057291D"/>
    <w:rsid w:val="00572A50"/>
    <w:rsid w:val="00572DAF"/>
    <w:rsid w:val="00572DBC"/>
    <w:rsid w:val="00572FD1"/>
    <w:rsid w:val="0057316E"/>
    <w:rsid w:val="00573223"/>
    <w:rsid w:val="0057326C"/>
    <w:rsid w:val="00573274"/>
    <w:rsid w:val="005732D9"/>
    <w:rsid w:val="00573505"/>
    <w:rsid w:val="00573556"/>
    <w:rsid w:val="00573822"/>
    <w:rsid w:val="00573A10"/>
    <w:rsid w:val="00573BDC"/>
    <w:rsid w:val="00573D23"/>
    <w:rsid w:val="00573D2F"/>
    <w:rsid w:val="00573D35"/>
    <w:rsid w:val="005742E1"/>
    <w:rsid w:val="0057451D"/>
    <w:rsid w:val="00574531"/>
    <w:rsid w:val="005746E4"/>
    <w:rsid w:val="00574713"/>
    <w:rsid w:val="0057475C"/>
    <w:rsid w:val="005747C5"/>
    <w:rsid w:val="00574884"/>
    <w:rsid w:val="00574A01"/>
    <w:rsid w:val="00574B16"/>
    <w:rsid w:val="00574BBE"/>
    <w:rsid w:val="00574C6B"/>
    <w:rsid w:val="00574D7B"/>
    <w:rsid w:val="005750BA"/>
    <w:rsid w:val="005751F3"/>
    <w:rsid w:val="0057540F"/>
    <w:rsid w:val="005756A8"/>
    <w:rsid w:val="0057588F"/>
    <w:rsid w:val="00575930"/>
    <w:rsid w:val="00575980"/>
    <w:rsid w:val="005759C3"/>
    <w:rsid w:val="00575C69"/>
    <w:rsid w:val="00575D54"/>
    <w:rsid w:val="00575E7F"/>
    <w:rsid w:val="0057612D"/>
    <w:rsid w:val="0057620D"/>
    <w:rsid w:val="00576275"/>
    <w:rsid w:val="00576344"/>
    <w:rsid w:val="0057647C"/>
    <w:rsid w:val="005764A4"/>
    <w:rsid w:val="0057670D"/>
    <w:rsid w:val="005768B5"/>
    <w:rsid w:val="00576B76"/>
    <w:rsid w:val="00576BF8"/>
    <w:rsid w:val="00576F4D"/>
    <w:rsid w:val="00577598"/>
    <w:rsid w:val="005779ED"/>
    <w:rsid w:val="00577F20"/>
    <w:rsid w:val="005800B2"/>
    <w:rsid w:val="005801FC"/>
    <w:rsid w:val="00580371"/>
    <w:rsid w:val="005805AC"/>
    <w:rsid w:val="005807A0"/>
    <w:rsid w:val="00580897"/>
    <w:rsid w:val="00580A15"/>
    <w:rsid w:val="00580A22"/>
    <w:rsid w:val="00580D6D"/>
    <w:rsid w:val="00581022"/>
    <w:rsid w:val="00581088"/>
    <w:rsid w:val="005810BA"/>
    <w:rsid w:val="00581122"/>
    <w:rsid w:val="005811C2"/>
    <w:rsid w:val="00581278"/>
    <w:rsid w:val="0058159F"/>
    <w:rsid w:val="005818B4"/>
    <w:rsid w:val="00581972"/>
    <w:rsid w:val="00581A2F"/>
    <w:rsid w:val="00581A65"/>
    <w:rsid w:val="00581B33"/>
    <w:rsid w:val="00581BA1"/>
    <w:rsid w:val="00581F4F"/>
    <w:rsid w:val="00581FDD"/>
    <w:rsid w:val="0058208F"/>
    <w:rsid w:val="005820CE"/>
    <w:rsid w:val="00582359"/>
    <w:rsid w:val="00582650"/>
    <w:rsid w:val="0058282A"/>
    <w:rsid w:val="00582947"/>
    <w:rsid w:val="00582A85"/>
    <w:rsid w:val="00582B85"/>
    <w:rsid w:val="00582C4C"/>
    <w:rsid w:val="00582C99"/>
    <w:rsid w:val="005830A6"/>
    <w:rsid w:val="00583216"/>
    <w:rsid w:val="0058323A"/>
    <w:rsid w:val="00583296"/>
    <w:rsid w:val="005833D7"/>
    <w:rsid w:val="005834AD"/>
    <w:rsid w:val="00583742"/>
    <w:rsid w:val="00583752"/>
    <w:rsid w:val="005837C4"/>
    <w:rsid w:val="00583864"/>
    <w:rsid w:val="005839B4"/>
    <w:rsid w:val="00583A12"/>
    <w:rsid w:val="00583A67"/>
    <w:rsid w:val="005840C0"/>
    <w:rsid w:val="00584132"/>
    <w:rsid w:val="005843DE"/>
    <w:rsid w:val="00584465"/>
    <w:rsid w:val="00584611"/>
    <w:rsid w:val="005848C1"/>
    <w:rsid w:val="00584A61"/>
    <w:rsid w:val="00584A6A"/>
    <w:rsid w:val="00584AF6"/>
    <w:rsid w:val="00584BB7"/>
    <w:rsid w:val="00584CA5"/>
    <w:rsid w:val="005850C8"/>
    <w:rsid w:val="0058514B"/>
    <w:rsid w:val="005851A5"/>
    <w:rsid w:val="0058521A"/>
    <w:rsid w:val="00585287"/>
    <w:rsid w:val="00585362"/>
    <w:rsid w:val="005853DB"/>
    <w:rsid w:val="00585470"/>
    <w:rsid w:val="005854B8"/>
    <w:rsid w:val="0058557C"/>
    <w:rsid w:val="00585715"/>
    <w:rsid w:val="00585716"/>
    <w:rsid w:val="0058576F"/>
    <w:rsid w:val="0058591B"/>
    <w:rsid w:val="00585952"/>
    <w:rsid w:val="0058599F"/>
    <w:rsid w:val="00585E97"/>
    <w:rsid w:val="00585EB8"/>
    <w:rsid w:val="005860EF"/>
    <w:rsid w:val="0058620F"/>
    <w:rsid w:val="00586232"/>
    <w:rsid w:val="00586279"/>
    <w:rsid w:val="005862A9"/>
    <w:rsid w:val="005863B6"/>
    <w:rsid w:val="005864FC"/>
    <w:rsid w:val="00586553"/>
    <w:rsid w:val="00586A89"/>
    <w:rsid w:val="00586BDB"/>
    <w:rsid w:val="00586D52"/>
    <w:rsid w:val="00586FF0"/>
    <w:rsid w:val="00587026"/>
    <w:rsid w:val="005870AC"/>
    <w:rsid w:val="00587173"/>
    <w:rsid w:val="00587182"/>
    <w:rsid w:val="0058724D"/>
    <w:rsid w:val="00587310"/>
    <w:rsid w:val="00587482"/>
    <w:rsid w:val="00587570"/>
    <w:rsid w:val="00587765"/>
    <w:rsid w:val="005879FD"/>
    <w:rsid w:val="00587C7E"/>
    <w:rsid w:val="00587EBC"/>
    <w:rsid w:val="00587EBD"/>
    <w:rsid w:val="00587F66"/>
    <w:rsid w:val="00590052"/>
    <w:rsid w:val="00590086"/>
    <w:rsid w:val="005900A1"/>
    <w:rsid w:val="00590100"/>
    <w:rsid w:val="0059012D"/>
    <w:rsid w:val="00590219"/>
    <w:rsid w:val="00590375"/>
    <w:rsid w:val="005903EF"/>
    <w:rsid w:val="0059057A"/>
    <w:rsid w:val="00590581"/>
    <w:rsid w:val="0059059F"/>
    <w:rsid w:val="00590793"/>
    <w:rsid w:val="005908F9"/>
    <w:rsid w:val="005909DC"/>
    <w:rsid w:val="00590B9A"/>
    <w:rsid w:val="00590C03"/>
    <w:rsid w:val="00590C46"/>
    <w:rsid w:val="00590CEB"/>
    <w:rsid w:val="00590E67"/>
    <w:rsid w:val="005910CE"/>
    <w:rsid w:val="0059117D"/>
    <w:rsid w:val="005911B9"/>
    <w:rsid w:val="0059149D"/>
    <w:rsid w:val="005914C1"/>
    <w:rsid w:val="005915DC"/>
    <w:rsid w:val="00591709"/>
    <w:rsid w:val="00591C02"/>
    <w:rsid w:val="00591C13"/>
    <w:rsid w:val="00591C7C"/>
    <w:rsid w:val="00592017"/>
    <w:rsid w:val="0059211F"/>
    <w:rsid w:val="005924AF"/>
    <w:rsid w:val="005927B2"/>
    <w:rsid w:val="0059284D"/>
    <w:rsid w:val="00592BCB"/>
    <w:rsid w:val="00592DF3"/>
    <w:rsid w:val="00592E6C"/>
    <w:rsid w:val="005933A2"/>
    <w:rsid w:val="00593412"/>
    <w:rsid w:val="00593583"/>
    <w:rsid w:val="00593627"/>
    <w:rsid w:val="00593738"/>
    <w:rsid w:val="005939DC"/>
    <w:rsid w:val="00593BF7"/>
    <w:rsid w:val="00593DFA"/>
    <w:rsid w:val="00593EC3"/>
    <w:rsid w:val="00593FAA"/>
    <w:rsid w:val="005941A9"/>
    <w:rsid w:val="00594396"/>
    <w:rsid w:val="00594402"/>
    <w:rsid w:val="005948A5"/>
    <w:rsid w:val="00594974"/>
    <w:rsid w:val="005949E2"/>
    <w:rsid w:val="005949F7"/>
    <w:rsid w:val="00594ACA"/>
    <w:rsid w:val="00594DEB"/>
    <w:rsid w:val="00594E50"/>
    <w:rsid w:val="00594E6B"/>
    <w:rsid w:val="005950A8"/>
    <w:rsid w:val="005950CD"/>
    <w:rsid w:val="0059511E"/>
    <w:rsid w:val="00595171"/>
    <w:rsid w:val="00595795"/>
    <w:rsid w:val="0059582F"/>
    <w:rsid w:val="00595D94"/>
    <w:rsid w:val="00596002"/>
    <w:rsid w:val="005960CB"/>
    <w:rsid w:val="005961CC"/>
    <w:rsid w:val="005961E4"/>
    <w:rsid w:val="00596258"/>
    <w:rsid w:val="005962DE"/>
    <w:rsid w:val="00596300"/>
    <w:rsid w:val="005963F3"/>
    <w:rsid w:val="005965C9"/>
    <w:rsid w:val="005965F1"/>
    <w:rsid w:val="00596710"/>
    <w:rsid w:val="00596765"/>
    <w:rsid w:val="005967D7"/>
    <w:rsid w:val="0059682F"/>
    <w:rsid w:val="00596871"/>
    <w:rsid w:val="005969B2"/>
    <w:rsid w:val="005969CF"/>
    <w:rsid w:val="005969FB"/>
    <w:rsid w:val="00596AE3"/>
    <w:rsid w:val="00596B47"/>
    <w:rsid w:val="00596E08"/>
    <w:rsid w:val="00596EAB"/>
    <w:rsid w:val="005971CA"/>
    <w:rsid w:val="005973E7"/>
    <w:rsid w:val="00597BBD"/>
    <w:rsid w:val="00597EDF"/>
    <w:rsid w:val="00597EE1"/>
    <w:rsid w:val="00597FAA"/>
    <w:rsid w:val="005A00CE"/>
    <w:rsid w:val="005A0470"/>
    <w:rsid w:val="005A04B2"/>
    <w:rsid w:val="005A04F3"/>
    <w:rsid w:val="005A051D"/>
    <w:rsid w:val="005A055A"/>
    <w:rsid w:val="005A0564"/>
    <w:rsid w:val="005A08F2"/>
    <w:rsid w:val="005A09B6"/>
    <w:rsid w:val="005A0DC5"/>
    <w:rsid w:val="005A0F5A"/>
    <w:rsid w:val="005A10A0"/>
    <w:rsid w:val="005A15CC"/>
    <w:rsid w:val="005A1647"/>
    <w:rsid w:val="005A16B8"/>
    <w:rsid w:val="005A197D"/>
    <w:rsid w:val="005A1AE9"/>
    <w:rsid w:val="005A1CFA"/>
    <w:rsid w:val="005A2254"/>
    <w:rsid w:val="005A24DE"/>
    <w:rsid w:val="005A27C7"/>
    <w:rsid w:val="005A2D27"/>
    <w:rsid w:val="005A2D60"/>
    <w:rsid w:val="005A2E4A"/>
    <w:rsid w:val="005A3158"/>
    <w:rsid w:val="005A334C"/>
    <w:rsid w:val="005A3506"/>
    <w:rsid w:val="005A351D"/>
    <w:rsid w:val="005A357B"/>
    <w:rsid w:val="005A36C4"/>
    <w:rsid w:val="005A36FF"/>
    <w:rsid w:val="005A378A"/>
    <w:rsid w:val="005A3839"/>
    <w:rsid w:val="005A39C6"/>
    <w:rsid w:val="005A39DF"/>
    <w:rsid w:val="005A39F3"/>
    <w:rsid w:val="005A3AD7"/>
    <w:rsid w:val="005A3D65"/>
    <w:rsid w:val="005A3E55"/>
    <w:rsid w:val="005A4074"/>
    <w:rsid w:val="005A4128"/>
    <w:rsid w:val="005A4352"/>
    <w:rsid w:val="005A4491"/>
    <w:rsid w:val="005A44D9"/>
    <w:rsid w:val="005A4764"/>
    <w:rsid w:val="005A4797"/>
    <w:rsid w:val="005A47B3"/>
    <w:rsid w:val="005A480D"/>
    <w:rsid w:val="005A48CD"/>
    <w:rsid w:val="005A4EF9"/>
    <w:rsid w:val="005A4FDE"/>
    <w:rsid w:val="005A53D2"/>
    <w:rsid w:val="005A53ED"/>
    <w:rsid w:val="005A5682"/>
    <w:rsid w:val="005A5761"/>
    <w:rsid w:val="005A5816"/>
    <w:rsid w:val="005A5E12"/>
    <w:rsid w:val="005A609B"/>
    <w:rsid w:val="005A60E7"/>
    <w:rsid w:val="005A61B7"/>
    <w:rsid w:val="005A64E1"/>
    <w:rsid w:val="005A6790"/>
    <w:rsid w:val="005A6908"/>
    <w:rsid w:val="005A6A30"/>
    <w:rsid w:val="005A6B28"/>
    <w:rsid w:val="005A6C3A"/>
    <w:rsid w:val="005A6C3E"/>
    <w:rsid w:val="005A6DE9"/>
    <w:rsid w:val="005A6F32"/>
    <w:rsid w:val="005A7146"/>
    <w:rsid w:val="005A7316"/>
    <w:rsid w:val="005A775D"/>
    <w:rsid w:val="005A777F"/>
    <w:rsid w:val="005A7A5F"/>
    <w:rsid w:val="005A7A64"/>
    <w:rsid w:val="005A7BBC"/>
    <w:rsid w:val="005A7DCC"/>
    <w:rsid w:val="005A7E49"/>
    <w:rsid w:val="005A7E6F"/>
    <w:rsid w:val="005A7FA7"/>
    <w:rsid w:val="005B00B8"/>
    <w:rsid w:val="005B0222"/>
    <w:rsid w:val="005B02E5"/>
    <w:rsid w:val="005B039E"/>
    <w:rsid w:val="005B040F"/>
    <w:rsid w:val="005B045F"/>
    <w:rsid w:val="005B0593"/>
    <w:rsid w:val="005B08D9"/>
    <w:rsid w:val="005B08E3"/>
    <w:rsid w:val="005B091B"/>
    <w:rsid w:val="005B0A24"/>
    <w:rsid w:val="005B0A87"/>
    <w:rsid w:val="005B0AFC"/>
    <w:rsid w:val="005B0BAA"/>
    <w:rsid w:val="005B0BFC"/>
    <w:rsid w:val="005B0F9E"/>
    <w:rsid w:val="005B10B0"/>
    <w:rsid w:val="005B1248"/>
    <w:rsid w:val="005B127B"/>
    <w:rsid w:val="005B13F1"/>
    <w:rsid w:val="005B150D"/>
    <w:rsid w:val="005B15A4"/>
    <w:rsid w:val="005B16C1"/>
    <w:rsid w:val="005B1A11"/>
    <w:rsid w:val="005B1CD2"/>
    <w:rsid w:val="005B1D56"/>
    <w:rsid w:val="005B1DCF"/>
    <w:rsid w:val="005B1E35"/>
    <w:rsid w:val="005B1EE5"/>
    <w:rsid w:val="005B1F86"/>
    <w:rsid w:val="005B2135"/>
    <w:rsid w:val="005B2176"/>
    <w:rsid w:val="005B2372"/>
    <w:rsid w:val="005B2406"/>
    <w:rsid w:val="005B24C8"/>
    <w:rsid w:val="005B2575"/>
    <w:rsid w:val="005B27E5"/>
    <w:rsid w:val="005B2801"/>
    <w:rsid w:val="005B2832"/>
    <w:rsid w:val="005B2834"/>
    <w:rsid w:val="005B284C"/>
    <w:rsid w:val="005B2968"/>
    <w:rsid w:val="005B2A65"/>
    <w:rsid w:val="005B2B20"/>
    <w:rsid w:val="005B2B90"/>
    <w:rsid w:val="005B2BA0"/>
    <w:rsid w:val="005B2E1D"/>
    <w:rsid w:val="005B2ED7"/>
    <w:rsid w:val="005B2F08"/>
    <w:rsid w:val="005B2F68"/>
    <w:rsid w:val="005B346F"/>
    <w:rsid w:val="005B370D"/>
    <w:rsid w:val="005B3798"/>
    <w:rsid w:val="005B387E"/>
    <w:rsid w:val="005B3A09"/>
    <w:rsid w:val="005B3A55"/>
    <w:rsid w:val="005B3BB7"/>
    <w:rsid w:val="005B3C80"/>
    <w:rsid w:val="005B3F03"/>
    <w:rsid w:val="005B4011"/>
    <w:rsid w:val="005B41F4"/>
    <w:rsid w:val="005B42E7"/>
    <w:rsid w:val="005B445E"/>
    <w:rsid w:val="005B477C"/>
    <w:rsid w:val="005B4ACB"/>
    <w:rsid w:val="005B4CFA"/>
    <w:rsid w:val="005B4D94"/>
    <w:rsid w:val="005B4EBC"/>
    <w:rsid w:val="005B4F14"/>
    <w:rsid w:val="005B4F4B"/>
    <w:rsid w:val="005B4F56"/>
    <w:rsid w:val="005B5022"/>
    <w:rsid w:val="005B506D"/>
    <w:rsid w:val="005B50A8"/>
    <w:rsid w:val="005B5231"/>
    <w:rsid w:val="005B5272"/>
    <w:rsid w:val="005B531E"/>
    <w:rsid w:val="005B56E5"/>
    <w:rsid w:val="005B56FF"/>
    <w:rsid w:val="005B5814"/>
    <w:rsid w:val="005B5BA8"/>
    <w:rsid w:val="005B5C56"/>
    <w:rsid w:val="005B5D1F"/>
    <w:rsid w:val="005B5ED7"/>
    <w:rsid w:val="005B5F4F"/>
    <w:rsid w:val="005B6166"/>
    <w:rsid w:val="005B6215"/>
    <w:rsid w:val="005B672D"/>
    <w:rsid w:val="005B6744"/>
    <w:rsid w:val="005B6869"/>
    <w:rsid w:val="005B6B53"/>
    <w:rsid w:val="005B6E48"/>
    <w:rsid w:val="005B704D"/>
    <w:rsid w:val="005B70A6"/>
    <w:rsid w:val="005B73BA"/>
    <w:rsid w:val="005B741B"/>
    <w:rsid w:val="005B7628"/>
    <w:rsid w:val="005B7670"/>
    <w:rsid w:val="005B7843"/>
    <w:rsid w:val="005B79D1"/>
    <w:rsid w:val="005B7AF2"/>
    <w:rsid w:val="005B7B48"/>
    <w:rsid w:val="005B7FE0"/>
    <w:rsid w:val="005C0049"/>
    <w:rsid w:val="005C01EA"/>
    <w:rsid w:val="005C0349"/>
    <w:rsid w:val="005C041C"/>
    <w:rsid w:val="005C044F"/>
    <w:rsid w:val="005C0536"/>
    <w:rsid w:val="005C05A4"/>
    <w:rsid w:val="005C062E"/>
    <w:rsid w:val="005C0632"/>
    <w:rsid w:val="005C07CE"/>
    <w:rsid w:val="005C0B38"/>
    <w:rsid w:val="005C0B3F"/>
    <w:rsid w:val="005C0B76"/>
    <w:rsid w:val="005C0E0F"/>
    <w:rsid w:val="005C103C"/>
    <w:rsid w:val="005C10D2"/>
    <w:rsid w:val="005C1186"/>
    <w:rsid w:val="005C1332"/>
    <w:rsid w:val="005C14AA"/>
    <w:rsid w:val="005C18E5"/>
    <w:rsid w:val="005C1B1C"/>
    <w:rsid w:val="005C1D42"/>
    <w:rsid w:val="005C1D6E"/>
    <w:rsid w:val="005C1D78"/>
    <w:rsid w:val="005C1E2E"/>
    <w:rsid w:val="005C1EA5"/>
    <w:rsid w:val="005C2045"/>
    <w:rsid w:val="005C209A"/>
    <w:rsid w:val="005C2182"/>
    <w:rsid w:val="005C2563"/>
    <w:rsid w:val="005C25A5"/>
    <w:rsid w:val="005C266C"/>
    <w:rsid w:val="005C2A07"/>
    <w:rsid w:val="005C2A3D"/>
    <w:rsid w:val="005C2C43"/>
    <w:rsid w:val="005C2E67"/>
    <w:rsid w:val="005C3008"/>
    <w:rsid w:val="005C3045"/>
    <w:rsid w:val="005C3196"/>
    <w:rsid w:val="005C3360"/>
    <w:rsid w:val="005C346D"/>
    <w:rsid w:val="005C34D5"/>
    <w:rsid w:val="005C380B"/>
    <w:rsid w:val="005C3A72"/>
    <w:rsid w:val="005C3A9E"/>
    <w:rsid w:val="005C3B7B"/>
    <w:rsid w:val="005C3B8A"/>
    <w:rsid w:val="005C3CBE"/>
    <w:rsid w:val="005C40B3"/>
    <w:rsid w:val="005C4254"/>
    <w:rsid w:val="005C43FE"/>
    <w:rsid w:val="005C4559"/>
    <w:rsid w:val="005C45A4"/>
    <w:rsid w:val="005C4822"/>
    <w:rsid w:val="005C48BE"/>
    <w:rsid w:val="005C48DB"/>
    <w:rsid w:val="005C4940"/>
    <w:rsid w:val="005C4AB7"/>
    <w:rsid w:val="005C4DEA"/>
    <w:rsid w:val="005C508A"/>
    <w:rsid w:val="005C52C5"/>
    <w:rsid w:val="005C5321"/>
    <w:rsid w:val="005C53D0"/>
    <w:rsid w:val="005C5506"/>
    <w:rsid w:val="005C583F"/>
    <w:rsid w:val="005C5A0B"/>
    <w:rsid w:val="005C5C27"/>
    <w:rsid w:val="005C5F83"/>
    <w:rsid w:val="005C5FD9"/>
    <w:rsid w:val="005C6198"/>
    <w:rsid w:val="005C63C7"/>
    <w:rsid w:val="005C6421"/>
    <w:rsid w:val="005C6427"/>
    <w:rsid w:val="005C642B"/>
    <w:rsid w:val="005C665A"/>
    <w:rsid w:val="005C667A"/>
    <w:rsid w:val="005C66AD"/>
    <w:rsid w:val="005C66E7"/>
    <w:rsid w:val="005C6869"/>
    <w:rsid w:val="005C686B"/>
    <w:rsid w:val="005C6A4C"/>
    <w:rsid w:val="005C6B79"/>
    <w:rsid w:val="005C6BEB"/>
    <w:rsid w:val="005C6DA0"/>
    <w:rsid w:val="005C6EBC"/>
    <w:rsid w:val="005C6ED1"/>
    <w:rsid w:val="005C6EF6"/>
    <w:rsid w:val="005C6F31"/>
    <w:rsid w:val="005C6FF3"/>
    <w:rsid w:val="005C71B5"/>
    <w:rsid w:val="005C7354"/>
    <w:rsid w:val="005C738F"/>
    <w:rsid w:val="005C7446"/>
    <w:rsid w:val="005C7582"/>
    <w:rsid w:val="005C7827"/>
    <w:rsid w:val="005C7A79"/>
    <w:rsid w:val="005C7BEE"/>
    <w:rsid w:val="005C7C23"/>
    <w:rsid w:val="005C7F0B"/>
    <w:rsid w:val="005C7F63"/>
    <w:rsid w:val="005C7F8A"/>
    <w:rsid w:val="005C7FE5"/>
    <w:rsid w:val="005D0085"/>
    <w:rsid w:val="005D0120"/>
    <w:rsid w:val="005D0164"/>
    <w:rsid w:val="005D02BE"/>
    <w:rsid w:val="005D07D6"/>
    <w:rsid w:val="005D0834"/>
    <w:rsid w:val="005D0A11"/>
    <w:rsid w:val="005D0E86"/>
    <w:rsid w:val="005D0F6F"/>
    <w:rsid w:val="005D11B5"/>
    <w:rsid w:val="005D1327"/>
    <w:rsid w:val="005D1360"/>
    <w:rsid w:val="005D13B5"/>
    <w:rsid w:val="005D149E"/>
    <w:rsid w:val="005D1512"/>
    <w:rsid w:val="005D1584"/>
    <w:rsid w:val="005D17C5"/>
    <w:rsid w:val="005D1A88"/>
    <w:rsid w:val="005D1AAA"/>
    <w:rsid w:val="005D1FC8"/>
    <w:rsid w:val="005D20AF"/>
    <w:rsid w:val="005D234E"/>
    <w:rsid w:val="005D281F"/>
    <w:rsid w:val="005D2A1C"/>
    <w:rsid w:val="005D2A81"/>
    <w:rsid w:val="005D2A98"/>
    <w:rsid w:val="005D2DAA"/>
    <w:rsid w:val="005D2F0D"/>
    <w:rsid w:val="005D3013"/>
    <w:rsid w:val="005D312C"/>
    <w:rsid w:val="005D3281"/>
    <w:rsid w:val="005D33AC"/>
    <w:rsid w:val="005D346D"/>
    <w:rsid w:val="005D3599"/>
    <w:rsid w:val="005D37B5"/>
    <w:rsid w:val="005D381F"/>
    <w:rsid w:val="005D38F3"/>
    <w:rsid w:val="005D391E"/>
    <w:rsid w:val="005D39C8"/>
    <w:rsid w:val="005D3A02"/>
    <w:rsid w:val="005D3ADD"/>
    <w:rsid w:val="005D3C75"/>
    <w:rsid w:val="005D3C7E"/>
    <w:rsid w:val="005D3CA2"/>
    <w:rsid w:val="005D3E5E"/>
    <w:rsid w:val="005D3FDE"/>
    <w:rsid w:val="005D4545"/>
    <w:rsid w:val="005D4673"/>
    <w:rsid w:val="005D47B3"/>
    <w:rsid w:val="005D49A6"/>
    <w:rsid w:val="005D4AD3"/>
    <w:rsid w:val="005D4CD5"/>
    <w:rsid w:val="005D52D6"/>
    <w:rsid w:val="005D54E4"/>
    <w:rsid w:val="005D550E"/>
    <w:rsid w:val="005D5512"/>
    <w:rsid w:val="005D55FC"/>
    <w:rsid w:val="005D57DF"/>
    <w:rsid w:val="005D5859"/>
    <w:rsid w:val="005D586A"/>
    <w:rsid w:val="005D5963"/>
    <w:rsid w:val="005D59E8"/>
    <w:rsid w:val="005D5A36"/>
    <w:rsid w:val="005D5B49"/>
    <w:rsid w:val="005D5FDF"/>
    <w:rsid w:val="005D609F"/>
    <w:rsid w:val="005D61B1"/>
    <w:rsid w:val="005D625D"/>
    <w:rsid w:val="005D6440"/>
    <w:rsid w:val="005D661B"/>
    <w:rsid w:val="005D6648"/>
    <w:rsid w:val="005D66E1"/>
    <w:rsid w:val="005D6769"/>
    <w:rsid w:val="005D6BC4"/>
    <w:rsid w:val="005D6BEC"/>
    <w:rsid w:val="005D6C2C"/>
    <w:rsid w:val="005D6E94"/>
    <w:rsid w:val="005D6FEB"/>
    <w:rsid w:val="005D70AA"/>
    <w:rsid w:val="005D70B6"/>
    <w:rsid w:val="005D71FF"/>
    <w:rsid w:val="005D7311"/>
    <w:rsid w:val="005D732C"/>
    <w:rsid w:val="005D732D"/>
    <w:rsid w:val="005D7593"/>
    <w:rsid w:val="005D765B"/>
    <w:rsid w:val="005D77DA"/>
    <w:rsid w:val="005D7BEB"/>
    <w:rsid w:val="005D7BF3"/>
    <w:rsid w:val="005D7C15"/>
    <w:rsid w:val="005D7CED"/>
    <w:rsid w:val="005D7D59"/>
    <w:rsid w:val="005D7D97"/>
    <w:rsid w:val="005D7FEA"/>
    <w:rsid w:val="005E000B"/>
    <w:rsid w:val="005E0048"/>
    <w:rsid w:val="005E0075"/>
    <w:rsid w:val="005E0256"/>
    <w:rsid w:val="005E0467"/>
    <w:rsid w:val="005E058D"/>
    <w:rsid w:val="005E05C3"/>
    <w:rsid w:val="005E0719"/>
    <w:rsid w:val="005E0816"/>
    <w:rsid w:val="005E0931"/>
    <w:rsid w:val="005E0AD0"/>
    <w:rsid w:val="005E0C73"/>
    <w:rsid w:val="005E0D98"/>
    <w:rsid w:val="005E0FF1"/>
    <w:rsid w:val="005E10E5"/>
    <w:rsid w:val="005E10F3"/>
    <w:rsid w:val="005E1118"/>
    <w:rsid w:val="005E150B"/>
    <w:rsid w:val="005E15E7"/>
    <w:rsid w:val="005E1856"/>
    <w:rsid w:val="005E19D3"/>
    <w:rsid w:val="005E1AD0"/>
    <w:rsid w:val="005E1DE8"/>
    <w:rsid w:val="005E1ED9"/>
    <w:rsid w:val="005E1FBB"/>
    <w:rsid w:val="005E1FF2"/>
    <w:rsid w:val="005E2285"/>
    <w:rsid w:val="005E233A"/>
    <w:rsid w:val="005E2407"/>
    <w:rsid w:val="005E24AA"/>
    <w:rsid w:val="005E24FF"/>
    <w:rsid w:val="005E250C"/>
    <w:rsid w:val="005E2932"/>
    <w:rsid w:val="005E29B2"/>
    <w:rsid w:val="005E2CD1"/>
    <w:rsid w:val="005E2D29"/>
    <w:rsid w:val="005E2F1B"/>
    <w:rsid w:val="005E31AD"/>
    <w:rsid w:val="005E31F7"/>
    <w:rsid w:val="005E33DE"/>
    <w:rsid w:val="005E34F7"/>
    <w:rsid w:val="005E3501"/>
    <w:rsid w:val="005E352F"/>
    <w:rsid w:val="005E353E"/>
    <w:rsid w:val="005E357C"/>
    <w:rsid w:val="005E35B0"/>
    <w:rsid w:val="005E375E"/>
    <w:rsid w:val="005E3823"/>
    <w:rsid w:val="005E38C5"/>
    <w:rsid w:val="005E3981"/>
    <w:rsid w:val="005E3DED"/>
    <w:rsid w:val="005E41A4"/>
    <w:rsid w:val="005E4651"/>
    <w:rsid w:val="005E4841"/>
    <w:rsid w:val="005E4861"/>
    <w:rsid w:val="005E48A1"/>
    <w:rsid w:val="005E4912"/>
    <w:rsid w:val="005E4ACE"/>
    <w:rsid w:val="005E4B11"/>
    <w:rsid w:val="005E4BAE"/>
    <w:rsid w:val="005E4BBC"/>
    <w:rsid w:val="005E4C36"/>
    <w:rsid w:val="005E4C53"/>
    <w:rsid w:val="005E4C58"/>
    <w:rsid w:val="005E4CCE"/>
    <w:rsid w:val="005E4D6D"/>
    <w:rsid w:val="005E4EF4"/>
    <w:rsid w:val="005E4F36"/>
    <w:rsid w:val="005E5001"/>
    <w:rsid w:val="005E503B"/>
    <w:rsid w:val="005E50E7"/>
    <w:rsid w:val="005E50F1"/>
    <w:rsid w:val="005E5134"/>
    <w:rsid w:val="005E5230"/>
    <w:rsid w:val="005E54DF"/>
    <w:rsid w:val="005E5A01"/>
    <w:rsid w:val="005E5A1F"/>
    <w:rsid w:val="005E5CBE"/>
    <w:rsid w:val="005E5D69"/>
    <w:rsid w:val="005E5E18"/>
    <w:rsid w:val="005E5E38"/>
    <w:rsid w:val="005E5EC4"/>
    <w:rsid w:val="005E6098"/>
    <w:rsid w:val="005E623F"/>
    <w:rsid w:val="005E63EE"/>
    <w:rsid w:val="005E63F3"/>
    <w:rsid w:val="005E6504"/>
    <w:rsid w:val="005E661F"/>
    <w:rsid w:val="005E66A2"/>
    <w:rsid w:val="005E6802"/>
    <w:rsid w:val="005E691B"/>
    <w:rsid w:val="005E6A65"/>
    <w:rsid w:val="005E6AB3"/>
    <w:rsid w:val="005E6C02"/>
    <w:rsid w:val="005E6D8A"/>
    <w:rsid w:val="005E70E9"/>
    <w:rsid w:val="005E724F"/>
    <w:rsid w:val="005E73F3"/>
    <w:rsid w:val="005E74FF"/>
    <w:rsid w:val="005E754A"/>
    <w:rsid w:val="005E7670"/>
    <w:rsid w:val="005E7711"/>
    <w:rsid w:val="005E771E"/>
    <w:rsid w:val="005E7749"/>
    <w:rsid w:val="005E78CD"/>
    <w:rsid w:val="005E7D53"/>
    <w:rsid w:val="005E7D94"/>
    <w:rsid w:val="005E7D9B"/>
    <w:rsid w:val="005E7E85"/>
    <w:rsid w:val="005F0148"/>
    <w:rsid w:val="005F0231"/>
    <w:rsid w:val="005F03CB"/>
    <w:rsid w:val="005F043A"/>
    <w:rsid w:val="005F054F"/>
    <w:rsid w:val="005F06A3"/>
    <w:rsid w:val="005F06D6"/>
    <w:rsid w:val="005F0801"/>
    <w:rsid w:val="005F0A81"/>
    <w:rsid w:val="005F0BC3"/>
    <w:rsid w:val="005F0E80"/>
    <w:rsid w:val="005F0F1B"/>
    <w:rsid w:val="005F1045"/>
    <w:rsid w:val="005F11A1"/>
    <w:rsid w:val="005F12E4"/>
    <w:rsid w:val="005F14A7"/>
    <w:rsid w:val="005F15A2"/>
    <w:rsid w:val="005F1985"/>
    <w:rsid w:val="005F19A3"/>
    <w:rsid w:val="005F1ACC"/>
    <w:rsid w:val="005F1C94"/>
    <w:rsid w:val="005F1D70"/>
    <w:rsid w:val="005F1F3E"/>
    <w:rsid w:val="005F2233"/>
    <w:rsid w:val="005F24BF"/>
    <w:rsid w:val="005F268D"/>
    <w:rsid w:val="005F26AD"/>
    <w:rsid w:val="005F2881"/>
    <w:rsid w:val="005F29C0"/>
    <w:rsid w:val="005F29E4"/>
    <w:rsid w:val="005F2A7A"/>
    <w:rsid w:val="005F2B0E"/>
    <w:rsid w:val="005F2B6E"/>
    <w:rsid w:val="005F2C2A"/>
    <w:rsid w:val="005F2D29"/>
    <w:rsid w:val="005F2E7E"/>
    <w:rsid w:val="005F2F56"/>
    <w:rsid w:val="005F2F69"/>
    <w:rsid w:val="005F34A7"/>
    <w:rsid w:val="005F3512"/>
    <w:rsid w:val="005F35FD"/>
    <w:rsid w:val="005F363F"/>
    <w:rsid w:val="005F364E"/>
    <w:rsid w:val="005F396F"/>
    <w:rsid w:val="005F39D9"/>
    <w:rsid w:val="005F3A03"/>
    <w:rsid w:val="005F3A1A"/>
    <w:rsid w:val="005F3A96"/>
    <w:rsid w:val="005F3BE6"/>
    <w:rsid w:val="005F3D7B"/>
    <w:rsid w:val="005F3F73"/>
    <w:rsid w:val="005F40A0"/>
    <w:rsid w:val="005F478A"/>
    <w:rsid w:val="005F48C8"/>
    <w:rsid w:val="005F4932"/>
    <w:rsid w:val="005F4A19"/>
    <w:rsid w:val="005F504A"/>
    <w:rsid w:val="005F525A"/>
    <w:rsid w:val="005F5364"/>
    <w:rsid w:val="005F53A5"/>
    <w:rsid w:val="005F53DA"/>
    <w:rsid w:val="005F5429"/>
    <w:rsid w:val="005F54F5"/>
    <w:rsid w:val="005F57A0"/>
    <w:rsid w:val="005F595A"/>
    <w:rsid w:val="005F5961"/>
    <w:rsid w:val="005F59ED"/>
    <w:rsid w:val="005F5B1F"/>
    <w:rsid w:val="005F5C42"/>
    <w:rsid w:val="005F5CA9"/>
    <w:rsid w:val="005F5D57"/>
    <w:rsid w:val="005F5EB2"/>
    <w:rsid w:val="005F621D"/>
    <w:rsid w:val="005F62F5"/>
    <w:rsid w:val="005F64B8"/>
    <w:rsid w:val="005F64C3"/>
    <w:rsid w:val="005F6650"/>
    <w:rsid w:val="005F68FD"/>
    <w:rsid w:val="005F690B"/>
    <w:rsid w:val="005F6943"/>
    <w:rsid w:val="005F6956"/>
    <w:rsid w:val="005F69F2"/>
    <w:rsid w:val="005F6A30"/>
    <w:rsid w:val="005F6B4B"/>
    <w:rsid w:val="005F6CDC"/>
    <w:rsid w:val="005F6D2B"/>
    <w:rsid w:val="005F6FF9"/>
    <w:rsid w:val="005F717E"/>
    <w:rsid w:val="005F7248"/>
    <w:rsid w:val="005F74A2"/>
    <w:rsid w:val="005F74C0"/>
    <w:rsid w:val="005F75C9"/>
    <w:rsid w:val="005F75F9"/>
    <w:rsid w:val="005F76DF"/>
    <w:rsid w:val="005F76F3"/>
    <w:rsid w:val="005F774F"/>
    <w:rsid w:val="005F775C"/>
    <w:rsid w:val="005F7840"/>
    <w:rsid w:val="005F7E71"/>
    <w:rsid w:val="005F7EC4"/>
    <w:rsid w:val="005F7F94"/>
    <w:rsid w:val="006000ED"/>
    <w:rsid w:val="006001BC"/>
    <w:rsid w:val="006002B9"/>
    <w:rsid w:val="00600341"/>
    <w:rsid w:val="006003DC"/>
    <w:rsid w:val="006003DD"/>
    <w:rsid w:val="006004FB"/>
    <w:rsid w:val="006007AC"/>
    <w:rsid w:val="006009F0"/>
    <w:rsid w:val="00600A43"/>
    <w:rsid w:val="00600AED"/>
    <w:rsid w:val="00600B1E"/>
    <w:rsid w:val="00600B90"/>
    <w:rsid w:val="00600CBD"/>
    <w:rsid w:val="00600CFE"/>
    <w:rsid w:val="00600E85"/>
    <w:rsid w:val="00601200"/>
    <w:rsid w:val="006015F7"/>
    <w:rsid w:val="0060164D"/>
    <w:rsid w:val="00601792"/>
    <w:rsid w:val="0060199A"/>
    <w:rsid w:val="00601C74"/>
    <w:rsid w:val="00601D6F"/>
    <w:rsid w:val="00601E83"/>
    <w:rsid w:val="00601E8B"/>
    <w:rsid w:val="00601F70"/>
    <w:rsid w:val="00601FBA"/>
    <w:rsid w:val="00602075"/>
    <w:rsid w:val="00602162"/>
    <w:rsid w:val="0060233E"/>
    <w:rsid w:val="0060272E"/>
    <w:rsid w:val="00602872"/>
    <w:rsid w:val="006028CD"/>
    <w:rsid w:val="00602971"/>
    <w:rsid w:val="00602A9F"/>
    <w:rsid w:val="00602B04"/>
    <w:rsid w:val="00602BCB"/>
    <w:rsid w:val="00602CC5"/>
    <w:rsid w:val="00602CCA"/>
    <w:rsid w:val="00602E54"/>
    <w:rsid w:val="00602F2D"/>
    <w:rsid w:val="0060320D"/>
    <w:rsid w:val="00603266"/>
    <w:rsid w:val="006033F3"/>
    <w:rsid w:val="00603567"/>
    <w:rsid w:val="006035F4"/>
    <w:rsid w:val="0060384B"/>
    <w:rsid w:val="00603A61"/>
    <w:rsid w:val="00603AB0"/>
    <w:rsid w:val="00603DFC"/>
    <w:rsid w:val="00603EC7"/>
    <w:rsid w:val="00603ED6"/>
    <w:rsid w:val="006041F3"/>
    <w:rsid w:val="006042A7"/>
    <w:rsid w:val="0060432F"/>
    <w:rsid w:val="006045A6"/>
    <w:rsid w:val="00604685"/>
    <w:rsid w:val="006046AF"/>
    <w:rsid w:val="00604792"/>
    <w:rsid w:val="006049B5"/>
    <w:rsid w:val="00604A6C"/>
    <w:rsid w:val="00604AF0"/>
    <w:rsid w:val="00604B31"/>
    <w:rsid w:val="00604DD4"/>
    <w:rsid w:val="00604DF8"/>
    <w:rsid w:val="00604E14"/>
    <w:rsid w:val="00604F25"/>
    <w:rsid w:val="00605199"/>
    <w:rsid w:val="00605330"/>
    <w:rsid w:val="0060559E"/>
    <w:rsid w:val="00605686"/>
    <w:rsid w:val="00605B2D"/>
    <w:rsid w:val="00605BA1"/>
    <w:rsid w:val="00605CE1"/>
    <w:rsid w:val="00605D35"/>
    <w:rsid w:val="00606016"/>
    <w:rsid w:val="0060610D"/>
    <w:rsid w:val="00606165"/>
    <w:rsid w:val="0060670E"/>
    <w:rsid w:val="00606CA4"/>
    <w:rsid w:val="00606CB8"/>
    <w:rsid w:val="00606E5F"/>
    <w:rsid w:val="00606E9B"/>
    <w:rsid w:val="00606E9E"/>
    <w:rsid w:val="00606F66"/>
    <w:rsid w:val="0060702E"/>
    <w:rsid w:val="0060736B"/>
    <w:rsid w:val="0060740C"/>
    <w:rsid w:val="006074A1"/>
    <w:rsid w:val="00607616"/>
    <w:rsid w:val="006076F4"/>
    <w:rsid w:val="00607752"/>
    <w:rsid w:val="00607AEE"/>
    <w:rsid w:val="00607BD1"/>
    <w:rsid w:val="00607C0C"/>
    <w:rsid w:val="00607D4D"/>
    <w:rsid w:val="006104F5"/>
    <w:rsid w:val="006106B3"/>
    <w:rsid w:val="00610767"/>
    <w:rsid w:val="006109D4"/>
    <w:rsid w:val="00610CE3"/>
    <w:rsid w:val="00610E8E"/>
    <w:rsid w:val="00610FCF"/>
    <w:rsid w:val="0061102A"/>
    <w:rsid w:val="0061116B"/>
    <w:rsid w:val="006111A8"/>
    <w:rsid w:val="006111C1"/>
    <w:rsid w:val="00611C9C"/>
    <w:rsid w:val="00611CD4"/>
    <w:rsid w:val="00611E8A"/>
    <w:rsid w:val="00611F76"/>
    <w:rsid w:val="006122B6"/>
    <w:rsid w:val="00612406"/>
    <w:rsid w:val="00612556"/>
    <w:rsid w:val="006126B6"/>
    <w:rsid w:val="00612806"/>
    <w:rsid w:val="00612847"/>
    <w:rsid w:val="00612853"/>
    <w:rsid w:val="00612B5D"/>
    <w:rsid w:val="00612C40"/>
    <w:rsid w:val="00612D76"/>
    <w:rsid w:val="00612DEA"/>
    <w:rsid w:val="00612FB3"/>
    <w:rsid w:val="0061319D"/>
    <w:rsid w:val="006131EB"/>
    <w:rsid w:val="0061328F"/>
    <w:rsid w:val="006133D2"/>
    <w:rsid w:val="006135E0"/>
    <w:rsid w:val="00613646"/>
    <w:rsid w:val="006139AE"/>
    <w:rsid w:val="00613BAA"/>
    <w:rsid w:val="00613C7E"/>
    <w:rsid w:val="00613D92"/>
    <w:rsid w:val="00613DC3"/>
    <w:rsid w:val="00613DE1"/>
    <w:rsid w:val="00613E96"/>
    <w:rsid w:val="006140A5"/>
    <w:rsid w:val="00614339"/>
    <w:rsid w:val="00614440"/>
    <w:rsid w:val="00614587"/>
    <w:rsid w:val="006145FC"/>
    <w:rsid w:val="006147A8"/>
    <w:rsid w:val="006149B0"/>
    <w:rsid w:val="00614C78"/>
    <w:rsid w:val="00614E90"/>
    <w:rsid w:val="00614F91"/>
    <w:rsid w:val="00614F93"/>
    <w:rsid w:val="00615225"/>
    <w:rsid w:val="00615403"/>
    <w:rsid w:val="006159F6"/>
    <w:rsid w:val="00615AE8"/>
    <w:rsid w:val="00615BEC"/>
    <w:rsid w:val="00615C9D"/>
    <w:rsid w:val="00615D0B"/>
    <w:rsid w:val="00615EBA"/>
    <w:rsid w:val="00615FDA"/>
    <w:rsid w:val="006161B6"/>
    <w:rsid w:val="006163A3"/>
    <w:rsid w:val="00616414"/>
    <w:rsid w:val="0061656B"/>
    <w:rsid w:val="0061657D"/>
    <w:rsid w:val="00616783"/>
    <w:rsid w:val="0061682E"/>
    <w:rsid w:val="00616835"/>
    <w:rsid w:val="00616BD6"/>
    <w:rsid w:val="00616DC4"/>
    <w:rsid w:val="00616E3F"/>
    <w:rsid w:val="0061715C"/>
    <w:rsid w:val="00617215"/>
    <w:rsid w:val="0061779B"/>
    <w:rsid w:val="00617803"/>
    <w:rsid w:val="00617948"/>
    <w:rsid w:val="00617A8A"/>
    <w:rsid w:val="00617D44"/>
    <w:rsid w:val="00617D5F"/>
    <w:rsid w:val="00617D6E"/>
    <w:rsid w:val="00617F3B"/>
    <w:rsid w:val="00620190"/>
    <w:rsid w:val="006201FF"/>
    <w:rsid w:val="006204A8"/>
    <w:rsid w:val="00620554"/>
    <w:rsid w:val="00620CA4"/>
    <w:rsid w:val="00620E79"/>
    <w:rsid w:val="0062100A"/>
    <w:rsid w:val="0062139D"/>
    <w:rsid w:val="006216BC"/>
    <w:rsid w:val="0062185B"/>
    <w:rsid w:val="006218C5"/>
    <w:rsid w:val="006219C7"/>
    <w:rsid w:val="00621BB3"/>
    <w:rsid w:val="00621C3C"/>
    <w:rsid w:val="00621E34"/>
    <w:rsid w:val="00621E4A"/>
    <w:rsid w:val="00621ECC"/>
    <w:rsid w:val="00622077"/>
    <w:rsid w:val="006220A4"/>
    <w:rsid w:val="006220CD"/>
    <w:rsid w:val="006224F9"/>
    <w:rsid w:val="0062271D"/>
    <w:rsid w:val="00622913"/>
    <w:rsid w:val="00622955"/>
    <w:rsid w:val="006229C2"/>
    <w:rsid w:val="00622E26"/>
    <w:rsid w:val="0062364C"/>
    <w:rsid w:val="00623730"/>
    <w:rsid w:val="00623B70"/>
    <w:rsid w:val="00623BEF"/>
    <w:rsid w:val="00623C3D"/>
    <w:rsid w:val="00623CF8"/>
    <w:rsid w:val="00624366"/>
    <w:rsid w:val="006243C0"/>
    <w:rsid w:val="0062451B"/>
    <w:rsid w:val="00624690"/>
    <w:rsid w:val="00624753"/>
    <w:rsid w:val="006248B4"/>
    <w:rsid w:val="006248EB"/>
    <w:rsid w:val="006248F9"/>
    <w:rsid w:val="0062495B"/>
    <w:rsid w:val="00624C13"/>
    <w:rsid w:val="00624C5E"/>
    <w:rsid w:val="0062510E"/>
    <w:rsid w:val="0062513E"/>
    <w:rsid w:val="006252A7"/>
    <w:rsid w:val="00625350"/>
    <w:rsid w:val="00625633"/>
    <w:rsid w:val="006257BA"/>
    <w:rsid w:val="00625825"/>
    <w:rsid w:val="0062583A"/>
    <w:rsid w:val="006258E9"/>
    <w:rsid w:val="006259C3"/>
    <w:rsid w:val="00625A5F"/>
    <w:rsid w:val="00625A6B"/>
    <w:rsid w:val="00625BA9"/>
    <w:rsid w:val="00625BDB"/>
    <w:rsid w:val="00625C2A"/>
    <w:rsid w:val="006268A4"/>
    <w:rsid w:val="0062691C"/>
    <w:rsid w:val="00626940"/>
    <w:rsid w:val="00626C8B"/>
    <w:rsid w:val="00626FD8"/>
    <w:rsid w:val="00627085"/>
    <w:rsid w:val="006273A1"/>
    <w:rsid w:val="0062748E"/>
    <w:rsid w:val="006278ED"/>
    <w:rsid w:val="00627E1B"/>
    <w:rsid w:val="00627EBC"/>
    <w:rsid w:val="00630058"/>
    <w:rsid w:val="00630151"/>
    <w:rsid w:val="00630166"/>
    <w:rsid w:val="00630267"/>
    <w:rsid w:val="00630457"/>
    <w:rsid w:val="00630798"/>
    <w:rsid w:val="00630B2B"/>
    <w:rsid w:val="00630EA8"/>
    <w:rsid w:val="00630EFD"/>
    <w:rsid w:val="00631135"/>
    <w:rsid w:val="006311D6"/>
    <w:rsid w:val="0063124F"/>
    <w:rsid w:val="006312DC"/>
    <w:rsid w:val="006312E4"/>
    <w:rsid w:val="00631332"/>
    <w:rsid w:val="006316ED"/>
    <w:rsid w:val="006316FF"/>
    <w:rsid w:val="00631707"/>
    <w:rsid w:val="00631782"/>
    <w:rsid w:val="006317C2"/>
    <w:rsid w:val="00631808"/>
    <w:rsid w:val="0063186D"/>
    <w:rsid w:val="00631AD6"/>
    <w:rsid w:val="00631B8E"/>
    <w:rsid w:val="00631CEF"/>
    <w:rsid w:val="00631D1D"/>
    <w:rsid w:val="00631D29"/>
    <w:rsid w:val="0063208F"/>
    <w:rsid w:val="0063215A"/>
    <w:rsid w:val="006322EB"/>
    <w:rsid w:val="006322FD"/>
    <w:rsid w:val="006323ED"/>
    <w:rsid w:val="00632453"/>
    <w:rsid w:val="006324DC"/>
    <w:rsid w:val="00632844"/>
    <w:rsid w:val="006329BF"/>
    <w:rsid w:val="00632F41"/>
    <w:rsid w:val="00633027"/>
    <w:rsid w:val="0063315B"/>
    <w:rsid w:val="00633181"/>
    <w:rsid w:val="0063327A"/>
    <w:rsid w:val="00633297"/>
    <w:rsid w:val="00633485"/>
    <w:rsid w:val="0063366F"/>
    <w:rsid w:val="0063390C"/>
    <w:rsid w:val="006339C7"/>
    <w:rsid w:val="00633D48"/>
    <w:rsid w:val="00634041"/>
    <w:rsid w:val="00634054"/>
    <w:rsid w:val="006343FB"/>
    <w:rsid w:val="00634493"/>
    <w:rsid w:val="006346AE"/>
    <w:rsid w:val="00634744"/>
    <w:rsid w:val="006347DE"/>
    <w:rsid w:val="00634A08"/>
    <w:rsid w:val="00634BB4"/>
    <w:rsid w:val="00634D25"/>
    <w:rsid w:val="00634E47"/>
    <w:rsid w:val="00634F76"/>
    <w:rsid w:val="00634FC7"/>
    <w:rsid w:val="00635298"/>
    <w:rsid w:val="006353CA"/>
    <w:rsid w:val="006353E2"/>
    <w:rsid w:val="00635402"/>
    <w:rsid w:val="00635555"/>
    <w:rsid w:val="006356DF"/>
    <w:rsid w:val="006359B6"/>
    <w:rsid w:val="00635AFF"/>
    <w:rsid w:val="00635B48"/>
    <w:rsid w:val="00635B90"/>
    <w:rsid w:val="00635BC8"/>
    <w:rsid w:val="00635CB7"/>
    <w:rsid w:val="006360B7"/>
    <w:rsid w:val="0063618B"/>
    <w:rsid w:val="006364FC"/>
    <w:rsid w:val="006366E6"/>
    <w:rsid w:val="006367D4"/>
    <w:rsid w:val="00636821"/>
    <w:rsid w:val="006369AC"/>
    <w:rsid w:val="00636BE4"/>
    <w:rsid w:val="00637198"/>
    <w:rsid w:val="00637335"/>
    <w:rsid w:val="00637347"/>
    <w:rsid w:val="00637361"/>
    <w:rsid w:val="00637499"/>
    <w:rsid w:val="006374C3"/>
    <w:rsid w:val="00637A14"/>
    <w:rsid w:val="00637AAF"/>
    <w:rsid w:val="00637AB6"/>
    <w:rsid w:val="00637AEC"/>
    <w:rsid w:val="00637B78"/>
    <w:rsid w:val="00637DD9"/>
    <w:rsid w:val="00637FA0"/>
    <w:rsid w:val="0064019A"/>
    <w:rsid w:val="00640221"/>
    <w:rsid w:val="00640240"/>
    <w:rsid w:val="006403C4"/>
    <w:rsid w:val="0064042C"/>
    <w:rsid w:val="0064043E"/>
    <w:rsid w:val="0064046B"/>
    <w:rsid w:val="00640640"/>
    <w:rsid w:val="006406A4"/>
    <w:rsid w:val="00640891"/>
    <w:rsid w:val="00640912"/>
    <w:rsid w:val="0064091A"/>
    <w:rsid w:val="00640A7E"/>
    <w:rsid w:val="00640AA3"/>
    <w:rsid w:val="00640AFA"/>
    <w:rsid w:val="00640D74"/>
    <w:rsid w:val="00640DCE"/>
    <w:rsid w:val="00640DEA"/>
    <w:rsid w:val="0064105F"/>
    <w:rsid w:val="00641082"/>
    <w:rsid w:val="006411E6"/>
    <w:rsid w:val="0064124B"/>
    <w:rsid w:val="00641333"/>
    <w:rsid w:val="006413B8"/>
    <w:rsid w:val="00641452"/>
    <w:rsid w:val="006415B5"/>
    <w:rsid w:val="00641859"/>
    <w:rsid w:val="006418A6"/>
    <w:rsid w:val="00641923"/>
    <w:rsid w:val="006419B9"/>
    <w:rsid w:val="00641ACD"/>
    <w:rsid w:val="00642221"/>
    <w:rsid w:val="00642267"/>
    <w:rsid w:val="00642298"/>
    <w:rsid w:val="006423C4"/>
    <w:rsid w:val="0064251D"/>
    <w:rsid w:val="00642700"/>
    <w:rsid w:val="006428E3"/>
    <w:rsid w:val="0064291E"/>
    <w:rsid w:val="00642AE3"/>
    <w:rsid w:val="00642C3E"/>
    <w:rsid w:val="00642F22"/>
    <w:rsid w:val="0064316A"/>
    <w:rsid w:val="006435BF"/>
    <w:rsid w:val="00643669"/>
    <w:rsid w:val="006437FB"/>
    <w:rsid w:val="00643A77"/>
    <w:rsid w:val="00643D98"/>
    <w:rsid w:val="00643E83"/>
    <w:rsid w:val="006441E5"/>
    <w:rsid w:val="00644640"/>
    <w:rsid w:val="00644757"/>
    <w:rsid w:val="006447B2"/>
    <w:rsid w:val="00644833"/>
    <w:rsid w:val="00644859"/>
    <w:rsid w:val="0064488A"/>
    <w:rsid w:val="0064488D"/>
    <w:rsid w:val="006448A1"/>
    <w:rsid w:val="00644D9D"/>
    <w:rsid w:val="00644E0A"/>
    <w:rsid w:val="00644E20"/>
    <w:rsid w:val="006453C4"/>
    <w:rsid w:val="00645575"/>
    <w:rsid w:val="00645594"/>
    <w:rsid w:val="006455DE"/>
    <w:rsid w:val="00645606"/>
    <w:rsid w:val="00645651"/>
    <w:rsid w:val="006456CE"/>
    <w:rsid w:val="00645791"/>
    <w:rsid w:val="006459CC"/>
    <w:rsid w:val="006459D1"/>
    <w:rsid w:val="00645A69"/>
    <w:rsid w:val="00645A70"/>
    <w:rsid w:val="00645B04"/>
    <w:rsid w:val="00645BE5"/>
    <w:rsid w:val="00645DF7"/>
    <w:rsid w:val="00645F53"/>
    <w:rsid w:val="00645FD0"/>
    <w:rsid w:val="00646245"/>
    <w:rsid w:val="006462B7"/>
    <w:rsid w:val="006463BD"/>
    <w:rsid w:val="006464CD"/>
    <w:rsid w:val="006469F3"/>
    <w:rsid w:val="00646A19"/>
    <w:rsid w:val="00646A70"/>
    <w:rsid w:val="00646B23"/>
    <w:rsid w:val="00646DED"/>
    <w:rsid w:val="00646F00"/>
    <w:rsid w:val="00646F9C"/>
    <w:rsid w:val="006471B2"/>
    <w:rsid w:val="0064732D"/>
    <w:rsid w:val="006476CD"/>
    <w:rsid w:val="0064788C"/>
    <w:rsid w:val="00647948"/>
    <w:rsid w:val="00647B8A"/>
    <w:rsid w:val="00647B8F"/>
    <w:rsid w:val="00650013"/>
    <w:rsid w:val="006501AB"/>
    <w:rsid w:val="006501C6"/>
    <w:rsid w:val="006501DC"/>
    <w:rsid w:val="00650214"/>
    <w:rsid w:val="006502B1"/>
    <w:rsid w:val="00650346"/>
    <w:rsid w:val="0065042F"/>
    <w:rsid w:val="00650477"/>
    <w:rsid w:val="00650478"/>
    <w:rsid w:val="006504A6"/>
    <w:rsid w:val="0065055D"/>
    <w:rsid w:val="00650683"/>
    <w:rsid w:val="00650722"/>
    <w:rsid w:val="00650A96"/>
    <w:rsid w:val="00650B1B"/>
    <w:rsid w:val="00650BA0"/>
    <w:rsid w:val="00650C95"/>
    <w:rsid w:val="00650D85"/>
    <w:rsid w:val="00650F1E"/>
    <w:rsid w:val="00650F30"/>
    <w:rsid w:val="00650F68"/>
    <w:rsid w:val="0065108C"/>
    <w:rsid w:val="006510F5"/>
    <w:rsid w:val="0065114A"/>
    <w:rsid w:val="00651280"/>
    <w:rsid w:val="00651619"/>
    <w:rsid w:val="00651637"/>
    <w:rsid w:val="00651649"/>
    <w:rsid w:val="00651690"/>
    <w:rsid w:val="0065175F"/>
    <w:rsid w:val="00651AB8"/>
    <w:rsid w:val="00651DCF"/>
    <w:rsid w:val="00652179"/>
    <w:rsid w:val="00652345"/>
    <w:rsid w:val="0065240C"/>
    <w:rsid w:val="006524A4"/>
    <w:rsid w:val="006525BE"/>
    <w:rsid w:val="006528C9"/>
    <w:rsid w:val="0065298F"/>
    <w:rsid w:val="00652A62"/>
    <w:rsid w:val="00652B5E"/>
    <w:rsid w:val="00652C56"/>
    <w:rsid w:val="0065308D"/>
    <w:rsid w:val="006530D9"/>
    <w:rsid w:val="006533EF"/>
    <w:rsid w:val="006533F2"/>
    <w:rsid w:val="0065349B"/>
    <w:rsid w:val="00653560"/>
    <w:rsid w:val="00653736"/>
    <w:rsid w:val="006537DB"/>
    <w:rsid w:val="006538F8"/>
    <w:rsid w:val="00653A02"/>
    <w:rsid w:val="00653B59"/>
    <w:rsid w:val="00653EDA"/>
    <w:rsid w:val="00654251"/>
    <w:rsid w:val="0065428D"/>
    <w:rsid w:val="006544C2"/>
    <w:rsid w:val="00654589"/>
    <w:rsid w:val="0065471E"/>
    <w:rsid w:val="0065474A"/>
    <w:rsid w:val="00654813"/>
    <w:rsid w:val="006549EF"/>
    <w:rsid w:val="00654C66"/>
    <w:rsid w:val="00654CF8"/>
    <w:rsid w:val="00654DD9"/>
    <w:rsid w:val="00654EBC"/>
    <w:rsid w:val="00654F94"/>
    <w:rsid w:val="006550B8"/>
    <w:rsid w:val="006550DE"/>
    <w:rsid w:val="0065555E"/>
    <w:rsid w:val="006555CA"/>
    <w:rsid w:val="0065566F"/>
    <w:rsid w:val="00655895"/>
    <w:rsid w:val="00655C44"/>
    <w:rsid w:val="00655D8F"/>
    <w:rsid w:val="00655F1B"/>
    <w:rsid w:val="00655FCF"/>
    <w:rsid w:val="0065625C"/>
    <w:rsid w:val="006563FA"/>
    <w:rsid w:val="0065661F"/>
    <w:rsid w:val="006567D8"/>
    <w:rsid w:val="00656B99"/>
    <w:rsid w:val="00656DB4"/>
    <w:rsid w:val="00656F58"/>
    <w:rsid w:val="00656FDE"/>
    <w:rsid w:val="006570E7"/>
    <w:rsid w:val="006571F4"/>
    <w:rsid w:val="00657409"/>
    <w:rsid w:val="006575D5"/>
    <w:rsid w:val="0065791A"/>
    <w:rsid w:val="00657BB7"/>
    <w:rsid w:val="00657E3C"/>
    <w:rsid w:val="00657E71"/>
    <w:rsid w:val="00660226"/>
    <w:rsid w:val="006602C2"/>
    <w:rsid w:val="0066043C"/>
    <w:rsid w:val="00660441"/>
    <w:rsid w:val="006604D9"/>
    <w:rsid w:val="006606CF"/>
    <w:rsid w:val="00660888"/>
    <w:rsid w:val="0066095A"/>
    <w:rsid w:val="006610DF"/>
    <w:rsid w:val="006612D5"/>
    <w:rsid w:val="006612E2"/>
    <w:rsid w:val="00661736"/>
    <w:rsid w:val="006617DA"/>
    <w:rsid w:val="00661D91"/>
    <w:rsid w:val="00661EE7"/>
    <w:rsid w:val="00661F35"/>
    <w:rsid w:val="0066207D"/>
    <w:rsid w:val="006621C7"/>
    <w:rsid w:val="00662429"/>
    <w:rsid w:val="0066249E"/>
    <w:rsid w:val="00662777"/>
    <w:rsid w:val="006628D8"/>
    <w:rsid w:val="006628E0"/>
    <w:rsid w:val="00662A86"/>
    <w:rsid w:val="00662BF9"/>
    <w:rsid w:val="00662CBF"/>
    <w:rsid w:val="00662D35"/>
    <w:rsid w:val="00662E91"/>
    <w:rsid w:val="00662FB3"/>
    <w:rsid w:val="006631A1"/>
    <w:rsid w:val="006631FD"/>
    <w:rsid w:val="00663248"/>
    <w:rsid w:val="00663583"/>
    <w:rsid w:val="0066367E"/>
    <w:rsid w:val="006636E3"/>
    <w:rsid w:val="006638E6"/>
    <w:rsid w:val="00663A2E"/>
    <w:rsid w:val="00663BB0"/>
    <w:rsid w:val="00663CCA"/>
    <w:rsid w:val="00663D17"/>
    <w:rsid w:val="00663D75"/>
    <w:rsid w:val="00663EEE"/>
    <w:rsid w:val="00664319"/>
    <w:rsid w:val="00664383"/>
    <w:rsid w:val="006643C1"/>
    <w:rsid w:val="0066450A"/>
    <w:rsid w:val="0066459F"/>
    <w:rsid w:val="006647F2"/>
    <w:rsid w:val="0066488E"/>
    <w:rsid w:val="00664891"/>
    <w:rsid w:val="006648EF"/>
    <w:rsid w:val="00664967"/>
    <w:rsid w:val="00664B2F"/>
    <w:rsid w:val="00664DC2"/>
    <w:rsid w:val="00664E68"/>
    <w:rsid w:val="00664F3A"/>
    <w:rsid w:val="00665030"/>
    <w:rsid w:val="00665094"/>
    <w:rsid w:val="006650A4"/>
    <w:rsid w:val="006651BD"/>
    <w:rsid w:val="00665857"/>
    <w:rsid w:val="00665A95"/>
    <w:rsid w:val="00665C1A"/>
    <w:rsid w:val="00665CC3"/>
    <w:rsid w:val="00665CE6"/>
    <w:rsid w:val="00665EAC"/>
    <w:rsid w:val="00665EC4"/>
    <w:rsid w:val="00665FB2"/>
    <w:rsid w:val="00666052"/>
    <w:rsid w:val="00666093"/>
    <w:rsid w:val="006660D2"/>
    <w:rsid w:val="00666182"/>
    <w:rsid w:val="006662A3"/>
    <w:rsid w:val="006662F2"/>
    <w:rsid w:val="0066630A"/>
    <w:rsid w:val="0066658E"/>
    <w:rsid w:val="006665C1"/>
    <w:rsid w:val="0066660C"/>
    <w:rsid w:val="006666C9"/>
    <w:rsid w:val="006667B9"/>
    <w:rsid w:val="006667FE"/>
    <w:rsid w:val="00666C2E"/>
    <w:rsid w:val="00666E66"/>
    <w:rsid w:val="00666FCA"/>
    <w:rsid w:val="00667078"/>
    <w:rsid w:val="00667144"/>
    <w:rsid w:val="00667269"/>
    <w:rsid w:val="006673E8"/>
    <w:rsid w:val="0066745C"/>
    <w:rsid w:val="0066754B"/>
    <w:rsid w:val="006675E7"/>
    <w:rsid w:val="0066763B"/>
    <w:rsid w:val="00667655"/>
    <w:rsid w:val="006676D4"/>
    <w:rsid w:val="006679EC"/>
    <w:rsid w:val="00667C9F"/>
    <w:rsid w:val="00667D1A"/>
    <w:rsid w:val="00667E67"/>
    <w:rsid w:val="0067017C"/>
    <w:rsid w:val="00670492"/>
    <w:rsid w:val="006704D4"/>
    <w:rsid w:val="00670629"/>
    <w:rsid w:val="00670682"/>
    <w:rsid w:val="006707DE"/>
    <w:rsid w:val="006708D5"/>
    <w:rsid w:val="00670A82"/>
    <w:rsid w:val="00670ADA"/>
    <w:rsid w:val="00670ADF"/>
    <w:rsid w:val="00670B21"/>
    <w:rsid w:val="00670B32"/>
    <w:rsid w:val="00670BB3"/>
    <w:rsid w:val="00670BC0"/>
    <w:rsid w:val="00670C1D"/>
    <w:rsid w:val="00670CDC"/>
    <w:rsid w:val="00670E1B"/>
    <w:rsid w:val="00671000"/>
    <w:rsid w:val="00671115"/>
    <w:rsid w:val="00671180"/>
    <w:rsid w:val="00671572"/>
    <w:rsid w:val="006715F7"/>
    <w:rsid w:val="00671650"/>
    <w:rsid w:val="00671653"/>
    <w:rsid w:val="006719FF"/>
    <w:rsid w:val="00671BCF"/>
    <w:rsid w:val="00671DEE"/>
    <w:rsid w:val="00671E70"/>
    <w:rsid w:val="00671EC0"/>
    <w:rsid w:val="00672129"/>
    <w:rsid w:val="00672300"/>
    <w:rsid w:val="006724D2"/>
    <w:rsid w:val="00672569"/>
    <w:rsid w:val="00672781"/>
    <w:rsid w:val="0067282F"/>
    <w:rsid w:val="00672844"/>
    <w:rsid w:val="00672861"/>
    <w:rsid w:val="006728E8"/>
    <w:rsid w:val="00672A8C"/>
    <w:rsid w:val="00672B42"/>
    <w:rsid w:val="00672BD3"/>
    <w:rsid w:val="00672C15"/>
    <w:rsid w:val="00672C36"/>
    <w:rsid w:val="00672D94"/>
    <w:rsid w:val="00672DEE"/>
    <w:rsid w:val="00672EB1"/>
    <w:rsid w:val="0067324C"/>
    <w:rsid w:val="006739AA"/>
    <w:rsid w:val="00673B5B"/>
    <w:rsid w:val="00673BAA"/>
    <w:rsid w:val="00673CC3"/>
    <w:rsid w:val="00673CFE"/>
    <w:rsid w:val="00673D03"/>
    <w:rsid w:val="00673F6C"/>
    <w:rsid w:val="00674086"/>
    <w:rsid w:val="00674180"/>
    <w:rsid w:val="00674204"/>
    <w:rsid w:val="0067448A"/>
    <w:rsid w:val="006745BA"/>
    <w:rsid w:val="006746DA"/>
    <w:rsid w:val="006746DC"/>
    <w:rsid w:val="00674942"/>
    <w:rsid w:val="00674AC9"/>
    <w:rsid w:val="00674C7E"/>
    <w:rsid w:val="00674CB2"/>
    <w:rsid w:val="00674CDD"/>
    <w:rsid w:val="00674DB3"/>
    <w:rsid w:val="00674F10"/>
    <w:rsid w:val="00674F28"/>
    <w:rsid w:val="00675266"/>
    <w:rsid w:val="0067530D"/>
    <w:rsid w:val="0067534A"/>
    <w:rsid w:val="006753E2"/>
    <w:rsid w:val="00675405"/>
    <w:rsid w:val="006755CE"/>
    <w:rsid w:val="00675793"/>
    <w:rsid w:val="0067580D"/>
    <w:rsid w:val="00675BA6"/>
    <w:rsid w:val="00675C1A"/>
    <w:rsid w:val="00675C6A"/>
    <w:rsid w:val="00675EA7"/>
    <w:rsid w:val="00675F31"/>
    <w:rsid w:val="00676200"/>
    <w:rsid w:val="0067649C"/>
    <w:rsid w:val="006768D8"/>
    <w:rsid w:val="00676951"/>
    <w:rsid w:val="00676A1C"/>
    <w:rsid w:val="00676ACB"/>
    <w:rsid w:val="00676D3E"/>
    <w:rsid w:val="00676D95"/>
    <w:rsid w:val="00676EE1"/>
    <w:rsid w:val="00676F48"/>
    <w:rsid w:val="00676F82"/>
    <w:rsid w:val="00677024"/>
    <w:rsid w:val="0067702C"/>
    <w:rsid w:val="006770D7"/>
    <w:rsid w:val="00677124"/>
    <w:rsid w:val="006771EE"/>
    <w:rsid w:val="00677344"/>
    <w:rsid w:val="006773A5"/>
    <w:rsid w:val="006773C0"/>
    <w:rsid w:val="0067770B"/>
    <w:rsid w:val="0067779D"/>
    <w:rsid w:val="006779A6"/>
    <w:rsid w:val="006779D3"/>
    <w:rsid w:val="00677E18"/>
    <w:rsid w:val="00677E2C"/>
    <w:rsid w:val="00677E9B"/>
    <w:rsid w:val="00677EAE"/>
    <w:rsid w:val="00677ECA"/>
    <w:rsid w:val="0068032C"/>
    <w:rsid w:val="00680543"/>
    <w:rsid w:val="006805DA"/>
    <w:rsid w:val="006805EA"/>
    <w:rsid w:val="00680683"/>
    <w:rsid w:val="006806A3"/>
    <w:rsid w:val="006806DB"/>
    <w:rsid w:val="0068075C"/>
    <w:rsid w:val="006807BE"/>
    <w:rsid w:val="0068092B"/>
    <w:rsid w:val="00680A74"/>
    <w:rsid w:val="00680C32"/>
    <w:rsid w:val="00680CEC"/>
    <w:rsid w:val="00680DBD"/>
    <w:rsid w:val="00680F7F"/>
    <w:rsid w:val="006810DB"/>
    <w:rsid w:val="006812CF"/>
    <w:rsid w:val="006813CE"/>
    <w:rsid w:val="0068195C"/>
    <w:rsid w:val="00681979"/>
    <w:rsid w:val="00681A36"/>
    <w:rsid w:val="00681AEB"/>
    <w:rsid w:val="00681BCA"/>
    <w:rsid w:val="00681C77"/>
    <w:rsid w:val="00681EF3"/>
    <w:rsid w:val="00681FDD"/>
    <w:rsid w:val="0068246C"/>
    <w:rsid w:val="00682482"/>
    <w:rsid w:val="00682673"/>
    <w:rsid w:val="00682793"/>
    <w:rsid w:val="00682908"/>
    <w:rsid w:val="00682B7F"/>
    <w:rsid w:val="00682C36"/>
    <w:rsid w:val="00682CEA"/>
    <w:rsid w:val="00682DD7"/>
    <w:rsid w:val="00682DEC"/>
    <w:rsid w:val="00683016"/>
    <w:rsid w:val="00683145"/>
    <w:rsid w:val="006831C5"/>
    <w:rsid w:val="006832BC"/>
    <w:rsid w:val="0068341B"/>
    <w:rsid w:val="00683826"/>
    <w:rsid w:val="00683865"/>
    <w:rsid w:val="006839D6"/>
    <w:rsid w:val="00683B5F"/>
    <w:rsid w:val="00683B60"/>
    <w:rsid w:val="00683D94"/>
    <w:rsid w:val="00683F11"/>
    <w:rsid w:val="00684187"/>
    <w:rsid w:val="006841F7"/>
    <w:rsid w:val="00684302"/>
    <w:rsid w:val="006844E5"/>
    <w:rsid w:val="00684586"/>
    <w:rsid w:val="0068459F"/>
    <w:rsid w:val="00684761"/>
    <w:rsid w:val="00684823"/>
    <w:rsid w:val="0068490B"/>
    <w:rsid w:val="00684AEC"/>
    <w:rsid w:val="00684C79"/>
    <w:rsid w:val="00685963"/>
    <w:rsid w:val="00685A7A"/>
    <w:rsid w:val="00685CA8"/>
    <w:rsid w:val="00685E51"/>
    <w:rsid w:val="00685F7E"/>
    <w:rsid w:val="00686056"/>
    <w:rsid w:val="006860E3"/>
    <w:rsid w:val="00686285"/>
    <w:rsid w:val="006863F8"/>
    <w:rsid w:val="00686542"/>
    <w:rsid w:val="00686AD8"/>
    <w:rsid w:val="00686F27"/>
    <w:rsid w:val="00686FF6"/>
    <w:rsid w:val="00687016"/>
    <w:rsid w:val="006872DD"/>
    <w:rsid w:val="00687433"/>
    <w:rsid w:val="00687536"/>
    <w:rsid w:val="00687602"/>
    <w:rsid w:val="00687A86"/>
    <w:rsid w:val="00687BCB"/>
    <w:rsid w:val="00687C05"/>
    <w:rsid w:val="00687CA0"/>
    <w:rsid w:val="00687DEC"/>
    <w:rsid w:val="00690071"/>
    <w:rsid w:val="006901CA"/>
    <w:rsid w:val="00690344"/>
    <w:rsid w:val="006903E2"/>
    <w:rsid w:val="0069053D"/>
    <w:rsid w:val="00690556"/>
    <w:rsid w:val="0069058E"/>
    <w:rsid w:val="006906F9"/>
    <w:rsid w:val="00690813"/>
    <w:rsid w:val="006908AF"/>
    <w:rsid w:val="00690BAC"/>
    <w:rsid w:val="006916C4"/>
    <w:rsid w:val="00691956"/>
    <w:rsid w:val="00691C32"/>
    <w:rsid w:val="00691D75"/>
    <w:rsid w:val="00691D8C"/>
    <w:rsid w:val="00691DF7"/>
    <w:rsid w:val="00691E61"/>
    <w:rsid w:val="00691E7E"/>
    <w:rsid w:val="006923E8"/>
    <w:rsid w:val="0069240A"/>
    <w:rsid w:val="0069243D"/>
    <w:rsid w:val="00692851"/>
    <w:rsid w:val="006929FC"/>
    <w:rsid w:val="00692A0B"/>
    <w:rsid w:val="00692AEF"/>
    <w:rsid w:val="00692B95"/>
    <w:rsid w:val="00692C67"/>
    <w:rsid w:val="00693012"/>
    <w:rsid w:val="00693031"/>
    <w:rsid w:val="00693329"/>
    <w:rsid w:val="0069346A"/>
    <w:rsid w:val="006934AC"/>
    <w:rsid w:val="006935DF"/>
    <w:rsid w:val="0069376A"/>
    <w:rsid w:val="00693909"/>
    <w:rsid w:val="00693A8E"/>
    <w:rsid w:val="00693B29"/>
    <w:rsid w:val="00693B8E"/>
    <w:rsid w:val="00693C5B"/>
    <w:rsid w:val="00693E92"/>
    <w:rsid w:val="00693EEA"/>
    <w:rsid w:val="00693F32"/>
    <w:rsid w:val="00693F6C"/>
    <w:rsid w:val="006940BA"/>
    <w:rsid w:val="00694147"/>
    <w:rsid w:val="006944E5"/>
    <w:rsid w:val="006946AB"/>
    <w:rsid w:val="00694776"/>
    <w:rsid w:val="00694A29"/>
    <w:rsid w:val="00694C0D"/>
    <w:rsid w:val="00694D05"/>
    <w:rsid w:val="00694E60"/>
    <w:rsid w:val="00694E75"/>
    <w:rsid w:val="00694EF8"/>
    <w:rsid w:val="00695203"/>
    <w:rsid w:val="006955E3"/>
    <w:rsid w:val="00695628"/>
    <w:rsid w:val="00695987"/>
    <w:rsid w:val="00695B28"/>
    <w:rsid w:val="00695E28"/>
    <w:rsid w:val="00696026"/>
    <w:rsid w:val="00696081"/>
    <w:rsid w:val="006961C5"/>
    <w:rsid w:val="0069627B"/>
    <w:rsid w:val="0069628C"/>
    <w:rsid w:val="00696446"/>
    <w:rsid w:val="0069644C"/>
    <w:rsid w:val="006965E8"/>
    <w:rsid w:val="006968D6"/>
    <w:rsid w:val="006969A8"/>
    <w:rsid w:val="006969FA"/>
    <w:rsid w:val="00696A78"/>
    <w:rsid w:val="00696D7C"/>
    <w:rsid w:val="00696E8F"/>
    <w:rsid w:val="006970B8"/>
    <w:rsid w:val="00697469"/>
    <w:rsid w:val="00697A59"/>
    <w:rsid w:val="00697AD2"/>
    <w:rsid w:val="00697BD5"/>
    <w:rsid w:val="00697C53"/>
    <w:rsid w:val="00697FC9"/>
    <w:rsid w:val="006A0129"/>
    <w:rsid w:val="006A02E2"/>
    <w:rsid w:val="006A043F"/>
    <w:rsid w:val="006A0590"/>
    <w:rsid w:val="006A05B9"/>
    <w:rsid w:val="006A05E0"/>
    <w:rsid w:val="006A0654"/>
    <w:rsid w:val="006A0700"/>
    <w:rsid w:val="006A0819"/>
    <w:rsid w:val="006A0844"/>
    <w:rsid w:val="006A093B"/>
    <w:rsid w:val="006A0949"/>
    <w:rsid w:val="006A0B18"/>
    <w:rsid w:val="006A0B35"/>
    <w:rsid w:val="006A0BF1"/>
    <w:rsid w:val="006A0C62"/>
    <w:rsid w:val="006A0FBF"/>
    <w:rsid w:val="006A1103"/>
    <w:rsid w:val="006A11EC"/>
    <w:rsid w:val="006A1518"/>
    <w:rsid w:val="006A19C0"/>
    <w:rsid w:val="006A19DE"/>
    <w:rsid w:val="006A1A1D"/>
    <w:rsid w:val="006A1D76"/>
    <w:rsid w:val="006A1DB7"/>
    <w:rsid w:val="006A1FC5"/>
    <w:rsid w:val="006A1FF3"/>
    <w:rsid w:val="006A220D"/>
    <w:rsid w:val="006A2324"/>
    <w:rsid w:val="006A2740"/>
    <w:rsid w:val="006A29E3"/>
    <w:rsid w:val="006A2B04"/>
    <w:rsid w:val="006A2B83"/>
    <w:rsid w:val="006A2BC3"/>
    <w:rsid w:val="006A2DF8"/>
    <w:rsid w:val="006A2F11"/>
    <w:rsid w:val="006A2FEF"/>
    <w:rsid w:val="006A3281"/>
    <w:rsid w:val="006A33C4"/>
    <w:rsid w:val="006A34DB"/>
    <w:rsid w:val="006A353B"/>
    <w:rsid w:val="006A35BC"/>
    <w:rsid w:val="006A36C7"/>
    <w:rsid w:val="006A3885"/>
    <w:rsid w:val="006A3A1C"/>
    <w:rsid w:val="006A3C3E"/>
    <w:rsid w:val="006A41BE"/>
    <w:rsid w:val="006A44E6"/>
    <w:rsid w:val="006A473D"/>
    <w:rsid w:val="006A48D3"/>
    <w:rsid w:val="006A4973"/>
    <w:rsid w:val="006A4B41"/>
    <w:rsid w:val="006A4B7C"/>
    <w:rsid w:val="006A4B9A"/>
    <w:rsid w:val="006A5259"/>
    <w:rsid w:val="006A5441"/>
    <w:rsid w:val="006A547E"/>
    <w:rsid w:val="006A548C"/>
    <w:rsid w:val="006A5A78"/>
    <w:rsid w:val="006A5CE5"/>
    <w:rsid w:val="006A5EAB"/>
    <w:rsid w:val="006A5FDE"/>
    <w:rsid w:val="006A606E"/>
    <w:rsid w:val="006A62F6"/>
    <w:rsid w:val="006A64B5"/>
    <w:rsid w:val="006A682F"/>
    <w:rsid w:val="006A6842"/>
    <w:rsid w:val="006A6994"/>
    <w:rsid w:val="006A6DA2"/>
    <w:rsid w:val="006A6EFE"/>
    <w:rsid w:val="006A71B8"/>
    <w:rsid w:val="006A7225"/>
    <w:rsid w:val="006A72FC"/>
    <w:rsid w:val="006A7302"/>
    <w:rsid w:val="006A7334"/>
    <w:rsid w:val="006A734C"/>
    <w:rsid w:val="006A73C6"/>
    <w:rsid w:val="006A73F0"/>
    <w:rsid w:val="006A7411"/>
    <w:rsid w:val="006A74A5"/>
    <w:rsid w:val="006A7520"/>
    <w:rsid w:val="006A767C"/>
    <w:rsid w:val="006A76E8"/>
    <w:rsid w:val="006A7721"/>
    <w:rsid w:val="006A78D7"/>
    <w:rsid w:val="006B0353"/>
    <w:rsid w:val="006B03C3"/>
    <w:rsid w:val="006B0513"/>
    <w:rsid w:val="006B0563"/>
    <w:rsid w:val="006B0621"/>
    <w:rsid w:val="006B0629"/>
    <w:rsid w:val="006B067F"/>
    <w:rsid w:val="006B0695"/>
    <w:rsid w:val="006B06F7"/>
    <w:rsid w:val="006B0983"/>
    <w:rsid w:val="006B0A02"/>
    <w:rsid w:val="006B0B3C"/>
    <w:rsid w:val="006B0F3F"/>
    <w:rsid w:val="006B0F65"/>
    <w:rsid w:val="006B0F89"/>
    <w:rsid w:val="006B10EF"/>
    <w:rsid w:val="006B15D6"/>
    <w:rsid w:val="006B1606"/>
    <w:rsid w:val="006B161D"/>
    <w:rsid w:val="006B16E0"/>
    <w:rsid w:val="006B1901"/>
    <w:rsid w:val="006B1B34"/>
    <w:rsid w:val="006B1B44"/>
    <w:rsid w:val="006B1C6D"/>
    <w:rsid w:val="006B1DBA"/>
    <w:rsid w:val="006B1E51"/>
    <w:rsid w:val="006B20FC"/>
    <w:rsid w:val="006B2139"/>
    <w:rsid w:val="006B24B8"/>
    <w:rsid w:val="006B24BB"/>
    <w:rsid w:val="006B24C1"/>
    <w:rsid w:val="006B2A2E"/>
    <w:rsid w:val="006B2A50"/>
    <w:rsid w:val="006B2AB9"/>
    <w:rsid w:val="006B2AC7"/>
    <w:rsid w:val="006B2E77"/>
    <w:rsid w:val="006B30D1"/>
    <w:rsid w:val="006B31EF"/>
    <w:rsid w:val="006B326B"/>
    <w:rsid w:val="006B3285"/>
    <w:rsid w:val="006B3361"/>
    <w:rsid w:val="006B33B9"/>
    <w:rsid w:val="006B3466"/>
    <w:rsid w:val="006B3F4E"/>
    <w:rsid w:val="006B41A9"/>
    <w:rsid w:val="006B433B"/>
    <w:rsid w:val="006B4816"/>
    <w:rsid w:val="006B485B"/>
    <w:rsid w:val="006B4943"/>
    <w:rsid w:val="006B4A45"/>
    <w:rsid w:val="006B4B1D"/>
    <w:rsid w:val="006B4B4A"/>
    <w:rsid w:val="006B4BE4"/>
    <w:rsid w:val="006B4CC1"/>
    <w:rsid w:val="006B4CDF"/>
    <w:rsid w:val="006B4D49"/>
    <w:rsid w:val="006B4FFB"/>
    <w:rsid w:val="006B520D"/>
    <w:rsid w:val="006B5272"/>
    <w:rsid w:val="006B53F0"/>
    <w:rsid w:val="006B562C"/>
    <w:rsid w:val="006B58B3"/>
    <w:rsid w:val="006B59D4"/>
    <w:rsid w:val="006B5BA4"/>
    <w:rsid w:val="006B5CAF"/>
    <w:rsid w:val="006B5CE1"/>
    <w:rsid w:val="006B5D2A"/>
    <w:rsid w:val="006B5EBC"/>
    <w:rsid w:val="006B5EC1"/>
    <w:rsid w:val="006B6202"/>
    <w:rsid w:val="006B622A"/>
    <w:rsid w:val="006B6511"/>
    <w:rsid w:val="006B66FF"/>
    <w:rsid w:val="006B6754"/>
    <w:rsid w:val="006B6AD8"/>
    <w:rsid w:val="006B6B6A"/>
    <w:rsid w:val="006B6FC3"/>
    <w:rsid w:val="006B752F"/>
    <w:rsid w:val="006B75F4"/>
    <w:rsid w:val="006B76A5"/>
    <w:rsid w:val="006B7704"/>
    <w:rsid w:val="006B7971"/>
    <w:rsid w:val="006B7C90"/>
    <w:rsid w:val="006B7EA6"/>
    <w:rsid w:val="006B7FA4"/>
    <w:rsid w:val="006C01B6"/>
    <w:rsid w:val="006C01BB"/>
    <w:rsid w:val="006C02C2"/>
    <w:rsid w:val="006C02E4"/>
    <w:rsid w:val="006C0428"/>
    <w:rsid w:val="006C049C"/>
    <w:rsid w:val="006C04D7"/>
    <w:rsid w:val="006C0691"/>
    <w:rsid w:val="006C07BC"/>
    <w:rsid w:val="006C09F2"/>
    <w:rsid w:val="006C0B70"/>
    <w:rsid w:val="006C0DFB"/>
    <w:rsid w:val="006C0EC9"/>
    <w:rsid w:val="006C183B"/>
    <w:rsid w:val="006C19F3"/>
    <w:rsid w:val="006C1B38"/>
    <w:rsid w:val="006C1B91"/>
    <w:rsid w:val="006C1DC8"/>
    <w:rsid w:val="006C1DE8"/>
    <w:rsid w:val="006C1F2A"/>
    <w:rsid w:val="006C207B"/>
    <w:rsid w:val="006C2106"/>
    <w:rsid w:val="006C239E"/>
    <w:rsid w:val="006C23C6"/>
    <w:rsid w:val="006C24B7"/>
    <w:rsid w:val="006C24E8"/>
    <w:rsid w:val="006C25B0"/>
    <w:rsid w:val="006C2645"/>
    <w:rsid w:val="006C286B"/>
    <w:rsid w:val="006C29E9"/>
    <w:rsid w:val="006C2C4E"/>
    <w:rsid w:val="006C2E12"/>
    <w:rsid w:val="006C2F55"/>
    <w:rsid w:val="006C32F3"/>
    <w:rsid w:val="006C3361"/>
    <w:rsid w:val="006C33CA"/>
    <w:rsid w:val="006C3478"/>
    <w:rsid w:val="006C357F"/>
    <w:rsid w:val="006C3823"/>
    <w:rsid w:val="006C398B"/>
    <w:rsid w:val="006C3F0C"/>
    <w:rsid w:val="006C41A6"/>
    <w:rsid w:val="006C4285"/>
    <w:rsid w:val="006C43DE"/>
    <w:rsid w:val="006C4502"/>
    <w:rsid w:val="006C4607"/>
    <w:rsid w:val="006C4837"/>
    <w:rsid w:val="006C4B93"/>
    <w:rsid w:val="006C4BEC"/>
    <w:rsid w:val="006C4D69"/>
    <w:rsid w:val="006C528A"/>
    <w:rsid w:val="006C537B"/>
    <w:rsid w:val="006C53BB"/>
    <w:rsid w:val="006C5457"/>
    <w:rsid w:val="006C554B"/>
    <w:rsid w:val="006C5596"/>
    <w:rsid w:val="006C56C2"/>
    <w:rsid w:val="006C5776"/>
    <w:rsid w:val="006C579F"/>
    <w:rsid w:val="006C58AE"/>
    <w:rsid w:val="006C5A5E"/>
    <w:rsid w:val="006C5A8B"/>
    <w:rsid w:val="006C5AD3"/>
    <w:rsid w:val="006C5B4B"/>
    <w:rsid w:val="006C5B9D"/>
    <w:rsid w:val="006C5CD7"/>
    <w:rsid w:val="006C5FF8"/>
    <w:rsid w:val="006C6135"/>
    <w:rsid w:val="006C617F"/>
    <w:rsid w:val="006C63B0"/>
    <w:rsid w:val="006C673B"/>
    <w:rsid w:val="006C67DC"/>
    <w:rsid w:val="006C6A9C"/>
    <w:rsid w:val="006C6F1C"/>
    <w:rsid w:val="006C6F6A"/>
    <w:rsid w:val="006C6FF5"/>
    <w:rsid w:val="006C70C9"/>
    <w:rsid w:val="006C712B"/>
    <w:rsid w:val="006C74B8"/>
    <w:rsid w:val="006C7756"/>
    <w:rsid w:val="006C77DD"/>
    <w:rsid w:val="006C7820"/>
    <w:rsid w:val="006C7899"/>
    <w:rsid w:val="006C797C"/>
    <w:rsid w:val="006C7C36"/>
    <w:rsid w:val="006C7D00"/>
    <w:rsid w:val="006C7EE3"/>
    <w:rsid w:val="006D0197"/>
    <w:rsid w:val="006D05D4"/>
    <w:rsid w:val="006D06A6"/>
    <w:rsid w:val="006D0901"/>
    <w:rsid w:val="006D0DD7"/>
    <w:rsid w:val="006D0E08"/>
    <w:rsid w:val="006D119D"/>
    <w:rsid w:val="006D1220"/>
    <w:rsid w:val="006D1253"/>
    <w:rsid w:val="006D131B"/>
    <w:rsid w:val="006D13D3"/>
    <w:rsid w:val="006D1710"/>
    <w:rsid w:val="006D178E"/>
    <w:rsid w:val="006D1B76"/>
    <w:rsid w:val="006D1C0C"/>
    <w:rsid w:val="006D1FCF"/>
    <w:rsid w:val="006D2054"/>
    <w:rsid w:val="006D2245"/>
    <w:rsid w:val="006D24FD"/>
    <w:rsid w:val="006D2514"/>
    <w:rsid w:val="006D2543"/>
    <w:rsid w:val="006D2666"/>
    <w:rsid w:val="006D272A"/>
    <w:rsid w:val="006D2952"/>
    <w:rsid w:val="006D2D0D"/>
    <w:rsid w:val="006D306C"/>
    <w:rsid w:val="006D3A3C"/>
    <w:rsid w:val="006D3B1D"/>
    <w:rsid w:val="006D3E28"/>
    <w:rsid w:val="006D3E5F"/>
    <w:rsid w:val="006D3E69"/>
    <w:rsid w:val="006D3F05"/>
    <w:rsid w:val="006D4080"/>
    <w:rsid w:val="006D413B"/>
    <w:rsid w:val="006D43D3"/>
    <w:rsid w:val="006D46AB"/>
    <w:rsid w:val="006D4864"/>
    <w:rsid w:val="006D4AF3"/>
    <w:rsid w:val="006D5093"/>
    <w:rsid w:val="006D509B"/>
    <w:rsid w:val="006D52EB"/>
    <w:rsid w:val="006D536E"/>
    <w:rsid w:val="006D53C2"/>
    <w:rsid w:val="006D53D6"/>
    <w:rsid w:val="006D551C"/>
    <w:rsid w:val="006D5567"/>
    <w:rsid w:val="006D5859"/>
    <w:rsid w:val="006D5AAE"/>
    <w:rsid w:val="006D5C71"/>
    <w:rsid w:val="006D5D2A"/>
    <w:rsid w:val="006D6493"/>
    <w:rsid w:val="006D6495"/>
    <w:rsid w:val="006D6519"/>
    <w:rsid w:val="006D660C"/>
    <w:rsid w:val="006D68A4"/>
    <w:rsid w:val="006D6951"/>
    <w:rsid w:val="006D6A17"/>
    <w:rsid w:val="006D6B3B"/>
    <w:rsid w:val="006D6C28"/>
    <w:rsid w:val="006D6D93"/>
    <w:rsid w:val="006D6DE2"/>
    <w:rsid w:val="006D7296"/>
    <w:rsid w:val="006D72B5"/>
    <w:rsid w:val="006D72D8"/>
    <w:rsid w:val="006D73F8"/>
    <w:rsid w:val="006D7506"/>
    <w:rsid w:val="006D7675"/>
    <w:rsid w:val="006D79E4"/>
    <w:rsid w:val="006D7A5C"/>
    <w:rsid w:val="006D7A8E"/>
    <w:rsid w:val="006D7B67"/>
    <w:rsid w:val="006D7E87"/>
    <w:rsid w:val="006D7F18"/>
    <w:rsid w:val="006E00BC"/>
    <w:rsid w:val="006E024A"/>
    <w:rsid w:val="006E02D3"/>
    <w:rsid w:val="006E02FD"/>
    <w:rsid w:val="006E0363"/>
    <w:rsid w:val="006E04AE"/>
    <w:rsid w:val="006E04CA"/>
    <w:rsid w:val="006E0516"/>
    <w:rsid w:val="006E0674"/>
    <w:rsid w:val="006E078A"/>
    <w:rsid w:val="006E091C"/>
    <w:rsid w:val="006E096D"/>
    <w:rsid w:val="006E0A2A"/>
    <w:rsid w:val="006E0AA2"/>
    <w:rsid w:val="006E0AAB"/>
    <w:rsid w:val="006E0ADB"/>
    <w:rsid w:val="006E0BC6"/>
    <w:rsid w:val="006E0C14"/>
    <w:rsid w:val="006E0C92"/>
    <w:rsid w:val="006E0D52"/>
    <w:rsid w:val="006E10C3"/>
    <w:rsid w:val="006E12ED"/>
    <w:rsid w:val="006E1448"/>
    <w:rsid w:val="006E14AC"/>
    <w:rsid w:val="006E14C4"/>
    <w:rsid w:val="006E153D"/>
    <w:rsid w:val="006E1950"/>
    <w:rsid w:val="006E19C9"/>
    <w:rsid w:val="006E1B3E"/>
    <w:rsid w:val="006E1BDC"/>
    <w:rsid w:val="006E1E53"/>
    <w:rsid w:val="006E1EA7"/>
    <w:rsid w:val="006E1FCD"/>
    <w:rsid w:val="006E248C"/>
    <w:rsid w:val="006E2692"/>
    <w:rsid w:val="006E26C0"/>
    <w:rsid w:val="006E2778"/>
    <w:rsid w:val="006E28FD"/>
    <w:rsid w:val="006E290B"/>
    <w:rsid w:val="006E29FE"/>
    <w:rsid w:val="006E2BA0"/>
    <w:rsid w:val="006E2BA5"/>
    <w:rsid w:val="006E2BB1"/>
    <w:rsid w:val="006E2C55"/>
    <w:rsid w:val="006E2EBD"/>
    <w:rsid w:val="006E2F37"/>
    <w:rsid w:val="006E2F65"/>
    <w:rsid w:val="006E3176"/>
    <w:rsid w:val="006E3251"/>
    <w:rsid w:val="006E3373"/>
    <w:rsid w:val="006E3412"/>
    <w:rsid w:val="006E3592"/>
    <w:rsid w:val="006E3688"/>
    <w:rsid w:val="006E3B82"/>
    <w:rsid w:val="006E3E3E"/>
    <w:rsid w:val="006E3E51"/>
    <w:rsid w:val="006E3E77"/>
    <w:rsid w:val="006E404F"/>
    <w:rsid w:val="006E43D0"/>
    <w:rsid w:val="006E4463"/>
    <w:rsid w:val="006E4587"/>
    <w:rsid w:val="006E4779"/>
    <w:rsid w:val="006E4894"/>
    <w:rsid w:val="006E489D"/>
    <w:rsid w:val="006E48E2"/>
    <w:rsid w:val="006E49A7"/>
    <w:rsid w:val="006E49DD"/>
    <w:rsid w:val="006E4CA9"/>
    <w:rsid w:val="006E4E23"/>
    <w:rsid w:val="006E4E47"/>
    <w:rsid w:val="006E4EE9"/>
    <w:rsid w:val="006E5308"/>
    <w:rsid w:val="006E57A1"/>
    <w:rsid w:val="006E58B5"/>
    <w:rsid w:val="006E58F2"/>
    <w:rsid w:val="006E5A40"/>
    <w:rsid w:val="006E5B2C"/>
    <w:rsid w:val="006E5F88"/>
    <w:rsid w:val="006E610B"/>
    <w:rsid w:val="006E619E"/>
    <w:rsid w:val="006E6377"/>
    <w:rsid w:val="006E6446"/>
    <w:rsid w:val="006E651C"/>
    <w:rsid w:val="006E66C6"/>
    <w:rsid w:val="006E6A25"/>
    <w:rsid w:val="006E6E7F"/>
    <w:rsid w:val="006E6EA2"/>
    <w:rsid w:val="006E6F32"/>
    <w:rsid w:val="006E6F59"/>
    <w:rsid w:val="006E71AC"/>
    <w:rsid w:val="006E75C0"/>
    <w:rsid w:val="006E76EF"/>
    <w:rsid w:val="006E774D"/>
    <w:rsid w:val="006E785C"/>
    <w:rsid w:val="006E788D"/>
    <w:rsid w:val="006E7A6C"/>
    <w:rsid w:val="006E7FC9"/>
    <w:rsid w:val="006F0108"/>
    <w:rsid w:val="006F0425"/>
    <w:rsid w:val="006F0579"/>
    <w:rsid w:val="006F05A5"/>
    <w:rsid w:val="006F0605"/>
    <w:rsid w:val="006F0631"/>
    <w:rsid w:val="006F0C01"/>
    <w:rsid w:val="006F0CCC"/>
    <w:rsid w:val="006F0E6A"/>
    <w:rsid w:val="006F0FA6"/>
    <w:rsid w:val="006F12BE"/>
    <w:rsid w:val="006F12C6"/>
    <w:rsid w:val="006F13A1"/>
    <w:rsid w:val="006F141B"/>
    <w:rsid w:val="006F14A4"/>
    <w:rsid w:val="006F1509"/>
    <w:rsid w:val="006F15E9"/>
    <w:rsid w:val="006F1929"/>
    <w:rsid w:val="006F1959"/>
    <w:rsid w:val="006F1B5E"/>
    <w:rsid w:val="006F1DE7"/>
    <w:rsid w:val="006F1E38"/>
    <w:rsid w:val="006F239B"/>
    <w:rsid w:val="006F2473"/>
    <w:rsid w:val="006F2A6D"/>
    <w:rsid w:val="006F2B89"/>
    <w:rsid w:val="006F2BD2"/>
    <w:rsid w:val="006F2DD3"/>
    <w:rsid w:val="006F2EDF"/>
    <w:rsid w:val="006F2F69"/>
    <w:rsid w:val="006F31AC"/>
    <w:rsid w:val="006F34FB"/>
    <w:rsid w:val="006F3516"/>
    <w:rsid w:val="006F3546"/>
    <w:rsid w:val="006F37CA"/>
    <w:rsid w:val="006F399A"/>
    <w:rsid w:val="006F39FA"/>
    <w:rsid w:val="006F3C83"/>
    <w:rsid w:val="006F3D43"/>
    <w:rsid w:val="006F3E03"/>
    <w:rsid w:val="006F3E8E"/>
    <w:rsid w:val="006F3FF6"/>
    <w:rsid w:val="006F402B"/>
    <w:rsid w:val="006F40E2"/>
    <w:rsid w:val="006F41CD"/>
    <w:rsid w:val="006F427F"/>
    <w:rsid w:val="006F43A4"/>
    <w:rsid w:val="006F45DD"/>
    <w:rsid w:val="006F474B"/>
    <w:rsid w:val="006F489B"/>
    <w:rsid w:val="006F49BB"/>
    <w:rsid w:val="006F4B1C"/>
    <w:rsid w:val="006F4E71"/>
    <w:rsid w:val="006F4E7D"/>
    <w:rsid w:val="006F5095"/>
    <w:rsid w:val="006F538D"/>
    <w:rsid w:val="006F5583"/>
    <w:rsid w:val="006F5A41"/>
    <w:rsid w:val="006F5A48"/>
    <w:rsid w:val="006F5AB7"/>
    <w:rsid w:val="006F5B2D"/>
    <w:rsid w:val="006F5B52"/>
    <w:rsid w:val="006F5C24"/>
    <w:rsid w:val="006F5CEF"/>
    <w:rsid w:val="006F5D8C"/>
    <w:rsid w:val="006F5F3B"/>
    <w:rsid w:val="006F61DB"/>
    <w:rsid w:val="006F6219"/>
    <w:rsid w:val="006F63D5"/>
    <w:rsid w:val="006F68D9"/>
    <w:rsid w:val="006F6B32"/>
    <w:rsid w:val="006F6B52"/>
    <w:rsid w:val="006F6DB9"/>
    <w:rsid w:val="006F6F91"/>
    <w:rsid w:val="006F6FB1"/>
    <w:rsid w:val="006F700D"/>
    <w:rsid w:val="006F72E7"/>
    <w:rsid w:val="006F75F1"/>
    <w:rsid w:val="006F765A"/>
    <w:rsid w:val="006F76A7"/>
    <w:rsid w:val="006F77E5"/>
    <w:rsid w:val="006F78B5"/>
    <w:rsid w:val="006F7978"/>
    <w:rsid w:val="006F79B3"/>
    <w:rsid w:val="006F7B73"/>
    <w:rsid w:val="006F7CC0"/>
    <w:rsid w:val="006F7E15"/>
    <w:rsid w:val="006F7E54"/>
    <w:rsid w:val="006F7E94"/>
    <w:rsid w:val="007000B0"/>
    <w:rsid w:val="007000CE"/>
    <w:rsid w:val="007000DF"/>
    <w:rsid w:val="007000F3"/>
    <w:rsid w:val="00700105"/>
    <w:rsid w:val="0070025A"/>
    <w:rsid w:val="00700818"/>
    <w:rsid w:val="00700928"/>
    <w:rsid w:val="00700C6B"/>
    <w:rsid w:val="00700D37"/>
    <w:rsid w:val="00701176"/>
    <w:rsid w:val="00701221"/>
    <w:rsid w:val="007015CB"/>
    <w:rsid w:val="00701669"/>
    <w:rsid w:val="00701940"/>
    <w:rsid w:val="00701DB4"/>
    <w:rsid w:val="00701DF2"/>
    <w:rsid w:val="00701FA9"/>
    <w:rsid w:val="00702503"/>
    <w:rsid w:val="0070262D"/>
    <w:rsid w:val="00702927"/>
    <w:rsid w:val="007029A3"/>
    <w:rsid w:val="007029E2"/>
    <w:rsid w:val="00702A21"/>
    <w:rsid w:val="00702F2B"/>
    <w:rsid w:val="00702FAE"/>
    <w:rsid w:val="00703042"/>
    <w:rsid w:val="0070306C"/>
    <w:rsid w:val="007031C0"/>
    <w:rsid w:val="0070332C"/>
    <w:rsid w:val="00703610"/>
    <w:rsid w:val="00703657"/>
    <w:rsid w:val="00703810"/>
    <w:rsid w:val="00703B17"/>
    <w:rsid w:val="007043CF"/>
    <w:rsid w:val="007043F4"/>
    <w:rsid w:val="0070446E"/>
    <w:rsid w:val="007044E7"/>
    <w:rsid w:val="00704507"/>
    <w:rsid w:val="007049DB"/>
    <w:rsid w:val="00704B75"/>
    <w:rsid w:val="00704BA8"/>
    <w:rsid w:val="00704D21"/>
    <w:rsid w:val="00704D5B"/>
    <w:rsid w:val="00704DCA"/>
    <w:rsid w:val="00704F5B"/>
    <w:rsid w:val="00705391"/>
    <w:rsid w:val="007053E1"/>
    <w:rsid w:val="00705616"/>
    <w:rsid w:val="00705637"/>
    <w:rsid w:val="00705766"/>
    <w:rsid w:val="007057AB"/>
    <w:rsid w:val="00705930"/>
    <w:rsid w:val="00705AD4"/>
    <w:rsid w:val="00705B3F"/>
    <w:rsid w:val="00705B81"/>
    <w:rsid w:val="00705BB1"/>
    <w:rsid w:val="00705CA1"/>
    <w:rsid w:val="00705D64"/>
    <w:rsid w:val="00705E79"/>
    <w:rsid w:val="00705FB1"/>
    <w:rsid w:val="00706178"/>
    <w:rsid w:val="00706389"/>
    <w:rsid w:val="007064EE"/>
    <w:rsid w:val="00706599"/>
    <w:rsid w:val="00706630"/>
    <w:rsid w:val="00706761"/>
    <w:rsid w:val="00706766"/>
    <w:rsid w:val="00706A98"/>
    <w:rsid w:val="00706D0C"/>
    <w:rsid w:val="00706F53"/>
    <w:rsid w:val="00707023"/>
    <w:rsid w:val="007072D4"/>
    <w:rsid w:val="007074AB"/>
    <w:rsid w:val="00707532"/>
    <w:rsid w:val="007075E5"/>
    <w:rsid w:val="007076B5"/>
    <w:rsid w:val="00707B58"/>
    <w:rsid w:val="00707CBC"/>
    <w:rsid w:val="00707F86"/>
    <w:rsid w:val="00710032"/>
    <w:rsid w:val="00710064"/>
    <w:rsid w:val="0071022D"/>
    <w:rsid w:val="007103EC"/>
    <w:rsid w:val="007106F4"/>
    <w:rsid w:val="0071082A"/>
    <w:rsid w:val="007108B2"/>
    <w:rsid w:val="0071092F"/>
    <w:rsid w:val="00710C8B"/>
    <w:rsid w:val="00710CE4"/>
    <w:rsid w:val="00710D16"/>
    <w:rsid w:val="00710DB9"/>
    <w:rsid w:val="00710DD2"/>
    <w:rsid w:val="00710E99"/>
    <w:rsid w:val="00710F40"/>
    <w:rsid w:val="00711021"/>
    <w:rsid w:val="00711046"/>
    <w:rsid w:val="00711218"/>
    <w:rsid w:val="0071142F"/>
    <w:rsid w:val="007115EA"/>
    <w:rsid w:val="007116C2"/>
    <w:rsid w:val="007117EC"/>
    <w:rsid w:val="00711892"/>
    <w:rsid w:val="007119DF"/>
    <w:rsid w:val="00711A0E"/>
    <w:rsid w:val="00711D0E"/>
    <w:rsid w:val="00711DAD"/>
    <w:rsid w:val="00711F82"/>
    <w:rsid w:val="00711F87"/>
    <w:rsid w:val="00711FB9"/>
    <w:rsid w:val="00712327"/>
    <w:rsid w:val="007125B5"/>
    <w:rsid w:val="00712679"/>
    <w:rsid w:val="007127F9"/>
    <w:rsid w:val="00712A86"/>
    <w:rsid w:val="00712B10"/>
    <w:rsid w:val="00712DA9"/>
    <w:rsid w:val="007132E9"/>
    <w:rsid w:val="00713858"/>
    <w:rsid w:val="007139FE"/>
    <w:rsid w:val="00713AED"/>
    <w:rsid w:val="00713B5E"/>
    <w:rsid w:val="00713D4C"/>
    <w:rsid w:val="00713E07"/>
    <w:rsid w:val="00713F43"/>
    <w:rsid w:val="00713FA1"/>
    <w:rsid w:val="00714111"/>
    <w:rsid w:val="0071415E"/>
    <w:rsid w:val="007142D5"/>
    <w:rsid w:val="007144ED"/>
    <w:rsid w:val="00714778"/>
    <w:rsid w:val="00714811"/>
    <w:rsid w:val="00714840"/>
    <w:rsid w:val="00714B63"/>
    <w:rsid w:val="00714BD4"/>
    <w:rsid w:val="00714EC9"/>
    <w:rsid w:val="007150A8"/>
    <w:rsid w:val="00715332"/>
    <w:rsid w:val="0071558E"/>
    <w:rsid w:val="007157D1"/>
    <w:rsid w:val="007159FF"/>
    <w:rsid w:val="00715C49"/>
    <w:rsid w:val="00715D4B"/>
    <w:rsid w:val="00715E30"/>
    <w:rsid w:val="00715FF4"/>
    <w:rsid w:val="007162C7"/>
    <w:rsid w:val="00716460"/>
    <w:rsid w:val="00716526"/>
    <w:rsid w:val="007166BD"/>
    <w:rsid w:val="00716A63"/>
    <w:rsid w:val="00716A79"/>
    <w:rsid w:val="00716AC9"/>
    <w:rsid w:val="00716C8E"/>
    <w:rsid w:val="00716CEA"/>
    <w:rsid w:val="00716D00"/>
    <w:rsid w:val="00717145"/>
    <w:rsid w:val="007172A9"/>
    <w:rsid w:val="007172D9"/>
    <w:rsid w:val="007177FC"/>
    <w:rsid w:val="0071791B"/>
    <w:rsid w:val="00717A7E"/>
    <w:rsid w:val="00717AE3"/>
    <w:rsid w:val="00717EF4"/>
    <w:rsid w:val="0072058E"/>
    <w:rsid w:val="00720888"/>
    <w:rsid w:val="00720CF9"/>
    <w:rsid w:val="00720EDC"/>
    <w:rsid w:val="0072102F"/>
    <w:rsid w:val="0072120B"/>
    <w:rsid w:val="0072122F"/>
    <w:rsid w:val="0072138D"/>
    <w:rsid w:val="00721609"/>
    <w:rsid w:val="00721740"/>
    <w:rsid w:val="00721961"/>
    <w:rsid w:val="00721B4F"/>
    <w:rsid w:val="00722006"/>
    <w:rsid w:val="00722067"/>
    <w:rsid w:val="00722205"/>
    <w:rsid w:val="0072223E"/>
    <w:rsid w:val="0072252F"/>
    <w:rsid w:val="007227DD"/>
    <w:rsid w:val="00722AD8"/>
    <w:rsid w:val="00722BC9"/>
    <w:rsid w:val="00722BFF"/>
    <w:rsid w:val="00722D30"/>
    <w:rsid w:val="00722DD0"/>
    <w:rsid w:val="00722DE3"/>
    <w:rsid w:val="00722ECD"/>
    <w:rsid w:val="007230E4"/>
    <w:rsid w:val="007233B9"/>
    <w:rsid w:val="0072341E"/>
    <w:rsid w:val="00723435"/>
    <w:rsid w:val="0072344E"/>
    <w:rsid w:val="007235F8"/>
    <w:rsid w:val="00723612"/>
    <w:rsid w:val="00723700"/>
    <w:rsid w:val="0072370F"/>
    <w:rsid w:val="00723B0F"/>
    <w:rsid w:val="00723D88"/>
    <w:rsid w:val="00723F50"/>
    <w:rsid w:val="007241A1"/>
    <w:rsid w:val="00724794"/>
    <w:rsid w:val="00724869"/>
    <w:rsid w:val="00724D6C"/>
    <w:rsid w:val="007250B5"/>
    <w:rsid w:val="007250D2"/>
    <w:rsid w:val="00725354"/>
    <w:rsid w:val="0072549D"/>
    <w:rsid w:val="007254E2"/>
    <w:rsid w:val="007254E7"/>
    <w:rsid w:val="007255CA"/>
    <w:rsid w:val="0072564F"/>
    <w:rsid w:val="0072569B"/>
    <w:rsid w:val="007258EE"/>
    <w:rsid w:val="00725ABF"/>
    <w:rsid w:val="00725C39"/>
    <w:rsid w:val="00725C5C"/>
    <w:rsid w:val="00725ED8"/>
    <w:rsid w:val="00725F52"/>
    <w:rsid w:val="00725F83"/>
    <w:rsid w:val="00725FA0"/>
    <w:rsid w:val="007260BF"/>
    <w:rsid w:val="00726165"/>
    <w:rsid w:val="00726222"/>
    <w:rsid w:val="00726297"/>
    <w:rsid w:val="007262C5"/>
    <w:rsid w:val="00726446"/>
    <w:rsid w:val="0072645D"/>
    <w:rsid w:val="00726519"/>
    <w:rsid w:val="00726549"/>
    <w:rsid w:val="0072659D"/>
    <w:rsid w:val="007265B2"/>
    <w:rsid w:val="00726841"/>
    <w:rsid w:val="007268F2"/>
    <w:rsid w:val="00726945"/>
    <w:rsid w:val="007269BB"/>
    <w:rsid w:val="00726B94"/>
    <w:rsid w:val="00726B9D"/>
    <w:rsid w:val="00726C00"/>
    <w:rsid w:val="00726C9E"/>
    <w:rsid w:val="00726D31"/>
    <w:rsid w:val="00726DE2"/>
    <w:rsid w:val="00726E28"/>
    <w:rsid w:val="0072722F"/>
    <w:rsid w:val="00727388"/>
    <w:rsid w:val="0072746D"/>
    <w:rsid w:val="007275C4"/>
    <w:rsid w:val="007279DC"/>
    <w:rsid w:val="00727C33"/>
    <w:rsid w:val="00727C41"/>
    <w:rsid w:val="00727D61"/>
    <w:rsid w:val="00727DA6"/>
    <w:rsid w:val="00727F42"/>
    <w:rsid w:val="00727FE3"/>
    <w:rsid w:val="00730072"/>
    <w:rsid w:val="007300DA"/>
    <w:rsid w:val="0073018D"/>
    <w:rsid w:val="0073031A"/>
    <w:rsid w:val="00730497"/>
    <w:rsid w:val="007305BF"/>
    <w:rsid w:val="007307E9"/>
    <w:rsid w:val="00730A6D"/>
    <w:rsid w:val="00730C71"/>
    <w:rsid w:val="007312AA"/>
    <w:rsid w:val="00731547"/>
    <w:rsid w:val="00731587"/>
    <w:rsid w:val="00731717"/>
    <w:rsid w:val="0073176C"/>
    <w:rsid w:val="00731975"/>
    <w:rsid w:val="00731D42"/>
    <w:rsid w:val="00731E04"/>
    <w:rsid w:val="00731FA1"/>
    <w:rsid w:val="00732072"/>
    <w:rsid w:val="00732138"/>
    <w:rsid w:val="0073228C"/>
    <w:rsid w:val="007323D2"/>
    <w:rsid w:val="0073270A"/>
    <w:rsid w:val="00732871"/>
    <w:rsid w:val="007328CF"/>
    <w:rsid w:val="0073299B"/>
    <w:rsid w:val="00732A9E"/>
    <w:rsid w:val="00732AA7"/>
    <w:rsid w:val="00732B0E"/>
    <w:rsid w:val="00732B34"/>
    <w:rsid w:val="00732C32"/>
    <w:rsid w:val="00733030"/>
    <w:rsid w:val="007332AE"/>
    <w:rsid w:val="00733514"/>
    <w:rsid w:val="007336A2"/>
    <w:rsid w:val="00733AFC"/>
    <w:rsid w:val="00733B27"/>
    <w:rsid w:val="00733C69"/>
    <w:rsid w:val="00733CBE"/>
    <w:rsid w:val="00733CE4"/>
    <w:rsid w:val="00733F3A"/>
    <w:rsid w:val="00733F40"/>
    <w:rsid w:val="00734040"/>
    <w:rsid w:val="00734491"/>
    <w:rsid w:val="007344DA"/>
    <w:rsid w:val="007344F9"/>
    <w:rsid w:val="007346C8"/>
    <w:rsid w:val="0073476C"/>
    <w:rsid w:val="0073487A"/>
    <w:rsid w:val="00734A90"/>
    <w:rsid w:val="00734C1B"/>
    <w:rsid w:val="00734C6C"/>
    <w:rsid w:val="00734E0A"/>
    <w:rsid w:val="00734E40"/>
    <w:rsid w:val="00735331"/>
    <w:rsid w:val="007353E3"/>
    <w:rsid w:val="007354D2"/>
    <w:rsid w:val="00735703"/>
    <w:rsid w:val="007357B4"/>
    <w:rsid w:val="007357DA"/>
    <w:rsid w:val="00735847"/>
    <w:rsid w:val="007359E0"/>
    <w:rsid w:val="00735A77"/>
    <w:rsid w:val="00735B3B"/>
    <w:rsid w:val="00735E4E"/>
    <w:rsid w:val="0073606D"/>
    <w:rsid w:val="007361E5"/>
    <w:rsid w:val="007364CF"/>
    <w:rsid w:val="007369E6"/>
    <w:rsid w:val="00736A65"/>
    <w:rsid w:val="00736C10"/>
    <w:rsid w:val="00736D1A"/>
    <w:rsid w:val="00736E5C"/>
    <w:rsid w:val="00737009"/>
    <w:rsid w:val="0073708C"/>
    <w:rsid w:val="0073724F"/>
    <w:rsid w:val="0073729C"/>
    <w:rsid w:val="007372F1"/>
    <w:rsid w:val="00737425"/>
    <w:rsid w:val="007374AC"/>
    <w:rsid w:val="0073770B"/>
    <w:rsid w:val="0073777B"/>
    <w:rsid w:val="00737901"/>
    <w:rsid w:val="00737A00"/>
    <w:rsid w:val="00737A85"/>
    <w:rsid w:val="00737CAC"/>
    <w:rsid w:val="00737D43"/>
    <w:rsid w:val="00740038"/>
    <w:rsid w:val="00740169"/>
    <w:rsid w:val="007402D3"/>
    <w:rsid w:val="00740305"/>
    <w:rsid w:val="007407B8"/>
    <w:rsid w:val="007407E7"/>
    <w:rsid w:val="007409A3"/>
    <w:rsid w:val="00740EA1"/>
    <w:rsid w:val="00740EEA"/>
    <w:rsid w:val="00740EF6"/>
    <w:rsid w:val="007412EC"/>
    <w:rsid w:val="00741407"/>
    <w:rsid w:val="0074174A"/>
    <w:rsid w:val="00741820"/>
    <w:rsid w:val="007418D9"/>
    <w:rsid w:val="007419A7"/>
    <w:rsid w:val="00741E67"/>
    <w:rsid w:val="00742180"/>
    <w:rsid w:val="0074230E"/>
    <w:rsid w:val="007424EF"/>
    <w:rsid w:val="00742569"/>
    <w:rsid w:val="0074284D"/>
    <w:rsid w:val="0074290A"/>
    <w:rsid w:val="007429AA"/>
    <w:rsid w:val="00742B8D"/>
    <w:rsid w:val="00742BEF"/>
    <w:rsid w:val="00742CEB"/>
    <w:rsid w:val="00742D26"/>
    <w:rsid w:val="0074309D"/>
    <w:rsid w:val="007433D9"/>
    <w:rsid w:val="0074354B"/>
    <w:rsid w:val="00743612"/>
    <w:rsid w:val="00743790"/>
    <w:rsid w:val="00743A50"/>
    <w:rsid w:val="00743B2A"/>
    <w:rsid w:val="00743C08"/>
    <w:rsid w:val="00743E59"/>
    <w:rsid w:val="00743F0E"/>
    <w:rsid w:val="00743F8C"/>
    <w:rsid w:val="00744245"/>
    <w:rsid w:val="00744254"/>
    <w:rsid w:val="007444BD"/>
    <w:rsid w:val="00744655"/>
    <w:rsid w:val="0074476E"/>
    <w:rsid w:val="00744B96"/>
    <w:rsid w:val="00744D60"/>
    <w:rsid w:val="00745260"/>
    <w:rsid w:val="007452B6"/>
    <w:rsid w:val="007452EE"/>
    <w:rsid w:val="00745339"/>
    <w:rsid w:val="00745382"/>
    <w:rsid w:val="00745690"/>
    <w:rsid w:val="007457D9"/>
    <w:rsid w:val="00745981"/>
    <w:rsid w:val="00745A07"/>
    <w:rsid w:val="00745E7D"/>
    <w:rsid w:val="00745EC4"/>
    <w:rsid w:val="007460A4"/>
    <w:rsid w:val="007461D5"/>
    <w:rsid w:val="00746473"/>
    <w:rsid w:val="00746842"/>
    <w:rsid w:val="00746863"/>
    <w:rsid w:val="00746887"/>
    <w:rsid w:val="007468F7"/>
    <w:rsid w:val="00746B30"/>
    <w:rsid w:val="00746CC6"/>
    <w:rsid w:val="00746FBB"/>
    <w:rsid w:val="0074717A"/>
    <w:rsid w:val="007471E2"/>
    <w:rsid w:val="0074731A"/>
    <w:rsid w:val="007473E6"/>
    <w:rsid w:val="007476A2"/>
    <w:rsid w:val="00747963"/>
    <w:rsid w:val="00747CBE"/>
    <w:rsid w:val="00747DDC"/>
    <w:rsid w:val="00747E7A"/>
    <w:rsid w:val="0075035A"/>
    <w:rsid w:val="007505C4"/>
    <w:rsid w:val="0075079A"/>
    <w:rsid w:val="007508B4"/>
    <w:rsid w:val="00750939"/>
    <w:rsid w:val="00750D3B"/>
    <w:rsid w:val="00750F15"/>
    <w:rsid w:val="00751175"/>
    <w:rsid w:val="007511F2"/>
    <w:rsid w:val="007514AE"/>
    <w:rsid w:val="00751592"/>
    <w:rsid w:val="007515CC"/>
    <w:rsid w:val="00751633"/>
    <w:rsid w:val="007516F0"/>
    <w:rsid w:val="00751744"/>
    <w:rsid w:val="007517C4"/>
    <w:rsid w:val="007517DA"/>
    <w:rsid w:val="0075194C"/>
    <w:rsid w:val="00751E1A"/>
    <w:rsid w:val="00751F6E"/>
    <w:rsid w:val="00751FE8"/>
    <w:rsid w:val="00752485"/>
    <w:rsid w:val="00752551"/>
    <w:rsid w:val="007527EA"/>
    <w:rsid w:val="007527ED"/>
    <w:rsid w:val="0075290F"/>
    <w:rsid w:val="00752944"/>
    <w:rsid w:val="00752A49"/>
    <w:rsid w:val="00752B16"/>
    <w:rsid w:val="00752B64"/>
    <w:rsid w:val="00752BBE"/>
    <w:rsid w:val="00752BD6"/>
    <w:rsid w:val="00752D8B"/>
    <w:rsid w:val="00752DF5"/>
    <w:rsid w:val="00752F2E"/>
    <w:rsid w:val="00753282"/>
    <w:rsid w:val="00753383"/>
    <w:rsid w:val="007534A1"/>
    <w:rsid w:val="0075353C"/>
    <w:rsid w:val="0075379E"/>
    <w:rsid w:val="00753A99"/>
    <w:rsid w:val="00753B79"/>
    <w:rsid w:val="00753BE6"/>
    <w:rsid w:val="00753D4A"/>
    <w:rsid w:val="00753E52"/>
    <w:rsid w:val="00753FF7"/>
    <w:rsid w:val="007540DB"/>
    <w:rsid w:val="0075451C"/>
    <w:rsid w:val="007546E8"/>
    <w:rsid w:val="00754E8D"/>
    <w:rsid w:val="00754F9C"/>
    <w:rsid w:val="00755064"/>
    <w:rsid w:val="007550AB"/>
    <w:rsid w:val="007550E5"/>
    <w:rsid w:val="00755150"/>
    <w:rsid w:val="0075529B"/>
    <w:rsid w:val="00755309"/>
    <w:rsid w:val="0075565D"/>
    <w:rsid w:val="007556AA"/>
    <w:rsid w:val="007557EE"/>
    <w:rsid w:val="007558DC"/>
    <w:rsid w:val="00755A81"/>
    <w:rsid w:val="00755B64"/>
    <w:rsid w:val="00755E0A"/>
    <w:rsid w:val="00755ED6"/>
    <w:rsid w:val="00756328"/>
    <w:rsid w:val="0075646C"/>
    <w:rsid w:val="00756490"/>
    <w:rsid w:val="007566E7"/>
    <w:rsid w:val="007568A6"/>
    <w:rsid w:val="00756937"/>
    <w:rsid w:val="0075695A"/>
    <w:rsid w:val="007569D2"/>
    <w:rsid w:val="00756DFE"/>
    <w:rsid w:val="00757052"/>
    <w:rsid w:val="00757121"/>
    <w:rsid w:val="007571F6"/>
    <w:rsid w:val="00757258"/>
    <w:rsid w:val="00757431"/>
    <w:rsid w:val="00757554"/>
    <w:rsid w:val="0076000E"/>
    <w:rsid w:val="00760251"/>
    <w:rsid w:val="00760466"/>
    <w:rsid w:val="007609CF"/>
    <w:rsid w:val="00760C5D"/>
    <w:rsid w:val="00760C9B"/>
    <w:rsid w:val="00760D46"/>
    <w:rsid w:val="00760E68"/>
    <w:rsid w:val="007611D5"/>
    <w:rsid w:val="0076120C"/>
    <w:rsid w:val="007612ED"/>
    <w:rsid w:val="0076159B"/>
    <w:rsid w:val="007615F4"/>
    <w:rsid w:val="007616A9"/>
    <w:rsid w:val="00761724"/>
    <w:rsid w:val="00761806"/>
    <w:rsid w:val="00761807"/>
    <w:rsid w:val="00761A30"/>
    <w:rsid w:val="00761AEB"/>
    <w:rsid w:val="00761E28"/>
    <w:rsid w:val="00761F27"/>
    <w:rsid w:val="007620DF"/>
    <w:rsid w:val="0076216F"/>
    <w:rsid w:val="00762176"/>
    <w:rsid w:val="007621D6"/>
    <w:rsid w:val="00762251"/>
    <w:rsid w:val="0076236E"/>
    <w:rsid w:val="00762575"/>
    <w:rsid w:val="0076273E"/>
    <w:rsid w:val="007629C6"/>
    <w:rsid w:val="00762B68"/>
    <w:rsid w:val="00762C5E"/>
    <w:rsid w:val="00762CBB"/>
    <w:rsid w:val="00762E73"/>
    <w:rsid w:val="00762FCF"/>
    <w:rsid w:val="00763013"/>
    <w:rsid w:val="00763113"/>
    <w:rsid w:val="0076331F"/>
    <w:rsid w:val="00763343"/>
    <w:rsid w:val="00763378"/>
    <w:rsid w:val="0076350C"/>
    <w:rsid w:val="00763624"/>
    <w:rsid w:val="007637F2"/>
    <w:rsid w:val="00763976"/>
    <w:rsid w:val="00763A17"/>
    <w:rsid w:val="00763CCB"/>
    <w:rsid w:val="00763D52"/>
    <w:rsid w:val="00763D6B"/>
    <w:rsid w:val="00763D76"/>
    <w:rsid w:val="00763F19"/>
    <w:rsid w:val="00763F71"/>
    <w:rsid w:val="0076407A"/>
    <w:rsid w:val="00764093"/>
    <w:rsid w:val="00764100"/>
    <w:rsid w:val="00764138"/>
    <w:rsid w:val="00764303"/>
    <w:rsid w:val="0076457A"/>
    <w:rsid w:val="00764684"/>
    <w:rsid w:val="00764B51"/>
    <w:rsid w:val="00764F0D"/>
    <w:rsid w:val="00765016"/>
    <w:rsid w:val="0076503A"/>
    <w:rsid w:val="00765275"/>
    <w:rsid w:val="007653DA"/>
    <w:rsid w:val="00765408"/>
    <w:rsid w:val="00765440"/>
    <w:rsid w:val="00765528"/>
    <w:rsid w:val="0076554E"/>
    <w:rsid w:val="00765702"/>
    <w:rsid w:val="0076572D"/>
    <w:rsid w:val="007658E7"/>
    <w:rsid w:val="007658ED"/>
    <w:rsid w:val="007658F1"/>
    <w:rsid w:val="007659F9"/>
    <w:rsid w:val="00765EE6"/>
    <w:rsid w:val="00766087"/>
    <w:rsid w:val="0076614E"/>
    <w:rsid w:val="00766256"/>
    <w:rsid w:val="00766519"/>
    <w:rsid w:val="0076652E"/>
    <w:rsid w:val="007665D6"/>
    <w:rsid w:val="007666B4"/>
    <w:rsid w:val="00766949"/>
    <w:rsid w:val="00766962"/>
    <w:rsid w:val="00766981"/>
    <w:rsid w:val="007669B6"/>
    <w:rsid w:val="00766B01"/>
    <w:rsid w:val="00766B57"/>
    <w:rsid w:val="00766C2A"/>
    <w:rsid w:val="007670D6"/>
    <w:rsid w:val="00767907"/>
    <w:rsid w:val="00767980"/>
    <w:rsid w:val="00767AE1"/>
    <w:rsid w:val="00767BA2"/>
    <w:rsid w:val="00767BB8"/>
    <w:rsid w:val="00767CA0"/>
    <w:rsid w:val="00767D1B"/>
    <w:rsid w:val="00767E73"/>
    <w:rsid w:val="00767F10"/>
    <w:rsid w:val="00767FDB"/>
    <w:rsid w:val="00770143"/>
    <w:rsid w:val="007703ED"/>
    <w:rsid w:val="00770445"/>
    <w:rsid w:val="007704D5"/>
    <w:rsid w:val="00770524"/>
    <w:rsid w:val="00770585"/>
    <w:rsid w:val="007706D1"/>
    <w:rsid w:val="0077089C"/>
    <w:rsid w:val="007709F0"/>
    <w:rsid w:val="00770C13"/>
    <w:rsid w:val="00770C5A"/>
    <w:rsid w:val="00770FCB"/>
    <w:rsid w:val="00771067"/>
    <w:rsid w:val="0077124C"/>
    <w:rsid w:val="00771254"/>
    <w:rsid w:val="0077159E"/>
    <w:rsid w:val="00771684"/>
    <w:rsid w:val="007716DF"/>
    <w:rsid w:val="00771B7E"/>
    <w:rsid w:val="00771EFC"/>
    <w:rsid w:val="00772202"/>
    <w:rsid w:val="007722F7"/>
    <w:rsid w:val="00772316"/>
    <w:rsid w:val="00772442"/>
    <w:rsid w:val="007727D8"/>
    <w:rsid w:val="00772966"/>
    <w:rsid w:val="00772C9A"/>
    <w:rsid w:val="00772D04"/>
    <w:rsid w:val="00772D78"/>
    <w:rsid w:val="00773090"/>
    <w:rsid w:val="00773169"/>
    <w:rsid w:val="00773614"/>
    <w:rsid w:val="00773616"/>
    <w:rsid w:val="00773725"/>
    <w:rsid w:val="007737BA"/>
    <w:rsid w:val="00773AFB"/>
    <w:rsid w:val="00773D94"/>
    <w:rsid w:val="00773E6E"/>
    <w:rsid w:val="00774021"/>
    <w:rsid w:val="007745A5"/>
    <w:rsid w:val="00774605"/>
    <w:rsid w:val="00774620"/>
    <w:rsid w:val="0077489E"/>
    <w:rsid w:val="0077494D"/>
    <w:rsid w:val="00774951"/>
    <w:rsid w:val="00774A6B"/>
    <w:rsid w:val="00774BE2"/>
    <w:rsid w:val="00774DA1"/>
    <w:rsid w:val="00774DD8"/>
    <w:rsid w:val="00774FC0"/>
    <w:rsid w:val="0077529F"/>
    <w:rsid w:val="00775343"/>
    <w:rsid w:val="007754A3"/>
    <w:rsid w:val="0077563E"/>
    <w:rsid w:val="00775682"/>
    <w:rsid w:val="0077571A"/>
    <w:rsid w:val="007757CE"/>
    <w:rsid w:val="0077586C"/>
    <w:rsid w:val="0077594B"/>
    <w:rsid w:val="007759BF"/>
    <w:rsid w:val="007759FD"/>
    <w:rsid w:val="00775A9A"/>
    <w:rsid w:val="00775F38"/>
    <w:rsid w:val="00776009"/>
    <w:rsid w:val="007762A8"/>
    <w:rsid w:val="007762C1"/>
    <w:rsid w:val="007762DF"/>
    <w:rsid w:val="0077630C"/>
    <w:rsid w:val="007763A1"/>
    <w:rsid w:val="007763BC"/>
    <w:rsid w:val="0077653A"/>
    <w:rsid w:val="00776790"/>
    <w:rsid w:val="007767B8"/>
    <w:rsid w:val="007768E4"/>
    <w:rsid w:val="00776AAD"/>
    <w:rsid w:val="00776B8F"/>
    <w:rsid w:val="00776C19"/>
    <w:rsid w:val="00776E05"/>
    <w:rsid w:val="00776EC9"/>
    <w:rsid w:val="00776EFE"/>
    <w:rsid w:val="0077717C"/>
    <w:rsid w:val="0077728F"/>
    <w:rsid w:val="007773BB"/>
    <w:rsid w:val="007773E5"/>
    <w:rsid w:val="00777444"/>
    <w:rsid w:val="0077751D"/>
    <w:rsid w:val="00777572"/>
    <w:rsid w:val="00777692"/>
    <w:rsid w:val="00777721"/>
    <w:rsid w:val="007777CE"/>
    <w:rsid w:val="007777ED"/>
    <w:rsid w:val="007778AE"/>
    <w:rsid w:val="00777B89"/>
    <w:rsid w:val="00777C08"/>
    <w:rsid w:val="00777DCC"/>
    <w:rsid w:val="00777FAF"/>
    <w:rsid w:val="00780160"/>
    <w:rsid w:val="00780455"/>
    <w:rsid w:val="00780648"/>
    <w:rsid w:val="007806B5"/>
    <w:rsid w:val="007806F8"/>
    <w:rsid w:val="007808D3"/>
    <w:rsid w:val="00780AC5"/>
    <w:rsid w:val="00780B3A"/>
    <w:rsid w:val="00780BC0"/>
    <w:rsid w:val="00780BEB"/>
    <w:rsid w:val="00780C4E"/>
    <w:rsid w:val="00780E9D"/>
    <w:rsid w:val="0078109F"/>
    <w:rsid w:val="007813CA"/>
    <w:rsid w:val="00781A15"/>
    <w:rsid w:val="00781BE3"/>
    <w:rsid w:val="00781C73"/>
    <w:rsid w:val="00781E08"/>
    <w:rsid w:val="00781EFF"/>
    <w:rsid w:val="00781F38"/>
    <w:rsid w:val="00782102"/>
    <w:rsid w:val="00782187"/>
    <w:rsid w:val="00782191"/>
    <w:rsid w:val="007821B7"/>
    <w:rsid w:val="00782250"/>
    <w:rsid w:val="007823DB"/>
    <w:rsid w:val="00782465"/>
    <w:rsid w:val="00782511"/>
    <w:rsid w:val="007826A9"/>
    <w:rsid w:val="00782A56"/>
    <w:rsid w:val="00782BBB"/>
    <w:rsid w:val="00782BF7"/>
    <w:rsid w:val="00782E5A"/>
    <w:rsid w:val="00782E61"/>
    <w:rsid w:val="00782ECC"/>
    <w:rsid w:val="00782F46"/>
    <w:rsid w:val="00783371"/>
    <w:rsid w:val="00783498"/>
    <w:rsid w:val="00783540"/>
    <w:rsid w:val="00783970"/>
    <w:rsid w:val="0078397E"/>
    <w:rsid w:val="00783ABF"/>
    <w:rsid w:val="00783B7A"/>
    <w:rsid w:val="00783C60"/>
    <w:rsid w:val="00783D65"/>
    <w:rsid w:val="007840B3"/>
    <w:rsid w:val="00784103"/>
    <w:rsid w:val="0078417D"/>
    <w:rsid w:val="007845DB"/>
    <w:rsid w:val="007848B1"/>
    <w:rsid w:val="00784A33"/>
    <w:rsid w:val="00784CB7"/>
    <w:rsid w:val="00784D5C"/>
    <w:rsid w:val="00784F25"/>
    <w:rsid w:val="0078520D"/>
    <w:rsid w:val="00785255"/>
    <w:rsid w:val="0078545E"/>
    <w:rsid w:val="007854F9"/>
    <w:rsid w:val="007856E5"/>
    <w:rsid w:val="00785960"/>
    <w:rsid w:val="00785E2A"/>
    <w:rsid w:val="00785E71"/>
    <w:rsid w:val="0078609D"/>
    <w:rsid w:val="007861E9"/>
    <w:rsid w:val="007862F5"/>
    <w:rsid w:val="0078651D"/>
    <w:rsid w:val="00786546"/>
    <w:rsid w:val="007869BE"/>
    <w:rsid w:val="007869C0"/>
    <w:rsid w:val="00786CA0"/>
    <w:rsid w:val="0078723D"/>
    <w:rsid w:val="007873E2"/>
    <w:rsid w:val="00787407"/>
    <w:rsid w:val="00787BDD"/>
    <w:rsid w:val="00787C6F"/>
    <w:rsid w:val="00787E7D"/>
    <w:rsid w:val="007901A1"/>
    <w:rsid w:val="00790357"/>
    <w:rsid w:val="007904A8"/>
    <w:rsid w:val="0079052F"/>
    <w:rsid w:val="007905FC"/>
    <w:rsid w:val="00790640"/>
    <w:rsid w:val="007907A7"/>
    <w:rsid w:val="0079089D"/>
    <w:rsid w:val="007909DC"/>
    <w:rsid w:val="00790A52"/>
    <w:rsid w:val="00790C32"/>
    <w:rsid w:val="00790C7D"/>
    <w:rsid w:val="00790DBF"/>
    <w:rsid w:val="00790EC2"/>
    <w:rsid w:val="0079112F"/>
    <w:rsid w:val="007913DA"/>
    <w:rsid w:val="00791489"/>
    <w:rsid w:val="007914B8"/>
    <w:rsid w:val="007915CA"/>
    <w:rsid w:val="007917DC"/>
    <w:rsid w:val="007917DE"/>
    <w:rsid w:val="007918D9"/>
    <w:rsid w:val="00791902"/>
    <w:rsid w:val="00791944"/>
    <w:rsid w:val="00791CF2"/>
    <w:rsid w:val="00791D2E"/>
    <w:rsid w:val="00791F66"/>
    <w:rsid w:val="00792139"/>
    <w:rsid w:val="00792525"/>
    <w:rsid w:val="007925C4"/>
    <w:rsid w:val="007925D5"/>
    <w:rsid w:val="0079291C"/>
    <w:rsid w:val="00792A29"/>
    <w:rsid w:val="00792AD4"/>
    <w:rsid w:val="00792CEF"/>
    <w:rsid w:val="00792D07"/>
    <w:rsid w:val="00792D59"/>
    <w:rsid w:val="00792EC0"/>
    <w:rsid w:val="0079305A"/>
    <w:rsid w:val="00793140"/>
    <w:rsid w:val="007932C5"/>
    <w:rsid w:val="00793626"/>
    <w:rsid w:val="007936DF"/>
    <w:rsid w:val="007938AC"/>
    <w:rsid w:val="00793919"/>
    <w:rsid w:val="00793B23"/>
    <w:rsid w:val="00793B98"/>
    <w:rsid w:val="00793C13"/>
    <w:rsid w:val="00793C93"/>
    <w:rsid w:val="00793DE7"/>
    <w:rsid w:val="00793ECE"/>
    <w:rsid w:val="00793F85"/>
    <w:rsid w:val="00794062"/>
    <w:rsid w:val="007945D4"/>
    <w:rsid w:val="007947D5"/>
    <w:rsid w:val="0079484D"/>
    <w:rsid w:val="00794905"/>
    <w:rsid w:val="0079492A"/>
    <w:rsid w:val="007949B3"/>
    <w:rsid w:val="00794A81"/>
    <w:rsid w:val="00795199"/>
    <w:rsid w:val="007951E3"/>
    <w:rsid w:val="007954F4"/>
    <w:rsid w:val="00795544"/>
    <w:rsid w:val="007957FE"/>
    <w:rsid w:val="0079592F"/>
    <w:rsid w:val="00795AE4"/>
    <w:rsid w:val="00795C73"/>
    <w:rsid w:val="00795E56"/>
    <w:rsid w:val="00795EF4"/>
    <w:rsid w:val="0079607A"/>
    <w:rsid w:val="007960FA"/>
    <w:rsid w:val="007961B4"/>
    <w:rsid w:val="00796200"/>
    <w:rsid w:val="00796802"/>
    <w:rsid w:val="00796CA8"/>
    <w:rsid w:val="00796CCB"/>
    <w:rsid w:val="00796D8F"/>
    <w:rsid w:val="00796E58"/>
    <w:rsid w:val="00796F24"/>
    <w:rsid w:val="007970AD"/>
    <w:rsid w:val="00797501"/>
    <w:rsid w:val="007976F7"/>
    <w:rsid w:val="0079770D"/>
    <w:rsid w:val="007979C5"/>
    <w:rsid w:val="00797A4C"/>
    <w:rsid w:val="00797A66"/>
    <w:rsid w:val="00797C41"/>
    <w:rsid w:val="00797CF5"/>
    <w:rsid w:val="00797D1F"/>
    <w:rsid w:val="00797D22"/>
    <w:rsid w:val="00797D62"/>
    <w:rsid w:val="00797D65"/>
    <w:rsid w:val="00797D8E"/>
    <w:rsid w:val="00797FB0"/>
    <w:rsid w:val="007A0081"/>
    <w:rsid w:val="007A0110"/>
    <w:rsid w:val="007A02AF"/>
    <w:rsid w:val="007A030C"/>
    <w:rsid w:val="007A0450"/>
    <w:rsid w:val="007A0466"/>
    <w:rsid w:val="007A05B4"/>
    <w:rsid w:val="007A05EE"/>
    <w:rsid w:val="007A0610"/>
    <w:rsid w:val="007A07A9"/>
    <w:rsid w:val="007A0A2C"/>
    <w:rsid w:val="007A0A4D"/>
    <w:rsid w:val="007A0ACC"/>
    <w:rsid w:val="007A0BC7"/>
    <w:rsid w:val="007A0C76"/>
    <w:rsid w:val="007A0CCF"/>
    <w:rsid w:val="007A0E14"/>
    <w:rsid w:val="007A0FAF"/>
    <w:rsid w:val="007A1083"/>
    <w:rsid w:val="007A11D0"/>
    <w:rsid w:val="007A13BA"/>
    <w:rsid w:val="007A1421"/>
    <w:rsid w:val="007A1673"/>
    <w:rsid w:val="007A178D"/>
    <w:rsid w:val="007A17B0"/>
    <w:rsid w:val="007A1885"/>
    <w:rsid w:val="007A1936"/>
    <w:rsid w:val="007A1A2E"/>
    <w:rsid w:val="007A1C5B"/>
    <w:rsid w:val="007A1C91"/>
    <w:rsid w:val="007A1D52"/>
    <w:rsid w:val="007A1EB7"/>
    <w:rsid w:val="007A2146"/>
    <w:rsid w:val="007A216A"/>
    <w:rsid w:val="007A22C9"/>
    <w:rsid w:val="007A2339"/>
    <w:rsid w:val="007A2425"/>
    <w:rsid w:val="007A2438"/>
    <w:rsid w:val="007A26E6"/>
    <w:rsid w:val="007A2727"/>
    <w:rsid w:val="007A27A4"/>
    <w:rsid w:val="007A2846"/>
    <w:rsid w:val="007A29CA"/>
    <w:rsid w:val="007A29F5"/>
    <w:rsid w:val="007A2A4A"/>
    <w:rsid w:val="007A2D42"/>
    <w:rsid w:val="007A2DA0"/>
    <w:rsid w:val="007A2E1D"/>
    <w:rsid w:val="007A2EE0"/>
    <w:rsid w:val="007A2EFD"/>
    <w:rsid w:val="007A308D"/>
    <w:rsid w:val="007A3093"/>
    <w:rsid w:val="007A35A2"/>
    <w:rsid w:val="007A35AD"/>
    <w:rsid w:val="007A36F9"/>
    <w:rsid w:val="007A38E8"/>
    <w:rsid w:val="007A3965"/>
    <w:rsid w:val="007A3CD8"/>
    <w:rsid w:val="007A3E10"/>
    <w:rsid w:val="007A3E7B"/>
    <w:rsid w:val="007A3F06"/>
    <w:rsid w:val="007A3FD0"/>
    <w:rsid w:val="007A403F"/>
    <w:rsid w:val="007A40A9"/>
    <w:rsid w:val="007A416F"/>
    <w:rsid w:val="007A41E1"/>
    <w:rsid w:val="007A431D"/>
    <w:rsid w:val="007A4897"/>
    <w:rsid w:val="007A4B29"/>
    <w:rsid w:val="007A4EB6"/>
    <w:rsid w:val="007A4ECB"/>
    <w:rsid w:val="007A5184"/>
    <w:rsid w:val="007A5459"/>
    <w:rsid w:val="007A575A"/>
    <w:rsid w:val="007A585E"/>
    <w:rsid w:val="007A5B83"/>
    <w:rsid w:val="007A5BE5"/>
    <w:rsid w:val="007A607E"/>
    <w:rsid w:val="007A60DA"/>
    <w:rsid w:val="007A6144"/>
    <w:rsid w:val="007A614F"/>
    <w:rsid w:val="007A6390"/>
    <w:rsid w:val="007A639E"/>
    <w:rsid w:val="007A63D7"/>
    <w:rsid w:val="007A66DB"/>
    <w:rsid w:val="007A66E2"/>
    <w:rsid w:val="007A680A"/>
    <w:rsid w:val="007A68B0"/>
    <w:rsid w:val="007A6977"/>
    <w:rsid w:val="007A6A40"/>
    <w:rsid w:val="007A6A93"/>
    <w:rsid w:val="007A6AEB"/>
    <w:rsid w:val="007A6CC4"/>
    <w:rsid w:val="007A6CDA"/>
    <w:rsid w:val="007A6D0F"/>
    <w:rsid w:val="007A6D7D"/>
    <w:rsid w:val="007A6F4A"/>
    <w:rsid w:val="007A6F97"/>
    <w:rsid w:val="007A740A"/>
    <w:rsid w:val="007A7420"/>
    <w:rsid w:val="007A744B"/>
    <w:rsid w:val="007A7468"/>
    <w:rsid w:val="007A74E7"/>
    <w:rsid w:val="007A7533"/>
    <w:rsid w:val="007A7715"/>
    <w:rsid w:val="007A7A10"/>
    <w:rsid w:val="007A7A15"/>
    <w:rsid w:val="007A7A46"/>
    <w:rsid w:val="007A7D79"/>
    <w:rsid w:val="007A7DC2"/>
    <w:rsid w:val="007A7E22"/>
    <w:rsid w:val="007B003F"/>
    <w:rsid w:val="007B00EF"/>
    <w:rsid w:val="007B0267"/>
    <w:rsid w:val="007B030A"/>
    <w:rsid w:val="007B07EE"/>
    <w:rsid w:val="007B092D"/>
    <w:rsid w:val="007B0AF2"/>
    <w:rsid w:val="007B0B59"/>
    <w:rsid w:val="007B0C19"/>
    <w:rsid w:val="007B0DFB"/>
    <w:rsid w:val="007B0E14"/>
    <w:rsid w:val="007B0E25"/>
    <w:rsid w:val="007B0F3B"/>
    <w:rsid w:val="007B14AC"/>
    <w:rsid w:val="007B19BB"/>
    <w:rsid w:val="007B1B3A"/>
    <w:rsid w:val="007B1E4E"/>
    <w:rsid w:val="007B1F8F"/>
    <w:rsid w:val="007B2033"/>
    <w:rsid w:val="007B20D2"/>
    <w:rsid w:val="007B243C"/>
    <w:rsid w:val="007B253D"/>
    <w:rsid w:val="007B2567"/>
    <w:rsid w:val="007B2702"/>
    <w:rsid w:val="007B29C4"/>
    <w:rsid w:val="007B2A7D"/>
    <w:rsid w:val="007B2BB0"/>
    <w:rsid w:val="007B2D99"/>
    <w:rsid w:val="007B2FB1"/>
    <w:rsid w:val="007B2FE3"/>
    <w:rsid w:val="007B3134"/>
    <w:rsid w:val="007B3583"/>
    <w:rsid w:val="007B3660"/>
    <w:rsid w:val="007B3739"/>
    <w:rsid w:val="007B374A"/>
    <w:rsid w:val="007B3DA8"/>
    <w:rsid w:val="007B3F52"/>
    <w:rsid w:val="007B3FAE"/>
    <w:rsid w:val="007B4193"/>
    <w:rsid w:val="007B4243"/>
    <w:rsid w:val="007B4261"/>
    <w:rsid w:val="007B4B56"/>
    <w:rsid w:val="007B4BEE"/>
    <w:rsid w:val="007B4E45"/>
    <w:rsid w:val="007B4EDE"/>
    <w:rsid w:val="007B5091"/>
    <w:rsid w:val="007B50DD"/>
    <w:rsid w:val="007B5130"/>
    <w:rsid w:val="007B520A"/>
    <w:rsid w:val="007B534E"/>
    <w:rsid w:val="007B5522"/>
    <w:rsid w:val="007B5594"/>
    <w:rsid w:val="007B5610"/>
    <w:rsid w:val="007B584F"/>
    <w:rsid w:val="007B6177"/>
    <w:rsid w:val="007B6178"/>
    <w:rsid w:val="007B622F"/>
    <w:rsid w:val="007B6387"/>
    <w:rsid w:val="007B68E8"/>
    <w:rsid w:val="007B699E"/>
    <w:rsid w:val="007B6C2F"/>
    <w:rsid w:val="007B6C96"/>
    <w:rsid w:val="007B72EC"/>
    <w:rsid w:val="007B747D"/>
    <w:rsid w:val="007B7534"/>
    <w:rsid w:val="007B766B"/>
    <w:rsid w:val="007B7695"/>
    <w:rsid w:val="007B7778"/>
    <w:rsid w:val="007B77FB"/>
    <w:rsid w:val="007B787E"/>
    <w:rsid w:val="007B78D5"/>
    <w:rsid w:val="007B79F4"/>
    <w:rsid w:val="007B79FF"/>
    <w:rsid w:val="007B7CEF"/>
    <w:rsid w:val="007B7D7C"/>
    <w:rsid w:val="007C008A"/>
    <w:rsid w:val="007C0249"/>
    <w:rsid w:val="007C0333"/>
    <w:rsid w:val="007C0396"/>
    <w:rsid w:val="007C0517"/>
    <w:rsid w:val="007C05C0"/>
    <w:rsid w:val="007C07CE"/>
    <w:rsid w:val="007C08C4"/>
    <w:rsid w:val="007C0A83"/>
    <w:rsid w:val="007C0BEB"/>
    <w:rsid w:val="007C0C20"/>
    <w:rsid w:val="007C0E0D"/>
    <w:rsid w:val="007C14E8"/>
    <w:rsid w:val="007C1523"/>
    <w:rsid w:val="007C1728"/>
    <w:rsid w:val="007C1760"/>
    <w:rsid w:val="007C17F2"/>
    <w:rsid w:val="007C1820"/>
    <w:rsid w:val="007C1950"/>
    <w:rsid w:val="007C2097"/>
    <w:rsid w:val="007C20F1"/>
    <w:rsid w:val="007C211E"/>
    <w:rsid w:val="007C216A"/>
    <w:rsid w:val="007C2236"/>
    <w:rsid w:val="007C2272"/>
    <w:rsid w:val="007C22A3"/>
    <w:rsid w:val="007C2320"/>
    <w:rsid w:val="007C23F4"/>
    <w:rsid w:val="007C262E"/>
    <w:rsid w:val="007C26C6"/>
    <w:rsid w:val="007C272B"/>
    <w:rsid w:val="007C27B9"/>
    <w:rsid w:val="007C28CF"/>
    <w:rsid w:val="007C292C"/>
    <w:rsid w:val="007C2A7E"/>
    <w:rsid w:val="007C2A86"/>
    <w:rsid w:val="007C2B3A"/>
    <w:rsid w:val="007C2BA1"/>
    <w:rsid w:val="007C2EBD"/>
    <w:rsid w:val="007C2FF5"/>
    <w:rsid w:val="007C3581"/>
    <w:rsid w:val="007C361D"/>
    <w:rsid w:val="007C3675"/>
    <w:rsid w:val="007C36A7"/>
    <w:rsid w:val="007C3724"/>
    <w:rsid w:val="007C3800"/>
    <w:rsid w:val="007C3C3E"/>
    <w:rsid w:val="007C3F9A"/>
    <w:rsid w:val="007C4146"/>
    <w:rsid w:val="007C472A"/>
    <w:rsid w:val="007C4784"/>
    <w:rsid w:val="007C4AEF"/>
    <w:rsid w:val="007C4C4F"/>
    <w:rsid w:val="007C4F3B"/>
    <w:rsid w:val="007C503A"/>
    <w:rsid w:val="007C51B6"/>
    <w:rsid w:val="007C528A"/>
    <w:rsid w:val="007C54EE"/>
    <w:rsid w:val="007C55F5"/>
    <w:rsid w:val="007C561F"/>
    <w:rsid w:val="007C5674"/>
    <w:rsid w:val="007C5788"/>
    <w:rsid w:val="007C5840"/>
    <w:rsid w:val="007C58C0"/>
    <w:rsid w:val="007C5904"/>
    <w:rsid w:val="007C5E7B"/>
    <w:rsid w:val="007C5F65"/>
    <w:rsid w:val="007C6033"/>
    <w:rsid w:val="007C6526"/>
    <w:rsid w:val="007C6537"/>
    <w:rsid w:val="007C65CB"/>
    <w:rsid w:val="007C66D3"/>
    <w:rsid w:val="007C6831"/>
    <w:rsid w:val="007C6A41"/>
    <w:rsid w:val="007C6A7C"/>
    <w:rsid w:val="007C72AD"/>
    <w:rsid w:val="007C7305"/>
    <w:rsid w:val="007C7360"/>
    <w:rsid w:val="007C737E"/>
    <w:rsid w:val="007C73DC"/>
    <w:rsid w:val="007C74EE"/>
    <w:rsid w:val="007C76F5"/>
    <w:rsid w:val="007C7944"/>
    <w:rsid w:val="007C7B0B"/>
    <w:rsid w:val="007C7B32"/>
    <w:rsid w:val="007C7C55"/>
    <w:rsid w:val="007C7C85"/>
    <w:rsid w:val="007C7E1C"/>
    <w:rsid w:val="007C7E25"/>
    <w:rsid w:val="007C7EE2"/>
    <w:rsid w:val="007C7F26"/>
    <w:rsid w:val="007C7F47"/>
    <w:rsid w:val="007C7F4A"/>
    <w:rsid w:val="007D03CB"/>
    <w:rsid w:val="007D0423"/>
    <w:rsid w:val="007D054D"/>
    <w:rsid w:val="007D057C"/>
    <w:rsid w:val="007D0AA4"/>
    <w:rsid w:val="007D0B9D"/>
    <w:rsid w:val="007D0BC2"/>
    <w:rsid w:val="007D0C2F"/>
    <w:rsid w:val="007D0CB4"/>
    <w:rsid w:val="007D0DF7"/>
    <w:rsid w:val="007D0FDE"/>
    <w:rsid w:val="007D10AD"/>
    <w:rsid w:val="007D10EC"/>
    <w:rsid w:val="007D121B"/>
    <w:rsid w:val="007D13C4"/>
    <w:rsid w:val="007D1413"/>
    <w:rsid w:val="007D14AD"/>
    <w:rsid w:val="007D1C35"/>
    <w:rsid w:val="007D1CB9"/>
    <w:rsid w:val="007D1D28"/>
    <w:rsid w:val="007D1E34"/>
    <w:rsid w:val="007D2176"/>
    <w:rsid w:val="007D229D"/>
    <w:rsid w:val="007D22BC"/>
    <w:rsid w:val="007D2319"/>
    <w:rsid w:val="007D25FA"/>
    <w:rsid w:val="007D2730"/>
    <w:rsid w:val="007D2BD2"/>
    <w:rsid w:val="007D2BE4"/>
    <w:rsid w:val="007D2E2A"/>
    <w:rsid w:val="007D2E67"/>
    <w:rsid w:val="007D2F06"/>
    <w:rsid w:val="007D30A3"/>
    <w:rsid w:val="007D329B"/>
    <w:rsid w:val="007D3659"/>
    <w:rsid w:val="007D36AB"/>
    <w:rsid w:val="007D36FD"/>
    <w:rsid w:val="007D3802"/>
    <w:rsid w:val="007D3E68"/>
    <w:rsid w:val="007D3F72"/>
    <w:rsid w:val="007D4078"/>
    <w:rsid w:val="007D40F1"/>
    <w:rsid w:val="007D4294"/>
    <w:rsid w:val="007D4347"/>
    <w:rsid w:val="007D4465"/>
    <w:rsid w:val="007D453D"/>
    <w:rsid w:val="007D4625"/>
    <w:rsid w:val="007D46FA"/>
    <w:rsid w:val="007D4972"/>
    <w:rsid w:val="007D498D"/>
    <w:rsid w:val="007D4B95"/>
    <w:rsid w:val="007D4BEF"/>
    <w:rsid w:val="007D4C2F"/>
    <w:rsid w:val="007D4E78"/>
    <w:rsid w:val="007D4F07"/>
    <w:rsid w:val="007D4FAC"/>
    <w:rsid w:val="007D50FB"/>
    <w:rsid w:val="007D52B4"/>
    <w:rsid w:val="007D537D"/>
    <w:rsid w:val="007D5510"/>
    <w:rsid w:val="007D55E9"/>
    <w:rsid w:val="007D5A8A"/>
    <w:rsid w:val="007D5C1B"/>
    <w:rsid w:val="007D5F2B"/>
    <w:rsid w:val="007D5F9F"/>
    <w:rsid w:val="007D6220"/>
    <w:rsid w:val="007D6413"/>
    <w:rsid w:val="007D669A"/>
    <w:rsid w:val="007D6B8E"/>
    <w:rsid w:val="007D6CB9"/>
    <w:rsid w:val="007D6DE9"/>
    <w:rsid w:val="007D6F31"/>
    <w:rsid w:val="007D700B"/>
    <w:rsid w:val="007D70AC"/>
    <w:rsid w:val="007D70D8"/>
    <w:rsid w:val="007D7233"/>
    <w:rsid w:val="007D7306"/>
    <w:rsid w:val="007D7388"/>
    <w:rsid w:val="007D748E"/>
    <w:rsid w:val="007D7859"/>
    <w:rsid w:val="007D79AF"/>
    <w:rsid w:val="007D7A3C"/>
    <w:rsid w:val="007D7B7E"/>
    <w:rsid w:val="007D7EA8"/>
    <w:rsid w:val="007E006C"/>
    <w:rsid w:val="007E03C0"/>
    <w:rsid w:val="007E0490"/>
    <w:rsid w:val="007E04B8"/>
    <w:rsid w:val="007E05A3"/>
    <w:rsid w:val="007E0733"/>
    <w:rsid w:val="007E0A10"/>
    <w:rsid w:val="007E0B72"/>
    <w:rsid w:val="007E0EF2"/>
    <w:rsid w:val="007E0F22"/>
    <w:rsid w:val="007E0F4A"/>
    <w:rsid w:val="007E0FDA"/>
    <w:rsid w:val="007E108C"/>
    <w:rsid w:val="007E1330"/>
    <w:rsid w:val="007E13B4"/>
    <w:rsid w:val="007E1434"/>
    <w:rsid w:val="007E14A4"/>
    <w:rsid w:val="007E1512"/>
    <w:rsid w:val="007E165F"/>
    <w:rsid w:val="007E1665"/>
    <w:rsid w:val="007E1723"/>
    <w:rsid w:val="007E174B"/>
    <w:rsid w:val="007E17F4"/>
    <w:rsid w:val="007E186F"/>
    <w:rsid w:val="007E18E3"/>
    <w:rsid w:val="007E1A03"/>
    <w:rsid w:val="007E1B10"/>
    <w:rsid w:val="007E1BA4"/>
    <w:rsid w:val="007E1BF8"/>
    <w:rsid w:val="007E1C60"/>
    <w:rsid w:val="007E1CD7"/>
    <w:rsid w:val="007E1EE1"/>
    <w:rsid w:val="007E2034"/>
    <w:rsid w:val="007E21A4"/>
    <w:rsid w:val="007E21FE"/>
    <w:rsid w:val="007E2716"/>
    <w:rsid w:val="007E27DA"/>
    <w:rsid w:val="007E2836"/>
    <w:rsid w:val="007E28B5"/>
    <w:rsid w:val="007E2922"/>
    <w:rsid w:val="007E2A1F"/>
    <w:rsid w:val="007E2F48"/>
    <w:rsid w:val="007E31D9"/>
    <w:rsid w:val="007E33AD"/>
    <w:rsid w:val="007E3561"/>
    <w:rsid w:val="007E35F2"/>
    <w:rsid w:val="007E3619"/>
    <w:rsid w:val="007E368C"/>
    <w:rsid w:val="007E375C"/>
    <w:rsid w:val="007E38E2"/>
    <w:rsid w:val="007E3B48"/>
    <w:rsid w:val="007E3CC7"/>
    <w:rsid w:val="007E3D5C"/>
    <w:rsid w:val="007E3E08"/>
    <w:rsid w:val="007E4266"/>
    <w:rsid w:val="007E446B"/>
    <w:rsid w:val="007E4553"/>
    <w:rsid w:val="007E477C"/>
    <w:rsid w:val="007E4787"/>
    <w:rsid w:val="007E48BA"/>
    <w:rsid w:val="007E48C9"/>
    <w:rsid w:val="007E4B11"/>
    <w:rsid w:val="007E4DE9"/>
    <w:rsid w:val="007E4E19"/>
    <w:rsid w:val="007E4E97"/>
    <w:rsid w:val="007E4F4D"/>
    <w:rsid w:val="007E4FA0"/>
    <w:rsid w:val="007E51A9"/>
    <w:rsid w:val="007E51E6"/>
    <w:rsid w:val="007E51FE"/>
    <w:rsid w:val="007E5219"/>
    <w:rsid w:val="007E562B"/>
    <w:rsid w:val="007E568A"/>
    <w:rsid w:val="007E5787"/>
    <w:rsid w:val="007E5822"/>
    <w:rsid w:val="007E5987"/>
    <w:rsid w:val="007E5A53"/>
    <w:rsid w:val="007E5AF9"/>
    <w:rsid w:val="007E5BA3"/>
    <w:rsid w:val="007E5D88"/>
    <w:rsid w:val="007E5DA7"/>
    <w:rsid w:val="007E5DC0"/>
    <w:rsid w:val="007E6062"/>
    <w:rsid w:val="007E6143"/>
    <w:rsid w:val="007E620D"/>
    <w:rsid w:val="007E637A"/>
    <w:rsid w:val="007E6417"/>
    <w:rsid w:val="007E6496"/>
    <w:rsid w:val="007E6548"/>
    <w:rsid w:val="007E680F"/>
    <w:rsid w:val="007E6865"/>
    <w:rsid w:val="007E6A42"/>
    <w:rsid w:val="007E6EBB"/>
    <w:rsid w:val="007E7027"/>
    <w:rsid w:val="007E741D"/>
    <w:rsid w:val="007E7522"/>
    <w:rsid w:val="007E758E"/>
    <w:rsid w:val="007E75D4"/>
    <w:rsid w:val="007E760C"/>
    <w:rsid w:val="007E7717"/>
    <w:rsid w:val="007E78D1"/>
    <w:rsid w:val="007E794A"/>
    <w:rsid w:val="007E7A42"/>
    <w:rsid w:val="007E7A89"/>
    <w:rsid w:val="007E7AA1"/>
    <w:rsid w:val="007E7C73"/>
    <w:rsid w:val="007E7CF5"/>
    <w:rsid w:val="007E7D49"/>
    <w:rsid w:val="007E7D93"/>
    <w:rsid w:val="007E7F3A"/>
    <w:rsid w:val="007E7F49"/>
    <w:rsid w:val="007E7F5D"/>
    <w:rsid w:val="007F0094"/>
    <w:rsid w:val="007F00BE"/>
    <w:rsid w:val="007F00CB"/>
    <w:rsid w:val="007F0189"/>
    <w:rsid w:val="007F0316"/>
    <w:rsid w:val="007F04CB"/>
    <w:rsid w:val="007F0557"/>
    <w:rsid w:val="007F0599"/>
    <w:rsid w:val="007F072A"/>
    <w:rsid w:val="007F0793"/>
    <w:rsid w:val="007F0A3E"/>
    <w:rsid w:val="007F0A73"/>
    <w:rsid w:val="007F0B8B"/>
    <w:rsid w:val="007F0C66"/>
    <w:rsid w:val="007F0CCF"/>
    <w:rsid w:val="007F0D03"/>
    <w:rsid w:val="007F0EEF"/>
    <w:rsid w:val="007F1066"/>
    <w:rsid w:val="007F1086"/>
    <w:rsid w:val="007F10D7"/>
    <w:rsid w:val="007F1288"/>
    <w:rsid w:val="007F15E5"/>
    <w:rsid w:val="007F17D7"/>
    <w:rsid w:val="007F17F4"/>
    <w:rsid w:val="007F1859"/>
    <w:rsid w:val="007F18E4"/>
    <w:rsid w:val="007F19CD"/>
    <w:rsid w:val="007F1AC5"/>
    <w:rsid w:val="007F1C3C"/>
    <w:rsid w:val="007F1C55"/>
    <w:rsid w:val="007F1F15"/>
    <w:rsid w:val="007F1F65"/>
    <w:rsid w:val="007F20B7"/>
    <w:rsid w:val="007F20FA"/>
    <w:rsid w:val="007F232D"/>
    <w:rsid w:val="007F24AD"/>
    <w:rsid w:val="007F24BD"/>
    <w:rsid w:val="007F2554"/>
    <w:rsid w:val="007F25E2"/>
    <w:rsid w:val="007F263E"/>
    <w:rsid w:val="007F2749"/>
    <w:rsid w:val="007F276A"/>
    <w:rsid w:val="007F2989"/>
    <w:rsid w:val="007F29E9"/>
    <w:rsid w:val="007F2A98"/>
    <w:rsid w:val="007F2E97"/>
    <w:rsid w:val="007F307A"/>
    <w:rsid w:val="007F3280"/>
    <w:rsid w:val="007F34C4"/>
    <w:rsid w:val="007F35F4"/>
    <w:rsid w:val="007F3771"/>
    <w:rsid w:val="007F395B"/>
    <w:rsid w:val="007F3A8E"/>
    <w:rsid w:val="007F3C4F"/>
    <w:rsid w:val="007F3DD0"/>
    <w:rsid w:val="007F3DD8"/>
    <w:rsid w:val="007F3E5F"/>
    <w:rsid w:val="007F3FA5"/>
    <w:rsid w:val="007F4515"/>
    <w:rsid w:val="007F47C6"/>
    <w:rsid w:val="007F4828"/>
    <w:rsid w:val="007F4978"/>
    <w:rsid w:val="007F4B05"/>
    <w:rsid w:val="007F4B8E"/>
    <w:rsid w:val="007F4E79"/>
    <w:rsid w:val="007F50A7"/>
    <w:rsid w:val="007F50BC"/>
    <w:rsid w:val="007F5181"/>
    <w:rsid w:val="007F51CE"/>
    <w:rsid w:val="007F52DD"/>
    <w:rsid w:val="007F5380"/>
    <w:rsid w:val="007F5523"/>
    <w:rsid w:val="007F5708"/>
    <w:rsid w:val="007F572B"/>
    <w:rsid w:val="007F5796"/>
    <w:rsid w:val="007F5A34"/>
    <w:rsid w:val="007F5AE7"/>
    <w:rsid w:val="007F5B65"/>
    <w:rsid w:val="007F5CD8"/>
    <w:rsid w:val="007F5FBA"/>
    <w:rsid w:val="007F60F1"/>
    <w:rsid w:val="007F617B"/>
    <w:rsid w:val="007F61F0"/>
    <w:rsid w:val="007F63A2"/>
    <w:rsid w:val="007F64CC"/>
    <w:rsid w:val="007F6783"/>
    <w:rsid w:val="007F67F9"/>
    <w:rsid w:val="007F6864"/>
    <w:rsid w:val="007F6969"/>
    <w:rsid w:val="007F6A3A"/>
    <w:rsid w:val="007F6C5F"/>
    <w:rsid w:val="007F6CF3"/>
    <w:rsid w:val="007F739C"/>
    <w:rsid w:val="007F7508"/>
    <w:rsid w:val="007F76FB"/>
    <w:rsid w:val="007F79E4"/>
    <w:rsid w:val="007F7A25"/>
    <w:rsid w:val="007F7A8C"/>
    <w:rsid w:val="007F7A90"/>
    <w:rsid w:val="007F7B50"/>
    <w:rsid w:val="007F7B9F"/>
    <w:rsid w:val="007F7CD2"/>
    <w:rsid w:val="007F7DC2"/>
    <w:rsid w:val="007F7FA0"/>
    <w:rsid w:val="0080001F"/>
    <w:rsid w:val="0080043F"/>
    <w:rsid w:val="00800476"/>
    <w:rsid w:val="0080058B"/>
    <w:rsid w:val="008005B1"/>
    <w:rsid w:val="008005C8"/>
    <w:rsid w:val="008006BE"/>
    <w:rsid w:val="008008E7"/>
    <w:rsid w:val="00800960"/>
    <w:rsid w:val="00800C5C"/>
    <w:rsid w:val="00800D96"/>
    <w:rsid w:val="00800E55"/>
    <w:rsid w:val="00800E84"/>
    <w:rsid w:val="008011B0"/>
    <w:rsid w:val="00801304"/>
    <w:rsid w:val="00801451"/>
    <w:rsid w:val="0080146B"/>
    <w:rsid w:val="0080149A"/>
    <w:rsid w:val="008015A8"/>
    <w:rsid w:val="008015AB"/>
    <w:rsid w:val="00801766"/>
    <w:rsid w:val="00801781"/>
    <w:rsid w:val="00801B3F"/>
    <w:rsid w:val="00801DAD"/>
    <w:rsid w:val="00801F99"/>
    <w:rsid w:val="008020CF"/>
    <w:rsid w:val="00802110"/>
    <w:rsid w:val="008021C2"/>
    <w:rsid w:val="008023F9"/>
    <w:rsid w:val="0080257E"/>
    <w:rsid w:val="008026C5"/>
    <w:rsid w:val="008027D4"/>
    <w:rsid w:val="008028F7"/>
    <w:rsid w:val="0080298B"/>
    <w:rsid w:val="00802AD2"/>
    <w:rsid w:val="00802AD8"/>
    <w:rsid w:val="00802B8C"/>
    <w:rsid w:val="00802E0C"/>
    <w:rsid w:val="00802F88"/>
    <w:rsid w:val="008033BC"/>
    <w:rsid w:val="0080359A"/>
    <w:rsid w:val="00803611"/>
    <w:rsid w:val="008036E9"/>
    <w:rsid w:val="0080397A"/>
    <w:rsid w:val="00803BCB"/>
    <w:rsid w:val="00803CF7"/>
    <w:rsid w:val="00803DD5"/>
    <w:rsid w:val="00803F87"/>
    <w:rsid w:val="00804128"/>
    <w:rsid w:val="0080416B"/>
    <w:rsid w:val="0080445E"/>
    <w:rsid w:val="0080446D"/>
    <w:rsid w:val="008046DA"/>
    <w:rsid w:val="008048BC"/>
    <w:rsid w:val="00804C94"/>
    <w:rsid w:val="00804F8A"/>
    <w:rsid w:val="00805087"/>
    <w:rsid w:val="00805471"/>
    <w:rsid w:val="00805C3F"/>
    <w:rsid w:val="0080637F"/>
    <w:rsid w:val="008063F2"/>
    <w:rsid w:val="008065CB"/>
    <w:rsid w:val="0080664E"/>
    <w:rsid w:val="00806650"/>
    <w:rsid w:val="00806739"/>
    <w:rsid w:val="0080698A"/>
    <w:rsid w:val="008069F3"/>
    <w:rsid w:val="00806B22"/>
    <w:rsid w:val="00806C03"/>
    <w:rsid w:val="00806F5E"/>
    <w:rsid w:val="00807003"/>
    <w:rsid w:val="00807006"/>
    <w:rsid w:val="0080700F"/>
    <w:rsid w:val="00807054"/>
    <w:rsid w:val="0080710D"/>
    <w:rsid w:val="008071AD"/>
    <w:rsid w:val="00807215"/>
    <w:rsid w:val="0080728A"/>
    <w:rsid w:val="0080732A"/>
    <w:rsid w:val="00807496"/>
    <w:rsid w:val="0080761D"/>
    <w:rsid w:val="00807648"/>
    <w:rsid w:val="008077A0"/>
    <w:rsid w:val="008077E2"/>
    <w:rsid w:val="0080782F"/>
    <w:rsid w:val="008078A9"/>
    <w:rsid w:val="00807AD3"/>
    <w:rsid w:val="00807AF5"/>
    <w:rsid w:val="00807C62"/>
    <w:rsid w:val="00807D91"/>
    <w:rsid w:val="00807ED6"/>
    <w:rsid w:val="00807FB9"/>
    <w:rsid w:val="00810156"/>
    <w:rsid w:val="008101BD"/>
    <w:rsid w:val="0081021F"/>
    <w:rsid w:val="008103BB"/>
    <w:rsid w:val="008104FB"/>
    <w:rsid w:val="008107BD"/>
    <w:rsid w:val="00810AA5"/>
    <w:rsid w:val="00810CF1"/>
    <w:rsid w:val="00810D6D"/>
    <w:rsid w:val="00810E3F"/>
    <w:rsid w:val="00810E76"/>
    <w:rsid w:val="00810EE8"/>
    <w:rsid w:val="0081126A"/>
    <w:rsid w:val="0081145E"/>
    <w:rsid w:val="008119F4"/>
    <w:rsid w:val="00811B41"/>
    <w:rsid w:val="00811D4A"/>
    <w:rsid w:val="00811E89"/>
    <w:rsid w:val="00812153"/>
    <w:rsid w:val="0081236C"/>
    <w:rsid w:val="0081241D"/>
    <w:rsid w:val="00812497"/>
    <w:rsid w:val="008125ED"/>
    <w:rsid w:val="008126F5"/>
    <w:rsid w:val="00812A00"/>
    <w:rsid w:val="00812A3D"/>
    <w:rsid w:val="00812A84"/>
    <w:rsid w:val="00812C0F"/>
    <w:rsid w:val="00812C8C"/>
    <w:rsid w:val="00812CCE"/>
    <w:rsid w:val="00813007"/>
    <w:rsid w:val="008132AE"/>
    <w:rsid w:val="0081374B"/>
    <w:rsid w:val="008137CE"/>
    <w:rsid w:val="00813812"/>
    <w:rsid w:val="00813953"/>
    <w:rsid w:val="00813A37"/>
    <w:rsid w:val="00813A98"/>
    <w:rsid w:val="00813DBC"/>
    <w:rsid w:val="00813DC2"/>
    <w:rsid w:val="00813E76"/>
    <w:rsid w:val="00813F7A"/>
    <w:rsid w:val="00814028"/>
    <w:rsid w:val="0081418B"/>
    <w:rsid w:val="0081430F"/>
    <w:rsid w:val="00814319"/>
    <w:rsid w:val="00814378"/>
    <w:rsid w:val="0081447C"/>
    <w:rsid w:val="00814480"/>
    <w:rsid w:val="008145CB"/>
    <w:rsid w:val="00814879"/>
    <w:rsid w:val="00814A7A"/>
    <w:rsid w:val="00814D3D"/>
    <w:rsid w:val="0081505C"/>
    <w:rsid w:val="008155B8"/>
    <w:rsid w:val="008158FA"/>
    <w:rsid w:val="008159B9"/>
    <w:rsid w:val="00815AE2"/>
    <w:rsid w:val="00815AF4"/>
    <w:rsid w:val="00815DF2"/>
    <w:rsid w:val="008160EE"/>
    <w:rsid w:val="0081612D"/>
    <w:rsid w:val="00816359"/>
    <w:rsid w:val="0081665F"/>
    <w:rsid w:val="00816BA9"/>
    <w:rsid w:val="00816CDD"/>
    <w:rsid w:val="00816D99"/>
    <w:rsid w:val="00816E6E"/>
    <w:rsid w:val="00816EA2"/>
    <w:rsid w:val="00816F54"/>
    <w:rsid w:val="008171D4"/>
    <w:rsid w:val="008172BB"/>
    <w:rsid w:val="008175A4"/>
    <w:rsid w:val="00817778"/>
    <w:rsid w:val="00817818"/>
    <w:rsid w:val="00817880"/>
    <w:rsid w:val="00817947"/>
    <w:rsid w:val="008179F5"/>
    <w:rsid w:val="00817A51"/>
    <w:rsid w:val="00820157"/>
    <w:rsid w:val="00820370"/>
    <w:rsid w:val="008205EA"/>
    <w:rsid w:val="00820644"/>
    <w:rsid w:val="0082086E"/>
    <w:rsid w:val="00820AA8"/>
    <w:rsid w:val="00820B0E"/>
    <w:rsid w:val="00820C6C"/>
    <w:rsid w:val="0082127B"/>
    <w:rsid w:val="008212F6"/>
    <w:rsid w:val="008213C4"/>
    <w:rsid w:val="00821420"/>
    <w:rsid w:val="00821681"/>
    <w:rsid w:val="008216F3"/>
    <w:rsid w:val="00821885"/>
    <w:rsid w:val="00821941"/>
    <w:rsid w:val="00821A97"/>
    <w:rsid w:val="00821EC5"/>
    <w:rsid w:val="00821F18"/>
    <w:rsid w:val="00821F3B"/>
    <w:rsid w:val="00821F5F"/>
    <w:rsid w:val="00821FA0"/>
    <w:rsid w:val="0082209C"/>
    <w:rsid w:val="00822104"/>
    <w:rsid w:val="00822178"/>
    <w:rsid w:val="00822446"/>
    <w:rsid w:val="0082258A"/>
    <w:rsid w:val="008226B9"/>
    <w:rsid w:val="00822785"/>
    <w:rsid w:val="00822865"/>
    <w:rsid w:val="0082290D"/>
    <w:rsid w:val="00822995"/>
    <w:rsid w:val="00822A60"/>
    <w:rsid w:val="00822A62"/>
    <w:rsid w:val="00822B87"/>
    <w:rsid w:val="00822E31"/>
    <w:rsid w:val="00822EB7"/>
    <w:rsid w:val="00822FC7"/>
    <w:rsid w:val="008230CF"/>
    <w:rsid w:val="0082327B"/>
    <w:rsid w:val="00823298"/>
    <w:rsid w:val="00823502"/>
    <w:rsid w:val="008239DA"/>
    <w:rsid w:val="00823A12"/>
    <w:rsid w:val="00823A62"/>
    <w:rsid w:val="00823DE2"/>
    <w:rsid w:val="00823F0B"/>
    <w:rsid w:val="00823FAE"/>
    <w:rsid w:val="00824209"/>
    <w:rsid w:val="00824224"/>
    <w:rsid w:val="00824259"/>
    <w:rsid w:val="008242C9"/>
    <w:rsid w:val="00824553"/>
    <w:rsid w:val="00824A01"/>
    <w:rsid w:val="00824C08"/>
    <w:rsid w:val="00824C54"/>
    <w:rsid w:val="00824D7A"/>
    <w:rsid w:val="00824EF3"/>
    <w:rsid w:val="00825134"/>
    <w:rsid w:val="008252CC"/>
    <w:rsid w:val="00825407"/>
    <w:rsid w:val="008254CC"/>
    <w:rsid w:val="00825526"/>
    <w:rsid w:val="00825530"/>
    <w:rsid w:val="0082578F"/>
    <w:rsid w:val="008257F5"/>
    <w:rsid w:val="00825878"/>
    <w:rsid w:val="00825AF6"/>
    <w:rsid w:val="00825B98"/>
    <w:rsid w:val="00825CB7"/>
    <w:rsid w:val="00825DAC"/>
    <w:rsid w:val="00825E44"/>
    <w:rsid w:val="008260CF"/>
    <w:rsid w:val="0082610A"/>
    <w:rsid w:val="0082649C"/>
    <w:rsid w:val="00826A54"/>
    <w:rsid w:val="00826AA8"/>
    <w:rsid w:val="00826B2B"/>
    <w:rsid w:val="00826B57"/>
    <w:rsid w:val="00826CE9"/>
    <w:rsid w:val="00826E2E"/>
    <w:rsid w:val="00826F58"/>
    <w:rsid w:val="00826FF1"/>
    <w:rsid w:val="00826FF7"/>
    <w:rsid w:val="008270A3"/>
    <w:rsid w:val="0082757D"/>
    <w:rsid w:val="008275F8"/>
    <w:rsid w:val="00827906"/>
    <w:rsid w:val="00827AD9"/>
    <w:rsid w:val="00827AFF"/>
    <w:rsid w:val="00827BBF"/>
    <w:rsid w:val="00827DD4"/>
    <w:rsid w:val="00830006"/>
    <w:rsid w:val="0083059D"/>
    <w:rsid w:val="008305E6"/>
    <w:rsid w:val="008306E7"/>
    <w:rsid w:val="008308B7"/>
    <w:rsid w:val="00830A7F"/>
    <w:rsid w:val="00830D42"/>
    <w:rsid w:val="00830D93"/>
    <w:rsid w:val="00831004"/>
    <w:rsid w:val="0083104F"/>
    <w:rsid w:val="00831087"/>
    <w:rsid w:val="0083129E"/>
    <w:rsid w:val="00831726"/>
    <w:rsid w:val="0083178C"/>
    <w:rsid w:val="008317D9"/>
    <w:rsid w:val="00831B88"/>
    <w:rsid w:val="00831BDF"/>
    <w:rsid w:val="00831D6D"/>
    <w:rsid w:val="00831DD7"/>
    <w:rsid w:val="00831E43"/>
    <w:rsid w:val="00831EFA"/>
    <w:rsid w:val="00831F18"/>
    <w:rsid w:val="00831FAD"/>
    <w:rsid w:val="00832005"/>
    <w:rsid w:val="00832067"/>
    <w:rsid w:val="00832154"/>
    <w:rsid w:val="008326EF"/>
    <w:rsid w:val="00832850"/>
    <w:rsid w:val="00832A8A"/>
    <w:rsid w:val="00832AE7"/>
    <w:rsid w:val="00832E1C"/>
    <w:rsid w:val="00832EBF"/>
    <w:rsid w:val="00833157"/>
    <w:rsid w:val="008331AB"/>
    <w:rsid w:val="008331B2"/>
    <w:rsid w:val="00833359"/>
    <w:rsid w:val="008334A4"/>
    <w:rsid w:val="008338A7"/>
    <w:rsid w:val="00833A12"/>
    <w:rsid w:val="00833B78"/>
    <w:rsid w:val="00833BF6"/>
    <w:rsid w:val="00833D2E"/>
    <w:rsid w:val="008343B7"/>
    <w:rsid w:val="0083453F"/>
    <w:rsid w:val="00834597"/>
    <w:rsid w:val="0083460F"/>
    <w:rsid w:val="0083462B"/>
    <w:rsid w:val="00834698"/>
    <w:rsid w:val="00834752"/>
    <w:rsid w:val="0083497D"/>
    <w:rsid w:val="00834983"/>
    <w:rsid w:val="00834A05"/>
    <w:rsid w:val="00834DCB"/>
    <w:rsid w:val="0083501E"/>
    <w:rsid w:val="008350EA"/>
    <w:rsid w:val="00835164"/>
    <w:rsid w:val="0083539C"/>
    <w:rsid w:val="008353AB"/>
    <w:rsid w:val="008353F1"/>
    <w:rsid w:val="00835900"/>
    <w:rsid w:val="0083590B"/>
    <w:rsid w:val="00835A67"/>
    <w:rsid w:val="00835A69"/>
    <w:rsid w:val="00835B0F"/>
    <w:rsid w:val="00835B45"/>
    <w:rsid w:val="00835B63"/>
    <w:rsid w:val="00835B86"/>
    <w:rsid w:val="00835BCC"/>
    <w:rsid w:val="00835EB9"/>
    <w:rsid w:val="008361BC"/>
    <w:rsid w:val="0083631B"/>
    <w:rsid w:val="008363D8"/>
    <w:rsid w:val="0083659B"/>
    <w:rsid w:val="0083662E"/>
    <w:rsid w:val="0083666A"/>
    <w:rsid w:val="008368D7"/>
    <w:rsid w:val="008369B5"/>
    <w:rsid w:val="00836B1D"/>
    <w:rsid w:val="00836B61"/>
    <w:rsid w:val="00836B6E"/>
    <w:rsid w:val="00836C10"/>
    <w:rsid w:val="00836DAF"/>
    <w:rsid w:val="008373E2"/>
    <w:rsid w:val="00837468"/>
    <w:rsid w:val="008374EE"/>
    <w:rsid w:val="00837560"/>
    <w:rsid w:val="008377F0"/>
    <w:rsid w:val="00837807"/>
    <w:rsid w:val="00837825"/>
    <w:rsid w:val="00837851"/>
    <w:rsid w:val="008378FD"/>
    <w:rsid w:val="008379AD"/>
    <w:rsid w:val="00837A19"/>
    <w:rsid w:val="00837B7B"/>
    <w:rsid w:val="00837C8C"/>
    <w:rsid w:val="00837CA0"/>
    <w:rsid w:val="00837F35"/>
    <w:rsid w:val="00837F4D"/>
    <w:rsid w:val="008402FA"/>
    <w:rsid w:val="00840588"/>
    <w:rsid w:val="008405A3"/>
    <w:rsid w:val="008405E0"/>
    <w:rsid w:val="00840722"/>
    <w:rsid w:val="00840769"/>
    <w:rsid w:val="00840795"/>
    <w:rsid w:val="00840FA4"/>
    <w:rsid w:val="0084116C"/>
    <w:rsid w:val="008411E9"/>
    <w:rsid w:val="0084124A"/>
    <w:rsid w:val="008413A0"/>
    <w:rsid w:val="008413AC"/>
    <w:rsid w:val="0084151E"/>
    <w:rsid w:val="0084157B"/>
    <w:rsid w:val="008417E7"/>
    <w:rsid w:val="00841869"/>
    <w:rsid w:val="008418DF"/>
    <w:rsid w:val="008419D8"/>
    <w:rsid w:val="00841A50"/>
    <w:rsid w:val="00841A92"/>
    <w:rsid w:val="00841BEC"/>
    <w:rsid w:val="00841DB2"/>
    <w:rsid w:val="00841F25"/>
    <w:rsid w:val="00841F8F"/>
    <w:rsid w:val="00842083"/>
    <w:rsid w:val="00842197"/>
    <w:rsid w:val="008421F5"/>
    <w:rsid w:val="00842264"/>
    <w:rsid w:val="00842284"/>
    <w:rsid w:val="00842293"/>
    <w:rsid w:val="008423CD"/>
    <w:rsid w:val="008423D9"/>
    <w:rsid w:val="008429F9"/>
    <w:rsid w:val="00842C76"/>
    <w:rsid w:val="00842D29"/>
    <w:rsid w:val="00842E7E"/>
    <w:rsid w:val="00842F1A"/>
    <w:rsid w:val="00843037"/>
    <w:rsid w:val="008430D6"/>
    <w:rsid w:val="00843263"/>
    <w:rsid w:val="0084333C"/>
    <w:rsid w:val="00843370"/>
    <w:rsid w:val="0084389C"/>
    <w:rsid w:val="00843B33"/>
    <w:rsid w:val="00843B73"/>
    <w:rsid w:val="00843BBC"/>
    <w:rsid w:val="00843BD3"/>
    <w:rsid w:val="00843CA0"/>
    <w:rsid w:val="00844379"/>
    <w:rsid w:val="008444A2"/>
    <w:rsid w:val="00844678"/>
    <w:rsid w:val="008446C5"/>
    <w:rsid w:val="0084493F"/>
    <w:rsid w:val="00844B5A"/>
    <w:rsid w:val="00844B66"/>
    <w:rsid w:val="00844E56"/>
    <w:rsid w:val="00845148"/>
    <w:rsid w:val="00845229"/>
    <w:rsid w:val="0084539F"/>
    <w:rsid w:val="0084551E"/>
    <w:rsid w:val="008455CE"/>
    <w:rsid w:val="0084562C"/>
    <w:rsid w:val="00845655"/>
    <w:rsid w:val="0084567F"/>
    <w:rsid w:val="0084580D"/>
    <w:rsid w:val="00845886"/>
    <w:rsid w:val="0084590F"/>
    <w:rsid w:val="00845A1D"/>
    <w:rsid w:val="00845B6D"/>
    <w:rsid w:val="00845D91"/>
    <w:rsid w:val="00845F46"/>
    <w:rsid w:val="008461A4"/>
    <w:rsid w:val="00846263"/>
    <w:rsid w:val="00846265"/>
    <w:rsid w:val="008462D6"/>
    <w:rsid w:val="00846326"/>
    <w:rsid w:val="00846493"/>
    <w:rsid w:val="00846499"/>
    <w:rsid w:val="0084653D"/>
    <w:rsid w:val="0084655B"/>
    <w:rsid w:val="0084656B"/>
    <w:rsid w:val="008466C6"/>
    <w:rsid w:val="0084673A"/>
    <w:rsid w:val="0084680F"/>
    <w:rsid w:val="008468E3"/>
    <w:rsid w:val="00846A44"/>
    <w:rsid w:val="00846BF7"/>
    <w:rsid w:val="00846D69"/>
    <w:rsid w:val="00846DBD"/>
    <w:rsid w:val="00846DF8"/>
    <w:rsid w:val="00847042"/>
    <w:rsid w:val="008473B6"/>
    <w:rsid w:val="008474A1"/>
    <w:rsid w:val="00847689"/>
    <w:rsid w:val="00847805"/>
    <w:rsid w:val="008478CC"/>
    <w:rsid w:val="008479E3"/>
    <w:rsid w:val="00847BC4"/>
    <w:rsid w:val="00847C53"/>
    <w:rsid w:val="00847CD1"/>
    <w:rsid w:val="0085005B"/>
    <w:rsid w:val="0085012F"/>
    <w:rsid w:val="008504D1"/>
    <w:rsid w:val="00850588"/>
    <w:rsid w:val="0085058B"/>
    <w:rsid w:val="00850614"/>
    <w:rsid w:val="00850844"/>
    <w:rsid w:val="00850901"/>
    <w:rsid w:val="00850986"/>
    <w:rsid w:val="008509EC"/>
    <w:rsid w:val="00850A98"/>
    <w:rsid w:val="00850FB5"/>
    <w:rsid w:val="00850FC2"/>
    <w:rsid w:val="008512DE"/>
    <w:rsid w:val="00851400"/>
    <w:rsid w:val="00851598"/>
    <w:rsid w:val="00851643"/>
    <w:rsid w:val="008516E4"/>
    <w:rsid w:val="00851A71"/>
    <w:rsid w:val="00851A7A"/>
    <w:rsid w:val="00851B8D"/>
    <w:rsid w:val="00851D9A"/>
    <w:rsid w:val="00851E59"/>
    <w:rsid w:val="00851F27"/>
    <w:rsid w:val="00851FD6"/>
    <w:rsid w:val="00852026"/>
    <w:rsid w:val="008521BA"/>
    <w:rsid w:val="008521E2"/>
    <w:rsid w:val="00852253"/>
    <w:rsid w:val="0085248D"/>
    <w:rsid w:val="008524E4"/>
    <w:rsid w:val="00852689"/>
    <w:rsid w:val="00852720"/>
    <w:rsid w:val="008527D9"/>
    <w:rsid w:val="008528EB"/>
    <w:rsid w:val="00852AB7"/>
    <w:rsid w:val="00852AB9"/>
    <w:rsid w:val="00852CB2"/>
    <w:rsid w:val="00852F9A"/>
    <w:rsid w:val="00853328"/>
    <w:rsid w:val="00853470"/>
    <w:rsid w:val="00853581"/>
    <w:rsid w:val="00853779"/>
    <w:rsid w:val="00853895"/>
    <w:rsid w:val="00853A2F"/>
    <w:rsid w:val="00854015"/>
    <w:rsid w:val="0085405D"/>
    <w:rsid w:val="00854101"/>
    <w:rsid w:val="008544F7"/>
    <w:rsid w:val="00854601"/>
    <w:rsid w:val="00854731"/>
    <w:rsid w:val="0085473E"/>
    <w:rsid w:val="0085488A"/>
    <w:rsid w:val="00854E91"/>
    <w:rsid w:val="00854EA3"/>
    <w:rsid w:val="00854EBD"/>
    <w:rsid w:val="00854F41"/>
    <w:rsid w:val="00855037"/>
    <w:rsid w:val="008552ED"/>
    <w:rsid w:val="00855758"/>
    <w:rsid w:val="0085588D"/>
    <w:rsid w:val="00855A9A"/>
    <w:rsid w:val="00855B97"/>
    <w:rsid w:val="00855DE5"/>
    <w:rsid w:val="00856283"/>
    <w:rsid w:val="008562CF"/>
    <w:rsid w:val="008564EB"/>
    <w:rsid w:val="00856837"/>
    <w:rsid w:val="0085694C"/>
    <w:rsid w:val="00856975"/>
    <w:rsid w:val="00856A0E"/>
    <w:rsid w:val="00857153"/>
    <w:rsid w:val="00857173"/>
    <w:rsid w:val="0085731D"/>
    <w:rsid w:val="00857385"/>
    <w:rsid w:val="008574BA"/>
    <w:rsid w:val="0085770B"/>
    <w:rsid w:val="00857B6F"/>
    <w:rsid w:val="00857D6A"/>
    <w:rsid w:val="008607BD"/>
    <w:rsid w:val="00860887"/>
    <w:rsid w:val="00860B43"/>
    <w:rsid w:val="00860C73"/>
    <w:rsid w:val="00860DF2"/>
    <w:rsid w:val="00860E6E"/>
    <w:rsid w:val="00860E77"/>
    <w:rsid w:val="00860F81"/>
    <w:rsid w:val="0086101A"/>
    <w:rsid w:val="00861024"/>
    <w:rsid w:val="008610B8"/>
    <w:rsid w:val="0086159E"/>
    <w:rsid w:val="0086165B"/>
    <w:rsid w:val="00861725"/>
    <w:rsid w:val="0086173B"/>
    <w:rsid w:val="0086174B"/>
    <w:rsid w:val="00861847"/>
    <w:rsid w:val="00861946"/>
    <w:rsid w:val="00861992"/>
    <w:rsid w:val="00861A55"/>
    <w:rsid w:val="00861AAB"/>
    <w:rsid w:val="00861C5A"/>
    <w:rsid w:val="00861C69"/>
    <w:rsid w:val="00861C7A"/>
    <w:rsid w:val="00861CBB"/>
    <w:rsid w:val="00861F91"/>
    <w:rsid w:val="008620E0"/>
    <w:rsid w:val="008620E5"/>
    <w:rsid w:val="008622B8"/>
    <w:rsid w:val="00862761"/>
    <w:rsid w:val="0086285C"/>
    <w:rsid w:val="0086288D"/>
    <w:rsid w:val="008628D2"/>
    <w:rsid w:val="008629B9"/>
    <w:rsid w:val="00862A5F"/>
    <w:rsid w:val="00862A95"/>
    <w:rsid w:val="00863007"/>
    <w:rsid w:val="00863038"/>
    <w:rsid w:val="00863077"/>
    <w:rsid w:val="00863140"/>
    <w:rsid w:val="008631CE"/>
    <w:rsid w:val="008633B6"/>
    <w:rsid w:val="008634B2"/>
    <w:rsid w:val="0086367F"/>
    <w:rsid w:val="00863C48"/>
    <w:rsid w:val="00863C7C"/>
    <w:rsid w:val="00863D48"/>
    <w:rsid w:val="00863EB5"/>
    <w:rsid w:val="00864131"/>
    <w:rsid w:val="00864337"/>
    <w:rsid w:val="0086443E"/>
    <w:rsid w:val="00864513"/>
    <w:rsid w:val="008649CE"/>
    <w:rsid w:val="00864B87"/>
    <w:rsid w:val="00864B88"/>
    <w:rsid w:val="00864DE4"/>
    <w:rsid w:val="00864ECC"/>
    <w:rsid w:val="00865096"/>
    <w:rsid w:val="008651AA"/>
    <w:rsid w:val="00865334"/>
    <w:rsid w:val="0086569E"/>
    <w:rsid w:val="00865721"/>
    <w:rsid w:val="0086579B"/>
    <w:rsid w:val="00865BE3"/>
    <w:rsid w:val="00865C57"/>
    <w:rsid w:val="00865E1C"/>
    <w:rsid w:val="00865E8B"/>
    <w:rsid w:val="00865ECC"/>
    <w:rsid w:val="00865FC2"/>
    <w:rsid w:val="008661B0"/>
    <w:rsid w:val="008663A2"/>
    <w:rsid w:val="00866440"/>
    <w:rsid w:val="00866526"/>
    <w:rsid w:val="008665FB"/>
    <w:rsid w:val="00866649"/>
    <w:rsid w:val="0086670E"/>
    <w:rsid w:val="00866821"/>
    <w:rsid w:val="00866899"/>
    <w:rsid w:val="00866A12"/>
    <w:rsid w:val="00866DA4"/>
    <w:rsid w:val="00866E95"/>
    <w:rsid w:val="00867202"/>
    <w:rsid w:val="00867223"/>
    <w:rsid w:val="00867337"/>
    <w:rsid w:val="00867415"/>
    <w:rsid w:val="008675DD"/>
    <w:rsid w:val="0086761B"/>
    <w:rsid w:val="008676FD"/>
    <w:rsid w:val="0086799E"/>
    <w:rsid w:val="00867EB9"/>
    <w:rsid w:val="00870588"/>
    <w:rsid w:val="008705F2"/>
    <w:rsid w:val="008707CB"/>
    <w:rsid w:val="00870834"/>
    <w:rsid w:val="008709B6"/>
    <w:rsid w:val="00870AC7"/>
    <w:rsid w:val="00870B01"/>
    <w:rsid w:val="00870B96"/>
    <w:rsid w:val="00870D72"/>
    <w:rsid w:val="00870E8E"/>
    <w:rsid w:val="00870F18"/>
    <w:rsid w:val="00871058"/>
    <w:rsid w:val="00871323"/>
    <w:rsid w:val="008715E0"/>
    <w:rsid w:val="008719BA"/>
    <w:rsid w:val="00871A66"/>
    <w:rsid w:val="00871C2B"/>
    <w:rsid w:val="00871CF0"/>
    <w:rsid w:val="00871DF1"/>
    <w:rsid w:val="00871E62"/>
    <w:rsid w:val="00871F0C"/>
    <w:rsid w:val="0087216D"/>
    <w:rsid w:val="008722C6"/>
    <w:rsid w:val="00872633"/>
    <w:rsid w:val="0087264C"/>
    <w:rsid w:val="00872697"/>
    <w:rsid w:val="00872C4D"/>
    <w:rsid w:val="00872D4F"/>
    <w:rsid w:val="00872ECB"/>
    <w:rsid w:val="00872FCE"/>
    <w:rsid w:val="00872FD2"/>
    <w:rsid w:val="008730FB"/>
    <w:rsid w:val="00873158"/>
    <w:rsid w:val="008732BB"/>
    <w:rsid w:val="008732FB"/>
    <w:rsid w:val="0087343C"/>
    <w:rsid w:val="008734FF"/>
    <w:rsid w:val="00873571"/>
    <w:rsid w:val="00873656"/>
    <w:rsid w:val="008736C9"/>
    <w:rsid w:val="00873D35"/>
    <w:rsid w:val="008740BC"/>
    <w:rsid w:val="008742E7"/>
    <w:rsid w:val="008748A2"/>
    <w:rsid w:val="00874985"/>
    <w:rsid w:val="00874A7B"/>
    <w:rsid w:val="00874B87"/>
    <w:rsid w:val="00874CB0"/>
    <w:rsid w:val="00874F5A"/>
    <w:rsid w:val="00875056"/>
    <w:rsid w:val="00875324"/>
    <w:rsid w:val="00875451"/>
    <w:rsid w:val="00875587"/>
    <w:rsid w:val="0087560B"/>
    <w:rsid w:val="0087566D"/>
    <w:rsid w:val="0087573A"/>
    <w:rsid w:val="008757D3"/>
    <w:rsid w:val="00875A56"/>
    <w:rsid w:val="00875AAA"/>
    <w:rsid w:val="00875BD8"/>
    <w:rsid w:val="00875E0E"/>
    <w:rsid w:val="00875F2B"/>
    <w:rsid w:val="00875FBA"/>
    <w:rsid w:val="0087601A"/>
    <w:rsid w:val="0087615B"/>
    <w:rsid w:val="0087618E"/>
    <w:rsid w:val="00876341"/>
    <w:rsid w:val="008764F4"/>
    <w:rsid w:val="00876580"/>
    <w:rsid w:val="0087668A"/>
    <w:rsid w:val="0087668C"/>
    <w:rsid w:val="008766D9"/>
    <w:rsid w:val="00876869"/>
    <w:rsid w:val="0087688A"/>
    <w:rsid w:val="00876B48"/>
    <w:rsid w:val="00876BD1"/>
    <w:rsid w:val="00876FD6"/>
    <w:rsid w:val="008770FE"/>
    <w:rsid w:val="008772F8"/>
    <w:rsid w:val="008774FF"/>
    <w:rsid w:val="00877595"/>
    <w:rsid w:val="0087762D"/>
    <w:rsid w:val="008779CF"/>
    <w:rsid w:val="00877A76"/>
    <w:rsid w:val="00877EF5"/>
    <w:rsid w:val="0088034E"/>
    <w:rsid w:val="00880398"/>
    <w:rsid w:val="00880765"/>
    <w:rsid w:val="0088081B"/>
    <w:rsid w:val="00880A2C"/>
    <w:rsid w:val="00880C20"/>
    <w:rsid w:val="00880C3F"/>
    <w:rsid w:val="00880FAD"/>
    <w:rsid w:val="00880FAF"/>
    <w:rsid w:val="008810A6"/>
    <w:rsid w:val="00881278"/>
    <w:rsid w:val="00881295"/>
    <w:rsid w:val="0088166F"/>
    <w:rsid w:val="008816B2"/>
    <w:rsid w:val="00881D13"/>
    <w:rsid w:val="00881DC1"/>
    <w:rsid w:val="00881FB1"/>
    <w:rsid w:val="00881FDE"/>
    <w:rsid w:val="00882254"/>
    <w:rsid w:val="00882300"/>
    <w:rsid w:val="00882426"/>
    <w:rsid w:val="00882A3B"/>
    <w:rsid w:val="00882B03"/>
    <w:rsid w:val="00882C13"/>
    <w:rsid w:val="00882C87"/>
    <w:rsid w:val="0088301A"/>
    <w:rsid w:val="00883076"/>
    <w:rsid w:val="0088339F"/>
    <w:rsid w:val="00883490"/>
    <w:rsid w:val="0088359E"/>
    <w:rsid w:val="00883858"/>
    <w:rsid w:val="00883864"/>
    <w:rsid w:val="008839D8"/>
    <w:rsid w:val="00883A27"/>
    <w:rsid w:val="00883DEB"/>
    <w:rsid w:val="0088407E"/>
    <w:rsid w:val="00884269"/>
    <w:rsid w:val="008842DD"/>
    <w:rsid w:val="0088450D"/>
    <w:rsid w:val="0088455A"/>
    <w:rsid w:val="008845B9"/>
    <w:rsid w:val="00884638"/>
    <w:rsid w:val="00884866"/>
    <w:rsid w:val="00884929"/>
    <w:rsid w:val="008849E1"/>
    <w:rsid w:val="008849FD"/>
    <w:rsid w:val="00884E9C"/>
    <w:rsid w:val="00884F3F"/>
    <w:rsid w:val="00885078"/>
    <w:rsid w:val="008850F5"/>
    <w:rsid w:val="00885319"/>
    <w:rsid w:val="0088557E"/>
    <w:rsid w:val="00885737"/>
    <w:rsid w:val="00885A0C"/>
    <w:rsid w:val="00885ADE"/>
    <w:rsid w:val="00885C7B"/>
    <w:rsid w:val="00885CB8"/>
    <w:rsid w:val="00885EED"/>
    <w:rsid w:val="00885F96"/>
    <w:rsid w:val="00885FA4"/>
    <w:rsid w:val="00886363"/>
    <w:rsid w:val="00886432"/>
    <w:rsid w:val="008864B8"/>
    <w:rsid w:val="008867C3"/>
    <w:rsid w:val="008867E7"/>
    <w:rsid w:val="008867F7"/>
    <w:rsid w:val="00886929"/>
    <w:rsid w:val="00886CF3"/>
    <w:rsid w:val="00887166"/>
    <w:rsid w:val="00887387"/>
    <w:rsid w:val="008875A5"/>
    <w:rsid w:val="00887A5E"/>
    <w:rsid w:val="00887B65"/>
    <w:rsid w:val="00887C8F"/>
    <w:rsid w:val="00887CFA"/>
    <w:rsid w:val="00887E59"/>
    <w:rsid w:val="00890238"/>
    <w:rsid w:val="00890277"/>
    <w:rsid w:val="008904AB"/>
    <w:rsid w:val="008905C6"/>
    <w:rsid w:val="00890639"/>
    <w:rsid w:val="0089077D"/>
    <w:rsid w:val="008908EE"/>
    <w:rsid w:val="00890A4E"/>
    <w:rsid w:val="00890A7C"/>
    <w:rsid w:val="00890A8B"/>
    <w:rsid w:val="00890EA7"/>
    <w:rsid w:val="00890FD7"/>
    <w:rsid w:val="008910B5"/>
    <w:rsid w:val="008913BE"/>
    <w:rsid w:val="00891542"/>
    <w:rsid w:val="00891AFB"/>
    <w:rsid w:val="00891F67"/>
    <w:rsid w:val="008926B4"/>
    <w:rsid w:val="008926E5"/>
    <w:rsid w:val="008926E9"/>
    <w:rsid w:val="0089291A"/>
    <w:rsid w:val="00892A75"/>
    <w:rsid w:val="00892B39"/>
    <w:rsid w:val="00892CB3"/>
    <w:rsid w:val="00892CCD"/>
    <w:rsid w:val="00892E65"/>
    <w:rsid w:val="00892EFE"/>
    <w:rsid w:val="00892F55"/>
    <w:rsid w:val="008931C6"/>
    <w:rsid w:val="00893351"/>
    <w:rsid w:val="00893578"/>
    <w:rsid w:val="00893996"/>
    <w:rsid w:val="00893A4F"/>
    <w:rsid w:val="00893CC9"/>
    <w:rsid w:val="00893D54"/>
    <w:rsid w:val="008940C4"/>
    <w:rsid w:val="00894626"/>
    <w:rsid w:val="008949BA"/>
    <w:rsid w:val="00894BB0"/>
    <w:rsid w:val="00894C9E"/>
    <w:rsid w:val="00894F9A"/>
    <w:rsid w:val="0089531F"/>
    <w:rsid w:val="00895622"/>
    <w:rsid w:val="008956D2"/>
    <w:rsid w:val="00895A14"/>
    <w:rsid w:val="00895B8F"/>
    <w:rsid w:val="00895D2E"/>
    <w:rsid w:val="00895D4B"/>
    <w:rsid w:val="00895D7A"/>
    <w:rsid w:val="00895E4E"/>
    <w:rsid w:val="00895EFA"/>
    <w:rsid w:val="00895F92"/>
    <w:rsid w:val="0089606C"/>
    <w:rsid w:val="00896245"/>
    <w:rsid w:val="0089633A"/>
    <w:rsid w:val="00896382"/>
    <w:rsid w:val="00896513"/>
    <w:rsid w:val="0089689F"/>
    <w:rsid w:val="008968EE"/>
    <w:rsid w:val="00896969"/>
    <w:rsid w:val="00896990"/>
    <w:rsid w:val="00896AE4"/>
    <w:rsid w:val="00896B09"/>
    <w:rsid w:val="00896BD0"/>
    <w:rsid w:val="00896C1D"/>
    <w:rsid w:val="00896CBC"/>
    <w:rsid w:val="00896D99"/>
    <w:rsid w:val="00896F6C"/>
    <w:rsid w:val="00896F92"/>
    <w:rsid w:val="00896FAC"/>
    <w:rsid w:val="00896FD4"/>
    <w:rsid w:val="00897091"/>
    <w:rsid w:val="008977BE"/>
    <w:rsid w:val="008977EC"/>
    <w:rsid w:val="00897829"/>
    <w:rsid w:val="0089787E"/>
    <w:rsid w:val="00897E88"/>
    <w:rsid w:val="00897F8A"/>
    <w:rsid w:val="008A0058"/>
    <w:rsid w:val="008A00A5"/>
    <w:rsid w:val="008A04CC"/>
    <w:rsid w:val="008A07E2"/>
    <w:rsid w:val="008A0C7F"/>
    <w:rsid w:val="008A0D27"/>
    <w:rsid w:val="008A0E09"/>
    <w:rsid w:val="008A0E87"/>
    <w:rsid w:val="008A0EED"/>
    <w:rsid w:val="008A125E"/>
    <w:rsid w:val="008A13E4"/>
    <w:rsid w:val="008A1424"/>
    <w:rsid w:val="008A17BA"/>
    <w:rsid w:val="008A1849"/>
    <w:rsid w:val="008A19E7"/>
    <w:rsid w:val="008A1B6B"/>
    <w:rsid w:val="008A1DB9"/>
    <w:rsid w:val="008A1FA0"/>
    <w:rsid w:val="008A1FEE"/>
    <w:rsid w:val="008A232D"/>
    <w:rsid w:val="008A24CA"/>
    <w:rsid w:val="008A25DB"/>
    <w:rsid w:val="008A25DD"/>
    <w:rsid w:val="008A2743"/>
    <w:rsid w:val="008A2C28"/>
    <w:rsid w:val="008A2CF2"/>
    <w:rsid w:val="008A2D30"/>
    <w:rsid w:val="008A2DD7"/>
    <w:rsid w:val="008A2E29"/>
    <w:rsid w:val="008A2EF7"/>
    <w:rsid w:val="008A2FE3"/>
    <w:rsid w:val="008A3106"/>
    <w:rsid w:val="008A3160"/>
    <w:rsid w:val="008A3437"/>
    <w:rsid w:val="008A34ED"/>
    <w:rsid w:val="008A3599"/>
    <w:rsid w:val="008A35FD"/>
    <w:rsid w:val="008A3AD5"/>
    <w:rsid w:val="008A3AF2"/>
    <w:rsid w:val="008A3D4D"/>
    <w:rsid w:val="008A3DF4"/>
    <w:rsid w:val="008A3E82"/>
    <w:rsid w:val="008A418B"/>
    <w:rsid w:val="008A4253"/>
    <w:rsid w:val="008A4311"/>
    <w:rsid w:val="008A439B"/>
    <w:rsid w:val="008A451A"/>
    <w:rsid w:val="008A469B"/>
    <w:rsid w:val="008A46CC"/>
    <w:rsid w:val="008A4907"/>
    <w:rsid w:val="008A4A13"/>
    <w:rsid w:val="008A4B77"/>
    <w:rsid w:val="008A4D76"/>
    <w:rsid w:val="008A4DCF"/>
    <w:rsid w:val="008A4E87"/>
    <w:rsid w:val="008A4F11"/>
    <w:rsid w:val="008A5049"/>
    <w:rsid w:val="008A5167"/>
    <w:rsid w:val="008A51E8"/>
    <w:rsid w:val="008A5711"/>
    <w:rsid w:val="008A59D0"/>
    <w:rsid w:val="008A5A45"/>
    <w:rsid w:val="008A5C11"/>
    <w:rsid w:val="008A5D3E"/>
    <w:rsid w:val="008A5DC0"/>
    <w:rsid w:val="008A5EF8"/>
    <w:rsid w:val="008A5F49"/>
    <w:rsid w:val="008A5F53"/>
    <w:rsid w:val="008A60BA"/>
    <w:rsid w:val="008A62AC"/>
    <w:rsid w:val="008A63D0"/>
    <w:rsid w:val="008A64EE"/>
    <w:rsid w:val="008A6542"/>
    <w:rsid w:val="008A6562"/>
    <w:rsid w:val="008A6566"/>
    <w:rsid w:val="008A662F"/>
    <w:rsid w:val="008A6C87"/>
    <w:rsid w:val="008A6CE8"/>
    <w:rsid w:val="008A6D13"/>
    <w:rsid w:val="008A6DAA"/>
    <w:rsid w:val="008A6E53"/>
    <w:rsid w:val="008A6EED"/>
    <w:rsid w:val="008A6EFE"/>
    <w:rsid w:val="008A6FF8"/>
    <w:rsid w:val="008A6FFF"/>
    <w:rsid w:val="008A711A"/>
    <w:rsid w:val="008A71D2"/>
    <w:rsid w:val="008A74EC"/>
    <w:rsid w:val="008A75AA"/>
    <w:rsid w:val="008A763E"/>
    <w:rsid w:val="008A7776"/>
    <w:rsid w:val="008A77F2"/>
    <w:rsid w:val="008A7825"/>
    <w:rsid w:val="008A78F5"/>
    <w:rsid w:val="008A7984"/>
    <w:rsid w:val="008A7A40"/>
    <w:rsid w:val="008A7CD8"/>
    <w:rsid w:val="008A7EA7"/>
    <w:rsid w:val="008A7FA2"/>
    <w:rsid w:val="008B0207"/>
    <w:rsid w:val="008B0246"/>
    <w:rsid w:val="008B02DC"/>
    <w:rsid w:val="008B06B5"/>
    <w:rsid w:val="008B06F6"/>
    <w:rsid w:val="008B0852"/>
    <w:rsid w:val="008B08B4"/>
    <w:rsid w:val="008B0A5F"/>
    <w:rsid w:val="008B0AA0"/>
    <w:rsid w:val="008B0C0D"/>
    <w:rsid w:val="008B0C46"/>
    <w:rsid w:val="008B0D01"/>
    <w:rsid w:val="008B0F29"/>
    <w:rsid w:val="008B1015"/>
    <w:rsid w:val="008B119D"/>
    <w:rsid w:val="008B1218"/>
    <w:rsid w:val="008B12B6"/>
    <w:rsid w:val="008B1346"/>
    <w:rsid w:val="008B1742"/>
    <w:rsid w:val="008B1BEB"/>
    <w:rsid w:val="008B1C67"/>
    <w:rsid w:val="008B1E29"/>
    <w:rsid w:val="008B20E8"/>
    <w:rsid w:val="008B21A4"/>
    <w:rsid w:val="008B227C"/>
    <w:rsid w:val="008B2438"/>
    <w:rsid w:val="008B26FD"/>
    <w:rsid w:val="008B27AC"/>
    <w:rsid w:val="008B2BEF"/>
    <w:rsid w:val="008B2E03"/>
    <w:rsid w:val="008B2E1A"/>
    <w:rsid w:val="008B2E86"/>
    <w:rsid w:val="008B2EC5"/>
    <w:rsid w:val="008B30F8"/>
    <w:rsid w:val="008B31EC"/>
    <w:rsid w:val="008B32E6"/>
    <w:rsid w:val="008B34B5"/>
    <w:rsid w:val="008B34FC"/>
    <w:rsid w:val="008B3542"/>
    <w:rsid w:val="008B35E4"/>
    <w:rsid w:val="008B3652"/>
    <w:rsid w:val="008B3A8F"/>
    <w:rsid w:val="008B3DD4"/>
    <w:rsid w:val="008B3F1D"/>
    <w:rsid w:val="008B448A"/>
    <w:rsid w:val="008B467E"/>
    <w:rsid w:val="008B4703"/>
    <w:rsid w:val="008B47E9"/>
    <w:rsid w:val="008B4801"/>
    <w:rsid w:val="008B49F5"/>
    <w:rsid w:val="008B4BDC"/>
    <w:rsid w:val="008B4C23"/>
    <w:rsid w:val="008B4C31"/>
    <w:rsid w:val="008B4F97"/>
    <w:rsid w:val="008B4FCE"/>
    <w:rsid w:val="008B50E9"/>
    <w:rsid w:val="008B522D"/>
    <w:rsid w:val="008B53A1"/>
    <w:rsid w:val="008B558F"/>
    <w:rsid w:val="008B56FB"/>
    <w:rsid w:val="008B5720"/>
    <w:rsid w:val="008B5C6E"/>
    <w:rsid w:val="008B5CEA"/>
    <w:rsid w:val="008B5EF5"/>
    <w:rsid w:val="008B5FF3"/>
    <w:rsid w:val="008B60D3"/>
    <w:rsid w:val="008B61B7"/>
    <w:rsid w:val="008B629D"/>
    <w:rsid w:val="008B64D8"/>
    <w:rsid w:val="008B655C"/>
    <w:rsid w:val="008B668C"/>
    <w:rsid w:val="008B678D"/>
    <w:rsid w:val="008B67FB"/>
    <w:rsid w:val="008B68BA"/>
    <w:rsid w:val="008B690D"/>
    <w:rsid w:val="008B6A8F"/>
    <w:rsid w:val="008B6CEC"/>
    <w:rsid w:val="008B6E0F"/>
    <w:rsid w:val="008B7100"/>
    <w:rsid w:val="008B7293"/>
    <w:rsid w:val="008B759B"/>
    <w:rsid w:val="008B76B1"/>
    <w:rsid w:val="008B7784"/>
    <w:rsid w:val="008B7935"/>
    <w:rsid w:val="008B7B33"/>
    <w:rsid w:val="008B7DAA"/>
    <w:rsid w:val="008B7E6C"/>
    <w:rsid w:val="008B7EA3"/>
    <w:rsid w:val="008B7FF8"/>
    <w:rsid w:val="008C0042"/>
    <w:rsid w:val="008C00C5"/>
    <w:rsid w:val="008C0252"/>
    <w:rsid w:val="008C02B9"/>
    <w:rsid w:val="008C02C2"/>
    <w:rsid w:val="008C034B"/>
    <w:rsid w:val="008C0612"/>
    <w:rsid w:val="008C0614"/>
    <w:rsid w:val="008C08EF"/>
    <w:rsid w:val="008C09AC"/>
    <w:rsid w:val="008C0EAA"/>
    <w:rsid w:val="008C0F5A"/>
    <w:rsid w:val="008C11AF"/>
    <w:rsid w:val="008C13B3"/>
    <w:rsid w:val="008C13EC"/>
    <w:rsid w:val="008C157C"/>
    <w:rsid w:val="008C16DC"/>
    <w:rsid w:val="008C18E9"/>
    <w:rsid w:val="008C1A9A"/>
    <w:rsid w:val="008C1AC8"/>
    <w:rsid w:val="008C1C36"/>
    <w:rsid w:val="008C1D31"/>
    <w:rsid w:val="008C1DC2"/>
    <w:rsid w:val="008C1E25"/>
    <w:rsid w:val="008C1E45"/>
    <w:rsid w:val="008C20D3"/>
    <w:rsid w:val="008C20D8"/>
    <w:rsid w:val="008C2234"/>
    <w:rsid w:val="008C2288"/>
    <w:rsid w:val="008C23CD"/>
    <w:rsid w:val="008C2497"/>
    <w:rsid w:val="008C2498"/>
    <w:rsid w:val="008C24C9"/>
    <w:rsid w:val="008C26CF"/>
    <w:rsid w:val="008C26F9"/>
    <w:rsid w:val="008C2824"/>
    <w:rsid w:val="008C2928"/>
    <w:rsid w:val="008C293E"/>
    <w:rsid w:val="008C29FB"/>
    <w:rsid w:val="008C2C15"/>
    <w:rsid w:val="008C2CE1"/>
    <w:rsid w:val="008C2DCE"/>
    <w:rsid w:val="008C2E85"/>
    <w:rsid w:val="008C2FF8"/>
    <w:rsid w:val="008C3036"/>
    <w:rsid w:val="008C3049"/>
    <w:rsid w:val="008C3255"/>
    <w:rsid w:val="008C33FE"/>
    <w:rsid w:val="008C34E6"/>
    <w:rsid w:val="008C3599"/>
    <w:rsid w:val="008C3805"/>
    <w:rsid w:val="008C3857"/>
    <w:rsid w:val="008C38D0"/>
    <w:rsid w:val="008C3953"/>
    <w:rsid w:val="008C3A2C"/>
    <w:rsid w:val="008C3A78"/>
    <w:rsid w:val="008C3A9A"/>
    <w:rsid w:val="008C3C93"/>
    <w:rsid w:val="008C3CBE"/>
    <w:rsid w:val="008C3CFE"/>
    <w:rsid w:val="008C40A5"/>
    <w:rsid w:val="008C4192"/>
    <w:rsid w:val="008C41A0"/>
    <w:rsid w:val="008C4462"/>
    <w:rsid w:val="008C4514"/>
    <w:rsid w:val="008C46D9"/>
    <w:rsid w:val="008C4800"/>
    <w:rsid w:val="008C480D"/>
    <w:rsid w:val="008C48D0"/>
    <w:rsid w:val="008C48E2"/>
    <w:rsid w:val="008C4A72"/>
    <w:rsid w:val="008C4CA3"/>
    <w:rsid w:val="008C4D94"/>
    <w:rsid w:val="008C4E61"/>
    <w:rsid w:val="008C4EAA"/>
    <w:rsid w:val="008C4F75"/>
    <w:rsid w:val="008C525A"/>
    <w:rsid w:val="008C5394"/>
    <w:rsid w:val="008C5406"/>
    <w:rsid w:val="008C54B7"/>
    <w:rsid w:val="008C5966"/>
    <w:rsid w:val="008C59F9"/>
    <w:rsid w:val="008C5A91"/>
    <w:rsid w:val="008C5E55"/>
    <w:rsid w:val="008C5E56"/>
    <w:rsid w:val="008C605E"/>
    <w:rsid w:val="008C60F5"/>
    <w:rsid w:val="008C61AE"/>
    <w:rsid w:val="008C6249"/>
    <w:rsid w:val="008C63DE"/>
    <w:rsid w:val="008C66AA"/>
    <w:rsid w:val="008C683A"/>
    <w:rsid w:val="008C69D8"/>
    <w:rsid w:val="008C70BF"/>
    <w:rsid w:val="008C70D8"/>
    <w:rsid w:val="008C7262"/>
    <w:rsid w:val="008C7401"/>
    <w:rsid w:val="008C7499"/>
    <w:rsid w:val="008C7515"/>
    <w:rsid w:val="008C7556"/>
    <w:rsid w:val="008C759A"/>
    <w:rsid w:val="008C782C"/>
    <w:rsid w:val="008C78AC"/>
    <w:rsid w:val="008C7BE6"/>
    <w:rsid w:val="008C7C5F"/>
    <w:rsid w:val="008C7C9E"/>
    <w:rsid w:val="008C7F36"/>
    <w:rsid w:val="008D026A"/>
    <w:rsid w:val="008D046F"/>
    <w:rsid w:val="008D0496"/>
    <w:rsid w:val="008D065B"/>
    <w:rsid w:val="008D07A1"/>
    <w:rsid w:val="008D08D1"/>
    <w:rsid w:val="008D0C17"/>
    <w:rsid w:val="008D0CDA"/>
    <w:rsid w:val="008D0D3B"/>
    <w:rsid w:val="008D0D9C"/>
    <w:rsid w:val="008D0FCC"/>
    <w:rsid w:val="008D118A"/>
    <w:rsid w:val="008D14AA"/>
    <w:rsid w:val="008D14D8"/>
    <w:rsid w:val="008D164D"/>
    <w:rsid w:val="008D1843"/>
    <w:rsid w:val="008D1A23"/>
    <w:rsid w:val="008D1B05"/>
    <w:rsid w:val="008D1E0C"/>
    <w:rsid w:val="008D1F7B"/>
    <w:rsid w:val="008D1FE7"/>
    <w:rsid w:val="008D202F"/>
    <w:rsid w:val="008D20A9"/>
    <w:rsid w:val="008D22E0"/>
    <w:rsid w:val="008D241A"/>
    <w:rsid w:val="008D2754"/>
    <w:rsid w:val="008D277F"/>
    <w:rsid w:val="008D2D0E"/>
    <w:rsid w:val="008D2DC0"/>
    <w:rsid w:val="008D3000"/>
    <w:rsid w:val="008D300C"/>
    <w:rsid w:val="008D327B"/>
    <w:rsid w:val="008D335E"/>
    <w:rsid w:val="008D386F"/>
    <w:rsid w:val="008D3A32"/>
    <w:rsid w:val="008D3BEA"/>
    <w:rsid w:val="008D3E7F"/>
    <w:rsid w:val="008D3F27"/>
    <w:rsid w:val="008D3F9D"/>
    <w:rsid w:val="008D4010"/>
    <w:rsid w:val="008D407E"/>
    <w:rsid w:val="008D40C5"/>
    <w:rsid w:val="008D41ED"/>
    <w:rsid w:val="008D4373"/>
    <w:rsid w:val="008D43C9"/>
    <w:rsid w:val="008D4407"/>
    <w:rsid w:val="008D4670"/>
    <w:rsid w:val="008D47C8"/>
    <w:rsid w:val="008D5103"/>
    <w:rsid w:val="008D5158"/>
    <w:rsid w:val="008D5227"/>
    <w:rsid w:val="008D5893"/>
    <w:rsid w:val="008D58F9"/>
    <w:rsid w:val="008D5B09"/>
    <w:rsid w:val="008D5C06"/>
    <w:rsid w:val="008D5C48"/>
    <w:rsid w:val="008D5DC2"/>
    <w:rsid w:val="008D627A"/>
    <w:rsid w:val="008D65F4"/>
    <w:rsid w:val="008D662E"/>
    <w:rsid w:val="008D6715"/>
    <w:rsid w:val="008D6866"/>
    <w:rsid w:val="008D68FF"/>
    <w:rsid w:val="008D6CED"/>
    <w:rsid w:val="008D6D43"/>
    <w:rsid w:val="008D6D46"/>
    <w:rsid w:val="008D6E79"/>
    <w:rsid w:val="008D6EE3"/>
    <w:rsid w:val="008D6FDD"/>
    <w:rsid w:val="008D6FE5"/>
    <w:rsid w:val="008D7110"/>
    <w:rsid w:val="008D7432"/>
    <w:rsid w:val="008D772E"/>
    <w:rsid w:val="008D7842"/>
    <w:rsid w:val="008D78C8"/>
    <w:rsid w:val="008D79CD"/>
    <w:rsid w:val="008D7A93"/>
    <w:rsid w:val="008D7AB6"/>
    <w:rsid w:val="008D7AFB"/>
    <w:rsid w:val="008D7BEA"/>
    <w:rsid w:val="008D7C4C"/>
    <w:rsid w:val="008D7C62"/>
    <w:rsid w:val="008D7CE8"/>
    <w:rsid w:val="008D7DFC"/>
    <w:rsid w:val="008E01C2"/>
    <w:rsid w:val="008E01C6"/>
    <w:rsid w:val="008E027B"/>
    <w:rsid w:val="008E037F"/>
    <w:rsid w:val="008E03EA"/>
    <w:rsid w:val="008E0690"/>
    <w:rsid w:val="008E070F"/>
    <w:rsid w:val="008E081A"/>
    <w:rsid w:val="008E09D3"/>
    <w:rsid w:val="008E0A35"/>
    <w:rsid w:val="008E0A3D"/>
    <w:rsid w:val="008E0DE4"/>
    <w:rsid w:val="008E0DED"/>
    <w:rsid w:val="008E0EF9"/>
    <w:rsid w:val="008E0FA9"/>
    <w:rsid w:val="008E1011"/>
    <w:rsid w:val="008E1264"/>
    <w:rsid w:val="008E12A6"/>
    <w:rsid w:val="008E137F"/>
    <w:rsid w:val="008E15BE"/>
    <w:rsid w:val="008E16B6"/>
    <w:rsid w:val="008E16D4"/>
    <w:rsid w:val="008E18EB"/>
    <w:rsid w:val="008E1B2E"/>
    <w:rsid w:val="008E1C61"/>
    <w:rsid w:val="008E1D84"/>
    <w:rsid w:val="008E1DA8"/>
    <w:rsid w:val="008E1ED9"/>
    <w:rsid w:val="008E2095"/>
    <w:rsid w:val="008E2308"/>
    <w:rsid w:val="008E2363"/>
    <w:rsid w:val="008E23B7"/>
    <w:rsid w:val="008E23B9"/>
    <w:rsid w:val="008E26D4"/>
    <w:rsid w:val="008E2790"/>
    <w:rsid w:val="008E27C1"/>
    <w:rsid w:val="008E27E0"/>
    <w:rsid w:val="008E28AC"/>
    <w:rsid w:val="008E2ADB"/>
    <w:rsid w:val="008E2CAA"/>
    <w:rsid w:val="008E2D44"/>
    <w:rsid w:val="008E2FA8"/>
    <w:rsid w:val="008E307B"/>
    <w:rsid w:val="008E31C6"/>
    <w:rsid w:val="008E32EF"/>
    <w:rsid w:val="008E3314"/>
    <w:rsid w:val="008E3341"/>
    <w:rsid w:val="008E33A7"/>
    <w:rsid w:val="008E352B"/>
    <w:rsid w:val="008E367F"/>
    <w:rsid w:val="008E372D"/>
    <w:rsid w:val="008E3764"/>
    <w:rsid w:val="008E3C2A"/>
    <w:rsid w:val="008E3E06"/>
    <w:rsid w:val="008E4017"/>
    <w:rsid w:val="008E426D"/>
    <w:rsid w:val="008E43A7"/>
    <w:rsid w:val="008E4452"/>
    <w:rsid w:val="008E47A4"/>
    <w:rsid w:val="008E47FB"/>
    <w:rsid w:val="008E4908"/>
    <w:rsid w:val="008E4D2B"/>
    <w:rsid w:val="008E4DCC"/>
    <w:rsid w:val="008E4E82"/>
    <w:rsid w:val="008E4F02"/>
    <w:rsid w:val="008E5063"/>
    <w:rsid w:val="008E518E"/>
    <w:rsid w:val="008E5216"/>
    <w:rsid w:val="008E52FB"/>
    <w:rsid w:val="008E5334"/>
    <w:rsid w:val="008E5429"/>
    <w:rsid w:val="008E5433"/>
    <w:rsid w:val="008E54DB"/>
    <w:rsid w:val="008E555B"/>
    <w:rsid w:val="008E55E7"/>
    <w:rsid w:val="008E5612"/>
    <w:rsid w:val="008E5706"/>
    <w:rsid w:val="008E5A6A"/>
    <w:rsid w:val="008E5A71"/>
    <w:rsid w:val="008E5AB1"/>
    <w:rsid w:val="008E5BCE"/>
    <w:rsid w:val="008E5BE1"/>
    <w:rsid w:val="008E5BF2"/>
    <w:rsid w:val="008E5E7C"/>
    <w:rsid w:val="008E5FBD"/>
    <w:rsid w:val="008E608A"/>
    <w:rsid w:val="008E60A6"/>
    <w:rsid w:val="008E6240"/>
    <w:rsid w:val="008E62C9"/>
    <w:rsid w:val="008E6419"/>
    <w:rsid w:val="008E64BB"/>
    <w:rsid w:val="008E6874"/>
    <w:rsid w:val="008E687D"/>
    <w:rsid w:val="008E6914"/>
    <w:rsid w:val="008E6BB9"/>
    <w:rsid w:val="008E6BF1"/>
    <w:rsid w:val="008E6C8F"/>
    <w:rsid w:val="008E6EA2"/>
    <w:rsid w:val="008E700C"/>
    <w:rsid w:val="008E7138"/>
    <w:rsid w:val="008E7269"/>
    <w:rsid w:val="008E728E"/>
    <w:rsid w:val="008E73A5"/>
    <w:rsid w:val="008E73AB"/>
    <w:rsid w:val="008E75A4"/>
    <w:rsid w:val="008E75BC"/>
    <w:rsid w:val="008E7601"/>
    <w:rsid w:val="008E7728"/>
    <w:rsid w:val="008E784F"/>
    <w:rsid w:val="008E79D1"/>
    <w:rsid w:val="008E7B8E"/>
    <w:rsid w:val="008E7DEE"/>
    <w:rsid w:val="008E7ED3"/>
    <w:rsid w:val="008E7FD5"/>
    <w:rsid w:val="008F00B5"/>
    <w:rsid w:val="008F02A6"/>
    <w:rsid w:val="008F04AE"/>
    <w:rsid w:val="008F04D4"/>
    <w:rsid w:val="008F0791"/>
    <w:rsid w:val="008F07C7"/>
    <w:rsid w:val="008F0880"/>
    <w:rsid w:val="008F08B1"/>
    <w:rsid w:val="008F0AE3"/>
    <w:rsid w:val="008F0C87"/>
    <w:rsid w:val="008F0D7F"/>
    <w:rsid w:val="008F1236"/>
    <w:rsid w:val="008F1350"/>
    <w:rsid w:val="008F13D0"/>
    <w:rsid w:val="008F14F4"/>
    <w:rsid w:val="008F1507"/>
    <w:rsid w:val="008F1831"/>
    <w:rsid w:val="008F18C3"/>
    <w:rsid w:val="008F1A7E"/>
    <w:rsid w:val="008F1BA5"/>
    <w:rsid w:val="008F1C62"/>
    <w:rsid w:val="008F1D99"/>
    <w:rsid w:val="008F204E"/>
    <w:rsid w:val="008F212B"/>
    <w:rsid w:val="008F215C"/>
    <w:rsid w:val="008F225B"/>
    <w:rsid w:val="008F226B"/>
    <w:rsid w:val="008F2399"/>
    <w:rsid w:val="008F2521"/>
    <w:rsid w:val="008F26C3"/>
    <w:rsid w:val="008F26E7"/>
    <w:rsid w:val="008F28D1"/>
    <w:rsid w:val="008F28EE"/>
    <w:rsid w:val="008F2A2E"/>
    <w:rsid w:val="008F2C18"/>
    <w:rsid w:val="008F2C2F"/>
    <w:rsid w:val="008F2C8D"/>
    <w:rsid w:val="008F306C"/>
    <w:rsid w:val="008F31BA"/>
    <w:rsid w:val="008F31DB"/>
    <w:rsid w:val="008F3225"/>
    <w:rsid w:val="008F340B"/>
    <w:rsid w:val="008F3472"/>
    <w:rsid w:val="008F3597"/>
    <w:rsid w:val="008F366F"/>
    <w:rsid w:val="008F38C5"/>
    <w:rsid w:val="008F39E4"/>
    <w:rsid w:val="008F3AA2"/>
    <w:rsid w:val="008F3C95"/>
    <w:rsid w:val="008F3F13"/>
    <w:rsid w:val="008F410A"/>
    <w:rsid w:val="008F435F"/>
    <w:rsid w:val="008F460D"/>
    <w:rsid w:val="008F46FA"/>
    <w:rsid w:val="008F4863"/>
    <w:rsid w:val="008F4C45"/>
    <w:rsid w:val="008F4CB0"/>
    <w:rsid w:val="008F4DC5"/>
    <w:rsid w:val="008F4E3B"/>
    <w:rsid w:val="008F4E6C"/>
    <w:rsid w:val="008F4F7F"/>
    <w:rsid w:val="008F51F1"/>
    <w:rsid w:val="008F5360"/>
    <w:rsid w:val="008F548C"/>
    <w:rsid w:val="008F56DC"/>
    <w:rsid w:val="008F5751"/>
    <w:rsid w:val="008F57C2"/>
    <w:rsid w:val="008F5AB7"/>
    <w:rsid w:val="008F5AC9"/>
    <w:rsid w:val="008F5AF3"/>
    <w:rsid w:val="008F5B40"/>
    <w:rsid w:val="008F5B71"/>
    <w:rsid w:val="008F5E31"/>
    <w:rsid w:val="008F5FC1"/>
    <w:rsid w:val="008F637A"/>
    <w:rsid w:val="008F6383"/>
    <w:rsid w:val="008F67B9"/>
    <w:rsid w:val="008F6BAE"/>
    <w:rsid w:val="008F6BDD"/>
    <w:rsid w:val="008F6C0B"/>
    <w:rsid w:val="008F6D60"/>
    <w:rsid w:val="008F6FB8"/>
    <w:rsid w:val="008F6FF5"/>
    <w:rsid w:val="008F71F9"/>
    <w:rsid w:val="008F7310"/>
    <w:rsid w:val="008F7502"/>
    <w:rsid w:val="008F7538"/>
    <w:rsid w:val="008F7705"/>
    <w:rsid w:val="008F7755"/>
    <w:rsid w:val="008F7849"/>
    <w:rsid w:val="008F7918"/>
    <w:rsid w:val="008F799A"/>
    <w:rsid w:val="008F7AD6"/>
    <w:rsid w:val="008F7C82"/>
    <w:rsid w:val="008F7E75"/>
    <w:rsid w:val="008F7E83"/>
    <w:rsid w:val="008F7FA3"/>
    <w:rsid w:val="00900304"/>
    <w:rsid w:val="009005A5"/>
    <w:rsid w:val="0090076B"/>
    <w:rsid w:val="00900910"/>
    <w:rsid w:val="00900A76"/>
    <w:rsid w:val="00900B47"/>
    <w:rsid w:val="00900E39"/>
    <w:rsid w:val="00901022"/>
    <w:rsid w:val="00901118"/>
    <w:rsid w:val="009012A1"/>
    <w:rsid w:val="00901399"/>
    <w:rsid w:val="009013C6"/>
    <w:rsid w:val="009014B7"/>
    <w:rsid w:val="009015B2"/>
    <w:rsid w:val="00901735"/>
    <w:rsid w:val="009017E9"/>
    <w:rsid w:val="00901C1B"/>
    <w:rsid w:val="00901D73"/>
    <w:rsid w:val="00902143"/>
    <w:rsid w:val="00902299"/>
    <w:rsid w:val="009023F7"/>
    <w:rsid w:val="00902A4D"/>
    <w:rsid w:val="00902DDF"/>
    <w:rsid w:val="00902E2F"/>
    <w:rsid w:val="00902FE4"/>
    <w:rsid w:val="0090336A"/>
    <w:rsid w:val="009033F0"/>
    <w:rsid w:val="0090363A"/>
    <w:rsid w:val="00903814"/>
    <w:rsid w:val="00903A2B"/>
    <w:rsid w:val="00903C32"/>
    <w:rsid w:val="00903D72"/>
    <w:rsid w:val="00903E13"/>
    <w:rsid w:val="00903E20"/>
    <w:rsid w:val="00903EB6"/>
    <w:rsid w:val="00904097"/>
    <w:rsid w:val="00904111"/>
    <w:rsid w:val="00904167"/>
    <w:rsid w:val="00904176"/>
    <w:rsid w:val="0090418C"/>
    <w:rsid w:val="00904444"/>
    <w:rsid w:val="00904456"/>
    <w:rsid w:val="00904528"/>
    <w:rsid w:val="009045AA"/>
    <w:rsid w:val="00904A27"/>
    <w:rsid w:val="00904BFD"/>
    <w:rsid w:val="00904C62"/>
    <w:rsid w:val="00904CF7"/>
    <w:rsid w:val="00904D68"/>
    <w:rsid w:val="00904E5E"/>
    <w:rsid w:val="00905025"/>
    <w:rsid w:val="009053F7"/>
    <w:rsid w:val="00905422"/>
    <w:rsid w:val="0090546D"/>
    <w:rsid w:val="009054C1"/>
    <w:rsid w:val="00905891"/>
    <w:rsid w:val="00905962"/>
    <w:rsid w:val="00905A06"/>
    <w:rsid w:val="00905A13"/>
    <w:rsid w:val="00905AF6"/>
    <w:rsid w:val="00905CF9"/>
    <w:rsid w:val="00905F72"/>
    <w:rsid w:val="009060EA"/>
    <w:rsid w:val="00906115"/>
    <w:rsid w:val="009065F4"/>
    <w:rsid w:val="009066F5"/>
    <w:rsid w:val="00906749"/>
    <w:rsid w:val="009068B3"/>
    <w:rsid w:val="009069E2"/>
    <w:rsid w:val="00906B16"/>
    <w:rsid w:val="00906B46"/>
    <w:rsid w:val="00906D01"/>
    <w:rsid w:val="00906F1F"/>
    <w:rsid w:val="009072C4"/>
    <w:rsid w:val="009072DE"/>
    <w:rsid w:val="00907412"/>
    <w:rsid w:val="0090758E"/>
    <w:rsid w:val="00907B3E"/>
    <w:rsid w:val="00907CE8"/>
    <w:rsid w:val="00907D23"/>
    <w:rsid w:val="00907D5F"/>
    <w:rsid w:val="00907E70"/>
    <w:rsid w:val="00907EAE"/>
    <w:rsid w:val="00910060"/>
    <w:rsid w:val="009101AA"/>
    <w:rsid w:val="009101EE"/>
    <w:rsid w:val="00910255"/>
    <w:rsid w:val="0091066A"/>
    <w:rsid w:val="009108C1"/>
    <w:rsid w:val="00910918"/>
    <w:rsid w:val="00910A25"/>
    <w:rsid w:val="00910AB7"/>
    <w:rsid w:val="00910C5D"/>
    <w:rsid w:val="00910C67"/>
    <w:rsid w:val="00910D34"/>
    <w:rsid w:val="00910EA8"/>
    <w:rsid w:val="00910EE3"/>
    <w:rsid w:val="00910F00"/>
    <w:rsid w:val="00910F13"/>
    <w:rsid w:val="00910F15"/>
    <w:rsid w:val="00910F1C"/>
    <w:rsid w:val="009112CE"/>
    <w:rsid w:val="0091168A"/>
    <w:rsid w:val="0091193D"/>
    <w:rsid w:val="00911992"/>
    <w:rsid w:val="00911DD9"/>
    <w:rsid w:val="00911DDE"/>
    <w:rsid w:val="00911FFD"/>
    <w:rsid w:val="0091217E"/>
    <w:rsid w:val="0091229A"/>
    <w:rsid w:val="009123DC"/>
    <w:rsid w:val="0091287C"/>
    <w:rsid w:val="00912B3D"/>
    <w:rsid w:val="00912B48"/>
    <w:rsid w:val="00912E62"/>
    <w:rsid w:val="00912FD8"/>
    <w:rsid w:val="00913055"/>
    <w:rsid w:val="0091320D"/>
    <w:rsid w:val="009134D9"/>
    <w:rsid w:val="00913583"/>
    <w:rsid w:val="009136FD"/>
    <w:rsid w:val="00913787"/>
    <w:rsid w:val="009137B9"/>
    <w:rsid w:val="00913922"/>
    <w:rsid w:val="00913B0D"/>
    <w:rsid w:val="00913BAD"/>
    <w:rsid w:val="00913C62"/>
    <w:rsid w:val="00914133"/>
    <w:rsid w:val="009142C7"/>
    <w:rsid w:val="0091446F"/>
    <w:rsid w:val="00914642"/>
    <w:rsid w:val="00914670"/>
    <w:rsid w:val="009146E4"/>
    <w:rsid w:val="0091487E"/>
    <w:rsid w:val="00914980"/>
    <w:rsid w:val="00914A32"/>
    <w:rsid w:val="00914C18"/>
    <w:rsid w:val="00914DA0"/>
    <w:rsid w:val="00914E5D"/>
    <w:rsid w:val="00915055"/>
    <w:rsid w:val="00915208"/>
    <w:rsid w:val="0091522E"/>
    <w:rsid w:val="00915837"/>
    <w:rsid w:val="009158C1"/>
    <w:rsid w:val="009159B8"/>
    <w:rsid w:val="009159EA"/>
    <w:rsid w:val="00915B09"/>
    <w:rsid w:val="00915B29"/>
    <w:rsid w:val="00915B55"/>
    <w:rsid w:val="00915CE8"/>
    <w:rsid w:val="00915F85"/>
    <w:rsid w:val="00916317"/>
    <w:rsid w:val="00916403"/>
    <w:rsid w:val="00916420"/>
    <w:rsid w:val="0091655D"/>
    <w:rsid w:val="009168E7"/>
    <w:rsid w:val="00916A45"/>
    <w:rsid w:val="00916BCE"/>
    <w:rsid w:val="00916C76"/>
    <w:rsid w:val="00916CAF"/>
    <w:rsid w:val="00916E1A"/>
    <w:rsid w:val="00916F43"/>
    <w:rsid w:val="00916F77"/>
    <w:rsid w:val="00916FC8"/>
    <w:rsid w:val="00917245"/>
    <w:rsid w:val="009174FA"/>
    <w:rsid w:val="009175DF"/>
    <w:rsid w:val="00917608"/>
    <w:rsid w:val="0091769D"/>
    <w:rsid w:val="009176DE"/>
    <w:rsid w:val="00917727"/>
    <w:rsid w:val="009178D3"/>
    <w:rsid w:val="00917953"/>
    <w:rsid w:val="00917E8B"/>
    <w:rsid w:val="00917EDD"/>
    <w:rsid w:val="009201DB"/>
    <w:rsid w:val="009202D4"/>
    <w:rsid w:val="0092035B"/>
    <w:rsid w:val="00920407"/>
    <w:rsid w:val="00920654"/>
    <w:rsid w:val="00920839"/>
    <w:rsid w:val="00920B29"/>
    <w:rsid w:val="00921376"/>
    <w:rsid w:val="00921402"/>
    <w:rsid w:val="009216F8"/>
    <w:rsid w:val="0092174A"/>
    <w:rsid w:val="009218A1"/>
    <w:rsid w:val="00921C58"/>
    <w:rsid w:val="00921D52"/>
    <w:rsid w:val="00921D74"/>
    <w:rsid w:val="00921F90"/>
    <w:rsid w:val="009220D1"/>
    <w:rsid w:val="009223B1"/>
    <w:rsid w:val="0092251F"/>
    <w:rsid w:val="00922758"/>
    <w:rsid w:val="009228EF"/>
    <w:rsid w:val="009228FC"/>
    <w:rsid w:val="00922AC9"/>
    <w:rsid w:val="00922E6C"/>
    <w:rsid w:val="00922E95"/>
    <w:rsid w:val="00922F41"/>
    <w:rsid w:val="00923120"/>
    <w:rsid w:val="00923175"/>
    <w:rsid w:val="009231E6"/>
    <w:rsid w:val="009232DC"/>
    <w:rsid w:val="00923326"/>
    <w:rsid w:val="009234FD"/>
    <w:rsid w:val="009236A3"/>
    <w:rsid w:val="00923AA4"/>
    <w:rsid w:val="00923B9C"/>
    <w:rsid w:val="00923E5F"/>
    <w:rsid w:val="00923E8F"/>
    <w:rsid w:val="00923FD3"/>
    <w:rsid w:val="009240BC"/>
    <w:rsid w:val="00924103"/>
    <w:rsid w:val="00924137"/>
    <w:rsid w:val="0092421E"/>
    <w:rsid w:val="009243C9"/>
    <w:rsid w:val="009244EF"/>
    <w:rsid w:val="009245EB"/>
    <w:rsid w:val="00924663"/>
    <w:rsid w:val="00924866"/>
    <w:rsid w:val="00924A00"/>
    <w:rsid w:val="00924B0B"/>
    <w:rsid w:val="00924DC4"/>
    <w:rsid w:val="00925241"/>
    <w:rsid w:val="0092542F"/>
    <w:rsid w:val="009255E6"/>
    <w:rsid w:val="00925784"/>
    <w:rsid w:val="009258B6"/>
    <w:rsid w:val="00925A84"/>
    <w:rsid w:val="00925ABA"/>
    <w:rsid w:val="00925B57"/>
    <w:rsid w:val="00925C44"/>
    <w:rsid w:val="00925DB7"/>
    <w:rsid w:val="00925F86"/>
    <w:rsid w:val="00925FEC"/>
    <w:rsid w:val="00926011"/>
    <w:rsid w:val="00926080"/>
    <w:rsid w:val="00926385"/>
    <w:rsid w:val="00926465"/>
    <w:rsid w:val="00926655"/>
    <w:rsid w:val="00926920"/>
    <w:rsid w:val="00926922"/>
    <w:rsid w:val="00926B93"/>
    <w:rsid w:val="00926BB7"/>
    <w:rsid w:val="00926C60"/>
    <w:rsid w:val="00926C61"/>
    <w:rsid w:val="00926D3A"/>
    <w:rsid w:val="00926E2C"/>
    <w:rsid w:val="00926F79"/>
    <w:rsid w:val="00927029"/>
    <w:rsid w:val="009270C5"/>
    <w:rsid w:val="009270F1"/>
    <w:rsid w:val="00927121"/>
    <w:rsid w:val="009273C8"/>
    <w:rsid w:val="0092770D"/>
    <w:rsid w:val="009277BC"/>
    <w:rsid w:val="00927AE6"/>
    <w:rsid w:val="00927B06"/>
    <w:rsid w:val="00927BCB"/>
    <w:rsid w:val="00927C09"/>
    <w:rsid w:val="00927C4F"/>
    <w:rsid w:val="00927CBB"/>
    <w:rsid w:val="00927EAD"/>
    <w:rsid w:val="00930136"/>
    <w:rsid w:val="00930258"/>
    <w:rsid w:val="00930386"/>
    <w:rsid w:val="0093046A"/>
    <w:rsid w:val="009307F1"/>
    <w:rsid w:val="00930A39"/>
    <w:rsid w:val="00930A58"/>
    <w:rsid w:val="00930BC0"/>
    <w:rsid w:val="00930C27"/>
    <w:rsid w:val="00930D60"/>
    <w:rsid w:val="009313CB"/>
    <w:rsid w:val="0093149E"/>
    <w:rsid w:val="00931768"/>
    <w:rsid w:val="00931935"/>
    <w:rsid w:val="00931945"/>
    <w:rsid w:val="009319B7"/>
    <w:rsid w:val="00931A87"/>
    <w:rsid w:val="00931DA2"/>
    <w:rsid w:val="00931DBE"/>
    <w:rsid w:val="00931F44"/>
    <w:rsid w:val="0093215F"/>
    <w:rsid w:val="0093217F"/>
    <w:rsid w:val="009324A7"/>
    <w:rsid w:val="009325F5"/>
    <w:rsid w:val="00932633"/>
    <w:rsid w:val="00932694"/>
    <w:rsid w:val="00932721"/>
    <w:rsid w:val="00932D33"/>
    <w:rsid w:val="00932E17"/>
    <w:rsid w:val="009330B9"/>
    <w:rsid w:val="009331D4"/>
    <w:rsid w:val="009332D9"/>
    <w:rsid w:val="009333D4"/>
    <w:rsid w:val="00933588"/>
    <w:rsid w:val="0093364C"/>
    <w:rsid w:val="00933754"/>
    <w:rsid w:val="0093382D"/>
    <w:rsid w:val="00933A0A"/>
    <w:rsid w:val="00933BA5"/>
    <w:rsid w:val="00933EBF"/>
    <w:rsid w:val="00933F5E"/>
    <w:rsid w:val="00934104"/>
    <w:rsid w:val="009341A2"/>
    <w:rsid w:val="00934236"/>
    <w:rsid w:val="0093423E"/>
    <w:rsid w:val="0093452C"/>
    <w:rsid w:val="00934910"/>
    <w:rsid w:val="00934BD6"/>
    <w:rsid w:val="00934E21"/>
    <w:rsid w:val="00934F15"/>
    <w:rsid w:val="00934FB1"/>
    <w:rsid w:val="009350B2"/>
    <w:rsid w:val="009350F0"/>
    <w:rsid w:val="00935105"/>
    <w:rsid w:val="0093521A"/>
    <w:rsid w:val="009352FA"/>
    <w:rsid w:val="0093547F"/>
    <w:rsid w:val="009355F9"/>
    <w:rsid w:val="00935696"/>
    <w:rsid w:val="009356A5"/>
    <w:rsid w:val="009357DD"/>
    <w:rsid w:val="0093584D"/>
    <w:rsid w:val="009358A9"/>
    <w:rsid w:val="00935D4C"/>
    <w:rsid w:val="0093600A"/>
    <w:rsid w:val="00936106"/>
    <w:rsid w:val="00936462"/>
    <w:rsid w:val="00936552"/>
    <w:rsid w:val="00936749"/>
    <w:rsid w:val="0093691E"/>
    <w:rsid w:val="00936943"/>
    <w:rsid w:val="00936A05"/>
    <w:rsid w:val="00936A06"/>
    <w:rsid w:val="00936D70"/>
    <w:rsid w:val="00936E84"/>
    <w:rsid w:val="00936E9B"/>
    <w:rsid w:val="00936F13"/>
    <w:rsid w:val="00936F53"/>
    <w:rsid w:val="0093725C"/>
    <w:rsid w:val="009372A4"/>
    <w:rsid w:val="009372B6"/>
    <w:rsid w:val="009372C0"/>
    <w:rsid w:val="0093767C"/>
    <w:rsid w:val="009377D4"/>
    <w:rsid w:val="00937991"/>
    <w:rsid w:val="00937ABC"/>
    <w:rsid w:val="00937CC7"/>
    <w:rsid w:val="00937DBB"/>
    <w:rsid w:val="00937E95"/>
    <w:rsid w:val="0094044D"/>
    <w:rsid w:val="009404E2"/>
    <w:rsid w:val="009405A3"/>
    <w:rsid w:val="009407C4"/>
    <w:rsid w:val="009408FE"/>
    <w:rsid w:val="00940982"/>
    <w:rsid w:val="00940997"/>
    <w:rsid w:val="009409EE"/>
    <w:rsid w:val="00940A8C"/>
    <w:rsid w:val="00940AC0"/>
    <w:rsid w:val="00940B1B"/>
    <w:rsid w:val="00940D39"/>
    <w:rsid w:val="00940EA6"/>
    <w:rsid w:val="00940FFE"/>
    <w:rsid w:val="00941008"/>
    <w:rsid w:val="0094106F"/>
    <w:rsid w:val="009410AE"/>
    <w:rsid w:val="00941223"/>
    <w:rsid w:val="00941644"/>
    <w:rsid w:val="00941709"/>
    <w:rsid w:val="00941927"/>
    <w:rsid w:val="0094197C"/>
    <w:rsid w:val="009419A4"/>
    <w:rsid w:val="009419C9"/>
    <w:rsid w:val="009419D2"/>
    <w:rsid w:val="00941A7F"/>
    <w:rsid w:val="00941A8C"/>
    <w:rsid w:val="00941AD9"/>
    <w:rsid w:val="00941B06"/>
    <w:rsid w:val="00941D54"/>
    <w:rsid w:val="00941F42"/>
    <w:rsid w:val="0094206B"/>
    <w:rsid w:val="0094212A"/>
    <w:rsid w:val="0094224F"/>
    <w:rsid w:val="00942477"/>
    <w:rsid w:val="009428C2"/>
    <w:rsid w:val="009428E4"/>
    <w:rsid w:val="00942ACC"/>
    <w:rsid w:val="00942E7C"/>
    <w:rsid w:val="00942F76"/>
    <w:rsid w:val="00943235"/>
    <w:rsid w:val="0094336E"/>
    <w:rsid w:val="0094350F"/>
    <w:rsid w:val="00943A7C"/>
    <w:rsid w:val="00943AE3"/>
    <w:rsid w:val="00943B00"/>
    <w:rsid w:val="00943B4F"/>
    <w:rsid w:val="00943C8F"/>
    <w:rsid w:val="00943DB1"/>
    <w:rsid w:val="00943E50"/>
    <w:rsid w:val="009440B6"/>
    <w:rsid w:val="009443EA"/>
    <w:rsid w:val="0094456C"/>
    <w:rsid w:val="00944682"/>
    <w:rsid w:val="00944A3D"/>
    <w:rsid w:val="00944C66"/>
    <w:rsid w:val="00945025"/>
    <w:rsid w:val="009450C0"/>
    <w:rsid w:val="0094511F"/>
    <w:rsid w:val="009451C9"/>
    <w:rsid w:val="009456A8"/>
    <w:rsid w:val="00945828"/>
    <w:rsid w:val="009458AE"/>
    <w:rsid w:val="009459EA"/>
    <w:rsid w:val="00945C19"/>
    <w:rsid w:val="00945D60"/>
    <w:rsid w:val="00945D98"/>
    <w:rsid w:val="00945DE0"/>
    <w:rsid w:val="00945E5D"/>
    <w:rsid w:val="009460F2"/>
    <w:rsid w:val="0094611B"/>
    <w:rsid w:val="009461ED"/>
    <w:rsid w:val="009464CF"/>
    <w:rsid w:val="00946596"/>
    <w:rsid w:val="009465E8"/>
    <w:rsid w:val="0094662A"/>
    <w:rsid w:val="009467B1"/>
    <w:rsid w:val="00946CA2"/>
    <w:rsid w:val="00947313"/>
    <w:rsid w:val="009474F9"/>
    <w:rsid w:val="00947629"/>
    <w:rsid w:val="0094762D"/>
    <w:rsid w:val="00947699"/>
    <w:rsid w:val="00947776"/>
    <w:rsid w:val="00947866"/>
    <w:rsid w:val="00947F32"/>
    <w:rsid w:val="0094DD36"/>
    <w:rsid w:val="009500C8"/>
    <w:rsid w:val="00950143"/>
    <w:rsid w:val="00950278"/>
    <w:rsid w:val="00950409"/>
    <w:rsid w:val="009504C5"/>
    <w:rsid w:val="00950593"/>
    <w:rsid w:val="0095067E"/>
    <w:rsid w:val="00950707"/>
    <w:rsid w:val="00950796"/>
    <w:rsid w:val="009508FA"/>
    <w:rsid w:val="00950AF9"/>
    <w:rsid w:val="00950B25"/>
    <w:rsid w:val="00950C52"/>
    <w:rsid w:val="00950C5E"/>
    <w:rsid w:val="00950CA4"/>
    <w:rsid w:val="00950DE9"/>
    <w:rsid w:val="00950F40"/>
    <w:rsid w:val="0095122B"/>
    <w:rsid w:val="00951286"/>
    <w:rsid w:val="00951572"/>
    <w:rsid w:val="00951628"/>
    <w:rsid w:val="009517D8"/>
    <w:rsid w:val="00951A8F"/>
    <w:rsid w:val="00951AFF"/>
    <w:rsid w:val="00951B19"/>
    <w:rsid w:val="00951C4C"/>
    <w:rsid w:val="00951FBA"/>
    <w:rsid w:val="0095205B"/>
    <w:rsid w:val="009522DE"/>
    <w:rsid w:val="0095241C"/>
    <w:rsid w:val="009525FB"/>
    <w:rsid w:val="00952BEC"/>
    <w:rsid w:val="009531C6"/>
    <w:rsid w:val="0095320A"/>
    <w:rsid w:val="009534DE"/>
    <w:rsid w:val="0095350A"/>
    <w:rsid w:val="0095352D"/>
    <w:rsid w:val="009536F7"/>
    <w:rsid w:val="00953A34"/>
    <w:rsid w:val="00953AE2"/>
    <w:rsid w:val="00953BA5"/>
    <w:rsid w:val="00953D18"/>
    <w:rsid w:val="00953E58"/>
    <w:rsid w:val="00953F8A"/>
    <w:rsid w:val="00953F9D"/>
    <w:rsid w:val="009541B7"/>
    <w:rsid w:val="009543FA"/>
    <w:rsid w:val="0095476E"/>
    <w:rsid w:val="009547E5"/>
    <w:rsid w:val="0095483B"/>
    <w:rsid w:val="00954B72"/>
    <w:rsid w:val="00954BC9"/>
    <w:rsid w:val="00954C04"/>
    <w:rsid w:val="00954D14"/>
    <w:rsid w:val="00954DE5"/>
    <w:rsid w:val="00955057"/>
    <w:rsid w:val="0095517D"/>
    <w:rsid w:val="00955190"/>
    <w:rsid w:val="009551CA"/>
    <w:rsid w:val="0095533B"/>
    <w:rsid w:val="009553BB"/>
    <w:rsid w:val="009555AC"/>
    <w:rsid w:val="009558BB"/>
    <w:rsid w:val="00955983"/>
    <w:rsid w:val="009559D0"/>
    <w:rsid w:val="00955B58"/>
    <w:rsid w:val="00955B7E"/>
    <w:rsid w:val="00955C3F"/>
    <w:rsid w:val="00955CDD"/>
    <w:rsid w:val="00955CE9"/>
    <w:rsid w:val="00955D29"/>
    <w:rsid w:val="009560EA"/>
    <w:rsid w:val="00956121"/>
    <w:rsid w:val="0095627F"/>
    <w:rsid w:val="00956280"/>
    <w:rsid w:val="00956387"/>
    <w:rsid w:val="0095654C"/>
    <w:rsid w:val="009565B7"/>
    <w:rsid w:val="00956690"/>
    <w:rsid w:val="009566CD"/>
    <w:rsid w:val="00956849"/>
    <w:rsid w:val="00956907"/>
    <w:rsid w:val="009569BA"/>
    <w:rsid w:val="00956B23"/>
    <w:rsid w:val="00956BC5"/>
    <w:rsid w:val="00956E30"/>
    <w:rsid w:val="00956E83"/>
    <w:rsid w:val="00956F0F"/>
    <w:rsid w:val="00956FB9"/>
    <w:rsid w:val="0095703B"/>
    <w:rsid w:val="009570F0"/>
    <w:rsid w:val="0095710A"/>
    <w:rsid w:val="00957201"/>
    <w:rsid w:val="0095731E"/>
    <w:rsid w:val="0095742F"/>
    <w:rsid w:val="009574F8"/>
    <w:rsid w:val="0095761B"/>
    <w:rsid w:val="009576B3"/>
    <w:rsid w:val="00957907"/>
    <w:rsid w:val="00957BA0"/>
    <w:rsid w:val="00957C51"/>
    <w:rsid w:val="00957CBD"/>
    <w:rsid w:val="00957DD7"/>
    <w:rsid w:val="009600FC"/>
    <w:rsid w:val="0096019A"/>
    <w:rsid w:val="009602A9"/>
    <w:rsid w:val="009608C5"/>
    <w:rsid w:val="00960F28"/>
    <w:rsid w:val="00961113"/>
    <w:rsid w:val="0096122B"/>
    <w:rsid w:val="0096153C"/>
    <w:rsid w:val="00961564"/>
    <w:rsid w:val="0096177C"/>
    <w:rsid w:val="0096189F"/>
    <w:rsid w:val="00961AB1"/>
    <w:rsid w:val="00961E21"/>
    <w:rsid w:val="00961EDD"/>
    <w:rsid w:val="00961EEF"/>
    <w:rsid w:val="00961FC0"/>
    <w:rsid w:val="009620B0"/>
    <w:rsid w:val="009620F2"/>
    <w:rsid w:val="00962122"/>
    <w:rsid w:val="00962185"/>
    <w:rsid w:val="009622E8"/>
    <w:rsid w:val="00962539"/>
    <w:rsid w:val="009625D8"/>
    <w:rsid w:val="00962667"/>
    <w:rsid w:val="00962880"/>
    <w:rsid w:val="00962914"/>
    <w:rsid w:val="00962BCA"/>
    <w:rsid w:val="00962C42"/>
    <w:rsid w:val="00962DC6"/>
    <w:rsid w:val="00962DDF"/>
    <w:rsid w:val="00963131"/>
    <w:rsid w:val="00963205"/>
    <w:rsid w:val="0096324F"/>
    <w:rsid w:val="0096325A"/>
    <w:rsid w:val="00963437"/>
    <w:rsid w:val="009634E1"/>
    <w:rsid w:val="009635B6"/>
    <w:rsid w:val="00963B64"/>
    <w:rsid w:val="00963BDF"/>
    <w:rsid w:val="00963C10"/>
    <w:rsid w:val="00963C28"/>
    <w:rsid w:val="00963C3F"/>
    <w:rsid w:val="00963D75"/>
    <w:rsid w:val="00963DAA"/>
    <w:rsid w:val="009640E6"/>
    <w:rsid w:val="00964116"/>
    <w:rsid w:val="0096412A"/>
    <w:rsid w:val="00964280"/>
    <w:rsid w:val="00964363"/>
    <w:rsid w:val="00964390"/>
    <w:rsid w:val="00964401"/>
    <w:rsid w:val="0096441A"/>
    <w:rsid w:val="0096465A"/>
    <w:rsid w:val="00964713"/>
    <w:rsid w:val="00964AEE"/>
    <w:rsid w:val="00964AF7"/>
    <w:rsid w:val="00964B47"/>
    <w:rsid w:val="00964BA7"/>
    <w:rsid w:val="00964C8E"/>
    <w:rsid w:val="00964DBF"/>
    <w:rsid w:val="00964E56"/>
    <w:rsid w:val="0096506D"/>
    <w:rsid w:val="0096515C"/>
    <w:rsid w:val="0096519D"/>
    <w:rsid w:val="009651C2"/>
    <w:rsid w:val="009651CA"/>
    <w:rsid w:val="009651E1"/>
    <w:rsid w:val="00965362"/>
    <w:rsid w:val="009653E7"/>
    <w:rsid w:val="009656BD"/>
    <w:rsid w:val="00965729"/>
    <w:rsid w:val="009659CA"/>
    <w:rsid w:val="00965C19"/>
    <w:rsid w:val="00965C35"/>
    <w:rsid w:val="00965C47"/>
    <w:rsid w:val="00966070"/>
    <w:rsid w:val="00966185"/>
    <w:rsid w:val="0096619A"/>
    <w:rsid w:val="00966351"/>
    <w:rsid w:val="009664A9"/>
    <w:rsid w:val="0096651C"/>
    <w:rsid w:val="009665F7"/>
    <w:rsid w:val="00966939"/>
    <w:rsid w:val="00966940"/>
    <w:rsid w:val="00966CBE"/>
    <w:rsid w:val="00967009"/>
    <w:rsid w:val="00967231"/>
    <w:rsid w:val="00967432"/>
    <w:rsid w:val="0096756C"/>
    <w:rsid w:val="009675E5"/>
    <w:rsid w:val="009676D8"/>
    <w:rsid w:val="0096776D"/>
    <w:rsid w:val="009678BC"/>
    <w:rsid w:val="00967A9E"/>
    <w:rsid w:val="00967BBC"/>
    <w:rsid w:val="00967CE4"/>
    <w:rsid w:val="00967DC7"/>
    <w:rsid w:val="00967DDC"/>
    <w:rsid w:val="00967E45"/>
    <w:rsid w:val="00967F13"/>
    <w:rsid w:val="00967FF3"/>
    <w:rsid w:val="0097008B"/>
    <w:rsid w:val="00970143"/>
    <w:rsid w:val="009702B6"/>
    <w:rsid w:val="009703C9"/>
    <w:rsid w:val="0097040E"/>
    <w:rsid w:val="009704F9"/>
    <w:rsid w:val="0097075C"/>
    <w:rsid w:val="0097075E"/>
    <w:rsid w:val="00970853"/>
    <w:rsid w:val="009708F6"/>
    <w:rsid w:val="00970A2D"/>
    <w:rsid w:val="00970CB2"/>
    <w:rsid w:val="00970DD6"/>
    <w:rsid w:val="0097123E"/>
    <w:rsid w:val="00971250"/>
    <w:rsid w:val="0097138A"/>
    <w:rsid w:val="009713B1"/>
    <w:rsid w:val="00971402"/>
    <w:rsid w:val="009714CD"/>
    <w:rsid w:val="009718D2"/>
    <w:rsid w:val="009719C2"/>
    <w:rsid w:val="00971A36"/>
    <w:rsid w:val="00971BE2"/>
    <w:rsid w:val="00971C60"/>
    <w:rsid w:val="0097200A"/>
    <w:rsid w:val="00972315"/>
    <w:rsid w:val="009723E3"/>
    <w:rsid w:val="0097267F"/>
    <w:rsid w:val="0097281A"/>
    <w:rsid w:val="00972914"/>
    <w:rsid w:val="00972DB8"/>
    <w:rsid w:val="009730D2"/>
    <w:rsid w:val="00973116"/>
    <w:rsid w:val="0097311A"/>
    <w:rsid w:val="0097336B"/>
    <w:rsid w:val="00973B98"/>
    <w:rsid w:val="00973D29"/>
    <w:rsid w:val="00973D67"/>
    <w:rsid w:val="00973E2C"/>
    <w:rsid w:val="00973EC2"/>
    <w:rsid w:val="00973F74"/>
    <w:rsid w:val="0097413B"/>
    <w:rsid w:val="009741C9"/>
    <w:rsid w:val="009743A6"/>
    <w:rsid w:val="009744F3"/>
    <w:rsid w:val="00974564"/>
    <w:rsid w:val="0097458A"/>
    <w:rsid w:val="009747C6"/>
    <w:rsid w:val="00974861"/>
    <w:rsid w:val="00974884"/>
    <w:rsid w:val="009748CE"/>
    <w:rsid w:val="00974A57"/>
    <w:rsid w:val="00974BCA"/>
    <w:rsid w:val="00974CCD"/>
    <w:rsid w:val="00974CE8"/>
    <w:rsid w:val="00974CF4"/>
    <w:rsid w:val="00974D01"/>
    <w:rsid w:val="00974D7A"/>
    <w:rsid w:val="00974F69"/>
    <w:rsid w:val="0097501A"/>
    <w:rsid w:val="009752DD"/>
    <w:rsid w:val="009754F1"/>
    <w:rsid w:val="00975584"/>
    <w:rsid w:val="009756C4"/>
    <w:rsid w:val="009756C8"/>
    <w:rsid w:val="0097575B"/>
    <w:rsid w:val="00975897"/>
    <w:rsid w:val="009759E6"/>
    <w:rsid w:val="00975C3D"/>
    <w:rsid w:val="00975F60"/>
    <w:rsid w:val="00976089"/>
    <w:rsid w:val="00976697"/>
    <w:rsid w:val="009768FE"/>
    <w:rsid w:val="00976A3F"/>
    <w:rsid w:val="00976EE0"/>
    <w:rsid w:val="00976F6E"/>
    <w:rsid w:val="0097725D"/>
    <w:rsid w:val="009772BD"/>
    <w:rsid w:val="009772D2"/>
    <w:rsid w:val="0097751A"/>
    <w:rsid w:val="009776CC"/>
    <w:rsid w:val="00977938"/>
    <w:rsid w:val="009779E4"/>
    <w:rsid w:val="00977AAF"/>
    <w:rsid w:val="00977AED"/>
    <w:rsid w:val="00977BA4"/>
    <w:rsid w:val="00977BC6"/>
    <w:rsid w:val="00977BEA"/>
    <w:rsid w:val="00977D55"/>
    <w:rsid w:val="00977E88"/>
    <w:rsid w:val="00977EBE"/>
    <w:rsid w:val="00977FF0"/>
    <w:rsid w:val="00980003"/>
    <w:rsid w:val="009801F8"/>
    <w:rsid w:val="009801F9"/>
    <w:rsid w:val="0098030B"/>
    <w:rsid w:val="0098041F"/>
    <w:rsid w:val="00980454"/>
    <w:rsid w:val="009804F3"/>
    <w:rsid w:val="009807A2"/>
    <w:rsid w:val="0098082A"/>
    <w:rsid w:val="00980895"/>
    <w:rsid w:val="00980AA5"/>
    <w:rsid w:val="00980BF6"/>
    <w:rsid w:val="00980DE2"/>
    <w:rsid w:val="00980E04"/>
    <w:rsid w:val="00980F2C"/>
    <w:rsid w:val="00980FA3"/>
    <w:rsid w:val="00981018"/>
    <w:rsid w:val="0098109D"/>
    <w:rsid w:val="009811F5"/>
    <w:rsid w:val="009812CB"/>
    <w:rsid w:val="009812D6"/>
    <w:rsid w:val="00981968"/>
    <w:rsid w:val="009819C7"/>
    <w:rsid w:val="009819CD"/>
    <w:rsid w:val="00981A19"/>
    <w:rsid w:val="00981B1C"/>
    <w:rsid w:val="00981B24"/>
    <w:rsid w:val="00981C02"/>
    <w:rsid w:val="00981DAD"/>
    <w:rsid w:val="00981FDC"/>
    <w:rsid w:val="00982140"/>
    <w:rsid w:val="00982520"/>
    <w:rsid w:val="0098266A"/>
    <w:rsid w:val="00982826"/>
    <w:rsid w:val="00982B80"/>
    <w:rsid w:val="00982BA2"/>
    <w:rsid w:val="00982BCD"/>
    <w:rsid w:val="00982CD2"/>
    <w:rsid w:val="00982DC8"/>
    <w:rsid w:val="00982EE9"/>
    <w:rsid w:val="0098315D"/>
    <w:rsid w:val="009831A1"/>
    <w:rsid w:val="00983432"/>
    <w:rsid w:val="00983530"/>
    <w:rsid w:val="009835A2"/>
    <w:rsid w:val="00983775"/>
    <w:rsid w:val="0098381A"/>
    <w:rsid w:val="00983825"/>
    <w:rsid w:val="00983929"/>
    <w:rsid w:val="00983A25"/>
    <w:rsid w:val="00983A51"/>
    <w:rsid w:val="00983E23"/>
    <w:rsid w:val="00984115"/>
    <w:rsid w:val="0098412E"/>
    <w:rsid w:val="00984131"/>
    <w:rsid w:val="00984136"/>
    <w:rsid w:val="009843D0"/>
    <w:rsid w:val="00984C1D"/>
    <w:rsid w:val="00984D7F"/>
    <w:rsid w:val="00984DB4"/>
    <w:rsid w:val="00984F5A"/>
    <w:rsid w:val="00984F93"/>
    <w:rsid w:val="00984FC2"/>
    <w:rsid w:val="009850FD"/>
    <w:rsid w:val="00985433"/>
    <w:rsid w:val="009854C5"/>
    <w:rsid w:val="009854EE"/>
    <w:rsid w:val="0098559F"/>
    <w:rsid w:val="009855E7"/>
    <w:rsid w:val="009856A4"/>
    <w:rsid w:val="00985932"/>
    <w:rsid w:val="00985C5C"/>
    <w:rsid w:val="00985CD5"/>
    <w:rsid w:val="00985DA6"/>
    <w:rsid w:val="009861A3"/>
    <w:rsid w:val="009861FB"/>
    <w:rsid w:val="00986247"/>
    <w:rsid w:val="00986405"/>
    <w:rsid w:val="00986B5F"/>
    <w:rsid w:val="00986E77"/>
    <w:rsid w:val="00986FE6"/>
    <w:rsid w:val="009870BB"/>
    <w:rsid w:val="009871C8"/>
    <w:rsid w:val="0098750C"/>
    <w:rsid w:val="00987577"/>
    <w:rsid w:val="00987650"/>
    <w:rsid w:val="0098777C"/>
    <w:rsid w:val="00987830"/>
    <w:rsid w:val="00987A2A"/>
    <w:rsid w:val="009900F6"/>
    <w:rsid w:val="00990258"/>
    <w:rsid w:val="009905F5"/>
    <w:rsid w:val="00990743"/>
    <w:rsid w:val="009908BB"/>
    <w:rsid w:val="00990BB1"/>
    <w:rsid w:val="00990D05"/>
    <w:rsid w:val="00990FDA"/>
    <w:rsid w:val="009910A4"/>
    <w:rsid w:val="0099110B"/>
    <w:rsid w:val="00991322"/>
    <w:rsid w:val="009914E3"/>
    <w:rsid w:val="0099151E"/>
    <w:rsid w:val="00991538"/>
    <w:rsid w:val="009915B1"/>
    <w:rsid w:val="00991603"/>
    <w:rsid w:val="009918BE"/>
    <w:rsid w:val="009918C9"/>
    <w:rsid w:val="009919D3"/>
    <w:rsid w:val="00991D90"/>
    <w:rsid w:val="00991ED8"/>
    <w:rsid w:val="0099228A"/>
    <w:rsid w:val="009923DA"/>
    <w:rsid w:val="00992506"/>
    <w:rsid w:val="0099257B"/>
    <w:rsid w:val="009925E8"/>
    <w:rsid w:val="00992941"/>
    <w:rsid w:val="00992A31"/>
    <w:rsid w:val="00992A86"/>
    <w:rsid w:val="00992AA0"/>
    <w:rsid w:val="00992D67"/>
    <w:rsid w:val="00992D68"/>
    <w:rsid w:val="0099311D"/>
    <w:rsid w:val="0099314C"/>
    <w:rsid w:val="009931E5"/>
    <w:rsid w:val="00993366"/>
    <w:rsid w:val="0099348B"/>
    <w:rsid w:val="0099372E"/>
    <w:rsid w:val="0099375A"/>
    <w:rsid w:val="00993805"/>
    <w:rsid w:val="00993870"/>
    <w:rsid w:val="009939F7"/>
    <w:rsid w:val="00993A45"/>
    <w:rsid w:val="00993BBA"/>
    <w:rsid w:val="00993CF4"/>
    <w:rsid w:val="00993E06"/>
    <w:rsid w:val="00994120"/>
    <w:rsid w:val="00994139"/>
    <w:rsid w:val="009941F3"/>
    <w:rsid w:val="009943D6"/>
    <w:rsid w:val="009945BC"/>
    <w:rsid w:val="00994611"/>
    <w:rsid w:val="00994621"/>
    <w:rsid w:val="009947AA"/>
    <w:rsid w:val="009949FC"/>
    <w:rsid w:val="00994C96"/>
    <w:rsid w:val="00994F8F"/>
    <w:rsid w:val="009950E1"/>
    <w:rsid w:val="00995104"/>
    <w:rsid w:val="009952BA"/>
    <w:rsid w:val="00995372"/>
    <w:rsid w:val="009953C6"/>
    <w:rsid w:val="009953CB"/>
    <w:rsid w:val="009954A6"/>
    <w:rsid w:val="00995678"/>
    <w:rsid w:val="00995810"/>
    <w:rsid w:val="009958BB"/>
    <w:rsid w:val="00995912"/>
    <w:rsid w:val="0099593B"/>
    <w:rsid w:val="00995975"/>
    <w:rsid w:val="00995BCB"/>
    <w:rsid w:val="00995C6C"/>
    <w:rsid w:val="00995D77"/>
    <w:rsid w:val="00995DE5"/>
    <w:rsid w:val="009960A5"/>
    <w:rsid w:val="00996297"/>
    <w:rsid w:val="00996355"/>
    <w:rsid w:val="009964A2"/>
    <w:rsid w:val="0099665B"/>
    <w:rsid w:val="009969D3"/>
    <w:rsid w:val="00996CA0"/>
    <w:rsid w:val="00996D3D"/>
    <w:rsid w:val="00996E09"/>
    <w:rsid w:val="00997096"/>
    <w:rsid w:val="009973F4"/>
    <w:rsid w:val="00997486"/>
    <w:rsid w:val="009974C1"/>
    <w:rsid w:val="00997795"/>
    <w:rsid w:val="0099786F"/>
    <w:rsid w:val="00997991"/>
    <w:rsid w:val="00997A40"/>
    <w:rsid w:val="00997DDE"/>
    <w:rsid w:val="00997F07"/>
    <w:rsid w:val="00997F77"/>
    <w:rsid w:val="009A02A0"/>
    <w:rsid w:val="009A03ED"/>
    <w:rsid w:val="009A0464"/>
    <w:rsid w:val="009A0740"/>
    <w:rsid w:val="009A07D5"/>
    <w:rsid w:val="009A0892"/>
    <w:rsid w:val="009A08E7"/>
    <w:rsid w:val="009A0A06"/>
    <w:rsid w:val="009A0A1D"/>
    <w:rsid w:val="009A0CC7"/>
    <w:rsid w:val="009A1531"/>
    <w:rsid w:val="009A16AB"/>
    <w:rsid w:val="009A1796"/>
    <w:rsid w:val="009A1D40"/>
    <w:rsid w:val="009A2053"/>
    <w:rsid w:val="009A2359"/>
    <w:rsid w:val="009A2360"/>
    <w:rsid w:val="009A24E1"/>
    <w:rsid w:val="009A2599"/>
    <w:rsid w:val="009A25F7"/>
    <w:rsid w:val="009A2663"/>
    <w:rsid w:val="009A280C"/>
    <w:rsid w:val="009A2882"/>
    <w:rsid w:val="009A2887"/>
    <w:rsid w:val="009A28E5"/>
    <w:rsid w:val="009A2E00"/>
    <w:rsid w:val="009A2ECB"/>
    <w:rsid w:val="009A2FF2"/>
    <w:rsid w:val="009A3136"/>
    <w:rsid w:val="009A3263"/>
    <w:rsid w:val="009A329E"/>
    <w:rsid w:val="009A336B"/>
    <w:rsid w:val="009A3434"/>
    <w:rsid w:val="009A349C"/>
    <w:rsid w:val="009A352D"/>
    <w:rsid w:val="009A3627"/>
    <w:rsid w:val="009A366C"/>
    <w:rsid w:val="009A38D3"/>
    <w:rsid w:val="009A3AC2"/>
    <w:rsid w:val="009A3B7C"/>
    <w:rsid w:val="009A3F0D"/>
    <w:rsid w:val="009A41A5"/>
    <w:rsid w:val="009A4252"/>
    <w:rsid w:val="009A441A"/>
    <w:rsid w:val="009A444C"/>
    <w:rsid w:val="009A4454"/>
    <w:rsid w:val="009A4486"/>
    <w:rsid w:val="009A44A5"/>
    <w:rsid w:val="009A44A7"/>
    <w:rsid w:val="009A457A"/>
    <w:rsid w:val="009A48B0"/>
    <w:rsid w:val="009A48CD"/>
    <w:rsid w:val="009A495E"/>
    <w:rsid w:val="009A4982"/>
    <w:rsid w:val="009A49FE"/>
    <w:rsid w:val="009A4BCD"/>
    <w:rsid w:val="009A4DCE"/>
    <w:rsid w:val="009A507A"/>
    <w:rsid w:val="009A5210"/>
    <w:rsid w:val="009A528A"/>
    <w:rsid w:val="009A552A"/>
    <w:rsid w:val="009A5540"/>
    <w:rsid w:val="009A55F6"/>
    <w:rsid w:val="009A566E"/>
    <w:rsid w:val="009A568F"/>
    <w:rsid w:val="009A5760"/>
    <w:rsid w:val="009A59D0"/>
    <w:rsid w:val="009A5AA6"/>
    <w:rsid w:val="009A5BC2"/>
    <w:rsid w:val="009A5CA7"/>
    <w:rsid w:val="009A5CB2"/>
    <w:rsid w:val="009A5D4C"/>
    <w:rsid w:val="009A5E2D"/>
    <w:rsid w:val="009A5FB3"/>
    <w:rsid w:val="009A6051"/>
    <w:rsid w:val="009A605B"/>
    <w:rsid w:val="009A6210"/>
    <w:rsid w:val="009A6281"/>
    <w:rsid w:val="009A62DC"/>
    <w:rsid w:val="009A62ED"/>
    <w:rsid w:val="009A6679"/>
    <w:rsid w:val="009A6717"/>
    <w:rsid w:val="009A673E"/>
    <w:rsid w:val="009A6960"/>
    <w:rsid w:val="009A6D44"/>
    <w:rsid w:val="009A71F6"/>
    <w:rsid w:val="009A7426"/>
    <w:rsid w:val="009A7459"/>
    <w:rsid w:val="009A7520"/>
    <w:rsid w:val="009A75F3"/>
    <w:rsid w:val="009A7662"/>
    <w:rsid w:val="009A79BF"/>
    <w:rsid w:val="009A7B5E"/>
    <w:rsid w:val="009A7D32"/>
    <w:rsid w:val="009A7D5A"/>
    <w:rsid w:val="009A7E7F"/>
    <w:rsid w:val="009A7F0F"/>
    <w:rsid w:val="009A7F3C"/>
    <w:rsid w:val="009A7FC0"/>
    <w:rsid w:val="009B02B4"/>
    <w:rsid w:val="009B0450"/>
    <w:rsid w:val="009B04C9"/>
    <w:rsid w:val="009B057F"/>
    <w:rsid w:val="009B058D"/>
    <w:rsid w:val="009B0894"/>
    <w:rsid w:val="009B0948"/>
    <w:rsid w:val="009B0CC9"/>
    <w:rsid w:val="009B0EA5"/>
    <w:rsid w:val="009B12B3"/>
    <w:rsid w:val="009B12DA"/>
    <w:rsid w:val="009B139F"/>
    <w:rsid w:val="009B1458"/>
    <w:rsid w:val="009B15B0"/>
    <w:rsid w:val="009B1761"/>
    <w:rsid w:val="009B1AB4"/>
    <w:rsid w:val="009B1B4B"/>
    <w:rsid w:val="009B1BA9"/>
    <w:rsid w:val="009B20BE"/>
    <w:rsid w:val="009B22DA"/>
    <w:rsid w:val="009B2312"/>
    <w:rsid w:val="009B237A"/>
    <w:rsid w:val="009B25A8"/>
    <w:rsid w:val="009B28E7"/>
    <w:rsid w:val="009B29B0"/>
    <w:rsid w:val="009B2D04"/>
    <w:rsid w:val="009B2D0E"/>
    <w:rsid w:val="009B2D95"/>
    <w:rsid w:val="009B2DF5"/>
    <w:rsid w:val="009B3035"/>
    <w:rsid w:val="009B30A5"/>
    <w:rsid w:val="009B3226"/>
    <w:rsid w:val="009B3335"/>
    <w:rsid w:val="009B34CE"/>
    <w:rsid w:val="009B353A"/>
    <w:rsid w:val="009B3542"/>
    <w:rsid w:val="009B357F"/>
    <w:rsid w:val="009B3589"/>
    <w:rsid w:val="009B3592"/>
    <w:rsid w:val="009B39C6"/>
    <w:rsid w:val="009B3BD1"/>
    <w:rsid w:val="009B3C45"/>
    <w:rsid w:val="009B3D6D"/>
    <w:rsid w:val="009B3E99"/>
    <w:rsid w:val="009B3EF1"/>
    <w:rsid w:val="009B4048"/>
    <w:rsid w:val="009B418E"/>
    <w:rsid w:val="009B42F5"/>
    <w:rsid w:val="009B47A8"/>
    <w:rsid w:val="009B4831"/>
    <w:rsid w:val="009B49B6"/>
    <w:rsid w:val="009B4C81"/>
    <w:rsid w:val="009B4E56"/>
    <w:rsid w:val="009B5385"/>
    <w:rsid w:val="009B554B"/>
    <w:rsid w:val="009B55AF"/>
    <w:rsid w:val="009B58F3"/>
    <w:rsid w:val="009B5A8A"/>
    <w:rsid w:val="009B5B0D"/>
    <w:rsid w:val="009B5D6E"/>
    <w:rsid w:val="009B5EF0"/>
    <w:rsid w:val="009B60B8"/>
    <w:rsid w:val="009B62DB"/>
    <w:rsid w:val="009B63A3"/>
    <w:rsid w:val="009B6528"/>
    <w:rsid w:val="009B6847"/>
    <w:rsid w:val="009B68CC"/>
    <w:rsid w:val="009B6984"/>
    <w:rsid w:val="009B6A7C"/>
    <w:rsid w:val="009B6AE1"/>
    <w:rsid w:val="009B6C1C"/>
    <w:rsid w:val="009B6C26"/>
    <w:rsid w:val="009B6C50"/>
    <w:rsid w:val="009B6D18"/>
    <w:rsid w:val="009B6D86"/>
    <w:rsid w:val="009B6E6F"/>
    <w:rsid w:val="009B6E79"/>
    <w:rsid w:val="009B6E9F"/>
    <w:rsid w:val="009B70E4"/>
    <w:rsid w:val="009B7251"/>
    <w:rsid w:val="009B738F"/>
    <w:rsid w:val="009B74C9"/>
    <w:rsid w:val="009B7634"/>
    <w:rsid w:val="009B76AB"/>
    <w:rsid w:val="009B772E"/>
    <w:rsid w:val="009B778A"/>
    <w:rsid w:val="009B77F9"/>
    <w:rsid w:val="009B790B"/>
    <w:rsid w:val="009B79CF"/>
    <w:rsid w:val="009B7CDA"/>
    <w:rsid w:val="009B7D4E"/>
    <w:rsid w:val="009B7DA6"/>
    <w:rsid w:val="009B7E6F"/>
    <w:rsid w:val="009C01E8"/>
    <w:rsid w:val="009C042A"/>
    <w:rsid w:val="009C052A"/>
    <w:rsid w:val="009C071B"/>
    <w:rsid w:val="009C07A0"/>
    <w:rsid w:val="009C07B8"/>
    <w:rsid w:val="009C0B8E"/>
    <w:rsid w:val="009C0D03"/>
    <w:rsid w:val="009C0D3F"/>
    <w:rsid w:val="009C10E6"/>
    <w:rsid w:val="009C1120"/>
    <w:rsid w:val="009C114D"/>
    <w:rsid w:val="009C1495"/>
    <w:rsid w:val="009C17BE"/>
    <w:rsid w:val="009C1A31"/>
    <w:rsid w:val="009C1A57"/>
    <w:rsid w:val="009C1DF2"/>
    <w:rsid w:val="009C1F44"/>
    <w:rsid w:val="009C2039"/>
    <w:rsid w:val="009C215B"/>
    <w:rsid w:val="009C2228"/>
    <w:rsid w:val="009C24BA"/>
    <w:rsid w:val="009C27DA"/>
    <w:rsid w:val="009C284E"/>
    <w:rsid w:val="009C292D"/>
    <w:rsid w:val="009C2D02"/>
    <w:rsid w:val="009C2DAE"/>
    <w:rsid w:val="009C30F0"/>
    <w:rsid w:val="009C3121"/>
    <w:rsid w:val="009C3445"/>
    <w:rsid w:val="009C34A9"/>
    <w:rsid w:val="009C352F"/>
    <w:rsid w:val="009C364F"/>
    <w:rsid w:val="009C3AE9"/>
    <w:rsid w:val="009C3B7B"/>
    <w:rsid w:val="009C3B93"/>
    <w:rsid w:val="009C3BF8"/>
    <w:rsid w:val="009C3D10"/>
    <w:rsid w:val="009C3D43"/>
    <w:rsid w:val="009C3FEE"/>
    <w:rsid w:val="009C403B"/>
    <w:rsid w:val="009C4377"/>
    <w:rsid w:val="009C43C1"/>
    <w:rsid w:val="009C43FF"/>
    <w:rsid w:val="009C4402"/>
    <w:rsid w:val="009C45DD"/>
    <w:rsid w:val="009C4790"/>
    <w:rsid w:val="009C489A"/>
    <w:rsid w:val="009C49AB"/>
    <w:rsid w:val="009C49CF"/>
    <w:rsid w:val="009C4A09"/>
    <w:rsid w:val="009C4AE2"/>
    <w:rsid w:val="009C4CFF"/>
    <w:rsid w:val="009C4F60"/>
    <w:rsid w:val="009C4FFD"/>
    <w:rsid w:val="009C5537"/>
    <w:rsid w:val="009C553D"/>
    <w:rsid w:val="009C554A"/>
    <w:rsid w:val="009C5631"/>
    <w:rsid w:val="009C566F"/>
    <w:rsid w:val="009C5674"/>
    <w:rsid w:val="009C577B"/>
    <w:rsid w:val="009C578A"/>
    <w:rsid w:val="009C58E1"/>
    <w:rsid w:val="009C5938"/>
    <w:rsid w:val="009C59FF"/>
    <w:rsid w:val="009C5BCE"/>
    <w:rsid w:val="009C5C18"/>
    <w:rsid w:val="009C5C4D"/>
    <w:rsid w:val="009C5DA6"/>
    <w:rsid w:val="009C5FC7"/>
    <w:rsid w:val="009C5FD0"/>
    <w:rsid w:val="009C6012"/>
    <w:rsid w:val="009C6066"/>
    <w:rsid w:val="009C639E"/>
    <w:rsid w:val="009C6522"/>
    <w:rsid w:val="009C65EC"/>
    <w:rsid w:val="009C663E"/>
    <w:rsid w:val="009C66A0"/>
    <w:rsid w:val="009C69F8"/>
    <w:rsid w:val="009C6C0D"/>
    <w:rsid w:val="009C6D4B"/>
    <w:rsid w:val="009C6DD0"/>
    <w:rsid w:val="009C70A2"/>
    <w:rsid w:val="009C712C"/>
    <w:rsid w:val="009C73DF"/>
    <w:rsid w:val="009C7509"/>
    <w:rsid w:val="009C75B7"/>
    <w:rsid w:val="009C78CD"/>
    <w:rsid w:val="009C78E6"/>
    <w:rsid w:val="009C78F8"/>
    <w:rsid w:val="009C7ABB"/>
    <w:rsid w:val="009C7AED"/>
    <w:rsid w:val="009C7CA2"/>
    <w:rsid w:val="009C7EAA"/>
    <w:rsid w:val="009C7F7E"/>
    <w:rsid w:val="009D0101"/>
    <w:rsid w:val="009D025C"/>
    <w:rsid w:val="009D02F8"/>
    <w:rsid w:val="009D0740"/>
    <w:rsid w:val="009D080B"/>
    <w:rsid w:val="009D0A88"/>
    <w:rsid w:val="009D0DE1"/>
    <w:rsid w:val="009D127E"/>
    <w:rsid w:val="009D1443"/>
    <w:rsid w:val="009D15B3"/>
    <w:rsid w:val="009D15D7"/>
    <w:rsid w:val="009D16AD"/>
    <w:rsid w:val="009D1745"/>
    <w:rsid w:val="009D1791"/>
    <w:rsid w:val="009D1DF7"/>
    <w:rsid w:val="009D1E25"/>
    <w:rsid w:val="009D20D8"/>
    <w:rsid w:val="009D218F"/>
    <w:rsid w:val="009D23EA"/>
    <w:rsid w:val="009D246D"/>
    <w:rsid w:val="009D2526"/>
    <w:rsid w:val="009D25A2"/>
    <w:rsid w:val="009D27CF"/>
    <w:rsid w:val="009D27DA"/>
    <w:rsid w:val="009D29BC"/>
    <w:rsid w:val="009D2B62"/>
    <w:rsid w:val="009D2BBD"/>
    <w:rsid w:val="009D2DF4"/>
    <w:rsid w:val="009D2F44"/>
    <w:rsid w:val="009D2F6A"/>
    <w:rsid w:val="009D3033"/>
    <w:rsid w:val="009D3205"/>
    <w:rsid w:val="009D3549"/>
    <w:rsid w:val="009D3564"/>
    <w:rsid w:val="009D37A8"/>
    <w:rsid w:val="009D38BE"/>
    <w:rsid w:val="009D3E16"/>
    <w:rsid w:val="009D3F66"/>
    <w:rsid w:val="009D40BE"/>
    <w:rsid w:val="009D410C"/>
    <w:rsid w:val="009D439A"/>
    <w:rsid w:val="009D4892"/>
    <w:rsid w:val="009D4A47"/>
    <w:rsid w:val="009D4D69"/>
    <w:rsid w:val="009D5082"/>
    <w:rsid w:val="009D5111"/>
    <w:rsid w:val="009D5129"/>
    <w:rsid w:val="009D5174"/>
    <w:rsid w:val="009D5210"/>
    <w:rsid w:val="009D521B"/>
    <w:rsid w:val="009D5300"/>
    <w:rsid w:val="009D5472"/>
    <w:rsid w:val="009D553A"/>
    <w:rsid w:val="009D57A5"/>
    <w:rsid w:val="009D57E3"/>
    <w:rsid w:val="009D5B2A"/>
    <w:rsid w:val="009D5BB5"/>
    <w:rsid w:val="009D5DA6"/>
    <w:rsid w:val="009D5E5F"/>
    <w:rsid w:val="009D62F4"/>
    <w:rsid w:val="009D6577"/>
    <w:rsid w:val="009D67E2"/>
    <w:rsid w:val="009D68C6"/>
    <w:rsid w:val="009D6A80"/>
    <w:rsid w:val="009D6EBC"/>
    <w:rsid w:val="009D6F4E"/>
    <w:rsid w:val="009D7223"/>
    <w:rsid w:val="009D7231"/>
    <w:rsid w:val="009D7287"/>
    <w:rsid w:val="009D735F"/>
    <w:rsid w:val="009D7490"/>
    <w:rsid w:val="009D7753"/>
    <w:rsid w:val="009D7C7C"/>
    <w:rsid w:val="009D7EB8"/>
    <w:rsid w:val="009D7F58"/>
    <w:rsid w:val="009E006D"/>
    <w:rsid w:val="009E02F9"/>
    <w:rsid w:val="009E03E6"/>
    <w:rsid w:val="009E0635"/>
    <w:rsid w:val="009E0797"/>
    <w:rsid w:val="009E07C5"/>
    <w:rsid w:val="009E0A65"/>
    <w:rsid w:val="009E0CD6"/>
    <w:rsid w:val="009E103A"/>
    <w:rsid w:val="009E1050"/>
    <w:rsid w:val="009E1064"/>
    <w:rsid w:val="009E135A"/>
    <w:rsid w:val="009E1635"/>
    <w:rsid w:val="009E17F3"/>
    <w:rsid w:val="009E1851"/>
    <w:rsid w:val="009E187E"/>
    <w:rsid w:val="009E1C1B"/>
    <w:rsid w:val="009E1C7A"/>
    <w:rsid w:val="009E1EFA"/>
    <w:rsid w:val="009E2137"/>
    <w:rsid w:val="009E21D1"/>
    <w:rsid w:val="009E2217"/>
    <w:rsid w:val="009E2333"/>
    <w:rsid w:val="009E24F0"/>
    <w:rsid w:val="009E2516"/>
    <w:rsid w:val="009E2676"/>
    <w:rsid w:val="009E26A6"/>
    <w:rsid w:val="009E27E8"/>
    <w:rsid w:val="009E290B"/>
    <w:rsid w:val="009E2B8D"/>
    <w:rsid w:val="009E2D16"/>
    <w:rsid w:val="009E2F33"/>
    <w:rsid w:val="009E3238"/>
    <w:rsid w:val="009E3326"/>
    <w:rsid w:val="009E3427"/>
    <w:rsid w:val="009E3593"/>
    <w:rsid w:val="009E35C7"/>
    <w:rsid w:val="009E35D0"/>
    <w:rsid w:val="009E36CA"/>
    <w:rsid w:val="009E3787"/>
    <w:rsid w:val="009E3960"/>
    <w:rsid w:val="009E3B76"/>
    <w:rsid w:val="009E3EC3"/>
    <w:rsid w:val="009E3FF5"/>
    <w:rsid w:val="009E4099"/>
    <w:rsid w:val="009E42DC"/>
    <w:rsid w:val="009E42DF"/>
    <w:rsid w:val="009E4411"/>
    <w:rsid w:val="009E449B"/>
    <w:rsid w:val="009E457D"/>
    <w:rsid w:val="009E46DE"/>
    <w:rsid w:val="009E4842"/>
    <w:rsid w:val="009E485D"/>
    <w:rsid w:val="009E49F7"/>
    <w:rsid w:val="009E4BAF"/>
    <w:rsid w:val="009E4BE3"/>
    <w:rsid w:val="009E4D18"/>
    <w:rsid w:val="009E4D36"/>
    <w:rsid w:val="009E5122"/>
    <w:rsid w:val="009E527A"/>
    <w:rsid w:val="009E5401"/>
    <w:rsid w:val="009E584B"/>
    <w:rsid w:val="009E58B5"/>
    <w:rsid w:val="009E5981"/>
    <w:rsid w:val="009E599C"/>
    <w:rsid w:val="009E59B7"/>
    <w:rsid w:val="009E5AAD"/>
    <w:rsid w:val="009E5B83"/>
    <w:rsid w:val="009E5B95"/>
    <w:rsid w:val="009E5D30"/>
    <w:rsid w:val="009E5D66"/>
    <w:rsid w:val="009E5DA7"/>
    <w:rsid w:val="009E60D7"/>
    <w:rsid w:val="009E6250"/>
    <w:rsid w:val="009E6486"/>
    <w:rsid w:val="009E688A"/>
    <w:rsid w:val="009E6A7E"/>
    <w:rsid w:val="009E6ACC"/>
    <w:rsid w:val="009E6C22"/>
    <w:rsid w:val="009E6EA5"/>
    <w:rsid w:val="009E6EF6"/>
    <w:rsid w:val="009E7360"/>
    <w:rsid w:val="009E73CF"/>
    <w:rsid w:val="009E745C"/>
    <w:rsid w:val="009E753F"/>
    <w:rsid w:val="009E7652"/>
    <w:rsid w:val="009E770D"/>
    <w:rsid w:val="009E77E7"/>
    <w:rsid w:val="009E7947"/>
    <w:rsid w:val="009E7A41"/>
    <w:rsid w:val="009E7BF6"/>
    <w:rsid w:val="009F0278"/>
    <w:rsid w:val="009F0479"/>
    <w:rsid w:val="009F04F4"/>
    <w:rsid w:val="009F077C"/>
    <w:rsid w:val="009F0954"/>
    <w:rsid w:val="009F09C7"/>
    <w:rsid w:val="009F0D77"/>
    <w:rsid w:val="009F0DDF"/>
    <w:rsid w:val="009F10DA"/>
    <w:rsid w:val="009F1128"/>
    <w:rsid w:val="009F1665"/>
    <w:rsid w:val="009F16FB"/>
    <w:rsid w:val="009F1875"/>
    <w:rsid w:val="009F196C"/>
    <w:rsid w:val="009F1CC2"/>
    <w:rsid w:val="009F1DEA"/>
    <w:rsid w:val="009F1F8B"/>
    <w:rsid w:val="009F2028"/>
    <w:rsid w:val="009F2050"/>
    <w:rsid w:val="009F2138"/>
    <w:rsid w:val="009F228C"/>
    <w:rsid w:val="009F22F6"/>
    <w:rsid w:val="009F23ED"/>
    <w:rsid w:val="009F24C6"/>
    <w:rsid w:val="009F2604"/>
    <w:rsid w:val="009F265C"/>
    <w:rsid w:val="009F26C6"/>
    <w:rsid w:val="009F26CB"/>
    <w:rsid w:val="009F274F"/>
    <w:rsid w:val="009F27CD"/>
    <w:rsid w:val="009F2894"/>
    <w:rsid w:val="009F28E5"/>
    <w:rsid w:val="009F2ADC"/>
    <w:rsid w:val="009F2B8E"/>
    <w:rsid w:val="009F2C6C"/>
    <w:rsid w:val="009F2E3C"/>
    <w:rsid w:val="009F2E7E"/>
    <w:rsid w:val="009F2F23"/>
    <w:rsid w:val="009F306D"/>
    <w:rsid w:val="009F32E5"/>
    <w:rsid w:val="009F3361"/>
    <w:rsid w:val="009F34DC"/>
    <w:rsid w:val="009F3555"/>
    <w:rsid w:val="009F361D"/>
    <w:rsid w:val="009F36DF"/>
    <w:rsid w:val="009F3870"/>
    <w:rsid w:val="009F387A"/>
    <w:rsid w:val="009F3CFE"/>
    <w:rsid w:val="009F3E8E"/>
    <w:rsid w:val="009F3F01"/>
    <w:rsid w:val="009F3F5D"/>
    <w:rsid w:val="009F3FDA"/>
    <w:rsid w:val="009F3FEF"/>
    <w:rsid w:val="009F3FF4"/>
    <w:rsid w:val="009F4055"/>
    <w:rsid w:val="009F40DD"/>
    <w:rsid w:val="009F4328"/>
    <w:rsid w:val="009F43A8"/>
    <w:rsid w:val="009F44CB"/>
    <w:rsid w:val="009F4512"/>
    <w:rsid w:val="009F452F"/>
    <w:rsid w:val="009F471B"/>
    <w:rsid w:val="009F471C"/>
    <w:rsid w:val="009F4822"/>
    <w:rsid w:val="009F4BF5"/>
    <w:rsid w:val="009F4CFA"/>
    <w:rsid w:val="009F4ED9"/>
    <w:rsid w:val="009F50BF"/>
    <w:rsid w:val="009F5148"/>
    <w:rsid w:val="009F537F"/>
    <w:rsid w:val="009F551C"/>
    <w:rsid w:val="009F55B9"/>
    <w:rsid w:val="009F55BD"/>
    <w:rsid w:val="009F5798"/>
    <w:rsid w:val="009F5C09"/>
    <w:rsid w:val="009F5CBA"/>
    <w:rsid w:val="009F5DC8"/>
    <w:rsid w:val="009F5E20"/>
    <w:rsid w:val="009F6073"/>
    <w:rsid w:val="009F62D9"/>
    <w:rsid w:val="009F63A2"/>
    <w:rsid w:val="009F649E"/>
    <w:rsid w:val="009F67BC"/>
    <w:rsid w:val="009F6810"/>
    <w:rsid w:val="009F6863"/>
    <w:rsid w:val="009F6E1B"/>
    <w:rsid w:val="009F6E9B"/>
    <w:rsid w:val="009F7163"/>
    <w:rsid w:val="009F7226"/>
    <w:rsid w:val="009F725D"/>
    <w:rsid w:val="009F7384"/>
    <w:rsid w:val="009F73B3"/>
    <w:rsid w:val="009F7608"/>
    <w:rsid w:val="009F77B6"/>
    <w:rsid w:val="009F793C"/>
    <w:rsid w:val="009F7A0C"/>
    <w:rsid w:val="00A00277"/>
    <w:rsid w:val="00A0028A"/>
    <w:rsid w:val="00A00387"/>
    <w:rsid w:val="00A0047E"/>
    <w:rsid w:val="00A00596"/>
    <w:rsid w:val="00A00653"/>
    <w:rsid w:val="00A0077D"/>
    <w:rsid w:val="00A00953"/>
    <w:rsid w:val="00A00C1F"/>
    <w:rsid w:val="00A00E03"/>
    <w:rsid w:val="00A00EA0"/>
    <w:rsid w:val="00A00EAA"/>
    <w:rsid w:val="00A00F1F"/>
    <w:rsid w:val="00A014E4"/>
    <w:rsid w:val="00A015CF"/>
    <w:rsid w:val="00A015E5"/>
    <w:rsid w:val="00A017FD"/>
    <w:rsid w:val="00A01982"/>
    <w:rsid w:val="00A01A92"/>
    <w:rsid w:val="00A01C65"/>
    <w:rsid w:val="00A01DA8"/>
    <w:rsid w:val="00A01F26"/>
    <w:rsid w:val="00A020F3"/>
    <w:rsid w:val="00A0217E"/>
    <w:rsid w:val="00A023DB"/>
    <w:rsid w:val="00A026DC"/>
    <w:rsid w:val="00A0296F"/>
    <w:rsid w:val="00A02C03"/>
    <w:rsid w:val="00A02E05"/>
    <w:rsid w:val="00A02FD4"/>
    <w:rsid w:val="00A03074"/>
    <w:rsid w:val="00A031EF"/>
    <w:rsid w:val="00A03393"/>
    <w:rsid w:val="00A033DA"/>
    <w:rsid w:val="00A03503"/>
    <w:rsid w:val="00A03742"/>
    <w:rsid w:val="00A03776"/>
    <w:rsid w:val="00A03865"/>
    <w:rsid w:val="00A038DB"/>
    <w:rsid w:val="00A0396B"/>
    <w:rsid w:val="00A039D9"/>
    <w:rsid w:val="00A039EF"/>
    <w:rsid w:val="00A03BEA"/>
    <w:rsid w:val="00A03BF2"/>
    <w:rsid w:val="00A03DD8"/>
    <w:rsid w:val="00A03E49"/>
    <w:rsid w:val="00A03EC1"/>
    <w:rsid w:val="00A03FDC"/>
    <w:rsid w:val="00A041BF"/>
    <w:rsid w:val="00A04220"/>
    <w:rsid w:val="00A042A5"/>
    <w:rsid w:val="00A04500"/>
    <w:rsid w:val="00A046A2"/>
    <w:rsid w:val="00A04808"/>
    <w:rsid w:val="00A0483A"/>
    <w:rsid w:val="00A0497F"/>
    <w:rsid w:val="00A04C5B"/>
    <w:rsid w:val="00A04D48"/>
    <w:rsid w:val="00A05007"/>
    <w:rsid w:val="00A05082"/>
    <w:rsid w:val="00A05181"/>
    <w:rsid w:val="00A05548"/>
    <w:rsid w:val="00A055E5"/>
    <w:rsid w:val="00A058EC"/>
    <w:rsid w:val="00A05A94"/>
    <w:rsid w:val="00A05E62"/>
    <w:rsid w:val="00A05EF1"/>
    <w:rsid w:val="00A06055"/>
    <w:rsid w:val="00A06098"/>
    <w:rsid w:val="00A060DE"/>
    <w:rsid w:val="00A06223"/>
    <w:rsid w:val="00A06239"/>
    <w:rsid w:val="00A062ED"/>
    <w:rsid w:val="00A06369"/>
    <w:rsid w:val="00A063EE"/>
    <w:rsid w:val="00A06486"/>
    <w:rsid w:val="00A069F2"/>
    <w:rsid w:val="00A06A20"/>
    <w:rsid w:val="00A06AAE"/>
    <w:rsid w:val="00A06B4C"/>
    <w:rsid w:val="00A06BA1"/>
    <w:rsid w:val="00A06C27"/>
    <w:rsid w:val="00A06CC3"/>
    <w:rsid w:val="00A06DCE"/>
    <w:rsid w:val="00A0715D"/>
    <w:rsid w:val="00A074D9"/>
    <w:rsid w:val="00A0757B"/>
    <w:rsid w:val="00A07593"/>
    <w:rsid w:val="00A075C5"/>
    <w:rsid w:val="00A075EC"/>
    <w:rsid w:val="00A07A3B"/>
    <w:rsid w:val="00A07C5C"/>
    <w:rsid w:val="00A10182"/>
    <w:rsid w:val="00A101A0"/>
    <w:rsid w:val="00A101B7"/>
    <w:rsid w:val="00A1052A"/>
    <w:rsid w:val="00A10701"/>
    <w:rsid w:val="00A10A44"/>
    <w:rsid w:val="00A10C76"/>
    <w:rsid w:val="00A10EA9"/>
    <w:rsid w:val="00A10F29"/>
    <w:rsid w:val="00A11192"/>
    <w:rsid w:val="00A11504"/>
    <w:rsid w:val="00A1162D"/>
    <w:rsid w:val="00A116CE"/>
    <w:rsid w:val="00A118F5"/>
    <w:rsid w:val="00A11999"/>
    <w:rsid w:val="00A119B2"/>
    <w:rsid w:val="00A11B83"/>
    <w:rsid w:val="00A11EBE"/>
    <w:rsid w:val="00A121C9"/>
    <w:rsid w:val="00A121CF"/>
    <w:rsid w:val="00A12486"/>
    <w:rsid w:val="00A1251C"/>
    <w:rsid w:val="00A12689"/>
    <w:rsid w:val="00A12891"/>
    <w:rsid w:val="00A128CE"/>
    <w:rsid w:val="00A129FB"/>
    <w:rsid w:val="00A12AD6"/>
    <w:rsid w:val="00A12F2E"/>
    <w:rsid w:val="00A1310A"/>
    <w:rsid w:val="00A1324E"/>
    <w:rsid w:val="00A1334A"/>
    <w:rsid w:val="00A1376A"/>
    <w:rsid w:val="00A137EB"/>
    <w:rsid w:val="00A137FC"/>
    <w:rsid w:val="00A138EA"/>
    <w:rsid w:val="00A13963"/>
    <w:rsid w:val="00A13AB7"/>
    <w:rsid w:val="00A13B8A"/>
    <w:rsid w:val="00A13BAD"/>
    <w:rsid w:val="00A13BC9"/>
    <w:rsid w:val="00A13E20"/>
    <w:rsid w:val="00A13E46"/>
    <w:rsid w:val="00A13E47"/>
    <w:rsid w:val="00A13EB2"/>
    <w:rsid w:val="00A13FBE"/>
    <w:rsid w:val="00A14472"/>
    <w:rsid w:val="00A14508"/>
    <w:rsid w:val="00A145A0"/>
    <w:rsid w:val="00A14627"/>
    <w:rsid w:val="00A14658"/>
    <w:rsid w:val="00A14668"/>
    <w:rsid w:val="00A14818"/>
    <w:rsid w:val="00A14866"/>
    <w:rsid w:val="00A1497B"/>
    <w:rsid w:val="00A14A1C"/>
    <w:rsid w:val="00A14B57"/>
    <w:rsid w:val="00A14D36"/>
    <w:rsid w:val="00A14D6F"/>
    <w:rsid w:val="00A14DC2"/>
    <w:rsid w:val="00A14F00"/>
    <w:rsid w:val="00A15001"/>
    <w:rsid w:val="00A150C4"/>
    <w:rsid w:val="00A15294"/>
    <w:rsid w:val="00A1545A"/>
    <w:rsid w:val="00A1559D"/>
    <w:rsid w:val="00A155B6"/>
    <w:rsid w:val="00A155F3"/>
    <w:rsid w:val="00A1587E"/>
    <w:rsid w:val="00A15A16"/>
    <w:rsid w:val="00A15AAD"/>
    <w:rsid w:val="00A15C2A"/>
    <w:rsid w:val="00A15C8E"/>
    <w:rsid w:val="00A161A4"/>
    <w:rsid w:val="00A1623C"/>
    <w:rsid w:val="00A16373"/>
    <w:rsid w:val="00A16598"/>
    <w:rsid w:val="00A1675E"/>
    <w:rsid w:val="00A16803"/>
    <w:rsid w:val="00A16F43"/>
    <w:rsid w:val="00A17207"/>
    <w:rsid w:val="00A17679"/>
    <w:rsid w:val="00A17699"/>
    <w:rsid w:val="00A1773A"/>
    <w:rsid w:val="00A17802"/>
    <w:rsid w:val="00A17957"/>
    <w:rsid w:val="00A17AF1"/>
    <w:rsid w:val="00A17C7A"/>
    <w:rsid w:val="00A17E73"/>
    <w:rsid w:val="00A17F56"/>
    <w:rsid w:val="00A17F5D"/>
    <w:rsid w:val="00A201A5"/>
    <w:rsid w:val="00A20260"/>
    <w:rsid w:val="00A2072F"/>
    <w:rsid w:val="00A20776"/>
    <w:rsid w:val="00A20877"/>
    <w:rsid w:val="00A209B4"/>
    <w:rsid w:val="00A20A4F"/>
    <w:rsid w:val="00A20CF2"/>
    <w:rsid w:val="00A20D6E"/>
    <w:rsid w:val="00A20D8E"/>
    <w:rsid w:val="00A20DB7"/>
    <w:rsid w:val="00A20E8C"/>
    <w:rsid w:val="00A20F2A"/>
    <w:rsid w:val="00A213FB"/>
    <w:rsid w:val="00A2173F"/>
    <w:rsid w:val="00A2185D"/>
    <w:rsid w:val="00A219DA"/>
    <w:rsid w:val="00A21A3C"/>
    <w:rsid w:val="00A21B0C"/>
    <w:rsid w:val="00A21BAA"/>
    <w:rsid w:val="00A21C9B"/>
    <w:rsid w:val="00A21D42"/>
    <w:rsid w:val="00A21E64"/>
    <w:rsid w:val="00A21FCD"/>
    <w:rsid w:val="00A2226A"/>
    <w:rsid w:val="00A2244F"/>
    <w:rsid w:val="00A22580"/>
    <w:rsid w:val="00A227A9"/>
    <w:rsid w:val="00A22902"/>
    <w:rsid w:val="00A22A55"/>
    <w:rsid w:val="00A22B45"/>
    <w:rsid w:val="00A22C63"/>
    <w:rsid w:val="00A22CFA"/>
    <w:rsid w:val="00A22ECB"/>
    <w:rsid w:val="00A23498"/>
    <w:rsid w:val="00A236F1"/>
    <w:rsid w:val="00A23841"/>
    <w:rsid w:val="00A238A2"/>
    <w:rsid w:val="00A23A4D"/>
    <w:rsid w:val="00A23B29"/>
    <w:rsid w:val="00A23D60"/>
    <w:rsid w:val="00A23D73"/>
    <w:rsid w:val="00A241AF"/>
    <w:rsid w:val="00A241F3"/>
    <w:rsid w:val="00A241FE"/>
    <w:rsid w:val="00A242DE"/>
    <w:rsid w:val="00A24561"/>
    <w:rsid w:val="00A24620"/>
    <w:rsid w:val="00A2465B"/>
    <w:rsid w:val="00A24933"/>
    <w:rsid w:val="00A2498A"/>
    <w:rsid w:val="00A2498C"/>
    <w:rsid w:val="00A2499D"/>
    <w:rsid w:val="00A24A68"/>
    <w:rsid w:val="00A24B9F"/>
    <w:rsid w:val="00A24EE7"/>
    <w:rsid w:val="00A24F89"/>
    <w:rsid w:val="00A250C3"/>
    <w:rsid w:val="00A2527D"/>
    <w:rsid w:val="00A25304"/>
    <w:rsid w:val="00A25391"/>
    <w:rsid w:val="00A253CB"/>
    <w:rsid w:val="00A2547F"/>
    <w:rsid w:val="00A257E4"/>
    <w:rsid w:val="00A258CF"/>
    <w:rsid w:val="00A25CDF"/>
    <w:rsid w:val="00A262FE"/>
    <w:rsid w:val="00A263E8"/>
    <w:rsid w:val="00A2675E"/>
    <w:rsid w:val="00A267BC"/>
    <w:rsid w:val="00A268DF"/>
    <w:rsid w:val="00A26E9A"/>
    <w:rsid w:val="00A26F86"/>
    <w:rsid w:val="00A26F9A"/>
    <w:rsid w:val="00A2707E"/>
    <w:rsid w:val="00A2713C"/>
    <w:rsid w:val="00A272A4"/>
    <w:rsid w:val="00A272CF"/>
    <w:rsid w:val="00A272D9"/>
    <w:rsid w:val="00A273C5"/>
    <w:rsid w:val="00A273D7"/>
    <w:rsid w:val="00A27736"/>
    <w:rsid w:val="00A277C4"/>
    <w:rsid w:val="00A27CFD"/>
    <w:rsid w:val="00A27F42"/>
    <w:rsid w:val="00A3028F"/>
    <w:rsid w:val="00A3030E"/>
    <w:rsid w:val="00A3031F"/>
    <w:rsid w:val="00A3041C"/>
    <w:rsid w:val="00A3067F"/>
    <w:rsid w:val="00A3089F"/>
    <w:rsid w:val="00A308BE"/>
    <w:rsid w:val="00A30A3C"/>
    <w:rsid w:val="00A30A8B"/>
    <w:rsid w:val="00A30BEC"/>
    <w:rsid w:val="00A30C0A"/>
    <w:rsid w:val="00A30C97"/>
    <w:rsid w:val="00A30D3B"/>
    <w:rsid w:val="00A30E7E"/>
    <w:rsid w:val="00A30FC4"/>
    <w:rsid w:val="00A30FE5"/>
    <w:rsid w:val="00A3103B"/>
    <w:rsid w:val="00A314AD"/>
    <w:rsid w:val="00A315B6"/>
    <w:rsid w:val="00A31751"/>
    <w:rsid w:val="00A31975"/>
    <w:rsid w:val="00A31AA2"/>
    <w:rsid w:val="00A31AF1"/>
    <w:rsid w:val="00A31E54"/>
    <w:rsid w:val="00A31EED"/>
    <w:rsid w:val="00A31EF9"/>
    <w:rsid w:val="00A31FDB"/>
    <w:rsid w:val="00A3201B"/>
    <w:rsid w:val="00A32141"/>
    <w:rsid w:val="00A32157"/>
    <w:rsid w:val="00A321B3"/>
    <w:rsid w:val="00A3220B"/>
    <w:rsid w:val="00A32242"/>
    <w:rsid w:val="00A32258"/>
    <w:rsid w:val="00A322E4"/>
    <w:rsid w:val="00A32309"/>
    <w:rsid w:val="00A324A8"/>
    <w:rsid w:val="00A32697"/>
    <w:rsid w:val="00A32999"/>
    <w:rsid w:val="00A32DBC"/>
    <w:rsid w:val="00A3309B"/>
    <w:rsid w:val="00A330DA"/>
    <w:rsid w:val="00A331BE"/>
    <w:rsid w:val="00A3326C"/>
    <w:rsid w:val="00A3329A"/>
    <w:rsid w:val="00A33329"/>
    <w:rsid w:val="00A33333"/>
    <w:rsid w:val="00A333F8"/>
    <w:rsid w:val="00A3380E"/>
    <w:rsid w:val="00A33982"/>
    <w:rsid w:val="00A3398C"/>
    <w:rsid w:val="00A33BEB"/>
    <w:rsid w:val="00A33C13"/>
    <w:rsid w:val="00A33FFA"/>
    <w:rsid w:val="00A3401F"/>
    <w:rsid w:val="00A34215"/>
    <w:rsid w:val="00A34339"/>
    <w:rsid w:val="00A34404"/>
    <w:rsid w:val="00A34682"/>
    <w:rsid w:val="00A3469B"/>
    <w:rsid w:val="00A348C3"/>
    <w:rsid w:val="00A34A57"/>
    <w:rsid w:val="00A34B35"/>
    <w:rsid w:val="00A34BCC"/>
    <w:rsid w:val="00A34C6B"/>
    <w:rsid w:val="00A34D7D"/>
    <w:rsid w:val="00A34E37"/>
    <w:rsid w:val="00A34F53"/>
    <w:rsid w:val="00A35059"/>
    <w:rsid w:val="00A351CF"/>
    <w:rsid w:val="00A352C2"/>
    <w:rsid w:val="00A3543F"/>
    <w:rsid w:val="00A357AC"/>
    <w:rsid w:val="00A35835"/>
    <w:rsid w:val="00A359D8"/>
    <w:rsid w:val="00A35A4B"/>
    <w:rsid w:val="00A35A51"/>
    <w:rsid w:val="00A35A8A"/>
    <w:rsid w:val="00A35AD2"/>
    <w:rsid w:val="00A35B36"/>
    <w:rsid w:val="00A35CB5"/>
    <w:rsid w:val="00A36167"/>
    <w:rsid w:val="00A36218"/>
    <w:rsid w:val="00A3628D"/>
    <w:rsid w:val="00A36333"/>
    <w:rsid w:val="00A365EF"/>
    <w:rsid w:val="00A36812"/>
    <w:rsid w:val="00A36897"/>
    <w:rsid w:val="00A36A65"/>
    <w:rsid w:val="00A36B03"/>
    <w:rsid w:val="00A36BA5"/>
    <w:rsid w:val="00A36BAB"/>
    <w:rsid w:val="00A36D14"/>
    <w:rsid w:val="00A36E3A"/>
    <w:rsid w:val="00A36EC0"/>
    <w:rsid w:val="00A37135"/>
    <w:rsid w:val="00A3724C"/>
    <w:rsid w:val="00A37301"/>
    <w:rsid w:val="00A374BF"/>
    <w:rsid w:val="00A37554"/>
    <w:rsid w:val="00A375E7"/>
    <w:rsid w:val="00A37E8B"/>
    <w:rsid w:val="00A37FDC"/>
    <w:rsid w:val="00A400B3"/>
    <w:rsid w:val="00A4037D"/>
    <w:rsid w:val="00A40541"/>
    <w:rsid w:val="00A4058D"/>
    <w:rsid w:val="00A407BA"/>
    <w:rsid w:val="00A40819"/>
    <w:rsid w:val="00A4082C"/>
    <w:rsid w:val="00A408D1"/>
    <w:rsid w:val="00A40BAC"/>
    <w:rsid w:val="00A40CBC"/>
    <w:rsid w:val="00A40D0B"/>
    <w:rsid w:val="00A40D21"/>
    <w:rsid w:val="00A41201"/>
    <w:rsid w:val="00A4139B"/>
    <w:rsid w:val="00A413EA"/>
    <w:rsid w:val="00A415EF"/>
    <w:rsid w:val="00A415F8"/>
    <w:rsid w:val="00A4164D"/>
    <w:rsid w:val="00A4167B"/>
    <w:rsid w:val="00A416F1"/>
    <w:rsid w:val="00A4171A"/>
    <w:rsid w:val="00A418DB"/>
    <w:rsid w:val="00A41BAB"/>
    <w:rsid w:val="00A41C4D"/>
    <w:rsid w:val="00A41CF9"/>
    <w:rsid w:val="00A41DCD"/>
    <w:rsid w:val="00A41E57"/>
    <w:rsid w:val="00A41F6C"/>
    <w:rsid w:val="00A4248C"/>
    <w:rsid w:val="00A42596"/>
    <w:rsid w:val="00A427BD"/>
    <w:rsid w:val="00A42928"/>
    <w:rsid w:val="00A42AAC"/>
    <w:rsid w:val="00A42B2B"/>
    <w:rsid w:val="00A42B42"/>
    <w:rsid w:val="00A42C12"/>
    <w:rsid w:val="00A4334F"/>
    <w:rsid w:val="00A43364"/>
    <w:rsid w:val="00A43625"/>
    <w:rsid w:val="00A436F6"/>
    <w:rsid w:val="00A437DC"/>
    <w:rsid w:val="00A438FE"/>
    <w:rsid w:val="00A43903"/>
    <w:rsid w:val="00A439A2"/>
    <w:rsid w:val="00A43A23"/>
    <w:rsid w:val="00A43B3E"/>
    <w:rsid w:val="00A43B47"/>
    <w:rsid w:val="00A43B69"/>
    <w:rsid w:val="00A43C11"/>
    <w:rsid w:val="00A43CE0"/>
    <w:rsid w:val="00A43D2C"/>
    <w:rsid w:val="00A43D77"/>
    <w:rsid w:val="00A43DE5"/>
    <w:rsid w:val="00A43F7B"/>
    <w:rsid w:val="00A43FDB"/>
    <w:rsid w:val="00A4416D"/>
    <w:rsid w:val="00A44924"/>
    <w:rsid w:val="00A44CAB"/>
    <w:rsid w:val="00A44CD4"/>
    <w:rsid w:val="00A44CE1"/>
    <w:rsid w:val="00A44DF6"/>
    <w:rsid w:val="00A44F6F"/>
    <w:rsid w:val="00A4521D"/>
    <w:rsid w:val="00A45266"/>
    <w:rsid w:val="00A4549F"/>
    <w:rsid w:val="00A454D5"/>
    <w:rsid w:val="00A4596D"/>
    <w:rsid w:val="00A45AB6"/>
    <w:rsid w:val="00A45CCF"/>
    <w:rsid w:val="00A45D7D"/>
    <w:rsid w:val="00A45F03"/>
    <w:rsid w:val="00A46023"/>
    <w:rsid w:val="00A4635A"/>
    <w:rsid w:val="00A46573"/>
    <w:rsid w:val="00A4672A"/>
    <w:rsid w:val="00A46823"/>
    <w:rsid w:val="00A46B30"/>
    <w:rsid w:val="00A46C20"/>
    <w:rsid w:val="00A46C23"/>
    <w:rsid w:val="00A46F39"/>
    <w:rsid w:val="00A473AF"/>
    <w:rsid w:val="00A47523"/>
    <w:rsid w:val="00A47614"/>
    <w:rsid w:val="00A47752"/>
    <w:rsid w:val="00A4780B"/>
    <w:rsid w:val="00A478D8"/>
    <w:rsid w:val="00A47979"/>
    <w:rsid w:val="00A47CC5"/>
    <w:rsid w:val="00A47CDB"/>
    <w:rsid w:val="00A47DD4"/>
    <w:rsid w:val="00A50064"/>
    <w:rsid w:val="00A50164"/>
    <w:rsid w:val="00A50287"/>
    <w:rsid w:val="00A50492"/>
    <w:rsid w:val="00A5069D"/>
    <w:rsid w:val="00A5076A"/>
    <w:rsid w:val="00A507C0"/>
    <w:rsid w:val="00A50836"/>
    <w:rsid w:val="00A5090F"/>
    <w:rsid w:val="00A50A1F"/>
    <w:rsid w:val="00A50AF1"/>
    <w:rsid w:val="00A50AF9"/>
    <w:rsid w:val="00A50BA8"/>
    <w:rsid w:val="00A50BD9"/>
    <w:rsid w:val="00A5107B"/>
    <w:rsid w:val="00A510FB"/>
    <w:rsid w:val="00A51232"/>
    <w:rsid w:val="00A512FE"/>
    <w:rsid w:val="00A5130D"/>
    <w:rsid w:val="00A5133B"/>
    <w:rsid w:val="00A51372"/>
    <w:rsid w:val="00A513D7"/>
    <w:rsid w:val="00A51495"/>
    <w:rsid w:val="00A5174B"/>
    <w:rsid w:val="00A51753"/>
    <w:rsid w:val="00A519C3"/>
    <w:rsid w:val="00A519C9"/>
    <w:rsid w:val="00A519DF"/>
    <w:rsid w:val="00A51ACA"/>
    <w:rsid w:val="00A51CDD"/>
    <w:rsid w:val="00A51CEC"/>
    <w:rsid w:val="00A51CF9"/>
    <w:rsid w:val="00A51DF0"/>
    <w:rsid w:val="00A51E03"/>
    <w:rsid w:val="00A51E33"/>
    <w:rsid w:val="00A52196"/>
    <w:rsid w:val="00A52486"/>
    <w:rsid w:val="00A529FC"/>
    <w:rsid w:val="00A52ABF"/>
    <w:rsid w:val="00A52D70"/>
    <w:rsid w:val="00A52F18"/>
    <w:rsid w:val="00A52FBD"/>
    <w:rsid w:val="00A5331F"/>
    <w:rsid w:val="00A53543"/>
    <w:rsid w:val="00A5354E"/>
    <w:rsid w:val="00A53692"/>
    <w:rsid w:val="00A5370E"/>
    <w:rsid w:val="00A53891"/>
    <w:rsid w:val="00A53A59"/>
    <w:rsid w:val="00A53ADD"/>
    <w:rsid w:val="00A53B54"/>
    <w:rsid w:val="00A53E74"/>
    <w:rsid w:val="00A5424C"/>
    <w:rsid w:val="00A54450"/>
    <w:rsid w:val="00A5446A"/>
    <w:rsid w:val="00A54621"/>
    <w:rsid w:val="00A54679"/>
    <w:rsid w:val="00A54716"/>
    <w:rsid w:val="00A54834"/>
    <w:rsid w:val="00A54848"/>
    <w:rsid w:val="00A54A2E"/>
    <w:rsid w:val="00A54BB0"/>
    <w:rsid w:val="00A54E16"/>
    <w:rsid w:val="00A553C6"/>
    <w:rsid w:val="00A553FD"/>
    <w:rsid w:val="00A55470"/>
    <w:rsid w:val="00A555F7"/>
    <w:rsid w:val="00A556FD"/>
    <w:rsid w:val="00A55772"/>
    <w:rsid w:val="00A55803"/>
    <w:rsid w:val="00A55865"/>
    <w:rsid w:val="00A55881"/>
    <w:rsid w:val="00A55908"/>
    <w:rsid w:val="00A55ED9"/>
    <w:rsid w:val="00A5605B"/>
    <w:rsid w:val="00A5605F"/>
    <w:rsid w:val="00A5628E"/>
    <w:rsid w:val="00A563E7"/>
    <w:rsid w:val="00A56479"/>
    <w:rsid w:val="00A56739"/>
    <w:rsid w:val="00A567C6"/>
    <w:rsid w:val="00A568AF"/>
    <w:rsid w:val="00A56AC1"/>
    <w:rsid w:val="00A56CA0"/>
    <w:rsid w:val="00A56CF0"/>
    <w:rsid w:val="00A56D7A"/>
    <w:rsid w:val="00A56DC8"/>
    <w:rsid w:val="00A56DDD"/>
    <w:rsid w:val="00A56EEA"/>
    <w:rsid w:val="00A5700F"/>
    <w:rsid w:val="00A57241"/>
    <w:rsid w:val="00A573F7"/>
    <w:rsid w:val="00A57494"/>
    <w:rsid w:val="00A57538"/>
    <w:rsid w:val="00A576C5"/>
    <w:rsid w:val="00A57720"/>
    <w:rsid w:val="00A57AB3"/>
    <w:rsid w:val="00A57B16"/>
    <w:rsid w:val="00A57B5E"/>
    <w:rsid w:val="00A57C17"/>
    <w:rsid w:val="00A57CFB"/>
    <w:rsid w:val="00A57FAC"/>
    <w:rsid w:val="00A57FBB"/>
    <w:rsid w:val="00A57FE1"/>
    <w:rsid w:val="00A60027"/>
    <w:rsid w:val="00A6004B"/>
    <w:rsid w:val="00A6014D"/>
    <w:rsid w:val="00A6029B"/>
    <w:rsid w:val="00A6047C"/>
    <w:rsid w:val="00A604DB"/>
    <w:rsid w:val="00A60528"/>
    <w:rsid w:val="00A6062C"/>
    <w:rsid w:val="00A607D7"/>
    <w:rsid w:val="00A60991"/>
    <w:rsid w:val="00A60A81"/>
    <w:rsid w:val="00A60AAE"/>
    <w:rsid w:val="00A60E63"/>
    <w:rsid w:val="00A60E7B"/>
    <w:rsid w:val="00A60FAE"/>
    <w:rsid w:val="00A61047"/>
    <w:rsid w:val="00A61081"/>
    <w:rsid w:val="00A61156"/>
    <w:rsid w:val="00A61175"/>
    <w:rsid w:val="00A61184"/>
    <w:rsid w:val="00A611B9"/>
    <w:rsid w:val="00A614EC"/>
    <w:rsid w:val="00A6154F"/>
    <w:rsid w:val="00A61685"/>
    <w:rsid w:val="00A616E4"/>
    <w:rsid w:val="00A61772"/>
    <w:rsid w:val="00A61B09"/>
    <w:rsid w:val="00A61B5F"/>
    <w:rsid w:val="00A61CD1"/>
    <w:rsid w:val="00A61F0D"/>
    <w:rsid w:val="00A61F80"/>
    <w:rsid w:val="00A623BC"/>
    <w:rsid w:val="00A62472"/>
    <w:rsid w:val="00A62998"/>
    <w:rsid w:val="00A62A1E"/>
    <w:rsid w:val="00A62C55"/>
    <w:rsid w:val="00A62FCE"/>
    <w:rsid w:val="00A6308D"/>
    <w:rsid w:val="00A635DA"/>
    <w:rsid w:val="00A6394C"/>
    <w:rsid w:val="00A639B6"/>
    <w:rsid w:val="00A63B2B"/>
    <w:rsid w:val="00A63BED"/>
    <w:rsid w:val="00A63C69"/>
    <w:rsid w:val="00A63CA2"/>
    <w:rsid w:val="00A63F99"/>
    <w:rsid w:val="00A64097"/>
    <w:rsid w:val="00A641C8"/>
    <w:rsid w:val="00A64352"/>
    <w:rsid w:val="00A643FA"/>
    <w:rsid w:val="00A644DA"/>
    <w:rsid w:val="00A64582"/>
    <w:rsid w:val="00A649E4"/>
    <w:rsid w:val="00A64A98"/>
    <w:rsid w:val="00A64E64"/>
    <w:rsid w:val="00A64F71"/>
    <w:rsid w:val="00A65044"/>
    <w:rsid w:val="00A6510D"/>
    <w:rsid w:val="00A65194"/>
    <w:rsid w:val="00A651D8"/>
    <w:rsid w:val="00A652C1"/>
    <w:rsid w:val="00A654BA"/>
    <w:rsid w:val="00A65631"/>
    <w:rsid w:val="00A6563E"/>
    <w:rsid w:val="00A6565C"/>
    <w:rsid w:val="00A6567A"/>
    <w:rsid w:val="00A6576F"/>
    <w:rsid w:val="00A65897"/>
    <w:rsid w:val="00A659E1"/>
    <w:rsid w:val="00A65A0D"/>
    <w:rsid w:val="00A65CA7"/>
    <w:rsid w:val="00A65DBC"/>
    <w:rsid w:val="00A65F94"/>
    <w:rsid w:val="00A66036"/>
    <w:rsid w:val="00A66191"/>
    <w:rsid w:val="00A661F1"/>
    <w:rsid w:val="00A6626D"/>
    <w:rsid w:val="00A66532"/>
    <w:rsid w:val="00A66651"/>
    <w:rsid w:val="00A6677C"/>
    <w:rsid w:val="00A669B1"/>
    <w:rsid w:val="00A66A92"/>
    <w:rsid w:val="00A66C4B"/>
    <w:rsid w:val="00A66DE7"/>
    <w:rsid w:val="00A66F49"/>
    <w:rsid w:val="00A67237"/>
    <w:rsid w:val="00A673CB"/>
    <w:rsid w:val="00A676C0"/>
    <w:rsid w:val="00A67835"/>
    <w:rsid w:val="00A67891"/>
    <w:rsid w:val="00A678FB"/>
    <w:rsid w:val="00A67935"/>
    <w:rsid w:val="00A679AE"/>
    <w:rsid w:val="00A67A6C"/>
    <w:rsid w:val="00A67C90"/>
    <w:rsid w:val="00A67D1E"/>
    <w:rsid w:val="00A67D36"/>
    <w:rsid w:val="00A67E25"/>
    <w:rsid w:val="00A67EE9"/>
    <w:rsid w:val="00A67FD7"/>
    <w:rsid w:val="00A70392"/>
    <w:rsid w:val="00A7047C"/>
    <w:rsid w:val="00A704BB"/>
    <w:rsid w:val="00A70755"/>
    <w:rsid w:val="00A708A1"/>
    <w:rsid w:val="00A70A23"/>
    <w:rsid w:val="00A70AFA"/>
    <w:rsid w:val="00A70B57"/>
    <w:rsid w:val="00A70BF0"/>
    <w:rsid w:val="00A70CB5"/>
    <w:rsid w:val="00A70FA6"/>
    <w:rsid w:val="00A70FBB"/>
    <w:rsid w:val="00A70FC1"/>
    <w:rsid w:val="00A70FC3"/>
    <w:rsid w:val="00A7107E"/>
    <w:rsid w:val="00A710B7"/>
    <w:rsid w:val="00A71139"/>
    <w:rsid w:val="00A712E8"/>
    <w:rsid w:val="00A7137A"/>
    <w:rsid w:val="00A71389"/>
    <w:rsid w:val="00A7141C"/>
    <w:rsid w:val="00A71A60"/>
    <w:rsid w:val="00A71B28"/>
    <w:rsid w:val="00A71B2B"/>
    <w:rsid w:val="00A71E51"/>
    <w:rsid w:val="00A71EB5"/>
    <w:rsid w:val="00A71F47"/>
    <w:rsid w:val="00A72357"/>
    <w:rsid w:val="00A724B2"/>
    <w:rsid w:val="00A725EE"/>
    <w:rsid w:val="00A727DF"/>
    <w:rsid w:val="00A7281A"/>
    <w:rsid w:val="00A72A76"/>
    <w:rsid w:val="00A72C0F"/>
    <w:rsid w:val="00A72CED"/>
    <w:rsid w:val="00A72D2A"/>
    <w:rsid w:val="00A72F50"/>
    <w:rsid w:val="00A72F80"/>
    <w:rsid w:val="00A7344B"/>
    <w:rsid w:val="00A734C6"/>
    <w:rsid w:val="00A736F7"/>
    <w:rsid w:val="00A7384C"/>
    <w:rsid w:val="00A73869"/>
    <w:rsid w:val="00A7396D"/>
    <w:rsid w:val="00A73C4A"/>
    <w:rsid w:val="00A73D6B"/>
    <w:rsid w:val="00A73DEF"/>
    <w:rsid w:val="00A73E61"/>
    <w:rsid w:val="00A73E74"/>
    <w:rsid w:val="00A7429C"/>
    <w:rsid w:val="00A742DA"/>
    <w:rsid w:val="00A74548"/>
    <w:rsid w:val="00A7454F"/>
    <w:rsid w:val="00A74761"/>
    <w:rsid w:val="00A749D1"/>
    <w:rsid w:val="00A74A97"/>
    <w:rsid w:val="00A74C04"/>
    <w:rsid w:val="00A75396"/>
    <w:rsid w:val="00A753E1"/>
    <w:rsid w:val="00A754B3"/>
    <w:rsid w:val="00A756A9"/>
    <w:rsid w:val="00A75767"/>
    <w:rsid w:val="00A758B4"/>
    <w:rsid w:val="00A75A3D"/>
    <w:rsid w:val="00A75A45"/>
    <w:rsid w:val="00A75AE8"/>
    <w:rsid w:val="00A75C12"/>
    <w:rsid w:val="00A75C67"/>
    <w:rsid w:val="00A75E20"/>
    <w:rsid w:val="00A75E9A"/>
    <w:rsid w:val="00A75EC6"/>
    <w:rsid w:val="00A76701"/>
    <w:rsid w:val="00A76A12"/>
    <w:rsid w:val="00A76B52"/>
    <w:rsid w:val="00A771D9"/>
    <w:rsid w:val="00A773A8"/>
    <w:rsid w:val="00A774C7"/>
    <w:rsid w:val="00A776CD"/>
    <w:rsid w:val="00A776D0"/>
    <w:rsid w:val="00A776D5"/>
    <w:rsid w:val="00A7775F"/>
    <w:rsid w:val="00A777FC"/>
    <w:rsid w:val="00A77835"/>
    <w:rsid w:val="00A77898"/>
    <w:rsid w:val="00A778A5"/>
    <w:rsid w:val="00A77A9A"/>
    <w:rsid w:val="00A77C43"/>
    <w:rsid w:val="00A77CA0"/>
    <w:rsid w:val="00A800AE"/>
    <w:rsid w:val="00A802E3"/>
    <w:rsid w:val="00A8031B"/>
    <w:rsid w:val="00A80828"/>
    <w:rsid w:val="00A8083A"/>
    <w:rsid w:val="00A80A16"/>
    <w:rsid w:val="00A80B09"/>
    <w:rsid w:val="00A80BC5"/>
    <w:rsid w:val="00A80E26"/>
    <w:rsid w:val="00A80E84"/>
    <w:rsid w:val="00A80E9B"/>
    <w:rsid w:val="00A81063"/>
    <w:rsid w:val="00A813FC"/>
    <w:rsid w:val="00A81436"/>
    <w:rsid w:val="00A81567"/>
    <w:rsid w:val="00A8159B"/>
    <w:rsid w:val="00A81706"/>
    <w:rsid w:val="00A81753"/>
    <w:rsid w:val="00A81B50"/>
    <w:rsid w:val="00A81B7C"/>
    <w:rsid w:val="00A81C76"/>
    <w:rsid w:val="00A81E9A"/>
    <w:rsid w:val="00A82106"/>
    <w:rsid w:val="00A82216"/>
    <w:rsid w:val="00A82379"/>
    <w:rsid w:val="00A825AC"/>
    <w:rsid w:val="00A825C9"/>
    <w:rsid w:val="00A8267F"/>
    <w:rsid w:val="00A82D46"/>
    <w:rsid w:val="00A82DDA"/>
    <w:rsid w:val="00A82FE1"/>
    <w:rsid w:val="00A8300C"/>
    <w:rsid w:val="00A83136"/>
    <w:rsid w:val="00A831F8"/>
    <w:rsid w:val="00A83277"/>
    <w:rsid w:val="00A832C7"/>
    <w:rsid w:val="00A8331B"/>
    <w:rsid w:val="00A83368"/>
    <w:rsid w:val="00A8351F"/>
    <w:rsid w:val="00A83747"/>
    <w:rsid w:val="00A83841"/>
    <w:rsid w:val="00A83A96"/>
    <w:rsid w:val="00A83A9D"/>
    <w:rsid w:val="00A83C0A"/>
    <w:rsid w:val="00A83C26"/>
    <w:rsid w:val="00A83C7A"/>
    <w:rsid w:val="00A83CC0"/>
    <w:rsid w:val="00A83CF4"/>
    <w:rsid w:val="00A83F25"/>
    <w:rsid w:val="00A84101"/>
    <w:rsid w:val="00A84294"/>
    <w:rsid w:val="00A8448D"/>
    <w:rsid w:val="00A8448E"/>
    <w:rsid w:val="00A845A3"/>
    <w:rsid w:val="00A8470E"/>
    <w:rsid w:val="00A84A0D"/>
    <w:rsid w:val="00A84B98"/>
    <w:rsid w:val="00A84BD9"/>
    <w:rsid w:val="00A84BF7"/>
    <w:rsid w:val="00A84DB4"/>
    <w:rsid w:val="00A85111"/>
    <w:rsid w:val="00A85445"/>
    <w:rsid w:val="00A855EE"/>
    <w:rsid w:val="00A85867"/>
    <w:rsid w:val="00A85B27"/>
    <w:rsid w:val="00A85B33"/>
    <w:rsid w:val="00A85E88"/>
    <w:rsid w:val="00A85FE8"/>
    <w:rsid w:val="00A860AC"/>
    <w:rsid w:val="00A86135"/>
    <w:rsid w:val="00A861CD"/>
    <w:rsid w:val="00A8632F"/>
    <w:rsid w:val="00A866D6"/>
    <w:rsid w:val="00A86915"/>
    <w:rsid w:val="00A86B2C"/>
    <w:rsid w:val="00A86B7F"/>
    <w:rsid w:val="00A86B8E"/>
    <w:rsid w:val="00A86BBF"/>
    <w:rsid w:val="00A86BC2"/>
    <w:rsid w:val="00A86C59"/>
    <w:rsid w:val="00A86C65"/>
    <w:rsid w:val="00A86D84"/>
    <w:rsid w:val="00A86DCA"/>
    <w:rsid w:val="00A86E48"/>
    <w:rsid w:val="00A870D5"/>
    <w:rsid w:val="00A8722E"/>
    <w:rsid w:val="00A872BE"/>
    <w:rsid w:val="00A874B6"/>
    <w:rsid w:val="00A87734"/>
    <w:rsid w:val="00A8785B"/>
    <w:rsid w:val="00A8786F"/>
    <w:rsid w:val="00A87897"/>
    <w:rsid w:val="00A87C38"/>
    <w:rsid w:val="00A87F69"/>
    <w:rsid w:val="00A90033"/>
    <w:rsid w:val="00A900CC"/>
    <w:rsid w:val="00A90395"/>
    <w:rsid w:val="00A90569"/>
    <w:rsid w:val="00A90673"/>
    <w:rsid w:val="00A9095F"/>
    <w:rsid w:val="00A90BBD"/>
    <w:rsid w:val="00A90CFD"/>
    <w:rsid w:val="00A90D74"/>
    <w:rsid w:val="00A90F9B"/>
    <w:rsid w:val="00A9114D"/>
    <w:rsid w:val="00A91151"/>
    <w:rsid w:val="00A91161"/>
    <w:rsid w:val="00A9177F"/>
    <w:rsid w:val="00A91796"/>
    <w:rsid w:val="00A9187E"/>
    <w:rsid w:val="00A91CC6"/>
    <w:rsid w:val="00A91DB5"/>
    <w:rsid w:val="00A91F1D"/>
    <w:rsid w:val="00A920F9"/>
    <w:rsid w:val="00A9229A"/>
    <w:rsid w:val="00A928D7"/>
    <w:rsid w:val="00A92ABB"/>
    <w:rsid w:val="00A93199"/>
    <w:rsid w:val="00A93221"/>
    <w:rsid w:val="00A93230"/>
    <w:rsid w:val="00A93323"/>
    <w:rsid w:val="00A93503"/>
    <w:rsid w:val="00A93574"/>
    <w:rsid w:val="00A9376C"/>
    <w:rsid w:val="00A93B77"/>
    <w:rsid w:val="00A93BC8"/>
    <w:rsid w:val="00A93CB9"/>
    <w:rsid w:val="00A93D25"/>
    <w:rsid w:val="00A93D53"/>
    <w:rsid w:val="00A93E0F"/>
    <w:rsid w:val="00A93ED7"/>
    <w:rsid w:val="00A93FA4"/>
    <w:rsid w:val="00A93FC7"/>
    <w:rsid w:val="00A93FE8"/>
    <w:rsid w:val="00A94235"/>
    <w:rsid w:val="00A94273"/>
    <w:rsid w:val="00A9428A"/>
    <w:rsid w:val="00A9456E"/>
    <w:rsid w:val="00A9461F"/>
    <w:rsid w:val="00A947A9"/>
    <w:rsid w:val="00A94B56"/>
    <w:rsid w:val="00A94DFE"/>
    <w:rsid w:val="00A95229"/>
    <w:rsid w:val="00A95512"/>
    <w:rsid w:val="00A95553"/>
    <w:rsid w:val="00A955A8"/>
    <w:rsid w:val="00A9565E"/>
    <w:rsid w:val="00A95848"/>
    <w:rsid w:val="00A95A64"/>
    <w:rsid w:val="00A95B39"/>
    <w:rsid w:val="00A95F31"/>
    <w:rsid w:val="00A95F3A"/>
    <w:rsid w:val="00A96054"/>
    <w:rsid w:val="00A96094"/>
    <w:rsid w:val="00A961A4"/>
    <w:rsid w:val="00A961E8"/>
    <w:rsid w:val="00A96286"/>
    <w:rsid w:val="00A9629F"/>
    <w:rsid w:val="00A9646D"/>
    <w:rsid w:val="00A96593"/>
    <w:rsid w:val="00A965D5"/>
    <w:rsid w:val="00A966B2"/>
    <w:rsid w:val="00A966F9"/>
    <w:rsid w:val="00A96BE5"/>
    <w:rsid w:val="00A96C42"/>
    <w:rsid w:val="00A96C43"/>
    <w:rsid w:val="00A9707A"/>
    <w:rsid w:val="00A970B2"/>
    <w:rsid w:val="00A973AD"/>
    <w:rsid w:val="00A97605"/>
    <w:rsid w:val="00A976A0"/>
    <w:rsid w:val="00A97855"/>
    <w:rsid w:val="00A9796A"/>
    <w:rsid w:val="00A97B66"/>
    <w:rsid w:val="00A97B70"/>
    <w:rsid w:val="00A97C55"/>
    <w:rsid w:val="00A97C97"/>
    <w:rsid w:val="00A97EDE"/>
    <w:rsid w:val="00A97F77"/>
    <w:rsid w:val="00AA0112"/>
    <w:rsid w:val="00AA084A"/>
    <w:rsid w:val="00AA0913"/>
    <w:rsid w:val="00AA0BB5"/>
    <w:rsid w:val="00AA0BFA"/>
    <w:rsid w:val="00AA0D0E"/>
    <w:rsid w:val="00AA0E22"/>
    <w:rsid w:val="00AA0E6D"/>
    <w:rsid w:val="00AA1185"/>
    <w:rsid w:val="00AA1356"/>
    <w:rsid w:val="00AA1553"/>
    <w:rsid w:val="00AA160D"/>
    <w:rsid w:val="00AA16F3"/>
    <w:rsid w:val="00AA1894"/>
    <w:rsid w:val="00AA1C60"/>
    <w:rsid w:val="00AA1C7E"/>
    <w:rsid w:val="00AA21DE"/>
    <w:rsid w:val="00AA22C1"/>
    <w:rsid w:val="00AA23BC"/>
    <w:rsid w:val="00AA23D9"/>
    <w:rsid w:val="00AA2656"/>
    <w:rsid w:val="00AA276D"/>
    <w:rsid w:val="00AA283D"/>
    <w:rsid w:val="00AA28A7"/>
    <w:rsid w:val="00AA29AA"/>
    <w:rsid w:val="00AA2B2F"/>
    <w:rsid w:val="00AA2C65"/>
    <w:rsid w:val="00AA2D84"/>
    <w:rsid w:val="00AA2E60"/>
    <w:rsid w:val="00AA314F"/>
    <w:rsid w:val="00AA3218"/>
    <w:rsid w:val="00AA3416"/>
    <w:rsid w:val="00AA344A"/>
    <w:rsid w:val="00AA34E3"/>
    <w:rsid w:val="00AA35AE"/>
    <w:rsid w:val="00AA389F"/>
    <w:rsid w:val="00AA397E"/>
    <w:rsid w:val="00AA3AFD"/>
    <w:rsid w:val="00AA3B2D"/>
    <w:rsid w:val="00AA3B94"/>
    <w:rsid w:val="00AA3C3C"/>
    <w:rsid w:val="00AA3CF6"/>
    <w:rsid w:val="00AA3EBE"/>
    <w:rsid w:val="00AA3F02"/>
    <w:rsid w:val="00AA4151"/>
    <w:rsid w:val="00AA4366"/>
    <w:rsid w:val="00AA446F"/>
    <w:rsid w:val="00AA453F"/>
    <w:rsid w:val="00AA45BC"/>
    <w:rsid w:val="00AA4905"/>
    <w:rsid w:val="00AA4984"/>
    <w:rsid w:val="00AA4ACC"/>
    <w:rsid w:val="00AA4DDC"/>
    <w:rsid w:val="00AA53B3"/>
    <w:rsid w:val="00AA53CD"/>
    <w:rsid w:val="00AA5530"/>
    <w:rsid w:val="00AA5636"/>
    <w:rsid w:val="00AA5672"/>
    <w:rsid w:val="00AA5740"/>
    <w:rsid w:val="00AA57EA"/>
    <w:rsid w:val="00AA5990"/>
    <w:rsid w:val="00AA5A21"/>
    <w:rsid w:val="00AA5AE9"/>
    <w:rsid w:val="00AA5AFB"/>
    <w:rsid w:val="00AA5B69"/>
    <w:rsid w:val="00AA5F5A"/>
    <w:rsid w:val="00AA6014"/>
    <w:rsid w:val="00AA6015"/>
    <w:rsid w:val="00AA6183"/>
    <w:rsid w:val="00AA630E"/>
    <w:rsid w:val="00AA63F5"/>
    <w:rsid w:val="00AA65FD"/>
    <w:rsid w:val="00AA6B9E"/>
    <w:rsid w:val="00AA715B"/>
    <w:rsid w:val="00AA768F"/>
    <w:rsid w:val="00AA799F"/>
    <w:rsid w:val="00AA79D8"/>
    <w:rsid w:val="00AA7FC0"/>
    <w:rsid w:val="00AB018C"/>
    <w:rsid w:val="00AB02E6"/>
    <w:rsid w:val="00AB0548"/>
    <w:rsid w:val="00AB0700"/>
    <w:rsid w:val="00AB0862"/>
    <w:rsid w:val="00AB0AF1"/>
    <w:rsid w:val="00AB0B49"/>
    <w:rsid w:val="00AB0DF6"/>
    <w:rsid w:val="00AB0EC4"/>
    <w:rsid w:val="00AB104E"/>
    <w:rsid w:val="00AB1077"/>
    <w:rsid w:val="00AB10A0"/>
    <w:rsid w:val="00AB10ED"/>
    <w:rsid w:val="00AB1143"/>
    <w:rsid w:val="00AB11CE"/>
    <w:rsid w:val="00AB1262"/>
    <w:rsid w:val="00AB1317"/>
    <w:rsid w:val="00AB1478"/>
    <w:rsid w:val="00AB17CD"/>
    <w:rsid w:val="00AB1BB3"/>
    <w:rsid w:val="00AB1DC5"/>
    <w:rsid w:val="00AB1DFD"/>
    <w:rsid w:val="00AB1F8E"/>
    <w:rsid w:val="00AB20A6"/>
    <w:rsid w:val="00AB22A6"/>
    <w:rsid w:val="00AB22BE"/>
    <w:rsid w:val="00AB22F6"/>
    <w:rsid w:val="00AB24DD"/>
    <w:rsid w:val="00AB283A"/>
    <w:rsid w:val="00AB2AE9"/>
    <w:rsid w:val="00AB2BDB"/>
    <w:rsid w:val="00AB2C0F"/>
    <w:rsid w:val="00AB2F32"/>
    <w:rsid w:val="00AB307F"/>
    <w:rsid w:val="00AB317B"/>
    <w:rsid w:val="00AB32A9"/>
    <w:rsid w:val="00AB342B"/>
    <w:rsid w:val="00AB3560"/>
    <w:rsid w:val="00AB37D4"/>
    <w:rsid w:val="00AB3B71"/>
    <w:rsid w:val="00AB3BCF"/>
    <w:rsid w:val="00AB3D1D"/>
    <w:rsid w:val="00AB3DD5"/>
    <w:rsid w:val="00AB3E3C"/>
    <w:rsid w:val="00AB3E7A"/>
    <w:rsid w:val="00AB3E8C"/>
    <w:rsid w:val="00AB418C"/>
    <w:rsid w:val="00AB44BE"/>
    <w:rsid w:val="00AB458A"/>
    <w:rsid w:val="00AB46D0"/>
    <w:rsid w:val="00AB48EC"/>
    <w:rsid w:val="00AB49BB"/>
    <w:rsid w:val="00AB4A9A"/>
    <w:rsid w:val="00AB4B14"/>
    <w:rsid w:val="00AB4B15"/>
    <w:rsid w:val="00AB4C8D"/>
    <w:rsid w:val="00AB4CB7"/>
    <w:rsid w:val="00AB4D17"/>
    <w:rsid w:val="00AB4D28"/>
    <w:rsid w:val="00AB4D7A"/>
    <w:rsid w:val="00AB50B0"/>
    <w:rsid w:val="00AB51D8"/>
    <w:rsid w:val="00AB51EA"/>
    <w:rsid w:val="00AB542A"/>
    <w:rsid w:val="00AB54A5"/>
    <w:rsid w:val="00AB55D3"/>
    <w:rsid w:val="00AB55EA"/>
    <w:rsid w:val="00AB568A"/>
    <w:rsid w:val="00AB56B7"/>
    <w:rsid w:val="00AB5A0C"/>
    <w:rsid w:val="00AB5AA7"/>
    <w:rsid w:val="00AB5C4F"/>
    <w:rsid w:val="00AB5D31"/>
    <w:rsid w:val="00AB5D3A"/>
    <w:rsid w:val="00AB64E9"/>
    <w:rsid w:val="00AB659F"/>
    <w:rsid w:val="00AB6646"/>
    <w:rsid w:val="00AB6749"/>
    <w:rsid w:val="00AB6938"/>
    <w:rsid w:val="00AB6D2D"/>
    <w:rsid w:val="00AB6DB1"/>
    <w:rsid w:val="00AB6E18"/>
    <w:rsid w:val="00AB6E7D"/>
    <w:rsid w:val="00AB70CD"/>
    <w:rsid w:val="00AB726B"/>
    <w:rsid w:val="00AB7314"/>
    <w:rsid w:val="00AB7581"/>
    <w:rsid w:val="00AB78C9"/>
    <w:rsid w:val="00AB7A9B"/>
    <w:rsid w:val="00AB7AC7"/>
    <w:rsid w:val="00AB7CB7"/>
    <w:rsid w:val="00AB7DE3"/>
    <w:rsid w:val="00AC0056"/>
    <w:rsid w:val="00AC019A"/>
    <w:rsid w:val="00AC0225"/>
    <w:rsid w:val="00AC02AA"/>
    <w:rsid w:val="00AC030C"/>
    <w:rsid w:val="00AC033A"/>
    <w:rsid w:val="00AC0352"/>
    <w:rsid w:val="00AC0427"/>
    <w:rsid w:val="00AC0503"/>
    <w:rsid w:val="00AC05FD"/>
    <w:rsid w:val="00AC0684"/>
    <w:rsid w:val="00AC0747"/>
    <w:rsid w:val="00AC088B"/>
    <w:rsid w:val="00AC0A02"/>
    <w:rsid w:val="00AC0B2E"/>
    <w:rsid w:val="00AC0EF5"/>
    <w:rsid w:val="00AC117B"/>
    <w:rsid w:val="00AC1198"/>
    <w:rsid w:val="00AC1225"/>
    <w:rsid w:val="00AC13E9"/>
    <w:rsid w:val="00AC1462"/>
    <w:rsid w:val="00AC158D"/>
    <w:rsid w:val="00AC1707"/>
    <w:rsid w:val="00AC1A57"/>
    <w:rsid w:val="00AC1ACE"/>
    <w:rsid w:val="00AC1C2B"/>
    <w:rsid w:val="00AC1D94"/>
    <w:rsid w:val="00AC1DC4"/>
    <w:rsid w:val="00AC1F50"/>
    <w:rsid w:val="00AC2081"/>
    <w:rsid w:val="00AC23C7"/>
    <w:rsid w:val="00AC23FC"/>
    <w:rsid w:val="00AC2554"/>
    <w:rsid w:val="00AC2606"/>
    <w:rsid w:val="00AC26E0"/>
    <w:rsid w:val="00AC2715"/>
    <w:rsid w:val="00AC2A00"/>
    <w:rsid w:val="00AC2A3A"/>
    <w:rsid w:val="00AC2DCE"/>
    <w:rsid w:val="00AC2F56"/>
    <w:rsid w:val="00AC2FBB"/>
    <w:rsid w:val="00AC3468"/>
    <w:rsid w:val="00AC3A93"/>
    <w:rsid w:val="00AC3B7D"/>
    <w:rsid w:val="00AC3BF7"/>
    <w:rsid w:val="00AC3E73"/>
    <w:rsid w:val="00AC3FF9"/>
    <w:rsid w:val="00AC4108"/>
    <w:rsid w:val="00AC4201"/>
    <w:rsid w:val="00AC47F0"/>
    <w:rsid w:val="00AC4948"/>
    <w:rsid w:val="00AC4B30"/>
    <w:rsid w:val="00AC4B89"/>
    <w:rsid w:val="00AC4BA7"/>
    <w:rsid w:val="00AC4E69"/>
    <w:rsid w:val="00AC537C"/>
    <w:rsid w:val="00AC5427"/>
    <w:rsid w:val="00AC5521"/>
    <w:rsid w:val="00AC590F"/>
    <w:rsid w:val="00AC5966"/>
    <w:rsid w:val="00AC5A85"/>
    <w:rsid w:val="00AC5C8E"/>
    <w:rsid w:val="00AC5E9A"/>
    <w:rsid w:val="00AC5EE8"/>
    <w:rsid w:val="00AC5F96"/>
    <w:rsid w:val="00AC6160"/>
    <w:rsid w:val="00AC6172"/>
    <w:rsid w:val="00AC624B"/>
    <w:rsid w:val="00AC632E"/>
    <w:rsid w:val="00AC6377"/>
    <w:rsid w:val="00AC63C7"/>
    <w:rsid w:val="00AC640B"/>
    <w:rsid w:val="00AC66FA"/>
    <w:rsid w:val="00AC681E"/>
    <w:rsid w:val="00AC6D72"/>
    <w:rsid w:val="00AC6EE6"/>
    <w:rsid w:val="00AC6FD4"/>
    <w:rsid w:val="00AC7056"/>
    <w:rsid w:val="00AC7146"/>
    <w:rsid w:val="00AC7329"/>
    <w:rsid w:val="00AC73FC"/>
    <w:rsid w:val="00AC740C"/>
    <w:rsid w:val="00AC762B"/>
    <w:rsid w:val="00AC76A2"/>
    <w:rsid w:val="00AC76C9"/>
    <w:rsid w:val="00AC76DE"/>
    <w:rsid w:val="00AC7763"/>
    <w:rsid w:val="00AC7875"/>
    <w:rsid w:val="00AC7912"/>
    <w:rsid w:val="00AC7938"/>
    <w:rsid w:val="00AC7CD5"/>
    <w:rsid w:val="00AD00A8"/>
    <w:rsid w:val="00AD014E"/>
    <w:rsid w:val="00AD01F5"/>
    <w:rsid w:val="00AD03F4"/>
    <w:rsid w:val="00AD044C"/>
    <w:rsid w:val="00AD04E1"/>
    <w:rsid w:val="00AD081C"/>
    <w:rsid w:val="00AD0977"/>
    <w:rsid w:val="00AD09F7"/>
    <w:rsid w:val="00AD0C1A"/>
    <w:rsid w:val="00AD0CCC"/>
    <w:rsid w:val="00AD0FFC"/>
    <w:rsid w:val="00AD1020"/>
    <w:rsid w:val="00AD1216"/>
    <w:rsid w:val="00AD1397"/>
    <w:rsid w:val="00AD163B"/>
    <w:rsid w:val="00AD1936"/>
    <w:rsid w:val="00AD1D5E"/>
    <w:rsid w:val="00AD1F73"/>
    <w:rsid w:val="00AD2010"/>
    <w:rsid w:val="00AD22FC"/>
    <w:rsid w:val="00AD25E1"/>
    <w:rsid w:val="00AD26F9"/>
    <w:rsid w:val="00AD273B"/>
    <w:rsid w:val="00AD2809"/>
    <w:rsid w:val="00AD281B"/>
    <w:rsid w:val="00AD28C9"/>
    <w:rsid w:val="00AD2B0F"/>
    <w:rsid w:val="00AD2BB5"/>
    <w:rsid w:val="00AD2C7A"/>
    <w:rsid w:val="00AD2D35"/>
    <w:rsid w:val="00AD2E7D"/>
    <w:rsid w:val="00AD2FA5"/>
    <w:rsid w:val="00AD3050"/>
    <w:rsid w:val="00AD31DA"/>
    <w:rsid w:val="00AD3275"/>
    <w:rsid w:val="00AD33EF"/>
    <w:rsid w:val="00AD3440"/>
    <w:rsid w:val="00AD35BE"/>
    <w:rsid w:val="00AD39B3"/>
    <w:rsid w:val="00AD3ABD"/>
    <w:rsid w:val="00AD3BE6"/>
    <w:rsid w:val="00AD3C85"/>
    <w:rsid w:val="00AD3DD7"/>
    <w:rsid w:val="00AD4091"/>
    <w:rsid w:val="00AD40A4"/>
    <w:rsid w:val="00AD410C"/>
    <w:rsid w:val="00AD4126"/>
    <w:rsid w:val="00AD4185"/>
    <w:rsid w:val="00AD4208"/>
    <w:rsid w:val="00AD420A"/>
    <w:rsid w:val="00AD432F"/>
    <w:rsid w:val="00AD442D"/>
    <w:rsid w:val="00AD449F"/>
    <w:rsid w:val="00AD4672"/>
    <w:rsid w:val="00AD4703"/>
    <w:rsid w:val="00AD4866"/>
    <w:rsid w:val="00AD4A31"/>
    <w:rsid w:val="00AD4AC9"/>
    <w:rsid w:val="00AD4AD9"/>
    <w:rsid w:val="00AD4B33"/>
    <w:rsid w:val="00AD4BE0"/>
    <w:rsid w:val="00AD4D3E"/>
    <w:rsid w:val="00AD50FA"/>
    <w:rsid w:val="00AD528F"/>
    <w:rsid w:val="00AD5461"/>
    <w:rsid w:val="00AD5604"/>
    <w:rsid w:val="00AD56D4"/>
    <w:rsid w:val="00AD5878"/>
    <w:rsid w:val="00AD5A0F"/>
    <w:rsid w:val="00AD5BA3"/>
    <w:rsid w:val="00AD5D0A"/>
    <w:rsid w:val="00AD5DD3"/>
    <w:rsid w:val="00AD617F"/>
    <w:rsid w:val="00AD62AD"/>
    <w:rsid w:val="00AD6452"/>
    <w:rsid w:val="00AD646D"/>
    <w:rsid w:val="00AD64D2"/>
    <w:rsid w:val="00AD6519"/>
    <w:rsid w:val="00AD65D0"/>
    <w:rsid w:val="00AD66A1"/>
    <w:rsid w:val="00AD6730"/>
    <w:rsid w:val="00AD673D"/>
    <w:rsid w:val="00AD6800"/>
    <w:rsid w:val="00AD684A"/>
    <w:rsid w:val="00AD6910"/>
    <w:rsid w:val="00AD693A"/>
    <w:rsid w:val="00AD695B"/>
    <w:rsid w:val="00AD6AF7"/>
    <w:rsid w:val="00AD6B44"/>
    <w:rsid w:val="00AD6BB9"/>
    <w:rsid w:val="00AD6CA1"/>
    <w:rsid w:val="00AD6DE8"/>
    <w:rsid w:val="00AD7000"/>
    <w:rsid w:val="00AD701A"/>
    <w:rsid w:val="00AD70B4"/>
    <w:rsid w:val="00AD72F9"/>
    <w:rsid w:val="00AD735F"/>
    <w:rsid w:val="00AD7400"/>
    <w:rsid w:val="00AD7489"/>
    <w:rsid w:val="00AD75C3"/>
    <w:rsid w:val="00AD7623"/>
    <w:rsid w:val="00AD77D5"/>
    <w:rsid w:val="00AD7A51"/>
    <w:rsid w:val="00AD7AA8"/>
    <w:rsid w:val="00AD7B0A"/>
    <w:rsid w:val="00AD7B4C"/>
    <w:rsid w:val="00AD7C7B"/>
    <w:rsid w:val="00AD7D22"/>
    <w:rsid w:val="00AD7EB1"/>
    <w:rsid w:val="00AD7F8E"/>
    <w:rsid w:val="00AD7FE7"/>
    <w:rsid w:val="00AD7FEF"/>
    <w:rsid w:val="00AE00E4"/>
    <w:rsid w:val="00AE01AC"/>
    <w:rsid w:val="00AE01C7"/>
    <w:rsid w:val="00AE03D2"/>
    <w:rsid w:val="00AE067E"/>
    <w:rsid w:val="00AE0792"/>
    <w:rsid w:val="00AE07DC"/>
    <w:rsid w:val="00AE08D9"/>
    <w:rsid w:val="00AE0A07"/>
    <w:rsid w:val="00AE0A92"/>
    <w:rsid w:val="00AE0C17"/>
    <w:rsid w:val="00AE0E6C"/>
    <w:rsid w:val="00AE0FC7"/>
    <w:rsid w:val="00AE103A"/>
    <w:rsid w:val="00AE11D7"/>
    <w:rsid w:val="00AE128B"/>
    <w:rsid w:val="00AE13AD"/>
    <w:rsid w:val="00AE13B6"/>
    <w:rsid w:val="00AE15BB"/>
    <w:rsid w:val="00AE1608"/>
    <w:rsid w:val="00AE1675"/>
    <w:rsid w:val="00AE196A"/>
    <w:rsid w:val="00AE19E8"/>
    <w:rsid w:val="00AE1A35"/>
    <w:rsid w:val="00AE1A79"/>
    <w:rsid w:val="00AE1ABC"/>
    <w:rsid w:val="00AE1B0B"/>
    <w:rsid w:val="00AE1C33"/>
    <w:rsid w:val="00AE1F0D"/>
    <w:rsid w:val="00AE1FE0"/>
    <w:rsid w:val="00AE225B"/>
    <w:rsid w:val="00AE22A9"/>
    <w:rsid w:val="00AE23DD"/>
    <w:rsid w:val="00AE25E9"/>
    <w:rsid w:val="00AE2664"/>
    <w:rsid w:val="00AE26D6"/>
    <w:rsid w:val="00AE2707"/>
    <w:rsid w:val="00AE2790"/>
    <w:rsid w:val="00AE2AD1"/>
    <w:rsid w:val="00AE3113"/>
    <w:rsid w:val="00AE319F"/>
    <w:rsid w:val="00AE3581"/>
    <w:rsid w:val="00AE3831"/>
    <w:rsid w:val="00AE3844"/>
    <w:rsid w:val="00AE3894"/>
    <w:rsid w:val="00AE397D"/>
    <w:rsid w:val="00AE3B11"/>
    <w:rsid w:val="00AE3BA7"/>
    <w:rsid w:val="00AE3D11"/>
    <w:rsid w:val="00AE3F1A"/>
    <w:rsid w:val="00AE41B7"/>
    <w:rsid w:val="00AE4284"/>
    <w:rsid w:val="00AE4459"/>
    <w:rsid w:val="00AE457B"/>
    <w:rsid w:val="00AE45C7"/>
    <w:rsid w:val="00AE4728"/>
    <w:rsid w:val="00AE4743"/>
    <w:rsid w:val="00AE4839"/>
    <w:rsid w:val="00AE48A3"/>
    <w:rsid w:val="00AE4A78"/>
    <w:rsid w:val="00AE4BB8"/>
    <w:rsid w:val="00AE4BC9"/>
    <w:rsid w:val="00AE4C6E"/>
    <w:rsid w:val="00AE5018"/>
    <w:rsid w:val="00AE507F"/>
    <w:rsid w:val="00AE5255"/>
    <w:rsid w:val="00AE5266"/>
    <w:rsid w:val="00AE571C"/>
    <w:rsid w:val="00AE577E"/>
    <w:rsid w:val="00AE59EC"/>
    <w:rsid w:val="00AE615C"/>
    <w:rsid w:val="00AE61C4"/>
    <w:rsid w:val="00AE61E4"/>
    <w:rsid w:val="00AE62D9"/>
    <w:rsid w:val="00AE63DC"/>
    <w:rsid w:val="00AE65D2"/>
    <w:rsid w:val="00AE65D5"/>
    <w:rsid w:val="00AE6AEE"/>
    <w:rsid w:val="00AE6C40"/>
    <w:rsid w:val="00AE6C81"/>
    <w:rsid w:val="00AE6CB9"/>
    <w:rsid w:val="00AE6F03"/>
    <w:rsid w:val="00AE7033"/>
    <w:rsid w:val="00AE704B"/>
    <w:rsid w:val="00AE710A"/>
    <w:rsid w:val="00AE71C4"/>
    <w:rsid w:val="00AE74F7"/>
    <w:rsid w:val="00AE7611"/>
    <w:rsid w:val="00AE778A"/>
    <w:rsid w:val="00AE77AA"/>
    <w:rsid w:val="00AE782B"/>
    <w:rsid w:val="00AE7881"/>
    <w:rsid w:val="00AE7A33"/>
    <w:rsid w:val="00AE7C61"/>
    <w:rsid w:val="00AE7D15"/>
    <w:rsid w:val="00AE7D35"/>
    <w:rsid w:val="00AE7D4A"/>
    <w:rsid w:val="00AF0459"/>
    <w:rsid w:val="00AF04F2"/>
    <w:rsid w:val="00AF0593"/>
    <w:rsid w:val="00AF0730"/>
    <w:rsid w:val="00AF076E"/>
    <w:rsid w:val="00AF09FD"/>
    <w:rsid w:val="00AF0A9D"/>
    <w:rsid w:val="00AF0AFA"/>
    <w:rsid w:val="00AF0AFD"/>
    <w:rsid w:val="00AF1128"/>
    <w:rsid w:val="00AF1639"/>
    <w:rsid w:val="00AF17A8"/>
    <w:rsid w:val="00AF1850"/>
    <w:rsid w:val="00AF1888"/>
    <w:rsid w:val="00AF190A"/>
    <w:rsid w:val="00AF1A19"/>
    <w:rsid w:val="00AF1BFA"/>
    <w:rsid w:val="00AF1C14"/>
    <w:rsid w:val="00AF1E9B"/>
    <w:rsid w:val="00AF1EBD"/>
    <w:rsid w:val="00AF1F66"/>
    <w:rsid w:val="00AF220C"/>
    <w:rsid w:val="00AF22EA"/>
    <w:rsid w:val="00AF24CC"/>
    <w:rsid w:val="00AF2631"/>
    <w:rsid w:val="00AF2A60"/>
    <w:rsid w:val="00AF2B63"/>
    <w:rsid w:val="00AF2DC3"/>
    <w:rsid w:val="00AF2DDB"/>
    <w:rsid w:val="00AF2E49"/>
    <w:rsid w:val="00AF2E79"/>
    <w:rsid w:val="00AF32B3"/>
    <w:rsid w:val="00AF33E7"/>
    <w:rsid w:val="00AF3776"/>
    <w:rsid w:val="00AF3B33"/>
    <w:rsid w:val="00AF3D79"/>
    <w:rsid w:val="00AF3E27"/>
    <w:rsid w:val="00AF3F0E"/>
    <w:rsid w:val="00AF4063"/>
    <w:rsid w:val="00AF40BF"/>
    <w:rsid w:val="00AF415E"/>
    <w:rsid w:val="00AF430C"/>
    <w:rsid w:val="00AF44BC"/>
    <w:rsid w:val="00AF45E9"/>
    <w:rsid w:val="00AF4735"/>
    <w:rsid w:val="00AF47EF"/>
    <w:rsid w:val="00AF4805"/>
    <w:rsid w:val="00AF4807"/>
    <w:rsid w:val="00AF492E"/>
    <w:rsid w:val="00AF4930"/>
    <w:rsid w:val="00AF4984"/>
    <w:rsid w:val="00AF49E1"/>
    <w:rsid w:val="00AF4A5C"/>
    <w:rsid w:val="00AF4B58"/>
    <w:rsid w:val="00AF4B76"/>
    <w:rsid w:val="00AF4B91"/>
    <w:rsid w:val="00AF4DA2"/>
    <w:rsid w:val="00AF4EC3"/>
    <w:rsid w:val="00AF4F97"/>
    <w:rsid w:val="00AF4FCD"/>
    <w:rsid w:val="00AF5156"/>
    <w:rsid w:val="00AF51AD"/>
    <w:rsid w:val="00AF51EE"/>
    <w:rsid w:val="00AF52D8"/>
    <w:rsid w:val="00AF54A8"/>
    <w:rsid w:val="00AF551D"/>
    <w:rsid w:val="00AF57F0"/>
    <w:rsid w:val="00AF5853"/>
    <w:rsid w:val="00AF58CC"/>
    <w:rsid w:val="00AF5AAA"/>
    <w:rsid w:val="00AF5B92"/>
    <w:rsid w:val="00AF5BCD"/>
    <w:rsid w:val="00AF5C06"/>
    <w:rsid w:val="00AF5C5A"/>
    <w:rsid w:val="00AF5D6F"/>
    <w:rsid w:val="00AF5EAD"/>
    <w:rsid w:val="00AF645A"/>
    <w:rsid w:val="00AF6728"/>
    <w:rsid w:val="00AF6781"/>
    <w:rsid w:val="00AF6826"/>
    <w:rsid w:val="00AF6931"/>
    <w:rsid w:val="00AF6A2B"/>
    <w:rsid w:val="00AF6A32"/>
    <w:rsid w:val="00AF6B4D"/>
    <w:rsid w:val="00AF6E4D"/>
    <w:rsid w:val="00AF6E87"/>
    <w:rsid w:val="00AF6F4B"/>
    <w:rsid w:val="00AF6F74"/>
    <w:rsid w:val="00AF715B"/>
    <w:rsid w:val="00AF73BA"/>
    <w:rsid w:val="00AF746E"/>
    <w:rsid w:val="00AF75AB"/>
    <w:rsid w:val="00AF76AF"/>
    <w:rsid w:val="00AF7833"/>
    <w:rsid w:val="00AF7F13"/>
    <w:rsid w:val="00AF7F23"/>
    <w:rsid w:val="00B00226"/>
    <w:rsid w:val="00B0032D"/>
    <w:rsid w:val="00B003A2"/>
    <w:rsid w:val="00B003A7"/>
    <w:rsid w:val="00B003D7"/>
    <w:rsid w:val="00B00607"/>
    <w:rsid w:val="00B00645"/>
    <w:rsid w:val="00B0068E"/>
    <w:rsid w:val="00B007A1"/>
    <w:rsid w:val="00B00873"/>
    <w:rsid w:val="00B00995"/>
    <w:rsid w:val="00B00C99"/>
    <w:rsid w:val="00B00C9D"/>
    <w:rsid w:val="00B00D16"/>
    <w:rsid w:val="00B00E1A"/>
    <w:rsid w:val="00B010A1"/>
    <w:rsid w:val="00B01119"/>
    <w:rsid w:val="00B01184"/>
    <w:rsid w:val="00B012EC"/>
    <w:rsid w:val="00B01353"/>
    <w:rsid w:val="00B0144E"/>
    <w:rsid w:val="00B01634"/>
    <w:rsid w:val="00B0168A"/>
    <w:rsid w:val="00B016B5"/>
    <w:rsid w:val="00B017F9"/>
    <w:rsid w:val="00B0188C"/>
    <w:rsid w:val="00B0188F"/>
    <w:rsid w:val="00B01936"/>
    <w:rsid w:val="00B01A66"/>
    <w:rsid w:val="00B01EF6"/>
    <w:rsid w:val="00B020E4"/>
    <w:rsid w:val="00B022B7"/>
    <w:rsid w:val="00B025A6"/>
    <w:rsid w:val="00B02699"/>
    <w:rsid w:val="00B026BF"/>
    <w:rsid w:val="00B029EF"/>
    <w:rsid w:val="00B02BCC"/>
    <w:rsid w:val="00B03184"/>
    <w:rsid w:val="00B035D1"/>
    <w:rsid w:val="00B0370B"/>
    <w:rsid w:val="00B03832"/>
    <w:rsid w:val="00B03A5A"/>
    <w:rsid w:val="00B03DA1"/>
    <w:rsid w:val="00B04048"/>
    <w:rsid w:val="00B040AA"/>
    <w:rsid w:val="00B042A2"/>
    <w:rsid w:val="00B04358"/>
    <w:rsid w:val="00B04588"/>
    <w:rsid w:val="00B047E7"/>
    <w:rsid w:val="00B04A26"/>
    <w:rsid w:val="00B04B6F"/>
    <w:rsid w:val="00B04F29"/>
    <w:rsid w:val="00B04F9D"/>
    <w:rsid w:val="00B0500D"/>
    <w:rsid w:val="00B055B1"/>
    <w:rsid w:val="00B0561B"/>
    <w:rsid w:val="00B058B7"/>
    <w:rsid w:val="00B05904"/>
    <w:rsid w:val="00B0592D"/>
    <w:rsid w:val="00B05BD8"/>
    <w:rsid w:val="00B05BE8"/>
    <w:rsid w:val="00B05D0B"/>
    <w:rsid w:val="00B05E6F"/>
    <w:rsid w:val="00B0617E"/>
    <w:rsid w:val="00B06262"/>
    <w:rsid w:val="00B06473"/>
    <w:rsid w:val="00B064A8"/>
    <w:rsid w:val="00B06591"/>
    <w:rsid w:val="00B0660D"/>
    <w:rsid w:val="00B06672"/>
    <w:rsid w:val="00B06697"/>
    <w:rsid w:val="00B06702"/>
    <w:rsid w:val="00B06B0A"/>
    <w:rsid w:val="00B06B59"/>
    <w:rsid w:val="00B06BBE"/>
    <w:rsid w:val="00B06CDE"/>
    <w:rsid w:val="00B06E2A"/>
    <w:rsid w:val="00B07105"/>
    <w:rsid w:val="00B07258"/>
    <w:rsid w:val="00B073C0"/>
    <w:rsid w:val="00B07454"/>
    <w:rsid w:val="00B07463"/>
    <w:rsid w:val="00B07506"/>
    <w:rsid w:val="00B076CF"/>
    <w:rsid w:val="00B076DF"/>
    <w:rsid w:val="00B0780A"/>
    <w:rsid w:val="00B078D6"/>
    <w:rsid w:val="00B079AD"/>
    <w:rsid w:val="00B07B64"/>
    <w:rsid w:val="00B07C2A"/>
    <w:rsid w:val="00B07C98"/>
    <w:rsid w:val="00B07CF4"/>
    <w:rsid w:val="00B07CF7"/>
    <w:rsid w:val="00B104E7"/>
    <w:rsid w:val="00B10791"/>
    <w:rsid w:val="00B107B9"/>
    <w:rsid w:val="00B108C1"/>
    <w:rsid w:val="00B10A5C"/>
    <w:rsid w:val="00B10B1C"/>
    <w:rsid w:val="00B10CC4"/>
    <w:rsid w:val="00B10D1A"/>
    <w:rsid w:val="00B10D56"/>
    <w:rsid w:val="00B10E8A"/>
    <w:rsid w:val="00B10F73"/>
    <w:rsid w:val="00B10F92"/>
    <w:rsid w:val="00B11026"/>
    <w:rsid w:val="00B114D4"/>
    <w:rsid w:val="00B11555"/>
    <w:rsid w:val="00B1182E"/>
    <w:rsid w:val="00B1187A"/>
    <w:rsid w:val="00B11932"/>
    <w:rsid w:val="00B11A63"/>
    <w:rsid w:val="00B11B30"/>
    <w:rsid w:val="00B11C84"/>
    <w:rsid w:val="00B11CD5"/>
    <w:rsid w:val="00B11D48"/>
    <w:rsid w:val="00B11D4C"/>
    <w:rsid w:val="00B11E5D"/>
    <w:rsid w:val="00B12125"/>
    <w:rsid w:val="00B12295"/>
    <w:rsid w:val="00B12323"/>
    <w:rsid w:val="00B1243E"/>
    <w:rsid w:val="00B125C9"/>
    <w:rsid w:val="00B126E9"/>
    <w:rsid w:val="00B128B8"/>
    <w:rsid w:val="00B12C13"/>
    <w:rsid w:val="00B12C1A"/>
    <w:rsid w:val="00B12CF6"/>
    <w:rsid w:val="00B12D0D"/>
    <w:rsid w:val="00B12DC6"/>
    <w:rsid w:val="00B12DF6"/>
    <w:rsid w:val="00B12E0D"/>
    <w:rsid w:val="00B130B4"/>
    <w:rsid w:val="00B131FE"/>
    <w:rsid w:val="00B13276"/>
    <w:rsid w:val="00B13684"/>
    <w:rsid w:val="00B13685"/>
    <w:rsid w:val="00B1368A"/>
    <w:rsid w:val="00B13869"/>
    <w:rsid w:val="00B1388F"/>
    <w:rsid w:val="00B138D5"/>
    <w:rsid w:val="00B13AFB"/>
    <w:rsid w:val="00B13BFF"/>
    <w:rsid w:val="00B13E5E"/>
    <w:rsid w:val="00B1401C"/>
    <w:rsid w:val="00B14371"/>
    <w:rsid w:val="00B14549"/>
    <w:rsid w:val="00B14916"/>
    <w:rsid w:val="00B14A37"/>
    <w:rsid w:val="00B14AE0"/>
    <w:rsid w:val="00B14D7E"/>
    <w:rsid w:val="00B14DB8"/>
    <w:rsid w:val="00B14DCC"/>
    <w:rsid w:val="00B14F2A"/>
    <w:rsid w:val="00B1512E"/>
    <w:rsid w:val="00B15202"/>
    <w:rsid w:val="00B153AC"/>
    <w:rsid w:val="00B15941"/>
    <w:rsid w:val="00B159F4"/>
    <w:rsid w:val="00B15B3F"/>
    <w:rsid w:val="00B15BED"/>
    <w:rsid w:val="00B15C2A"/>
    <w:rsid w:val="00B15C4F"/>
    <w:rsid w:val="00B16000"/>
    <w:rsid w:val="00B160E1"/>
    <w:rsid w:val="00B16221"/>
    <w:rsid w:val="00B16311"/>
    <w:rsid w:val="00B1636A"/>
    <w:rsid w:val="00B165C6"/>
    <w:rsid w:val="00B16B50"/>
    <w:rsid w:val="00B16CC6"/>
    <w:rsid w:val="00B16D02"/>
    <w:rsid w:val="00B16D1E"/>
    <w:rsid w:val="00B172D9"/>
    <w:rsid w:val="00B17462"/>
    <w:rsid w:val="00B17526"/>
    <w:rsid w:val="00B175BA"/>
    <w:rsid w:val="00B176C3"/>
    <w:rsid w:val="00B1776E"/>
    <w:rsid w:val="00B1789D"/>
    <w:rsid w:val="00B17967"/>
    <w:rsid w:val="00B17BC2"/>
    <w:rsid w:val="00B17CFC"/>
    <w:rsid w:val="00B17D67"/>
    <w:rsid w:val="00B2009D"/>
    <w:rsid w:val="00B2028C"/>
    <w:rsid w:val="00B202A5"/>
    <w:rsid w:val="00B204F2"/>
    <w:rsid w:val="00B207CD"/>
    <w:rsid w:val="00B20A14"/>
    <w:rsid w:val="00B20C42"/>
    <w:rsid w:val="00B20E03"/>
    <w:rsid w:val="00B20EF5"/>
    <w:rsid w:val="00B20F73"/>
    <w:rsid w:val="00B20FF2"/>
    <w:rsid w:val="00B211E7"/>
    <w:rsid w:val="00B212E3"/>
    <w:rsid w:val="00B215DA"/>
    <w:rsid w:val="00B21663"/>
    <w:rsid w:val="00B217F6"/>
    <w:rsid w:val="00B218AA"/>
    <w:rsid w:val="00B21B3F"/>
    <w:rsid w:val="00B21F79"/>
    <w:rsid w:val="00B2200A"/>
    <w:rsid w:val="00B22355"/>
    <w:rsid w:val="00B223A2"/>
    <w:rsid w:val="00B2254F"/>
    <w:rsid w:val="00B2257A"/>
    <w:rsid w:val="00B225C2"/>
    <w:rsid w:val="00B22633"/>
    <w:rsid w:val="00B2272D"/>
    <w:rsid w:val="00B2274B"/>
    <w:rsid w:val="00B227EA"/>
    <w:rsid w:val="00B22A0E"/>
    <w:rsid w:val="00B22C47"/>
    <w:rsid w:val="00B22D6E"/>
    <w:rsid w:val="00B22F13"/>
    <w:rsid w:val="00B23087"/>
    <w:rsid w:val="00B23358"/>
    <w:rsid w:val="00B23359"/>
    <w:rsid w:val="00B23481"/>
    <w:rsid w:val="00B234D5"/>
    <w:rsid w:val="00B23528"/>
    <w:rsid w:val="00B23757"/>
    <w:rsid w:val="00B2390E"/>
    <w:rsid w:val="00B2396E"/>
    <w:rsid w:val="00B23CC8"/>
    <w:rsid w:val="00B23DF8"/>
    <w:rsid w:val="00B240CF"/>
    <w:rsid w:val="00B24130"/>
    <w:rsid w:val="00B241BA"/>
    <w:rsid w:val="00B2432A"/>
    <w:rsid w:val="00B243C2"/>
    <w:rsid w:val="00B244CB"/>
    <w:rsid w:val="00B2454A"/>
    <w:rsid w:val="00B24576"/>
    <w:rsid w:val="00B245FE"/>
    <w:rsid w:val="00B24615"/>
    <w:rsid w:val="00B248B9"/>
    <w:rsid w:val="00B24969"/>
    <w:rsid w:val="00B24997"/>
    <w:rsid w:val="00B249F3"/>
    <w:rsid w:val="00B24A36"/>
    <w:rsid w:val="00B24C06"/>
    <w:rsid w:val="00B24C38"/>
    <w:rsid w:val="00B24EAF"/>
    <w:rsid w:val="00B24F53"/>
    <w:rsid w:val="00B24FE9"/>
    <w:rsid w:val="00B25250"/>
    <w:rsid w:val="00B252A0"/>
    <w:rsid w:val="00B252D6"/>
    <w:rsid w:val="00B25356"/>
    <w:rsid w:val="00B25381"/>
    <w:rsid w:val="00B25387"/>
    <w:rsid w:val="00B25396"/>
    <w:rsid w:val="00B253A1"/>
    <w:rsid w:val="00B253AF"/>
    <w:rsid w:val="00B253E6"/>
    <w:rsid w:val="00B2562D"/>
    <w:rsid w:val="00B2564B"/>
    <w:rsid w:val="00B258E8"/>
    <w:rsid w:val="00B25AED"/>
    <w:rsid w:val="00B261C7"/>
    <w:rsid w:val="00B26256"/>
    <w:rsid w:val="00B262AB"/>
    <w:rsid w:val="00B26510"/>
    <w:rsid w:val="00B26930"/>
    <w:rsid w:val="00B26C53"/>
    <w:rsid w:val="00B26DD1"/>
    <w:rsid w:val="00B27041"/>
    <w:rsid w:val="00B27067"/>
    <w:rsid w:val="00B270E2"/>
    <w:rsid w:val="00B2729A"/>
    <w:rsid w:val="00B272A9"/>
    <w:rsid w:val="00B272FE"/>
    <w:rsid w:val="00B274B2"/>
    <w:rsid w:val="00B27788"/>
    <w:rsid w:val="00B27912"/>
    <w:rsid w:val="00B27989"/>
    <w:rsid w:val="00B27A7C"/>
    <w:rsid w:val="00B27B45"/>
    <w:rsid w:val="00B27B47"/>
    <w:rsid w:val="00B27C3B"/>
    <w:rsid w:val="00B27D87"/>
    <w:rsid w:val="00B27EEA"/>
    <w:rsid w:val="00B30071"/>
    <w:rsid w:val="00B30215"/>
    <w:rsid w:val="00B30384"/>
    <w:rsid w:val="00B303FB"/>
    <w:rsid w:val="00B3046D"/>
    <w:rsid w:val="00B305C0"/>
    <w:rsid w:val="00B30898"/>
    <w:rsid w:val="00B309B4"/>
    <w:rsid w:val="00B30A80"/>
    <w:rsid w:val="00B30BF2"/>
    <w:rsid w:val="00B30ECA"/>
    <w:rsid w:val="00B3117C"/>
    <w:rsid w:val="00B31509"/>
    <w:rsid w:val="00B31614"/>
    <w:rsid w:val="00B3193F"/>
    <w:rsid w:val="00B31947"/>
    <w:rsid w:val="00B31B36"/>
    <w:rsid w:val="00B31CD5"/>
    <w:rsid w:val="00B31E79"/>
    <w:rsid w:val="00B31E84"/>
    <w:rsid w:val="00B31F03"/>
    <w:rsid w:val="00B32149"/>
    <w:rsid w:val="00B32226"/>
    <w:rsid w:val="00B32270"/>
    <w:rsid w:val="00B322AF"/>
    <w:rsid w:val="00B322C8"/>
    <w:rsid w:val="00B3232C"/>
    <w:rsid w:val="00B32362"/>
    <w:rsid w:val="00B325E2"/>
    <w:rsid w:val="00B32966"/>
    <w:rsid w:val="00B32B26"/>
    <w:rsid w:val="00B32C48"/>
    <w:rsid w:val="00B32D75"/>
    <w:rsid w:val="00B32E37"/>
    <w:rsid w:val="00B33000"/>
    <w:rsid w:val="00B33087"/>
    <w:rsid w:val="00B33118"/>
    <w:rsid w:val="00B331B2"/>
    <w:rsid w:val="00B33347"/>
    <w:rsid w:val="00B334E3"/>
    <w:rsid w:val="00B335C7"/>
    <w:rsid w:val="00B336CD"/>
    <w:rsid w:val="00B33786"/>
    <w:rsid w:val="00B3397C"/>
    <w:rsid w:val="00B33B4A"/>
    <w:rsid w:val="00B33BC0"/>
    <w:rsid w:val="00B33BCB"/>
    <w:rsid w:val="00B33BD8"/>
    <w:rsid w:val="00B33CB7"/>
    <w:rsid w:val="00B33D19"/>
    <w:rsid w:val="00B33DDD"/>
    <w:rsid w:val="00B33EA9"/>
    <w:rsid w:val="00B33F02"/>
    <w:rsid w:val="00B341BE"/>
    <w:rsid w:val="00B34240"/>
    <w:rsid w:val="00B342DF"/>
    <w:rsid w:val="00B34379"/>
    <w:rsid w:val="00B3448C"/>
    <w:rsid w:val="00B344A5"/>
    <w:rsid w:val="00B3470D"/>
    <w:rsid w:val="00B3471F"/>
    <w:rsid w:val="00B3493D"/>
    <w:rsid w:val="00B34AF0"/>
    <w:rsid w:val="00B351CE"/>
    <w:rsid w:val="00B352FA"/>
    <w:rsid w:val="00B35411"/>
    <w:rsid w:val="00B356E8"/>
    <w:rsid w:val="00B35A46"/>
    <w:rsid w:val="00B35A9F"/>
    <w:rsid w:val="00B35C81"/>
    <w:rsid w:val="00B35D24"/>
    <w:rsid w:val="00B35F13"/>
    <w:rsid w:val="00B35FDE"/>
    <w:rsid w:val="00B35FEA"/>
    <w:rsid w:val="00B36008"/>
    <w:rsid w:val="00B362D7"/>
    <w:rsid w:val="00B36309"/>
    <w:rsid w:val="00B36518"/>
    <w:rsid w:val="00B36795"/>
    <w:rsid w:val="00B36A91"/>
    <w:rsid w:val="00B36B5C"/>
    <w:rsid w:val="00B36D31"/>
    <w:rsid w:val="00B36DB0"/>
    <w:rsid w:val="00B36DB7"/>
    <w:rsid w:val="00B371A7"/>
    <w:rsid w:val="00B3745C"/>
    <w:rsid w:val="00B3760C"/>
    <w:rsid w:val="00B37757"/>
    <w:rsid w:val="00B37A43"/>
    <w:rsid w:val="00B37AB1"/>
    <w:rsid w:val="00B37ACD"/>
    <w:rsid w:val="00B37EFC"/>
    <w:rsid w:val="00B37F72"/>
    <w:rsid w:val="00B401B3"/>
    <w:rsid w:val="00B402AD"/>
    <w:rsid w:val="00B40315"/>
    <w:rsid w:val="00B40316"/>
    <w:rsid w:val="00B40764"/>
    <w:rsid w:val="00B40D1C"/>
    <w:rsid w:val="00B41290"/>
    <w:rsid w:val="00B4129B"/>
    <w:rsid w:val="00B412DA"/>
    <w:rsid w:val="00B415D2"/>
    <w:rsid w:val="00B41621"/>
    <w:rsid w:val="00B418CE"/>
    <w:rsid w:val="00B418E8"/>
    <w:rsid w:val="00B41A49"/>
    <w:rsid w:val="00B41ACC"/>
    <w:rsid w:val="00B41B3C"/>
    <w:rsid w:val="00B41DD8"/>
    <w:rsid w:val="00B42003"/>
    <w:rsid w:val="00B423B9"/>
    <w:rsid w:val="00B42AFE"/>
    <w:rsid w:val="00B42BCC"/>
    <w:rsid w:val="00B42E3C"/>
    <w:rsid w:val="00B43146"/>
    <w:rsid w:val="00B43339"/>
    <w:rsid w:val="00B43410"/>
    <w:rsid w:val="00B4362F"/>
    <w:rsid w:val="00B43849"/>
    <w:rsid w:val="00B4385D"/>
    <w:rsid w:val="00B43A71"/>
    <w:rsid w:val="00B43C8B"/>
    <w:rsid w:val="00B43D6B"/>
    <w:rsid w:val="00B43F84"/>
    <w:rsid w:val="00B440F8"/>
    <w:rsid w:val="00B4416A"/>
    <w:rsid w:val="00B441B6"/>
    <w:rsid w:val="00B44314"/>
    <w:rsid w:val="00B443D7"/>
    <w:rsid w:val="00B44410"/>
    <w:rsid w:val="00B4457C"/>
    <w:rsid w:val="00B447DF"/>
    <w:rsid w:val="00B448D4"/>
    <w:rsid w:val="00B449E5"/>
    <w:rsid w:val="00B44BEF"/>
    <w:rsid w:val="00B44C8E"/>
    <w:rsid w:val="00B456F7"/>
    <w:rsid w:val="00B45879"/>
    <w:rsid w:val="00B45C23"/>
    <w:rsid w:val="00B45D61"/>
    <w:rsid w:val="00B4612F"/>
    <w:rsid w:val="00B46134"/>
    <w:rsid w:val="00B464C3"/>
    <w:rsid w:val="00B46510"/>
    <w:rsid w:val="00B46969"/>
    <w:rsid w:val="00B46AB9"/>
    <w:rsid w:val="00B46B7E"/>
    <w:rsid w:val="00B46BB2"/>
    <w:rsid w:val="00B46C78"/>
    <w:rsid w:val="00B46C90"/>
    <w:rsid w:val="00B46D08"/>
    <w:rsid w:val="00B470EA"/>
    <w:rsid w:val="00B47207"/>
    <w:rsid w:val="00B47251"/>
    <w:rsid w:val="00B47702"/>
    <w:rsid w:val="00B47714"/>
    <w:rsid w:val="00B47A1D"/>
    <w:rsid w:val="00B47B6E"/>
    <w:rsid w:val="00B47C10"/>
    <w:rsid w:val="00B47C1D"/>
    <w:rsid w:val="00B47D4D"/>
    <w:rsid w:val="00B47FB9"/>
    <w:rsid w:val="00B501C7"/>
    <w:rsid w:val="00B505A1"/>
    <w:rsid w:val="00B50607"/>
    <w:rsid w:val="00B50740"/>
    <w:rsid w:val="00B50784"/>
    <w:rsid w:val="00B507ED"/>
    <w:rsid w:val="00B50896"/>
    <w:rsid w:val="00B50A76"/>
    <w:rsid w:val="00B50D13"/>
    <w:rsid w:val="00B50D68"/>
    <w:rsid w:val="00B51249"/>
    <w:rsid w:val="00B512FA"/>
    <w:rsid w:val="00B51538"/>
    <w:rsid w:val="00B518C1"/>
    <w:rsid w:val="00B519BA"/>
    <w:rsid w:val="00B51B07"/>
    <w:rsid w:val="00B51D79"/>
    <w:rsid w:val="00B51E72"/>
    <w:rsid w:val="00B523AA"/>
    <w:rsid w:val="00B524BB"/>
    <w:rsid w:val="00B52581"/>
    <w:rsid w:val="00B526B7"/>
    <w:rsid w:val="00B528F6"/>
    <w:rsid w:val="00B52A38"/>
    <w:rsid w:val="00B52CBB"/>
    <w:rsid w:val="00B52CF1"/>
    <w:rsid w:val="00B52F5B"/>
    <w:rsid w:val="00B5308D"/>
    <w:rsid w:val="00B53279"/>
    <w:rsid w:val="00B539E4"/>
    <w:rsid w:val="00B53A54"/>
    <w:rsid w:val="00B53C0C"/>
    <w:rsid w:val="00B53D55"/>
    <w:rsid w:val="00B53E08"/>
    <w:rsid w:val="00B53E7E"/>
    <w:rsid w:val="00B53F46"/>
    <w:rsid w:val="00B54073"/>
    <w:rsid w:val="00B541D3"/>
    <w:rsid w:val="00B546F7"/>
    <w:rsid w:val="00B5479F"/>
    <w:rsid w:val="00B54AA2"/>
    <w:rsid w:val="00B54B4B"/>
    <w:rsid w:val="00B54E4B"/>
    <w:rsid w:val="00B54FEE"/>
    <w:rsid w:val="00B5539D"/>
    <w:rsid w:val="00B55400"/>
    <w:rsid w:val="00B5547F"/>
    <w:rsid w:val="00B55582"/>
    <w:rsid w:val="00B5559C"/>
    <w:rsid w:val="00B55683"/>
    <w:rsid w:val="00B55890"/>
    <w:rsid w:val="00B558B0"/>
    <w:rsid w:val="00B55913"/>
    <w:rsid w:val="00B55AB4"/>
    <w:rsid w:val="00B55BEC"/>
    <w:rsid w:val="00B5608F"/>
    <w:rsid w:val="00B5618D"/>
    <w:rsid w:val="00B56245"/>
    <w:rsid w:val="00B563C4"/>
    <w:rsid w:val="00B5643D"/>
    <w:rsid w:val="00B565EF"/>
    <w:rsid w:val="00B5672E"/>
    <w:rsid w:val="00B56ACD"/>
    <w:rsid w:val="00B56C4B"/>
    <w:rsid w:val="00B56CE1"/>
    <w:rsid w:val="00B56D2F"/>
    <w:rsid w:val="00B56E85"/>
    <w:rsid w:val="00B570A8"/>
    <w:rsid w:val="00B570DF"/>
    <w:rsid w:val="00B5718C"/>
    <w:rsid w:val="00B571B5"/>
    <w:rsid w:val="00B57230"/>
    <w:rsid w:val="00B57320"/>
    <w:rsid w:val="00B57415"/>
    <w:rsid w:val="00B5746D"/>
    <w:rsid w:val="00B576B8"/>
    <w:rsid w:val="00B57B5A"/>
    <w:rsid w:val="00B57B62"/>
    <w:rsid w:val="00B57D7E"/>
    <w:rsid w:val="00B57D8F"/>
    <w:rsid w:val="00B57DA6"/>
    <w:rsid w:val="00B60155"/>
    <w:rsid w:val="00B60192"/>
    <w:rsid w:val="00B6029E"/>
    <w:rsid w:val="00B60313"/>
    <w:rsid w:val="00B60361"/>
    <w:rsid w:val="00B6047C"/>
    <w:rsid w:val="00B60557"/>
    <w:rsid w:val="00B60800"/>
    <w:rsid w:val="00B60B62"/>
    <w:rsid w:val="00B60B79"/>
    <w:rsid w:val="00B60D5A"/>
    <w:rsid w:val="00B60E77"/>
    <w:rsid w:val="00B61093"/>
    <w:rsid w:val="00B611AB"/>
    <w:rsid w:val="00B61214"/>
    <w:rsid w:val="00B61304"/>
    <w:rsid w:val="00B6130E"/>
    <w:rsid w:val="00B6155F"/>
    <w:rsid w:val="00B61563"/>
    <w:rsid w:val="00B616DA"/>
    <w:rsid w:val="00B6179B"/>
    <w:rsid w:val="00B617CD"/>
    <w:rsid w:val="00B6186B"/>
    <w:rsid w:val="00B618EA"/>
    <w:rsid w:val="00B61903"/>
    <w:rsid w:val="00B61921"/>
    <w:rsid w:val="00B61CC2"/>
    <w:rsid w:val="00B61CC7"/>
    <w:rsid w:val="00B61E27"/>
    <w:rsid w:val="00B61FA8"/>
    <w:rsid w:val="00B6216D"/>
    <w:rsid w:val="00B62494"/>
    <w:rsid w:val="00B624CD"/>
    <w:rsid w:val="00B624EE"/>
    <w:rsid w:val="00B62532"/>
    <w:rsid w:val="00B6264A"/>
    <w:rsid w:val="00B62708"/>
    <w:rsid w:val="00B62A9A"/>
    <w:rsid w:val="00B62B8F"/>
    <w:rsid w:val="00B62E66"/>
    <w:rsid w:val="00B62FD5"/>
    <w:rsid w:val="00B63280"/>
    <w:rsid w:val="00B63426"/>
    <w:rsid w:val="00B634DB"/>
    <w:rsid w:val="00B637CB"/>
    <w:rsid w:val="00B63829"/>
    <w:rsid w:val="00B63A03"/>
    <w:rsid w:val="00B63A39"/>
    <w:rsid w:val="00B63F3F"/>
    <w:rsid w:val="00B6411A"/>
    <w:rsid w:val="00B64164"/>
    <w:rsid w:val="00B64190"/>
    <w:rsid w:val="00B645F3"/>
    <w:rsid w:val="00B64700"/>
    <w:rsid w:val="00B649E2"/>
    <w:rsid w:val="00B64B3C"/>
    <w:rsid w:val="00B64B8D"/>
    <w:rsid w:val="00B64CFB"/>
    <w:rsid w:val="00B64E7F"/>
    <w:rsid w:val="00B64F25"/>
    <w:rsid w:val="00B6506C"/>
    <w:rsid w:val="00B6511C"/>
    <w:rsid w:val="00B65265"/>
    <w:rsid w:val="00B6534F"/>
    <w:rsid w:val="00B65369"/>
    <w:rsid w:val="00B65384"/>
    <w:rsid w:val="00B65459"/>
    <w:rsid w:val="00B65463"/>
    <w:rsid w:val="00B65570"/>
    <w:rsid w:val="00B657C8"/>
    <w:rsid w:val="00B657CE"/>
    <w:rsid w:val="00B65862"/>
    <w:rsid w:val="00B65928"/>
    <w:rsid w:val="00B65C29"/>
    <w:rsid w:val="00B65C7B"/>
    <w:rsid w:val="00B65CB3"/>
    <w:rsid w:val="00B65D01"/>
    <w:rsid w:val="00B65D4C"/>
    <w:rsid w:val="00B65DDD"/>
    <w:rsid w:val="00B65DFF"/>
    <w:rsid w:val="00B65F85"/>
    <w:rsid w:val="00B6609C"/>
    <w:rsid w:val="00B660AB"/>
    <w:rsid w:val="00B6616E"/>
    <w:rsid w:val="00B66196"/>
    <w:rsid w:val="00B66443"/>
    <w:rsid w:val="00B6646B"/>
    <w:rsid w:val="00B66496"/>
    <w:rsid w:val="00B66594"/>
    <w:rsid w:val="00B6659E"/>
    <w:rsid w:val="00B6663B"/>
    <w:rsid w:val="00B6673E"/>
    <w:rsid w:val="00B66A05"/>
    <w:rsid w:val="00B66AF2"/>
    <w:rsid w:val="00B66DD6"/>
    <w:rsid w:val="00B66E0A"/>
    <w:rsid w:val="00B66E24"/>
    <w:rsid w:val="00B66F0A"/>
    <w:rsid w:val="00B66F45"/>
    <w:rsid w:val="00B673D6"/>
    <w:rsid w:val="00B6745F"/>
    <w:rsid w:val="00B6748D"/>
    <w:rsid w:val="00B6750A"/>
    <w:rsid w:val="00B6750F"/>
    <w:rsid w:val="00B67779"/>
    <w:rsid w:val="00B677A7"/>
    <w:rsid w:val="00B67996"/>
    <w:rsid w:val="00B67CAD"/>
    <w:rsid w:val="00B67F49"/>
    <w:rsid w:val="00B70089"/>
    <w:rsid w:val="00B700D3"/>
    <w:rsid w:val="00B70245"/>
    <w:rsid w:val="00B703C0"/>
    <w:rsid w:val="00B704E4"/>
    <w:rsid w:val="00B70564"/>
    <w:rsid w:val="00B7059B"/>
    <w:rsid w:val="00B706BD"/>
    <w:rsid w:val="00B70728"/>
    <w:rsid w:val="00B70750"/>
    <w:rsid w:val="00B70A0F"/>
    <w:rsid w:val="00B70B1A"/>
    <w:rsid w:val="00B70B92"/>
    <w:rsid w:val="00B70C72"/>
    <w:rsid w:val="00B70D5A"/>
    <w:rsid w:val="00B70DBD"/>
    <w:rsid w:val="00B70F00"/>
    <w:rsid w:val="00B70F99"/>
    <w:rsid w:val="00B71274"/>
    <w:rsid w:val="00B71447"/>
    <w:rsid w:val="00B714EB"/>
    <w:rsid w:val="00B715F1"/>
    <w:rsid w:val="00B71728"/>
    <w:rsid w:val="00B71820"/>
    <w:rsid w:val="00B71A99"/>
    <w:rsid w:val="00B71B2A"/>
    <w:rsid w:val="00B71BFE"/>
    <w:rsid w:val="00B71E04"/>
    <w:rsid w:val="00B72168"/>
    <w:rsid w:val="00B72190"/>
    <w:rsid w:val="00B72205"/>
    <w:rsid w:val="00B725BF"/>
    <w:rsid w:val="00B729B7"/>
    <w:rsid w:val="00B72A5E"/>
    <w:rsid w:val="00B72A9D"/>
    <w:rsid w:val="00B72B40"/>
    <w:rsid w:val="00B72CCA"/>
    <w:rsid w:val="00B72CD3"/>
    <w:rsid w:val="00B72E3F"/>
    <w:rsid w:val="00B73459"/>
    <w:rsid w:val="00B737FA"/>
    <w:rsid w:val="00B73DCB"/>
    <w:rsid w:val="00B73E2A"/>
    <w:rsid w:val="00B74063"/>
    <w:rsid w:val="00B741FF"/>
    <w:rsid w:val="00B74356"/>
    <w:rsid w:val="00B74616"/>
    <w:rsid w:val="00B7466D"/>
    <w:rsid w:val="00B74861"/>
    <w:rsid w:val="00B74B17"/>
    <w:rsid w:val="00B74C3F"/>
    <w:rsid w:val="00B74FA4"/>
    <w:rsid w:val="00B75099"/>
    <w:rsid w:val="00B7519D"/>
    <w:rsid w:val="00B753CC"/>
    <w:rsid w:val="00B7554B"/>
    <w:rsid w:val="00B7557E"/>
    <w:rsid w:val="00B755B4"/>
    <w:rsid w:val="00B75879"/>
    <w:rsid w:val="00B7599D"/>
    <w:rsid w:val="00B75CBB"/>
    <w:rsid w:val="00B75CF7"/>
    <w:rsid w:val="00B75D17"/>
    <w:rsid w:val="00B75D6C"/>
    <w:rsid w:val="00B75DAC"/>
    <w:rsid w:val="00B75FA6"/>
    <w:rsid w:val="00B7601A"/>
    <w:rsid w:val="00B76068"/>
    <w:rsid w:val="00B7612A"/>
    <w:rsid w:val="00B76267"/>
    <w:rsid w:val="00B7652A"/>
    <w:rsid w:val="00B76530"/>
    <w:rsid w:val="00B7659C"/>
    <w:rsid w:val="00B765E3"/>
    <w:rsid w:val="00B76724"/>
    <w:rsid w:val="00B76AF5"/>
    <w:rsid w:val="00B76BD0"/>
    <w:rsid w:val="00B76BD1"/>
    <w:rsid w:val="00B76C65"/>
    <w:rsid w:val="00B76E27"/>
    <w:rsid w:val="00B76E4D"/>
    <w:rsid w:val="00B77112"/>
    <w:rsid w:val="00B7729E"/>
    <w:rsid w:val="00B7732A"/>
    <w:rsid w:val="00B7746F"/>
    <w:rsid w:val="00B774A0"/>
    <w:rsid w:val="00B77565"/>
    <w:rsid w:val="00B77570"/>
    <w:rsid w:val="00B77643"/>
    <w:rsid w:val="00B77690"/>
    <w:rsid w:val="00B7782A"/>
    <w:rsid w:val="00B7794D"/>
    <w:rsid w:val="00B779C5"/>
    <w:rsid w:val="00B77BA2"/>
    <w:rsid w:val="00B77C06"/>
    <w:rsid w:val="00B77C88"/>
    <w:rsid w:val="00B77CEA"/>
    <w:rsid w:val="00B77D2E"/>
    <w:rsid w:val="00B77D44"/>
    <w:rsid w:val="00B77FC7"/>
    <w:rsid w:val="00B77FDC"/>
    <w:rsid w:val="00B80124"/>
    <w:rsid w:val="00B805E0"/>
    <w:rsid w:val="00B80894"/>
    <w:rsid w:val="00B80949"/>
    <w:rsid w:val="00B80A77"/>
    <w:rsid w:val="00B80C32"/>
    <w:rsid w:val="00B80C60"/>
    <w:rsid w:val="00B80CB9"/>
    <w:rsid w:val="00B80D68"/>
    <w:rsid w:val="00B81119"/>
    <w:rsid w:val="00B81145"/>
    <w:rsid w:val="00B8128D"/>
    <w:rsid w:val="00B81336"/>
    <w:rsid w:val="00B8141B"/>
    <w:rsid w:val="00B815AF"/>
    <w:rsid w:val="00B81864"/>
    <w:rsid w:val="00B8187C"/>
    <w:rsid w:val="00B81B00"/>
    <w:rsid w:val="00B81B18"/>
    <w:rsid w:val="00B81BAC"/>
    <w:rsid w:val="00B81EB0"/>
    <w:rsid w:val="00B81F56"/>
    <w:rsid w:val="00B82149"/>
    <w:rsid w:val="00B8248E"/>
    <w:rsid w:val="00B827DC"/>
    <w:rsid w:val="00B82CF8"/>
    <w:rsid w:val="00B82D36"/>
    <w:rsid w:val="00B82E02"/>
    <w:rsid w:val="00B82EEE"/>
    <w:rsid w:val="00B831D7"/>
    <w:rsid w:val="00B83440"/>
    <w:rsid w:val="00B83555"/>
    <w:rsid w:val="00B83704"/>
    <w:rsid w:val="00B83796"/>
    <w:rsid w:val="00B83893"/>
    <w:rsid w:val="00B839D7"/>
    <w:rsid w:val="00B83BC8"/>
    <w:rsid w:val="00B83C15"/>
    <w:rsid w:val="00B83C34"/>
    <w:rsid w:val="00B83CE1"/>
    <w:rsid w:val="00B83E7C"/>
    <w:rsid w:val="00B8401B"/>
    <w:rsid w:val="00B84245"/>
    <w:rsid w:val="00B84302"/>
    <w:rsid w:val="00B84440"/>
    <w:rsid w:val="00B845A4"/>
    <w:rsid w:val="00B849E7"/>
    <w:rsid w:val="00B84A5C"/>
    <w:rsid w:val="00B84C15"/>
    <w:rsid w:val="00B84E20"/>
    <w:rsid w:val="00B85470"/>
    <w:rsid w:val="00B854C1"/>
    <w:rsid w:val="00B85775"/>
    <w:rsid w:val="00B85790"/>
    <w:rsid w:val="00B85A65"/>
    <w:rsid w:val="00B85A87"/>
    <w:rsid w:val="00B85AC1"/>
    <w:rsid w:val="00B85AF2"/>
    <w:rsid w:val="00B85B69"/>
    <w:rsid w:val="00B85DA5"/>
    <w:rsid w:val="00B85DF6"/>
    <w:rsid w:val="00B85F0F"/>
    <w:rsid w:val="00B85F34"/>
    <w:rsid w:val="00B8612F"/>
    <w:rsid w:val="00B86301"/>
    <w:rsid w:val="00B86309"/>
    <w:rsid w:val="00B8630D"/>
    <w:rsid w:val="00B865BF"/>
    <w:rsid w:val="00B8662C"/>
    <w:rsid w:val="00B86670"/>
    <w:rsid w:val="00B867C1"/>
    <w:rsid w:val="00B86923"/>
    <w:rsid w:val="00B86BC5"/>
    <w:rsid w:val="00B86E85"/>
    <w:rsid w:val="00B86EB7"/>
    <w:rsid w:val="00B872C3"/>
    <w:rsid w:val="00B87640"/>
    <w:rsid w:val="00B876C2"/>
    <w:rsid w:val="00B87C25"/>
    <w:rsid w:val="00B87E37"/>
    <w:rsid w:val="00B90080"/>
    <w:rsid w:val="00B900EE"/>
    <w:rsid w:val="00B90371"/>
    <w:rsid w:val="00B90411"/>
    <w:rsid w:val="00B90565"/>
    <w:rsid w:val="00B90684"/>
    <w:rsid w:val="00B90769"/>
    <w:rsid w:val="00B907B3"/>
    <w:rsid w:val="00B90962"/>
    <w:rsid w:val="00B90C7C"/>
    <w:rsid w:val="00B90FB1"/>
    <w:rsid w:val="00B9123D"/>
    <w:rsid w:val="00B912CF"/>
    <w:rsid w:val="00B91305"/>
    <w:rsid w:val="00B9136D"/>
    <w:rsid w:val="00B9142D"/>
    <w:rsid w:val="00B914B6"/>
    <w:rsid w:val="00B91576"/>
    <w:rsid w:val="00B9158F"/>
    <w:rsid w:val="00B9159D"/>
    <w:rsid w:val="00B91694"/>
    <w:rsid w:val="00B91893"/>
    <w:rsid w:val="00B919DF"/>
    <w:rsid w:val="00B91A9A"/>
    <w:rsid w:val="00B91C37"/>
    <w:rsid w:val="00B91C9C"/>
    <w:rsid w:val="00B91CC7"/>
    <w:rsid w:val="00B91EC9"/>
    <w:rsid w:val="00B920A4"/>
    <w:rsid w:val="00B92171"/>
    <w:rsid w:val="00B92176"/>
    <w:rsid w:val="00B92269"/>
    <w:rsid w:val="00B92359"/>
    <w:rsid w:val="00B9244E"/>
    <w:rsid w:val="00B92578"/>
    <w:rsid w:val="00B925AD"/>
    <w:rsid w:val="00B9268F"/>
    <w:rsid w:val="00B92DDF"/>
    <w:rsid w:val="00B93186"/>
    <w:rsid w:val="00B9318C"/>
    <w:rsid w:val="00B93280"/>
    <w:rsid w:val="00B93364"/>
    <w:rsid w:val="00B935C7"/>
    <w:rsid w:val="00B936D1"/>
    <w:rsid w:val="00B93845"/>
    <w:rsid w:val="00B93B01"/>
    <w:rsid w:val="00B93BCF"/>
    <w:rsid w:val="00B93D20"/>
    <w:rsid w:val="00B93EEB"/>
    <w:rsid w:val="00B94032"/>
    <w:rsid w:val="00B94259"/>
    <w:rsid w:val="00B942BE"/>
    <w:rsid w:val="00B9450D"/>
    <w:rsid w:val="00B945A3"/>
    <w:rsid w:val="00B945E1"/>
    <w:rsid w:val="00B94C2A"/>
    <w:rsid w:val="00B94F80"/>
    <w:rsid w:val="00B95009"/>
    <w:rsid w:val="00B9507E"/>
    <w:rsid w:val="00B950A6"/>
    <w:rsid w:val="00B95226"/>
    <w:rsid w:val="00B9544C"/>
    <w:rsid w:val="00B954E8"/>
    <w:rsid w:val="00B955FF"/>
    <w:rsid w:val="00B956E0"/>
    <w:rsid w:val="00B95837"/>
    <w:rsid w:val="00B958DD"/>
    <w:rsid w:val="00B95BC5"/>
    <w:rsid w:val="00B95D0B"/>
    <w:rsid w:val="00B95DBD"/>
    <w:rsid w:val="00B95E4D"/>
    <w:rsid w:val="00B96059"/>
    <w:rsid w:val="00B961D8"/>
    <w:rsid w:val="00B96239"/>
    <w:rsid w:val="00B962CB"/>
    <w:rsid w:val="00B96453"/>
    <w:rsid w:val="00B965CC"/>
    <w:rsid w:val="00B96772"/>
    <w:rsid w:val="00B96803"/>
    <w:rsid w:val="00B96805"/>
    <w:rsid w:val="00B96930"/>
    <w:rsid w:val="00B96A5A"/>
    <w:rsid w:val="00B96A75"/>
    <w:rsid w:val="00B96B7E"/>
    <w:rsid w:val="00B96E98"/>
    <w:rsid w:val="00B96F25"/>
    <w:rsid w:val="00B970AA"/>
    <w:rsid w:val="00B97302"/>
    <w:rsid w:val="00B97476"/>
    <w:rsid w:val="00B975B5"/>
    <w:rsid w:val="00B976BD"/>
    <w:rsid w:val="00B977A2"/>
    <w:rsid w:val="00B97935"/>
    <w:rsid w:val="00B97B1A"/>
    <w:rsid w:val="00BA02C3"/>
    <w:rsid w:val="00BA0353"/>
    <w:rsid w:val="00BA043F"/>
    <w:rsid w:val="00BA07A2"/>
    <w:rsid w:val="00BA0928"/>
    <w:rsid w:val="00BA0ADE"/>
    <w:rsid w:val="00BA0B9A"/>
    <w:rsid w:val="00BA0BB0"/>
    <w:rsid w:val="00BA0BB9"/>
    <w:rsid w:val="00BA0DA4"/>
    <w:rsid w:val="00BA0DD6"/>
    <w:rsid w:val="00BA0DE9"/>
    <w:rsid w:val="00BA0E60"/>
    <w:rsid w:val="00BA0F07"/>
    <w:rsid w:val="00BA0F98"/>
    <w:rsid w:val="00BA0FCB"/>
    <w:rsid w:val="00BA13F1"/>
    <w:rsid w:val="00BA13FD"/>
    <w:rsid w:val="00BA1440"/>
    <w:rsid w:val="00BA14B9"/>
    <w:rsid w:val="00BA14F1"/>
    <w:rsid w:val="00BA1547"/>
    <w:rsid w:val="00BA173C"/>
    <w:rsid w:val="00BA17BC"/>
    <w:rsid w:val="00BA1887"/>
    <w:rsid w:val="00BA19E8"/>
    <w:rsid w:val="00BA19EB"/>
    <w:rsid w:val="00BA1A6B"/>
    <w:rsid w:val="00BA1B91"/>
    <w:rsid w:val="00BA1D17"/>
    <w:rsid w:val="00BA2162"/>
    <w:rsid w:val="00BA22A5"/>
    <w:rsid w:val="00BA22D0"/>
    <w:rsid w:val="00BA234C"/>
    <w:rsid w:val="00BA2420"/>
    <w:rsid w:val="00BA2453"/>
    <w:rsid w:val="00BA2469"/>
    <w:rsid w:val="00BA2487"/>
    <w:rsid w:val="00BA2592"/>
    <w:rsid w:val="00BA2655"/>
    <w:rsid w:val="00BA26EE"/>
    <w:rsid w:val="00BA27AF"/>
    <w:rsid w:val="00BA27DF"/>
    <w:rsid w:val="00BA2812"/>
    <w:rsid w:val="00BA2837"/>
    <w:rsid w:val="00BA285E"/>
    <w:rsid w:val="00BA2970"/>
    <w:rsid w:val="00BA297D"/>
    <w:rsid w:val="00BA3231"/>
    <w:rsid w:val="00BA3254"/>
    <w:rsid w:val="00BA37EC"/>
    <w:rsid w:val="00BA39BC"/>
    <w:rsid w:val="00BA3BD8"/>
    <w:rsid w:val="00BA3FAA"/>
    <w:rsid w:val="00BA40A4"/>
    <w:rsid w:val="00BA41EC"/>
    <w:rsid w:val="00BA434D"/>
    <w:rsid w:val="00BA438D"/>
    <w:rsid w:val="00BA4399"/>
    <w:rsid w:val="00BA4540"/>
    <w:rsid w:val="00BA4A12"/>
    <w:rsid w:val="00BA4CC0"/>
    <w:rsid w:val="00BA4DAB"/>
    <w:rsid w:val="00BA4E21"/>
    <w:rsid w:val="00BA5051"/>
    <w:rsid w:val="00BA508B"/>
    <w:rsid w:val="00BA51A4"/>
    <w:rsid w:val="00BA51E7"/>
    <w:rsid w:val="00BA52C6"/>
    <w:rsid w:val="00BA5516"/>
    <w:rsid w:val="00BA5560"/>
    <w:rsid w:val="00BA5979"/>
    <w:rsid w:val="00BA5A52"/>
    <w:rsid w:val="00BA5B00"/>
    <w:rsid w:val="00BA5B93"/>
    <w:rsid w:val="00BA60A8"/>
    <w:rsid w:val="00BA6161"/>
    <w:rsid w:val="00BA6196"/>
    <w:rsid w:val="00BA630C"/>
    <w:rsid w:val="00BA64F0"/>
    <w:rsid w:val="00BA6525"/>
    <w:rsid w:val="00BA66EC"/>
    <w:rsid w:val="00BA6913"/>
    <w:rsid w:val="00BA6E5F"/>
    <w:rsid w:val="00BA7004"/>
    <w:rsid w:val="00BA71B2"/>
    <w:rsid w:val="00BA7224"/>
    <w:rsid w:val="00BA7447"/>
    <w:rsid w:val="00BA77B1"/>
    <w:rsid w:val="00BA78F7"/>
    <w:rsid w:val="00BA7A10"/>
    <w:rsid w:val="00BA7C83"/>
    <w:rsid w:val="00BA7C91"/>
    <w:rsid w:val="00BA7D1A"/>
    <w:rsid w:val="00BA7DBF"/>
    <w:rsid w:val="00BA7E82"/>
    <w:rsid w:val="00BA7F3A"/>
    <w:rsid w:val="00BA7FBB"/>
    <w:rsid w:val="00BB0493"/>
    <w:rsid w:val="00BB054F"/>
    <w:rsid w:val="00BB0858"/>
    <w:rsid w:val="00BB0A82"/>
    <w:rsid w:val="00BB0ADA"/>
    <w:rsid w:val="00BB0B3F"/>
    <w:rsid w:val="00BB0EE0"/>
    <w:rsid w:val="00BB0F86"/>
    <w:rsid w:val="00BB0F94"/>
    <w:rsid w:val="00BB116A"/>
    <w:rsid w:val="00BB1424"/>
    <w:rsid w:val="00BB147E"/>
    <w:rsid w:val="00BB15E8"/>
    <w:rsid w:val="00BB1788"/>
    <w:rsid w:val="00BB1881"/>
    <w:rsid w:val="00BB1883"/>
    <w:rsid w:val="00BB18A1"/>
    <w:rsid w:val="00BB1906"/>
    <w:rsid w:val="00BB1988"/>
    <w:rsid w:val="00BB1B13"/>
    <w:rsid w:val="00BB1BC0"/>
    <w:rsid w:val="00BB1EE3"/>
    <w:rsid w:val="00BB1F6E"/>
    <w:rsid w:val="00BB21C3"/>
    <w:rsid w:val="00BB2665"/>
    <w:rsid w:val="00BB29EB"/>
    <w:rsid w:val="00BB29FD"/>
    <w:rsid w:val="00BB2A05"/>
    <w:rsid w:val="00BB2A42"/>
    <w:rsid w:val="00BB2B36"/>
    <w:rsid w:val="00BB2B47"/>
    <w:rsid w:val="00BB2F90"/>
    <w:rsid w:val="00BB2FB4"/>
    <w:rsid w:val="00BB3032"/>
    <w:rsid w:val="00BB321A"/>
    <w:rsid w:val="00BB3250"/>
    <w:rsid w:val="00BB359E"/>
    <w:rsid w:val="00BB39D1"/>
    <w:rsid w:val="00BB39E2"/>
    <w:rsid w:val="00BB3BC4"/>
    <w:rsid w:val="00BB3CBB"/>
    <w:rsid w:val="00BB3DBE"/>
    <w:rsid w:val="00BB3F20"/>
    <w:rsid w:val="00BB4060"/>
    <w:rsid w:val="00BB43CB"/>
    <w:rsid w:val="00BB4455"/>
    <w:rsid w:val="00BB44A2"/>
    <w:rsid w:val="00BB44DC"/>
    <w:rsid w:val="00BB4605"/>
    <w:rsid w:val="00BB4750"/>
    <w:rsid w:val="00BB482A"/>
    <w:rsid w:val="00BB4A51"/>
    <w:rsid w:val="00BB4A65"/>
    <w:rsid w:val="00BB4A7A"/>
    <w:rsid w:val="00BB4C30"/>
    <w:rsid w:val="00BB4CA3"/>
    <w:rsid w:val="00BB4DA0"/>
    <w:rsid w:val="00BB5210"/>
    <w:rsid w:val="00BB540C"/>
    <w:rsid w:val="00BB568E"/>
    <w:rsid w:val="00BB571F"/>
    <w:rsid w:val="00BB595A"/>
    <w:rsid w:val="00BB5A4C"/>
    <w:rsid w:val="00BB5A57"/>
    <w:rsid w:val="00BB5D45"/>
    <w:rsid w:val="00BB6089"/>
    <w:rsid w:val="00BB6258"/>
    <w:rsid w:val="00BB6303"/>
    <w:rsid w:val="00BB6332"/>
    <w:rsid w:val="00BB6794"/>
    <w:rsid w:val="00BB6AA1"/>
    <w:rsid w:val="00BB6CB3"/>
    <w:rsid w:val="00BB7272"/>
    <w:rsid w:val="00BB73E6"/>
    <w:rsid w:val="00BB787A"/>
    <w:rsid w:val="00BB7D44"/>
    <w:rsid w:val="00BB7E2C"/>
    <w:rsid w:val="00BC003E"/>
    <w:rsid w:val="00BC0041"/>
    <w:rsid w:val="00BC0047"/>
    <w:rsid w:val="00BC04A3"/>
    <w:rsid w:val="00BC095B"/>
    <w:rsid w:val="00BC0F37"/>
    <w:rsid w:val="00BC10EF"/>
    <w:rsid w:val="00BC1114"/>
    <w:rsid w:val="00BC14AB"/>
    <w:rsid w:val="00BC1501"/>
    <w:rsid w:val="00BC1972"/>
    <w:rsid w:val="00BC1B65"/>
    <w:rsid w:val="00BC1DFC"/>
    <w:rsid w:val="00BC1F22"/>
    <w:rsid w:val="00BC2158"/>
    <w:rsid w:val="00BC239B"/>
    <w:rsid w:val="00BC2483"/>
    <w:rsid w:val="00BC24CF"/>
    <w:rsid w:val="00BC266F"/>
    <w:rsid w:val="00BC26FD"/>
    <w:rsid w:val="00BC297E"/>
    <w:rsid w:val="00BC2D01"/>
    <w:rsid w:val="00BC2D46"/>
    <w:rsid w:val="00BC3129"/>
    <w:rsid w:val="00BC34B7"/>
    <w:rsid w:val="00BC3691"/>
    <w:rsid w:val="00BC36BE"/>
    <w:rsid w:val="00BC3878"/>
    <w:rsid w:val="00BC38E5"/>
    <w:rsid w:val="00BC39E8"/>
    <w:rsid w:val="00BC3A74"/>
    <w:rsid w:val="00BC3FFD"/>
    <w:rsid w:val="00BC403C"/>
    <w:rsid w:val="00BC408B"/>
    <w:rsid w:val="00BC41D0"/>
    <w:rsid w:val="00BC4266"/>
    <w:rsid w:val="00BC46F7"/>
    <w:rsid w:val="00BC4705"/>
    <w:rsid w:val="00BC48BA"/>
    <w:rsid w:val="00BC48C4"/>
    <w:rsid w:val="00BC4BF6"/>
    <w:rsid w:val="00BC4BFA"/>
    <w:rsid w:val="00BC4C81"/>
    <w:rsid w:val="00BC4F2E"/>
    <w:rsid w:val="00BC509D"/>
    <w:rsid w:val="00BC5243"/>
    <w:rsid w:val="00BC53CD"/>
    <w:rsid w:val="00BC58E7"/>
    <w:rsid w:val="00BC5A01"/>
    <w:rsid w:val="00BC5A12"/>
    <w:rsid w:val="00BC5A34"/>
    <w:rsid w:val="00BC5B91"/>
    <w:rsid w:val="00BC5C46"/>
    <w:rsid w:val="00BC5C4D"/>
    <w:rsid w:val="00BC5D5D"/>
    <w:rsid w:val="00BC5E03"/>
    <w:rsid w:val="00BC5E73"/>
    <w:rsid w:val="00BC603E"/>
    <w:rsid w:val="00BC61A4"/>
    <w:rsid w:val="00BC61E5"/>
    <w:rsid w:val="00BC621A"/>
    <w:rsid w:val="00BC63A0"/>
    <w:rsid w:val="00BC64EF"/>
    <w:rsid w:val="00BC6560"/>
    <w:rsid w:val="00BC6639"/>
    <w:rsid w:val="00BC6780"/>
    <w:rsid w:val="00BC681D"/>
    <w:rsid w:val="00BC6C90"/>
    <w:rsid w:val="00BC6DD4"/>
    <w:rsid w:val="00BC6E6D"/>
    <w:rsid w:val="00BC6F80"/>
    <w:rsid w:val="00BC7062"/>
    <w:rsid w:val="00BC7204"/>
    <w:rsid w:val="00BC725F"/>
    <w:rsid w:val="00BC7341"/>
    <w:rsid w:val="00BC740A"/>
    <w:rsid w:val="00BC742A"/>
    <w:rsid w:val="00BC742C"/>
    <w:rsid w:val="00BC762F"/>
    <w:rsid w:val="00BC7700"/>
    <w:rsid w:val="00BC79BC"/>
    <w:rsid w:val="00BC7D43"/>
    <w:rsid w:val="00BD0178"/>
    <w:rsid w:val="00BD0371"/>
    <w:rsid w:val="00BD040A"/>
    <w:rsid w:val="00BD043F"/>
    <w:rsid w:val="00BD0703"/>
    <w:rsid w:val="00BD09FF"/>
    <w:rsid w:val="00BD0A03"/>
    <w:rsid w:val="00BD0A86"/>
    <w:rsid w:val="00BD0C93"/>
    <w:rsid w:val="00BD0DEF"/>
    <w:rsid w:val="00BD0F44"/>
    <w:rsid w:val="00BD0FBA"/>
    <w:rsid w:val="00BD1149"/>
    <w:rsid w:val="00BD11F4"/>
    <w:rsid w:val="00BD1274"/>
    <w:rsid w:val="00BD1286"/>
    <w:rsid w:val="00BD13DE"/>
    <w:rsid w:val="00BD1547"/>
    <w:rsid w:val="00BD1669"/>
    <w:rsid w:val="00BD16C6"/>
    <w:rsid w:val="00BD19F3"/>
    <w:rsid w:val="00BD1B77"/>
    <w:rsid w:val="00BD1C50"/>
    <w:rsid w:val="00BD1E0D"/>
    <w:rsid w:val="00BD1E6B"/>
    <w:rsid w:val="00BD1EC7"/>
    <w:rsid w:val="00BD23F1"/>
    <w:rsid w:val="00BD24DE"/>
    <w:rsid w:val="00BD25A3"/>
    <w:rsid w:val="00BD2771"/>
    <w:rsid w:val="00BD2870"/>
    <w:rsid w:val="00BD2C7C"/>
    <w:rsid w:val="00BD2DC8"/>
    <w:rsid w:val="00BD2DCA"/>
    <w:rsid w:val="00BD3150"/>
    <w:rsid w:val="00BD334F"/>
    <w:rsid w:val="00BD33DA"/>
    <w:rsid w:val="00BD35CC"/>
    <w:rsid w:val="00BD369C"/>
    <w:rsid w:val="00BD37C6"/>
    <w:rsid w:val="00BD3847"/>
    <w:rsid w:val="00BD3ADD"/>
    <w:rsid w:val="00BD3B43"/>
    <w:rsid w:val="00BD3B53"/>
    <w:rsid w:val="00BD3C27"/>
    <w:rsid w:val="00BD3C9B"/>
    <w:rsid w:val="00BD3D6A"/>
    <w:rsid w:val="00BD3DB0"/>
    <w:rsid w:val="00BD3E2A"/>
    <w:rsid w:val="00BD3E72"/>
    <w:rsid w:val="00BD4123"/>
    <w:rsid w:val="00BD4301"/>
    <w:rsid w:val="00BD44FE"/>
    <w:rsid w:val="00BD45ED"/>
    <w:rsid w:val="00BD4721"/>
    <w:rsid w:val="00BD483B"/>
    <w:rsid w:val="00BD48F0"/>
    <w:rsid w:val="00BD4E4C"/>
    <w:rsid w:val="00BD4EC6"/>
    <w:rsid w:val="00BD503A"/>
    <w:rsid w:val="00BD503E"/>
    <w:rsid w:val="00BD5316"/>
    <w:rsid w:val="00BD5322"/>
    <w:rsid w:val="00BD5403"/>
    <w:rsid w:val="00BD54EA"/>
    <w:rsid w:val="00BD55C6"/>
    <w:rsid w:val="00BD5628"/>
    <w:rsid w:val="00BD58D2"/>
    <w:rsid w:val="00BD5B6D"/>
    <w:rsid w:val="00BD5C72"/>
    <w:rsid w:val="00BD5CBB"/>
    <w:rsid w:val="00BD5D22"/>
    <w:rsid w:val="00BD5D7F"/>
    <w:rsid w:val="00BD5DE1"/>
    <w:rsid w:val="00BD5F56"/>
    <w:rsid w:val="00BD623F"/>
    <w:rsid w:val="00BD6255"/>
    <w:rsid w:val="00BD6471"/>
    <w:rsid w:val="00BD659E"/>
    <w:rsid w:val="00BD6764"/>
    <w:rsid w:val="00BD6916"/>
    <w:rsid w:val="00BD6BA2"/>
    <w:rsid w:val="00BD6C98"/>
    <w:rsid w:val="00BD6DC0"/>
    <w:rsid w:val="00BD6E4D"/>
    <w:rsid w:val="00BD6F30"/>
    <w:rsid w:val="00BD700E"/>
    <w:rsid w:val="00BD706A"/>
    <w:rsid w:val="00BD728F"/>
    <w:rsid w:val="00BD7643"/>
    <w:rsid w:val="00BD767C"/>
    <w:rsid w:val="00BD7739"/>
    <w:rsid w:val="00BD7809"/>
    <w:rsid w:val="00BD78CF"/>
    <w:rsid w:val="00BD78F2"/>
    <w:rsid w:val="00BD7975"/>
    <w:rsid w:val="00BD7BD7"/>
    <w:rsid w:val="00BD7DB4"/>
    <w:rsid w:val="00BD7F37"/>
    <w:rsid w:val="00BE0353"/>
    <w:rsid w:val="00BE0441"/>
    <w:rsid w:val="00BE04D0"/>
    <w:rsid w:val="00BE0550"/>
    <w:rsid w:val="00BE0553"/>
    <w:rsid w:val="00BE05DC"/>
    <w:rsid w:val="00BE0637"/>
    <w:rsid w:val="00BE063B"/>
    <w:rsid w:val="00BE064D"/>
    <w:rsid w:val="00BE0839"/>
    <w:rsid w:val="00BE0985"/>
    <w:rsid w:val="00BE0993"/>
    <w:rsid w:val="00BE09E8"/>
    <w:rsid w:val="00BE0A04"/>
    <w:rsid w:val="00BE0A47"/>
    <w:rsid w:val="00BE0B8C"/>
    <w:rsid w:val="00BE0B91"/>
    <w:rsid w:val="00BE0C10"/>
    <w:rsid w:val="00BE0C93"/>
    <w:rsid w:val="00BE0CFE"/>
    <w:rsid w:val="00BE0DB6"/>
    <w:rsid w:val="00BE0DC4"/>
    <w:rsid w:val="00BE0DDB"/>
    <w:rsid w:val="00BE12BD"/>
    <w:rsid w:val="00BE132F"/>
    <w:rsid w:val="00BE1392"/>
    <w:rsid w:val="00BE1578"/>
    <w:rsid w:val="00BE1659"/>
    <w:rsid w:val="00BE16D8"/>
    <w:rsid w:val="00BE18D3"/>
    <w:rsid w:val="00BE1949"/>
    <w:rsid w:val="00BE1A08"/>
    <w:rsid w:val="00BE1A91"/>
    <w:rsid w:val="00BE1E45"/>
    <w:rsid w:val="00BE1F91"/>
    <w:rsid w:val="00BE21BA"/>
    <w:rsid w:val="00BE2227"/>
    <w:rsid w:val="00BE2247"/>
    <w:rsid w:val="00BE2745"/>
    <w:rsid w:val="00BE2831"/>
    <w:rsid w:val="00BE2955"/>
    <w:rsid w:val="00BE2959"/>
    <w:rsid w:val="00BE29B1"/>
    <w:rsid w:val="00BE2CF3"/>
    <w:rsid w:val="00BE2E03"/>
    <w:rsid w:val="00BE2E78"/>
    <w:rsid w:val="00BE2F2E"/>
    <w:rsid w:val="00BE30A3"/>
    <w:rsid w:val="00BE30D4"/>
    <w:rsid w:val="00BE3105"/>
    <w:rsid w:val="00BE329F"/>
    <w:rsid w:val="00BE36B3"/>
    <w:rsid w:val="00BE36C8"/>
    <w:rsid w:val="00BE38BB"/>
    <w:rsid w:val="00BE3CF7"/>
    <w:rsid w:val="00BE3ED1"/>
    <w:rsid w:val="00BE3EDF"/>
    <w:rsid w:val="00BE3F2C"/>
    <w:rsid w:val="00BE4087"/>
    <w:rsid w:val="00BE422E"/>
    <w:rsid w:val="00BE43B0"/>
    <w:rsid w:val="00BE44DE"/>
    <w:rsid w:val="00BE47DB"/>
    <w:rsid w:val="00BE4849"/>
    <w:rsid w:val="00BE48D2"/>
    <w:rsid w:val="00BE4B0C"/>
    <w:rsid w:val="00BE4B0D"/>
    <w:rsid w:val="00BE4C0C"/>
    <w:rsid w:val="00BE4E5B"/>
    <w:rsid w:val="00BE50AE"/>
    <w:rsid w:val="00BE5250"/>
    <w:rsid w:val="00BE5640"/>
    <w:rsid w:val="00BE56A3"/>
    <w:rsid w:val="00BE5733"/>
    <w:rsid w:val="00BE58E8"/>
    <w:rsid w:val="00BE5933"/>
    <w:rsid w:val="00BE5A0C"/>
    <w:rsid w:val="00BE5C23"/>
    <w:rsid w:val="00BE5CBD"/>
    <w:rsid w:val="00BE5E36"/>
    <w:rsid w:val="00BE6213"/>
    <w:rsid w:val="00BE685F"/>
    <w:rsid w:val="00BE6ADD"/>
    <w:rsid w:val="00BE6FE1"/>
    <w:rsid w:val="00BE702C"/>
    <w:rsid w:val="00BE7056"/>
    <w:rsid w:val="00BE70BB"/>
    <w:rsid w:val="00BE74F7"/>
    <w:rsid w:val="00BE7688"/>
    <w:rsid w:val="00BE76CE"/>
    <w:rsid w:val="00BE77B1"/>
    <w:rsid w:val="00BE78BD"/>
    <w:rsid w:val="00BE78F0"/>
    <w:rsid w:val="00BE7CF5"/>
    <w:rsid w:val="00BE7D57"/>
    <w:rsid w:val="00BE7DAF"/>
    <w:rsid w:val="00BE7E77"/>
    <w:rsid w:val="00BE7EC7"/>
    <w:rsid w:val="00BE7FEC"/>
    <w:rsid w:val="00BF006D"/>
    <w:rsid w:val="00BF0109"/>
    <w:rsid w:val="00BF0197"/>
    <w:rsid w:val="00BF01EF"/>
    <w:rsid w:val="00BF02BE"/>
    <w:rsid w:val="00BF0391"/>
    <w:rsid w:val="00BF03BF"/>
    <w:rsid w:val="00BF0411"/>
    <w:rsid w:val="00BF047D"/>
    <w:rsid w:val="00BF0600"/>
    <w:rsid w:val="00BF0850"/>
    <w:rsid w:val="00BF0960"/>
    <w:rsid w:val="00BF0C02"/>
    <w:rsid w:val="00BF0FA1"/>
    <w:rsid w:val="00BF0FC9"/>
    <w:rsid w:val="00BF120E"/>
    <w:rsid w:val="00BF133C"/>
    <w:rsid w:val="00BF1346"/>
    <w:rsid w:val="00BF135B"/>
    <w:rsid w:val="00BF14B1"/>
    <w:rsid w:val="00BF184C"/>
    <w:rsid w:val="00BF1B6A"/>
    <w:rsid w:val="00BF1B84"/>
    <w:rsid w:val="00BF1DDA"/>
    <w:rsid w:val="00BF1E68"/>
    <w:rsid w:val="00BF1EB7"/>
    <w:rsid w:val="00BF1F59"/>
    <w:rsid w:val="00BF206C"/>
    <w:rsid w:val="00BF2214"/>
    <w:rsid w:val="00BF232A"/>
    <w:rsid w:val="00BF2445"/>
    <w:rsid w:val="00BF25FF"/>
    <w:rsid w:val="00BF260B"/>
    <w:rsid w:val="00BF26C0"/>
    <w:rsid w:val="00BF26C9"/>
    <w:rsid w:val="00BF2803"/>
    <w:rsid w:val="00BF2921"/>
    <w:rsid w:val="00BF2C2B"/>
    <w:rsid w:val="00BF2D72"/>
    <w:rsid w:val="00BF2D7D"/>
    <w:rsid w:val="00BF2EA6"/>
    <w:rsid w:val="00BF2F8C"/>
    <w:rsid w:val="00BF2F9F"/>
    <w:rsid w:val="00BF3106"/>
    <w:rsid w:val="00BF317B"/>
    <w:rsid w:val="00BF3260"/>
    <w:rsid w:val="00BF3266"/>
    <w:rsid w:val="00BF368E"/>
    <w:rsid w:val="00BF388D"/>
    <w:rsid w:val="00BF39E9"/>
    <w:rsid w:val="00BF3AA6"/>
    <w:rsid w:val="00BF3E59"/>
    <w:rsid w:val="00BF3ECC"/>
    <w:rsid w:val="00BF3ED4"/>
    <w:rsid w:val="00BF3EDD"/>
    <w:rsid w:val="00BF418D"/>
    <w:rsid w:val="00BF4216"/>
    <w:rsid w:val="00BF423B"/>
    <w:rsid w:val="00BF42BD"/>
    <w:rsid w:val="00BF435E"/>
    <w:rsid w:val="00BF4579"/>
    <w:rsid w:val="00BF4760"/>
    <w:rsid w:val="00BF48FD"/>
    <w:rsid w:val="00BF4A9F"/>
    <w:rsid w:val="00BF4AFC"/>
    <w:rsid w:val="00BF4B09"/>
    <w:rsid w:val="00BF4C1D"/>
    <w:rsid w:val="00BF4C23"/>
    <w:rsid w:val="00BF4E6F"/>
    <w:rsid w:val="00BF5179"/>
    <w:rsid w:val="00BF53F5"/>
    <w:rsid w:val="00BF5439"/>
    <w:rsid w:val="00BF5580"/>
    <w:rsid w:val="00BF5610"/>
    <w:rsid w:val="00BF562D"/>
    <w:rsid w:val="00BF5683"/>
    <w:rsid w:val="00BF5797"/>
    <w:rsid w:val="00BF58AB"/>
    <w:rsid w:val="00BF5C87"/>
    <w:rsid w:val="00BF5C92"/>
    <w:rsid w:val="00BF5CDB"/>
    <w:rsid w:val="00BF5D0B"/>
    <w:rsid w:val="00BF5D25"/>
    <w:rsid w:val="00BF5D67"/>
    <w:rsid w:val="00BF5FF5"/>
    <w:rsid w:val="00BF6108"/>
    <w:rsid w:val="00BF62F3"/>
    <w:rsid w:val="00BF6708"/>
    <w:rsid w:val="00BF671B"/>
    <w:rsid w:val="00BF6773"/>
    <w:rsid w:val="00BF6793"/>
    <w:rsid w:val="00BF67EE"/>
    <w:rsid w:val="00BF6924"/>
    <w:rsid w:val="00BF6BFB"/>
    <w:rsid w:val="00BF6F1C"/>
    <w:rsid w:val="00BF6F8B"/>
    <w:rsid w:val="00BF727C"/>
    <w:rsid w:val="00BF73DD"/>
    <w:rsid w:val="00BF7556"/>
    <w:rsid w:val="00BF7637"/>
    <w:rsid w:val="00BF769F"/>
    <w:rsid w:val="00BF7742"/>
    <w:rsid w:val="00BF7969"/>
    <w:rsid w:val="00BF7AD5"/>
    <w:rsid w:val="00BF7B4F"/>
    <w:rsid w:val="00BF7C7D"/>
    <w:rsid w:val="00BF7DD9"/>
    <w:rsid w:val="00BF7DFC"/>
    <w:rsid w:val="00BF7E93"/>
    <w:rsid w:val="00BF7F83"/>
    <w:rsid w:val="00C0008B"/>
    <w:rsid w:val="00C000DE"/>
    <w:rsid w:val="00C002D4"/>
    <w:rsid w:val="00C00311"/>
    <w:rsid w:val="00C003CE"/>
    <w:rsid w:val="00C00509"/>
    <w:rsid w:val="00C006AE"/>
    <w:rsid w:val="00C0071E"/>
    <w:rsid w:val="00C00726"/>
    <w:rsid w:val="00C00914"/>
    <w:rsid w:val="00C00A22"/>
    <w:rsid w:val="00C00B5A"/>
    <w:rsid w:val="00C01141"/>
    <w:rsid w:val="00C01230"/>
    <w:rsid w:val="00C0136E"/>
    <w:rsid w:val="00C0155F"/>
    <w:rsid w:val="00C01732"/>
    <w:rsid w:val="00C018DD"/>
    <w:rsid w:val="00C018F8"/>
    <w:rsid w:val="00C01A1F"/>
    <w:rsid w:val="00C01C5A"/>
    <w:rsid w:val="00C01D98"/>
    <w:rsid w:val="00C01DD0"/>
    <w:rsid w:val="00C01EBB"/>
    <w:rsid w:val="00C01ECD"/>
    <w:rsid w:val="00C02121"/>
    <w:rsid w:val="00C0214B"/>
    <w:rsid w:val="00C021D4"/>
    <w:rsid w:val="00C023E3"/>
    <w:rsid w:val="00C024CA"/>
    <w:rsid w:val="00C02511"/>
    <w:rsid w:val="00C026C7"/>
    <w:rsid w:val="00C028D1"/>
    <w:rsid w:val="00C03198"/>
    <w:rsid w:val="00C031D4"/>
    <w:rsid w:val="00C0349A"/>
    <w:rsid w:val="00C0351D"/>
    <w:rsid w:val="00C03967"/>
    <w:rsid w:val="00C0396B"/>
    <w:rsid w:val="00C03A1A"/>
    <w:rsid w:val="00C03C79"/>
    <w:rsid w:val="00C03C97"/>
    <w:rsid w:val="00C03CA1"/>
    <w:rsid w:val="00C03F74"/>
    <w:rsid w:val="00C04175"/>
    <w:rsid w:val="00C04192"/>
    <w:rsid w:val="00C041E0"/>
    <w:rsid w:val="00C041E9"/>
    <w:rsid w:val="00C04364"/>
    <w:rsid w:val="00C04583"/>
    <w:rsid w:val="00C046C5"/>
    <w:rsid w:val="00C046E1"/>
    <w:rsid w:val="00C0470B"/>
    <w:rsid w:val="00C047F6"/>
    <w:rsid w:val="00C04B34"/>
    <w:rsid w:val="00C04B79"/>
    <w:rsid w:val="00C04BB6"/>
    <w:rsid w:val="00C04BE2"/>
    <w:rsid w:val="00C04D9A"/>
    <w:rsid w:val="00C04DCF"/>
    <w:rsid w:val="00C04EBD"/>
    <w:rsid w:val="00C04F0C"/>
    <w:rsid w:val="00C04F4F"/>
    <w:rsid w:val="00C0509D"/>
    <w:rsid w:val="00C0539A"/>
    <w:rsid w:val="00C053D7"/>
    <w:rsid w:val="00C05684"/>
    <w:rsid w:val="00C0571E"/>
    <w:rsid w:val="00C05750"/>
    <w:rsid w:val="00C057BA"/>
    <w:rsid w:val="00C05818"/>
    <w:rsid w:val="00C05BAE"/>
    <w:rsid w:val="00C05C16"/>
    <w:rsid w:val="00C05CDA"/>
    <w:rsid w:val="00C05CF7"/>
    <w:rsid w:val="00C05D49"/>
    <w:rsid w:val="00C05DE1"/>
    <w:rsid w:val="00C06177"/>
    <w:rsid w:val="00C0622C"/>
    <w:rsid w:val="00C06232"/>
    <w:rsid w:val="00C06293"/>
    <w:rsid w:val="00C063AD"/>
    <w:rsid w:val="00C0671E"/>
    <w:rsid w:val="00C06794"/>
    <w:rsid w:val="00C070FC"/>
    <w:rsid w:val="00C0714E"/>
    <w:rsid w:val="00C0715C"/>
    <w:rsid w:val="00C07163"/>
    <w:rsid w:val="00C0730A"/>
    <w:rsid w:val="00C0735D"/>
    <w:rsid w:val="00C07516"/>
    <w:rsid w:val="00C075D8"/>
    <w:rsid w:val="00C075EA"/>
    <w:rsid w:val="00C07A46"/>
    <w:rsid w:val="00C07E7A"/>
    <w:rsid w:val="00C1008B"/>
    <w:rsid w:val="00C100A2"/>
    <w:rsid w:val="00C101BA"/>
    <w:rsid w:val="00C10365"/>
    <w:rsid w:val="00C1037F"/>
    <w:rsid w:val="00C1049C"/>
    <w:rsid w:val="00C104DC"/>
    <w:rsid w:val="00C1075C"/>
    <w:rsid w:val="00C107AC"/>
    <w:rsid w:val="00C107BD"/>
    <w:rsid w:val="00C107C7"/>
    <w:rsid w:val="00C10A53"/>
    <w:rsid w:val="00C10B73"/>
    <w:rsid w:val="00C10B8F"/>
    <w:rsid w:val="00C10BBB"/>
    <w:rsid w:val="00C10CC5"/>
    <w:rsid w:val="00C10DD9"/>
    <w:rsid w:val="00C11030"/>
    <w:rsid w:val="00C112D4"/>
    <w:rsid w:val="00C113F0"/>
    <w:rsid w:val="00C11476"/>
    <w:rsid w:val="00C115CB"/>
    <w:rsid w:val="00C1188C"/>
    <w:rsid w:val="00C119CA"/>
    <w:rsid w:val="00C11A35"/>
    <w:rsid w:val="00C11A61"/>
    <w:rsid w:val="00C11ACA"/>
    <w:rsid w:val="00C11B55"/>
    <w:rsid w:val="00C11B99"/>
    <w:rsid w:val="00C12146"/>
    <w:rsid w:val="00C121AF"/>
    <w:rsid w:val="00C12213"/>
    <w:rsid w:val="00C122CB"/>
    <w:rsid w:val="00C122F6"/>
    <w:rsid w:val="00C12509"/>
    <w:rsid w:val="00C12579"/>
    <w:rsid w:val="00C126A8"/>
    <w:rsid w:val="00C127EB"/>
    <w:rsid w:val="00C1280D"/>
    <w:rsid w:val="00C129F6"/>
    <w:rsid w:val="00C12A80"/>
    <w:rsid w:val="00C12B62"/>
    <w:rsid w:val="00C12DAA"/>
    <w:rsid w:val="00C12EF6"/>
    <w:rsid w:val="00C130C0"/>
    <w:rsid w:val="00C1312B"/>
    <w:rsid w:val="00C133AB"/>
    <w:rsid w:val="00C13537"/>
    <w:rsid w:val="00C136E5"/>
    <w:rsid w:val="00C13716"/>
    <w:rsid w:val="00C1374D"/>
    <w:rsid w:val="00C138C0"/>
    <w:rsid w:val="00C14132"/>
    <w:rsid w:val="00C14222"/>
    <w:rsid w:val="00C14322"/>
    <w:rsid w:val="00C146FE"/>
    <w:rsid w:val="00C1485A"/>
    <w:rsid w:val="00C1486F"/>
    <w:rsid w:val="00C14BE6"/>
    <w:rsid w:val="00C14CBE"/>
    <w:rsid w:val="00C14CE9"/>
    <w:rsid w:val="00C150CD"/>
    <w:rsid w:val="00C15108"/>
    <w:rsid w:val="00C151B0"/>
    <w:rsid w:val="00C15741"/>
    <w:rsid w:val="00C15753"/>
    <w:rsid w:val="00C15877"/>
    <w:rsid w:val="00C158DA"/>
    <w:rsid w:val="00C15A17"/>
    <w:rsid w:val="00C15D80"/>
    <w:rsid w:val="00C15E76"/>
    <w:rsid w:val="00C15EFE"/>
    <w:rsid w:val="00C15F0A"/>
    <w:rsid w:val="00C16256"/>
    <w:rsid w:val="00C1633C"/>
    <w:rsid w:val="00C1635E"/>
    <w:rsid w:val="00C163EE"/>
    <w:rsid w:val="00C16432"/>
    <w:rsid w:val="00C16650"/>
    <w:rsid w:val="00C166C5"/>
    <w:rsid w:val="00C16894"/>
    <w:rsid w:val="00C169D1"/>
    <w:rsid w:val="00C16A60"/>
    <w:rsid w:val="00C16A92"/>
    <w:rsid w:val="00C16B56"/>
    <w:rsid w:val="00C16B91"/>
    <w:rsid w:val="00C16B9D"/>
    <w:rsid w:val="00C16BA3"/>
    <w:rsid w:val="00C170A9"/>
    <w:rsid w:val="00C172F3"/>
    <w:rsid w:val="00C173DF"/>
    <w:rsid w:val="00C17437"/>
    <w:rsid w:val="00C174FA"/>
    <w:rsid w:val="00C175C4"/>
    <w:rsid w:val="00C17B31"/>
    <w:rsid w:val="00C17C54"/>
    <w:rsid w:val="00C17E1A"/>
    <w:rsid w:val="00C17F6F"/>
    <w:rsid w:val="00C17FB4"/>
    <w:rsid w:val="00C20119"/>
    <w:rsid w:val="00C2028D"/>
    <w:rsid w:val="00C20312"/>
    <w:rsid w:val="00C20379"/>
    <w:rsid w:val="00C203F8"/>
    <w:rsid w:val="00C20730"/>
    <w:rsid w:val="00C208D1"/>
    <w:rsid w:val="00C20B46"/>
    <w:rsid w:val="00C20B47"/>
    <w:rsid w:val="00C20DA7"/>
    <w:rsid w:val="00C20FAA"/>
    <w:rsid w:val="00C210C4"/>
    <w:rsid w:val="00C2111D"/>
    <w:rsid w:val="00C21128"/>
    <w:rsid w:val="00C2165E"/>
    <w:rsid w:val="00C2185D"/>
    <w:rsid w:val="00C2194B"/>
    <w:rsid w:val="00C21CD6"/>
    <w:rsid w:val="00C21D96"/>
    <w:rsid w:val="00C21E49"/>
    <w:rsid w:val="00C21EB8"/>
    <w:rsid w:val="00C220CD"/>
    <w:rsid w:val="00C22151"/>
    <w:rsid w:val="00C22234"/>
    <w:rsid w:val="00C22249"/>
    <w:rsid w:val="00C2278A"/>
    <w:rsid w:val="00C22A0E"/>
    <w:rsid w:val="00C22D07"/>
    <w:rsid w:val="00C22E13"/>
    <w:rsid w:val="00C231C1"/>
    <w:rsid w:val="00C23322"/>
    <w:rsid w:val="00C23360"/>
    <w:rsid w:val="00C234A9"/>
    <w:rsid w:val="00C234E4"/>
    <w:rsid w:val="00C235B2"/>
    <w:rsid w:val="00C238CD"/>
    <w:rsid w:val="00C23990"/>
    <w:rsid w:val="00C23A38"/>
    <w:rsid w:val="00C23D25"/>
    <w:rsid w:val="00C23E55"/>
    <w:rsid w:val="00C2405D"/>
    <w:rsid w:val="00C24070"/>
    <w:rsid w:val="00C24158"/>
    <w:rsid w:val="00C241C1"/>
    <w:rsid w:val="00C2427D"/>
    <w:rsid w:val="00C242A8"/>
    <w:rsid w:val="00C244DA"/>
    <w:rsid w:val="00C244DD"/>
    <w:rsid w:val="00C2457D"/>
    <w:rsid w:val="00C24606"/>
    <w:rsid w:val="00C24631"/>
    <w:rsid w:val="00C246CC"/>
    <w:rsid w:val="00C2473D"/>
    <w:rsid w:val="00C247A7"/>
    <w:rsid w:val="00C24958"/>
    <w:rsid w:val="00C24B1C"/>
    <w:rsid w:val="00C24C80"/>
    <w:rsid w:val="00C24D4A"/>
    <w:rsid w:val="00C24D77"/>
    <w:rsid w:val="00C24E97"/>
    <w:rsid w:val="00C24EB5"/>
    <w:rsid w:val="00C24F62"/>
    <w:rsid w:val="00C25128"/>
    <w:rsid w:val="00C25250"/>
    <w:rsid w:val="00C253D5"/>
    <w:rsid w:val="00C255D3"/>
    <w:rsid w:val="00C25792"/>
    <w:rsid w:val="00C257AA"/>
    <w:rsid w:val="00C25874"/>
    <w:rsid w:val="00C25AE6"/>
    <w:rsid w:val="00C25BB4"/>
    <w:rsid w:val="00C25C9F"/>
    <w:rsid w:val="00C25E66"/>
    <w:rsid w:val="00C25EC1"/>
    <w:rsid w:val="00C25ECD"/>
    <w:rsid w:val="00C2611C"/>
    <w:rsid w:val="00C26244"/>
    <w:rsid w:val="00C263F2"/>
    <w:rsid w:val="00C26443"/>
    <w:rsid w:val="00C26486"/>
    <w:rsid w:val="00C265B1"/>
    <w:rsid w:val="00C2671C"/>
    <w:rsid w:val="00C26A33"/>
    <w:rsid w:val="00C26AB8"/>
    <w:rsid w:val="00C26C5A"/>
    <w:rsid w:val="00C26D70"/>
    <w:rsid w:val="00C26DB2"/>
    <w:rsid w:val="00C26FDD"/>
    <w:rsid w:val="00C27077"/>
    <w:rsid w:val="00C270D6"/>
    <w:rsid w:val="00C271AD"/>
    <w:rsid w:val="00C27218"/>
    <w:rsid w:val="00C273D6"/>
    <w:rsid w:val="00C27434"/>
    <w:rsid w:val="00C2795A"/>
    <w:rsid w:val="00C27B52"/>
    <w:rsid w:val="00C27BC3"/>
    <w:rsid w:val="00C27BD8"/>
    <w:rsid w:val="00C27CC7"/>
    <w:rsid w:val="00C27F79"/>
    <w:rsid w:val="00C300D7"/>
    <w:rsid w:val="00C30208"/>
    <w:rsid w:val="00C302BB"/>
    <w:rsid w:val="00C30307"/>
    <w:rsid w:val="00C30324"/>
    <w:rsid w:val="00C30694"/>
    <w:rsid w:val="00C307B1"/>
    <w:rsid w:val="00C30AE1"/>
    <w:rsid w:val="00C30B4A"/>
    <w:rsid w:val="00C30BF9"/>
    <w:rsid w:val="00C30C7D"/>
    <w:rsid w:val="00C30E0E"/>
    <w:rsid w:val="00C30E11"/>
    <w:rsid w:val="00C30E84"/>
    <w:rsid w:val="00C30FD3"/>
    <w:rsid w:val="00C31077"/>
    <w:rsid w:val="00C31241"/>
    <w:rsid w:val="00C314C4"/>
    <w:rsid w:val="00C31513"/>
    <w:rsid w:val="00C315B0"/>
    <w:rsid w:val="00C31E3A"/>
    <w:rsid w:val="00C31E53"/>
    <w:rsid w:val="00C31EC8"/>
    <w:rsid w:val="00C322F6"/>
    <w:rsid w:val="00C323E2"/>
    <w:rsid w:val="00C3242C"/>
    <w:rsid w:val="00C324D6"/>
    <w:rsid w:val="00C324EA"/>
    <w:rsid w:val="00C32559"/>
    <w:rsid w:val="00C328EF"/>
    <w:rsid w:val="00C329B7"/>
    <w:rsid w:val="00C32B59"/>
    <w:rsid w:val="00C32D23"/>
    <w:rsid w:val="00C32F4D"/>
    <w:rsid w:val="00C32F5F"/>
    <w:rsid w:val="00C33087"/>
    <w:rsid w:val="00C330B6"/>
    <w:rsid w:val="00C3351C"/>
    <w:rsid w:val="00C3364D"/>
    <w:rsid w:val="00C3381D"/>
    <w:rsid w:val="00C339A1"/>
    <w:rsid w:val="00C33ED9"/>
    <w:rsid w:val="00C33F57"/>
    <w:rsid w:val="00C3405B"/>
    <w:rsid w:val="00C34259"/>
    <w:rsid w:val="00C3435D"/>
    <w:rsid w:val="00C347F8"/>
    <w:rsid w:val="00C34A3B"/>
    <w:rsid w:val="00C34B45"/>
    <w:rsid w:val="00C34B4B"/>
    <w:rsid w:val="00C34C43"/>
    <w:rsid w:val="00C34C6E"/>
    <w:rsid w:val="00C34D2F"/>
    <w:rsid w:val="00C34EAF"/>
    <w:rsid w:val="00C34FE4"/>
    <w:rsid w:val="00C35065"/>
    <w:rsid w:val="00C350AF"/>
    <w:rsid w:val="00C350EF"/>
    <w:rsid w:val="00C3516B"/>
    <w:rsid w:val="00C3531A"/>
    <w:rsid w:val="00C353B7"/>
    <w:rsid w:val="00C357D2"/>
    <w:rsid w:val="00C35AA7"/>
    <w:rsid w:val="00C35B23"/>
    <w:rsid w:val="00C35BAB"/>
    <w:rsid w:val="00C361AE"/>
    <w:rsid w:val="00C3629F"/>
    <w:rsid w:val="00C3687A"/>
    <w:rsid w:val="00C369FB"/>
    <w:rsid w:val="00C36A8A"/>
    <w:rsid w:val="00C36AA1"/>
    <w:rsid w:val="00C36E11"/>
    <w:rsid w:val="00C36F3B"/>
    <w:rsid w:val="00C37035"/>
    <w:rsid w:val="00C3715F"/>
    <w:rsid w:val="00C373C4"/>
    <w:rsid w:val="00C37583"/>
    <w:rsid w:val="00C375CC"/>
    <w:rsid w:val="00C37630"/>
    <w:rsid w:val="00C376DA"/>
    <w:rsid w:val="00C3774D"/>
    <w:rsid w:val="00C3784A"/>
    <w:rsid w:val="00C378BC"/>
    <w:rsid w:val="00C37BB4"/>
    <w:rsid w:val="00C37BCD"/>
    <w:rsid w:val="00C37E8E"/>
    <w:rsid w:val="00C37F7A"/>
    <w:rsid w:val="00C40007"/>
    <w:rsid w:val="00C401E5"/>
    <w:rsid w:val="00C4028C"/>
    <w:rsid w:val="00C40849"/>
    <w:rsid w:val="00C40919"/>
    <w:rsid w:val="00C40966"/>
    <w:rsid w:val="00C40A73"/>
    <w:rsid w:val="00C40AA6"/>
    <w:rsid w:val="00C40D00"/>
    <w:rsid w:val="00C40FFD"/>
    <w:rsid w:val="00C41025"/>
    <w:rsid w:val="00C41318"/>
    <w:rsid w:val="00C4146A"/>
    <w:rsid w:val="00C416C0"/>
    <w:rsid w:val="00C416CF"/>
    <w:rsid w:val="00C41975"/>
    <w:rsid w:val="00C41BEB"/>
    <w:rsid w:val="00C41C88"/>
    <w:rsid w:val="00C41CA7"/>
    <w:rsid w:val="00C41D1F"/>
    <w:rsid w:val="00C41EE9"/>
    <w:rsid w:val="00C41FA4"/>
    <w:rsid w:val="00C41FB6"/>
    <w:rsid w:val="00C42049"/>
    <w:rsid w:val="00C421D6"/>
    <w:rsid w:val="00C42969"/>
    <w:rsid w:val="00C4299E"/>
    <w:rsid w:val="00C42D5E"/>
    <w:rsid w:val="00C42E4A"/>
    <w:rsid w:val="00C42EA8"/>
    <w:rsid w:val="00C43025"/>
    <w:rsid w:val="00C4330E"/>
    <w:rsid w:val="00C433DF"/>
    <w:rsid w:val="00C43B04"/>
    <w:rsid w:val="00C4400B"/>
    <w:rsid w:val="00C44387"/>
    <w:rsid w:val="00C44574"/>
    <w:rsid w:val="00C445A6"/>
    <w:rsid w:val="00C446EC"/>
    <w:rsid w:val="00C44803"/>
    <w:rsid w:val="00C44876"/>
    <w:rsid w:val="00C44C63"/>
    <w:rsid w:val="00C44D93"/>
    <w:rsid w:val="00C44DED"/>
    <w:rsid w:val="00C44EB7"/>
    <w:rsid w:val="00C4521C"/>
    <w:rsid w:val="00C4533F"/>
    <w:rsid w:val="00C453DF"/>
    <w:rsid w:val="00C45436"/>
    <w:rsid w:val="00C45533"/>
    <w:rsid w:val="00C45573"/>
    <w:rsid w:val="00C4564E"/>
    <w:rsid w:val="00C4570E"/>
    <w:rsid w:val="00C45744"/>
    <w:rsid w:val="00C45A51"/>
    <w:rsid w:val="00C4613A"/>
    <w:rsid w:val="00C461E7"/>
    <w:rsid w:val="00C4635A"/>
    <w:rsid w:val="00C4644E"/>
    <w:rsid w:val="00C46C29"/>
    <w:rsid w:val="00C46D0C"/>
    <w:rsid w:val="00C46D9F"/>
    <w:rsid w:val="00C46F93"/>
    <w:rsid w:val="00C46FB3"/>
    <w:rsid w:val="00C4704C"/>
    <w:rsid w:val="00C4718E"/>
    <w:rsid w:val="00C47383"/>
    <w:rsid w:val="00C47407"/>
    <w:rsid w:val="00C47550"/>
    <w:rsid w:val="00C476AC"/>
    <w:rsid w:val="00C47866"/>
    <w:rsid w:val="00C478FA"/>
    <w:rsid w:val="00C47AA6"/>
    <w:rsid w:val="00C47C43"/>
    <w:rsid w:val="00C47C5B"/>
    <w:rsid w:val="00C47CB8"/>
    <w:rsid w:val="00C47D52"/>
    <w:rsid w:val="00C47F0C"/>
    <w:rsid w:val="00C47F17"/>
    <w:rsid w:val="00C47F40"/>
    <w:rsid w:val="00C50080"/>
    <w:rsid w:val="00C5025C"/>
    <w:rsid w:val="00C50447"/>
    <w:rsid w:val="00C504B3"/>
    <w:rsid w:val="00C50515"/>
    <w:rsid w:val="00C5060D"/>
    <w:rsid w:val="00C5066E"/>
    <w:rsid w:val="00C50699"/>
    <w:rsid w:val="00C507EF"/>
    <w:rsid w:val="00C507F4"/>
    <w:rsid w:val="00C50A26"/>
    <w:rsid w:val="00C50A8C"/>
    <w:rsid w:val="00C50C2F"/>
    <w:rsid w:val="00C50D16"/>
    <w:rsid w:val="00C50DB6"/>
    <w:rsid w:val="00C50E45"/>
    <w:rsid w:val="00C51196"/>
    <w:rsid w:val="00C5119A"/>
    <w:rsid w:val="00C514A8"/>
    <w:rsid w:val="00C51576"/>
    <w:rsid w:val="00C517C1"/>
    <w:rsid w:val="00C51A9C"/>
    <w:rsid w:val="00C51E2C"/>
    <w:rsid w:val="00C51EF6"/>
    <w:rsid w:val="00C520FA"/>
    <w:rsid w:val="00C521AF"/>
    <w:rsid w:val="00C5232F"/>
    <w:rsid w:val="00C52343"/>
    <w:rsid w:val="00C52424"/>
    <w:rsid w:val="00C524D1"/>
    <w:rsid w:val="00C52600"/>
    <w:rsid w:val="00C52641"/>
    <w:rsid w:val="00C526EF"/>
    <w:rsid w:val="00C52A55"/>
    <w:rsid w:val="00C52F71"/>
    <w:rsid w:val="00C53275"/>
    <w:rsid w:val="00C532E6"/>
    <w:rsid w:val="00C5346F"/>
    <w:rsid w:val="00C534E1"/>
    <w:rsid w:val="00C53804"/>
    <w:rsid w:val="00C539B4"/>
    <w:rsid w:val="00C53D13"/>
    <w:rsid w:val="00C53E20"/>
    <w:rsid w:val="00C540C1"/>
    <w:rsid w:val="00C540D9"/>
    <w:rsid w:val="00C5418F"/>
    <w:rsid w:val="00C541B5"/>
    <w:rsid w:val="00C542F7"/>
    <w:rsid w:val="00C54532"/>
    <w:rsid w:val="00C546C4"/>
    <w:rsid w:val="00C54772"/>
    <w:rsid w:val="00C5478D"/>
    <w:rsid w:val="00C547BB"/>
    <w:rsid w:val="00C54882"/>
    <w:rsid w:val="00C54947"/>
    <w:rsid w:val="00C54A4E"/>
    <w:rsid w:val="00C54A6F"/>
    <w:rsid w:val="00C54BF8"/>
    <w:rsid w:val="00C54F9C"/>
    <w:rsid w:val="00C55043"/>
    <w:rsid w:val="00C550F8"/>
    <w:rsid w:val="00C551F0"/>
    <w:rsid w:val="00C556FB"/>
    <w:rsid w:val="00C55833"/>
    <w:rsid w:val="00C5589D"/>
    <w:rsid w:val="00C55957"/>
    <w:rsid w:val="00C55A67"/>
    <w:rsid w:val="00C55BD3"/>
    <w:rsid w:val="00C55C69"/>
    <w:rsid w:val="00C56125"/>
    <w:rsid w:val="00C561E5"/>
    <w:rsid w:val="00C56429"/>
    <w:rsid w:val="00C5659D"/>
    <w:rsid w:val="00C56745"/>
    <w:rsid w:val="00C568CB"/>
    <w:rsid w:val="00C56901"/>
    <w:rsid w:val="00C569F6"/>
    <w:rsid w:val="00C56A5A"/>
    <w:rsid w:val="00C56AE4"/>
    <w:rsid w:val="00C56C62"/>
    <w:rsid w:val="00C56DC1"/>
    <w:rsid w:val="00C56FCA"/>
    <w:rsid w:val="00C570E0"/>
    <w:rsid w:val="00C57136"/>
    <w:rsid w:val="00C571FB"/>
    <w:rsid w:val="00C57369"/>
    <w:rsid w:val="00C5759B"/>
    <w:rsid w:val="00C57699"/>
    <w:rsid w:val="00C578F3"/>
    <w:rsid w:val="00C57923"/>
    <w:rsid w:val="00C57A86"/>
    <w:rsid w:val="00C57CC3"/>
    <w:rsid w:val="00C57FC4"/>
    <w:rsid w:val="00C57FD4"/>
    <w:rsid w:val="00C605D3"/>
    <w:rsid w:val="00C6068B"/>
    <w:rsid w:val="00C6079B"/>
    <w:rsid w:val="00C60AB5"/>
    <w:rsid w:val="00C60AF3"/>
    <w:rsid w:val="00C60C34"/>
    <w:rsid w:val="00C60E91"/>
    <w:rsid w:val="00C60F8C"/>
    <w:rsid w:val="00C61216"/>
    <w:rsid w:val="00C616D5"/>
    <w:rsid w:val="00C61727"/>
    <w:rsid w:val="00C61837"/>
    <w:rsid w:val="00C6191F"/>
    <w:rsid w:val="00C61ABB"/>
    <w:rsid w:val="00C61AC6"/>
    <w:rsid w:val="00C61C6A"/>
    <w:rsid w:val="00C61F0A"/>
    <w:rsid w:val="00C620AE"/>
    <w:rsid w:val="00C620DA"/>
    <w:rsid w:val="00C621B9"/>
    <w:rsid w:val="00C62273"/>
    <w:rsid w:val="00C623DC"/>
    <w:rsid w:val="00C6259C"/>
    <w:rsid w:val="00C6275B"/>
    <w:rsid w:val="00C62850"/>
    <w:rsid w:val="00C62919"/>
    <w:rsid w:val="00C62D2E"/>
    <w:rsid w:val="00C62FDE"/>
    <w:rsid w:val="00C6302C"/>
    <w:rsid w:val="00C630D7"/>
    <w:rsid w:val="00C631E8"/>
    <w:rsid w:val="00C63521"/>
    <w:rsid w:val="00C635EB"/>
    <w:rsid w:val="00C636DF"/>
    <w:rsid w:val="00C637BD"/>
    <w:rsid w:val="00C638D0"/>
    <w:rsid w:val="00C63CAB"/>
    <w:rsid w:val="00C63E00"/>
    <w:rsid w:val="00C641CC"/>
    <w:rsid w:val="00C6449D"/>
    <w:rsid w:val="00C64578"/>
    <w:rsid w:val="00C6464F"/>
    <w:rsid w:val="00C646A6"/>
    <w:rsid w:val="00C646E0"/>
    <w:rsid w:val="00C6491B"/>
    <w:rsid w:val="00C64933"/>
    <w:rsid w:val="00C64B38"/>
    <w:rsid w:val="00C64C2D"/>
    <w:rsid w:val="00C64C90"/>
    <w:rsid w:val="00C6561F"/>
    <w:rsid w:val="00C656E4"/>
    <w:rsid w:val="00C65749"/>
    <w:rsid w:val="00C6577E"/>
    <w:rsid w:val="00C65B02"/>
    <w:rsid w:val="00C65B98"/>
    <w:rsid w:val="00C65DF9"/>
    <w:rsid w:val="00C65E60"/>
    <w:rsid w:val="00C65F0D"/>
    <w:rsid w:val="00C65FA9"/>
    <w:rsid w:val="00C65FE6"/>
    <w:rsid w:val="00C660D3"/>
    <w:rsid w:val="00C662A8"/>
    <w:rsid w:val="00C66403"/>
    <w:rsid w:val="00C66765"/>
    <w:rsid w:val="00C6682F"/>
    <w:rsid w:val="00C66909"/>
    <w:rsid w:val="00C66959"/>
    <w:rsid w:val="00C66CA7"/>
    <w:rsid w:val="00C66F42"/>
    <w:rsid w:val="00C66F50"/>
    <w:rsid w:val="00C671E4"/>
    <w:rsid w:val="00C672F3"/>
    <w:rsid w:val="00C67332"/>
    <w:rsid w:val="00C675FE"/>
    <w:rsid w:val="00C676FF"/>
    <w:rsid w:val="00C6779D"/>
    <w:rsid w:val="00C677B5"/>
    <w:rsid w:val="00C67836"/>
    <w:rsid w:val="00C679A6"/>
    <w:rsid w:val="00C67DB8"/>
    <w:rsid w:val="00C67EC4"/>
    <w:rsid w:val="00C67F47"/>
    <w:rsid w:val="00C67FB9"/>
    <w:rsid w:val="00C70178"/>
    <w:rsid w:val="00C702C7"/>
    <w:rsid w:val="00C703EC"/>
    <w:rsid w:val="00C7056F"/>
    <w:rsid w:val="00C7060F"/>
    <w:rsid w:val="00C70804"/>
    <w:rsid w:val="00C70985"/>
    <w:rsid w:val="00C70A0A"/>
    <w:rsid w:val="00C71032"/>
    <w:rsid w:val="00C711E5"/>
    <w:rsid w:val="00C71490"/>
    <w:rsid w:val="00C71594"/>
    <w:rsid w:val="00C71760"/>
    <w:rsid w:val="00C717F2"/>
    <w:rsid w:val="00C71886"/>
    <w:rsid w:val="00C719CF"/>
    <w:rsid w:val="00C71A50"/>
    <w:rsid w:val="00C71B82"/>
    <w:rsid w:val="00C71B9D"/>
    <w:rsid w:val="00C71BDA"/>
    <w:rsid w:val="00C71D19"/>
    <w:rsid w:val="00C71E5D"/>
    <w:rsid w:val="00C71F62"/>
    <w:rsid w:val="00C71FCD"/>
    <w:rsid w:val="00C720EB"/>
    <w:rsid w:val="00C7217C"/>
    <w:rsid w:val="00C727E5"/>
    <w:rsid w:val="00C72B14"/>
    <w:rsid w:val="00C72D25"/>
    <w:rsid w:val="00C72EC9"/>
    <w:rsid w:val="00C72F07"/>
    <w:rsid w:val="00C73229"/>
    <w:rsid w:val="00C7325A"/>
    <w:rsid w:val="00C732DA"/>
    <w:rsid w:val="00C73630"/>
    <w:rsid w:val="00C73647"/>
    <w:rsid w:val="00C73669"/>
    <w:rsid w:val="00C737F8"/>
    <w:rsid w:val="00C739BB"/>
    <w:rsid w:val="00C73C8D"/>
    <w:rsid w:val="00C73E34"/>
    <w:rsid w:val="00C73EF0"/>
    <w:rsid w:val="00C73FA6"/>
    <w:rsid w:val="00C73FCD"/>
    <w:rsid w:val="00C7418E"/>
    <w:rsid w:val="00C741A0"/>
    <w:rsid w:val="00C7429C"/>
    <w:rsid w:val="00C745AE"/>
    <w:rsid w:val="00C7471D"/>
    <w:rsid w:val="00C74AF2"/>
    <w:rsid w:val="00C74C49"/>
    <w:rsid w:val="00C74E27"/>
    <w:rsid w:val="00C74E36"/>
    <w:rsid w:val="00C74FE2"/>
    <w:rsid w:val="00C74FED"/>
    <w:rsid w:val="00C7507C"/>
    <w:rsid w:val="00C7511A"/>
    <w:rsid w:val="00C751E0"/>
    <w:rsid w:val="00C75312"/>
    <w:rsid w:val="00C7577A"/>
    <w:rsid w:val="00C75B63"/>
    <w:rsid w:val="00C75D2B"/>
    <w:rsid w:val="00C75DCA"/>
    <w:rsid w:val="00C75F01"/>
    <w:rsid w:val="00C7621B"/>
    <w:rsid w:val="00C762EB"/>
    <w:rsid w:val="00C764F4"/>
    <w:rsid w:val="00C7652D"/>
    <w:rsid w:val="00C766CA"/>
    <w:rsid w:val="00C767D0"/>
    <w:rsid w:val="00C7691C"/>
    <w:rsid w:val="00C76AC0"/>
    <w:rsid w:val="00C76C4B"/>
    <w:rsid w:val="00C76F7D"/>
    <w:rsid w:val="00C77054"/>
    <w:rsid w:val="00C7712C"/>
    <w:rsid w:val="00C7714D"/>
    <w:rsid w:val="00C77321"/>
    <w:rsid w:val="00C773FD"/>
    <w:rsid w:val="00C7747A"/>
    <w:rsid w:val="00C774B8"/>
    <w:rsid w:val="00C7756B"/>
    <w:rsid w:val="00C77598"/>
    <w:rsid w:val="00C775F2"/>
    <w:rsid w:val="00C7793C"/>
    <w:rsid w:val="00C779FB"/>
    <w:rsid w:val="00C77D9E"/>
    <w:rsid w:val="00C77E3C"/>
    <w:rsid w:val="00C77F39"/>
    <w:rsid w:val="00C80066"/>
    <w:rsid w:val="00C80244"/>
    <w:rsid w:val="00C804BD"/>
    <w:rsid w:val="00C80598"/>
    <w:rsid w:val="00C806E7"/>
    <w:rsid w:val="00C8081B"/>
    <w:rsid w:val="00C808F2"/>
    <w:rsid w:val="00C80A61"/>
    <w:rsid w:val="00C80A65"/>
    <w:rsid w:val="00C80AD4"/>
    <w:rsid w:val="00C80B65"/>
    <w:rsid w:val="00C80B74"/>
    <w:rsid w:val="00C80BC8"/>
    <w:rsid w:val="00C80E36"/>
    <w:rsid w:val="00C80EBC"/>
    <w:rsid w:val="00C810D1"/>
    <w:rsid w:val="00C81103"/>
    <w:rsid w:val="00C81134"/>
    <w:rsid w:val="00C8122D"/>
    <w:rsid w:val="00C81323"/>
    <w:rsid w:val="00C813DB"/>
    <w:rsid w:val="00C814B7"/>
    <w:rsid w:val="00C81683"/>
    <w:rsid w:val="00C816B4"/>
    <w:rsid w:val="00C817E1"/>
    <w:rsid w:val="00C81832"/>
    <w:rsid w:val="00C81C94"/>
    <w:rsid w:val="00C81CB1"/>
    <w:rsid w:val="00C81CBE"/>
    <w:rsid w:val="00C81F7B"/>
    <w:rsid w:val="00C82250"/>
    <w:rsid w:val="00C82619"/>
    <w:rsid w:val="00C82658"/>
    <w:rsid w:val="00C82729"/>
    <w:rsid w:val="00C82812"/>
    <w:rsid w:val="00C82A15"/>
    <w:rsid w:val="00C82AB5"/>
    <w:rsid w:val="00C82BE9"/>
    <w:rsid w:val="00C82CBA"/>
    <w:rsid w:val="00C82CCB"/>
    <w:rsid w:val="00C82DCA"/>
    <w:rsid w:val="00C82F0D"/>
    <w:rsid w:val="00C82F51"/>
    <w:rsid w:val="00C83008"/>
    <w:rsid w:val="00C83050"/>
    <w:rsid w:val="00C830E5"/>
    <w:rsid w:val="00C832AD"/>
    <w:rsid w:val="00C83361"/>
    <w:rsid w:val="00C83551"/>
    <w:rsid w:val="00C8367E"/>
    <w:rsid w:val="00C83840"/>
    <w:rsid w:val="00C838F3"/>
    <w:rsid w:val="00C83939"/>
    <w:rsid w:val="00C83AB4"/>
    <w:rsid w:val="00C83C9F"/>
    <w:rsid w:val="00C83EEE"/>
    <w:rsid w:val="00C83EFA"/>
    <w:rsid w:val="00C84083"/>
    <w:rsid w:val="00C8410B"/>
    <w:rsid w:val="00C84207"/>
    <w:rsid w:val="00C842CA"/>
    <w:rsid w:val="00C84396"/>
    <w:rsid w:val="00C843E9"/>
    <w:rsid w:val="00C84680"/>
    <w:rsid w:val="00C84683"/>
    <w:rsid w:val="00C8477D"/>
    <w:rsid w:val="00C84BD1"/>
    <w:rsid w:val="00C84C16"/>
    <w:rsid w:val="00C84E38"/>
    <w:rsid w:val="00C84EB7"/>
    <w:rsid w:val="00C85104"/>
    <w:rsid w:val="00C85364"/>
    <w:rsid w:val="00C8545C"/>
    <w:rsid w:val="00C856CD"/>
    <w:rsid w:val="00C856F6"/>
    <w:rsid w:val="00C8580F"/>
    <w:rsid w:val="00C8598B"/>
    <w:rsid w:val="00C85A78"/>
    <w:rsid w:val="00C85A9D"/>
    <w:rsid w:val="00C85B22"/>
    <w:rsid w:val="00C85C06"/>
    <w:rsid w:val="00C85C2C"/>
    <w:rsid w:val="00C85C37"/>
    <w:rsid w:val="00C85EE2"/>
    <w:rsid w:val="00C86158"/>
    <w:rsid w:val="00C862B0"/>
    <w:rsid w:val="00C863BE"/>
    <w:rsid w:val="00C865C0"/>
    <w:rsid w:val="00C865D5"/>
    <w:rsid w:val="00C86881"/>
    <w:rsid w:val="00C8695A"/>
    <w:rsid w:val="00C869D5"/>
    <w:rsid w:val="00C869ED"/>
    <w:rsid w:val="00C86BB2"/>
    <w:rsid w:val="00C86FAA"/>
    <w:rsid w:val="00C8703B"/>
    <w:rsid w:val="00C87499"/>
    <w:rsid w:val="00C875DC"/>
    <w:rsid w:val="00C87706"/>
    <w:rsid w:val="00C8771B"/>
    <w:rsid w:val="00C8793B"/>
    <w:rsid w:val="00C87A69"/>
    <w:rsid w:val="00C87AA1"/>
    <w:rsid w:val="00C87AC7"/>
    <w:rsid w:val="00C87C21"/>
    <w:rsid w:val="00C87C64"/>
    <w:rsid w:val="00C87D21"/>
    <w:rsid w:val="00C87D96"/>
    <w:rsid w:val="00C87E5B"/>
    <w:rsid w:val="00C87EE0"/>
    <w:rsid w:val="00C90059"/>
    <w:rsid w:val="00C9035E"/>
    <w:rsid w:val="00C903B2"/>
    <w:rsid w:val="00C906C7"/>
    <w:rsid w:val="00C907D9"/>
    <w:rsid w:val="00C90B0A"/>
    <w:rsid w:val="00C90C59"/>
    <w:rsid w:val="00C90E27"/>
    <w:rsid w:val="00C90EB8"/>
    <w:rsid w:val="00C90ECF"/>
    <w:rsid w:val="00C90F4A"/>
    <w:rsid w:val="00C91164"/>
    <w:rsid w:val="00C9117A"/>
    <w:rsid w:val="00C913C5"/>
    <w:rsid w:val="00C91403"/>
    <w:rsid w:val="00C91424"/>
    <w:rsid w:val="00C91606"/>
    <w:rsid w:val="00C91730"/>
    <w:rsid w:val="00C917F2"/>
    <w:rsid w:val="00C9198A"/>
    <w:rsid w:val="00C91A60"/>
    <w:rsid w:val="00C91B6E"/>
    <w:rsid w:val="00C91E60"/>
    <w:rsid w:val="00C9203C"/>
    <w:rsid w:val="00C9231B"/>
    <w:rsid w:val="00C9235F"/>
    <w:rsid w:val="00C9244F"/>
    <w:rsid w:val="00C92498"/>
    <w:rsid w:val="00C924E4"/>
    <w:rsid w:val="00C9294A"/>
    <w:rsid w:val="00C92A66"/>
    <w:rsid w:val="00C92A76"/>
    <w:rsid w:val="00C92B2E"/>
    <w:rsid w:val="00C92B7D"/>
    <w:rsid w:val="00C92C18"/>
    <w:rsid w:val="00C932F6"/>
    <w:rsid w:val="00C938C6"/>
    <w:rsid w:val="00C938DC"/>
    <w:rsid w:val="00C93A15"/>
    <w:rsid w:val="00C93AFA"/>
    <w:rsid w:val="00C93BE7"/>
    <w:rsid w:val="00C93C80"/>
    <w:rsid w:val="00C94030"/>
    <w:rsid w:val="00C94077"/>
    <w:rsid w:val="00C94122"/>
    <w:rsid w:val="00C94235"/>
    <w:rsid w:val="00C942C3"/>
    <w:rsid w:val="00C94364"/>
    <w:rsid w:val="00C94440"/>
    <w:rsid w:val="00C94669"/>
    <w:rsid w:val="00C946D8"/>
    <w:rsid w:val="00C946E7"/>
    <w:rsid w:val="00C947BA"/>
    <w:rsid w:val="00C94A85"/>
    <w:rsid w:val="00C951A3"/>
    <w:rsid w:val="00C954E8"/>
    <w:rsid w:val="00C95830"/>
    <w:rsid w:val="00C959EB"/>
    <w:rsid w:val="00C95C15"/>
    <w:rsid w:val="00C95CB0"/>
    <w:rsid w:val="00C95D56"/>
    <w:rsid w:val="00C95FBC"/>
    <w:rsid w:val="00C9600A"/>
    <w:rsid w:val="00C960FD"/>
    <w:rsid w:val="00C96381"/>
    <w:rsid w:val="00C96697"/>
    <w:rsid w:val="00C96722"/>
    <w:rsid w:val="00C96738"/>
    <w:rsid w:val="00C967B4"/>
    <w:rsid w:val="00C967DA"/>
    <w:rsid w:val="00C969A6"/>
    <w:rsid w:val="00C969B0"/>
    <w:rsid w:val="00C96AB2"/>
    <w:rsid w:val="00C96B79"/>
    <w:rsid w:val="00C96BFE"/>
    <w:rsid w:val="00C96CD5"/>
    <w:rsid w:val="00C96D54"/>
    <w:rsid w:val="00C96F45"/>
    <w:rsid w:val="00C97155"/>
    <w:rsid w:val="00C97208"/>
    <w:rsid w:val="00C97387"/>
    <w:rsid w:val="00C9741B"/>
    <w:rsid w:val="00C976EB"/>
    <w:rsid w:val="00C97757"/>
    <w:rsid w:val="00C9786D"/>
    <w:rsid w:val="00C978C4"/>
    <w:rsid w:val="00C97A32"/>
    <w:rsid w:val="00C97AD5"/>
    <w:rsid w:val="00C97BEA"/>
    <w:rsid w:val="00C97BFC"/>
    <w:rsid w:val="00C97DDF"/>
    <w:rsid w:val="00CA0154"/>
    <w:rsid w:val="00CA01A1"/>
    <w:rsid w:val="00CA03B9"/>
    <w:rsid w:val="00CA03D9"/>
    <w:rsid w:val="00CA0731"/>
    <w:rsid w:val="00CA0756"/>
    <w:rsid w:val="00CA0D83"/>
    <w:rsid w:val="00CA0DBF"/>
    <w:rsid w:val="00CA0DC9"/>
    <w:rsid w:val="00CA0DF7"/>
    <w:rsid w:val="00CA0E4C"/>
    <w:rsid w:val="00CA0E92"/>
    <w:rsid w:val="00CA122A"/>
    <w:rsid w:val="00CA1286"/>
    <w:rsid w:val="00CA12C7"/>
    <w:rsid w:val="00CA13F0"/>
    <w:rsid w:val="00CA15D4"/>
    <w:rsid w:val="00CA15DB"/>
    <w:rsid w:val="00CA1A68"/>
    <w:rsid w:val="00CA1AFB"/>
    <w:rsid w:val="00CA1EFF"/>
    <w:rsid w:val="00CA2046"/>
    <w:rsid w:val="00CA23D4"/>
    <w:rsid w:val="00CA24F4"/>
    <w:rsid w:val="00CA2552"/>
    <w:rsid w:val="00CA2667"/>
    <w:rsid w:val="00CA273A"/>
    <w:rsid w:val="00CA273D"/>
    <w:rsid w:val="00CA299E"/>
    <w:rsid w:val="00CA29BD"/>
    <w:rsid w:val="00CA2D99"/>
    <w:rsid w:val="00CA2E8B"/>
    <w:rsid w:val="00CA305E"/>
    <w:rsid w:val="00CA30A5"/>
    <w:rsid w:val="00CA3160"/>
    <w:rsid w:val="00CA318B"/>
    <w:rsid w:val="00CA3467"/>
    <w:rsid w:val="00CA367E"/>
    <w:rsid w:val="00CA3858"/>
    <w:rsid w:val="00CA3A36"/>
    <w:rsid w:val="00CA3A96"/>
    <w:rsid w:val="00CA3C0D"/>
    <w:rsid w:val="00CA3D69"/>
    <w:rsid w:val="00CA3DF3"/>
    <w:rsid w:val="00CA4396"/>
    <w:rsid w:val="00CA43E9"/>
    <w:rsid w:val="00CA4429"/>
    <w:rsid w:val="00CA456C"/>
    <w:rsid w:val="00CA4829"/>
    <w:rsid w:val="00CA4ABC"/>
    <w:rsid w:val="00CA4B28"/>
    <w:rsid w:val="00CA4C14"/>
    <w:rsid w:val="00CA4CDA"/>
    <w:rsid w:val="00CA4D4C"/>
    <w:rsid w:val="00CA4D7F"/>
    <w:rsid w:val="00CA4E06"/>
    <w:rsid w:val="00CA4E63"/>
    <w:rsid w:val="00CA4F37"/>
    <w:rsid w:val="00CA530F"/>
    <w:rsid w:val="00CA531A"/>
    <w:rsid w:val="00CA5513"/>
    <w:rsid w:val="00CA55A1"/>
    <w:rsid w:val="00CA55CF"/>
    <w:rsid w:val="00CA55E2"/>
    <w:rsid w:val="00CA5707"/>
    <w:rsid w:val="00CA5AA4"/>
    <w:rsid w:val="00CA5B05"/>
    <w:rsid w:val="00CA5B3F"/>
    <w:rsid w:val="00CA5B5A"/>
    <w:rsid w:val="00CA5F1D"/>
    <w:rsid w:val="00CA5F33"/>
    <w:rsid w:val="00CA61D1"/>
    <w:rsid w:val="00CA61D7"/>
    <w:rsid w:val="00CA635C"/>
    <w:rsid w:val="00CA6378"/>
    <w:rsid w:val="00CA6388"/>
    <w:rsid w:val="00CA64E2"/>
    <w:rsid w:val="00CA6A49"/>
    <w:rsid w:val="00CA6D48"/>
    <w:rsid w:val="00CA6E1F"/>
    <w:rsid w:val="00CA6E79"/>
    <w:rsid w:val="00CA6ECA"/>
    <w:rsid w:val="00CA6FE4"/>
    <w:rsid w:val="00CA717B"/>
    <w:rsid w:val="00CA72AC"/>
    <w:rsid w:val="00CA72C1"/>
    <w:rsid w:val="00CA73CD"/>
    <w:rsid w:val="00CA744F"/>
    <w:rsid w:val="00CA74FB"/>
    <w:rsid w:val="00CA7664"/>
    <w:rsid w:val="00CA7DAE"/>
    <w:rsid w:val="00CA7F11"/>
    <w:rsid w:val="00CA7FBD"/>
    <w:rsid w:val="00CB074D"/>
    <w:rsid w:val="00CB088C"/>
    <w:rsid w:val="00CB0B57"/>
    <w:rsid w:val="00CB0B88"/>
    <w:rsid w:val="00CB0B89"/>
    <w:rsid w:val="00CB1625"/>
    <w:rsid w:val="00CB18E2"/>
    <w:rsid w:val="00CB192F"/>
    <w:rsid w:val="00CB1A02"/>
    <w:rsid w:val="00CB1B86"/>
    <w:rsid w:val="00CB1D85"/>
    <w:rsid w:val="00CB1F3D"/>
    <w:rsid w:val="00CB1F7A"/>
    <w:rsid w:val="00CB2371"/>
    <w:rsid w:val="00CB23B8"/>
    <w:rsid w:val="00CB23D6"/>
    <w:rsid w:val="00CB2442"/>
    <w:rsid w:val="00CB24A1"/>
    <w:rsid w:val="00CB24E7"/>
    <w:rsid w:val="00CB2AA5"/>
    <w:rsid w:val="00CB2BCD"/>
    <w:rsid w:val="00CB2F42"/>
    <w:rsid w:val="00CB3054"/>
    <w:rsid w:val="00CB30F9"/>
    <w:rsid w:val="00CB3160"/>
    <w:rsid w:val="00CB3457"/>
    <w:rsid w:val="00CB350F"/>
    <w:rsid w:val="00CB3ABB"/>
    <w:rsid w:val="00CB3EBC"/>
    <w:rsid w:val="00CB3EEB"/>
    <w:rsid w:val="00CB3F46"/>
    <w:rsid w:val="00CB4151"/>
    <w:rsid w:val="00CB4548"/>
    <w:rsid w:val="00CB46C2"/>
    <w:rsid w:val="00CB4747"/>
    <w:rsid w:val="00CB494E"/>
    <w:rsid w:val="00CB4A00"/>
    <w:rsid w:val="00CB4B8B"/>
    <w:rsid w:val="00CB4B9F"/>
    <w:rsid w:val="00CB4E48"/>
    <w:rsid w:val="00CB4E79"/>
    <w:rsid w:val="00CB4F96"/>
    <w:rsid w:val="00CB51C9"/>
    <w:rsid w:val="00CB537B"/>
    <w:rsid w:val="00CB54A9"/>
    <w:rsid w:val="00CB564A"/>
    <w:rsid w:val="00CB56C5"/>
    <w:rsid w:val="00CB574E"/>
    <w:rsid w:val="00CB5A27"/>
    <w:rsid w:val="00CB5ADF"/>
    <w:rsid w:val="00CB5AF1"/>
    <w:rsid w:val="00CB5BED"/>
    <w:rsid w:val="00CB5F2D"/>
    <w:rsid w:val="00CB604F"/>
    <w:rsid w:val="00CB6141"/>
    <w:rsid w:val="00CB63CD"/>
    <w:rsid w:val="00CB6955"/>
    <w:rsid w:val="00CB6980"/>
    <w:rsid w:val="00CB6A64"/>
    <w:rsid w:val="00CB6BB4"/>
    <w:rsid w:val="00CB6BC4"/>
    <w:rsid w:val="00CB6E03"/>
    <w:rsid w:val="00CB6E75"/>
    <w:rsid w:val="00CB6EC1"/>
    <w:rsid w:val="00CB7177"/>
    <w:rsid w:val="00CB733E"/>
    <w:rsid w:val="00CB781D"/>
    <w:rsid w:val="00CB796E"/>
    <w:rsid w:val="00CB79A8"/>
    <w:rsid w:val="00CB7B80"/>
    <w:rsid w:val="00CC0107"/>
    <w:rsid w:val="00CC01A2"/>
    <w:rsid w:val="00CC02F8"/>
    <w:rsid w:val="00CC06F9"/>
    <w:rsid w:val="00CC0797"/>
    <w:rsid w:val="00CC07FA"/>
    <w:rsid w:val="00CC09DA"/>
    <w:rsid w:val="00CC0AAA"/>
    <w:rsid w:val="00CC0BB1"/>
    <w:rsid w:val="00CC0BDB"/>
    <w:rsid w:val="00CC0C25"/>
    <w:rsid w:val="00CC0D71"/>
    <w:rsid w:val="00CC0DCF"/>
    <w:rsid w:val="00CC130F"/>
    <w:rsid w:val="00CC148F"/>
    <w:rsid w:val="00CC1996"/>
    <w:rsid w:val="00CC1C52"/>
    <w:rsid w:val="00CC1D41"/>
    <w:rsid w:val="00CC1EEF"/>
    <w:rsid w:val="00CC20E4"/>
    <w:rsid w:val="00CC21CC"/>
    <w:rsid w:val="00CC220D"/>
    <w:rsid w:val="00CC23C2"/>
    <w:rsid w:val="00CC2759"/>
    <w:rsid w:val="00CC29BE"/>
    <w:rsid w:val="00CC2A1A"/>
    <w:rsid w:val="00CC2C40"/>
    <w:rsid w:val="00CC2C92"/>
    <w:rsid w:val="00CC2D3F"/>
    <w:rsid w:val="00CC3047"/>
    <w:rsid w:val="00CC3098"/>
    <w:rsid w:val="00CC30C0"/>
    <w:rsid w:val="00CC3110"/>
    <w:rsid w:val="00CC3433"/>
    <w:rsid w:val="00CC353B"/>
    <w:rsid w:val="00CC367D"/>
    <w:rsid w:val="00CC3703"/>
    <w:rsid w:val="00CC3B5C"/>
    <w:rsid w:val="00CC3BD1"/>
    <w:rsid w:val="00CC3C30"/>
    <w:rsid w:val="00CC3E57"/>
    <w:rsid w:val="00CC3F7A"/>
    <w:rsid w:val="00CC3F80"/>
    <w:rsid w:val="00CC40E1"/>
    <w:rsid w:val="00CC4179"/>
    <w:rsid w:val="00CC4187"/>
    <w:rsid w:val="00CC41C4"/>
    <w:rsid w:val="00CC4207"/>
    <w:rsid w:val="00CC430B"/>
    <w:rsid w:val="00CC43F6"/>
    <w:rsid w:val="00CC457D"/>
    <w:rsid w:val="00CC46E4"/>
    <w:rsid w:val="00CC4748"/>
    <w:rsid w:val="00CC47F4"/>
    <w:rsid w:val="00CC4843"/>
    <w:rsid w:val="00CC48C1"/>
    <w:rsid w:val="00CC4C81"/>
    <w:rsid w:val="00CC4D3A"/>
    <w:rsid w:val="00CC4E2B"/>
    <w:rsid w:val="00CC5119"/>
    <w:rsid w:val="00CC5479"/>
    <w:rsid w:val="00CC56D1"/>
    <w:rsid w:val="00CC5796"/>
    <w:rsid w:val="00CC59B5"/>
    <w:rsid w:val="00CC5B51"/>
    <w:rsid w:val="00CC5B81"/>
    <w:rsid w:val="00CC5CBA"/>
    <w:rsid w:val="00CC5D0E"/>
    <w:rsid w:val="00CC5E8F"/>
    <w:rsid w:val="00CC5EA5"/>
    <w:rsid w:val="00CC5F1E"/>
    <w:rsid w:val="00CC6106"/>
    <w:rsid w:val="00CC63B8"/>
    <w:rsid w:val="00CC63FF"/>
    <w:rsid w:val="00CC64F1"/>
    <w:rsid w:val="00CC653A"/>
    <w:rsid w:val="00CC6A1A"/>
    <w:rsid w:val="00CC6A2E"/>
    <w:rsid w:val="00CC6A9A"/>
    <w:rsid w:val="00CC6D5F"/>
    <w:rsid w:val="00CC6EDE"/>
    <w:rsid w:val="00CC7024"/>
    <w:rsid w:val="00CC702D"/>
    <w:rsid w:val="00CC704D"/>
    <w:rsid w:val="00CC71BF"/>
    <w:rsid w:val="00CC7226"/>
    <w:rsid w:val="00CC723C"/>
    <w:rsid w:val="00CC725C"/>
    <w:rsid w:val="00CC7418"/>
    <w:rsid w:val="00CC7468"/>
    <w:rsid w:val="00CC7494"/>
    <w:rsid w:val="00CC74DF"/>
    <w:rsid w:val="00CC7525"/>
    <w:rsid w:val="00CC75C4"/>
    <w:rsid w:val="00CC75FD"/>
    <w:rsid w:val="00CC77BF"/>
    <w:rsid w:val="00CC77EF"/>
    <w:rsid w:val="00CC7B10"/>
    <w:rsid w:val="00CC7CDB"/>
    <w:rsid w:val="00CC7CE6"/>
    <w:rsid w:val="00CC7D7D"/>
    <w:rsid w:val="00CC7F86"/>
    <w:rsid w:val="00CC7FB0"/>
    <w:rsid w:val="00CD02C4"/>
    <w:rsid w:val="00CD039B"/>
    <w:rsid w:val="00CD0447"/>
    <w:rsid w:val="00CD06B6"/>
    <w:rsid w:val="00CD0898"/>
    <w:rsid w:val="00CD0B59"/>
    <w:rsid w:val="00CD0CBF"/>
    <w:rsid w:val="00CD0D2D"/>
    <w:rsid w:val="00CD0F92"/>
    <w:rsid w:val="00CD1241"/>
    <w:rsid w:val="00CD1881"/>
    <w:rsid w:val="00CD1D09"/>
    <w:rsid w:val="00CD1E2D"/>
    <w:rsid w:val="00CD1FED"/>
    <w:rsid w:val="00CD2029"/>
    <w:rsid w:val="00CD221D"/>
    <w:rsid w:val="00CD223D"/>
    <w:rsid w:val="00CD25F0"/>
    <w:rsid w:val="00CD2899"/>
    <w:rsid w:val="00CD2966"/>
    <w:rsid w:val="00CD2983"/>
    <w:rsid w:val="00CD2B3F"/>
    <w:rsid w:val="00CD2B92"/>
    <w:rsid w:val="00CD2C54"/>
    <w:rsid w:val="00CD2F7C"/>
    <w:rsid w:val="00CD2FAC"/>
    <w:rsid w:val="00CD30E5"/>
    <w:rsid w:val="00CD32D2"/>
    <w:rsid w:val="00CD32EE"/>
    <w:rsid w:val="00CD34CB"/>
    <w:rsid w:val="00CD3ADB"/>
    <w:rsid w:val="00CD3AFA"/>
    <w:rsid w:val="00CD3B97"/>
    <w:rsid w:val="00CD3DF4"/>
    <w:rsid w:val="00CD3E70"/>
    <w:rsid w:val="00CD3EDA"/>
    <w:rsid w:val="00CD40DE"/>
    <w:rsid w:val="00CD4270"/>
    <w:rsid w:val="00CD4473"/>
    <w:rsid w:val="00CD4515"/>
    <w:rsid w:val="00CD4576"/>
    <w:rsid w:val="00CD47A7"/>
    <w:rsid w:val="00CD49F1"/>
    <w:rsid w:val="00CD4AA4"/>
    <w:rsid w:val="00CD4B52"/>
    <w:rsid w:val="00CD4CA9"/>
    <w:rsid w:val="00CD54D9"/>
    <w:rsid w:val="00CD585A"/>
    <w:rsid w:val="00CD5AB8"/>
    <w:rsid w:val="00CD5BCA"/>
    <w:rsid w:val="00CD5CF7"/>
    <w:rsid w:val="00CD5D64"/>
    <w:rsid w:val="00CD5ED8"/>
    <w:rsid w:val="00CD5FA1"/>
    <w:rsid w:val="00CD6016"/>
    <w:rsid w:val="00CD623A"/>
    <w:rsid w:val="00CD62AD"/>
    <w:rsid w:val="00CD63B1"/>
    <w:rsid w:val="00CD6406"/>
    <w:rsid w:val="00CD6835"/>
    <w:rsid w:val="00CD693C"/>
    <w:rsid w:val="00CD69CE"/>
    <w:rsid w:val="00CD71C0"/>
    <w:rsid w:val="00CD73EC"/>
    <w:rsid w:val="00CD7411"/>
    <w:rsid w:val="00CD7440"/>
    <w:rsid w:val="00CD7449"/>
    <w:rsid w:val="00CD745D"/>
    <w:rsid w:val="00CD757C"/>
    <w:rsid w:val="00CD7590"/>
    <w:rsid w:val="00CD76CB"/>
    <w:rsid w:val="00CD7775"/>
    <w:rsid w:val="00CD796C"/>
    <w:rsid w:val="00CD7A69"/>
    <w:rsid w:val="00CD7AAD"/>
    <w:rsid w:val="00CD7BB9"/>
    <w:rsid w:val="00CE00E0"/>
    <w:rsid w:val="00CE0145"/>
    <w:rsid w:val="00CE01B5"/>
    <w:rsid w:val="00CE0214"/>
    <w:rsid w:val="00CE0252"/>
    <w:rsid w:val="00CE045C"/>
    <w:rsid w:val="00CE065E"/>
    <w:rsid w:val="00CE07C3"/>
    <w:rsid w:val="00CE0A2C"/>
    <w:rsid w:val="00CE0A86"/>
    <w:rsid w:val="00CE0C99"/>
    <w:rsid w:val="00CE0D89"/>
    <w:rsid w:val="00CE0F42"/>
    <w:rsid w:val="00CE114A"/>
    <w:rsid w:val="00CE12A3"/>
    <w:rsid w:val="00CE137D"/>
    <w:rsid w:val="00CE13A0"/>
    <w:rsid w:val="00CE14A5"/>
    <w:rsid w:val="00CE1557"/>
    <w:rsid w:val="00CE1577"/>
    <w:rsid w:val="00CE15E7"/>
    <w:rsid w:val="00CE1618"/>
    <w:rsid w:val="00CE1678"/>
    <w:rsid w:val="00CE170E"/>
    <w:rsid w:val="00CE1AC4"/>
    <w:rsid w:val="00CE1B88"/>
    <w:rsid w:val="00CE1CCC"/>
    <w:rsid w:val="00CE1D9F"/>
    <w:rsid w:val="00CE1E68"/>
    <w:rsid w:val="00CE1F86"/>
    <w:rsid w:val="00CE20F9"/>
    <w:rsid w:val="00CE222B"/>
    <w:rsid w:val="00CE25D2"/>
    <w:rsid w:val="00CE2690"/>
    <w:rsid w:val="00CE27EF"/>
    <w:rsid w:val="00CE2A0E"/>
    <w:rsid w:val="00CE2ABB"/>
    <w:rsid w:val="00CE2B17"/>
    <w:rsid w:val="00CE2CD9"/>
    <w:rsid w:val="00CE2F4F"/>
    <w:rsid w:val="00CE2FA7"/>
    <w:rsid w:val="00CE307E"/>
    <w:rsid w:val="00CE308B"/>
    <w:rsid w:val="00CE3090"/>
    <w:rsid w:val="00CE3146"/>
    <w:rsid w:val="00CE317A"/>
    <w:rsid w:val="00CE34E1"/>
    <w:rsid w:val="00CE36BD"/>
    <w:rsid w:val="00CE3BBC"/>
    <w:rsid w:val="00CE3CD9"/>
    <w:rsid w:val="00CE3F61"/>
    <w:rsid w:val="00CE4046"/>
    <w:rsid w:val="00CE40A8"/>
    <w:rsid w:val="00CE4216"/>
    <w:rsid w:val="00CE4278"/>
    <w:rsid w:val="00CE436B"/>
    <w:rsid w:val="00CE4372"/>
    <w:rsid w:val="00CE44D4"/>
    <w:rsid w:val="00CE476F"/>
    <w:rsid w:val="00CE4817"/>
    <w:rsid w:val="00CE49E5"/>
    <w:rsid w:val="00CE49F2"/>
    <w:rsid w:val="00CE4A24"/>
    <w:rsid w:val="00CE4B19"/>
    <w:rsid w:val="00CE4C9B"/>
    <w:rsid w:val="00CE4D65"/>
    <w:rsid w:val="00CE4D74"/>
    <w:rsid w:val="00CE4D9A"/>
    <w:rsid w:val="00CE4E3E"/>
    <w:rsid w:val="00CE4FF2"/>
    <w:rsid w:val="00CE507A"/>
    <w:rsid w:val="00CE5205"/>
    <w:rsid w:val="00CE53FA"/>
    <w:rsid w:val="00CE5605"/>
    <w:rsid w:val="00CE574B"/>
    <w:rsid w:val="00CE5948"/>
    <w:rsid w:val="00CE5C01"/>
    <w:rsid w:val="00CE5C29"/>
    <w:rsid w:val="00CE5DDC"/>
    <w:rsid w:val="00CE5E33"/>
    <w:rsid w:val="00CE5FB8"/>
    <w:rsid w:val="00CE6560"/>
    <w:rsid w:val="00CE6581"/>
    <w:rsid w:val="00CE66D5"/>
    <w:rsid w:val="00CE6737"/>
    <w:rsid w:val="00CE6769"/>
    <w:rsid w:val="00CE6B81"/>
    <w:rsid w:val="00CE6BAD"/>
    <w:rsid w:val="00CE6CD5"/>
    <w:rsid w:val="00CE6D73"/>
    <w:rsid w:val="00CE6E2C"/>
    <w:rsid w:val="00CE6E8B"/>
    <w:rsid w:val="00CE70BC"/>
    <w:rsid w:val="00CE7399"/>
    <w:rsid w:val="00CE7599"/>
    <w:rsid w:val="00CE75AE"/>
    <w:rsid w:val="00CE77C6"/>
    <w:rsid w:val="00CE7849"/>
    <w:rsid w:val="00CE784B"/>
    <w:rsid w:val="00CE79FF"/>
    <w:rsid w:val="00CE7CFD"/>
    <w:rsid w:val="00CF0049"/>
    <w:rsid w:val="00CF01E5"/>
    <w:rsid w:val="00CF0202"/>
    <w:rsid w:val="00CF0802"/>
    <w:rsid w:val="00CF0B3C"/>
    <w:rsid w:val="00CF0D64"/>
    <w:rsid w:val="00CF0EE1"/>
    <w:rsid w:val="00CF0EFA"/>
    <w:rsid w:val="00CF10DB"/>
    <w:rsid w:val="00CF115D"/>
    <w:rsid w:val="00CF1200"/>
    <w:rsid w:val="00CF12B4"/>
    <w:rsid w:val="00CF14E6"/>
    <w:rsid w:val="00CF1609"/>
    <w:rsid w:val="00CF1688"/>
    <w:rsid w:val="00CF16A6"/>
    <w:rsid w:val="00CF16B1"/>
    <w:rsid w:val="00CF18B7"/>
    <w:rsid w:val="00CF1C13"/>
    <w:rsid w:val="00CF1C57"/>
    <w:rsid w:val="00CF1D86"/>
    <w:rsid w:val="00CF1E47"/>
    <w:rsid w:val="00CF1EB6"/>
    <w:rsid w:val="00CF2097"/>
    <w:rsid w:val="00CF2384"/>
    <w:rsid w:val="00CF23CD"/>
    <w:rsid w:val="00CF24D4"/>
    <w:rsid w:val="00CF2517"/>
    <w:rsid w:val="00CF2959"/>
    <w:rsid w:val="00CF2A69"/>
    <w:rsid w:val="00CF2AEA"/>
    <w:rsid w:val="00CF2B80"/>
    <w:rsid w:val="00CF2C25"/>
    <w:rsid w:val="00CF2C49"/>
    <w:rsid w:val="00CF2C71"/>
    <w:rsid w:val="00CF2D58"/>
    <w:rsid w:val="00CF2E5A"/>
    <w:rsid w:val="00CF3097"/>
    <w:rsid w:val="00CF30D3"/>
    <w:rsid w:val="00CF3328"/>
    <w:rsid w:val="00CF3358"/>
    <w:rsid w:val="00CF336E"/>
    <w:rsid w:val="00CF339B"/>
    <w:rsid w:val="00CF34CB"/>
    <w:rsid w:val="00CF3689"/>
    <w:rsid w:val="00CF36F1"/>
    <w:rsid w:val="00CF3721"/>
    <w:rsid w:val="00CF380E"/>
    <w:rsid w:val="00CF3AA3"/>
    <w:rsid w:val="00CF3B26"/>
    <w:rsid w:val="00CF3C5E"/>
    <w:rsid w:val="00CF3C82"/>
    <w:rsid w:val="00CF3C9C"/>
    <w:rsid w:val="00CF3CA4"/>
    <w:rsid w:val="00CF3D6F"/>
    <w:rsid w:val="00CF3D9B"/>
    <w:rsid w:val="00CF3F04"/>
    <w:rsid w:val="00CF4287"/>
    <w:rsid w:val="00CF435D"/>
    <w:rsid w:val="00CF43B7"/>
    <w:rsid w:val="00CF4476"/>
    <w:rsid w:val="00CF487C"/>
    <w:rsid w:val="00CF4934"/>
    <w:rsid w:val="00CF4F98"/>
    <w:rsid w:val="00CF546E"/>
    <w:rsid w:val="00CF56BA"/>
    <w:rsid w:val="00CF599A"/>
    <w:rsid w:val="00CF5B36"/>
    <w:rsid w:val="00CF5D46"/>
    <w:rsid w:val="00CF5DAF"/>
    <w:rsid w:val="00CF5DBE"/>
    <w:rsid w:val="00CF63E7"/>
    <w:rsid w:val="00CF673E"/>
    <w:rsid w:val="00CF6836"/>
    <w:rsid w:val="00CF6900"/>
    <w:rsid w:val="00CF6A14"/>
    <w:rsid w:val="00CF70D5"/>
    <w:rsid w:val="00CF7131"/>
    <w:rsid w:val="00CF717B"/>
    <w:rsid w:val="00CF7699"/>
    <w:rsid w:val="00CF79C8"/>
    <w:rsid w:val="00CF79DC"/>
    <w:rsid w:val="00CF7B48"/>
    <w:rsid w:val="00CF7F7F"/>
    <w:rsid w:val="00CF7F9A"/>
    <w:rsid w:val="00D0023B"/>
    <w:rsid w:val="00D003EC"/>
    <w:rsid w:val="00D004F1"/>
    <w:rsid w:val="00D005A6"/>
    <w:rsid w:val="00D0070B"/>
    <w:rsid w:val="00D00B5A"/>
    <w:rsid w:val="00D00CD0"/>
    <w:rsid w:val="00D00DB5"/>
    <w:rsid w:val="00D00F0A"/>
    <w:rsid w:val="00D00F47"/>
    <w:rsid w:val="00D0118D"/>
    <w:rsid w:val="00D01239"/>
    <w:rsid w:val="00D012DE"/>
    <w:rsid w:val="00D0136E"/>
    <w:rsid w:val="00D013EC"/>
    <w:rsid w:val="00D0161B"/>
    <w:rsid w:val="00D0161E"/>
    <w:rsid w:val="00D01AB6"/>
    <w:rsid w:val="00D01BE1"/>
    <w:rsid w:val="00D01C8F"/>
    <w:rsid w:val="00D01C90"/>
    <w:rsid w:val="00D01CA1"/>
    <w:rsid w:val="00D01D7A"/>
    <w:rsid w:val="00D01EB8"/>
    <w:rsid w:val="00D01EDE"/>
    <w:rsid w:val="00D01FD0"/>
    <w:rsid w:val="00D020E0"/>
    <w:rsid w:val="00D02310"/>
    <w:rsid w:val="00D02533"/>
    <w:rsid w:val="00D0260B"/>
    <w:rsid w:val="00D02838"/>
    <w:rsid w:val="00D0287A"/>
    <w:rsid w:val="00D028DB"/>
    <w:rsid w:val="00D0298A"/>
    <w:rsid w:val="00D029A6"/>
    <w:rsid w:val="00D02B13"/>
    <w:rsid w:val="00D02D1D"/>
    <w:rsid w:val="00D02E86"/>
    <w:rsid w:val="00D02ECD"/>
    <w:rsid w:val="00D0313C"/>
    <w:rsid w:val="00D03174"/>
    <w:rsid w:val="00D03185"/>
    <w:rsid w:val="00D0330B"/>
    <w:rsid w:val="00D036A7"/>
    <w:rsid w:val="00D037E1"/>
    <w:rsid w:val="00D03D3E"/>
    <w:rsid w:val="00D03D61"/>
    <w:rsid w:val="00D03FE4"/>
    <w:rsid w:val="00D03FF8"/>
    <w:rsid w:val="00D0408A"/>
    <w:rsid w:val="00D0441A"/>
    <w:rsid w:val="00D044A9"/>
    <w:rsid w:val="00D044D2"/>
    <w:rsid w:val="00D0466D"/>
    <w:rsid w:val="00D046BC"/>
    <w:rsid w:val="00D046EE"/>
    <w:rsid w:val="00D04758"/>
    <w:rsid w:val="00D048C8"/>
    <w:rsid w:val="00D04986"/>
    <w:rsid w:val="00D049C1"/>
    <w:rsid w:val="00D04A66"/>
    <w:rsid w:val="00D04B21"/>
    <w:rsid w:val="00D04DC9"/>
    <w:rsid w:val="00D04EAF"/>
    <w:rsid w:val="00D052E7"/>
    <w:rsid w:val="00D05493"/>
    <w:rsid w:val="00D05888"/>
    <w:rsid w:val="00D058A0"/>
    <w:rsid w:val="00D059B1"/>
    <w:rsid w:val="00D05BDF"/>
    <w:rsid w:val="00D05CA3"/>
    <w:rsid w:val="00D06009"/>
    <w:rsid w:val="00D060B3"/>
    <w:rsid w:val="00D060DC"/>
    <w:rsid w:val="00D06241"/>
    <w:rsid w:val="00D06267"/>
    <w:rsid w:val="00D06894"/>
    <w:rsid w:val="00D06A1A"/>
    <w:rsid w:val="00D06B11"/>
    <w:rsid w:val="00D06C3C"/>
    <w:rsid w:val="00D06CD5"/>
    <w:rsid w:val="00D06D73"/>
    <w:rsid w:val="00D06EE6"/>
    <w:rsid w:val="00D07071"/>
    <w:rsid w:val="00D071D8"/>
    <w:rsid w:val="00D0723C"/>
    <w:rsid w:val="00D072E2"/>
    <w:rsid w:val="00D07402"/>
    <w:rsid w:val="00D0762E"/>
    <w:rsid w:val="00D07788"/>
    <w:rsid w:val="00D07C6D"/>
    <w:rsid w:val="00D07DD3"/>
    <w:rsid w:val="00D07F8A"/>
    <w:rsid w:val="00D07F8D"/>
    <w:rsid w:val="00D100C2"/>
    <w:rsid w:val="00D101B1"/>
    <w:rsid w:val="00D10361"/>
    <w:rsid w:val="00D103AC"/>
    <w:rsid w:val="00D10536"/>
    <w:rsid w:val="00D10583"/>
    <w:rsid w:val="00D105EC"/>
    <w:rsid w:val="00D1087F"/>
    <w:rsid w:val="00D10B3C"/>
    <w:rsid w:val="00D10B5A"/>
    <w:rsid w:val="00D10CE8"/>
    <w:rsid w:val="00D10D7A"/>
    <w:rsid w:val="00D10DF3"/>
    <w:rsid w:val="00D11055"/>
    <w:rsid w:val="00D11144"/>
    <w:rsid w:val="00D11199"/>
    <w:rsid w:val="00D11256"/>
    <w:rsid w:val="00D11428"/>
    <w:rsid w:val="00D11526"/>
    <w:rsid w:val="00D11562"/>
    <w:rsid w:val="00D11679"/>
    <w:rsid w:val="00D11901"/>
    <w:rsid w:val="00D11998"/>
    <w:rsid w:val="00D11AA7"/>
    <w:rsid w:val="00D11BAF"/>
    <w:rsid w:val="00D11F1C"/>
    <w:rsid w:val="00D12049"/>
    <w:rsid w:val="00D1232A"/>
    <w:rsid w:val="00D123A8"/>
    <w:rsid w:val="00D1281C"/>
    <w:rsid w:val="00D1294C"/>
    <w:rsid w:val="00D129B4"/>
    <w:rsid w:val="00D12AFC"/>
    <w:rsid w:val="00D12B0D"/>
    <w:rsid w:val="00D12BC8"/>
    <w:rsid w:val="00D12BEF"/>
    <w:rsid w:val="00D130CD"/>
    <w:rsid w:val="00D130F0"/>
    <w:rsid w:val="00D13478"/>
    <w:rsid w:val="00D134EF"/>
    <w:rsid w:val="00D1351C"/>
    <w:rsid w:val="00D13808"/>
    <w:rsid w:val="00D13886"/>
    <w:rsid w:val="00D13C58"/>
    <w:rsid w:val="00D13D56"/>
    <w:rsid w:val="00D13E45"/>
    <w:rsid w:val="00D14047"/>
    <w:rsid w:val="00D14062"/>
    <w:rsid w:val="00D14095"/>
    <w:rsid w:val="00D14098"/>
    <w:rsid w:val="00D141FB"/>
    <w:rsid w:val="00D14217"/>
    <w:rsid w:val="00D14438"/>
    <w:rsid w:val="00D146D8"/>
    <w:rsid w:val="00D14913"/>
    <w:rsid w:val="00D14931"/>
    <w:rsid w:val="00D149EC"/>
    <w:rsid w:val="00D14D03"/>
    <w:rsid w:val="00D14D42"/>
    <w:rsid w:val="00D150DF"/>
    <w:rsid w:val="00D15241"/>
    <w:rsid w:val="00D15250"/>
    <w:rsid w:val="00D15420"/>
    <w:rsid w:val="00D15472"/>
    <w:rsid w:val="00D154AE"/>
    <w:rsid w:val="00D15879"/>
    <w:rsid w:val="00D158C8"/>
    <w:rsid w:val="00D15A3A"/>
    <w:rsid w:val="00D15AF3"/>
    <w:rsid w:val="00D15BC0"/>
    <w:rsid w:val="00D15DBE"/>
    <w:rsid w:val="00D15DC4"/>
    <w:rsid w:val="00D16132"/>
    <w:rsid w:val="00D161F4"/>
    <w:rsid w:val="00D16245"/>
    <w:rsid w:val="00D16365"/>
    <w:rsid w:val="00D16474"/>
    <w:rsid w:val="00D165D7"/>
    <w:rsid w:val="00D16770"/>
    <w:rsid w:val="00D167D4"/>
    <w:rsid w:val="00D1689D"/>
    <w:rsid w:val="00D16950"/>
    <w:rsid w:val="00D16963"/>
    <w:rsid w:val="00D16A55"/>
    <w:rsid w:val="00D16ABC"/>
    <w:rsid w:val="00D16B31"/>
    <w:rsid w:val="00D16B4E"/>
    <w:rsid w:val="00D16B98"/>
    <w:rsid w:val="00D16BA0"/>
    <w:rsid w:val="00D16DF8"/>
    <w:rsid w:val="00D16E0F"/>
    <w:rsid w:val="00D16F5E"/>
    <w:rsid w:val="00D1713F"/>
    <w:rsid w:val="00D17176"/>
    <w:rsid w:val="00D171CE"/>
    <w:rsid w:val="00D17229"/>
    <w:rsid w:val="00D172FE"/>
    <w:rsid w:val="00D173BD"/>
    <w:rsid w:val="00D174DD"/>
    <w:rsid w:val="00D174ED"/>
    <w:rsid w:val="00D17620"/>
    <w:rsid w:val="00D1773F"/>
    <w:rsid w:val="00D1784D"/>
    <w:rsid w:val="00D17B2A"/>
    <w:rsid w:val="00D17C63"/>
    <w:rsid w:val="00D17C75"/>
    <w:rsid w:val="00D20048"/>
    <w:rsid w:val="00D20365"/>
    <w:rsid w:val="00D20875"/>
    <w:rsid w:val="00D208DA"/>
    <w:rsid w:val="00D209C3"/>
    <w:rsid w:val="00D20C03"/>
    <w:rsid w:val="00D20D08"/>
    <w:rsid w:val="00D20D37"/>
    <w:rsid w:val="00D20E08"/>
    <w:rsid w:val="00D20F21"/>
    <w:rsid w:val="00D20F86"/>
    <w:rsid w:val="00D215DD"/>
    <w:rsid w:val="00D215F4"/>
    <w:rsid w:val="00D218AB"/>
    <w:rsid w:val="00D21902"/>
    <w:rsid w:val="00D2195B"/>
    <w:rsid w:val="00D21A3F"/>
    <w:rsid w:val="00D21AF2"/>
    <w:rsid w:val="00D21C38"/>
    <w:rsid w:val="00D21E96"/>
    <w:rsid w:val="00D22319"/>
    <w:rsid w:val="00D2248B"/>
    <w:rsid w:val="00D224F6"/>
    <w:rsid w:val="00D22511"/>
    <w:rsid w:val="00D22591"/>
    <w:rsid w:val="00D22698"/>
    <w:rsid w:val="00D2278B"/>
    <w:rsid w:val="00D22849"/>
    <w:rsid w:val="00D22950"/>
    <w:rsid w:val="00D22993"/>
    <w:rsid w:val="00D22A1A"/>
    <w:rsid w:val="00D22DCA"/>
    <w:rsid w:val="00D23058"/>
    <w:rsid w:val="00D23139"/>
    <w:rsid w:val="00D2319D"/>
    <w:rsid w:val="00D233D9"/>
    <w:rsid w:val="00D236E0"/>
    <w:rsid w:val="00D236E8"/>
    <w:rsid w:val="00D2377B"/>
    <w:rsid w:val="00D23805"/>
    <w:rsid w:val="00D23859"/>
    <w:rsid w:val="00D23935"/>
    <w:rsid w:val="00D23C24"/>
    <w:rsid w:val="00D23CCF"/>
    <w:rsid w:val="00D23D54"/>
    <w:rsid w:val="00D23DE7"/>
    <w:rsid w:val="00D23EA1"/>
    <w:rsid w:val="00D23ECD"/>
    <w:rsid w:val="00D23FB9"/>
    <w:rsid w:val="00D2402D"/>
    <w:rsid w:val="00D242B1"/>
    <w:rsid w:val="00D2433D"/>
    <w:rsid w:val="00D24870"/>
    <w:rsid w:val="00D24934"/>
    <w:rsid w:val="00D249E4"/>
    <w:rsid w:val="00D24AC2"/>
    <w:rsid w:val="00D2501A"/>
    <w:rsid w:val="00D251A9"/>
    <w:rsid w:val="00D2531E"/>
    <w:rsid w:val="00D2559D"/>
    <w:rsid w:val="00D25899"/>
    <w:rsid w:val="00D25AE2"/>
    <w:rsid w:val="00D25C52"/>
    <w:rsid w:val="00D25C69"/>
    <w:rsid w:val="00D25C6C"/>
    <w:rsid w:val="00D25F45"/>
    <w:rsid w:val="00D25F4C"/>
    <w:rsid w:val="00D26048"/>
    <w:rsid w:val="00D2618B"/>
    <w:rsid w:val="00D263BF"/>
    <w:rsid w:val="00D263F0"/>
    <w:rsid w:val="00D265A5"/>
    <w:rsid w:val="00D265F4"/>
    <w:rsid w:val="00D26820"/>
    <w:rsid w:val="00D2684F"/>
    <w:rsid w:val="00D26934"/>
    <w:rsid w:val="00D2694C"/>
    <w:rsid w:val="00D26A7D"/>
    <w:rsid w:val="00D26ADB"/>
    <w:rsid w:val="00D26B5E"/>
    <w:rsid w:val="00D26B6F"/>
    <w:rsid w:val="00D26C1A"/>
    <w:rsid w:val="00D270FF"/>
    <w:rsid w:val="00D27224"/>
    <w:rsid w:val="00D272F6"/>
    <w:rsid w:val="00D274CE"/>
    <w:rsid w:val="00D275D3"/>
    <w:rsid w:val="00D27B6A"/>
    <w:rsid w:val="00D27B73"/>
    <w:rsid w:val="00D27BDD"/>
    <w:rsid w:val="00D27DA3"/>
    <w:rsid w:val="00D27DBA"/>
    <w:rsid w:val="00D27F19"/>
    <w:rsid w:val="00D27F2C"/>
    <w:rsid w:val="00D30019"/>
    <w:rsid w:val="00D3033A"/>
    <w:rsid w:val="00D3058E"/>
    <w:rsid w:val="00D3067B"/>
    <w:rsid w:val="00D3092A"/>
    <w:rsid w:val="00D3092F"/>
    <w:rsid w:val="00D30B61"/>
    <w:rsid w:val="00D30CB7"/>
    <w:rsid w:val="00D30D54"/>
    <w:rsid w:val="00D30E29"/>
    <w:rsid w:val="00D30E4B"/>
    <w:rsid w:val="00D30F7E"/>
    <w:rsid w:val="00D310D7"/>
    <w:rsid w:val="00D31154"/>
    <w:rsid w:val="00D31317"/>
    <w:rsid w:val="00D313D3"/>
    <w:rsid w:val="00D31417"/>
    <w:rsid w:val="00D3156C"/>
    <w:rsid w:val="00D31602"/>
    <w:rsid w:val="00D31629"/>
    <w:rsid w:val="00D31631"/>
    <w:rsid w:val="00D3169F"/>
    <w:rsid w:val="00D316BA"/>
    <w:rsid w:val="00D31A8E"/>
    <w:rsid w:val="00D3245B"/>
    <w:rsid w:val="00D3252F"/>
    <w:rsid w:val="00D325FF"/>
    <w:rsid w:val="00D329DF"/>
    <w:rsid w:val="00D32C8A"/>
    <w:rsid w:val="00D32EE7"/>
    <w:rsid w:val="00D33042"/>
    <w:rsid w:val="00D3345A"/>
    <w:rsid w:val="00D335E4"/>
    <w:rsid w:val="00D3362C"/>
    <w:rsid w:val="00D336E2"/>
    <w:rsid w:val="00D3399D"/>
    <w:rsid w:val="00D33A2B"/>
    <w:rsid w:val="00D33A7F"/>
    <w:rsid w:val="00D33C83"/>
    <w:rsid w:val="00D33DAF"/>
    <w:rsid w:val="00D3400E"/>
    <w:rsid w:val="00D34059"/>
    <w:rsid w:val="00D34066"/>
    <w:rsid w:val="00D340C4"/>
    <w:rsid w:val="00D3416C"/>
    <w:rsid w:val="00D34192"/>
    <w:rsid w:val="00D3438D"/>
    <w:rsid w:val="00D343B0"/>
    <w:rsid w:val="00D34424"/>
    <w:rsid w:val="00D3445B"/>
    <w:rsid w:val="00D3457B"/>
    <w:rsid w:val="00D345DC"/>
    <w:rsid w:val="00D34638"/>
    <w:rsid w:val="00D34896"/>
    <w:rsid w:val="00D34AFD"/>
    <w:rsid w:val="00D34BC1"/>
    <w:rsid w:val="00D34E04"/>
    <w:rsid w:val="00D34E25"/>
    <w:rsid w:val="00D34E54"/>
    <w:rsid w:val="00D3500F"/>
    <w:rsid w:val="00D35326"/>
    <w:rsid w:val="00D3532F"/>
    <w:rsid w:val="00D357ED"/>
    <w:rsid w:val="00D35C72"/>
    <w:rsid w:val="00D35C97"/>
    <w:rsid w:val="00D35D71"/>
    <w:rsid w:val="00D35D96"/>
    <w:rsid w:val="00D35DCD"/>
    <w:rsid w:val="00D35E7D"/>
    <w:rsid w:val="00D35EDC"/>
    <w:rsid w:val="00D36124"/>
    <w:rsid w:val="00D3639C"/>
    <w:rsid w:val="00D3641F"/>
    <w:rsid w:val="00D3685D"/>
    <w:rsid w:val="00D36897"/>
    <w:rsid w:val="00D3693E"/>
    <w:rsid w:val="00D36BB6"/>
    <w:rsid w:val="00D36CB2"/>
    <w:rsid w:val="00D36CEB"/>
    <w:rsid w:val="00D36DAA"/>
    <w:rsid w:val="00D36E73"/>
    <w:rsid w:val="00D36F58"/>
    <w:rsid w:val="00D373B9"/>
    <w:rsid w:val="00D37540"/>
    <w:rsid w:val="00D375AB"/>
    <w:rsid w:val="00D3790A"/>
    <w:rsid w:val="00D37912"/>
    <w:rsid w:val="00D37995"/>
    <w:rsid w:val="00D37F3B"/>
    <w:rsid w:val="00D37F55"/>
    <w:rsid w:val="00D40084"/>
    <w:rsid w:val="00D401E5"/>
    <w:rsid w:val="00D4032F"/>
    <w:rsid w:val="00D40353"/>
    <w:rsid w:val="00D4050B"/>
    <w:rsid w:val="00D40517"/>
    <w:rsid w:val="00D40588"/>
    <w:rsid w:val="00D405C6"/>
    <w:rsid w:val="00D40608"/>
    <w:rsid w:val="00D413B1"/>
    <w:rsid w:val="00D414BF"/>
    <w:rsid w:val="00D417CA"/>
    <w:rsid w:val="00D418FB"/>
    <w:rsid w:val="00D41C97"/>
    <w:rsid w:val="00D41E79"/>
    <w:rsid w:val="00D41F61"/>
    <w:rsid w:val="00D41F6C"/>
    <w:rsid w:val="00D41FE4"/>
    <w:rsid w:val="00D4204E"/>
    <w:rsid w:val="00D42192"/>
    <w:rsid w:val="00D421D1"/>
    <w:rsid w:val="00D42296"/>
    <w:rsid w:val="00D422B8"/>
    <w:rsid w:val="00D42337"/>
    <w:rsid w:val="00D4233E"/>
    <w:rsid w:val="00D4241C"/>
    <w:rsid w:val="00D42487"/>
    <w:rsid w:val="00D42665"/>
    <w:rsid w:val="00D4280C"/>
    <w:rsid w:val="00D42871"/>
    <w:rsid w:val="00D4295F"/>
    <w:rsid w:val="00D42A87"/>
    <w:rsid w:val="00D42C31"/>
    <w:rsid w:val="00D42CF8"/>
    <w:rsid w:val="00D42FE1"/>
    <w:rsid w:val="00D43076"/>
    <w:rsid w:val="00D4346B"/>
    <w:rsid w:val="00D434F7"/>
    <w:rsid w:val="00D43547"/>
    <w:rsid w:val="00D4357E"/>
    <w:rsid w:val="00D436E1"/>
    <w:rsid w:val="00D437F6"/>
    <w:rsid w:val="00D4391A"/>
    <w:rsid w:val="00D43A92"/>
    <w:rsid w:val="00D43B9C"/>
    <w:rsid w:val="00D43BAF"/>
    <w:rsid w:val="00D43F8F"/>
    <w:rsid w:val="00D44004"/>
    <w:rsid w:val="00D4401F"/>
    <w:rsid w:val="00D4441E"/>
    <w:rsid w:val="00D4450A"/>
    <w:rsid w:val="00D446D1"/>
    <w:rsid w:val="00D44919"/>
    <w:rsid w:val="00D44984"/>
    <w:rsid w:val="00D44AF8"/>
    <w:rsid w:val="00D44C36"/>
    <w:rsid w:val="00D44D33"/>
    <w:rsid w:val="00D44DFC"/>
    <w:rsid w:val="00D44FC6"/>
    <w:rsid w:val="00D451BD"/>
    <w:rsid w:val="00D451DD"/>
    <w:rsid w:val="00D4536B"/>
    <w:rsid w:val="00D45405"/>
    <w:rsid w:val="00D45462"/>
    <w:rsid w:val="00D45593"/>
    <w:rsid w:val="00D45645"/>
    <w:rsid w:val="00D456CA"/>
    <w:rsid w:val="00D45746"/>
    <w:rsid w:val="00D45848"/>
    <w:rsid w:val="00D45BB7"/>
    <w:rsid w:val="00D45DE5"/>
    <w:rsid w:val="00D45E54"/>
    <w:rsid w:val="00D460B5"/>
    <w:rsid w:val="00D46245"/>
    <w:rsid w:val="00D46796"/>
    <w:rsid w:val="00D46816"/>
    <w:rsid w:val="00D46A40"/>
    <w:rsid w:val="00D46EAD"/>
    <w:rsid w:val="00D470BC"/>
    <w:rsid w:val="00D47284"/>
    <w:rsid w:val="00D47306"/>
    <w:rsid w:val="00D4778E"/>
    <w:rsid w:val="00D47835"/>
    <w:rsid w:val="00D47A1E"/>
    <w:rsid w:val="00D47BA5"/>
    <w:rsid w:val="00D47F68"/>
    <w:rsid w:val="00D50040"/>
    <w:rsid w:val="00D5071F"/>
    <w:rsid w:val="00D5083B"/>
    <w:rsid w:val="00D50853"/>
    <w:rsid w:val="00D50B4A"/>
    <w:rsid w:val="00D50C52"/>
    <w:rsid w:val="00D515A0"/>
    <w:rsid w:val="00D516B5"/>
    <w:rsid w:val="00D518AF"/>
    <w:rsid w:val="00D518F4"/>
    <w:rsid w:val="00D51AA5"/>
    <w:rsid w:val="00D51AD5"/>
    <w:rsid w:val="00D51E85"/>
    <w:rsid w:val="00D52311"/>
    <w:rsid w:val="00D5231F"/>
    <w:rsid w:val="00D525DB"/>
    <w:rsid w:val="00D526A7"/>
    <w:rsid w:val="00D528B5"/>
    <w:rsid w:val="00D5297D"/>
    <w:rsid w:val="00D52A6A"/>
    <w:rsid w:val="00D52D47"/>
    <w:rsid w:val="00D52DF5"/>
    <w:rsid w:val="00D5300A"/>
    <w:rsid w:val="00D53104"/>
    <w:rsid w:val="00D5316B"/>
    <w:rsid w:val="00D532D9"/>
    <w:rsid w:val="00D53397"/>
    <w:rsid w:val="00D53439"/>
    <w:rsid w:val="00D535A8"/>
    <w:rsid w:val="00D5376E"/>
    <w:rsid w:val="00D53942"/>
    <w:rsid w:val="00D53C0F"/>
    <w:rsid w:val="00D53D52"/>
    <w:rsid w:val="00D53D59"/>
    <w:rsid w:val="00D53D5D"/>
    <w:rsid w:val="00D53FF9"/>
    <w:rsid w:val="00D5409C"/>
    <w:rsid w:val="00D54305"/>
    <w:rsid w:val="00D5454E"/>
    <w:rsid w:val="00D547FB"/>
    <w:rsid w:val="00D54C0D"/>
    <w:rsid w:val="00D54E99"/>
    <w:rsid w:val="00D54EA1"/>
    <w:rsid w:val="00D54FAA"/>
    <w:rsid w:val="00D55211"/>
    <w:rsid w:val="00D553F4"/>
    <w:rsid w:val="00D554CD"/>
    <w:rsid w:val="00D5558A"/>
    <w:rsid w:val="00D5562A"/>
    <w:rsid w:val="00D55638"/>
    <w:rsid w:val="00D55792"/>
    <w:rsid w:val="00D558DE"/>
    <w:rsid w:val="00D558E3"/>
    <w:rsid w:val="00D55DBC"/>
    <w:rsid w:val="00D55DF2"/>
    <w:rsid w:val="00D55E50"/>
    <w:rsid w:val="00D55EE0"/>
    <w:rsid w:val="00D56152"/>
    <w:rsid w:val="00D561DB"/>
    <w:rsid w:val="00D56289"/>
    <w:rsid w:val="00D56338"/>
    <w:rsid w:val="00D56393"/>
    <w:rsid w:val="00D56453"/>
    <w:rsid w:val="00D564A9"/>
    <w:rsid w:val="00D56505"/>
    <w:rsid w:val="00D56529"/>
    <w:rsid w:val="00D56535"/>
    <w:rsid w:val="00D565FE"/>
    <w:rsid w:val="00D5689E"/>
    <w:rsid w:val="00D568D5"/>
    <w:rsid w:val="00D5692E"/>
    <w:rsid w:val="00D56BA1"/>
    <w:rsid w:val="00D56C50"/>
    <w:rsid w:val="00D56F45"/>
    <w:rsid w:val="00D5700B"/>
    <w:rsid w:val="00D5701D"/>
    <w:rsid w:val="00D57387"/>
    <w:rsid w:val="00D5778A"/>
    <w:rsid w:val="00D57976"/>
    <w:rsid w:val="00D57AFA"/>
    <w:rsid w:val="00D57B62"/>
    <w:rsid w:val="00D57C7B"/>
    <w:rsid w:val="00D57DCD"/>
    <w:rsid w:val="00D57EBD"/>
    <w:rsid w:val="00D57F3B"/>
    <w:rsid w:val="00D60895"/>
    <w:rsid w:val="00D60AC7"/>
    <w:rsid w:val="00D60D7B"/>
    <w:rsid w:val="00D60F4F"/>
    <w:rsid w:val="00D610DA"/>
    <w:rsid w:val="00D613B7"/>
    <w:rsid w:val="00D613C9"/>
    <w:rsid w:val="00D614E6"/>
    <w:rsid w:val="00D6154C"/>
    <w:rsid w:val="00D61710"/>
    <w:rsid w:val="00D6171E"/>
    <w:rsid w:val="00D618BA"/>
    <w:rsid w:val="00D61900"/>
    <w:rsid w:val="00D61A06"/>
    <w:rsid w:val="00D61DFC"/>
    <w:rsid w:val="00D61EF6"/>
    <w:rsid w:val="00D61FCC"/>
    <w:rsid w:val="00D62114"/>
    <w:rsid w:val="00D6230F"/>
    <w:rsid w:val="00D6234A"/>
    <w:rsid w:val="00D624CC"/>
    <w:rsid w:val="00D6251F"/>
    <w:rsid w:val="00D625A5"/>
    <w:rsid w:val="00D6267C"/>
    <w:rsid w:val="00D62B88"/>
    <w:rsid w:val="00D62EF9"/>
    <w:rsid w:val="00D62FC0"/>
    <w:rsid w:val="00D63002"/>
    <w:rsid w:val="00D63146"/>
    <w:rsid w:val="00D6320C"/>
    <w:rsid w:val="00D63478"/>
    <w:rsid w:val="00D63623"/>
    <w:rsid w:val="00D6368D"/>
    <w:rsid w:val="00D637FF"/>
    <w:rsid w:val="00D639F9"/>
    <w:rsid w:val="00D63BEA"/>
    <w:rsid w:val="00D63D6E"/>
    <w:rsid w:val="00D63FB8"/>
    <w:rsid w:val="00D64142"/>
    <w:rsid w:val="00D6432F"/>
    <w:rsid w:val="00D64394"/>
    <w:rsid w:val="00D646E7"/>
    <w:rsid w:val="00D646FB"/>
    <w:rsid w:val="00D64841"/>
    <w:rsid w:val="00D64A00"/>
    <w:rsid w:val="00D64A08"/>
    <w:rsid w:val="00D64B57"/>
    <w:rsid w:val="00D64E18"/>
    <w:rsid w:val="00D64F82"/>
    <w:rsid w:val="00D6535A"/>
    <w:rsid w:val="00D6546E"/>
    <w:rsid w:val="00D655A6"/>
    <w:rsid w:val="00D65727"/>
    <w:rsid w:val="00D6579F"/>
    <w:rsid w:val="00D657CF"/>
    <w:rsid w:val="00D659F4"/>
    <w:rsid w:val="00D65A22"/>
    <w:rsid w:val="00D65A9D"/>
    <w:rsid w:val="00D65DC3"/>
    <w:rsid w:val="00D66221"/>
    <w:rsid w:val="00D662E1"/>
    <w:rsid w:val="00D6653D"/>
    <w:rsid w:val="00D66931"/>
    <w:rsid w:val="00D66B74"/>
    <w:rsid w:val="00D66D20"/>
    <w:rsid w:val="00D6704B"/>
    <w:rsid w:val="00D671D6"/>
    <w:rsid w:val="00D67200"/>
    <w:rsid w:val="00D67214"/>
    <w:rsid w:val="00D672C0"/>
    <w:rsid w:val="00D673EB"/>
    <w:rsid w:val="00D674A6"/>
    <w:rsid w:val="00D674DF"/>
    <w:rsid w:val="00D67528"/>
    <w:rsid w:val="00D67606"/>
    <w:rsid w:val="00D677B1"/>
    <w:rsid w:val="00D67839"/>
    <w:rsid w:val="00D67AFF"/>
    <w:rsid w:val="00D67DDC"/>
    <w:rsid w:val="00D67ECC"/>
    <w:rsid w:val="00D67FEB"/>
    <w:rsid w:val="00D70054"/>
    <w:rsid w:val="00D7026B"/>
    <w:rsid w:val="00D704EB"/>
    <w:rsid w:val="00D7081F"/>
    <w:rsid w:val="00D70A16"/>
    <w:rsid w:val="00D70D49"/>
    <w:rsid w:val="00D70E0F"/>
    <w:rsid w:val="00D70FDB"/>
    <w:rsid w:val="00D7101A"/>
    <w:rsid w:val="00D71061"/>
    <w:rsid w:val="00D711F9"/>
    <w:rsid w:val="00D71457"/>
    <w:rsid w:val="00D714B6"/>
    <w:rsid w:val="00D7162C"/>
    <w:rsid w:val="00D718D6"/>
    <w:rsid w:val="00D719E2"/>
    <w:rsid w:val="00D71A29"/>
    <w:rsid w:val="00D71A87"/>
    <w:rsid w:val="00D71AF5"/>
    <w:rsid w:val="00D71C9E"/>
    <w:rsid w:val="00D71CCF"/>
    <w:rsid w:val="00D71E3E"/>
    <w:rsid w:val="00D71E73"/>
    <w:rsid w:val="00D71EA6"/>
    <w:rsid w:val="00D71ED3"/>
    <w:rsid w:val="00D71FF7"/>
    <w:rsid w:val="00D72084"/>
    <w:rsid w:val="00D723F8"/>
    <w:rsid w:val="00D7240F"/>
    <w:rsid w:val="00D72636"/>
    <w:rsid w:val="00D72BEF"/>
    <w:rsid w:val="00D72D4B"/>
    <w:rsid w:val="00D72E13"/>
    <w:rsid w:val="00D72EDE"/>
    <w:rsid w:val="00D72FF2"/>
    <w:rsid w:val="00D7307A"/>
    <w:rsid w:val="00D73089"/>
    <w:rsid w:val="00D731F5"/>
    <w:rsid w:val="00D73290"/>
    <w:rsid w:val="00D733A5"/>
    <w:rsid w:val="00D7342C"/>
    <w:rsid w:val="00D734DA"/>
    <w:rsid w:val="00D73531"/>
    <w:rsid w:val="00D735FA"/>
    <w:rsid w:val="00D7364C"/>
    <w:rsid w:val="00D73865"/>
    <w:rsid w:val="00D738DF"/>
    <w:rsid w:val="00D73BCE"/>
    <w:rsid w:val="00D73D03"/>
    <w:rsid w:val="00D73E79"/>
    <w:rsid w:val="00D73EBB"/>
    <w:rsid w:val="00D73EE2"/>
    <w:rsid w:val="00D74020"/>
    <w:rsid w:val="00D741B9"/>
    <w:rsid w:val="00D74230"/>
    <w:rsid w:val="00D7432B"/>
    <w:rsid w:val="00D74461"/>
    <w:rsid w:val="00D745CB"/>
    <w:rsid w:val="00D745F2"/>
    <w:rsid w:val="00D74684"/>
    <w:rsid w:val="00D7498B"/>
    <w:rsid w:val="00D7499D"/>
    <w:rsid w:val="00D74C5B"/>
    <w:rsid w:val="00D74D87"/>
    <w:rsid w:val="00D7542F"/>
    <w:rsid w:val="00D7546E"/>
    <w:rsid w:val="00D75500"/>
    <w:rsid w:val="00D75537"/>
    <w:rsid w:val="00D75550"/>
    <w:rsid w:val="00D7569A"/>
    <w:rsid w:val="00D756F8"/>
    <w:rsid w:val="00D75700"/>
    <w:rsid w:val="00D75749"/>
    <w:rsid w:val="00D7574B"/>
    <w:rsid w:val="00D7599E"/>
    <w:rsid w:val="00D75C1D"/>
    <w:rsid w:val="00D75EA1"/>
    <w:rsid w:val="00D75EF1"/>
    <w:rsid w:val="00D75F5E"/>
    <w:rsid w:val="00D7603E"/>
    <w:rsid w:val="00D760AD"/>
    <w:rsid w:val="00D7613D"/>
    <w:rsid w:val="00D763B0"/>
    <w:rsid w:val="00D76651"/>
    <w:rsid w:val="00D76749"/>
    <w:rsid w:val="00D76775"/>
    <w:rsid w:val="00D768FD"/>
    <w:rsid w:val="00D76904"/>
    <w:rsid w:val="00D76956"/>
    <w:rsid w:val="00D769EF"/>
    <w:rsid w:val="00D76CAF"/>
    <w:rsid w:val="00D76D6A"/>
    <w:rsid w:val="00D76E4A"/>
    <w:rsid w:val="00D771BB"/>
    <w:rsid w:val="00D7732D"/>
    <w:rsid w:val="00D77532"/>
    <w:rsid w:val="00D775FF"/>
    <w:rsid w:val="00D77A4C"/>
    <w:rsid w:val="00D77ABC"/>
    <w:rsid w:val="00D77C19"/>
    <w:rsid w:val="00D77D69"/>
    <w:rsid w:val="00D77D6B"/>
    <w:rsid w:val="00D77DCA"/>
    <w:rsid w:val="00D77F9A"/>
    <w:rsid w:val="00D77FBA"/>
    <w:rsid w:val="00D801A5"/>
    <w:rsid w:val="00D80255"/>
    <w:rsid w:val="00D803FB"/>
    <w:rsid w:val="00D804CF"/>
    <w:rsid w:val="00D80648"/>
    <w:rsid w:val="00D809F6"/>
    <w:rsid w:val="00D80AD3"/>
    <w:rsid w:val="00D80B7D"/>
    <w:rsid w:val="00D80D6A"/>
    <w:rsid w:val="00D80DBF"/>
    <w:rsid w:val="00D80E4D"/>
    <w:rsid w:val="00D8116A"/>
    <w:rsid w:val="00D811CF"/>
    <w:rsid w:val="00D8127D"/>
    <w:rsid w:val="00D81327"/>
    <w:rsid w:val="00D8136F"/>
    <w:rsid w:val="00D813A1"/>
    <w:rsid w:val="00D813E1"/>
    <w:rsid w:val="00D814A0"/>
    <w:rsid w:val="00D8150F"/>
    <w:rsid w:val="00D815D0"/>
    <w:rsid w:val="00D81B8B"/>
    <w:rsid w:val="00D81C9D"/>
    <w:rsid w:val="00D81D5C"/>
    <w:rsid w:val="00D81EA6"/>
    <w:rsid w:val="00D81F60"/>
    <w:rsid w:val="00D82059"/>
    <w:rsid w:val="00D82359"/>
    <w:rsid w:val="00D8236B"/>
    <w:rsid w:val="00D82425"/>
    <w:rsid w:val="00D8246A"/>
    <w:rsid w:val="00D82511"/>
    <w:rsid w:val="00D827ED"/>
    <w:rsid w:val="00D828AD"/>
    <w:rsid w:val="00D829CE"/>
    <w:rsid w:val="00D82D0C"/>
    <w:rsid w:val="00D82D6E"/>
    <w:rsid w:val="00D82DB5"/>
    <w:rsid w:val="00D82F0E"/>
    <w:rsid w:val="00D82FC0"/>
    <w:rsid w:val="00D8301D"/>
    <w:rsid w:val="00D83022"/>
    <w:rsid w:val="00D832FF"/>
    <w:rsid w:val="00D833F1"/>
    <w:rsid w:val="00D834D9"/>
    <w:rsid w:val="00D8357E"/>
    <w:rsid w:val="00D83773"/>
    <w:rsid w:val="00D838D1"/>
    <w:rsid w:val="00D838ED"/>
    <w:rsid w:val="00D83DB1"/>
    <w:rsid w:val="00D83E67"/>
    <w:rsid w:val="00D83F1E"/>
    <w:rsid w:val="00D83F38"/>
    <w:rsid w:val="00D83F6B"/>
    <w:rsid w:val="00D84091"/>
    <w:rsid w:val="00D8457F"/>
    <w:rsid w:val="00D849A0"/>
    <w:rsid w:val="00D84B00"/>
    <w:rsid w:val="00D84F29"/>
    <w:rsid w:val="00D84F86"/>
    <w:rsid w:val="00D85456"/>
    <w:rsid w:val="00D855B0"/>
    <w:rsid w:val="00D857C3"/>
    <w:rsid w:val="00D858D9"/>
    <w:rsid w:val="00D85A17"/>
    <w:rsid w:val="00D85B0C"/>
    <w:rsid w:val="00D85F78"/>
    <w:rsid w:val="00D860A9"/>
    <w:rsid w:val="00D8613E"/>
    <w:rsid w:val="00D862B6"/>
    <w:rsid w:val="00D8636E"/>
    <w:rsid w:val="00D863C9"/>
    <w:rsid w:val="00D86429"/>
    <w:rsid w:val="00D86A07"/>
    <w:rsid w:val="00D86A7B"/>
    <w:rsid w:val="00D86CC9"/>
    <w:rsid w:val="00D86EC3"/>
    <w:rsid w:val="00D86F6D"/>
    <w:rsid w:val="00D86F7B"/>
    <w:rsid w:val="00D87084"/>
    <w:rsid w:val="00D870CA"/>
    <w:rsid w:val="00D8782F"/>
    <w:rsid w:val="00D900C1"/>
    <w:rsid w:val="00D90210"/>
    <w:rsid w:val="00D90421"/>
    <w:rsid w:val="00D9064A"/>
    <w:rsid w:val="00D9090C"/>
    <w:rsid w:val="00D909A2"/>
    <w:rsid w:val="00D90B52"/>
    <w:rsid w:val="00D90CE1"/>
    <w:rsid w:val="00D90D7E"/>
    <w:rsid w:val="00D90EC0"/>
    <w:rsid w:val="00D9104B"/>
    <w:rsid w:val="00D91500"/>
    <w:rsid w:val="00D91730"/>
    <w:rsid w:val="00D9177D"/>
    <w:rsid w:val="00D9180E"/>
    <w:rsid w:val="00D91968"/>
    <w:rsid w:val="00D919A5"/>
    <w:rsid w:val="00D91A1D"/>
    <w:rsid w:val="00D91A94"/>
    <w:rsid w:val="00D91BED"/>
    <w:rsid w:val="00D91C3B"/>
    <w:rsid w:val="00D91C7B"/>
    <w:rsid w:val="00D9241C"/>
    <w:rsid w:val="00D92927"/>
    <w:rsid w:val="00D929BC"/>
    <w:rsid w:val="00D92ACA"/>
    <w:rsid w:val="00D92BD9"/>
    <w:rsid w:val="00D92BED"/>
    <w:rsid w:val="00D92C34"/>
    <w:rsid w:val="00D92C84"/>
    <w:rsid w:val="00D92CB0"/>
    <w:rsid w:val="00D92E9F"/>
    <w:rsid w:val="00D93063"/>
    <w:rsid w:val="00D931DD"/>
    <w:rsid w:val="00D93305"/>
    <w:rsid w:val="00D934CC"/>
    <w:rsid w:val="00D934F4"/>
    <w:rsid w:val="00D9350C"/>
    <w:rsid w:val="00D93531"/>
    <w:rsid w:val="00D936D5"/>
    <w:rsid w:val="00D9378E"/>
    <w:rsid w:val="00D93859"/>
    <w:rsid w:val="00D93BAA"/>
    <w:rsid w:val="00D93C7C"/>
    <w:rsid w:val="00D93C88"/>
    <w:rsid w:val="00D93FF0"/>
    <w:rsid w:val="00D942DF"/>
    <w:rsid w:val="00D9431F"/>
    <w:rsid w:val="00D94330"/>
    <w:rsid w:val="00D94925"/>
    <w:rsid w:val="00D94A13"/>
    <w:rsid w:val="00D94B29"/>
    <w:rsid w:val="00D94BA8"/>
    <w:rsid w:val="00D94D13"/>
    <w:rsid w:val="00D94DB5"/>
    <w:rsid w:val="00D94F44"/>
    <w:rsid w:val="00D94FE7"/>
    <w:rsid w:val="00D951F3"/>
    <w:rsid w:val="00D9522D"/>
    <w:rsid w:val="00D9538B"/>
    <w:rsid w:val="00D953EB"/>
    <w:rsid w:val="00D95406"/>
    <w:rsid w:val="00D95451"/>
    <w:rsid w:val="00D95571"/>
    <w:rsid w:val="00D956CC"/>
    <w:rsid w:val="00D95BCE"/>
    <w:rsid w:val="00D95BD1"/>
    <w:rsid w:val="00D95C2C"/>
    <w:rsid w:val="00D95CAD"/>
    <w:rsid w:val="00D95D4C"/>
    <w:rsid w:val="00D95EF2"/>
    <w:rsid w:val="00D9602D"/>
    <w:rsid w:val="00D9605E"/>
    <w:rsid w:val="00D96296"/>
    <w:rsid w:val="00D9645D"/>
    <w:rsid w:val="00D967E7"/>
    <w:rsid w:val="00D96814"/>
    <w:rsid w:val="00D9688B"/>
    <w:rsid w:val="00D969FC"/>
    <w:rsid w:val="00D96BE8"/>
    <w:rsid w:val="00D96C1D"/>
    <w:rsid w:val="00D96DA3"/>
    <w:rsid w:val="00D96EB6"/>
    <w:rsid w:val="00D96F95"/>
    <w:rsid w:val="00D9704C"/>
    <w:rsid w:val="00D97236"/>
    <w:rsid w:val="00D9728C"/>
    <w:rsid w:val="00D972CC"/>
    <w:rsid w:val="00D97635"/>
    <w:rsid w:val="00D9765E"/>
    <w:rsid w:val="00D9791E"/>
    <w:rsid w:val="00D97A2D"/>
    <w:rsid w:val="00D97B42"/>
    <w:rsid w:val="00D97D36"/>
    <w:rsid w:val="00D97D84"/>
    <w:rsid w:val="00DA01EB"/>
    <w:rsid w:val="00DA0239"/>
    <w:rsid w:val="00DA060F"/>
    <w:rsid w:val="00DA0839"/>
    <w:rsid w:val="00DA08E6"/>
    <w:rsid w:val="00DA0A72"/>
    <w:rsid w:val="00DA0E11"/>
    <w:rsid w:val="00DA0F62"/>
    <w:rsid w:val="00DA0FA5"/>
    <w:rsid w:val="00DA1254"/>
    <w:rsid w:val="00DA17D8"/>
    <w:rsid w:val="00DA18D4"/>
    <w:rsid w:val="00DA1962"/>
    <w:rsid w:val="00DA1B7E"/>
    <w:rsid w:val="00DA1D40"/>
    <w:rsid w:val="00DA1F1D"/>
    <w:rsid w:val="00DA2286"/>
    <w:rsid w:val="00DA25E2"/>
    <w:rsid w:val="00DA2730"/>
    <w:rsid w:val="00DA27C4"/>
    <w:rsid w:val="00DA27D3"/>
    <w:rsid w:val="00DA29D4"/>
    <w:rsid w:val="00DA2BE6"/>
    <w:rsid w:val="00DA2C17"/>
    <w:rsid w:val="00DA2CBC"/>
    <w:rsid w:val="00DA2E6B"/>
    <w:rsid w:val="00DA30BF"/>
    <w:rsid w:val="00DA321E"/>
    <w:rsid w:val="00DA32A9"/>
    <w:rsid w:val="00DA339B"/>
    <w:rsid w:val="00DA33DB"/>
    <w:rsid w:val="00DA343B"/>
    <w:rsid w:val="00DA361D"/>
    <w:rsid w:val="00DA3BDB"/>
    <w:rsid w:val="00DA3BF2"/>
    <w:rsid w:val="00DA3C21"/>
    <w:rsid w:val="00DA3CC3"/>
    <w:rsid w:val="00DA3D10"/>
    <w:rsid w:val="00DA3D3A"/>
    <w:rsid w:val="00DA3DB7"/>
    <w:rsid w:val="00DA3DD3"/>
    <w:rsid w:val="00DA3F19"/>
    <w:rsid w:val="00DA3FF5"/>
    <w:rsid w:val="00DA4161"/>
    <w:rsid w:val="00DA41BE"/>
    <w:rsid w:val="00DA4452"/>
    <w:rsid w:val="00DA4687"/>
    <w:rsid w:val="00DA4B33"/>
    <w:rsid w:val="00DA4E47"/>
    <w:rsid w:val="00DA4F99"/>
    <w:rsid w:val="00DA5064"/>
    <w:rsid w:val="00DA51CD"/>
    <w:rsid w:val="00DA51D5"/>
    <w:rsid w:val="00DA5222"/>
    <w:rsid w:val="00DA53A6"/>
    <w:rsid w:val="00DA554B"/>
    <w:rsid w:val="00DA5568"/>
    <w:rsid w:val="00DA55DA"/>
    <w:rsid w:val="00DA5605"/>
    <w:rsid w:val="00DA596D"/>
    <w:rsid w:val="00DA59EC"/>
    <w:rsid w:val="00DA5CA8"/>
    <w:rsid w:val="00DA5D28"/>
    <w:rsid w:val="00DA602F"/>
    <w:rsid w:val="00DA609D"/>
    <w:rsid w:val="00DA60A9"/>
    <w:rsid w:val="00DA60D9"/>
    <w:rsid w:val="00DA60EA"/>
    <w:rsid w:val="00DA632A"/>
    <w:rsid w:val="00DA6338"/>
    <w:rsid w:val="00DA6426"/>
    <w:rsid w:val="00DA66C3"/>
    <w:rsid w:val="00DA671D"/>
    <w:rsid w:val="00DA688E"/>
    <w:rsid w:val="00DA6A2C"/>
    <w:rsid w:val="00DA6A4F"/>
    <w:rsid w:val="00DA6ADB"/>
    <w:rsid w:val="00DA6C34"/>
    <w:rsid w:val="00DA6FA8"/>
    <w:rsid w:val="00DA7089"/>
    <w:rsid w:val="00DA72CD"/>
    <w:rsid w:val="00DA740E"/>
    <w:rsid w:val="00DA74BB"/>
    <w:rsid w:val="00DA7529"/>
    <w:rsid w:val="00DA757C"/>
    <w:rsid w:val="00DA758F"/>
    <w:rsid w:val="00DA779B"/>
    <w:rsid w:val="00DA78F9"/>
    <w:rsid w:val="00DA7A4E"/>
    <w:rsid w:val="00DA7A7C"/>
    <w:rsid w:val="00DA7EC3"/>
    <w:rsid w:val="00DB002A"/>
    <w:rsid w:val="00DB0036"/>
    <w:rsid w:val="00DB00CF"/>
    <w:rsid w:val="00DB013C"/>
    <w:rsid w:val="00DB018E"/>
    <w:rsid w:val="00DB01AD"/>
    <w:rsid w:val="00DB02DA"/>
    <w:rsid w:val="00DB0605"/>
    <w:rsid w:val="00DB063F"/>
    <w:rsid w:val="00DB079F"/>
    <w:rsid w:val="00DB07B5"/>
    <w:rsid w:val="00DB086D"/>
    <w:rsid w:val="00DB0889"/>
    <w:rsid w:val="00DB0A5F"/>
    <w:rsid w:val="00DB0C94"/>
    <w:rsid w:val="00DB0CB1"/>
    <w:rsid w:val="00DB0EDC"/>
    <w:rsid w:val="00DB117A"/>
    <w:rsid w:val="00DB11D5"/>
    <w:rsid w:val="00DB12C9"/>
    <w:rsid w:val="00DB131B"/>
    <w:rsid w:val="00DB14E9"/>
    <w:rsid w:val="00DB1721"/>
    <w:rsid w:val="00DB19BC"/>
    <w:rsid w:val="00DB1B6D"/>
    <w:rsid w:val="00DB1BD7"/>
    <w:rsid w:val="00DB1C42"/>
    <w:rsid w:val="00DB1CF3"/>
    <w:rsid w:val="00DB1D23"/>
    <w:rsid w:val="00DB1D90"/>
    <w:rsid w:val="00DB200E"/>
    <w:rsid w:val="00DB2273"/>
    <w:rsid w:val="00DB248F"/>
    <w:rsid w:val="00DB249B"/>
    <w:rsid w:val="00DB2748"/>
    <w:rsid w:val="00DB29EA"/>
    <w:rsid w:val="00DB2A25"/>
    <w:rsid w:val="00DB2A28"/>
    <w:rsid w:val="00DB2AA7"/>
    <w:rsid w:val="00DB2B17"/>
    <w:rsid w:val="00DB2BCF"/>
    <w:rsid w:val="00DB2D3F"/>
    <w:rsid w:val="00DB2D99"/>
    <w:rsid w:val="00DB2EC5"/>
    <w:rsid w:val="00DB2EE5"/>
    <w:rsid w:val="00DB3128"/>
    <w:rsid w:val="00DB3250"/>
    <w:rsid w:val="00DB334D"/>
    <w:rsid w:val="00DB35B7"/>
    <w:rsid w:val="00DB37BE"/>
    <w:rsid w:val="00DB38C6"/>
    <w:rsid w:val="00DB3B4F"/>
    <w:rsid w:val="00DB3CEA"/>
    <w:rsid w:val="00DB3D61"/>
    <w:rsid w:val="00DB40CE"/>
    <w:rsid w:val="00DB4304"/>
    <w:rsid w:val="00DB4402"/>
    <w:rsid w:val="00DB4410"/>
    <w:rsid w:val="00DB4501"/>
    <w:rsid w:val="00DB4700"/>
    <w:rsid w:val="00DB482B"/>
    <w:rsid w:val="00DB4B22"/>
    <w:rsid w:val="00DB4CC5"/>
    <w:rsid w:val="00DB4E17"/>
    <w:rsid w:val="00DB4E5E"/>
    <w:rsid w:val="00DB4E88"/>
    <w:rsid w:val="00DB4E90"/>
    <w:rsid w:val="00DB4F71"/>
    <w:rsid w:val="00DB5028"/>
    <w:rsid w:val="00DB50E1"/>
    <w:rsid w:val="00DB5315"/>
    <w:rsid w:val="00DB564B"/>
    <w:rsid w:val="00DB56E3"/>
    <w:rsid w:val="00DB5885"/>
    <w:rsid w:val="00DB5A73"/>
    <w:rsid w:val="00DB5ADD"/>
    <w:rsid w:val="00DB5BC3"/>
    <w:rsid w:val="00DB5CCC"/>
    <w:rsid w:val="00DB5D79"/>
    <w:rsid w:val="00DB5DC9"/>
    <w:rsid w:val="00DB5F13"/>
    <w:rsid w:val="00DB5F4A"/>
    <w:rsid w:val="00DB5F4E"/>
    <w:rsid w:val="00DB60E1"/>
    <w:rsid w:val="00DB61A5"/>
    <w:rsid w:val="00DB6264"/>
    <w:rsid w:val="00DB62BB"/>
    <w:rsid w:val="00DB6524"/>
    <w:rsid w:val="00DB65A1"/>
    <w:rsid w:val="00DB6627"/>
    <w:rsid w:val="00DB66CC"/>
    <w:rsid w:val="00DB6754"/>
    <w:rsid w:val="00DB67B5"/>
    <w:rsid w:val="00DB680C"/>
    <w:rsid w:val="00DB6824"/>
    <w:rsid w:val="00DB68DB"/>
    <w:rsid w:val="00DB6945"/>
    <w:rsid w:val="00DB6B10"/>
    <w:rsid w:val="00DB6B94"/>
    <w:rsid w:val="00DB6CD3"/>
    <w:rsid w:val="00DB6D29"/>
    <w:rsid w:val="00DB6EB4"/>
    <w:rsid w:val="00DB71DC"/>
    <w:rsid w:val="00DB7216"/>
    <w:rsid w:val="00DB728C"/>
    <w:rsid w:val="00DB7672"/>
    <w:rsid w:val="00DB7789"/>
    <w:rsid w:val="00DB7906"/>
    <w:rsid w:val="00DB7A88"/>
    <w:rsid w:val="00DB7B6E"/>
    <w:rsid w:val="00DB7C5A"/>
    <w:rsid w:val="00DB7E0D"/>
    <w:rsid w:val="00DC0096"/>
    <w:rsid w:val="00DC00AC"/>
    <w:rsid w:val="00DC0582"/>
    <w:rsid w:val="00DC0B4B"/>
    <w:rsid w:val="00DC0C8B"/>
    <w:rsid w:val="00DC0E7C"/>
    <w:rsid w:val="00DC0EE3"/>
    <w:rsid w:val="00DC0F5E"/>
    <w:rsid w:val="00DC0FC5"/>
    <w:rsid w:val="00DC12A6"/>
    <w:rsid w:val="00DC1799"/>
    <w:rsid w:val="00DC179F"/>
    <w:rsid w:val="00DC187A"/>
    <w:rsid w:val="00DC1D44"/>
    <w:rsid w:val="00DC1D8E"/>
    <w:rsid w:val="00DC1FBD"/>
    <w:rsid w:val="00DC207F"/>
    <w:rsid w:val="00DC22F8"/>
    <w:rsid w:val="00DC2374"/>
    <w:rsid w:val="00DC254E"/>
    <w:rsid w:val="00DC2A2F"/>
    <w:rsid w:val="00DC2A56"/>
    <w:rsid w:val="00DC2AFB"/>
    <w:rsid w:val="00DC2B57"/>
    <w:rsid w:val="00DC2ED9"/>
    <w:rsid w:val="00DC2F29"/>
    <w:rsid w:val="00DC32D1"/>
    <w:rsid w:val="00DC3380"/>
    <w:rsid w:val="00DC352E"/>
    <w:rsid w:val="00DC3541"/>
    <w:rsid w:val="00DC36C0"/>
    <w:rsid w:val="00DC3A45"/>
    <w:rsid w:val="00DC3A66"/>
    <w:rsid w:val="00DC3B75"/>
    <w:rsid w:val="00DC3C83"/>
    <w:rsid w:val="00DC3E63"/>
    <w:rsid w:val="00DC3F31"/>
    <w:rsid w:val="00DC3F57"/>
    <w:rsid w:val="00DC4067"/>
    <w:rsid w:val="00DC40BA"/>
    <w:rsid w:val="00DC41C4"/>
    <w:rsid w:val="00DC420D"/>
    <w:rsid w:val="00DC4214"/>
    <w:rsid w:val="00DC4242"/>
    <w:rsid w:val="00DC42DE"/>
    <w:rsid w:val="00DC43D5"/>
    <w:rsid w:val="00DC45F2"/>
    <w:rsid w:val="00DC4715"/>
    <w:rsid w:val="00DC4764"/>
    <w:rsid w:val="00DC4890"/>
    <w:rsid w:val="00DC49A0"/>
    <w:rsid w:val="00DC4A5A"/>
    <w:rsid w:val="00DC4AC2"/>
    <w:rsid w:val="00DC4B39"/>
    <w:rsid w:val="00DC4BB9"/>
    <w:rsid w:val="00DC4C7A"/>
    <w:rsid w:val="00DC4C7D"/>
    <w:rsid w:val="00DC4D91"/>
    <w:rsid w:val="00DC51D5"/>
    <w:rsid w:val="00DC52EB"/>
    <w:rsid w:val="00DC5B64"/>
    <w:rsid w:val="00DC5CF7"/>
    <w:rsid w:val="00DC5E83"/>
    <w:rsid w:val="00DC5F78"/>
    <w:rsid w:val="00DC60CF"/>
    <w:rsid w:val="00DC6187"/>
    <w:rsid w:val="00DC6396"/>
    <w:rsid w:val="00DC657F"/>
    <w:rsid w:val="00DC65D0"/>
    <w:rsid w:val="00DC6778"/>
    <w:rsid w:val="00DC6923"/>
    <w:rsid w:val="00DC69DA"/>
    <w:rsid w:val="00DC6BD2"/>
    <w:rsid w:val="00DC6C90"/>
    <w:rsid w:val="00DC6F66"/>
    <w:rsid w:val="00DC7043"/>
    <w:rsid w:val="00DC70CA"/>
    <w:rsid w:val="00DC7271"/>
    <w:rsid w:val="00DC7291"/>
    <w:rsid w:val="00DC7336"/>
    <w:rsid w:val="00DC762E"/>
    <w:rsid w:val="00DC79E0"/>
    <w:rsid w:val="00DC7ADB"/>
    <w:rsid w:val="00DC7BC2"/>
    <w:rsid w:val="00DC7BE2"/>
    <w:rsid w:val="00DC7DDC"/>
    <w:rsid w:val="00DC7F05"/>
    <w:rsid w:val="00DD00F4"/>
    <w:rsid w:val="00DD010E"/>
    <w:rsid w:val="00DD011D"/>
    <w:rsid w:val="00DD0169"/>
    <w:rsid w:val="00DD0210"/>
    <w:rsid w:val="00DD0464"/>
    <w:rsid w:val="00DD049F"/>
    <w:rsid w:val="00DD04C4"/>
    <w:rsid w:val="00DD06FF"/>
    <w:rsid w:val="00DD0774"/>
    <w:rsid w:val="00DD089F"/>
    <w:rsid w:val="00DD09FF"/>
    <w:rsid w:val="00DD0A99"/>
    <w:rsid w:val="00DD0B61"/>
    <w:rsid w:val="00DD0C47"/>
    <w:rsid w:val="00DD0DAE"/>
    <w:rsid w:val="00DD0FA0"/>
    <w:rsid w:val="00DD107B"/>
    <w:rsid w:val="00DD10A4"/>
    <w:rsid w:val="00DD16B2"/>
    <w:rsid w:val="00DD1899"/>
    <w:rsid w:val="00DD18AC"/>
    <w:rsid w:val="00DD18B1"/>
    <w:rsid w:val="00DD190E"/>
    <w:rsid w:val="00DD1B44"/>
    <w:rsid w:val="00DD1C69"/>
    <w:rsid w:val="00DD204E"/>
    <w:rsid w:val="00DD22FF"/>
    <w:rsid w:val="00DD252A"/>
    <w:rsid w:val="00DD25A9"/>
    <w:rsid w:val="00DD2755"/>
    <w:rsid w:val="00DD2A21"/>
    <w:rsid w:val="00DD2CCA"/>
    <w:rsid w:val="00DD2D69"/>
    <w:rsid w:val="00DD2FAB"/>
    <w:rsid w:val="00DD3162"/>
    <w:rsid w:val="00DD3271"/>
    <w:rsid w:val="00DD32A2"/>
    <w:rsid w:val="00DD3563"/>
    <w:rsid w:val="00DD3629"/>
    <w:rsid w:val="00DD3890"/>
    <w:rsid w:val="00DD39DB"/>
    <w:rsid w:val="00DD3A10"/>
    <w:rsid w:val="00DD3A7F"/>
    <w:rsid w:val="00DD3A81"/>
    <w:rsid w:val="00DD401B"/>
    <w:rsid w:val="00DD46D9"/>
    <w:rsid w:val="00DD4847"/>
    <w:rsid w:val="00DD48A8"/>
    <w:rsid w:val="00DD49FD"/>
    <w:rsid w:val="00DD4A80"/>
    <w:rsid w:val="00DD5195"/>
    <w:rsid w:val="00DD51A3"/>
    <w:rsid w:val="00DD5512"/>
    <w:rsid w:val="00DD560B"/>
    <w:rsid w:val="00DD561F"/>
    <w:rsid w:val="00DD58FA"/>
    <w:rsid w:val="00DD5A1B"/>
    <w:rsid w:val="00DD5CD1"/>
    <w:rsid w:val="00DD5D29"/>
    <w:rsid w:val="00DD5DE2"/>
    <w:rsid w:val="00DD5E83"/>
    <w:rsid w:val="00DD61BF"/>
    <w:rsid w:val="00DD6236"/>
    <w:rsid w:val="00DD628F"/>
    <w:rsid w:val="00DD6617"/>
    <w:rsid w:val="00DD67C0"/>
    <w:rsid w:val="00DD683B"/>
    <w:rsid w:val="00DD69C3"/>
    <w:rsid w:val="00DD6C62"/>
    <w:rsid w:val="00DD6C9B"/>
    <w:rsid w:val="00DD6DE0"/>
    <w:rsid w:val="00DD6F54"/>
    <w:rsid w:val="00DD7057"/>
    <w:rsid w:val="00DD715C"/>
    <w:rsid w:val="00DD720A"/>
    <w:rsid w:val="00DD72FF"/>
    <w:rsid w:val="00DD73BB"/>
    <w:rsid w:val="00DD7792"/>
    <w:rsid w:val="00DD77FF"/>
    <w:rsid w:val="00DD78BC"/>
    <w:rsid w:val="00DD7C7B"/>
    <w:rsid w:val="00DE01B4"/>
    <w:rsid w:val="00DE01CC"/>
    <w:rsid w:val="00DE01CD"/>
    <w:rsid w:val="00DE0211"/>
    <w:rsid w:val="00DE0345"/>
    <w:rsid w:val="00DE09B4"/>
    <w:rsid w:val="00DE0C55"/>
    <w:rsid w:val="00DE0DC5"/>
    <w:rsid w:val="00DE0E9A"/>
    <w:rsid w:val="00DE0FAE"/>
    <w:rsid w:val="00DE0FC8"/>
    <w:rsid w:val="00DE0FEC"/>
    <w:rsid w:val="00DE10E5"/>
    <w:rsid w:val="00DE10F5"/>
    <w:rsid w:val="00DE12DB"/>
    <w:rsid w:val="00DE1360"/>
    <w:rsid w:val="00DE1521"/>
    <w:rsid w:val="00DE18BC"/>
    <w:rsid w:val="00DE1924"/>
    <w:rsid w:val="00DE197E"/>
    <w:rsid w:val="00DE19E6"/>
    <w:rsid w:val="00DE1B13"/>
    <w:rsid w:val="00DE1BF3"/>
    <w:rsid w:val="00DE1C5F"/>
    <w:rsid w:val="00DE1DCF"/>
    <w:rsid w:val="00DE1DE5"/>
    <w:rsid w:val="00DE23DB"/>
    <w:rsid w:val="00DE24A3"/>
    <w:rsid w:val="00DE251C"/>
    <w:rsid w:val="00DE2738"/>
    <w:rsid w:val="00DE27A1"/>
    <w:rsid w:val="00DE2893"/>
    <w:rsid w:val="00DE2A70"/>
    <w:rsid w:val="00DE2C4E"/>
    <w:rsid w:val="00DE2D54"/>
    <w:rsid w:val="00DE2F2A"/>
    <w:rsid w:val="00DE2F63"/>
    <w:rsid w:val="00DE303B"/>
    <w:rsid w:val="00DE31F9"/>
    <w:rsid w:val="00DE32C2"/>
    <w:rsid w:val="00DE33D0"/>
    <w:rsid w:val="00DE358A"/>
    <w:rsid w:val="00DE38CD"/>
    <w:rsid w:val="00DE3929"/>
    <w:rsid w:val="00DE39E4"/>
    <w:rsid w:val="00DE3A0B"/>
    <w:rsid w:val="00DE3A57"/>
    <w:rsid w:val="00DE3B54"/>
    <w:rsid w:val="00DE3BAC"/>
    <w:rsid w:val="00DE3BB9"/>
    <w:rsid w:val="00DE3BCB"/>
    <w:rsid w:val="00DE3E34"/>
    <w:rsid w:val="00DE3EBA"/>
    <w:rsid w:val="00DE44F8"/>
    <w:rsid w:val="00DE46BA"/>
    <w:rsid w:val="00DE487D"/>
    <w:rsid w:val="00DE48FE"/>
    <w:rsid w:val="00DE4B60"/>
    <w:rsid w:val="00DE4C23"/>
    <w:rsid w:val="00DE4C8F"/>
    <w:rsid w:val="00DE503A"/>
    <w:rsid w:val="00DE51A6"/>
    <w:rsid w:val="00DE5396"/>
    <w:rsid w:val="00DE5448"/>
    <w:rsid w:val="00DE553F"/>
    <w:rsid w:val="00DE559E"/>
    <w:rsid w:val="00DE55BA"/>
    <w:rsid w:val="00DE5647"/>
    <w:rsid w:val="00DE566E"/>
    <w:rsid w:val="00DE56C9"/>
    <w:rsid w:val="00DE57B6"/>
    <w:rsid w:val="00DE5876"/>
    <w:rsid w:val="00DE5D4C"/>
    <w:rsid w:val="00DE5F34"/>
    <w:rsid w:val="00DE5FE0"/>
    <w:rsid w:val="00DE5FEB"/>
    <w:rsid w:val="00DE60B1"/>
    <w:rsid w:val="00DE636F"/>
    <w:rsid w:val="00DE646F"/>
    <w:rsid w:val="00DE648B"/>
    <w:rsid w:val="00DE6645"/>
    <w:rsid w:val="00DE6781"/>
    <w:rsid w:val="00DE6847"/>
    <w:rsid w:val="00DE68C9"/>
    <w:rsid w:val="00DE6923"/>
    <w:rsid w:val="00DE6940"/>
    <w:rsid w:val="00DE6A80"/>
    <w:rsid w:val="00DE6A9B"/>
    <w:rsid w:val="00DE6CF3"/>
    <w:rsid w:val="00DE6DB5"/>
    <w:rsid w:val="00DE6DF6"/>
    <w:rsid w:val="00DE6EF8"/>
    <w:rsid w:val="00DE7031"/>
    <w:rsid w:val="00DE71C4"/>
    <w:rsid w:val="00DE7245"/>
    <w:rsid w:val="00DE7448"/>
    <w:rsid w:val="00DE788D"/>
    <w:rsid w:val="00DE79ED"/>
    <w:rsid w:val="00DE7A6D"/>
    <w:rsid w:val="00DE7D04"/>
    <w:rsid w:val="00DE7D3D"/>
    <w:rsid w:val="00DF00EE"/>
    <w:rsid w:val="00DF0124"/>
    <w:rsid w:val="00DF03D1"/>
    <w:rsid w:val="00DF04C9"/>
    <w:rsid w:val="00DF0579"/>
    <w:rsid w:val="00DF06E9"/>
    <w:rsid w:val="00DF0800"/>
    <w:rsid w:val="00DF09F6"/>
    <w:rsid w:val="00DF09FB"/>
    <w:rsid w:val="00DF0A1C"/>
    <w:rsid w:val="00DF10DC"/>
    <w:rsid w:val="00DF112C"/>
    <w:rsid w:val="00DF1915"/>
    <w:rsid w:val="00DF194A"/>
    <w:rsid w:val="00DF1A0C"/>
    <w:rsid w:val="00DF1A8F"/>
    <w:rsid w:val="00DF1B1E"/>
    <w:rsid w:val="00DF1C8D"/>
    <w:rsid w:val="00DF1DA2"/>
    <w:rsid w:val="00DF1DE4"/>
    <w:rsid w:val="00DF1E0C"/>
    <w:rsid w:val="00DF1F55"/>
    <w:rsid w:val="00DF1F68"/>
    <w:rsid w:val="00DF1F9C"/>
    <w:rsid w:val="00DF2174"/>
    <w:rsid w:val="00DF23C2"/>
    <w:rsid w:val="00DF2763"/>
    <w:rsid w:val="00DF2882"/>
    <w:rsid w:val="00DF2BC5"/>
    <w:rsid w:val="00DF2CA4"/>
    <w:rsid w:val="00DF2DD4"/>
    <w:rsid w:val="00DF33AC"/>
    <w:rsid w:val="00DF3727"/>
    <w:rsid w:val="00DF37BC"/>
    <w:rsid w:val="00DF39BD"/>
    <w:rsid w:val="00DF3A1E"/>
    <w:rsid w:val="00DF3AB6"/>
    <w:rsid w:val="00DF3C03"/>
    <w:rsid w:val="00DF3D66"/>
    <w:rsid w:val="00DF3D6B"/>
    <w:rsid w:val="00DF3D8B"/>
    <w:rsid w:val="00DF3DEF"/>
    <w:rsid w:val="00DF41BD"/>
    <w:rsid w:val="00DF4201"/>
    <w:rsid w:val="00DF4240"/>
    <w:rsid w:val="00DF43E5"/>
    <w:rsid w:val="00DF4522"/>
    <w:rsid w:val="00DF463C"/>
    <w:rsid w:val="00DF4658"/>
    <w:rsid w:val="00DF46BE"/>
    <w:rsid w:val="00DF4719"/>
    <w:rsid w:val="00DF471D"/>
    <w:rsid w:val="00DF4823"/>
    <w:rsid w:val="00DF4854"/>
    <w:rsid w:val="00DF49CA"/>
    <w:rsid w:val="00DF4AD4"/>
    <w:rsid w:val="00DF4B62"/>
    <w:rsid w:val="00DF4BCE"/>
    <w:rsid w:val="00DF4CC5"/>
    <w:rsid w:val="00DF4E9E"/>
    <w:rsid w:val="00DF51B1"/>
    <w:rsid w:val="00DF5284"/>
    <w:rsid w:val="00DF5435"/>
    <w:rsid w:val="00DF551A"/>
    <w:rsid w:val="00DF5531"/>
    <w:rsid w:val="00DF5736"/>
    <w:rsid w:val="00DF576F"/>
    <w:rsid w:val="00DF5B28"/>
    <w:rsid w:val="00DF5DFD"/>
    <w:rsid w:val="00DF5F20"/>
    <w:rsid w:val="00DF6059"/>
    <w:rsid w:val="00DF60F0"/>
    <w:rsid w:val="00DF6124"/>
    <w:rsid w:val="00DF61B9"/>
    <w:rsid w:val="00DF62E9"/>
    <w:rsid w:val="00DF63B4"/>
    <w:rsid w:val="00DF6427"/>
    <w:rsid w:val="00DF64E2"/>
    <w:rsid w:val="00DF6722"/>
    <w:rsid w:val="00DF683A"/>
    <w:rsid w:val="00DF6BEC"/>
    <w:rsid w:val="00DF6CEE"/>
    <w:rsid w:val="00DF6D4D"/>
    <w:rsid w:val="00DF700B"/>
    <w:rsid w:val="00DF7068"/>
    <w:rsid w:val="00DF70A8"/>
    <w:rsid w:val="00DF71BD"/>
    <w:rsid w:val="00DF740C"/>
    <w:rsid w:val="00DF7422"/>
    <w:rsid w:val="00DF7428"/>
    <w:rsid w:val="00DF7652"/>
    <w:rsid w:val="00DF76BA"/>
    <w:rsid w:val="00DF76D8"/>
    <w:rsid w:val="00DF7734"/>
    <w:rsid w:val="00DF7819"/>
    <w:rsid w:val="00DF7840"/>
    <w:rsid w:val="00DF79B5"/>
    <w:rsid w:val="00DF7BCB"/>
    <w:rsid w:val="00DF7C7A"/>
    <w:rsid w:val="00DF7E4F"/>
    <w:rsid w:val="00DF7EA9"/>
    <w:rsid w:val="00E0034D"/>
    <w:rsid w:val="00E00401"/>
    <w:rsid w:val="00E005C1"/>
    <w:rsid w:val="00E00695"/>
    <w:rsid w:val="00E00790"/>
    <w:rsid w:val="00E008AE"/>
    <w:rsid w:val="00E0094E"/>
    <w:rsid w:val="00E00C41"/>
    <w:rsid w:val="00E00CC8"/>
    <w:rsid w:val="00E00E24"/>
    <w:rsid w:val="00E00F0A"/>
    <w:rsid w:val="00E00FE9"/>
    <w:rsid w:val="00E010A6"/>
    <w:rsid w:val="00E01315"/>
    <w:rsid w:val="00E01556"/>
    <w:rsid w:val="00E015BF"/>
    <w:rsid w:val="00E015DA"/>
    <w:rsid w:val="00E0186C"/>
    <w:rsid w:val="00E01913"/>
    <w:rsid w:val="00E01A0A"/>
    <w:rsid w:val="00E01A5A"/>
    <w:rsid w:val="00E01AA4"/>
    <w:rsid w:val="00E01C3C"/>
    <w:rsid w:val="00E01DA5"/>
    <w:rsid w:val="00E025C1"/>
    <w:rsid w:val="00E02AB6"/>
    <w:rsid w:val="00E02B87"/>
    <w:rsid w:val="00E02C6D"/>
    <w:rsid w:val="00E02DD8"/>
    <w:rsid w:val="00E033FB"/>
    <w:rsid w:val="00E035B3"/>
    <w:rsid w:val="00E036BC"/>
    <w:rsid w:val="00E0383F"/>
    <w:rsid w:val="00E03A52"/>
    <w:rsid w:val="00E03A9B"/>
    <w:rsid w:val="00E03AAE"/>
    <w:rsid w:val="00E03AF0"/>
    <w:rsid w:val="00E03C0C"/>
    <w:rsid w:val="00E03D59"/>
    <w:rsid w:val="00E04160"/>
    <w:rsid w:val="00E041D6"/>
    <w:rsid w:val="00E044C8"/>
    <w:rsid w:val="00E048E9"/>
    <w:rsid w:val="00E048FC"/>
    <w:rsid w:val="00E04977"/>
    <w:rsid w:val="00E04CE6"/>
    <w:rsid w:val="00E04E7C"/>
    <w:rsid w:val="00E04F91"/>
    <w:rsid w:val="00E0517E"/>
    <w:rsid w:val="00E0576A"/>
    <w:rsid w:val="00E057DC"/>
    <w:rsid w:val="00E05B6E"/>
    <w:rsid w:val="00E05F28"/>
    <w:rsid w:val="00E06092"/>
    <w:rsid w:val="00E06143"/>
    <w:rsid w:val="00E0632E"/>
    <w:rsid w:val="00E066BA"/>
    <w:rsid w:val="00E067F2"/>
    <w:rsid w:val="00E068D9"/>
    <w:rsid w:val="00E068F1"/>
    <w:rsid w:val="00E06939"/>
    <w:rsid w:val="00E0693D"/>
    <w:rsid w:val="00E06E9F"/>
    <w:rsid w:val="00E06F2E"/>
    <w:rsid w:val="00E06F8D"/>
    <w:rsid w:val="00E0700F"/>
    <w:rsid w:val="00E07437"/>
    <w:rsid w:val="00E07713"/>
    <w:rsid w:val="00E0779D"/>
    <w:rsid w:val="00E078DE"/>
    <w:rsid w:val="00E07CE4"/>
    <w:rsid w:val="00E07E0A"/>
    <w:rsid w:val="00E07E71"/>
    <w:rsid w:val="00E07F18"/>
    <w:rsid w:val="00E10037"/>
    <w:rsid w:val="00E104AE"/>
    <w:rsid w:val="00E10660"/>
    <w:rsid w:val="00E10667"/>
    <w:rsid w:val="00E1073C"/>
    <w:rsid w:val="00E10881"/>
    <w:rsid w:val="00E10BD1"/>
    <w:rsid w:val="00E10C13"/>
    <w:rsid w:val="00E10CA7"/>
    <w:rsid w:val="00E1103D"/>
    <w:rsid w:val="00E11122"/>
    <w:rsid w:val="00E111A2"/>
    <w:rsid w:val="00E111B7"/>
    <w:rsid w:val="00E1126A"/>
    <w:rsid w:val="00E112E0"/>
    <w:rsid w:val="00E11375"/>
    <w:rsid w:val="00E1140B"/>
    <w:rsid w:val="00E1155B"/>
    <w:rsid w:val="00E11706"/>
    <w:rsid w:val="00E119AB"/>
    <w:rsid w:val="00E11A52"/>
    <w:rsid w:val="00E11CCA"/>
    <w:rsid w:val="00E11D8D"/>
    <w:rsid w:val="00E11DD2"/>
    <w:rsid w:val="00E11FD9"/>
    <w:rsid w:val="00E120BF"/>
    <w:rsid w:val="00E121D2"/>
    <w:rsid w:val="00E12266"/>
    <w:rsid w:val="00E122B9"/>
    <w:rsid w:val="00E12475"/>
    <w:rsid w:val="00E12696"/>
    <w:rsid w:val="00E12699"/>
    <w:rsid w:val="00E126A5"/>
    <w:rsid w:val="00E12873"/>
    <w:rsid w:val="00E12906"/>
    <w:rsid w:val="00E12E42"/>
    <w:rsid w:val="00E12F8A"/>
    <w:rsid w:val="00E132CA"/>
    <w:rsid w:val="00E134A5"/>
    <w:rsid w:val="00E13570"/>
    <w:rsid w:val="00E136C5"/>
    <w:rsid w:val="00E1370A"/>
    <w:rsid w:val="00E13746"/>
    <w:rsid w:val="00E13914"/>
    <w:rsid w:val="00E13A88"/>
    <w:rsid w:val="00E13AC5"/>
    <w:rsid w:val="00E13B88"/>
    <w:rsid w:val="00E13BEE"/>
    <w:rsid w:val="00E13CB0"/>
    <w:rsid w:val="00E13E62"/>
    <w:rsid w:val="00E13ED4"/>
    <w:rsid w:val="00E13F68"/>
    <w:rsid w:val="00E142BB"/>
    <w:rsid w:val="00E14307"/>
    <w:rsid w:val="00E14383"/>
    <w:rsid w:val="00E144D5"/>
    <w:rsid w:val="00E14503"/>
    <w:rsid w:val="00E146BD"/>
    <w:rsid w:val="00E14832"/>
    <w:rsid w:val="00E148EE"/>
    <w:rsid w:val="00E149A4"/>
    <w:rsid w:val="00E14EDB"/>
    <w:rsid w:val="00E14FD0"/>
    <w:rsid w:val="00E150B4"/>
    <w:rsid w:val="00E1526E"/>
    <w:rsid w:val="00E15293"/>
    <w:rsid w:val="00E15296"/>
    <w:rsid w:val="00E153AE"/>
    <w:rsid w:val="00E155D3"/>
    <w:rsid w:val="00E156AA"/>
    <w:rsid w:val="00E1588D"/>
    <w:rsid w:val="00E158D5"/>
    <w:rsid w:val="00E15BA4"/>
    <w:rsid w:val="00E15C39"/>
    <w:rsid w:val="00E15CCE"/>
    <w:rsid w:val="00E15CDF"/>
    <w:rsid w:val="00E15DEF"/>
    <w:rsid w:val="00E15E9E"/>
    <w:rsid w:val="00E15F4D"/>
    <w:rsid w:val="00E161DD"/>
    <w:rsid w:val="00E161F7"/>
    <w:rsid w:val="00E1623F"/>
    <w:rsid w:val="00E1650C"/>
    <w:rsid w:val="00E16586"/>
    <w:rsid w:val="00E165D3"/>
    <w:rsid w:val="00E1667E"/>
    <w:rsid w:val="00E16729"/>
    <w:rsid w:val="00E169D4"/>
    <w:rsid w:val="00E16B49"/>
    <w:rsid w:val="00E16C26"/>
    <w:rsid w:val="00E16F1B"/>
    <w:rsid w:val="00E16FA6"/>
    <w:rsid w:val="00E17342"/>
    <w:rsid w:val="00E17428"/>
    <w:rsid w:val="00E1757F"/>
    <w:rsid w:val="00E177B5"/>
    <w:rsid w:val="00E177C2"/>
    <w:rsid w:val="00E1785C"/>
    <w:rsid w:val="00E1789C"/>
    <w:rsid w:val="00E17987"/>
    <w:rsid w:val="00E17A01"/>
    <w:rsid w:val="00E17A0D"/>
    <w:rsid w:val="00E17AC9"/>
    <w:rsid w:val="00E17BC0"/>
    <w:rsid w:val="00E17DE9"/>
    <w:rsid w:val="00E17E15"/>
    <w:rsid w:val="00E20023"/>
    <w:rsid w:val="00E20357"/>
    <w:rsid w:val="00E20564"/>
    <w:rsid w:val="00E20703"/>
    <w:rsid w:val="00E20967"/>
    <w:rsid w:val="00E20A91"/>
    <w:rsid w:val="00E20ABF"/>
    <w:rsid w:val="00E20C62"/>
    <w:rsid w:val="00E20E67"/>
    <w:rsid w:val="00E20F16"/>
    <w:rsid w:val="00E2110E"/>
    <w:rsid w:val="00E21468"/>
    <w:rsid w:val="00E217E4"/>
    <w:rsid w:val="00E218BE"/>
    <w:rsid w:val="00E2198D"/>
    <w:rsid w:val="00E21A69"/>
    <w:rsid w:val="00E21A76"/>
    <w:rsid w:val="00E21C2D"/>
    <w:rsid w:val="00E21DA5"/>
    <w:rsid w:val="00E221A2"/>
    <w:rsid w:val="00E223F9"/>
    <w:rsid w:val="00E2253B"/>
    <w:rsid w:val="00E22DEE"/>
    <w:rsid w:val="00E22DF2"/>
    <w:rsid w:val="00E22E2F"/>
    <w:rsid w:val="00E22E54"/>
    <w:rsid w:val="00E232EA"/>
    <w:rsid w:val="00E23535"/>
    <w:rsid w:val="00E2355E"/>
    <w:rsid w:val="00E2357A"/>
    <w:rsid w:val="00E235F1"/>
    <w:rsid w:val="00E2384D"/>
    <w:rsid w:val="00E2394A"/>
    <w:rsid w:val="00E23B4B"/>
    <w:rsid w:val="00E23B7B"/>
    <w:rsid w:val="00E23D0D"/>
    <w:rsid w:val="00E23D5C"/>
    <w:rsid w:val="00E23DF1"/>
    <w:rsid w:val="00E23EFE"/>
    <w:rsid w:val="00E243F3"/>
    <w:rsid w:val="00E2444D"/>
    <w:rsid w:val="00E2462C"/>
    <w:rsid w:val="00E246B9"/>
    <w:rsid w:val="00E24808"/>
    <w:rsid w:val="00E24A17"/>
    <w:rsid w:val="00E24C21"/>
    <w:rsid w:val="00E24E32"/>
    <w:rsid w:val="00E24E34"/>
    <w:rsid w:val="00E24F4E"/>
    <w:rsid w:val="00E24F52"/>
    <w:rsid w:val="00E2500C"/>
    <w:rsid w:val="00E2536E"/>
    <w:rsid w:val="00E255B4"/>
    <w:rsid w:val="00E258D8"/>
    <w:rsid w:val="00E25A21"/>
    <w:rsid w:val="00E25B5E"/>
    <w:rsid w:val="00E25B76"/>
    <w:rsid w:val="00E25E56"/>
    <w:rsid w:val="00E25E9B"/>
    <w:rsid w:val="00E25F87"/>
    <w:rsid w:val="00E26065"/>
    <w:rsid w:val="00E26113"/>
    <w:rsid w:val="00E26164"/>
    <w:rsid w:val="00E2655E"/>
    <w:rsid w:val="00E26580"/>
    <w:rsid w:val="00E265E6"/>
    <w:rsid w:val="00E266A4"/>
    <w:rsid w:val="00E2679D"/>
    <w:rsid w:val="00E267F4"/>
    <w:rsid w:val="00E26A4E"/>
    <w:rsid w:val="00E26B5C"/>
    <w:rsid w:val="00E26B66"/>
    <w:rsid w:val="00E26C25"/>
    <w:rsid w:val="00E26CCB"/>
    <w:rsid w:val="00E27112"/>
    <w:rsid w:val="00E272F2"/>
    <w:rsid w:val="00E27320"/>
    <w:rsid w:val="00E2747D"/>
    <w:rsid w:val="00E2769C"/>
    <w:rsid w:val="00E277C4"/>
    <w:rsid w:val="00E277D5"/>
    <w:rsid w:val="00E2782B"/>
    <w:rsid w:val="00E27C6D"/>
    <w:rsid w:val="00E27DA1"/>
    <w:rsid w:val="00E27E31"/>
    <w:rsid w:val="00E30085"/>
    <w:rsid w:val="00E301D7"/>
    <w:rsid w:val="00E30203"/>
    <w:rsid w:val="00E3024C"/>
    <w:rsid w:val="00E30610"/>
    <w:rsid w:val="00E307B7"/>
    <w:rsid w:val="00E3094A"/>
    <w:rsid w:val="00E3095E"/>
    <w:rsid w:val="00E30A4A"/>
    <w:rsid w:val="00E30AB2"/>
    <w:rsid w:val="00E30B4F"/>
    <w:rsid w:val="00E30C9F"/>
    <w:rsid w:val="00E30DA8"/>
    <w:rsid w:val="00E30DD9"/>
    <w:rsid w:val="00E30FCA"/>
    <w:rsid w:val="00E31162"/>
    <w:rsid w:val="00E311F1"/>
    <w:rsid w:val="00E316B5"/>
    <w:rsid w:val="00E316E2"/>
    <w:rsid w:val="00E316E8"/>
    <w:rsid w:val="00E31EF2"/>
    <w:rsid w:val="00E322CC"/>
    <w:rsid w:val="00E32328"/>
    <w:rsid w:val="00E323FA"/>
    <w:rsid w:val="00E32725"/>
    <w:rsid w:val="00E32759"/>
    <w:rsid w:val="00E3276B"/>
    <w:rsid w:val="00E3277B"/>
    <w:rsid w:val="00E3282C"/>
    <w:rsid w:val="00E32996"/>
    <w:rsid w:val="00E32BFB"/>
    <w:rsid w:val="00E32D7B"/>
    <w:rsid w:val="00E32E3C"/>
    <w:rsid w:val="00E32E72"/>
    <w:rsid w:val="00E32E76"/>
    <w:rsid w:val="00E32F2C"/>
    <w:rsid w:val="00E32FED"/>
    <w:rsid w:val="00E3307F"/>
    <w:rsid w:val="00E3308B"/>
    <w:rsid w:val="00E33330"/>
    <w:rsid w:val="00E335C2"/>
    <w:rsid w:val="00E336F6"/>
    <w:rsid w:val="00E3381A"/>
    <w:rsid w:val="00E338B9"/>
    <w:rsid w:val="00E33986"/>
    <w:rsid w:val="00E339D3"/>
    <w:rsid w:val="00E33B1E"/>
    <w:rsid w:val="00E33B5F"/>
    <w:rsid w:val="00E33C40"/>
    <w:rsid w:val="00E33D50"/>
    <w:rsid w:val="00E33FA8"/>
    <w:rsid w:val="00E34009"/>
    <w:rsid w:val="00E34240"/>
    <w:rsid w:val="00E3434F"/>
    <w:rsid w:val="00E34840"/>
    <w:rsid w:val="00E34D63"/>
    <w:rsid w:val="00E34D98"/>
    <w:rsid w:val="00E35059"/>
    <w:rsid w:val="00E352BE"/>
    <w:rsid w:val="00E35306"/>
    <w:rsid w:val="00E35378"/>
    <w:rsid w:val="00E353A7"/>
    <w:rsid w:val="00E354ED"/>
    <w:rsid w:val="00E35503"/>
    <w:rsid w:val="00E35696"/>
    <w:rsid w:val="00E356C5"/>
    <w:rsid w:val="00E35847"/>
    <w:rsid w:val="00E35A5B"/>
    <w:rsid w:val="00E35B30"/>
    <w:rsid w:val="00E35CA6"/>
    <w:rsid w:val="00E35CE9"/>
    <w:rsid w:val="00E35ED4"/>
    <w:rsid w:val="00E35FC6"/>
    <w:rsid w:val="00E35FE8"/>
    <w:rsid w:val="00E36017"/>
    <w:rsid w:val="00E36335"/>
    <w:rsid w:val="00E364A6"/>
    <w:rsid w:val="00E364CC"/>
    <w:rsid w:val="00E364F6"/>
    <w:rsid w:val="00E36798"/>
    <w:rsid w:val="00E3699A"/>
    <w:rsid w:val="00E36B80"/>
    <w:rsid w:val="00E36B90"/>
    <w:rsid w:val="00E36C7A"/>
    <w:rsid w:val="00E37023"/>
    <w:rsid w:val="00E371DC"/>
    <w:rsid w:val="00E3725D"/>
    <w:rsid w:val="00E372BF"/>
    <w:rsid w:val="00E372E2"/>
    <w:rsid w:val="00E37357"/>
    <w:rsid w:val="00E373AD"/>
    <w:rsid w:val="00E37647"/>
    <w:rsid w:val="00E376D7"/>
    <w:rsid w:val="00E37A44"/>
    <w:rsid w:val="00E37AB7"/>
    <w:rsid w:val="00E37B12"/>
    <w:rsid w:val="00E37E28"/>
    <w:rsid w:val="00E37EEE"/>
    <w:rsid w:val="00E400EC"/>
    <w:rsid w:val="00E402F2"/>
    <w:rsid w:val="00E40A35"/>
    <w:rsid w:val="00E40AF5"/>
    <w:rsid w:val="00E40C30"/>
    <w:rsid w:val="00E41138"/>
    <w:rsid w:val="00E411E8"/>
    <w:rsid w:val="00E41287"/>
    <w:rsid w:val="00E41447"/>
    <w:rsid w:val="00E4194D"/>
    <w:rsid w:val="00E41BAF"/>
    <w:rsid w:val="00E41E4A"/>
    <w:rsid w:val="00E41E59"/>
    <w:rsid w:val="00E41E75"/>
    <w:rsid w:val="00E4208F"/>
    <w:rsid w:val="00E420F9"/>
    <w:rsid w:val="00E4223D"/>
    <w:rsid w:val="00E42340"/>
    <w:rsid w:val="00E425EA"/>
    <w:rsid w:val="00E4263E"/>
    <w:rsid w:val="00E426B1"/>
    <w:rsid w:val="00E42715"/>
    <w:rsid w:val="00E427A4"/>
    <w:rsid w:val="00E427A8"/>
    <w:rsid w:val="00E42AFC"/>
    <w:rsid w:val="00E42EA7"/>
    <w:rsid w:val="00E42F1C"/>
    <w:rsid w:val="00E430A6"/>
    <w:rsid w:val="00E430D4"/>
    <w:rsid w:val="00E431FC"/>
    <w:rsid w:val="00E433E1"/>
    <w:rsid w:val="00E43555"/>
    <w:rsid w:val="00E4362E"/>
    <w:rsid w:val="00E43A3E"/>
    <w:rsid w:val="00E43AB6"/>
    <w:rsid w:val="00E43B49"/>
    <w:rsid w:val="00E43DE0"/>
    <w:rsid w:val="00E43E80"/>
    <w:rsid w:val="00E44208"/>
    <w:rsid w:val="00E442A5"/>
    <w:rsid w:val="00E444D2"/>
    <w:rsid w:val="00E44502"/>
    <w:rsid w:val="00E44779"/>
    <w:rsid w:val="00E4493D"/>
    <w:rsid w:val="00E44E38"/>
    <w:rsid w:val="00E44F3A"/>
    <w:rsid w:val="00E45030"/>
    <w:rsid w:val="00E45327"/>
    <w:rsid w:val="00E45397"/>
    <w:rsid w:val="00E45528"/>
    <w:rsid w:val="00E45568"/>
    <w:rsid w:val="00E457C4"/>
    <w:rsid w:val="00E458C5"/>
    <w:rsid w:val="00E45E8D"/>
    <w:rsid w:val="00E461D9"/>
    <w:rsid w:val="00E4649A"/>
    <w:rsid w:val="00E464F6"/>
    <w:rsid w:val="00E46583"/>
    <w:rsid w:val="00E46660"/>
    <w:rsid w:val="00E4666A"/>
    <w:rsid w:val="00E466AC"/>
    <w:rsid w:val="00E4684F"/>
    <w:rsid w:val="00E46911"/>
    <w:rsid w:val="00E46A14"/>
    <w:rsid w:val="00E46B0B"/>
    <w:rsid w:val="00E46C40"/>
    <w:rsid w:val="00E46C8F"/>
    <w:rsid w:val="00E46EE0"/>
    <w:rsid w:val="00E46F67"/>
    <w:rsid w:val="00E46F76"/>
    <w:rsid w:val="00E4714E"/>
    <w:rsid w:val="00E47156"/>
    <w:rsid w:val="00E47350"/>
    <w:rsid w:val="00E47695"/>
    <w:rsid w:val="00E47A66"/>
    <w:rsid w:val="00E47B3F"/>
    <w:rsid w:val="00E47B9B"/>
    <w:rsid w:val="00E47D08"/>
    <w:rsid w:val="00E47EA8"/>
    <w:rsid w:val="00E47FBE"/>
    <w:rsid w:val="00E47FF7"/>
    <w:rsid w:val="00E500F9"/>
    <w:rsid w:val="00E5032D"/>
    <w:rsid w:val="00E503EB"/>
    <w:rsid w:val="00E5061B"/>
    <w:rsid w:val="00E50740"/>
    <w:rsid w:val="00E5094F"/>
    <w:rsid w:val="00E50A72"/>
    <w:rsid w:val="00E50B0A"/>
    <w:rsid w:val="00E50CC3"/>
    <w:rsid w:val="00E50DD2"/>
    <w:rsid w:val="00E50FDB"/>
    <w:rsid w:val="00E51247"/>
    <w:rsid w:val="00E5157C"/>
    <w:rsid w:val="00E51605"/>
    <w:rsid w:val="00E51801"/>
    <w:rsid w:val="00E51A71"/>
    <w:rsid w:val="00E51B53"/>
    <w:rsid w:val="00E51C6E"/>
    <w:rsid w:val="00E51DFA"/>
    <w:rsid w:val="00E51F19"/>
    <w:rsid w:val="00E521E0"/>
    <w:rsid w:val="00E523F8"/>
    <w:rsid w:val="00E525C1"/>
    <w:rsid w:val="00E52617"/>
    <w:rsid w:val="00E52936"/>
    <w:rsid w:val="00E52950"/>
    <w:rsid w:val="00E52C1F"/>
    <w:rsid w:val="00E52C86"/>
    <w:rsid w:val="00E52CF4"/>
    <w:rsid w:val="00E52E20"/>
    <w:rsid w:val="00E5304B"/>
    <w:rsid w:val="00E53057"/>
    <w:rsid w:val="00E5318A"/>
    <w:rsid w:val="00E53202"/>
    <w:rsid w:val="00E53489"/>
    <w:rsid w:val="00E5379D"/>
    <w:rsid w:val="00E53826"/>
    <w:rsid w:val="00E53889"/>
    <w:rsid w:val="00E53B1C"/>
    <w:rsid w:val="00E53B2B"/>
    <w:rsid w:val="00E5436D"/>
    <w:rsid w:val="00E5438A"/>
    <w:rsid w:val="00E544D9"/>
    <w:rsid w:val="00E544DA"/>
    <w:rsid w:val="00E54577"/>
    <w:rsid w:val="00E54ACB"/>
    <w:rsid w:val="00E54B52"/>
    <w:rsid w:val="00E54BEF"/>
    <w:rsid w:val="00E54C72"/>
    <w:rsid w:val="00E54DDE"/>
    <w:rsid w:val="00E54E04"/>
    <w:rsid w:val="00E54F22"/>
    <w:rsid w:val="00E55085"/>
    <w:rsid w:val="00E5514D"/>
    <w:rsid w:val="00E55197"/>
    <w:rsid w:val="00E5519B"/>
    <w:rsid w:val="00E55282"/>
    <w:rsid w:val="00E55594"/>
    <w:rsid w:val="00E55658"/>
    <w:rsid w:val="00E5578B"/>
    <w:rsid w:val="00E5585B"/>
    <w:rsid w:val="00E5590C"/>
    <w:rsid w:val="00E55A2F"/>
    <w:rsid w:val="00E56120"/>
    <w:rsid w:val="00E566F6"/>
    <w:rsid w:val="00E56870"/>
    <w:rsid w:val="00E56978"/>
    <w:rsid w:val="00E56993"/>
    <w:rsid w:val="00E56A8B"/>
    <w:rsid w:val="00E56EA1"/>
    <w:rsid w:val="00E56F1E"/>
    <w:rsid w:val="00E56F4A"/>
    <w:rsid w:val="00E56FD6"/>
    <w:rsid w:val="00E57188"/>
    <w:rsid w:val="00E5740C"/>
    <w:rsid w:val="00E5761B"/>
    <w:rsid w:val="00E579E9"/>
    <w:rsid w:val="00E57A8F"/>
    <w:rsid w:val="00E57DA4"/>
    <w:rsid w:val="00E57E93"/>
    <w:rsid w:val="00E60182"/>
    <w:rsid w:val="00E6076C"/>
    <w:rsid w:val="00E6089C"/>
    <w:rsid w:val="00E60976"/>
    <w:rsid w:val="00E609E8"/>
    <w:rsid w:val="00E60A32"/>
    <w:rsid w:val="00E60B6D"/>
    <w:rsid w:val="00E60EE0"/>
    <w:rsid w:val="00E60F09"/>
    <w:rsid w:val="00E60F36"/>
    <w:rsid w:val="00E61050"/>
    <w:rsid w:val="00E612E8"/>
    <w:rsid w:val="00E61512"/>
    <w:rsid w:val="00E6172B"/>
    <w:rsid w:val="00E618F8"/>
    <w:rsid w:val="00E61BA8"/>
    <w:rsid w:val="00E61DDC"/>
    <w:rsid w:val="00E61EFB"/>
    <w:rsid w:val="00E61FEE"/>
    <w:rsid w:val="00E62001"/>
    <w:rsid w:val="00E62049"/>
    <w:rsid w:val="00E620A1"/>
    <w:rsid w:val="00E62192"/>
    <w:rsid w:val="00E62233"/>
    <w:rsid w:val="00E624E4"/>
    <w:rsid w:val="00E62625"/>
    <w:rsid w:val="00E626D8"/>
    <w:rsid w:val="00E6274A"/>
    <w:rsid w:val="00E6283B"/>
    <w:rsid w:val="00E628E1"/>
    <w:rsid w:val="00E628F7"/>
    <w:rsid w:val="00E62A56"/>
    <w:rsid w:val="00E62A5F"/>
    <w:rsid w:val="00E62AD8"/>
    <w:rsid w:val="00E62C3F"/>
    <w:rsid w:val="00E63195"/>
    <w:rsid w:val="00E633FC"/>
    <w:rsid w:val="00E6344D"/>
    <w:rsid w:val="00E635AC"/>
    <w:rsid w:val="00E63807"/>
    <w:rsid w:val="00E63A01"/>
    <w:rsid w:val="00E63E09"/>
    <w:rsid w:val="00E63EF9"/>
    <w:rsid w:val="00E64010"/>
    <w:rsid w:val="00E641C0"/>
    <w:rsid w:val="00E64351"/>
    <w:rsid w:val="00E64391"/>
    <w:rsid w:val="00E643EE"/>
    <w:rsid w:val="00E647E7"/>
    <w:rsid w:val="00E64945"/>
    <w:rsid w:val="00E64A89"/>
    <w:rsid w:val="00E64D14"/>
    <w:rsid w:val="00E64E2D"/>
    <w:rsid w:val="00E64ECA"/>
    <w:rsid w:val="00E65635"/>
    <w:rsid w:val="00E65ABE"/>
    <w:rsid w:val="00E65B6F"/>
    <w:rsid w:val="00E65D41"/>
    <w:rsid w:val="00E65EF9"/>
    <w:rsid w:val="00E661EF"/>
    <w:rsid w:val="00E665F6"/>
    <w:rsid w:val="00E669A8"/>
    <w:rsid w:val="00E66A3E"/>
    <w:rsid w:val="00E66B11"/>
    <w:rsid w:val="00E66FC6"/>
    <w:rsid w:val="00E6721F"/>
    <w:rsid w:val="00E67342"/>
    <w:rsid w:val="00E67548"/>
    <w:rsid w:val="00E67562"/>
    <w:rsid w:val="00E6762C"/>
    <w:rsid w:val="00E67734"/>
    <w:rsid w:val="00E67807"/>
    <w:rsid w:val="00E678E3"/>
    <w:rsid w:val="00E678EA"/>
    <w:rsid w:val="00E67ADA"/>
    <w:rsid w:val="00E67B67"/>
    <w:rsid w:val="00E67BA9"/>
    <w:rsid w:val="00E67BC5"/>
    <w:rsid w:val="00E67E48"/>
    <w:rsid w:val="00E67EE6"/>
    <w:rsid w:val="00E67EFA"/>
    <w:rsid w:val="00E67FA6"/>
    <w:rsid w:val="00E70202"/>
    <w:rsid w:val="00E7029F"/>
    <w:rsid w:val="00E70333"/>
    <w:rsid w:val="00E7062C"/>
    <w:rsid w:val="00E70790"/>
    <w:rsid w:val="00E709B9"/>
    <w:rsid w:val="00E70F54"/>
    <w:rsid w:val="00E713CB"/>
    <w:rsid w:val="00E71472"/>
    <w:rsid w:val="00E71660"/>
    <w:rsid w:val="00E71843"/>
    <w:rsid w:val="00E71982"/>
    <w:rsid w:val="00E71C82"/>
    <w:rsid w:val="00E71D4D"/>
    <w:rsid w:val="00E71D6C"/>
    <w:rsid w:val="00E71EC3"/>
    <w:rsid w:val="00E7200A"/>
    <w:rsid w:val="00E720EE"/>
    <w:rsid w:val="00E72216"/>
    <w:rsid w:val="00E72837"/>
    <w:rsid w:val="00E72CBA"/>
    <w:rsid w:val="00E72DA9"/>
    <w:rsid w:val="00E72E5F"/>
    <w:rsid w:val="00E72EC8"/>
    <w:rsid w:val="00E73038"/>
    <w:rsid w:val="00E73084"/>
    <w:rsid w:val="00E732B8"/>
    <w:rsid w:val="00E732DD"/>
    <w:rsid w:val="00E73622"/>
    <w:rsid w:val="00E73635"/>
    <w:rsid w:val="00E73A41"/>
    <w:rsid w:val="00E73B58"/>
    <w:rsid w:val="00E73BE9"/>
    <w:rsid w:val="00E73BF4"/>
    <w:rsid w:val="00E73C97"/>
    <w:rsid w:val="00E73E41"/>
    <w:rsid w:val="00E73F15"/>
    <w:rsid w:val="00E74055"/>
    <w:rsid w:val="00E7419E"/>
    <w:rsid w:val="00E74204"/>
    <w:rsid w:val="00E74295"/>
    <w:rsid w:val="00E743D2"/>
    <w:rsid w:val="00E745EA"/>
    <w:rsid w:val="00E746D7"/>
    <w:rsid w:val="00E746DF"/>
    <w:rsid w:val="00E74827"/>
    <w:rsid w:val="00E74B7B"/>
    <w:rsid w:val="00E74D77"/>
    <w:rsid w:val="00E74DD5"/>
    <w:rsid w:val="00E74E2A"/>
    <w:rsid w:val="00E74EAB"/>
    <w:rsid w:val="00E74F26"/>
    <w:rsid w:val="00E74FE3"/>
    <w:rsid w:val="00E751ED"/>
    <w:rsid w:val="00E752FB"/>
    <w:rsid w:val="00E7546D"/>
    <w:rsid w:val="00E754B1"/>
    <w:rsid w:val="00E755BA"/>
    <w:rsid w:val="00E75671"/>
    <w:rsid w:val="00E75739"/>
    <w:rsid w:val="00E75A4A"/>
    <w:rsid w:val="00E75A9A"/>
    <w:rsid w:val="00E75CC4"/>
    <w:rsid w:val="00E75E93"/>
    <w:rsid w:val="00E76073"/>
    <w:rsid w:val="00E76304"/>
    <w:rsid w:val="00E76539"/>
    <w:rsid w:val="00E76546"/>
    <w:rsid w:val="00E7663D"/>
    <w:rsid w:val="00E767AF"/>
    <w:rsid w:val="00E76836"/>
    <w:rsid w:val="00E7697B"/>
    <w:rsid w:val="00E769CF"/>
    <w:rsid w:val="00E769F7"/>
    <w:rsid w:val="00E76CA2"/>
    <w:rsid w:val="00E77160"/>
    <w:rsid w:val="00E77194"/>
    <w:rsid w:val="00E77210"/>
    <w:rsid w:val="00E77259"/>
    <w:rsid w:val="00E773AA"/>
    <w:rsid w:val="00E7771F"/>
    <w:rsid w:val="00E77790"/>
    <w:rsid w:val="00E779AA"/>
    <w:rsid w:val="00E77B63"/>
    <w:rsid w:val="00E77F03"/>
    <w:rsid w:val="00E77F1D"/>
    <w:rsid w:val="00E77F5D"/>
    <w:rsid w:val="00E80295"/>
    <w:rsid w:val="00E80316"/>
    <w:rsid w:val="00E80369"/>
    <w:rsid w:val="00E80389"/>
    <w:rsid w:val="00E8099E"/>
    <w:rsid w:val="00E809C9"/>
    <w:rsid w:val="00E80C93"/>
    <w:rsid w:val="00E80D82"/>
    <w:rsid w:val="00E80D99"/>
    <w:rsid w:val="00E80DE4"/>
    <w:rsid w:val="00E80E69"/>
    <w:rsid w:val="00E80FC2"/>
    <w:rsid w:val="00E81521"/>
    <w:rsid w:val="00E81617"/>
    <w:rsid w:val="00E817F5"/>
    <w:rsid w:val="00E81967"/>
    <w:rsid w:val="00E81997"/>
    <w:rsid w:val="00E81AD3"/>
    <w:rsid w:val="00E81C23"/>
    <w:rsid w:val="00E81D08"/>
    <w:rsid w:val="00E81DF0"/>
    <w:rsid w:val="00E81E10"/>
    <w:rsid w:val="00E821AA"/>
    <w:rsid w:val="00E82254"/>
    <w:rsid w:val="00E822FE"/>
    <w:rsid w:val="00E82317"/>
    <w:rsid w:val="00E826DB"/>
    <w:rsid w:val="00E82777"/>
    <w:rsid w:val="00E82807"/>
    <w:rsid w:val="00E828E6"/>
    <w:rsid w:val="00E82B23"/>
    <w:rsid w:val="00E82B7A"/>
    <w:rsid w:val="00E82C5F"/>
    <w:rsid w:val="00E82CAF"/>
    <w:rsid w:val="00E82E3B"/>
    <w:rsid w:val="00E830F2"/>
    <w:rsid w:val="00E831FF"/>
    <w:rsid w:val="00E83213"/>
    <w:rsid w:val="00E83374"/>
    <w:rsid w:val="00E8350B"/>
    <w:rsid w:val="00E835C8"/>
    <w:rsid w:val="00E835D8"/>
    <w:rsid w:val="00E836B2"/>
    <w:rsid w:val="00E83700"/>
    <w:rsid w:val="00E8373B"/>
    <w:rsid w:val="00E83980"/>
    <w:rsid w:val="00E83BA0"/>
    <w:rsid w:val="00E83BF3"/>
    <w:rsid w:val="00E83C6B"/>
    <w:rsid w:val="00E83C77"/>
    <w:rsid w:val="00E83D4E"/>
    <w:rsid w:val="00E83E19"/>
    <w:rsid w:val="00E83EBE"/>
    <w:rsid w:val="00E83EEF"/>
    <w:rsid w:val="00E83F92"/>
    <w:rsid w:val="00E841C6"/>
    <w:rsid w:val="00E84392"/>
    <w:rsid w:val="00E84721"/>
    <w:rsid w:val="00E849B6"/>
    <w:rsid w:val="00E84B5B"/>
    <w:rsid w:val="00E84C83"/>
    <w:rsid w:val="00E84D45"/>
    <w:rsid w:val="00E84EB6"/>
    <w:rsid w:val="00E8501F"/>
    <w:rsid w:val="00E8508B"/>
    <w:rsid w:val="00E85250"/>
    <w:rsid w:val="00E85337"/>
    <w:rsid w:val="00E85362"/>
    <w:rsid w:val="00E854E9"/>
    <w:rsid w:val="00E85674"/>
    <w:rsid w:val="00E856AC"/>
    <w:rsid w:val="00E857D0"/>
    <w:rsid w:val="00E8584B"/>
    <w:rsid w:val="00E8596F"/>
    <w:rsid w:val="00E85A83"/>
    <w:rsid w:val="00E85B4E"/>
    <w:rsid w:val="00E85CE4"/>
    <w:rsid w:val="00E85CE8"/>
    <w:rsid w:val="00E85E30"/>
    <w:rsid w:val="00E85F16"/>
    <w:rsid w:val="00E86042"/>
    <w:rsid w:val="00E86200"/>
    <w:rsid w:val="00E8628B"/>
    <w:rsid w:val="00E862B0"/>
    <w:rsid w:val="00E86331"/>
    <w:rsid w:val="00E864A6"/>
    <w:rsid w:val="00E864CE"/>
    <w:rsid w:val="00E864FA"/>
    <w:rsid w:val="00E8688E"/>
    <w:rsid w:val="00E868FD"/>
    <w:rsid w:val="00E86935"/>
    <w:rsid w:val="00E86C54"/>
    <w:rsid w:val="00E86F4D"/>
    <w:rsid w:val="00E87012"/>
    <w:rsid w:val="00E87096"/>
    <w:rsid w:val="00E870B8"/>
    <w:rsid w:val="00E87101"/>
    <w:rsid w:val="00E8736A"/>
    <w:rsid w:val="00E87432"/>
    <w:rsid w:val="00E87573"/>
    <w:rsid w:val="00E87718"/>
    <w:rsid w:val="00E87849"/>
    <w:rsid w:val="00E87902"/>
    <w:rsid w:val="00E87B0C"/>
    <w:rsid w:val="00E87C79"/>
    <w:rsid w:val="00E87D48"/>
    <w:rsid w:val="00E9026C"/>
    <w:rsid w:val="00E903D2"/>
    <w:rsid w:val="00E90564"/>
    <w:rsid w:val="00E90653"/>
    <w:rsid w:val="00E907D3"/>
    <w:rsid w:val="00E907E2"/>
    <w:rsid w:val="00E908F1"/>
    <w:rsid w:val="00E90972"/>
    <w:rsid w:val="00E90994"/>
    <w:rsid w:val="00E909CB"/>
    <w:rsid w:val="00E90DFA"/>
    <w:rsid w:val="00E90EA6"/>
    <w:rsid w:val="00E90F58"/>
    <w:rsid w:val="00E90FA0"/>
    <w:rsid w:val="00E910D7"/>
    <w:rsid w:val="00E910DC"/>
    <w:rsid w:val="00E91287"/>
    <w:rsid w:val="00E913F7"/>
    <w:rsid w:val="00E915A6"/>
    <w:rsid w:val="00E915E1"/>
    <w:rsid w:val="00E915FC"/>
    <w:rsid w:val="00E91633"/>
    <w:rsid w:val="00E91840"/>
    <w:rsid w:val="00E919B5"/>
    <w:rsid w:val="00E91A85"/>
    <w:rsid w:val="00E91A93"/>
    <w:rsid w:val="00E91BF2"/>
    <w:rsid w:val="00E91D04"/>
    <w:rsid w:val="00E91D3F"/>
    <w:rsid w:val="00E91D9F"/>
    <w:rsid w:val="00E91E5A"/>
    <w:rsid w:val="00E92171"/>
    <w:rsid w:val="00E924E4"/>
    <w:rsid w:val="00E92534"/>
    <w:rsid w:val="00E92562"/>
    <w:rsid w:val="00E9275D"/>
    <w:rsid w:val="00E927B0"/>
    <w:rsid w:val="00E928FD"/>
    <w:rsid w:val="00E92A2A"/>
    <w:rsid w:val="00E92ABF"/>
    <w:rsid w:val="00E92E46"/>
    <w:rsid w:val="00E92F3E"/>
    <w:rsid w:val="00E92F63"/>
    <w:rsid w:val="00E9323C"/>
    <w:rsid w:val="00E935F6"/>
    <w:rsid w:val="00E93642"/>
    <w:rsid w:val="00E9365A"/>
    <w:rsid w:val="00E93697"/>
    <w:rsid w:val="00E937C4"/>
    <w:rsid w:val="00E937E4"/>
    <w:rsid w:val="00E939BA"/>
    <w:rsid w:val="00E939BD"/>
    <w:rsid w:val="00E93AA4"/>
    <w:rsid w:val="00E93C76"/>
    <w:rsid w:val="00E93CBF"/>
    <w:rsid w:val="00E93CEC"/>
    <w:rsid w:val="00E93CF9"/>
    <w:rsid w:val="00E93ECF"/>
    <w:rsid w:val="00E93FBC"/>
    <w:rsid w:val="00E942D6"/>
    <w:rsid w:val="00E943B8"/>
    <w:rsid w:val="00E94477"/>
    <w:rsid w:val="00E944C4"/>
    <w:rsid w:val="00E94547"/>
    <w:rsid w:val="00E945EF"/>
    <w:rsid w:val="00E94704"/>
    <w:rsid w:val="00E94880"/>
    <w:rsid w:val="00E9490C"/>
    <w:rsid w:val="00E94912"/>
    <w:rsid w:val="00E94C20"/>
    <w:rsid w:val="00E9502D"/>
    <w:rsid w:val="00E951A9"/>
    <w:rsid w:val="00E95256"/>
    <w:rsid w:val="00E952C7"/>
    <w:rsid w:val="00E954AB"/>
    <w:rsid w:val="00E95873"/>
    <w:rsid w:val="00E960FE"/>
    <w:rsid w:val="00E96182"/>
    <w:rsid w:val="00E9637A"/>
    <w:rsid w:val="00E964EC"/>
    <w:rsid w:val="00E966E3"/>
    <w:rsid w:val="00E9675C"/>
    <w:rsid w:val="00E9688C"/>
    <w:rsid w:val="00E9690C"/>
    <w:rsid w:val="00E96943"/>
    <w:rsid w:val="00E96A70"/>
    <w:rsid w:val="00E96C3E"/>
    <w:rsid w:val="00E96EE0"/>
    <w:rsid w:val="00E96F1E"/>
    <w:rsid w:val="00E96F53"/>
    <w:rsid w:val="00E970CD"/>
    <w:rsid w:val="00E975ED"/>
    <w:rsid w:val="00E97644"/>
    <w:rsid w:val="00E97904"/>
    <w:rsid w:val="00E97A68"/>
    <w:rsid w:val="00E97A80"/>
    <w:rsid w:val="00E97C12"/>
    <w:rsid w:val="00E97E32"/>
    <w:rsid w:val="00E97E57"/>
    <w:rsid w:val="00EA002D"/>
    <w:rsid w:val="00EA0199"/>
    <w:rsid w:val="00EA024A"/>
    <w:rsid w:val="00EA079C"/>
    <w:rsid w:val="00EA07CF"/>
    <w:rsid w:val="00EA0D05"/>
    <w:rsid w:val="00EA0E86"/>
    <w:rsid w:val="00EA0FAD"/>
    <w:rsid w:val="00EA107C"/>
    <w:rsid w:val="00EA13DB"/>
    <w:rsid w:val="00EA1743"/>
    <w:rsid w:val="00EA178F"/>
    <w:rsid w:val="00EA17E9"/>
    <w:rsid w:val="00EA1900"/>
    <w:rsid w:val="00EA19F9"/>
    <w:rsid w:val="00EA1B81"/>
    <w:rsid w:val="00EA1C02"/>
    <w:rsid w:val="00EA1F23"/>
    <w:rsid w:val="00EA1FBE"/>
    <w:rsid w:val="00EA1FF6"/>
    <w:rsid w:val="00EA2050"/>
    <w:rsid w:val="00EA2213"/>
    <w:rsid w:val="00EA2295"/>
    <w:rsid w:val="00EA2342"/>
    <w:rsid w:val="00EA2359"/>
    <w:rsid w:val="00EA256C"/>
    <w:rsid w:val="00EA25F8"/>
    <w:rsid w:val="00EA273B"/>
    <w:rsid w:val="00EA27E0"/>
    <w:rsid w:val="00EA2A28"/>
    <w:rsid w:val="00EA2AED"/>
    <w:rsid w:val="00EA2C42"/>
    <w:rsid w:val="00EA2CFC"/>
    <w:rsid w:val="00EA2D0A"/>
    <w:rsid w:val="00EA2EF4"/>
    <w:rsid w:val="00EA2F0F"/>
    <w:rsid w:val="00EA3016"/>
    <w:rsid w:val="00EA3043"/>
    <w:rsid w:val="00EA337B"/>
    <w:rsid w:val="00EA364B"/>
    <w:rsid w:val="00EA3780"/>
    <w:rsid w:val="00EA3915"/>
    <w:rsid w:val="00EA395A"/>
    <w:rsid w:val="00EA3B11"/>
    <w:rsid w:val="00EA3B21"/>
    <w:rsid w:val="00EA3C3B"/>
    <w:rsid w:val="00EA3D2B"/>
    <w:rsid w:val="00EA3D4E"/>
    <w:rsid w:val="00EA3DAA"/>
    <w:rsid w:val="00EA3DBE"/>
    <w:rsid w:val="00EA3E12"/>
    <w:rsid w:val="00EA3FCE"/>
    <w:rsid w:val="00EA403B"/>
    <w:rsid w:val="00EA408C"/>
    <w:rsid w:val="00EA40DA"/>
    <w:rsid w:val="00EA4399"/>
    <w:rsid w:val="00EA4625"/>
    <w:rsid w:val="00EA47D2"/>
    <w:rsid w:val="00EA48DD"/>
    <w:rsid w:val="00EA48E4"/>
    <w:rsid w:val="00EA498A"/>
    <w:rsid w:val="00EA4B90"/>
    <w:rsid w:val="00EA4C7F"/>
    <w:rsid w:val="00EA4DB6"/>
    <w:rsid w:val="00EA4F63"/>
    <w:rsid w:val="00EA4FFA"/>
    <w:rsid w:val="00EA5130"/>
    <w:rsid w:val="00EA562F"/>
    <w:rsid w:val="00EA56FB"/>
    <w:rsid w:val="00EA59C2"/>
    <w:rsid w:val="00EA5AB2"/>
    <w:rsid w:val="00EA5AD2"/>
    <w:rsid w:val="00EA5CA0"/>
    <w:rsid w:val="00EA5DFC"/>
    <w:rsid w:val="00EA5E20"/>
    <w:rsid w:val="00EA5E64"/>
    <w:rsid w:val="00EA5F05"/>
    <w:rsid w:val="00EA5F10"/>
    <w:rsid w:val="00EA6123"/>
    <w:rsid w:val="00EA6195"/>
    <w:rsid w:val="00EA6294"/>
    <w:rsid w:val="00EA639B"/>
    <w:rsid w:val="00EA6578"/>
    <w:rsid w:val="00EA659B"/>
    <w:rsid w:val="00EA66B1"/>
    <w:rsid w:val="00EA66C1"/>
    <w:rsid w:val="00EA66E4"/>
    <w:rsid w:val="00EA674E"/>
    <w:rsid w:val="00EA6841"/>
    <w:rsid w:val="00EA6921"/>
    <w:rsid w:val="00EA6C3D"/>
    <w:rsid w:val="00EA6D00"/>
    <w:rsid w:val="00EA6F59"/>
    <w:rsid w:val="00EA6FC6"/>
    <w:rsid w:val="00EA7173"/>
    <w:rsid w:val="00EA74A4"/>
    <w:rsid w:val="00EA767A"/>
    <w:rsid w:val="00EA7817"/>
    <w:rsid w:val="00EA78C2"/>
    <w:rsid w:val="00EA7914"/>
    <w:rsid w:val="00EA7ABD"/>
    <w:rsid w:val="00EA7CDA"/>
    <w:rsid w:val="00EA7E4D"/>
    <w:rsid w:val="00EA7F84"/>
    <w:rsid w:val="00EA7FA3"/>
    <w:rsid w:val="00EB048E"/>
    <w:rsid w:val="00EB0942"/>
    <w:rsid w:val="00EB0BDE"/>
    <w:rsid w:val="00EB0D0C"/>
    <w:rsid w:val="00EB0DB4"/>
    <w:rsid w:val="00EB0E9A"/>
    <w:rsid w:val="00EB0EA5"/>
    <w:rsid w:val="00EB0ECB"/>
    <w:rsid w:val="00EB13AC"/>
    <w:rsid w:val="00EB1534"/>
    <w:rsid w:val="00EB17DA"/>
    <w:rsid w:val="00EB1819"/>
    <w:rsid w:val="00EB1861"/>
    <w:rsid w:val="00EB18D0"/>
    <w:rsid w:val="00EB18DF"/>
    <w:rsid w:val="00EB19AF"/>
    <w:rsid w:val="00EB1BAD"/>
    <w:rsid w:val="00EB1E0A"/>
    <w:rsid w:val="00EB1EA2"/>
    <w:rsid w:val="00EB209E"/>
    <w:rsid w:val="00EB2782"/>
    <w:rsid w:val="00EB29E2"/>
    <w:rsid w:val="00EB2AC7"/>
    <w:rsid w:val="00EB2EDB"/>
    <w:rsid w:val="00EB30C0"/>
    <w:rsid w:val="00EB3168"/>
    <w:rsid w:val="00EB3184"/>
    <w:rsid w:val="00EB321E"/>
    <w:rsid w:val="00EB359C"/>
    <w:rsid w:val="00EB362B"/>
    <w:rsid w:val="00EB39B4"/>
    <w:rsid w:val="00EB39C2"/>
    <w:rsid w:val="00EB39D2"/>
    <w:rsid w:val="00EB3AEF"/>
    <w:rsid w:val="00EB3CF2"/>
    <w:rsid w:val="00EB3DF0"/>
    <w:rsid w:val="00EB414C"/>
    <w:rsid w:val="00EB4269"/>
    <w:rsid w:val="00EB42CE"/>
    <w:rsid w:val="00EB42DC"/>
    <w:rsid w:val="00EB457E"/>
    <w:rsid w:val="00EB47BF"/>
    <w:rsid w:val="00EB48C8"/>
    <w:rsid w:val="00EB4E97"/>
    <w:rsid w:val="00EB5077"/>
    <w:rsid w:val="00EB58E7"/>
    <w:rsid w:val="00EB59D9"/>
    <w:rsid w:val="00EB5C3F"/>
    <w:rsid w:val="00EB5C5B"/>
    <w:rsid w:val="00EB5C81"/>
    <w:rsid w:val="00EB5CD1"/>
    <w:rsid w:val="00EB5F68"/>
    <w:rsid w:val="00EB6049"/>
    <w:rsid w:val="00EB60B7"/>
    <w:rsid w:val="00EB6101"/>
    <w:rsid w:val="00EB6103"/>
    <w:rsid w:val="00EB61D6"/>
    <w:rsid w:val="00EB6320"/>
    <w:rsid w:val="00EB65F7"/>
    <w:rsid w:val="00EB6744"/>
    <w:rsid w:val="00EB6749"/>
    <w:rsid w:val="00EB6C83"/>
    <w:rsid w:val="00EB6CE8"/>
    <w:rsid w:val="00EB7209"/>
    <w:rsid w:val="00EB7332"/>
    <w:rsid w:val="00EB73F9"/>
    <w:rsid w:val="00EB750E"/>
    <w:rsid w:val="00EB7635"/>
    <w:rsid w:val="00EB770E"/>
    <w:rsid w:val="00EB7717"/>
    <w:rsid w:val="00EB7775"/>
    <w:rsid w:val="00EB7954"/>
    <w:rsid w:val="00EB79CC"/>
    <w:rsid w:val="00EB7B8B"/>
    <w:rsid w:val="00EB7ECC"/>
    <w:rsid w:val="00EB7F76"/>
    <w:rsid w:val="00EB7FEA"/>
    <w:rsid w:val="00EC016A"/>
    <w:rsid w:val="00EC0172"/>
    <w:rsid w:val="00EC0227"/>
    <w:rsid w:val="00EC0248"/>
    <w:rsid w:val="00EC0424"/>
    <w:rsid w:val="00EC0525"/>
    <w:rsid w:val="00EC05A8"/>
    <w:rsid w:val="00EC0F87"/>
    <w:rsid w:val="00EC1108"/>
    <w:rsid w:val="00EC11AD"/>
    <w:rsid w:val="00EC126F"/>
    <w:rsid w:val="00EC12D1"/>
    <w:rsid w:val="00EC12D2"/>
    <w:rsid w:val="00EC164B"/>
    <w:rsid w:val="00EC1748"/>
    <w:rsid w:val="00EC17F3"/>
    <w:rsid w:val="00EC18FB"/>
    <w:rsid w:val="00EC195C"/>
    <w:rsid w:val="00EC1E53"/>
    <w:rsid w:val="00EC1EDC"/>
    <w:rsid w:val="00EC1F55"/>
    <w:rsid w:val="00EC1F7B"/>
    <w:rsid w:val="00EC1FCD"/>
    <w:rsid w:val="00EC20F2"/>
    <w:rsid w:val="00EC21C4"/>
    <w:rsid w:val="00EC22D5"/>
    <w:rsid w:val="00EC2433"/>
    <w:rsid w:val="00EC25C9"/>
    <w:rsid w:val="00EC29B8"/>
    <w:rsid w:val="00EC2C0E"/>
    <w:rsid w:val="00EC2C5B"/>
    <w:rsid w:val="00EC2C74"/>
    <w:rsid w:val="00EC2D93"/>
    <w:rsid w:val="00EC3609"/>
    <w:rsid w:val="00EC3687"/>
    <w:rsid w:val="00EC373D"/>
    <w:rsid w:val="00EC3861"/>
    <w:rsid w:val="00EC3989"/>
    <w:rsid w:val="00EC3996"/>
    <w:rsid w:val="00EC3AA3"/>
    <w:rsid w:val="00EC3BAB"/>
    <w:rsid w:val="00EC3C24"/>
    <w:rsid w:val="00EC3CE2"/>
    <w:rsid w:val="00EC3E04"/>
    <w:rsid w:val="00EC3E60"/>
    <w:rsid w:val="00EC3EE2"/>
    <w:rsid w:val="00EC40A9"/>
    <w:rsid w:val="00EC40C9"/>
    <w:rsid w:val="00EC425A"/>
    <w:rsid w:val="00EC42C8"/>
    <w:rsid w:val="00EC432D"/>
    <w:rsid w:val="00EC4374"/>
    <w:rsid w:val="00EC43FB"/>
    <w:rsid w:val="00EC451B"/>
    <w:rsid w:val="00EC47EE"/>
    <w:rsid w:val="00EC4C3C"/>
    <w:rsid w:val="00EC4CAF"/>
    <w:rsid w:val="00EC51BE"/>
    <w:rsid w:val="00EC5262"/>
    <w:rsid w:val="00EC5283"/>
    <w:rsid w:val="00EC52EB"/>
    <w:rsid w:val="00EC52F3"/>
    <w:rsid w:val="00EC5340"/>
    <w:rsid w:val="00EC5580"/>
    <w:rsid w:val="00EC55F5"/>
    <w:rsid w:val="00EC5626"/>
    <w:rsid w:val="00EC5709"/>
    <w:rsid w:val="00EC5BC2"/>
    <w:rsid w:val="00EC5C0F"/>
    <w:rsid w:val="00EC5E2A"/>
    <w:rsid w:val="00EC62BF"/>
    <w:rsid w:val="00EC62C0"/>
    <w:rsid w:val="00EC6497"/>
    <w:rsid w:val="00EC6529"/>
    <w:rsid w:val="00EC65E0"/>
    <w:rsid w:val="00EC6655"/>
    <w:rsid w:val="00EC69C3"/>
    <w:rsid w:val="00EC6C8A"/>
    <w:rsid w:val="00EC6CC9"/>
    <w:rsid w:val="00EC6D73"/>
    <w:rsid w:val="00EC6D8D"/>
    <w:rsid w:val="00EC6E5B"/>
    <w:rsid w:val="00EC6F5A"/>
    <w:rsid w:val="00EC7039"/>
    <w:rsid w:val="00EC727B"/>
    <w:rsid w:val="00EC7282"/>
    <w:rsid w:val="00EC7374"/>
    <w:rsid w:val="00EC73EA"/>
    <w:rsid w:val="00EC75DB"/>
    <w:rsid w:val="00EC7702"/>
    <w:rsid w:val="00EC7AC8"/>
    <w:rsid w:val="00EC7F28"/>
    <w:rsid w:val="00ED0096"/>
    <w:rsid w:val="00ED0363"/>
    <w:rsid w:val="00ED0477"/>
    <w:rsid w:val="00ED066E"/>
    <w:rsid w:val="00ED07D0"/>
    <w:rsid w:val="00ED0808"/>
    <w:rsid w:val="00ED0822"/>
    <w:rsid w:val="00ED0A1D"/>
    <w:rsid w:val="00ED0BE1"/>
    <w:rsid w:val="00ED0C92"/>
    <w:rsid w:val="00ED0C98"/>
    <w:rsid w:val="00ED0CAF"/>
    <w:rsid w:val="00ED0D2F"/>
    <w:rsid w:val="00ED0DD8"/>
    <w:rsid w:val="00ED1021"/>
    <w:rsid w:val="00ED1042"/>
    <w:rsid w:val="00ED1295"/>
    <w:rsid w:val="00ED1324"/>
    <w:rsid w:val="00ED13E3"/>
    <w:rsid w:val="00ED15D7"/>
    <w:rsid w:val="00ED19CE"/>
    <w:rsid w:val="00ED1A1C"/>
    <w:rsid w:val="00ED22B2"/>
    <w:rsid w:val="00ED240D"/>
    <w:rsid w:val="00ED26E6"/>
    <w:rsid w:val="00ED26E8"/>
    <w:rsid w:val="00ED292F"/>
    <w:rsid w:val="00ED2A38"/>
    <w:rsid w:val="00ED2A54"/>
    <w:rsid w:val="00ED2E23"/>
    <w:rsid w:val="00ED2F01"/>
    <w:rsid w:val="00ED2FC8"/>
    <w:rsid w:val="00ED30F8"/>
    <w:rsid w:val="00ED3123"/>
    <w:rsid w:val="00ED3143"/>
    <w:rsid w:val="00ED3198"/>
    <w:rsid w:val="00ED31D4"/>
    <w:rsid w:val="00ED32A1"/>
    <w:rsid w:val="00ED3469"/>
    <w:rsid w:val="00ED358C"/>
    <w:rsid w:val="00ED3603"/>
    <w:rsid w:val="00ED36E1"/>
    <w:rsid w:val="00ED36E2"/>
    <w:rsid w:val="00ED373A"/>
    <w:rsid w:val="00ED396F"/>
    <w:rsid w:val="00ED39B7"/>
    <w:rsid w:val="00ED3A7F"/>
    <w:rsid w:val="00ED3ACF"/>
    <w:rsid w:val="00ED3C81"/>
    <w:rsid w:val="00ED3D38"/>
    <w:rsid w:val="00ED4298"/>
    <w:rsid w:val="00ED44BE"/>
    <w:rsid w:val="00ED45A6"/>
    <w:rsid w:val="00ED4661"/>
    <w:rsid w:val="00ED48F2"/>
    <w:rsid w:val="00ED494C"/>
    <w:rsid w:val="00ED4C6C"/>
    <w:rsid w:val="00ED4DE8"/>
    <w:rsid w:val="00ED4F1C"/>
    <w:rsid w:val="00ED518B"/>
    <w:rsid w:val="00ED537C"/>
    <w:rsid w:val="00ED538B"/>
    <w:rsid w:val="00ED54BB"/>
    <w:rsid w:val="00ED5561"/>
    <w:rsid w:val="00ED560A"/>
    <w:rsid w:val="00ED574A"/>
    <w:rsid w:val="00ED57CE"/>
    <w:rsid w:val="00ED5934"/>
    <w:rsid w:val="00ED5999"/>
    <w:rsid w:val="00ED5A47"/>
    <w:rsid w:val="00ED5AFE"/>
    <w:rsid w:val="00ED5B7B"/>
    <w:rsid w:val="00ED5C58"/>
    <w:rsid w:val="00ED5C84"/>
    <w:rsid w:val="00ED5E80"/>
    <w:rsid w:val="00ED5E99"/>
    <w:rsid w:val="00ED5F5C"/>
    <w:rsid w:val="00ED614B"/>
    <w:rsid w:val="00ED61B6"/>
    <w:rsid w:val="00ED64E0"/>
    <w:rsid w:val="00ED65E8"/>
    <w:rsid w:val="00ED6902"/>
    <w:rsid w:val="00ED69DA"/>
    <w:rsid w:val="00ED6A5F"/>
    <w:rsid w:val="00ED6B88"/>
    <w:rsid w:val="00ED6BA4"/>
    <w:rsid w:val="00ED6C04"/>
    <w:rsid w:val="00ED6C81"/>
    <w:rsid w:val="00ED6D6D"/>
    <w:rsid w:val="00ED6DBD"/>
    <w:rsid w:val="00ED6EC2"/>
    <w:rsid w:val="00ED6FD3"/>
    <w:rsid w:val="00ED7151"/>
    <w:rsid w:val="00ED7236"/>
    <w:rsid w:val="00ED728B"/>
    <w:rsid w:val="00ED72B6"/>
    <w:rsid w:val="00ED73AC"/>
    <w:rsid w:val="00ED7462"/>
    <w:rsid w:val="00ED748C"/>
    <w:rsid w:val="00ED7A0F"/>
    <w:rsid w:val="00ED7A32"/>
    <w:rsid w:val="00ED7B31"/>
    <w:rsid w:val="00ED7B4F"/>
    <w:rsid w:val="00ED7BF8"/>
    <w:rsid w:val="00ED7CB8"/>
    <w:rsid w:val="00ED7E8C"/>
    <w:rsid w:val="00EE026E"/>
    <w:rsid w:val="00EE02FA"/>
    <w:rsid w:val="00EE055B"/>
    <w:rsid w:val="00EE0653"/>
    <w:rsid w:val="00EE085F"/>
    <w:rsid w:val="00EE09FA"/>
    <w:rsid w:val="00EE0B7A"/>
    <w:rsid w:val="00EE0C26"/>
    <w:rsid w:val="00EE0C96"/>
    <w:rsid w:val="00EE0DCE"/>
    <w:rsid w:val="00EE0E9B"/>
    <w:rsid w:val="00EE1026"/>
    <w:rsid w:val="00EE109A"/>
    <w:rsid w:val="00EE1127"/>
    <w:rsid w:val="00EE1270"/>
    <w:rsid w:val="00EE12AB"/>
    <w:rsid w:val="00EE16D4"/>
    <w:rsid w:val="00EE17DB"/>
    <w:rsid w:val="00EE18AD"/>
    <w:rsid w:val="00EE20A5"/>
    <w:rsid w:val="00EE22F2"/>
    <w:rsid w:val="00EE244A"/>
    <w:rsid w:val="00EE2AAE"/>
    <w:rsid w:val="00EE2BA5"/>
    <w:rsid w:val="00EE2C87"/>
    <w:rsid w:val="00EE2D1C"/>
    <w:rsid w:val="00EE2E83"/>
    <w:rsid w:val="00EE3406"/>
    <w:rsid w:val="00EE3457"/>
    <w:rsid w:val="00EE3826"/>
    <w:rsid w:val="00EE3997"/>
    <w:rsid w:val="00EE3B84"/>
    <w:rsid w:val="00EE3BF7"/>
    <w:rsid w:val="00EE3CA0"/>
    <w:rsid w:val="00EE3D2B"/>
    <w:rsid w:val="00EE3D4D"/>
    <w:rsid w:val="00EE3F11"/>
    <w:rsid w:val="00EE3F42"/>
    <w:rsid w:val="00EE40C5"/>
    <w:rsid w:val="00EE4106"/>
    <w:rsid w:val="00EE42FD"/>
    <w:rsid w:val="00EE43B2"/>
    <w:rsid w:val="00EE44FF"/>
    <w:rsid w:val="00EE4581"/>
    <w:rsid w:val="00EE470B"/>
    <w:rsid w:val="00EE4934"/>
    <w:rsid w:val="00EE4A70"/>
    <w:rsid w:val="00EE4F45"/>
    <w:rsid w:val="00EE520E"/>
    <w:rsid w:val="00EE5528"/>
    <w:rsid w:val="00EE555F"/>
    <w:rsid w:val="00EE5568"/>
    <w:rsid w:val="00EE5B8F"/>
    <w:rsid w:val="00EE5BDF"/>
    <w:rsid w:val="00EE5C10"/>
    <w:rsid w:val="00EE5CDC"/>
    <w:rsid w:val="00EE5F73"/>
    <w:rsid w:val="00EE61A2"/>
    <w:rsid w:val="00EE629A"/>
    <w:rsid w:val="00EE6330"/>
    <w:rsid w:val="00EE65C0"/>
    <w:rsid w:val="00EE6774"/>
    <w:rsid w:val="00EE6853"/>
    <w:rsid w:val="00EE6A34"/>
    <w:rsid w:val="00EE6A84"/>
    <w:rsid w:val="00EE6D14"/>
    <w:rsid w:val="00EE6DE6"/>
    <w:rsid w:val="00EE7294"/>
    <w:rsid w:val="00EE7316"/>
    <w:rsid w:val="00EE771A"/>
    <w:rsid w:val="00EE7838"/>
    <w:rsid w:val="00EE7989"/>
    <w:rsid w:val="00EE79DA"/>
    <w:rsid w:val="00EE7B99"/>
    <w:rsid w:val="00EE7C66"/>
    <w:rsid w:val="00EE7FA3"/>
    <w:rsid w:val="00EF008B"/>
    <w:rsid w:val="00EF0128"/>
    <w:rsid w:val="00EF04A7"/>
    <w:rsid w:val="00EF04E8"/>
    <w:rsid w:val="00EF0804"/>
    <w:rsid w:val="00EF0893"/>
    <w:rsid w:val="00EF0925"/>
    <w:rsid w:val="00EF0940"/>
    <w:rsid w:val="00EF0A26"/>
    <w:rsid w:val="00EF0BE6"/>
    <w:rsid w:val="00EF0CE8"/>
    <w:rsid w:val="00EF0EFC"/>
    <w:rsid w:val="00EF0F54"/>
    <w:rsid w:val="00EF114B"/>
    <w:rsid w:val="00EF1197"/>
    <w:rsid w:val="00EF13B0"/>
    <w:rsid w:val="00EF1436"/>
    <w:rsid w:val="00EF14B0"/>
    <w:rsid w:val="00EF1884"/>
    <w:rsid w:val="00EF19C8"/>
    <w:rsid w:val="00EF1AB1"/>
    <w:rsid w:val="00EF1CFA"/>
    <w:rsid w:val="00EF1D69"/>
    <w:rsid w:val="00EF1E4D"/>
    <w:rsid w:val="00EF1F50"/>
    <w:rsid w:val="00EF1FB6"/>
    <w:rsid w:val="00EF2012"/>
    <w:rsid w:val="00EF2204"/>
    <w:rsid w:val="00EF2330"/>
    <w:rsid w:val="00EF2481"/>
    <w:rsid w:val="00EF24E8"/>
    <w:rsid w:val="00EF2578"/>
    <w:rsid w:val="00EF27F3"/>
    <w:rsid w:val="00EF2981"/>
    <w:rsid w:val="00EF2D71"/>
    <w:rsid w:val="00EF2E20"/>
    <w:rsid w:val="00EF2F6A"/>
    <w:rsid w:val="00EF2F6D"/>
    <w:rsid w:val="00EF3505"/>
    <w:rsid w:val="00EF379B"/>
    <w:rsid w:val="00EF38DF"/>
    <w:rsid w:val="00EF3990"/>
    <w:rsid w:val="00EF3C49"/>
    <w:rsid w:val="00EF3C83"/>
    <w:rsid w:val="00EF3EC5"/>
    <w:rsid w:val="00EF3F15"/>
    <w:rsid w:val="00EF4086"/>
    <w:rsid w:val="00EF42AA"/>
    <w:rsid w:val="00EF455E"/>
    <w:rsid w:val="00EF4566"/>
    <w:rsid w:val="00EF45BF"/>
    <w:rsid w:val="00EF4801"/>
    <w:rsid w:val="00EF48B9"/>
    <w:rsid w:val="00EF48BB"/>
    <w:rsid w:val="00EF48BF"/>
    <w:rsid w:val="00EF48D4"/>
    <w:rsid w:val="00EF49FA"/>
    <w:rsid w:val="00EF4B1C"/>
    <w:rsid w:val="00EF4E6A"/>
    <w:rsid w:val="00EF4EB9"/>
    <w:rsid w:val="00EF4F9D"/>
    <w:rsid w:val="00EF4FEC"/>
    <w:rsid w:val="00EF5091"/>
    <w:rsid w:val="00EF51B8"/>
    <w:rsid w:val="00EF52B5"/>
    <w:rsid w:val="00EF539C"/>
    <w:rsid w:val="00EF57AB"/>
    <w:rsid w:val="00EF5ADB"/>
    <w:rsid w:val="00EF5B90"/>
    <w:rsid w:val="00EF5BC0"/>
    <w:rsid w:val="00EF5CDF"/>
    <w:rsid w:val="00EF5F82"/>
    <w:rsid w:val="00EF5F93"/>
    <w:rsid w:val="00EF618A"/>
    <w:rsid w:val="00EF621F"/>
    <w:rsid w:val="00EF62A3"/>
    <w:rsid w:val="00EF62B6"/>
    <w:rsid w:val="00EF64D7"/>
    <w:rsid w:val="00EF6773"/>
    <w:rsid w:val="00EF698C"/>
    <w:rsid w:val="00EF6997"/>
    <w:rsid w:val="00EF6A9A"/>
    <w:rsid w:val="00EF6BEB"/>
    <w:rsid w:val="00EF6C20"/>
    <w:rsid w:val="00EF6C22"/>
    <w:rsid w:val="00EF6C2B"/>
    <w:rsid w:val="00EF6DA7"/>
    <w:rsid w:val="00EF6E14"/>
    <w:rsid w:val="00EF6EF0"/>
    <w:rsid w:val="00EF6F1C"/>
    <w:rsid w:val="00EF7065"/>
    <w:rsid w:val="00EF707C"/>
    <w:rsid w:val="00EF7089"/>
    <w:rsid w:val="00EF70B7"/>
    <w:rsid w:val="00EF72C8"/>
    <w:rsid w:val="00EF72DE"/>
    <w:rsid w:val="00EF7377"/>
    <w:rsid w:val="00EF73CE"/>
    <w:rsid w:val="00EF74A2"/>
    <w:rsid w:val="00EF75E4"/>
    <w:rsid w:val="00EF76CD"/>
    <w:rsid w:val="00EF7C6F"/>
    <w:rsid w:val="00EF7D37"/>
    <w:rsid w:val="00EF7DC3"/>
    <w:rsid w:val="00EF7E3E"/>
    <w:rsid w:val="00EF7F22"/>
    <w:rsid w:val="00EF7FA0"/>
    <w:rsid w:val="00EF7FEE"/>
    <w:rsid w:val="00F0026F"/>
    <w:rsid w:val="00F00481"/>
    <w:rsid w:val="00F00493"/>
    <w:rsid w:val="00F0052B"/>
    <w:rsid w:val="00F005CB"/>
    <w:rsid w:val="00F0096F"/>
    <w:rsid w:val="00F00C19"/>
    <w:rsid w:val="00F00EC1"/>
    <w:rsid w:val="00F0108B"/>
    <w:rsid w:val="00F010E6"/>
    <w:rsid w:val="00F01361"/>
    <w:rsid w:val="00F013C9"/>
    <w:rsid w:val="00F013F6"/>
    <w:rsid w:val="00F0150D"/>
    <w:rsid w:val="00F0180F"/>
    <w:rsid w:val="00F01A0D"/>
    <w:rsid w:val="00F01A79"/>
    <w:rsid w:val="00F0215E"/>
    <w:rsid w:val="00F0232C"/>
    <w:rsid w:val="00F0232D"/>
    <w:rsid w:val="00F024FF"/>
    <w:rsid w:val="00F02526"/>
    <w:rsid w:val="00F0289C"/>
    <w:rsid w:val="00F02973"/>
    <w:rsid w:val="00F02AB3"/>
    <w:rsid w:val="00F02C58"/>
    <w:rsid w:val="00F02D20"/>
    <w:rsid w:val="00F02F15"/>
    <w:rsid w:val="00F02FEC"/>
    <w:rsid w:val="00F0312C"/>
    <w:rsid w:val="00F03195"/>
    <w:rsid w:val="00F032F2"/>
    <w:rsid w:val="00F033B1"/>
    <w:rsid w:val="00F03407"/>
    <w:rsid w:val="00F03AC5"/>
    <w:rsid w:val="00F03C60"/>
    <w:rsid w:val="00F03CC4"/>
    <w:rsid w:val="00F03EDE"/>
    <w:rsid w:val="00F03F0C"/>
    <w:rsid w:val="00F03F10"/>
    <w:rsid w:val="00F03F14"/>
    <w:rsid w:val="00F04096"/>
    <w:rsid w:val="00F041CA"/>
    <w:rsid w:val="00F042B8"/>
    <w:rsid w:val="00F045B9"/>
    <w:rsid w:val="00F04778"/>
    <w:rsid w:val="00F047F9"/>
    <w:rsid w:val="00F04A41"/>
    <w:rsid w:val="00F04B82"/>
    <w:rsid w:val="00F04DEF"/>
    <w:rsid w:val="00F0526A"/>
    <w:rsid w:val="00F054D2"/>
    <w:rsid w:val="00F05680"/>
    <w:rsid w:val="00F0570C"/>
    <w:rsid w:val="00F05867"/>
    <w:rsid w:val="00F05EC6"/>
    <w:rsid w:val="00F05ED4"/>
    <w:rsid w:val="00F06010"/>
    <w:rsid w:val="00F0649D"/>
    <w:rsid w:val="00F06527"/>
    <w:rsid w:val="00F065B9"/>
    <w:rsid w:val="00F06A32"/>
    <w:rsid w:val="00F06C05"/>
    <w:rsid w:val="00F06D73"/>
    <w:rsid w:val="00F06EC4"/>
    <w:rsid w:val="00F06F40"/>
    <w:rsid w:val="00F071FA"/>
    <w:rsid w:val="00F0744A"/>
    <w:rsid w:val="00F07520"/>
    <w:rsid w:val="00F07522"/>
    <w:rsid w:val="00F077E1"/>
    <w:rsid w:val="00F07A48"/>
    <w:rsid w:val="00F07A8B"/>
    <w:rsid w:val="00F07D2E"/>
    <w:rsid w:val="00F07EDF"/>
    <w:rsid w:val="00F07F85"/>
    <w:rsid w:val="00F10192"/>
    <w:rsid w:val="00F1020F"/>
    <w:rsid w:val="00F104A2"/>
    <w:rsid w:val="00F104FD"/>
    <w:rsid w:val="00F1056F"/>
    <w:rsid w:val="00F107CA"/>
    <w:rsid w:val="00F1083F"/>
    <w:rsid w:val="00F10881"/>
    <w:rsid w:val="00F10990"/>
    <w:rsid w:val="00F10AFE"/>
    <w:rsid w:val="00F10B66"/>
    <w:rsid w:val="00F10D06"/>
    <w:rsid w:val="00F10FC1"/>
    <w:rsid w:val="00F10FE3"/>
    <w:rsid w:val="00F1102C"/>
    <w:rsid w:val="00F1113E"/>
    <w:rsid w:val="00F11580"/>
    <w:rsid w:val="00F11798"/>
    <w:rsid w:val="00F11860"/>
    <w:rsid w:val="00F11A67"/>
    <w:rsid w:val="00F11A98"/>
    <w:rsid w:val="00F11CCA"/>
    <w:rsid w:val="00F11D7F"/>
    <w:rsid w:val="00F11EAC"/>
    <w:rsid w:val="00F11F92"/>
    <w:rsid w:val="00F11F96"/>
    <w:rsid w:val="00F11F9E"/>
    <w:rsid w:val="00F1238A"/>
    <w:rsid w:val="00F123C0"/>
    <w:rsid w:val="00F124A3"/>
    <w:rsid w:val="00F124A6"/>
    <w:rsid w:val="00F127D6"/>
    <w:rsid w:val="00F128E6"/>
    <w:rsid w:val="00F12A5A"/>
    <w:rsid w:val="00F12CCF"/>
    <w:rsid w:val="00F12DA7"/>
    <w:rsid w:val="00F12DBA"/>
    <w:rsid w:val="00F12E86"/>
    <w:rsid w:val="00F12EFB"/>
    <w:rsid w:val="00F12FF0"/>
    <w:rsid w:val="00F1312F"/>
    <w:rsid w:val="00F13178"/>
    <w:rsid w:val="00F134E9"/>
    <w:rsid w:val="00F136A3"/>
    <w:rsid w:val="00F1381E"/>
    <w:rsid w:val="00F13991"/>
    <w:rsid w:val="00F13B72"/>
    <w:rsid w:val="00F13B97"/>
    <w:rsid w:val="00F13D1F"/>
    <w:rsid w:val="00F13DC1"/>
    <w:rsid w:val="00F13DFD"/>
    <w:rsid w:val="00F14009"/>
    <w:rsid w:val="00F14066"/>
    <w:rsid w:val="00F141A2"/>
    <w:rsid w:val="00F142BE"/>
    <w:rsid w:val="00F14512"/>
    <w:rsid w:val="00F149A2"/>
    <w:rsid w:val="00F14A42"/>
    <w:rsid w:val="00F14B39"/>
    <w:rsid w:val="00F14BE4"/>
    <w:rsid w:val="00F14C2C"/>
    <w:rsid w:val="00F14CC4"/>
    <w:rsid w:val="00F14CC6"/>
    <w:rsid w:val="00F14D36"/>
    <w:rsid w:val="00F14D98"/>
    <w:rsid w:val="00F14E41"/>
    <w:rsid w:val="00F14EB9"/>
    <w:rsid w:val="00F14F8D"/>
    <w:rsid w:val="00F14FBD"/>
    <w:rsid w:val="00F1518C"/>
    <w:rsid w:val="00F152EA"/>
    <w:rsid w:val="00F1533B"/>
    <w:rsid w:val="00F15A7E"/>
    <w:rsid w:val="00F15ABB"/>
    <w:rsid w:val="00F15AFF"/>
    <w:rsid w:val="00F15B9E"/>
    <w:rsid w:val="00F15BA7"/>
    <w:rsid w:val="00F15BCB"/>
    <w:rsid w:val="00F15EAA"/>
    <w:rsid w:val="00F15F04"/>
    <w:rsid w:val="00F15F5C"/>
    <w:rsid w:val="00F1609F"/>
    <w:rsid w:val="00F16310"/>
    <w:rsid w:val="00F164AE"/>
    <w:rsid w:val="00F16520"/>
    <w:rsid w:val="00F165A3"/>
    <w:rsid w:val="00F167B6"/>
    <w:rsid w:val="00F168F6"/>
    <w:rsid w:val="00F1692A"/>
    <w:rsid w:val="00F16972"/>
    <w:rsid w:val="00F169EE"/>
    <w:rsid w:val="00F16C0A"/>
    <w:rsid w:val="00F16CE2"/>
    <w:rsid w:val="00F16FDC"/>
    <w:rsid w:val="00F17073"/>
    <w:rsid w:val="00F17115"/>
    <w:rsid w:val="00F171F0"/>
    <w:rsid w:val="00F173ED"/>
    <w:rsid w:val="00F174A6"/>
    <w:rsid w:val="00F17649"/>
    <w:rsid w:val="00F17935"/>
    <w:rsid w:val="00F17996"/>
    <w:rsid w:val="00F17BAA"/>
    <w:rsid w:val="00F17E18"/>
    <w:rsid w:val="00F17E89"/>
    <w:rsid w:val="00F17EBC"/>
    <w:rsid w:val="00F17FE7"/>
    <w:rsid w:val="00F20018"/>
    <w:rsid w:val="00F2054F"/>
    <w:rsid w:val="00F2066A"/>
    <w:rsid w:val="00F206C0"/>
    <w:rsid w:val="00F20700"/>
    <w:rsid w:val="00F2076F"/>
    <w:rsid w:val="00F208B2"/>
    <w:rsid w:val="00F20A87"/>
    <w:rsid w:val="00F20C12"/>
    <w:rsid w:val="00F20C43"/>
    <w:rsid w:val="00F20DF1"/>
    <w:rsid w:val="00F21050"/>
    <w:rsid w:val="00F21064"/>
    <w:rsid w:val="00F2109E"/>
    <w:rsid w:val="00F21C46"/>
    <w:rsid w:val="00F21DA4"/>
    <w:rsid w:val="00F22051"/>
    <w:rsid w:val="00F22166"/>
    <w:rsid w:val="00F2228F"/>
    <w:rsid w:val="00F22579"/>
    <w:rsid w:val="00F2266B"/>
    <w:rsid w:val="00F227BE"/>
    <w:rsid w:val="00F228AA"/>
    <w:rsid w:val="00F22CDC"/>
    <w:rsid w:val="00F2315B"/>
    <w:rsid w:val="00F23179"/>
    <w:rsid w:val="00F23266"/>
    <w:rsid w:val="00F23337"/>
    <w:rsid w:val="00F233EC"/>
    <w:rsid w:val="00F234AB"/>
    <w:rsid w:val="00F234C0"/>
    <w:rsid w:val="00F23BD4"/>
    <w:rsid w:val="00F23C89"/>
    <w:rsid w:val="00F241F0"/>
    <w:rsid w:val="00F241FC"/>
    <w:rsid w:val="00F2422B"/>
    <w:rsid w:val="00F248DB"/>
    <w:rsid w:val="00F248F9"/>
    <w:rsid w:val="00F24A2A"/>
    <w:rsid w:val="00F24B65"/>
    <w:rsid w:val="00F24BDE"/>
    <w:rsid w:val="00F24CB3"/>
    <w:rsid w:val="00F24E00"/>
    <w:rsid w:val="00F24E9E"/>
    <w:rsid w:val="00F25065"/>
    <w:rsid w:val="00F2524E"/>
    <w:rsid w:val="00F25446"/>
    <w:rsid w:val="00F25F3C"/>
    <w:rsid w:val="00F25FAA"/>
    <w:rsid w:val="00F2604B"/>
    <w:rsid w:val="00F26054"/>
    <w:rsid w:val="00F26064"/>
    <w:rsid w:val="00F26247"/>
    <w:rsid w:val="00F262AA"/>
    <w:rsid w:val="00F262E7"/>
    <w:rsid w:val="00F264B7"/>
    <w:rsid w:val="00F266B7"/>
    <w:rsid w:val="00F26903"/>
    <w:rsid w:val="00F26962"/>
    <w:rsid w:val="00F26BE0"/>
    <w:rsid w:val="00F26D0D"/>
    <w:rsid w:val="00F26DEF"/>
    <w:rsid w:val="00F27228"/>
    <w:rsid w:val="00F27241"/>
    <w:rsid w:val="00F272BD"/>
    <w:rsid w:val="00F2765D"/>
    <w:rsid w:val="00F2769B"/>
    <w:rsid w:val="00F276F1"/>
    <w:rsid w:val="00F277A2"/>
    <w:rsid w:val="00F277A3"/>
    <w:rsid w:val="00F279F1"/>
    <w:rsid w:val="00F27B4D"/>
    <w:rsid w:val="00F27DA9"/>
    <w:rsid w:val="00F30015"/>
    <w:rsid w:val="00F302D7"/>
    <w:rsid w:val="00F302F0"/>
    <w:rsid w:val="00F30329"/>
    <w:rsid w:val="00F30429"/>
    <w:rsid w:val="00F30475"/>
    <w:rsid w:val="00F304A2"/>
    <w:rsid w:val="00F30752"/>
    <w:rsid w:val="00F307D5"/>
    <w:rsid w:val="00F3081C"/>
    <w:rsid w:val="00F30DFC"/>
    <w:rsid w:val="00F30E0D"/>
    <w:rsid w:val="00F3119F"/>
    <w:rsid w:val="00F311B0"/>
    <w:rsid w:val="00F3150F"/>
    <w:rsid w:val="00F317D7"/>
    <w:rsid w:val="00F31814"/>
    <w:rsid w:val="00F3195F"/>
    <w:rsid w:val="00F31A40"/>
    <w:rsid w:val="00F31B2D"/>
    <w:rsid w:val="00F31B92"/>
    <w:rsid w:val="00F31BF2"/>
    <w:rsid w:val="00F31CF0"/>
    <w:rsid w:val="00F31D98"/>
    <w:rsid w:val="00F3224A"/>
    <w:rsid w:val="00F32276"/>
    <w:rsid w:val="00F3247C"/>
    <w:rsid w:val="00F32770"/>
    <w:rsid w:val="00F327DC"/>
    <w:rsid w:val="00F32906"/>
    <w:rsid w:val="00F32A30"/>
    <w:rsid w:val="00F32A49"/>
    <w:rsid w:val="00F32FCF"/>
    <w:rsid w:val="00F33270"/>
    <w:rsid w:val="00F332FF"/>
    <w:rsid w:val="00F3330B"/>
    <w:rsid w:val="00F3360D"/>
    <w:rsid w:val="00F3389A"/>
    <w:rsid w:val="00F339B1"/>
    <w:rsid w:val="00F33A7E"/>
    <w:rsid w:val="00F33A8F"/>
    <w:rsid w:val="00F33DD1"/>
    <w:rsid w:val="00F34064"/>
    <w:rsid w:val="00F344DC"/>
    <w:rsid w:val="00F347EB"/>
    <w:rsid w:val="00F34904"/>
    <w:rsid w:val="00F3490C"/>
    <w:rsid w:val="00F34975"/>
    <w:rsid w:val="00F34AC1"/>
    <w:rsid w:val="00F34C1C"/>
    <w:rsid w:val="00F34CF3"/>
    <w:rsid w:val="00F34CF4"/>
    <w:rsid w:val="00F34E84"/>
    <w:rsid w:val="00F34FE3"/>
    <w:rsid w:val="00F35003"/>
    <w:rsid w:val="00F352C7"/>
    <w:rsid w:val="00F353E3"/>
    <w:rsid w:val="00F35467"/>
    <w:rsid w:val="00F35606"/>
    <w:rsid w:val="00F35720"/>
    <w:rsid w:val="00F357F2"/>
    <w:rsid w:val="00F358EF"/>
    <w:rsid w:val="00F35B7D"/>
    <w:rsid w:val="00F35C84"/>
    <w:rsid w:val="00F35F28"/>
    <w:rsid w:val="00F35F54"/>
    <w:rsid w:val="00F361FA"/>
    <w:rsid w:val="00F361FE"/>
    <w:rsid w:val="00F363CE"/>
    <w:rsid w:val="00F3644D"/>
    <w:rsid w:val="00F36537"/>
    <w:rsid w:val="00F366CC"/>
    <w:rsid w:val="00F366FC"/>
    <w:rsid w:val="00F3671C"/>
    <w:rsid w:val="00F368C1"/>
    <w:rsid w:val="00F369B4"/>
    <w:rsid w:val="00F36ABF"/>
    <w:rsid w:val="00F36BB2"/>
    <w:rsid w:val="00F36F6B"/>
    <w:rsid w:val="00F36FC4"/>
    <w:rsid w:val="00F37135"/>
    <w:rsid w:val="00F37314"/>
    <w:rsid w:val="00F373FB"/>
    <w:rsid w:val="00F37453"/>
    <w:rsid w:val="00F376B6"/>
    <w:rsid w:val="00F378B3"/>
    <w:rsid w:val="00F3796F"/>
    <w:rsid w:val="00F379BD"/>
    <w:rsid w:val="00F37BB8"/>
    <w:rsid w:val="00F37EF0"/>
    <w:rsid w:val="00F37FF9"/>
    <w:rsid w:val="00F40051"/>
    <w:rsid w:val="00F400F7"/>
    <w:rsid w:val="00F402D4"/>
    <w:rsid w:val="00F404A0"/>
    <w:rsid w:val="00F40AEF"/>
    <w:rsid w:val="00F40AFF"/>
    <w:rsid w:val="00F40BB0"/>
    <w:rsid w:val="00F40FA7"/>
    <w:rsid w:val="00F4193E"/>
    <w:rsid w:val="00F41A7E"/>
    <w:rsid w:val="00F41B79"/>
    <w:rsid w:val="00F41C70"/>
    <w:rsid w:val="00F41DE5"/>
    <w:rsid w:val="00F42020"/>
    <w:rsid w:val="00F42022"/>
    <w:rsid w:val="00F4208F"/>
    <w:rsid w:val="00F42640"/>
    <w:rsid w:val="00F42784"/>
    <w:rsid w:val="00F4283A"/>
    <w:rsid w:val="00F42B77"/>
    <w:rsid w:val="00F42B7E"/>
    <w:rsid w:val="00F42C72"/>
    <w:rsid w:val="00F42E17"/>
    <w:rsid w:val="00F4310F"/>
    <w:rsid w:val="00F43291"/>
    <w:rsid w:val="00F432D6"/>
    <w:rsid w:val="00F4350C"/>
    <w:rsid w:val="00F435E4"/>
    <w:rsid w:val="00F43688"/>
    <w:rsid w:val="00F4392F"/>
    <w:rsid w:val="00F43AEE"/>
    <w:rsid w:val="00F43B68"/>
    <w:rsid w:val="00F43D2D"/>
    <w:rsid w:val="00F43F00"/>
    <w:rsid w:val="00F43F7C"/>
    <w:rsid w:val="00F44095"/>
    <w:rsid w:val="00F44208"/>
    <w:rsid w:val="00F4429C"/>
    <w:rsid w:val="00F443A4"/>
    <w:rsid w:val="00F445E4"/>
    <w:rsid w:val="00F44694"/>
    <w:rsid w:val="00F448EC"/>
    <w:rsid w:val="00F44C03"/>
    <w:rsid w:val="00F44CCE"/>
    <w:rsid w:val="00F44CFB"/>
    <w:rsid w:val="00F44F20"/>
    <w:rsid w:val="00F4517E"/>
    <w:rsid w:val="00F45299"/>
    <w:rsid w:val="00F4530B"/>
    <w:rsid w:val="00F4583D"/>
    <w:rsid w:val="00F459FF"/>
    <w:rsid w:val="00F45D1F"/>
    <w:rsid w:val="00F463DF"/>
    <w:rsid w:val="00F464BD"/>
    <w:rsid w:val="00F4659F"/>
    <w:rsid w:val="00F465DD"/>
    <w:rsid w:val="00F46699"/>
    <w:rsid w:val="00F466EA"/>
    <w:rsid w:val="00F4681D"/>
    <w:rsid w:val="00F46850"/>
    <w:rsid w:val="00F469B9"/>
    <w:rsid w:val="00F46A12"/>
    <w:rsid w:val="00F46A3C"/>
    <w:rsid w:val="00F46CC3"/>
    <w:rsid w:val="00F46D98"/>
    <w:rsid w:val="00F46E6B"/>
    <w:rsid w:val="00F46F0D"/>
    <w:rsid w:val="00F470B6"/>
    <w:rsid w:val="00F473C9"/>
    <w:rsid w:val="00F4749E"/>
    <w:rsid w:val="00F474F3"/>
    <w:rsid w:val="00F4757A"/>
    <w:rsid w:val="00F47818"/>
    <w:rsid w:val="00F47AD4"/>
    <w:rsid w:val="00F47B9B"/>
    <w:rsid w:val="00F47D5D"/>
    <w:rsid w:val="00F47FC8"/>
    <w:rsid w:val="00F50029"/>
    <w:rsid w:val="00F502A6"/>
    <w:rsid w:val="00F502C6"/>
    <w:rsid w:val="00F50493"/>
    <w:rsid w:val="00F50633"/>
    <w:rsid w:val="00F506EF"/>
    <w:rsid w:val="00F50A26"/>
    <w:rsid w:val="00F50C1B"/>
    <w:rsid w:val="00F50CE8"/>
    <w:rsid w:val="00F50D18"/>
    <w:rsid w:val="00F50D61"/>
    <w:rsid w:val="00F50E1A"/>
    <w:rsid w:val="00F51157"/>
    <w:rsid w:val="00F512B3"/>
    <w:rsid w:val="00F51382"/>
    <w:rsid w:val="00F513B7"/>
    <w:rsid w:val="00F5140D"/>
    <w:rsid w:val="00F514DC"/>
    <w:rsid w:val="00F51510"/>
    <w:rsid w:val="00F51516"/>
    <w:rsid w:val="00F51711"/>
    <w:rsid w:val="00F51BF6"/>
    <w:rsid w:val="00F51CBD"/>
    <w:rsid w:val="00F51D51"/>
    <w:rsid w:val="00F521FC"/>
    <w:rsid w:val="00F52352"/>
    <w:rsid w:val="00F525E9"/>
    <w:rsid w:val="00F52797"/>
    <w:rsid w:val="00F52837"/>
    <w:rsid w:val="00F52D34"/>
    <w:rsid w:val="00F532EF"/>
    <w:rsid w:val="00F53399"/>
    <w:rsid w:val="00F5346B"/>
    <w:rsid w:val="00F53573"/>
    <w:rsid w:val="00F537C9"/>
    <w:rsid w:val="00F53B5D"/>
    <w:rsid w:val="00F53B6D"/>
    <w:rsid w:val="00F53DED"/>
    <w:rsid w:val="00F53F08"/>
    <w:rsid w:val="00F54068"/>
    <w:rsid w:val="00F54208"/>
    <w:rsid w:val="00F54301"/>
    <w:rsid w:val="00F54558"/>
    <w:rsid w:val="00F54749"/>
    <w:rsid w:val="00F54A9C"/>
    <w:rsid w:val="00F54B5C"/>
    <w:rsid w:val="00F54BED"/>
    <w:rsid w:val="00F54D75"/>
    <w:rsid w:val="00F54DA5"/>
    <w:rsid w:val="00F550E2"/>
    <w:rsid w:val="00F5512D"/>
    <w:rsid w:val="00F55205"/>
    <w:rsid w:val="00F5521D"/>
    <w:rsid w:val="00F552D9"/>
    <w:rsid w:val="00F552DE"/>
    <w:rsid w:val="00F55316"/>
    <w:rsid w:val="00F5564D"/>
    <w:rsid w:val="00F5568E"/>
    <w:rsid w:val="00F55735"/>
    <w:rsid w:val="00F55773"/>
    <w:rsid w:val="00F559A3"/>
    <w:rsid w:val="00F559AE"/>
    <w:rsid w:val="00F559EF"/>
    <w:rsid w:val="00F55A6B"/>
    <w:rsid w:val="00F55CB3"/>
    <w:rsid w:val="00F55D30"/>
    <w:rsid w:val="00F56510"/>
    <w:rsid w:val="00F56556"/>
    <w:rsid w:val="00F565A3"/>
    <w:rsid w:val="00F56615"/>
    <w:rsid w:val="00F56903"/>
    <w:rsid w:val="00F56953"/>
    <w:rsid w:val="00F56A57"/>
    <w:rsid w:val="00F56AF6"/>
    <w:rsid w:val="00F56C08"/>
    <w:rsid w:val="00F56CBD"/>
    <w:rsid w:val="00F56DBD"/>
    <w:rsid w:val="00F56F22"/>
    <w:rsid w:val="00F57352"/>
    <w:rsid w:val="00F5794B"/>
    <w:rsid w:val="00F57B87"/>
    <w:rsid w:val="00F57BEC"/>
    <w:rsid w:val="00F57E5B"/>
    <w:rsid w:val="00F60053"/>
    <w:rsid w:val="00F602E7"/>
    <w:rsid w:val="00F60619"/>
    <w:rsid w:val="00F607C6"/>
    <w:rsid w:val="00F60AB5"/>
    <w:rsid w:val="00F60B91"/>
    <w:rsid w:val="00F60CB8"/>
    <w:rsid w:val="00F60DDB"/>
    <w:rsid w:val="00F60E34"/>
    <w:rsid w:val="00F60F75"/>
    <w:rsid w:val="00F61183"/>
    <w:rsid w:val="00F611B7"/>
    <w:rsid w:val="00F612CE"/>
    <w:rsid w:val="00F61783"/>
    <w:rsid w:val="00F6178A"/>
    <w:rsid w:val="00F61A2E"/>
    <w:rsid w:val="00F61C9C"/>
    <w:rsid w:val="00F61D34"/>
    <w:rsid w:val="00F61D7D"/>
    <w:rsid w:val="00F61EAC"/>
    <w:rsid w:val="00F62082"/>
    <w:rsid w:val="00F6220F"/>
    <w:rsid w:val="00F623FA"/>
    <w:rsid w:val="00F62528"/>
    <w:rsid w:val="00F625D8"/>
    <w:rsid w:val="00F62710"/>
    <w:rsid w:val="00F62828"/>
    <w:rsid w:val="00F628F5"/>
    <w:rsid w:val="00F62B66"/>
    <w:rsid w:val="00F62E47"/>
    <w:rsid w:val="00F62F03"/>
    <w:rsid w:val="00F62F79"/>
    <w:rsid w:val="00F63089"/>
    <w:rsid w:val="00F630AE"/>
    <w:rsid w:val="00F63279"/>
    <w:rsid w:val="00F6348C"/>
    <w:rsid w:val="00F6381C"/>
    <w:rsid w:val="00F639DE"/>
    <w:rsid w:val="00F63D13"/>
    <w:rsid w:val="00F63DA4"/>
    <w:rsid w:val="00F63DDF"/>
    <w:rsid w:val="00F63FFE"/>
    <w:rsid w:val="00F64255"/>
    <w:rsid w:val="00F6431C"/>
    <w:rsid w:val="00F64321"/>
    <w:rsid w:val="00F64334"/>
    <w:rsid w:val="00F6434B"/>
    <w:rsid w:val="00F64457"/>
    <w:rsid w:val="00F644CD"/>
    <w:rsid w:val="00F64621"/>
    <w:rsid w:val="00F64AD1"/>
    <w:rsid w:val="00F64B43"/>
    <w:rsid w:val="00F64D2E"/>
    <w:rsid w:val="00F64FC8"/>
    <w:rsid w:val="00F651B6"/>
    <w:rsid w:val="00F6557B"/>
    <w:rsid w:val="00F65682"/>
    <w:rsid w:val="00F658C3"/>
    <w:rsid w:val="00F6591D"/>
    <w:rsid w:val="00F659C5"/>
    <w:rsid w:val="00F65B91"/>
    <w:rsid w:val="00F65C31"/>
    <w:rsid w:val="00F66048"/>
    <w:rsid w:val="00F66461"/>
    <w:rsid w:val="00F664E3"/>
    <w:rsid w:val="00F6670E"/>
    <w:rsid w:val="00F66722"/>
    <w:rsid w:val="00F6675E"/>
    <w:rsid w:val="00F66957"/>
    <w:rsid w:val="00F66BA1"/>
    <w:rsid w:val="00F66BDC"/>
    <w:rsid w:val="00F66EC4"/>
    <w:rsid w:val="00F67152"/>
    <w:rsid w:val="00F671E2"/>
    <w:rsid w:val="00F6726A"/>
    <w:rsid w:val="00F6771E"/>
    <w:rsid w:val="00F67ABD"/>
    <w:rsid w:val="00F67C62"/>
    <w:rsid w:val="00F67EA6"/>
    <w:rsid w:val="00F67FC3"/>
    <w:rsid w:val="00F70097"/>
    <w:rsid w:val="00F70160"/>
    <w:rsid w:val="00F70848"/>
    <w:rsid w:val="00F70859"/>
    <w:rsid w:val="00F7091A"/>
    <w:rsid w:val="00F70ADF"/>
    <w:rsid w:val="00F70BCA"/>
    <w:rsid w:val="00F70BEA"/>
    <w:rsid w:val="00F70C51"/>
    <w:rsid w:val="00F70DEA"/>
    <w:rsid w:val="00F70E6E"/>
    <w:rsid w:val="00F71119"/>
    <w:rsid w:val="00F7154F"/>
    <w:rsid w:val="00F71972"/>
    <w:rsid w:val="00F71ACC"/>
    <w:rsid w:val="00F71BB4"/>
    <w:rsid w:val="00F71FBD"/>
    <w:rsid w:val="00F72020"/>
    <w:rsid w:val="00F721F7"/>
    <w:rsid w:val="00F72445"/>
    <w:rsid w:val="00F72515"/>
    <w:rsid w:val="00F72617"/>
    <w:rsid w:val="00F728D8"/>
    <w:rsid w:val="00F7291D"/>
    <w:rsid w:val="00F72965"/>
    <w:rsid w:val="00F72AA0"/>
    <w:rsid w:val="00F72B89"/>
    <w:rsid w:val="00F72E89"/>
    <w:rsid w:val="00F7300A"/>
    <w:rsid w:val="00F730DE"/>
    <w:rsid w:val="00F730DF"/>
    <w:rsid w:val="00F73156"/>
    <w:rsid w:val="00F731C7"/>
    <w:rsid w:val="00F73475"/>
    <w:rsid w:val="00F7351F"/>
    <w:rsid w:val="00F73621"/>
    <w:rsid w:val="00F73A96"/>
    <w:rsid w:val="00F73B17"/>
    <w:rsid w:val="00F73BE7"/>
    <w:rsid w:val="00F7435C"/>
    <w:rsid w:val="00F744A1"/>
    <w:rsid w:val="00F745B4"/>
    <w:rsid w:val="00F74679"/>
    <w:rsid w:val="00F746FE"/>
    <w:rsid w:val="00F747E9"/>
    <w:rsid w:val="00F74BD1"/>
    <w:rsid w:val="00F74EB9"/>
    <w:rsid w:val="00F750C1"/>
    <w:rsid w:val="00F75138"/>
    <w:rsid w:val="00F75183"/>
    <w:rsid w:val="00F7550E"/>
    <w:rsid w:val="00F757A2"/>
    <w:rsid w:val="00F757AC"/>
    <w:rsid w:val="00F75950"/>
    <w:rsid w:val="00F75B79"/>
    <w:rsid w:val="00F75C27"/>
    <w:rsid w:val="00F75D85"/>
    <w:rsid w:val="00F76424"/>
    <w:rsid w:val="00F76426"/>
    <w:rsid w:val="00F7647C"/>
    <w:rsid w:val="00F764A3"/>
    <w:rsid w:val="00F764C0"/>
    <w:rsid w:val="00F7664A"/>
    <w:rsid w:val="00F76902"/>
    <w:rsid w:val="00F769ED"/>
    <w:rsid w:val="00F76A4B"/>
    <w:rsid w:val="00F76BB5"/>
    <w:rsid w:val="00F76D10"/>
    <w:rsid w:val="00F76F23"/>
    <w:rsid w:val="00F77198"/>
    <w:rsid w:val="00F77553"/>
    <w:rsid w:val="00F77820"/>
    <w:rsid w:val="00F77AE6"/>
    <w:rsid w:val="00F77AF6"/>
    <w:rsid w:val="00F77D9C"/>
    <w:rsid w:val="00F77E0B"/>
    <w:rsid w:val="00F77EA7"/>
    <w:rsid w:val="00F80073"/>
    <w:rsid w:val="00F8015C"/>
    <w:rsid w:val="00F802C0"/>
    <w:rsid w:val="00F80300"/>
    <w:rsid w:val="00F80563"/>
    <w:rsid w:val="00F80772"/>
    <w:rsid w:val="00F8081F"/>
    <w:rsid w:val="00F809EC"/>
    <w:rsid w:val="00F80CCB"/>
    <w:rsid w:val="00F80CFB"/>
    <w:rsid w:val="00F80F28"/>
    <w:rsid w:val="00F80F53"/>
    <w:rsid w:val="00F811FB"/>
    <w:rsid w:val="00F8138A"/>
    <w:rsid w:val="00F81396"/>
    <w:rsid w:val="00F81437"/>
    <w:rsid w:val="00F8154C"/>
    <w:rsid w:val="00F81786"/>
    <w:rsid w:val="00F818E1"/>
    <w:rsid w:val="00F8195B"/>
    <w:rsid w:val="00F81AB9"/>
    <w:rsid w:val="00F81CD5"/>
    <w:rsid w:val="00F81D82"/>
    <w:rsid w:val="00F81FE9"/>
    <w:rsid w:val="00F8217E"/>
    <w:rsid w:val="00F82259"/>
    <w:rsid w:val="00F822FE"/>
    <w:rsid w:val="00F824C4"/>
    <w:rsid w:val="00F826B1"/>
    <w:rsid w:val="00F82761"/>
    <w:rsid w:val="00F82964"/>
    <w:rsid w:val="00F82BFE"/>
    <w:rsid w:val="00F82C7D"/>
    <w:rsid w:val="00F82E65"/>
    <w:rsid w:val="00F82E8E"/>
    <w:rsid w:val="00F8364F"/>
    <w:rsid w:val="00F83E4A"/>
    <w:rsid w:val="00F84047"/>
    <w:rsid w:val="00F84062"/>
    <w:rsid w:val="00F840F6"/>
    <w:rsid w:val="00F8417C"/>
    <w:rsid w:val="00F842FD"/>
    <w:rsid w:val="00F84496"/>
    <w:rsid w:val="00F84828"/>
    <w:rsid w:val="00F848C1"/>
    <w:rsid w:val="00F8498E"/>
    <w:rsid w:val="00F84AAB"/>
    <w:rsid w:val="00F84BC1"/>
    <w:rsid w:val="00F84C9B"/>
    <w:rsid w:val="00F84D4B"/>
    <w:rsid w:val="00F85025"/>
    <w:rsid w:val="00F85065"/>
    <w:rsid w:val="00F850A5"/>
    <w:rsid w:val="00F85263"/>
    <w:rsid w:val="00F85266"/>
    <w:rsid w:val="00F853F8"/>
    <w:rsid w:val="00F85563"/>
    <w:rsid w:val="00F85865"/>
    <w:rsid w:val="00F8593A"/>
    <w:rsid w:val="00F85D1B"/>
    <w:rsid w:val="00F85D54"/>
    <w:rsid w:val="00F85F66"/>
    <w:rsid w:val="00F85F73"/>
    <w:rsid w:val="00F86007"/>
    <w:rsid w:val="00F86269"/>
    <w:rsid w:val="00F862E3"/>
    <w:rsid w:val="00F8639C"/>
    <w:rsid w:val="00F86429"/>
    <w:rsid w:val="00F8644E"/>
    <w:rsid w:val="00F864FA"/>
    <w:rsid w:val="00F86715"/>
    <w:rsid w:val="00F8695F"/>
    <w:rsid w:val="00F869A5"/>
    <w:rsid w:val="00F86A99"/>
    <w:rsid w:val="00F86ADF"/>
    <w:rsid w:val="00F86B86"/>
    <w:rsid w:val="00F86BC2"/>
    <w:rsid w:val="00F86CD5"/>
    <w:rsid w:val="00F86F79"/>
    <w:rsid w:val="00F87536"/>
    <w:rsid w:val="00F87553"/>
    <w:rsid w:val="00F87A08"/>
    <w:rsid w:val="00F87C7E"/>
    <w:rsid w:val="00F87CF2"/>
    <w:rsid w:val="00F87E56"/>
    <w:rsid w:val="00F87F35"/>
    <w:rsid w:val="00F87F63"/>
    <w:rsid w:val="00F90095"/>
    <w:rsid w:val="00F901A4"/>
    <w:rsid w:val="00F902B9"/>
    <w:rsid w:val="00F907FA"/>
    <w:rsid w:val="00F907FB"/>
    <w:rsid w:val="00F90877"/>
    <w:rsid w:val="00F90891"/>
    <w:rsid w:val="00F90C5C"/>
    <w:rsid w:val="00F90D04"/>
    <w:rsid w:val="00F90E94"/>
    <w:rsid w:val="00F90F4B"/>
    <w:rsid w:val="00F90F83"/>
    <w:rsid w:val="00F9111C"/>
    <w:rsid w:val="00F9113D"/>
    <w:rsid w:val="00F9119D"/>
    <w:rsid w:val="00F91423"/>
    <w:rsid w:val="00F9175C"/>
    <w:rsid w:val="00F91815"/>
    <w:rsid w:val="00F91863"/>
    <w:rsid w:val="00F918E8"/>
    <w:rsid w:val="00F91AD1"/>
    <w:rsid w:val="00F91AEA"/>
    <w:rsid w:val="00F91C5D"/>
    <w:rsid w:val="00F91FB3"/>
    <w:rsid w:val="00F921A7"/>
    <w:rsid w:val="00F921FC"/>
    <w:rsid w:val="00F922B7"/>
    <w:rsid w:val="00F923B6"/>
    <w:rsid w:val="00F925AE"/>
    <w:rsid w:val="00F925D8"/>
    <w:rsid w:val="00F9290F"/>
    <w:rsid w:val="00F92ABA"/>
    <w:rsid w:val="00F92E81"/>
    <w:rsid w:val="00F93275"/>
    <w:rsid w:val="00F934B9"/>
    <w:rsid w:val="00F934C9"/>
    <w:rsid w:val="00F935B0"/>
    <w:rsid w:val="00F9360F"/>
    <w:rsid w:val="00F937CA"/>
    <w:rsid w:val="00F9385D"/>
    <w:rsid w:val="00F93865"/>
    <w:rsid w:val="00F93B98"/>
    <w:rsid w:val="00F93BED"/>
    <w:rsid w:val="00F93CE4"/>
    <w:rsid w:val="00F93DCF"/>
    <w:rsid w:val="00F93E65"/>
    <w:rsid w:val="00F93ED3"/>
    <w:rsid w:val="00F93FBE"/>
    <w:rsid w:val="00F94095"/>
    <w:rsid w:val="00F940FC"/>
    <w:rsid w:val="00F94350"/>
    <w:rsid w:val="00F943A8"/>
    <w:rsid w:val="00F944FB"/>
    <w:rsid w:val="00F946A5"/>
    <w:rsid w:val="00F94734"/>
    <w:rsid w:val="00F94852"/>
    <w:rsid w:val="00F94A50"/>
    <w:rsid w:val="00F94AC9"/>
    <w:rsid w:val="00F94B0A"/>
    <w:rsid w:val="00F94D15"/>
    <w:rsid w:val="00F95130"/>
    <w:rsid w:val="00F95200"/>
    <w:rsid w:val="00F95293"/>
    <w:rsid w:val="00F954BC"/>
    <w:rsid w:val="00F95604"/>
    <w:rsid w:val="00F9560E"/>
    <w:rsid w:val="00F958C7"/>
    <w:rsid w:val="00F95B90"/>
    <w:rsid w:val="00F95CBD"/>
    <w:rsid w:val="00F95D1C"/>
    <w:rsid w:val="00F95DE9"/>
    <w:rsid w:val="00F95DFE"/>
    <w:rsid w:val="00F95EA6"/>
    <w:rsid w:val="00F96130"/>
    <w:rsid w:val="00F96264"/>
    <w:rsid w:val="00F9634B"/>
    <w:rsid w:val="00F9635D"/>
    <w:rsid w:val="00F9638E"/>
    <w:rsid w:val="00F96534"/>
    <w:rsid w:val="00F966E5"/>
    <w:rsid w:val="00F9694B"/>
    <w:rsid w:val="00F96BDD"/>
    <w:rsid w:val="00F96BE1"/>
    <w:rsid w:val="00F96C42"/>
    <w:rsid w:val="00F96D88"/>
    <w:rsid w:val="00F96E27"/>
    <w:rsid w:val="00F971FD"/>
    <w:rsid w:val="00F971FE"/>
    <w:rsid w:val="00F97269"/>
    <w:rsid w:val="00F97331"/>
    <w:rsid w:val="00F973D7"/>
    <w:rsid w:val="00F9748F"/>
    <w:rsid w:val="00F975B4"/>
    <w:rsid w:val="00F97677"/>
    <w:rsid w:val="00F97A59"/>
    <w:rsid w:val="00F97AA2"/>
    <w:rsid w:val="00F97ABC"/>
    <w:rsid w:val="00F97B99"/>
    <w:rsid w:val="00F97D94"/>
    <w:rsid w:val="00FA01A5"/>
    <w:rsid w:val="00FA01BB"/>
    <w:rsid w:val="00FA03D7"/>
    <w:rsid w:val="00FA0457"/>
    <w:rsid w:val="00FA04F5"/>
    <w:rsid w:val="00FA0590"/>
    <w:rsid w:val="00FA0639"/>
    <w:rsid w:val="00FA068E"/>
    <w:rsid w:val="00FA0695"/>
    <w:rsid w:val="00FA0854"/>
    <w:rsid w:val="00FA0870"/>
    <w:rsid w:val="00FA0AD2"/>
    <w:rsid w:val="00FA0E66"/>
    <w:rsid w:val="00FA1119"/>
    <w:rsid w:val="00FA155A"/>
    <w:rsid w:val="00FA15B3"/>
    <w:rsid w:val="00FA15BE"/>
    <w:rsid w:val="00FA15F4"/>
    <w:rsid w:val="00FA173B"/>
    <w:rsid w:val="00FA1837"/>
    <w:rsid w:val="00FA197A"/>
    <w:rsid w:val="00FA1C07"/>
    <w:rsid w:val="00FA1ED5"/>
    <w:rsid w:val="00FA213E"/>
    <w:rsid w:val="00FA2346"/>
    <w:rsid w:val="00FA23FE"/>
    <w:rsid w:val="00FA24E2"/>
    <w:rsid w:val="00FA2561"/>
    <w:rsid w:val="00FA2653"/>
    <w:rsid w:val="00FA26F9"/>
    <w:rsid w:val="00FA2843"/>
    <w:rsid w:val="00FA2A18"/>
    <w:rsid w:val="00FA2D77"/>
    <w:rsid w:val="00FA2F2D"/>
    <w:rsid w:val="00FA30BA"/>
    <w:rsid w:val="00FA31BD"/>
    <w:rsid w:val="00FA3232"/>
    <w:rsid w:val="00FA333D"/>
    <w:rsid w:val="00FA336B"/>
    <w:rsid w:val="00FA3652"/>
    <w:rsid w:val="00FA3980"/>
    <w:rsid w:val="00FA3A5B"/>
    <w:rsid w:val="00FA3A81"/>
    <w:rsid w:val="00FA3BE1"/>
    <w:rsid w:val="00FA3C7D"/>
    <w:rsid w:val="00FA3CD4"/>
    <w:rsid w:val="00FA3E40"/>
    <w:rsid w:val="00FA400B"/>
    <w:rsid w:val="00FA4146"/>
    <w:rsid w:val="00FA430D"/>
    <w:rsid w:val="00FA4664"/>
    <w:rsid w:val="00FA4751"/>
    <w:rsid w:val="00FA477B"/>
    <w:rsid w:val="00FA47E4"/>
    <w:rsid w:val="00FA5173"/>
    <w:rsid w:val="00FA5428"/>
    <w:rsid w:val="00FA554B"/>
    <w:rsid w:val="00FA5606"/>
    <w:rsid w:val="00FA570C"/>
    <w:rsid w:val="00FA5997"/>
    <w:rsid w:val="00FA59AB"/>
    <w:rsid w:val="00FA5B2C"/>
    <w:rsid w:val="00FA5C60"/>
    <w:rsid w:val="00FA5CF6"/>
    <w:rsid w:val="00FA5E26"/>
    <w:rsid w:val="00FA5E83"/>
    <w:rsid w:val="00FA5F34"/>
    <w:rsid w:val="00FA5F3F"/>
    <w:rsid w:val="00FA61B6"/>
    <w:rsid w:val="00FA61EB"/>
    <w:rsid w:val="00FA6262"/>
    <w:rsid w:val="00FA65CE"/>
    <w:rsid w:val="00FA6813"/>
    <w:rsid w:val="00FA69C8"/>
    <w:rsid w:val="00FA69FA"/>
    <w:rsid w:val="00FA6AF4"/>
    <w:rsid w:val="00FA6E27"/>
    <w:rsid w:val="00FA6EC4"/>
    <w:rsid w:val="00FA6F28"/>
    <w:rsid w:val="00FA6F93"/>
    <w:rsid w:val="00FA7093"/>
    <w:rsid w:val="00FA70B3"/>
    <w:rsid w:val="00FA7173"/>
    <w:rsid w:val="00FA74F1"/>
    <w:rsid w:val="00FA7845"/>
    <w:rsid w:val="00FA7929"/>
    <w:rsid w:val="00FA7AD2"/>
    <w:rsid w:val="00FA7AE3"/>
    <w:rsid w:val="00FA7B23"/>
    <w:rsid w:val="00FA7C6A"/>
    <w:rsid w:val="00FA7DD8"/>
    <w:rsid w:val="00FA7DDA"/>
    <w:rsid w:val="00FB025A"/>
    <w:rsid w:val="00FB025C"/>
    <w:rsid w:val="00FB0351"/>
    <w:rsid w:val="00FB04E6"/>
    <w:rsid w:val="00FB0544"/>
    <w:rsid w:val="00FB057E"/>
    <w:rsid w:val="00FB0633"/>
    <w:rsid w:val="00FB06AE"/>
    <w:rsid w:val="00FB0A20"/>
    <w:rsid w:val="00FB0BBE"/>
    <w:rsid w:val="00FB0D21"/>
    <w:rsid w:val="00FB0D6D"/>
    <w:rsid w:val="00FB0ED3"/>
    <w:rsid w:val="00FB0EF6"/>
    <w:rsid w:val="00FB0F33"/>
    <w:rsid w:val="00FB1334"/>
    <w:rsid w:val="00FB150C"/>
    <w:rsid w:val="00FB18E7"/>
    <w:rsid w:val="00FB1A7E"/>
    <w:rsid w:val="00FB1A80"/>
    <w:rsid w:val="00FB1DD3"/>
    <w:rsid w:val="00FB1F2C"/>
    <w:rsid w:val="00FB202B"/>
    <w:rsid w:val="00FB2095"/>
    <w:rsid w:val="00FB21B1"/>
    <w:rsid w:val="00FB220E"/>
    <w:rsid w:val="00FB258C"/>
    <w:rsid w:val="00FB25C1"/>
    <w:rsid w:val="00FB2611"/>
    <w:rsid w:val="00FB26FE"/>
    <w:rsid w:val="00FB2779"/>
    <w:rsid w:val="00FB27B7"/>
    <w:rsid w:val="00FB2881"/>
    <w:rsid w:val="00FB28F1"/>
    <w:rsid w:val="00FB298A"/>
    <w:rsid w:val="00FB2BA2"/>
    <w:rsid w:val="00FB2C3E"/>
    <w:rsid w:val="00FB2D33"/>
    <w:rsid w:val="00FB2DA1"/>
    <w:rsid w:val="00FB2E28"/>
    <w:rsid w:val="00FB2EA3"/>
    <w:rsid w:val="00FB2F40"/>
    <w:rsid w:val="00FB2F9B"/>
    <w:rsid w:val="00FB30B8"/>
    <w:rsid w:val="00FB3145"/>
    <w:rsid w:val="00FB3651"/>
    <w:rsid w:val="00FB367D"/>
    <w:rsid w:val="00FB372B"/>
    <w:rsid w:val="00FB3765"/>
    <w:rsid w:val="00FB37C2"/>
    <w:rsid w:val="00FB384D"/>
    <w:rsid w:val="00FB38C1"/>
    <w:rsid w:val="00FB38D2"/>
    <w:rsid w:val="00FB38DA"/>
    <w:rsid w:val="00FB3986"/>
    <w:rsid w:val="00FB3AB7"/>
    <w:rsid w:val="00FB3B64"/>
    <w:rsid w:val="00FB406F"/>
    <w:rsid w:val="00FB4468"/>
    <w:rsid w:val="00FB4CC0"/>
    <w:rsid w:val="00FB52C3"/>
    <w:rsid w:val="00FB52D9"/>
    <w:rsid w:val="00FB54C4"/>
    <w:rsid w:val="00FB54E3"/>
    <w:rsid w:val="00FB55C7"/>
    <w:rsid w:val="00FB5628"/>
    <w:rsid w:val="00FB58F1"/>
    <w:rsid w:val="00FB5978"/>
    <w:rsid w:val="00FB5CC4"/>
    <w:rsid w:val="00FB5D5A"/>
    <w:rsid w:val="00FB5DA9"/>
    <w:rsid w:val="00FB5E3C"/>
    <w:rsid w:val="00FB5EEF"/>
    <w:rsid w:val="00FB5F12"/>
    <w:rsid w:val="00FB5F34"/>
    <w:rsid w:val="00FB60FF"/>
    <w:rsid w:val="00FB6154"/>
    <w:rsid w:val="00FB6343"/>
    <w:rsid w:val="00FB64E3"/>
    <w:rsid w:val="00FB66AC"/>
    <w:rsid w:val="00FB6954"/>
    <w:rsid w:val="00FB6BEE"/>
    <w:rsid w:val="00FB6C38"/>
    <w:rsid w:val="00FB6F4C"/>
    <w:rsid w:val="00FB7095"/>
    <w:rsid w:val="00FB70BE"/>
    <w:rsid w:val="00FB7175"/>
    <w:rsid w:val="00FB73A1"/>
    <w:rsid w:val="00FB741A"/>
    <w:rsid w:val="00FB747F"/>
    <w:rsid w:val="00FB756E"/>
    <w:rsid w:val="00FB7571"/>
    <w:rsid w:val="00FB77B7"/>
    <w:rsid w:val="00FB7862"/>
    <w:rsid w:val="00FB7871"/>
    <w:rsid w:val="00FB7B17"/>
    <w:rsid w:val="00FB7D68"/>
    <w:rsid w:val="00FB7E17"/>
    <w:rsid w:val="00FB7E82"/>
    <w:rsid w:val="00FB7FC6"/>
    <w:rsid w:val="00FB7FD9"/>
    <w:rsid w:val="00FC01D2"/>
    <w:rsid w:val="00FC01F1"/>
    <w:rsid w:val="00FC0333"/>
    <w:rsid w:val="00FC03FE"/>
    <w:rsid w:val="00FC08E4"/>
    <w:rsid w:val="00FC0927"/>
    <w:rsid w:val="00FC0AC7"/>
    <w:rsid w:val="00FC0B49"/>
    <w:rsid w:val="00FC0C3C"/>
    <w:rsid w:val="00FC0C58"/>
    <w:rsid w:val="00FC0DC2"/>
    <w:rsid w:val="00FC10C7"/>
    <w:rsid w:val="00FC1589"/>
    <w:rsid w:val="00FC16CA"/>
    <w:rsid w:val="00FC179C"/>
    <w:rsid w:val="00FC1818"/>
    <w:rsid w:val="00FC186D"/>
    <w:rsid w:val="00FC1AB9"/>
    <w:rsid w:val="00FC1AE4"/>
    <w:rsid w:val="00FC1B0B"/>
    <w:rsid w:val="00FC1D96"/>
    <w:rsid w:val="00FC1E9B"/>
    <w:rsid w:val="00FC202B"/>
    <w:rsid w:val="00FC2052"/>
    <w:rsid w:val="00FC2104"/>
    <w:rsid w:val="00FC25A2"/>
    <w:rsid w:val="00FC293E"/>
    <w:rsid w:val="00FC2A09"/>
    <w:rsid w:val="00FC2B0D"/>
    <w:rsid w:val="00FC2B7B"/>
    <w:rsid w:val="00FC2BCC"/>
    <w:rsid w:val="00FC2C15"/>
    <w:rsid w:val="00FC2D4E"/>
    <w:rsid w:val="00FC2E10"/>
    <w:rsid w:val="00FC2EEE"/>
    <w:rsid w:val="00FC335F"/>
    <w:rsid w:val="00FC33D4"/>
    <w:rsid w:val="00FC3402"/>
    <w:rsid w:val="00FC39CF"/>
    <w:rsid w:val="00FC3A06"/>
    <w:rsid w:val="00FC3A68"/>
    <w:rsid w:val="00FC3A87"/>
    <w:rsid w:val="00FC3AB2"/>
    <w:rsid w:val="00FC3C90"/>
    <w:rsid w:val="00FC3F26"/>
    <w:rsid w:val="00FC3F36"/>
    <w:rsid w:val="00FC3FFA"/>
    <w:rsid w:val="00FC40F5"/>
    <w:rsid w:val="00FC4136"/>
    <w:rsid w:val="00FC41C5"/>
    <w:rsid w:val="00FC4493"/>
    <w:rsid w:val="00FC45A4"/>
    <w:rsid w:val="00FC45CE"/>
    <w:rsid w:val="00FC4782"/>
    <w:rsid w:val="00FC4840"/>
    <w:rsid w:val="00FC4962"/>
    <w:rsid w:val="00FC4A8E"/>
    <w:rsid w:val="00FC4C1A"/>
    <w:rsid w:val="00FC4E3E"/>
    <w:rsid w:val="00FC4EA4"/>
    <w:rsid w:val="00FC4F67"/>
    <w:rsid w:val="00FC5284"/>
    <w:rsid w:val="00FC54DB"/>
    <w:rsid w:val="00FC55A7"/>
    <w:rsid w:val="00FC561F"/>
    <w:rsid w:val="00FC572D"/>
    <w:rsid w:val="00FC5767"/>
    <w:rsid w:val="00FC58D3"/>
    <w:rsid w:val="00FC5C06"/>
    <w:rsid w:val="00FC5C9F"/>
    <w:rsid w:val="00FC5F82"/>
    <w:rsid w:val="00FC5F83"/>
    <w:rsid w:val="00FC6122"/>
    <w:rsid w:val="00FC6288"/>
    <w:rsid w:val="00FC64DA"/>
    <w:rsid w:val="00FC6713"/>
    <w:rsid w:val="00FC6733"/>
    <w:rsid w:val="00FC6772"/>
    <w:rsid w:val="00FC682E"/>
    <w:rsid w:val="00FC6A5B"/>
    <w:rsid w:val="00FC6ABE"/>
    <w:rsid w:val="00FC6AE4"/>
    <w:rsid w:val="00FC6B19"/>
    <w:rsid w:val="00FC6B7F"/>
    <w:rsid w:val="00FC6C1A"/>
    <w:rsid w:val="00FC6CA4"/>
    <w:rsid w:val="00FC6D79"/>
    <w:rsid w:val="00FC6D9B"/>
    <w:rsid w:val="00FC7167"/>
    <w:rsid w:val="00FC71EC"/>
    <w:rsid w:val="00FC72A8"/>
    <w:rsid w:val="00FC731A"/>
    <w:rsid w:val="00FC74DF"/>
    <w:rsid w:val="00FC7611"/>
    <w:rsid w:val="00FC7721"/>
    <w:rsid w:val="00FC78BE"/>
    <w:rsid w:val="00FC7B2E"/>
    <w:rsid w:val="00FC7D8A"/>
    <w:rsid w:val="00FD0041"/>
    <w:rsid w:val="00FD0154"/>
    <w:rsid w:val="00FD04D8"/>
    <w:rsid w:val="00FD0603"/>
    <w:rsid w:val="00FD06E0"/>
    <w:rsid w:val="00FD09A7"/>
    <w:rsid w:val="00FD09FB"/>
    <w:rsid w:val="00FD0BB4"/>
    <w:rsid w:val="00FD0C01"/>
    <w:rsid w:val="00FD0CA9"/>
    <w:rsid w:val="00FD0D3B"/>
    <w:rsid w:val="00FD0F32"/>
    <w:rsid w:val="00FD13AA"/>
    <w:rsid w:val="00FD1495"/>
    <w:rsid w:val="00FD14F0"/>
    <w:rsid w:val="00FD1753"/>
    <w:rsid w:val="00FD187F"/>
    <w:rsid w:val="00FD1986"/>
    <w:rsid w:val="00FD1B71"/>
    <w:rsid w:val="00FD1C40"/>
    <w:rsid w:val="00FD20A6"/>
    <w:rsid w:val="00FD20B2"/>
    <w:rsid w:val="00FD2143"/>
    <w:rsid w:val="00FD24F3"/>
    <w:rsid w:val="00FD2553"/>
    <w:rsid w:val="00FD263F"/>
    <w:rsid w:val="00FD2854"/>
    <w:rsid w:val="00FD291A"/>
    <w:rsid w:val="00FD295B"/>
    <w:rsid w:val="00FD29C8"/>
    <w:rsid w:val="00FD2B0F"/>
    <w:rsid w:val="00FD2DAA"/>
    <w:rsid w:val="00FD2DD3"/>
    <w:rsid w:val="00FD2EDD"/>
    <w:rsid w:val="00FD3003"/>
    <w:rsid w:val="00FD3280"/>
    <w:rsid w:val="00FD33A3"/>
    <w:rsid w:val="00FD343E"/>
    <w:rsid w:val="00FD35CB"/>
    <w:rsid w:val="00FD36D5"/>
    <w:rsid w:val="00FD371C"/>
    <w:rsid w:val="00FD398D"/>
    <w:rsid w:val="00FD3C26"/>
    <w:rsid w:val="00FD3C58"/>
    <w:rsid w:val="00FD4049"/>
    <w:rsid w:val="00FD4299"/>
    <w:rsid w:val="00FD4446"/>
    <w:rsid w:val="00FD45A9"/>
    <w:rsid w:val="00FD47EC"/>
    <w:rsid w:val="00FD4B56"/>
    <w:rsid w:val="00FD4CD9"/>
    <w:rsid w:val="00FD4D23"/>
    <w:rsid w:val="00FD505C"/>
    <w:rsid w:val="00FD5395"/>
    <w:rsid w:val="00FD53C7"/>
    <w:rsid w:val="00FD5421"/>
    <w:rsid w:val="00FD586F"/>
    <w:rsid w:val="00FD59B5"/>
    <w:rsid w:val="00FD5AA3"/>
    <w:rsid w:val="00FD5B56"/>
    <w:rsid w:val="00FD5DA5"/>
    <w:rsid w:val="00FD5EF6"/>
    <w:rsid w:val="00FD61A0"/>
    <w:rsid w:val="00FD621F"/>
    <w:rsid w:val="00FD6346"/>
    <w:rsid w:val="00FD64D8"/>
    <w:rsid w:val="00FD678C"/>
    <w:rsid w:val="00FD68B2"/>
    <w:rsid w:val="00FD6A1C"/>
    <w:rsid w:val="00FD6A6E"/>
    <w:rsid w:val="00FD6AB0"/>
    <w:rsid w:val="00FD6DF1"/>
    <w:rsid w:val="00FD6E61"/>
    <w:rsid w:val="00FD7173"/>
    <w:rsid w:val="00FD7409"/>
    <w:rsid w:val="00FD740D"/>
    <w:rsid w:val="00FD776F"/>
    <w:rsid w:val="00FD7774"/>
    <w:rsid w:val="00FD781E"/>
    <w:rsid w:val="00FD787D"/>
    <w:rsid w:val="00FD7880"/>
    <w:rsid w:val="00FD797F"/>
    <w:rsid w:val="00FD7BFE"/>
    <w:rsid w:val="00FD7CCC"/>
    <w:rsid w:val="00FD7D78"/>
    <w:rsid w:val="00FD7D79"/>
    <w:rsid w:val="00FD7F74"/>
    <w:rsid w:val="00FE00D5"/>
    <w:rsid w:val="00FE0519"/>
    <w:rsid w:val="00FE0609"/>
    <w:rsid w:val="00FE072B"/>
    <w:rsid w:val="00FE0825"/>
    <w:rsid w:val="00FE0C42"/>
    <w:rsid w:val="00FE0D4C"/>
    <w:rsid w:val="00FE0E8A"/>
    <w:rsid w:val="00FE0FB1"/>
    <w:rsid w:val="00FE103C"/>
    <w:rsid w:val="00FE115B"/>
    <w:rsid w:val="00FE1275"/>
    <w:rsid w:val="00FE1545"/>
    <w:rsid w:val="00FE1585"/>
    <w:rsid w:val="00FE15C0"/>
    <w:rsid w:val="00FE170C"/>
    <w:rsid w:val="00FE177A"/>
    <w:rsid w:val="00FE1782"/>
    <w:rsid w:val="00FE18E1"/>
    <w:rsid w:val="00FE1A89"/>
    <w:rsid w:val="00FE1C0D"/>
    <w:rsid w:val="00FE209E"/>
    <w:rsid w:val="00FE222D"/>
    <w:rsid w:val="00FE2B41"/>
    <w:rsid w:val="00FE2D69"/>
    <w:rsid w:val="00FE2EE4"/>
    <w:rsid w:val="00FE31A4"/>
    <w:rsid w:val="00FE3208"/>
    <w:rsid w:val="00FE3269"/>
    <w:rsid w:val="00FE3290"/>
    <w:rsid w:val="00FE3445"/>
    <w:rsid w:val="00FE3640"/>
    <w:rsid w:val="00FE3745"/>
    <w:rsid w:val="00FE37C2"/>
    <w:rsid w:val="00FE386A"/>
    <w:rsid w:val="00FE3924"/>
    <w:rsid w:val="00FE39AD"/>
    <w:rsid w:val="00FE3B01"/>
    <w:rsid w:val="00FE3DE2"/>
    <w:rsid w:val="00FE3FF6"/>
    <w:rsid w:val="00FE401A"/>
    <w:rsid w:val="00FE43B8"/>
    <w:rsid w:val="00FE497B"/>
    <w:rsid w:val="00FE4A5A"/>
    <w:rsid w:val="00FE4BF7"/>
    <w:rsid w:val="00FE4CCF"/>
    <w:rsid w:val="00FE4D4A"/>
    <w:rsid w:val="00FE4D53"/>
    <w:rsid w:val="00FE4E9B"/>
    <w:rsid w:val="00FE523A"/>
    <w:rsid w:val="00FE5482"/>
    <w:rsid w:val="00FE5489"/>
    <w:rsid w:val="00FE54D0"/>
    <w:rsid w:val="00FE54D6"/>
    <w:rsid w:val="00FE5817"/>
    <w:rsid w:val="00FE5A01"/>
    <w:rsid w:val="00FE5BA4"/>
    <w:rsid w:val="00FE5CDF"/>
    <w:rsid w:val="00FE5F18"/>
    <w:rsid w:val="00FE6396"/>
    <w:rsid w:val="00FE6401"/>
    <w:rsid w:val="00FE64ED"/>
    <w:rsid w:val="00FE64F6"/>
    <w:rsid w:val="00FE66FF"/>
    <w:rsid w:val="00FE6A99"/>
    <w:rsid w:val="00FE6CB7"/>
    <w:rsid w:val="00FE6D7A"/>
    <w:rsid w:val="00FE6E0E"/>
    <w:rsid w:val="00FE747E"/>
    <w:rsid w:val="00FE74E0"/>
    <w:rsid w:val="00FE7503"/>
    <w:rsid w:val="00FE7577"/>
    <w:rsid w:val="00FE761C"/>
    <w:rsid w:val="00FE7806"/>
    <w:rsid w:val="00FE792C"/>
    <w:rsid w:val="00FE795B"/>
    <w:rsid w:val="00FE7AE1"/>
    <w:rsid w:val="00FE7C8C"/>
    <w:rsid w:val="00FE7CBB"/>
    <w:rsid w:val="00FE7D2A"/>
    <w:rsid w:val="00FE7D4E"/>
    <w:rsid w:val="00FE7E6F"/>
    <w:rsid w:val="00FE7ED2"/>
    <w:rsid w:val="00FF0022"/>
    <w:rsid w:val="00FF0084"/>
    <w:rsid w:val="00FF00B0"/>
    <w:rsid w:val="00FF021E"/>
    <w:rsid w:val="00FF0448"/>
    <w:rsid w:val="00FF05BD"/>
    <w:rsid w:val="00FF08CE"/>
    <w:rsid w:val="00FF0963"/>
    <w:rsid w:val="00FF09FF"/>
    <w:rsid w:val="00FF0A1B"/>
    <w:rsid w:val="00FF0AA7"/>
    <w:rsid w:val="00FF0CE5"/>
    <w:rsid w:val="00FF0DD2"/>
    <w:rsid w:val="00FF0E5B"/>
    <w:rsid w:val="00FF0F52"/>
    <w:rsid w:val="00FF1023"/>
    <w:rsid w:val="00FF1079"/>
    <w:rsid w:val="00FF13BE"/>
    <w:rsid w:val="00FF1695"/>
    <w:rsid w:val="00FF17AD"/>
    <w:rsid w:val="00FF18F4"/>
    <w:rsid w:val="00FF1A0B"/>
    <w:rsid w:val="00FF1A79"/>
    <w:rsid w:val="00FF1BDB"/>
    <w:rsid w:val="00FF1E8D"/>
    <w:rsid w:val="00FF1F75"/>
    <w:rsid w:val="00FF20D8"/>
    <w:rsid w:val="00FF210C"/>
    <w:rsid w:val="00FF230F"/>
    <w:rsid w:val="00FF2A67"/>
    <w:rsid w:val="00FF2BE0"/>
    <w:rsid w:val="00FF2DCD"/>
    <w:rsid w:val="00FF2E12"/>
    <w:rsid w:val="00FF30BA"/>
    <w:rsid w:val="00FF30E7"/>
    <w:rsid w:val="00FF3151"/>
    <w:rsid w:val="00FF3157"/>
    <w:rsid w:val="00FF353A"/>
    <w:rsid w:val="00FF3641"/>
    <w:rsid w:val="00FF39B8"/>
    <w:rsid w:val="00FF3AAC"/>
    <w:rsid w:val="00FF3B7B"/>
    <w:rsid w:val="00FF3D09"/>
    <w:rsid w:val="00FF442A"/>
    <w:rsid w:val="00FF4507"/>
    <w:rsid w:val="00FF4557"/>
    <w:rsid w:val="00FF45F6"/>
    <w:rsid w:val="00FF47DE"/>
    <w:rsid w:val="00FF4876"/>
    <w:rsid w:val="00FF48C2"/>
    <w:rsid w:val="00FF49FE"/>
    <w:rsid w:val="00FF4AB4"/>
    <w:rsid w:val="00FF4BD3"/>
    <w:rsid w:val="00FF4F5D"/>
    <w:rsid w:val="00FF4FBA"/>
    <w:rsid w:val="00FF5136"/>
    <w:rsid w:val="00FF5171"/>
    <w:rsid w:val="00FF53AF"/>
    <w:rsid w:val="00FF53D3"/>
    <w:rsid w:val="00FF53E4"/>
    <w:rsid w:val="00FF55F1"/>
    <w:rsid w:val="00FF56DB"/>
    <w:rsid w:val="00FF58F3"/>
    <w:rsid w:val="00FF5A5B"/>
    <w:rsid w:val="00FF5B94"/>
    <w:rsid w:val="00FF5CF2"/>
    <w:rsid w:val="00FF5D7A"/>
    <w:rsid w:val="00FF5F63"/>
    <w:rsid w:val="00FF5F7E"/>
    <w:rsid w:val="00FF5FE4"/>
    <w:rsid w:val="00FF6200"/>
    <w:rsid w:val="00FF620D"/>
    <w:rsid w:val="00FF654A"/>
    <w:rsid w:val="00FF67B7"/>
    <w:rsid w:val="00FF67C1"/>
    <w:rsid w:val="00FF6847"/>
    <w:rsid w:val="00FF684E"/>
    <w:rsid w:val="00FF6B1E"/>
    <w:rsid w:val="00FF6B7A"/>
    <w:rsid w:val="00FF6C5A"/>
    <w:rsid w:val="00FF7373"/>
    <w:rsid w:val="00FF7479"/>
    <w:rsid w:val="00FF750B"/>
    <w:rsid w:val="00FF7557"/>
    <w:rsid w:val="00FF75C9"/>
    <w:rsid w:val="00FF75DD"/>
    <w:rsid w:val="00FF76F9"/>
    <w:rsid w:val="00FF7755"/>
    <w:rsid w:val="00FF79D5"/>
    <w:rsid w:val="00FF7A0A"/>
    <w:rsid w:val="00FF7B83"/>
    <w:rsid w:val="00FF7BB9"/>
    <w:rsid w:val="00FF7CD4"/>
    <w:rsid w:val="00FF7DB6"/>
    <w:rsid w:val="00FF7F14"/>
    <w:rsid w:val="016E90B5"/>
    <w:rsid w:val="01949476"/>
    <w:rsid w:val="01993057"/>
    <w:rsid w:val="01E15C8E"/>
    <w:rsid w:val="02175E28"/>
    <w:rsid w:val="028BA78D"/>
    <w:rsid w:val="02C7172D"/>
    <w:rsid w:val="037426C8"/>
    <w:rsid w:val="0381C688"/>
    <w:rsid w:val="03850EC9"/>
    <w:rsid w:val="038940A5"/>
    <w:rsid w:val="03B48C89"/>
    <w:rsid w:val="03E4FBAC"/>
    <w:rsid w:val="03E634D4"/>
    <w:rsid w:val="0411AC4D"/>
    <w:rsid w:val="04732D7A"/>
    <w:rsid w:val="04818AC0"/>
    <w:rsid w:val="04AD7829"/>
    <w:rsid w:val="04C89DDC"/>
    <w:rsid w:val="04D0D119"/>
    <w:rsid w:val="057D52D7"/>
    <w:rsid w:val="058E856E"/>
    <w:rsid w:val="05BA9475"/>
    <w:rsid w:val="0609BECA"/>
    <w:rsid w:val="0628C15C"/>
    <w:rsid w:val="063536BA"/>
    <w:rsid w:val="06B570BE"/>
    <w:rsid w:val="06C8A7BF"/>
    <w:rsid w:val="06F6C177"/>
    <w:rsid w:val="07924AE2"/>
    <w:rsid w:val="079AC15D"/>
    <w:rsid w:val="07F10BA0"/>
    <w:rsid w:val="087B2B7A"/>
    <w:rsid w:val="089E69E9"/>
    <w:rsid w:val="08C65E21"/>
    <w:rsid w:val="09155D2B"/>
    <w:rsid w:val="091B3C9C"/>
    <w:rsid w:val="095E8ACF"/>
    <w:rsid w:val="0994413A"/>
    <w:rsid w:val="09B747DA"/>
    <w:rsid w:val="09E28BF9"/>
    <w:rsid w:val="0A9A4808"/>
    <w:rsid w:val="0B185625"/>
    <w:rsid w:val="0B245B15"/>
    <w:rsid w:val="0B3C2C39"/>
    <w:rsid w:val="0B5FB1E3"/>
    <w:rsid w:val="0B8578A0"/>
    <w:rsid w:val="0C1A8716"/>
    <w:rsid w:val="0C7B59AF"/>
    <w:rsid w:val="0CC9A7DF"/>
    <w:rsid w:val="0CFC7CC3"/>
    <w:rsid w:val="0D090FAB"/>
    <w:rsid w:val="0D4C109D"/>
    <w:rsid w:val="0D61A240"/>
    <w:rsid w:val="0D6BDEAE"/>
    <w:rsid w:val="0D9EB878"/>
    <w:rsid w:val="0DD1965D"/>
    <w:rsid w:val="0DE411AF"/>
    <w:rsid w:val="0E43A3D2"/>
    <w:rsid w:val="0E65FA8F"/>
    <w:rsid w:val="0EA255A0"/>
    <w:rsid w:val="0EAAC41E"/>
    <w:rsid w:val="0EB9B35F"/>
    <w:rsid w:val="0EE142D9"/>
    <w:rsid w:val="0F0CD21A"/>
    <w:rsid w:val="0F54AD41"/>
    <w:rsid w:val="0F59A009"/>
    <w:rsid w:val="0FD46243"/>
    <w:rsid w:val="0FF2EECF"/>
    <w:rsid w:val="101B7146"/>
    <w:rsid w:val="1025422E"/>
    <w:rsid w:val="10E293D3"/>
    <w:rsid w:val="10F3B1AB"/>
    <w:rsid w:val="11013ED2"/>
    <w:rsid w:val="1127F91D"/>
    <w:rsid w:val="11372AA5"/>
    <w:rsid w:val="113F7154"/>
    <w:rsid w:val="11534DF2"/>
    <w:rsid w:val="11537ED4"/>
    <w:rsid w:val="11605F9D"/>
    <w:rsid w:val="1167FFC0"/>
    <w:rsid w:val="11E1F6C5"/>
    <w:rsid w:val="11F7E5E2"/>
    <w:rsid w:val="12013618"/>
    <w:rsid w:val="121811A3"/>
    <w:rsid w:val="13867A69"/>
    <w:rsid w:val="138A0CDA"/>
    <w:rsid w:val="13BA238A"/>
    <w:rsid w:val="13D13FD9"/>
    <w:rsid w:val="14010BB5"/>
    <w:rsid w:val="14199646"/>
    <w:rsid w:val="142E77AA"/>
    <w:rsid w:val="14405F72"/>
    <w:rsid w:val="14559D16"/>
    <w:rsid w:val="145B4198"/>
    <w:rsid w:val="14864D9B"/>
    <w:rsid w:val="14C4801D"/>
    <w:rsid w:val="153BBEFD"/>
    <w:rsid w:val="15FBE2AB"/>
    <w:rsid w:val="1609922F"/>
    <w:rsid w:val="160EC3B9"/>
    <w:rsid w:val="161C5B44"/>
    <w:rsid w:val="16311EE6"/>
    <w:rsid w:val="16A6B28A"/>
    <w:rsid w:val="16BFD59D"/>
    <w:rsid w:val="16D63B73"/>
    <w:rsid w:val="16DF1FB2"/>
    <w:rsid w:val="16E04702"/>
    <w:rsid w:val="16E1B703"/>
    <w:rsid w:val="17075DA6"/>
    <w:rsid w:val="171F38B2"/>
    <w:rsid w:val="174B20A3"/>
    <w:rsid w:val="176F0491"/>
    <w:rsid w:val="1772C4A1"/>
    <w:rsid w:val="1794F88D"/>
    <w:rsid w:val="17A1C38E"/>
    <w:rsid w:val="17F730E0"/>
    <w:rsid w:val="18172887"/>
    <w:rsid w:val="1866BD24"/>
    <w:rsid w:val="18E34DFC"/>
    <w:rsid w:val="18FAA969"/>
    <w:rsid w:val="198D6D6F"/>
    <w:rsid w:val="19B07891"/>
    <w:rsid w:val="19EC1D73"/>
    <w:rsid w:val="1A5AFE85"/>
    <w:rsid w:val="1A5F3D73"/>
    <w:rsid w:val="1A9BE855"/>
    <w:rsid w:val="1AA8EEBF"/>
    <w:rsid w:val="1ABE20FF"/>
    <w:rsid w:val="1ADB576C"/>
    <w:rsid w:val="1B0CCC38"/>
    <w:rsid w:val="1B1911BB"/>
    <w:rsid w:val="1B9C0622"/>
    <w:rsid w:val="1BCC881F"/>
    <w:rsid w:val="1BDAC139"/>
    <w:rsid w:val="1C24BC82"/>
    <w:rsid w:val="1C49B185"/>
    <w:rsid w:val="1CA94DCC"/>
    <w:rsid w:val="1CB13C44"/>
    <w:rsid w:val="1CDA5F74"/>
    <w:rsid w:val="1CF34995"/>
    <w:rsid w:val="1CF37306"/>
    <w:rsid w:val="1D57A483"/>
    <w:rsid w:val="1D8C4529"/>
    <w:rsid w:val="1D90FB38"/>
    <w:rsid w:val="1DB873F2"/>
    <w:rsid w:val="1DB99A8D"/>
    <w:rsid w:val="1DDD3761"/>
    <w:rsid w:val="1E1D6D06"/>
    <w:rsid w:val="1E4F6A3B"/>
    <w:rsid w:val="1E83D333"/>
    <w:rsid w:val="1EA6678D"/>
    <w:rsid w:val="1EB21ED2"/>
    <w:rsid w:val="1EC77B53"/>
    <w:rsid w:val="1ED383E9"/>
    <w:rsid w:val="1F23D620"/>
    <w:rsid w:val="1F23D67D"/>
    <w:rsid w:val="1F8E279C"/>
    <w:rsid w:val="1FA61DED"/>
    <w:rsid w:val="1FCC4A00"/>
    <w:rsid w:val="1FE36DCA"/>
    <w:rsid w:val="1FE74AF6"/>
    <w:rsid w:val="2054F68B"/>
    <w:rsid w:val="207253D6"/>
    <w:rsid w:val="208CCA44"/>
    <w:rsid w:val="20C4ED15"/>
    <w:rsid w:val="20C7A805"/>
    <w:rsid w:val="20E2DD0E"/>
    <w:rsid w:val="20EDDE2A"/>
    <w:rsid w:val="20F65C1D"/>
    <w:rsid w:val="2127AD77"/>
    <w:rsid w:val="21C972C4"/>
    <w:rsid w:val="21DA40BE"/>
    <w:rsid w:val="224DF027"/>
    <w:rsid w:val="22CA14CF"/>
    <w:rsid w:val="22FD53A3"/>
    <w:rsid w:val="231E4052"/>
    <w:rsid w:val="232640F1"/>
    <w:rsid w:val="2328A33B"/>
    <w:rsid w:val="232D61DC"/>
    <w:rsid w:val="235889F7"/>
    <w:rsid w:val="236935D2"/>
    <w:rsid w:val="23721B14"/>
    <w:rsid w:val="23830A9B"/>
    <w:rsid w:val="23D8F87B"/>
    <w:rsid w:val="23E8E091"/>
    <w:rsid w:val="24016F3D"/>
    <w:rsid w:val="24114340"/>
    <w:rsid w:val="246AD89F"/>
    <w:rsid w:val="24907B87"/>
    <w:rsid w:val="24C5C8B2"/>
    <w:rsid w:val="24D1901D"/>
    <w:rsid w:val="24E24B64"/>
    <w:rsid w:val="250F8AB1"/>
    <w:rsid w:val="25493F82"/>
    <w:rsid w:val="25667D86"/>
    <w:rsid w:val="25886840"/>
    <w:rsid w:val="25A467E7"/>
    <w:rsid w:val="25E93615"/>
    <w:rsid w:val="267523A1"/>
    <w:rsid w:val="26BB87E8"/>
    <w:rsid w:val="26D73173"/>
    <w:rsid w:val="275F6491"/>
    <w:rsid w:val="27722136"/>
    <w:rsid w:val="277695DA"/>
    <w:rsid w:val="279BD0B5"/>
    <w:rsid w:val="27A181F8"/>
    <w:rsid w:val="27BC711F"/>
    <w:rsid w:val="28071094"/>
    <w:rsid w:val="287DD5E4"/>
    <w:rsid w:val="28808CE9"/>
    <w:rsid w:val="28C58119"/>
    <w:rsid w:val="28E4B463"/>
    <w:rsid w:val="291673D8"/>
    <w:rsid w:val="291972A2"/>
    <w:rsid w:val="294ACDB8"/>
    <w:rsid w:val="29B15945"/>
    <w:rsid w:val="29D87756"/>
    <w:rsid w:val="29EE221F"/>
    <w:rsid w:val="2A0B2C52"/>
    <w:rsid w:val="2A156079"/>
    <w:rsid w:val="2AA74A29"/>
    <w:rsid w:val="2B947352"/>
    <w:rsid w:val="2BB7735D"/>
    <w:rsid w:val="2BF43AF5"/>
    <w:rsid w:val="2C090D9F"/>
    <w:rsid w:val="2C44EA2F"/>
    <w:rsid w:val="2CA8C970"/>
    <w:rsid w:val="2CD61301"/>
    <w:rsid w:val="2CE753BA"/>
    <w:rsid w:val="2D2E9306"/>
    <w:rsid w:val="2D594CA5"/>
    <w:rsid w:val="2D7AE543"/>
    <w:rsid w:val="2DA8F8CF"/>
    <w:rsid w:val="2DB8E58B"/>
    <w:rsid w:val="2E820A90"/>
    <w:rsid w:val="2E90A1D9"/>
    <w:rsid w:val="2F0C8268"/>
    <w:rsid w:val="2F62E3C3"/>
    <w:rsid w:val="2FE3E53B"/>
    <w:rsid w:val="306D6E0A"/>
    <w:rsid w:val="30855FB5"/>
    <w:rsid w:val="30989E58"/>
    <w:rsid w:val="30E6C09F"/>
    <w:rsid w:val="3139D35A"/>
    <w:rsid w:val="3147AA93"/>
    <w:rsid w:val="31609551"/>
    <w:rsid w:val="31701E61"/>
    <w:rsid w:val="317500D6"/>
    <w:rsid w:val="318D50DE"/>
    <w:rsid w:val="319A3AF8"/>
    <w:rsid w:val="31AD3038"/>
    <w:rsid w:val="31E21B0B"/>
    <w:rsid w:val="320F2480"/>
    <w:rsid w:val="3210DDE2"/>
    <w:rsid w:val="32335B15"/>
    <w:rsid w:val="32DE46B3"/>
    <w:rsid w:val="33937B7F"/>
    <w:rsid w:val="339F6D8C"/>
    <w:rsid w:val="33A7BDE2"/>
    <w:rsid w:val="3481CD4C"/>
    <w:rsid w:val="34A690FA"/>
    <w:rsid w:val="34B0E932"/>
    <w:rsid w:val="34FCE5B5"/>
    <w:rsid w:val="35513E7B"/>
    <w:rsid w:val="35C7A62C"/>
    <w:rsid w:val="36121EB6"/>
    <w:rsid w:val="364201C7"/>
    <w:rsid w:val="36856D80"/>
    <w:rsid w:val="368C972A"/>
    <w:rsid w:val="3692D33C"/>
    <w:rsid w:val="36D37D29"/>
    <w:rsid w:val="3708D4D0"/>
    <w:rsid w:val="370D48E9"/>
    <w:rsid w:val="371BE366"/>
    <w:rsid w:val="37571CBA"/>
    <w:rsid w:val="378199CB"/>
    <w:rsid w:val="37D45BB4"/>
    <w:rsid w:val="37EF1C54"/>
    <w:rsid w:val="3827B28D"/>
    <w:rsid w:val="383A6105"/>
    <w:rsid w:val="3865C1BA"/>
    <w:rsid w:val="386FB099"/>
    <w:rsid w:val="392C1B2E"/>
    <w:rsid w:val="392CAD65"/>
    <w:rsid w:val="39B05E09"/>
    <w:rsid w:val="39B16528"/>
    <w:rsid w:val="39BE36C9"/>
    <w:rsid w:val="39C437EC"/>
    <w:rsid w:val="3A198B88"/>
    <w:rsid w:val="3A1B5A27"/>
    <w:rsid w:val="3A5546D6"/>
    <w:rsid w:val="3A824952"/>
    <w:rsid w:val="3A96C27C"/>
    <w:rsid w:val="3ABFF13A"/>
    <w:rsid w:val="3AC935B6"/>
    <w:rsid w:val="3B2B7469"/>
    <w:rsid w:val="3B34041B"/>
    <w:rsid w:val="3B79B346"/>
    <w:rsid w:val="3BE26A2F"/>
    <w:rsid w:val="3C017E25"/>
    <w:rsid w:val="3C4A5487"/>
    <w:rsid w:val="3C84BD9D"/>
    <w:rsid w:val="3C85BE7B"/>
    <w:rsid w:val="3C982886"/>
    <w:rsid w:val="3CAAC2FA"/>
    <w:rsid w:val="3D15010B"/>
    <w:rsid w:val="3D57B62A"/>
    <w:rsid w:val="3D5995E0"/>
    <w:rsid w:val="3D9C24E8"/>
    <w:rsid w:val="3DF8460E"/>
    <w:rsid w:val="3E2CC2FF"/>
    <w:rsid w:val="3E2D9499"/>
    <w:rsid w:val="3E31FE74"/>
    <w:rsid w:val="3E3BE078"/>
    <w:rsid w:val="3E47B052"/>
    <w:rsid w:val="3E8DB283"/>
    <w:rsid w:val="3EB0D16C"/>
    <w:rsid w:val="3ECB1D2B"/>
    <w:rsid w:val="3ED29F51"/>
    <w:rsid w:val="3F31E541"/>
    <w:rsid w:val="3F50CECE"/>
    <w:rsid w:val="3F7335AC"/>
    <w:rsid w:val="3F76D9BA"/>
    <w:rsid w:val="3F980909"/>
    <w:rsid w:val="3F9E3B11"/>
    <w:rsid w:val="3FAF0B64"/>
    <w:rsid w:val="4032E07E"/>
    <w:rsid w:val="406F6491"/>
    <w:rsid w:val="40844518"/>
    <w:rsid w:val="40A79FB3"/>
    <w:rsid w:val="40F0037A"/>
    <w:rsid w:val="4199B67E"/>
    <w:rsid w:val="427E3CA4"/>
    <w:rsid w:val="42A7BF2D"/>
    <w:rsid w:val="42B9FEE8"/>
    <w:rsid w:val="42DD0096"/>
    <w:rsid w:val="432CFFCE"/>
    <w:rsid w:val="434AF7E7"/>
    <w:rsid w:val="436EA287"/>
    <w:rsid w:val="43A4AC50"/>
    <w:rsid w:val="43B4D533"/>
    <w:rsid w:val="43BFD9A5"/>
    <w:rsid w:val="440E2F11"/>
    <w:rsid w:val="442C8A37"/>
    <w:rsid w:val="4446385F"/>
    <w:rsid w:val="444FE393"/>
    <w:rsid w:val="454DF69E"/>
    <w:rsid w:val="45DE1818"/>
    <w:rsid w:val="45F87759"/>
    <w:rsid w:val="4622D0CF"/>
    <w:rsid w:val="4682E271"/>
    <w:rsid w:val="46E102B0"/>
    <w:rsid w:val="47357D9B"/>
    <w:rsid w:val="476FC47D"/>
    <w:rsid w:val="4772B9D5"/>
    <w:rsid w:val="4777146E"/>
    <w:rsid w:val="47A7B8BE"/>
    <w:rsid w:val="4803D59F"/>
    <w:rsid w:val="48E66FC5"/>
    <w:rsid w:val="49657477"/>
    <w:rsid w:val="49988FFE"/>
    <w:rsid w:val="49D3B5D0"/>
    <w:rsid w:val="49ED86EE"/>
    <w:rsid w:val="4A2D4A0B"/>
    <w:rsid w:val="4A717D28"/>
    <w:rsid w:val="4A8912DE"/>
    <w:rsid w:val="4A8EDDB7"/>
    <w:rsid w:val="4A8FAD8E"/>
    <w:rsid w:val="4A9C5186"/>
    <w:rsid w:val="4AA5DBAF"/>
    <w:rsid w:val="4ABF5EAC"/>
    <w:rsid w:val="4AF52BD1"/>
    <w:rsid w:val="4AFDA81D"/>
    <w:rsid w:val="4B44BF08"/>
    <w:rsid w:val="4B762C17"/>
    <w:rsid w:val="4C17D4D2"/>
    <w:rsid w:val="4C50C6AD"/>
    <w:rsid w:val="4C55D847"/>
    <w:rsid w:val="4C7370F3"/>
    <w:rsid w:val="4CA1F8C1"/>
    <w:rsid w:val="4D2B24D5"/>
    <w:rsid w:val="4D94B2B7"/>
    <w:rsid w:val="4DB7B5AC"/>
    <w:rsid w:val="4E3B7E2D"/>
    <w:rsid w:val="4E7707B1"/>
    <w:rsid w:val="4EE5054D"/>
    <w:rsid w:val="4EF0B6AE"/>
    <w:rsid w:val="4F3E68C5"/>
    <w:rsid w:val="4F4F104B"/>
    <w:rsid w:val="4FAAC039"/>
    <w:rsid w:val="4FFC0D6C"/>
    <w:rsid w:val="503FE205"/>
    <w:rsid w:val="50609E95"/>
    <w:rsid w:val="509E8C2F"/>
    <w:rsid w:val="50C3030D"/>
    <w:rsid w:val="50CF79C3"/>
    <w:rsid w:val="50F08D5E"/>
    <w:rsid w:val="512429C9"/>
    <w:rsid w:val="514D39B8"/>
    <w:rsid w:val="5152A96E"/>
    <w:rsid w:val="515C352A"/>
    <w:rsid w:val="51ABD258"/>
    <w:rsid w:val="51E80ED9"/>
    <w:rsid w:val="51FBBE95"/>
    <w:rsid w:val="5212AE6C"/>
    <w:rsid w:val="5269063E"/>
    <w:rsid w:val="527C78F8"/>
    <w:rsid w:val="5281DD5E"/>
    <w:rsid w:val="52EC08CB"/>
    <w:rsid w:val="5356B1FA"/>
    <w:rsid w:val="53757758"/>
    <w:rsid w:val="53D3337F"/>
    <w:rsid w:val="54191006"/>
    <w:rsid w:val="544F7E69"/>
    <w:rsid w:val="5451868B"/>
    <w:rsid w:val="54A2D6CD"/>
    <w:rsid w:val="55133B30"/>
    <w:rsid w:val="555BF1D7"/>
    <w:rsid w:val="5586A315"/>
    <w:rsid w:val="55D175C4"/>
    <w:rsid w:val="55E1E71F"/>
    <w:rsid w:val="562EAA2E"/>
    <w:rsid w:val="5648749B"/>
    <w:rsid w:val="56B8DEBE"/>
    <w:rsid w:val="5712F274"/>
    <w:rsid w:val="57937954"/>
    <w:rsid w:val="581CCF34"/>
    <w:rsid w:val="584FF14E"/>
    <w:rsid w:val="58BB87A6"/>
    <w:rsid w:val="59DB3FB0"/>
    <w:rsid w:val="5A1838F8"/>
    <w:rsid w:val="5A238A2D"/>
    <w:rsid w:val="5A3ADACC"/>
    <w:rsid w:val="5A6FBC1B"/>
    <w:rsid w:val="5A8940A3"/>
    <w:rsid w:val="5AD9B74B"/>
    <w:rsid w:val="5AE43AF8"/>
    <w:rsid w:val="5B250139"/>
    <w:rsid w:val="5B8204F0"/>
    <w:rsid w:val="5B8A5D98"/>
    <w:rsid w:val="5B8C4FE1"/>
    <w:rsid w:val="5C54F620"/>
    <w:rsid w:val="5C66EA77"/>
    <w:rsid w:val="5C6D9431"/>
    <w:rsid w:val="5C6FA8D1"/>
    <w:rsid w:val="5C7D6C5D"/>
    <w:rsid w:val="5CB7B61F"/>
    <w:rsid w:val="5CF32285"/>
    <w:rsid w:val="5CF3A72C"/>
    <w:rsid w:val="5E1AC55B"/>
    <w:rsid w:val="5E5E51F2"/>
    <w:rsid w:val="5EC427E8"/>
    <w:rsid w:val="5EE61768"/>
    <w:rsid w:val="603FA705"/>
    <w:rsid w:val="605AD981"/>
    <w:rsid w:val="605FC104"/>
    <w:rsid w:val="607F4231"/>
    <w:rsid w:val="60C07F47"/>
    <w:rsid w:val="60CB1CC8"/>
    <w:rsid w:val="60E6E90F"/>
    <w:rsid w:val="60FA117B"/>
    <w:rsid w:val="611108D6"/>
    <w:rsid w:val="6130973F"/>
    <w:rsid w:val="6192E2D9"/>
    <w:rsid w:val="624DB89E"/>
    <w:rsid w:val="62764BC0"/>
    <w:rsid w:val="62BD66C3"/>
    <w:rsid w:val="62F5AF02"/>
    <w:rsid w:val="63C32198"/>
    <w:rsid w:val="63CCD9CB"/>
    <w:rsid w:val="63FF3AB2"/>
    <w:rsid w:val="64344698"/>
    <w:rsid w:val="64BB2284"/>
    <w:rsid w:val="64F24075"/>
    <w:rsid w:val="64FCD278"/>
    <w:rsid w:val="6517C58D"/>
    <w:rsid w:val="6517DC43"/>
    <w:rsid w:val="655D2E3C"/>
    <w:rsid w:val="6561E6BE"/>
    <w:rsid w:val="656D3EF5"/>
    <w:rsid w:val="65A48F26"/>
    <w:rsid w:val="65BB48BE"/>
    <w:rsid w:val="65EA7333"/>
    <w:rsid w:val="65F3FD0B"/>
    <w:rsid w:val="66420646"/>
    <w:rsid w:val="66435532"/>
    <w:rsid w:val="666ABD19"/>
    <w:rsid w:val="66C3A726"/>
    <w:rsid w:val="66E9CB86"/>
    <w:rsid w:val="67705E98"/>
    <w:rsid w:val="67A9566C"/>
    <w:rsid w:val="68311A24"/>
    <w:rsid w:val="6883456B"/>
    <w:rsid w:val="6894C937"/>
    <w:rsid w:val="689789B9"/>
    <w:rsid w:val="68C481E4"/>
    <w:rsid w:val="69A8A2EE"/>
    <w:rsid w:val="69C6F6BE"/>
    <w:rsid w:val="6A456DAE"/>
    <w:rsid w:val="6A5671D8"/>
    <w:rsid w:val="6A60EF14"/>
    <w:rsid w:val="6AAADFB0"/>
    <w:rsid w:val="6B4086E9"/>
    <w:rsid w:val="6C449A95"/>
    <w:rsid w:val="6C93920C"/>
    <w:rsid w:val="6CC44C81"/>
    <w:rsid w:val="6CD64D7D"/>
    <w:rsid w:val="6CEC042D"/>
    <w:rsid w:val="6D0DD9FE"/>
    <w:rsid w:val="6D38737A"/>
    <w:rsid w:val="6D3F8249"/>
    <w:rsid w:val="6D7F9A10"/>
    <w:rsid w:val="6DAED5A6"/>
    <w:rsid w:val="6E052FEA"/>
    <w:rsid w:val="6E314B85"/>
    <w:rsid w:val="6E74268B"/>
    <w:rsid w:val="6E7DA5C3"/>
    <w:rsid w:val="6EA5A90F"/>
    <w:rsid w:val="6EA5AF65"/>
    <w:rsid w:val="6ECD07F0"/>
    <w:rsid w:val="6EF1D3BA"/>
    <w:rsid w:val="6FBE689F"/>
    <w:rsid w:val="6FD55D16"/>
    <w:rsid w:val="6FFFB6C4"/>
    <w:rsid w:val="7048A540"/>
    <w:rsid w:val="70854CA8"/>
    <w:rsid w:val="70CAE7D1"/>
    <w:rsid w:val="70D6BC5D"/>
    <w:rsid w:val="70E01541"/>
    <w:rsid w:val="70E3B4BC"/>
    <w:rsid w:val="711E0257"/>
    <w:rsid w:val="71278E0A"/>
    <w:rsid w:val="7171D096"/>
    <w:rsid w:val="7187CBE2"/>
    <w:rsid w:val="71DA0815"/>
    <w:rsid w:val="71DFE2CB"/>
    <w:rsid w:val="7219E11E"/>
    <w:rsid w:val="726642D4"/>
    <w:rsid w:val="72F52982"/>
    <w:rsid w:val="7301D8EE"/>
    <w:rsid w:val="7341A169"/>
    <w:rsid w:val="73515FD4"/>
    <w:rsid w:val="73EEF998"/>
    <w:rsid w:val="7416DE71"/>
    <w:rsid w:val="745BE536"/>
    <w:rsid w:val="7552037C"/>
    <w:rsid w:val="75D0D7D9"/>
    <w:rsid w:val="75DA0AD0"/>
    <w:rsid w:val="76839F4E"/>
    <w:rsid w:val="76BF98C5"/>
    <w:rsid w:val="77194B7A"/>
    <w:rsid w:val="7737C756"/>
    <w:rsid w:val="77753FDF"/>
    <w:rsid w:val="77A9DEA9"/>
    <w:rsid w:val="77B71653"/>
    <w:rsid w:val="77BFC0E8"/>
    <w:rsid w:val="77CCF263"/>
    <w:rsid w:val="77D5D18E"/>
    <w:rsid w:val="77F24E10"/>
    <w:rsid w:val="77FBFD62"/>
    <w:rsid w:val="780E3319"/>
    <w:rsid w:val="7841B495"/>
    <w:rsid w:val="78A03C3D"/>
    <w:rsid w:val="78A7893D"/>
    <w:rsid w:val="78BC8B75"/>
    <w:rsid w:val="78CE3654"/>
    <w:rsid w:val="78E5F400"/>
    <w:rsid w:val="7963054C"/>
    <w:rsid w:val="79C747D1"/>
    <w:rsid w:val="7A2DE36D"/>
    <w:rsid w:val="7AA7E3DA"/>
    <w:rsid w:val="7B04ACBD"/>
    <w:rsid w:val="7B3C44B8"/>
    <w:rsid w:val="7B3F7E68"/>
    <w:rsid w:val="7B498E18"/>
    <w:rsid w:val="7B899824"/>
    <w:rsid w:val="7BAE2155"/>
    <w:rsid w:val="7BD9E9C6"/>
    <w:rsid w:val="7BF31223"/>
    <w:rsid w:val="7C893496"/>
    <w:rsid w:val="7C91B557"/>
    <w:rsid w:val="7C933CAA"/>
    <w:rsid w:val="7C948021"/>
    <w:rsid w:val="7C964F47"/>
    <w:rsid w:val="7CD36DAF"/>
    <w:rsid w:val="7D5D7664"/>
    <w:rsid w:val="7DA116CD"/>
    <w:rsid w:val="7DAF1624"/>
    <w:rsid w:val="7DD522D8"/>
    <w:rsid w:val="7DE18556"/>
    <w:rsid w:val="7E048492"/>
    <w:rsid w:val="7E36EFF2"/>
    <w:rsid w:val="7E506A0D"/>
    <w:rsid w:val="7E5C6C7B"/>
    <w:rsid w:val="7E6C8711"/>
    <w:rsid w:val="7E88FBDC"/>
    <w:rsid w:val="7EA147F6"/>
    <w:rsid w:val="7EEA8C02"/>
    <w:rsid w:val="7EFD1567"/>
    <w:rsid w:val="7F8B24D2"/>
    <w:rsid w:val="7F9A2A09"/>
    <w:rsid w:val="7FE0EC0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560F7304"/>
  <w15:docId w15:val="{1AEF442C-5E54-49CC-A22A-BF1D5A04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26B"/>
    <w:pPr>
      <w:spacing w:before="120" w:after="120"/>
    </w:pPr>
    <w:rPr>
      <w:rFonts w:ascii="Calibri" w:hAnsi="Calibri" w:cs="OpenSansRegular"/>
      <w:sz w:val="22"/>
      <w:lang w:val="en-AU"/>
    </w:rPr>
  </w:style>
  <w:style w:type="paragraph" w:styleId="Heading1">
    <w:name w:val="heading 1"/>
    <w:basedOn w:val="Normal"/>
    <w:next w:val="Normal"/>
    <w:link w:val="Heading1Char"/>
    <w:uiPriority w:val="1"/>
    <w:qFormat/>
    <w:rsid w:val="009E2F33"/>
    <w:pPr>
      <w:keepNext/>
      <w:keepLines/>
      <w:pageBreakBefore/>
      <w:numPr>
        <w:numId w:val="16"/>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5407DD"/>
    <w:pPr>
      <w:keepNext/>
      <w:keepLines/>
      <w:numPr>
        <w:ilvl w:val="1"/>
        <w:numId w:val="16"/>
      </w:numPr>
      <w:spacing w:before="240" w:line="280" w:lineRule="atLeast"/>
      <w:outlineLvl w:val="1"/>
    </w:pPr>
    <w:rPr>
      <w:rFonts w:eastAsiaTheme="majorEastAsia" w:cstheme="majorBidi"/>
      <w:b/>
      <w:bCs/>
      <w:color w:val="005B89"/>
      <w:szCs w:val="26"/>
    </w:rPr>
  </w:style>
  <w:style w:type="paragraph" w:styleId="Heading3">
    <w:name w:val="heading 3"/>
    <w:basedOn w:val="Normal"/>
    <w:next w:val="Normal"/>
    <w:link w:val="Heading3Char"/>
    <w:uiPriority w:val="1"/>
    <w:qFormat/>
    <w:rsid w:val="00F9113D"/>
    <w:pPr>
      <w:keepNext/>
      <w:keepLines/>
      <w:numPr>
        <w:ilvl w:val="2"/>
        <w:numId w:val="16"/>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16"/>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16"/>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16"/>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ascii="Calibri" w:eastAsiaTheme="majorEastAsia" w:hAnsi="Calibri" w:cstheme="majorBidi"/>
      <w:bCs/>
      <w:sz w:val="60"/>
      <w:szCs w:val="28"/>
      <w:lang w:val="en-AU"/>
    </w:rPr>
  </w:style>
  <w:style w:type="character" w:customStyle="1" w:styleId="Heading2Char">
    <w:name w:val="Heading 2 Char"/>
    <w:basedOn w:val="DefaultParagraphFont"/>
    <w:link w:val="Heading2"/>
    <w:uiPriority w:val="1"/>
    <w:rsid w:val="005407DD"/>
    <w:rPr>
      <w:rFonts w:ascii="Calibri" w:eastAsiaTheme="majorEastAsia" w:hAnsi="Calibri" w:cstheme="majorBidi"/>
      <w:b/>
      <w:bCs/>
      <w:color w:val="005B89"/>
      <w:sz w:val="22"/>
      <w:szCs w:val="26"/>
      <w:lang w:val="en-AU"/>
    </w:rPr>
  </w:style>
  <w:style w:type="table" w:styleId="TableGrid">
    <w:name w:val="Table Grid"/>
    <w:basedOn w:val="TableNormal"/>
    <w:uiPriority w:val="3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F7819"/>
    <w:pPr>
      <w:numPr>
        <w:numId w:val="12"/>
      </w:numPr>
      <w:spacing w:after="0"/>
      <w:contextualSpacing/>
    </w:pPr>
    <w:rPr>
      <w:szCs w:val="17"/>
    </w:rPr>
  </w:style>
  <w:style w:type="paragraph" w:styleId="ListBullet2">
    <w:name w:val="List Bullet 2"/>
    <w:basedOn w:val="Normal"/>
    <w:uiPriority w:val="3"/>
    <w:rsid w:val="00DF7819"/>
    <w:pPr>
      <w:numPr>
        <w:numId w:val="14"/>
      </w:numPr>
      <w:spacing w:after="0"/>
      <w:contextualSpacing/>
    </w:pPr>
    <w:rPr>
      <w:szCs w:val="17"/>
    </w:rPr>
  </w:style>
  <w:style w:type="paragraph" w:styleId="ListNumber">
    <w:name w:val="List Number"/>
    <w:basedOn w:val="Normal"/>
    <w:uiPriority w:val="3"/>
    <w:qFormat/>
    <w:rsid w:val="00DC7291"/>
    <w:pPr>
      <w:numPr>
        <w:numId w:val="13"/>
      </w:numPr>
      <w:spacing w:after="0"/>
    </w:pPr>
    <w:rPr>
      <w:szCs w:val="17"/>
    </w:rPr>
  </w:style>
  <w:style w:type="paragraph" w:styleId="ListNumber2">
    <w:name w:val="List Number 2"/>
    <w:basedOn w:val="Normal"/>
    <w:uiPriority w:val="3"/>
    <w:qFormat/>
    <w:rsid w:val="00DC7291"/>
    <w:pPr>
      <w:numPr>
        <w:numId w:val="27"/>
      </w:numPr>
      <w:spacing w:after="0"/>
      <w:ind w:left="697" w:hanging="357"/>
    </w:pPr>
  </w:style>
  <w:style w:type="character" w:customStyle="1" w:styleId="Heading3Char">
    <w:name w:val="Heading 3 Char"/>
    <w:basedOn w:val="DefaultParagraphFont"/>
    <w:link w:val="Heading3"/>
    <w:uiPriority w:val="1"/>
    <w:rsid w:val="00C50447"/>
    <w:rPr>
      <w:rFonts w:ascii="Calibri" w:eastAsiaTheme="majorEastAsia" w:hAnsi="Calibri" w:cstheme="majorBidi"/>
      <w:b/>
      <w:bCs/>
      <w:sz w:val="22"/>
      <w:lang w:val="en-AU"/>
    </w:rPr>
  </w:style>
  <w:style w:type="character" w:customStyle="1" w:styleId="Heading4Char">
    <w:name w:val="Heading 4 Char"/>
    <w:basedOn w:val="DefaultParagraphFont"/>
    <w:link w:val="Heading4"/>
    <w:uiPriority w:val="1"/>
    <w:rsid w:val="00C50447"/>
    <w:rPr>
      <w:rFonts w:ascii="Calibri" w:eastAsiaTheme="majorEastAsia" w:hAnsi="Calibri" w:cstheme="majorBidi"/>
      <w:b/>
      <w:bCs/>
      <w:iCs/>
      <w:color w:val="75787B" w:themeColor="accent6"/>
      <w:sz w:val="22"/>
      <w:lang w:val="en-AU"/>
    </w:rPr>
  </w:style>
  <w:style w:type="paragraph" w:styleId="FootnoteText">
    <w:name w:val="footnote text"/>
    <w:basedOn w:val="Normal"/>
    <w:link w:val="FootnoteTextChar"/>
    <w:uiPriority w:val="99"/>
    <w:semiHidden/>
    <w:rsid w:val="00F9113D"/>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163EF7"/>
    <w:pPr>
      <w:shd w:val="clear" w:color="auto" w:fill="00184E" w:themeFill="accent4" w:themeFillShade="BF"/>
      <w:spacing w:after="0" w:line="360" w:lineRule="atLeast"/>
    </w:pPr>
    <w:rPr>
      <w:rFonts w:asciiTheme="minorHAnsi" w:hAnsiTheme="minorHAnsi"/>
      <w:color w:val="FFFFFF" w:themeColor="background1"/>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5"/>
    <w:qFormat/>
    <w:rsid w:val="008F226B"/>
    <w:pPr>
      <w:spacing w:before="0" w:after="0" w:line="240" w:lineRule="auto"/>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styleId="BodyText">
    <w:name w:val="Body Text"/>
    <w:aliases w:val="Body Text (BOX)"/>
    <w:basedOn w:val="Normal"/>
    <w:link w:val="BodyTextChar"/>
    <w:unhideWhenUsed/>
    <w:rsid w:val="00163EF7"/>
    <w:pPr>
      <w:pBdr>
        <w:top w:val="single" w:sz="12" w:space="1" w:color="auto"/>
        <w:bottom w:val="single" w:sz="12" w:space="1" w:color="auto"/>
      </w:pBdr>
      <w:shd w:val="clear" w:color="auto" w:fill="005587"/>
    </w:pPr>
    <w:rPr>
      <w:b/>
      <w:color w:val="FFFFFF" w:themeColor="background1"/>
    </w:rPr>
  </w:style>
  <w:style w:type="paragraph" w:customStyle="1" w:styleId="Paneltitle">
    <w:name w:val="Panel title"/>
    <w:basedOn w:val="Normal"/>
    <w:next w:val="Normal"/>
    <w:uiPriority w:val="6"/>
    <w:rsid w:val="007B5522"/>
    <w:pPr>
      <w:spacing w:after="0" w:line="360" w:lineRule="atLeast"/>
    </w:pPr>
    <w:rPr>
      <w:b/>
      <w:color w:val="FFFFFF"/>
      <w:sz w:val="28"/>
    </w:rPr>
  </w:style>
  <w:style w:type="paragraph" w:customStyle="1" w:styleId="Documentsubtitle">
    <w:name w:val="Document subtitle"/>
    <w:basedOn w:val="Normal"/>
    <w:uiPriority w:val="7"/>
    <w:rsid w:val="007C4146"/>
    <w:pPr>
      <w:spacing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E51A71"/>
    <w:pPr>
      <w:spacing w:line="240" w:lineRule="auto"/>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rPr>
        <w:rFonts w:asciiTheme="majorHAnsi" w:hAnsiTheme="majorHAnsi"/>
        <w:b/>
        <w:color w:val="012169" w:themeColor="accent4"/>
        <w:sz w:val="18"/>
      </w:rPr>
      <w:tblPr/>
      <w:tcPr>
        <w:tcBorders>
          <w:top w:val="single" w:sz="24" w:space="0" w:color="62B5E5" w:themeColor="accent3"/>
        </w:tcBorders>
      </w:tcPr>
    </w:tblStylePr>
  </w:style>
  <w:style w:type="paragraph" w:customStyle="1" w:styleId="TabletextLeft">
    <w:name w:val="Table text Left"/>
    <w:basedOn w:val="Normal"/>
    <w:link w:val="TabletextLeftChar"/>
    <w:uiPriority w:val="5"/>
    <w:rsid w:val="00E51A71"/>
    <w:pPr>
      <w:spacing w:after="0" w:line="240" w:lineRule="auto"/>
      <w:ind w:left="57" w:right="57"/>
    </w:pPr>
    <w:rPr>
      <w:sz w:val="20"/>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rsid w:val="00B5479F"/>
    <w:pPr>
      <w:spacing w:before="120"/>
    </w:pPr>
    <w:rPr>
      <w:sz w:val="14"/>
    </w:rPr>
  </w:style>
  <w:style w:type="paragraph" w:customStyle="1" w:styleId="Tablebullets">
    <w:name w:val="Table bullets"/>
    <w:basedOn w:val="TabletextLeft"/>
    <w:link w:val="TablebulletsChar"/>
    <w:uiPriority w:val="5"/>
    <w:rsid w:val="004E7AE1"/>
    <w:pPr>
      <w:framePr w:hSpace="180" w:wrap="around" w:vAnchor="text" w:hAnchor="text" w:y="1"/>
      <w:numPr>
        <w:numId w:val="7"/>
      </w:numPr>
      <w:spacing w:before="0"/>
      <w:ind w:left="470" w:right="0" w:hanging="357"/>
      <w:suppressOverlap/>
    </w:pPr>
  </w:style>
  <w:style w:type="paragraph" w:customStyle="1" w:styleId="Tablenumbered">
    <w:name w:val="Table numbered"/>
    <w:basedOn w:val="TabletextLeft"/>
    <w:uiPriority w:val="5"/>
    <w:rsid w:val="00F9113D"/>
    <w:pPr>
      <w:framePr w:hSpace="180" w:wrap="around" w:vAnchor="text" w:hAnchor="text" w:y="1"/>
      <w:numPr>
        <w:numId w:val="8"/>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character" w:customStyle="1" w:styleId="BodyTextChar">
    <w:name w:val="Body Text Char"/>
    <w:aliases w:val="Body Text (BOX) Char"/>
    <w:basedOn w:val="DefaultParagraphFont"/>
    <w:link w:val="BodyText"/>
    <w:rsid w:val="00163EF7"/>
    <w:rPr>
      <w:rFonts w:ascii="Calibri" w:hAnsi="Calibri" w:cs="OpenSansRegular"/>
      <w:b/>
      <w:color w:val="FFFFFF" w:themeColor="background1"/>
      <w:sz w:val="22"/>
      <w:shd w:val="clear" w:color="auto" w:fill="005587"/>
      <w:lang w:val="en-AU"/>
    </w:rPr>
  </w:style>
  <w:style w:type="paragraph" w:styleId="BodyText2">
    <w:name w:val="Body Text 2"/>
    <w:basedOn w:val="Normal"/>
    <w:link w:val="BodyText2Char"/>
    <w:uiPriority w:val="99"/>
    <w:semiHidden/>
    <w:rsid w:val="00F9113D"/>
    <w:pPr>
      <w:spacing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Normal"/>
    <w:link w:val="BodyTextFirstIndentChar"/>
    <w:uiPriority w:val="99"/>
    <w:semiHidden/>
    <w:rsid w:val="007B5522"/>
    <w:pPr>
      <w:spacing w:after="240"/>
      <w:ind w:firstLine="360"/>
    </w:pPr>
  </w:style>
  <w:style w:type="character" w:customStyle="1" w:styleId="BodyTextFirstIndentChar">
    <w:name w:val="Body Text First Indent Char"/>
    <w:basedOn w:val="DefaultParagraphFont"/>
    <w:link w:val="BodyTextFirstIndent"/>
    <w:uiPriority w:val="99"/>
    <w:semiHidden/>
    <w:rsid w:val="007B5522"/>
  </w:style>
  <w:style w:type="paragraph" w:styleId="BodyTextIndent">
    <w:name w:val="Body Text Indent"/>
    <w:basedOn w:val="Normal"/>
    <w:link w:val="BodyTextIndentChar"/>
    <w:uiPriority w:val="99"/>
    <w:semiHidden/>
    <w:rsid w:val="00F9113D"/>
    <w:pPr>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rsid w:val="00F9113D"/>
    <w:pPr>
      <w:spacing w:line="240" w:lineRule="auto"/>
    </w:pPr>
    <w:rPr>
      <w:sz w:val="20"/>
      <w:szCs w:val="20"/>
    </w:rPr>
  </w:style>
  <w:style w:type="character" w:customStyle="1" w:styleId="CommentTextChar">
    <w:name w:val="Comment Text Char"/>
    <w:basedOn w:val="DefaultParagraphFont"/>
    <w:link w:val="CommentText"/>
    <w:uiPriority w:val="99"/>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E51A71"/>
    <w:rPr>
      <w:rFonts w:ascii="Calibri" w:hAnsi="Calibri"/>
      <w:b w:val="0"/>
      <w:i/>
      <w:iCs/>
      <w:color w:val="44546A" w:themeColor="text2"/>
      <w:sz w:val="2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ascii="Calibri" w:eastAsiaTheme="majorEastAsia" w:hAnsi="Calibri" w:cstheme="majorBidi"/>
      <w:b/>
      <w:sz w:val="22"/>
      <w:lang w:val="en-AU"/>
    </w:rPr>
  </w:style>
  <w:style w:type="character" w:customStyle="1" w:styleId="Heading6Char">
    <w:name w:val="Heading 6 Char"/>
    <w:basedOn w:val="DefaultParagraphFont"/>
    <w:link w:val="Heading6"/>
    <w:uiPriority w:val="1"/>
    <w:semiHidden/>
    <w:rsid w:val="00F9113D"/>
    <w:rPr>
      <w:rFonts w:ascii="Calibri" w:eastAsiaTheme="majorEastAsia" w:hAnsi="Calibri" w:cstheme="majorBidi"/>
      <w:b/>
      <w:iCs/>
      <w:sz w:val="22"/>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5"/>
      </w:numPr>
      <w:spacing w:after="0"/>
      <w:ind w:left="1020"/>
      <w:contextualSpacing/>
    </w:pPr>
  </w:style>
  <w:style w:type="paragraph" w:styleId="ListBullet4">
    <w:name w:val="List Bullet 4"/>
    <w:basedOn w:val="Normal"/>
    <w:uiPriority w:val="99"/>
    <w:semiHidden/>
    <w:rsid w:val="00F9113D"/>
    <w:pPr>
      <w:numPr>
        <w:numId w:val="2"/>
      </w:numPr>
      <w:contextualSpacing/>
    </w:pPr>
  </w:style>
  <w:style w:type="paragraph" w:styleId="ListBullet5">
    <w:name w:val="List Bullet 5"/>
    <w:basedOn w:val="Normal"/>
    <w:uiPriority w:val="99"/>
    <w:semiHidden/>
    <w:rsid w:val="00F9113D"/>
    <w:pPr>
      <w:numPr>
        <w:numId w:val="3"/>
      </w:numPr>
      <w:contextualSpacing/>
    </w:pPr>
  </w:style>
  <w:style w:type="paragraph" w:styleId="ListContinue">
    <w:name w:val="List Continue"/>
    <w:basedOn w:val="Normal"/>
    <w:uiPriority w:val="99"/>
    <w:semiHidden/>
    <w:rsid w:val="00F9113D"/>
    <w:pPr>
      <w:ind w:left="283"/>
      <w:contextualSpacing/>
    </w:pPr>
  </w:style>
  <w:style w:type="paragraph" w:styleId="ListContinue2">
    <w:name w:val="List Continue 2"/>
    <w:basedOn w:val="Normal"/>
    <w:uiPriority w:val="99"/>
    <w:semiHidden/>
    <w:rsid w:val="00F9113D"/>
    <w:pPr>
      <w:ind w:left="566"/>
      <w:contextualSpacing/>
    </w:pPr>
  </w:style>
  <w:style w:type="paragraph" w:styleId="ListContinue3">
    <w:name w:val="List Continue 3"/>
    <w:basedOn w:val="Normal"/>
    <w:uiPriority w:val="99"/>
    <w:semiHidden/>
    <w:rsid w:val="00F9113D"/>
    <w:pPr>
      <w:ind w:left="849"/>
      <w:contextualSpacing/>
    </w:pPr>
  </w:style>
  <w:style w:type="paragraph" w:styleId="ListContinue4">
    <w:name w:val="List Continue 4"/>
    <w:basedOn w:val="Normal"/>
    <w:uiPriority w:val="99"/>
    <w:semiHidden/>
    <w:rsid w:val="00F9113D"/>
    <w:pPr>
      <w:ind w:left="1132"/>
      <w:contextualSpacing/>
    </w:pPr>
  </w:style>
  <w:style w:type="paragraph" w:styleId="ListContinue5">
    <w:name w:val="List Continue 5"/>
    <w:basedOn w:val="Normal"/>
    <w:uiPriority w:val="99"/>
    <w:semiHidden/>
    <w:rsid w:val="00F9113D"/>
    <w:pPr>
      <w:ind w:left="1415"/>
      <w:contextualSpacing/>
    </w:pPr>
  </w:style>
  <w:style w:type="paragraph" w:styleId="ListNumber3">
    <w:name w:val="List Number 3"/>
    <w:basedOn w:val="Normal"/>
    <w:uiPriority w:val="99"/>
    <w:semiHidden/>
    <w:rsid w:val="00F9113D"/>
    <w:pPr>
      <w:numPr>
        <w:ilvl w:val="2"/>
        <w:numId w:val="13"/>
      </w:numPr>
      <w:contextualSpacing/>
    </w:pPr>
  </w:style>
  <w:style w:type="paragraph" w:styleId="ListNumber4">
    <w:name w:val="List Number 4"/>
    <w:basedOn w:val="Normal"/>
    <w:uiPriority w:val="99"/>
    <w:semiHidden/>
    <w:rsid w:val="00F9113D"/>
    <w:pPr>
      <w:numPr>
        <w:numId w:val="4"/>
      </w:numPr>
      <w:contextualSpacing/>
    </w:pPr>
  </w:style>
  <w:style w:type="paragraph" w:styleId="ListNumber5">
    <w:name w:val="List Number 5"/>
    <w:basedOn w:val="Normal"/>
    <w:uiPriority w:val="99"/>
    <w:semiHidden/>
    <w:rsid w:val="00F9113D"/>
    <w:pPr>
      <w:numPr>
        <w:numId w:val="5"/>
      </w:numPr>
      <w:contextualSpacing/>
    </w:pPr>
  </w:style>
  <w:style w:type="paragraph" w:styleId="ListParagraph">
    <w:name w:val="List Paragraph"/>
    <w:aliases w:val="List Paragraph - bullets,standard lewis,Use Case List Paragraph,Lettre d'introduction,List Paragraph1,Numbered Indented Text,Colorful List - Accent 11,Resume Title,Recommendation,Numbered Para 1,Dot pt,No Spacing1,Indicator Text,Lists,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614C78"/>
    <w:pPr>
      <w:tabs>
        <w:tab w:val="right" w:pos="8959"/>
      </w:tabs>
      <w:ind w:right="567"/>
    </w:pPr>
  </w:style>
  <w:style w:type="paragraph" w:styleId="TOC8">
    <w:name w:val="toc 8"/>
    <w:basedOn w:val="Normal"/>
    <w:next w:val="Normal"/>
    <w:uiPriority w:val="39"/>
    <w:rsid w:val="00614C78"/>
    <w:pPr>
      <w:tabs>
        <w:tab w:val="right" w:pos="8959"/>
      </w:tabs>
      <w:ind w:right="567"/>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Normal"/>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Normal"/>
    <w:uiPriority w:val="7"/>
    <w:semiHidden/>
    <w:rsid w:val="00F9113D"/>
    <w:pPr>
      <w:spacing w:after="0"/>
    </w:pPr>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6"/>
      </w:numPr>
      <w:suppressAutoHyphens/>
      <w:spacing w:after="0" w:line="250" w:lineRule="atLeast"/>
    </w:pPr>
  </w:style>
  <w:style w:type="paragraph" w:customStyle="1" w:styleId="Numberslevel2">
    <w:name w:val="Numbers level 2"/>
    <w:basedOn w:val="Normal"/>
    <w:uiPriority w:val="4"/>
    <w:semiHidden/>
    <w:rsid w:val="00F9113D"/>
    <w:pPr>
      <w:numPr>
        <w:ilvl w:val="1"/>
        <w:numId w:val="6"/>
      </w:numPr>
      <w:suppressAutoHyphens/>
      <w:spacing w:after="0" w:line="250" w:lineRule="atLeast"/>
    </w:pPr>
  </w:style>
  <w:style w:type="paragraph" w:customStyle="1" w:styleId="Numberslevel3">
    <w:name w:val="Numbers level 3"/>
    <w:basedOn w:val="Normal"/>
    <w:uiPriority w:val="4"/>
    <w:semiHidden/>
    <w:rsid w:val="00F9113D"/>
    <w:pPr>
      <w:numPr>
        <w:ilvl w:val="2"/>
        <w:numId w:val="6"/>
      </w:numPr>
      <w:suppressAutoHyphens/>
      <w:spacing w:after="0" w:line="250" w:lineRule="atLeast"/>
    </w:p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CaptionTable">
    <w:name w:val="Caption_Table"/>
    <w:basedOn w:val="Normal"/>
    <w:next w:val="Normal"/>
    <w:uiPriority w:val="4"/>
    <w:rsid w:val="00405174"/>
    <w:pPr>
      <w:keepNext/>
      <w:keepLines/>
      <w:numPr>
        <w:ilvl w:val="6"/>
        <w:numId w:val="16"/>
      </w:numPr>
      <w:spacing w:after="60" w:line="240" w:lineRule="auto"/>
      <w:ind w:left="4394"/>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16"/>
      </w:numPr>
      <w:ind w:left="0"/>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16"/>
      </w:numPr>
    </w:pPr>
    <w:rPr>
      <w:color w:val="75787B" w:themeColor="accent6"/>
      <w:sz w:val="17"/>
    </w:rPr>
  </w:style>
  <w:style w:type="paragraph" w:customStyle="1" w:styleId="ExecutiveHeading">
    <w:name w:val="Executive Heading"/>
    <w:basedOn w:val="Heading1un-numbered"/>
    <w:next w:val="Normal"/>
    <w:uiPriority w:val="3"/>
    <w:rsid w:val="005E5001"/>
    <w:pPr>
      <w:numPr>
        <w:numId w:val="9"/>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9"/>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9"/>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9"/>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0"/>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0"/>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0"/>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0"/>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ascii="Calibri" w:eastAsia="Times New Roman" w:hAnsi="Calibri" w:cs="Arial"/>
      <w:sz w:val="60"/>
      <w:szCs w:val="20"/>
      <w:lang w:val="en-AU"/>
    </w:rPr>
  </w:style>
  <w:style w:type="paragraph" w:customStyle="1" w:styleId="AppendixTableCaption">
    <w:name w:val="Appendix Table Caption"/>
    <w:basedOn w:val="Appendixhead4"/>
    <w:next w:val="Normal"/>
    <w:link w:val="AppendixTableCaptionChar"/>
    <w:uiPriority w:val="4"/>
    <w:rsid w:val="004D051F"/>
    <w:pPr>
      <w:numPr>
        <w:ilvl w:val="6"/>
      </w:numPr>
      <w:spacing w:after="120" w:line="240" w:lineRule="auto"/>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ascii="Calibri" w:eastAsia="Times New Roman" w:hAnsi="Calibri" w:cs="Times New Roman"/>
      <w:b/>
      <w:color w:val="005B89"/>
      <w:sz w:val="22"/>
      <w:szCs w:val="28"/>
      <w:lang w:val="en-AU" w:eastAsia="en-AU"/>
    </w:rPr>
  </w:style>
  <w:style w:type="character" w:customStyle="1" w:styleId="AppendixTableCaptionChar">
    <w:name w:val="Appendix Table Caption Char"/>
    <w:basedOn w:val="DefaultParagraphFont"/>
    <w:link w:val="AppendixTableCaption"/>
    <w:uiPriority w:val="4"/>
    <w:rsid w:val="004D051F"/>
    <w:rPr>
      <w:rFonts w:ascii="Calibri" w:eastAsia="Times New Roman" w:hAnsi="Calibri"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ascii="Calibri" w:eastAsia="Times New Roman" w:hAnsi="Calibri" w:cs="Times New Roman"/>
      <w:b/>
      <w:sz w:val="22"/>
      <w:szCs w:val="20"/>
      <w:lang w:val="en-AU"/>
    </w:rPr>
  </w:style>
  <w:style w:type="character" w:customStyle="1" w:styleId="AppendixFigureCaptionChar">
    <w:name w:val="Appendix Figure Caption Char"/>
    <w:basedOn w:val="DefaultParagraphFont"/>
    <w:link w:val="AppendixFigureCaption"/>
    <w:uiPriority w:val="4"/>
    <w:rsid w:val="00CA0756"/>
    <w:rPr>
      <w:rFonts w:ascii="Calibri" w:eastAsia="Times New Roman" w:hAnsi="Calibri"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ascii="Calibri" w:eastAsia="Times New Roman" w:hAnsi="Calibri"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spacing w:before="120"/>
    </w:pPr>
    <w:rPr>
      <w:sz w:val="14"/>
    </w:rPr>
  </w:style>
  <w:style w:type="paragraph" w:customStyle="1" w:styleId="AlphabeticList">
    <w:name w:val="Alphabetic List"/>
    <w:basedOn w:val="Normal"/>
    <w:uiPriority w:val="4"/>
    <w:qFormat/>
    <w:rsid w:val="007F7A8C"/>
    <w:pPr>
      <w:numPr>
        <w:numId w:val="11"/>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textRight">
    <w:name w:val="Table text Right"/>
    <w:basedOn w:val="TabletextLeft"/>
    <w:uiPriority w:val="5"/>
    <w:rsid w:val="004A4474"/>
    <w:pPr>
      <w:jc w:val="right"/>
    </w:pPr>
  </w:style>
  <w:style w:type="paragraph" w:customStyle="1" w:styleId="TableNote">
    <w:name w:val="Table Note"/>
    <w:basedOn w:val="TabletextLeft"/>
    <w:uiPriority w:val="5"/>
    <w:semiHidden/>
    <w:rsid w:val="002E67BC"/>
    <w:rPr>
      <w:sz w:val="15"/>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character" w:customStyle="1" w:styleId="ListParagraphChar">
    <w:name w:val="List Paragraph Char"/>
    <w:aliases w:val="List Paragraph - bullets Char,standard lewis Char,Use Case List Paragraph Char,Lettre d'introduction Char,List Paragraph1 Char,Numbered Indented Text Char,Colorful List - Accent 11 Char,Resume Title Char,Recommendation Char,L Char"/>
    <w:link w:val="ListParagraph"/>
    <w:uiPriority w:val="34"/>
    <w:qFormat/>
    <w:locked/>
    <w:rsid w:val="00AC1ACE"/>
    <w:rPr>
      <w:rFonts w:ascii="OpenSansRegular" w:hAnsi="OpenSansRegular" w:cs="OpenSansRegular"/>
      <w:lang w:val="en-AU"/>
    </w:rPr>
  </w:style>
  <w:style w:type="character" w:styleId="UnresolvedMention">
    <w:name w:val="Unresolved Mention"/>
    <w:basedOn w:val="DefaultParagraphFont"/>
    <w:uiPriority w:val="99"/>
    <w:unhideWhenUsed/>
    <w:rsid w:val="00C534E1"/>
    <w:rPr>
      <w:color w:val="605E5C"/>
      <w:shd w:val="clear" w:color="auto" w:fill="E1DFDD"/>
    </w:rPr>
  </w:style>
  <w:style w:type="character" w:styleId="Mention">
    <w:name w:val="Mention"/>
    <w:basedOn w:val="DefaultParagraphFont"/>
    <w:uiPriority w:val="99"/>
    <w:unhideWhenUsed/>
    <w:rsid w:val="00C534E1"/>
    <w:rPr>
      <w:color w:val="2B579A"/>
      <w:shd w:val="clear" w:color="auto" w:fill="E1DFDD"/>
    </w:rPr>
  </w:style>
  <w:style w:type="paragraph" w:styleId="Revision">
    <w:name w:val="Revision"/>
    <w:hidden/>
    <w:uiPriority w:val="99"/>
    <w:semiHidden/>
    <w:rsid w:val="008A7825"/>
    <w:pPr>
      <w:spacing w:line="240" w:lineRule="auto"/>
    </w:pPr>
    <w:rPr>
      <w:rFonts w:ascii="OpenSansRegular" w:hAnsi="OpenSansRegular" w:cs="OpenSansRegular"/>
      <w:lang w:val="en-AU"/>
    </w:rPr>
  </w:style>
  <w:style w:type="paragraph" w:customStyle="1" w:styleId="Tablebullet2">
    <w:name w:val="Table bullet (2)"/>
    <w:basedOn w:val="Tablebullets"/>
    <w:link w:val="Tablebullet2Char"/>
    <w:qFormat/>
    <w:rsid w:val="004D051F"/>
    <w:pPr>
      <w:framePr w:wrap="around"/>
      <w:ind w:left="867"/>
    </w:pPr>
  </w:style>
  <w:style w:type="paragraph" w:customStyle="1" w:styleId="Recommendationtextbox">
    <w:name w:val="Recommendation (text box)"/>
    <w:basedOn w:val="BodyText"/>
    <w:link w:val="RecommendationtextboxChar"/>
    <w:qFormat/>
    <w:rsid w:val="004D051F"/>
    <w:pPr>
      <w:shd w:val="clear" w:color="auto" w:fill="007680"/>
    </w:pPr>
  </w:style>
  <w:style w:type="character" w:customStyle="1" w:styleId="TabletextLeftChar">
    <w:name w:val="Table text Left Char"/>
    <w:basedOn w:val="DefaultParagraphFont"/>
    <w:link w:val="TabletextLeft"/>
    <w:uiPriority w:val="5"/>
    <w:rsid w:val="00E51A71"/>
    <w:rPr>
      <w:rFonts w:ascii="Calibri" w:hAnsi="Calibri" w:cs="OpenSansRegular"/>
      <w:sz w:val="20"/>
      <w:lang w:val="en-AU"/>
    </w:rPr>
  </w:style>
  <w:style w:type="character" w:customStyle="1" w:styleId="TablebulletsChar">
    <w:name w:val="Table bullets Char"/>
    <w:basedOn w:val="TabletextLeftChar"/>
    <w:link w:val="Tablebullets"/>
    <w:uiPriority w:val="5"/>
    <w:rsid w:val="004E7AE1"/>
    <w:rPr>
      <w:rFonts w:ascii="Calibri" w:hAnsi="Calibri" w:cs="OpenSansRegular"/>
      <w:sz w:val="20"/>
      <w:lang w:val="en-AU"/>
    </w:rPr>
  </w:style>
  <w:style w:type="character" w:customStyle="1" w:styleId="Tablebullet2Char">
    <w:name w:val="Table bullet (2) Char"/>
    <w:basedOn w:val="TablebulletsChar"/>
    <w:link w:val="Tablebullet2"/>
    <w:rsid w:val="004D051F"/>
    <w:rPr>
      <w:rFonts w:ascii="Calibri" w:hAnsi="Calibri" w:cs="OpenSansRegular"/>
      <w:sz w:val="20"/>
      <w:lang w:val="en-AU"/>
    </w:rPr>
  </w:style>
  <w:style w:type="character" w:customStyle="1" w:styleId="RecommendationtextboxChar">
    <w:name w:val="Recommendation (text box) Char"/>
    <w:basedOn w:val="BodyTextChar"/>
    <w:link w:val="Recommendationtextbox"/>
    <w:rsid w:val="004D051F"/>
    <w:rPr>
      <w:rFonts w:ascii="Calibri" w:hAnsi="Calibri" w:cs="OpenSansRegular"/>
      <w:b/>
      <w:color w:val="FFFFFF" w:themeColor="background1"/>
      <w:sz w:val="22"/>
      <w:shd w:val="clear" w:color="auto" w:fill="00768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0386">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1259301">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56543202">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48007825">
      <w:bodyDiv w:val="1"/>
      <w:marLeft w:val="0"/>
      <w:marRight w:val="0"/>
      <w:marTop w:val="0"/>
      <w:marBottom w:val="0"/>
      <w:divBdr>
        <w:top w:val="none" w:sz="0" w:space="0" w:color="auto"/>
        <w:left w:val="none" w:sz="0" w:space="0" w:color="auto"/>
        <w:bottom w:val="none" w:sz="0" w:space="0" w:color="auto"/>
        <w:right w:val="none" w:sz="0" w:space="0" w:color="auto"/>
      </w:divBdr>
    </w:div>
    <w:div w:id="528300749">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00284299">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81035297">
      <w:bodyDiv w:val="1"/>
      <w:marLeft w:val="0"/>
      <w:marRight w:val="0"/>
      <w:marTop w:val="0"/>
      <w:marBottom w:val="0"/>
      <w:divBdr>
        <w:top w:val="none" w:sz="0" w:space="0" w:color="auto"/>
        <w:left w:val="none" w:sz="0" w:space="0" w:color="auto"/>
        <w:bottom w:val="none" w:sz="0" w:space="0" w:color="auto"/>
        <w:right w:val="none" w:sz="0" w:space="0" w:color="auto"/>
      </w:divBdr>
    </w:div>
    <w:div w:id="1062291064">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74521598">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643074054">
      <w:bodyDiv w:val="1"/>
      <w:marLeft w:val="0"/>
      <w:marRight w:val="0"/>
      <w:marTop w:val="0"/>
      <w:marBottom w:val="0"/>
      <w:divBdr>
        <w:top w:val="none" w:sz="0" w:space="0" w:color="auto"/>
        <w:left w:val="none" w:sz="0" w:space="0" w:color="auto"/>
        <w:bottom w:val="none" w:sz="0" w:space="0" w:color="auto"/>
        <w:right w:val="none" w:sz="0" w:space="0" w:color="auto"/>
      </w:divBdr>
    </w:div>
    <w:div w:id="1719815648">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02113857">
      <w:bodyDiv w:val="1"/>
      <w:marLeft w:val="0"/>
      <w:marRight w:val="0"/>
      <w:marTop w:val="0"/>
      <w:marBottom w:val="0"/>
      <w:divBdr>
        <w:top w:val="none" w:sz="0" w:space="0" w:color="auto"/>
        <w:left w:val="none" w:sz="0" w:space="0" w:color="auto"/>
        <w:bottom w:val="none" w:sz="0" w:space="0" w:color="auto"/>
        <w:right w:val="none" w:sz="0" w:space="0" w:color="auto"/>
      </w:divBdr>
    </w:div>
    <w:div w:id="1826161487">
      <w:bodyDiv w:val="1"/>
      <w:marLeft w:val="0"/>
      <w:marRight w:val="0"/>
      <w:marTop w:val="0"/>
      <w:marBottom w:val="0"/>
      <w:divBdr>
        <w:top w:val="none" w:sz="0" w:space="0" w:color="auto"/>
        <w:left w:val="none" w:sz="0" w:space="0" w:color="auto"/>
        <w:bottom w:val="none" w:sz="0" w:space="0" w:color="auto"/>
        <w:right w:val="none" w:sz="0" w:space="0" w:color="auto"/>
      </w:divBdr>
    </w:div>
    <w:div w:id="1954701277">
      <w:bodyDiv w:val="1"/>
      <w:marLeft w:val="0"/>
      <w:marRight w:val="0"/>
      <w:marTop w:val="0"/>
      <w:marBottom w:val="0"/>
      <w:divBdr>
        <w:top w:val="none" w:sz="0" w:space="0" w:color="auto"/>
        <w:left w:val="none" w:sz="0" w:space="0" w:color="auto"/>
        <w:bottom w:val="none" w:sz="0" w:space="0" w:color="auto"/>
        <w:right w:val="none" w:sz="0" w:space="0" w:color="auto"/>
      </w:divBdr>
    </w:div>
    <w:div w:id="2031686685">
      <w:bodyDiv w:val="1"/>
      <w:marLeft w:val="0"/>
      <w:marRight w:val="0"/>
      <w:marTop w:val="0"/>
      <w:marBottom w:val="0"/>
      <w:divBdr>
        <w:top w:val="none" w:sz="0" w:space="0" w:color="auto"/>
        <w:left w:val="none" w:sz="0" w:space="0" w:color="auto"/>
        <w:bottom w:val="none" w:sz="0" w:space="0" w:color="auto"/>
        <w:right w:val="none" w:sz="0" w:space="0" w:color="auto"/>
      </w:divBdr>
    </w:div>
    <w:div w:id="210842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image" Target="media/image10.jpeg"/><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s>
</file>

<file path=word/_rels/footnotes.xml.rels><?xml version="1.0" encoding="UTF-8" standalone="yes"?>
<Relationships xmlns="http://schemas.openxmlformats.org/package/2006/relationships"><Relationship Id="rId2" Type="http://schemas.openxmlformats.org/officeDocument/2006/relationships/hyperlink" Target="https://www.cms.gov/newsroom/fact-sheets/2020-estimated-improper-payment-rates-centers-medicare-medicaid-services-cms-programs" TargetMode="External"/><Relationship Id="rId1" Type="http://schemas.openxmlformats.org/officeDocument/2006/relationships/hyperlink" Target="https://www.smh.com.au/national/the-scumbag-scale-how-organised-crime-has-infiltrated-the-ndis-20220811-p5b95s.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0FB5E9C79748E18DABFD65734C759E"/>
        <w:category>
          <w:name w:val="Generelt"/>
          <w:gallery w:val="placeholder"/>
        </w:category>
        <w:types>
          <w:type w:val="bbPlcHdr"/>
        </w:types>
        <w:behaviors>
          <w:behavior w:val="content"/>
        </w:behaviors>
        <w:guid w:val="{D87DEE00-99C3-4523-9230-AAEAAE42F3AA}"/>
      </w:docPartPr>
      <w:docPartBody>
        <w:p w:rsidR="00CB5D53" w:rsidRDefault="0031761E" w:rsidP="0031761E">
          <w:pPr>
            <w:pStyle w:val="320FB5E9C79748E18DABFD65734C759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ansRegular">
    <w:altName w:val="Calibri"/>
    <w:charset w:val="00"/>
    <w:family w:val="swiss"/>
    <w:pitch w:val="variable"/>
    <w:sig w:usb0="E00002EF" w:usb1="4000205B" w:usb2="00000028"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16"/>
    <w:rsid w:val="00000730"/>
    <w:rsid w:val="00003840"/>
    <w:rsid w:val="0002423C"/>
    <w:rsid w:val="00025898"/>
    <w:rsid w:val="00042400"/>
    <w:rsid w:val="00045635"/>
    <w:rsid w:val="00052F1D"/>
    <w:rsid w:val="00070A0B"/>
    <w:rsid w:val="00087772"/>
    <w:rsid w:val="00095316"/>
    <w:rsid w:val="000A0C69"/>
    <w:rsid w:val="000B1545"/>
    <w:rsid w:val="000C06D1"/>
    <w:rsid w:val="000C1FD2"/>
    <w:rsid w:val="000C3638"/>
    <w:rsid w:val="000D5BFB"/>
    <w:rsid w:val="000D6AD7"/>
    <w:rsid w:val="000D6ADB"/>
    <w:rsid w:val="001023D9"/>
    <w:rsid w:val="00121DD3"/>
    <w:rsid w:val="00122175"/>
    <w:rsid w:val="001239DD"/>
    <w:rsid w:val="00125B6D"/>
    <w:rsid w:val="00132E75"/>
    <w:rsid w:val="00133465"/>
    <w:rsid w:val="001478DE"/>
    <w:rsid w:val="00161694"/>
    <w:rsid w:val="00181B33"/>
    <w:rsid w:val="00183C82"/>
    <w:rsid w:val="0019500D"/>
    <w:rsid w:val="001A34FC"/>
    <w:rsid w:val="001B537B"/>
    <w:rsid w:val="001F3063"/>
    <w:rsid w:val="001F3A58"/>
    <w:rsid w:val="002375D7"/>
    <w:rsid w:val="002559F9"/>
    <w:rsid w:val="002761AC"/>
    <w:rsid w:val="002821D6"/>
    <w:rsid w:val="00287A03"/>
    <w:rsid w:val="00292BFA"/>
    <w:rsid w:val="00294F3A"/>
    <w:rsid w:val="002B0E84"/>
    <w:rsid w:val="002B3451"/>
    <w:rsid w:val="002D1D1A"/>
    <w:rsid w:val="002E35F7"/>
    <w:rsid w:val="0031761E"/>
    <w:rsid w:val="003430E2"/>
    <w:rsid w:val="00343876"/>
    <w:rsid w:val="003527EA"/>
    <w:rsid w:val="00361108"/>
    <w:rsid w:val="003A7A5D"/>
    <w:rsid w:val="003C67CE"/>
    <w:rsid w:val="003D7CDB"/>
    <w:rsid w:val="003F09DF"/>
    <w:rsid w:val="00406502"/>
    <w:rsid w:val="00441B51"/>
    <w:rsid w:val="004558B0"/>
    <w:rsid w:val="004679F0"/>
    <w:rsid w:val="00476961"/>
    <w:rsid w:val="004813A0"/>
    <w:rsid w:val="00482D02"/>
    <w:rsid w:val="00491EFA"/>
    <w:rsid w:val="00491F04"/>
    <w:rsid w:val="004A04C2"/>
    <w:rsid w:val="004B4CCA"/>
    <w:rsid w:val="004F2942"/>
    <w:rsid w:val="00500ACA"/>
    <w:rsid w:val="00513F44"/>
    <w:rsid w:val="00525911"/>
    <w:rsid w:val="00540F95"/>
    <w:rsid w:val="00551B65"/>
    <w:rsid w:val="0055778D"/>
    <w:rsid w:val="00573F6E"/>
    <w:rsid w:val="0059331B"/>
    <w:rsid w:val="005A3CE6"/>
    <w:rsid w:val="005B0EA4"/>
    <w:rsid w:val="005E2BDC"/>
    <w:rsid w:val="005F13EF"/>
    <w:rsid w:val="005F6DDB"/>
    <w:rsid w:val="00640ADC"/>
    <w:rsid w:val="006470E2"/>
    <w:rsid w:val="0069622D"/>
    <w:rsid w:val="006A25BF"/>
    <w:rsid w:val="006A6B81"/>
    <w:rsid w:val="006E7B05"/>
    <w:rsid w:val="00724E36"/>
    <w:rsid w:val="00771945"/>
    <w:rsid w:val="00784389"/>
    <w:rsid w:val="007849C3"/>
    <w:rsid w:val="007879F9"/>
    <w:rsid w:val="00796DBB"/>
    <w:rsid w:val="007B55A1"/>
    <w:rsid w:val="007F072E"/>
    <w:rsid w:val="008219EA"/>
    <w:rsid w:val="0083097A"/>
    <w:rsid w:val="00832EEC"/>
    <w:rsid w:val="00843B3E"/>
    <w:rsid w:val="00845B0C"/>
    <w:rsid w:val="00846FD8"/>
    <w:rsid w:val="008557F1"/>
    <w:rsid w:val="008A7681"/>
    <w:rsid w:val="008B2A3A"/>
    <w:rsid w:val="008B7BF7"/>
    <w:rsid w:val="008D2EB2"/>
    <w:rsid w:val="008D6FFA"/>
    <w:rsid w:val="0097450F"/>
    <w:rsid w:val="009B5FB9"/>
    <w:rsid w:val="009D12B1"/>
    <w:rsid w:val="009E397B"/>
    <w:rsid w:val="009E672E"/>
    <w:rsid w:val="00A10BB3"/>
    <w:rsid w:val="00A5146E"/>
    <w:rsid w:val="00A761A5"/>
    <w:rsid w:val="00A90694"/>
    <w:rsid w:val="00AA352D"/>
    <w:rsid w:val="00AA6666"/>
    <w:rsid w:val="00AC637B"/>
    <w:rsid w:val="00B16FE0"/>
    <w:rsid w:val="00B349F4"/>
    <w:rsid w:val="00B50D1D"/>
    <w:rsid w:val="00B531D2"/>
    <w:rsid w:val="00B531D8"/>
    <w:rsid w:val="00B7718F"/>
    <w:rsid w:val="00B807DF"/>
    <w:rsid w:val="00B82FC3"/>
    <w:rsid w:val="00B853BA"/>
    <w:rsid w:val="00B90015"/>
    <w:rsid w:val="00B90355"/>
    <w:rsid w:val="00BA0462"/>
    <w:rsid w:val="00BB3144"/>
    <w:rsid w:val="00BC7934"/>
    <w:rsid w:val="00BD0EE3"/>
    <w:rsid w:val="00BF78C8"/>
    <w:rsid w:val="00C104F5"/>
    <w:rsid w:val="00C17F85"/>
    <w:rsid w:val="00C20A55"/>
    <w:rsid w:val="00C22174"/>
    <w:rsid w:val="00C34B4F"/>
    <w:rsid w:val="00C40A76"/>
    <w:rsid w:val="00C730A6"/>
    <w:rsid w:val="00C73357"/>
    <w:rsid w:val="00C8048A"/>
    <w:rsid w:val="00C9219D"/>
    <w:rsid w:val="00CA4A21"/>
    <w:rsid w:val="00CB5D53"/>
    <w:rsid w:val="00CC7D95"/>
    <w:rsid w:val="00CE0403"/>
    <w:rsid w:val="00CE5A27"/>
    <w:rsid w:val="00D0254E"/>
    <w:rsid w:val="00D2798C"/>
    <w:rsid w:val="00D35545"/>
    <w:rsid w:val="00D3663D"/>
    <w:rsid w:val="00D43284"/>
    <w:rsid w:val="00D46D0D"/>
    <w:rsid w:val="00D656D3"/>
    <w:rsid w:val="00D93E4A"/>
    <w:rsid w:val="00DA05E2"/>
    <w:rsid w:val="00DC27AE"/>
    <w:rsid w:val="00DF1791"/>
    <w:rsid w:val="00E55B0C"/>
    <w:rsid w:val="00E568B5"/>
    <w:rsid w:val="00E64936"/>
    <w:rsid w:val="00E71EC9"/>
    <w:rsid w:val="00ED721F"/>
    <w:rsid w:val="00EE1B8B"/>
    <w:rsid w:val="00EE78CE"/>
    <w:rsid w:val="00F31E63"/>
    <w:rsid w:val="00F532CA"/>
    <w:rsid w:val="00F6277A"/>
    <w:rsid w:val="00F67C4E"/>
    <w:rsid w:val="00F71061"/>
    <w:rsid w:val="00F81F38"/>
    <w:rsid w:val="00F85549"/>
    <w:rsid w:val="00F91DF0"/>
    <w:rsid w:val="00F930EA"/>
    <w:rsid w:val="00FA2842"/>
    <w:rsid w:val="00FA2AD8"/>
    <w:rsid w:val="00FB6259"/>
    <w:rsid w:val="00FC4A34"/>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styleId="PlaceholderText">
    <w:name w:val="Placeholder Text"/>
    <w:basedOn w:val="DefaultParagraphFont"/>
    <w:uiPriority w:val="10"/>
    <w:semiHidden/>
    <w:rsid w:val="00482D02"/>
    <w:rPr>
      <w:color w:val="808080"/>
      <w:lang w:val="en-AU"/>
    </w:rPr>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320FB5E9C79748E18DABFD65734C759E">
    <w:name w:val="320FB5E9C79748E18DABFD65734C759E"/>
    <w:rsid w:val="00317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BADE6D2959FD4F92E630DDF86992B4" ma:contentTypeVersion="10" ma:contentTypeDescription="Create a new document." ma:contentTypeScope="" ma:versionID="36abe8af6a94b15e90dcca4f84a2b3a2">
  <xsd:schema xmlns:xsd="http://www.w3.org/2001/XMLSchema" xmlns:xs="http://www.w3.org/2001/XMLSchema" xmlns:p="http://schemas.microsoft.com/office/2006/metadata/properties" xmlns:ns2="a3b7937a-c5f8-4e89-b86c-67ecaa03f4de" xmlns:ns3="cd3c627e-1cbd-46ce-af8f-4247f1052b50" targetNamespace="http://schemas.microsoft.com/office/2006/metadata/properties" ma:root="true" ma:fieldsID="8bb3e809443914cb5e31c970cbcf655e" ns2:_="" ns3:_="">
    <xsd:import namespace="a3b7937a-c5f8-4e89-b86c-67ecaa03f4de"/>
    <xsd:import namespace="cd3c627e-1cbd-46ce-af8f-4247f1052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7937a-c5f8-4e89-b86c-67ecaa03f4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9a4fab-1082-4f5a-8547-9fb4fd0fb71e}" ma:internalName="TaxCatchAll" ma:showField="CatchAllData" ma:web="a3b7937a-c5f8-4e89-b86c-67ecaa03f4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3c627e-1cbd-46ce-af8f-4247f1052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3b7937a-c5f8-4e89-b86c-67ecaa03f4de" xsi:nil="true"/>
    <lcf76f155ced4ddcb4097134ff3c332f xmlns="cd3c627e-1cbd-46ce-af8f-4247f1052b50">
      <Terms xmlns="http://schemas.microsoft.com/office/infopath/2007/PartnerControls"/>
    </lcf76f155ced4ddcb4097134ff3c332f>
    <SharedWithUsers xmlns="a3b7937a-c5f8-4e89-b86c-67ecaa03f4de">
      <UserInfo>
        <DisplayName>Philip, Pradeep</DisplayName>
        <AccountId>13</AccountId>
        <AccountType/>
      </UserInfo>
      <UserInfo>
        <DisplayName>Gilbertson, Daniel</DisplayName>
        <AccountId>23</AccountId>
        <AccountType/>
      </UserInfo>
      <UserInfo>
        <DisplayName>Haslehurst, Abby</DisplayName>
        <AccountId>22</AccountId>
        <AccountType/>
      </UserInfo>
      <UserInfo>
        <DisplayName>Miller, Mel</DisplayName>
        <AccountId>16</AccountId>
        <AccountType/>
      </UserInfo>
      <UserInfo>
        <DisplayName>Srikanthan, Sruthi</DisplayName>
        <AccountId>14</AccountId>
        <AccountType/>
      </UserInfo>
      <UserInfo>
        <DisplayName>Chung, Sean</DisplayName>
        <AccountId>15</AccountId>
        <AccountType/>
      </UserInfo>
      <UserInfo>
        <DisplayName>Tham, Tim</DisplayName>
        <AccountId>27</AccountId>
        <AccountType/>
      </UserInfo>
      <UserInfo>
        <DisplayName>Gong, Jennifer</DisplayName>
        <AccountId>31</AccountId>
        <AccountType/>
      </UserInfo>
      <UserInfo>
        <DisplayName>Powick, Adam</DisplayName>
        <AccountId>39</AccountId>
        <AccountType/>
      </UserInfo>
      <UserInfo>
        <DisplayName>Derrick, Ellen</DisplayName>
        <AccountId>40</AccountId>
        <AccountType/>
      </UserInfo>
      <UserInfo>
        <DisplayName>McCarthy, David</DisplayName>
        <AccountId>41</AccountId>
        <AccountType/>
      </UserInfo>
      <UserInfo>
        <DisplayName>Stuart, Marina</DisplayName>
        <AccountId>38</AccountId>
        <AccountType/>
      </UserInfo>
      <UserInfo>
        <DisplayName>Baxby, Luke</DisplayName>
        <AccountId>12</AccountId>
        <AccountType/>
      </UserInfo>
      <UserInfo>
        <DisplayName>Curwell, Paul</DisplayName>
        <AccountId>43</AccountId>
        <AccountType/>
      </UserInfo>
      <UserInfo>
        <DisplayName>Nair, Kiran</DisplayName>
        <AccountId>29</AccountId>
        <AccountType/>
      </UserInfo>
      <UserInfo>
        <DisplayName>Bettane, Olivia</DisplayName>
        <AccountId>24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BEB8A-14F1-43D4-8B61-12E434FC5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7937a-c5f8-4e89-b86c-67ecaa03f4de"/>
    <ds:schemaRef ds:uri="cd3c627e-1cbd-46ce-af8f-4247f1052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B00AB0-9DC1-48FA-9E3C-E6A7270FF760}">
  <ds:schemaRefs>
    <ds:schemaRef ds:uri="cd3c627e-1cbd-46ce-af8f-4247f1052b50"/>
    <ds:schemaRef ds:uri="a3b7937a-c5f8-4e89-b86c-67ecaa03f4de"/>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6D0C7AE-F74B-48D1-BFAF-A3D7CE68DA55}">
  <ds:schemaRefs>
    <ds:schemaRef ds:uri="http://schemas.microsoft.com/sharepoint/v3/contenttype/forms"/>
  </ds:schemaRefs>
</ds:datastoreItem>
</file>

<file path=customXml/itemProps4.xml><?xml version="1.0" encoding="utf-8"?>
<ds:datastoreItem xmlns:ds="http://schemas.openxmlformats.org/officeDocument/2006/customXml" ds:itemID="{821A25DB-2451-47BB-BC38-4DB013C80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77</Pages>
  <Words>35120</Words>
  <Characters>200188</Characters>
  <Application>Microsoft Office Word</Application>
  <DocSecurity>4</DocSecurity>
  <Lines>1668</Lines>
  <Paragraphs>469</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Independent Review of Medicare Integrity and Compliance</vt:lpstr>
      <vt:lpstr>Document title</vt:lpstr>
      <vt:lpstr/>
      <vt:lpstr>    </vt:lpstr>
    </vt:vector>
  </TitlesOfParts>
  <Company/>
  <LinksUpToDate>false</LinksUpToDate>
  <CharactersWithSpaces>234839</CharactersWithSpaces>
  <SharedDoc>false</SharedDoc>
  <HLinks>
    <vt:vector size="294" baseType="variant">
      <vt:variant>
        <vt:i4>1835069</vt:i4>
      </vt:variant>
      <vt:variant>
        <vt:i4>284</vt:i4>
      </vt:variant>
      <vt:variant>
        <vt:i4>0</vt:i4>
      </vt:variant>
      <vt:variant>
        <vt:i4>5</vt:i4>
      </vt:variant>
      <vt:variant>
        <vt:lpwstr/>
      </vt:variant>
      <vt:variant>
        <vt:lpwstr>_Toc129960304</vt:lpwstr>
      </vt:variant>
      <vt:variant>
        <vt:i4>1835069</vt:i4>
      </vt:variant>
      <vt:variant>
        <vt:i4>278</vt:i4>
      </vt:variant>
      <vt:variant>
        <vt:i4>0</vt:i4>
      </vt:variant>
      <vt:variant>
        <vt:i4>5</vt:i4>
      </vt:variant>
      <vt:variant>
        <vt:lpwstr/>
      </vt:variant>
      <vt:variant>
        <vt:lpwstr>_Toc129960303</vt:lpwstr>
      </vt:variant>
      <vt:variant>
        <vt:i4>1835069</vt:i4>
      </vt:variant>
      <vt:variant>
        <vt:i4>272</vt:i4>
      </vt:variant>
      <vt:variant>
        <vt:i4>0</vt:i4>
      </vt:variant>
      <vt:variant>
        <vt:i4>5</vt:i4>
      </vt:variant>
      <vt:variant>
        <vt:lpwstr/>
      </vt:variant>
      <vt:variant>
        <vt:lpwstr>_Toc129960301</vt:lpwstr>
      </vt:variant>
      <vt:variant>
        <vt:i4>1835069</vt:i4>
      </vt:variant>
      <vt:variant>
        <vt:i4>266</vt:i4>
      </vt:variant>
      <vt:variant>
        <vt:i4>0</vt:i4>
      </vt:variant>
      <vt:variant>
        <vt:i4>5</vt:i4>
      </vt:variant>
      <vt:variant>
        <vt:lpwstr/>
      </vt:variant>
      <vt:variant>
        <vt:lpwstr>_Toc129960300</vt:lpwstr>
      </vt:variant>
      <vt:variant>
        <vt:i4>1376316</vt:i4>
      </vt:variant>
      <vt:variant>
        <vt:i4>260</vt:i4>
      </vt:variant>
      <vt:variant>
        <vt:i4>0</vt:i4>
      </vt:variant>
      <vt:variant>
        <vt:i4>5</vt:i4>
      </vt:variant>
      <vt:variant>
        <vt:lpwstr/>
      </vt:variant>
      <vt:variant>
        <vt:lpwstr>_Toc129960299</vt:lpwstr>
      </vt:variant>
      <vt:variant>
        <vt:i4>1376316</vt:i4>
      </vt:variant>
      <vt:variant>
        <vt:i4>254</vt:i4>
      </vt:variant>
      <vt:variant>
        <vt:i4>0</vt:i4>
      </vt:variant>
      <vt:variant>
        <vt:i4>5</vt:i4>
      </vt:variant>
      <vt:variant>
        <vt:lpwstr/>
      </vt:variant>
      <vt:variant>
        <vt:lpwstr>_Toc129960298</vt:lpwstr>
      </vt:variant>
      <vt:variant>
        <vt:i4>1376316</vt:i4>
      </vt:variant>
      <vt:variant>
        <vt:i4>248</vt:i4>
      </vt:variant>
      <vt:variant>
        <vt:i4>0</vt:i4>
      </vt:variant>
      <vt:variant>
        <vt:i4>5</vt:i4>
      </vt:variant>
      <vt:variant>
        <vt:lpwstr/>
      </vt:variant>
      <vt:variant>
        <vt:lpwstr>_Toc129960297</vt:lpwstr>
      </vt:variant>
      <vt:variant>
        <vt:i4>1376316</vt:i4>
      </vt:variant>
      <vt:variant>
        <vt:i4>242</vt:i4>
      </vt:variant>
      <vt:variant>
        <vt:i4>0</vt:i4>
      </vt:variant>
      <vt:variant>
        <vt:i4>5</vt:i4>
      </vt:variant>
      <vt:variant>
        <vt:lpwstr/>
      </vt:variant>
      <vt:variant>
        <vt:lpwstr>_Toc129960296</vt:lpwstr>
      </vt:variant>
      <vt:variant>
        <vt:i4>1376316</vt:i4>
      </vt:variant>
      <vt:variant>
        <vt:i4>236</vt:i4>
      </vt:variant>
      <vt:variant>
        <vt:i4>0</vt:i4>
      </vt:variant>
      <vt:variant>
        <vt:i4>5</vt:i4>
      </vt:variant>
      <vt:variant>
        <vt:lpwstr/>
      </vt:variant>
      <vt:variant>
        <vt:lpwstr>_Toc129960295</vt:lpwstr>
      </vt:variant>
      <vt:variant>
        <vt:i4>1376316</vt:i4>
      </vt:variant>
      <vt:variant>
        <vt:i4>230</vt:i4>
      </vt:variant>
      <vt:variant>
        <vt:i4>0</vt:i4>
      </vt:variant>
      <vt:variant>
        <vt:i4>5</vt:i4>
      </vt:variant>
      <vt:variant>
        <vt:lpwstr/>
      </vt:variant>
      <vt:variant>
        <vt:lpwstr>_Toc129960294</vt:lpwstr>
      </vt:variant>
      <vt:variant>
        <vt:i4>1376316</vt:i4>
      </vt:variant>
      <vt:variant>
        <vt:i4>224</vt:i4>
      </vt:variant>
      <vt:variant>
        <vt:i4>0</vt:i4>
      </vt:variant>
      <vt:variant>
        <vt:i4>5</vt:i4>
      </vt:variant>
      <vt:variant>
        <vt:lpwstr/>
      </vt:variant>
      <vt:variant>
        <vt:lpwstr>_Toc129960293</vt:lpwstr>
      </vt:variant>
      <vt:variant>
        <vt:i4>1376316</vt:i4>
      </vt:variant>
      <vt:variant>
        <vt:i4>218</vt:i4>
      </vt:variant>
      <vt:variant>
        <vt:i4>0</vt:i4>
      </vt:variant>
      <vt:variant>
        <vt:i4>5</vt:i4>
      </vt:variant>
      <vt:variant>
        <vt:lpwstr/>
      </vt:variant>
      <vt:variant>
        <vt:lpwstr>_Toc129960292</vt:lpwstr>
      </vt:variant>
      <vt:variant>
        <vt:i4>1376316</vt:i4>
      </vt:variant>
      <vt:variant>
        <vt:i4>212</vt:i4>
      </vt:variant>
      <vt:variant>
        <vt:i4>0</vt:i4>
      </vt:variant>
      <vt:variant>
        <vt:i4>5</vt:i4>
      </vt:variant>
      <vt:variant>
        <vt:lpwstr/>
      </vt:variant>
      <vt:variant>
        <vt:lpwstr>_Toc129960291</vt:lpwstr>
      </vt:variant>
      <vt:variant>
        <vt:i4>1376316</vt:i4>
      </vt:variant>
      <vt:variant>
        <vt:i4>206</vt:i4>
      </vt:variant>
      <vt:variant>
        <vt:i4>0</vt:i4>
      </vt:variant>
      <vt:variant>
        <vt:i4>5</vt:i4>
      </vt:variant>
      <vt:variant>
        <vt:lpwstr/>
      </vt:variant>
      <vt:variant>
        <vt:lpwstr>_Toc129960290</vt:lpwstr>
      </vt:variant>
      <vt:variant>
        <vt:i4>1310780</vt:i4>
      </vt:variant>
      <vt:variant>
        <vt:i4>200</vt:i4>
      </vt:variant>
      <vt:variant>
        <vt:i4>0</vt:i4>
      </vt:variant>
      <vt:variant>
        <vt:i4>5</vt:i4>
      </vt:variant>
      <vt:variant>
        <vt:lpwstr/>
      </vt:variant>
      <vt:variant>
        <vt:lpwstr>_Toc129960289</vt:lpwstr>
      </vt:variant>
      <vt:variant>
        <vt:i4>1310780</vt:i4>
      </vt:variant>
      <vt:variant>
        <vt:i4>194</vt:i4>
      </vt:variant>
      <vt:variant>
        <vt:i4>0</vt:i4>
      </vt:variant>
      <vt:variant>
        <vt:i4>5</vt:i4>
      </vt:variant>
      <vt:variant>
        <vt:lpwstr/>
      </vt:variant>
      <vt:variant>
        <vt:lpwstr>_Toc129960288</vt:lpwstr>
      </vt:variant>
      <vt:variant>
        <vt:i4>1310780</vt:i4>
      </vt:variant>
      <vt:variant>
        <vt:i4>188</vt:i4>
      </vt:variant>
      <vt:variant>
        <vt:i4>0</vt:i4>
      </vt:variant>
      <vt:variant>
        <vt:i4>5</vt:i4>
      </vt:variant>
      <vt:variant>
        <vt:lpwstr/>
      </vt:variant>
      <vt:variant>
        <vt:lpwstr>_Toc129960287</vt:lpwstr>
      </vt:variant>
      <vt:variant>
        <vt:i4>1310780</vt:i4>
      </vt:variant>
      <vt:variant>
        <vt:i4>182</vt:i4>
      </vt:variant>
      <vt:variant>
        <vt:i4>0</vt:i4>
      </vt:variant>
      <vt:variant>
        <vt:i4>5</vt:i4>
      </vt:variant>
      <vt:variant>
        <vt:lpwstr/>
      </vt:variant>
      <vt:variant>
        <vt:lpwstr>_Toc129960286</vt:lpwstr>
      </vt:variant>
      <vt:variant>
        <vt:i4>1310780</vt:i4>
      </vt:variant>
      <vt:variant>
        <vt:i4>176</vt:i4>
      </vt:variant>
      <vt:variant>
        <vt:i4>0</vt:i4>
      </vt:variant>
      <vt:variant>
        <vt:i4>5</vt:i4>
      </vt:variant>
      <vt:variant>
        <vt:lpwstr/>
      </vt:variant>
      <vt:variant>
        <vt:lpwstr>_Toc129960285</vt:lpwstr>
      </vt:variant>
      <vt:variant>
        <vt:i4>1507389</vt:i4>
      </vt:variant>
      <vt:variant>
        <vt:i4>167</vt:i4>
      </vt:variant>
      <vt:variant>
        <vt:i4>0</vt:i4>
      </vt:variant>
      <vt:variant>
        <vt:i4>5</vt:i4>
      </vt:variant>
      <vt:variant>
        <vt:lpwstr/>
      </vt:variant>
      <vt:variant>
        <vt:lpwstr>_Toc129959028</vt:lpwstr>
      </vt:variant>
      <vt:variant>
        <vt:i4>1507389</vt:i4>
      </vt:variant>
      <vt:variant>
        <vt:i4>161</vt:i4>
      </vt:variant>
      <vt:variant>
        <vt:i4>0</vt:i4>
      </vt:variant>
      <vt:variant>
        <vt:i4>5</vt:i4>
      </vt:variant>
      <vt:variant>
        <vt:lpwstr/>
      </vt:variant>
      <vt:variant>
        <vt:lpwstr>_Toc129959027</vt:lpwstr>
      </vt:variant>
      <vt:variant>
        <vt:i4>1507389</vt:i4>
      </vt:variant>
      <vt:variant>
        <vt:i4>155</vt:i4>
      </vt:variant>
      <vt:variant>
        <vt:i4>0</vt:i4>
      </vt:variant>
      <vt:variant>
        <vt:i4>5</vt:i4>
      </vt:variant>
      <vt:variant>
        <vt:lpwstr/>
      </vt:variant>
      <vt:variant>
        <vt:lpwstr>_Toc129959026</vt:lpwstr>
      </vt:variant>
      <vt:variant>
        <vt:i4>1507389</vt:i4>
      </vt:variant>
      <vt:variant>
        <vt:i4>149</vt:i4>
      </vt:variant>
      <vt:variant>
        <vt:i4>0</vt:i4>
      </vt:variant>
      <vt:variant>
        <vt:i4>5</vt:i4>
      </vt:variant>
      <vt:variant>
        <vt:lpwstr/>
      </vt:variant>
      <vt:variant>
        <vt:lpwstr>_Toc129959025</vt:lpwstr>
      </vt:variant>
      <vt:variant>
        <vt:i4>1507389</vt:i4>
      </vt:variant>
      <vt:variant>
        <vt:i4>143</vt:i4>
      </vt:variant>
      <vt:variant>
        <vt:i4>0</vt:i4>
      </vt:variant>
      <vt:variant>
        <vt:i4>5</vt:i4>
      </vt:variant>
      <vt:variant>
        <vt:lpwstr/>
      </vt:variant>
      <vt:variant>
        <vt:lpwstr>_Toc129959024</vt:lpwstr>
      </vt:variant>
      <vt:variant>
        <vt:i4>1507389</vt:i4>
      </vt:variant>
      <vt:variant>
        <vt:i4>137</vt:i4>
      </vt:variant>
      <vt:variant>
        <vt:i4>0</vt:i4>
      </vt:variant>
      <vt:variant>
        <vt:i4>5</vt:i4>
      </vt:variant>
      <vt:variant>
        <vt:lpwstr/>
      </vt:variant>
      <vt:variant>
        <vt:lpwstr>_Toc129959023</vt:lpwstr>
      </vt:variant>
      <vt:variant>
        <vt:i4>1507389</vt:i4>
      </vt:variant>
      <vt:variant>
        <vt:i4>131</vt:i4>
      </vt:variant>
      <vt:variant>
        <vt:i4>0</vt:i4>
      </vt:variant>
      <vt:variant>
        <vt:i4>5</vt:i4>
      </vt:variant>
      <vt:variant>
        <vt:lpwstr/>
      </vt:variant>
      <vt:variant>
        <vt:lpwstr>_Toc129959022</vt:lpwstr>
      </vt:variant>
      <vt:variant>
        <vt:i4>1507389</vt:i4>
      </vt:variant>
      <vt:variant>
        <vt:i4>125</vt:i4>
      </vt:variant>
      <vt:variant>
        <vt:i4>0</vt:i4>
      </vt:variant>
      <vt:variant>
        <vt:i4>5</vt:i4>
      </vt:variant>
      <vt:variant>
        <vt:lpwstr/>
      </vt:variant>
      <vt:variant>
        <vt:lpwstr>_Toc129959021</vt:lpwstr>
      </vt:variant>
      <vt:variant>
        <vt:i4>1507389</vt:i4>
      </vt:variant>
      <vt:variant>
        <vt:i4>119</vt:i4>
      </vt:variant>
      <vt:variant>
        <vt:i4>0</vt:i4>
      </vt:variant>
      <vt:variant>
        <vt:i4>5</vt:i4>
      </vt:variant>
      <vt:variant>
        <vt:lpwstr/>
      </vt:variant>
      <vt:variant>
        <vt:lpwstr>_Toc129959020</vt:lpwstr>
      </vt:variant>
      <vt:variant>
        <vt:i4>1310781</vt:i4>
      </vt:variant>
      <vt:variant>
        <vt:i4>113</vt:i4>
      </vt:variant>
      <vt:variant>
        <vt:i4>0</vt:i4>
      </vt:variant>
      <vt:variant>
        <vt:i4>5</vt:i4>
      </vt:variant>
      <vt:variant>
        <vt:lpwstr/>
      </vt:variant>
      <vt:variant>
        <vt:lpwstr>_Toc129959019</vt:lpwstr>
      </vt:variant>
      <vt:variant>
        <vt:i4>1310781</vt:i4>
      </vt:variant>
      <vt:variant>
        <vt:i4>107</vt:i4>
      </vt:variant>
      <vt:variant>
        <vt:i4>0</vt:i4>
      </vt:variant>
      <vt:variant>
        <vt:i4>5</vt:i4>
      </vt:variant>
      <vt:variant>
        <vt:lpwstr/>
      </vt:variant>
      <vt:variant>
        <vt:lpwstr>_Toc129959018</vt:lpwstr>
      </vt:variant>
      <vt:variant>
        <vt:i4>1310781</vt:i4>
      </vt:variant>
      <vt:variant>
        <vt:i4>101</vt:i4>
      </vt:variant>
      <vt:variant>
        <vt:i4>0</vt:i4>
      </vt:variant>
      <vt:variant>
        <vt:i4>5</vt:i4>
      </vt:variant>
      <vt:variant>
        <vt:lpwstr/>
      </vt:variant>
      <vt:variant>
        <vt:lpwstr>_Toc129959017</vt:lpwstr>
      </vt:variant>
      <vt:variant>
        <vt:i4>1310781</vt:i4>
      </vt:variant>
      <vt:variant>
        <vt:i4>95</vt:i4>
      </vt:variant>
      <vt:variant>
        <vt:i4>0</vt:i4>
      </vt:variant>
      <vt:variant>
        <vt:i4>5</vt:i4>
      </vt:variant>
      <vt:variant>
        <vt:lpwstr/>
      </vt:variant>
      <vt:variant>
        <vt:lpwstr>_Toc129959016</vt:lpwstr>
      </vt:variant>
      <vt:variant>
        <vt:i4>1310781</vt:i4>
      </vt:variant>
      <vt:variant>
        <vt:i4>89</vt:i4>
      </vt:variant>
      <vt:variant>
        <vt:i4>0</vt:i4>
      </vt:variant>
      <vt:variant>
        <vt:i4>5</vt:i4>
      </vt:variant>
      <vt:variant>
        <vt:lpwstr/>
      </vt:variant>
      <vt:variant>
        <vt:lpwstr>_Toc129959015</vt:lpwstr>
      </vt:variant>
      <vt:variant>
        <vt:i4>1310781</vt:i4>
      </vt:variant>
      <vt:variant>
        <vt:i4>83</vt:i4>
      </vt:variant>
      <vt:variant>
        <vt:i4>0</vt:i4>
      </vt:variant>
      <vt:variant>
        <vt:i4>5</vt:i4>
      </vt:variant>
      <vt:variant>
        <vt:lpwstr/>
      </vt:variant>
      <vt:variant>
        <vt:lpwstr>_Toc129959014</vt:lpwstr>
      </vt:variant>
      <vt:variant>
        <vt:i4>1310781</vt:i4>
      </vt:variant>
      <vt:variant>
        <vt:i4>77</vt:i4>
      </vt:variant>
      <vt:variant>
        <vt:i4>0</vt:i4>
      </vt:variant>
      <vt:variant>
        <vt:i4>5</vt:i4>
      </vt:variant>
      <vt:variant>
        <vt:lpwstr/>
      </vt:variant>
      <vt:variant>
        <vt:lpwstr>_Toc129959013</vt:lpwstr>
      </vt:variant>
      <vt:variant>
        <vt:i4>1310781</vt:i4>
      </vt:variant>
      <vt:variant>
        <vt:i4>71</vt:i4>
      </vt:variant>
      <vt:variant>
        <vt:i4>0</vt:i4>
      </vt:variant>
      <vt:variant>
        <vt:i4>5</vt:i4>
      </vt:variant>
      <vt:variant>
        <vt:lpwstr/>
      </vt:variant>
      <vt:variant>
        <vt:lpwstr>_Toc129959012</vt:lpwstr>
      </vt:variant>
      <vt:variant>
        <vt:i4>1310781</vt:i4>
      </vt:variant>
      <vt:variant>
        <vt:i4>65</vt:i4>
      </vt:variant>
      <vt:variant>
        <vt:i4>0</vt:i4>
      </vt:variant>
      <vt:variant>
        <vt:i4>5</vt:i4>
      </vt:variant>
      <vt:variant>
        <vt:lpwstr/>
      </vt:variant>
      <vt:variant>
        <vt:lpwstr>_Toc129959011</vt:lpwstr>
      </vt:variant>
      <vt:variant>
        <vt:i4>1900600</vt:i4>
      </vt:variant>
      <vt:variant>
        <vt:i4>56</vt:i4>
      </vt:variant>
      <vt:variant>
        <vt:i4>0</vt:i4>
      </vt:variant>
      <vt:variant>
        <vt:i4>5</vt:i4>
      </vt:variant>
      <vt:variant>
        <vt:lpwstr/>
      </vt:variant>
      <vt:variant>
        <vt:lpwstr>_Toc128909181</vt:lpwstr>
      </vt:variant>
      <vt:variant>
        <vt:i4>1179704</vt:i4>
      </vt:variant>
      <vt:variant>
        <vt:i4>50</vt:i4>
      </vt:variant>
      <vt:variant>
        <vt:i4>0</vt:i4>
      </vt:variant>
      <vt:variant>
        <vt:i4>5</vt:i4>
      </vt:variant>
      <vt:variant>
        <vt:lpwstr/>
      </vt:variant>
      <vt:variant>
        <vt:lpwstr>_Toc128909173</vt:lpwstr>
      </vt:variant>
      <vt:variant>
        <vt:i4>1179704</vt:i4>
      </vt:variant>
      <vt:variant>
        <vt:i4>44</vt:i4>
      </vt:variant>
      <vt:variant>
        <vt:i4>0</vt:i4>
      </vt:variant>
      <vt:variant>
        <vt:i4>5</vt:i4>
      </vt:variant>
      <vt:variant>
        <vt:lpwstr/>
      </vt:variant>
      <vt:variant>
        <vt:lpwstr>_Toc128909172</vt:lpwstr>
      </vt:variant>
      <vt:variant>
        <vt:i4>1179704</vt:i4>
      </vt:variant>
      <vt:variant>
        <vt:i4>38</vt:i4>
      </vt:variant>
      <vt:variant>
        <vt:i4>0</vt:i4>
      </vt:variant>
      <vt:variant>
        <vt:i4>5</vt:i4>
      </vt:variant>
      <vt:variant>
        <vt:lpwstr/>
      </vt:variant>
      <vt:variant>
        <vt:lpwstr>_Toc128909171</vt:lpwstr>
      </vt:variant>
      <vt:variant>
        <vt:i4>1179704</vt:i4>
      </vt:variant>
      <vt:variant>
        <vt:i4>32</vt:i4>
      </vt:variant>
      <vt:variant>
        <vt:i4>0</vt:i4>
      </vt:variant>
      <vt:variant>
        <vt:i4>5</vt:i4>
      </vt:variant>
      <vt:variant>
        <vt:lpwstr/>
      </vt:variant>
      <vt:variant>
        <vt:lpwstr>_Toc128909170</vt:lpwstr>
      </vt:variant>
      <vt:variant>
        <vt:i4>1114168</vt:i4>
      </vt:variant>
      <vt:variant>
        <vt:i4>26</vt:i4>
      </vt:variant>
      <vt:variant>
        <vt:i4>0</vt:i4>
      </vt:variant>
      <vt:variant>
        <vt:i4>5</vt:i4>
      </vt:variant>
      <vt:variant>
        <vt:lpwstr/>
      </vt:variant>
      <vt:variant>
        <vt:lpwstr>_Toc128909147</vt:lpwstr>
      </vt:variant>
      <vt:variant>
        <vt:i4>1310776</vt:i4>
      </vt:variant>
      <vt:variant>
        <vt:i4>20</vt:i4>
      </vt:variant>
      <vt:variant>
        <vt:i4>0</vt:i4>
      </vt:variant>
      <vt:variant>
        <vt:i4>5</vt:i4>
      </vt:variant>
      <vt:variant>
        <vt:lpwstr/>
      </vt:variant>
      <vt:variant>
        <vt:lpwstr>_Toc128909118</vt:lpwstr>
      </vt:variant>
      <vt:variant>
        <vt:i4>1310776</vt:i4>
      </vt:variant>
      <vt:variant>
        <vt:i4>14</vt:i4>
      </vt:variant>
      <vt:variant>
        <vt:i4>0</vt:i4>
      </vt:variant>
      <vt:variant>
        <vt:i4>5</vt:i4>
      </vt:variant>
      <vt:variant>
        <vt:lpwstr/>
      </vt:variant>
      <vt:variant>
        <vt:lpwstr>_Toc128909117</vt:lpwstr>
      </vt:variant>
      <vt:variant>
        <vt:i4>1376312</vt:i4>
      </vt:variant>
      <vt:variant>
        <vt:i4>8</vt:i4>
      </vt:variant>
      <vt:variant>
        <vt:i4>0</vt:i4>
      </vt:variant>
      <vt:variant>
        <vt:i4>5</vt:i4>
      </vt:variant>
      <vt:variant>
        <vt:lpwstr/>
      </vt:variant>
      <vt:variant>
        <vt:lpwstr>_Toc128909105</vt:lpwstr>
      </vt:variant>
      <vt:variant>
        <vt:i4>1376312</vt:i4>
      </vt:variant>
      <vt:variant>
        <vt:i4>2</vt:i4>
      </vt:variant>
      <vt:variant>
        <vt:i4>0</vt:i4>
      </vt:variant>
      <vt:variant>
        <vt:i4>5</vt:i4>
      </vt:variant>
      <vt:variant>
        <vt:lpwstr/>
      </vt:variant>
      <vt:variant>
        <vt:lpwstr>_Toc128909104</vt:lpwstr>
      </vt:variant>
      <vt:variant>
        <vt:i4>2556029</vt:i4>
      </vt:variant>
      <vt:variant>
        <vt:i4>3</vt:i4>
      </vt:variant>
      <vt:variant>
        <vt:i4>0</vt:i4>
      </vt:variant>
      <vt:variant>
        <vt:i4>5</vt:i4>
      </vt:variant>
      <vt:variant>
        <vt:lpwstr>https://www.cms.gov/newsroom/fact-sheets/2020-estimated-improper-payment-rates-centers-medicare-medicaid-services-cms-programs</vt:lpwstr>
      </vt:variant>
      <vt:variant>
        <vt:lpwstr/>
      </vt:variant>
      <vt:variant>
        <vt:i4>7405602</vt:i4>
      </vt:variant>
      <vt:variant>
        <vt:i4>0</vt:i4>
      </vt:variant>
      <vt:variant>
        <vt:i4>0</vt:i4>
      </vt:variant>
      <vt:variant>
        <vt:i4>5</vt:i4>
      </vt:variant>
      <vt:variant>
        <vt:lpwstr>https://www.smh.com.au/national/the-scumbag-scale-how-organised-crime-has-infiltrated-the-ndis-20220811-p5b95s.html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Medicare Integrity and Compliance</dc:title>
  <dc:subject>Medicare</dc:subject>
  <dc:creator>Australian Government Department of Health and Aged Care</dc:creator>
  <cp:keywords>Medicare integrity; Medicare compliance; non-compliance; fraud</cp:keywords>
  <cp:lastModifiedBy>Department of Health and Aged Care</cp:lastModifiedBy>
  <cp:revision>2</cp:revision>
  <cp:lastPrinted>2023-03-31T01:27:00Z</cp:lastPrinted>
  <dcterms:created xsi:type="dcterms:W3CDTF">2023-04-03T05:39:00Z</dcterms:created>
  <dcterms:modified xsi:type="dcterms:W3CDTF">2023-04-03T05:39:00Z</dcterms:modified>
</cp:coreProperties>
</file>