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1.xml" ContentType="application/vnd.openxmlformats-officedocument.drawingml.chart+xml"/>
  <Override PartName="/word/charts/style5.xml" ContentType="application/vnd.ms-office.chartstyle+xml"/>
  <Override PartName="/word/charts/colors5.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F42B" w14:textId="77777777" w:rsidR="00045E79" w:rsidRDefault="001F5C18" w:rsidP="00045E79">
      <w:pPr>
        <w:pStyle w:val="Title"/>
      </w:pPr>
      <w:r w:rsidRPr="00045E79">
        <w:drawing>
          <wp:anchor distT="0" distB="0" distL="114300" distR="114300" simplePos="0" relativeHeight="251659264" behindDoc="1" locked="0" layoutInCell="1" allowOverlap="1" wp14:anchorId="76E39A92" wp14:editId="14ADC0D0">
            <wp:simplePos x="0" y="0"/>
            <wp:positionH relativeFrom="page">
              <wp:align>center</wp:align>
            </wp:positionH>
            <wp:positionV relativeFrom="page">
              <wp:align>center</wp:align>
            </wp:positionV>
            <wp:extent cx="7558767" cy="10691999"/>
            <wp:effectExtent l="0" t="0" r="444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page">
              <wp14:pctWidth>0</wp14:pctWidth>
            </wp14:sizeRelH>
            <wp14:sizeRelV relativeFrom="page">
              <wp14:pctHeight>0</wp14:pctHeight>
            </wp14:sizeRelV>
          </wp:anchor>
        </w:drawing>
      </w:r>
      <w:r w:rsidR="00045E79" w:rsidRPr="00045E79">
        <w:t>Medical Research</w:t>
      </w:r>
      <w:r w:rsidR="00045E79" w:rsidRPr="00045E79">
        <w:br/>
        <w:t>Future Fund</w:t>
      </w:r>
    </w:p>
    <w:p w14:paraId="2EA4D889" w14:textId="416780F6" w:rsidR="00045E79" w:rsidRPr="00045E79" w:rsidRDefault="00045E79" w:rsidP="00045E79">
      <w:pPr>
        <w:pStyle w:val="Subtitle"/>
        <w:sectPr w:rsidR="00045E79" w:rsidRPr="00045E79"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r>
        <w:rPr>
          <w:noProof/>
        </w:rPr>
        <mc:AlternateContent>
          <mc:Choice Requires="wps">
            <w:drawing>
              <wp:anchor distT="45720" distB="45720" distL="114300" distR="114300" simplePos="0" relativeHeight="251661312" behindDoc="0" locked="0" layoutInCell="1" allowOverlap="1" wp14:anchorId="68CAA315" wp14:editId="63367B43">
                <wp:simplePos x="0" y="0"/>
                <wp:positionH relativeFrom="margin">
                  <wp:posOffset>-58948</wp:posOffset>
                </wp:positionH>
                <wp:positionV relativeFrom="paragraph">
                  <wp:posOffset>5540243</wp:posOffset>
                </wp:positionV>
                <wp:extent cx="2360930"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F73F5F" w14:textId="560E9B3F" w:rsidR="00045E79" w:rsidRPr="00045E79" w:rsidRDefault="005267ED" w:rsidP="00045E79">
                            <w:pPr>
                              <w:pStyle w:val="Subtitle"/>
                              <w:rPr>
                                <w:b/>
                                <w:bCs/>
                                <w:sz w:val="40"/>
                                <w:szCs w:val="40"/>
                              </w:rPr>
                            </w:pPr>
                            <w:r>
                              <w:rPr>
                                <w:b/>
                                <w:bCs/>
                                <w:sz w:val="40"/>
                                <w:szCs w:val="40"/>
                              </w:rPr>
                              <w:t>April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CAA315" id="_x0000_t202" coordsize="21600,21600" o:spt="202" path="m,l,21600r21600,l21600,xe">
                <v:stroke joinstyle="miter"/>
                <v:path gradientshapeok="t" o:connecttype="rect"/>
              </v:shapetype>
              <v:shape id="Text Box 2" o:spid="_x0000_s1026" type="#_x0000_t202" alt="&quot;&quot;" style="position:absolute;left:0;text-align:left;margin-left:-4.65pt;margin-top:436.2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" filled="f" stroked="f">
                <v:textbox style="mso-fit-shape-to-text:t">
                  <w:txbxContent>
                    <w:p w14:paraId="23F73F5F" w14:textId="560E9B3F" w:rsidR="00045E79" w:rsidRPr="00045E79" w:rsidRDefault="005267ED" w:rsidP="00045E79">
                      <w:pPr>
                        <w:pStyle w:val="Subtitle"/>
                        <w:rPr>
                          <w:b/>
                          <w:bCs/>
                          <w:sz w:val="40"/>
                          <w:szCs w:val="40"/>
                        </w:rPr>
                      </w:pPr>
                      <w:r>
                        <w:rPr>
                          <w:b/>
                          <w:bCs/>
                          <w:sz w:val="40"/>
                          <w:szCs w:val="40"/>
                        </w:rPr>
                        <w:t>April 2023</w:t>
                      </w:r>
                    </w:p>
                  </w:txbxContent>
                </v:textbox>
                <w10:wrap anchorx="margin"/>
              </v:shape>
            </w:pict>
          </mc:Fallback>
        </mc:AlternateContent>
      </w:r>
      <w:r w:rsidR="00D8373A">
        <w:t xml:space="preserve">Data about the MRFF - </w:t>
      </w:r>
      <w:bookmarkStart w:id="0" w:name="_Hlk128497029"/>
      <w:r w:rsidR="00D8373A" w:rsidRPr="00D8373A">
        <w:t>2021 Early to Mid-Career Researchers</w:t>
      </w:r>
      <w:r w:rsidR="00D8373A">
        <w:t xml:space="preserve"> Grant Opportunity </w:t>
      </w:r>
      <w:bookmarkEnd w:id="0"/>
      <w:r w:rsidR="00726F42">
        <w:t>Outcomes</w:t>
      </w:r>
    </w:p>
    <w:p w14:paraId="3DD1B9A7" w14:textId="77777777" w:rsidR="00684D9A" w:rsidRPr="00B95348" w:rsidRDefault="00684D9A" w:rsidP="00B51AD7">
      <w:pPr>
        <w:pStyle w:val="Paragraphtext"/>
        <w:spacing w:before="120"/>
        <w:jc w:val="both"/>
        <w:rPr>
          <w:sz w:val="22"/>
          <w:szCs w:val="22"/>
        </w:rPr>
      </w:pPr>
    </w:p>
    <w:bookmarkStart w:id="1" w:name="_Toc131338396" w:displacedByCustomXml="next"/>
    <w:sdt>
      <w:sdtPr>
        <w:rPr>
          <w:rFonts w:cs="Times New Roman"/>
          <w:b w:val="0"/>
          <w:bCs w:val="0"/>
          <w:color w:val="auto"/>
          <w:kern w:val="0"/>
          <w:sz w:val="21"/>
          <w:szCs w:val="24"/>
        </w:rPr>
        <w:id w:val="-1270537540"/>
        <w:docPartObj>
          <w:docPartGallery w:val="Table of Contents"/>
          <w:docPartUnique/>
        </w:docPartObj>
      </w:sdtPr>
      <w:sdtEndPr>
        <w:rPr>
          <w:noProof/>
        </w:rPr>
      </w:sdtEndPr>
      <w:sdtContent>
        <w:p w14:paraId="4E376A3D" w14:textId="0001A4FD" w:rsidR="002F323A" w:rsidRDefault="002F323A" w:rsidP="002F323A">
          <w:pPr>
            <w:pStyle w:val="Heading1"/>
          </w:pPr>
          <w:r>
            <w:t>Contents</w:t>
          </w:r>
          <w:bookmarkEnd w:id="1"/>
        </w:p>
        <w:p w14:paraId="1088335A" w14:textId="53FAE8EF" w:rsidR="00B75A54" w:rsidRDefault="002F323A">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31338396" w:history="1">
            <w:r w:rsidR="00B75A54" w:rsidRPr="006062AE">
              <w:rPr>
                <w:rStyle w:val="Hyperlink"/>
                <w:noProof/>
              </w:rPr>
              <w:t>Contents</w:t>
            </w:r>
            <w:r w:rsidR="00B75A54">
              <w:rPr>
                <w:noProof/>
                <w:webHidden/>
              </w:rPr>
              <w:tab/>
            </w:r>
            <w:r w:rsidR="00B75A54">
              <w:rPr>
                <w:noProof/>
                <w:webHidden/>
              </w:rPr>
              <w:fldChar w:fldCharType="begin"/>
            </w:r>
            <w:r w:rsidR="00B75A54">
              <w:rPr>
                <w:noProof/>
                <w:webHidden/>
              </w:rPr>
              <w:instrText xml:space="preserve"> PAGEREF _Toc131338396 \h </w:instrText>
            </w:r>
            <w:r w:rsidR="00B75A54">
              <w:rPr>
                <w:noProof/>
                <w:webHidden/>
              </w:rPr>
            </w:r>
            <w:r w:rsidR="00B75A54">
              <w:rPr>
                <w:noProof/>
                <w:webHidden/>
              </w:rPr>
              <w:fldChar w:fldCharType="separate"/>
            </w:r>
            <w:r w:rsidR="00B75A54">
              <w:rPr>
                <w:noProof/>
                <w:webHidden/>
              </w:rPr>
              <w:t>i</w:t>
            </w:r>
            <w:r w:rsidR="00B75A54">
              <w:rPr>
                <w:noProof/>
                <w:webHidden/>
              </w:rPr>
              <w:fldChar w:fldCharType="end"/>
            </w:r>
          </w:hyperlink>
        </w:p>
        <w:p w14:paraId="5426B479" w14:textId="0DA3D2D4" w:rsidR="00B75A54" w:rsidRDefault="00636337">
          <w:pPr>
            <w:pStyle w:val="TOC1"/>
            <w:rPr>
              <w:rFonts w:asciiTheme="minorHAnsi" w:eastAsiaTheme="minorEastAsia" w:hAnsiTheme="minorHAnsi" w:cstheme="minorBidi"/>
              <w:noProof/>
              <w:sz w:val="22"/>
              <w:szCs w:val="22"/>
              <w:lang w:eastAsia="en-AU"/>
            </w:rPr>
          </w:pPr>
          <w:hyperlink w:anchor="_Toc131338397" w:history="1">
            <w:r w:rsidR="00B75A54" w:rsidRPr="006062AE">
              <w:rPr>
                <w:rStyle w:val="Hyperlink"/>
                <w:noProof/>
              </w:rPr>
              <w:t>Introduction</w:t>
            </w:r>
            <w:r w:rsidR="00B75A54">
              <w:rPr>
                <w:noProof/>
                <w:webHidden/>
              </w:rPr>
              <w:tab/>
            </w:r>
            <w:r w:rsidR="00B75A54">
              <w:rPr>
                <w:noProof/>
                <w:webHidden/>
              </w:rPr>
              <w:fldChar w:fldCharType="begin"/>
            </w:r>
            <w:r w:rsidR="00B75A54">
              <w:rPr>
                <w:noProof/>
                <w:webHidden/>
              </w:rPr>
              <w:instrText xml:space="preserve"> PAGEREF _Toc131338397 \h </w:instrText>
            </w:r>
            <w:r w:rsidR="00B75A54">
              <w:rPr>
                <w:noProof/>
                <w:webHidden/>
              </w:rPr>
            </w:r>
            <w:r w:rsidR="00B75A54">
              <w:rPr>
                <w:noProof/>
                <w:webHidden/>
              </w:rPr>
              <w:fldChar w:fldCharType="separate"/>
            </w:r>
            <w:r w:rsidR="00B75A54">
              <w:rPr>
                <w:noProof/>
                <w:webHidden/>
              </w:rPr>
              <w:t>1</w:t>
            </w:r>
            <w:r w:rsidR="00B75A54">
              <w:rPr>
                <w:noProof/>
                <w:webHidden/>
              </w:rPr>
              <w:fldChar w:fldCharType="end"/>
            </w:r>
          </w:hyperlink>
        </w:p>
        <w:p w14:paraId="6BE6694F" w14:textId="5E790384" w:rsidR="00B75A54" w:rsidRDefault="00636337">
          <w:pPr>
            <w:pStyle w:val="TOC1"/>
            <w:rPr>
              <w:rFonts w:asciiTheme="minorHAnsi" w:eastAsiaTheme="minorEastAsia" w:hAnsiTheme="minorHAnsi" w:cstheme="minorBidi"/>
              <w:noProof/>
              <w:sz w:val="22"/>
              <w:szCs w:val="22"/>
              <w:lang w:eastAsia="en-AU"/>
            </w:rPr>
          </w:pPr>
          <w:hyperlink w:anchor="_Toc131338398" w:history="1">
            <w:r w:rsidR="00B75A54" w:rsidRPr="006062AE">
              <w:rPr>
                <w:rStyle w:val="Hyperlink"/>
                <w:noProof/>
              </w:rPr>
              <w:t xml:space="preserve">Summary of funding awarded from the 2021 Early to Mid-Career Researchers Grant </w:t>
            </w:r>
            <w:r w:rsidR="00B75A54">
              <w:rPr>
                <w:rStyle w:val="Hyperlink"/>
                <w:noProof/>
              </w:rPr>
              <w:t xml:space="preserve">    </w:t>
            </w:r>
            <w:r w:rsidR="00B75A54" w:rsidRPr="006062AE">
              <w:rPr>
                <w:rStyle w:val="Hyperlink"/>
                <w:noProof/>
              </w:rPr>
              <w:t>Opportunity</w:t>
            </w:r>
            <w:r w:rsidR="00B75A54">
              <w:rPr>
                <w:noProof/>
                <w:webHidden/>
              </w:rPr>
              <w:tab/>
            </w:r>
            <w:r w:rsidR="00B75A54">
              <w:rPr>
                <w:noProof/>
                <w:webHidden/>
              </w:rPr>
              <w:fldChar w:fldCharType="begin"/>
            </w:r>
            <w:r w:rsidR="00B75A54">
              <w:rPr>
                <w:noProof/>
                <w:webHidden/>
              </w:rPr>
              <w:instrText xml:space="preserve"> PAGEREF _Toc131338398 \h </w:instrText>
            </w:r>
            <w:r w:rsidR="00B75A54">
              <w:rPr>
                <w:noProof/>
                <w:webHidden/>
              </w:rPr>
            </w:r>
            <w:r w:rsidR="00B75A54">
              <w:rPr>
                <w:noProof/>
                <w:webHidden/>
              </w:rPr>
              <w:fldChar w:fldCharType="separate"/>
            </w:r>
            <w:r w:rsidR="00B75A54">
              <w:rPr>
                <w:noProof/>
                <w:webHidden/>
              </w:rPr>
              <w:t>3</w:t>
            </w:r>
            <w:r w:rsidR="00B75A54">
              <w:rPr>
                <w:noProof/>
                <w:webHidden/>
              </w:rPr>
              <w:fldChar w:fldCharType="end"/>
            </w:r>
          </w:hyperlink>
        </w:p>
        <w:p w14:paraId="0162F65C" w14:textId="159E6E4C" w:rsidR="00B75A54" w:rsidRDefault="00636337">
          <w:pPr>
            <w:pStyle w:val="TOC1"/>
            <w:rPr>
              <w:rFonts w:asciiTheme="minorHAnsi" w:eastAsiaTheme="minorEastAsia" w:hAnsiTheme="minorHAnsi" w:cstheme="minorBidi"/>
              <w:noProof/>
              <w:sz w:val="22"/>
              <w:szCs w:val="22"/>
              <w:lang w:eastAsia="en-AU"/>
            </w:rPr>
          </w:pPr>
          <w:hyperlink w:anchor="_Toc131338399" w:history="1">
            <w:r w:rsidR="00B75A54" w:rsidRPr="006062AE">
              <w:rPr>
                <w:rStyle w:val="Hyperlink"/>
                <w:noProof/>
              </w:rPr>
              <w:t xml:space="preserve">Progression of applications through the 2021 Early to Mid-Career Researchers Grant </w:t>
            </w:r>
            <w:r w:rsidR="00B75A54">
              <w:rPr>
                <w:rStyle w:val="Hyperlink"/>
                <w:noProof/>
              </w:rPr>
              <w:t xml:space="preserve">   </w:t>
            </w:r>
            <w:r w:rsidR="00B75A54" w:rsidRPr="006062AE">
              <w:rPr>
                <w:rStyle w:val="Hyperlink"/>
                <w:noProof/>
              </w:rPr>
              <w:t>Opportunity</w:t>
            </w:r>
            <w:r w:rsidR="00B75A54">
              <w:rPr>
                <w:noProof/>
                <w:webHidden/>
              </w:rPr>
              <w:tab/>
            </w:r>
            <w:r w:rsidR="00B75A54">
              <w:rPr>
                <w:noProof/>
                <w:webHidden/>
              </w:rPr>
              <w:fldChar w:fldCharType="begin"/>
            </w:r>
            <w:r w:rsidR="00B75A54">
              <w:rPr>
                <w:noProof/>
                <w:webHidden/>
              </w:rPr>
              <w:instrText xml:space="preserve"> PAGEREF _Toc131338399 \h </w:instrText>
            </w:r>
            <w:r w:rsidR="00B75A54">
              <w:rPr>
                <w:noProof/>
                <w:webHidden/>
              </w:rPr>
            </w:r>
            <w:r w:rsidR="00B75A54">
              <w:rPr>
                <w:noProof/>
                <w:webHidden/>
              </w:rPr>
              <w:fldChar w:fldCharType="separate"/>
            </w:r>
            <w:r w:rsidR="00B75A54">
              <w:rPr>
                <w:noProof/>
                <w:webHidden/>
              </w:rPr>
              <w:t>4</w:t>
            </w:r>
            <w:r w:rsidR="00B75A54">
              <w:rPr>
                <w:noProof/>
                <w:webHidden/>
              </w:rPr>
              <w:fldChar w:fldCharType="end"/>
            </w:r>
          </w:hyperlink>
        </w:p>
        <w:p w14:paraId="4C91E83C" w14:textId="4662BDC8" w:rsidR="00B75A54" w:rsidRDefault="00636337">
          <w:pPr>
            <w:pStyle w:val="TOC1"/>
            <w:rPr>
              <w:rFonts w:asciiTheme="minorHAnsi" w:eastAsiaTheme="minorEastAsia" w:hAnsiTheme="minorHAnsi" w:cstheme="minorBidi"/>
              <w:noProof/>
              <w:sz w:val="22"/>
              <w:szCs w:val="22"/>
              <w:lang w:eastAsia="en-AU"/>
            </w:rPr>
          </w:pPr>
          <w:hyperlink w:anchor="_Toc131338400" w:history="1">
            <w:r w:rsidR="00B75A54" w:rsidRPr="006062AE">
              <w:rPr>
                <w:rStyle w:val="Hyperlink"/>
                <w:noProof/>
              </w:rPr>
              <w:t>Topics of Research by Stream</w:t>
            </w:r>
            <w:r w:rsidR="00B75A54">
              <w:rPr>
                <w:noProof/>
                <w:webHidden/>
              </w:rPr>
              <w:tab/>
            </w:r>
            <w:r w:rsidR="00B75A54">
              <w:rPr>
                <w:noProof/>
                <w:webHidden/>
              </w:rPr>
              <w:fldChar w:fldCharType="begin"/>
            </w:r>
            <w:r w:rsidR="00B75A54">
              <w:rPr>
                <w:noProof/>
                <w:webHidden/>
              </w:rPr>
              <w:instrText xml:space="preserve"> PAGEREF _Toc131338400 \h </w:instrText>
            </w:r>
            <w:r w:rsidR="00B75A54">
              <w:rPr>
                <w:noProof/>
                <w:webHidden/>
              </w:rPr>
            </w:r>
            <w:r w:rsidR="00B75A54">
              <w:rPr>
                <w:noProof/>
                <w:webHidden/>
              </w:rPr>
              <w:fldChar w:fldCharType="separate"/>
            </w:r>
            <w:r w:rsidR="00B75A54">
              <w:rPr>
                <w:noProof/>
                <w:webHidden/>
              </w:rPr>
              <w:t>5</w:t>
            </w:r>
            <w:r w:rsidR="00B75A54">
              <w:rPr>
                <w:noProof/>
                <w:webHidden/>
              </w:rPr>
              <w:fldChar w:fldCharType="end"/>
            </w:r>
          </w:hyperlink>
        </w:p>
        <w:p w14:paraId="14872436" w14:textId="61763DE0"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1" w:history="1">
            <w:r w:rsidR="00B75A54" w:rsidRPr="006062AE">
              <w:rPr>
                <w:rStyle w:val="Hyperlink"/>
                <w:noProof/>
              </w:rPr>
              <w:t>Applications by broad research area by Stream</w:t>
            </w:r>
            <w:r w:rsidR="00B75A54">
              <w:rPr>
                <w:noProof/>
                <w:webHidden/>
              </w:rPr>
              <w:tab/>
            </w:r>
            <w:r w:rsidR="00B75A54">
              <w:rPr>
                <w:noProof/>
                <w:webHidden/>
              </w:rPr>
              <w:fldChar w:fldCharType="begin"/>
            </w:r>
            <w:r w:rsidR="00B75A54">
              <w:rPr>
                <w:noProof/>
                <w:webHidden/>
              </w:rPr>
              <w:instrText xml:space="preserve"> PAGEREF _Toc131338401 \h </w:instrText>
            </w:r>
            <w:r w:rsidR="00B75A54">
              <w:rPr>
                <w:noProof/>
                <w:webHidden/>
              </w:rPr>
            </w:r>
            <w:r w:rsidR="00B75A54">
              <w:rPr>
                <w:noProof/>
                <w:webHidden/>
              </w:rPr>
              <w:fldChar w:fldCharType="separate"/>
            </w:r>
            <w:r w:rsidR="00B75A54">
              <w:rPr>
                <w:noProof/>
                <w:webHidden/>
              </w:rPr>
              <w:t>5</w:t>
            </w:r>
            <w:r w:rsidR="00B75A54">
              <w:rPr>
                <w:noProof/>
                <w:webHidden/>
              </w:rPr>
              <w:fldChar w:fldCharType="end"/>
            </w:r>
          </w:hyperlink>
        </w:p>
        <w:p w14:paraId="1F84E577" w14:textId="111F38C2"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2" w:history="1">
            <w:r w:rsidR="00B75A54" w:rsidRPr="006062AE">
              <w:rPr>
                <w:rStyle w:val="Hyperlink"/>
                <w:noProof/>
              </w:rPr>
              <w:t>Applications by Fields of Research by Stream</w:t>
            </w:r>
            <w:r w:rsidR="00B75A54">
              <w:rPr>
                <w:noProof/>
                <w:webHidden/>
              </w:rPr>
              <w:tab/>
            </w:r>
            <w:r w:rsidR="00B75A54">
              <w:rPr>
                <w:noProof/>
                <w:webHidden/>
              </w:rPr>
              <w:fldChar w:fldCharType="begin"/>
            </w:r>
            <w:r w:rsidR="00B75A54">
              <w:rPr>
                <w:noProof/>
                <w:webHidden/>
              </w:rPr>
              <w:instrText xml:space="preserve"> PAGEREF _Toc131338402 \h </w:instrText>
            </w:r>
            <w:r w:rsidR="00B75A54">
              <w:rPr>
                <w:noProof/>
                <w:webHidden/>
              </w:rPr>
            </w:r>
            <w:r w:rsidR="00B75A54">
              <w:rPr>
                <w:noProof/>
                <w:webHidden/>
              </w:rPr>
              <w:fldChar w:fldCharType="separate"/>
            </w:r>
            <w:r w:rsidR="00B75A54">
              <w:rPr>
                <w:noProof/>
                <w:webHidden/>
              </w:rPr>
              <w:t>6</w:t>
            </w:r>
            <w:r w:rsidR="00B75A54">
              <w:rPr>
                <w:noProof/>
                <w:webHidden/>
              </w:rPr>
              <w:fldChar w:fldCharType="end"/>
            </w:r>
          </w:hyperlink>
        </w:p>
        <w:p w14:paraId="4863C266" w14:textId="65201BC0" w:rsidR="00B75A54" w:rsidRDefault="00636337">
          <w:pPr>
            <w:pStyle w:val="TOC1"/>
            <w:rPr>
              <w:rFonts w:asciiTheme="minorHAnsi" w:eastAsiaTheme="minorEastAsia" w:hAnsiTheme="minorHAnsi" w:cstheme="minorBidi"/>
              <w:noProof/>
              <w:sz w:val="22"/>
              <w:szCs w:val="22"/>
              <w:lang w:eastAsia="en-AU"/>
            </w:rPr>
          </w:pPr>
          <w:hyperlink w:anchor="_Toc131338403" w:history="1">
            <w:r w:rsidR="00B75A54" w:rsidRPr="006062AE">
              <w:rPr>
                <w:rStyle w:val="Hyperlink"/>
                <w:noProof/>
              </w:rPr>
              <w:t>Characteristics of Chief Investigators</w:t>
            </w:r>
            <w:r w:rsidR="00B75A54">
              <w:rPr>
                <w:noProof/>
                <w:webHidden/>
              </w:rPr>
              <w:tab/>
            </w:r>
            <w:r w:rsidR="00B75A54">
              <w:rPr>
                <w:noProof/>
                <w:webHidden/>
              </w:rPr>
              <w:fldChar w:fldCharType="begin"/>
            </w:r>
            <w:r w:rsidR="00B75A54">
              <w:rPr>
                <w:noProof/>
                <w:webHidden/>
              </w:rPr>
              <w:instrText xml:space="preserve"> PAGEREF _Toc131338403 \h </w:instrText>
            </w:r>
            <w:r w:rsidR="00B75A54">
              <w:rPr>
                <w:noProof/>
                <w:webHidden/>
              </w:rPr>
            </w:r>
            <w:r w:rsidR="00B75A54">
              <w:rPr>
                <w:noProof/>
                <w:webHidden/>
              </w:rPr>
              <w:fldChar w:fldCharType="separate"/>
            </w:r>
            <w:r w:rsidR="00B75A54">
              <w:rPr>
                <w:noProof/>
                <w:webHidden/>
              </w:rPr>
              <w:t>7</w:t>
            </w:r>
            <w:r w:rsidR="00B75A54">
              <w:rPr>
                <w:noProof/>
                <w:webHidden/>
              </w:rPr>
              <w:fldChar w:fldCharType="end"/>
            </w:r>
          </w:hyperlink>
        </w:p>
        <w:p w14:paraId="3625976D" w14:textId="0E773553"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4" w:history="1">
            <w:r w:rsidR="00B75A54" w:rsidRPr="006062AE">
              <w:rPr>
                <w:rStyle w:val="Hyperlink"/>
                <w:noProof/>
              </w:rPr>
              <w:t>Gender of CIA</w:t>
            </w:r>
            <w:r w:rsidR="00B75A54">
              <w:rPr>
                <w:noProof/>
                <w:webHidden/>
              </w:rPr>
              <w:tab/>
            </w:r>
            <w:r w:rsidR="00B75A54">
              <w:rPr>
                <w:noProof/>
                <w:webHidden/>
              </w:rPr>
              <w:fldChar w:fldCharType="begin"/>
            </w:r>
            <w:r w:rsidR="00B75A54">
              <w:rPr>
                <w:noProof/>
                <w:webHidden/>
              </w:rPr>
              <w:instrText xml:space="preserve"> PAGEREF _Toc131338404 \h </w:instrText>
            </w:r>
            <w:r w:rsidR="00B75A54">
              <w:rPr>
                <w:noProof/>
                <w:webHidden/>
              </w:rPr>
            </w:r>
            <w:r w:rsidR="00B75A54">
              <w:rPr>
                <w:noProof/>
                <w:webHidden/>
              </w:rPr>
              <w:fldChar w:fldCharType="separate"/>
            </w:r>
            <w:r w:rsidR="00B75A54">
              <w:rPr>
                <w:noProof/>
                <w:webHidden/>
              </w:rPr>
              <w:t>7</w:t>
            </w:r>
            <w:r w:rsidR="00B75A54">
              <w:rPr>
                <w:noProof/>
                <w:webHidden/>
              </w:rPr>
              <w:fldChar w:fldCharType="end"/>
            </w:r>
          </w:hyperlink>
        </w:p>
        <w:p w14:paraId="5B2EF84D" w14:textId="16A4E3A8"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5" w:history="1">
            <w:r w:rsidR="00B75A54" w:rsidRPr="006062AE">
              <w:rPr>
                <w:rStyle w:val="Hyperlink"/>
                <w:noProof/>
              </w:rPr>
              <w:t>Years post-PhD of CIA</w:t>
            </w:r>
            <w:r w:rsidR="00B75A54">
              <w:rPr>
                <w:noProof/>
                <w:webHidden/>
              </w:rPr>
              <w:tab/>
            </w:r>
            <w:r w:rsidR="00B75A54">
              <w:rPr>
                <w:noProof/>
                <w:webHidden/>
              </w:rPr>
              <w:fldChar w:fldCharType="begin"/>
            </w:r>
            <w:r w:rsidR="00B75A54">
              <w:rPr>
                <w:noProof/>
                <w:webHidden/>
              </w:rPr>
              <w:instrText xml:space="preserve"> PAGEREF _Toc131338405 \h </w:instrText>
            </w:r>
            <w:r w:rsidR="00B75A54">
              <w:rPr>
                <w:noProof/>
                <w:webHidden/>
              </w:rPr>
            </w:r>
            <w:r w:rsidR="00B75A54">
              <w:rPr>
                <w:noProof/>
                <w:webHidden/>
              </w:rPr>
              <w:fldChar w:fldCharType="separate"/>
            </w:r>
            <w:r w:rsidR="00B75A54">
              <w:rPr>
                <w:noProof/>
                <w:webHidden/>
              </w:rPr>
              <w:t>8</w:t>
            </w:r>
            <w:r w:rsidR="00B75A54">
              <w:rPr>
                <w:noProof/>
                <w:webHidden/>
              </w:rPr>
              <w:fldChar w:fldCharType="end"/>
            </w:r>
          </w:hyperlink>
        </w:p>
        <w:p w14:paraId="33F89BA8" w14:textId="45AE903A"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6" w:history="1">
            <w:r w:rsidR="00B75A54" w:rsidRPr="006062AE">
              <w:rPr>
                <w:rStyle w:val="Hyperlink"/>
                <w:noProof/>
              </w:rPr>
              <w:t>First Nations CI status</w:t>
            </w:r>
            <w:r w:rsidR="00B75A54">
              <w:rPr>
                <w:noProof/>
                <w:webHidden/>
              </w:rPr>
              <w:tab/>
            </w:r>
            <w:r w:rsidR="00B75A54">
              <w:rPr>
                <w:noProof/>
                <w:webHidden/>
              </w:rPr>
              <w:fldChar w:fldCharType="begin"/>
            </w:r>
            <w:r w:rsidR="00B75A54">
              <w:rPr>
                <w:noProof/>
                <w:webHidden/>
              </w:rPr>
              <w:instrText xml:space="preserve"> PAGEREF _Toc131338406 \h </w:instrText>
            </w:r>
            <w:r w:rsidR="00B75A54">
              <w:rPr>
                <w:noProof/>
                <w:webHidden/>
              </w:rPr>
            </w:r>
            <w:r w:rsidR="00B75A54">
              <w:rPr>
                <w:noProof/>
                <w:webHidden/>
              </w:rPr>
              <w:fldChar w:fldCharType="separate"/>
            </w:r>
            <w:r w:rsidR="00B75A54">
              <w:rPr>
                <w:noProof/>
                <w:webHidden/>
              </w:rPr>
              <w:t>9</w:t>
            </w:r>
            <w:r w:rsidR="00B75A54">
              <w:rPr>
                <w:noProof/>
                <w:webHidden/>
              </w:rPr>
              <w:fldChar w:fldCharType="end"/>
            </w:r>
          </w:hyperlink>
        </w:p>
        <w:p w14:paraId="63785545" w14:textId="66BFCD67"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7" w:history="1">
            <w:r w:rsidR="00B75A54" w:rsidRPr="006062AE">
              <w:rPr>
                <w:rStyle w:val="Hyperlink"/>
                <w:noProof/>
              </w:rPr>
              <w:t>Size of CI teams</w:t>
            </w:r>
            <w:r w:rsidR="00B75A54">
              <w:rPr>
                <w:noProof/>
                <w:webHidden/>
              </w:rPr>
              <w:tab/>
            </w:r>
            <w:r w:rsidR="00B75A54">
              <w:rPr>
                <w:noProof/>
                <w:webHidden/>
              </w:rPr>
              <w:fldChar w:fldCharType="begin"/>
            </w:r>
            <w:r w:rsidR="00B75A54">
              <w:rPr>
                <w:noProof/>
                <w:webHidden/>
              </w:rPr>
              <w:instrText xml:space="preserve"> PAGEREF _Toc131338407 \h </w:instrText>
            </w:r>
            <w:r w:rsidR="00B75A54">
              <w:rPr>
                <w:noProof/>
                <w:webHidden/>
              </w:rPr>
            </w:r>
            <w:r w:rsidR="00B75A54">
              <w:rPr>
                <w:noProof/>
                <w:webHidden/>
              </w:rPr>
              <w:fldChar w:fldCharType="separate"/>
            </w:r>
            <w:r w:rsidR="00B75A54">
              <w:rPr>
                <w:noProof/>
                <w:webHidden/>
              </w:rPr>
              <w:t>9</w:t>
            </w:r>
            <w:r w:rsidR="00B75A54">
              <w:rPr>
                <w:noProof/>
                <w:webHidden/>
              </w:rPr>
              <w:fldChar w:fldCharType="end"/>
            </w:r>
          </w:hyperlink>
        </w:p>
        <w:p w14:paraId="1A6C1EB9" w14:textId="085A927B"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8" w:history="1">
            <w:r w:rsidR="00B75A54" w:rsidRPr="006062AE">
              <w:rPr>
                <w:rStyle w:val="Hyperlink"/>
                <w:noProof/>
              </w:rPr>
              <w:t>Gender of CI teams</w:t>
            </w:r>
            <w:r w:rsidR="00B75A54">
              <w:rPr>
                <w:noProof/>
                <w:webHidden/>
              </w:rPr>
              <w:tab/>
            </w:r>
            <w:r w:rsidR="00B75A54">
              <w:rPr>
                <w:noProof/>
                <w:webHidden/>
              </w:rPr>
              <w:fldChar w:fldCharType="begin"/>
            </w:r>
            <w:r w:rsidR="00B75A54">
              <w:rPr>
                <w:noProof/>
                <w:webHidden/>
              </w:rPr>
              <w:instrText xml:space="preserve"> PAGEREF _Toc131338408 \h </w:instrText>
            </w:r>
            <w:r w:rsidR="00B75A54">
              <w:rPr>
                <w:noProof/>
                <w:webHidden/>
              </w:rPr>
            </w:r>
            <w:r w:rsidR="00B75A54">
              <w:rPr>
                <w:noProof/>
                <w:webHidden/>
              </w:rPr>
              <w:fldChar w:fldCharType="separate"/>
            </w:r>
            <w:r w:rsidR="00B75A54">
              <w:rPr>
                <w:noProof/>
                <w:webHidden/>
              </w:rPr>
              <w:t>9</w:t>
            </w:r>
            <w:r w:rsidR="00B75A54">
              <w:rPr>
                <w:noProof/>
                <w:webHidden/>
              </w:rPr>
              <w:fldChar w:fldCharType="end"/>
            </w:r>
          </w:hyperlink>
        </w:p>
        <w:p w14:paraId="40E34CD7" w14:textId="63919326"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09" w:history="1">
            <w:r w:rsidR="00B75A54" w:rsidRPr="006062AE">
              <w:rPr>
                <w:rStyle w:val="Hyperlink"/>
                <w:noProof/>
              </w:rPr>
              <w:t>Years post-PhD of CI teams</w:t>
            </w:r>
            <w:r w:rsidR="00B75A54">
              <w:rPr>
                <w:noProof/>
                <w:webHidden/>
              </w:rPr>
              <w:tab/>
            </w:r>
            <w:r w:rsidR="00B75A54">
              <w:rPr>
                <w:noProof/>
                <w:webHidden/>
              </w:rPr>
              <w:fldChar w:fldCharType="begin"/>
            </w:r>
            <w:r w:rsidR="00B75A54">
              <w:rPr>
                <w:noProof/>
                <w:webHidden/>
              </w:rPr>
              <w:instrText xml:space="preserve"> PAGEREF _Toc131338409 \h </w:instrText>
            </w:r>
            <w:r w:rsidR="00B75A54">
              <w:rPr>
                <w:noProof/>
                <w:webHidden/>
              </w:rPr>
            </w:r>
            <w:r w:rsidR="00B75A54">
              <w:rPr>
                <w:noProof/>
                <w:webHidden/>
              </w:rPr>
              <w:fldChar w:fldCharType="separate"/>
            </w:r>
            <w:r w:rsidR="00B75A54">
              <w:rPr>
                <w:noProof/>
                <w:webHidden/>
              </w:rPr>
              <w:t>10</w:t>
            </w:r>
            <w:r w:rsidR="00B75A54">
              <w:rPr>
                <w:noProof/>
                <w:webHidden/>
              </w:rPr>
              <w:fldChar w:fldCharType="end"/>
            </w:r>
          </w:hyperlink>
        </w:p>
        <w:p w14:paraId="6B079F55" w14:textId="443076A2" w:rsidR="00B75A54" w:rsidRDefault="00636337">
          <w:pPr>
            <w:pStyle w:val="TOC1"/>
            <w:rPr>
              <w:rFonts w:asciiTheme="minorHAnsi" w:eastAsiaTheme="minorEastAsia" w:hAnsiTheme="minorHAnsi" w:cstheme="minorBidi"/>
              <w:noProof/>
              <w:sz w:val="22"/>
              <w:szCs w:val="22"/>
              <w:lang w:eastAsia="en-AU"/>
            </w:rPr>
          </w:pPr>
          <w:hyperlink w:anchor="_Toc131338410" w:history="1">
            <w:r w:rsidR="00B75A54" w:rsidRPr="006062AE">
              <w:rPr>
                <w:rStyle w:val="Hyperlink"/>
                <w:noProof/>
              </w:rPr>
              <w:t>Applications by states and territories</w:t>
            </w:r>
            <w:r w:rsidR="00B75A54">
              <w:rPr>
                <w:noProof/>
                <w:webHidden/>
              </w:rPr>
              <w:tab/>
            </w:r>
            <w:r w:rsidR="00B75A54">
              <w:rPr>
                <w:noProof/>
                <w:webHidden/>
              </w:rPr>
              <w:fldChar w:fldCharType="begin"/>
            </w:r>
            <w:r w:rsidR="00B75A54">
              <w:rPr>
                <w:noProof/>
                <w:webHidden/>
              </w:rPr>
              <w:instrText xml:space="preserve"> PAGEREF _Toc131338410 \h </w:instrText>
            </w:r>
            <w:r w:rsidR="00B75A54">
              <w:rPr>
                <w:noProof/>
                <w:webHidden/>
              </w:rPr>
            </w:r>
            <w:r w:rsidR="00B75A54">
              <w:rPr>
                <w:noProof/>
                <w:webHidden/>
              </w:rPr>
              <w:fldChar w:fldCharType="separate"/>
            </w:r>
            <w:r w:rsidR="00B75A54">
              <w:rPr>
                <w:noProof/>
                <w:webHidden/>
              </w:rPr>
              <w:t>11</w:t>
            </w:r>
            <w:r w:rsidR="00B75A54">
              <w:rPr>
                <w:noProof/>
                <w:webHidden/>
              </w:rPr>
              <w:fldChar w:fldCharType="end"/>
            </w:r>
          </w:hyperlink>
        </w:p>
        <w:p w14:paraId="1E7867CF" w14:textId="12BF78EF" w:rsidR="00B75A54" w:rsidRDefault="00636337">
          <w:pPr>
            <w:pStyle w:val="TOC1"/>
            <w:rPr>
              <w:rFonts w:asciiTheme="minorHAnsi" w:eastAsiaTheme="minorEastAsia" w:hAnsiTheme="minorHAnsi" w:cstheme="minorBidi"/>
              <w:noProof/>
              <w:sz w:val="22"/>
              <w:szCs w:val="22"/>
              <w:lang w:eastAsia="en-AU"/>
            </w:rPr>
          </w:pPr>
          <w:hyperlink w:anchor="_Toc131338411" w:history="1">
            <w:r w:rsidR="00B75A54" w:rsidRPr="006062AE">
              <w:rPr>
                <w:rStyle w:val="Hyperlink"/>
                <w:noProof/>
              </w:rPr>
              <w:t>Applications by organisation</w:t>
            </w:r>
            <w:r w:rsidR="00B75A54">
              <w:rPr>
                <w:noProof/>
                <w:webHidden/>
              </w:rPr>
              <w:tab/>
            </w:r>
            <w:r w:rsidR="00B75A54">
              <w:rPr>
                <w:noProof/>
                <w:webHidden/>
              </w:rPr>
              <w:fldChar w:fldCharType="begin"/>
            </w:r>
            <w:r w:rsidR="00B75A54">
              <w:rPr>
                <w:noProof/>
                <w:webHidden/>
              </w:rPr>
              <w:instrText xml:space="preserve"> PAGEREF _Toc131338411 \h </w:instrText>
            </w:r>
            <w:r w:rsidR="00B75A54">
              <w:rPr>
                <w:noProof/>
                <w:webHidden/>
              </w:rPr>
            </w:r>
            <w:r w:rsidR="00B75A54">
              <w:rPr>
                <w:noProof/>
                <w:webHidden/>
              </w:rPr>
              <w:fldChar w:fldCharType="separate"/>
            </w:r>
            <w:r w:rsidR="00B75A54">
              <w:rPr>
                <w:noProof/>
                <w:webHidden/>
              </w:rPr>
              <w:t>12</w:t>
            </w:r>
            <w:r w:rsidR="00B75A54">
              <w:rPr>
                <w:noProof/>
                <w:webHidden/>
              </w:rPr>
              <w:fldChar w:fldCharType="end"/>
            </w:r>
          </w:hyperlink>
        </w:p>
        <w:p w14:paraId="0C332148" w14:textId="27DB91EC" w:rsidR="00B75A54" w:rsidRDefault="00636337">
          <w:pPr>
            <w:pStyle w:val="TOC1"/>
            <w:rPr>
              <w:rFonts w:asciiTheme="minorHAnsi" w:eastAsiaTheme="minorEastAsia" w:hAnsiTheme="minorHAnsi" w:cstheme="minorBidi"/>
              <w:noProof/>
              <w:sz w:val="22"/>
              <w:szCs w:val="22"/>
              <w:lang w:eastAsia="en-AU"/>
            </w:rPr>
          </w:pPr>
          <w:hyperlink w:anchor="_Toc131338412" w:history="1">
            <w:r w:rsidR="00B75A54" w:rsidRPr="006062AE">
              <w:rPr>
                <w:rStyle w:val="Hyperlink"/>
                <w:noProof/>
              </w:rPr>
              <w:t>Appendix A.  The MRFF Early to Mid-Career Researcher Initiative</w:t>
            </w:r>
            <w:r w:rsidR="00B75A54">
              <w:rPr>
                <w:noProof/>
                <w:webHidden/>
              </w:rPr>
              <w:tab/>
            </w:r>
            <w:r w:rsidR="00B75A54">
              <w:rPr>
                <w:noProof/>
                <w:webHidden/>
              </w:rPr>
              <w:fldChar w:fldCharType="begin"/>
            </w:r>
            <w:r w:rsidR="00B75A54">
              <w:rPr>
                <w:noProof/>
                <w:webHidden/>
              </w:rPr>
              <w:instrText xml:space="preserve"> PAGEREF _Toc131338412 \h </w:instrText>
            </w:r>
            <w:r w:rsidR="00B75A54">
              <w:rPr>
                <w:noProof/>
                <w:webHidden/>
              </w:rPr>
            </w:r>
            <w:r w:rsidR="00B75A54">
              <w:rPr>
                <w:noProof/>
                <w:webHidden/>
              </w:rPr>
              <w:fldChar w:fldCharType="separate"/>
            </w:r>
            <w:r w:rsidR="00B75A54">
              <w:rPr>
                <w:noProof/>
                <w:webHidden/>
              </w:rPr>
              <w:t>13</w:t>
            </w:r>
            <w:r w:rsidR="00B75A54">
              <w:rPr>
                <w:noProof/>
                <w:webHidden/>
              </w:rPr>
              <w:fldChar w:fldCharType="end"/>
            </w:r>
          </w:hyperlink>
        </w:p>
        <w:p w14:paraId="209079A9" w14:textId="2CF5DA9F" w:rsidR="00B75A54" w:rsidRDefault="00636337">
          <w:pPr>
            <w:pStyle w:val="TOC1"/>
            <w:rPr>
              <w:rFonts w:asciiTheme="minorHAnsi" w:eastAsiaTheme="minorEastAsia" w:hAnsiTheme="minorHAnsi" w:cstheme="minorBidi"/>
              <w:noProof/>
              <w:sz w:val="22"/>
              <w:szCs w:val="22"/>
              <w:lang w:eastAsia="en-AU"/>
            </w:rPr>
          </w:pPr>
          <w:hyperlink w:anchor="_Toc131338413" w:history="1">
            <w:r w:rsidR="00B75A54" w:rsidRPr="006062AE">
              <w:rPr>
                <w:rStyle w:val="Hyperlink"/>
                <w:noProof/>
              </w:rPr>
              <w:t>Appendix B.  Table of grants awarded</w:t>
            </w:r>
            <w:r w:rsidR="00B75A54">
              <w:rPr>
                <w:noProof/>
                <w:webHidden/>
              </w:rPr>
              <w:tab/>
            </w:r>
            <w:r w:rsidR="00B75A54">
              <w:rPr>
                <w:noProof/>
                <w:webHidden/>
              </w:rPr>
              <w:fldChar w:fldCharType="begin"/>
            </w:r>
            <w:r w:rsidR="00B75A54">
              <w:rPr>
                <w:noProof/>
                <w:webHidden/>
              </w:rPr>
              <w:instrText xml:space="preserve"> PAGEREF _Toc131338413 \h </w:instrText>
            </w:r>
            <w:r w:rsidR="00B75A54">
              <w:rPr>
                <w:noProof/>
                <w:webHidden/>
              </w:rPr>
            </w:r>
            <w:r w:rsidR="00B75A54">
              <w:rPr>
                <w:noProof/>
                <w:webHidden/>
              </w:rPr>
              <w:fldChar w:fldCharType="separate"/>
            </w:r>
            <w:r w:rsidR="00B75A54">
              <w:rPr>
                <w:noProof/>
                <w:webHidden/>
              </w:rPr>
              <w:t>14</w:t>
            </w:r>
            <w:r w:rsidR="00B75A54">
              <w:rPr>
                <w:noProof/>
                <w:webHidden/>
              </w:rPr>
              <w:fldChar w:fldCharType="end"/>
            </w:r>
          </w:hyperlink>
        </w:p>
        <w:p w14:paraId="61980C34" w14:textId="25CF5205" w:rsidR="00B75A54" w:rsidRDefault="00636337">
          <w:pPr>
            <w:pStyle w:val="TOC1"/>
            <w:rPr>
              <w:rFonts w:asciiTheme="minorHAnsi" w:eastAsiaTheme="minorEastAsia" w:hAnsiTheme="minorHAnsi" w:cstheme="minorBidi"/>
              <w:noProof/>
              <w:sz w:val="22"/>
              <w:szCs w:val="22"/>
              <w:lang w:eastAsia="en-AU"/>
            </w:rPr>
          </w:pPr>
          <w:hyperlink w:anchor="_Toc131338414" w:history="1">
            <w:r w:rsidR="00B75A54" w:rsidRPr="006062AE">
              <w:rPr>
                <w:rStyle w:val="Hyperlink"/>
                <w:noProof/>
              </w:rPr>
              <w:t>Appendix C.  Focus of the 2023 Early to Mid-Career Researchers Grant Opportunity</w:t>
            </w:r>
            <w:r w:rsidR="00B75A54">
              <w:rPr>
                <w:noProof/>
                <w:webHidden/>
              </w:rPr>
              <w:tab/>
            </w:r>
            <w:r w:rsidR="00B75A54">
              <w:rPr>
                <w:noProof/>
                <w:webHidden/>
              </w:rPr>
              <w:fldChar w:fldCharType="begin"/>
            </w:r>
            <w:r w:rsidR="00B75A54">
              <w:rPr>
                <w:noProof/>
                <w:webHidden/>
              </w:rPr>
              <w:instrText xml:space="preserve"> PAGEREF _Toc131338414 \h </w:instrText>
            </w:r>
            <w:r w:rsidR="00B75A54">
              <w:rPr>
                <w:noProof/>
                <w:webHidden/>
              </w:rPr>
            </w:r>
            <w:r w:rsidR="00B75A54">
              <w:rPr>
                <w:noProof/>
                <w:webHidden/>
              </w:rPr>
              <w:fldChar w:fldCharType="separate"/>
            </w:r>
            <w:r w:rsidR="00B75A54">
              <w:rPr>
                <w:noProof/>
                <w:webHidden/>
              </w:rPr>
              <w:t>16</w:t>
            </w:r>
            <w:r w:rsidR="00B75A54">
              <w:rPr>
                <w:noProof/>
                <w:webHidden/>
              </w:rPr>
              <w:fldChar w:fldCharType="end"/>
            </w:r>
          </w:hyperlink>
        </w:p>
        <w:p w14:paraId="21190F7E" w14:textId="1BB6F7D8" w:rsidR="00B75A54" w:rsidRDefault="00636337">
          <w:pPr>
            <w:pStyle w:val="TOC2"/>
            <w:tabs>
              <w:tab w:val="right" w:leader="dot" w:pos="9060"/>
            </w:tabs>
            <w:rPr>
              <w:rFonts w:asciiTheme="minorHAnsi" w:eastAsiaTheme="minorEastAsia" w:hAnsiTheme="minorHAnsi" w:cstheme="minorBidi"/>
              <w:noProof/>
              <w:sz w:val="22"/>
              <w:szCs w:val="22"/>
              <w:lang w:eastAsia="en-AU"/>
            </w:rPr>
          </w:pPr>
          <w:hyperlink w:anchor="_Toc131338415" w:history="1">
            <w:r w:rsidR="00B75A54" w:rsidRPr="006062AE">
              <w:rPr>
                <w:rStyle w:val="Hyperlink"/>
                <w:noProof/>
              </w:rPr>
              <w:t>Glossary</w:t>
            </w:r>
            <w:r w:rsidR="00B75A54">
              <w:rPr>
                <w:noProof/>
                <w:webHidden/>
              </w:rPr>
              <w:tab/>
            </w:r>
            <w:r w:rsidR="00B75A54">
              <w:rPr>
                <w:noProof/>
                <w:webHidden/>
              </w:rPr>
              <w:fldChar w:fldCharType="begin"/>
            </w:r>
            <w:r w:rsidR="00B75A54">
              <w:rPr>
                <w:noProof/>
                <w:webHidden/>
              </w:rPr>
              <w:instrText xml:space="preserve"> PAGEREF _Toc131338415 \h </w:instrText>
            </w:r>
            <w:r w:rsidR="00B75A54">
              <w:rPr>
                <w:noProof/>
                <w:webHidden/>
              </w:rPr>
            </w:r>
            <w:r w:rsidR="00B75A54">
              <w:rPr>
                <w:noProof/>
                <w:webHidden/>
              </w:rPr>
              <w:fldChar w:fldCharType="separate"/>
            </w:r>
            <w:r w:rsidR="00B75A54">
              <w:rPr>
                <w:noProof/>
                <w:webHidden/>
              </w:rPr>
              <w:t>17</w:t>
            </w:r>
            <w:r w:rsidR="00B75A54">
              <w:rPr>
                <w:noProof/>
                <w:webHidden/>
              </w:rPr>
              <w:fldChar w:fldCharType="end"/>
            </w:r>
          </w:hyperlink>
        </w:p>
        <w:p w14:paraId="61E8BF54" w14:textId="59741E21" w:rsidR="00CF14A6" w:rsidRDefault="002F323A" w:rsidP="00CE201D">
          <w:pPr>
            <w:sectPr w:rsidR="00CF14A6" w:rsidSect="006F0841">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418" w:left="1418" w:header="709" w:footer="567" w:gutter="0"/>
              <w:pgNumType w:fmt="lowerRoman" w:start="1"/>
              <w:cols w:space="708"/>
              <w:docGrid w:linePitch="360"/>
            </w:sectPr>
          </w:pPr>
          <w:r>
            <w:rPr>
              <w:b/>
              <w:bCs/>
              <w:noProof/>
            </w:rPr>
            <w:fldChar w:fldCharType="end"/>
          </w:r>
        </w:p>
      </w:sdtContent>
    </w:sdt>
    <w:p w14:paraId="09FDECF0" w14:textId="77777777" w:rsidR="006645F3" w:rsidRDefault="006645F3" w:rsidP="00B95348">
      <w:pPr>
        <w:pStyle w:val="Heading1"/>
      </w:pPr>
      <w:bookmarkStart w:id="2" w:name="_Toc131338397"/>
      <w:r>
        <w:lastRenderedPageBreak/>
        <w:t>Introduction</w:t>
      </w:r>
      <w:bookmarkEnd w:id="2"/>
    </w:p>
    <w:p w14:paraId="7E645A33" w14:textId="47A31558" w:rsidR="006645F3" w:rsidRPr="009B51D2" w:rsidRDefault="006645F3" w:rsidP="005A2D97">
      <w:pPr>
        <w:pStyle w:val="Paragraphtext"/>
        <w:spacing w:before="120"/>
        <w:jc w:val="both"/>
        <w:rPr>
          <w:sz w:val="22"/>
          <w:szCs w:val="22"/>
        </w:rPr>
      </w:pPr>
      <w:r w:rsidRPr="009B51D2">
        <w:rPr>
          <w:sz w:val="22"/>
          <w:szCs w:val="22"/>
        </w:rPr>
        <w:t>Early to Mid-Career Researchers (EMCR) are researchers in the first 10 years of employment since completing postgraduate research training. The</w:t>
      </w:r>
      <w:r w:rsidRPr="00B95348">
        <w:rPr>
          <w:sz w:val="22"/>
          <w:szCs w:val="22"/>
        </w:rPr>
        <w:t xml:space="preserve"> Medical Research Future Fund (MRFF)</w:t>
      </w:r>
      <w:r w:rsidRPr="009B51D2">
        <w:rPr>
          <w:sz w:val="22"/>
          <w:szCs w:val="22"/>
        </w:rPr>
        <w:t xml:space="preserve"> </w:t>
      </w:r>
      <w:hyperlink r:id="rId20" w:history="1">
        <w:r w:rsidRPr="009B51D2">
          <w:rPr>
            <w:rStyle w:val="Hyperlink"/>
            <w:sz w:val="22"/>
            <w:szCs w:val="22"/>
          </w:rPr>
          <w:t>Early to Mid-Career Researchers initiative</w:t>
        </w:r>
      </w:hyperlink>
      <w:r w:rsidRPr="009B51D2">
        <w:rPr>
          <w:sz w:val="22"/>
          <w:szCs w:val="22"/>
        </w:rPr>
        <w:t xml:space="preserve"> will invest $384.2 million over 10 years from 2022-23 in EMCRs. The EMCR initiative will </w:t>
      </w:r>
      <w:r w:rsidR="0097527E">
        <w:rPr>
          <w:sz w:val="22"/>
          <w:szCs w:val="22"/>
        </w:rPr>
        <w:t xml:space="preserve">aim to </w:t>
      </w:r>
      <w:r w:rsidRPr="009B51D2">
        <w:rPr>
          <w:sz w:val="22"/>
          <w:szCs w:val="22"/>
        </w:rPr>
        <w:t>address the need</w:t>
      </w:r>
      <w:r w:rsidR="0097527E">
        <w:rPr>
          <w:sz w:val="22"/>
          <w:szCs w:val="22"/>
        </w:rPr>
        <w:t>s</w:t>
      </w:r>
      <w:r w:rsidRPr="009B51D2">
        <w:rPr>
          <w:sz w:val="22"/>
          <w:szCs w:val="22"/>
        </w:rPr>
        <w:t xml:space="preserve"> of emerging leaders by providing targeted funding that enables EMCRs to lead research projects as named investigators.</w:t>
      </w:r>
    </w:p>
    <w:p w14:paraId="6AE5464D" w14:textId="792EF4BA" w:rsidR="006645F3" w:rsidRPr="00C21DD2" w:rsidRDefault="006645F3" w:rsidP="00EE4B98">
      <w:pPr>
        <w:pStyle w:val="Paragraphtext"/>
        <w:spacing w:before="120"/>
        <w:jc w:val="both"/>
        <w:rPr>
          <w:sz w:val="22"/>
          <w:szCs w:val="22"/>
        </w:rPr>
      </w:pPr>
      <w:r w:rsidRPr="009B51D2">
        <w:rPr>
          <w:sz w:val="22"/>
          <w:szCs w:val="22"/>
        </w:rPr>
        <w:t>The first grant opportunity opened under the EMCR initiative was the 2021 Early to Mid-Career Researchers Grant Opportunity</w:t>
      </w:r>
      <w:r w:rsidR="00547805" w:rsidRPr="00B95348">
        <w:rPr>
          <w:sz w:val="22"/>
          <w:szCs w:val="22"/>
        </w:rPr>
        <w:t xml:space="preserve">, which </w:t>
      </w:r>
      <w:r w:rsidRPr="009B51D2">
        <w:rPr>
          <w:sz w:val="22"/>
          <w:szCs w:val="22"/>
        </w:rPr>
        <w:t>opened on 20 December 2021 and closed on 20 July 2022.</w:t>
      </w:r>
      <w:r w:rsidR="002A1D31">
        <w:rPr>
          <w:sz w:val="22"/>
          <w:szCs w:val="22"/>
        </w:rPr>
        <w:t xml:space="preserve"> </w:t>
      </w:r>
      <w:r w:rsidR="002A1D31" w:rsidRPr="002A1D31">
        <w:rPr>
          <w:sz w:val="22"/>
          <w:szCs w:val="22"/>
        </w:rPr>
        <w:t>A total of 23 grants have been awarded to a combined value of $42.8 million by the 2021 Early to Mid-Career Researchers Grant Opportunity</w:t>
      </w:r>
      <w:r w:rsidR="002A1D31">
        <w:rPr>
          <w:sz w:val="22"/>
          <w:szCs w:val="22"/>
        </w:rPr>
        <w:t xml:space="preserve">. </w:t>
      </w:r>
      <w:r w:rsidRPr="009B51D2">
        <w:rPr>
          <w:sz w:val="22"/>
          <w:szCs w:val="22"/>
        </w:rPr>
        <w:t xml:space="preserve">Full details of the 2021 grant opportunity </w:t>
      </w:r>
      <w:r w:rsidR="002A1D31">
        <w:rPr>
          <w:sz w:val="22"/>
          <w:szCs w:val="22"/>
        </w:rPr>
        <w:t>including the Grant Opportunity Guidelines</w:t>
      </w:r>
      <w:r w:rsidRPr="009B51D2">
        <w:rPr>
          <w:sz w:val="22"/>
          <w:szCs w:val="22"/>
        </w:rPr>
        <w:t xml:space="preserve"> are available </w:t>
      </w:r>
      <w:r w:rsidR="0046554D">
        <w:rPr>
          <w:sz w:val="22"/>
          <w:szCs w:val="22"/>
        </w:rPr>
        <w:t>on</w:t>
      </w:r>
      <w:r w:rsidR="0046554D" w:rsidRPr="009B51D2">
        <w:rPr>
          <w:sz w:val="22"/>
          <w:szCs w:val="22"/>
        </w:rPr>
        <w:t xml:space="preserve"> </w:t>
      </w:r>
      <w:hyperlink r:id="rId21" w:history="1">
        <w:proofErr w:type="spellStart"/>
        <w:r w:rsidRPr="009B51D2">
          <w:rPr>
            <w:rStyle w:val="Hyperlink"/>
            <w:sz w:val="22"/>
            <w:szCs w:val="22"/>
          </w:rPr>
          <w:t>GrantConnect</w:t>
        </w:r>
        <w:proofErr w:type="spellEnd"/>
      </w:hyperlink>
      <w:r w:rsidRPr="009B51D2">
        <w:rPr>
          <w:rStyle w:val="Hyperlink"/>
          <w:color w:val="auto"/>
          <w:sz w:val="22"/>
          <w:szCs w:val="22"/>
          <w:u w:val="none"/>
        </w:rPr>
        <w:t>.</w:t>
      </w:r>
    </w:p>
    <w:p w14:paraId="1956D1AC" w14:textId="77777777" w:rsidR="006645F3" w:rsidRDefault="006645F3" w:rsidP="006F0841">
      <w:pPr>
        <w:pStyle w:val="Paragraphtext"/>
      </w:pPr>
    </w:p>
    <w:p w14:paraId="78C6DA0D" w14:textId="69C25D23" w:rsidR="006645F3" w:rsidRPr="00B95348" w:rsidRDefault="006645F3" w:rsidP="00B95348">
      <w:pPr>
        <w:pStyle w:val="Paragraphtext"/>
        <w:rPr>
          <w:b/>
          <w:bCs/>
          <w:sz w:val="22"/>
          <w:szCs w:val="22"/>
        </w:rPr>
      </w:pPr>
      <w:r w:rsidRPr="00B95348">
        <w:rPr>
          <w:b/>
          <w:bCs/>
          <w:sz w:val="22"/>
          <w:szCs w:val="22"/>
        </w:rPr>
        <w:t xml:space="preserve">The objective of </w:t>
      </w:r>
      <w:bookmarkStart w:id="3" w:name="_Hlk129547182"/>
      <w:r w:rsidR="00D349CD">
        <w:rPr>
          <w:b/>
          <w:bCs/>
          <w:sz w:val="22"/>
          <w:szCs w:val="22"/>
        </w:rPr>
        <w:t>the</w:t>
      </w:r>
      <w:r w:rsidRPr="00B95348">
        <w:rPr>
          <w:b/>
          <w:bCs/>
          <w:sz w:val="22"/>
          <w:szCs w:val="22"/>
        </w:rPr>
        <w:t xml:space="preserve"> 2021 </w:t>
      </w:r>
      <w:r w:rsidR="0092272D" w:rsidRPr="00B95348">
        <w:rPr>
          <w:b/>
          <w:bCs/>
          <w:sz w:val="22"/>
          <w:szCs w:val="22"/>
        </w:rPr>
        <w:t xml:space="preserve">Early to Mid-Career Researchers </w:t>
      </w:r>
      <w:r w:rsidRPr="00B95348">
        <w:rPr>
          <w:b/>
          <w:bCs/>
          <w:sz w:val="22"/>
          <w:szCs w:val="22"/>
        </w:rPr>
        <w:t>Grant Opportunity</w:t>
      </w:r>
      <w:bookmarkEnd w:id="3"/>
    </w:p>
    <w:p w14:paraId="7FA81C14" w14:textId="77777777" w:rsidR="006645F3" w:rsidRPr="00C21DD2" w:rsidRDefault="006645F3" w:rsidP="005A2D97">
      <w:pPr>
        <w:pStyle w:val="Paragraphtext"/>
        <w:spacing w:before="120"/>
        <w:jc w:val="both"/>
        <w:rPr>
          <w:sz w:val="22"/>
          <w:szCs w:val="22"/>
        </w:rPr>
      </w:pPr>
      <w:bookmarkStart w:id="4" w:name="_Hlk129547022"/>
      <w:r w:rsidRPr="00C21DD2">
        <w:rPr>
          <w:sz w:val="22"/>
          <w:szCs w:val="22"/>
        </w:rPr>
        <w:t xml:space="preserve">Consistent with the </w:t>
      </w:r>
      <w:r w:rsidRPr="00C21DD2">
        <w:rPr>
          <w:i/>
          <w:iCs/>
          <w:sz w:val="22"/>
          <w:szCs w:val="22"/>
        </w:rPr>
        <w:t>Medical Research Future Fund Act 2015</w:t>
      </w:r>
      <w:r w:rsidRPr="00C21DD2">
        <w:rPr>
          <w:sz w:val="22"/>
          <w:szCs w:val="22"/>
        </w:rPr>
        <w:t>, the objective of this grant opportunity is to provide grants of financial assistance to support Australian medical research and medical innovation projects that:</w:t>
      </w:r>
    </w:p>
    <w:p w14:paraId="6F4A391A" w14:textId="77777777" w:rsidR="006645F3" w:rsidRPr="00C21DD2" w:rsidRDefault="006645F3" w:rsidP="00B63C0E">
      <w:pPr>
        <w:pStyle w:val="Paragraphtext"/>
        <w:numPr>
          <w:ilvl w:val="0"/>
          <w:numId w:val="12"/>
        </w:numPr>
        <w:spacing w:before="120"/>
        <w:jc w:val="both"/>
        <w:rPr>
          <w:sz w:val="22"/>
          <w:szCs w:val="22"/>
        </w:rPr>
      </w:pPr>
      <w:r w:rsidRPr="00C21DD2">
        <w:rPr>
          <w:sz w:val="22"/>
          <w:szCs w:val="22"/>
        </w:rPr>
        <w:t>Stream 1 (Incubator): conduct early stage, small scale research, led by early-career researchers, that seeks to assess the potential and feasibility of novel strategies to address a critical or intractable health issue.</w:t>
      </w:r>
    </w:p>
    <w:p w14:paraId="0D7D94CE" w14:textId="77777777" w:rsidR="006645F3" w:rsidRPr="00C21DD2" w:rsidRDefault="006645F3" w:rsidP="00B63C0E">
      <w:pPr>
        <w:pStyle w:val="Paragraphtext"/>
        <w:numPr>
          <w:ilvl w:val="0"/>
          <w:numId w:val="12"/>
        </w:numPr>
        <w:spacing w:before="120"/>
        <w:jc w:val="both"/>
        <w:rPr>
          <w:sz w:val="22"/>
          <w:szCs w:val="22"/>
        </w:rPr>
      </w:pPr>
      <w:r w:rsidRPr="00C21DD2">
        <w:rPr>
          <w:sz w:val="22"/>
          <w:szCs w:val="22"/>
        </w:rPr>
        <w:t>Stream 2 (Accelerator): establish a large-scale interdisciplinary research program, led by mid-career researchers, that drives implementation of substantial improvements to health care and/or health system effectiveness.</w:t>
      </w:r>
    </w:p>
    <w:p w14:paraId="25C26E24" w14:textId="77777777" w:rsidR="006645F3" w:rsidRPr="00C21DD2" w:rsidRDefault="006645F3" w:rsidP="00B63C0E">
      <w:pPr>
        <w:pStyle w:val="Paragraphtext"/>
        <w:numPr>
          <w:ilvl w:val="0"/>
          <w:numId w:val="12"/>
        </w:numPr>
        <w:spacing w:before="120"/>
        <w:jc w:val="both"/>
        <w:rPr>
          <w:sz w:val="22"/>
          <w:szCs w:val="22"/>
        </w:rPr>
      </w:pPr>
      <w:r w:rsidRPr="00C21DD2">
        <w:rPr>
          <w:sz w:val="22"/>
          <w:szCs w:val="22"/>
        </w:rPr>
        <w:t xml:space="preserve">Stream 3 (Targeted Call for Research): utilise co-funding between the MRFF, a sponsoring academic organisation and partner organisation(s) to accelerate translation of research led by early to mid-career researchers. </w:t>
      </w:r>
    </w:p>
    <w:bookmarkEnd w:id="4"/>
    <w:p w14:paraId="340413E7" w14:textId="3E40C7A8" w:rsidR="002118A8" w:rsidRPr="00DB692D" w:rsidRDefault="002118A8" w:rsidP="005A2D97">
      <w:pPr>
        <w:spacing w:before="120"/>
        <w:jc w:val="both"/>
        <w:rPr>
          <w:sz w:val="22"/>
          <w:szCs w:val="22"/>
        </w:rPr>
      </w:pPr>
      <w:r w:rsidRPr="006F0841">
        <w:rPr>
          <w:sz w:val="22"/>
          <w:szCs w:val="22"/>
        </w:rPr>
        <w:t xml:space="preserve">Each Stream had specific eligibility requirements for the career stage of the CI team that were specified in the </w:t>
      </w:r>
      <w:hyperlink r:id="rId22" w:history="1">
        <w:r w:rsidRPr="002118A8">
          <w:rPr>
            <w:rStyle w:val="Hyperlink"/>
            <w:sz w:val="22"/>
            <w:szCs w:val="22"/>
          </w:rPr>
          <w:t>Grant Opportunity Guidelines</w:t>
        </w:r>
      </w:hyperlink>
      <w:r w:rsidR="0097527E">
        <w:rPr>
          <w:rStyle w:val="Hyperlink"/>
          <w:sz w:val="22"/>
          <w:szCs w:val="22"/>
        </w:rPr>
        <w:t xml:space="preserve"> </w:t>
      </w:r>
      <w:r w:rsidRPr="006F0841">
        <w:rPr>
          <w:sz w:val="22"/>
          <w:szCs w:val="22"/>
        </w:rPr>
        <w:t xml:space="preserve">. Additionally, </w:t>
      </w:r>
      <w:r w:rsidR="002B231B">
        <w:rPr>
          <w:sz w:val="22"/>
          <w:szCs w:val="22"/>
        </w:rPr>
        <w:t>e</w:t>
      </w:r>
      <w:r w:rsidRPr="00DB692D">
        <w:rPr>
          <w:sz w:val="22"/>
          <w:szCs w:val="22"/>
        </w:rPr>
        <w:t>ach stream used a different MRFF grant model.</w:t>
      </w:r>
    </w:p>
    <w:p w14:paraId="27D34539" w14:textId="77777777" w:rsidR="006645F3" w:rsidRPr="00766DC6" w:rsidRDefault="006645F3" w:rsidP="006F0841">
      <w:pPr>
        <w:pStyle w:val="Paragraphtext"/>
        <w:rPr>
          <w:sz w:val="22"/>
          <w:szCs w:val="22"/>
        </w:rPr>
      </w:pPr>
    </w:p>
    <w:p w14:paraId="62D20BBD" w14:textId="77777777" w:rsidR="00871DF3" w:rsidRPr="006F0841" w:rsidRDefault="00871DF3" w:rsidP="006F0841">
      <w:pPr>
        <w:pStyle w:val="Paragraphtext"/>
        <w:rPr>
          <w:sz w:val="22"/>
          <w:szCs w:val="22"/>
        </w:rPr>
      </w:pPr>
      <w:r w:rsidRPr="006F0841">
        <w:rPr>
          <w:b/>
          <w:bCs/>
          <w:sz w:val="22"/>
          <w:szCs w:val="22"/>
        </w:rPr>
        <w:t xml:space="preserve">Eligibility for the 2021 EMCR Grant Opportunity  </w:t>
      </w:r>
    </w:p>
    <w:p w14:paraId="3C5617A9" w14:textId="77777777" w:rsidR="00431BCE" w:rsidRPr="00B95348" w:rsidRDefault="00431BCE" w:rsidP="005A2D97">
      <w:pPr>
        <w:pStyle w:val="Paragraphtext"/>
        <w:spacing w:before="120"/>
        <w:jc w:val="both"/>
        <w:rPr>
          <w:sz w:val="22"/>
          <w:szCs w:val="22"/>
        </w:rPr>
      </w:pPr>
      <w:proofErr w:type="gramStart"/>
      <w:r w:rsidRPr="00B95348">
        <w:rPr>
          <w:sz w:val="22"/>
          <w:szCs w:val="22"/>
        </w:rPr>
        <w:t>For the purpose of</w:t>
      </w:r>
      <w:proofErr w:type="gramEnd"/>
      <w:r w:rsidRPr="00B95348">
        <w:rPr>
          <w:sz w:val="22"/>
          <w:szCs w:val="22"/>
        </w:rPr>
        <w:t xml:space="preserve"> the </w:t>
      </w:r>
      <w:r w:rsidRPr="00D349CD">
        <w:rPr>
          <w:sz w:val="22"/>
          <w:szCs w:val="22"/>
        </w:rPr>
        <w:t>2021 Early to Mid-Career Researchers Grant Opportunity</w:t>
      </w:r>
      <w:r>
        <w:rPr>
          <w:sz w:val="22"/>
          <w:szCs w:val="22"/>
        </w:rPr>
        <w:t>:</w:t>
      </w:r>
      <w:r w:rsidRPr="00D349CD" w:rsidDel="0092272D">
        <w:rPr>
          <w:sz w:val="22"/>
          <w:szCs w:val="22"/>
        </w:rPr>
        <w:t xml:space="preserve"> </w:t>
      </w:r>
    </w:p>
    <w:p w14:paraId="4DD679D9" w14:textId="72242FD2" w:rsidR="00431BCE" w:rsidRPr="00FD4087" w:rsidRDefault="00431BCE" w:rsidP="00431BCE">
      <w:pPr>
        <w:pStyle w:val="Paragraphtext"/>
        <w:numPr>
          <w:ilvl w:val="0"/>
          <w:numId w:val="7"/>
        </w:numPr>
        <w:spacing w:before="120"/>
        <w:jc w:val="both"/>
        <w:rPr>
          <w:sz w:val="22"/>
          <w:szCs w:val="22"/>
        </w:rPr>
      </w:pPr>
      <w:r w:rsidRPr="00FD4087">
        <w:rPr>
          <w:sz w:val="22"/>
          <w:szCs w:val="22"/>
        </w:rPr>
        <w:t xml:space="preserve">an early-career researcher is defined as an individual who is within five years post PhD (i.e., within five years of their PhD </w:t>
      </w:r>
      <w:r w:rsidR="006B4D73">
        <w:rPr>
          <w:sz w:val="22"/>
          <w:szCs w:val="22"/>
        </w:rPr>
        <w:t>conferral</w:t>
      </w:r>
      <w:r w:rsidR="006B4D73" w:rsidRPr="00FD4087">
        <w:rPr>
          <w:sz w:val="22"/>
          <w:szCs w:val="22"/>
        </w:rPr>
        <w:t xml:space="preserve"> </w:t>
      </w:r>
      <w:r w:rsidRPr="00FD4087">
        <w:rPr>
          <w:sz w:val="22"/>
          <w:szCs w:val="22"/>
        </w:rPr>
        <w:t>date), excluding career disruptions.</w:t>
      </w:r>
    </w:p>
    <w:p w14:paraId="380D504D" w14:textId="56769C7F" w:rsidR="00431BCE" w:rsidRPr="00FD4087" w:rsidRDefault="00431BCE" w:rsidP="00431BCE">
      <w:pPr>
        <w:pStyle w:val="Paragraphtext"/>
        <w:numPr>
          <w:ilvl w:val="0"/>
          <w:numId w:val="7"/>
        </w:numPr>
        <w:spacing w:before="120"/>
        <w:jc w:val="both"/>
        <w:rPr>
          <w:sz w:val="22"/>
          <w:szCs w:val="22"/>
        </w:rPr>
      </w:pPr>
      <w:r w:rsidRPr="00FD4087">
        <w:rPr>
          <w:sz w:val="22"/>
          <w:szCs w:val="22"/>
        </w:rPr>
        <w:t xml:space="preserve">a mid-career researcher is defined as an individual who is between </w:t>
      </w:r>
      <w:proofErr w:type="gramStart"/>
      <w:r w:rsidRPr="00FD4087">
        <w:rPr>
          <w:sz w:val="22"/>
          <w:szCs w:val="22"/>
        </w:rPr>
        <w:t>five and ten years</w:t>
      </w:r>
      <w:proofErr w:type="gramEnd"/>
      <w:r w:rsidRPr="00FD4087">
        <w:rPr>
          <w:sz w:val="22"/>
          <w:szCs w:val="22"/>
        </w:rPr>
        <w:t xml:space="preserve"> post PhD (i.e., between five and ten years of their PhD </w:t>
      </w:r>
      <w:r w:rsidR="006B4D73">
        <w:rPr>
          <w:sz w:val="22"/>
          <w:szCs w:val="22"/>
        </w:rPr>
        <w:t>conferral</w:t>
      </w:r>
      <w:r w:rsidR="006B4D73" w:rsidRPr="00FD4087" w:rsidDel="006B4D73">
        <w:rPr>
          <w:sz w:val="22"/>
          <w:szCs w:val="22"/>
        </w:rPr>
        <w:t xml:space="preserve"> </w:t>
      </w:r>
      <w:r w:rsidRPr="00FD4087">
        <w:rPr>
          <w:sz w:val="22"/>
          <w:szCs w:val="22"/>
        </w:rPr>
        <w:t>date), excluding career disruptions</w:t>
      </w:r>
    </w:p>
    <w:p w14:paraId="224E60BF" w14:textId="1627EB7C" w:rsidR="00610316" w:rsidRDefault="00431BCE" w:rsidP="00871DF3">
      <w:pPr>
        <w:spacing w:before="120"/>
        <w:jc w:val="both"/>
        <w:rPr>
          <w:sz w:val="22"/>
          <w:szCs w:val="22"/>
        </w:rPr>
      </w:pPr>
      <w:r w:rsidRPr="00B95348">
        <w:rPr>
          <w:sz w:val="22"/>
          <w:szCs w:val="22"/>
        </w:rPr>
        <w:t xml:space="preserve">The </w:t>
      </w:r>
      <w:r w:rsidRPr="00D349CD">
        <w:rPr>
          <w:sz w:val="22"/>
          <w:szCs w:val="22"/>
        </w:rPr>
        <w:t>2021 Early to Mid-Career Researchers Grant Opportunity</w:t>
      </w:r>
      <w:r w:rsidRPr="00E45F45" w:rsidDel="00E45F45">
        <w:rPr>
          <w:rFonts w:cs="Arial"/>
          <w:color w:val="000000"/>
          <w:sz w:val="22"/>
          <w:szCs w:val="22"/>
          <w:lang w:eastAsia="en-AU"/>
        </w:rPr>
        <w:t xml:space="preserve"> </w:t>
      </w:r>
      <w:r w:rsidRPr="00B95348">
        <w:rPr>
          <w:sz w:val="22"/>
          <w:szCs w:val="22"/>
        </w:rPr>
        <w:t>was designed to support teams of EMCRs working on projects together</w:t>
      </w:r>
      <w:r w:rsidR="00610316">
        <w:rPr>
          <w:sz w:val="22"/>
          <w:szCs w:val="22"/>
        </w:rPr>
        <w:t xml:space="preserve"> and</w:t>
      </w:r>
      <w:r w:rsidRPr="00B95348">
        <w:rPr>
          <w:sz w:val="22"/>
          <w:szCs w:val="22"/>
        </w:rPr>
        <w:t xml:space="preserve"> </w:t>
      </w:r>
      <w:r w:rsidR="0097527E">
        <w:rPr>
          <w:sz w:val="22"/>
          <w:szCs w:val="22"/>
        </w:rPr>
        <w:t>to</w:t>
      </w:r>
      <w:r w:rsidRPr="00B95348">
        <w:rPr>
          <w:sz w:val="22"/>
          <w:szCs w:val="22"/>
        </w:rPr>
        <w:t xml:space="preserve"> encourage EMCRs to collaborate and embed a wider range of perspectives in health and medical research. </w:t>
      </w:r>
    </w:p>
    <w:p w14:paraId="56EA58E0" w14:textId="079803A2" w:rsidR="00431BCE" w:rsidRDefault="00431BCE" w:rsidP="005A2D97">
      <w:pPr>
        <w:spacing w:before="120"/>
        <w:jc w:val="both"/>
        <w:rPr>
          <w:sz w:val="22"/>
          <w:szCs w:val="22"/>
        </w:rPr>
      </w:pPr>
      <w:r w:rsidRPr="00B95348">
        <w:rPr>
          <w:sz w:val="22"/>
          <w:szCs w:val="22"/>
        </w:rPr>
        <w:t xml:space="preserve">Stream 1 </w:t>
      </w:r>
      <w:r w:rsidR="0097527E">
        <w:rPr>
          <w:sz w:val="22"/>
          <w:szCs w:val="22"/>
        </w:rPr>
        <w:t xml:space="preserve">of this Grant Opportunity </w:t>
      </w:r>
      <w:r w:rsidR="0097527E" w:rsidRPr="00B95348">
        <w:rPr>
          <w:sz w:val="22"/>
          <w:szCs w:val="22"/>
        </w:rPr>
        <w:t>support</w:t>
      </w:r>
      <w:r w:rsidR="0097527E">
        <w:rPr>
          <w:sz w:val="22"/>
          <w:szCs w:val="22"/>
        </w:rPr>
        <w:t>ed</w:t>
      </w:r>
      <w:r w:rsidRPr="00B95348">
        <w:rPr>
          <w:sz w:val="22"/>
          <w:szCs w:val="22"/>
        </w:rPr>
        <w:t xml:space="preserve"> ECRs by having the CIA who is an ECR working along a team of CIs comprised of at least 80% ECRs. Stream 2 </w:t>
      </w:r>
      <w:r w:rsidR="0097527E" w:rsidRPr="00B95348">
        <w:rPr>
          <w:sz w:val="22"/>
          <w:szCs w:val="22"/>
        </w:rPr>
        <w:t>support</w:t>
      </w:r>
      <w:r w:rsidR="0097527E">
        <w:rPr>
          <w:sz w:val="22"/>
          <w:szCs w:val="22"/>
        </w:rPr>
        <w:t>ed</w:t>
      </w:r>
      <w:r w:rsidR="0097527E" w:rsidRPr="00B95348">
        <w:rPr>
          <w:sz w:val="22"/>
          <w:szCs w:val="22"/>
        </w:rPr>
        <w:t xml:space="preserve"> </w:t>
      </w:r>
      <w:r w:rsidRPr="00B95348">
        <w:rPr>
          <w:sz w:val="22"/>
          <w:szCs w:val="22"/>
        </w:rPr>
        <w:t xml:space="preserve">teams of MCRs to establish large-scale interdisciplinary research programs </w:t>
      </w:r>
      <w:r w:rsidRPr="00C21DD2">
        <w:rPr>
          <w:sz w:val="22"/>
          <w:szCs w:val="22"/>
        </w:rPr>
        <w:t>by having the CIA</w:t>
      </w:r>
      <w:r w:rsidR="002118A8">
        <w:rPr>
          <w:sz w:val="22"/>
          <w:szCs w:val="22"/>
        </w:rPr>
        <w:t xml:space="preserve"> </w:t>
      </w:r>
      <w:r w:rsidR="002118A8" w:rsidRPr="00C21DD2">
        <w:rPr>
          <w:sz w:val="22"/>
          <w:szCs w:val="22"/>
        </w:rPr>
        <w:t xml:space="preserve">who is an </w:t>
      </w:r>
      <w:r w:rsidR="002118A8">
        <w:rPr>
          <w:sz w:val="22"/>
          <w:szCs w:val="22"/>
        </w:rPr>
        <w:t>M</w:t>
      </w:r>
      <w:r w:rsidR="002118A8" w:rsidRPr="00C21DD2">
        <w:rPr>
          <w:sz w:val="22"/>
          <w:szCs w:val="22"/>
        </w:rPr>
        <w:t xml:space="preserve">CR working along a team of CIs comprised of at least 80% </w:t>
      </w:r>
      <w:r w:rsidR="002118A8">
        <w:rPr>
          <w:sz w:val="22"/>
          <w:szCs w:val="22"/>
        </w:rPr>
        <w:t>M</w:t>
      </w:r>
      <w:r w:rsidR="002118A8" w:rsidRPr="00C21DD2">
        <w:rPr>
          <w:sz w:val="22"/>
          <w:szCs w:val="22"/>
        </w:rPr>
        <w:t>CRs</w:t>
      </w:r>
      <w:r w:rsidR="002118A8" w:rsidRPr="00AC1187">
        <w:rPr>
          <w:sz w:val="22"/>
          <w:szCs w:val="22"/>
        </w:rPr>
        <w:t xml:space="preserve"> </w:t>
      </w:r>
      <w:r w:rsidR="002118A8" w:rsidRPr="00B95348">
        <w:rPr>
          <w:sz w:val="22"/>
          <w:szCs w:val="22"/>
        </w:rPr>
        <w:t xml:space="preserve">and </w:t>
      </w:r>
      <w:r w:rsidR="0097527E" w:rsidRPr="00B95348">
        <w:rPr>
          <w:sz w:val="22"/>
          <w:szCs w:val="22"/>
        </w:rPr>
        <w:t>provide</w:t>
      </w:r>
      <w:r w:rsidR="0097527E">
        <w:rPr>
          <w:sz w:val="22"/>
          <w:szCs w:val="22"/>
        </w:rPr>
        <w:t>d</w:t>
      </w:r>
      <w:r w:rsidR="0097527E" w:rsidRPr="00B95348">
        <w:rPr>
          <w:sz w:val="22"/>
          <w:szCs w:val="22"/>
        </w:rPr>
        <w:t xml:space="preserve"> </w:t>
      </w:r>
      <w:r w:rsidR="002118A8" w:rsidRPr="00B95348">
        <w:rPr>
          <w:sz w:val="22"/>
          <w:szCs w:val="22"/>
        </w:rPr>
        <w:t xml:space="preserve">funding for up to </w:t>
      </w:r>
      <w:r w:rsidR="00766DC6">
        <w:rPr>
          <w:sz w:val="22"/>
          <w:szCs w:val="22"/>
        </w:rPr>
        <w:t>5</w:t>
      </w:r>
      <w:r w:rsidR="002118A8" w:rsidRPr="00B95348">
        <w:rPr>
          <w:sz w:val="22"/>
          <w:szCs w:val="22"/>
        </w:rPr>
        <w:t xml:space="preserve"> years</w:t>
      </w:r>
      <w:r w:rsidR="002118A8">
        <w:rPr>
          <w:sz w:val="22"/>
          <w:szCs w:val="22"/>
        </w:rPr>
        <w:t xml:space="preserve">. </w:t>
      </w:r>
      <w:r w:rsidR="002118A8" w:rsidRPr="002118A8">
        <w:rPr>
          <w:sz w:val="22"/>
          <w:szCs w:val="22"/>
        </w:rPr>
        <w:t>The CIA on Stream 3 applications had to be an EMCR, but more experienced researchers could be part of the CI team</w:t>
      </w:r>
      <w:r w:rsidR="002118A8">
        <w:rPr>
          <w:sz w:val="22"/>
          <w:szCs w:val="22"/>
        </w:rPr>
        <w:t>.</w:t>
      </w:r>
    </w:p>
    <w:p w14:paraId="755FAA59" w14:textId="3BE0ADA6" w:rsidR="00294AEA" w:rsidRPr="00395123" w:rsidRDefault="00294AEA" w:rsidP="00294AEA">
      <w:pPr>
        <w:pStyle w:val="Paragraphtext"/>
        <w:numPr>
          <w:ilvl w:val="0"/>
          <w:numId w:val="12"/>
        </w:numPr>
        <w:spacing w:before="120"/>
        <w:jc w:val="both"/>
        <w:rPr>
          <w:sz w:val="22"/>
          <w:szCs w:val="22"/>
        </w:rPr>
      </w:pPr>
      <w:r w:rsidRPr="00395123">
        <w:rPr>
          <w:sz w:val="22"/>
          <w:szCs w:val="22"/>
        </w:rPr>
        <w:lastRenderedPageBreak/>
        <w:t xml:space="preserve">Stream 1 used the </w:t>
      </w:r>
      <w:hyperlink r:id="rId23" w:history="1">
        <w:r w:rsidRPr="00395123">
          <w:rPr>
            <w:rStyle w:val="Hyperlink"/>
            <w:sz w:val="22"/>
            <w:szCs w:val="22"/>
          </w:rPr>
          <w:t>Incubator model</w:t>
        </w:r>
      </w:hyperlink>
      <w:r w:rsidRPr="00395123">
        <w:rPr>
          <w:sz w:val="22"/>
          <w:szCs w:val="22"/>
        </w:rPr>
        <w:t xml:space="preserve"> and allowed grants between $200,000 and $1.0 million with a maximum duration of two years.</w:t>
      </w:r>
      <w:r w:rsidR="00792D05" w:rsidRPr="00792D05">
        <w:rPr>
          <w:sz w:val="22"/>
          <w:szCs w:val="22"/>
        </w:rPr>
        <w:t xml:space="preserve"> </w:t>
      </w:r>
      <w:r w:rsidR="0097527E">
        <w:rPr>
          <w:sz w:val="22"/>
          <w:szCs w:val="22"/>
        </w:rPr>
        <w:t xml:space="preserve">Up to </w:t>
      </w:r>
      <w:r w:rsidR="00792D05">
        <w:rPr>
          <w:sz w:val="22"/>
          <w:szCs w:val="22"/>
        </w:rPr>
        <w:t>$7</w:t>
      </w:r>
      <w:r w:rsidR="00835904">
        <w:rPr>
          <w:sz w:val="22"/>
          <w:szCs w:val="22"/>
        </w:rPr>
        <w:t>.0</w:t>
      </w:r>
      <w:r w:rsidR="00792D05">
        <w:rPr>
          <w:sz w:val="22"/>
          <w:szCs w:val="22"/>
        </w:rPr>
        <w:t xml:space="preserve"> million was allocated to Stream 1.</w:t>
      </w:r>
    </w:p>
    <w:p w14:paraId="72171562" w14:textId="33190014" w:rsidR="00294AEA" w:rsidRPr="00395123" w:rsidRDefault="00294AEA" w:rsidP="00294AEA">
      <w:pPr>
        <w:pStyle w:val="Paragraphtext"/>
        <w:numPr>
          <w:ilvl w:val="0"/>
          <w:numId w:val="12"/>
        </w:numPr>
        <w:spacing w:before="120"/>
        <w:jc w:val="both"/>
        <w:rPr>
          <w:sz w:val="22"/>
          <w:szCs w:val="22"/>
        </w:rPr>
      </w:pPr>
      <w:r w:rsidRPr="00395123">
        <w:rPr>
          <w:sz w:val="22"/>
          <w:szCs w:val="22"/>
        </w:rPr>
        <w:t xml:space="preserve">Stream 2 used the </w:t>
      </w:r>
      <w:hyperlink r:id="rId24" w:history="1">
        <w:r w:rsidRPr="00395123">
          <w:rPr>
            <w:rStyle w:val="Hyperlink"/>
            <w:sz w:val="22"/>
            <w:szCs w:val="22"/>
          </w:rPr>
          <w:t>Accelerator model</w:t>
        </w:r>
      </w:hyperlink>
      <w:r w:rsidRPr="00395123">
        <w:rPr>
          <w:rStyle w:val="Hyperlink"/>
          <w:sz w:val="22"/>
          <w:szCs w:val="22"/>
        </w:rPr>
        <w:t xml:space="preserve"> </w:t>
      </w:r>
      <w:r w:rsidRPr="00395123">
        <w:rPr>
          <w:sz w:val="22"/>
          <w:szCs w:val="22"/>
        </w:rPr>
        <w:t xml:space="preserve">and allowed grants between $3.0 million and $5.0 million with a maximum duration of 5 years. </w:t>
      </w:r>
      <w:r w:rsidR="0097527E">
        <w:rPr>
          <w:sz w:val="22"/>
          <w:szCs w:val="22"/>
        </w:rPr>
        <w:t xml:space="preserve">Up to </w:t>
      </w:r>
      <w:r w:rsidR="00792D05">
        <w:rPr>
          <w:sz w:val="22"/>
          <w:szCs w:val="22"/>
        </w:rPr>
        <w:t>$25.8 million was allocated to Stream 2.</w:t>
      </w:r>
    </w:p>
    <w:p w14:paraId="7A9C56F2" w14:textId="5E3F3741" w:rsidR="00294AEA" w:rsidRDefault="00294AEA" w:rsidP="00294AEA">
      <w:pPr>
        <w:pStyle w:val="Paragraphtext"/>
        <w:numPr>
          <w:ilvl w:val="0"/>
          <w:numId w:val="12"/>
        </w:numPr>
        <w:spacing w:before="120"/>
        <w:jc w:val="both"/>
        <w:rPr>
          <w:sz w:val="22"/>
          <w:szCs w:val="22"/>
        </w:rPr>
      </w:pPr>
      <w:r w:rsidRPr="00395123">
        <w:rPr>
          <w:sz w:val="22"/>
          <w:szCs w:val="22"/>
        </w:rPr>
        <w:t>Stream 3 used the Targeted Call for Research model and required co-funding. The MRFF will contribute 50% (up to $2.0 million) of overall project costs with a maximum duration of four years. Additional details about the co-funding requirements are available in the Grant Opportunity Guidelines. In the analysis within this report only the contribution from the MRFF is listed.</w:t>
      </w:r>
      <w:r w:rsidR="006A2EFC">
        <w:rPr>
          <w:sz w:val="22"/>
          <w:szCs w:val="22"/>
        </w:rPr>
        <w:t xml:space="preserve"> </w:t>
      </w:r>
      <w:r w:rsidR="0097527E">
        <w:rPr>
          <w:sz w:val="22"/>
          <w:szCs w:val="22"/>
        </w:rPr>
        <w:t xml:space="preserve">Up to </w:t>
      </w:r>
      <w:r w:rsidR="00792D05">
        <w:rPr>
          <w:sz w:val="22"/>
          <w:szCs w:val="22"/>
        </w:rPr>
        <w:t>$10 million was allocated to Stream 3.</w:t>
      </w:r>
    </w:p>
    <w:p w14:paraId="7A671DD6" w14:textId="3421DD6F" w:rsidR="00792D05" w:rsidRPr="00395123" w:rsidRDefault="00792D05" w:rsidP="005A2D97">
      <w:pPr>
        <w:pStyle w:val="Paragraphtext"/>
        <w:spacing w:before="120"/>
        <w:jc w:val="both"/>
        <w:rPr>
          <w:sz w:val="22"/>
          <w:szCs w:val="22"/>
        </w:rPr>
      </w:pPr>
      <w:r w:rsidRPr="007058B2">
        <w:rPr>
          <w:sz w:val="22"/>
          <w:szCs w:val="22"/>
        </w:rPr>
        <w:t xml:space="preserve">For each Stream, applications </w:t>
      </w:r>
      <w:r>
        <w:rPr>
          <w:sz w:val="22"/>
          <w:szCs w:val="22"/>
        </w:rPr>
        <w:t xml:space="preserve">were </w:t>
      </w:r>
      <w:r w:rsidRPr="007058B2">
        <w:rPr>
          <w:sz w:val="22"/>
          <w:szCs w:val="22"/>
        </w:rPr>
        <w:t>funded based on rank until the total funding available for the Stream ha</w:t>
      </w:r>
      <w:r>
        <w:rPr>
          <w:sz w:val="22"/>
          <w:szCs w:val="22"/>
        </w:rPr>
        <w:t>d</w:t>
      </w:r>
      <w:r w:rsidRPr="007058B2">
        <w:rPr>
          <w:sz w:val="22"/>
          <w:szCs w:val="22"/>
        </w:rPr>
        <w:t xml:space="preserve"> been reached.</w:t>
      </w:r>
      <w:r w:rsidR="00C035C1">
        <w:rPr>
          <w:sz w:val="22"/>
          <w:szCs w:val="22"/>
        </w:rPr>
        <w:t xml:space="preserve"> </w:t>
      </w:r>
      <w:r w:rsidR="00C035C1" w:rsidRPr="00C035C1">
        <w:rPr>
          <w:sz w:val="22"/>
          <w:szCs w:val="22"/>
        </w:rPr>
        <w:t>The remaining applications across all Streams were then pooled into a combined ranked merit list, with funding allocated until the total funding available for this grant opportunity was reached</w:t>
      </w:r>
      <w:r w:rsidR="00C035C1">
        <w:rPr>
          <w:sz w:val="22"/>
          <w:szCs w:val="22"/>
        </w:rPr>
        <w:t>.</w:t>
      </w:r>
    </w:p>
    <w:p w14:paraId="23510BE7" w14:textId="77777777" w:rsidR="006E01B7" w:rsidRDefault="006E01B7" w:rsidP="00B95348">
      <w:pPr>
        <w:pStyle w:val="Paragraphtext"/>
        <w:rPr>
          <w:b/>
          <w:bCs/>
          <w:sz w:val="22"/>
          <w:szCs w:val="22"/>
        </w:rPr>
      </w:pPr>
    </w:p>
    <w:p w14:paraId="180BA567" w14:textId="14BFF61A" w:rsidR="006645F3" w:rsidRPr="00B95348" w:rsidRDefault="006645F3" w:rsidP="005A2D97">
      <w:pPr>
        <w:pStyle w:val="Paragraphtext"/>
        <w:rPr>
          <w:b/>
          <w:bCs/>
          <w:sz w:val="22"/>
          <w:szCs w:val="22"/>
        </w:rPr>
      </w:pPr>
      <w:r w:rsidRPr="00B95348">
        <w:rPr>
          <w:b/>
          <w:bCs/>
          <w:sz w:val="22"/>
          <w:szCs w:val="22"/>
        </w:rPr>
        <w:t xml:space="preserve">The intended outcomes of the 2021 </w:t>
      </w:r>
      <w:r w:rsidR="0092272D" w:rsidRPr="00B95348">
        <w:rPr>
          <w:b/>
          <w:bCs/>
          <w:sz w:val="22"/>
          <w:szCs w:val="22"/>
        </w:rPr>
        <w:t>Early to Mid-Career Researchers</w:t>
      </w:r>
      <w:r w:rsidRPr="00B95348">
        <w:rPr>
          <w:b/>
          <w:bCs/>
          <w:sz w:val="22"/>
          <w:szCs w:val="22"/>
        </w:rPr>
        <w:t xml:space="preserve"> Grant Opportunity </w:t>
      </w:r>
    </w:p>
    <w:p w14:paraId="11D524E8" w14:textId="77777777" w:rsidR="006645F3" w:rsidRPr="00B95348" w:rsidRDefault="006645F3" w:rsidP="005A2D97">
      <w:pPr>
        <w:spacing w:before="120"/>
        <w:rPr>
          <w:sz w:val="22"/>
          <w:szCs w:val="22"/>
        </w:rPr>
      </w:pPr>
      <w:r w:rsidRPr="00B95348">
        <w:rPr>
          <w:sz w:val="22"/>
          <w:szCs w:val="22"/>
        </w:rPr>
        <w:t xml:space="preserve">The intended outcomes of the research funded by this grant opportunity is to improve the health and wellbeing of Australians by: </w:t>
      </w:r>
    </w:p>
    <w:p w14:paraId="38F5A383" w14:textId="77777777" w:rsidR="006645F3" w:rsidRPr="00B95348" w:rsidRDefault="006645F3" w:rsidP="00B63C0E">
      <w:pPr>
        <w:pStyle w:val="Paragraphtext"/>
        <w:numPr>
          <w:ilvl w:val="0"/>
          <w:numId w:val="12"/>
        </w:numPr>
        <w:spacing w:before="120"/>
        <w:jc w:val="both"/>
        <w:rPr>
          <w:sz w:val="22"/>
          <w:szCs w:val="22"/>
        </w:rPr>
      </w:pPr>
      <w:r w:rsidRPr="00B95348">
        <w:rPr>
          <w:sz w:val="22"/>
          <w:szCs w:val="22"/>
        </w:rPr>
        <w:t xml:space="preserve">Stream 1 - supporting early-career researchers to develop innovative solutions for addressing significant health challenges. </w:t>
      </w:r>
    </w:p>
    <w:p w14:paraId="428E9A27" w14:textId="53D8D7D4" w:rsidR="006645F3" w:rsidRPr="00B95348" w:rsidRDefault="006645F3" w:rsidP="00B63C0E">
      <w:pPr>
        <w:pStyle w:val="Paragraphtext"/>
        <w:numPr>
          <w:ilvl w:val="0"/>
          <w:numId w:val="12"/>
        </w:numPr>
        <w:spacing w:before="120"/>
        <w:jc w:val="both"/>
        <w:rPr>
          <w:sz w:val="22"/>
          <w:szCs w:val="22"/>
        </w:rPr>
      </w:pPr>
      <w:r w:rsidRPr="00B95348">
        <w:rPr>
          <w:sz w:val="22"/>
          <w:szCs w:val="22"/>
        </w:rPr>
        <w:t>Stream 2</w:t>
      </w:r>
      <w:r w:rsidR="00766DC6" w:rsidRPr="00B95348">
        <w:rPr>
          <w:sz w:val="22"/>
          <w:szCs w:val="22"/>
        </w:rPr>
        <w:t xml:space="preserve"> - </w:t>
      </w:r>
      <w:r w:rsidRPr="00B95348">
        <w:rPr>
          <w:sz w:val="22"/>
          <w:szCs w:val="22"/>
        </w:rPr>
        <w:t>supporting mid-career researchers to transform health practice and/or policy.</w:t>
      </w:r>
    </w:p>
    <w:p w14:paraId="73BCA188" w14:textId="4D56CF33" w:rsidR="006645F3" w:rsidRPr="00B95348" w:rsidRDefault="006645F3" w:rsidP="00B63C0E">
      <w:pPr>
        <w:pStyle w:val="Paragraphtext"/>
        <w:numPr>
          <w:ilvl w:val="0"/>
          <w:numId w:val="12"/>
        </w:numPr>
        <w:spacing w:before="120"/>
        <w:jc w:val="both"/>
        <w:rPr>
          <w:sz w:val="22"/>
          <w:szCs w:val="22"/>
        </w:rPr>
      </w:pPr>
      <w:r w:rsidRPr="00B95348">
        <w:rPr>
          <w:sz w:val="22"/>
          <w:szCs w:val="22"/>
        </w:rPr>
        <w:t>Stream 3</w:t>
      </w:r>
      <w:r w:rsidR="00766DC6" w:rsidRPr="00B95348">
        <w:rPr>
          <w:sz w:val="22"/>
          <w:szCs w:val="22"/>
        </w:rPr>
        <w:t xml:space="preserve"> - </w:t>
      </w:r>
      <w:r w:rsidRPr="00B95348">
        <w:rPr>
          <w:sz w:val="22"/>
          <w:szCs w:val="22"/>
        </w:rPr>
        <w:t>supporting early to mid-career researchers to translate new therapies and/or products into practice</w:t>
      </w:r>
      <w:r w:rsidR="000C3317">
        <w:rPr>
          <w:sz w:val="22"/>
          <w:szCs w:val="22"/>
        </w:rPr>
        <w:t>.</w:t>
      </w:r>
      <w:r w:rsidRPr="00B95348">
        <w:rPr>
          <w:sz w:val="22"/>
          <w:szCs w:val="22"/>
        </w:rPr>
        <w:t xml:space="preserve"> </w:t>
      </w:r>
    </w:p>
    <w:p w14:paraId="5310CCE6" w14:textId="77777777" w:rsidR="006645F3" w:rsidRDefault="006645F3" w:rsidP="006F0841">
      <w:pPr>
        <w:pStyle w:val="Paragraphtext"/>
      </w:pPr>
    </w:p>
    <w:p w14:paraId="268DD6AB" w14:textId="0328E58A" w:rsidR="006645F3" w:rsidRPr="006F0841" w:rsidRDefault="0092272D" w:rsidP="005A2D97">
      <w:pPr>
        <w:pStyle w:val="Paragraphtext"/>
        <w:rPr>
          <w:i/>
          <w:sz w:val="22"/>
          <w:szCs w:val="22"/>
        </w:rPr>
      </w:pPr>
      <w:r w:rsidRPr="006F0841">
        <w:rPr>
          <w:b/>
          <w:bCs/>
          <w:sz w:val="22"/>
          <w:szCs w:val="22"/>
        </w:rPr>
        <w:t>202</w:t>
      </w:r>
      <w:r w:rsidR="00D349CD" w:rsidRPr="006F0841">
        <w:rPr>
          <w:b/>
          <w:bCs/>
          <w:sz w:val="22"/>
          <w:szCs w:val="22"/>
        </w:rPr>
        <w:t>3</w:t>
      </w:r>
      <w:r w:rsidRPr="006F0841">
        <w:rPr>
          <w:b/>
          <w:bCs/>
          <w:sz w:val="22"/>
          <w:szCs w:val="22"/>
        </w:rPr>
        <w:t xml:space="preserve"> </w:t>
      </w:r>
      <w:bookmarkStart w:id="5" w:name="_Hlk129562556"/>
      <w:r w:rsidRPr="006F0841">
        <w:rPr>
          <w:b/>
          <w:bCs/>
          <w:sz w:val="22"/>
          <w:szCs w:val="22"/>
        </w:rPr>
        <w:t>Early to Mid-Career Researchers Grant Opportunity</w:t>
      </w:r>
    </w:p>
    <w:bookmarkEnd w:id="5"/>
    <w:p w14:paraId="2A712621" w14:textId="72D48141" w:rsidR="006645F3" w:rsidRPr="00F11027" w:rsidRDefault="006645F3" w:rsidP="005A2D97">
      <w:pPr>
        <w:pStyle w:val="Paragraphtext"/>
        <w:spacing w:before="120"/>
        <w:jc w:val="both"/>
        <w:rPr>
          <w:sz w:val="22"/>
          <w:szCs w:val="22"/>
        </w:rPr>
      </w:pPr>
      <w:r w:rsidRPr="00F11027">
        <w:rPr>
          <w:sz w:val="22"/>
          <w:szCs w:val="22"/>
        </w:rPr>
        <w:t xml:space="preserve">Up to $44.8 million of funding is available over 5 years from 2023-24 from the </w:t>
      </w:r>
      <w:hyperlink r:id="rId25" w:history="1">
        <w:r w:rsidR="007C0C53">
          <w:rPr>
            <w:rStyle w:val="Hyperlink"/>
            <w:sz w:val="22"/>
            <w:szCs w:val="22"/>
          </w:rPr>
          <w:t>2023 Early to Mid-Career Researchers Grant Opportunity</w:t>
        </w:r>
      </w:hyperlink>
      <w:r w:rsidR="007C0C53">
        <w:rPr>
          <w:sz w:val="22"/>
          <w:szCs w:val="22"/>
        </w:rPr>
        <w:t xml:space="preserve"> </w:t>
      </w:r>
      <w:r w:rsidRPr="00F11027">
        <w:rPr>
          <w:sz w:val="22"/>
          <w:szCs w:val="22"/>
        </w:rPr>
        <w:t>which opened on 15 February 2023 and will close on 21 June 2023.</w:t>
      </w:r>
      <w:r w:rsidR="007C0C53">
        <w:rPr>
          <w:sz w:val="22"/>
          <w:szCs w:val="22"/>
        </w:rPr>
        <w:t xml:space="preserve"> </w:t>
      </w:r>
    </w:p>
    <w:p w14:paraId="639C72C5" w14:textId="40B22C40" w:rsidR="006645F3" w:rsidRDefault="006645F3" w:rsidP="006645F3">
      <w:pPr>
        <w:pStyle w:val="Paragraphtext"/>
        <w:spacing w:before="120"/>
        <w:jc w:val="both"/>
        <w:rPr>
          <w:sz w:val="22"/>
          <w:szCs w:val="22"/>
        </w:rPr>
      </w:pPr>
    </w:p>
    <w:p w14:paraId="0E585830" w14:textId="06A08A2D" w:rsidR="00D349FC" w:rsidRDefault="00D349FC" w:rsidP="006645F3">
      <w:pPr>
        <w:pStyle w:val="Paragraphtext"/>
        <w:spacing w:before="120"/>
        <w:jc w:val="both"/>
        <w:rPr>
          <w:sz w:val="22"/>
          <w:szCs w:val="22"/>
        </w:rPr>
      </w:pPr>
      <w:r>
        <w:rPr>
          <w:sz w:val="22"/>
          <w:szCs w:val="22"/>
        </w:rPr>
        <w:t>See Appendix</w:t>
      </w:r>
      <w:r w:rsidR="00B75A54">
        <w:rPr>
          <w:sz w:val="22"/>
          <w:szCs w:val="22"/>
        </w:rPr>
        <w:t xml:space="preserve"> A</w:t>
      </w:r>
      <w:r>
        <w:rPr>
          <w:sz w:val="22"/>
          <w:szCs w:val="22"/>
        </w:rPr>
        <w:t xml:space="preserve"> for further details of the </w:t>
      </w:r>
      <w:r w:rsidRPr="00D349FC">
        <w:rPr>
          <w:sz w:val="22"/>
          <w:szCs w:val="22"/>
        </w:rPr>
        <w:t>MRFF Early to Mid-Career Researcher</w:t>
      </w:r>
      <w:r w:rsidR="00321EE7">
        <w:rPr>
          <w:sz w:val="22"/>
          <w:szCs w:val="22"/>
        </w:rPr>
        <w:t>s</w:t>
      </w:r>
      <w:r w:rsidRPr="00D349FC">
        <w:rPr>
          <w:sz w:val="22"/>
          <w:szCs w:val="22"/>
        </w:rPr>
        <w:t xml:space="preserve"> </w:t>
      </w:r>
      <w:r w:rsidR="00321EE7">
        <w:rPr>
          <w:sz w:val="22"/>
          <w:szCs w:val="22"/>
        </w:rPr>
        <w:t>i</w:t>
      </w:r>
      <w:r w:rsidRPr="00D349FC">
        <w:rPr>
          <w:sz w:val="22"/>
          <w:szCs w:val="22"/>
        </w:rPr>
        <w:t>nitiative</w:t>
      </w:r>
      <w:r>
        <w:rPr>
          <w:sz w:val="22"/>
          <w:szCs w:val="22"/>
        </w:rPr>
        <w:t>.</w:t>
      </w:r>
    </w:p>
    <w:p w14:paraId="1BF75C07" w14:textId="77777777" w:rsidR="005223D1" w:rsidRDefault="005223D1">
      <w:pPr>
        <w:rPr>
          <w:rFonts w:cs="Arial"/>
          <w:b/>
          <w:bCs/>
          <w:color w:val="18233B"/>
          <w:kern w:val="28"/>
          <w:sz w:val="36"/>
          <w:szCs w:val="36"/>
        </w:rPr>
      </w:pPr>
      <w:r>
        <w:br w:type="page"/>
      </w:r>
    </w:p>
    <w:p w14:paraId="7C34EB73" w14:textId="24F9BDE9" w:rsidR="006645F3" w:rsidRPr="00B95348" w:rsidRDefault="006645F3" w:rsidP="00B95348">
      <w:pPr>
        <w:pStyle w:val="Heading1"/>
      </w:pPr>
      <w:bookmarkStart w:id="6" w:name="_Toc131338398"/>
      <w:r>
        <w:lastRenderedPageBreak/>
        <w:t xml:space="preserve">Summary of funding awarded from the 2021 </w:t>
      </w:r>
      <w:r w:rsidR="00B25A1E" w:rsidRPr="00B25A1E">
        <w:t>Early to Mid-Career Researchers Grant Opportunity</w:t>
      </w:r>
      <w:bookmarkEnd w:id="6"/>
      <w:r>
        <w:t xml:space="preserve"> </w:t>
      </w:r>
    </w:p>
    <w:p w14:paraId="5061DFFB" w14:textId="5448CE11" w:rsidR="006645F3" w:rsidRPr="00C21DD2" w:rsidRDefault="001D36C5" w:rsidP="00766DC6">
      <w:pPr>
        <w:pStyle w:val="Paragraphtext"/>
        <w:spacing w:before="120"/>
        <w:jc w:val="both"/>
        <w:rPr>
          <w:rFonts w:cs="Arial"/>
          <w:sz w:val="22"/>
          <w:szCs w:val="22"/>
        </w:rPr>
      </w:pPr>
      <w:r w:rsidRPr="001D36C5">
        <w:rPr>
          <w:rFonts w:cs="Arial"/>
          <w:sz w:val="22"/>
          <w:szCs w:val="22"/>
        </w:rPr>
        <w:t>The grant opportunity was well subscribed and received 4</w:t>
      </w:r>
      <w:r>
        <w:rPr>
          <w:rFonts w:cs="Arial"/>
          <w:sz w:val="22"/>
          <w:szCs w:val="22"/>
        </w:rPr>
        <w:t>1</w:t>
      </w:r>
      <w:r w:rsidRPr="001D36C5">
        <w:rPr>
          <w:rFonts w:cs="Arial"/>
          <w:sz w:val="22"/>
          <w:szCs w:val="22"/>
        </w:rPr>
        <w:t>8</w:t>
      </w:r>
      <w:r>
        <w:rPr>
          <w:rFonts w:cs="Arial"/>
          <w:sz w:val="22"/>
          <w:szCs w:val="22"/>
        </w:rPr>
        <w:t xml:space="preserve"> eligible</w:t>
      </w:r>
      <w:r w:rsidRPr="001D36C5">
        <w:rPr>
          <w:rFonts w:cs="Arial"/>
          <w:sz w:val="22"/>
          <w:szCs w:val="22"/>
        </w:rPr>
        <w:t xml:space="preserve"> applications</w:t>
      </w:r>
      <w:r>
        <w:rPr>
          <w:rFonts w:cs="Arial"/>
          <w:sz w:val="22"/>
          <w:szCs w:val="22"/>
        </w:rPr>
        <w:t>.</w:t>
      </w:r>
      <w:r w:rsidRPr="001D36C5">
        <w:rPr>
          <w:rFonts w:cs="Arial"/>
          <w:sz w:val="22"/>
          <w:szCs w:val="22"/>
        </w:rPr>
        <w:t xml:space="preserve"> </w:t>
      </w:r>
      <w:r w:rsidR="006645F3" w:rsidRPr="00C21DD2">
        <w:rPr>
          <w:rFonts w:cs="Arial"/>
          <w:sz w:val="22"/>
          <w:szCs w:val="22"/>
        </w:rPr>
        <w:t xml:space="preserve">A total of 23 grants have been awarded to a combined value of </w:t>
      </w:r>
      <w:r w:rsidR="006645F3" w:rsidRPr="00C21DD2">
        <w:rPr>
          <w:rFonts w:cs="Arial"/>
          <w:color w:val="000000"/>
          <w:sz w:val="22"/>
          <w:szCs w:val="22"/>
        </w:rPr>
        <w:t xml:space="preserve">$42.8 million </w:t>
      </w:r>
      <w:r w:rsidR="006645F3" w:rsidRPr="00C21DD2">
        <w:rPr>
          <w:rFonts w:cs="Arial"/>
          <w:sz w:val="22"/>
          <w:szCs w:val="22"/>
        </w:rPr>
        <w:t xml:space="preserve">by the </w:t>
      </w:r>
      <w:r w:rsidR="00D349CD" w:rsidRPr="009B51D2">
        <w:rPr>
          <w:sz w:val="22"/>
          <w:szCs w:val="22"/>
        </w:rPr>
        <w:t>2021 Early to Mid-Career Researchers Grant Opportunity</w:t>
      </w:r>
      <w:r w:rsidR="006645F3" w:rsidRPr="00C21DD2">
        <w:rPr>
          <w:rFonts w:cs="Arial"/>
          <w:sz w:val="22"/>
          <w:szCs w:val="22"/>
        </w:rPr>
        <w:t>. Table 1 provides a breakdown of the funded amounts by Stream</w:t>
      </w:r>
      <w:r w:rsidR="00933911">
        <w:rPr>
          <w:rFonts w:cs="Arial"/>
          <w:sz w:val="22"/>
          <w:szCs w:val="22"/>
        </w:rPr>
        <w:t xml:space="preserve"> and Appendix B lists details of all funded applications. </w:t>
      </w:r>
    </w:p>
    <w:p w14:paraId="55DA72AE" w14:textId="77777777" w:rsidR="006645F3" w:rsidRPr="00C21DD2" w:rsidRDefault="006645F3" w:rsidP="00B75A54">
      <w:pPr>
        <w:pStyle w:val="Paragraphtext"/>
        <w:spacing w:before="120"/>
        <w:rPr>
          <w:rFonts w:cs="Arial"/>
          <w:sz w:val="22"/>
          <w:szCs w:val="22"/>
        </w:rPr>
      </w:pPr>
    </w:p>
    <w:p w14:paraId="386E5687" w14:textId="77777777" w:rsidR="006645F3" w:rsidRPr="00B95348" w:rsidRDefault="006645F3" w:rsidP="009B51D2">
      <w:pPr>
        <w:pStyle w:val="TableHeader"/>
        <w:rPr>
          <w:szCs w:val="21"/>
        </w:rPr>
      </w:pPr>
      <w:r w:rsidRPr="00B95348">
        <w:rPr>
          <w:szCs w:val="21"/>
        </w:rPr>
        <w:t>Table 1 – Grants awarded</w:t>
      </w:r>
    </w:p>
    <w:tbl>
      <w:tblPr>
        <w:tblStyle w:val="MRFF"/>
        <w:tblW w:w="9498" w:type="dxa"/>
        <w:tblLook w:val="04A0" w:firstRow="1" w:lastRow="0" w:firstColumn="1" w:lastColumn="0" w:noHBand="0" w:noVBand="1"/>
      </w:tblPr>
      <w:tblGrid>
        <w:gridCol w:w="1276"/>
        <w:gridCol w:w="1985"/>
        <w:gridCol w:w="1417"/>
        <w:gridCol w:w="1723"/>
        <w:gridCol w:w="1537"/>
        <w:gridCol w:w="1560"/>
      </w:tblGrid>
      <w:tr w:rsidR="006645F3" w:rsidRPr="00B95348" w14:paraId="41A9B8D4" w14:textId="77777777" w:rsidTr="00317D25">
        <w:trPr>
          <w:cnfStyle w:val="100000000000" w:firstRow="1" w:lastRow="0" w:firstColumn="0" w:lastColumn="0" w:oddVBand="0" w:evenVBand="0" w:oddHBand="0" w:evenHBand="0" w:firstRowFirstColumn="0" w:firstRowLastColumn="0" w:lastRowFirstColumn="0" w:lastRowLastColumn="0"/>
          <w:trHeight w:val="290"/>
        </w:trPr>
        <w:tc>
          <w:tcPr>
            <w:tcW w:w="0" w:type="dxa"/>
            <w:tcBorders>
              <w:top w:val="single" w:sz="4" w:space="0" w:color="auto"/>
              <w:bottom w:val="single" w:sz="4" w:space="0" w:color="auto"/>
            </w:tcBorders>
            <w:noWrap/>
            <w:hideMark/>
          </w:tcPr>
          <w:p w14:paraId="7BFA404C" w14:textId="77777777" w:rsidR="006645F3" w:rsidRPr="00B95348" w:rsidRDefault="006645F3" w:rsidP="002F0A85">
            <w:pPr>
              <w:rPr>
                <w:rFonts w:cs="Arial"/>
                <w:b w:val="0"/>
                <w:bCs/>
                <w:color w:val="FFFFFF"/>
                <w:sz w:val="20"/>
                <w:szCs w:val="20"/>
                <w:lang w:eastAsia="en-AU"/>
              </w:rPr>
            </w:pPr>
            <w:r w:rsidRPr="00B95348">
              <w:rPr>
                <w:rFonts w:cs="Arial"/>
                <w:bCs/>
                <w:color w:val="FFFFFF"/>
                <w:sz w:val="20"/>
                <w:szCs w:val="20"/>
                <w:lang w:eastAsia="en-AU"/>
              </w:rPr>
              <w:t>Stream</w:t>
            </w:r>
          </w:p>
          <w:p w14:paraId="4A8199D9" w14:textId="77777777" w:rsidR="006645F3" w:rsidRPr="00B95348" w:rsidRDefault="006645F3" w:rsidP="002F0A85">
            <w:pPr>
              <w:rPr>
                <w:rFonts w:cs="Arial"/>
                <w:b w:val="0"/>
                <w:bCs/>
                <w:color w:val="FFFFFF"/>
                <w:sz w:val="20"/>
                <w:szCs w:val="20"/>
                <w:lang w:eastAsia="en-AU"/>
              </w:rPr>
            </w:pPr>
          </w:p>
        </w:tc>
        <w:tc>
          <w:tcPr>
            <w:tcW w:w="0" w:type="dxa"/>
            <w:tcBorders>
              <w:top w:val="single" w:sz="4" w:space="0" w:color="auto"/>
              <w:bottom w:val="single" w:sz="4" w:space="0" w:color="auto"/>
            </w:tcBorders>
            <w:noWrap/>
            <w:hideMark/>
          </w:tcPr>
          <w:p w14:paraId="68F7E595" w14:textId="77777777" w:rsidR="006645F3" w:rsidRPr="00B95348" w:rsidRDefault="006645F3" w:rsidP="002F0A85">
            <w:pPr>
              <w:rPr>
                <w:rFonts w:cs="Arial"/>
                <w:b w:val="0"/>
                <w:bCs/>
                <w:color w:val="FFFFFF"/>
                <w:sz w:val="20"/>
                <w:szCs w:val="20"/>
                <w:lang w:eastAsia="en-AU"/>
              </w:rPr>
            </w:pPr>
            <w:r w:rsidRPr="00B95348">
              <w:rPr>
                <w:rFonts w:cs="Arial"/>
                <w:bCs/>
                <w:color w:val="FFFFFF"/>
                <w:sz w:val="20"/>
                <w:szCs w:val="20"/>
                <w:lang w:eastAsia="en-AU"/>
              </w:rPr>
              <w:t>Number of grants awarded</w:t>
            </w:r>
          </w:p>
        </w:tc>
        <w:tc>
          <w:tcPr>
            <w:tcW w:w="0" w:type="dxa"/>
            <w:tcBorders>
              <w:top w:val="single" w:sz="4" w:space="0" w:color="auto"/>
              <w:bottom w:val="single" w:sz="4" w:space="0" w:color="auto"/>
            </w:tcBorders>
          </w:tcPr>
          <w:p w14:paraId="092F7779" w14:textId="600F622C" w:rsidR="006645F3" w:rsidRPr="00B95348" w:rsidRDefault="006645F3" w:rsidP="002F0A85">
            <w:pPr>
              <w:rPr>
                <w:rFonts w:cs="Arial"/>
                <w:b w:val="0"/>
                <w:bCs/>
                <w:color w:val="FFFFFF"/>
                <w:sz w:val="20"/>
                <w:szCs w:val="20"/>
                <w:lang w:eastAsia="en-AU"/>
              </w:rPr>
            </w:pPr>
            <w:r w:rsidRPr="00B95348">
              <w:rPr>
                <w:rFonts w:cs="Arial"/>
                <w:bCs/>
                <w:color w:val="FFFFFF"/>
                <w:sz w:val="20"/>
                <w:szCs w:val="20"/>
                <w:lang w:eastAsia="en-AU"/>
              </w:rPr>
              <w:t>Total</w:t>
            </w:r>
            <w:r w:rsidR="00893F4E">
              <w:rPr>
                <w:rFonts w:cs="Arial"/>
                <w:bCs/>
                <w:color w:val="FFFFFF"/>
                <w:sz w:val="20"/>
                <w:szCs w:val="20"/>
                <w:lang w:eastAsia="en-AU"/>
              </w:rPr>
              <w:t xml:space="preserve"> amount awarded</w:t>
            </w:r>
          </w:p>
        </w:tc>
        <w:tc>
          <w:tcPr>
            <w:tcW w:w="0" w:type="dxa"/>
            <w:tcBorders>
              <w:top w:val="single" w:sz="4" w:space="0" w:color="auto"/>
              <w:bottom w:val="single" w:sz="4" w:space="0" w:color="auto"/>
            </w:tcBorders>
          </w:tcPr>
          <w:p w14:paraId="7D071779" w14:textId="69A7D103" w:rsidR="006645F3" w:rsidRPr="00B95348" w:rsidRDefault="006645F3" w:rsidP="002F0A85">
            <w:pPr>
              <w:rPr>
                <w:rFonts w:cs="Arial"/>
                <w:b w:val="0"/>
                <w:bCs/>
                <w:color w:val="FFFFFF"/>
                <w:sz w:val="20"/>
                <w:szCs w:val="20"/>
                <w:lang w:eastAsia="en-AU"/>
              </w:rPr>
            </w:pPr>
            <w:r w:rsidRPr="00B95348">
              <w:rPr>
                <w:rFonts w:cs="Arial"/>
                <w:bCs/>
                <w:color w:val="FFFFFF"/>
                <w:sz w:val="20"/>
                <w:szCs w:val="20"/>
                <w:lang w:eastAsia="en-AU"/>
              </w:rPr>
              <w:t>Mean amount</w:t>
            </w:r>
            <w:r w:rsidR="003F31AD">
              <w:rPr>
                <w:rFonts w:cs="Arial"/>
                <w:bCs/>
                <w:color w:val="FFFFFF"/>
                <w:sz w:val="20"/>
                <w:szCs w:val="20"/>
                <w:lang w:eastAsia="en-AU"/>
              </w:rPr>
              <w:t xml:space="preserve"> </w:t>
            </w:r>
            <w:r w:rsidR="001D36C5">
              <w:rPr>
                <w:rFonts w:cs="Arial"/>
                <w:bCs/>
                <w:color w:val="FFFFFF"/>
                <w:sz w:val="20"/>
                <w:szCs w:val="20"/>
                <w:lang w:eastAsia="en-AU"/>
              </w:rPr>
              <w:t>awarded</w:t>
            </w:r>
          </w:p>
        </w:tc>
        <w:tc>
          <w:tcPr>
            <w:tcW w:w="0" w:type="dxa"/>
            <w:tcBorders>
              <w:top w:val="single" w:sz="4" w:space="0" w:color="auto"/>
              <w:bottom w:val="single" w:sz="4" w:space="0" w:color="auto"/>
            </w:tcBorders>
          </w:tcPr>
          <w:p w14:paraId="141C77D8" w14:textId="77777777" w:rsidR="006645F3" w:rsidRPr="00B95348" w:rsidRDefault="006645F3" w:rsidP="002F0A85">
            <w:pPr>
              <w:rPr>
                <w:rFonts w:cs="Arial"/>
                <w:b w:val="0"/>
                <w:bCs/>
                <w:color w:val="FFFFFF"/>
                <w:sz w:val="20"/>
                <w:szCs w:val="20"/>
                <w:lang w:eastAsia="en-AU"/>
              </w:rPr>
            </w:pPr>
            <w:r w:rsidRPr="00B95348">
              <w:rPr>
                <w:rFonts w:cs="Arial"/>
                <w:bCs/>
                <w:color w:val="FFFFFF"/>
                <w:sz w:val="20"/>
                <w:szCs w:val="20"/>
                <w:lang w:eastAsia="en-AU"/>
              </w:rPr>
              <w:t>Highest amount</w:t>
            </w:r>
          </w:p>
        </w:tc>
        <w:tc>
          <w:tcPr>
            <w:tcW w:w="0" w:type="dxa"/>
            <w:tcBorders>
              <w:top w:val="single" w:sz="4" w:space="0" w:color="auto"/>
              <w:bottom w:val="single" w:sz="4" w:space="0" w:color="auto"/>
            </w:tcBorders>
          </w:tcPr>
          <w:p w14:paraId="232E48C0" w14:textId="77777777" w:rsidR="006645F3" w:rsidRPr="00B95348" w:rsidRDefault="006645F3" w:rsidP="002F0A85">
            <w:pPr>
              <w:rPr>
                <w:rFonts w:cs="Arial"/>
                <w:b w:val="0"/>
                <w:bCs/>
                <w:color w:val="FFFFFF"/>
                <w:sz w:val="20"/>
                <w:szCs w:val="20"/>
                <w:lang w:eastAsia="en-AU"/>
              </w:rPr>
            </w:pPr>
            <w:r w:rsidRPr="00B95348">
              <w:rPr>
                <w:rFonts w:cs="Arial"/>
                <w:bCs/>
                <w:color w:val="FFFFFF"/>
                <w:sz w:val="20"/>
                <w:szCs w:val="20"/>
                <w:lang w:eastAsia="en-AU"/>
              </w:rPr>
              <w:t>Lowest amount</w:t>
            </w:r>
          </w:p>
        </w:tc>
      </w:tr>
      <w:tr w:rsidR="006645F3" w:rsidRPr="006C2B28" w14:paraId="58E513F1" w14:textId="77777777" w:rsidTr="00317D25">
        <w:trPr>
          <w:trHeight w:val="290"/>
        </w:trPr>
        <w:tc>
          <w:tcPr>
            <w:tcW w:w="1276" w:type="dxa"/>
            <w:tcBorders>
              <w:top w:val="single" w:sz="4" w:space="0" w:color="auto"/>
            </w:tcBorders>
            <w:noWrap/>
            <w:hideMark/>
          </w:tcPr>
          <w:p w14:paraId="27247702"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Stream 1</w:t>
            </w:r>
          </w:p>
        </w:tc>
        <w:tc>
          <w:tcPr>
            <w:tcW w:w="1985" w:type="dxa"/>
            <w:tcBorders>
              <w:top w:val="single" w:sz="4" w:space="0" w:color="auto"/>
            </w:tcBorders>
            <w:noWrap/>
            <w:hideMark/>
          </w:tcPr>
          <w:p w14:paraId="3CF640F9"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9</w:t>
            </w:r>
          </w:p>
        </w:tc>
        <w:tc>
          <w:tcPr>
            <w:tcW w:w="1417" w:type="dxa"/>
            <w:tcBorders>
              <w:top w:val="single" w:sz="4" w:space="0" w:color="auto"/>
            </w:tcBorders>
          </w:tcPr>
          <w:p w14:paraId="4E27619B" w14:textId="77777777" w:rsidR="006645F3" w:rsidRPr="00C21DD2" w:rsidRDefault="006645F3" w:rsidP="002F0A85">
            <w:pPr>
              <w:rPr>
                <w:rFonts w:cs="Arial"/>
                <w:color w:val="000000"/>
                <w:sz w:val="19"/>
                <w:szCs w:val="19"/>
                <w:lang w:eastAsia="en-AU"/>
              </w:rPr>
            </w:pPr>
            <w:r w:rsidRPr="00C21DD2">
              <w:rPr>
                <w:rFonts w:cs="Arial"/>
                <w:color w:val="000000"/>
                <w:sz w:val="19"/>
                <w:szCs w:val="19"/>
              </w:rPr>
              <w:t>$6,416,096</w:t>
            </w:r>
          </w:p>
        </w:tc>
        <w:tc>
          <w:tcPr>
            <w:tcW w:w="1723" w:type="dxa"/>
            <w:tcBorders>
              <w:top w:val="single" w:sz="4" w:space="0" w:color="auto"/>
            </w:tcBorders>
          </w:tcPr>
          <w:p w14:paraId="57D84648" w14:textId="77777777" w:rsidR="006645F3" w:rsidRPr="00C21DD2" w:rsidRDefault="006645F3" w:rsidP="002F0A85">
            <w:pPr>
              <w:rPr>
                <w:rFonts w:cs="Arial"/>
                <w:color w:val="000000"/>
                <w:sz w:val="19"/>
                <w:szCs w:val="19"/>
              </w:rPr>
            </w:pPr>
            <w:r w:rsidRPr="00C21DD2">
              <w:rPr>
                <w:rFonts w:cs="Arial"/>
                <w:color w:val="000000"/>
                <w:sz w:val="19"/>
                <w:szCs w:val="19"/>
              </w:rPr>
              <w:t>$712,900</w:t>
            </w:r>
          </w:p>
        </w:tc>
        <w:tc>
          <w:tcPr>
            <w:tcW w:w="1537" w:type="dxa"/>
            <w:tcBorders>
              <w:top w:val="single" w:sz="4" w:space="0" w:color="auto"/>
            </w:tcBorders>
          </w:tcPr>
          <w:p w14:paraId="1F0D233B" w14:textId="77777777" w:rsidR="006645F3" w:rsidRPr="00C21DD2" w:rsidRDefault="006645F3" w:rsidP="002F0A85">
            <w:pPr>
              <w:rPr>
                <w:rFonts w:cs="Arial"/>
                <w:color w:val="000000"/>
                <w:sz w:val="19"/>
                <w:szCs w:val="19"/>
              </w:rPr>
            </w:pPr>
            <w:r w:rsidRPr="00C21DD2">
              <w:rPr>
                <w:rFonts w:cs="Arial"/>
                <w:color w:val="000000"/>
                <w:sz w:val="19"/>
                <w:szCs w:val="19"/>
              </w:rPr>
              <w:t>$958,404</w:t>
            </w:r>
          </w:p>
        </w:tc>
        <w:tc>
          <w:tcPr>
            <w:tcW w:w="1560" w:type="dxa"/>
            <w:tcBorders>
              <w:top w:val="single" w:sz="4" w:space="0" w:color="auto"/>
            </w:tcBorders>
          </w:tcPr>
          <w:p w14:paraId="560D5790" w14:textId="77777777" w:rsidR="006645F3" w:rsidRPr="00C21DD2" w:rsidRDefault="006645F3" w:rsidP="002F0A85">
            <w:pPr>
              <w:rPr>
                <w:rFonts w:cs="Arial"/>
                <w:color w:val="000000"/>
                <w:sz w:val="19"/>
                <w:szCs w:val="19"/>
              </w:rPr>
            </w:pPr>
            <w:r w:rsidRPr="00C21DD2">
              <w:rPr>
                <w:rFonts w:cs="Arial"/>
                <w:color w:val="000000"/>
                <w:sz w:val="19"/>
                <w:szCs w:val="19"/>
              </w:rPr>
              <w:t>$289,870</w:t>
            </w:r>
          </w:p>
        </w:tc>
      </w:tr>
      <w:tr w:rsidR="006645F3" w:rsidRPr="006C2B28" w14:paraId="5DE3FB46" w14:textId="77777777" w:rsidTr="00B95348">
        <w:trPr>
          <w:trHeight w:val="290"/>
        </w:trPr>
        <w:tc>
          <w:tcPr>
            <w:tcW w:w="1276" w:type="dxa"/>
            <w:noWrap/>
            <w:hideMark/>
          </w:tcPr>
          <w:p w14:paraId="673ADC37"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Stream 2</w:t>
            </w:r>
          </w:p>
        </w:tc>
        <w:tc>
          <w:tcPr>
            <w:tcW w:w="1985" w:type="dxa"/>
            <w:noWrap/>
            <w:hideMark/>
          </w:tcPr>
          <w:p w14:paraId="581F17C0"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6</w:t>
            </w:r>
          </w:p>
        </w:tc>
        <w:tc>
          <w:tcPr>
            <w:tcW w:w="1417" w:type="dxa"/>
          </w:tcPr>
          <w:p w14:paraId="3BDEFE90" w14:textId="77777777" w:rsidR="006645F3" w:rsidRPr="00C21DD2" w:rsidRDefault="006645F3" w:rsidP="002F0A85">
            <w:pPr>
              <w:rPr>
                <w:rFonts w:cs="Arial"/>
                <w:color w:val="000000"/>
                <w:sz w:val="19"/>
                <w:szCs w:val="19"/>
                <w:lang w:eastAsia="en-AU"/>
              </w:rPr>
            </w:pPr>
            <w:r w:rsidRPr="00C21DD2">
              <w:rPr>
                <w:rFonts w:cs="Arial"/>
                <w:color w:val="000000"/>
                <w:sz w:val="19"/>
                <w:szCs w:val="19"/>
              </w:rPr>
              <w:t>$28,196,959</w:t>
            </w:r>
          </w:p>
        </w:tc>
        <w:tc>
          <w:tcPr>
            <w:tcW w:w="1723" w:type="dxa"/>
          </w:tcPr>
          <w:p w14:paraId="74D89DAC" w14:textId="77777777" w:rsidR="006645F3" w:rsidRPr="00C21DD2" w:rsidRDefault="006645F3" w:rsidP="002F0A85">
            <w:pPr>
              <w:rPr>
                <w:rFonts w:cs="Arial"/>
                <w:color w:val="000000"/>
                <w:sz w:val="19"/>
                <w:szCs w:val="19"/>
              </w:rPr>
            </w:pPr>
            <w:r w:rsidRPr="00C21DD2">
              <w:rPr>
                <w:rFonts w:cs="Arial"/>
                <w:color w:val="000000"/>
                <w:sz w:val="19"/>
                <w:szCs w:val="19"/>
              </w:rPr>
              <w:t>$4,699,493</w:t>
            </w:r>
          </w:p>
        </w:tc>
        <w:tc>
          <w:tcPr>
            <w:tcW w:w="1537" w:type="dxa"/>
          </w:tcPr>
          <w:p w14:paraId="3525B4A3" w14:textId="77777777" w:rsidR="006645F3" w:rsidRPr="00C21DD2" w:rsidRDefault="006645F3" w:rsidP="002F0A85">
            <w:pPr>
              <w:rPr>
                <w:rFonts w:cs="Arial"/>
                <w:color w:val="000000"/>
                <w:sz w:val="19"/>
                <w:szCs w:val="19"/>
              </w:rPr>
            </w:pPr>
            <w:r w:rsidRPr="00C21DD2">
              <w:rPr>
                <w:rFonts w:cs="Arial"/>
                <w:color w:val="000000"/>
                <w:sz w:val="19"/>
                <w:szCs w:val="19"/>
              </w:rPr>
              <w:t>$4,899,779</w:t>
            </w:r>
          </w:p>
        </w:tc>
        <w:tc>
          <w:tcPr>
            <w:tcW w:w="1560" w:type="dxa"/>
          </w:tcPr>
          <w:p w14:paraId="028FB373" w14:textId="77777777" w:rsidR="006645F3" w:rsidRPr="00C21DD2" w:rsidRDefault="006645F3" w:rsidP="002F0A85">
            <w:pPr>
              <w:rPr>
                <w:rFonts w:cs="Arial"/>
                <w:color w:val="000000"/>
                <w:sz w:val="19"/>
                <w:szCs w:val="19"/>
              </w:rPr>
            </w:pPr>
            <w:r w:rsidRPr="00C21DD2">
              <w:rPr>
                <w:rFonts w:cs="Arial"/>
                <w:color w:val="000000"/>
                <w:sz w:val="19"/>
                <w:szCs w:val="19"/>
              </w:rPr>
              <w:t>$4,063,177</w:t>
            </w:r>
          </w:p>
        </w:tc>
      </w:tr>
      <w:tr w:rsidR="006645F3" w:rsidRPr="006C2B28" w14:paraId="67DDEDF0" w14:textId="77777777" w:rsidTr="00B95348">
        <w:trPr>
          <w:trHeight w:val="290"/>
        </w:trPr>
        <w:tc>
          <w:tcPr>
            <w:tcW w:w="1276" w:type="dxa"/>
            <w:noWrap/>
            <w:hideMark/>
          </w:tcPr>
          <w:p w14:paraId="0E2B84A0"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Stream 3</w:t>
            </w:r>
          </w:p>
        </w:tc>
        <w:tc>
          <w:tcPr>
            <w:tcW w:w="1985" w:type="dxa"/>
            <w:noWrap/>
            <w:hideMark/>
          </w:tcPr>
          <w:p w14:paraId="368BB096"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8</w:t>
            </w:r>
          </w:p>
        </w:tc>
        <w:tc>
          <w:tcPr>
            <w:tcW w:w="1417" w:type="dxa"/>
          </w:tcPr>
          <w:p w14:paraId="280248C1" w14:textId="77777777" w:rsidR="006645F3" w:rsidRPr="00C21DD2" w:rsidRDefault="006645F3" w:rsidP="002F0A85">
            <w:pPr>
              <w:rPr>
                <w:rFonts w:cs="Arial"/>
                <w:color w:val="000000"/>
                <w:sz w:val="19"/>
                <w:szCs w:val="19"/>
                <w:lang w:eastAsia="en-AU"/>
              </w:rPr>
            </w:pPr>
            <w:r w:rsidRPr="00C21DD2">
              <w:rPr>
                <w:rFonts w:cs="Arial"/>
                <w:color w:val="000000"/>
                <w:sz w:val="19"/>
                <w:szCs w:val="19"/>
              </w:rPr>
              <w:t>$8,186,945</w:t>
            </w:r>
          </w:p>
        </w:tc>
        <w:tc>
          <w:tcPr>
            <w:tcW w:w="1723" w:type="dxa"/>
          </w:tcPr>
          <w:p w14:paraId="7AADDAEB" w14:textId="77777777" w:rsidR="006645F3" w:rsidRPr="00C21DD2" w:rsidRDefault="006645F3" w:rsidP="002F0A85">
            <w:pPr>
              <w:rPr>
                <w:rFonts w:cs="Arial"/>
                <w:color w:val="000000"/>
                <w:sz w:val="19"/>
                <w:szCs w:val="19"/>
              </w:rPr>
            </w:pPr>
            <w:r w:rsidRPr="00C21DD2">
              <w:rPr>
                <w:rFonts w:cs="Arial"/>
                <w:color w:val="000000"/>
                <w:sz w:val="19"/>
                <w:szCs w:val="19"/>
              </w:rPr>
              <w:t>$1,023,368</w:t>
            </w:r>
          </w:p>
        </w:tc>
        <w:tc>
          <w:tcPr>
            <w:tcW w:w="1537" w:type="dxa"/>
          </w:tcPr>
          <w:p w14:paraId="7AB45C28" w14:textId="77777777" w:rsidR="006645F3" w:rsidRPr="00C21DD2" w:rsidRDefault="006645F3" w:rsidP="002F0A85">
            <w:pPr>
              <w:rPr>
                <w:rFonts w:cs="Arial"/>
                <w:color w:val="000000"/>
                <w:sz w:val="19"/>
                <w:szCs w:val="19"/>
              </w:rPr>
            </w:pPr>
            <w:r w:rsidRPr="00C21DD2">
              <w:rPr>
                <w:rFonts w:cs="Arial"/>
                <w:color w:val="000000"/>
                <w:sz w:val="19"/>
                <w:szCs w:val="19"/>
              </w:rPr>
              <w:t>$1,589,171</w:t>
            </w:r>
          </w:p>
        </w:tc>
        <w:tc>
          <w:tcPr>
            <w:tcW w:w="1560" w:type="dxa"/>
          </w:tcPr>
          <w:p w14:paraId="74407538" w14:textId="77777777" w:rsidR="006645F3" w:rsidRPr="00C21DD2" w:rsidRDefault="006645F3" w:rsidP="002F0A85">
            <w:pPr>
              <w:rPr>
                <w:rFonts w:cs="Arial"/>
                <w:color w:val="000000"/>
                <w:sz w:val="19"/>
                <w:szCs w:val="19"/>
              </w:rPr>
            </w:pPr>
            <w:r w:rsidRPr="00C21DD2">
              <w:rPr>
                <w:rFonts w:cs="Arial"/>
                <w:color w:val="000000"/>
                <w:sz w:val="19"/>
                <w:szCs w:val="19"/>
              </w:rPr>
              <w:t>$590,135</w:t>
            </w:r>
          </w:p>
        </w:tc>
      </w:tr>
      <w:tr w:rsidR="006645F3" w:rsidRPr="006C2B28" w14:paraId="6036EDA2" w14:textId="77777777" w:rsidTr="00B95348">
        <w:trPr>
          <w:trHeight w:val="290"/>
        </w:trPr>
        <w:tc>
          <w:tcPr>
            <w:tcW w:w="1276" w:type="dxa"/>
            <w:noWrap/>
            <w:hideMark/>
          </w:tcPr>
          <w:p w14:paraId="47FDEF1F"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All Streams</w:t>
            </w:r>
          </w:p>
        </w:tc>
        <w:tc>
          <w:tcPr>
            <w:tcW w:w="1985" w:type="dxa"/>
            <w:noWrap/>
            <w:hideMark/>
          </w:tcPr>
          <w:p w14:paraId="73CB576B" w14:textId="77777777" w:rsidR="006645F3" w:rsidRPr="00C21DD2" w:rsidRDefault="006645F3" w:rsidP="002F0A85">
            <w:pPr>
              <w:rPr>
                <w:rFonts w:cs="Arial"/>
                <w:color w:val="000000"/>
                <w:sz w:val="19"/>
                <w:szCs w:val="19"/>
                <w:lang w:eastAsia="en-AU"/>
              </w:rPr>
            </w:pPr>
            <w:r w:rsidRPr="00C21DD2">
              <w:rPr>
                <w:rFonts w:cs="Arial"/>
                <w:color w:val="000000"/>
                <w:sz w:val="19"/>
                <w:szCs w:val="19"/>
                <w:lang w:eastAsia="en-AU"/>
              </w:rPr>
              <w:t>23</w:t>
            </w:r>
          </w:p>
        </w:tc>
        <w:tc>
          <w:tcPr>
            <w:tcW w:w="1417" w:type="dxa"/>
          </w:tcPr>
          <w:p w14:paraId="5AE597EF" w14:textId="77777777" w:rsidR="006645F3" w:rsidRPr="00C21DD2" w:rsidRDefault="006645F3" w:rsidP="002F0A85">
            <w:pPr>
              <w:rPr>
                <w:rFonts w:cs="Arial"/>
                <w:color w:val="000000"/>
                <w:sz w:val="19"/>
                <w:szCs w:val="19"/>
                <w:lang w:eastAsia="en-AU"/>
              </w:rPr>
            </w:pPr>
            <w:r w:rsidRPr="00C21DD2">
              <w:rPr>
                <w:rFonts w:cs="Arial"/>
                <w:color w:val="000000"/>
                <w:sz w:val="19"/>
                <w:szCs w:val="19"/>
              </w:rPr>
              <w:t>$42,800,000</w:t>
            </w:r>
          </w:p>
        </w:tc>
        <w:tc>
          <w:tcPr>
            <w:tcW w:w="1723" w:type="dxa"/>
          </w:tcPr>
          <w:p w14:paraId="3502939A" w14:textId="77777777" w:rsidR="006645F3" w:rsidRPr="00C21DD2" w:rsidRDefault="006645F3" w:rsidP="002F0A85">
            <w:pPr>
              <w:rPr>
                <w:rFonts w:cs="Arial"/>
                <w:color w:val="000000"/>
                <w:sz w:val="19"/>
                <w:szCs w:val="19"/>
              </w:rPr>
            </w:pPr>
            <w:r w:rsidRPr="00C21DD2">
              <w:rPr>
                <w:rFonts w:cs="Arial"/>
                <w:color w:val="000000"/>
                <w:sz w:val="19"/>
                <w:szCs w:val="19"/>
              </w:rPr>
              <w:t>$1,860,870</w:t>
            </w:r>
          </w:p>
        </w:tc>
        <w:tc>
          <w:tcPr>
            <w:tcW w:w="1537" w:type="dxa"/>
          </w:tcPr>
          <w:p w14:paraId="3EE54460" w14:textId="77777777" w:rsidR="006645F3" w:rsidRPr="00C21DD2" w:rsidRDefault="006645F3" w:rsidP="002F0A85">
            <w:pPr>
              <w:rPr>
                <w:rFonts w:cs="Arial"/>
                <w:color w:val="000000"/>
                <w:sz w:val="19"/>
                <w:szCs w:val="19"/>
              </w:rPr>
            </w:pPr>
            <w:r w:rsidRPr="00C21DD2">
              <w:rPr>
                <w:rFonts w:cs="Arial"/>
                <w:color w:val="000000"/>
                <w:sz w:val="19"/>
                <w:szCs w:val="19"/>
              </w:rPr>
              <w:t>$4,899,779</w:t>
            </w:r>
          </w:p>
        </w:tc>
        <w:tc>
          <w:tcPr>
            <w:tcW w:w="1560" w:type="dxa"/>
          </w:tcPr>
          <w:p w14:paraId="7C7CF103" w14:textId="77777777" w:rsidR="006645F3" w:rsidRPr="00C21DD2" w:rsidRDefault="006645F3" w:rsidP="002F0A85">
            <w:pPr>
              <w:rPr>
                <w:rFonts w:cs="Arial"/>
                <w:color w:val="000000"/>
                <w:sz w:val="19"/>
                <w:szCs w:val="19"/>
              </w:rPr>
            </w:pPr>
            <w:r w:rsidRPr="00C21DD2">
              <w:rPr>
                <w:rFonts w:cs="Arial"/>
                <w:color w:val="000000"/>
                <w:sz w:val="19"/>
                <w:szCs w:val="19"/>
              </w:rPr>
              <w:t>$289,870</w:t>
            </w:r>
          </w:p>
        </w:tc>
      </w:tr>
    </w:tbl>
    <w:p w14:paraId="2BEF7761" w14:textId="77777777" w:rsidR="00236887" w:rsidRDefault="00236887" w:rsidP="00B75A54">
      <w:pPr>
        <w:pStyle w:val="Paragraphtext"/>
        <w:spacing w:before="120"/>
        <w:jc w:val="both"/>
        <w:rPr>
          <w:sz w:val="22"/>
          <w:szCs w:val="22"/>
        </w:rPr>
      </w:pPr>
    </w:p>
    <w:p w14:paraId="22688D4C" w14:textId="757DC017" w:rsidR="00B376AA" w:rsidRPr="00835904" w:rsidRDefault="006645F3" w:rsidP="00EE4B98">
      <w:pPr>
        <w:pStyle w:val="CommentText"/>
        <w:spacing w:before="120"/>
        <w:rPr>
          <w:sz w:val="22"/>
          <w:szCs w:val="22"/>
        </w:rPr>
      </w:pPr>
      <w:r w:rsidRPr="00835904">
        <w:rPr>
          <w:sz w:val="22"/>
          <w:szCs w:val="22"/>
        </w:rPr>
        <w:t xml:space="preserve">Figure 1 shows the proportion of funding awarded against the criteria of </w:t>
      </w:r>
      <w:r w:rsidR="007D756F" w:rsidRPr="00835904">
        <w:rPr>
          <w:sz w:val="22"/>
          <w:szCs w:val="22"/>
        </w:rPr>
        <w:t>B</w:t>
      </w:r>
      <w:r w:rsidRPr="00835904">
        <w:rPr>
          <w:sz w:val="22"/>
          <w:szCs w:val="22"/>
        </w:rPr>
        <w:t xml:space="preserve">road </w:t>
      </w:r>
      <w:r w:rsidR="007D756F" w:rsidRPr="00835904">
        <w:rPr>
          <w:sz w:val="22"/>
          <w:szCs w:val="22"/>
        </w:rPr>
        <w:t>R</w:t>
      </w:r>
      <w:r w:rsidRPr="00835904">
        <w:rPr>
          <w:sz w:val="22"/>
          <w:szCs w:val="22"/>
        </w:rPr>
        <w:t xml:space="preserve">esearch </w:t>
      </w:r>
      <w:r w:rsidR="007D756F" w:rsidRPr="00835904">
        <w:rPr>
          <w:sz w:val="22"/>
          <w:szCs w:val="22"/>
        </w:rPr>
        <w:t>A</w:t>
      </w:r>
      <w:r w:rsidRPr="00835904">
        <w:rPr>
          <w:sz w:val="22"/>
          <w:szCs w:val="22"/>
        </w:rPr>
        <w:t xml:space="preserve">rea, </w:t>
      </w:r>
      <w:proofErr w:type="gramStart"/>
      <w:r w:rsidRPr="00835904">
        <w:rPr>
          <w:sz w:val="22"/>
          <w:szCs w:val="22"/>
        </w:rPr>
        <w:t>gender</w:t>
      </w:r>
      <w:proofErr w:type="gramEnd"/>
      <w:r w:rsidRPr="00835904">
        <w:rPr>
          <w:sz w:val="22"/>
          <w:szCs w:val="22"/>
        </w:rPr>
        <w:t xml:space="preserve"> and </w:t>
      </w:r>
      <w:proofErr w:type="spellStart"/>
      <w:r w:rsidRPr="00835904">
        <w:rPr>
          <w:sz w:val="22"/>
          <w:szCs w:val="22"/>
        </w:rPr>
        <w:t>years</w:t>
      </w:r>
      <w:proofErr w:type="spellEnd"/>
      <w:r w:rsidRPr="00835904">
        <w:rPr>
          <w:sz w:val="22"/>
          <w:szCs w:val="22"/>
        </w:rPr>
        <w:t xml:space="preserve"> </w:t>
      </w:r>
      <w:r w:rsidR="00216540" w:rsidRPr="00835904">
        <w:rPr>
          <w:sz w:val="22"/>
          <w:szCs w:val="22"/>
        </w:rPr>
        <w:t>post-</w:t>
      </w:r>
      <w:r w:rsidRPr="00835904">
        <w:rPr>
          <w:sz w:val="22"/>
          <w:szCs w:val="22"/>
        </w:rPr>
        <w:t>PhD completion of CIA</w:t>
      </w:r>
      <w:r w:rsidR="003D2704" w:rsidRPr="00835904">
        <w:rPr>
          <w:rStyle w:val="FootnoteReference"/>
          <w:sz w:val="22"/>
          <w:szCs w:val="22"/>
        </w:rPr>
        <w:footnoteReference w:id="2"/>
      </w:r>
      <w:r w:rsidRPr="00835904">
        <w:rPr>
          <w:sz w:val="22"/>
          <w:szCs w:val="22"/>
        </w:rPr>
        <w:t>, and state or territory</w:t>
      </w:r>
      <w:r w:rsidR="00835904" w:rsidRPr="00835904">
        <w:rPr>
          <w:sz w:val="22"/>
          <w:szCs w:val="22"/>
        </w:rPr>
        <w:t xml:space="preserve"> of the </w:t>
      </w:r>
      <w:r w:rsidR="00C000B9">
        <w:rPr>
          <w:sz w:val="22"/>
          <w:szCs w:val="22"/>
        </w:rPr>
        <w:t>eligible organisation</w:t>
      </w:r>
      <w:r w:rsidRPr="00835904">
        <w:rPr>
          <w:sz w:val="22"/>
          <w:szCs w:val="22"/>
        </w:rPr>
        <w:t>. Further details of these and other aspects are discussed within the report.</w:t>
      </w:r>
    </w:p>
    <w:p w14:paraId="1960DE75" w14:textId="7F6A0C58" w:rsidR="006645F3" w:rsidRPr="00766DC6" w:rsidRDefault="006645F3" w:rsidP="005A2D97">
      <w:pPr>
        <w:pStyle w:val="Paragraphtext"/>
        <w:spacing w:after="120"/>
        <w:jc w:val="both"/>
        <w:rPr>
          <w:sz w:val="22"/>
          <w:szCs w:val="22"/>
        </w:rPr>
      </w:pPr>
      <w:r w:rsidRPr="00C21DD2">
        <w:rPr>
          <w:sz w:val="22"/>
          <w:szCs w:val="22"/>
        </w:rPr>
        <w:t xml:space="preserve">   </w:t>
      </w:r>
    </w:p>
    <w:p w14:paraId="3442E979" w14:textId="77777777" w:rsidR="006645F3" w:rsidRPr="009B51D2" w:rsidRDefault="006645F3" w:rsidP="00B95348">
      <w:pPr>
        <w:pStyle w:val="TableHeader"/>
        <w:rPr>
          <w:szCs w:val="21"/>
        </w:rPr>
      </w:pPr>
      <w:r w:rsidRPr="009B51D2">
        <w:rPr>
          <w:szCs w:val="21"/>
        </w:rPr>
        <w:t xml:space="preserve">Figure 1 – </w:t>
      </w:r>
      <w:bookmarkStart w:id="7" w:name="_Hlk129899661"/>
      <w:r w:rsidRPr="009B51D2">
        <w:rPr>
          <w:szCs w:val="21"/>
        </w:rPr>
        <w:t>Proportion of funding awarded by</w:t>
      </w:r>
      <w:bookmarkEnd w:id="7"/>
      <w:r w:rsidRPr="009B51D2">
        <w:rPr>
          <w:szCs w:val="21"/>
        </w:rPr>
        <w:t xml:space="preserve"> different characteristics</w:t>
      </w:r>
    </w:p>
    <w:p w14:paraId="06039EED" w14:textId="3CCA3B05" w:rsidR="006645F3" w:rsidRPr="00F32336" w:rsidRDefault="006645F3" w:rsidP="00B63C0E">
      <w:pPr>
        <w:pStyle w:val="Paragraphtext"/>
        <w:numPr>
          <w:ilvl w:val="0"/>
          <w:numId w:val="15"/>
        </w:numPr>
        <w:rPr>
          <w:i/>
          <w:iCs/>
          <w:sz w:val="18"/>
          <w:szCs w:val="18"/>
        </w:rPr>
      </w:pPr>
      <w:r w:rsidRPr="00F32336">
        <w:rPr>
          <w:sz w:val="18"/>
          <w:szCs w:val="18"/>
        </w:rPr>
        <w:t xml:space="preserve">Broad </w:t>
      </w:r>
      <w:r w:rsidR="007D756F">
        <w:rPr>
          <w:sz w:val="18"/>
          <w:szCs w:val="18"/>
        </w:rPr>
        <w:t>R</w:t>
      </w:r>
      <w:r w:rsidRPr="00F32336">
        <w:rPr>
          <w:sz w:val="18"/>
          <w:szCs w:val="18"/>
        </w:rPr>
        <w:t xml:space="preserve">esearch </w:t>
      </w:r>
      <w:r w:rsidR="007D756F">
        <w:rPr>
          <w:sz w:val="18"/>
          <w:szCs w:val="18"/>
        </w:rPr>
        <w:t>A</w:t>
      </w:r>
      <w:r w:rsidRPr="00F32336">
        <w:rPr>
          <w:sz w:val="18"/>
          <w:szCs w:val="18"/>
        </w:rPr>
        <w:t>rea</w:t>
      </w:r>
    </w:p>
    <w:p w14:paraId="53F4A703" w14:textId="3F6143A5" w:rsidR="006645F3" w:rsidRPr="00A23B2C" w:rsidRDefault="003A22F5" w:rsidP="00766DC6">
      <w:pPr>
        <w:ind w:left="357" w:hanging="357"/>
      </w:pPr>
      <w:r>
        <w:rPr>
          <w:noProof/>
        </w:rPr>
        <mc:AlternateContent>
          <mc:Choice Requires="cx1">
            <w:drawing>
              <wp:inline distT="0" distB="0" distL="0" distR="0" wp14:anchorId="116CE876" wp14:editId="13D9F2CF">
                <wp:extent cx="6120000" cy="720000"/>
                <wp:effectExtent l="0" t="0" r="14605" b="4445"/>
                <wp:docPr id="3" name="Chart 3" descr="Clinical medicine and science research 56%&#10;Health services research 20%&#10;Public health research 13%&#10;Basic science research 11%">
                  <a:extLst xmlns:a="http://schemas.openxmlformats.org/drawingml/2006/main">
                    <a:ext uri="{FF2B5EF4-FFF2-40B4-BE49-F238E27FC236}">
                      <a16:creationId xmlns:a16="http://schemas.microsoft.com/office/drawing/2014/main" id="{10E7B697-97B6-4F1C-AE01-0C8AAA3248C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inline>
            </w:drawing>
          </mc:Choice>
          <mc:Fallback>
            <w:drawing>
              <wp:inline distT="0" distB="0" distL="0" distR="0" wp14:anchorId="116CE876" wp14:editId="13D9F2CF">
                <wp:extent cx="6120000" cy="720000"/>
                <wp:effectExtent l="0" t="0" r="14605" b="4445"/>
                <wp:docPr id="3" name="Chart 3" descr="Clinical medicine and science research 56%&#10;Health services research 20%&#10;Public health research 13%&#10;Basic science research 11%">
                  <a:extLst xmlns:a="http://schemas.openxmlformats.org/drawingml/2006/main">
                    <a:ext uri="{FF2B5EF4-FFF2-40B4-BE49-F238E27FC236}">
                      <a16:creationId xmlns:a16="http://schemas.microsoft.com/office/drawing/2014/main" id="{10E7B697-97B6-4F1C-AE01-0C8AAA3248C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descr="Clinical medicine and science research 56%&#10;Health services research 20%&#10;Public health research 13%&#10;Basic science research 11%">
                          <a:extLst>
                            <a:ext uri="{FF2B5EF4-FFF2-40B4-BE49-F238E27FC236}">
                              <a16:creationId xmlns:a16="http://schemas.microsoft.com/office/drawing/2014/main" id="{10E7B697-97B6-4F1C-AE01-0C8AAA3248CF}"/>
                            </a:ext>
                          </a:extLst>
                        </pic:cNvPr>
                        <pic:cNvPicPr>
                          <a:picLocks noGrp="1" noRot="1" noChangeAspect="1" noMove="1" noResize="1" noEditPoints="1" noAdjustHandles="1" noChangeArrowheads="1" noChangeShapeType="1"/>
                        </pic:cNvPicPr>
                      </pic:nvPicPr>
                      <pic:blipFill>
                        <a:blip r:embed="rId27"/>
                        <a:stretch>
                          <a:fillRect/>
                        </a:stretch>
                      </pic:blipFill>
                      <pic:spPr>
                        <a:xfrm>
                          <a:off x="0" y="0"/>
                          <a:ext cx="6119495" cy="719455"/>
                        </a:xfrm>
                        <a:prstGeom prst="rect">
                          <a:avLst/>
                        </a:prstGeom>
                      </pic:spPr>
                    </pic:pic>
                  </a:graphicData>
                </a:graphic>
              </wp:inline>
            </w:drawing>
          </mc:Fallback>
        </mc:AlternateContent>
      </w:r>
    </w:p>
    <w:p w14:paraId="6BB811C7" w14:textId="36721262" w:rsidR="006645F3" w:rsidRPr="00F32336" w:rsidRDefault="006645F3" w:rsidP="00B63C0E">
      <w:pPr>
        <w:pStyle w:val="Paragraphtext"/>
        <w:numPr>
          <w:ilvl w:val="0"/>
          <w:numId w:val="15"/>
        </w:numPr>
        <w:rPr>
          <w:sz w:val="18"/>
          <w:szCs w:val="18"/>
        </w:rPr>
      </w:pPr>
      <w:r w:rsidRPr="00F32336">
        <w:rPr>
          <w:sz w:val="18"/>
          <w:szCs w:val="18"/>
        </w:rPr>
        <w:t>Gender of lead chief investigator (CIA)</w:t>
      </w:r>
    </w:p>
    <w:p w14:paraId="0F8EEA85" w14:textId="4307417A" w:rsidR="006645F3" w:rsidRPr="00F32336" w:rsidRDefault="003A22F5" w:rsidP="006645F3">
      <w:pPr>
        <w:ind w:left="360" w:hanging="360"/>
      </w:pPr>
      <w:r>
        <w:rPr>
          <w:noProof/>
        </w:rPr>
        <mc:AlternateContent>
          <mc:Choice Requires="cx1">
            <w:drawing>
              <wp:inline distT="0" distB="0" distL="0" distR="0" wp14:anchorId="0867BD5D" wp14:editId="2191F906">
                <wp:extent cx="6120000" cy="720000"/>
                <wp:effectExtent l="0" t="0" r="14605" b="4445"/>
                <wp:docPr id="4" name="Chart 4" descr="Woman 60%&#10;Man 40%">
                  <a:extLst xmlns:a="http://schemas.openxmlformats.org/drawingml/2006/main">
                    <a:ext uri="{FF2B5EF4-FFF2-40B4-BE49-F238E27FC236}">
                      <a16:creationId xmlns:a16="http://schemas.microsoft.com/office/drawing/2014/main" id="{21C4B4BE-9AB5-4245-B4C7-C1C584935A1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0867BD5D" wp14:editId="2191F906">
                <wp:extent cx="6120000" cy="720000"/>
                <wp:effectExtent l="0" t="0" r="14605" b="4445"/>
                <wp:docPr id="4" name="Chart 4" descr="Woman 60%&#10;Man 40%">
                  <a:extLst xmlns:a="http://schemas.openxmlformats.org/drawingml/2006/main">
                    <a:ext uri="{FF2B5EF4-FFF2-40B4-BE49-F238E27FC236}">
                      <a16:creationId xmlns:a16="http://schemas.microsoft.com/office/drawing/2014/main" id="{21C4B4BE-9AB5-4245-B4C7-C1C584935A1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descr="Woman 60%&#10;Man 40%">
                          <a:extLst>
                            <a:ext uri="{FF2B5EF4-FFF2-40B4-BE49-F238E27FC236}">
                              <a16:creationId xmlns:a16="http://schemas.microsoft.com/office/drawing/2014/main" id="{21C4B4BE-9AB5-4245-B4C7-C1C584935A1A}"/>
                            </a:ext>
                          </a:extLst>
                        </pic:cNvPr>
                        <pic:cNvPicPr>
                          <a:picLocks noGrp="1" noRot="1" noChangeAspect="1" noMove="1" noResize="1" noEditPoints="1" noAdjustHandles="1" noChangeArrowheads="1" noChangeShapeType="1"/>
                        </pic:cNvPicPr>
                      </pic:nvPicPr>
                      <pic:blipFill>
                        <a:blip r:embed="rId29"/>
                        <a:stretch>
                          <a:fillRect/>
                        </a:stretch>
                      </pic:blipFill>
                      <pic:spPr>
                        <a:xfrm>
                          <a:off x="0" y="0"/>
                          <a:ext cx="6119495" cy="719455"/>
                        </a:xfrm>
                        <a:prstGeom prst="rect">
                          <a:avLst/>
                        </a:prstGeom>
                      </pic:spPr>
                    </pic:pic>
                  </a:graphicData>
                </a:graphic>
              </wp:inline>
            </w:drawing>
          </mc:Fallback>
        </mc:AlternateContent>
      </w:r>
    </w:p>
    <w:p w14:paraId="78C7A117" w14:textId="3E397375" w:rsidR="006645F3" w:rsidRPr="00F32336" w:rsidRDefault="006645F3" w:rsidP="00B63C0E">
      <w:pPr>
        <w:pStyle w:val="Paragraphtext"/>
        <w:numPr>
          <w:ilvl w:val="0"/>
          <w:numId w:val="15"/>
        </w:numPr>
        <w:rPr>
          <w:sz w:val="18"/>
          <w:szCs w:val="18"/>
        </w:rPr>
      </w:pPr>
      <w:r w:rsidRPr="00F32336">
        <w:rPr>
          <w:sz w:val="18"/>
          <w:szCs w:val="18"/>
        </w:rPr>
        <w:t>Years</w:t>
      </w:r>
      <w:r w:rsidR="00321EE7">
        <w:rPr>
          <w:sz w:val="18"/>
          <w:szCs w:val="18"/>
        </w:rPr>
        <w:t xml:space="preserve"> </w:t>
      </w:r>
      <w:r w:rsidRPr="00F32336">
        <w:rPr>
          <w:sz w:val="18"/>
          <w:szCs w:val="18"/>
        </w:rPr>
        <w:t>post</w:t>
      </w:r>
      <w:r w:rsidR="00321EE7">
        <w:rPr>
          <w:sz w:val="18"/>
          <w:szCs w:val="18"/>
        </w:rPr>
        <w:t>-</w:t>
      </w:r>
      <w:r w:rsidRPr="00F32336">
        <w:rPr>
          <w:sz w:val="18"/>
          <w:szCs w:val="18"/>
        </w:rPr>
        <w:t xml:space="preserve">PhD of lead chief investigators (CIA) </w:t>
      </w:r>
      <w:r>
        <w:rPr>
          <w:sz w:val="18"/>
          <w:szCs w:val="18"/>
        </w:rPr>
        <w:t xml:space="preserve">- without adjustment for </w:t>
      </w:r>
      <w:r w:rsidRPr="00F32336">
        <w:rPr>
          <w:sz w:val="18"/>
          <w:szCs w:val="18"/>
        </w:rPr>
        <w:t>career disruption</w:t>
      </w:r>
    </w:p>
    <w:p w14:paraId="380F2259" w14:textId="52FB3656" w:rsidR="006645F3" w:rsidRPr="002C0AD9" w:rsidRDefault="002C0AD9" w:rsidP="002C0AD9">
      <w:pPr>
        <w:pStyle w:val="Paragraphtext"/>
        <w:ind w:left="360" w:hanging="360"/>
      </w:pPr>
      <w:r>
        <w:rPr>
          <w:noProof/>
        </w:rPr>
        <mc:AlternateContent>
          <mc:Choice Requires="cx1">
            <w:drawing>
              <wp:inline distT="0" distB="0" distL="0" distR="0" wp14:anchorId="07DF1414" wp14:editId="1519CC1C">
                <wp:extent cx="6120000" cy="720000"/>
                <wp:effectExtent l="0" t="0" r="14605" b="4445"/>
                <wp:docPr id="5" name="Chart 5" descr="6 to 10 years 46%&#10;0 to 5 years 28%&#10;Over 10 years 26%">
                  <a:extLst xmlns:a="http://schemas.openxmlformats.org/drawingml/2006/main">
                    <a:ext uri="{FF2B5EF4-FFF2-40B4-BE49-F238E27FC236}">
                      <a16:creationId xmlns:a16="http://schemas.microsoft.com/office/drawing/2014/main" id="{00D8C587-3772-41A3-84F1-1F2B9A93753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0"/>
                  </a:graphicData>
                </a:graphic>
              </wp:inline>
            </w:drawing>
          </mc:Choice>
          <mc:Fallback>
            <w:drawing>
              <wp:inline distT="0" distB="0" distL="0" distR="0" wp14:anchorId="07DF1414" wp14:editId="1519CC1C">
                <wp:extent cx="6120000" cy="720000"/>
                <wp:effectExtent l="0" t="0" r="14605" b="4445"/>
                <wp:docPr id="5" name="Chart 5" descr="6 to 10 years 46%&#10;0 to 5 years 28%&#10;Over 10 years 26%">
                  <a:extLst xmlns:a="http://schemas.openxmlformats.org/drawingml/2006/main">
                    <a:ext uri="{FF2B5EF4-FFF2-40B4-BE49-F238E27FC236}">
                      <a16:creationId xmlns:a16="http://schemas.microsoft.com/office/drawing/2014/main" id="{00D8C587-3772-41A3-84F1-1F2B9A93753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descr="6 to 10 years 46%&#10;0 to 5 years 28%&#10;Over 10 years 26%">
                          <a:extLst>
                            <a:ext uri="{FF2B5EF4-FFF2-40B4-BE49-F238E27FC236}">
                              <a16:creationId xmlns:a16="http://schemas.microsoft.com/office/drawing/2014/main" id="{00D8C587-3772-41A3-84F1-1F2B9A937539}"/>
                            </a:ext>
                          </a:extLst>
                        </pic:cNvPr>
                        <pic:cNvPicPr>
                          <a:picLocks noGrp="1" noRot="1" noChangeAspect="1" noMove="1" noResize="1" noEditPoints="1" noAdjustHandles="1" noChangeArrowheads="1" noChangeShapeType="1"/>
                        </pic:cNvPicPr>
                      </pic:nvPicPr>
                      <pic:blipFill>
                        <a:blip r:embed="rId31"/>
                        <a:stretch>
                          <a:fillRect/>
                        </a:stretch>
                      </pic:blipFill>
                      <pic:spPr>
                        <a:xfrm>
                          <a:off x="0" y="0"/>
                          <a:ext cx="6119495" cy="719455"/>
                        </a:xfrm>
                        <a:prstGeom prst="rect">
                          <a:avLst/>
                        </a:prstGeom>
                      </pic:spPr>
                    </pic:pic>
                  </a:graphicData>
                </a:graphic>
              </wp:inline>
            </w:drawing>
          </mc:Fallback>
        </mc:AlternateContent>
      </w:r>
    </w:p>
    <w:p w14:paraId="37A57F02" w14:textId="2E4AFE06" w:rsidR="006645F3" w:rsidRDefault="006645F3" w:rsidP="00B63C0E">
      <w:pPr>
        <w:pStyle w:val="Paragraphtext"/>
        <w:numPr>
          <w:ilvl w:val="0"/>
          <w:numId w:val="15"/>
        </w:numPr>
        <w:rPr>
          <w:sz w:val="20"/>
          <w:szCs w:val="20"/>
        </w:rPr>
      </w:pPr>
      <w:r w:rsidRPr="00F32336">
        <w:rPr>
          <w:sz w:val="18"/>
          <w:szCs w:val="18"/>
        </w:rPr>
        <w:t>States and territories</w:t>
      </w:r>
      <w:r w:rsidRPr="00F32336">
        <w:rPr>
          <w:sz w:val="20"/>
          <w:szCs w:val="20"/>
        </w:rPr>
        <w:t xml:space="preserve"> </w:t>
      </w:r>
    </w:p>
    <w:p w14:paraId="01A8E3B7" w14:textId="45E492A9" w:rsidR="006645F3" w:rsidRPr="00835904" w:rsidRDefault="002C0AD9" w:rsidP="00835904">
      <w:pPr>
        <w:pStyle w:val="Paragraphtext"/>
        <w:rPr>
          <w:sz w:val="20"/>
          <w:szCs w:val="20"/>
        </w:rPr>
      </w:pPr>
      <w:r>
        <w:rPr>
          <w:noProof/>
        </w:rPr>
        <mc:AlternateContent>
          <mc:Choice Requires="cx1">
            <w:drawing>
              <wp:inline distT="0" distB="0" distL="0" distR="0" wp14:anchorId="333AC5AE" wp14:editId="21A5199D">
                <wp:extent cx="6120000" cy="720000"/>
                <wp:effectExtent l="0" t="0" r="14605" b="4445"/>
                <wp:docPr id="6" name="Chart 6" descr="Vic 31%&#10;WA 25%&#10;Qld 20%&#10;NSW 18%&#10;ACT 4%&#10;SA 2%">
                  <a:extLst xmlns:a="http://schemas.openxmlformats.org/drawingml/2006/main">
                    <a:ext uri="{FF2B5EF4-FFF2-40B4-BE49-F238E27FC236}">
                      <a16:creationId xmlns:a16="http://schemas.microsoft.com/office/drawing/2014/main" id="{29BBEAAE-1208-4AF1-8CC6-65047A24536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2"/>
                  </a:graphicData>
                </a:graphic>
              </wp:inline>
            </w:drawing>
          </mc:Choice>
          <mc:Fallback>
            <w:drawing>
              <wp:inline distT="0" distB="0" distL="0" distR="0" wp14:anchorId="333AC5AE" wp14:editId="21A5199D">
                <wp:extent cx="6120000" cy="720000"/>
                <wp:effectExtent l="0" t="0" r="14605" b="4445"/>
                <wp:docPr id="6" name="Chart 6" descr="Vic 31%&#10;WA 25%&#10;Qld 20%&#10;NSW 18%&#10;ACT 4%&#10;SA 2%">
                  <a:extLst xmlns:a="http://schemas.openxmlformats.org/drawingml/2006/main">
                    <a:ext uri="{FF2B5EF4-FFF2-40B4-BE49-F238E27FC236}">
                      <a16:creationId xmlns:a16="http://schemas.microsoft.com/office/drawing/2014/main" id="{29BBEAAE-1208-4AF1-8CC6-65047A24536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descr="Vic 31%&#10;WA 25%&#10;Qld 20%&#10;NSW 18%&#10;ACT 4%&#10;SA 2%">
                          <a:extLst>
                            <a:ext uri="{FF2B5EF4-FFF2-40B4-BE49-F238E27FC236}">
                              <a16:creationId xmlns:a16="http://schemas.microsoft.com/office/drawing/2014/main" id="{29BBEAAE-1208-4AF1-8CC6-65047A24536E}"/>
                            </a:ext>
                          </a:extLst>
                        </pic:cNvPr>
                        <pic:cNvPicPr>
                          <a:picLocks noGrp="1" noRot="1" noChangeAspect="1" noMove="1" noResize="1" noEditPoints="1" noAdjustHandles="1" noChangeArrowheads="1" noChangeShapeType="1"/>
                        </pic:cNvPicPr>
                      </pic:nvPicPr>
                      <pic:blipFill>
                        <a:blip r:embed="rId33"/>
                        <a:stretch>
                          <a:fillRect/>
                        </a:stretch>
                      </pic:blipFill>
                      <pic:spPr>
                        <a:xfrm>
                          <a:off x="0" y="0"/>
                          <a:ext cx="6119495" cy="719455"/>
                        </a:xfrm>
                        <a:prstGeom prst="rect">
                          <a:avLst/>
                        </a:prstGeom>
                      </pic:spPr>
                    </pic:pic>
                  </a:graphicData>
                </a:graphic>
              </wp:inline>
            </w:drawing>
          </mc:Fallback>
        </mc:AlternateContent>
      </w:r>
    </w:p>
    <w:p w14:paraId="1D3BD39E" w14:textId="026C1FF9" w:rsidR="008F53E6" w:rsidRPr="00292E55" w:rsidRDefault="00212E77" w:rsidP="00EE4B98">
      <w:pPr>
        <w:pStyle w:val="Heading1"/>
      </w:pPr>
      <w:bookmarkStart w:id="8" w:name="_Hlk129174592"/>
      <w:bookmarkStart w:id="9" w:name="_Toc131338399"/>
      <w:r>
        <w:lastRenderedPageBreak/>
        <w:t xml:space="preserve">Progression of applications through the </w:t>
      </w:r>
      <w:r w:rsidR="0092272D" w:rsidRPr="0092272D">
        <w:t>2021 Early to Mid-Career Researchers Grant Opportunity</w:t>
      </w:r>
      <w:bookmarkEnd w:id="8"/>
      <w:bookmarkEnd w:id="9"/>
    </w:p>
    <w:p w14:paraId="01E8B974" w14:textId="1F117230" w:rsidR="00212E77" w:rsidRPr="00745D11" w:rsidRDefault="00E50EE5" w:rsidP="00EE4B98">
      <w:pPr>
        <w:spacing w:before="120"/>
        <w:jc w:val="both"/>
        <w:rPr>
          <w:sz w:val="22"/>
          <w:szCs w:val="22"/>
        </w:rPr>
      </w:pPr>
      <w:r w:rsidRPr="00745D11">
        <w:rPr>
          <w:sz w:val="22"/>
          <w:szCs w:val="22"/>
        </w:rPr>
        <w:t xml:space="preserve">Applications for funding under the MRFF undergo rigorous assessment processes by </w:t>
      </w:r>
      <w:r w:rsidR="008C0CB2" w:rsidRPr="00745D11">
        <w:rPr>
          <w:sz w:val="22"/>
          <w:szCs w:val="22"/>
        </w:rPr>
        <w:t xml:space="preserve">an </w:t>
      </w:r>
      <w:r w:rsidRPr="00745D11">
        <w:rPr>
          <w:sz w:val="22"/>
          <w:szCs w:val="22"/>
        </w:rPr>
        <w:t xml:space="preserve">independent </w:t>
      </w:r>
      <w:hyperlink r:id="rId34" w:history="1">
        <w:r w:rsidRPr="00745D11">
          <w:rPr>
            <w:rStyle w:val="Hyperlink"/>
            <w:sz w:val="22"/>
            <w:szCs w:val="22"/>
          </w:rPr>
          <w:t>grant assessment committee (GAC)</w:t>
        </w:r>
      </w:hyperlink>
      <w:r w:rsidRPr="00745D11">
        <w:rPr>
          <w:sz w:val="22"/>
          <w:szCs w:val="22"/>
        </w:rPr>
        <w:t xml:space="preserve">. The </w:t>
      </w:r>
      <w:r w:rsidR="005D395A" w:rsidRPr="00745D11">
        <w:rPr>
          <w:sz w:val="22"/>
          <w:szCs w:val="22"/>
        </w:rPr>
        <w:t>2021 Early to Mid-Career Researchers Grant Opportunity</w:t>
      </w:r>
      <w:r w:rsidR="005D395A" w:rsidRPr="00745D11" w:rsidDel="0092272D">
        <w:rPr>
          <w:sz w:val="22"/>
          <w:szCs w:val="22"/>
        </w:rPr>
        <w:t xml:space="preserve"> </w:t>
      </w:r>
      <w:r w:rsidRPr="00745D11">
        <w:rPr>
          <w:sz w:val="22"/>
          <w:szCs w:val="22"/>
        </w:rPr>
        <w:t xml:space="preserve">was administered by </w:t>
      </w:r>
      <w:r w:rsidR="00D176D1" w:rsidRPr="00745D11">
        <w:rPr>
          <w:sz w:val="22"/>
          <w:szCs w:val="22"/>
        </w:rPr>
        <w:t xml:space="preserve">the </w:t>
      </w:r>
      <w:r w:rsidR="008C0CB2" w:rsidRPr="00745D11">
        <w:rPr>
          <w:sz w:val="22"/>
          <w:szCs w:val="22"/>
        </w:rPr>
        <w:t>National Health and Medical Research Council (</w:t>
      </w:r>
      <w:r w:rsidRPr="00745D11">
        <w:rPr>
          <w:sz w:val="22"/>
          <w:szCs w:val="22"/>
        </w:rPr>
        <w:t>NHMR</w:t>
      </w:r>
      <w:r w:rsidR="006645F3" w:rsidRPr="00745D11">
        <w:rPr>
          <w:sz w:val="22"/>
          <w:szCs w:val="22"/>
        </w:rPr>
        <w:t>C)</w:t>
      </w:r>
      <w:r w:rsidR="0047366C">
        <w:rPr>
          <w:sz w:val="22"/>
          <w:szCs w:val="22"/>
        </w:rPr>
        <w:t xml:space="preserve"> and</w:t>
      </w:r>
      <w:r w:rsidR="00B14B34" w:rsidRPr="00745D11">
        <w:rPr>
          <w:sz w:val="22"/>
          <w:szCs w:val="22"/>
        </w:rPr>
        <w:t xml:space="preserve"> </w:t>
      </w:r>
      <w:r w:rsidRPr="00745D11">
        <w:rPr>
          <w:sz w:val="22"/>
          <w:szCs w:val="22"/>
        </w:rPr>
        <w:t>187 independent experts</w:t>
      </w:r>
      <w:r w:rsidR="00D176D1" w:rsidRPr="00745D11">
        <w:rPr>
          <w:sz w:val="22"/>
          <w:szCs w:val="22"/>
        </w:rPr>
        <w:t xml:space="preserve"> were</w:t>
      </w:r>
      <w:r w:rsidRPr="00745D11">
        <w:rPr>
          <w:sz w:val="22"/>
          <w:szCs w:val="22"/>
        </w:rPr>
        <w:t xml:space="preserve"> involved in the assessment of </w:t>
      </w:r>
      <w:r w:rsidR="00B14B34" w:rsidRPr="00745D11">
        <w:rPr>
          <w:sz w:val="22"/>
          <w:szCs w:val="22"/>
        </w:rPr>
        <w:t xml:space="preserve">this </w:t>
      </w:r>
      <w:r w:rsidRPr="00745D11">
        <w:rPr>
          <w:sz w:val="22"/>
          <w:szCs w:val="22"/>
        </w:rPr>
        <w:t>grant opportunity.</w:t>
      </w:r>
      <w:r w:rsidR="005D395A" w:rsidRPr="00745D11">
        <w:rPr>
          <w:sz w:val="22"/>
          <w:szCs w:val="22"/>
        </w:rPr>
        <w:t xml:space="preserve"> </w:t>
      </w:r>
      <w:r w:rsidRPr="00745D11">
        <w:rPr>
          <w:sz w:val="22"/>
          <w:szCs w:val="22"/>
        </w:rPr>
        <w:t xml:space="preserve">The </w:t>
      </w:r>
      <w:r w:rsidR="005D395A" w:rsidRPr="00745D11">
        <w:rPr>
          <w:sz w:val="22"/>
          <w:szCs w:val="22"/>
        </w:rPr>
        <w:t>g</w:t>
      </w:r>
      <w:r w:rsidR="0092272D" w:rsidRPr="00745D11">
        <w:rPr>
          <w:sz w:val="22"/>
          <w:szCs w:val="22"/>
        </w:rPr>
        <w:t xml:space="preserve">rant </w:t>
      </w:r>
      <w:r w:rsidR="005D395A" w:rsidRPr="00745D11">
        <w:rPr>
          <w:sz w:val="22"/>
          <w:szCs w:val="22"/>
        </w:rPr>
        <w:t>o</w:t>
      </w:r>
      <w:r w:rsidR="0092272D" w:rsidRPr="00745D11">
        <w:rPr>
          <w:sz w:val="22"/>
          <w:szCs w:val="22"/>
        </w:rPr>
        <w:t>pportunity</w:t>
      </w:r>
      <w:r w:rsidR="0092272D" w:rsidRPr="00745D11" w:rsidDel="0092272D">
        <w:rPr>
          <w:sz w:val="22"/>
          <w:szCs w:val="22"/>
        </w:rPr>
        <w:t xml:space="preserve"> </w:t>
      </w:r>
      <w:r w:rsidRPr="00745D11">
        <w:rPr>
          <w:sz w:val="22"/>
          <w:szCs w:val="22"/>
        </w:rPr>
        <w:t>was well subscribed and received 428 applications</w:t>
      </w:r>
      <w:r w:rsidR="006A2EFC">
        <w:rPr>
          <w:sz w:val="22"/>
          <w:szCs w:val="22"/>
        </w:rPr>
        <w:t>, which demonstrates the significant demand amongst early to mid-career researchers for funding that allows them to lead research projects.</w:t>
      </w:r>
      <w:r w:rsidR="00893F4E">
        <w:rPr>
          <w:sz w:val="22"/>
          <w:szCs w:val="22"/>
        </w:rPr>
        <w:t xml:space="preserve"> </w:t>
      </w:r>
      <w:r w:rsidR="00201DD9" w:rsidRPr="00745D11">
        <w:rPr>
          <w:sz w:val="22"/>
          <w:szCs w:val="22"/>
        </w:rPr>
        <w:t xml:space="preserve">Ten </w:t>
      </w:r>
      <w:r w:rsidR="00212E77" w:rsidRPr="00745D11">
        <w:rPr>
          <w:sz w:val="22"/>
          <w:szCs w:val="22"/>
        </w:rPr>
        <w:t xml:space="preserve">applications were found to be ineligible based on the criteria outlined in the Grant Opportunity Guidelines. </w:t>
      </w:r>
    </w:p>
    <w:p w14:paraId="545F81BA" w14:textId="771077F3" w:rsidR="0047366C" w:rsidRDefault="00420B55" w:rsidP="00766DC6">
      <w:pPr>
        <w:pStyle w:val="Paragraphtext"/>
        <w:spacing w:before="120"/>
        <w:jc w:val="both"/>
        <w:rPr>
          <w:sz w:val="22"/>
          <w:szCs w:val="22"/>
        </w:rPr>
      </w:pPr>
      <w:r>
        <w:rPr>
          <w:sz w:val="22"/>
          <w:szCs w:val="22"/>
        </w:rPr>
        <w:t xml:space="preserve">The eligible applications underwent initial assessment and scoring by 3 </w:t>
      </w:r>
      <w:r w:rsidR="00D73CF6">
        <w:rPr>
          <w:sz w:val="22"/>
          <w:szCs w:val="22"/>
        </w:rPr>
        <w:t xml:space="preserve">independent </w:t>
      </w:r>
      <w:r>
        <w:rPr>
          <w:sz w:val="22"/>
          <w:szCs w:val="22"/>
        </w:rPr>
        <w:t>experts. A total of 9</w:t>
      </w:r>
      <w:r w:rsidR="00212E77" w:rsidRPr="00745D11">
        <w:rPr>
          <w:sz w:val="22"/>
          <w:szCs w:val="22"/>
        </w:rPr>
        <w:t xml:space="preserve">9 eligible applications progressed </w:t>
      </w:r>
      <w:r w:rsidR="008C0CB2" w:rsidRPr="00745D11">
        <w:rPr>
          <w:sz w:val="22"/>
          <w:szCs w:val="22"/>
        </w:rPr>
        <w:t xml:space="preserve">for consideration by the GAC </w:t>
      </w:r>
      <w:r w:rsidR="00B14B34" w:rsidRPr="00745D11">
        <w:rPr>
          <w:sz w:val="22"/>
          <w:szCs w:val="22"/>
        </w:rPr>
        <w:t>(F</w:t>
      </w:r>
      <w:r w:rsidR="00E50EE5" w:rsidRPr="00745D11">
        <w:rPr>
          <w:sz w:val="22"/>
          <w:szCs w:val="22"/>
        </w:rPr>
        <w:t>igure 2 displays the numbers per Stream</w:t>
      </w:r>
      <w:r w:rsidR="00B14B34" w:rsidRPr="00745D11">
        <w:rPr>
          <w:sz w:val="22"/>
          <w:szCs w:val="22"/>
        </w:rPr>
        <w:t>)</w:t>
      </w:r>
      <w:r w:rsidR="00212E77" w:rsidRPr="00745D11">
        <w:rPr>
          <w:sz w:val="22"/>
          <w:szCs w:val="22"/>
        </w:rPr>
        <w:t>.</w:t>
      </w:r>
      <w:r w:rsidR="00317808">
        <w:rPr>
          <w:sz w:val="22"/>
          <w:szCs w:val="22"/>
        </w:rPr>
        <w:t xml:space="preserve"> </w:t>
      </w:r>
      <w:r w:rsidR="00D73CF6" w:rsidRPr="00420B55">
        <w:rPr>
          <w:sz w:val="22"/>
          <w:szCs w:val="22"/>
        </w:rPr>
        <w:t>The number of applications that advanced to the GAC was determined to ensure that the combined value of the requested budgets in each Stream represented at least 1.5 times the available funding for th</w:t>
      </w:r>
      <w:r w:rsidR="00D73CF6">
        <w:rPr>
          <w:sz w:val="22"/>
          <w:szCs w:val="22"/>
        </w:rPr>
        <w:t>at</w:t>
      </w:r>
      <w:r w:rsidR="00D73CF6" w:rsidRPr="00420B55">
        <w:rPr>
          <w:sz w:val="22"/>
          <w:szCs w:val="22"/>
        </w:rPr>
        <w:t xml:space="preserve"> Stream.</w:t>
      </w:r>
      <w:r w:rsidR="00D73CF6">
        <w:rPr>
          <w:sz w:val="22"/>
          <w:szCs w:val="22"/>
        </w:rPr>
        <w:t xml:space="preserve"> After full assessment and scoring at the GAC</w:t>
      </w:r>
      <w:r w:rsidR="003D2704">
        <w:rPr>
          <w:sz w:val="22"/>
          <w:szCs w:val="22"/>
        </w:rPr>
        <w:t>,</w:t>
      </w:r>
      <w:r w:rsidR="00E50EE5" w:rsidRPr="00745D11">
        <w:rPr>
          <w:sz w:val="22"/>
          <w:szCs w:val="22"/>
        </w:rPr>
        <w:t xml:space="preserve"> 33</w:t>
      </w:r>
      <w:r w:rsidR="00D73CF6">
        <w:rPr>
          <w:sz w:val="22"/>
          <w:szCs w:val="22"/>
        </w:rPr>
        <w:t xml:space="preserve"> applications</w:t>
      </w:r>
      <w:r w:rsidR="00E50EE5" w:rsidRPr="00745D11">
        <w:rPr>
          <w:sz w:val="22"/>
          <w:szCs w:val="22"/>
        </w:rPr>
        <w:t xml:space="preserve"> did not meet the minimum </w:t>
      </w:r>
      <w:r w:rsidR="00E1352B" w:rsidRPr="00745D11">
        <w:rPr>
          <w:sz w:val="22"/>
          <w:szCs w:val="22"/>
        </w:rPr>
        <w:t>score</w:t>
      </w:r>
      <w:r w:rsidR="00AB0864">
        <w:rPr>
          <w:sz w:val="22"/>
          <w:szCs w:val="22"/>
        </w:rPr>
        <w:t xml:space="preserve"> and </w:t>
      </w:r>
      <w:r w:rsidR="00120347">
        <w:rPr>
          <w:sz w:val="22"/>
          <w:szCs w:val="22"/>
        </w:rPr>
        <w:t xml:space="preserve">overall value and risk </w:t>
      </w:r>
      <w:r w:rsidR="00AB0864">
        <w:rPr>
          <w:sz w:val="22"/>
          <w:szCs w:val="22"/>
        </w:rPr>
        <w:t>rating</w:t>
      </w:r>
      <w:r w:rsidR="00E1352B" w:rsidRPr="00745D11">
        <w:rPr>
          <w:sz w:val="22"/>
          <w:szCs w:val="22"/>
        </w:rPr>
        <w:t xml:space="preserve"> </w:t>
      </w:r>
      <w:r w:rsidR="003D2704">
        <w:rPr>
          <w:sz w:val="22"/>
          <w:szCs w:val="22"/>
        </w:rPr>
        <w:t xml:space="preserve">required </w:t>
      </w:r>
      <w:r w:rsidR="00E50EE5" w:rsidRPr="00745D11">
        <w:rPr>
          <w:sz w:val="22"/>
          <w:szCs w:val="22"/>
        </w:rPr>
        <w:t>to receive MRFF funding</w:t>
      </w:r>
      <w:r w:rsidR="00D73CF6">
        <w:rPr>
          <w:sz w:val="22"/>
          <w:szCs w:val="22"/>
        </w:rPr>
        <w:t>.</w:t>
      </w:r>
      <w:r w:rsidR="00D73CF6">
        <w:rPr>
          <w:rStyle w:val="FootnoteReference"/>
          <w:sz w:val="22"/>
          <w:szCs w:val="22"/>
        </w:rPr>
        <w:footnoteReference w:id="3"/>
      </w:r>
      <w:r w:rsidR="00E50EE5" w:rsidRPr="00745D11">
        <w:rPr>
          <w:sz w:val="22"/>
          <w:szCs w:val="22"/>
        </w:rPr>
        <w:t xml:space="preserve"> </w:t>
      </w:r>
    </w:p>
    <w:p w14:paraId="4DD6ADB9" w14:textId="77777777" w:rsidR="00FD4087" w:rsidRPr="00745D11" w:rsidRDefault="00FD4087" w:rsidP="005A2D97">
      <w:pPr>
        <w:pStyle w:val="Paragraphtext"/>
        <w:spacing w:before="120"/>
        <w:jc w:val="both"/>
        <w:rPr>
          <w:sz w:val="22"/>
          <w:szCs w:val="22"/>
        </w:rPr>
      </w:pPr>
    </w:p>
    <w:p w14:paraId="2E501135" w14:textId="5639D8E9" w:rsidR="00375A4E" w:rsidRPr="009B51D2" w:rsidRDefault="00375A4E" w:rsidP="00B95348">
      <w:pPr>
        <w:pStyle w:val="TableHeader"/>
        <w:rPr>
          <w:szCs w:val="21"/>
        </w:rPr>
      </w:pPr>
      <w:r w:rsidRPr="009B51D2">
        <w:rPr>
          <w:szCs w:val="21"/>
        </w:rPr>
        <w:t xml:space="preserve">Figure 2 – </w:t>
      </w:r>
      <w:r w:rsidR="00C14C89" w:rsidRPr="009B51D2">
        <w:rPr>
          <w:szCs w:val="21"/>
        </w:rPr>
        <w:t xml:space="preserve">Number of </w:t>
      </w:r>
      <w:r w:rsidRPr="009B51D2">
        <w:rPr>
          <w:szCs w:val="21"/>
        </w:rPr>
        <w:t>applications</w:t>
      </w:r>
      <w:r w:rsidR="00C14C89" w:rsidRPr="009B51D2">
        <w:rPr>
          <w:szCs w:val="21"/>
        </w:rPr>
        <w:t xml:space="preserve"> at each stage</w:t>
      </w:r>
      <w:r w:rsidR="0092272D" w:rsidRPr="009B51D2">
        <w:rPr>
          <w:szCs w:val="21"/>
        </w:rPr>
        <w:t xml:space="preserve"> </w:t>
      </w:r>
    </w:p>
    <w:p w14:paraId="2E500CE6" w14:textId="69CC1F60" w:rsidR="000E4EF4" w:rsidRPr="00C63F63" w:rsidRDefault="00BE164F" w:rsidP="00C63F63">
      <w:pPr>
        <w:jc w:val="center"/>
      </w:pPr>
      <w:r>
        <w:rPr>
          <w:noProof/>
        </w:rPr>
        <w:drawing>
          <wp:inline distT="0" distB="0" distL="0" distR="0" wp14:anchorId="7546BE01" wp14:editId="6511AB51">
            <wp:extent cx="3518373" cy="3143250"/>
            <wp:effectExtent l="0" t="0" r="6350" b="0"/>
            <wp:docPr id="29" name="Picture 29" descr="Diagram outlining the number of applications at each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outlining the number of applications at each stag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35326" cy="3158396"/>
                    </a:xfrm>
                    <a:prstGeom prst="rect">
                      <a:avLst/>
                    </a:prstGeom>
                    <a:noFill/>
                  </pic:spPr>
                </pic:pic>
              </a:graphicData>
            </a:graphic>
          </wp:inline>
        </w:drawing>
      </w:r>
    </w:p>
    <w:p w14:paraId="6DFE2C0B" w14:textId="47A6EC82" w:rsidR="00EE4B98" w:rsidRPr="00395123" w:rsidRDefault="00C035C1" w:rsidP="005A2D97">
      <w:pPr>
        <w:pStyle w:val="Paragraphtext"/>
        <w:spacing w:before="120"/>
        <w:jc w:val="both"/>
        <w:rPr>
          <w:sz w:val="22"/>
          <w:szCs w:val="22"/>
        </w:rPr>
      </w:pPr>
      <w:r w:rsidRPr="007058B2">
        <w:rPr>
          <w:sz w:val="22"/>
          <w:szCs w:val="22"/>
        </w:rPr>
        <w:t xml:space="preserve">For each Stream, applications </w:t>
      </w:r>
      <w:r>
        <w:rPr>
          <w:sz w:val="22"/>
          <w:szCs w:val="22"/>
        </w:rPr>
        <w:t xml:space="preserve">were </w:t>
      </w:r>
      <w:r w:rsidRPr="007058B2">
        <w:rPr>
          <w:sz w:val="22"/>
          <w:szCs w:val="22"/>
        </w:rPr>
        <w:t xml:space="preserve">funded based on rank </w:t>
      </w:r>
      <w:r>
        <w:rPr>
          <w:sz w:val="22"/>
          <w:szCs w:val="22"/>
        </w:rPr>
        <w:t xml:space="preserve">(as assessed by the GAC) </w:t>
      </w:r>
      <w:r w:rsidRPr="007058B2">
        <w:rPr>
          <w:sz w:val="22"/>
          <w:szCs w:val="22"/>
        </w:rPr>
        <w:t>until the total funding available for the Stream ha</w:t>
      </w:r>
      <w:r>
        <w:rPr>
          <w:sz w:val="22"/>
          <w:szCs w:val="22"/>
        </w:rPr>
        <w:t>d</w:t>
      </w:r>
      <w:r w:rsidRPr="007058B2">
        <w:rPr>
          <w:sz w:val="22"/>
          <w:szCs w:val="22"/>
        </w:rPr>
        <w:t xml:space="preserve"> been reached.</w:t>
      </w:r>
      <w:r>
        <w:rPr>
          <w:sz w:val="22"/>
          <w:szCs w:val="22"/>
        </w:rPr>
        <w:t xml:space="preserve"> </w:t>
      </w:r>
      <w:r w:rsidRPr="00C035C1">
        <w:rPr>
          <w:sz w:val="22"/>
          <w:szCs w:val="22"/>
        </w:rPr>
        <w:t>The remaining applications across all Streams were then pooled into a combined ranked merit list, with funding allocated until the total funding available for this grant opportunity was reached</w:t>
      </w:r>
      <w:r>
        <w:rPr>
          <w:sz w:val="22"/>
          <w:szCs w:val="22"/>
        </w:rPr>
        <w:t>.</w:t>
      </w:r>
      <w:r w:rsidRPr="00C035C1">
        <w:t xml:space="preserve"> </w:t>
      </w:r>
      <w:r w:rsidRPr="00C035C1">
        <w:rPr>
          <w:sz w:val="22"/>
          <w:szCs w:val="22"/>
        </w:rPr>
        <w:t>An additional application from Stream 2 was funded through this process resulting in the total value awarded from this Stream being higher than the allocation</w:t>
      </w:r>
      <w:r>
        <w:rPr>
          <w:sz w:val="22"/>
          <w:szCs w:val="22"/>
        </w:rPr>
        <w:t xml:space="preserve"> (see </w:t>
      </w:r>
      <w:r w:rsidR="0047366C">
        <w:rPr>
          <w:sz w:val="22"/>
          <w:szCs w:val="22"/>
        </w:rPr>
        <w:t>T</w:t>
      </w:r>
      <w:r>
        <w:rPr>
          <w:sz w:val="22"/>
          <w:szCs w:val="22"/>
        </w:rPr>
        <w:t>able 2).</w:t>
      </w:r>
      <w:r w:rsidR="006A2EFC">
        <w:rPr>
          <w:rStyle w:val="FootnoteReference"/>
          <w:sz w:val="22"/>
          <w:szCs w:val="22"/>
        </w:rPr>
        <w:footnoteReference w:id="4"/>
      </w:r>
      <w:r>
        <w:rPr>
          <w:sz w:val="22"/>
          <w:szCs w:val="22"/>
        </w:rPr>
        <w:t xml:space="preserve"> </w:t>
      </w:r>
      <w:r w:rsidRPr="00C035C1">
        <w:rPr>
          <w:sz w:val="22"/>
          <w:szCs w:val="22"/>
        </w:rPr>
        <w:t>The 2021 Early to Mid-Career Researchers Grant Opportunity led to the award of 23 grants with a total value of $42.8 million.</w:t>
      </w:r>
    </w:p>
    <w:p w14:paraId="3E493EAC" w14:textId="00D8506C" w:rsidR="00212E77" w:rsidRPr="00B95348" w:rsidRDefault="00212E77" w:rsidP="009B51D2">
      <w:pPr>
        <w:pStyle w:val="TableHeader"/>
        <w:rPr>
          <w:szCs w:val="21"/>
        </w:rPr>
      </w:pPr>
      <w:r w:rsidRPr="00B95348">
        <w:rPr>
          <w:szCs w:val="21"/>
        </w:rPr>
        <w:lastRenderedPageBreak/>
        <w:t xml:space="preserve">Table </w:t>
      </w:r>
      <w:r w:rsidR="0031114A" w:rsidRPr="00B95348">
        <w:rPr>
          <w:szCs w:val="21"/>
        </w:rPr>
        <w:t>2</w:t>
      </w:r>
      <w:r w:rsidRPr="00B95348">
        <w:rPr>
          <w:szCs w:val="21"/>
        </w:rPr>
        <w:t xml:space="preserve"> – Number of applications</w:t>
      </w:r>
      <w:r w:rsidR="000F28AB" w:rsidRPr="00B95348">
        <w:rPr>
          <w:szCs w:val="21"/>
        </w:rPr>
        <w:t xml:space="preserve"> received</w:t>
      </w:r>
      <w:r w:rsidR="00477A63" w:rsidRPr="00B95348">
        <w:rPr>
          <w:szCs w:val="21"/>
        </w:rPr>
        <w:t xml:space="preserve"> and</w:t>
      </w:r>
      <w:r w:rsidR="000F28AB" w:rsidRPr="00B95348">
        <w:rPr>
          <w:szCs w:val="21"/>
        </w:rPr>
        <w:t xml:space="preserve"> considered by the GAC</w:t>
      </w:r>
      <w:r w:rsidR="00477A63" w:rsidRPr="00B95348">
        <w:rPr>
          <w:szCs w:val="21"/>
        </w:rPr>
        <w:t>,</w:t>
      </w:r>
      <w:r w:rsidR="000F28AB" w:rsidRPr="00B95348">
        <w:rPr>
          <w:szCs w:val="21"/>
        </w:rPr>
        <w:t xml:space="preserve"> and </w:t>
      </w:r>
      <w:r w:rsidR="00C14C89" w:rsidRPr="00B95348">
        <w:rPr>
          <w:szCs w:val="21"/>
        </w:rPr>
        <w:t xml:space="preserve">grants </w:t>
      </w:r>
      <w:r w:rsidR="000F28AB" w:rsidRPr="00B95348">
        <w:rPr>
          <w:szCs w:val="21"/>
        </w:rPr>
        <w:t xml:space="preserve">awarded per </w:t>
      </w:r>
      <w:r w:rsidRPr="00B95348">
        <w:rPr>
          <w:szCs w:val="21"/>
        </w:rPr>
        <w:t xml:space="preserve">Stream </w:t>
      </w:r>
    </w:p>
    <w:tbl>
      <w:tblPr>
        <w:tblStyle w:val="MRFF"/>
        <w:tblW w:w="9070" w:type="dxa"/>
        <w:tblLayout w:type="fixed"/>
        <w:tblLook w:val="04A0" w:firstRow="1" w:lastRow="0" w:firstColumn="1" w:lastColumn="0" w:noHBand="0" w:noVBand="1"/>
      </w:tblPr>
      <w:tblGrid>
        <w:gridCol w:w="1276"/>
        <w:gridCol w:w="1134"/>
        <w:gridCol w:w="992"/>
        <w:gridCol w:w="993"/>
        <w:gridCol w:w="992"/>
        <w:gridCol w:w="1134"/>
        <w:gridCol w:w="992"/>
        <w:gridCol w:w="1557"/>
      </w:tblGrid>
      <w:tr w:rsidR="001D36C5" w:rsidRPr="006C2B28" w14:paraId="6710BDF4" w14:textId="336C92B5" w:rsidTr="00317D25">
        <w:trPr>
          <w:cnfStyle w:val="100000000000" w:firstRow="1" w:lastRow="0" w:firstColumn="0" w:lastColumn="0" w:oddVBand="0" w:evenVBand="0" w:oddHBand="0" w:evenHBand="0" w:firstRowFirstColumn="0" w:firstRowLastColumn="0" w:lastRowFirstColumn="0" w:lastRowLastColumn="0"/>
          <w:trHeight w:val="290"/>
        </w:trPr>
        <w:tc>
          <w:tcPr>
            <w:tcW w:w="1276" w:type="dxa"/>
            <w:tcBorders>
              <w:top w:val="single" w:sz="4" w:space="0" w:color="auto"/>
              <w:bottom w:val="single" w:sz="4" w:space="0" w:color="auto"/>
            </w:tcBorders>
            <w:noWrap/>
            <w:hideMark/>
          </w:tcPr>
          <w:p w14:paraId="1AF62248" w14:textId="77777777" w:rsidR="001D36C5" w:rsidRPr="002F0A85" w:rsidRDefault="001D36C5" w:rsidP="002F0A85">
            <w:pPr>
              <w:pStyle w:val="TableHeader"/>
              <w:rPr>
                <w:b/>
                <w:bCs/>
                <w:sz w:val="16"/>
                <w:szCs w:val="16"/>
                <w:lang w:eastAsia="en-AU"/>
              </w:rPr>
            </w:pPr>
            <w:bookmarkStart w:id="10" w:name="_Hlk128665361"/>
            <w:r w:rsidRPr="002F0A85">
              <w:rPr>
                <w:b/>
                <w:bCs/>
                <w:sz w:val="16"/>
                <w:szCs w:val="16"/>
                <w:lang w:eastAsia="en-AU"/>
              </w:rPr>
              <w:t>Stream</w:t>
            </w:r>
          </w:p>
        </w:tc>
        <w:tc>
          <w:tcPr>
            <w:tcW w:w="1134" w:type="dxa"/>
            <w:tcBorders>
              <w:top w:val="single" w:sz="4" w:space="0" w:color="auto"/>
              <w:bottom w:val="single" w:sz="4" w:space="0" w:color="auto"/>
            </w:tcBorders>
            <w:noWrap/>
            <w:hideMark/>
          </w:tcPr>
          <w:p w14:paraId="6F8DD6CE" w14:textId="3BB41F09" w:rsidR="001D36C5" w:rsidRPr="002F0A85" w:rsidRDefault="001D36C5" w:rsidP="002F0A85">
            <w:pPr>
              <w:rPr>
                <w:rFonts w:cs="Arial"/>
                <w:bCs/>
                <w:color w:val="FFFFFF"/>
                <w:sz w:val="16"/>
                <w:szCs w:val="16"/>
                <w:lang w:eastAsia="en-AU"/>
              </w:rPr>
            </w:pPr>
            <w:r w:rsidRPr="002F0A85">
              <w:rPr>
                <w:rFonts w:cs="Arial"/>
                <w:bCs/>
                <w:color w:val="FFFFFF"/>
                <w:sz w:val="16"/>
                <w:szCs w:val="16"/>
                <w:lang w:eastAsia="en-AU"/>
              </w:rPr>
              <w:t>Number of app</w:t>
            </w:r>
            <w:r w:rsidR="00AB0864" w:rsidRPr="002F0A85">
              <w:rPr>
                <w:rFonts w:cs="Arial"/>
                <w:bCs/>
                <w:color w:val="FFFFFF"/>
                <w:sz w:val="16"/>
                <w:szCs w:val="16"/>
                <w:lang w:eastAsia="en-AU"/>
              </w:rPr>
              <w:t>lications</w:t>
            </w:r>
          </w:p>
        </w:tc>
        <w:tc>
          <w:tcPr>
            <w:tcW w:w="992" w:type="dxa"/>
            <w:tcBorders>
              <w:top w:val="single" w:sz="4" w:space="0" w:color="auto"/>
              <w:bottom w:val="single" w:sz="4" w:space="0" w:color="auto"/>
            </w:tcBorders>
            <w:noWrap/>
            <w:hideMark/>
          </w:tcPr>
          <w:p w14:paraId="2F7694F3" w14:textId="08176AF3" w:rsidR="001D36C5" w:rsidRPr="002F0A85" w:rsidRDefault="001D36C5" w:rsidP="002F0A85">
            <w:pPr>
              <w:pStyle w:val="TableHeader"/>
              <w:spacing w:before="0" w:after="0"/>
              <w:rPr>
                <w:b/>
                <w:bCs/>
                <w:sz w:val="16"/>
                <w:szCs w:val="16"/>
                <w:lang w:eastAsia="en-AU"/>
              </w:rPr>
            </w:pPr>
            <w:r w:rsidRPr="002F0A85">
              <w:rPr>
                <w:b/>
                <w:bCs/>
                <w:sz w:val="16"/>
                <w:szCs w:val="16"/>
                <w:lang w:eastAsia="en-AU"/>
              </w:rPr>
              <w:t>Number assessed at GAC</w:t>
            </w:r>
          </w:p>
        </w:tc>
        <w:tc>
          <w:tcPr>
            <w:tcW w:w="993" w:type="dxa"/>
            <w:tcBorders>
              <w:top w:val="single" w:sz="4" w:space="0" w:color="auto"/>
              <w:bottom w:val="single" w:sz="4" w:space="0" w:color="auto"/>
            </w:tcBorders>
            <w:noWrap/>
            <w:hideMark/>
          </w:tcPr>
          <w:p w14:paraId="733CE858" w14:textId="77777777" w:rsidR="001D36C5" w:rsidRPr="002F0A85" w:rsidRDefault="001D36C5" w:rsidP="002F0A85">
            <w:pPr>
              <w:rPr>
                <w:rFonts w:cs="Arial"/>
                <w:bCs/>
                <w:color w:val="FFFFFF"/>
                <w:sz w:val="16"/>
                <w:szCs w:val="16"/>
                <w:lang w:eastAsia="en-AU"/>
              </w:rPr>
            </w:pPr>
            <w:r w:rsidRPr="002F0A85">
              <w:rPr>
                <w:rFonts w:cs="Arial"/>
                <w:bCs/>
                <w:color w:val="FFFFFF"/>
                <w:sz w:val="16"/>
                <w:szCs w:val="16"/>
                <w:lang w:eastAsia="en-AU"/>
              </w:rPr>
              <w:t>Number of grants awarded</w:t>
            </w:r>
          </w:p>
        </w:tc>
        <w:tc>
          <w:tcPr>
            <w:tcW w:w="992" w:type="dxa"/>
            <w:tcBorders>
              <w:top w:val="single" w:sz="4" w:space="0" w:color="auto"/>
              <w:bottom w:val="single" w:sz="4" w:space="0" w:color="auto"/>
            </w:tcBorders>
          </w:tcPr>
          <w:p w14:paraId="6533AC94" w14:textId="28200985" w:rsidR="001D36C5" w:rsidRPr="002F0A85" w:rsidRDefault="001D36C5" w:rsidP="002F0A85">
            <w:pPr>
              <w:rPr>
                <w:rFonts w:cs="Arial"/>
                <w:bCs/>
                <w:color w:val="FFFFFF"/>
                <w:sz w:val="16"/>
                <w:szCs w:val="16"/>
                <w:lang w:eastAsia="en-AU"/>
              </w:rPr>
            </w:pPr>
            <w:r w:rsidRPr="002F0A85">
              <w:rPr>
                <w:rFonts w:cs="Arial"/>
                <w:bCs/>
                <w:color w:val="FFFFFF"/>
                <w:sz w:val="16"/>
                <w:szCs w:val="16"/>
                <w:lang w:eastAsia="en-AU"/>
              </w:rPr>
              <w:t>Overall</w:t>
            </w:r>
          </w:p>
          <w:p w14:paraId="02AA6F69" w14:textId="4681AA3E" w:rsidR="001D36C5" w:rsidRPr="002F0A85" w:rsidRDefault="001D36C5" w:rsidP="002F0A85">
            <w:pPr>
              <w:rPr>
                <w:rFonts w:cs="Arial"/>
                <w:bCs/>
                <w:color w:val="FFFFFF"/>
                <w:sz w:val="16"/>
                <w:szCs w:val="16"/>
                <w:lang w:eastAsia="en-AU"/>
              </w:rPr>
            </w:pPr>
            <w:r w:rsidRPr="002F0A85">
              <w:rPr>
                <w:rFonts w:cs="Arial"/>
                <w:bCs/>
                <w:color w:val="FFFFFF"/>
                <w:sz w:val="16"/>
                <w:szCs w:val="16"/>
                <w:lang w:eastAsia="en-AU"/>
              </w:rPr>
              <w:t xml:space="preserve">funded rate </w:t>
            </w:r>
          </w:p>
        </w:tc>
        <w:tc>
          <w:tcPr>
            <w:tcW w:w="1134" w:type="dxa"/>
            <w:tcBorders>
              <w:top w:val="single" w:sz="4" w:space="0" w:color="auto"/>
              <w:bottom w:val="single" w:sz="4" w:space="0" w:color="auto"/>
            </w:tcBorders>
          </w:tcPr>
          <w:p w14:paraId="5F80B0F0" w14:textId="776CE59C" w:rsidR="001D36C5" w:rsidRPr="002F0A85" w:rsidRDefault="001D36C5" w:rsidP="002F0A85">
            <w:pPr>
              <w:rPr>
                <w:rFonts w:cs="Arial"/>
                <w:bCs/>
                <w:color w:val="FFFFFF"/>
                <w:sz w:val="16"/>
                <w:szCs w:val="16"/>
                <w:lang w:eastAsia="en-AU"/>
              </w:rPr>
            </w:pPr>
            <w:r w:rsidRPr="002F0A85">
              <w:rPr>
                <w:rFonts w:cs="Arial"/>
                <w:bCs/>
                <w:color w:val="FFFFFF"/>
                <w:sz w:val="16"/>
                <w:szCs w:val="16"/>
                <w:lang w:eastAsia="en-AU"/>
              </w:rPr>
              <w:t xml:space="preserve">Funded rate after GAC </w:t>
            </w:r>
          </w:p>
        </w:tc>
        <w:tc>
          <w:tcPr>
            <w:tcW w:w="992" w:type="dxa"/>
            <w:tcBorders>
              <w:top w:val="single" w:sz="4" w:space="0" w:color="auto"/>
              <w:bottom w:val="single" w:sz="4" w:space="0" w:color="auto"/>
            </w:tcBorders>
          </w:tcPr>
          <w:p w14:paraId="5EBA6148" w14:textId="70B534FB" w:rsidR="001D36C5" w:rsidRPr="002F0A85" w:rsidRDefault="00317808" w:rsidP="002F0A85">
            <w:pPr>
              <w:rPr>
                <w:rFonts w:cs="Arial"/>
                <w:bCs/>
                <w:color w:val="FFFFFF"/>
                <w:sz w:val="16"/>
                <w:szCs w:val="16"/>
                <w:lang w:eastAsia="en-AU"/>
              </w:rPr>
            </w:pPr>
            <w:r w:rsidRPr="002F0A85">
              <w:rPr>
                <w:rFonts w:cs="Arial"/>
                <w:bCs/>
                <w:color w:val="FFFFFF"/>
                <w:sz w:val="16"/>
                <w:szCs w:val="16"/>
                <w:lang w:eastAsia="en-AU"/>
              </w:rPr>
              <w:t xml:space="preserve">Stream </w:t>
            </w:r>
            <w:r w:rsidR="001D36C5" w:rsidRPr="002F0A85">
              <w:rPr>
                <w:rFonts w:cs="Arial"/>
                <w:bCs/>
                <w:color w:val="FFFFFF"/>
                <w:sz w:val="16"/>
                <w:szCs w:val="16"/>
                <w:lang w:eastAsia="en-AU"/>
              </w:rPr>
              <w:t>Allocatio</w:t>
            </w:r>
            <w:r w:rsidRPr="002F0A85">
              <w:rPr>
                <w:rFonts w:cs="Arial"/>
                <w:bCs/>
                <w:color w:val="FFFFFF"/>
                <w:sz w:val="16"/>
                <w:szCs w:val="16"/>
                <w:lang w:eastAsia="en-AU"/>
              </w:rPr>
              <w:t>n</w:t>
            </w:r>
          </w:p>
        </w:tc>
        <w:tc>
          <w:tcPr>
            <w:tcW w:w="1557" w:type="dxa"/>
            <w:tcBorders>
              <w:top w:val="single" w:sz="4" w:space="0" w:color="auto"/>
              <w:bottom w:val="single" w:sz="4" w:space="0" w:color="auto"/>
            </w:tcBorders>
          </w:tcPr>
          <w:p w14:paraId="6744EDDD" w14:textId="2701A82C" w:rsidR="001D36C5" w:rsidRPr="002F0A85" w:rsidRDefault="00893F4E" w:rsidP="002F0A85">
            <w:pPr>
              <w:rPr>
                <w:rFonts w:cs="Arial"/>
                <w:bCs/>
                <w:color w:val="FFFFFF"/>
                <w:sz w:val="16"/>
                <w:szCs w:val="16"/>
                <w:lang w:eastAsia="en-AU"/>
              </w:rPr>
            </w:pPr>
            <w:r w:rsidRPr="002F0A85">
              <w:rPr>
                <w:rFonts w:cs="Arial"/>
                <w:bCs/>
                <w:color w:val="FFFFFF"/>
                <w:sz w:val="16"/>
                <w:szCs w:val="16"/>
                <w:lang w:eastAsia="en-AU"/>
              </w:rPr>
              <w:t>Amount</w:t>
            </w:r>
            <w:r w:rsidR="001D36C5" w:rsidRPr="002F0A85">
              <w:rPr>
                <w:rFonts w:cs="Arial"/>
                <w:bCs/>
                <w:color w:val="FFFFFF"/>
                <w:sz w:val="16"/>
                <w:szCs w:val="16"/>
                <w:lang w:eastAsia="en-AU"/>
              </w:rPr>
              <w:t xml:space="preserve"> awarded</w:t>
            </w:r>
          </w:p>
        </w:tc>
      </w:tr>
      <w:tr w:rsidR="001D36C5" w:rsidRPr="006C2B28" w14:paraId="30C0E98D" w14:textId="5A661565" w:rsidTr="00317D25">
        <w:trPr>
          <w:trHeight w:val="290"/>
        </w:trPr>
        <w:tc>
          <w:tcPr>
            <w:tcW w:w="1276" w:type="dxa"/>
            <w:tcBorders>
              <w:top w:val="single" w:sz="4" w:space="0" w:color="auto"/>
            </w:tcBorders>
            <w:noWrap/>
            <w:hideMark/>
          </w:tcPr>
          <w:p w14:paraId="08543786"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Stream 1</w:t>
            </w:r>
          </w:p>
        </w:tc>
        <w:tc>
          <w:tcPr>
            <w:tcW w:w="1134" w:type="dxa"/>
            <w:tcBorders>
              <w:top w:val="single" w:sz="4" w:space="0" w:color="auto"/>
            </w:tcBorders>
            <w:noWrap/>
            <w:hideMark/>
          </w:tcPr>
          <w:p w14:paraId="21E2C927"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307</w:t>
            </w:r>
          </w:p>
        </w:tc>
        <w:tc>
          <w:tcPr>
            <w:tcW w:w="992" w:type="dxa"/>
            <w:tcBorders>
              <w:top w:val="single" w:sz="4" w:space="0" w:color="auto"/>
            </w:tcBorders>
            <w:noWrap/>
            <w:hideMark/>
          </w:tcPr>
          <w:p w14:paraId="144B9CDC"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53</w:t>
            </w:r>
          </w:p>
        </w:tc>
        <w:tc>
          <w:tcPr>
            <w:tcW w:w="993" w:type="dxa"/>
            <w:tcBorders>
              <w:top w:val="single" w:sz="4" w:space="0" w:color="auto"/>
            </w:tcBorders>
            <w:noWrap/>
            <w:hideMark/>
          </w:tcPr>
          <w:p w14:paraId="33CD6689"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9</w:t>
            </w:r>
          </w:p>
        </w:tc>
        <w:tc>
          <w:tcPr>
            <w:tcW w:w="992" w:type="dxa"/>
            <w:tcBorders>
              <w:top w:val="single" w:sz="4" w:space="0" w:color="auto"/>
            </w:tcBorders>
          </w:tcPr>
          <w:p w14:paraId="69E35B9A" w14:textId="776074E5" w:rsidR="001D36C5" w:rsidRPr="00B95348" w:rsidRDefault="001D36C5" w:rsidP="002F0A85">
            <w:pPr>
              <w:rPr>
                <w:rFonts w:cs="Arial"/>
                <w:color w:val="000000"/>
                <w:sz w:val="20"/>
                <w:szCs w:val="20"/>
                <w:lang w:eastAsia="en-AU"/>
              </w:rPr>
            </w:pPr>
            <w:r w:rsidRPr="00B95348">
              <w:rPr>
                <w:rFonts w:cs="Arial"/>
                <w:color w:val="000000"/>
                <w:sz w:val="20"/>
                <w:szCs w:val="20"/>
              </w:rPr>
              <w:t>2.9</w:t>
            </w:r>
            <w:r>
              <w:rPr>
                <w:rFonts w:cs="Arial"/>
                <w:color w:val="000000"/>
                <w:sz w:val="20"/>
                <w:szCs w:val="20"/>
              </w:rPr>
              <w:t>%</w:t>
            </w:r>
          </w:p>
        </w:tc>
        <w:tc>
          <w:tcPr>
            <w:tcW w:w="1134" w:type="dxa"/>
            <w:tcBorders>
              <w:top w:val="single" w:sz="4" w:space="0" w:color="auto"/>
            </w:tcBorders>
          </w:tcPr>
          <w:p w14:paraId="523E07DF" w14:textId="583BBADA"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17.0%</w:t>
            </w:r>
          </w:p>
        </w:tc>
        <w:tc>
          <w:tcPr>
            <w:tcW w:w="992" w:type="dxa"/>
            <w:tcBorders>
              <w:top w:val="single" w:sz="4" w:space="0" w:color="auto"/>
            </w:tcBorders>
          </w:tcPr>
          <w:p w14:paraId="51949E47" w14:textId="00A4AD16" w:rsidR="001D36C5" w:rsidRPr="00B95348" w:rsidRDefault="001D36C5" w:rsidP="002F0A85">
            <w:pPr>
              <w:rPr>
                <w:rFonts w:cs="Arial"/>
                <w:color w:val="000000"/>
                <w:sz w:val="20"/>
                <w:szCs w:val="20"/>
                <w:lang w:eastAsia="en-AU"/>
              </w:rPr>
            </w:pPr>
            <w:r>
              <w:rPr>
                <w:rFonts w:cs="Arial"/>
                <w:color w:val="000000"/>
                <w:sz w:val="20"/>
                <w:szCs w:val="20"/>
                <w:lang w:eastAsia="en-AU"/>
              </w:rPr>
              <w:t>$7 M</w:t>
            </w:r>
          </w:p>
        </w:tc>
        <w:tc>
          <w:tcPr>
            <w:tcW w:w="1557" w:type="dxa"/>
            <w:tcBorders>
              <w:top w:val="single" w:sz="4" w:space="0" w:color="auto"/>
            </w:tcBorders>
          </w:tcPr>
          <w:p w14:paraId="194FA2EE" w14:textId="384EFF49" w:rsidR="001D36C5" w:rsidRPr="002732E6" w:rsidRDefault="001D36C5" w:rsidP="002F0A85">
            <w:pPr>
              <w:rPr>
                <w:rFonts w:cs="Arial"/>
                <w:color w:val="000000"/>
                <w:sz w:val="20"/>
                <w:szCs w:val="20"/>
                <w:lang w:eastAsia="en-AU"/>
              </w:rPr>
            </w:pPr>
            <w:r w:rsidRPr="002732E6">
              <w:rPr>
                <w:rFonts w:cs="Arial"/>
                <w:color w:val="000000"/>
                <w:sz w:val="20"/>
                <w:szCs w:val="20"/>
                <w:lang w:eastAsia="en-AU"/>
              </w:rPr>
              <w:t>$6,416,096</w:t>
            </w:r>
          </w:p>
        </w:tc>
      </w:tr>
      <w:tr w:rsidR="001D36C5" w:rsidRPr="006C2B28" w14:paraId="42E630EA" w14:textId="1F2A32C5" w:rsidTr="00C63F63">
        <w:trPr>
          <w:trHeight w:val="290"/>
        </w:trPr>
        <w:tc>
          <w:tcPr>
            <w:tcW w:w="1276" w:type="dxa"/>
            <w:noWrap/>
            <w:hideMark/>
          </w:tcPr>
          <w:p w14:paraId="73CCA381"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Stream 2</w:t>
            </w:r>
          </w:p>
        </w:tc>
        <w:tc>
          <w:tcPr>
            <w:tcW w:w="1134" w:type="dxa"/>
            <w:noWrap/>
            <w:hideMark/>
          </w:tcPr>
          <w:p w14:paraId="0CA9918A"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100</w:t>
            </w:r>
          </w:p>
        </w:tc>
        <w:tc>
          <w:tcPr>
            <w:tcW w:w="992" w:type="dxa"/>
            <w:noWrap/>
            <w:hideMark/>
          </w:tcPr>
          <w:p w14:paraId="60411068"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30</w:t>
            </w:r>
          </w:p>
        </w:tc>
        <w:tc>
          <w:tcPr>
            <w:tcW w:w="993" w:type="dxa"/>
            <w:noWrap/>
            <w:hideMark/>
          </w:tcPr>
          <w:p w14:paraId="3B1F453E"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6</w:t>
            </w:r>
          </w:p>
        </w:tc>
        <w:tc>
          <w:tcPr>
            <w:tcW w:w="992" w:type="dxa"/>
          </w:tcPr>
          <w:p w14:paraId="39B01EBC" w14:textId="4A716822" w:rsidR="001D36C5" w:rsidRPr="00B95348" w:rsidRDefault="001D36C5" w:rsidP="002F0A85">
            <w:pPr>
              <w:rPr>
                <w:rFonts w:cs="Arial"/>
                <w:color w:val="000000"/>
                <w:sz w:val="20"/>
                <w:szCs w:val="20"/>
                <w:lang w:eastAsia="en-AU"/>
              </w:rPr>
            </w:pPr>
            <w:r w:rsidRPr="00B95348">
              <w:rPr>
                <w:rFonts w:cs="Arial"/>
                <w:color w:val="000000"/>
                <w:sz w:val="20"/>
                <w:szCs w:val="20"/>
              </w:rPr>
              <w:t>6.0</w:t>
            </w:r>
            <w:r>
              <w:rPr>
                <w:rFonts w:cs="Arial"/>
                <w:color w:val="000000"/>
                <w:sz w:val="20"/>
                <w:szCs w:val="20"/>
              </w:rPr>
              <w:t>%</w:t>
            </w:r>
          </w:p>
        </w:tc>
        <w:tc>
          <w:tcPr>
            <w:tcW w:w="1134" w:type="dxa"/>
          </w:tcPr>
          <w:p w14:paraId="3497E984" w14:textId="77738B30"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20.0%</w:t>
            </w:r>
          </w:p>
        </w:tc>
        <w:tc>
          <w:tcPr>
            <w:tcW w:w="992" w:type="dxa"/>
          </w:tcPr>
          <w:p w14:paraId="1801AA7C" w14:textId="241C70AB" w:rsidR="001D36C5" w:rsidRPr="00B95348" w:rsidRDefault="001D36C5" w:rsidP="002F0A85">
            <w:pPr>
              <w:rPr>
                <w:rFonts w:cs="Arial"/>
                <w:color w:val="000000"/>
                <w:sz w:val="20"/>
                <w:szCs w:val="20"/>
                <w:lang w:eastAsia="en-AU"/>
              </w:rPr>
            </w:pPr>
            <w:r>
              <w:rPr>
                <w:rFonts w:cs="Arial"/>
                <w:color w:val="000000"/>
                <w:sz w:val="20"/>
                <w:szCs w:val="20"/>
                <w:lang w:eastAsia="en-AU"/>
              </w:rPr>
              <w:t>$25.8 M</w:t>
            </w:r>
          </w:p>
        </w:tc>
        <w:tc>
          <w:tcPr>
            <w:tcW w:w="1557" w:type="dxa"/>
          </w:tcPr>
          <w:p w14:paraId="30EA6CC9" w14:textId="51DF2BF5" w:rsidR="001D36C5" w:rsidRPr="002732E6" w:rsidRDefault="00AB0864" w:rsidP="002F0A85">
            <w:pPr>
              <w:rPr>
                <w:rFonts w:cs="Arial"/>
                <w:color w:val="000000"/>
                <w:sz w:val="20"/>
                <w:szCs w:val="20"/>
                <w:lang w:eastAsia="en-AU"/>
              </w:rPr>
            </w:pPr>
            <w:r w:rsidRPr="002732E6">
              <w:rPr>
                <w:rFonts w:cs="Arial"/>
                <w:color w:val="000000"/>
                <w:sz w:val="20"/>
                <w:szCs w:val="20"/>
                <w:lang w:eastAsia="en-AU"/>
              </w:rPr>
              <w:t>$28,196,959</w:t>
            </w:r>
            <w:r w:rsidR="00120347" w:rsidRPr="002732E6">
              <w:rPr>
                <w:rStyle w:val="FootnoteReference"/>
                <w:rFonts w:cs="Arial"/>
                <w:color w:val="000000"/>
                <w:sz w:val="20"/>
                <w:szCs w:val="20"/>
                <w:lang w:eastAsia="en-AU"/>
              </w:rPr>
              <w:footnoteReference w:id="5"/>
            </w:r>
          </w:p>
        </w:tc>
      </w:tr>
      <w:tr w:rsidR="001D36C5" w:rsidRPr="006C2B28" w14:paraId="314B6397" w14:textId="2C5C1DDB" w:rsidTr="00C63F63">
        <w:trPr>
          <w:trHeight w:val="290"/>
        </w:trPr>
        <w:tc>
          <w:tcPr>
            <w:tcW w:w="1276" w:type="dxa"/>
            <w:noWrap/>
            <w:hideMark/>
          </w:tcPr>
          <w:p w14:paraId="13EF512F"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Stream 3</w:t>
            </w:r>
          </w:p>
        </w:tc>
        <w:tc>
          <w:tcPr>
            <w:tcW w:w="1134" w:type="dxa"/>
            <w:noWrap/>
            <w:hideMark/>
          </w:tcPr>
          <w:p w14:paraId="5F0A392F"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21</w:t>
            </w:r>
          </w:p>
        </w:tc>
        <w:tc>
          <w:tcPr>
            <w:tcW w:w="992" w:type="dxa"/>
            <w:noWrap/>
            <w:hideMark/>
          </w:tcPr>
          <w:p w14:paraId="2640BA5C"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16</w:t>
            </w:r>
          </w:p>
        </w:tc>
        <w:tc>
          <w:tcPr>
            <w:tcW w:w="993" w:type="dxa"/>
            <w:noWrap/>
            <w:hideMark/>
          </w:tcPr>
          <w:p w14:paraId="1C3A1FAF"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8</w:t>
            </w:r>
          </w:p>
        </w:tc>
        <w:tc>
          <w:tcPr>
            <w:tcW w:w="992" w:type="dxa"/>
          </w:tcPr>
          <w:p w14:paraId="7CDE4241" w14:textId="7BB4AC67" w:rsidR="001D36C5" w:rsidRPr="00B95348" w:rsidRDefault="001D36C5" w:rsidP="002F0A85">
            <w:pPr>
              <w:rPr>
                <w:rFonts w:cs="Arial"/>
                <w:color w:val="000000"/>
                <w:sz w:val="20"/>
                <w:szCs w:val="20"/>
                <w:lang w:eastAsia="en-AU"/>
              </w:rPr>
            </w:pPr>
            <w:r w:rsidRPr="00B95348">
              <w:rPr>
                <w:rFonts w:cs="Arial"/>
                <w:color w:val="000000"/>
                <w:sz w:val="20"/>
                <w:szCs w:val="20"/>
              </w:rPr>
              <w:t>38.1</w:t>
            </w:r>
            <w:r>
              <w:rPr>
                <w:rFonts w:cs="Arial"/>
                <w:color w:val="000000"/>
                <w:sz w:val="20"/>
                <w:szCs w:val="20"/>
              </w:rPr>
              <w:t>%</w:t>
            </w:r>
          </w:p>
        </w:tc>
        <w:tc>
          <w:tcPr>
            <w:tcW w:w="1134" w:type="dxa"/>
          </w:tcPr>
          <w:p w14:paraId="75A0B4F7" w14:textId="3DFEDB75"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50.0%</w:t>
            </w:r>
          </w:p>
        </w:tc>
        <w:tc>
          <w:tcPr>
            <w:tcW w:w="992" w:type="dxa"/>
          </w:tcPr>
          <w:p w14:paraId="02D675AD" w14:textId="7EDF3C33" w:rsidR="001D36C5" w:rsidRPr="00B95348" w:rsidRDefault="001D36C5" w:rsidP="002F0A85">
            <w:pPr>
              <w:rPr>
                <w:rFonts w:cs="Arial"/>
                <w:color w:val="000000"/>
                <w:sz w:val="20"/>
                <w:szCs w:val="20"/>
                <w:lang w:eastAsia="en-AU"/>
              </w:rPr>
            </w:pPr>
            <w:r>
              <w:rPr>
                <w:rFonts w:cs="Arial"/>
                <w:color w:val="000000"/>
                <w:sz w:val="20"/>
                <w:szCs w:val="20"/>
                <w:lang w:eastAsia="en-AU"/>
              </w:rPr>
              <w:t>$10 M</w:t>
            </w:r>
          </w:p>
        </w:tc>
        <w:tc>
          <w:tcPr>
            <w:tcW w:w="1557" w:type="dxa"/>
          </w:tcPr>
          <w:p w14:paraId="64F2354B" w14:textId="18B5FE6C" w:rsidR="001D36C5" w:rsidRPr="002732E6" w:rsidRDefault="00AB0864" w:rsidP="002F0A85">
            <w:pPr>
              <w:rPr>
                <w:rFonts w:cs="Arial"/>
                <w:color w:val="000000"/>
                <w:sz w:val="20"/>
                <w:szCs w:val="20"/>
                <w:lang w:eastAsia="en-AU"/>
              </w:rPr>
            </w:pPr>
            <w:r w:rsidRPr="002732E6">
              <w:rPr>
                <w:rFonts w:cs="Arial"/>
                <w:color w:val="000000"/>
                <w:sz w:val="20"/>
                <w:szCs w:val="20"/>
                <w:lang w:eastAsia="en-AU"/>
              </w:rPr>
              <w:t>$8,186,945</w:t>
            </w:r>
          </w:p>
        </w:tc>
      </w:tr>
      <w:tr w:rsidR="001D36C5" w:rsidRPr="006C2B28" w14:paraId="658657D4" w14:textId="3AF37D2D" w:rsidTr="00C63F63">
        <w:trPr>
          <w:trHeight w:val="290"/>
        </w:trPr>
        <w:tc>
          <w:tcPr>
            <w:tcW w:w="1276" w:type="dxa"/>
            <w:noWrap/>
            <w:hideMark/>
          </w:tcPr>
          <w:p w14:paraId="34385513" w14:textId="4EA47AEE"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All</w:t>
            </w:r>
            <w:r>
              <w:rPr>
                <w:rFonts w:cs="Arial"/>
                <w:color w:val="000000"/>
                <w:sz w:val="20"/>
                <w:szCs w:val="20"/>
                <w:lang w:eastAsia="en-AU"/>
              </w:rPr>
              <w:t xml:space="preserve"> Streams</w:t>
            </w:r>
          </w:p>
        </w:tc>
        <w:tc>
          <w:tcPr>
            <w:tcW w:w="1134" w:type="dxa"/>
            <w:noWrap/>
            <w:hideMark/>
          </w:tcPr>
          <w:p w14:paraId="70247CBC"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428</w:t>
            </w:r>
          </w:p>
        </w:tc>
        <w:tc>
          <w:tcPr>
            <w:tcW w:w="992" w:type="dxa"/>
            <w:noWrap/>
            <w:hideMark/>
          </w:tcPr>
          <w:p w14:paraId="42D23966"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99</w:t>
            </w:r>
          </w:p>
        </w:tc>
        <w:tc>
          <w:tcPr>
            <w:tcW w:w="993" w:type="dxa"/>
            <w:noWrap/>
            <w:hideMark/>
          </w:tcPr>
          <w:p w14:paraId="15F0D6B3" w14:textId="77777777"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23</w:t>
            </w:r>
          </w:p>
        </w:tc>
        <w:tc>
          <w:tcPr>
            <w:tcW w:w="992" w:type="dxa"/>
          </w:tcPr>
          <w:p w14:paraId="53693FEE" w14:textId="5D46D344" w:rsidR="001D36C5" w:rsidRPr="00B95348" w:rsidRDefault="001D36C5" w:rsidP="002F0A85">
            <w:pPr>
              <w:rPr>
                <w:rFonts w:cs="Arial"/>
                <w:color w:val="000000"/>
                <w:sz w:val="20"/>
                <w:szCs w:val="20"/>
                <w:lang w:eastAsia="en-AU"/>
              </w:rPr>
            </w:pPr>
            <w:r w:rsidRPr="00B95348">
              <w:rPr>
                <w:rFonts w:cs="Arial"/>
                <w:color w:val="000000"/>
                <w:sz w:val="20"/>
                <w:szCs w:val="20"/>
              </w:rPr>
              <w:t>5.4</w:t>
            </w:r>
            <w:r>
              <w:rPr>
                <w:rFonts w:cs="Arial"/>
                <w:color w:val="000000"/>
                <w:sz w:val="20"/>
                <w:szCs w:val="20"/>
              </w:rPr>
              <w:t>%</w:t>
            </w:r>
          </w:p>
        </w:tc>
        <w:tc>
          <w:tcPr>
            <w:tcW w:w="1134" w:type="dxa"/>
          </w:tcPr>
          <w:p w14:paraId="07C6826E" w14:textId="502DFC9B" w:rsidR="001D36C5" w:rsidRPr="00B95348" w:rsidRDefault="001D36C5" w:rsidP="002F0A85">
            <w:pPr>
              <w:rPr>
                <w:rFonts w:cs="Arial"/>
                <w:color w:val="000000"/>
                <w:sz w:val="20"/>
                <w:szCs w:val="20"/>
                <w:lang w:eastAsia="en-AU"/>
              </w:rPr>
            </w:pPr>
            <w:r w:rsidRPr="00B95348">
              <w:rPr>
                <w:rFonts w:cs="Arial"/>
                <w:color w:val="000000"/>
                <w:sz w:val="20"/>
                <w:szCs w:val="20"/>
                <w:lang w:eastAsia="en-AU"/>
              </w:rPr>
              <w:t>23.2%</w:t>
            </w:r>
          </w:p>
        </w:tc>
        <w:tc>
          <w:tcPr>
            <w:tcW w:w="992" w:type="dxa"/>
          </w:tcPr>
          <w:p w14:paraId="0DF1DB57" w14:textId="777AF479" w:rsidR="001D36C5" w:rsidRPr="00B95348" w:rsidRDefault="00AB0864" w:rsidP="002F0A85">
            <w:pPr>
              <w:rPr>
                <w:rFonts w:cs="Arial"/>
                <w:color w:val="000000"/>
                <w:sz w:val="20"/>
                <w:szCs w:val="20"/>
                <w:lang w:eastAsia="en-AU"/>
              </w:rPr>
            </w:pPr>
            <w:r>
              <w:rPr>
                <w:rFonts w:cs="Arial"/>
                <w:color w:val="000000"/>
                <w:sz w:val="20"/>
                <w:szCs w:val="20"/>
                <w:lang w:eastAsia="en-AU"/>
              </w:rPr>
              <w:t>$42.8 M</w:t>
            </w:r>
          </w:p>
        </w:tc>
        <w:tc>
          <w:tcPr>
            <w:tcW w:w="1557" w:type="dxa"/>
          </w:tcPr>
          <w:p w14:paraId="2A15F5A6" w14:textId="4838E36A" w:rsidR="001D36C5" w:rsidRPr="002732E6" w:rsidRDefault="001D36C5" w:rsidP="002F0A85">
            <w:pPr>
              <w:rPr>
                <w:rFonts w:cs="Arial"/>
                <w:color w:val="000000"/>
                <w:sz w:val="20"/>
                <w:szCs w:val="20"/>
                <w:lang w:eastAsia="en-AU"/>
              </w:rPr>
            </w:pPr>
            <w:r w:rsidRPr="002732E6">
              <w:rPr>
                <w:rFonts w:cs="Arial"/>
                <w:color w:val="000000"/>
                <w:sz w:val="20"/>
                <w:szCs w:val="20"/>
                <w:lang w:eastAsia="en-AU"/>
              </w:rPr>
              <w:t>$42,800,000</w:t>
            </w:r>
          </w:p>
        </w:tc>
      </w:tr>
    </w:tbl>
    <w:p w14:paraId="1FB97FCE" w14:textId="77777777" w:rsidR="00236887" w:rsidRDefault="00236887" w:rsidP="00B75A54">
      <w:pPr>
        <w:pStyle w:val="Paragraphtext"/>
        <w:spacing w:before="120"/>
      </w:pPr>
      <w:bookmarkStart w:id="11" w:name="_Hlk129174617"/>
      <w:bookmarkEnd w:id="10"/>
    </w:p>
    <w:p w14:paraId="3D4E8CB4" w14:textId="0247E952" w:rsidR="00212E77" w:rsidRDefault="00212E77" w:rsidP="002732E6">
      <w:pPr>
        <w:pStyle w:val="Heading1"/>
      </w:pPr>
      <w:bookmarkStart w:id="12" w:name="_Toc131338400"/>
      <w:r>
        <w:t>Topics of Research</w:t>
      </w:r>
      <w:r w:rsidR="00BE164F">
        <w:t xml:space="preserve"> by </w:t>
      </w:r>
      <w:r w:rsidR="00871DF3">
        <w:t>S</w:t>
      </w:r>
      <w:r w:rsidR="00BE164F">
        <w:t>tream</w:t>
      </w:r>
      <w:bookmarkEnd w:id="12"/>
      <w:r>
        <w:t xml:space="preserve"> </w:t>
      </w:r>
    </w:p>
    <w:bookmarkEnd w:id="11"/>
    <w:p w14:paraId="59D7EC56" w14:textId="059D6A8B" w:rsidR="00E50BE3" w:rsidRPr="00B95348" w:rsidRDefault="00212E77" w:rsidP="00651510">
      <w:pPr>
        <w:pStyle w:val="Paragraphtext"/>
        <w:spacing w:before="120"/>
        <w:jc w:val="both"/>
        <w:rPr>
          <w:sz w:val="22"/>
          <w:szCs w:val="22"/>
        </w:rPr>
      </w:pPr>
      <w:r w:rsidRPr="00B95348">
        <w:rPr>
          <w:sz w:val="22"/>
          <w:szCs w:val="22"/>
        </w:rPr>
        <w:t>The 3 Stream</w:t>
      </w:r>
      <w:r w:rsidR="00E337CA" w:rsidRPr="00B95348">
        <w:rPr>
          <w:sz w:val="22"/>
          <w:szCs w:val="22"/>
        </w:rPr>
        <w:t>s</w:t>
      </w:r>
      <w:r w:rsidRPr="00B95348">
        <w:rPr>
          <w:sz w:val="22"/>
          <w:szCs w:val="22"/>
        </w:rPr>
        <w:t xml:space="preserve"> of the </w:t>
      </w:r>
      <w:r w:rsidR="0092272D" w:rsidRPr="0092272D">
        <w:rPr>
          <w:sz w:val="22"/>
          <w:szCs w:val="22"/>
        </w:rPr>
        <w:t>2021 Early to Mid-Career Researchers Grant Opportunity</w:t>
      </w:r>
      <w:r w:rsidR="0092272D" w:rsidRPr="009B51D2" w:rsidDel="0092272D">
        <w:rPr>
          <w:sz w:val="22"/>
          <w:szCs w:val="22"/>
        </w:rPr>
        <w:t xml:space="preserve"> </w:t>
      </w:r>
      <w:r w:rsidR="0027585E" w:rsidRPr="00B95348">
        <w:rPr>
          <w:sz w:val="22"/>
          <w:szCs w:val="22"/>
        </w:rPr>
        <w:t xml:space="preserve">were </w:t>
      </w:r>
      <w:r w:rsidRPr="00B95348">
        <w:rPr>
          <w:sz w:val="22"/>
          <w:szCs w:val="22"/>
        </w:rPr>
        <w:t>designed to support EMCR researchers across a range of scientific topics</w:t>
      </w:r>
      <w:r w:rsidR="0027585E" w:rsidRPr="00B95348">
        <w:rPr>
          <w:sz w:val="22"/>
          <w:szCs w:val="22"/>
        </w:rPr>
        <w:t xml:space="preserve">. Each </w:t>
      </w:r>
      <w:r w:rsidR="00CA6119">
        <w:rPr>
          <w:sz w:val="22"/>
          <w:szCs w:val="22"/>
        </w:rPr>
        <w:t>S</w:t>
      </w:r>
      <w:r w:rsidR="0027585E" w:rsidRPr="00B95348">
        <w:rPr>
          <w:sz w:val="22"/>
          <w:szCs w:val="22"/>
        </w:rPr>
        <w:t>tream had a somewhat different focus</w:t>
      </w:r>
      <w:r w:rsidR="00E50EE5" w:rsidRPr="00B95348">
        <w:rPr>
          <w:sz w:val="22"/>
          <w:szCs w:val="22"/>
        </w:rPr>
        <w:t xml:space="preserve"> as specified </w:t>
      </w:r>
      <w:r w:rsidR="00806857" w:rsidRPr="00B95348">
        <w:rPr>
          <w:sz w:val="22"/>
          <w:szCs w:val="22"/>
        </w:rPr>
        <w:t>by</w:t>
      </w:r>
      <w:r w:rsidR="00E50EE5" w:rsidRPr="00B95348">
        <w:rPr>
          <w:sz w:val="22"/>
          <w:szCs w:val="22"/>
        </w:rPr>
        <w:t xml:space="preserve"> the objectives</w:t>
      </w:r>
      <w:r w:rsidR="00927A66" w:rsidRPr="00B95348">
        <w:rPr>
          <w:sz w:val="22"/>
          <w:szCs w:val="22"/>
        </w:rPr>
        <w:t xml:space="preserve"> and outcomes</w:t>
      </w:r>
      <w:r w:rsidR="00E50EE5" w:rsidRPr="00B95348">
        <w:rPr>
          <w:sz w:val="22"/>
          <w:szCs w:val="22"/>
        </w:rPr>
        <w:t xml:space="preserve"> for that Stream</w:t>
      </w:r>
      <w:r w:rsidR="001E55FE" w:rsidRPr="00B95348">
        <w:rPr>
          <w:sz w:val="22"/>
          <w:szCs w:val="22"/>
        </w:rPr>
        <w:t>, and different potential grant sizes and grant periods</w:t>
      </w:r>
      <w:r w:rsidR="00E50EE5" w:rsidRPr="00B95348">
        <w:rPr>
          <w:sz w:val="22"/>
          <w:szCs w:val="22"/>
        </w:rPr>
        <w:t>.</w:t>
      </w:r>
      <w:r w:rsidRPr="00B95348">
        <w:rPr>
          <w:sz w:val="22"/>
          <w:szCs w:val="22"/>
        </w:rPr>
        <w:t xml:space="preserve"> </w:t>
      </w:r>
    </w:p>
    <w:p w14:paraId="76E71098" w14:textId="026733D7" w:rsidR="00212E77" w:rsidRPr="00282DD2" w:rsidRDefault="00212E77" w:rsidP="002732E6">
      <w:pPr>
        <w:pStyle w:val="Heading2"/>
        <w:spacing w:after="0"/>
        <w:jc w:val="both"/>
      </w:pPr>
      <w:bookmarkStart w:id="13" w:name="_Toc131338401"/>
      <w:r>
        <w:t>Applications by broad research area</w:t>
      </w:r>
      <w:r w:rsidR="009305B6">
        <w:t xml:space="preserve"> by Stream</w:t>
      </w:r>
      <w:bookmarkEnd w:id="13"/>
      <w:r>
        <w:t xml:space="preserve"> </w:t>
      </w:r>
    </w:p>
    <w:p w14:paraId="2597A1F3" w14:textId="0F7C763C" w:rsidR="00212E77" w:rsidRPr="00B95348" w:rsidRDefault="008210E4" w:rsidP="002732E6">
      <w:pPr>
        <w:pStyle w:val="Paragraphtext"/>
        <w:spacing w:before="120"/>
        <w:jc w:val="both"/>
        <w:rPr>
          <w:sz w:val="22"/>
          <w:szCs w:val="22"/>
        </w:rPr>
      </w:pPr>
      <w:r w:rsidRPr="00B95348">
        <w:rPr>
          <w:sz w:val="22"/>
          <w:szCs w:val="22"/>
        </w:rPr>
        <w:t xml:space="preserve">Grants awarded from </w:t>
      </w:r>
      <w:r w:rsidR="00D349CD">
        <w:rPr>
          <w:sz w:val="22"/>
          <w:szCs w:val="22"/>
        </w:rPr>
        <w:t>the</w:t>
      </w:r>
      <w:r w:rsidR="0092272D" w:rsidRPr="0092272D">
        <w:rPr>
          <w:sz w:val="22"/>
          <w:szCs w:val="22"/>
        </w:rPr>
        <w:t xml:space="preserve"> 2021 Early to Mid-Career Researchers Grant Opportunity</w:t>
      </w:r>
      <w:r w:rsidR="0092272D" w:rsidRPr="009B51D2" w:rsidDel="0092272D">
        <w:rPr>
          <w:sz w:val="22"/>
          <w:szCs w:val="22"/>
        </w:rPr>
        <w:t xml:space="preserve"> </w:t>
      </w:r>
      <w:r w:rsidRPr="00B95348">
        <w:rPr>
          <w:sz w:val="22"/>
          <w:szCs w:val="22"/>
        </w:rPr>
        <w:t xml:space="preserve">covered all </w:t>
      </w:r>
      <w:r w:rsidR="00A032D2">
        <w:rPr>
          <w:sz w:val="22"/>
          <w:szCs w:val="22"/>
        </w:rPr>
        <w:t>4</w:t>
      </w:r>
      <w:r w:rsidRPr="00B95348">
        <w:rPr>
          <w:sz w:val="22"/>
          <w:szCs w:val="22"/>
        </w:rPr>
        <w:t xml:space="preserve"> broad areas of research. </w:t>
      </w:r>
      <w:r w:rsidR="00212E77" w:rsidRPr="00B95348">
        <w:rPr>
          <w:sz w:val="22"/>
          <w:szCs w:val="22"/>
        </w:rPr>
        <w:t xml:space="preserve">The largest proportion of funding was awarded to Clinical </w:t>
      </w:r>
      <w:r w:rsidR="003C2248" w:rsidRPr="00B95348">
        <w:rPr>
          <w:sz w:val="22"/>
          <w:szCs w:val="22"/>
        </w:rPr>
        <w:t>M</w:t>
      </w:r>
      <w:r w:rsidR="00212E77" w:rsidRPr="00B95348">
        <w:rPr>
          <w:sz w:val="22"/>
          <w:szCs w:val="22"/>
        </w:rPr>
        <w:t xml:space="preserve">edicine and </w:t>
      </w:r>
      <w:r w:rsidR="003C2248" w:rsidRPr="00B95348">
        <w:rPr>
          <w:sz w:val="22"/>
          <w:szCs w:val="22"/>
        </w:rPr>
        <w:t>S</w:t>
      </w:r>
      <w:r w:rsidR="00212E77" w:rsidRPr="00B95348">
        <w:rPr>
          <w:sz w:val="22"/>
          <w:szCs w:val="22"/>
        </w:rPr>
        <w:t xml:space="preserve">cience </w:t>
      </w:r>
      <w:r w:rsidR="003C2248" w:rsidRPr="00B95348">
        <w:rPr>
          <w:sz w:val="22"/>
          <w:szCs w:val="22"/>
        </w:rPr>
        <w:t>R</w:t>
      </w:r>
      <w:r w:rsidR="00212E77" w:rsidRPr="00B95348">
        <w:rPr>
          <w:sz w:val="22"/>
          <w:szCs w:val="22"/>
        </w:rPr>
        <w:t>esearch</w:t>
      </w:r>
      <w:r w:rsidR="0092272D">
        <w:rPr>
          <w:sz w:val="22"/>
          <w:szCs w:val="22"/>
        </w:rPr>
        <w:t>,</w:t>
      </w:r>
      <w:r w:rsidR="00212E77" w:rsidRPr="00B95348">
        <w:rPr>
          <w:sz w:val="22"/>
          <w:szCs w:val="22"/>
        </w:rPr>
        <w:t xml:space="preserve"> representing 56% of </w:t>
      </w:r>
      <w:r w:rsidR="0092272D">
        <w:rPr>
          <w:sz w:val="22"/>
          <w:szCs w:val="22"/>
        </w:rPr>
        <w:t xml:space="preserve">all </w:t>
      </w:r>
      <w:r w:rsidR="00212E77" w:rsidRPr="00B95348">
        <w:rPr>
          <w:sz w:val="22"/>
          <w:szCs w:val="22"/>
        </w:rPr>
        <w:t xml:space="preserve">funding awarded. Stream 1 funded grants </w:t>
      </w:r>
      <w:r w:rsidR="003C2248" w:rsidRPr="00B95348">
        <w:rPr>
          <w:sz w:val="22"/>
          <w:szCs w:val="22"/>
        </w:rPr>
        <w:t>for</w:t>
      </w:r>
      <w:r w:rsidR="00212E77" w:rsidRPr="00B95348">
        <w:rPr>
          <w:sz w:val="22"/>
          <w:szCs w:val="22"/>
        </w:rPr>
        <w:t xml:space="preserve"> </w:t>
      </w:r>
      <w:r w:rsidR="00835904">
        <w:rPr>
          <w:sz w:val="22"/>
          <w:szCs w:val="22"/>
        </w:rPr>
        <w:t>B</w:t>
      </w:r>
      <w:r w:rsidR="00212E77" w:rsidRPr="00B95348">
        <w:rPr>
          <w:sz w:val="22"/>
          <w:szCs w:val="22"/>
        </w:rPr>
        <w:t xml:space="preserve">asic </w:t>
      </w:r>
      <w:r w:rsidR="00835904">
        <w:rPr>
          <w:sz w:val="22"/>
          <w:szCs w:val="22"/>
        </w:rPr>
        <w:t>S</w:t>
      </w:r>
      <w:r w:rsidR="00212E77" w:rsidRPr="00B95348">
        <w:rPr>
          <w:sz w:val="22"/>
          <w:szCs w:val="22"/>
        </w:rPr>
        <w:t xml:space="preserve">cience and </w:t>
      </w:r>
      <w:r w:rsidR="00835904">
        <w:rPr>
          <w:sz w:val="22"/>
          <w:szCs w:val="22"/>
        </w:rPr>
        <w:t>C</w:t>
      </w:r>
      <w:r w:rsidR="00212E77" w:rsidRPr="00B95348">
        <w:rPr>
          <w:sz w:val="22"/>
          <w:szCs w:val="22"/>
        </w:rPr>
        <w:t xml:space="preserve">linical </w:t>
      </w:r>
      <w:r w:rsidR="00835904">
        <w:rPr>
          <w:sz w:val="22"/>
          <w:szCs w:val="22"/>
        </w:rPr>
        <w:t>M</w:t>
      </w:r>
      <w:r w:rsidR="00212E77" w:rsidRPr="00B95348">
        <w:rPr>
          <w:sz w:val="22"/>
          <w:szCs w:val="22"/>
        </w:rPr>
        <w:t>edic</w:t>
      </w:r>
      <w:r w:rsidR="00A032D2">
        <w:rPr>
          <w:sz w:val="22"/>
          <w:szCs w:val="22"/>
        </w:rPr>
        <w:t>ine and</w:t>
      </w:r>
      <w:r w:rsidR="00212E77" w:rsidRPr="00B95348">
        <w:rPr>
          <w:sz w:val="22"/>
          <w:szCs w:val="22"/>
        </w:rPr>
        <w:t xml:space="preserve"> </w:t>
      </w:r>
      <w:r w:rsidR="00835904">
        <w:rPr>
          <w:sz w:val="22"/>
          <w:szCs w:val="22"/>
        </w:rPr>
        <w:t>S</w:t>
      </w:r>
      <w:r w:rsidR="00212E77" w:rsidRPr="00B95348">
        <w:rPr>
          <w:sz w:val="22"/>
          <w:szCs w:val="22"/>
        </w:rPr>
        <w:t xml:space="preserve">cience </w:t>
      </w:r>
      <w:r w:rsidR="00835904">
        <w:rPr>
          <w:sz w:val="22"/>
          <w:szCs w:val="22"/>
        </w:rPr>
        <w:t>R</w:t>
      </w:r>
      <w:r w:rsidR="00212E77" w:rsidRPr="00B95348">
        <w:rPr>
          <w:sz w:val="22"/>
          <w:szCs w:val="22"/>
        </w:rPr>
        <w:t>esearch</w:t>
      </w:r>
      <w:r w:rsidR="003C2248" w:rsidRPr="00B95348">
        <w:rPr>
          <w:sz w:val="22"/>
          <w:szCs w:val="22"/>
        </w:rPr>
        <w:t>,</w:t>
      </w:r>
      <w:r w:rsidR="00212E77" w:rsidRPr="00B95348">
        <w:rPr>
          <w:sz w:val="22"/>
          <w:szCs w:val="22"/>
        </w:rPr>
        <w:t xml:space="preserve"> while Stream 2 funded grants </w:t>
      </w:r>
      <w:r w:rsidR="003C2248" w:rsidRPr="00B95348">
        <w:rPr>
          <w:sz w:val="22"/>
          <w:szCs w:val="22"/>
        </w:rPr>
        <w:t>for</w:t>
      </w:r>
      <w:r w:rsidR="00212E77" w:rsidRPr="00B95348">
        <w:rPr>
          <w:sz w:val="22"/>
          <w:szCs w:val="22"/>
        </w:rPr>
        <w:t xml:space="preserve"> </w:t>
      </w:r>
      <w:r w:rsidR="00A032D2">
        <w:rPr>
          <w:sz w:val="22"/>
          <w:szCs w:val="22"/>
        </w:rPr>
        <w:t>C</w:t>
      </w:r>
      <w:r w:rsidR="00A032D2" w:rsidRPr="00B95348">
        <w:rPr>
          <w:sz w:val="22"/>
          <w:szCs w:val="22"/>
        </w:rPr>
        <w:t xml:space="preserve">linical </w:t>
      </w:r>
      <w:r w:rsidR="00A032D2">
        <w:rPr>
          <w:sz w:val="22"/>
          <w:szCs w:val="22"/>
        </w:rPr>
        <w:t>M</w:t>
      </w:r>
      <w:r w:rsidR="00A032D2" w:rsidRPr="00B95348">
        <w:rPr>
          <w:sz w:val="22"/>
          <w:szCs w:val="22"/>
        </w:rPr>
        <w:t>edic</w:t>
      </w:r>
      <w:r w:rsidR="00A032D2">
        <w:rPr>
          <w:sz w:val="22"/>
          <w:szCs w:val="22"/>
        </w:rPr>
        <w:t>ine and</w:t>
      </w:r>
      <w:r w:rsidR="00A032D2" w:rsidRPr="00B95348">
        <w:rPr>
          <w:sz w:val="22"/>
          <w:szCs w:val="22"/>
        </w:rPr>
        <w:t xml:space="preserve"> </w:t>
      </w:r>
      <w:r w:rsidR="00A032D2">
        <w:rPr>
          <w:sz w:val="22"/>
          <w:szCs w:val="22"/>
        </w:rPr>
        <w:t>S</w:t>
      </w:r>
      <w:r w:rsidR="00A032D2" w:rsidRPr="00B95348">
        <w:rPr>
          <w:sz w:val="22"/>
          <w:szCs w:val="22"/>
        </w:rPr>
        <w:t>cience</w:t>
      </w:r>
      <w:r w:rsidR="0092272D">
        <w:rPr>
          <w:sz w:val="22"/>
          <w:szCs w:val="22"/>
        </w:rPr>
        <w:t>,</w:t>
      </w:r>
      <w:r w:rsidR="00212E77" w:rsidRPr="00B95348">
        <w:rPr>
          <w:sz w:val="22"/>
          <w:szCs w:val="22"/>
        </w:rPr>
        <w:t xml:space="preserve"> </w:t>
      </w:r>
      <w:r w:rsidR="00835904">
        <w:rPr>
          <w:sz w:val="22"/>
          <w:szCs w:val="22"/>
        </w:rPr>
        <w:t>H</w:t>
      </w:r>
      <w:r w:rsidR="00212E77" w:rsidRPr="00B95348">
        <w:rPr>
          <w:sz w:val="22"/>
          <w:szCs w:val="22"/>
        </w:rPr>
        <w:t xml:space="preserve">ealth </w:t>
      </w:r>
      <w:r w:rsidR="00835904">
        <w:rPr>
          <w:sz w:val="22"/>
          <w:szCs w:val="22"/>
        </w:rPr>
        <w:t>S</w:t>
      </w:r>
      <w:r w:rsidR="00212E77" w:rsidRPr="00B95348">
        <w:rPr>
          <w:sz w:val="22"/>
          <w:szCs w:val="22"/>
        </w:rPr>
        <w:t xml:space="preserve">ervices and </w:t>
      </w:r>
      <w:r w:rsidR="00835904">
        <w:rPr>
          <w:sz w:val="22"/>
          <w:szCs w:val="22"/>
        </w:rPr>
        <w:t>P</w:t>
      </w:r>
      <w:r w:rsidR="00212E77" w:rsidRPr="00B95348">
        <w:rPr>
          <w:sz w:val="22"/>
          <w:szCs w:val="22"/>
        </w:rPr>
        <w:t xml:space="preserve">ublic </w:t>
      </w:r>
      <w:r w:rsidR="00835904">
        <w:rPr>
          <w:sz w:val="22"/>
          <w:szCs w:val="22"/>
        </w:rPr>
        <w:t>H</w:t>
      </w:r>
      <w:r w:rsidR="00212E77" w:rsidRPr="00B95348">
        <w:rPr>
          <w:sz w:val="22"/>
          <w:szCs w:val="22"/>
        </w:rPr>
        <w:t>ealth research</w:t>
      </w:r>
      <w:r w:rsidR="00771600" w:rsidRPr="00B95348">
        <w:rPr>
          <w:sz w:val="22"/>
          <w:szCs w:val="22"/>
        </w:rPr>
        <w:t xml:space="preserve"> (Table 3)</w:t>
      </w:r>
      <w:r w:rsidR="00212E77" w:rsidRPr="00B95348">
        <w:rPr>
          <w:sz w:val="22"/>
          <w:szCs w:val="22"/>
        </w:rPr>
        <w:t xml:space="preserve">. </w:t>
      </w:r>
    </w:p>
    <w:p w14:paraId="39529340" w14:textId="77777777" w:rsidR="009D4254" w:rsidRPr="00B95348" w:rsidRDefault="009D4254" w:rsidP="00503F26">
      <w:pPr>
        <w:pStyle w:val="Paragraphtext"/>
        <w:spacing w:before="120"/>
        <w:rPr>
          <w:sz w:val="22"/>
          <w:szCs w:val="22"/>
        </w:rPr>
      </w:pPr>
    </w:p>
    <w:p w14:paraId="452CBA73" w14:textId="2C7FE24A" w:rsidR="00212E77" w:rsidRPr="009B51D2" w:rsidRDefault="009B5DEA" w:rsidP="009B51D2">
      <w:pPr>
        <w:pStyle w:val="TableHeader"/>
        <w:rPr>
          <w:szCs w:val="21"/>
        </w:rPr>
      </w:pPr>
      <w:r w:rsidRPr="009B51D2">
        <w:rPr>
          <w:szCs w:val="21"/>
        </w:rPr>
        <w:t xml:space="preserve">Table 3 </w:t>
      </w:r>
      <w:r w:rsidR="005C7002" w:rsidRPr="009B51D2">
        <w:rPr>
          <w:szCs w:val="21"/>
        </w:rPr>
        <w:t>– Grants awarded by</w:t>
      </w:r>
      <w:r w:rsidRPr="009B51D2">
        <w:rPr>
          <w:szCs w:val="21"/>
        </w:rPr>
        <w:t xml:space="preserve"> </w:t>
      </w:r>
      <w:r w:rsidR="0027585E" w:rsidRPr="009B51D2">
        <w:rPr>
          <w:szCs w:val="21"/>
        </w:rPr>
        <w:t>broad</w:t>
      </w:r>
      <w:r w:rsidR="00212E77" w:rsidRPr="009B51D2">
        <w:rPr>
          <w:szCs w:val="21"/>
        </w:rPr>
        <w:t xml:space="preserve"> area of research</w:t>
      </w:r>
      <w:r w:rsidR="005C7002" w:rsidRPr="009B51D2">
        <w:rPr>
          <w:szCs w:val="21"/>
        </w:rPr>
        <w:t xml:space="preserve"> per Stream</w:t>
      </w:r>
      <w:r w:rsidR="009B51D2" w:rsidRPr="009B51D2">
        <w:rPr>
          <w:szCs w:val="21"/>
        </w:rPr>
        <w:t xml:space="preserve"> </w:t>
      </w:r>
    </w:p>
    <w:tbl>
      <w:tblPr>
        <w:tblW w:w="9639" w:type="dxa"/>
        <w:tblLayout w:type="fixed"/>
        <w:tblLook w:val="04A0" w:firstRow="1" w:lastRow="0" w:firstColumn="1" w:lastColumn="0" w:noHBand="0" w:noVBand="1"/>
      </w:tblPr>
      <w:tblGrid>
        <w:gridCol w:w="1134"/>
        <w:gridCol w:w="993"/>
        <w:gridCol w:w="1134"/>
        <w:gridCol w:w="992"/>
        <w:gridCol w:w="1134"/>
        <w:gridCol w:w="992"/>
        <w:gridCol w:w="1134"/>
        <w:gridCol w:w="992"/>
        <w:gridCol w:w="1134"/>
      </w:tblGrid>
      <w:tr w:rsidR="00B44E73" w:rsidRPr="006C2B28" w14:paraId="789505D0" w14:textId="77777777" w:rsidTr="000C3317">
        <w:trPr>
          <w:trHeight w:val="290"/>
        </w:trPr>
        <w:tc>
          <w:tcPr>
            <w:tcW w:w="1134" w:type="dxa"/>
            <w:vMerge w:val="restart"/>
            <w:tcBorders>
              <w:top w:val="single" w:sz="4" w:space="0" w:color="auto"/>
              <w:left w:val="nil"/>
              <w:right w:val="single" w:sz="4" w:space="0" w:color="FFFFFF" w:themeColor="background1"/>
            </w:tcBorders>
            <w:shd w:val="clear" w:color="auto" w:fill="18233B" w:themeFill="accent1"/>
            <w:noWrap/>
            <w:vAlign w:val="bottom"/>
          </w:tcPr>
          <w:p w14:paraId="45951513" w14:textId="7FFF49BD" w:rsidR="00B44E73" w:rsidRPr="006C2B28" w:rsidRDefault="00B44E73" w:rsidP="00690414">
            <w:pPr>
              <w:rPr>
                <w:rFonts w:cs="Arial"/>
                <w:b/>
                <w:bCs/>
                <w:color w:val="FFFFFF"/>
                <w:sz w:val="16"/>
                <w:szCs w:val="16"/>
                <w:lang w:eastAsia="en-AU"/>
              </w:rPr>
            </w:pPr>
            <w:r w:rsidRPr="006C2B28">
              <w:rPr>
                <w:rFonts w:cs="Arial"/>
                <w:b/>
                <w:bCs/>
                <w:color w:val="FFFFFF"/>
                <w:sz w:val="16"/>
                <w:szCs w:val="16"/>
                <w:lang w:eastAsia="en-AU"/>
              </w:rPr>
              <w:t>Broad Research Area</w:t>
            </w:r>
          </w:p>
        </w:tc>
        <w:tc>
          <w:tcPr>
            <w:tcW w:w="2127"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8233B" w:themeFill="accent1"/>
          </w:tcPr>
          <w:p w14:paraId="035661E8" w14:textId="77777777" w:rsidR="00B44E73" w:rsidRPr="006C2B28" w:rsidRDefault="00B44E73" w:rsidP="00690414">
            <w:pPr>
              <w:jc w:val="center"/>
              <w:rPr>
                <w:rFonts w:cs="Arial"/>
                <w:b/>
                <w:bCs/>
                <w:color w:val="FFFFFF"/>
                <w:sz w:val="16"/>
                <w:szCs w:val="16"/>
                <w:lang w:eastAsia="en-AU"/>
              </w:rPr>
            </w:pPr>
            <w:r w:rsidRPr="006C2B28">
              <w:rPr>
                <w:rFonts w:cs="Arial"/>
                <w:b/>
                <w:bCs/>
                <w:color w:val="FFFFFF"/>
                <w:sz w:val="16"/>
                <w:szCs w:val="16"/>
                <w:lang w:eastAsia="en-AU"/>
              </w:rPr>
              <w:t>Stream 1</w:t>
            </w:r>
          </w:p>
        </w:tc>
        <w:tc>
          <w:tcPr>
            <w:tcW w:w="212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8233B" w:themeFill="accent1"/>
          </w:tcPr>
          <w:p w14:paraId="23F6B941" w14:textId="77777777" w:rsidR="00B44E73" w:rsidRPr="006C2B28" w:rsidRDefault="00B44E73" w:rsidP="00690414">
            <w:pPr>
              <w:jc w:val="center"/>
              <w:rPr>
                <w:rFonts w:cs="Arial"/>
                <w:b/>
                <w:bCs/>
                <w:color w:val="FFFFFF"/>
                <w:sz w:val="16"/>
                <w:szCs w:val="16"/>
                <w:lang w:eastAsia="en-AU"/>
              </w:rPr>
            </w:pPr>
            <w:r w:rsidRPr="006C2B28">
              <w:rPr>
                <w:rFonts w:cs="Arial"/>
                <w:b/>
                <w:bCs/>
                <w:color w:val="FFFFFF"/>
                <w:sz w:val="16"/>
                <w:szCs w:val="16"/>
                <w:lang w:eastAsia="en-AU"/>
              </w:rPr>
              <w:t>Stream 2</w:t>
            </w:r>
          </w:p>
        </w:tc>
        <w:tc>
          <w:tcPr>
            <w:tcW w:w="212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8233B" w:themeFill="accent1"/>
          </w:tcPr>
          <w:p w14:paraId="4B2DC063" w14:textId="1B27D7A1" w:rsidR="00B44E73" w:rsidRPr="006C2B28" w:rsidRDefault="00B44E73" w:rsidP="00690414">
            <w:pPr>
              <w:jc w:val="center"/>
              <w:rPr>
                <w:rFonts w:cs="Arial"/>
                <w:b/>
                <w:bCs/>
                <w:color w:val="FFFFFF"/>
                <w:sz w:val="16"/>
                <w:szCs w:val="16"/>
                <w:lang w:eastAsia="en-AU"/>
              </w:rPr>
            </w:pPr>
            <w:r w:rsidRPr="006C2B28">
              <w:rPr>
                <w:rFonts w:cs="Arial"/>
                <w:b/>
                <w:bCs/>
                <w:color w:val="FFFFFF"/>
                <w:sz w:val="16"/>
                <w:szCs w:val="16"/>
                <w:lang w:eastAsia="en-AU"/>
              </w:rPr>
              <w:t>Stream 3</w:t>
            </w:r>
            <w:r>
              <w:rPr>
                <w:rStyle w:val="FootnoteReference"/>
                <w:rFonts w:cs="Arial"/>
                <w:b/>
                <w:bCs/>
                <w:color w:val="FFFFFF"/>
                <w:sz w:val="16"/>
                <w:szCs w:val="16"/>
                <w:lang w:eastAsia="en-AU"/>
              </w:rPr>
              <w:footnoteReference w:id="6"/>
            </w:r>
          </w:p>
        </w:tc>
        <w:tc>
          <w:tcPr>
            <w:tcW w:w="212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8233B" w:themeFill="accent1"/>
          </w:tcPr>
          <w:p w14:paraId="353A84A3" w14:textId="77777777" w:rsidR="00B44E73" w:rsidRPr="006C2B28" w:rsidRDefault="00B44E73" w:rsidP="00690414">
            <w:pPr>
              <w:jc w:val="center"/>
              <w:rPr>
                <w:rFonts w:cs="Arial"/>
                <w:b/>
                <w:bCs/>
                <w:color w:val="FFFFFF"/>
                <w:sz w:val="16"/>
                <w:szCs w:val="16"/>
                <w:lang w:eastAsia="en-AU"/>
              </w:rPr>
            </w:pPr>
            <w:r w:rsidRPr="006C2B28">
              <w:rPr>
                <w:rFonts w:cs="Arial"/>
                <w:b/>
                <w:bCs/>
                <w:color w:val="FFFFFF"/>
                <w:sz w:val="16"/>
                <w:szCs w:val="16"/>
                <w:lang w:eastAsia="en-AU"/>
              </w:rPr>
              <w:t>All grants</w:t>
            </w:r>
          </w:p>
        </w:tc>
      </w:tr>
      <w:tr w:rsidR="00B44E73" w:rsidRPr="006C2B28" w14:paraId="050931B4" w14:textId="77777777" w:rsidTr="00317D25">
        <w:trPr>
          <w:trHeight w:val="290"/>
        </w:trPr>
        <w:tc>
          <w:tcPr>
            <w:tcW w:w="1134" w:type="dxa"/>
            <w:vMerge/>
            <w:tcBorders>
              <w:left w:val="nil"/>
              <w:bottom w:val="single" w:sz="4" w:space="0" w:color="auto"/>
              <w:right w:val="single" w:sz="4" w:space="0" w:color="FFFFFF" w:themeColor="background1"/>
            </w:tcBorders>
            <w:shd w:val="clear" w:color="auto" w:fill="18233B" w:themeFill="accent1"/>
            <w:noWrap/>
            <w:vAlign w:val="bottom"/>
            <w:hideMark/>
          </w:tcPr>
          <w:p w14:paraId="766A6938" w14:textId="5874481C" w:rsidR="00B44E73" w:rsidRPr="006C2B28" w:rsidRDefault="00B44E73" w:rsidP="00690414">
            <w:pPr>
              <w:rPr>
                <w:rFonts w:cs="Arial"/>
                <w:b/>
                <w:bCs/>
                <w:color w:val="FFFFFF"/>
                <w:sz w:val="16"/>
                <w:szCs w:val="16"/>
                <w:lang w:eastAsia="en-AU"/>
              </w:rPr>
            </w:pPr>
          </w:p>
        </w:tc>
        <w:tc>
          <w:tcPr>
            <w:tcW w:w="9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6B5372FE" w14:textId="34F7368A" w:rsidR="00B44E73" w:rsidRPr="006C2B28" w:rsidRDefault="00B44E73" w:rsidP="00690414">
            <w:pPr>
              <w:rPr>
                <w:rFonts w:cs="Arial"/>
                <w:b/>
                <w:bCs/>
                <w:color w:val="FFFFFF"/>
                <w:sz w:val="16"/>
                <w:szCs w:val="16"/>
                <w:lang w:eastAsia="en-AU"/>
              </w:rPr>
            </w:pPr>
            <w:r w:rsidRPr="006C2B28">
              <w:rPr>
                <w:rFonts w:cs="Arial"/>
                <w:b/>
                <w:bCs/>
                <w:color w:val="FFFFFF"/>
                <w:sz w:val="16"/>
                <w:szCs w:val="16"/>
                <w:lang w:eastAsia="en-AU"/>
              </w:rPr>
              <w:t>Grants</w:t>
            </w:r>
            <w:r>
              <w:rPr>
                <w:rFonts w:cs="Arial"/>
                <w:b/>
                <w:bCs/>
                <w:color w:val="FFFFFF"/>
                <w:sz w:val="16"/>
                <w:szCs w:val="16"/>
                <w:lang w:eastAsia="en-AU"/>
              </w:rPr>
              <w:t xml:space="preserve"> awarded</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7B6F589B" w14:textId="4106A4C4" w:rsidR="00B44E73" w:rsidRPr="006C2B28" w:rsidRDefault="00893F4E" w:rsidP="00690414">
            <w:pPr>
              <w:rPr>
                <w:rFonts w:cs="Arial"/>
                <w:b/>
                <w:bCs/>
                <w:color w:val="FFFFFF"/>
                <w:sz w:val="16"/>
                <w:szCs w:val="16"/>
                <w:lang w:eastAsia="en-AU"/>
              </w:rPr>
            </w:pPr>
            <w:r>
              <w:rPr>
                <w:rFonts w:cs="Arial"/>
                <w:b/>
                <w:bCs/>
                <w:color w:val="FFFFFF"/>
                <w:sz w:val="16"/>
                <w:szCs w:val="16"/>
                <w:lang w:eastAsia="en-AU"/>
              </w:rPr>
              <w:t>Amount</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79A72685" w14:textId="10EF81C8" w:rsidR="00B44E73" w:rsidRPr="006C2B28" w:rsidRDefault="00B44E73" w:rsidP="00690414">
            <w:pPr>
              <w:rPr>
                <w:rFonts w:cs="Arial"/>
                <w:b/>
                <w:bCs/>
                <w:color w:val="FFFFFF"/>
                <w:sz w:val="16"/>
                <w:szCs w:val="16"/>
                <w:lang w:eastAsia="en-AU"/>
              </w:rPr>
            </w:pPr>
            <w:r w:rsidRPr="006C2B28">
              <w:rPr>
                <w:rFonts w:cs="Arial"/>
                <w:b/>
                <w:bCs/>
                <w:color w:val="FFFFFF"/>
                <w:sz w:val="16"/>
                <w:szCs w:val="16"/>
                <w:lang w:eastAsia="en-AU"/>
              </w:rPr>
              <w:t>Grants</w:t>
            </w:r>
            <w:r>
              <w:rPr>
                <w:rFonts w:cs="Arial"/>
                <w:b/>
                <w:bCs/>
                <w:color w:val="FFFFFF"/>
                <w:sz w:val="16"/>
                <w:szCs w:val="16"/>
                <w:lang w:eastAsia="en-AU"/>
              </w:rPr>
              <w:t xml:space="preserve"> awarded</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1C7DB208" w14:textId="36EBD369" w:rsidR="00B44E73" w:rsidRPr="006C2B28" w:rsidRDefault="00893F4E" w:rsidP="00690414">
            <w:pPr>
              <w:rPr>
                <w:rFonts w:cs="Arial"/>
                <w:b/>
                <w:bCs/>
                <w:color w:val="FFFFFF"/>
                <w:sz w:val="16"/>
                <w:szCs w:val="16"/>
                <w:lang w:eastAsia="en-AU"/>
              </w:rPr>
            </w:pPr>
            <w:r>
              <w:rPr>
                <w:rFonts w:cs="Arial"/>
                <w:b/>
                <w:bCs/>
                <w:color w:val="FFFFFF"/>
                <w:sz w:val="16"/>
                <w:szCs w:val="16"/>
                <w:lang w:eastAsia="en-AU"/>
              </w:rPr>
              <w:t>Amount</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1D239E2C" w14:textId="448B02A6" w:rsidR="00B44E73" w:rsidRPr="006C2B28" w:rsidRDefault="00B44E73" w:rsidP="00690414">
            <w:pPr>
              <w:rPr>
                <w:rFonts w:cs="Arial"/>
                <w:b/>
                <w:bCs/>
                <w:color w:val="FFFFFF"/>
                <w:sz w:val="16"/>
                <w:szCs w:val="16"/>
                <w:lang w:eastAsia="en-AU"/>
              </w:rPr>
            </w:pPr>
            <w:r w:rsidRPr="006C2B28">
              <w:rPr>
                <w:rFonts w:cs="Arial"/>
                <w:b/>
                <w:bCs/>
                <w:color w:val="FFFFFF"/>
                <w:sz w:val="16"/>
                <w:szCs w:val="16"/>
                <w:lang w:eastAsia="en-AU"/>
              </w:rPr>
              <w:t>Grants</w:t>
            </w:r>
            <w:r>
              <w:rPr>
                <w:rFonts w:cs="Arial"/>
                <w:b/>
                <w:bCs/>
                <w:color w:val="FFFFFF"/>
                <w:sz w:val="16"/>
                <w:szCs w:val="16"/>
                <w:lang w:eastAsia="en-AU"/>
              </w:rPr>
              <w:t xml:space="preserve"> awarded</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7A77B979" w14:textId="101A45AE" w:rsidR="00B44E73" w:rsidRPr="006C2B28" w:rsidRDefault="00893F4E" w:rsidP="00690414">
            <w:pPr>
              <w:rPr>
                <w:rFonts w:cs="Arial"/>
                <w:b/>
                <w:bCs/>
                <w:color w:val="FFFFFF"/>
                <w:sz w:val="16"/>
                <w:szCs w:val="16"/>
                <w:lang w:eastAsia="en-AU"/>
              </w:rPr>
            </w:pPr>
            <w:r>
              <w:rPr>
                <w:rFonts w:cs="Arial"/>
                <w:b/>
                <w:bCs/>
                <w:color w:val="FFFFFF"/>
                <w:sz w:val="16"/>
                <w:szCs w:val="16"/>
                <w:lang w:eastAsia="en-AU"/>
              </w:rPr>
              <w:t>Amount</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5E135FB3" w14:textId="1D20B8EC" w:rsidR="00B44E73" w:rsidRPr="006C2B28" w:rsidRDefault="00B44E73" w:rsidP="00690414">
            <w:pPr>
              <w:rPr>
                <w:rFonts w:cs="Arial"/>
                <w:b/>
                <w:bCs/>
                <w:color w:val="FFFFFF"/>
                <w:sz w:val="16"/>
                <w:szCs w:val="16"/>
                <w:lang w:eastAsia="en-AU"/>
              </w:rPr>
            </w:pPr>
            <w:r w:rsidRPr="006C2B28">
              <w:rPr>
                <w:rFonts w:cs="Arial"/>
                <w:b/>
                <w:bCs/>
                <w:color w:val="FFFFFF"/>
                <w:sz w:val="16"/>
                <w:szCs w:val="16"/>
                <w:lang w:eastAsia="en-AU"/>
              </w:rPr>
              <w:t xml:space="preserve">All </w:t>
            </w:r>
            <w:r>
              <w:rPr>
                <w:rFonts w:cs="Arial"/>
                <w:b/>
                <w:bCs/>
                <w:color w:val="FFFFFF"/>
                <w:sz w:val="16"/>
                <w:szCs w:val="16"/>
                <w:lang w:eastAsia="en-AU"/>
              </w:rPr>
              <w:t>awarded</w:t>
            </w:r>
          </w:p>
        </w:tc>
        <w:tc>
          <w:tcPr>
            <w:tcW w:w="1134" w:type="dxa"/>
            <w:tcBorders>
              <w:top w:val="single" w:sz="4" w:space="0" w:color="FFFFFF" w:themeColor="background1"/>
              <w:left w:val="single" w:sz="4" w:space="0" w:color="FFFFFF" w:themeColor="background1"/>
              <w:bottom w:val="single" w:sz="4" w:space="0" w:color="auto"/>
              <w:right w:val="nil"/>
            </w:tcBorders>
            <w:shd w:val="clear" w:color="auto" w:fill="18233B" w:themeFill="accent1"/>
          </w:tcPr>
          <w:p w14:paraId="284B42E6" w14:textId="3D60760D" w:rsidR="00B44E73" w:rsidRPr="006C2B28" w:rsidRDefault="00B44E73" w:rsidP="00690414">
            <w:pPr>
              <w:rPr>
                <w:rFonts w:cs="Arial"/>
                <w:b/>
                <w:bCs/>
                <w:color w:val="FFFFFF"/>
                <w:sz w:val="16"/>
                <w:szCs w:val="16"/>
                <w:lang w:eastAsia="en-AU"/>
              </w:rPr>
            </w:pPr>
            <w:r>
              <w:rPr>
                <w:rFonts w:cs="Arial"/>
                <w:b/>
                <w:bCs/>
                <w:color w:val="FFFFFF"/>
                <w:sz w:val="16"/>
                <w:szCs w:val="16"/>
                <w:lang w:eastAsia="en-AU"/>
              </w:rPr>
              <w:t xml:space="preserve">Total </w:t>
            </w:r>
            <w:r w:rsidR="00893F4E">
              <w:rPr>
                <w:rFonts w:cs="Arial"/>
                <w:b/>
                <w:bCs/>
                <w:color w:val="FFFFFF"/>
                <w:sz w:val="16"/>
                <w:szCs w:val="16"/>
                <w:lang w:eastAsia="en-AU"/>
              </w:rPr>
              <w:t>amount</w:t>
            </w:r>
          </w:p>
        </w:tc>
      </w:tr>
      <w:tr w:rsidR="00E1352B" w:rsidRPr="006C2B28" w14:paraId="44F2EABE" w14:textId="77777777" w:rsidTr="00317D25">
        <w:trPr>
          <w:trHeight w:val="290"/>
        </w:trPr>
        <w:tc>
          <w:tcPr>
            <w:tcW w:w="1134" w:type="dxa"/>
            <w:tcBorders>
              <w:top w:val="single" w:sz="4" w:space="0" w:color="auto"/>
              <w:left w:val="nil"/>
              <w:bottom w:val="single" w:sz="4" w:space="0" w:color="000000" w:themeColor="text1"/>
              <w:right w:val="nil"/>
            </w:tcBorders>
            <w:shd w:val="clear" w:color="auto" w:fill="auto"/>
            <w:noWrap/>
            <w:vAlign w:val="bottom"/>
            <w:hideMark/>
          </w:tcPr>
          <w:p w14:paraId="71B31867" w14:textId="77777777" w:rsidR="00E1352B" w:rsidRPr="006C2B28" w:rsidRDefault="00E1352B" w:rsidP="00690414">
            <w:pPr>
              <w:pStyle w:val="Tabletextleft"/>
              <w:jc w:val="both"/>
              <w:rPr>
                <w:lang w:eastAsia="en-AU"/>
              </w:rPr>
            </w:pPr>
            <w:r w:rsidRPr="006C2B28">
              <w:rPr>
                <w:lang w:eastAsia="en-AU"/>
              </w:rPr>
              <w:t>Basic Science Research</w:t>
            </w:r>
          </w:p>
        </w:tc>
        <w:tc>
          <w:tcPr>
            <w:tcW w:w="993" w:type="dxa"/>
            <w:tcBorders>
              <w:top w:val="single" w:sz="4" w:space="0" w:color="auto"/>
              <w:left w:val="nil"/>
              <w:bottom w:val="single" w:sz="4" w:space="0" w:color="000000" w:themeColor="text1"/>
              <w:right w:val="nil"/>
            </w:tcBorders>
            <w:vAlign w:val="bottom"/>
          </w:tcPr>
          <w:p w14:paraId="7EBC2E6F" w14:textId="691D8AA1" w:rsidR="00E1352B" w:rsidRPr="006C2B28" w:rsidRDefault="00E1352B" w:rsidP="00690414">
            <w:pPr>
              <w:pStyle w:val="Tabletextleft"/>
              <w:jc w:val="both"/>
              <w:rPr>
                <w:lang w:eastAsia="en-AU"/>
              </w:rPr>
            </w:pPr>
            <w:r w:rsidRPr="006C2B28">
              <w:t>4</w:t>
            </w:r>
          </w:p>
        </w:tc>
        <w:tc>
          <w:tcPr>
            <w:tcW w:w="1134" w:type="dxa"/>
            <w:tcBorders>
              <w:top w:val="single" w:sz="4" w:space="0" w:color="auto"/>
              <w:left w:val="nil"/>
              <w:bottom w:val="single" w:sz="4" w:space="0" w:color="000000" w:themeColor="text1"/>
              <w:right w:val="nil"/>
            </w:tcBorders>
            <w:vAlign w:val="bottom"/>
          </w:tcPr>
          <w:p w14:paraId="144E64D1" w14:textId="77777777" w:rsidR="00E1352B" w:rsidRPr="006C2B28" w:rsidRDefault="00E1352B" w:rsidP="00690414">
            <w:pPr>
              <w:pStyle w:val="Tabletextleft"/>
              <w:jc w:val="both"/>
              <w:rPr>
                <w:lang w:eastAsia="en-AU"/>
              </w:rPr>
            </w:pPr>
            <w:r w:rsidRPr="006C2B28">
              <w:t>$2,976,114</w:t>
            </w:r>
          </w:p>
        </w:tc>
        <w:tc>
          <w:tcPr>
            <w:tcW w:w="992" w:type="dxa"/>
            <w:tcBorders>
              <w:top w:val="single" w:sz="4" w:space="0" w:color="auto"/>
              <w:left w:val="nil"/>
              <w:bottom w:val="single" w:sz="4" w:space="0" w:color="000000" w:themeColor="text1"/>
              <w:right w:val="nil"/>
            </w:tcBorders>
            <w:vAlign w:val="bottom"/>
          </w:tcPr>
          <w:p w14:paraId="1E7E6F95" w14:textId="2D5C2937" w:rsidR="00E1352B" w:rsidRPr="006C2B28" w:rsidRDefault="00E1352B" w:rsidP="00690414">
            <w:pPr>
              <w:pStyle w:val="Tabletextleft"/>
              <w:jc w:val="both"/>
              <w:rPr>
                <w:lang w:eastAsia="en-AU"/>
              </w:rPr>
            </w:pPr>
            <w:r w:rsidRPr="006C2B28">
              <w:t>0</w:t>
            </w:r>
          </w:p>
        </w:tc>
        <w:tc>
          <w:tcPr>
            <w:tcW w:w="1134" w:type="dxa"/>
            <w:tcBorders>
              <w:top w:val="single" w:sz="4" w:space="0" w:color="auto"/>
              <w:left w:val="nil"/>
              <w:bottom w:val="single" w:sz="4" w:space="0" w:color="000000" w:themeColor="text1"/>
              <w:right w:val="nil"/>
            </w:tcBorders>
            <w:vAlign w:val="bottom"/>
          </w:tcPr>
          <w:p w14:paraId="738B6FCE" w14:textId="77777777" w:rsidR="00E1352B" w:rsidRPr="006C2B28" w:rsidRDefault="00E1352B" w:rsidP="00690414">
            <w:pPr>
              <w:pStyle w:val="Tabletextleft"/>
              <w:jc w:val="both"/>
              <w:rPr>
                <w:lang w:eastAsia="en-AU"/>
              </w:rPr>
            </w:pPr>
            <w:r w:rsidRPr="006C2B28">
              <w:rPr>
                <w:lang w:eastAsia="en-AU"/>
              </w:rPr>
              <w:t>$0</w:t>
            </w:r>
          </w:p>
        </w:tc>
        <w:tc>
          <w:tcPr>
            <w:tcW w:w="992" w:type="dxa"/>
            <w:tcBorders>
              <w:top w:val="single" w:sz="4" w:space="0" w:color="auto"/>
              <w:left w:val="nil"/>
              <w:bottom w:val="single" w:sz="4" w:space="0" w:color="000000" w:themeColor="text1"/>
              <w:right w:val="nil"/>
            </w:tcBorders>
            <w:vAlign w:val="bottom"/>
          </w:tcPr>
          <w:p w14:paraId="474D3962" w14:textId="43A5FDF2" w:rsidR="00E1352B" w:rsidRPr="006C2B28" w:rsidRDefault="00E1352B" w:rsidP="00690414">
            <w:pPr>
              <w:pStyle w:val="Tabletextleft"/>
              <w:jc w:val="both"/>
              <w:rPr>
                <w:lang w:eastAsia="en-AU"/>
              </w:rPr>
            </w:pPr>
            <w:r w:rsidRPr="006C2B28">
              <w:t>2</w:t>
            </w:r>
          </w:p>
        </w:tc>
        <w:tc>
          <w:tcPr>
            <w:tcW w:w="1134" w:type="dxa"/>
            <w:tcBorders>
              <w:top w:val="single" w:sz="4" w:space="0" w:color="auto"/>
              <w:left w:val="nil"/>
              <w:bottom w:val="single" w:sz="4" w:space="0" w:color="000000" w:themeColor="text1"/>
              <w:right w:val="nil"/>
            </w:tcBorders>
            <w:vAlign w:val="bottom"/>
          </w:tcPr>
          <w:p w14:paraId="789F2EB4" w14:textId="77777777" w:rsidR="00E1352B" w:rsidRPr="006C2B28" w:rsidRDefault="00E1352B" w:rsidP="00690414">
            <w:pPr>
              <w:pStyle w:val="Tabletextleft"/>
              <w:jc w:val="both"/>
              <w:rPr>
                <w:lang w:eastAsia="en-AU"/>
              </w:rPr>
            </w:pPr>
            <w:r w:rsidRPr="006C2B28">
              <w:t>$1,580,156</w:t>
            </w:r>
          </w:p>
        </w:tc>
        <w:tc>
          <w:tcPr>
            <w:tcW w:w="992" w:type="dxa"/>
            <w:tcBorders>
              <w:top w:val="single" w:sz="4" w:space="0" w:color="auto"/>
              <w:left w:val="nil"/>
              <w:bottom w:val="single" w:sz="4" w:space="0" w:color="000000" w:themeColor="text1"/>
              <w:right w:val="nil"/>
            </w:tcBorders>
            <w:vAlign w:val="bottom"/>
          </w:tcPr>
          <w:p w14:paraId="0DCFA1E2" w14:textId="520BF405" w:rsidR="00E1352B" w:rsidRPr="006C2B28" w:rsidRDefault="00E1352B" w:rsidP="00690414">
            <w:pPr>
              <w:pStyle w:val="Tabletextleft"/>
              <w:jc w:val="both"/>
            </w:pPr>
            <w:r w:rsidRPr="006C2B28">
              <w:t>6</w:t>
            </w:r>
          </w:p>
        </w:tc>
        <w:tc>
          <w:tcPr>
            <w:tcW w:w="1134" w:type="dxa"/>
            <w:tcBorders>
              <w:top w:val="single" w:sz="4" w:space="0" w:color="auto"/>
              <w:left w:val="nil"/>
              <w:bottom w:val="single" w:sz="4" w:space="0" w:color="000000" w:themeColor="text1"/>
              <w:right w:val="nil"/>
            </w:tcBorders>
            <w:vAlign w:val="bottom"/>
          </w:tcPr>
          <w:p w14:paraId="7182238E" w14:textId="77777777" w:rsidR="00E1352B" w:rsidRPr="006C2B28" w:rsidRDefault="00E1352B" w:rsidP="00690414">
            <w:pPr>
              <w:pStyle w:val="Tabletextleft"/>
              <w:jc w:val="both"/>
            </w:pPr>
            <w:r w:rsidRPr="006C2B28">
              <w:t>$4,556,270</w:t>
            </w:r>
          </w:p>
        </w:tc>
      </w:tr>
      <w:tr w:rsidR="00E1352B" w:rsidRPr="006C2B28" w14:paraId="4D0C68D5" w14:textId="77777777" w:rsidTr="002F0A85">
        <w:trPr>
          <w:trHeight w:val="290"/>
        </w:trPr>
        <w:tc>
          <w:tcPr>
            <w:tcW w:w="1134" w:type="dxa"/>
            <w:tcBorders>
              <w:top w:val="single" w:sz="4" w:space="0" w:color="000000" w:themeColor="text1"/>
              <w:left w:val="nil"/>
              <w:bottom w:val="single" w:sz="4" w:space="0" w:color="000000" w:themeColor="text1"/>
              <w:right w:val="nil"/>
            </w:tcBorders>
            <w:shd w:val="clear" w:color="auto" w:fill="auto"/>
            <w:noWrap/>
            <w:vAlign w:val="bottom"/>
            <w:hideMark/>
          </w:tcPr>
          <w:p w14:paraId="5B25149C" w14:textId="77777777" w:rsidR="00E1352B" w:rsidRPr="006C2B28" w:rsidRDefault="00E1352B" w:rsidP="00690414">
            <w:pPr>
              <w:pStyle w:val="Tabletextleft"/>
              <w:jc w:val="both"/>
              <w:rPr>
                <w:lang w:eastAsia="en-AU"/>
              </w:rPr>
            </w:pPr>
            <w:r w:rsidRPr="006C2B28">
              <w:rPr>
                <w:lang w:eastAsia="en-AU"/>
              </w:rPr>
              <w:t>Clinical Medicine and Science Research</w:t>
            </w:r>
          </w:p>
        </w:tc>
        <w:tc>
          <w:tcPr>
            <w:tcW w:w="993" w:type="dxa"/>
            <w:tcBorders>
              <w:top w:val="single" w:sz="4" w:space="0" w:color="000000" w:themeColor="text1"/>
              <w:left w:val="nil"/>
              <w:bottom w:val="single" w:sz="4" w:space="0" w:color="000000" w:themeColor="text1"/>
              <w:right w:val="nil"/>
            </w:tcBorders>
            <w:vAlign w:val="bottom"/>
          </w:tcPr>
          <w:p w14:paraId="38949D02" w14:textId="2F9D4C1E" w:rsidR="00E1352B" w:rsidRPr="006C2B28" w:rsidRDefault="00E1352B" w:rsidP="00690414">
            <w:pPr>
              <w:pStyle w:val="Tabletextleft"/>
              <w:jc w:val="both"/>
              <w:rPr>
                <w:lang w:eastAsia="en-AU"/>
              </w:rPr>
            </w:pPr>
            <w:r w:rsidRPr="006C2B28">
              <w:t>5</w:t>
            </w:r>
          </w:p>
        </w:tc>
        <w:tc>
          <w:tcPr>
            <w:tcW w:w="1134" w:type="dxa"/>
            <w:tcBorders>
              <w:top w:val="single" w:sz="4" w:space="0" w:color="000000" w:themeColor="text1"/>
              <w:left w:val="nil"/>
              <w:bottom w:val="single" w:sz="4" w:space="0" w:color="000000" w:themeColor="text1"/>
              <w:right w:val="nil"/>
            </w:tcBorders>
            <w:vAlign w:val="bottom"/>
          </w:tcPr>
          <w:p w14:paraId="385824A0" w14:textId="77777777" w:rsidR="00E1352B" w:rsidRPr="006C2B28" w:rsidRDefault="00E1352B" w:rsidP="00690414">
            <w:pPr>
              <w:pStyle w:val="Tabletextleft"/>
              <w:jc w:val="both"/>
              <w:rPr>
                <w:lang w:eastAsia="en-AU"/>
              </w:rPr>
            </w:pPr>
            <w:r w:rsidRPr="006C2B28">
              <w:t>$3,439,982</w:t>
            </w:r>
          </w:p>
        </w:tc>
        <w:tc>
          <w:tcPr>
            <w:tcW w:w="992" w:type="dxa"/>
            <w:tcBorders>
              <w:top w:val="single" w:sz="4" w:space="0" w:color="000000" w:themeColor="text1"/>
              <w:left w:val="nil"/>
              <w:bottom w:val="single" w:sz="4" w:space="0" w:color="000000" w:themeColor="text1"/>
              <w:right w:val="nil"/>
            </w:tcBorders>
            <w:vAlign w:val="bottom"/>
          </w:tcPr>
          <w:p w14:paraId="2881F23B" w14:textId="407DEEBE" w:rsidR="00E1352B" w:rsidRPr="006C2B28" w:rsidRDefault="00E1352B" w:rsidP="00690414">
            <w:pPr>
              <w:pStyle w:val="Tabletextleft"/>
              <w:jc w:val="both"/>
              <w:rPr>
                <w:lang w:eastAsia="en-AU"/>
              </w:rPr>
            </w:pPr>
            <w:r w:rsidRPr="006C2B28">
              <w:t>3</w:t>
            </w:r>
          </w:p>
        </w:tc>
        <w:tc>
          <w:tcPr>
            <w:tcW w:w="1134" w:type="dxa"/>
            <w:tcBorders>
              <w:top w:val="single" w:sz="4" w:space="0" w:color="000000" w:themeColor="text1"/>
              <w:left w:val="nil"/>
              <w:bottom w:val="single" w:sz="4" w:space="0" w:color="000000" w:themeColor="text1"/>
              <w:right w:val="nil"/>
            </w:tcBorders>
            <w:vAlign w:val="bottom"/>
          </w:tcPr>
          <w:p w14:paraId="1C368EB0" w14:textId="77777777" w:rsidR="00E1352B" w:rsidRPr="006C2B28" w:rsidRDefault="00E1352B" w:rsidP="00690414">
            <w:pPr>
              <w:pStyle w:val="Tabletextleft"/>
              <w:jc w:val="both"/>
              <w:rPr>
                <w:lang w:eastAsia="en-AU"/>
              </w:rPr>
            </w:pPr>
            <w:r w:rsidRPr="006C2B28">
              <w:t>$14,674,963</w:t>
            </w:r>
          </w:p>
        </w:tc>
        <w:tc>
          <w:tcPr>
            <w:tcW w:w="992" w:type="dxa"/>
            <w:tcBorders>
              <w:top w:val="single" w:sz="4" w:space="0" w:color="000000" w:themeColor="text1"/>
              <w:left w:val="nil"/>
              <w:bottom w:val="single" w:sz="4" w:space="0" w:color="000000" w:themeColor="text1"/>
              <w:right w:val="nil"/>
            </w:tcBorders>
            <w:vAlign w:val="bottom"/>
          </w:tcPr>
          <w:p w14:paraId="740CB3D3" w14:textId="3A3CD2AE" w:rsidR="00E1352B" w:rsidRPr="006C2B28" w:rsidRDefault="00E1352B" w:rsidP="00690414">
            <w:pPr>
              <w:pStyle w:val="Tabletextleft"/>
              <w:jc w:val="both"/>
              <w:rPr>
                <w:lang w:eastAsia="en-AU"/>
              </w:rPr>
            </w:pPr>
            <w:r w:rsidRPr="006C2B28">
              <w:t>5</w:t>
            </w:r>
          </w:p>
        </w:tc>
        <w:tc>
          <w:tcPr>
            <w:tcW w:w="1134" w:type="dxa"/>
            <w:tcBorders>
              <w:top w:val="single" w:sz="4" w:space="0" w:color="000000" w:themeColor="text1"/>
              <w:left w:val="nil"/>
              <w:bottom w:val="single" w:sz="4" w:space="0" w:color="000000" w:themeColor="text1"/>
              <w:right w:val="nil"/>
            </w:tcBorders>
            <w:vAlign w:val="bottom"/>
          </w:tcPr>
          <w:p w14:paraId="265BA735" w14:textId="77777777" w:rsidR="00E1352B" w:rsidRPr="006C2B28" w:rsidRDefault="00E1352B" w:rsidP="00690414">
            <w:pPr>
              <w:pStyle w:val="Tabletextleft"/>
              <w:jc w:val="both"/>
              <w:rPr>
                <w:lang w:eastAsia="en-AU"/>
              </w:rPr>
            </w:pPr>
            <w:r w:rsidRPr="006C2B28">
              <w:t>$5,801,533</w:t>
            </w:r>
          </w:p>
        </w:tc>
        <w:tc>
          <w:tcPr>
            <w:tcW w:w="992" w:type="dxa"/>
            <w:tcBorders>
              <w:top w:val="single" w:sz="4" w:space="0" w:color="000000" w:themeColor="text1"/>
              <w:left w:val="nil"/>
              <w:bottom w:val="single" w:sz="4" w:space="0" w:color="000000" w:themeColor="text1"/>
              <w:right w:val="nil"/>
            </w:tcBorders>
            <w:vAlign w:val="bottom"/>
          </w:tcPr>
          <w:p w14:paraId="252A51FB" w14:textId="4A6B2704" w:rsidR="00E1352B" w:rsidRPr="006C2B28" w:rsidRDefault="00E1352B" w:rsidP="00690414">
            <w:pPr>
              <w:pStyle w:val="Tabletextleft"/>
              <w:jc w:val="both"/>
            </w:pPr>
            <w:r w:rsidRPr="006C2B28">
              <w:t>13</w:t>
            </w:r>
          </w:p>
        </w:tc>
        <w:tc>
          <w:tcPr>
            <w:tcW w:w="1134" w:type="dxa"/>
            <w:tcBorders>
              <w:top w:val="single" w:sz="4" w:space="0" w:color="000000" w:themeColor="text1"/>
              <w:left w:val="nil"/>
              <w:bottom w:val="single" w:sz="4" w:space="0" w:color="000000" w:themeColor="text1"/>
              <w:right w:val="nil"/>
            </w:tcBorders>
            <w:vAlign w:val="bottom"/>
          </w:tcPr>
          <w:p w14:paraId="6397C6B9" w14:textId="77777777" w:rsidR="00E1352B" w:rsidRPr="006C2B28" w:rsidRDefault="00E1352B" w:rsidP="00690414">
            <w:pPr>
              <w:pStyle w:val="Tabletextleft"/>
              <w:jc w:val="both"/>
            </w:pPr>
            <w:r w:rsidRPr="006C2B28">
              <w:t>$23,916,479</w:t>
            </w:r>
          </w:p>
        </w:tc>
      </w:tr>
      <w:tr w:rsidR="00E1352B" w:rsidRPr="006C2B28" w14:paraId="5F2ED2C5" w14:textId="77777777" w:rsidTr="002F0A85">
        <w:trPr>
          <w:trHeight w:val="290"/>
        </w:trPr>
        <w:tc>
          <w:tcPr>
            <w:tcW w:w="1134" w:type="dxa"/>
            <w:tcBorders>
              <w:top w:val="single" w:sz="4" w:space="0" w:color="000000" w:themeColor="text1"/>
              <w:left w:val="nil"/>
              <w:bottom w:val="single" w:sz="4" w:space="0" w:color="000000" w:themeColor="text1"/>
              <w:right w:val="nil"/>
            </w:tcBorders>
            <w:shd w:val="clear" w:color="auto" w:fill="auto"/>
            <w:noWrap/>
            <w:vAlign w:val="bottom"/>
            <w:hideMark/>
          </w:tcPr>
          <w:p w14:paraId="7C5D4855" w14:textId="77777777" w:rsidR="00E1352B" w:rsidRPr="006C2B28" w:rsidRDefault="00E1352B" w:rsidP="00690414">
            <w:pPr>
              <w:pStyle w:val="Tabletextleft"/>
              <w:jc w:val="both"/>
              <w:rPr>
                <w:lang w:eastAsia="en-AU"/>
              </w:rPr>
            </w:pPr>
            <w:r w:rsidRPr="006C2B28">
              <w:rPr>
                <w:lang w:eastAsia="en-AU"/>
              </w:rPr>
              <w:t>Health Services Research</w:t>
            </w:r>
          </w:p>
        </w:tc>
        <w:tc>
          <w:tcPr>
            <w:tcW w:w="993" w:type="dxa"/>
            <w:tcBorders>
              <w:top w:val="single" w:sz="4" w:space="0" w:color="000000" w:themeColor="text1"/>
              <w:left w:val="nil"/>
              <w:bottom w:val="single" w:sz="4" w:space="0" w:color="000000" w:themeColor="text1"/>
              <w:right w:val="nil"/>
            </w:tcBorders>
            <w:vAlign w:val="bottom"/>
          </w:tcPr>
          <w:p w14:paraId="21ACE070" w14:textId="77777777" w:rsidR="00E1352B" w:rsidRPr="006C2B28" w:rsidRDefault="00E1352B" w:rsidP="00690414">
            <w:pPr>
              <w:pStyle w:val="Tabletextleft"/>
              <w:jc w:val="both"/>
              <w:rPr>
                <w:lang w:eastAsia="en-AU"/>
              </w:rPr>
            </w:pPr>
            <w:r w:rsidRPr="006C2B28">
              <w:t>0</w:t>
            </w:r>
          </w:p>
        </w:tc>
        <w:tc>
          <w:tcPr>
            <w:tcW w:w="1134" w:type="dxa"/>
            <w:tcBorders>
              <w:top w:val="single" w:sz="4" w:space="0" w:color="000000" w:themeColor="text1"/>
              <w:left w:val="nil"/>
              <w:bottom w:val="single" w:sz="4" w:space="0" w:color="000000" w:themeColor="text1"/>
              <w:right w:val="nil"/>
            </w:tcBorders>
            <w:vAlign w:val="bottom"/>
          </w:tcPr>
          <w:p w14:paraId="002AF066" w14:textId="77777777" w:rsidR="00E1352B" w:rsidRPr="006C2B28" w:rsidRDefault="00E1352B" w:rsidP="00690414">
            <w:pPr>
              <w:pStyle w:val="Tabletextleft"/>
              <w:jc w:val="both"/>
              <w:rPr>
                <w:lang w:eastAsia="en-AU"/>
              </w:rPr>
            </w:pPr>
            <w:r w:rsidRPr="006C2B28">
              <w:rPr>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0A552604" w14:textId="0BC49B13" w:rsidR="00E1352B" w:rsidRPr="006C2B28" w:rsidRDefault="00E1352B" w:rsidP="00690414">
            <w:pPr>
              <w:pStyle w:val="Tabletextleft"/>
              <w:jc w:val="both"/>
              <w:rPr>
                <w:lang w:eastAsia="en-AU"/>
              </w:rPr>
            </w:pPr>
            <w:r w:rsidRPr="006C2B28">
              <w:t>2</w:t>
            </w:r>
          </w:p>
        </w:tc>
        <w:tc>
          <w:tcPr>
            <w:tcW w:w="1134" w:type="dxa"/>
            <w:tcBorders>
              <w:top w:val="single" w:sz="4" w:space="0" w:color="000000" w:themeColor="text1"/>
              <w:left w:val="nil"/>
              <w:bottom w:val="single" w:sz="4" w:space="0" w:color="000000" w:themeColor="text1"/>
              <w:right w:val="nil"/>
            </w:tcBorders>
            <w:vAlign w:val="bottom"/>
          </w:tcPr>
          <w:p w14:paraId="7FA01A54" w14:textId="77777777" w:rsidR="00E1352B" w:rsidRPr="006C2B28" w:rsidRDefault="00E1352B" w:rsidP="00690414">
            <w:pPr>
              <w:pStyle w:val="Tabletextleft"/>
              <w:jc w:val="both"/>
              <w:rPr>
                <w:lang w:eastAsia="en-AU"/>
              </w:rPr>
            </w:pPr>
            <w:r w:rsidRPr="006C2B28">
              <w:t>$8,767,812</w:t>
            </w:r>
          </w:p>
        </w:tc>
        <w:tc>
          <w:tcPr>
            <w:tcW w:w="992" w:type="dxa"/>
            <w:tcBorders>
              <w:top w:val="single" w:sz="4" w:space="0" w:color="000000" w:themeColor="text1"/>
              <w:left w:val="nil"/>
              <w:bottom w:val="single" w:sz="4" w:space="0" w:color="000000" w:themeColor="text1"/>
              <w:right w:val="nil"/>
            </w:tcBorders>
            <w:vAlign w:val="bottom"/>
          </w:tcPr>
          <w:p w14:paraId="3C1EFD8B" w14:textId="107DDA7B" w:rsidR="00E1352B" w:rsidRPr="006C2B28" w:rsidRDefault="00E1352B" w:rsidP="00690414">
            <w:pPr>
              <w:pStyle w:val="Tabletextleft"/>
              <w:jc w:val="both"/>
              <w:rPr>
                <w:lang w:eastAsia="en-AU"/>
              </w:rPr>
            </w:pPr>
            <w:r w:rsidRPr="006C2B28">
              <w:t>0</w:t>
            </w:r>
          </w:p>
        </w:tc>
        <w:tc>
          <w:tcPr>
            <w:tcW w:w="1134" w:type="dxa"/>
            <w:tcBorders>
              <w:top w:val="single" w:sz="4" w:space="0" w:color="000000" w:themeColor="text1"/>
              <w:left w:val="nil"/>
              <w:bottom w:val="single" w:sz="4" w:space="0" w:color="000000" w:themeColor="text1"/>
              <w:right w:val="nil"/>
            </w:tcBorders>
            <w:vAlign w:val="bottom"/>
          </w:tcPr>
          <w:p w14:paraId="0BF1A3ED" w14:textId="77777777" w:rsidR="00E1352B" w:rsidRPr="006C2B28" w:rsidRDefault="00E1352B" w:rsidP="00690414">
            <w:pPr>
              <w:pStyle w:val="Tabletextleft"/>
              <w:jc w:val="both"/>
              <w:rPr>
                <w:lang w:eastAsia="en-AU"/>
              </w:rPr>
            </w:pPr>
            <w:r w:rsidRPr="006C2B28">
              <w:rPr>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502A7A30" w14:textId="47336B76" w:rsidR="00E1352B" w:rsidRPr="006C2B28" w:rsidRDefault="00E1352B" w:rsidP="00690414">
            <w:pPr>
              <w:pStyle w:val="Tabletextleft"/>
              <w:jc w:val="both"/>
            </w:pPr>
            <w:r w:rsidRPr="006C2B28">
              <w:t>2</w:t>
            </w:r>
          </w:p>
        </w:tc>
        <w:tc>
          <w:tcPr>
            <w:tcW w:w="1134" w:type="dxa"/>
            <w:tcBorders>
              <w:top w:val="single" w:sz="4" w:space="0" w:color="000000" w:themeColor="text1"/>
              <w:left w:val="nil"/>
              <w:bottom w:val="single" w:sz="4" w:space="0" w:color="000000" w:themeColor="text1"/>
              <w:right w:val="nil"/>
            </w:tcBorders>
            <w:vAlign w:val="bottom"/>
          </w:tcPr>
          <w:p w14:paraId="089E5B08" w14:textId="77777777" w:rsidR="00E1352B" w:rsidRPr="006C2B28" w:rsidRDefault="00E1352B" w:rsidP="00690414">
            <w:pPr>
              <w:pStyle w:val="Tabletextleft"/>
              <w:jc w:val="both"/>
            </w:pPr>
            <w:r w:rsidRPr="006C2B28">
              <w:t>$8,767,812</w:t>
            </w:r>
          </w:p>
        </w:tc>
      </w:tr>
      <w:tr w:rsidR="00E1352B" w:rsidRPr="006C2B28" w14:paraId="6A2AB835" w14:textId="77777777" w:rsidTr="002F0A85">
        <w:trPr>
          <w:trHeight w:val="290"/>
        </w:trPr>
        <w:tc>
          <w:tcPr>
            <w:tcW w:w="1134" w:type="dxa"/>
            <w:tcBorders>
              <w:top w:val="single" w:sz="4" w:space="0" w:color="000000" w:themeColor="text1"/>
              <w:left w:val="nil"/>
              <w:bottom w:val="single" w:sz="4" w:space="0" w:color="000000" w:themeColor="text1"/>
              <w:right w:val="nil"/>
            </w:tcBorders>
            <w:shd w:val="clear" w:color="auto" w:fill="auto"/>
            <w:noWrap/>
            <w:vAlign w:val="bottom"/>
            <w:hideMark/>
          </w:tcPr>
          <w:p w14:paraId="13C1CBE7" w14:textId="77777777" w:rsidR="00E1352B" w:rsidRPr="006C2B28" w:rsidRDefault="00E1352B" w:rsidP="00690414">
            <w:pPr>
              <w:pStyle w:val="Tabletextleft"/>
              <w:jc w:val="both"/>
              <w:rPr>
                <w:lang w:eastAsia="en-AU"/>
              </w:rPr>
            </w:pPr>
            <w:r w:rsidRPr="006C2B28">
              <w:rPr>
                <w:lang w:eastAsia="en-AU"/>
              </w:rPr>
              <w:t>Public Health Research</w:t>
            </w:r>
          </w:p>
        </w:tc>
        <w:tc>
          <w:tcPr>
            <w:tcW w:w="993" w:type="dxa"/>
            <w:tcBorders>
              <w:top w:val="single" w:sz="4" w:space="0" w:color="000000" w:themeColor="text1"/>
              <w:left w:val="nil"/>
              <w:bottom w:val="single" w:sz="4" w:space="0" w:color="000000" w:themeColor="text1"/>
              <w:right w:val="nil"/>
            </w:tcBorders>
            <w:vAlign w:val="bottom"/>
          </w:tcPr>
          <w:p w14:paraId="0CB81FE8" w14:textId="1AAE7259" w:rsidR="00E1352B" w:rsidRPr="006C2B28" w:rsidRDefault="00E1352B" w:rsidP="00690414">
            <w:pPr>
              <w:pStyle w:val="Tabletextleft"/>
              <w:jc w:val="both"/>
              <w:rPr>
                <w:lang w:eastAsia="en-AU"/>
              </w:rPr>
            </w:pPr>
            <w:r w:rsidRPr="006C2B28">
              <w:t>0</w:t>
            </w:r>
          </w:p>
        </w:tc>
        <w:tc>
          <w:tcPr>
            <w:tcW w:w="1134" w:type="dxa"/>
            <w:tcBorders>
              <w:top w:val="single" w:sz="4" w:space="0" w:color="000000" w:themeColor="text1"/>
              <w:left w:val="nil"/>
              <w:bottom w:val="single" w:sz="4" w:space="0" w:color="000000" w:themeColor="text1"/>
              <w:right w:val="nil"/>
            </w:tcBorders>
            <w:vAlign w:val="bottom"/>
          </w:tcPr>
          <w:p w14:paraId="0EACC999" w14:textId="77777777" w:rsidR="00E1352B" w:rsidRPr="006C2B28" w:rsidRDefault="00E1352B" w:rsidP="00690414">
            <w:pPr>
              <w:pStyle w:val="Tabletextleft"/>
              <w:jc w:val="both"/>
              <w:rPr>
                <w:lang w:eastAsia="en-AU"/>
              </w:rPr>
            </w:pPr>
            <w:r w:rsidRPr="006C2B28">
              <w:rPr>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15BE9C8B" w14:textId="31658A10" w:rsidR="00E1352B" w:rsidRPr="006C2B28" w:rsidRDefault="00E1352B" w:rsidP="00690414">
            <w:pPr>
              <w:pStyle w:val="Tabletextleft"/>
              <w:jc w:val="both"/>
              <w:rPr>
                <w:lang w:eastAsia="en-AU"/>
              </w:rPr>
            </w:pPr>
            <w:r w:rsidRPr="006C2B28">
              <w:t>1</w:t>
            </w:r>
          </w:p>
        </w:tc>
        <w:tc>
          <w:tcPr>
            <w:tcW w:w="1134" w:type="dxa"/>
            <w:tcBorders>
              <w:top w:val="single" w:sz="4" w:space="0" w:color="000000" w:themeColor="text1"/>
              <w:left w:val="nil"/>
              <w:bottom w:val="single" w:sz="4" w:space="0" w:color="000000" w:themeColor="text1"/>
              <w:right w:val="nil"/>
            </w:tcBorders>
            <w:vAlign w:val="bottom"/>
          </w:tcPr>
          <w:p w14:paraId="4C884F8C" w14:textId="77777777" w:rsidR="00E1352B" w:rsidRPr="006C2B28" w:rsidRDefault="00E1352B" w:rsidP="00690414">
            <w:pPr>
              <w:pStyle w:val="Tabletextleft"/>
              <w:jc w:val="both"/>
              <w:rPr>
                <w:lang w:eastAsia="en-AU"/>
              </w:rPr>
            </w:pPr>
            <w:r w:rsidRPr="006C2B28">
              <w:t>$4,754,183</w:t>
            </w:r>
          </w:p>
        </w:tc>
        <w:tc>
          <w:tcPr>
            <w:tcW w:w="992" w:type="dxa"/>
            <w:tcBorders>
              <w:top w:val="single" w:sz="4" w:space="0" w:color="000000" w:themeColor="text1"/>
              <w:left w:val="nil"/>
              <w:bottom w:val="single" w:sz="4" w:space="0" w:color="000000" w:themeColor="text1"/>
              <w:right w:val="nil"/>
            </w:tcBorders>
            <w:vAlign w:val="bottom"/>
          </w:tcPr>
          <w:p w14:paraId="2460798A" w14:textId="1F6E5777" w:rsidR="00E1352B" w:rsidRPr="006C2B28" w:rsidRDefault="00E1352B" w:rsidP="00690414">
            <w:pPr>
              <w:pStyle w:val="Tabletextleft"/>
              <w:jc w:val="both"/>
              <w:rPr>
                <w:lang w:eastAsia="en-AU"/>
              </w:rPr>
            </w:pPr>
            <w:r w:rsidRPr="006C2B28">
              <w:t>1</w:t>
            </w:r>
          </w:p>
        </w:tc>
        <w:tc>
          <w:tcPr>
            <w:tcW w:w="1134" w:type="dxa"/>
            <w:tcBorders>
              <w:top w:val="single" w:sz="4" w:space="0" w:color="000000" w:themeColor="text1"/>
              <w:left w:val="nil"/>
              <w:bottom w:val="single" w:sz="4" w:space="0" w:color="000000" w:themeColor="text1"/>
              <w:right w:val="nil"/>
            </w:tcBorders>
            <w:vAlign w:val="bottom"/>
          </w:tcPr>
          <w:p w14:paraId="24236825" w14:textId="77777777" w:rsidR="00E1352B" w:rsidRPr="006C2B28" w:rsidRDefault="00E1352B" w:rsidP="00690414">
            <w:pPr>
              <w:pStyle w:val="Tabletextleft"/>
              <w:jc w:val="both"/>
              <w:rPr>
                <w:lang w:eastAsia="en-AU"/>
              </w:rPr>
            </w:pPr>
            <w:r w:rsidRPr="006C2B28">
              <w:t>$805,256</w:t>
            </w:r>
          </w:p>
        </w:tc>
        <w:tc>
          <w:tcPr>
            <w:tcW w:w="992" w:type="dxa"/>
            <w:tcBorders>
              <w:top w:val="single" w:sz="4" w:space="0" w:color="000000" w:themeColor="text1"/>
              <w:left w:val="nil"/>
              <w:bottom w:val="single" w:sz="4" w:space="0" w:color="000000" w:themeColor="text1"/>
              <w:right w:val="nil"/>
            </w:tcBorders>
            <w:vAlign w:val="bottom"/>
          </w:tcPr>
          <w:p w14:paraId="7D5F1214" w14:textId="671E26ED" w:rsidR="00E1352B" w:rsidRPr="006C2B28" w:rsidRDefault="00E1352B" w:rsidP="00690414">
            <w:pPr>
              <w:pStyle w:val="Tabletextleft"/>
              <w:jc w:val="both"/>
            </w:pPr>
            <w:r w:rsidRPr="006C2B28">
              <w:t>2</w:t>
            </w:r>
          </w:p>
        </w:tc>
        <w:tc>
          <w:tcPr>
            <w:tcW w:w="1134" w:type="dxa"/>
            <w:tcBorders>
              <w:top w:val="single" w:sz="4" w:space="0" w:color="000000" w:themeColor="text1"/>
              <w:left w:val="nil"/>
              <w:bottom w:val="single" w:sz="4" w:space="0" w:color="000000" w:themeColor="text1"/>
              <w:right w:val="nil"/>
            </w:tcBorders>
            <w:vAlign w:val="bottom"/>
          </w:tcPr>
          <w:p w14:paraId="434583C6" w14:textId="77777777" w:rsidR="00E1352B" w:rsidRPr="006C2B28" w:rsidRDefault="00E1352B" w:rsidP="00690414">
            <w:pPr>
              <w:pStyle w:val="Tabletextleft"/>
              <w:jc w:val="both"/>
            </w:pPr>
            <w:r w:rsidRPr="006C2B28">
              <w:t>$5,559,439</w:t>
            </w:r>
          </w:p>
        </w:tc>
      </w:tr>
      <w:tr w:rsidR="00E1352B" w:rsidRPr="006C2B28" w14:paraId="57DDB119" w14:textId="77777777" w:rsidTr="002F0A85">
        <w:trPr>
          <w:trHeight w:val="290"/>
        </w:trPr>
        <w:tc>
          <w:tcPr>
            <w:tcW w:w="1134" w:type="dxa"/>
            <w:tcBorders>
              <w:top w:val="single" w:sz="4" w:space="0" w:color="000000" w:themeColor="text1"/>
              <w:left w:val="nil"/>
              <w:bottom w:val="single" w:sz="4" w:space="0" w:color="000000" w:themeColor="text1"/>
              <w:right w:val="nil"/>
            </w:tcBorders>
            <w:shd w:val="clear" w:color="auto" w:fill="auto"/>
            <w:noWrap/>
            <w:vAlign w:val="bottom"/>
          </w:tcPr>
          <w:p w14:paraId="298E8446" w14:textId="77777777" w:rsidR="00E1352B" w:rsidRPr="006C2B28" w:rsidRDefault="00E1352B" w:rsidP="00690414">
            <w:pPr>
              <w:pStyle w:val="Tabletextleft"/>
              <w:jc w:val="both"/>
              <w:rPr>
                <w:lang w:eastAsia="en-AU"/>
              </w:rPr>
            </w:pPr>
            <w:r w:rsidRPr="006C2B28">
              <w:rPr>
                <w:lang w:eastAsia="en-AU"/>
              </w:rPr>
              <w:t>All research areas</w:t>
            </w:r>
          </w:p>
        </w:tc>
        <w:tc>
          <w:tcPr>
            <w:tcW w:w="993" w:type="dxa"/>
            <w:tcBorders>
              <w:top w:val="single" w:sz="4" w:space="0" w:color="000000" w:themeColor="text1"/>
              <w:left w:val="nil"/>
              <w:bottom w:val="single" w:sz="4" w:space="0" w:color="000000" w:themeColor="text1"/>
              <w:right w:val="nil"/>
            </w:tcBorders>
            <w:vAlign w:val="bottom"/>
          </w:tcPr>
          <w:p w14:paraId="5B75456C" w14:textId="0AC842DE" w:rsidR="00E1352B" w:rsidRPr="006C2B28" w:rsidRDefault="00E1352B" w:rsidP="00690414">
            <w:pPr>
              <w:pStyle w:val="Tabletextleft"/>
              <w:jc w:val="both"/>
            </w:pPr>
            <w:r w:rsidRPr="006C2B28">
              <w:t>9</w:t>
            </w:r>
          </w:p>
        </w:tc>
        <w:tc>
          <w:tcPr>
            <w:tcW w:w="1134" w:type="dxa"/>
            <w:tcBorders>
              <w:top w:val="single" w:sz="4" w:space="0" w:color="000000" w:themeColor="text1"/>
              <w:left w:val="nil"/>
              <w:bottom w:val="single" w:sz="4" w:space="0" w:color="000000" w:themeColor="text1"/>
              <w:right w:val="nil"/>
            </w:tcBorders>
            <w:vAlign w:val="bottom"/>
          </w:tcPr>
          <w:p w14:paraId="3CF531D4" w14:textId="77777777" w:rsidR="00E1352B" w:rsidRPr="006C2B28" w:rsidRDefault="00E1352B" w:rsidP="00690414">
            <w:pPr>
              <w:pStyle w:val="Tabletextleft"/>
              <w:jc w:val="both"/>
            </w:pPr>
            <w:r w:rsidRPr="006C2B28">
              <w:t>$6,416,096</w:t>
            </w:r>
          </w:p>
        </w:tc>
        <w:tc>
          <w:tcPr>
            <w:tcW w:w="992" w:type="dxa"/>
            <w:tcBorders>
              <w:top w:val="single" w:sz="4" w:space="0" w:color="000000" w:themeColor="text1"/>
              <w:left w:val="nil"/>
              <w:bottom w:val="single" w:sz="4" w:space="0" w:color="000000" w:themeColor="text1"/>
              <w:right w:val="nil"/>
            </w:tcBorders>
            <w:vAlign w:val="bottom"/>
          </w:tcPr>
          <w:p w14:paraId="25855394" w14:textId="3FBA0049" w:rsidR="00E1352B" w:rsidRPr="006C2B28" w:rsidRDefault="00E1352B" w:rsidP="00690414">
            <w:pPr>
              <w:pStyle w:val="Tabletextleft"/>
              <w:jc w:val="both"/>
            </w:pPr>
            <w:r w:rsidRPr="006C2B28">
              <w:t>6</w:t>
            </w:r>
          </w:p>
        </w:tc>
        <w:tc>
          <w:tcPr>
            <w:tcW w:w="1134" w:type="dxa"/>
            <w:tcBorders>
              <w:top w:val="single" w:sz="4" w:space="0" w:color="000000" w:themeColor="text1"/>
              <w:left w:val="nil"/>
              <w:bottom w:val="single" w:sz="4" w:space="0" w:color="000000" w:themeColor="text1"/>
              <w:right w:val="nil"/>
            </w:tcBorders>
            <w:vAlign w:val="bottom"/>
          </w:tcPr>
          <w:p w14:paraId="06E42C23" w14:textId="77777777" w:rsidR="00E1352B" w:rsidRPr="006C2B28" w:rsidRDefault="00E1352B" w:rsidP="00690414">
            <w:pPr>
              <w:pStyle w:val="Tabletextleft"/>
              <w:jc w:val="both"/>
            </w:pPr>
            <w:r w:rsidRPr="006C2B28">
              <w:t>$28,196,959</w:t>
            </w:r>
          </w:p>
        </w:tc>
        <w:tc>
          <w:tcPr>
            <w:tcW w:w="992" w:type="dxa"/>
            <w:tcBorders>
              <w:top w:val="single" w:sz="4" w:space="0" w:color="000000" w:themeColor="text1"/>
              <w:left w:val="nil"/>
              <w:bottom w:val="single" w:sz="4" w:space="0" w:color="000000" w:themeColor="text1"/>
              <w:right w:val="nil"/>
            </w:tcBorders>
            <w:vAlign w:val="bottom"/>
          </w:tcPr>
          <w:p w14:paraId="7A7DE63F" w14:textId="5DA9CEDA" w:rsidR="00E1352B" w:rsidRPr="006C2B28" w:rsidRDefault="00E1352B" w:rsidP="00690414">
            <w:pPr>
              <w:pStyle w:val="Tabletextleft"/>
              <w:jc w:val="both"/>
            </w:pPr>
            <w:r w:rsidRPr="006C2B28">
              <w:t>8</w:t>
            </w:r>
          </w:p>
        </w:tc>
        <w:tc>
          <w:tcPr>
            <w:tcW w:w="1134" w:type="dxa"/>
            <w:tcBorders>
              <w:top w:val="single" w:sz="4" w:space="0" w:color="000000" w:themeColor="text1"/>
              <w:left w:val="nil"/>
              <w:bottom w:val="single" w:sz="4" w:space="0" w:color="000000" w:themeColor="text1"/>
              <w:right w:val="nil"/>
            </w:tcBorders>
            <w:vAlign w:val="bottom"/>
          </w:tcPr>
          <w:p w14:paraId="4AF6ED2E" w14:textId="77777777" w:rsidR="00E1352B" w:rsidRPr="006C2B28" w:rsidRDefault="00E1352B" w:rsidP="00690414">
            <w:pPr>
              <w:pStyle w:val="Tabletextleft"/>
              <w:jc w:val="both"/>
            </w:pPr>
            <w:r w:rsidRPr="006C2B28">
              <w:t>$8,186,945</w:t>
            </w:r>
          </w:p>
        </w:tc>
        <w:tc>
          <w:tcPr>
            <w:tcW w:w="992" w:type="dxa"/>
            <w:tcBorders>
              <w:top w:val="single" w:sz="4" w:space="0" w:color="000000" w:themeColor="text1"/>
              <w:left w:val="nil"/>
              <w:bottom w:val="single" w:sz="4" w:space="0" w:color="000000" w:themeColor="text1"/>
              <w:right w:val="nil"/>
            </w:tcBorders>
            <w:vAlign w:val="bottom"/>
          </w:tcPr>
          <w:p w14:paraId="7DF5E5EF" w14:textId="56717555" w:rsidR="00E1352B" w:rsidRPr="006C2B28" w:rsidRDefault="00E1352B" w:rsidP="00690414">
            <w:pPr>
              <w:pStyle w:val="Tabletextleft"/>
              <w:jc w:val="both"/>
            </w:pPr>
            <w:r w:rsidRPr="006C2B28">
              <w:t>23</w:t>
            </w:r>
          </w:p>
        </w:tc>
        <w:tc>
          <w:tcPr>
            <w:tcW w:w="1134" w:type="dxa"/>
            <w:tcBorders>
              <w:top w:val="single" w:sz="4" w:space="0" w:color="000000" w:themeColor="text1"/>
              <w:left w:val="nil"/>
              <w:bottom w:val="single" w:sz="4" w:space="0" w:color="000000" w:themeColor="text1"/>
              <w:right w:val="nil"/>
            </w:tcBorders>
            <w:vAlign w:val="bottom"/>
          </w:tcPr>
          <w:p w14:paraId="5D82F510" w14:textId="77777777" w:rsidR="00E1352B" w:rsidRPr="006C2B28" w:rsidRDefault="00E1352B" w:rsidP="00690414">
            <w:pPr>
              <w:pStyle w:val="Tabletextleft"/>
              <w:jc w:val="both"/>
            </w:pPr>
            <w:r w:rsidRPr="006C2B28">
              <w:t>$42,800,000</w:t>
            </w:r>
          </w:p>
        </w:tc>
      </w:tr>
    </w:tbl>
    <w:p w14:paraId="0B5BCAE1" w14:textId="77777777" w:rsidR="002F0A85" w:rsidRDefault="005C7002" w:rsidP="00B95348">
      <w:pPr>
        <w:spacing w:after="120"/>
        <w:jc w:val="both"/>
        <w:rPr>
          <w:sz w:val="22"/>
          <w:szCs w:val="22"/>
        </w:rPr>
      </w:pPr>
      <w:r w:rsidRPr="00B95348">
        <w:rPr>
          <w:sz w:val="22"/>
          <w:szCs w:val="22"/>
        </w:rPr>
        <w:lastRenderedPageBreak/>
        <w:t>The largest number of applications (193) were submitted on the area of Clinical Medicine and Science Research, with most (129) of these being submitted to Stream 1 (Table 4).</w:t>
      </w:r>
    </w:p>
    <w:p w14:paraId="5B098D97" w14:textId="3C6860F1" w:rsidR="00212E77" w:rsidRDefault="005C7002" w:rsidP="002F0A85">
      <w:pPr>
        <w:spacing w:before="120"/>
        <w:jc w:val="both"/>
        <w:rPr>
          <w:sz w:val="22"/>
          <w:szCs w:val="22"/>
        </w:rPr>
      </w:pPr>
      <w:r w:rsidRPr="00B95348" w:rsidDel="005C7002">
        <w:rPr>
          <w:sz w:val="22"/>
          <w:szCs w:val="22"/>
        </w:rPr>
        <w:t xml:space="preserve"> </w:t>
      </w:r>
    </w:p>
    <w:p w14:paraId="7893E4BE" w14:textId="2EA0ACED" w:rsidR="00212E77" w:rsidRPr="00F32336" w:rsidRDefault="00212E77" w:rsidP="00B95348">
      <w:pPr>
        <w:pStyle w:val="TableHeader"/>
      </w:pPr>
      <w:r w:rsidRPr="00F32336">
        <w:t xml:space="preserve">Table </w:t>
      </w:r>
      <w:r w:rsidR="007523B2" w:rsidRPr="00F32336">
        <w:t>4</w:t>
      </w:r>
      <w:r w:rsidRPr="00F32336">
        <w:t xml:space="preserve"> - Applications by </w:t>
      </w:r>
      <w:r w:rsidR="0027585E" w:rsidRPr="00F32336">
        <w:t xml:space="preserve">broad </w:t>
      </w:r>
      <w:r w:rsidRPr="00B95348">
        <w:t>area</w:t>
      </w:r>
      <w:r w:rsidRPr="00F32336">
        <w:t xml:space="preserve"> of research and funding rate by </w:t>
      </w:r>
      <w:r w:rsidR="0027585E" w:rsidRPr="00F32336">
        <w:t xml:space="preserve">broad </w:t>
      </w:r>
      <w:r w:rsidRPr="00F32336">
        <w:t>research area</w:t>
      </w:r>
    </w:p>
    <w:tbl>
      <w:tblPr>
        <w:tblStyle w:val="MRFF"/>
        <w:tblW w:w="9214" w:type="dxa"/>
        <w:tblLayout w:type="fixed"/>
        <w:tblLook w:val="04A0" w:firstRow="1" w:lastRow="0" w:firstColumn="1" w:lastColumn="0" w:noHBand="0" w:noVBand="1"/>
      </w:tblPr>
      <w:tblGrid>
        <w:gridCol w:w="1786"/>
        <w:gridCol w:w="1786"/>
        <w:gridCol w:w="1786"/>
        <w:gridCol w:w="1786"/>
        <w:gridCol w:w="2070"/>
      </w:tblGrid>
      <w:tr w:rsidR="00212E77" w:rsidRPr="00545787" w14:paraId="08B8D3D5" w14:textId="77777777" w:rsidTr="00317D25">
        <w:trPr>
          <w:cnfStyle w:val="100000000000" w:firstRow="1" w:lastRow="0" w:firstColumn="0" w:lastColumn="0" w:oddVBand="0" w:evenVBand="0" w:oddHBand="0" w:evenHBand="0" w:firstRowFirstColumn="0" w:firstRowLastColumn="0" w:lastRowFirstColumn="0" w:lastRowLastColumn="0"/>
          <w:trHeight w:val="290"/>
        </w:trPr>
        <w:tc>
          <w:tcPr>
            <w:tcW w:w="1786" w:type="dxa"/>
            <w:tcBorders>
              <w:top w:val="single" w:sz="4" w:space="0" w:color="auto"/>
              <w:bottom w:val="single" w:sz="4" w:space="0" w:color="auto"/>
            </w:tcBorders>
            <w:noWrap/>
            <w:hideMark/>
          </w:tcPr>
          <w:p w14:paraId="5CBB4A14" w14:textId="77777777"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Broad Research Area</w:t>
            </w:r>
          </w:p>
        </w:tc>
        <w:tc>
          <w:tcPr>
            <w:tcW w:w="1786" w:type="dxa"/>
            <w:tcBorders>
              <w:top w:val="single" w:sz="4" w:space="0" w:color="auto"/>
              <w:bottom w:val="single" w:sz="4" w:space="0" w:color="auto"/>
            </w:tcBorders>
          </w:tcPr>
          <w:p w14:paraId="1815C140" w14:textId="77777777"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Stream 1 applications</w:t>
            </w:r>
          </w:p>
          <w:p w14:paraId="15A381E1" w14:textId="404FD631"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w:t>
            </w:r>
            <w:proofErr w:type="gramStart"/>
            <w:r w:rsidRPr="00B95348">
              <w:rPr>
                <w:rFonts w:cs="Arial"/>
                <w:bCs/>
                <w:color w:val="FFFFFF"/>
                <w:sz w:val="20"/>
                <w:szCs w:val="20"/>
                <w:lang w:eastAsia="en-AU"/>
              </w:rPr>
              <w:t>fund</w:t>
            </w:r>
            <w:r w:rsidR="00E7046F" w:rsidRPr="00B95348">
              <w:rPr>
                <w:rFonts w:cs="Arial"/>
                <w:bCs/>
                <w:color w:val="FFFFFF"/>
                <w:sz w:val="20"/>
                <w:szCs w:val="20"/>
                <w:lang w:eastAsia="en-AU"/>
              </w:rPr>
              <w:t>ed</w:t>
            </w:r>
            <w:proofErr w:type="gramEnd"/>
            <w:r w:rsidRPr="00B95348">
              <w:rPr>
                <w:rFonts w:cs="Arial"/>
                <w:bCs/>
                <w:color w:val="FFFFFF"/>
                <w:sz w:val="20"/>
                <w:szCs w:val="20"/>
                <w:lang w:eastAsia="en-AU"/>
              </w:rPr>
              <w:t xml:space="preserve"> rate)</w:t>
            </w:r>
          </w:p>
        </w:tc>
        <w:tc>
          <w:tcPr>
            <w:tcW w:w="1786" w:type="dxa"/>
            <w:tcBorders>
              <w:top w:val="single" w:sz="4" w:space="0" w:color="auto"/>
              <w:bottom w:val="single" w:sz="4" w:space="0" w:color="auto"/>
            </w:tcBorders>
          </w:tcPr>
          <w:p w14:paraId="3CBA4F1C" w14:textId="44908DB2"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Stream 2 applications</w:t>
            </w:r>
          </w:p>
          <w:p w14:paraId="5279ABC1" w14:textId="114821BF"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w:t>
            </w:r>
            <w:proofErr w:type="gramStart"/>
            <w:r w:rsidRPr="00B95348">
              <w:rPr>
                <w:rFonts w:cs="Arial"/>
                <w:bCs/>
                <w:color w:val="FFFFFF"/>
                <w:sz w:val="20"/>
                <w:szCs w:val="20"/>
                <w:lang w:eastAsia="en-AU"/>
              </w:rPr>
              <w:t>fund</w:t>
            </w:r>
            <w:r w:rsidR="00E7046F" w:rsidRPr="00B95348">
              <w:rPr>
                <w:rFonts w:cs="Arial"/>
                <w:bCs/>
                <w:color w:val="FFFFFF"/>
                <w:sz w:val="20"/>
                <w:szCs w:val="20"/>
                <w:lang w:eastAsia="en-AU"/>
              </w:rPr>
              <w:t>ed</w:t>
            </w:r>
            <w:proofErr w:type="gramEnd"/>
            <w:r w:rsidRPr="00B95348">
              <w:rPr>
                <w:rFonts w:cs="Arial"/>
                <w:bCs/>
                <w:color w:val="FFFFFF"/>
                <w:sz w:val="20"/>
                <w:szCs w:val="20"/>
                <w:lang w:eastAsia="en-AU"/>
              </w:rPr>
              <w:t xml:space="preserve"> rate)</w:t>
            </w:r>
          </w:p>
        </w:tc>
        <w:tc>
          <w:tcPr>
            <w:tcW w:w="1786" w:type="dxa"/>
            <w:tcBorders>
              <w:top w:val="single" w:sz="4" w:space="0" w:color="auto"/>
              <w:bottom w:val="single" w:sz="4" w:space="0" w:color="auto"/>
            </w:tcBorders>
          </w:tcPr>
          <w:p w14:paraId="20BEE900" w14:textId="7898AFD7"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Stream 3 applications</w:t>
            </w:r>
          </w:p>
          <w:p w14:paraId="56FD6F54" w14:textId="143239FD"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w:t>
            </w:r>
            <w:proofErr w:type="gramStart"/>
            <w:r w:rsidRPr="00B95348">
              <w:rPr>
                <w:rFonts w:cs="Arial"/>
                <w:bCs/>
                <w:color w:val="FFFFFF"/>
                <w:sz w:val="20"/>
                <w:szCs w:val="20"/>
                <w:lang w:eastAsia="en-AU"/>
              </w:rPr>
              <w:t>fund</w:t>
            </w:r>
            <w:r w:rsidR="00E7046F" w:rsidRPr="00B95348">
              <w:rPr>
                <w:rFonts w:cs="Arial"/>
                <w:bCs/>
                <w:color w:val="FFFFFF"/>
                <w:sz w:val="20"/>
                <w:szCs w:val="20"/>
                <w:lang w:eastAsia="en-AU"/>
              </w:rPr>
              <w:t>ed</w:t>
            </w:r>
            <w:proofErr w:type="gramEnd"/>
            <w:r w:rsidRPr="00B95348">
              <w:rPr>
                <w:rFonts w:cs="Arial"/>
                <w:bCs/>
                <w:color w:val="FFFFFF"/>
                <w:sz w:val="20"/>
                <w:szCs w:val="20"/>
                <w:lang w:eastAsia="en-AU"/>
              </w:rPr>
              <w:t xml:space="preserve"> rate)</w:t>
            </w:r>
          </w:p>
        </w:tc>
        <w:tc>
          <w:tcPr>
            <w:tcW w:w="2070" w:type="dxa"/>
            <w:tcBorders>
              <w:top w:val="single" w:sz="4" w:space="0" w:color="auto"/>
              <w:bottom w:val="single" w:sz="4" w:space="0" w:color="auto"/>
            </w:tcBorders>
          </w:tcPr>
          <w:p w14:paraId="53A4CA8C" w14:textId="77777777"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All applications</w:t>
            </w:r>
          </w:p>
          <w:p w14:paraId="73FB3F50" w14:textId="2955AF97" w:rsidR="00212E77" w:rsidRPr="00B95348" w:rsidRDefault="00212E77" w:rsidP="00690414">
            <w:pPr>
              <w:rPr>
                <w:rFonts w:cs="Arial"/>
                <w:b w:val="0"/>
                <w:bCs/>
                <w:color w:val="FFFFFF"/>
                <w:sz w:val="20"/>
                <w:szCs w:val="20"/>
                <w:lang w:eastAsia="en-AU"/>
              </w:rPr>
            </w:pPr>
            <w:r w:rsidRPr="00B95348">
              <w:rPr>
                <w:rFonts w:cs="Arial"/>
                <w:bCs/>
                <w:color w:val="FFFFFF"/>
                <w:sz w:val="20"/>
                <w:szCs w:val="20"/>
                <w:lang w:eastAsia="en-AU"/>
              </w:rPr>
              <w:t>(</w:t>
            </w:r>
            <w:proofErr w:type="gramStart"/>
            <w:r w:rsidRPr="00B95348">
              <w:rPr>
                <w:rFonts w:cs="Arial"/>
                <w:bCs/>
                <w:color w:val="FFFFFF"/>
                <w:sz w:val="20"/>
                <w:szCs w:val="20"/>
                <w:lang w:eastAsia="en-AU"/>
              </w:rPr>
              <w:t>fund</w:t>
            </w:r>
            <w:r w:rsidR="00E7046F" w:rsidRPr="00B95348">
              <w:rPr>
                <w:rFonts w:cs="Arial"/>
                <w:bCs/>
                <w:color w:val="FFFFFF"/>
                <w:sz w:val="20"/>
                <w:szCs w:val="20"/>
                <w:lang w:eastAsia="en-AU"/>
              </w:rPr>
              <w:t>ed</w:t>
            </w:r>
            <w:proofErr w:type="gramEnd"/>
            <w:r w:rsidRPr="00B95348">
              <w:rPr>
                <w:rFonts w:cs="Arial"/>
                <w:bCs/>
                <w:color w:val="FFFFFF"/>
                <w:sz w:val="20"/>
                <w:szCs w:val="20"/>
                <w:lang w:eastAsia="en-AU"/>
              </w:rPr>
              <w:t xml:space="preserve"> rate)</w:t>
            </w:r>
          </w:p>
        </w:tc>
      </w:tr>
      <w:tr w:rsidR="00212E77" w:rsidRPr="00545787" w14:paraId="685DD827" w14:textId="77777777" w:rsidTr="00317D25">
        <w:trPr>
          <w:trHeight w:val="290"/>
        </w:trPr>
        <w:tc>
          <w:tcPr>
            <w:tcW w:w="1786" w:type="dxa"/>
            <w:tcBorders>
              <w:top w:val="single" w:sz="4" w:space="0" w:color="auto"/>
            </w:tcBorders>
            <w:noWrap/>
            <w:hideMark/>
          </w:tcPr>
          <w:p w14:paraId="35A337EB" w14:textId="77777777" w:rsidR="00212E77" w:rsidRPr="00FE61E4" w:rsidRDefault="00212E77" w:rsidP="00690414">
            <w:pPr>
              <w:pStyle w:val="Tabletextleft"/>
              <w:rPr>
                <w:lang w:eastAsia="en-AU"/>
              </w:rPr>
            </w:pPr>
            <w:r w:rsidRPr="00FE61E4">
              <w:rPr>
                <w:lang w:eastAsia="en-AU"/>
              </w:rPr>
              <w:t>Basic Science Research</w:t>
            </w:r>
          </w:p>
        </w:tc>
        <w:tc>
          <w:tcPr>
            <w:tcW w:w="1786" w:type="dxa"/>
            <w:tcBorders>
              <w:top w:val="single" w:sz="4" w:space="0" w:color="auto"/>
            </w:tcBorders>
          </w:tcPr>
          <w:p w14:paraId="51A50C49" w14:textId="157C54C4" w:rsidR="00212E77" w:rsidRPr="00FE61E4" w:rsidRDefault="00212E77" w:rsidP="00690414">
            <w:pPr>
              <w:pStyle w:val="Tabletextleft"/>
              <w:rPr>
                <w:lang w:eastAsia="en-AU"/>
              </w:rPr>
            </w:pPr>
            <w:r w:rsidRPr="00FE61E4">
              <w:t>72 (5.6</w:t>
            </w:r>
            <w:r w:rsidR="00EB3908" w:rsidRPr="00FE61E4">
              <w:t>%</w:t>
            </w:r>
            <w:r w:rsidRPr="00FE61E4">
              <w:t>)</w:t>
            </w:r>
          </w:p>
        </w:tc>
        <w:tc>
          <w:tcPr>
            <w:tcW w:w="1786" w:type="dxa"/>
            <w:tcBorders>
              <w:top w:val="single" w:sz="4" w:space="0" w:color="auto"/>
            </w:tcBorders>
          </w:tcPr>
          <w:p w14:paraId="43D52529" w14:textId="50FE0255" w:rsidR="00212E77" w:rsidRPr="00FE61E4" w:rsidRDefault="00212E77" w:rsidP="00690414">
            <w:pPr>
              <w:pStyle w:val="Tabletextleft"/>
              <w:rPr>
                <w:lang w:eastAsia="en-AU"/>
              </w:rPr>
            </w:pPr>
            <w:r w:rsidRPr="00FE61E4">
              <w:t>8 (0</w:t>
            </w:r>
            <w:r w:rsidR="00EB3908" w:rsidRPr="00FE61E4">
              <w:t xml:space="preserve"> %</w:t>
            </w:r>
            <w:r w:rsidRPr="00FE61E4">
              <w:t>)</w:t>
            </w:r>
          </w:p>
        </w:tc>
        <w:tc>
          <w:tcPr>
            <w:tcW w:w="1786" w:type="dxa"/>
            <w:tcBorders>
              <w:top w:val="single" w:sz="4" w:space="0" w:color="auto"/>
            </w:tcBorders>
          </w:tcPr>
          <w:p w14:paraId="62FF6B29" w14:textId="5DCC8D76" w:rsidR="00212E77" w:rsidRPr="00FE61E4" w:rsidRDefault="00212E77" w:rsidP="00690414">
            <w:pPr>
              <w:pStyle w:val="Tabletextleft"/>
              <w:rPr>
                <w:lang w:eastAsia="en-AU"/>
              </w:rPr>
            </w:pPr>
            <w:r w:rsidRPr="00FE61E4">
              <w:t>3 (66.</w:t>
            </w:r>
            <w:r w:rsidR="00640362">
              <w:t>7</w:t>
            </w:r>
            <w:r w:rsidR="00EB3908" w:rsidRPr="00FE61E4">
              <w:t>%</w:t>
            </w:r>
            <w:r w:rsidRPr="00FE61E4">
              <w:t>)</w:t>
            </w:r>
          </w:p>
        </w:tc>
        <w:tc>
          <w:tcPr>
            <w:tcW w:w="2070" w:type="dxa"/>
            <w:tcBorders>
              <w:top w:val="single" w:sz="4" w:space="0" w:color="auto"/>
            </w:tcBorders>
          </w:tcPr>
          <w:p w14:paraId="7BBEF8DB" w14:textId="0B5BD2CB" w:rsidR="00212E77" w:rsidRPr="00FE61E4" w:rsidRDefault="00212E77" w:rsidP="00690414">
            <w:pPr>
              <w:pStyle w:val="Tabletextleft"/>
            </w:pPr>
            <w:r w:rsidRPr="00FE61E4">
              <w:t>83 (7.2</w:t>
            </w:r>
            <w:r w:rsidR="00EB3908" w:rsidRPr="00FE61E4">
              <w:t>%</w:t>
            </w:r>
            <w:r w:rsidRPr="00FE61E4">
              <w:t>)</w:t>
            </w:r>
          </w:p>
        </w:tc>
      </w:tr>
      <w:tr w:rsidR="00212E77" w:rsidRPr="00545787" w14:paraId="0BC88866" w14:textId="77777777" w:rsidTr="00B95348">
        <w:trPr>
          <w:trHeight w:val="290"/>
        </w:trPr>
        <w:tc>
          <w:tcPr>
            <w:tcW w:w="1786" w:type="dxa"/>
            <w:noWrap/>
            <w:hideMark/>
          </w:tcPr>
          <w:p w14:paraId="733A2DE7" w14:textId="77777777" w:rsidR="00212E77" w:rsidRPr="00FE61E4" w:rsidRDefault="00212E77" w:rsidP="00690414">
            <w:pPr>
              <w:pStyle w:val="Tabletextleft"/>
              <w:rPr>
                <w:lang w:eastAsia="en-AU"/>
              </w:rPr>
            </w:pPr>
            <w:r w:rsidRPr="00FE61E4">
              <w:rPr>
                <w:lang w:eastAsia="en-AU"/>
              </w:rPr>
              <w:t>Clinical Medicine and Science Research</w:t>
            </w:r>
          </w:p>
        </w:tc>
        <w:tc>
          <w:tcPr>
            <w:tcW w:w="1786" w:type="dxa"/>
          </w:tcPr>
          <w:p w14:paraId="19FFD9AD" w14:textId="5CB270F0" w:rsidR="00212E77" w:rsidRPr="00FE61E4" w:rsidRDefault="00212E77" w:rsidP="00690414">
            <w:pPr>
              <w:pStyle w:val="Tabletextleft"/>
              <w:rPr>
                <w:lang w:eastAsia="en-AU"/>
              </w:rPr>
            </w:pPr>
            <w:r w:rsidRPr="00FE61E4">
              <w:t>129 (3.</w:t>
            </w:r>
            <w:r w:rsidR="00CB54EE">
              <w:t>9</w:t>
            </w:r>
            <w:r w:rsidR="00EB3908" w:rsidRPr="00FE61E4">
              <w:t>%</w:t>
            </w:r>
            <w:r w:rsidRPr="00FE61E4">
              <w:t>)</w:t>
            </w:r>
          </w:p>
        </w:tc>
        <w:tc>
          <w:tcPr>
            <w:tcW w:w="1786" w:type="dxa"/>
          </w:tcPr>
          <w:p w14:paraId="074E84EA" w14:textId="5273DA5E" w:rsidR="00212E77" w:rsidRPr="00FE61E4" w:rsidRDefault="00212E77" w:rsidP="00690414">
            <w:pPr>
              <w:pStyle w:val="Tabletextleft"/>
              <w:rPr>
                <w:lang w:eastAsia="en-AU"/>
              </w:rPr>
            </w:pPr>
            <w:r w:rsidRPr="00FE61E4">
              <w:t>49 (6.1</w:t>
            </w:r>
            <w:r w:rsidR="00EB3908" w:rsidRPr="00FE61E4">
              <w:t>%</w:t>
            </w:r>
            <w:r w:rsidRPr="00FE61E4">
              <w:t>)</w:t>
            </w:r>
          </w:p>
        </w:tc>
        <w:tc>
          <w:tcPr>
            <w:tcW w:w="1786" w:type="dxa"/>
          </w:tcPr>
          <w:p w14:paraId="6A4DA7EC" w14:textId="418D1699" w:rsidR="00212E77" w:rsidRPr="00FE61E4" w:rsidRDefault="00212E77" w:rsidP="00690414">
            <w:pPr>
              <w:pStyle w:val="Tabletextleft"/>
              <w:rPr>
                <w:lang w:eastAsia="en-AU"/>
              </w:rPr>
            </w:pPr>
            <w:r w:rsidRPr="00FE61E4">
              <w:t>15 (33.3</w:t>
            </w:r>
            <w:r w:rsidR="00EB3908" w:rsidRPr="00FE61E4">
              <w:t>%</w:t>
            </w:r>
            <w:r w:rsidRPr="00FE61E4">
              <w:t>)</w:t>
            </w:r>
          </w:p>
        </w:tc>
        <w:tc>
          <w:tcPr>
            <w:tcW w:w="2070" w:type="dxa"/>
          </w:tcPr>
          <w:p w14:paraId="402FFB4D" w14:textId="5CA8CC3D" w:rsidR="00212E77" w:rsidRPr="00FE61E4" w:rsidRDefault="00212E77" w:rsidP="00690414">
            <w:pPr>
              <w:pStyle w:val="Tabletextleft"/>
            </w:pPr>
            <w:r w:rsidRPr="00FE61E4">
              <w:t>193 (6.7</w:t>
            </w:r>
            <w:r w:rsidR="00EB3908" w:rsidRPr="00FE61E4">
              <w:t>%</w:t>
            </w:r>
            <w:r w:rsidRPr="00FE61E4">
              <w:t>)</w:t>
            </w:r>
          </w:p>
        </w:tc>
      </w:tr>
      <w:tr w:rsidR="00212E77" w:rsidRPr="00545787" w14:paraId="7B7E0916" w14:textId="77777777" w:rsidTr="00B95348">
        <w:trPr>
          <w:trHeight w:val="290"/>
        </w:trPr>
        <w:tc>
          <w:tcPr>
            <w:tcW w:w="1786" w:type="dxa"/>
            <w:noWrap/>
            <w:hideMark/>
          </w:tcPr>
          <w:p w14:paraId="27257936" w14:textId="77777777" w:rsidR="00212E77" w:rsidRPr="00FE61E4" w:rsidRDefault="00212E77" w:rsidP="00690414">
            <w:pPr>
              <w:pStyle w:val="Tabletextleft"/>
              <w:rPr>
                <w:lang w:eastAsia="en-AU"/>
              </w:rPr>
            </w:pPr>
            <w:r w:rsidRPr="00FE61E4">
              <w:rPr>
                <w:lang w:eastAsia="en-AU"/>
              </w:rPr>
              <w:t>Health Services Research</w:t>
            </w:r>
          </w:p>
        </w:tc>
        <w:tc>
          <w:tcPr>
            <w:tcW w:w="1786" w:type="dxa"/>
          </w:tcPr>
          <w:p w14:paraId="63A7E362" w14:textId="0A2918A6" w:rsidR="00212E77" w:rsidRPr="00FE61E4" w:rsidRDefault="00212E77" w:rsidP="00690414">
            <w:pPr>
              <w:pStyle w:val="Tabletextleft"/>
              <w:rPr>
                <w:lang w:eastAsia="en-AU"/>
              </w:rPr>
            </w:pPr>
            <w:r w:rsidRPr="00FE61E4">
              <w:t>70 (0</w:t>
            </w:r>
            <w:r w:rsidR="00EB3908" w:rsidRPr="00FE61E4">
              <w:t>%</w:t>
            </w:r>
            <w:r w:rsidRPr="00FE61E4">
              <w:t>)</w:t>
            </w:r>
          </w:p>
        </w:tc>
        <w:tc>
          <w:tcPr>
            <w:tcW w:w="1786" w:type="dxa"/>
          </w:tcPr>
          <w:p w14:paraId="3ACB0D7B" w14:textId="4AB3EEB9" w:rsidR="00212E77" w:rsidRPr="00FE61E4" w:rsidRDefault="00212E77" w:rsidP="00690414">
            <w:pPr>
              <w:pStyle w:val="Tabletextleft"/>
              <w:rPr>
                <w:lang w:eastAsia="en-AU"/>
              </w:rPr>
            </w:pPr>
            <w:r w:rsidRPr="00640362">
              <w:t>26 (7.</w:t>
            </w:r>
            <w:r w:rsidR="00640362">
              <w:t>7</w:t>
            </w:r>
            <w:r w:rsidR="00EB3908" w:rsidRPr="00640362">
              <w:t>%</w:t>
            </w:r>
            <w:r w:rsidRPr="00640362">
              <w:t>)</w:t>
            </w:r>
          </w:p>
        </w:tc>
        <w:tc>
          <w:tcPr>
            <w:tcW w:w="1786" w:type="dxa"/>
          </w:tcPr>
          <w:p w14:paraId="1AD0EA39" w14:textId="77777777" w:rsidR="00212E77" w:rsidRPr="00FE61E4" w:rsidRDefault="00212E77" w:rsidP="00690414">
            <w:pPr>
              <w:pStyle w:val="Tabletextleft"/>
              <w:rPr>
                <w:lang w:eastAsia="en-AU"/>
              </w:rPr>
            </w:pPr>
            <w:r w:rsidRPr="00FE61E4">
              <w:t>1 (0)</w:t>
            </w:r>
          </w:p>
        </w:tc>
        <w:tc>
          <w:tcPr>
            <w:tcW w:w="2070" w:type="dxa"/>
          </w:tcPr>
          <w:p w14:paraId="5BB64B92" w14:textId="73D9F929" w:rsidR="00212E77" w:rsidRPr="00FE61E4" w:rsidRDefault="00212E77" w:rsidP="00690414">
            <w:pPr>
              <w:pStyle w:val="Tabletextleft"/>
            </w:pPr>
            <w:r w:rsidRPr="00FE61E4">
              <w:t>97 (2.</w:t>
            </w:r>
            <w:r w:rsidR="00640362">
              <w:t>1</w:t>
            </w:r>
            <w:r w:rsidR="00EB3908" w:rsidRPr="00FE61E4">
              <w:t>%</w:t>
            </w:r>
            <w:r w:rsidRPr="00FE61E4">
              <w:t>)</w:t>
            </w:r>
          </w:p>
        </w:tc>
      </w:tr>
      <w:tr w:rsidR="00212E77" w:rsidRPr="00545787" w14:paraId="542175F1" w14:textId="77777777" w:rsidTr="00B95348">
        <w:trPr>
          <w:trHeight w:val="290"/>
        </w:trPr>
        <w:tc>
          <w:tcPr>
            <w:tcW w:w="1786" w:type="dxa"/>
            <w:noWrap/>
            <w:hideMark/>
          </w:tcPr>
          <w:p w14:paraId="2D2F8429" w14:textId="77777777" w:rsidR="00212E77" w:rsidRPr="00FE61E4" w:rsidRDefault="00212E77" w:rsidP="00690414">
            <w:pPr>
              <w:pStyle w:val="Tabletextleft"/>
              <w:rPr>
                <w:lang w:eastAsia="en-AU"/>
              </w:rPr>
            </w:pPr>
            <w:r w:rsidRPr="00FE61E4">
              <w:rPr>
                <w:lang w:eastAsia="en-AU"/>
              </w:rPr>
              <w:t>Public Health Research</w:t>
            </w:r>
          </w:p>
        </w:tc>
        <w:tc>
          <w:tcPr>
            <w:tcW w:w="1786" w:type="dxa"/>
          </w:tcPr>
          <w:p w14:paraId="12EDD36B" w14:textId="63C4A635" w:rsidR="00212E77" w:rsidRPr="00FE61E4" w:rsidRDefault="00212E77" w:rsidP="00690414">
            <w:pPr>
              <w:pStyle w:val="Tabletextleft"/>
              <w:rPr>
                <w:lang w:eastAsia="en-AU"/>
              </w:rPr>
            </w:pPr>
            <w:r w:rsidRPr="00FE61E4">
              <w:t>36 (0</w:t>
            </w:r>
            <w:r w:rsidR="00EB3908" w:rsidRPr="00FE61E4">
              <w:t>%</w:t>
            </w:r>
            <w:r w:rsidRPr="00FE61E4">
              <w:t>)</w:t>
            </w:r>
          </w:p>
        </w:tc>
        <w:tc>
          <w:tcPr>
            <w:tcW w:w="1786" w:type="dxa"/>
          </w:tcPr>
          <w:p w14:paraId="48D45E07" w14:textId="6E57D29F" w:rsidR="00212E77" w:rsidRPr="00FE61E4" w:rsidRDefault="00212E77" w:rsidP="00690414">
            <w:pPr>
              <w:pStyle w:val="Tabletextleft"/>
              <w:rPr>
                <w:lang w:eastAsia="en-AU"/>
              </w:rPr>
            </w:pPr>
            <w:r w:rsidRPr="00FE61E4">
              <w:t>17 (5.</w:t>
            </w:r>
            <w:r w:rsidR="00640362">
              <w:t>9</w:t>
            </w:r>
            <w:r w:rsidR="00EB3908" w:rsidRPr="00FE61E4">
              <w:t>%</w:t>
            </w:r>
            <w:r w:rsidRPr="00FE61E4">
              <w:t>)</w:t>
            </w:r>
          </w:p>
        </w:tc>
        <w:tc>
          <w:tcPr>
            <w:tcW w:w="1786" w:type="dxa"/>
          </w:tcPr>
          <w:p w14:paraId="16280830" w14:textId="71BF4FCC" w:rsidR="00212E77" w:rsidRPr="00FE61E4" w:rsidRDefault="00212E77" w:rsidP="00690414">
            <w:pPr>
              <w:pStyle w:val="Tabletextleft"/>
              <w:rPr>
                <w:lang w:eastAsia="en-AU"/>
              </w:rPr>
            </w:pPr>
            <w:r w:rsidRPr="00FE61E4">
              <w:t>2 (50</w:t>
            </w:r>
            <w:r w:rsidR="00640362">
              <w:t>.0</w:t>
            </w:r>
            <w:r w:rsidR="00EB3908" w:rsidRPr="00FE61E4">
              <w:t>%</w:t>
            </w:r>
            <w:r w:rsidRPr="00FE61E4">
              <w:t>)</w:t>
            </w:r>
          </w:p>
        </w:tc>
        <w:tc>
          <w:tcPr>
            <w:tcW w:w="2070" w:type="dxa"/>
          </w:tcPr>
          <w:p w14:paraId="18CEE485" w14:textId="3A381D97" w:rsidR="00212E77" w:rsidRPr="00FE61E4" w:rsidRDefault="00212E77" w:rsidP="00690414">
            <w:pPr>
              <w:pStyle w:val="Tabletextleft"/>
            </w:pPr>
            <w:r w:rsidRPr="00FE61E4">
              <w:t>55 (3.6</w:t>
            </w:r>
            <w:r w:rsidR="00EB3908" w:rsidRPr="00FE61E4">
              <w:t>%</w:t>
            </w:r>
            <w:r w:rsidRPr="00FE61E4">
              <w:t>)</w:t>
            </w:r>
          </w:p>
        </w:tc>
      </w:tr>
    </w:tbl>
    <w:p w14:paraId="0452DCCE" w14:textId="4C19CDDF" w:rsidR="00B44E73" w:rsidRPr="00503F26" w:rsidRDefault="00B44E73" w:rsidP="00690414">
      <w:pPr>
        <w:pStyle w:val="Paragraphtext"/>
        <w:spacing w:before="120"/>
        <w:rPr>
          <w:sz w:val="22"/>
          <w:szCs w:val="22"/>
        </w:rPr>
      </w:pPr>
    </w:p>
    <w:p w14:paraId="5EC88B28" w14:textId="2D676638" w:rsidR="00212E77" w:rsidRDefault="00212E77" w:rsidP="00651510">
      <w:pPr>
        <w:pStyle w:val="Heading2"/>
        <w:spacing w:after="0"/>
      </w:pPr>
      <w:bookmarkStart w:id="14" w:name="_Toc131338402"/>
      <w:r w:rsidRPr="00E45F45">
        <w:t>Applications by Field</w:t>
      </w:r>
      <w:r w:rsidR="006B326F" w:rsidRPr="00E45F45">
        <w:t>s</w:t>
      </w:r>
      <w:r w:rsidRPr="00E45F45">
        <w:t xml:space="preserve"> of Research</w:t>
      </w:r>
      <w:r w:rsidR="00BA660D" w:rsidRPr="00E45F45">
        <w:t xml:space="preserve"> </w:t>
      </w:r>
      <w:r w:rsidR="00E45F45" w:rsidRPr="00E45F45">
        <w:t>by</w:t>
      </w:r>
      <w:r w:rsidR="00E45F45">
        <w:t xml:space="preserve"> </w:t>
      </w:r>
      <w:r w:rsidR="00871DF3">
        <w:t>S</w:t>
      </w:r>
      <w:r w:rsidR="00E45F45">
        <w:t>tream</w:t>
      </w:r>
      <w:bookmarkEnd w:id="14"/>
    </w:p>
    <w:p w14:paraId="300A23FA" w14:textId="4E1C8B0A" w:rsidR="009D4254" w:rsidRPr="00C63F63" w:rsidRDefault="00212E77" w:rsidP="00C63F63">
      <w:pPr>
        <w:pStyle w:val="Paragraphtext"/>
        <w:spacing w:before="120"/>
        <w:jc w:val="both"/>
        <w:rPr>
          <w:sz w:val="22"/>
          <w:szCs w:val="22"/>
        </w:rPr>
      </w:pPr>
      <w:r w:rsidRPr="00B95348">
        <w:rPr>
          <w:sz w:val="22"/>
          <w:szCs w:val="22"/>
        </w:rPr>
        <w:t xml:space="preserve">Grants were awarded </w:t>
      </w:r>
      <w:r w:rsidR="0027585E" w:rsidRPr="00B95348">
        <w:rPr>
          <w:sz w:val="22"/>
          <w:szCs w:val="22"/>
        </w:rPr>
        <w:t xml:space="preserve">across </w:t>
      </w:r>
      <w:r w:rsidRPr="00B95348">
        <w:rPr>
          <w:sz w:val="22"/>
          <w:szCs w:val="22"/>
        </w:rPr>
        <w:t>9 different Fields of Research</w:t>
      </w:r>
      <w:r w:rsidR="00A032D2">
        <w:rPr>
          <w:rStyle w:val="FootnoteReference"/>
          <w:sz w:val="22"/>
          <w:szCs w:val="22"/>
        </w:rPr>
        <w:footnoteReference w:id="7"/>
      </w:r>
      <w:r w:rsidRPr="00B95348">
        <w:rPr>
          <w:sz w:val="22"/>
          <w:szCs w:val="22"/>
        </w:rPr>
        <w:t xml:space="preserve"> with the largest number of grants</w:t>
      </w:r>
      <w:r w:rsidR="008C13AE" w:rsidRPr="00B95348">
        <w:rPr>
          <w:sz w:val="22"/>
          <w:szCs w:val="22"/>
        </w:rPr>
        <w:t xml:space="preserve"> </w:t>
      </w:r>
      <w:r w:rsidRPr="00B95348">
        <w:rPr>
          <w:sz w:val="22"/>
          <w:szCs w:val="22"/>
        </w:rPr>
        <w:t>being awarded within clinical sciences</w:t>
      </w:r>
      <w:r w:rsidR="00B01455" w:rsidRPr="00B95348">
        <w:rPr>
          <w:sz w:val="22"/>
          <w:szCs w:val="22"/>
        </w:rPr>
        <w:t xml:space="preserve"> (9 grants)</w:t>
      </w:r>
      <w:r w:rsidR="00BA660D" w:rsidRPr="00B95348">
        <w:rPr>
          <w:sz w:val="22"/>
          <w:szCs w:val="22"/>
        </w:rPr>
        <w:t>,</w:t>
      </w:r>
      <w:r w:rsidR="008C13AE" w:rsidRPr="00B95348">
        <w:rPr>
          <w:sz w:val="22"/>
          <w:szCs w:val="22"/>
        </w:rPr>
        <w:t xml:space="preserve"> followed by </w:t>
      </w:r>
      <w:r w:rsidR="00BA660D" w:rsidRPr="00B95348">
        <w:rPr>
          <w:sz w:val="22"/>
          <w:szCs w:val="22"/>
        </w:rPr>
        <w:t xml:space="preserve">public </w:t>
      </w:r>
      <w:r w:rsidR="008C13AE" w:rsidRPr="00B95348">
        <w:rPr>
          <w:sz w:val="22"/>
          <w:szCs w:val="22"/>
        </w:rPr>
        <w:t>health and health services (4 grants)</w:t>
      </w:r>
      <w:r w:rsidR="00B01455" w:rsidRPr="00B95348">
        <w:rPr>
          <w:sz w:val="22"/>
          <w:szCs w:val="22"/>
        </w:rPr>
        <w:t>. The largest number of applications were received within these two Fields of Research</w:t>
      </w:r>
      <w:r w:rsidR="00BA660D" w:rsidRPr="00B95348">
        <w:rPr>
          <w:sz w:val="22"/>
          <w:szCs w:val="22"/>
        </w:rPr>
        <w:t>,</w:t>
      </w:r>
      <w:r w:rsidR="00B01455" w:rsidRPr="00B95348">
        <w:rPr>
          <w:sz w:val="22"/>
          <w:szCs w:val="22"/>
        </w:rPr>
        <w:t xml:space="preserve"> with 105 and 97 applications</w:t>
      </w:r>
      <w:r w:rsidR="00BA660D" w:rsidRPr="00B95348">
        <w:rPr>
          <w:sz w:val="22"/>
          <w:szCs w:val="22"/>
        </w:rPr>
        <w:t>,</w:t>
      </w:r>
      <w:r w:rsidR="00B01455" w:rsidRPr="00B95348">
        <w:rPr>
          <w:sz w:val="22"/>
          <w:szCs w:val="22"/>
        </w:rPr>
        <w:t xml:space="preserve"> respectively (see Table 5).</w:t>
      </w:r>
      <w:r w:rsidR="005D395A" w:rsidRPr="00B95348">
        <w:rPr>
          <w:sz w:val="22"/>
          <w:szCs w:val="22"/>
        </w:rPr>
        <w:t xml:space="preserve"> Applications received by the </w:t>
      </w:r>
      <w:r w:rsidR="00522423" w:rsidRPr="0092272D">
        <w:rPr>
          <w:sz w:val="22"/>
          <w:szCs w:val="22"/>
        </w:rPr>
        <w:t>2021 Early to Mid-Career Researchers Grant Opportunity</w:t>
      </w:r>
      <w:r w:rsidR="00522423" w:rsidRPr="009B51D2" w:rsidDel="0092272D">
        <w:rPr>
          <w:sz w:val="22"/>
          <w:szCs w:val="22"/>
        </w:rPr>
        <w:t xml:space="preserve"> </w:t>
      </w:r>
      <w:r w:rsidR="005D395A" w:rsidRPr="00B95348">
        <w:rPr>
          <w:sz w:val="22"/>
          <w:szCs w:val="22"/>
        </w:rPr>
        <w:t xml:space="preserve">covered 29 Fields of Research (see Table 5 and 6).  </w:t>
      </w:r>
    </w:p>
    <w:p w14:paraId="419BCF4A" w14:textId="77777777" w:rsidR="009D4254" w:rsidRPr="002F0A85" w:rsidRDefault="009D4254" w:rsidP="00B75A54">
      <w:pPr>
        <w:pStyle w:val="Tabletextleft"/>
        <w:rPr>
          <w:sz w:val="22"/>
          <w:szCs w:val="22"/>
          <w:lang w:val="en-US"/>
        </w:rPr>
      </w:pPr>
    </w:p>
    <w:p w14:paraId="7A116EA8" w14:textId="0A6FE388" w:rsidR="00212E77" w:rsidRPr="00F32336" w:rsidRDefault="00212E77" w:rsidP="00B95348">
      <w:pPr>
        <w:pStyle w:val="TableHeader"/>
      </w:pPr>
      <w:r w:rsidRPr="00F32336">
        <w:t xml:space="preserve">Table </w:t>
      </w:r>
      <w:r w:rsidR="007523B2" w:rsidRPr="00F32336">
        <w:t>5</w:t>
      </w:r>
      <w:r w:rsidRPr="00F32336">
        <w:t xml:space="preserve"> </w:t>
      </w:r>
      <w:r w:rsidR="00D45F2A" w:rsidRPr="00F32336">
        <w:t>–</w:t>
      </w:r>
      <w:r w:rsidR="00987CEB">
        <w:t xml:space="preserve"> </w:t>
      </w:r>
      <w:r w:rsidR="00D45F2A" w:rsidRPr="00F32336">
        <w:t>Number of applications for Fields of Research per Stream</w:t>
      </w:r>
      <w:r w:rsidR="00D45F2A" w:rsidRPr="00F32336" w:rsidDel="00D45F2A">
        <w:t xml:space="preserve"> </w:t>
      </w:r>
    </w:p>
    <w:tbl>
      <w:tblPr>
        <w:tblW w:w="9070" w:type="dxa"/>
        <w:tblLayout w:type="fixed"/>
        <w:tblLook w:val="04A0" w:firstRow="1" w:lastRow="0" w:firstColumn="1" w:lastColumn="0" w:noHBand="0" w:noVBand="1"/>
      </w:tblPr>
      <w:tblGrid>
        <w:gridCol w:w="2268"/>
        <w:gridCol w:w="1276"/>
        <w:gridCol w:w="992"/>
        <w:gridCol w:w="1276"/>
        <w:gridCol w:w="992"/>
        <w:gridCol w:w="1276"/>
        <w:gridCol w:w="990"/>
      </w:tblGrid>
      <w:tr w:rsidR="005D395A" w:rsidRPr="008C6784" w14:paraId="669DFF9E" w14:textId="77777777" w:rsidTr="000C3317">
        <w:trPr>
          <w:trHeight w:val="290"/>
        </w:trPr>
        <w:tc>
          <w:tcPr>
            <w:tcW w:w="2268" w:type="dxa"/>
            <w:vMerge w:val="restart"/>
            <w:tcBorders>
              <w:top w:val="single" w:sz="4" w:space="0" w:color="auto"/>
              <w:left w:val="nil"/>
              <w:right w:val="single" w:sz="4" w:space="0" w:color="FFFFFF" w:themeColor="background1"/>
            </w:tcBorders>
            <w:shd w:val="clear" w:color="auto" w:fill="18233B" w:themeFill="accent1"/>
            <w:noWrap/>
            <w:vAlign w:val="bottom"/>
          </w:tcPr>
          <w:p w14:paraId="09CF0B69" w14:textId="1EF3D2D2" w:rsidR="005D395A" w:rsidRPr="00B95348" w:rsidRDefault="005D395A" w:rsidP="00690414">
            <w:pPr>
              <w:rPr>
                <w:rFonts w:cs="Arial"/>
                <w:b/>
                <w:bCs/>
                <w:color w:val="FFFFFF"/>
                <w:sz w:val="19"/>
                <w:szCs w:val="19"/>
                <w:lang w:eastAsia="en-AU"/>
              </w:rPr>
            </w:pPr>
            <w:r w:rsidRPr="00B95348">
              <w:rPr>
                <w:rFonts w:cs="Arial"/>
                <w:b/>
                <w:bCs/>
                <w:color w:val="FFFFFF"/>
                <w:sz w:val="19"/>
                <w:szCs w:val="19"/>
                <w:lang w:eastAsia="en-AU"/>
              </w:rPr>
              <w:t>Field of Research</w:t>
            </w:r>
          </w:p>
        </w:tc>
        <w:tc>
          <w:tcPr>
            <w:tcW w:w="226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8233B" w:themeFill="accent1"/>
          </w:tcPr>
          <w:p w14:paraId="66F56FAB" w14:textId="77777777" w:rsidR="005D395A" w:rsidRPr="00B95348" w:rsidRDefault="005D395A" w:rsidP="00690414">
            <w:pPr>
              <w:jc w:val="center"/>
              <w:rPr>
                <w:rFonts w:cs="Arial"/>
                <w:b/>
                <w:bCs/>
                <w:color w:val="FFFFFF"/>
                <w:sz w:val="19"/>
                <w:szCs w:val="19"/>
                <w:lang w:eastAsia="en-AU"/>
              </w:rPr>
            </w:pPr>
            <w:r w:rsidRPr="00B95348">
              <w:rPr>
                <w:rFonts w:cs="Arial"/>
                <w:b/>
                <w:bCs/>
                <w:color w:val="FFFFFF"/>
                <w:sz w:val="19"/>
                <w:szCs w:val="19"/>
                <w:lang w:eastAsia="en-AU"/>
              </w:rPr>
              <w:t>Stream 1</w:t>
            </w:r>
          </w:p>
        </w:tc>
        <w:tc>
          <w:tcPr>
            <w:tcW w:w="226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8233B" w:themeFill="accent1"/>
          </w:tcPr>
          <w:p w14:paraId="70C9D99F" w14:textId="77777777" w:rsidR="005D395A" w:rsidRPr="00B95348" w:rsidRDefault="005D395A" w:rsidP="00690414">
            <w:pPr>
              <w:jc w:val="center"/>
              <w:rPr>
                <w:rFonts w:cs="Arial"/>
                <w:b/>
                <w:bCs/>
                <w:color w:val="FFFFFF"/>
                <w:sz w:val="19"/>
                <w:szCs w:val="19"/>
                <w:lang w:eastAsia="en-AU"/>
              </w:rPr>
            </w:pPr>
            <w:r w:rsidRPr="00B95348">
              <w:rPr>
                <w:rFonts w:cs="Arial"/>
                <w:b/>
                <w:bCs/>
                <w:color w:val="FFFFFF"/>
                <w:sz w:val="19"/>
                <w:szCs w:val="19"/>
                <w:lang w:eastAsia="en-AU"/>
              </w:rPr>
              <w:t>Stream 2</w:t>
            </w:r>
          </w:p>
        </w:tc>
        <w:tc>
          <w:tcPr>
            <w:tcW w:w="2266" w:type="dxa"/>
            <w:gridSpan w:val="2"/>
            <w:tcBorders>
              <w:top w:val="single" w:sz="4" w:space="0" w:color="auto"/>
              <w:left w:val="single" w:sz="4" w:space="0" w:color="FFFFFF" w:themeColor="background1"/>
              <w:bottom w:val="single" w:sz="4" w:space="0" w:color="FFFFFF" w:themeColor="background1"/>
              <w:right w:val="nil"/>
            </w:tcBorders>
            <w:shd w:val="clear" w:color="auto" w:fill="18233B" w:themeFill="accent1"/>
          </w:tcPr>
          <w:p w14:paraId="0AAE9530" w14:textId="77777777" w:rsidR="005D395A" w:rsidRPr="00B95348" w:rsidRDefault="005D395A" w:rsidP="00690414">
            <w:pPr>
              <w:jc w:val="center"/>
              <w:rPr>
                <w:rFonts w:cs="Arial"/>
                <w:b/>
                <w:bCs/>
                <w:color w:val="FFFFFF"/>
                <w:sz w:val="19"/>
                <w:szCs w:val="19"/>
                <w:lang w:eastAsia="en-AU"/>
              </w:rPr>
            </w:pPr>
            <w:r w:rsidRPr="00B95348">
              <w:rPr>
                <w:rFonts w:cs="Arial"/>
                <w:b/>
                <w:bCs/>
                <w:color w:val="FFFFFF"/>
                <w:sz w:val="19"/>
                <w:szCs w:val="19"/>
                <w:lang w:eastAsia="en-AU"/>
              </w:rPr>
              <w:t>Stream 3</w:t>
            </w:r>
          </w:p>
        </w:tc>
      </w:tr>
      <w:tr w:rsidR="005D395A" w:rsidRPr="008C6784" w14:paraId="0ED5595B" w14:textId="77777777" w:rsidTr="00317D25">
        <w:trPr>
          <w:trHeight w:val="40"/>
        </w:trPr>
        <w:tc>
          <w:tcPr>
            <w:tcW w:w="2268" w:type="dxa"/>
            <w:vMerge/>
            <w:tcBorders>
              <w:left w:val="nil"/>
              <w:bottom w:val="single" w:sz="4" w:space="0" w:color="auto"/>
              <w:right w:val="single" w:sz="4" w:space="0" w:color="FFFFFF" w:themeColor="background1"/>
            </w:tcBorders>
            <w:shd w:val="clear" w:color="auto" w:fill="18233B" w:themeFill="accent1"/>
            <w:noWrap/>
            <w:vAlign w:val="bottom"/>
            <w:hideMark/>
          </w:tcPr>
          <w:p w14:paraId="56643E8B" w14:textId="6270DDA4" w:rsidR="005D395A" w:rsidRPr="00B95348" w:rsidRDefault="005D395A" w:rsidP="00690414">
            <w:pPr>
              <w:rPr>
                <w:rFonts w:cs="Arial"/>
                <w:b/>
                <w:bCs/>
                <w:color w:val="FFFFFF"/>
                <w:sz w:val="19"/>
                <w:szCs w:val="19"/>
                <w:lang w:eastAsia="en-AU"/>
              </w:rPr>
            </w:pP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5EC034C8" w14:textId="7AC19DAE" w:rsidR="005D395A" w:rsidRPr="00B95348" w:rsidRDefault="005D395A" w:rsidP="00690414">
            <w:pPr>
              <w:rPr>
                <w:rFonts w:cs="Arial"/>
                <w:b/>
                <w:bCs/>
                <w:color w:val="FFFFFF"/>
                <w:sz w:val="17"/>
                <w:szCs w:val="17"/>
                <w:lang w:eastAsia="en-AU"/>
              </w:rPr>
            </w:pPr>
            <w:r w:rsidRPr="00B95348">
              <w:rPr>
                <w:rFonts w:cs="Arial"/>
                <w:b/>
                <w:bCs/>
                <w:color w:val="FFFFFF"/>
                <w:sz w:val="17"/>
                <w:szCs w:val="17"/>
                <w:lang w:eastAsia="en-AU"/>
              </w:rPr>
              <w:t>Applications</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0EB5D824" w14:textId="70CB28D9" w:rsidR="005D395A" w:rsidRPr="00B95348" w:rsidRDefault="005D395A" w:rsidP="00690414">
            <w:pPr>
              <w:rPr>
                <w:rFonts w:cs="Arial"/>
                <w:b/>
                <w:bCs/>
                <w:color w:val="FFFFFF"/>
                <w:sz w:val="17"/>
                <w:szCs w:val="17"/>
                <w:lang w:eastAsia="en-AU"/>
              </w:rPr>
            </w:pPr>
            <w:r w:rsidRPr="00B95348">
              <w:rPr>
                <w:rFonts w:cs="Arial"/>
                <w:b/>
                <w:bCs/>
                <w:color w:val="FFFFFF"/>
                <w:sz w:val="17"/>
                <w:szCs w:val="17"/>
                <w:lang w:eastAsia="en-AU"/>
              </w:rPr>
              <w:t>Grants awarded</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71319DBD" w14:textId="3CEB0AC9" w:rsidR="005D395A" w:rsidRPr="00B95348" w:rsidRDefault="005D395A" w:rsidP="00690414">
            <w:pPr>
              <w:rPr>
                <w:rFonts w:cs="Arial"/>
                <w:b/>
                <w:bCs/>
                <w:color w:val="FFFFFF"/>
                <w:sz w:val="17"/>
                <w:szCs w:val="17"/>
                <w:lang w:eastAsia="en-AU"/>
              </w:rPr>
            </w:pPr>
            <w:r w:rsidRPr="00B95348">
              <w:rPr>
                <w:rFonts w:cs="Arial"/>
                <w:b/>
                <w:bCs/>
                <w:color w:val="FFFFFF"/>
                <w:sz w:val="17"/>
                <w:szCs w:val="17"/>
                <w:lang w:eastAsia="en-AU"/>
              </w:rPr>
              <w:t>Applications</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177D5280" w14:textId="2009A7E6" w:rsidR="005D395A" w:rsidRPr="00B95348" w:rsidRDefault="005D395A" w:rsidP="00690414">
            <w:pPr>
              <w:rPr>
                <w:rFonts w:cs="Arial"/>
                <w:b/>
                <w:bCs/>
                <w:color w:val="FFFFFF"/>
                <w:sz w:val="17"/>
                <w:szCs w:val="17"/>
                <w:lang w:eastAsia="en-AU"/>
              </w:rPr>
            </w:pPr>
            <w:r w:rsidRPr="00B95348">
              <w:rPr>
                <w:rFonts w:cs="Arial"/>
                <w:b/>
                <w:bCs/>
                <w:color w:val="FFFFFF"/>
                <w:sz w:val="17"/>
                <w:szCs w:val="17"/>
                <w:lang w:eastAsia="en-AU"/>
              </w:rPr>
              <w:t>Grants awarded</w:t>
            </w:r>
            <w:r w:rsidRPr="00B95348" w:rsidDel="004569DB">
              <w:rPr>
                <w:rFonts w:cs="Arial"/>
                <w:b/>
                <w:bCs/>
                <w:color w:val="FFFFFF"/>
                <w:sz w:val="17"/>
                <w:szCs w:val="17"/>
                <w:lang w:eastAsia="en-AU"/>
              </w:rPr>
              <w:t xml:space="preserve"> </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8233B" w:themeFill="accent1"/>
          </w:tcPr>
          <w:p w14:paraId="3DD2AF46" w14:textId="2D7AE518" w:rsidR="005D395A" w:rsidRPr="00B95348" w:rsidRDefault="005D395A" w:rsidP="00690414">
            <w:pPr>
              <w:rPr>
                <w:rFonts w:cs="Arial"/>
                <w:b/>
                <w:bCs/>
                <w:color w:val="FFFFFF"/>
                <w:sz w:val="17"/>
                <w:szCs w:val="17"/>
                <w:lang w:eastAsia="en-AU"/>
              </w:rPr>
            </w:pPr>
            <w:r w:rsidRPr="00B95348">
              <w:rPr>
                <w:rFonts w:cs="Arial"/>
                <w:b/>
                <w:bCs/>
                <w:color w:val="FFFFFF"/>
                <w:sz w:val="17"/>
                <w:szCs w:val="17"/>
                <w:lang w:eastAsia="en-AU"/>
              </w:rPr>
              <w:t>Applications</w:t>
            </w:r>
          </w:p>
        </w:tc>
        <w:tc>
          <w:tcPr>
            <w:tcW w:w="990" w:type="dxa"/>
            <w:tcBorders>
              <w:top w:val="single" w:sz="4" w:space="0" w:color="FFFFFF" w:themeColor="background1"/>
              <w:left w:val="single" w:sz="4" w:space="0" w:color="FFFFFF" w:themeColor="background1"/>
              <w:bottom w:val="single" w:sz="4" w:space="0" w:color="auto"/>
              <w:right w:val="nil"/>
            </w:tcBorders>
            <w:shd w:val="clear" w:color="auto" w:fill="18233B" w:themeFill="accent1"/>
          </w:tcPr>
          <w:p w14:paraId="569AE1CD" w14:textId="5EB38895" w:rsidR="005D395A" w:rsidRPr="00B95348" w:rsidRDefault="005D395A" w:rsidP="00690414">
            <w:pPr>
              <w:rPr>
                <w:rFonts w:cs="Arial"/>
                <w:b/>
                <w:bCs/>
                <w:color w:val="FFFFFF"/>
                <w:sz w:val="17"/>
                <w:szCs w:val="17"/>
                <w:lang w:eastAsia="en-AU"/>
              </w:rPr>
            </w:pPr>
            <w:r w:rsidRPr="00B95348">
              <w:rPr>
                <w:rFonts w:cs="Arial"/>
                <w:b/>
                <w:bCs/>
                <w:color w:val="FFFFFF"/>
                <w:sz w:val="17"/>
                <w:szCs w:val="17"/>
                <w:lang w:eastAsia="en-AU"/>
              </w:rPr>
              <w:t>Grants awarded</w:t>
            </w:r>
            <w:r w:rsidRPr="00B95348" w:rsidDel="008E3F00">
              <w:rPr>
                <w:rFonts w:cs="Arial"/>
                <w:b/>
                <w:bCs/>
                <w:color w:val="FFFFFF"/>
                <w:sz w:val="17"/>
                <w:szCs w:val="17"/>
                <w:lang w:eastAsia="en-AU"/>
              </w:rPr>
              <w:t xml:space="preserve"> </w:t>
            </w:r>
          </w:p>
        </w:tc>
      </w:tr>
      <w:tr w:rsidR="00BA660D" w:rsidRPr="00BA660D" w14:paraId="4DCF1D62" w14:textId="77777777" w:rsidTr="00317D25">
        <w:trPr>
          <w:trHeight w:val="290"/>
        </w:trPr>
        <w:tc>
          <w:tcPr>
            <w:tcW w:w="2268" w:type="dxa"/>
            <w:tcBorders>
              <w:top w:val="single" w:sz="4" w:space="0" w:color="auto"/>
              <w:left w:val="nil"/>
              <w:bottom w:val="single" w:sz="4" w:space="0" w:color="000000" w:themeColor="text1"/>
              <w:right w:val="nil"/>
            </w:tcBorders>
            <w:shd w:val="clear" w:color="auto" w:fill="auto"/>
            <w:noWrap/>
            <w:vAlign w:val="bottom"/>
          </w:tcPr>
          <w:p w14:paraId="29D1B068" w14:textId="350ADE72" w:rsidR="00212E77" w:rsidRPr="002732E6" w:rsidRDefault="003C2248" w:rsidP="00690414">
            <w:pPr>
              <w:ind w:left="-108"/>
              <w:rPr>
                <w:rFonts w:cs="Arial"/>
                <w:color w:val="000000"/>
                <w:sz w:val="18"/>
                <w:szCs w:val="18"/>
                <w:lang w:eastAsia="en-AU"/>
              </w:rPr>
            </w:pPr>
            <w:r w:rsidRPr="002732E6">
              <w:rPr>
                <w:rFonts w:cs="Arial"/>
                <w:color w:val="000000"/>
                <w:sz w:val="18"/>
                <w:szCs w:val="18"/>
              </w:rPr>
              <w:t>B</w:t>
            </w:r>
            <w:r w:rsidR="00212E77" w:rsidRPr="002732E6">
              <w:rPr>
                <w:rFonts w:cs="Arial"/>
                <w:color w:val="000000"/>
                <w:sz w:val="18"/>
                <w:szCs w:val="18"/>
              </w:rPr>
              <w:t>iomedical engineering</w:t>
            </w:r>
          </w:p>
        </w:tc>
        <w:tc>
          <w:tcPr>
            <w:tcW w:w="1276" w:type="dxa"/>
            <w:tcBorders>
              <w:top w:val="single" w:sz="4" w:space="0" w:color="auto"/>
              <w:left w:val="nil"/>
              <w:bottom w:val="single" w:sz="4" w:space="0" w:color="000000" w:themeColor="text1"/>
              <w:right w:val="nil"/>
            </w:tcBorders>
            <w:vAlign w:val="bottom"/>
          </w:tcPr>
          <w:p w14:paraId="6C695008" w14:textId="77777777" w:rsidR="00212E77" w:rsidRPr="002732E6" w:rsidRDefault="00212E77" w:rsidP="00690414">
            <w:pPr>
              <w:rPr>
                <w:rFonts w:cs="Arial"/>
                <w:color w:val="000000"/>
                <w:sz w:val="18"/>
                <w:szCs w:val="18"/>
              </w:rPr>
            </w:pPr>
            <w:r w:rsidRPr="002732E6">
              <w:rPr>
                <w:rFonts w:cs="Arial"/>
                <w:color w:val="000000"/>
                <w:sz w:val="18"/>
                <w:szCs w:val="18"/>
              </w:rPr>
              <w:t>0</w:t>
            </w:r>
          </w:p>
        </w:tc>
        <w:tc>
          <w:tcPr>
            <w:tcW w:w="992" w:type="dxa"/>
            <w:tcBorders>
              <w:top w:val="single" w:sz="4" w:space="0" w:color="auto"/>
              <w:left w:val="nil"/>
              <w:bottom w:val="single" w:sz="4" w:space="0" w:color="000000" w:themeColor="text1"/>
              <w:right w:val="nil"/>
            </w:tcBorders>
            <w:vAlign w:val="bottom"/>
          </w:tcPr>
          <w:p w14:paraId="1F304356" w14:textId="77777777" w:rsidR="00212E77" w:rsidRPr="002732E6" w:rsidRDefault="00212E77" w:rsidP="00690414">
            <w:pPr>
              <w:rPr>
                <w:rFonts w:cs="Arial"/>
                <w:color w:val="000000"/>
                <w:sz w:val="18"/>
                <w:szCs w:val="18"/>
              </w:rPr>
            </w:pPr>
            <w:r w:rsidRPr="002732E6">
              <w:rPr>
                <w:rFonts w:cs="Arial"/>
                <w:color w:val="000000"/>
                <w:sz w:val="18"/>
                <w:szCs w:val="18"/>
              </w:rPr>
              <w:t>0</w:t>
            </w:r>
          </w:p>
        </w:tc>
        <w:tc>
          <w:tcPr>
            <w:tcW w:w="1276" w:type="dxa"/>
            <w:tcBorders>
              <w:top w:val="single" w:sz="4" w:space="0" w:color="auto"/>
              <w:left w:val="nil"/>
              <w:bottom w:val="single" w:sz="4" w:space="0" w:color="000000" w:themeColor="text1"/>
              <w:right w:val="nil"/>
            </w:tcBorders>
            <w:vAlign w:val="bottom"/>
          </w:tcPr>
          <w:p w14:paraId="1993FA9C"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2" w:type="dxa"/>
            <w:tcBorders>
              <w:top w:val="single" w:sz="4" w:space="0" w:color="auto"/>
              <w:left w:val="nil"/>
              <w:bottom w:val="single" w:sz="4" w:space="0" w:color="000000" w:themeColor="text1"/>
              <w:right w:val="nil"/>
            </w:tcBorders>
            <w:vAlign w:val="bottom"/>
          </w:tcPr>
          <w:p w14:paraId="5D01E745"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1276" w:type="dxa"/>
            <w:tcBorders>
              <w:top w:val="single" w:sz="4" w:space="0" w:color="auto"/>
              <w:left w:val="nil"/>
              <w:bottom w:val="single" w:sz="4" w:space="0" w:color="000000" w:themeColor="text1"/>
              <w:right w:val="nil"/>
            </w:tcBorders>
            <w:vAlign w:val="bottom"/>
          </w:tcPr>
          <w:p w14:paraId="2D122F8A" w14:textId="77777777" w:rsidR="00212E77" w:rsidRPr="002732E6" w:rsidRDefault="00212E77" w:rsidP="00690414">
            <w:pPr>
              <w:rPr>
                <w:rFonts w:cs="Arial"/>
                <w:color w:val="000000"/>
                <w:sz w:val="18"/>
                <w:szCs w:val="18"/>
                <w:lang w:eastAsia="en-AU"/>
              </w:rPr>
            </w:pPr>
            <w:r w:rsidRPr="002732E6">
              <w:rPr>
                <w:rFonts w:cs="Arial"/>
                <w:color w:val="000000"/>
                <w:sz w:val="18"/>
                <w:szCs w:val="18"/>
              </w:rPr>
              <w:t>2</w:t>
            </w:r>
          </w:p>
        </w:tc>
        <w:tc>
          <w:tcPr>
            <w:tcW w:w="990" w:type="dxa"/>
            <w:tcBorders>
              <w:top w:val="single" w:sz="4" w:space="0" w:color="auto"/>
              <w:left w:val="nil"/>
              <w:bottom w:val="single" w:sz="4" w:space="0" w:color="000000" w:themeColor="text1"/>
              <w:right w:val="nil"/>
            </w:tcBorders>
            <w:vAlign w:val="bottom"/>
          </w:tcPr>
          <w:p w14:paraId="2DB68312"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r>
      <w:tr w:rsidR="00BA660D" w:rsidRPr="009B51D2" w14:paraId="11DB0C9B"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1DA71C42" w14:textId="5154B721"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C</w:t>
            </w:r>
            <w:r w:rsidR="00212E77" w:rsidRPr="002732E6">
              <w:rPr>
                <w:rFonts w:cs="Arial"/>
                <w:color w:val="000000"/>
                <w:sz w:val="18"/>
                <w:szCs w:val="18"/>
                <w:lang w:eastAsia="en-AU"/>
              </w:rPr>
              <w:t xml:space="preserve">ardiorespiratory medicine and </w:t>
            </w:r>
            <w:r w:rsidR="00174DE5" w:rsidRPr="002732E6">
              <w:rPr>
                <w:rFonts w:cs="Arial"/>
                <w:color w:val="000000"/>
                <w:sz w:val="18"/>
                <w:szCs w:val="18"/>
                <w:lang w:eastAsia="en-AU"/>
              </w:rPr>
              <w:t>haematology</w:t>
            </w:r>
          </w:p>
        </w:tc>
        <w:tc>
          <w:tcPr>
            <w:tcW w:w="1276" w:type="dxa"/>
            <w:tcBorders>
              <w:top w:val="single" w:sz="4" w:space="0" w:color="000000" w:themeColor="text1"/>
              <w:left w:val="nil"/>
              <w:bottom w:val="single" w:sz="4" w:space="0" w:color="000000" w:themeColor="text1"/>
              <w:right w:val="nil"/>
            </w:tcBorders>
            <w:vAlign w:val="bottom"/>
          </w:tcPr>
          <w:p w14:paraId="2EF3D9C8" w14:textId="77777777" w:rsidR="00212E77" w:rsidRPr="002732E6" w:rsidRDefault="00212E77" w:rsidP="00690414">
            <w:pPr>
              <w:rPr>
                <w:rFonts w:cs="Arial"/>
                <w:color w:val="000000"/>
                <w:sz w:val="18"/>
                <w:szCs w:val="18"/>
                <w:lang w:eastAsia="en-AU"/>
              </w:rPr>
            </w:pPr>
            <w:r w:rsidRPr="002732E6">
              <w:rPr>
                <w:rFonts w:cs="Arial"/>
                <w:color w:val="000000"/>
                <w:sz w:val="18"/>
                <w:szCs w:val="18"/>
              </w:rPr>
              <w:t>24</w:t>
            </w:r>
          </w:p>
        </w:tc>
        <w:tc>
          <w:tcPr>
            <w:tcW w:w="992" w:type="dxa"/>
            <w:tcBorders>
              <w:top w:val="single" w:sz="4" w:space="0" w:color="000000" w:themeColor="text1"/>
              <w:left w:val="nil"/>
              <w:bottom w:val="single" w:sz="4" w:space="0" w:color="000000" w:themeColor="text1"/>
              <w:right w:val="nil"/>
            </w:tcBorders>
            <w:vAlign w:val="bottom"/>
          </w:tcPr>
          <w:p w14:paraId="5BF6A446"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1775C06C" w14:textId="77777777" w:rsidR="003C2248" w:rsidRPr="002732E6" w:rsidRDefault="003C2248" w:rsidP="00690414">
            <w:pPr>
              <w:rPr>
                <w:rFonts w:cs="Arial"/>
                <w:color w:val="000000"/>
                <w:sz w:val="18"/>
                <w:szCs w:val="18"/>
                <w:lang w:eastAsia="en-AU"/>
              </w:rPr>
            </w:pPr>
          </w:p>
          <w:p w14:paraId="2008EA5F" w14:textId="7E18C620"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5CD83E93" w14:textId="77777777" w:rsidR="003C2248" w:rsidRPr="002732E6" w:rsidRDefault="003C2248" w:rsidP="00690414">
            <w:pPr>
              <w:rPr>
                <w:rFonts w:cs="Arial"/>
                <w:color w:val="000000"/>
                <w:sz w:val="18"/>
                <w:szCs w:val="18"/>
                <w:lang w:eastAsia="en-AU"/>
              </w:rPr>
            </w:pPr>
          </w:p>
          <w:p w14:paraId="1114094B" w14:textId="1B63C062"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1276" w:type="dxa"/>
            <w:tcBorders>
              <w:top w:val="single" w:sz="4" w:space="0" w:color="000000" w:themeColor="text1"/>
              <w:left w:val="nil"/>
              <w:bottom w:val="single" w:sz="4" w:space="0" w:color="000000" w:themeColor="text1"/>
              <w:right w:val="nil"/>
            </w:tcBorders>
            <w:vAlign w:val="bottom"/>
          </w:tcPr>
          <w:p w14:paraId="48B5405D" w14:textId="77777777" w:rsidR="00212E77" w:rsidRPr="002732E6" w:rsidRDefault="00212E77" w:rsidP="00690414">
            <w:pPr>
              <w:rPr>
                <w:rFonts w:cs="Arial"/>
                <w:color w:val="000000"/>
                <w:sz w:val="18"/>
                <w:szCs w:val="18"/>
                <w:lang w:eastAsia="en-AU"/>
              </w:rPr>
            </w:pPr>
            <w:r w:rsidRPr="002732E6">
              <w:rPr>
                <w:rFonts w:cs="Arial"/>
                <w:color w:val="000000"/>
                <w:sz w:val="18"/>
                <w:szCs w:val="18"/>
              </w:rPr>
              <w:t>2</w:t>
            </w:r>
          </w:p>
        </w:tc>
        <w:tc>
          <w:tcPr>
            <w:tcW w:w="990" w:type="dxa"/>
            <w:tcBorders>
              <w:top w:val="single" w:sz="4" w:space="0" w:color="000000" w:themeColor="text1"/>
              <w:left w:val="nil"/>
              <w:bottom w:val="single" w:sz="4" w:space="0" w:color="000000" w:themeColor="text1"/>
              <w:right w:val="nil"/>
            </w:tcBorders>
            <w:vAlign w:val="bottom"/>
          </w:tcPr>
          <w:p w14:paraId="6C72F983"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r>
      <w:tr w:rsidR="00BA660D" w:rsidRPr="009B51D2" w14:paraId="65F8D1E1"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1B7F4D15" w14:textId="1F1A744D"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C</w:t>
            </w:r>
            <w:r w:rsidR="00212E77" w:rsidRPr="002732E6">
              <w:rPr>
                <w:rFonts w:cs="Arial"/>
                <w:color w:val="000000"/>
                <w:sz w:val="18"/>
                <w:szCs w:val="18"/>
                <w:lang w:eastAsia="en-AU"/>
              </w:rPr>
              <w:t>linical sciences</w:t>
            </w:r>
          </w:p>
        </w:tc>
        <w:tc>
          <w:tcPr>
            <w:tcW w:w="1276" w:type="dxa"/>
            <w:tcBorders>
              <w:top w:val="single" w:sz="4" w:space="0" w:color="000000" w:themeColor="text1"/>
              <w:left w:val="nil"/>
              <w:bottom w:val="single" w:sz="4" w:space="0" w:color="000000" w:themeColor="text1"/>
              <w:right w:val="nil"/>
            </w:tcBorders>
            <w:vAlign w:val="bottom"/>
          </w:tcPr>
          <w:p w14:paraId="7DBCEFFF" w14:textId="77777777" w:rsidR="00212E77" w:rsidRPr="002732E6" w:rsidRDefault="00212E77" w:rsidP="00690414">
            <w:pPr>
              <w:rPr>
                <w:rFonts w:cs="Arial"/>
                <w:color w:val="000000"/>
                <w:sz w:val="18"/>
                <w:szCs w:val="18"/>
                <w:lang w:eastAsia="en-AU"/>
              </w:rPr>
            </w:pPr>
            <w:r w:rsidRPr="002732E6">
              <w:rPr>
                <w:rFonts w:cs="Arial"/>
                <w:color w:val="000000"/>
                <w:sz w:val="18"/>
                <w:szCs w:val="18"/>
              </w:rPr>
              <w:t>79</w:t>
            </w:r>
          </w:p>
        </w:tc>
        <w:tc>
          <w:tcPr>
            <w:tcW w:w="992" w:type="dxa"/>
            <w:tcBorders>
              <w:top w:val="single" w:sz="4" w:space="0" w:color="000000" w:themeColor="text1"/>
              <w:left w:val="nil"/>
              <w:bottom w:val="single" w:sz="4" w:space="0" w:color="000000" w:themeColor="text1"/>
              <w:right w:val="nil"/>
            </w:tcBorders>
            <w:vAlign w:val="bottom"/>
          </w:tcPr>
          <w:p w14:paraId="545013E1" w14:textId="77777777" w:rsidR="00212E77" w:rsidRPr="002732E6" w:rsidRDefault="00212E77" w:rsidP="00690414">
            <w:pPr>
              <w:rPr>
                <w:rFonts w:cs="Arial"/>
                <w:color w:val="000000"/>
                <w:sz w:val="18"/>
                <w:szCs w:val="18"/>
                <w:lang w:eastAsia="en-AU"/>
              </w:rPr>
            </w:pPr>
            <w:r w:rsidRPr="002732E6">
              <w:rPr>
                <w:rFonts w:cs="Arial"/>
                <w:color w:val="000000"/>
                <w:sz w:val="18"/>
                <w:szCs w:val="18"/>
              </w:rPr>
              <w:t>3</w:t>
            </w:r>
          </w:p>
        </w:tc>
        <w:tc>
          <w:tcPr>
            <w:tcW w:w="1276" w:type="dxa"/>
            <w:tcBorders>
              <w:top w:val="single" w:sz="4" w:space="0" w:color="000000" w:themeColor="text1"/>
              <w:left w:val="nil"/>
              <w:bottom w:val="single" w:sz="4" w:space="0" w:color="000000" w:themeColor="text1"/>
              <w:right w:val="nil"/>
            </w:tcBorders>
            <w:vAlign w:val="bottom"/>
          </w:tcPr>
          <w:p w14:paraId="1F177D86" w14:textId="77777777" w:rsidR="00212E77" w:rsidRPr="002732E6" w:rsidRDefault="00212E77" w:rsidP="00690414">
            <w:pPr>
              <w:rPr>
                <w:rFonts w:cs="Arial"/>
                <w:color w:val="000000"/>
                <w:sz w:val="18"/>
                <w:szCs w:val="18"/>
                <w:lang w:eastAsia="en-AU"/>
              </w:rPr>
            </w:pPr>
            <w:r w:rsidRPr="002732E6">
              <w:rPr>
                <w:rFonts w:cs="Arial"/>
                <w:color w:val="000000"/>
                <w:sz w:val="18"/>
                <w:szCs w:val="18"/>
              </w:rPr>
              <w:t>22</w:t>
            </w:r>
          </w:p>
        </w:tc>
        <w:tc>
          <w:tcPr>
            <w:tcW w:w="992" w:type="dxa"/>
            <w:tcBorders>
              <w:top w:val="single" w:sz="4" w:space="0" w:color="000000" w:themeColor="text1"/>
              <w:left w:val="nil"/>
              <w:bottom w:val="single" w:sz="4" w:space="0" w:color="000000" w:themeColor="text1"/>
              <w:right w:val="nil"/>
            </w:tcBorders>
            <w:vAlign w:val="bottom"/>
          </w:tcPr>
          <w:p w14:paraId="63374EE6" w14:textId="77777777" w:rsidR="00212E77" w:rsidRPr="002732E6" w:rsidRDefault="00212E77" w:rsidP="00690414">
            <w:pPr>
              <w:rPr>
                <w:rFonts w:cs="Arial"/>
                <w:color w:val="000000"/>
                <w:sz w:val="18"/>
                <w:szCs w:val="18"/>
                <w:lang w:eastAsia="en-AU"/>
              </w:rPr>
            </w:pPr>
            <w:r w:rsidRPr="002732E6">
              <w:rPr>
                <w:rFonts w:cs="Arial"/>
                <w:color w:val="000000"/>
                <w:sz w:val="18"/>
                <w:szCs w:val="18"/>
              </w:rPr>
              <w:t>3</w:t>
            </w:r>
          </w:p>
        </w:tc>
        <w:tc>
          <w:tcPr>
            <w:tcW w:w="1276" w:type="dxa"/>
            <w:tcBorders>
              <w:top w:val="single" w:sz="4" w:space="0" w:color="000000" w:themeColor="text1"/>
              <w:left w:val="nil"/>
              <w:bottom w:val="single" w:sz="4" w:space="0" w:color="000000" w:themeColor="text1"/>
              <w:right w:val="nil"/>
            </w:tcBorders>
            <w:vAlign w:val="bottom"/>
          </w:tcPr>
          <w:p w14:paraId="5BDAC9DC" w14:textId="77777777" w:rsidR="00212E77" w:rsidRPr="002732E6" w:rsidRDefault="00212E77" w:rsidP="00690414">
            <w:pPr>
              <w:rPr>
                <w:rFonts w:cs="Arial"/>
                <w:color w:val="000000"/>
                <w:sz w:val="18"/>
                <w:szCs w:val="18"/>
                <w:lang w:eastAsia="en-AU"/>
              </w:rPr>
            </w:pPr>
            <w:r w:rsidRPr="002732E6">
              <w:rPr>
                <w:rFonts w:cs="Arial"/>
                <w:color w:val="000000"/>
                <w:sz w:val="18"/>
                <w:szCs w:val="18"/>
              </w:rPr>
              <w:t>4</w:t>
            </w:r>
          </w:p>
        </w:tc>
        <w:tc>
          <w:tcPr>
            <w:tcW w:w="990" w:type="dxa"/>
            <w:tcBorders>
              <w:top w:val="single" w:sz="4" w:space="0" w:color="000000" w:themeColor="text1"/>
              <w:left w:val="nil"/>
              <w:bottom w:val="single" w:sz="4" w:space="0" w:color="000000" w:themeColor="text1"/>
              <w:right w:val="nil"/>
            </w:tcBorders>
            <w:vAlign w:val="bottom"/>
          </w:tcPr>
          <w:p w14:paraId="737EE3DF" w14:textId="77777777" w:rsidR="00212E77" w:rsidRPr="002732E6" w:rsidRDefault="00212E77" w:rsidP="00690414">
            <w:pPr>
              <w:rPr>
                <w:rFonts w:cs="Arial"/>
                <w:color w:val="000000"/>
                <w:sz w:val="18"/>
                <w:szCs w:val="18"/>
                <w:lang w:eastAsia="en-AU"/>
              </w:rPr>
            </w:pPr>
            <w:r w:rsidRPr="002732E6">
              <w:rPr>
                <w:rFonts w:cs="Arial"/>
                <w:color w:val="000000"/>
                <w:sz w:val="18"/>
                <w:szCs w:val="18"/>
              </w:rPr>
              <w:t>3</w:t>
            </w:r>
          </w:p>
        </w:tc>
      </w:tr>
      <w:tr w:rsidR="00BA660D" w:rsidRPr="009B51D2" w14:paraId="5D61784E"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159885EC" w14:textId="312CCF53"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G</w:t>
            </w:r>
            <w:r w:rsidR="00212E77" w:rsidRPr="002732E6">
              <w:rPr>
                <w:rFonts w:cs="Arial"/>
                <w:color w:val="000000"/>
                <w:sz w:val="18"/>
                <w:szCs w:val="18"/>
                <w:lang w:eastAsia="en-AU"/>
              </w:rPr>
              <w:t>enetics</w:t>
            </w:r>
          </w:p>
        </w:tc>
        <w:tc>
          <w:tcPr>
            <w:tcW w:w="1276" w:type="dxa"/>
            <w:tcBorders>
              <w:top w:val="single" w:sz="4" w:space="0" w:color="000000" w:themeColor="text1"/>
              <w:left w:val="nil"/>
              <w:bottom w:val="single" w:sz="4" w:space="0" w:color="000000" w:themeColor="text1"/>
              <w:right w:val="nil"/>
            </w:tcBorders>
            <w:vAlign w:val="bottom"/>
          </w:tcPr>
          <w:p w14:paraId="175678C4" w14:textId="77777777" w:rsidR="00212E77" w:rsidRPr="002732E6" w:rsidRDefault="00212E77" w:rsidP="00690414">
            <w:pPr>
              <w:rPr>
                <w:rFonts w:cs="Arial"/>
                <w:color w:val="000000"/>
                <w:sz w:val="18"/>
                <w:szCs w:val="18"/>
                <w:lang w:eastAsia="en-AU"/>
              </w:rPr>
            </w:pPr>
            <w:r w:rsidRPr="002732E6">
              <w:rPr>
                <w:rFonts w:cs="Arial"/>
                <w:color w:val="000000"/>
                <w:sz w:val="18"/>
                <w:szCs w:val="18"/>
              </w:rPr>
              <w:t>7</w:t>
            </w:r>
          </w:p>
        </w:tc>
        <w:tc>
          <w:tcPr>
            <w:tcW w:w="992" w:type="dxa"/>
            <w:tcBorders>
              <w:top w:val="single" w:sz="4" w:space="0" w:color="000000" w:themeColor="text1"/>
              <w:left w:val="nil"/>
              <w:bottom w:val="single" w:sz="4" w:space="0" w:color="000000" w:themeColor="text1"/>
              <w:right w:val="nil"/>
            </w:tcBorders>
            <w:vAlign w:val="bottom"/>
          </w:tcPr>
          <w:p w14:paraId="6B63BC5C"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6C3E085C" w14:textId="77777777" w:rsidR="00212E77" w:rsidRPr="002732E6" w:rsidRDefault="00212E77" w:rsidP="00690414">
            <w:pPr>
              <w:rPr>
                <w:rFonts w:cs="Arial"/>
                <w:color w:val="000000"/>
                <w:sz w:val="18"/>
                <w:szCs w:val="18"/>
                <w:lang w:eastAsia="en-AU"/>
              </w:rPr>
            </w:pPr>
            <w:r w:rsidRPr="002732E6">
              <w:rPr>
                <w:rFonts w:cs="Arial"/>
                <w:color w:val="000000"/>
                <w:sz w:val="18"/>
                <w:szCs w:val="18"/>
              </w:rPr>
              <w:t>4</w:t>
            </w:r>
          </w:p>
        </w:tc>
        <w:tc>
          <w:tcPr>
            <w:tcW w:w="992" w:type="dxa"/>
            <w:tcBorders>
              <w:top w:val="single" w:sz="4" w:space="0" w:color="000000" w:themeColor="text1"/>
              <w:left w:val="nil"/>
              <w:bottom w:val="single" w:sz="4" w:space="0" w:color="000000" w:themeColor="text1"/>
              <w:right w:val="nil"/>
            </w:tcBorders>
            <w:vAlign w:val="bottom"/>
          </w:tcPr>
          <w:p w14:paraId="22D3A3D7"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2C4130AB"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0" w:type="dxa"/>
            <w:tcBorders>
              <w:top w:val="single" w:sz="4" w:space="0" w:color="000000" w:themeColor="text1"/>
              <w:left w:val="nil"/>
              <w:bottom w:val="single" w:sz="4" w:space="0" w:color="000000" w:themeColor="text1"/>
              <w:right w:val="nil"/>
            </w:tcBorders>
            <w:vAlign w:val="bottom"/>
          </w:tcPr>
          <w:p w14:paraId="5BF4E77C"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r>
      <w:tr w:rsidR="00BA660D" w:rsidRPr="009B51D2" w14:paraId="76795539"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7F5136A0" w14:textId="54EC7CF2"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M</w:t>
            </w:r>
            <w:r w:rsidR="00212E77" w:rsidRPr="002732E6">
              <w:rPr>
                <w:rFonts w:cs="Arial"/>
                <w:color w:val="000000"/>
                <w:sz w:val="18"/>
                <w:szCs w:val="18"/>
                <w:lang w:eastAsia="en-AU"/>
              </w:rPr>
              <w:t>edical biotechnology</w:t>
            </w:r>
          </w:p>
        </w:tc>
        <w:tc>
          <w:tcPr>
            <w:tcW w:w="1276" w:type="dxa"/>
            <w:tcBorders>
              <w:top w:val="single" w:sz="4" w:space="0" w:color="000000" w:themeColor="text1"/>
              <w:left w:val="nil"/>
              <w:bottom w:val="single" w:sz="4" w:space="0" w:color="000000" w:themeColor="text1"/>
              <w:right w:val="nil"/>
            </w:tcBorders>
            <w:vAlign w:val="bottom"/>
          </w:tcPr>
          <w:p w14:paraId="69A9A6B6" w14:textId="77777777" w:rsidR="00212E77" w:rsidRPr="002732E6" w:rsidRDefault="00212E77" w:rsidP="00690414">
            <w:pPr>
              <w:rPr>
                <w:rFonts w:cs="Arial"/>
                <w:color w:val="000000"/>
                <w:sz w:val="18"/>
                <w:szCs w:val="18"/>
                <w:lang w:eastAsia="en-AU"/>
              </w:rPr>
            </w:pPr>
            <w:r w:rsidRPr="002732E6">
              <w:rPr>
                <w:rFonts w:cs="Arial"/>
                <w:color w:val="000000"/>
                <w:sz w:val="18"/>
                <w:szCs w:val="18"/>
              </w:rPr>
              <w:t>8</w:t>
            </w:r>
          </w:p>
        </w:tc>
        <w:tc>
          <w:tcPr>
            <w:tcW w:w="992" w:type="dxa"/>
            <w:tcBorders>
              <w:top w:val="single" w:sz="4" w:space="0" w:color="000000" w:themeColor="text1"/>
              <w:left w:val="nil"/>
              <w:bottom w:val="single" w:sz="4" w:space="0" w:color="000000" w:themeColor="text1"/>
              <w:right w:val="nil"/>
            </w:tcBorders>
            <w:vAlign w:val="bottom"/>
          </w:tcPr>
          <w:p w14:paraId="2C6D876F"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00F175B6"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4A3D6610"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1276" w:type="dxa"/>
            <w:tcBorders>
              <w:top w:val="single" w:sz="4" w:space="0" w:color="000000" w:themeColor="text1"/>
              <w:left w:val="nil"/>
              <w:bottom w:val="single" w:sz="4" w:space="0" w:color="000000" w:themeColor="text1"/>
              <w:right w:val="nil"/>
            </w:tcBorders>
            <w:vAlign w:val="bottom"/>
          </w:tcPr>
          <w:p w14:paraId="30814E54"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990" w:type="dxa"/>
            <w:tcBorders>
              <w:top w:val="single" w:sz="4" w:space="0" w:color="000000" w:themeColor="text1"/>
              <w:left w:val="nil"/>
              <w:bottom w:val="single" w:sz="4" w:space="0" w:color="000000" w:themeColor="text1"/>
              <w:right w:val="nil"/>
            </w:tcBorders>
            <w:vAlign w:val="bottom"/>
          </w:tcPr>
          <w:p w14:paraId="6BA6BBA3"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r>
      <w:tr w:rsidR="00BA660D" w:rsidRPr="009B51D2" w14:paraId="0FD96C35"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27C75309" w14:textId="0F823AFD"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M</w:t>
            </w:r>
            <w:r w:rsidR="00212E77" w:rsidRPr="002732E6">
              <w:rPr>
                <w:rFonts w:cs="Arial"/>
                <w:color w:val="000000"/>
                <w:sz w:val="18"/>
                <w:szCs w:val="18"/>
                <w:lang w:eastAsia="en-AU"/>
              </w:rPr>
              <w:t>edical microbiology</w:t>
            </w:r>
          </w:p>
        </w:tc>
        <w:tc>
          <w:tcPr>
            <w:tcW w:w="1276" w:type="dxa"/>
            <w:tcBorders>
              <w:top w:val="single" w:sz="4" w:space="0" w:color="000000" w:themeColor="text1"/>
              <w:left w:val="nil"/>
              <w:bottom w:val="single" w:sz="4" w:space="0" w:color="000000" w:themeColor="text1"/>
              <w:right w:val="nil"/>
            </w:tcBorders>
            <w:vAlign w:val="bottom"/>
          </w:tcPr>
          <w:p w14:paraId="24C94654" w14:textId="77777777" w:rsidR="00212E77" w:rsidRPr="002732E6" w:rsidRDefault="00212E77" w:rsidP="00690414">
            <w:pPr>
              <w:rPr>
                <w:rFonts w:cs="Arial"/>
                <w:color w:val="000000"/>
                <w:sz w:val="18"/>
                <w:szCs w:val="18"/>
                <w:lang w:eastAsia="en-AU"/>
              </w:rPr>
            </w:pPr>
            <w:r w:rsidRPr="002732E6">
              <w:rPr>
                <w:rFonts w:cs="Arial"/>
                <w:color w:val="000000"/>
                <w:sz w:val="18"/>
                <w:szCs w:val="18"/>
              </w:rPr>
              <w:t>5</w:t>
            </w:r>
          </w:p>
        </w:tc>
        <w:tc>
          <w:tcPr>
            <w:tcW w:w="992" w:type="dxa"/>
            <w:tcBorders>
              <w:top w:val="single" w:sz="4" w:space="0" w:color="000000" w:themeColor="text1"/>
              <w:left w:val="nil"/>
              <w:bottom w:val="single" w:sz="4" w:space="0" w:color="000000" w:themeColor="text1"/>
              <w:right w:val="nil"/>
            </w:tcBorders>
            <w:vAlign w:val="bottom"/>
          </w:tcPr>
          <w:p w14:paraId="589BD7FC"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6DB9C5B8"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0AE3289F"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1276" w:type="dxa"/>
            <w:tcBorders>
              <w:top w:val="single" w:sz="4" w:space="0" w:color="000000" w:themeColor="text1"/>
              <w:left w:val="nil"/>
              <w:bottom w:val="single" w:sz="4" w:space="0" w:color="000000" w:themeColor="text1"/>
              <w:right w:val="nil"/>
            </w:tcBorders>
            <w:vAlign w:val="bottom"/>
          </w:tcPr>
          <w:p w14:paraId="479A0A24"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0" w:type="dxa"/>
            <w:tcBorders>
              <w:top w:val="single" w:sz="4" w:space="0" w:color="000000" w:themeColor="text1"/>
              <w:left w:val="nil"/>
              <w:bottom w:val="single" w:sz="4" w:space="0" w:color="000000" w:themeColor="text1"/>
              <w:right w:val="nil"/>
            </w:tcBorders>
            <w:vAlign w:val="bottom"/>
          </w:tcPr>
          <w:p w14:paraId="7B83F19F" w14:textId="77777777"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r>
      <w:tr w:rsidR="00BA660D" w:rsidRPr="009B51D2" w14:paraId="7FEE7A6F"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2318E215" w14:textId="121DC50B"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P</w:t>
            </w:r>
            <w:r w:rsidR="00212E77" w:rsidRPr="002732E6">
              <w:rPr>
                <w:rFonts w:cs="Arial"/>
                <w:color w:val="000000"/>
                <w:sz w:val="18"/>
                <w:szCs w:val="18"/>
                <w:lang w:eastAsia="en-AU"/>
              </w:rPr>
              <w:t>harmacology and pharmaceutical sciences</w:t>
            </w:r>
          </w:p>
        </w:tc>
        <w:tc>
          <w:tcPr>
            <w:tcW w:w="1276" w:type="dxa"/>
            <w:tcBorders>
              <w:top w:val="single" w:sz="4" w:space="0" w:color="000000" w:themeColor="text1"/>
              <w:left w:val="nil"/>
              <w:bottom w:val="single" w:sz="4" w:space="0" w:color="000000" w:themeColor="text1"/>
              <w:right w:val="nil"/>
            </w:tcBorders>
            <w:vAlign w:val="bottom"/>
          </w:tcPr>
          <w:p w14:paraId="0CA5F548" w14:textId="77777777" w:rsidR="00212E77" w:rsidRPr="002732E6" w:rsidRDefault="00212E77" w:rsidP="00690414">
            <w:pPr>
              <w:rPr>
                <w:rFonts w:cs="Arial"/>
                <w:color w:val="000000"/>
                <w:sz w:val="18"/>
                <w:szCs w:val="18"/>
                <w:lang w:eastAsia="en-AU"/>
              </w:rPr>
            </w:pPr>
            <w:r w:rsidRPr="002732E6">
              <w:rPr>
                <w:rFonts w:cs="Arial"/>
                <w:color w:val="000000"/>
                <w:sz w:val="18"/>
                <w:szCs w:val="18"/>
              </w:rPr>
              <w:t>8</w:t>
            </w:r>
          </w:p>
        </w:tc>
        <w:tc>
          <w:tcPr>
            <w:tcW w:w="992" w:type="dxa"/>
            <w:tcBorders>
              <w:top w:val="single" w:sz="4" w:space="0" w:color="000000" w:themeColor="text1"/>
              <w:left w:val="nil"/>
              <w:bottom w:val="single" w:sz="4" w:space="0" w:color="000000" w:themeColor="text1"/>
              <w:right w:val="nil"/>
            </w:tcBorders>
            <w:vAlign w:val="bottom"/>
          </w:tcPr>
          <w:p w14:paraId="55BF80BB"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1C150AE6" w14:textId="77777777" w:rsidR="003C2248" w:rsidRPr="002732E6" w:rsidRDefault="003C2248" w:rsidP="00690414">
            <w:pPr>
              <w:rPr>
                <w:rFonts w:cs="Arial"/>
                <w:color w:val="000000"/>
                <w:sz w:val="18"/>
                <w:szCs w:val="18"/>
                <w:lang w:eastAsia="en-AU"/>
              </w:rPr>
            </w:pPr>
          </w:p>
          <w:p w14:paraId="2EBA5AE7" w14:textId="56ABE8F6"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2" w:type="dxa"/>
            <w:tcBorders>
              <w:top w:val="single" w:sz="4" w:space="0" w:color="000000" w:themeColor="text1"/>
              <w:left w:val="nil"/>
              <w:bottom w:val="single" w:sz="4" w:space="0" w:color="000000" w:themeColor="text1"/>
              <w:right w:val="nil"/>
            </w:tcBorders>
            <w:vAlign w:val="bottom"/>
          </w:tcPr>
          <w:p w14:paraId="072E956F" w14:textId="77777777" w:rsidR="003C2248" w:rsidRPr="002732E6" w:rsidRDefault="003C2248" w:rsidP="00690414">
            <w:pPr>
              <w:rPr>
                <w:rFonts w:cs="Arial"/>
                <w:color w:val="000000"/>
                <w:sz w:val="18"/>
                <w:szCs w:val="18"/>
                <w:lang w:eastAsia="en-AU"/>
              </w:rPr>
            </w:pPr>
          </w:p>
          <w:p w14:paraId="3E3E2902" w14:textId="6E4FD1C0"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1276" w:type="dxa"/>
            <w:tcBorders>
              <w:top w:val="single" w:sz="4" w:space="0" w:color="000000" w:themeColor="text1"/>
              <w:left w:val="nil"/>
              <w:bottom w:val="single" w:sz="4" w:space="0" w:color="000000" w:themeColor="text1"/>
              <w:right w:val="nil"/>
            </w:tcBorders>
            <w:vAlign w:val="bottom"/>
          </w:tcPr>
          <w:p w14:paraId="034D1968" w14:textId="77777777" w:rsidR="003C2248" w:rsidRPr="002732E6" w:rsidRDefault="003C2248" w:rsidP="00690414">
            <w:pPr>
              <w:rPr>
                <w:rFonts w:cs="Arial"/>
                <w:color w:val="000000"/>
                <w:sz w:val="18"/>
                <w:szCs w:val="18"/>
                <w:lang w:eastAsia="en-AU"/>
              </w:rPr>
            </w:pPr>
          </w:p>
          <w:p w14:paraId="71B80A70" w14:textId="21277F58"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c>
          <w:tcPr>
            <w:tcW w:w="990" w:type="dxa"/>
            <w:tcBorders>
              <w:top w:val="single" w:sz="4" w:space="0" w:color="000000" w:themeColor="text1"/>
              <w:left w:val="nil"/>
              <w:bottom w:val="single" w:sz="4" w:space="0" w:color="000000" w:themeColor="text1"/>
              <w:right w:val="nil"/>
            </w:tcBorders>
            <w:vAlign w:val="bottom"/>
          </w:tcPr>
          <w:p w14:paraId="4FB56CB9" w14:textId="77777777" w:rsidR="003C2248" w:rsidRPr="002732E6" w:rsidRDefault="003C2248" w:rsidP="00690414">
            <w:pPr>
              <w:rPr>
                <w:rFonts w:cs="Arial"/>
                <w:color w:val="000000"/>
                <w:sz w:val="18"/>
                <w:szCs w:val="18"/>
                <w:lang w:eastAsia="en-AU"/>
              </w:rPr>
            </w:pPr>
          </w:p>
          <w:p w14:paraId="3C756D4A" w14:textId="3FD4545E" w:rsidR="00212E77" w:rsidRPr="002732E6" w:rsidRDefault="00212E77" w:rsidP="00690414">
            <w:pPr>
              <w:rPr>
                <w:rFonts w:cs="Arial"/>
                <w:color w:val="000000"/>
                <w:sz w:val="18"/>
                <w:szCs w:val="18"/>
                <w:lang w:eastAsia="en-AU"/>
              </w:rPr>
            </w:pPr>
            <w:r w:rsidRPr="002732E6">
              <w:rPr>
                <w:rFonts w:cs="Arial"/>
                <w:color w:val="000000"/>
                <w:sz w:val="18"/>
                <w:szCs w:val="18"/>
                <w:lang w:eastAsia="en-AU"/>
              </w:rPr>
              <w:t>0</w:t>
            </w:r>
          </w:p>
        </w:tc>
      </w:tr>
      <w:tr w:rsidR="00BA660D" w:rsidRPr="009B51D2" w14:paraId="441D1E4E"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tcPr>
          <w:p w14:paraId="7ADBEA42" w14:textId="1B1CF544"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P</w:t>
            </w:r>
            <w:r w:rsidR="00212E77" w:rsidRPr="002732E6">
              <w:rPr>
                <w:rFonts w:cs="Arial"/>
                <w:color w:val="000000"/>
                <w:sz w:val="18"/>
                <w:szCs w:val="18"/>
                <w:lang w:eastAsia="en-AU"/>
              </w:rPr>
              <w:t>aediatrics and reproductive medicine</w:t>
            </w:r>
          </w:p>
        </w:tc>
        <w:tc>
          <w:tcPr>
            <w:tcW w:w="1276" w:type="dxa"/>
            <w:tcBorders>
              <w:top w:val="single" w:sz="4" w:space="0" w:color="000000" w:themeColor="text1"/>
              <w:left w:val="nil"/>
              <w:bottom w:val="single" w:sz="4" w:space="0" w:color="000000" w:themeColor="text1"/>
              <w:right w:val="nil"/>
            </w:tcBorders>
            <w:vAlign w:val="bottom"/>
          </w:tcPr>
          <w:p w14:paraId="61B6E295" w14:textId="77777777" w:rsidR="00212E77" w:rsidRPr="002732E6" w:rsidRDefault="00212E77" w:rsidP="00690414">
            <w:pPr>
              <w:rPr>
                <w:rFonts w:cs="Arial"/>
                <w:color w:val="000000"/>
                <w:sz w:val="18"/>
                <w:szCs w:val="18"/>
              </w:rPr>
            </w:pPr>
            <w:r w:rsidRPr="002732E6">
              <w:rPr>
                <w:rFonts w:cs="Arial"/>
                <w:color w:val="000000"/>
                <w:sz w:val="18"/>
                <w:szCs w:val="18"/>
              </w:rPr>
              <w:t>0</w:t>
            </w:r>
          </w:p>
        </w:tc>
        <w:tc>
          <w:tcPr>
            <w:tcW w:w="992" w:type="dxa"/>
            <w:tcBorders>
              <w:top w:val="single" w:sz="4" w:space="0" w:color="000000" w:themeColor="text1"/>
              <w:left w:val="nil"/>
              <w:bottom w:val="single" w:sz="4" w:space="0" w:color="000000" w:themeColor="text1"/>
              <w:right w:val="nil"/>
            </w:tcBorders>
            <w:vAlign w:val="bottom"/>
          </w:tcPr>
          <w:p w14:paraId="401F4AAA" w14:textId="77777777" w:rsidR="00212E77" w:rsidRPr="002732E6" w:rsidRDefault="00212E77" w:rsidP="00690414">
            <w:pPr>
              <w:rPr>
                <w:rFonts w:cs="Arial"/>
                <w:color w:val="000000"/>
                <w:sz w:val="18"/>
                <w:szCs w:val="18"/>
              </w:rPr>
            </w:pPr>
            <w:r w:rsidRPr="002732E6">
              <w:rPr>
                <w:rFonts w:cs="Arial"/>
                <w:color w:val="000000"/>
                <w:sz w:val="18"/>
                <w:szCs w:val="18"/>
              </w:rPr>
              <w:t>0</w:t>
            </w:r>
          </w:p>
        </w:tc>
        <w:tc>
          <w:tcPr>
            <w:tcW w:w="1276" w:type="dxa"/>
            <w:tcBorders>
              <w:top w:val="single" w:sz="4" w:space="0" w:color="000000" w:themeColor="text1"/>
              <w:left w:val="nil"/>
              <w:bottom w:val="single" w:sz="4" w:space="0" w:color="000000" w:themeColor="text1"/>
              <w:right w:val="nil"/>
            </w:tcBorders>
            <w:vAlign w:val="bottom"/>
          </w:tcPr>
          <w:p w14:paraId="0B80421D" w14:textId="77777777" w:rsidR="00212E77" w:rsidRPr="002732E6" w:rsidRDefault="00212E77" w:rsidP="00690414">
            <w:pPr>
              <w:rPr>
                <w:rFonts w:cs="Arial"/>
                <w:color w:val="000000"/>
                <w:sz w:val="18"/>
                <w:szCs w:val="18"/>
              </w:rPr>
            </w:pPr>
            <w:r w:rsidRPr="002732E6">
              <w:rPr>
                <w:rFonts w:cs="Arial"/>
                <w:color w:val="000000"/>
                <w:sz w:val="18"/>
                <w:szCs w:val="18"/>
              </w:rPr>
              <w:t>0</w:t>
            </w:r>
          </w:p>
        </w:tc>
        <w:tc>
          <w:tcPr>
            <w:tcW w:w="992" w:type="dxa"/>
            <w:tcBorders>
              <w:top w:val="single" w:sz="4" w:space="0" w:color="000000" w:themeColor="text1"/>
              <w:left w:val="nil"/>
              <w:bottom w:val="single" w:sz="4" w:space="0" w:color="000000" w:themeColor="text1"/>
              <w:right w:val="nil"/>
            </w:tcBorders>
            <w:vAlign w:val="bottom"/>
          </w:tcPr>
          <w:p w14:paraId="52750AA8" w14:textId="77777777" w:rsidR="00212E77" w:rsidRPr="002732E6" w:rsidRDefault="00212E77" w:rsidP="00690414">
            <w:pPr>
              <w:rPr>
                <w:rFonts w:cs="Arial"/>
                <w:color w:val="000000"/>
                <w:sz w:val="18"/>
                <w:szCs w:val="18"/>
              </w:rPr>
            </w:pPr>
            <w:r w:rsidRPr="002732E6">
              <w:rPr>
                <w:rFonts w:cs="Arial"/>
                <w:color w:val="000000"/>
                <w:sz w:val="18"/>
                <w:szCs w:val="18"/>
              </w:rPr>
              <w:t>0</w:t>
            </w:r>
          </w:p>
        </w:tc>
        <w:tc>
          <w:tcPr>
            <w:tcW w:w="1276" w:type="dxa"/>
            <w:tcBorders>
              <w:top w:val="single" w:sz="4" w:space="0" w:color="000000" w:themeColor="text1"/>
              <w:left w:val="nil"/>
              <w:bottom w:val="single" w:sz="4" w:space="0" w:color="000000" w:themeColor="text1"/>
              <w:right w:val="nil"/>
            </w:tcBorders>
            <w:vAlign w:val="bottom"/>
          </w:tcPr>
          <w:p w14:paraId="6F26AABE" w14:textId="77777777" w:rsidR="00212E77" w:rsidRPr="002732E6" w:rsidRDefault="00212E77" w:rsidP="00690414">
            <w:pPr>
              <w:rPr>
                <w:rFonts w:cs="Arial"/>
                <w:color w:val="000000"/>
                <w:sz w:val="18"/>
                <w:szCs w:val="18"/>
              </w:rPr>
            </w:pPr>
            <w:r w:rsidRPr="002732E6">
              <w:rPr>
                <w:rFonts w:cs="Arial"/>
                <w:color w:val="000000"/>
                <w:sz w:val="18"/>
                <w:szCs w:val="18"/>
              </w:rPr>
              <w:t>3</w:t>
            </w:r>
          </w:p>
        </w:tc>
        <w:tc>
          <w:tcPr>
            <w:tcW w:w="990" w:type="dxa"/>
            <w:tcBorders>
              <w:top w:val="single" w:sz="4" w:space="0" w:color="000000" w:themeColor="text1"/>
              <w:left w:val="nil"/>
              <w:bottom w:val="single" w:sz="4" w:space="0" w:color="000000" w:themeColor="text1"/>
              <w:right w:val="nil"/>
            </w:tcBorders>
            <w:vAlign w:val="bottom"/>
          </w:tcPr>
          <w:p w14:paraId="39712173" w14:textId="77777777" w:rsidR="00212E77" w:rsidRPr="002732E6" w:rsidRDefault="00212E77" w:rsidP="00690414">
            <w:pPr>
              <w:rPr>
                <w:rFonts w:cs="Arial"/>
                <w:color w:val="000000"/>
                <w:sz w:val="18"/>
                <w:szCs w:val="18"/>
              </w:rPr>
            </w:pPr>
            <w:r w:rsidRPr="002732E6">
              <w:rPr>
                <w:rFonts w:cs="Arial"/>
                <w:color w:val="000000"/>
                <w:sz w:val="18"/>
                <w:szCs w:val="18"/>
              </w:rPr>
              <w:t>1</w:t>
            </w:r>
          </w:p>
        </w:tc>
      </w:tr>
      <w:tr w:rsidR="00BA660D" w:rsidRPr="009B51D2" w14:paraId="1C1FA609" w14:textId="77777777" w:rsidTr="00B95348">
        <w:trPr>
          <w:trHeight w:val="290"/>
        </w:trPr>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2C2074E6" w14:textId="40F9E302" w:rsidR="00212E77" w:rsidRPr="002732E6" w:rsidRDefault="003C2248" w:rsidP="00690414">
            <w:pPr>
              <w:ind w:left="-108"/>
              <w:rPr>
                <w:rFonts w:cs="Arial"/>
                <w:color w:val="000000"/>
                <w:sz w:val="18"/>
                <w:szCs w:val="18"/>
                <w:lang w:eastAsia="en-AU"/>
              </w:rPr>
            </w:pPr>
            <w:r w:rsidRPr="002732E6">
              <w:rPr>
                <w:rFonts w:cs="Arial"/>
                <w:color w:val="000000"/>
                <w:sz w:val="18"/>
                <w:szCs w:val="18"/>
                <w:lang w:eastAsia="en-AU"/>
              </w:rPr>
              <w:t>P</w:t>
            </w:r>
            <w:r w:rsidR="00212E77" w:rsidRPr="002732E6">
              <w:rPr>
                <w:rFonts w:cs="Arial"/>
                <w:color w:val="000000"/>
                <w:sz w:val="18"/>
                <w:szCs w:val="18"/>
                <w:lang w:eastAsia="en-AU"/>
              </w:rPr>
              <w:t>ublic health and health services</w:t>
            </w:r>
          </w:p>
        </w:tc>
        <w:tc>
          <w:tcPr>
            <w:tcW w:w="1276" w:type="dxa"/>
            <w:tcBorders>
              <w:top w:val="single" w:sz="4" w:space="0" w:color="000000" w:themeColor="text1"/>
              <w:left w:val="nil"/>
              <w:bottom w:val="single" w:sz="4" w:space="0" w:color="000000" w:themeColor="text1"/>
              <w:right w:val="nil"/>
            </w:tcBorders>
            <w:vAlign w:val="bottom"/>
          </w:tcPr>
          <w:p w14:paraId="743157DE" w14:textId="77777777" w:rsidR="00212E77" w:rsidRPr="002732E6" w:rsidRDefault="00212E77" w:rsidP="00690414">
            <w:pPr>
              <w:rPr>
                <w:rFonts w:cs="Arial"/>
                <w:color w:val="000000"/>
                <w:sz w:val="18"/>
                <w:szCs w:val="18"/>
                <w:lang w:eastAsia="en-AU"/>
              </w:rPr>
            </w:pPr>
            <w:r w:rsidRPr="002732E6">
              <w:rPr>
                <w:rFonts w:cs="Arial"/>
                <w:color w:val="000000"/>
                <w:sz w:val="18"/>
                <w:szCs w:val="18"/>
              </w:rPr>
              <w:t>64</w:t>
            </w:r>
          </w:p>
        </w:tc>
        <w:tc>
          <w:tcPr>
            <w:tcW w:w="992" w:type="dxa"/>
            <w:tcBorders>
              <w:top w:val="single" w:sz="4" w:space="0" w:color="000000" w:themeColor="text1"/>
              <w:left w:val="nil"/>
              <w:bottom w:val="single" w:sz="4" w:space="0" w:color="000000" w:themeColor="text1"/>
              <w:right w:val="nil"/>
            </w:tcBorders>
            <w:vAlign w:val="bottom"/>
          </w:tcPr>
          <w:p w14:paraId="2404E852"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c>
          <w:tcPr>
            <w:tcW w:w="1276" w:type="dxa"/>
            <w:tcBorders>
              <w:top w:val="single" w:sz="4" w:space="0" w:color="000000" w:themeColor="text1"/>
              <w:left w:val="nil"/>
              <w:bottom w:val="single" w:sz="4" w:space="0" w:color="000000" w:themeColor="text1"/>
              <w:right w:val="nil"/>
            </w:tcBorders>
            <w:vAlign w:val="bottom"/>
          </w:tcPr>
          <w:p w14:paraId="6B515140" w14:textId="77777777" w:rsidR="00212E77" w:rsidRPr="002732E6" w:rsidRDefault="00212E77" w:rsidP="00690414">
            <w:pPr>
              <w:rPr>
                <w:rFonts w:cs="Arial"/>
                <w:color w:val="000000"/>
                <w:sz w:val="18"/>
                <w:szCs w:val="18"/>
                <w:lang w:eastAsia="en-AU"/>
              </w:rPr>
            </w:pPr>
            <w:r w:rsidRPr="002732E6">
              <w:rPr>
                <w:rFonts w:cs="Arial"/>
                <w:color w:val="000000"/>
                <w:sz w:val="18"/>
                <w:szCs w:val="18"/>
              </w:rPr>
              <w:t>31</w:t>
            </w:r>
          </w:p>
        </w:tc>
        <w:tc>
          <w:tcPr>
            <w:tcW w:w="992" w:type="dxa"/>
            <w:tcBorders>
              <w:top w:val="single" w:sz="4" w:space="0" w:color="000000" w:themeColor="text1"/>
              <w:left w:val="nil"/>
              <w:bottom w:val="single" w:sz="4" w:space="0" w:color="000000" w:themeColor="text1"/>
              <w:right w:val="nil"/>
            </w:tcBorders>
            <w:vAlign w:val="bottom"/>
          </w:tcPr>
          <w:p w14:paraId="29A6FEAF" w14:textId="77777777" w:rsidR="00212E77" w:rsidRPr="002732E6" w:rsidRDefault="00212E77" w:rsidP="00690414">
            <w:pPr>
              <w:rPr>
                <w:rFonts w:cs="Arial"/>
                <w:color w:val="000000"/>
                <w:sz w:val="18"/>
                <w:szCs w:val="18"/>
                <w:lang w:eastAsia="en-AU"/>
              </w:rPr>
            </w:pPr>
            <w:r w:rsidRPr="002732E6">
              <w:rPr>
                <w:rFonts w:cs="Arial"/>
                <w:color w:val="000000"/>
                <w:sz w:val="18"/>
                <w:szCs w:val="18"/>
              </w:rPr>
              <w:t>2</w:t>
            </w:r>
          </w:p>
        </w:tc>
        <w:tc>
          <w:tcPr>
            <w:tcW w:w="1276" w:type="dxa"/>
            <w:tcBorders>
              <w:top w:val="single" w:sz="4" w:space="0" w:color="000000" w:themeColor="text1"/>
              <w:left w:val="nil"/>
              <w:bottom w:val="single" w:sz="4" w:space="0" w:color="000000" w:themeColor="text1"/>
              <w:right w:val="nil"/>
            </w:tcBorders>
            <w:vAlign w:val="bottom"/>
          </w:tcPr>
          <w:p w14:paraId="068551ED" w14:textId="77777777" w:rsidR="00212E77" w:rsidRPr="002732E6" w:rsidRDefault="00212E77" w:rsidP="00690414">
            <w:pPr>
              <w:rPr>
                <w:rFonts w:cs="Arial"/>
                <w:color w:val="000000"/>
                <w:sz w:val="18"/>
                <w:szCs w:val="18"/>
                <w:lang w:eastAsia="en-AU"/>
              </w:rPr>
            </w:pPr>
            <w:r w:rsidRPr="002732E6">
              <w:rPr>
                <w:rFonts w:cs="Arial"/>
                <w:color w:val="000000"/>
                <w:sz w:val="18"/>
                <w:szCs w:val="18"/>
              </w:rPr>
              <w:t>2</w:t>
            </w:r>
          </w:p>
        </w:tc>
        <w:tc>
          <w:tcPr>
            <w:tcW w:w="990" w:type="dxa"/>
            <w:tcBorders>
              <w:top w:val="single" w:sz="4" w:space="0" w:color="000000" w:themeColor="text1"/>
              <w:left w:val="nil"/>
              <w:bottom w:val="single" w:sz="4" w:space="0" w:color="000000" w:themeColor="text1"/>
              <w:right w:val="nil"/>
            </w:tcBorders>
            <w:vAlign w:val="bottom"/>
          </w:tcPr>
          <w:p w14:paraId="43A4961D" w14:textId="77777777" w:rsidR="00212E77" w:rsidRPr="002732E6" w:rsidRDefault="00212E77" w:rsidP="00690414">
            <w:pPr>
              <w:rPr>
                <w:rFonts w:cs="Arial"/>
                <w:color w:val="000000"/>
                <w:sz w:val="18"/>
                <w:szCs w:val="18"/>
                <w:lang w:eastAsia="en-AU"/>
              </w:rPr>
            </w:pPr>
            <w:r w:rsidRPr="002732E6">
              <w:rPr>
                <w:rFonts w:cs="Arial"/>
                <w:color w:val="000000"/>
                <w:sz w:val="18"/>
                <w:szCs w:val="18"/>
              </w:rPr>
              <w:t>1</w:t>
            </w:r>
          </w:p>
        </w:tc>
      </w:tr>
    </w:tbl>
    <w:p w14:paraId="0485F388" w14:textId="5AEB035D" w:rsidR="00FD0780" w:rsidRPr="00766DC6" w:rsidRDefault="00FD0780" w:rsidP="00690414">
      <w:pPr>
        <w:pStyle w:val="TableHeader"/>
        <w:rPr>
          <w:rFonts w:cs="Arial"/>
          <w:sz w:val="22"/>
        </w:rPr>
      </w:pPr>
    </w:p>
    <w:p w14:paraId="73639BCF" w14:textId="77777777" w:rsidR="00236887" w:rsidRDefault="00236887" w:rsidP="00212E77">
      <w:pPr>
        <w:pStyle w:val="TableHeader"/>
        <w:rPr>
          <w:szCs w:val="21"/>
        </w:rPr>
      </w:pPr>
    </w:p>
    <w:p w14:paraId="5597D356" w14:textId="53BF9202" w:rsidR="00212E77" w:rsidRPr="00B95348" w:rsidRDefault="00212E77" w:rsidP="00212E77">
      <w:pPr>
        <w:pStyle w:val="TableHeader"/>
        <w:rPr>
          <w:szCs w:val="21"/>
        </w:rPr>
      </w:pPr>
      <w:r w:rsidRPr="00B95348">
        <w:rPr>
          <w:szCs w:val="21"/>
        </w:rPr>
        <w:lastRenderedPageBreak/>
        <w:t xml:space="preserve">Table </w:t>
      </w:r>
      <w:r w:rsidR="007523B2" w:rsidRPr="00B95348">
        <w:rPr>
          <w:szCs w:val="21"/>
        </w:rPr>
        <w:t>6</w:t>
      </w:r>
      <w:r w:rsidRPr="00B95348">
        <w:rPr>
          <w:szCs w:val="21"/>
        </w:rPr>
        <w:t xml:space="preserve"> - </w:t>
      </w:r>
      <w:r w:rsidR="00D45F2A" w:rsidRPr="00B95348">
        <w:rPr>
          <w:szCs w:val="21"/>
        </w:rPr>
        <w:t xml:space="preserve">Number of applications for Fields of Research where no grants were awarded </w:t>
      </w:r>
    </w:p>
    <w:tbl>
      <w:tblPr>
        <w:tblW w:w="9067"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4957"/>
        <w:gridCol w:w="2126"/>
        <w:gridCol w:w="1984"/>
      </w:tblGrid>
      <w:tr w:rsidR="00212E77" w:rsidRPr="009A51AF" w14:paraId="72E9AC4D" w14:textId="77777777" w:rsidTr="00317D25">
        <w:trPr>
          <w:trHeight w:val="290"/>
        </w:trPr>
        <w:tc>
          <w:tcPr>
            <w:tcW w:w="4957" w:type="dxa"/>
            <w:tcBorders>
              <w:top w:val="single" w:sz="4" w:space="0" w:color="auto"/>
              <w:bottom w:val="single" w:sz="4" w:space="0" w:color="auto"/>
            </w:tcBorders>
            <w:shd w:val="clear" w:color="auto" w:fill="18233B" w:themeFill="accent1"/>
            <w:noWrap/>
            <w:vAlign w:val="bottom"/>
            <w:hideMark/>
          </w:tcPr>
          <w:p w14:paraId="3C93717E" w14:textId="77777777" w:rsidR="00212E77" w:rsidRPr="00B95348" w:rsidRDefault="00212E77" w:rsidP="00690414">
            <w:pPr>
              <w:rPr>
                <w:rFonts w:cs="Arial"/>
                <w:b/>
                <w:bCs/>
                <w:color w:val="FFFFFF"/>
                <w:sz w:val="19"/>
                <w:szCs w:val="19"/>
                <w:lang w:eastAsia="en-AU"/>
              </w:rPr>
            </w:pPr>
            <w:r w:rsidRPr="00B95348">
              <w:rPr>
                <w:rFonts w:cs="Arial"/>
                <w:b/>
                <w:bCs/>
                <w:color w:val="FFFFFF"/>
                <w:sz w:val="19"/>
                <w:szCs w:val="19"/>
                <w:lang w:eastAsia="en-AU"/>
              </w:rPr>
              <w:t>Field of Research</w:t>
            </w:r>
          </w:p>
        </w:tc>
        <w:tc>
          <w:tcPr>
            <w:tcW w:w="2126" w:type="dxa"/>
            <w:tcBorders>
              <w:top w:val="single" w:sz="4" w:space="0" w:color="auto"/>
              <w:bottom w:val="single" w:sz="4" w:space="0" w:color="auto"/>
            </w:tcBorders>
            <w:shd w:val="clear" w:color="auto" w:fill="18233B" w:themeFill="accent1"/>
            <w:noWrap/>
            <w:vAlign w:val="bottom"/>
            <w:hideMark/>
          </w:tcPr>
          <w:p w14:paraId="7F75D426" w14:textId="77777777" w:rsidR="00212E77" w:rsidRPr="00B95348" w:rsidRDefault="00212E77" w:rsidP="00690414">
            <w:pPr>
              <w:rPr>
                <w:rFonts w:cs="Arial"/>
                <w:b/>
                <w:bCs/>
                <w:color w:val="FFFFFF"/>
                <w:sz w:val="19"/>
                <w:szCs w:val="19"/>
                <w:lang w:eastAsia="en-AU"/>
              </w:rPr>
            </w:pPr>
            <w:r w:rsidRPr="00B95348">
              <w:rPr>
                <w:rFonts w:cs="Arial"/>
                <w:b/>
                <w:bCs/>
                <w:color w:val="FFFFFF"/>
                <w:sz w:val="19"/>
                <w:szCs w:val="19"/>
                <w:lang w:eastAsia="en-AU"/>
              </w:rPr>
              <w:t>Applications</w:t>
            </w:r>
          </w:p>
        </w:tc>
        <w:tc>
          <w:tcPr>
            <w:tcW w:w="1984" w:type="dxa"/>
            <w:tcBorders>
              <w:top w:val="single" w:sz="4" w:space="0" w:color="auto"/>
              <w:bottom w:val="single" w:sz="4" w:space="0" w:color="auto"/>
            </w:tcBorders>
            <w:shd w:val="clear" w:color="auto" w:fill="18233B" w:themeFill="accent1"/>
            <w:noWrap/>
            <w:vAlign w:val="bottom"/>
            <w:hideMark/>
          </w:tcPr>
          <w:p w14:paraId="6658ACCA" w14:textId="05092851" w:rsidR="00212E77" w:rsidRPr="00B95348" w:rsidRDefault="00212E77" w:rsidP="00690414">
            <w:pPr>
              <w:rPr>
                <w:rFonts w:cs="Arial"/>
                <w:b/>
                <w:bCs/>
                <w:color w:val="FFFFFF"/>
                <w:sz w:val="19"/>
                <w:szCs w:val="19"/>
                <w:lang w:eastAsia="en-AU"/>
              </w:rPr>
            </w:pPr>
            <w:r w:rsidRPr="00B95348">
              <w:rPr>
                <w:rFonts w:cs="Arial"/>
                <w:b/>
                <w:bCs/>
                <w:color w:val="FFFFFF"/>
                <w:sz w:val="19"/>
                <w:szCs w:val="19"/>
                <w:lang w:eastAsia="en-AU"/>
              </w:rPr>
              <w:t>Grants</w:t>
            </w:r>
            <w:r w:rsidR="005D395A">
              <w:rPr>
                <w:rFonts w:cs="Arial"/>
                <w:b/>
                <w:bCs/>
                <w:color w:val="FFFFFF"/>
                <w:sz w:val="19"/>
                <w:szCs w:val="19"/>
                <w:lang w:eastAsia="en-AU"/>
              </w:rPr>
              <w:t xml:space="preserve"> awarded</w:t>
            </w:r>
          </w:p>
        </w:tc>
      </w:tr>
      <w:tr w:rsidR="00212E77" w:rsidRPr="00B95348" w14:paraId="0DEC9B26" w14:textId="77777777" w:rsidTr="00317D25">
        <w:trPr>
          <w:trHeight w:val="290"/>
        </w:trPr>
        <w:tc>
          <w:tcPr>
            <w:tcW w:w="4957" w:type="dxa"/>
            <w:tcBorders>
              <w:top w:val="single" w:sz="4" w:space="0" w:color="auto"/>
            </w:tcBorders>
            <w:shd w:val="clear" w:color="auto" w:fill="auto"/>
            <w:noWrap/>
            <w:vAlign w:val="bottom"/>
            <w:hideMark/>
          </w:tcPr>
          <w:p w14:paraId="09840DE5" w14:textId="08500132"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N</w:t>
            </w:r>
            <w:r w:rsidR="00212E77" w:rsidRPr="00B95348">
              <w:rPr>
                <w:rFonts w:cs="Arial"/>
                <w:color w:val="000000"/>
                <w:sz w:val="17"/>
                <w:szCs w:val="17"/>
                <w:lang w:eastAsia="en-AU"/>
              </w:rPr>
              <w:t>eurosciences</w:t>
            </w:r>
          </w:p>
        </w:tc>
        <w:tc>
          <w:tcPr>
            <w:tcW w:w="2126" w:type="dxa"/>
            <w:tcBorders>
              <w:top w:val="single" w:sz="4" w:space="0" w:color="auto"/>
            </w:tcBorders>
            <w:shd w:val="clear" w:color="auto" w:fill="auto"/>
            <w:noWrap/>
            <w:vAlign w:val="bottom"/>
            <w:hideMark/>
          </w:tcPr>
          <w:p w14:paraId="2A15D0DA"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23</w:t>
            </w:r>
          </w:p>
        </w:tc>
        <w:tc>
          <w:tcPr>
            <w:tcW w:w="1984" w:type="dxa"/>
            <w:tcBorders>
              <w:top w:val="single" w:sz="4" w:space="0" w:color="auto"/>
            </w:tcBorders>
            <w:shd w:val="clear" w:color="auto" w:fill="auto"/>
            <w:noWrap/>
            <w:vAlign w:val="bottom"/>
            <w:hideMark/>
          </w:tcPr>
          <w:p w14:paraId="21F9F9B0"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54A4A5A2" w14:textId="77777777" w:rsidTr="00B95348">
        <w:trPr>
          <w:trHeight w:val="290"/>
        </w:trPr>
        <w:tc>
          <w:tcPr>
            <w:tcW w:w="4957" w:type="dxa"/>
            <w:shd w:val="clear" w:color="auto" w:fill="auto"/>
            <w:noWrap/>
            <w:vAlign w:val="bottom"/>
            <w:hideMark/>
          </w:tcPr>
          <w:p w14:paraId="4908BBD9" w14:textId="05B91DAB" w:rsidR="00212E77" w:rsidRPr="00B95348" w:rsidRDefault="00C41B4B" w:rsidP="00690414">
            <w:pPr>
              <w:rPr>
                <w:rFonts w:cs="Arial"/>
                <w:color w:val="000000"/>
                <w:sz w:val="17"/>
                <w:szCs w:val="17"/>
                <w:lang w:eastAsia="en-AU"/>
              </w:rPr>
            </w:pPr>
            <w:r w:rsidRPr="00B95348">
              <w:rPr>
                <w:rFonts w:cs="Arial"/>
                <w:color w:val="000000"/>
                <w:sz w:val="17"/>
                <w:szCs w:val="17"/>
                <w:lang w:eastAsia="en-AU"/>
              </w:rPr>
              <w:t xml:space="preserve">Oncology </w:t>
            </w:r>
            <w:r w:rsidR="00212E77" w:rsidRPr="00B95348">
              <w:rPr>
                <w:rFonts w:cs="Arial"/>
                <w:color w:val="000000"/>
                <w:sz w:val="17"/>
                <w:szCs w:val="17"/>
                <w:lang w:eastAsia="en-AU"/>
              </w:rPr>
              <w:t>and carcinogenesis</w:t>
            </w:r>
          </w:p>
        </w:tc>
        <w:tc>
          <w:tcPr>
            <w:tcW w:w="2126" w:type="dxa"/>
            <w:shd w:val="clear" w:color="auto" w:fill="auto"/>
            <w:noWrap/>
            <w:vAlign w:val="bottom"/>
            <w:hideMark/>
          </w:tcPr>
          <w:p w14:paraId="6F1B52C3"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23</w:t>
            </w:r>
          </w:p>
        </w:tc>
        <w:tc>
          <w:tcPr>
            <w:tcW w:w="1984" w:type="dxa"/>
            <w:shd w:val="clear" w:color="auto" w:fill="auto"/>
            <w:noWrap/>
            <w:vAlign w:val="bottom"/>
            <w:hideMark/>
          </w:tcPr>
          <w:p w14:paraId="0643085E"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5DBA1748" w14:textId="77777777" w:rsidTr="00B95348">
        <w:trPr>
          <w:trHeight w:val="290"/>
        </w:trPr>
        <w:tc>
          <w:tcPr>
            <w:tcW w:w="4957" w:type="dxa"/>
            <w:shd w:val="clear" w:color="auto" w:fill="auto"/>
            <w:noWrap/>
            <w:vAlign w:val="bottom"/>
            <w:hideMark/>
          </w:tcPr>
          <w:p w14:paraId="4B732D7D" w14:textId="1194454E"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P</w:t>
            </w:r>
            <w:r w:rsidR="00212E77" w:rsidRPr="00B95348">
              <w:rPr>
                <w:rFonts w:cs="Arial"/>
                <w:color w:val="000000"/>
                <w:sz w:val="17"/>
                <w:szCs w:val="17"/>
                <w:lang w:eastAsia="en-AU"/>
              </w:rPr>
              <w:t>sychology</w:t>
            </w:r>
          </w:p>
        </w:tc>
        <w:tc>
          <w:tcPr>
            <w:tcW w:w="2126" w:type="dxa"/>
            <w:shd w:val="clear" w:color="auto" w:fill="auto"/>
            <w:noWrap/>
            <w:vAlign w:val="bottom"/>
            <w:hideMark/>
          </w:tcPr>
          <w:p w14:paraId="1CA4F4FF"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16</w:t>
            </w:r>
          </w:p>
        </w:tc>
        <w:tc>
          <w:tcPr>
            <w:tcW w:w="1984" w:type="dxa"/>
            <w:shd w:val="clear" w:color="auto" w:fill="auto"/>
            <w:noWrap/>
            <w:vAlign w:val="bottom"/>
            <w:hideMark/>
          </w:tcPr>
          <w:p w14:paraId="7F579347"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095A2A9A" w14:textId="77777777" w:rsidTr="00B95348">
        <w:trPr>
          <w:trHeight w:val="290"/>
        </w:trPr>
        <w:tc>
          <w:tcPr>
            <w:tcW w:w="4957" w:type="dxa"/>
            <w:shd w:val="clear" w:color="auto" w:fill="auto"/>
            <w:noWrap/>
            <w:vAlign w:val="bottom"/>
            <w:hideMark/>
          </w:tcPr>
          <w:p w14:paraId="471C152D" w14:textId="00337484"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B</w:t>
            </w:r>
            <w:r w:rsidR="00212E77" w:rsidRPr="00B95348">
              <w:rPr>
                <w:rFonts w:cs="Arial"/>
                <w:color w:val="000000"/>
                <w:sz w:val="17"/>
                <w:szCs w:val="17"/>
                <w:lang w:eastAsia="en-AU"/>
              </w:rPr>
              <w:t>iochemistry and cell biology</w:t>
            </w:r>
          </w:p>
        </w:tc>
        <w:tc>
          <w:tcPr>
            <w:tcW w:w="2126" w:type="dxa"/>
            <w:shd w:val="clear" w:color="auto" w:fill="auto"/>
            <w:noWrap/>
            <w:vAlign w:val="bottom"/>
            <w:hideMark/>
          </w:tcPr>
          <w:p w14:paraId="1B652808"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7</w:t>
            </w:r>
          </w:p>
        </w:tc>
        <w:tc>
          <w:tcPr>
            <w:tcW w:w="1984" w:type="dxa"/>
            <w:shd w:val="clear" w:color="auto" w:fill="auto"/>
            <w:noWrap/>
            <w:vAlign w:val="bottom"/>
            <w:hideMark/>
          </w:tcPr>
          <w:p w14:paraId="12BD75BA"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738CBA8F" w14:textId="77777777" w:rsidTr="00B95348">
        <w:trPr>
          <w:trHeight w:val="290"/>
        </w:trPr>
        <w:tc>
          <w:tcPr>
            <w:tcW w:w="4957" w:type="dxa"/>
            <w:shd w:val="clear" w:color="auto" w:fill="auto"/>
            <w:noWrap/>
            <w:vAlign w:val="bottom"/>
            <w:hideMark/>
          </w:tcPr>
          <w:p w14:paraId="63211B1A" w14:textId="5109A1C0"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I</w:t>
            </w:r>
            <w:r w:rsidR="00212E77" w:rsidRPr="00B95348">
              <w:rPr>
                <w:rFonts w:cs="Arial"/>
                <w:color w:val="000000"/>
                <w:sz w:val="17"/>
                <w:szCs w:val="17"/>
                <w:lang w:eastAsia="en-AU"/>
              </w:rPr>
              <w:t>mmunology</w:t>
            </w:r>
          </w:p>
        </w:tc>
        <w:tc>
          <w:tcPr>
            <w:tcW w:w="2126" w:type="dxa"/>
            <w:shd w:val="clear" w:color="auto" w:fill="auto"/>
            <w:noWrap/>
            <w:vAlign w:val="bottom"/>
            <w:hideMark/>
          </w:tcPr>
          <w:p w14:paraId="0819A764"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7</w:t>
            </w:r>
          </w:p>
        </w:tc>
        <w:tc>
          <w:tcPr>
            <w:tcW w:w="1984" w:type="dxa"/>
            <w:shd w:val="clear" w:color="auto" w:fill="auto"/>
            <w:noWrap/>
            <w:vAlign w:val="bottom"/>
            <w:hideMark/>
          </w:tcPr>
          <w:p w14:paraId="5B374CDE"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504AFAF4" w14:textId="77777777" w:rsidTr="00B95348">
        <w:trPr>
          <w:trHeight w:val="290"/>
        </w:trPr>
        <w:tc>
          <w:tcPr>
            <w:tcW w:w="4957" w:type="dxa"/>
            <w:shd w:val="clear" w:color="auto" w:fill="auto"/>
            <w:noWrap/>
            <w:vAlign w:val="bottom"/>
            <w:hideMark/>
          </w:tcPr>
          <w:p w14:paraId="78DDFEF3" w14:textId="798F2C9F"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N</w:t>
            </w:r>
            <w:r w:rsidR="00212E77" w:rsidRPr="00B95348">
              <w:rPr>
                <w:rFonts w:cs="Arial"/>
                <w:color w:val="000000"/>
                <w:sz w:val="17"/>
                <w:szCs w:val="17"/>
                <w:lang w:eastAsia="en-AU"/>
              </w:rPr>
              <w:t>ursing</w:t>
            </w:r>
          </w:p>
        </w:tc>
        <w:tc>
          <w:tcPr>
            <w:tcW w:w="2126" w:type="dxa"/>
            <w:shd w:val="clear" w:color="auto" w:fill="auto"/>
            <w:noWrap/>
            <w:vAlign w:val="bottom"/>
            <w:hideMark/>
          </w:tcPr>
          <w:p w14:paraId="778AABFB"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6</w:t>
            </w:r>
          </w:p>
        </w:tc>
        <w:tc>
          <w:tcPr>
            <w:tcW w:w="1984" w:type="dxa"/>
            <w:shd w:val="clear" w:color="auto" w:fill="auto"/>
            <w:noWrap/>
            <w:vAlign w:val="bottom"/>
            <w:hideMark/>
          </w:tcPr>
          <w:p w14:paraId="1DF4B831"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31D34544" w14:textId="77777777" w:rsidTr="00B95348">
        <w:trPr>
          <w:trHeight w:val="290"/>
        </w:trPr>
        <w:tc>
          <w:tcPr>
            <w:tcW w:w="4957" w:type="dxa"/>
            <w:shd w:val="clear" w:color="auto" w:fill="auto"/>
            <w:noWrap/>
            <w:vAlign w:val="bottom"/>
            <w:hideMark/>
          </w:tcPr>
          <w:p w14:paraId="678A4399" w14:textId="04AFD13E"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H</w:t>
            </w:r>
            <w:r w:rsidR="00212E77" w:rsidRPr="00B95348">
              <w:rPr>
                <w:rFonts w:cs="Arial"/>
                <w:color w:val="000000"/>
                <w:sz w:val="17"/>
                <w:szCs w:val="17"/>
                <w:lang w:eastAsia="en-AU"/>
              </w:rPr>
              <w:t>uman movement and sports science</w:t>
            </w:r>
          </w:p>
        </w:tc>
        <w:tc>
          <w:tcPr>
            <w:tcW w:w="2126" w:type="dxa"/>
            <w:shd w:val="clear" w:color="auto" w:fill="auto"/>
            <w:noWrap/>
            <w:vAlign w:val="bottom"/>
            <w:hideMark/>
          </w:tcPr>
          <w:p w14:paraId="3E502012"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5</w:t>
            </w:r>
          </w:p>
        </w:tc>
        <w:tc>
          <w:tcPr>
            <w:tcW w:w="1984" w:type="dxa"/>
            <w:shd w:val="clear" w:color="auto" w:fill="auto"/>
            <w:noWrap/>
            <w:vAlign w:val="bottom"/>
            <w:hideMark/>
          </w:tcPr>
          <w:p w14:paraId="22EB2410"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4C424431" w14:textId="77777777" w:rsidTr="00B95348">
        <w:trPr>
          <w:trHeight w:val="290"/>
        </w:trPr>
        <w:tc>
          <w:tcPr>
            <w:tcW w:w="4957" w:type="dxa"/>
            <w:shd w:val="clear" w:color="auto" w:fill="auto"/>
            <w:noWrap/>
            <w:vAlign w:val="bottom"/>
            <w:hideMark/>
          </w:tcPr>
          <w:p w14:paraId="1115182C" w14:textId="023AC7F0"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A</w:t>
            </w:r>
            <w:r w:rsidR="00212E77" w:rsidRPr="00B95348">
              <w:rPr>
                <w:rFonts w:cs="Arial"/>
                <w:color w:val="000000"/>
                <w:sz w:val="17"/>
                <w:szCs w:val="17"/>
                <w:lang w:eastAsia="en-AU"/>
              </w:rPr>
              <w:t>pplied economics</w:t>
            </w:r>
          </w:p>
        </w:tc>
        <w:tc>
          <w:tcPr>
            <w:tcW w:w="2126" w:type="dxa"/>
            <w:shd w:val="clear" w:color="auto" w:fill="auto"/>
            <w:noWrap/>
            <w:vAlign w:val="bottom"/>
            <w:hideMark/>
          </w:tcPr>
          <w:p w14:paraId="714D1AFC"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4</w:t>
            </w:r>
          </w:p>
        </w:tc>
        <w:tc>
          <w:tcPr>
            <w:tcW w:w="1984" w:type="dxa"/>
            <w:shd w:val="clear" w:color="auto" w:fill="auto"/>
            <w:noWrap/>
            <w:vAlign w:val="bottom"/>
            <w:hideMark/>
          </w:tcPr>
          <w:p w14:paraId="36112EEE"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1AE9EF45" w14:textId="77777777" w:rsidTr="00B95348">
        <w:trPr>
          <w:trHeight w:val="290"/>
        </w:trPr>
        <w:tc>
          <w:tcPr>
            <w:tcW w:w="4957" w:type="dxa"/>
            <w:shd w:val="clear" w:color="auto" w:fill="auto"/>
            <w:noWrap/>
            <w:vAlign w:val="bottom"/>
            <w:hideMark/>
          </w:tcPr>
          <w:p w14:paraId="253EDC93" w14:textId="2414F358"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O</w:t>
            </w:r>
            <w:r w:rsidR="00212E77" w:rsidRPr="00B95348">
              <w:rPr>
                <w:rFonts w:cs="Arial"/>
                <w:color w:val="000000"/>
                <w:sz w:val="17"/>
                <w:szCs w:val="17"/>
                <w:lang w:eastAsia="en-AU"/>
              </w:rPr>
              <w:t>phthalmology and optometry</w:t>
            </w:r>
          </w:p>
        </w:tc>
        <w:tc>
          <w:tcPr>
            <w:tcW w:w="2126" w:type="dxa"/>
            <w:shd w:val="clear" w:color="auto" w:fill="auto"/>
            <w:noWrap/>
            <w:vAlign w:val="bottom"/>
            <w:hideMark/>
          </w:tcPr>
          <w:p w14:paraId="77A0C5E5"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4</w:t>
            </w:r>
          </w:p>
        </w:tc>
        <w:tc>
          <w:tcPr>
            <w:tcW w:w="1984" w:type="dxa"/>
            <w:shd w:val="clear" w:color="auto" w:fill="auto"/>
            <w:noWrap/>
            <w:vAlign w:val="bottom"/>
            <w:hideMark/>
          </w:tcPr>
          <w:p w14:paraId="6DD4E1DE"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6FDA345D" w14:textId="77777777" w:rsidTr="00B95348">
        <w:trPr>
          <w:trHeight w:val="290"/>
        </w:trPr>
        <w:tc>
          <w:tcPr>
            <w:tcW w:w="4957" w:type="dxa"/>
            <w:shd w:val="clear" w:color="auto" w:fill="auto"/>
            <w:noWrap/>
            <w:vAlign w:val="bottom"/>
            <w:hideMark/>
          </w:tcPr>
          <w:p w14:paraId="1B8CFA04" w14:textId="52C83071"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D</w:t>
            </w:r>
            <w:r w:rsidR="00212E77" w:rsidRPr="00B95348">
              <w:rPr>
                <w:rFonts w:cs="Arial"/>
                <w:color w:val="000000"/>
                <w:sz w:val="17"/>
                <w:szCs w:val="17"/>
                <w:lang w:eastAsia="en-AU"/>
              </w:rPr>
              <w:t>entistry</w:t>
            </w:r>
          </w:p>
        </w:tc>
        <w:tc>
          <w:tcPr>
            <w:tcW w:w="2126" w:type="dxa"/>
            <w:shd w:val="clear" w:color="auto" w:fill="auto"/>
            <w:noWrap/>
            <w:vAlign w:val="bottom"/>
            <w:hideMark/>
          </w:tcPr>
          <w:p w14:paraId="0A603E07"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3</w:t>
            </w:r>
          </w:p>
        </w:tc>
        <w:tc>
          <w:tcPr>
            <w:tcW w:w="1984" w:type="dxa"/>
            <w:shd w:val="clear" w:color="auto" w:fill="auto"/>
            <w:noWrap/>
            <w:vAlign w:val="bottom"/>
            <w:hideMark/>
          </w:tcPr>
          <w:p w14:paraId="29384C77"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76E7577A" w14:textId="77777777" w:rsidTr="00B95348">
        <w:trPr>
          <w:trHeight w:val="290"/>
        </w:trPr>
        <w:tc>
          <w:tcPr>
            <w:tcW w:w="4957" w:type="dxa"/>
            <w:shd w:val="clear" w:color="auto" w:fill="auto"/>
            <w:noWrap/>
            <w:vAlign w:val="bottom"/>
            <w:hideMark/>
          </w:tcPr>
          <w:p w14:paraId="2117CA66" w14:textId="6E7198EB" w:rsidR="00212E77" w:rsidRPr="00B95348" w:rsidRDefault="00D45F2A" w:rsidP="00690414">
            <w:pPr>
              <w:rPr>
                <w:rFonts w:cs="Arial"/>
                <w:color w:val="000000"/>
                <w:sz w:val="17"/>
                <w:szCs w:val="17"/>
                <w:lang w:eastAsia="en-AU"/>
              </w:rPr>
            </w:pPr>
            <w:r w:rsidRPr="00B95348">
              <w:rPr>
                <w:rFonts w:cs="Arial"/>
                <w:color w:val="000000"/>
                <w:sz w:val="17"/>
                <w:szCs w:val="17"/>
                <w:lang w:eastAsia="en-AU"/>
              </w:rPr>
              <w:t>M</w:t>
            </w:r>
            <w:r w:rsidR="00212E77" w:rsidRPr="00B95348">
              <w:rPr>
                <w:rFonts w:cs="Arial"/>
                <w:color w:val="000000"/>
                <w:sz w:val="17"/>
                <w:szCs w:val="17"/>
                <w:lang w:eastAsia="en-AU"/>
              </w:rPr>
              <w:t>edical biochemistry and metabolomics</w:t>
            </w:r>
          </w:p>
        </w:tc>
        <w:tc>
          <w:tcPr>
            <w:tcW w:w="2126" w:type="dxa"/>
            <w:shd w:val="clear" w:color="auto" w:fill="auto"/>
            <w:noWrap/>
            <w:vAlign w:val="bottom"/>
            <w:hideMark/>
          </w:tcPr>
          <w:p w14:paraId="28BC7336"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3</w:t>
            </w:r>
          </w:p>
        </w:tc>
        <w:tc>
          <w:tcPr>
            <w:tcW w:w="1984" w:type="dxa"/>
            <w:shd w:val="clear" w:color="auto" w:fill="auto"/>
            <w:noWrap/>
            <w:vAlign w:val="bottom"/>
            <w:hideMark/>
          </w:tcPr>
          <w:p w14:paraId="609CB562"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620DEE28" w14:textId="77777777" w:rsidTr="00B95348">
        <w:trPr>
          <w:trHeight w:val="290"/>
        </w:trPr>
        <w:tc>
          <w:tcPr>
            <w:tcW w:w="4957" w:type="dxa"/>
            <w:shd w:val="clear" w:color="auto" w:fill="auto"/>
            <w:noWrap/>
            <w:vAlign w:val="bottom"/>
            <w:hideMark/>
          </w:tcPr>
          <w:p w14:paraId="2413CC39" w14:textId="7AD599EE"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C</w:t>
            </w:r>
            <w:r w:rsidR="00212E77" w:rsidRPr="00B95348">
              <w:rPr>
                <w:rFonts w:cs="Arial"/>
                <w:color w:val="000000"/>
                <w:sz w:val="17"/>
                <w:szCs w:val="17"/>
                <w:lang w:eastAsia="en-AU"/>
              </w:rPr>
              <w:t>ognitive science</w:t>
            </w:r>
          </w:p>
        </w:tc>
        <w:tc>
          <w:tcPr>
            <w:tcW w:w="2126" w:type="dxa"/>
            <w:shd w:val="clear" w:color="auto" w:fill="auto"/>
            <w:noWrap/>
            <w:vAlign w:val="bottom"/>
            <w:hideMark/>
          </w:tcPr>
          <w:p w14:paraId="268E6593"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w:t>
            </w:r>
          </w:p>
        </w:tc>
        <w:tc>
          <w:tcPr>
            <w:tcW w:w="1984" w:type="dxa"/>
            <w:shd w:val="clear" w:color="auto" w:fill="auto"/>
            <w:noWrap/>
            <w:vAlign w:val="bottom"/>
            <w:hideMark/>
          </w:tcPr>
          <w:p w14:paraId="3FDB7B17"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7BBD1E4F" w14:textId="77777777" w:rsidTr="00B95348">
        <w:trPr>
          <w:trHeight w:val="290"/>
        </w:trPr>
        <w:tc>
          <w:tcPr>
            <w:tcW w:w="4957" w:type="dxa"/>
            <w:shd w:val="clear" w:color="auto" w:fill="auto"/>
            <w:noWrap/>
            <w:vAlign w:val="bottom"/>
            <w:hideMark/>
          </w:tcPr>
          <w:p w14:paraId="4B765557" w14:textId="7F27CE6A"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L</w:t>
            </w:r>
            <w:r w:rsidR="00212E77" w:rsidRPr="00B95348">
              <w:rPr>
                <w:rFonts w:cs="Arial"/>
                <w:color w:val="000000"/>
                <w:sz w:val="17"/>
                <w:szCs w:val="17"/>
                <w:lang w:eastAsia="en-AU"/>
              </w:rPr>
              <w:t>ibrary and information studies</w:t>
            </w:r>
          </w:p>
        </w:tc>
        <w:tc>
          <w:tcPr>
            <w:tcW w:w="2126" w:type="dxa"/>
            <w:shd w:val="clear" w:color="auto" w:fill="auto"/>
            <w:noWrap/>
            <w:vAlign w:val="bottom"/>
            <w:hideMark/>
          </w:tcPr>
          <w:p w14:paraId="15B4B829"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w:t>
            </w:r>
          </w:p>
        </w:tc>
        <w:tc>
          <w:tcPr>
            <w:tcW w:w="1984" w:type="dxa"/>
            <w:shd w:val="clear" w:color="auto" w:fill="auto"/>
            <w:noWrap/>
            <w:vAlign w:val="bottom"/>
            <w:hideMark/>
          </w:tcPr>
          <w:p w14:paraId="5109B04B"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3805BE0C" w14:textId="77777777" w:rsidTr="00B95348">
        <w:trPr>
          <w:trHeight w:val="290"/>
        </w:trPr>
        <w:tc>
          <w:tcPr>
            <w:tcW w:w="4957" w:type="dxa"/>
            <w:shd w:val="clear" w:color="auto" w:fill="auto"/>
            <w:noWrap/>
            <w:vAlign w:val="bottom"/>
            <w:hideMark/>
          </w:tcPr>
          <w:p w14:paraId="2140C093" w14:textId="57AE6F12"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N</w:t>
            </w:r>
            <w:r w:rsidR="00212E77" w:rsidRPr="00B95348">
              <w:rPr>
                <w:rFonts w:cs="Arial"/>
                <w:color w:val="000000"/>
                <w:sz w:val="17"/>
                <w:szCs w:val="17"/>
                <w:lang w:eastAsia="en-AU"/>
              </w:rPr>
              <w:t>anotechnology</w:t>
            </w:r>
          </w:p>
        </w:tc>
        <w:tc>
          <w:tcPr>
            <w:tcW w:w="2126" w:type="dxa"/>
            <w:shd w:val="clear" w:color="auto" w:fill="auto"/>
            <w:noWrap/>
            <w:vAlign w:val="bottom"/>
            <w:hideMark/>
          </w:tcPr>
          <w:p w14:paraId="4C289541"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w:t>
            </w:r>
          </w:p>
        </w:tc>
        <w:tc>
          <w:tcPr>
            <w:tcW w:w="1984" w:type="dxa"/>
            <w:shd w:val="clear" w:color="auto" w:fill="auto"/>
            <w:noWrap/>
            <w:vAlign w:val="bottom"/>
            <w:hideMark/>
          </w:tcPr>
          <w:p w14:paraId="4BF2ADE3"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5F0B0E96" w14:textId="77777777" w:rsidTr="00B95348">
        <w:trPr>
          <w:trHeight w:val="290"/>
        </w:trPr>
        <w:tc>
          <w:tcPr>
            <w:tcW w:w="4957" w:type="dxa"/>
            <w:shd w:val="clear" w:color="auto" w:fill="auto"/>
            <w:noWrap/>
            <w:vAlign w:val="bottom"/>
            <w:hideMark/>
          </w:tcPr>
          <w:p w14:paraId="4F58B15E" w14:textId="29B23F00"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N</w:t>
            </w:r>
            <w:r w:rsidR="00212E77" w:rsidRPr="00B95348">
              <w:rPr>
                <w:rFonts w:cs="Arial"/>
                <w:color w:val="000000"/>
                <w:sz w:val="17"/>
                <w:szCs w:val="17"/>
                <w:lang w:eastAsia="en-AU"/>
              </w:rPr>
              <w:t xml:space="preserve">utrition and </w:t>
            </w:r>
            <w:r w:rsidR="002C44E7" w:rsidRPr="00B95348">
              <w:rPr>
                <w:rFonts w:cs="Arial"/>
                <w:color w:val="000000"/>
                <w:sz w:val="17"/>
                <w:szCs w:val="17"/>
                <w:lang w:eastAsia="en-AU"/>
              </w:rPr>
              <w:t>dietetics</w:t>
            </w:r>
          </w:p>
        </w:tc>
        <w:tc>
          <w:tcPr>
            <w:tcW w:w="2126" w:type="dxa"/>
            <w:shd w:val="clear" w:color="auto" w:fill="auto"/>
            <w:noWrap/>
            <w:vAlign w:val="bottom"/>
            <w:hideMark/>
          </w:tcPr>
          <w:p w14:paraId="18994947"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w:t>
            </w:r>
          </w:p>
        </w:tc>
        <w:tc>
          <w:tcPr>
            <w:tcW w:w="1984" w:type="dxa"/>
            <w:shd w:val="clear" w:color="auto" w:fill="auto"/>
            <w:noWrap/>
            <w:vAlign w:val="bottom"/>
            <w:hideMark/>
          </w:tcPr>
          <w:p w14:paraId="4B9CF25F"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3913A66F" w14:textId="77777777" w:rsidTr="00B95348">
        <w:trPr>
          <w:trHeight w:val="290"/>
        </w:trPr>
        <w:tc>
          <w:tcPr>
            <w:tcW w:w="4957" w:type="dxa"/>
            <w:shd w:val="clear" w:color="auto" w:fill="auto"/>
            <w:noWrap/>
            <w:vAlign w:val="bottom"/>
            <w:hideMark/>
          </w:tcPr>
          <w:p w14:paraId="463B75CC" w14:textId="39A15FD6"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S</w:t>
            </w:r>
            <w:r w:rsidR="00212E77" w:rsidRPr="00B95348">
              <w:rPr>
                <w:rFonts w:cs="Arial"/>
                <w:color w:val="000000"/>
                <w:sz w:val="17"/>
                <w:szCs w:val="17"/>
                <w:lang w:eastAsia="en-AU"/>
              </w:rPr>
              <w:t>tatistics</w:t>
            </w:r>
          </w:p>
        </w:tc>
        <w:tc>
          <w:tcPr>
            <w:tcW w:w="2126" w:type="dxa"/>
            <w:shd w:val="clear" w:color="auto" w:fill="auto"/>
            <w:noWrap/>
            <w:vAlign w:val="bottom"/>
            <w:hideMark/>
          </w:tcPr>
          <w:p w14:paraId="7222DCC3"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2</w:t>
            </w:r>
          </w:p>
        </w:tc>
        <w:tc>
          <w:tcPr>
            <w:tcW w:w="1984" w:type="dxa"/>
            <w:shd w:val="clear" w:color="auto" w:fill="auto"/>
            <w:noWrap/>
            <w:vAlign w:val="bottom"/>
            <w:hideMark/>
          </w:tcPr>
          <w:p w14:paraId="3E7C13E2"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23C0295B" w14:textId="77777777" w:rsidTr="00B95348">
        <w:trPr>
          <w:trHeight w:val="290"/>
        </w:trPr>
        <w:tc>
          <w:tcPr>
            <w:tcW w:w="4957" w:type="dxa"/>
            <w:shd w:val="clear" w:color="auto" w:fill="auto"/>
            <w:noWrap/>
            <w:vAlign w:val="bottom"/>
            <w:hideMark/>
          </w:tcPr>
          <w:p w14:paraId="41E4C84A" w14:textId="30862A91"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E</w:t>
            </w:r>
            <w:r w:rsidR="00212E77" w:rsidRPr="00B95348">
              <w:rPr>
                <w:rFonts w:cs="Arial"/>
                <w:color w:val="000000"/>
                <w:sz w:val="17"/>
                <w:szCs w:val="17"/>
                <w:lang w:eastAsia="en-AU"/>
              </w:rPr>
              <w:t>conometrics</w:t>
            </w:r>
          </w:p>
        </w:tc>
        <w:tc>
          <w:tcPr>
            <w:tcW w:w="2126" w:type="dxa"/>
            <w:shd w:val="clear" w:color="auto" w:fill="auto"/>
            <w:noWrap/>
            <w:vAlign w:val="bottom"/>
            <w:hideMark/>
          </w:tcPr>
          <w:p w14:paraId="00E4A22B"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1</w:t>
            </w:r>
          </w:p>
        </w:tc>
        <w:tc>
          <w:tcPr>
            <w:tcW w:w="1984" w:type="dxa"/>
            <w:shd w:val="clear" w:color="auto" w:fill="auto"/>
            <w:noWrap/>
            <w:vAlign w:val="bottom"/>
            <w:hideMark/>
          </w:tcPr>
          <w:p w14:paraId="5E2DF295"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4F2BC4CC" w14:textId="77777777" w:rsidTr="00B95348">
        <w:trPr>
          <w:trHeight w:val="290"/>
        </w:trPr>
        <w:tc>
          <w:tcPr>
            <w:tcW w:w="4957" w:type="dxa"/>
            <w:shd w:val="clear" w:color="auto" w:fill="auto"/>
            <w:noWrap/>
            <w:vAlign w:val="bottom"/>
            <w:hideMark/>
          </w:tcPr>
          <w:p w14:paraId="1DFF443A" w14:textId="1BF3FAC1"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M</w:t>
            </w:r>
            <w:r w:rsidR="00212E77" w:rsidRPr="00B95348">
              <w:rPr>
                <w:rFonts w:cs="Arial"/>
                <w:color w:val="000000"/>
                <w:sz w:val="17"/>
                <w:szCs w:val="17"/>
                <w:lang w:eastAsia="en-AU"/>
              </w:rPr>
              <w:t>edical physiology</w:t>
            </w:r>
          </w:p>
        </w:tc>
        <w:tc>
          <w:tcPr>
            <w:tcW w:w="2126" w:type="dxa"/>
            <w:shd w:val="clear" w:color="auto" w:fill="auto"/>
            <w:noWrap/>
            <w:vAlign w:val="bottom"/>
            <w:hideMark/>
          </w:tcPr>
          <w:p w14:paraId="64E93970"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1</w:t>
            </w:r>
          </w:p>
        </w:tc>
        <w:tc>
          <w:tcPr>
            <w:tcW w:w="1984" w:type="dxa"/>
            <w:shd w:val="clear" w:color="auto" w:fill="auto"/>
            <w:noWrap/>
            <w:vAlign w:val="bottom"/>
            <w:hideMark/>
          </w:tcPr>
          <w:p w14:paraId="624D6BC1"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4BD9B1B9" w14:textId="77777777" w:rsidTr="00B95348">
        <w:trPr>
          <w:trHeight w:val="290"/>
        </w:trPr>
        <w:tc>
          <w:tcPr>
            <w:tcW w:w="4957" w:type="dxa"/>
            <w:shd w:val="clear" w:color="auto" w:fill="auto"/>
            <w:noWrap/>
            <w:vAlign w:val="bottom"/>
            <w:hideMark/>
          </w:tcPr>
          <w:p w14:paraId="5D299F59" w14:textId="330EF83F"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M</w:t>
            </w:r>
            <w:r w:rsidR="00212E77" w:rsidRPr="00B95348">
              <w:rPr>
                <w:rFonts w:cs="Arial"/>
                <w:color w:val="000000"/>
                <w:sz w:val="17"/>
                <w:szCs w:val="17"/>
                <w:lang w:eastAsia="en-AU"/>
              </w:rPr>
              <w:t>edicinal and biomolecular chemistry</w:t>
            </w:r>
          </w:p>
        </w:tc>
        <w:tc>
          <w:tcPr>
            <w:tcW w:w="2126" w:type="dxa"/>
            <w:shd w:val="clear" w:color="auto" w:fill="auto"/>
            <w:noWrap/>
            <w:vAlign w:val="bottom"/>
            <w:hideMark/>
          </w:tcPr>
          <w:p w14:paraId="20D2FFFC"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1</w:t>
            </w:r>
          </w:p>
        </w:tc>
        <w:tc>
          <w:tcPr>
            <w:tcW w:w="1984" w:type="dxa"/>
            <w:shd w:val="clear" w:color="auto" w:fill="auto"/>
            <w:noWrap/>
            <w:vAlign w:val="bottom"/>
            <w:hideMark/>
          </w:tcPr>
          <w:p w14:paraId="59B33A8A"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r w:rsidR="00212E77" w:rsidRPr="00B95348" w14:paraId="62BEA1B2" w14:textId="77777777" w:rsidTr="00B95348">
        <w:trPr>
          <w:trHeight w:val="290"/>
        </w:trPr>
        <w:tc>
          <w:tcPr>
            <w:tcW w:w="4957" w:type="dxa"/>
            <w:shd w:val="clear" w:color="auto" w:fill="auto"/>
            <w:noWrap/>
            <w:vAlign w:val="bottom"/>
            <w:hideMark/>
          </w:tcPr>
          <w:p w14:paraId="7983EE21" w14:textId="603E0FE0" w:rsidR="00212E77" w:rsidRPr="00B95348" w:rsidRDefault="007963E8" w:rsidP="00690414">
            <w:pPr>
              <w:rPr>
                <w:rFonts w:cs="Arial"/>
                <w:color w:val="000000"/>
                <w:sz w:val="17"/>
                <w:szCs w:val="17"/>
                <w:lang w:eastAsia="en-AU"/>
              </w:rPr>
            </w:pPr>
            <w:r w:rsidRPr="00B95348">
              <w:rPr>
                <w:rFonts w:cs="Arial"/>
                <w:color w:val="000000"/>
                <w:sz w:val="17"/>
                <w:szCs w:val="17"/>
                <w:lang w:eastAsia="en-AU"/>
              </w:rPr>
              <w:t>O</w:t>
            </w:r>
            <w:r w:rsidR="00212E77" w:rsidRPr="00B95348">
              <w:rPr>
                <w:rFonts w:cs="Arial"/>
                <w:color w:val="000000"/>
                <w:sz w:val="17"/>
                <w:szCs w:val="17"/>
                <w:lang w:eastAsia="en-AU"/>
              </w:rPr>
              <w:t>ther medical and health sciences</w:t>
            </w:r>
          </w:p>
        </w:tc>
        <w:tc>
          <w:tcPr>
            <w:tcW w:w="2126" w:type="dxa"/>
            <w:shd w:val="clear" w:color="auto" w:fill="auto"/>
            <w:noWrap/>
            <w:vAlign w:val="bottom"/>
            <w:hideMark/>
          </w:tcPr>
          <w:p w14:paraId="555365B8"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1</w:t>
            </w:r>
          </w:p>
        </w:tc>
        <w:tc>
          <w:tcPr>
            <w:tcW w:w="1984" w:type="dxa"/>
            <w:shd w:val="clear" w:color="auto" w:fill="auto"/>
            <w:noWrap/>
            <w:vAlign w:val="bottom"/>
            <w:hideMark/>
          </w:tcPr>
          <w:p w14:paraId="7B7215E3" w14:textId="77777777" w:rsidR="00212E77" w:rsidRPr="00B95348" w:rsidRDefault="00212E77" w:rsidP="00690414">
            <w:pPr>
              <w:rPr>
                <w:rFonts w:cs="Arial"/>
                <w:color w:val="000000"/>
                <w:sz w:val="17"/>
                <w:szCs w:val="17"/>
                <w:lang w:eastAsia="en-AU"/>
              </w:rPr>
            </w:pPr>
            <w:r w:rsidRPr="00B95348">
              <w:rPr>
                <w:rFonts w:cs="Arial"/>
                <w:color w:val="000000"/>
                <w:sz w:val="17"/>
                <w:szCs w:val="17"/>
                <w:lang w:eastAsia="en-AU"/>
              </w:rPr>
              <w:t>0</w:t>
            </w:r>
          </w:p>
        </w:tc>
      </w:tr>
    </w:tbl>
    <w:p w14:paraId="2CB02A56" w14:textId="77777777" w:rsidR="00C63F63" w:rsidRPr="00A65975" w:rsidRDefault="00C63F63" w:rsidP="007A5AEA">
      <w:pPr>
        <w:pStyle w:val="Heading1"/>
        <w:spacing w:before="0"/>
        <w:jc w:val="both"/>
        <w:rPr>
          <w:sz w:val="16"/>
          <w:szCs w:val="16"/>
        </w:rPr>
      </w:pPr>
    </w:p>
    <w:p w14:paraId="05532F46" w14:textId="380ED939" w:rsidR="00CF14A6" w:rsidRDefault="00282DD2" w:rsidP="00651510">
      <w:pPr>
        <w:pStyle w:val="Heading1"/>
        <w:jc w:val="both"/>
      </w:pPr>
      <w:bookmarkStart w:id="15" w:name="_Toc131338403"/>
      <w:r>
        <w:t xml:space="preserve">Characteristics of Chief </w:t>
      </w:r>
      <w:r w:rsidR="00ED37FF">
        <w:t>I</w:t>
      </w:r>
      <w:r>
        <w:t>nvestigators</w:t>
      </w:r>
      <w:bookmarkEnd w:id="15"/>
      <w:r>
        <w:t xml:space="preserve"> </w:t>
      </w:r>
    </w:p>
    <w:p w14:paraId="474D12CB" w14:textId="6A80D505" w:rsidR="00F86E90" w:rsidRPr="00F86E90" w:rsidRDefault="00F86E90" w:rsidP="00651510">
      <w:pPr>
        <w:pStyle w:val="Heading2"/>
        <w:spacing w:after="0"/>
      </w:pPr>
      <w:bookmarkStart w:id="16" w:name="_Toc131338404"/>
      <w:r>
        <w:t>Gender of CIA</w:t>
      </w:r>
      <w:bookmarkEnd w:id="16"/>
    </w:p>
    <w:p w14:paraId="172AC1B1" w14:textId="7582043F" w:rsidR="00CF14A6" w:rsidRPr="00B95348" w:rsidRDefault="00D103B1" w:rsidP="00651510">
      <w:pPr>
        <w:pStyle w:val="Paragraphtext"/>
        <w:spacing w:before="120"/>
        <w:jc w:val="both"/>
        <w:rPr>
          <w:sz w:val="22"/>
          <w:szCs w:val="22"/>
        </w:rPr>
      </w:pPr>
      <w:r w:rsidRPr="00B95348">
        <w:rPr>
          <w:sz w:val="22"/>
          <w:szCs w:val="22"/>
        </w:rPr>
        <w:t>An almost even number of grant</w:t>
      </w:r>
      <w:r w:rsidR="008821D6" w:rsidRPr="00B95348">
        <w:rPr>
          <w:sz w:val="22"/>
          <w:szCs w:val="22"/>
        </w:rPr>
        <w:t>s</w:t>
      </w:r>
      <w:r w:rsidRPr="00B95348">
        <w:rPr>
          <w:sz w:val="22"/>
          <w:szCs w:val="22"/>
        </w:rPr>
        <w:t xml:space="preserve"> were awarded based on</w:t>
      </w:r>
      <w:r w:rsidR="008821D6" w:rsidRPr="00B95348">
        <w:rPr>
          <w:sz w:val="22"/>
          <w:szCs w:val="22"/>
        </w:rPr>
        <w:t xml:space="preserve"> the</w:t>
      </w:r>
      <w:r w:rsidRPr="00B95348">
        <w:rPr>
          <w:sz w:val="22"/>
          <w:szCs w:val="22"/>
        </w:rPr>
        <w:t xml:space="preserve"> gender of the CIA with 12 grants awarded to women and 11 grants awarded to men. The funded rate was </w:t>
      </w:r>
      <w:r w:rsidR="004C627B" w:rsidRPr="00B95348">
        <w:rPr>
          <w:sz w:val="22"/>
          <w:szCs w:val="22"/>
        </w:rPr>
        <w:t>somewhat</w:t>
      </w:r>
      <w:r w:rsidRPr="00B95348">
        <w:rPr>
          <w:sz w:val="22"/>
          <w:szCs w:val="22"/>
        </w:rPr>
        <w:t xml:space="preserve"> higher for men</w:t>
      </w:r>
      <w:r w:rsidR="0031697E" w:rsidRPr="00B95348">
        <w:rPr>
          <w:sz w:val="22"/>
          <w:szCs w:val="22"/>
        </w:rPr>
        <w:t>,</w:t>
      </w:r>
      <w:r w:rsidRPr="00B95348">
        <w:rPr>
          <w:sz w:val="22"/>
          <w:szCs w:val="22"/>
        </w:rPr>
        <w:t xml:space="preserve"> however the </w:t>
      </w:r>
      <w:r w:rsidR="001F6956" w:rsidRPr="00B95348">
        <w:rPr>
          <w:sz w:val="22"/>
          <w:szCs w:val="22"/>
        </w:rPr>
        <w:t xml:space="preserve">total value of the grants awarded to women was higher (see </w:t>
      </w:r>
      <w:r w:rsidR="00771600" w:rsidRPr="00B95348">
        <w:rPr>
          <w:sz w:val="22"/>
          <w:szCs w:val="22"/>
        </w:rPr>
        <w:t>T</w:t>
      </w:r>
      <w:r w:rsidR="001F6956" w:rsidRPr="00B95348">
        <w:rPr>
          <w:sz w:val="22"/>
          <w:szCs w:val="22"/>
        </w:rPr>
        <w:t xml:space="preserve">able </w:t>
      </w:r>
      <w:r w:rsidR="007B169A" w:rsidRPr="00B95348">
        <w:rPr>
          <w:sz w:val="22"/>
          <w:szCs w:val="22"/>
        </w:rPr>
        <w:t>7</w:t>
      </w:r>
      <w:r w:rsidR="00E93D75" w:rsidRPr="00B95348">
        <w:rPr>
          <w:sz w:val="22"/>
          <w:szCs w:val="22"/>
        </w:rPr>
        <w:t>)</w:t>
      </w:r>
      <w:r w:rsidR="001F6956" w:rsidRPr="00B95348">
        <w:rPr>
          <w:sz w:val="22"/>
          <w:szCs w:val="22"/>
        </w:rPr>
        <w:t xml:space="preserve">. </w:t>
      </w:r>
      <w:r w:rsidR="00772C44" w:rsidRPr="00933911">
        <w:rPr>
          <w:sz w:val="22"/>
          <w:szCs w:val="22"/>
        </w:rPr>
        <w:t xml:space="preserve">The MRFF 2021 </w:t>
      </w:r>
      <w:r w:rsidR="003E2302">
        <w:rPr>
          <w:sz w:val="22"/>
          <w:szCs w:val="22"/>
        </w:rPr>
        <w:t>Early to Mid-Career Researchers</w:t>
      </w:r>
      <w:r w:rsidR="003E2302" w:rsidRPr="00933911">
        <w:rPr>
          <w:sz w:val="22"/>
          <w:szCs w:val="22"/>
        </w:rPr>
        <w:t xml:space="preserve"> </w:t>
      </w:r>
      <w:r w:rsidR="003E2302">
        <w:rPr>
          <w:sz w:val="22"/>
          <w:szCs w:val="22"/>
        </w:rPr>
        <w:t>G</w:t>
      </w:r>
      <w:r w:rsidR="00772C44" w:rsidRPr="00933911">
        <w:rPr>
          <w:sz w:val="22"/>
          <w:szCs w:val="22"/>
        </w:rPr>
        <w:t xml:space="preserve">rant </w:t>
      </w:r>
      <w:r w:rsidR="003E2302">
        <w:rPr>
          <w:sz w:val="22"/>
          <w:szCs w:val="22"/>
        </w:rPr>
        <w:t>O</w:t>
      </w:r>
      <w:r w:rsidR="00772C44" w:rsidRPr="00933911">
        <w:rPr>
          <w:sz w:val="22"/>
          <w:szCs w:val="22"/>
        </w:rPr>
        <w:t>pportunity received a large proportion of applications led by women (61%).</w:t>
      </w:r>
    </w:p>
    <w:p w14:paraId="34471718" w14:textId="77777777" w:rsidR="009D4187" w:rsidRPr="00077BB5" w:rsidRDefault="009D4187" w:rsidP="00503F26">
      <w:pPr>
        <w:pStyle w:val="Paragraphtext"/>
        <w:spacing w:before="120"/>
      </w:pPr>
    </w:p>
    <w:p w14:paraId="6BB7C938" w14:textId="18248853" w:rsidR="00D103B1" w:rsidRPr="006C2B28" w:rsidRDefault="00D103B1" w:rsidP="00B95348">
      <w:pPr>
        <w:pStyle w:val="FigureTitle"/>
        <w:spacing w:before="80" w:after="80"/>
      </w:pPr>
      <w:r w:rsidRPr="006C2B28">
        <w:t xml:space="preserve">Table </w:t>
      </w:r>
      <w:r w:rsidR="007523B2" w:rsidRPr="006C2B28">
        <w:t>7</w:t>
      </w:r>
      <w:r w:rsidRPr="006C2B28">
        <w:t xml:space="preserve"> – Gender of CIA on applications and </w:t>
      </w:r>
      <w:r w:rsidR="00164C59">
        <w:t xml:space="preserve">awarded </w:t>
      </w:r>
      <w:r w:rsidRPr="006C2B28">
        <w:t>grants</w:t>
      </w:r>
    </w:p>
    <w:tbl>
      <w:tblPr>
        <w:tblStyle w:val="MRFF"/>
        <w:tblW w:w="5392" w:type="pct"/>
        <w:tblLayout w:type="fixed"/>
        <w:tblLook w:val="04A0" w:firstRow="1" w:lastRow="0" w:firstColumn="1" w:lastColumn="0" w:noHBand="0" w:noVBand="1"/>
      </w:tblPr>
      <w:tblGrid>
        <w:gridCol w:w="1135"/>
        <w:gridCol w:w="1277"/>
        <w:gridCol w:w="994"/>
        <w:gridCol w:w="853"/>
        <w:gridCol w:w="1277"/>
        <w:gridCol w:w="1559"/>
        <w:gridCol w:w="1279"/>
        <w:gridCol w:w="1407"/>
      </w:tblGrid>
      <w:tr w:rsidR="00A65975" w:rsidRPr="00D103B1" w14:paraId="0E08D049" w14:textId="21205BED" w:rsidTr="00317D25">
        <w:trPr>
          <w:cnfStyle w:val="100000000000" w:firstRow="1" w:lastRow="0" w:firstColumn="0" w:lastColumn="0" w:oddVBand="0" w:evenVBand="0" w:oddHBand="0" w:evenHBand="0" w:firstRowFirstColumn="0" w:firstRowLastColumn="0" w:lastRowFirstColumn="0" w:lastRowLastColumn="0"/>
          <w:trHeight w:val="290"/>
        </w:trPr>
        <w:tc>
          <w:tcPr>
            <w:tcW w:w="580" w:type="pct"/>
            <w:tcBorders>
              <w:top w:val="single" w:sz="4" w:space="0" w:color="auto"/>
              <w:bottom w:val="single" w:sz="4" w:space="0" w:color="auto"/>
            </w:tcBorders>
            <w:noWrap/>
            <w:hideMark/>
          </w:tcPr>
          <w:p w14:paraId="24BA98D9" w14:textId="77777777" w:rsidR="0031697E" w:rsidRDefault="0031697E" w:rsidP="00690414">
            <w:pPr>
              <w:rPr>
                <w:rFonts w:cs="Arial"/>
                <w:b w:val="0"/>
                <w:bCs/>
                <w:color w:val="FFFFFF"/>
                <w:sz w:val="18"/>
                <w:szCs w:val="18"/>
                <w:lang w:eastAsia="en-AU"/>
              </w:rPr>
            </w:pPr>
            <w:r w:rsidRPr="00B95348">
              <w:rPr>
                <w:rFonts w:cs="Arial"/>
                <w:bCs/>
                <w:color w:val="FFFFFF"/>
                <w:sz w:val="18"/>
                <w:szCs w:val="18"/>
                <w:lang w:eastAsia="en-AU"/>
              </w:rPr>
              <w:t>Gender</w:t>
            </w:r>
          </w:p>
          <w:p w14:paraId="2456AE18" w14:textId="67FBD8BA" w:rsidR="00077BB5" w:rsidRPr="00077BB5" w:rsidRDefault="00077BB5" w:rsidP="00690414">
            <w:pPr>
              <w:rPr>
                <w:rFonts w:cs="Arial"/>
                <w:sz w:val="18"/>
                <w:szCs w:val="18"/>
                <w:lang w:eastAsia="en-AU"/>
              </w:rPr>
            </w:pPr>
          </w:p>
        </w:tc>
        <w:tc>
          <w:tcPr>
            <w:tcW w:w="653" w:type="pct"/>
            <w:tcBorders>
              <w:top w:val="single" w:sz="4" w:space="0" w:color="auto"/>
              <w:bottom w:val="single" w:sz="4" w:space="0" w:color="auto"/>
            </w:tcBorders>
            <w:noWrap/>
            <w:hideMark/>
          </w:tcPr>
          <w:p w14:paraId="2C619202" w14:textId="77777777"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Applications</w:t>
            </w:r>
          </w:p>
        </w:tc>
        <w:tc>
          <w:tcPr>
            <w:tcW w:w="508" w:type="pct"/>
            <w:tcBorders>
              <w:top w:val="single" w:sz="4" w:space="0" w:color="auto"/>
              <w:bottom w:val="single" w:sz="4" w:space="0" w:color="auto"/>
            </w:tcBorders>
            <w:noWrap/>
            <w:hideMark/>
          </w:tcPr>
          <w:p w14:paraId="362B0E8D" w14:textId="7FE380D7"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Grants</w:t>
            </w:r>
            <w:r w:rsidR="00B44E73">
              <w:rPr>
                <w:rFonts w:cs="Arial"/>
                <w:bCs/>
                <w:color w:val="FFFFFF"/>
                <w:sz w:val="18"/>
                <w:szCs w:val="18"/>
                <w:lang w:eastAsia="en-AU"/>
              </w:rPr>
              <w:t xml:space="preserve"> awarded</w:t>
            </w:r>
          </w:p>
        </w:tc>
        <w:tc>
          <w:tcPr>
            <w:tcW w:w="436" w:type="pct"/>
            <w:tcBorders>
              <w:top w:val="single" w:sz="4" w:space="0" w:color="auto"/>
              <w:bottom w:val="single" w:sz="4" w:space="0" w:color="auto"/>
            </w:tcBorders>
            <w:noWrap/>
            <w:hideMark/>
          </w:tcPr>
          <w:p w14:paraId="2CD9F710" w14:textId="77777777"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Funded rate</w:t>
            </w:r>
          </w:p>
        </w:tc>
        <w:tc>
          <w:tcPr>
            <w:tcW w:w="653" w:type="pct"/>
            <w:tcBorders>
              <w:top w:val="single" w:sz="4" w:space="0" w:color="auto"/>
              <w:bottom w:val="single" w:sz="4" w:space="0" w:color="auto"/>
            </w:tcBorders>
            <w:noWrap/>
            <w:hideMark/>
          </w:tcPr>
          <w:p w14:paraId="40E7F15C" w14:textId="6214C721"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 xml:space="preserve">Total </w:t>
            </w:r>
            <w:r w:rsidR="00216540">
              <w:rPr>
                <w:rFonts w:cs="Arial"/>
                <w:bCs/>
                <w:color w:val="FFFFFF"/>
                <w:sz w:val="18"/>
                <w:szCs w:val="18"/>
                <w:lang w:eastAsia="en-AU"/>
              </w:rPr>
              <w:t>amount</w:t>
            </w:r>
            <w:r w:rsidR="00216540" w:rsidRPr="00B95348">
              <w:rPr>
                <w:rFonts w:cs="Arial"/>
                <w:bCs/>
                <w:color w:val="FFFFFF"/>
                <w:sz w:val="18"/>
                <w:szCs w:val="18"/>
                <w:lang w:eastAsia="en-AU"/>
              </w:rPr>
              <w:t xml:space="preserve"> </w:t>
            </w:r>
          </w:p>
        </w:tc>
        <w:tc>
          <w:tcPr>
            <w:tcW w:w="797" w:type="pct"/>
            <w:tcBorders>
              <w:top w:val="single" w:sz="4" w:space="0" w:color="auto"/>
              <w:bottom w:val="single" w:sz="4" w:space="0" w:color="auto"/>
            </w:tcBorders>
            <w:noWrap/>
            <w:hideMark/>
          </w:tcPr>
          <w:p w14:paraId="1D233A61" w14:textId="77777777"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Proportion of grants awarded</w:t>
            </w:r>
          </w:p>
        </w:tc>
        <w:tc>
          <w:tcPr>
            <w:tcW w:w="654" w:type="pct"/>
            <w:tcBorders>
              <w:top w:val="single" w:sz="4" w:space="0" w:color="auto"/>
              <w:bottom w:val="single" w:sz="4" w:space="0" w:color="auto"/>
            </w:tcBorders>
            <w:noWrap/>
            <w:hideMark/>
          </w:tcPr>
          <w:p w14:paraId="6B835A8D" w14:textId="77777777"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Proportion of $ awarded</w:t>
            </w:r>
          </w:p>
        </w:tc>
        <w:tc>
          <w:tcPr>
            <w:tcW w:w="720" w:type="pct"/>
            <w:tcBorders>
              <w:top w:val="single" w:sz="4" w:space="0" w:color="auto"/>
              <w:bottom w:val="single" w:sz="4" w:space="0" w:color="auto"/>
            </w:tcBorders>
          </w:tcPr>
          <w:p w14:paraId="7173672A" w14:textId="6A8CEBD1" w:rsidR="0031697E" w:rsidRPr="00B95348" w:rsidRDefault="0031697E" w:rsidP="00690414">
            <w:pPr>
              <w:rPr>
                <w:rFonts w:cs="Arial"/>
                <w:b w:val="0"/>
                <w:bCs/>
                <w:color w:val="FFFFFF"/>
                <w:sz w:val="18"/>
                <w:szCs w:val="18"/>
                <w:lang w:eastAsia="en-AU"/>
              </w:rPr>
            </w:pPr>
            <w:r w:rsidRPr="00B95348">
              <w:rPr>
                <w:rFonts w:cs="Arial"/>
                <w:bCs/>
                <w:color w:val="FFFFFF"/>
                <w:sz w:val="18"/>
                <w:szCs w:val="18"/>
                <w:lang w:eastAsia="en-AU"/>
              </w:rPr>
              <w:t xml:space="preserve">Mean </w:t>
            </w:r>
            <w:r w:rsidR="00216540">
              <w:rPr>
                <w:rFonts w:cs="Arial"/>
                <w:bCs/>
                <w:color w:val="FFFFFF"/>
                <w:sz w:val="18"/>
                <w:szCs w:val="18"/>
                <w:lang w:eastAsia="en-AU"/>
              </w:rPr>
              <w:t>amount</w:t>
            </w:r>
            <w:r w:rsidR="00216540" w:rsidRPr="00B95348">
              <w:rPr>
                <w:rFonts w:cs="Arial"/>
                <w:bCs/>
                <w:color w:val="FFFFFF"/>
                <w:sz w:val="18"/>
                <w:szCs w:val="18"/>
                <w:lang w:eastAsia="en-AU"/>
              </w:rPr>
              <w:t xml:space="preserve"> </w:t>
            </w:r>
            <w:r w:rsidRPr="00B95348">
              <w:rPr>
                <w:rFonts w:cs="Arial"/>
                <w:bCs/>
                <w:color w:val="FFFFFF"/>
                <w:sz w:val="18"/>
                <w:szCs w:val="18"/>
                <w:lang w:eastAsia="en-AU"/>
              </w:rPr>
              <w:t>awarded</w:t>
            </w:r>
          </w:p>
        </w:tc>
      </w:tr>
      <w:tr w:rsidR="00A65975" w:rsidRPr="00D103B1" w14:paraId="6942F3F1" w14:textId="7349AED1" w:rsidTr="00317D25">
        <w:trPr>
          <w:trHeight w:val="290"/>
        </w:trPr>
        <w:tc>
          <w:tcPr>
            <w:tcW w:w="580" w:type="pct"/>
            <w:tcBorders>
              <w:top w:val="single" w:sz="4" w:space="0" w:color="auto"/>
            </w:tcBorders>
            <w:noWrap/>
            <w:hideMark/>
          </w:tcPr>
          <w:p w14:paraId="032B3D37" w14:textId="096DF066" w:rsidR="0031697E" w:rsidRPr="00B95348" w:rsidRDefault="0031697E" w:rsidP="00690414">
            <w:pPr>
              <w:ind w:left="-85"/>
              <w:rPr>
                <w:rFonts w:cs="Arial"/>
                <w:color w:val="000000"/>
                <w:sz w:val="18"/>
                <w:szCs w:val="18"/>
                <w:lang w:eastAsia="en-AU"/>
              </w:rPr>
            </w:pPr>
            <w:r w:rsidRPr="00B95348">
              <w:rPr>
                <w:rFonts w:cs="Arial"/>
                <w:color w:val="000000"/>
                <w:sz w:val="18"/>
                <w:szCs w:val="18"/>
                <w:lang w:eastAsia="en-AU"/>
              </w:rPr>
              <w:t xml:space="preserve">Woman or </w:t>
            </w:r>
            <w:r w:rsidR="009104B3" w:rsidRPr="00B95348">
              <w:rPr>
                <w:rFonts w:cs="Arial"/>
                <w:color w:val="000000"/>
                <w:sz w:val="18"/>
                <w:szCs w:val="18"/>
                <w:lang w:eastAsia="en-AU"/>
              </w:rPr>
              <w:t>f</w:t>
            </w:r>
            <w:r w:rsidRPr="00B95348">
              <w:rPr>
                <w:rFonts w:cs="Arial"/>
                <w:color w:val="000000"/>
                <w:sz w:val="18"/>
                <w:szCs w:val="18"/>
                <w:lang w:eastAsia="en-AU"/>
              </w:rPr>
              <w:t>emale</w:t>
            </w:r>
          </w:p>
        </w:tc>
        <w:tc>
          <w:tcPr>
            <w:tcW w:w="653" w:type="pct"/>
            <w:tcBorders>
              <w:top w:val="single" w:sz="4" w:space="0" w:color="auto"/>
            </w:tcBorders>
            <w:noWrap/>
            <w:hideMark/>
          </w:tcPr>
          <w:p w14:paraId="2CD81F67" w14:textId="3817578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255</w:t>
            </w:r>
          </w:p>
        </w:tc>
        <w:tc>
          <w:tcPr>
            <w:tcW w:w="508" w:type="pct"/>
            <w:tcBorders>
              <w:top w:val="single" w:sz="4" w:space="0" w:color="auto"/>
            </w:tcBorders>
            <w:noWrap/>
            <w:hideMark/>
          </w:tcPr>
          <w:p w14:paraId="7A3983A4"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12</w:t>
            </w:r>
          </w:p>
        </w:tc>
        <w:tc>
          <w:tcPr>
            <w:tcW w:w="436" w:type="pct"/>
            <w:tcBorders>
              <w:top w:val="single" w:sz="4" w:space="0" w:color="auto"/>
            </w:tcBorders>
            <w:noWrap/>
            <w:hideMark/>
          </w:tcPr>
          <w:p w14:paraId="0B7C1787" w14:textId="2220FCE3"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4.7</w:t>
            </w:r>
            <w:r w:rsidR="001F6000">
              <w:rPr>
                <w:rFonts w:cs="Arial"/>
                <w:color w:val="000000"/>
                <w:sz w:val="18"/>
                <w:szCs w:val="18"/>
                <w:lang w:eastAsia="en-AU"/>
              </w:rPr>
              <w:t>%</w:t>
            </w:r>
          </w:p>
        </w:tc>
        <w:tc>
          <w:tcPr>
            <w:tcW w:w="653" w:type="pct"/>
            <w:tcBorders>
              <w:top w:val="single" w:sz="4" w:space="0" w:color="auto"/>
            </w:tcBorders>
            <w:noWrap/>
            <w:hideMark/>
          </w:tcPr>
          <w:p w14:paraId="329F4DB7"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$25,470,903</w:t>
            </w:r>
          </w:p>
        </w:tc>
        <w:tc>
          <w:tcPr>
            <w:tcW w:w="797" w:type="pct"/>
            <w:tcBorders>
              <w:top w:val="single" w:sz="4" w:space="0" w:color="auto"/>
            </w:tcBorders>
            <w:noWrap/>
            <w:hideMark/>
          </w:tcPr>
          <w:p w14:paraId="24753DBF" w14:textId="675B1A43"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52.</w:t>
            </w:r>
            <w:r w:rsidR="001F6000">
              <w:rPr>
                <w:rFonts w:cs="Arial"/>
                <w:color w:val="000000"/>
                <w:sz w:val="18"/>
                <w:szCs w:val="18"/>
                <w:lang w:eastAsia="en-AU"/>
              </w:rPr>
              <w:t>2%</w:t>
            </w:r>
          </w:p>
        </w:tc>
        <w:tc>
          <w:tcPr>
            <w:tcW w:w="654" w:type="pct"/>
            <w:tcBorders>
              <w:top w:val="single" w:sz="4" w:space="0" w:color="auto"/>
            </w:tcBorders>
            <w:noWrap/>
            <w:hideMark/>
          </w:tcPr>
          <w:p w14:paraId="40CEA12D" w14:textId="486A5E18"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59.5</w:t>
            </w:r>
            <w:r w:rsidR="001F6000">
              <w:rPr>
                <w:rFonts w:cs="Arial"/>
                <w:color w:val="000000"/>
                <w:sz w:val="18"/>
                <w:szCs w:val="18"/>
                <w:lang w:eastAsia="en-AU"/>
              </w:rPr>
              <w:t>%</w:t>
            </w:r>
          </w:p>
        </w:tc>
        <w:tc>
          <w:tcPr>
            <w:tcW w:w="720" w:type="pct"/>
            <w:tcBorders>
              <w:top w:val="single" w:sz="4" w:space="0" w:color="auto"/>
            </w:tcBorders>
          </w:tcPr>
          <w:p w14:paraId="6CC46BCE" w14:textId="5568A7BD"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$2,122,575</w:t>
            </w:r>
          </w:p>
        </w:tc>
      </w:tr>
      <w:tr w:rsidR="00A65975" w:rsidRPr="00D103B1" w14:paraId="1D75014B" w14:textId="46689C9F" w:rsidTr="00690414">
        <w:trPr>
          <w:trHeight w:val="290"/>
        </w:trPr>
        <w:tc>
          <w:tcPr>
            <w:tcW w:w="580" w:type="pct"/>
            <w:noWrap/>
            <w:hideMark/>
          </w:tcPr>
          <w:p w14:paraId="489553E5" w14:textId="77777777" w:rsidR="0031697E" w:rsidRPr="00B95348" w:rsidRDefault="0031697E" w:rsidP="00690414">
            <w:pPr>
              <w:ind w:left="-85"/>
              <w:rPr>
                <w:rFonts w:cs="Arial"/>
                <w:color w:val="000000"/>
                <w:sz w:val="18"/>
                <w:szCs w:val="18"/>
                <w:lang w:eastAsia="en-AU"/>
              </w:rPr>
            </w:pPr>
            <w:proofErr w:type="gramStart"/>
            <w:r w:rsidRPr="00B95348">
              <w:rPr>
                <w:rFonts w:cs="Arial"/>
                <w:color w:val="000000"/>
                <w:sz w:val="18"/>
                <w:szCs w:val="18"/>
                <w:lang w:eastAsia="en-AU"/>
              </w:rPr>
              <w:t>Man</w:t>
            </w:r>
            <w:proofErr w:type="gramEnd"/>
            <w:r w:rsidRPr="00B95348">
              <w:rPr>
                <w:rFonts w:cs="Arial"/>
                <w:color w:val="000000"/>
                <w:sz w:val="18"/>
                <w:szCs w:val="18"/>
                <w:lang w:eastAsia="en-AU"/>
              </w:rPr>
              <w:t xml:space="preserve"> or male</w:t>
            </w:r>
          </w:p>
        </w:tc>
        <w:tc>
          <w:tcPr>
            <w:tcW w:w="653" w:type="pct"/>
            <w:noWrap/>
            <w:hideMark/>
          </w:tcPr>
          <w:p w14:paraId="23C04EE3"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162</w:t>
            </w:r>
          </w:p>
        </w:tc>
        <w:tc>
          <w:tcPr>
            <w:tcW w:w="508" w:type="pct"/>
            <w:noWrap/>
            <w:hideMark/>
          </w:tcPr>
          <w:p w14:paraId="239F1403"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11</w:t>
            </w:r>
          </w:p>
        </w:tc>
        <w:tc>
          <w:tcPr>
            <w:tcW w:w="436" w:type="pct"/>
            <w:noWrap/>
            <w:hideMark/>
          </w:tcPr>
          <w:p w14:paraId="28CF7DC0" w14:textId="6555DF32"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6.</w:t>
            </w:r>
            <w:r w:rsidR="001F6000">
              <w:rPr>
                <w:rFonts w:cs="Arial"/>
                <w:color w:val="000000"/>
                <w:sz w:val="18"/>
                <w:szCs w:val="18"/>
                <w:lang w:eastAsia="en-AU"/>
              </w:rPr>
              <w:t>8%</w:t>
            </w:r>
          </w:p>
        </w:tc>
        <w:tc>
          <w:tcPr>
            <w:tcW w:w="653" w:type="pct"/>
            <w:noWrap/>
            <w:hideMark/>
          </w:tcPr>
          <w:p w14:paraId="3B17ED3E"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$17,329,097</w:t>
            </w:r>
          </w:p>
        </w:tc>
        <w:tc>
          <w:tcPr>
            <w:tcW w:w="797" w:type="pct"/>
            <w:noWrap/>
            <w:hideMark/>
          </w:tcPr>
          <w:p w14:paraId="1FF529BC" w14:textId="2A0F50B1"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47.8</w:t>
            </w:r>
            <w:r w:rsidR="001F6000">
              <w:rPr>
                <w:rFonts w:cs="Arial"/>
                <w:color w:val="000000"/>
                <w:sz w:val="18"/>
                <w:szCs w:val="18"/>
                <w:lang w:eastAsia="en-AU"/>
              </w:rPr>
              <w:t>%</w:t>
            </w:r>
          </w:p>
        </w:tc>
        <w:tc>
          <w:tcPr>
            <w:tcW w:w="654" w:type="pct"/>
            <w:noWrap/>
            <w:hideMark/>
          </w:tcPr>
          <w:p w14:paraId="1B4ECC58" w14:textId="1F08878F"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40.</w:t>
            </w:r>
            <w:r w:rsidR="001F6000">
              <w:rPr>
                <w:rFonts w:cs="Arial"/>
                <w:color w:val="000000"/>
                <w:sz w:val="18"/>
                <w:szCs w:val="18"/>
                <w:lang w:eastAsia="en-AU"/>
              </w:rPr>
              <w:t>5%</w:t>
            </w:r>
          </w:p>
        </w:tc>
        <w:tc>
          <w:tcPr>
            <w:tcW w:w="720" w:type="pct"/>
          </w:tcPr>
          <w:p w14:paraId="364D510F" w14:textId="1CE7C8A2" w:rsidR="0031697E" w:rsidRPr="00B95348" w:rsidRDefault="0031697E" w:rsidP="00690414">
            <w:pPr>
              <w:rPr>
                <w:rFonts w:cs="Arial"/>
                <w:color w:val="000000"/>
                <w:sz w:val="18"/>
                <w:szCs w:val="18"/>
                <w:lang w:eastAsia="en-AU"/>
              </w:rPr>
            </w:pPr>
            <w:r w:rsidRPr="00B95348">
              <w:rPr>
                <w:rFonts w:cs="Arial"/>
                <w:color w:val="000000"/>
                <w:sz w:val="18"/>
                <w:szCs w:val="18"/>
              </w:rPr>
              <w:t>$1,575,372</w:t>
            </w:r>
          </w:p>
        </w:tc>
      </w:tr>
      <w:tr w:rsidR="00A65975" w:rsidRPr="00D103B1" w14:paraId="62A63B46" w14:textId="77777777" w:rsidTr="00690414">
        <w:trPr>
          <w:trHeight w:val="290"/>
        </w:trPr>
        <w:tc>
          <w:tcPr>
            <w:tcW w:w="580" w:type="pct"/>
            <w:noWrap/>
          </w:tcPr>
          <w:p w14:paraId="05FD741E" w14:textId="129A1BF2" w:rsidR="004F267C" w:rsidRPr="004F267C" w:rsidRDefault="004F267C" w:rsidP="00690414">
            <w:pPr>
              <w:ind w:left="-85"/>
              <w:rPr>
                <w:rFonts w:cs="Arial"/>
                <w:color w:val="000000"/>
                <w:sz w:val="18"/>
                <w:szCs w:val="18"/>
                <w:lang w:eastAsia="en-AU"/>
              </w:rPr>
            </w:pPr>
            <w:r w:rsidRPr="004F267C">
              <w:rPr>
                <w:rFonts w:cs="Arial"/>
                <w:color w:val="000000"/>
                <w:sz w:val="18"/>
                <w:szCs w:val="18"/>
                <w:lang w:eastAsia="en-AU"/>
              </w:rPr>
              <w:t>Non-</w:t>
            </w:r>
            <w:r w:rsidRPr="00120347">
              <w:rPr>
                <w:rFonts w:cs="Arial"/>
                <w:color w:val="000000"/>
                <w:sz w:val="18"/>
                <w:szCs w:val="18"/>
                <w:lang w:eastAsia="en-AU"/>
              </w:rPr>
              <w:t>binary</w:t>
            </w:r>
          </w:p>
        </w:tc>
        <w:tc>
          <w:tcPr>
            <w:tcW w:w="653" w:type="pct"/>
            <w:noWrap/>
          </w:tcPr>
          <w:p w14:paraId="675C5DCA" w14:textId="085FA4FD" w:rsidR="004F267C" w:rsidRPr="00B95348" w:rsidRDefault="004F267C" w:rsidP="00690414">
            <w:pPr>
              <w:rPr>
                <w:rFonts w:cs="Arial"/>
                <w:color w:val="000000"/>
                <w:sz w:val="18"/>
                <w:szCs w:val="18"/>
                <w:lang w:eastAsia="en-AU"/>
              </w:rPr>
            </w:pPr>
            <w:r>
              <w:rPr>
                <w:rFonts w:cs="Arial"/>
                <w:color w:val="000000"/>
                <w:sz w:val="18"/>
                <w:szCs w:val="18"/>
                <w:lang w:eastAsia="en-AU"/>
              </w:rPr>
              <w:t>0</w:t>
            </w:r>
          </w:p>
        </w:tc>
        <w:tc>
          <w:tcPr>
            <w:tcW w:w="508" w:type="pct"/>
            <w:noWrap/>
          </w:tcPr>
          <w:p w14:paraId="5D8705BE" w14:textId="4860BE21" w:rsidR="004F267C" w:rsidRPr="00B95348" w:rsidRDefault="00ED3149" w:rsidP="00690414">
            <w:pPr>
              <w:rPr>
                <w:rFonts w:cs="Arial"/>
                <w:color w:val="000000"/>
                <w:sz w:val="18"/>
                <w:szCs w:val="18"/>
                <w:lang w:eastAsia="en-AU"/>
              </w:rPr>
            </w:pPr>
            <w:r>
              <w:rPr>
                <w:rFonts w:cs="Arial"/>
                <w:color w:val="000000"/>
                <w:sz w:val="18"/>
                <w:szCs w:val="18"/>
                <w:lang w:eastAsia="en-AU"/>
              </w:rPr>
              <w:t>-</w:t>
            </w:r>
          </w:p>
        </w:tc>
        <w:tc>
          <w:tcPr>
            <w:tcW w:w="436" w:type="pct"/>
            <w:noWrap/>
          </w:tcPr>
          <w:p w14:paraId="1FF4316D" w14:textId="189B1E8A" w:rsidR="004F267C" w:rsidRPr="00B95348" w:rsidRDefault="00ED3149" w:rsidP="00690414">
            <w:pPr>
              <w:rPr>
                <w:rFonts w:cs="Arial"/>
                <w:color w:val="000000"/>
                <w:sz w:val="18"/>
                <w:szCs w:val="18"/>
                <w:lang w:eastAsia="en-AU"/>
              </w:rPr>
            </w:pPr>
            <w:r>
              <w:rPr>
                <w:rFonts w:cs="Arial"/>
                <w:color w:val="000000"/>
                <w:sz w:val="18"/>
                <w:szCs w:val="18"/>
                <w:lang w:eastAsia="en-AU"/>
              </w:rPr>
              <w:t>-</w:t>
            </w:r>
          </w:p>
        </w:tc>
        <w:tc>
          <w:tcPr>
            <w:tcW w:w="653" w:type="pct"/>
            <w:noWrap/>
          </w:tcPr>
          <w:p w14:paraId="7618EF8C" w14:textId="4DC519DC" w:rsidR="004F267C" w:rsidRPr="00ED3149" w:rsidRDefault="00ED3149" w:rsidP="00690414">
            <w:pPr>
              <w:rPr>
                <w:rFonts w:cs="Arial"/>
                <w:bCs/>
                <w:color w:val="000000"/>
                <w:sz w:val="18"/>
                <w:szCs w:val="18"/>
                <w:lang w:eastAsia="en-AU"/>
              </w:rPr>
            </w:pPr>
            <w:r w:rsidRPr="00317808">
              <w:rPr>
                <w:rFonts w:cs="Arial"/>
                <w:bCs/>
                <w:color w:val="000000"/>
                <w:sz w:val="18"/>
                <w:szCs w:val="18"/>
                <w:lang w:eastAsia="en-AU"/>
              </w:rPr>
              <w:t>-</w:t>
            </w:r>
          </w:p>
        </w:tc>
        <w:tc>
          <w:tcPr>
            <w:tcW w:w="797" w:type="pct"/>
            <w:noWrap/>
          </w:tcPr>
          <w:p w14:paraId="35AABC9B" w14:textId="582DC6EF" w:rsidR="004F267C" w:rsidRPr="004F267C" w:rsidRDefault="00ED3149" w:rsidP="00690414">
            <w:pPr>
              <w:rPr>
                <w:rFonts w:cs="Arial"/>
                <w:bCs/>
                <w:color w:val="000000"/>
                <w:sz w:val="18"/>
                <w:szCs w:val="18"/>
                <w:lang w:eastAsia="en-AU"/>
              </w:rPr>
            </w:pPr>
            <w:r>
              <w:rPr>
                <w:rFonts w:cs="Arial"/>
                <w:bCs/>
                <w:color w:val="000000"/>
                <w:sz w:val="18"/>
                <w:szCs w:val="18"/>
                <w:lang w:eastAsia="en-AU"/>
              </w:rPr>
              <w:t>-</w:t>
            </w:r>
          </w:p>
        </w:tc>
        <w:tc>
          <w:tcPr>
            <w:tcW w:w="654" w:type="pct"/>
            <w:noWrap/>
          </w:tcPr>
          <w:p w14:paraId="72124BC4" w14:textId="0BEFC6B1" w:rsidR="004F267C" w:rsidRPr="00B95348" w:rsidRDefault="00ED3149" w:rsidP="00690414">
            <w:pPr>
              <w:rPr>
                <w:rFonts w:cs="Arial"/>
                <w:color w:val="000000"/>
                <w:sz w:val="18"/>
                <w:szCs w:val="18"/>
                <w:lang w:eastAsia="en-AU"/>
              </w:rPr>
            </w:pPr>
            <w:r>
              <w:rPr>
                <w:rFonts w:cs="Arial"/>
                <w:color w:val="000000"/>
                <w:sz w:val="18"/>
                <w:szCs w:val="18"/>
                <w:lang w:eastAsia="en-AU"/>
              </w:rPr>
              <w:t>-</w:t>
            </w:r>
          </w:p>
        </w:tc>
        <w:tc>
          <w:tcPr>
            <w:tcW w:w="720" w:type="pct"/>
          </w:tcPr>
          <w:p w14:paraId="42F186A7" w14:textId="3B8274C1" w:rsidR="004F267C" w:rsidRPr="00B95348" w:rsidRDefault="00ED3149" w:rsidP="00690414">
            <w:pPr>
              <w:rPr>
                <w:rFonts w:cs="Arial"/>
                <w:color w:val="000000"/>
                <w:sz w:val="18"/>
                <w:szCs w:val="18"/>
              </w:rPr>
            </w:pPr>
            <w:r>
              <w:rPr>
                <w:rFonts w:cs="Arial"/>
                <w:color w:val="000000"/>
                <w:sz w:val="18"/>
                <w:szCs w:val="18"/>
              </w:rPr>
              <w:t>-</w:t>
            </w:r>
          </w:p>
        </w:tc>
      </w:tr>
      <w:tr w:rsidR="00A65975" w:rsidRPr="00D103B1" w14:paraId="3741EB03" w14:textId="4F2B895C" w:rsidTr="00690414">
        <w:trPr>
          <w:trHeight w:val="290"/>
        </w:trPr>
        <w:tc>
          <w:tcPr>
            <w:tcW w:w="580" w:type="pct"/>
            <w:noWrap/>
            <w:hideMark/>
          </w:tcPr>
          <w:p w14:paraId="2CBF67F3" w14:textId="3F20B8F7" w:rsidR="0031697E" w:rsidRPr="00B95348" w:rsidRDefault="00C503AF" w:rsidP="00690414">
            <w:pPr>
              <w:ind w:left="-85"/>
              <w:rPr>
                <w:rFonts w:cs="Arial"/>
                <w:color w:val="000000"/>
                <w:sz w:val="18"/>
                <w:szCs w:val="18"/>
                <w:lang w:eastAsia="en-AU"/>
              </w:rPr>
            </w:pPr>
            <w:r w:rsidRPr="00B95348">
              <w:rPr>
                <w:rFonts w:cs="Arial"/>
                <w:sz w:val="18"/>
                <w:szCs w:val="18"/>
              </w:rPr>
              <w:t>Not reported</w:t>
            </w:r>
            <w:r w:rsidRPr="00B95348" w:rsidDel="00C503AF">
              <w:rPr>
                <w:rFonts w:cs="Arial"/>
                <w:color w:val="000000"/>
                <w:sz w:val="18"/>
                <w:szCs w:val="18"/>
                <w:lang w:eastAsia="en-AU"/>
              </w:rPr>
              <w:t xml:space="preserve"> </w:t>
            </w:r>
            <w:r w:rsidR="0031697E" w:rsidRPr="00B95348">
              <w:rPr>
                <w:rFonts w:cs="Arial"/>
                <w:color w:val="000000"/>
                <w:sz w:val="18"/>
                <w:szCs w:val="18"/>
                <w:lang w:eastAsia="en-AU"/>
              </w:rPr>
              <w:t xml:space="preserve"> </w:t>
            </w:r>
          </w:p>
        </w:tc>
        <w:tc>
          <w:tcPr>
            <w:tcW w:w="653" w:type="pct"/>
            <w:noWrap/>
            <w:hideMark/>
          </w:tcPr>
          <w:p w14:paraId="4603969D"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w:t>
            </w:r>
          </w:p>
        </w:tc>
        <w:tc>
          <w:tcPr>
            <w:tcW w:w="508" w:type="pct"/>
            <w:noWrap/>
            <w:hideMark/>
          </w:tcPr>
          <w:p w14:paraId="12B5EDDD"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0</w:t>
            </w:r>
          </w:p>
        </w:tc>
        <w:tc>
          <w:tcPr>
            <w:tcW w:w="436" w:type="pct"/>
            <w:noWrap/>
            <w:hideMark/>
          </w:tcPr>
          <w:p w14:paraId="6872EF2E"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0</w:t>
            </w:r>
          </w:p>
        </w:tc>
        <w:tc>
          <w:tcPr>
            <w:tcW w:w="653" w:type="pct"/>
            <w:noWrap/>
            <w:hideMark/>
          </w:tcPr>
          <w:p w14:paraId="1C4EA4E2"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$0</w:t>
            </w:r>
          </w:p>
        </w:tc>
        <w:tc>
          <w:tcPr>
            <w:tcW w:w="797" w:type="pct"/>
            <w:noWrap/>
            <w:hideMark/>
          </w:tcPr>
          <w:p w14:paraId="10183E88"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0</w:t>
            </w:r>
          </w:p>
        </w:tc>
        <w:tc>
          <w:tcPr>
            <w:tcW w:w="654" w:type="pct"/>
            <w:noWrap/>
            <w:hideMark/>
          </w:tcPr>
          <w:p w14:paraId="0D23A560"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0</w:t>
            </w:r>
          </w:p>
        </w:tc>
        <w:tc>
          <w:tcPr>
            <w:tcW w:w="720" w:type="pct"/>
          </w:tcPr>
          <w:p w14:paraId="54417140" w14:textId="07F55686"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0</w:t>
            </w:r>
          </w:p>
        </w:tc>
      </w:tr>
      <w:tr w:rsidR="00A65975" w:rsidRPr="00D103B1" w14:paraId="5F16C353" w14:textId="6DA2947D" w:rsidTr="00690414">
        <w:trPr>
          <w:trHeight w:val="290"/>
        </w:trPr>
        <w:tc>
          <w:tcPr>
            <w:tcW w:w="580" w:type="pct"/>
            <w:noWrap/>
            <w:hideMark/>
          </w:tcPr>
          <w:p w14:paraId="76E1AE66" w14:textId="741683A6" w:rsidR="0031697E" w:rsidRPr="00B95348" w:rsidRDefault="00640362" w:rsidP="00690414">
            <w:pPr>
              <w:ind w:left="-85"/>
              <w:rPr>
                <w:rFonts w:cs="Arial"/>
                <w:color w:val="000000"/>
                <w:sz w:val="18"/>
                <w:szCs w:val="18"/>
                <w:lang w:eastAsia="en-AU"/>
              </w:rPr>
            </w:pPr>
            <w:r>
              <w:rPr>
                <w:rFonts w:cs="Arial"/>
                <w:color w:val="000000"/>
                <w:sz w:val="18"/>
                <w:szCs w:val="18"/>
                <w:lang w:eastAsia="en-AU"/>
              </w:rPr>
              <w:t>All genders</w:t>
            </w:r>
          </w:p>
        </w:tc>
        <w:tc>
          <w:tcPr>
            <w:tcW w:w="653" w:type="pct"/>
            <w:noWrap/>
            <w:hideMark/>
          </w:tcPr>
          <w:p w14:paraId="4AEC76DD"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418</w:t>
            </w:r>
          </w:p>
        </w:tc>
        <w:tc>
          <w:tcPr>
            <w:tcW w:w="508" w:type="pct"/>
            <w:noWrap/>
            <w:hideMark/>
          </w:tcPr>
          <w:p w14:paraId="6C98E735"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23</w:t>
            </w:r>
          </w:p>
        </w:tc>
        <w:tc>
          <w:tcPr>
            <w:tcW w:w="436" w:type="pct"/>
            <w:noWrap/>
            <w:hideMark/>
          </w:tcPr>
          <w:p w14:paraId="40EABDD0" w14:textId="2A6060A0"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5.5</w:t>
            </w:r>
            <w:r w:rsidR="001F6000">
              <w:rPr>
                <w:rFonts w:cs="Arial"/>
                <w:color w:val="000000"/>
                <w:sz w:val="18"/>
                <w:szCs w:val="18"/>
                <w:lang w:eastAsia="en-AU"/>
              </w:rPr>
              <w:t>%</w:t>
            </w:r>
          </w:p>
        </w:tc>
        <w:tc>
          <w:tcPr>
            <w:tcW w:w="653" w:type="pct"/>
            <w:noWrap/>
            <w:hideMark/>
          </w:tcPr>
          <w:p w14:paraId="08809B39" w14:textId="77777777"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$42,800,000</w:t>
            </w:r>
          </w:p>
        </w:tc>
        <w:tc>
          <w:tcPr>
            <w:tcW w:w="797" w:type="pct"/>
            <w:noWrap/>
            <w:hideMark/>
          </w:tcPr>
          <w:p w14:paraId="48CF9832" w14:textId="289756D1"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100</w:t>
            </w:r>
            <w:r w:rsidR="001F6000">
              <w:rPr>
                <w:rFonts w:cs="Arial"/>
                <w:color w:val="000000"/>
                <w:sz w:val="18"/>
                <w:szCs w:val="18"/>
                <w:lang w:eastAsia="en-AU"/>
              </w:rPr>
              <w:t>%</w:t>
            </w:r>
          </w:p>
        </w:tc>
        <w:tc>
          <w:tcPr>
            <w:tcW w:w="654" w:type="pct"/>
            <w:noWrap/>
            <w:hideMark/>
          </w:tcPr>
          <w:p w14:paraId="5F0EA2BC" w14:textId="25452C6D"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100</w:t>
            </w:r>
            <w:r w:rsidR="001F6000">
              <w:rPr>
                <w:rFonts w:cs="Arial"/>
                <w:color w:val="000000"/>
                <w:sz w:val="18"/>
                <w:szCs w:val="18"/>
                <w:lang w:eastAsia="en-AU"/>
              </w:rPr>
              <w:t>%</w:t>
            </w:r>
          </w:p>
        </w:tc>
        <w:tc>
          <w:tcPr>
            <w:tcW w:w="720" w:type="pct"/>
          </w:tcPr>
          <w:p w14:paraId="1127835D" w14:textId="3BC1814A" w:rsidR="0031697E" w:rsidRPr="00B95348" w:rsidRDefault="0031697E" w:rsidP="00690414">
            <w:pPr>
              <w:rPr>
                <w:rFonts w:cs="Arial"/>
                <w:color w:val="000000"/>
                <w:sz w:val="18"/>
                <w:szCs w:val="18"/>
                <w:lang w:eastAsia="en-AU"/>
              </w:rPr>
            </w:pPr>
            <w:r w:rsidRPr="00B95348">
              <w:rPr>
                <w:rFonts w:cs="Arial"/>
                <w:color w:val="000000"/>
                <w:sz w:val="18"/>
                <w:szCs w:val="18"/>
                <w:lang w:eastAsia="en-AU"/>
              </w:rPr>
              <w:t>$1,860,870</w:t>
            </w:r>
          </w:p>
        </w:tc>
      </w:tr>
    </w:tbl>
    <w:p w14:paraId="776B5F47" w14:textId="1657ABE6" w:rsidR="00E1352B" w:rsidRDefault="000D178B" w:rsidP="00B75A54">
      <w:pPr>
        <w:pStyle w:val="Tabletextleft"/>
      </w:pPr>
      <w:r w:rsidRPr="00FE61E4">
        <w:t xml:space="preserve">The analysis of gender was based on data provided by Chief Investigators (CIs) captured through self-identification as male or man, female or woman, non-binary, or not reported. </w:t>
      </w:r>
      <w:r w:rsidR="00CA6663">
        <w:t>No data on gender was provided for the 10 applications deemed ineligible.</w:t>
      </w:r>
      <w:r w:rsidR="00C000B9">
        <w:t xml:space="preserve"> </w:t>
      </w:r>
      <w:r w:rsidR="00A65975" w:rsidRPr="00A65975">
        <w:t xml:space="preserve">Data on gender were captured via the CIA's profile within the NHMRC grants management platform. </w:t>
      </w:r>
    </w:p>
    <w:p w14:paraId="1D7309FE" w14:textId="7757E4FA" w:rsidR="00164C59" w:rsidRPr="00766DC6" w:rsidRDefault="007676BA" w:rsidP="005F2879">
      <w:pPr>
        <w:pStyle w:val="Paragraphtext"/>
        <w:jc w:val="both"/>
        <w:rPr>
          <w:sz w:val="22"/>
          <w:szCs w:val="22"/>
        </w:rPr>
      </w:pPr>
      <w:r w:rsidRPr="00766DC6">
        <w:rPr>
          <w:sz w:val="22"/>
          <w:szCs w:val="22"/>
        </w:rPr>
        <w:lastRenderedPageBreak/>
        <w:t xml:space="preserve">The differences between </w:t>
      </w:r>
      <w:r w:rsidR="00A40B32">
        <w:rPr>
          <w:sz w:val="22"/>
          <w:szCs w:val="22"/>
        </w:rPr>
        <w:t xml:space="preserve">female </w:t>
      </w:r>
      <w:r w:rsidR="00940AC8">
        <w:rPr>
          <w:sz w:val="22"/>
          <w:szCs w:val="22"/>
        </w:rPr>
        <w:t xml:space="preserve">and </w:t>
      </w:r>
      <w:r w:rsidR="00A40B32">
        <w:rPr>
          <w:sz w:val="22"/>
          <w:szCs w:val="22"/>
        </w:rPr>
        <w:t>male</w:t>
      </w:r>
      <w:r w:rsidR="00A40B32" w:rsidRPr="00766DC6">
        <w:rPr>
          <w:sz w:val="22"/>
          <w:szCs w:val="22"/>
        </w:rPr>
        <w:t xml:space="preserve"> </w:t>
      </w:r>
      <w:r w:rsidR="005128DD" w:rsidRPr="00766DC6">
        <w:rPr>
          <w:sz w:val="22"/>
          <w:szCs w:val="22"/>
        </w:rPr>
        <w:t>chief lead investigators</w:t>
      </w:r>
      <w:r w:rsidRPr="00766DC6">
        <w:rPr>
          <w:sz w:val="22"/>
          <w:szCs w:val="22"/>
        </w:rPr>
        <w:t xml:space="preserve"> were not </w:t>
      </w:r>
      <w:r w:rsidR="000225FE" w:rsidRPr="00766DC6">
        <w:rPr>
          <w:sz w:val="22"/>
          <w:szCs w:val="22"/>
        </w:rPr>
        <w:t xml:space="preserve">the same in the different Streams of the </w:t>
      </w:r>
      <w:r w:rsidR="00E45F45" w:rsidRPr="00766DC6">
        <w:rPr>
          <w:sz w:val="22"/>
          <w:szCs w:val="22"/>
        </w:rPr>
        <w:t>2021 Early to Mid-Career Researchers Grant Opportunity</w:t>
      </w:r>
      <w:r w:rsidR="000F7F3C" w:rsidRPr="00766DC6">
        <w:rPr>
          <w:sz w:val="22"/>
          <w:szCs w:val="22"/>
        </w:rPr>
        <w:t>. M</w:t>
      </w:r>
      <w:r w:rsidR="000225FE" w:rsidRPr="00766DC6">
        <w:rPr>
          <w:sz w:val="22"/>
          <w:szCs w:val="22"/>
        </w:rPr>
        <w:t xml:space="preserve">en </w:t>
      </w:r>
      <w:r w:rsidR="000F7F3C" w:rsidRPr="00766DC6">
        <w:rPr>
          <w:sz w:val="22"/>
          <w:szCs w:val="22"/>
        </w:rPr>
        <w:t>were awarded</w:t>
      </w:r>
      <w:r w:rsidR="000225FE" w:rsidRPr="00766DC6">
        <w:rPr>
          <w:sz w:val="22"/>
          <w:szCs w:val="22"/>
        </w:rPr>
        <w:t xml:space="preserve"> a greater number and value of grants from Stream 3 compared to women </w:t>
      </w:r>
      <w:r w:rsidRPr="00766DC6">
        <w:rPr>
          <w:sz w:val="22"/>
          <w:szCs w:val="22"/>
        </w:rPr>
        <w:t>(see Table 8)</w:t>
      </w:r>
      <w:r w:rsidR="008D3DE7">
        <w:rPr>
          <w:sz w:val="22"/>
          <w:szCs w:val="22"/>
        </w:rPr>
        <w:t xml:space="preserve">, but a </w:t>
      </w:r>
      <w:r w:rsidR="00BF1C0C">
        <w:rPr>
          <w:sz w:val="22"/>
          <w:szCs w:val="22"/>
        </w:rPr>
        <w:t xml:space="preserve">markedly </w:t>
      </w:r>
      <w:r w:rsidR="008D3DE7">
        <w:rPr>
          <w:sz w:val="22"/>
          <w:szCs w:val="22"/>
        </w:rPr>
        <w:t>lower number and value for Streams 1 and 2.</w:t>
      </w:r>
    </w:p>
    <w:p w14:paraId="0631DE03" w14:textId="77777777" w:rsidR="00A8577F" w:rsidRPr="00766DC6" w:rsidRDefault="00A8577F" w:rsidP="00503F26">
      <w:pPr>
        <w:pStyle w:val="Paragraphtext"/>
        <w:spacing w:before="120"/>
        <w:jc w:val="both"/>
        <w:rPr>
          <w:sz w:val="22"/>
          <w:szCs w:val="22"/>
        </w:rPr>
      </w:pPr>
    </w:p>
    <w:p w14:paraId="196AA54C" w14:textId="5DF2062B" w:rsidR="009104B3" w:rsidRPr="006C2B28" w:rsidRDefault="00A8577F" w:rsidP="00B95348">
      <w:pPr>
        <w:pStyle w:val="FigureTitle"/>
        <w:spacing w:before="80" w:after="80"/>
      </w:pPr>
      <w:r w:rsidRPr="006C2B28">
        <w:t>Table 8 - Gender of CIA on applications</w:t>
      </w:r>
      <w:r w:rsidR="00164C59">
        <w:t xml:space="preserve"> (apps)</w:t>
      </w:r>
      <w:r w:rsidRPr="006C2B28">
        <w:t xml:space="preserve"> and </w:t>
      </w:r>
      <w:r w:rsidR="00164C59">
        <w:t xml:space="preserve">awarded </w:t>
      </w:r>
      <w:r w:rsidRPr="006C2B28">
        <w:t>grants by Stream</w:t>
      </w:r>
    </w:p>
    <w:tbl>
      <w:tblPr>
        <w:tblW w:w="9781" w:type="dxa"/>
        <w:tblLayout w:type="fixed"/>
        <w:tblLook w:val="04A0" w:firstRow="1" w:lastRow="0" w:firstColumn="1" w:lastColumn="0" w:noHBand="0" w:noVBand="1"/>
      </w:tblPr>
      <w:tblGrid>
        <w:gridCol w:w="1134"/>
        <w:gridCol w:w="709"/>
        <w:gridCol w:w="992"/>
        <w:gridCol w:w="1276"/>
        <w:gridCol w:w="709"/>
        <w:gridCol w:w="992"/>
        <w:gridCol w:w="1134"/>
        <w:gridCol w:w="709"/>
        <w:gridCol w:w="992"/>
        <w:gridCol w:w="1134"/>
      </w:tblGrid>
      <w:tr w:rsidR="00151D20" w:rsidRPr="00FE61E4" w14:paraId="474961CA" w14:textId="77777777" w:rsidTr="00317D25">
        <w:trPr>
          <w:trHeight w:val="54"/>
        </w:trPr>
        <w:tc>
          <w:tcPr>
            <w:tcW w:w="1134" w:type="dxa"/>
            <w:vMerge w:val="restart"/>
            <w:tcBorders>
              <w:top w:val="single" w:sz="4" w:space="0" w:color="000000"/>
              <w:left w:val="nil"/>
              <w:right w:val="single" w:sz="4" w:space="0" w:color="FFFFFF" w:themeColor="background1"/>
            </w:tcBorders>
            <w:shd w:val="clear" w:color="auto" w:fill="18233B" w:themeFill="accent1"/>
            <w:noWrap/>
            <w:vAlign w:val="bottom"/>
          </w:tcPr>
          <w:p w14:paraId="36A9EFEA" w14:textId="4E09011F" w:rsidR="00FE61E4" w:rsidRPr="004E1592" w:rsidRDefault="00FE61E4" w:rsidP="00690414">
            <w:pPr>
              <w:rPr>
                <w:rFonts w:ascii="Calibri" w:hAnsi="Calibri" w:cs="Calibri"/>
                <w:b/>
                <w:bCs/>
                <w:color w:val="FFFFFF"/>
                <w:sz w:val="22"/>
                <w:szCs w:val="22"/>
                <w:lang w:eastAsia="en-AU"/>
              </w:rPr>
            </w:pPr>
            <w:r w:rsidRPr="004E1592">
              <w:rPr>
                <w:rFonts w:cs="Arial"/>
                <w:b/>
                <w:bCs/>
                <w:color w:val="FFFFFF"/>
                <w:sz w:val="16"/>
                <w:szCs w:val="16"/>
                <w:lang w:eastAsia="en-AU"/>
              </w:rPr>
              <w:t>Gender CIA</w:t>
            </w:r>
          </w:p>
        </w:tc>
        <w:tc>
          <w:tcPr>
            <w:tcW w:w="2977" w:type="dxa"/>
            <w:gridSpan w:val="3"/>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8233B" w:themeFill="accent1"/>
            <w:vAlign w:val="bottom"/>
          </w:tcPr>
          <w:p w14:paraId="3065A74B" w14:textId="4F7EB383" w:rsidR="00FE61E4" w:rsidRPr="004E1592" w:rsidRDefault="00FE61E4" w:rsidP="00690414">
            <w:pPr>
              <w:jc w:val="center"/>
              <w:rPr>
                <w:rFonts w:cs="Arial"/>
                <w:b/>
                <w:bCs/>
                <w:color w:val="FFFFFF"/>
                <w:sz w:val="16"/>
                <w:szCs w:val="16"/>
                <w:lang w:eastAsia="en-AU"/>
              </w:rPr>
            </w:pPr>
            <w:r w:rsidRPr="004E1592">
              <w:rPr>
                <w:rFonts w:cs="Arial"/>
                <w:b/>
                <w:bCs/>
                <w:color w:val="FFFFFF"/>
                <w:sz w:val="16"/>
                <w:szCs w:val="16"/>
                <w:lang w:eastAsia="en-AU"/>
              </w:rPr>
              <w:t>Stream 1</w:t>
            </w:r>
          </w:p>
        </w:tc>
        <w:tc>
          <w:tcPr>
            <w:tcW w:w="2835" w:type="dxa"/>
            <w:gridSpan w:val="3"/>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8233B" w:themeFill="accent1"/>
            <w:vAlign w:val="bottom"/>
          </w:tcPr>
          <w:p w14:paraId="46CFC66E" w14:textId="65B3E795" w:rsidR="00FE61E4" w:rsidRPr="004E1592" w:rsidRDefault="00FE61E4" w:rsidP="00690414">
            <w:pPr>
              <w:jc w:val="center"/>
              <w:rPr>
                <w:rFonts w:cs="Arial"/>
                <w:b/>
                <w:bCs/>
                <w:color w:val="FFFFFF"/>
                <w:sz w:val="16"/>
                <w:szCs w:val="16"/>
                <w:lang w:eastAsia="en-AU"/>
              </w:rPr>
            </w:pPr>
            <w:r w:rsidRPr="004E1592">
              <w:rPr>
                <w:rFonts w:cs="Arial"/>
                <w:b/>
                <w:bCs/>
                <w:color w:val="FFFFFF"/>
                <w:sz w:val="16"/>
                <w:szCs w:val="16"/>
                <w:lang w:eastAsia="en-AU"/>
              </w:rPr>
              <w:t>Stream 2</w:t>
            </w:r>
          </w:p>
        </w:tc>
        <w:tc>
          <w:tcPr>
            <w:tcW w:w="2835" w:type="dxa"/>
            <w:gridSpan w:val="3"/>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8233B" w:themeFill="accent1"/>
            <w:vAlign w:val="bottom"/>
          </w:tcPr>
          <w:p w14:paraId="2BFC502A" w14:textId="6A5D9CE2" w:rsidR="00FE61E4" w:rsidRPr="004E1592" w:rsidRDefault="00FE61E4" w:rsidP="00690414">
            <w:pPr>
              <w:jc w:val="center"/>
              <w:rPr>
                <w:rFonts w:cs="Arial"/>
                <w:b/>
                <w:bCs/>
                <w:color w:val="FFFFFF"/>
                <w:sz w:val="16"/>
                <w:szCs w:val="16"/>
                <w:lang w:eastAsia="en-AU"/>
              </w:rPr>
            </w:pPr>
            <w:r w:rsidRPr="004E1592">
              <w:rPr>
                <w:rFonts w:cs="Arial"/>
                <w:b/>
                <w:bCs/>
                <w:color w:val="FFFFFF"/>
                <w:sz w:val="16"/>
                <w:szCs w:val="16"/>
                <w:lang w:eastAsia="en-AU"/>
              </w:rPr>
              <w:t>Stream 3</w:t>
            </w:r>
          </w:p>
        </w:tc>
      </w:tr>
      <w:tr w:rsidR="00B44E73" w:rsidRPr="00FE61E4" w14:paraId="1DC32771" w14:textId="77777777" w:rsidTr="00192489">
        <w:trPr>
          <w:trHeight w:val="120"/>
        </w:trPr>
        <w:tc>
          <w:tcPr>
            <w:tcW w:w="1134" w:type="dxa"/>
            <w:vMerge/>
            <w:tcBorders>
              <w:left w:val="nil"/>
              <w:bottom w:val="single" w:sz="4" w:space="0" w:color="000000"/>
              <w:right w:val="single" w:sz="4" w:space="0" w:color="FFFFFF" w:themeColor="background1"/>
            </w:tcBorders>
            <w:shd w:val="clear" w:color="auto" w:fill="18233B" w:themeFill="accent1"/>
            <w:noWrap/>
            <w:vAlign w:val="bottom"/>
            <w:hideMark/>
          </w:tcPr>
          <w:p w14:paraId="6539680F" w14:textId="35B3CE95" w:rsidR="00FE61E4" w:rsidRPr="004E1592" w:rsidRDefault="00FE61E4" w:rsidP="00690414">
            <w:pPr>
              <w:rPr>
                <w:rFonts w:cs="Arial"/>
                <w:b/>
                <w:bCs/>
                <w:color w:val="FFFFFF"/>
                <w:sz w:val="16"/>
                <w:szCs w:val="16"/>
                <w:lang w:eastAsia="en-AU"/>
              </w:rPr>
            </w:pP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6D176574" w14:textId="420AF881"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6659F3F2" w14:textId="3CA1D93F"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Grants</w:t>
            </w:r>
            <w:r w:rsidR="00164C59">
              <w:rPr>
                <w:rFonts w:cs="Arial"/>
                <w:b/>
                <w:bCs/>
                <w:color w:val="FFFFFF"/>
                <w:sz w:val="16"/>
                <w:szCs w:val="16"/>
                <w:lang w:eastAsia="en-AU"/>
              </w:rPr>
              <w:t xml:space="preserve"> awarded</w:t>
            </w:r>
          </w:p>
        </w:tc>
        <w:tc>
          <w:tcPr>
            <w:tcW w:w="127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23F0655B" w14:textId="138F5DB5"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 xml:space="preserve">Total </w:t>
            </w:r>
            <w:r w:rsidR="00FB0171">
              <w:rPr>
                <w:rFonts w:cs="Arial"/>
                <w:b/>
                <w:bCs/>
                <w:color w:val="FFFFFF"/>
                <w:sz w:val="16"/>
                <w:szCs w:val="16"/>
                <w:lang w:eastAsia="en-AU"/>
              </w:rPr>
              <w:t>amount</w:t>
            </w: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15384D7B" w14:textId="379548B5" w:rsidR="00FE61E4" w:rsidRPr="004E1592" w:rsidRDefault="00164C59" w:rsidP="00690414">
            <w:pPr>
              <w:rPr>
                <w:rFonts w:cs="Arial"/>
                <w:b/>
                <w:bCs/>
                <w:color w:val="FFFFFF"/>
                <w:sz w:val="16"/>
                <w:szCs w:val="16"/>
                <w:lang w:eastAsia="en-AU"/>
              </w:rPr>
            </w:pPr>
            <w:r>
              <w:rPr>
                <w:rFonts w:cs="Arial"/>
                <w:b/>
                <w:bCs/>
                <w:color w:val="FFFFFF"/>
                <w:sz w:val="16"/>
                <w:szCs w:val="16"/>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586D10C0" w14:textId="22ADE7CF"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Grants</w:t>
            </w:r>
            <w:r w:rsidR="00164C59">
              <w:rPr>
                <w:rFonts w:cs="Arial"/>
                <w:b/>
                <w:bCs/>
                <w:color w:val="FFFFFF"/>
                <w:sz w:val="16"/>
                <w:szCs w:val="16"/>
                <w:lang w:eastAsia="en-AU"/>
              </w:rPr>
              <w:t xml:space="preserve"> awarded</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6B287488" w14:textId="6A931AAA"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Total value</w:t>
            </w: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7FDBF9E7" w14:textId="16B535AA"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0A0B7CFF" w14:textId="75131155" w:rsidR="00FE61E4" w:rsidRPr="004E1592" w:rsidRDefault="00164C59" w:rsidP="00690414">
            <w:pPr>
              <w:rPr>
                <w:rFonts w:cs="Arial"/>
                <w:b/>
                <w:bCs/>
                <w:color w:val="FFFFFF"/>
                <w:sz w:val="16"/>
                <w:szCs w:val="16"/>
                <w:lang w:eastAsia="en-AU"/>
              </w:rPr>
            </w:pPr>
            <w:r w:rsidRPr="004E1592">
              <w:rPr>
                <w:rFonts w:cs="Arial"/>
                <w:b/>
                <w:bCs/>
                <w:color w:val="FFFFFF"/>
                <w:sz w:val="16"/>
                <w:szCs w:val="16"/>
                <w:lang w:eastAsia="en-AU"/>
              </w:rPr>
              <w:t>Grants</w:t>
            </w:r>
            <w:r>
              <w:rPr>
                <w:rFonts w:cs="Arial"/>
                <w:b/>
                <w:bCs/>
                <w:color w:val="FFFFFF"/>
                <w:sz w:val="16"/>
                <w:szCs w:val="16"/>
                <w:lang w:eastAsia="en-AU"/>
              </w:rPr>
              <w:t xml:space="preserve"> awarded</w:t>
            </w:r>
          </w:p>
        </w:tc>
        <w:tc>
          <w:tcPr>
            <w:tcW w:w="1134" w:type="dxa"/>
            <w:tcBorders>
              <w:top w:val="single" w:sz="4" w:space="0" w:color="FFFFFF" w:themeColor="background1"/>
              <w:left w:val="single" w:sz="4" w:space="0" w:color="FFFFFF" w:themeColor="background1"/>
              <w:bottom w:val="single" w:sz="4" w:space="0" w:color="000000"/>
            </w:tcBorders>
            <w:shd w:val="clear" w:color="auto" w:fill="18233B" w:themeFill="accent1"/>
            <w:vAlign w:val="bottom"/>
          </w:tcPr>
          <w:p w14:paraId="75C6F237" w14:textId="7E0AB3C1" w:rsidR="00FE61E4" w:rsidRPr="004E1592" w:rsidRDefault="00FE61E4" w:rsidP="00690414">
            <w:pPr>
              <w:rPr>
                <w:rFonts w:cs="Arial"/>
                <w:b/>
                <w:bCs/>
                <w:color w:val="FFFFFF"/>
                <w:sz w:val="16"/>
                <w:szCs w:val="16"/>
                <w:lang w:eastAsia="en-AU"/>
              </w:rPr>
            </w:pPr>
            <w:r w:rsidRPr="004E1592">
              <w:rPr>
                <w:rFonts w:cs="Arial"/>
                <w:b/>
                <w:bCs/>
                <w:color w:val="FFFFFF"/>
                <w:sz w:val="16"/>
                <w:szCs w:val="16"/>
                <w:lang w:eastAsia="en-AU"/>
              </w:rPr>
              <w:t xml:space="preserve">Total </w:t>
            </w:r>
            <w:r w:rsidR="00FB0171">
              <w:rPr>
                <w:rFonts w:cs="Arial"/>
                <w:b/>
                <w:bCs/>
                <w:color w:val="FFFFFF"/>
                <w:sz w:val="16"/>
                <w:szCs w:val="16"/>
                <w:lang w:eastAsia="en-AU"/>
              </w:rPr>
              <w:t>amount</w:t>
            </w:r>
          </w:p>
        </w:tc>
      </w:tr>
      <w:tr w:rsidR="00164C59" w:rsidRPr="00164C59" w14:paraId="7C65D674" w14:textId="77777777" w:rsidTr="00192489">
        <w:trPr>
          <w:trHeight w:val="227"/>
        </w:trPr>
        <w:tc>
          <w:tcPr>
            <w:tcW w:w="1134" w:type="dxa"/>
            <w:tcBorders>
              <w:top w:val="single" w:sz="4" w:space="0" w:color="000000"/>
              <w:left w:val="nil"/>
              <w:bottom w:val="single" w:sz="4" w:space="0" w:color="auto"/>
              <w:right w:val="nil"/>
            </w:tcBorders>
            <w:shd w:val="clear" w:color="auto" w:fill="auto"/>
            <w:noWrap/>
            <w:vAlign w:val="bottom"/>
            <w:hideMark/>
          </w:tcPr>
          <w:p w14:paraId="62CCDBE9" w14:textId="3C3EB841" w:rsidR="009104B3" w:rsidRPr="00164C59" w:rsidRDefault="009104B3" w:rsidP="00690414">
            <w:pPr>
              <w:pStyle w:val="Tabletextleft"/>
              <w:rPr>
                <w:lang w:eastAsia="en-AU"/>
              </w:rPr>
            </w:pPr>
            <w:r w:rsidRPr="00164C59">
              <w:rPr>
                <w:lang w:eastAsia="en-AU"/>
              </w:rPr>
              <w:t>Woman or female</w:t>
            </w:r>
          </w:p>
        </w:tc>
        <w:tc>
          <w:tcPr>
            <w:tcW w:w="709" w:type="dxa"/>
            <w:tcBorders>
              <w:top w:val="single" w:sz="4" w:space="0" w:color="000000"/>
              <w:left w:val="nil"/>
              <w:bottom w:val="single" w:sz="4" w:space="0" w:color="auto"/>
              <w:right w:val="nil"/>
            </w:tcBorders>
            <w:vAlign w:val="bottom"/>
          </w:tcPr>
          <w:p w14:paraId="3C54AEAF" w14:textId="13CF6ABF" w:rsidR="009104B3" w:rsidRPr="00164C59" w:rsidRDefault="00A8577F" w:rsidP="00690414">
            <w:pPr>
              <w:pStyle w:val="Tabletextleft"/>
            </w:pPr>
            <w:r w:rsidRPr="00164C59">
              <w:t>191</w:t>
            </w:r>
          </w:p>
        </w:tc>
        <w:tc>
          <w:tcPr>
            <w:tcW w:w="992" w:type="dxa"/>
            <w:tcBorders>
              <w:top w:val="single" w:sz="4" w:space="0" w:color="000000"/>
              <w:left w:val="nil"/>
              <w:bottom w:val="single" w:sz="4" w:space="0" w:color="auto"/>
              <w:right w:val="nil"/>
            </w:tcBorders>
            <w:vAlign w:val="bottom"/>
          </w:tcPr>
          <w:p w14:paraId="681D6CE2" w14:textId="08ECB3EF" w:rsidR="009104B3" w:rsidRPr="00164C59" w:rsidRDefault="00A8577F" w:rsidP="00690414">
            <w:pPr>
              <w:pStyle w:val="Tabletextleft"/>
              <w:rPr>
                <w:lang w:eastAsia="en-AU"/>
              </w:rPr>
            </w:pPr>
            <w:r w:rsidRPr="00164C59">
              <w:t>5</w:t>
            </w:r>
          </w:p>
        </w:tc>
        <w:tc>
          <w:tcPr>
            <w:tcW w:w="1276" w:type="dxa"/>
            <w:tcBorders>
              <w:top w:val="single" w:sz="4" w:space="0" w:color="000000"/>
              <w:left w:val="nil"/>
              <w:bottom w:val="single" w:sz="4" w:space="0" w:color="auto"/>
              <w:right w:val="nil"/>
            </w:tcBorders>
            <w:vAlign w:val="bottom"/>
          </w:tcPr>
          <w:p w14:paraId="4BE701E0" w14:textId="03E81697" w:rsidR="009104B3" w:rsidRPr="00164C59" w:rsidRDefault="009978D5" w:rsidP="00690414">
            <w:pPr>
              <w:pStyle w:val="Tabletextleft"/>
              <w:rPr>
                <w:lang w:eastAsia="en-AU"/>
              </w:rPr>
            </w:pPr>
            <w:r w:rsidRPr="00164C59">
              <w:rPr>
                <w:lang w:eastAsia="en-AU"/>
              </w:rPr>
              <w:t>$4,086,814</w:t>
            </w:r>
          </w:p>
        </w:tc>
        <w:tc>
          <w:tcPr>
            <w:tcW w:w="709" w:type="dxa"/>
            <w:tcBorders>
              <w:top w:val="single" w:sz="4" w:space="0" w:color="000000"/>
              <w:left w:val="nil"/>
              <w:bottom w:val="single" w:sz="4" w:space="0" w:color="auto"/>
              <w:right w:val="nil"/>
            </w:tcBorders>
            <w:vAlign w:val="bottom"/>
          </w:tcPr>
          <w:p w14:paraId="45C2F44B" w14:textId="1D6014EE" w:rsidR="009104B3" w:rsidRPr="00164C59" w:rsidRDefault="00A8577F" w:rsidP="00690414">
            <w:pPr>
              <w:pStyle w:val="Tabletextleft"/>
            </w:pPr>
            <w:r w:rsidRPr="00164C59">
              <w:t>57</w:t>
            </w:r>
          </w:p>
        </w:tc>
        <w:tc>
          <w:tcPr>
            <w:tcW w:w="992" w:type="dxa"/>
            <w:tcBorders>
              <w:top w:val="single" w:sz="4" w:space="0" w:color="000000"/>
              <w:left w:val="nil"/>
              <w:bottom w:val="single" w:sz="4" w:space="0" w:color="auto"/>
              <w:right w:val="nil"/>
            </w:tcBorders>
            <w:vAlign w:val="bottom"/>
          </w:tcPr>
          <w:p w14:paraId="783FDE2A" w14:textId="624CDC29" w:rsidR="009104B3" w:rsidRPr="00164C59" w:rsidRDefault="00A8577F" w:rsidP="00690414">
            <w:pPr>
              <w:pStyle w:val="Tabletextleft"/>
              <w:rPr>
                <w:lang w:eastAsia="en-AU"/>
              </w:rPr>
            </w:pPr>
            <w:r w:rsidRPr="00164C59">
              <w:rPr>
                <w:lang w:eastAsia="en-AU"/>
              </w:rPr>
              <w:t>4</w:t>
            </w:r>
          </w:p>
        </w:tc>
        <w:tc>
          <w:tcPr>
            <w:tcW w:w="1134" w:type="dxa"/>
            <w:tcBorders>
              <w:top w:val="single" w:sz="4" w:space="0" w:color="000000"/>
              <w:left w:val="nil"/>
              <w:bottom w:val="single" w:sz="4" w:space="0" w:color="auto"/>
              <w:right w:val="nil"/>
            </w:tcBorders>
            <w:vAlign w:val="bottom"/>
          </w:tcPr>
          <w:p w14:paraId="453AF1C3" w14:textId="79B74836" w:rsidR="009104B3" w:rsidRPr="00164C59" w:rsidRDefault="009978D5" w:rsidP="00690414">
            <w:pPr>
              <w:pStyle w:val="Tabletextleft"/>
              <w:rPr>
                <w:lang w:eastAsia="en-AU"/>
              </w:rPr>
            </w:pPr>
            <w:r w:rsidRPr="00164C59">
              <w:rPr>
                <w:lang w:eastAsia="en-AU"/>
              </w:rPr>
              <w:t>$18,399,528</w:t>
            </w:r>
          </w:p>
        </w:tc>
        <w:tc>
          <w:tcPr>
            <w:tcW w:w="709" w:type="dxa"/>
            <w:tcBorders>
              <w:top w:val="single" w:sz="4" w:space="0" w:color="000000"/>
              <w:left w:val="nil"/>
              <w:bottom w:val="single" w:sz="4" w:space="0" w:color="auto"/>
              <w:right w:val="nil"/>
            </w:tcBorders>
            <w:vAlign w:val="bottom"/>
          </w:tcPr>
          <w:p w14:paraId="1E23E099" w14:textId="44C0EDEE" w:rsidR="009104B3" w:rsidRPr="00164C59" w:rsidRDefault="00A8577F" w:rsidP="00690414">
            <w:pPr>
              <w:pStyle w:val="Tabletextleft"/>
            </w:pPr>
            <w:r w:rsidRPr="00164C59">
              <w:t>7</w:t>
            </w:r>
          </w:p>
        </w:tc>
        <w:tc>
          <w:tcPr>
            <w:tcW w:w="992" w:type="dxa"/>
            <w:tcBorders>
              <w:top w:val="single" w:sz="4" w:space="0" w:color="000000"/>
              <w:left w:val="nil"/>
              <w:bottom w:val="single" w:sz="4" w:space="0" w:color="auto"/>
              <w:right w:val="nil"/>
            </w:tcBorders>
            <w:vAlign w:val="bottom"/>
          </w:tcPr>
          <w:p w14:paraId="01598D1A" w14:textId="0DF7AA71" w:rsidR="009104B3" w:rsidRPr="00164C59" w:rsidRDefault="00A8577F" w:rsidP="00690414">
            <w:pPr>
              <w:pStyle w:val="Tabletextleft"/>
              <w:rPr>
                <w:lang w:eastAsia="en-AU"/>
              </w:rPr>
            </w:pPr>
            <w:r w:rsidRPr="00164C59">
              <w:rPr>
                <w:lang w:eastAsia="en-AU"/>
              </w:rPr>
              <w:t>3</w:t>
            </w:r>
          </w:p>
        </w:tc>
        <w:tc>
          <w:tcPr>
            <w:tcW w:w="1134" w:type="dxa"/>
            <w:tcBorders>
              <w:top w:val="single" w:sz="4" w:space="0" w:color="000000"/>
              <w:left w:val="nil"/>
              <w:bottom w:val="single" w:sz="4" w:space="0" w:color="auto"/>
              <w:right w:val="nil"/>
            </w:tcBorders>
            <w:vAlign w:val="bottom"/>
          </w:tcPr>
          <w:p w14:paraId="6386C7F4" w14:textId="075A4A03" w:rsidR="009104B3" w:rsidRPr="00164C59" w:rsidRDefault="009978D5" w:rsidP="00690414">
            <w:pPr>
              <w:pStyle w:val="Tabletextleft"/>
              <w:rPr>
                <w:lang w:eastAsia="en-AU"/>
              </w:rPr>
            </w:pPr>
            <w:r w:rsidRPr="00164C59">
              <w:rPr>
                <w:lang w:eastAsia="en-AU"/>
              </w:rPr>
              <w:t>$2,984,562</w:t>
            </w:r>
          </w:p>
        </w:tc>
      </w:tr>
      <w:tr w:rsidR="00164C59" w:rsidRPr="00164C59" w14:paraId="438B00BA" w14:textId="77777777" w:rsidTr="000C3317">
        <w:trPr>
          <w:trHeight w:val="227"/>
        </w:trPr>
        <w:tc>
          <w:tcPr>
            <w:tcW w:w="1134" w:type="dxa"/>
            <w:tcBorders>
              <w:top w:val="single" w:sz="4" w:space="0" w:color="auto"/>
              <w:left w:val="nil"/>
              <w:bottom w:val="single" w:sz="4" w:space="0" w:color="auto"/>
              <w:right w:val="nil"/>
            </w:tcBorders>
            <w:shd w:val="clear" w:color="auto" w:fill="auto"/>
            <w:noWrap/>
            <w:vAlign w:val="bottom"/>
            <w:hideMark/>
          </w:tcPr>
          <w:p w14:paraId="69E10990" w14:textId="2D4AB52F" w:rsidR="009104B3" w:rsidRPr="00164C59" w:rsidRDefault="009104B3" w:rsidP="00690414">
            <w:pPr>
              <w:pStyle w:val="Tabletextleft"/>
              <w:rPr>
                <w:lang w:eastAsia="en-AU"/>
              </w:rPr>
            </w:pPr>
            <w:proofErr w:type="gramStart"/>
            <w:r w:rsidRPr="00164C59">
              <w:rPr>
                <w:lang w:eastAsia="en-AU"/>
              </w:rPr>
              <w:t>Man</w:t>
            </w:r>
            <w:proofErr w:type="gramEnd"/>
            <w:r w:rsidRPr="00164C59">
              <w:rPr>
                <w:lang w:eastAsia="en-AU"/>
              </w:rPr>
              <w:t xml:space="preserve"> or male</w:t>
            </w:r>
          </w:p>
        </w:tc>
        <w:tc>
          <w:tcPr>
            <w:tcW w:w="709" w:type="dxa"/>
            <w:tcBorders>
              <w:top w:val="single" w:sz="4" w:space="0" w:color="auto"/>
              <w:left w:val="nil"/>
              <w:bottom w:val="single" w:sz="4" w:space="0" w:color="auto"/>
              <w:right w:val="nil"/>
            </w:tcBorders>
            <w:vAlign w:val="bottom"/>
          </w:tcPr>
          <w:p w14:paraId="791364B0" w14:textId="22021527" w:rsidR="009104B3" w:rsidRPr="00164C59" w:rsidRDefault="00A8577F" w:rsidP="00690414">
            <w:pPr>
              <w:pStyle w:val="Tabletextleft"/>
            </w:pPr>
            <w:r w:rsidRPr="00164C59">
              <w:t>111</w:t>
            </w:r>
          </w:p>
        </w:tc>
        <w:tc>
          <w:tcPr>
            <w:tcW w:w="992" w:type="dxa"/>
            <w:tcBorders>
              <w:top w:val="single" w:sz="4" w:space="0" w:color="auto"/>
              <w:left w:val="nil"/>
              <w:bottom w:val="single" w:sz="4" w:space="0" w:color="auto"/>
              <w:right w:val="nil"/>
            </w:tcBorders>
            <w:vAlign w:val="bottom"/>
          </w:tcPr>
          <w:p w14:paraId="7938C907" w14:textId="19294669" w:rsidR="009104B3" w:rsidRPr="00164C59" w:rsidRDefault="00A8577F" w:rsidP="00690414">
            <w:pPr>
              <w:pStyle w:val="Tabletextleft"/>
              <w:rPr>
                <w:lang w:eastAsia="en-AU"/>
              </w:rPr>
            </w:pPr>
            <w:r w:rsidRPr="00164C59">
              <w:rPr>
                <w:lang w:eastAsia="en-AU"/>
              </w:rPr>
              <w:t>4</w:t>
            </w:r>
          </w:p>
        </w:tc>
        <w:tc>
          <w:tcPr>
            <w:tcW w:w="1276" w:type="dxa"/>
            <w:tcBorders>
              <w:top w:val="single" w:sz="4" w:space="0" w:color="auto"/>
              <w:left w:val="nil"/>
              <w:bottom w:val="single" w:sz="4" w:space="0" w:color="auto"/>
              <w:right w:val="nil"/>
            </w:tcBorders>
            <w:vAlign w:val="bottom"/>
          </w:tcPr>
          <w:p w14:paraId="12850B14" w14:textId="2DD61B73" w:rsidR="009104B3" w:rsidRPr="00164C59" w:rsidRDefault="009978D5" w:rsidP="00690414">
            <w:pPr>
              <w:pStyle w:val="Tabletextleft"/>
              <w:rPr>
                <w:lang w:eastAsia="en-AU"/>
              </w:rPr>
            </w:pPr>
            <w:r w:rsidRPr="00164C59">
              <w:rPr>
                <w:lang w:eastAsia="en-AU"/>
              </w:rPr>
              <w:t>$2,329,283</w:t>
            </w:r>
          </w:p>
        </w:tc>
        <w:tc>
          <w:tcPr>
            <w:tcW w:w="709" w:type="dxa"/>
            <w:tcBorders>
              <w:top w:val="single" w:sz="4" w:space="0" w:color="auto"/>
              <w:left w:val="nil"/>
              <w:bottom w:val="single" w:sz="4" w:space="0" w:color="auto"/>
              <w:right w:val="nil"/>
            </w:tcBorders>
            <w:vAlign w:val="bottom"/>
          </w:tcPr>
          <w:p w14:paraId="46C928A8" w14:textId="161B2859" w:rsidR="009104B3" w:rsidRPr="00164C59" w:rsidRDefault="00A8577F" w:rsidP="00690414">
            <w:pPr>
              <w:pStyle w:val="Tabletextleft"/>
            </w:pPr>
            <w:r w:rsidRPr="00164C59">
              <w:t>42</w:t>
            </w:r>
          </w:p>
        </w:tc>
        <w:tc>
          <w:tcPr>
            <w:tcW w:w="992" w:type="dxa"/>
            <w:tcBorders>
              <w:top w:val="single" w:sz="4" w:space="0" w:color="auto"/>
              <w:left w:val="nil"/>
              <w:bottom w:val="single" w:sz="4" w:space="0" w:color="auto"/>
              <w:right w:val="nil"/>
            </w:tcBorders>
            <w:vAlign w:val="bottom"/>
          </w:tcPr>
          <w:p w14:paraId="1506C9B9" w14:textId="2EB5551C" w:rsidR="009104B3" w:rsidRPr="00164C59" w:rsidRDefault="00A8577F" w:rsidP="00690414">
            <w:pPr>
              <w:pStyle w:val="Tabletextleft"/>
              <w:rPr>
                <w:lang w:eastAsia="en-AU"/>
              </w:rPr>
            </w:pPr>
            <w:r w:rsidRPr="00164C59">
              <w:rPr>
                <w:lang w:eastAsia="en-AU"/>
              </w:rPr>
              <w:t>2</w:t>
            </w:r>
          </w:p>
        </w:tc>
        <w:tc>
          <w:tcPr>
            <w:tcW w:w="1134" w:type="dxa"/>
            <w:tcBorders>
              <w:top w:val="single" w:sz="4" w:space="0" w:color="auto"/>
              <w:left w:val="nil"/>
              <w:bottom w:val="single" w:sz="4" w:space="0" w:color="auto"/>
              <w:right w:val="nil"/>
            </w:tcBorders>
            <w:vAlign w:val="bottom"/>
          </w:tcPr>
          <w:p w14:paraId="40756E50" w14:textId="09E7D3C3" w:rsidR="009104B3" w:rsidRPr="00164C59" w:rsidRDefault="009978D5" w:rsidP="00690414">
            <w:pPr>
              <w:pStyle w:val="Tabletextleft"/>
              <w:rPr>
                <w:lang w:eastAsia="en-AU"/>
              </w:rPr>
            </w:pPr>
            <w:r w:rsidRPr="00164C59">
              <w:rPr>
                <w:lang w:eastAsia="en-AU"/>
              </w:rPr>
              <w:t>$9,797,431</w:t>
            </w:r>
          </w:p>
        </w:tc>
        <w:tc>
          <w:tcPr>
            <w:tcW w:w="709" w:type="dxa"/>
            <w:tcBorders>
              <w:top w:val="single" w:sz="4" w:space="0" w:color="auto"/>
              <w:left w:val="nil"/>
              <w:bottom w:val="single" w:sz="4" w:space="0" w:color="auto"/>
              <w:right w:val="nil"/>
            </w:tcBorders>
            <w:vAlign w:val="bottom"/>
          </w:tcPr>
          <w:p w14:paraId="0945F90B" w14:textId="72B99FA9" w:rsidR="009104B3" w:rsidRPr="00164C59" w:rsidRDefault="00A8577F" w:rsidP="00690414">
            <w:pPr>
              <w:pStyle w:val="Tabletextleft"/>
            </w:pPr>
            <w:r w:rsidRPr="00164C59">
              <w:t>9</w:t>
            </w:r>
          </w:p>
        </w:tc>
        <w:tc>
          <w:tcPr>
            <w:tcW w:w="992" w:type="dxa"/>
            <w:tcBorders>
              <w:top w:val="single" w:sz="4" w:space="0" w:color="auto"/>
              <w:left w:val="nil"/>
              <w:bottom w:val="single" w:sz="4" w:space="0" w:color="auto"/>
              <w:right w:val="nil"/>
            </w:tcBorders>
            <w:vAlign w:val="bottom"/>
          </w:tcPr>
          <w:p w14:paraId="7415BE10" w14:textId="3AFEABB1" w:rsidR="009104B3" w:rsidRPr="00164C59" w:rsidRDefault="00A8577F" w:rsidP="00690414">
            <w:pPr>
              <w:pStyle w:val="Tabletextleft"/>
              <w:rPr>
                <w:lang w:eastAsia="en-AU"/>
              </w:rPr>
            </w:pPr>
            <w:r w:rsidRPr="00164C59">
              <w:rPr>
                <w:lang w:eastAsia="en-AU"/>
              </w:rPr>
              <w:t>5</w:t>
            </w:r>
          </w:p>
        </w:tc>
        <w:tc>
          <w:tcPr>
            <w:tcW w:w="1134" w:type="dxa"/>
            <w:tcBorders>
              <w:top w:val="single" w:sz="4" w:space="0" w:color="auto"/>
              <w:left w:val="nil"/>
              <w:bottom w:val="single" w:sz="4" w:space="0" w:color="auto"/>
              <w:right w:val="nil"/>
            </w:tcBorders>
            <w:vAlign w:val="bottom"/>
          </w:tcPr>
          <w:p w14:paraId="01296533" w14:textId="1DB3902C" w:rsidR="009104B3" w:rsidRPr="00164C59" w:rsidRDefault="009978D5" w:rsidP="00690414">
            <w:pPr>
              <w:pStyle w:val="Tabletextleft"/>
              <w:rPr>
                <w:lang w:eastAsia="en-AU"/>
              </w:rPr>
            </w:pPr>
            <w:r w:rsidRPr="00164C59">
              <w:rPr>
                <w:lang w:eastAsia="en-AU"/>
              </w:rPr>
              <w:t>$5,202,383</w:t>
            </w:r>
          </w:p>
        </w:tc>
      </w:tr>
      <w:tr w:rsidR="00ED3149" w:rsidRPr="00164C59" w14:paraId="10232039" w14:textId="77777777" w:rsidTr="000C3317">
        <w:trPr>
          <w:trHeight w:val="227"/>
        </w:trPr>
        <w:tc>
          <w:tcPr>
            <w:tcW w:w="1134" w:type="dxa"/>
            <w:tcBorders>
              <w:top w:val="single" w:sz="4" w:space="0" w:color="auto"/>
              <w:left w:val="nil"/>
              <w:bottom w:val="single" w:sz="4" w:space="0" w:color="auto"/>
              <w:right w:val="nil"/>
            </w:tcBorders>
            <w:shd w:val="clear" w:color="auto" w:fill="auto"/>
            <w:noWrap/>
            <w:vAlign w:val="bottom"/>
          </w:tcPr>
          <w:p w14:paraId="21E4673A" w14:textId="19B09D05" w:rsidR="00ED3149" w:rsidRPr="00164C59" w:rsidRDefault="00ED3149" w:rsidP="00690414">
            <w:pPr>
              <w:pStyle w:val="Tabletextleft"/>
              <w:rPr>
                <w:lang w:eastAsia="en-AU"/>
              </w:rPr>
            </w:pPr>
            <w:r>
              <w:rPr>
                <w:lang w:eastAsia="en-AU"/>
              </w:rPr>
              <w:t>Non-binary</w:t>
            </w:r>
          </w:p>
        </w:tc>
        <w:tc>
          <w:tcPr>
            <w:tcW w:w="709" w:type="dxa"/>
            <w:tcBorders>
              <w:top w:val="single" w:sz="4" w:space="0" w:color="auto"/>
              <w:left w:val="nil"/>
              <w:bottom w:val="single" w:sz="4" w:space="0" w:color="auto"/>
              <w:right w:val="nil"/>
            </w:tcBorders>
            <w:vAlign w:val="bottom"/>
          </w:tcPr>
          <w:p w14:paraId="5258E3B3" w14:textId="50071FE3" w:rsidR="00ED3149" w:rsidRPr="00164C59" w:rsidRDefault="00ED3149" w:rsidP="00690414">
            <w:pPr>
              <w:pStyle w:val="Tabletextleft"/>
            </w:pPr>
            <w:r>
              <w:t>0</w:t>
            </w:r>
          </w:p>
        </w:tc>
        <w:tc>
          <w:tcPr>
            <w:tcW w:w="992" w:type="dxa"/>
            <w:tcBorders>
              <w:top w:val="single" w:sz="4" w:space="0" w:color="auto"/>
              <w:left w:val="nil"/>
              <w:bottom w:val="single" w:sz="4" w:space="0" w:color="auto"/>
              <w:right w:val="nil"/>
            </w:tcBorders>
            <w:vAlign w:val="bottom"/>
          </w:tcPr>
          <w:p w14:paraId="37243CBE" w14:textId="74897A3B" w:rsidR="00ED3149" w:rsidRPr="00164C59" w:rsidRDefault="00ED3149" w:rsidP="00690414">
            <w:pPr>
              <w:pStyle w:val="Tabletextleft"/>
              <w:rPr>
                <w:lang w:eastAsia="en-AU"/>
              </w:rPr>
            </w:pPr>
            <w:r>
              <w:rPr>
                <w:lang w:eastAsia="en-AU"/>
              </w:rPr>
              <w:t>-</w:t>
            </w:r>
          </w:p>
        </w:tc>
        <w:tc>
          <w:tcPr>
            <w:tcW w:w="1276" w:type="dxa"/>
            <w:tcBorders>
              <w:top w:val="single" w:sz="4" w:space="0" w:color="auto"/>
              <w:left w:val="nil"/>
              <w:bottom w:val="single" w:sz="4" w:space="0" w:color="auto"/>
              <w:right w:val="nil"/>
            </w:tcBorders>
            <w:vAlign w:val="bottom"/>
          </w:tcPr>
          <w:p w14:paraId="043B2263" w14:textId="734C30C9" w:rsidR="00ED3149" w:rsidRPr="00164C59" w:rsidRDefault="00ED3149" w:rsidP="00690414">
            <w:pPr>
              <w:pStyle w:val="Tabletextleft"/>
              <w:rPr>
                <w:lang w:eastAsia="en-AU"/>
              </w:rPr>
            </w:pPr>
            <w:r>
              <w:rPr>
                <w:lang w:eastAsia="en-AU"/>
              </w:rPr>
              <w:t>-</w:t>
            </w:r>
          </w:p>
        </w:tc>
        <w:tc>
          <w:tcPr>
            <w:tcW w:w="709" w:type="dxa"/>
            <w:tcBorders>
              <w:top w:val="single" w:sz="4" w:space="0" w:color="auto"/>
              <w:left w:val="nil"/>
              <w:bottom w:val="single" w:sz="4" w:space="0" w:color="auto"/>
              <w:right w:val="nil"/>
            </w:tcBorders>
            <w:vAlign w:val="bottom"/>
          </w:tcPr>
          <w:p w14:paraId="6BA2EFE0" w14:textId="2EB0E917" w:rsidR="00ED3149" w:rsidRPr="00164C59" w:rsidRDefault="00ED3149" w:rsidP="00690414">
            <w:pPr>
              <w:pStyle w:val="Tabletextleft"/>
            </w:pPr>
            <w:r>
              <w:t>0</w:t>
            </w:r>
          </w:p>
        </w:tc>
        <w:tc>
          <w:tcPr>
            <w:tcW w:w="992" w:type="dxa"/>
            <w:tcBorders>
              <w:top w:val="single" w:sz="4" w:space="0" w:color="auto"/>
              <w:left w:val="nil"/>
              <w:bottom w:val="single" w:sz="4" w:space="0" w:color="auto"/>
              <w:right w:val="nil"/>
            </w:tcBorders>
            <w:vAlign w:val="bottom"/>
          </w:tcPr>
          <w:p w14:paraId="64D96241" w14:textId="50AC8941" w:rsidR="00ED3149" w:rsidRPr="00164C59" w:rsidRDefault="00ED3149" w:rsidP="00690414">
            <w:pPr>
              <w:pStyle w:val="Tabletextleft"/>
              <w:rPr>
                <w:lang w:eastAsia="en-AU"/>
              </w:rPr>
            </w:pPr>
            <w:r>
              <w:rPr>
                <w:lang w:eastAsia="en-AU"/>
              </w:rPr>
              <w:t>-</w:t>
            </w:r>
          </w:p>
        </w:tc>
        <w:tc>
          <w:tcPr>
            <w:tcW w:w="1134" w:type="dxa"/>
            <w:tcBorders>
              <w:top w:val="single" w:sz="4" w:space="0" w:color="auto"/>
              <w:left w:val="nil"/>
              <w:bottom w:val="single" w:sz="4" w:space="0" w:color="auto"/>
              <w:right w:val="nil"/>
            </w:tcBorders>
            <w:vAlign w:val="bottom"/>
          </w:tcPr>
          <w:p w14:paraId="029B3773" w14:textId="7A90B747" w:rsidR="00ED3149" w:rsidRPr="00164C59" w:rsidRDefault="00ED3149" w:rsidP="00690414">
            <w:pPr>
              <w:pStyle w:val="Tabletextleft"/>
              <w:rPr>
                <w:lang w:eastAsia="en-AU"/>
              </w:rPr>
            </w:pPr>
            <w:r>
              <w:rPr>
                <w:lang w:eastAsia="en-AU"/>
              </w:rPr>
              <w:t>-</w:t>
            </w:r>
          </w:p>
        </w:tc>
        <w:tc>
          <w:tcPr>
            <w:tcW w:w="709" w:type="dxa"/>
            <w:tcBorders>
              <w:top w:val="single" w:sz="4" w:space="0" w:color="auto"/>
              <w:left w:val="nil"/>
              <w:bottom w:val="single" w:sz="4" w:space="0" w:color="auto"/>
              <w:right w:val="nil"/>
            </w:tcBorders>
            <w:vAlign w:val="bottom"/>
          </w:tcPr>
          <w:p w14:paraId="17AAF678" w14:textId="29E88075" w:rsidR="00ED3149" w:rsidRPr="00164C59" w:rsidRDefault="00ED3149" w:rsidP="00690414">
            <w:pPr>
              <w:pStyle w:val="Tabletextleft"/>
            </w:pPr>
            <w:r>
              <w:t>0</w:t>
            </w:r>
          </w:p>
        </w:tc>
        <w:tc>
          <w:tcPr>
            <w:tcW w:w="992" w:type="dxa"/>
            <w:tcBorders>
              <w:top w:val="single" w:sz="4" w:space="0" w:color="auto"/>
              <w:left w:val="nil"/>
              <w:bottom w:val="single" w:sz="4" w:space="0" w:color="auto"/>
              <w:right w:val="nil"/>
            </w:tcBorders>
            <w:vAlign w:val="bottom"/>
          </w:tcPr>
          <w:p w14:paraId="14BE1C36" w14:textId="0F06212C" w:rsidR="00ED3149" w:rsidRPr="00164C59" w:rsidRDefault="00ED3149" w:rsidP="00690414">
            <w:pPr>
              <w:pStyle w:val="Tabletextleft"/>
              <w:rPr>
                <w:lang w:eastAsia="en-AU"/>
              </w:rPr>
            </w:pPr>
            <w:r>
              <w:rPr>
                <w:lang w:eastAsia="en-AU"/>
              </w:rPr>
              <w:t>-</w:t>
            </w:r>
          </w:p>
        </w:tc>
        <w:tc>
          <w:tcPr>
            <w:tcW w:w="1134" w:type="dxa"/>
            <w:tcBorders>
              <w:top w:val="single" w:sz="4" w:space="0" w:color="auto"/>
              <w:left w:val="nil"/>
              <w:bottom w:val="single" w:sz="4" w:space="0" w:color="auto"/>
              <w:right w:val="nil"/>
            </w:tcBorders>
            <w:vAlign w:val="bottom"/>
          </w:tcPr>
          <w:p w14:paraId="5C4CFA17" w14:textId="13587425" w:rsidR="00ED3149" w:rsidRPr="00164C59" w:rsidRDefault="00ED3149" w:rsidP="00690414">
            <w:pPr>
              <w:pStyle w:val="Tabletextleft"/>
              <w:rPr>
                <w:lang w:eastAsia="en-AU"/>
              </w:rPr>
            </w:pPr>
            <w:r>
              <w:rPr>
                <w:lang w:eastAsia="en-AU"/>
              </w:rPr>
              <w:t>-</w:t>
            </w:r>
          </w:p>
        </w:tc>
      </w:tr>
      <w:tr w:rsidR="00164C59" w:rsidRPr="00164C59" w14:paraId="73AA4512" w14:textId="77777777" w:rsidTr="000C3317">
        <w:trPr>
          <w:trHeight w:val="227"/>
        </w:trPr>
        <w:tc>
          <w:tcPr>
            <w:tcW w:w="1134" w:type="dxa"/>
            <w:tcBorders>
              <w:top w:val="single" w:sz="4" w:space="0" w:color="auto"/>
              <w:left w:val="nil"/>
              <w:bottom w:val="single" w:sz="4" w:space="0" w:color="auto"/>
              <w:right w:val="nil"/>
            </w:tcBorders>
            <w:shd w:val="clear" w:color="auto" w:fill="auto"/>
            <w:noWrap/>
            <w:vAlign w:val="bottom"/>
            <w:hideMark/>
          </w:tcPr>
          <w:p w14:paraId="46A7C792" w14:textId="0CAEA188" w:rsidR="009104B3" w:rsidRPr="00164C59" w:rsidRDefault="009104B3" w:rsidP="00690414">
            <w:pPr>
              <w:pStyle w:val="Tabletextleft"/>
              <w:rPr>
                <w:lang w:eastAsia="en-AU"/>
              </w:rPr>
            </w:pPr>
            <w:r w:rsidRPr="00164C59">
              <w:rPr>
                <w:lang w:eastAsia="en-AU"/>
              </w:rPr>
              <w:t xml:space="preserve">Not </w:t>
            </w:r>
            <w:r w:rsidR="00C503AF" w:rsidRPr="00164C59">
              <w:rPr>
                <w:lang w:eastAsia="en-AU"/>
              </w:rPr>
              <w:t>reported</w:t>
            </w:r>
          </w:p>
        </w:tc>
        <w:tc>
          <w:tcPr>
            <w:tcW w:w="709" w:type="dxa"/>
            <w:tcBorders>
              <w:top w:val="single" w:sz="4" w:space="0" w:color="auto"/>
              <w:left w:val="nil"/>
              <w:bottom w:val="single" w:sz="4" w:space="0" w:color="auto"/>
              <w:right w:val="nil"/>
            </w:tcBorders>
            <w:vAlign w:val="bottom"/>
          </w:tcPr>
          <w:p w14:paraId="4B1598A0" w14:textId="40245866" w:rsidR="009104B3" w:rsidRPr="00164C59" w:rsidRDefault="00A8577F" w:rsidP="00690414">
            <w:pPr>
              <w:pStyle w:val="Tabletextleft"/>
            </w:pPr>
            <w:r w:rsidRPr="00164C59">
              <w:t>1</w:t>
            </w:r>
          </w:p>
        </w:tc>
        <w:tc>
          <w:tcPr>
            <w:tcW w:w="992" w:type="dxa"/>
            <w:tcBorders>
              <w:top w:val="single" w:sz="4" w:space="0" w:color="auto"/>
              <w:left w:val="nil"/>
              <w:bottom w:val="single" w:sz="4" w:space="0" w:color="auto"/>
              <w:right w:val="nil"/>
            </w:tcBorders>
            <w:vAlign w:val="bottom"/>
          </w:tcPr>
          <w:p w14:paraId="2DA00A60" w14:textId="7D1209C1" w:rsidR="009104B3" w:rsidRPr="00164C59" w:rsidRDefault="00A8577F" w:rsidP="00690414">
            <w:pPr>
              <w:pStyle w:val="Tabletextleft"/>
              <w:rPr>
                <w:lang w:eastAsia="en-AU"/>
              </w:rPr>
            </w:pPr>
            <w:r w:rsidRPr="00164C59">
              <w:rPr>
                <w:lang w:eastAsia="en-AU"/>
              </w:rPr>
              <w:t>0</w:t>
            </w:r>
          </w:p>
        </w:tc>
        <w:tc>
          <w:tcPr>
            <w:tcW w:w="1276" w:type="dxa"/>
            <w:tcBorders>
              <w:top w:val="single" w:sz="4" w:space="0" w:color="auto"/>
              <w:left w:val="nil"/>
              <w:bottom w:val="single" w:sz="4" w:space="0" w:color="auto"/>
              <w:right w:val="nil"/>
            </w:tcBorders>
            <w:vAlign w:val="bottom"/>
          </w:tcPr>
          <w:p w14:paraId="6FBAD2A6" w14:textId="0665A791" w:rsidR="009104B3" w:rsidRPr="00164C59" w:rsidRDefault="00A8577F" w:rsidP="00690414">
            <w:pPr>
              <w:pStyle w:val="Tabletextleft"/>
              <w:rPr>
                <w:lang w:eastAsia="en-AU"/>
              </w:rPr>
            </w:pPr>
            <w:r w:rsidRPr="00164C59">
              <w:rPr>
                <w:lang w:eastAsia="en-AU"/>
              </w:rPr>
              <w:t>$0</w:t>
            </w:r>
          </w:p>
        </w:tc>
        <w:tc>
          <w:tcPr>
            <w:tcW w:w="709" w:type="dxa"/>
            <w:tcBorders>
              <w:top w:val="single" w:sz="4" w:space="0" w:color="auto"/>
              <w:left w:val="nil"/>
              <w:bottom w:val="single" w:sz="4" w:space="0" w:color="auto"/>
              <w:right w:val="nil"/>
            </w:tcBorders>
            <w:vAlign w:val="bottom"/>
          </w:tcPr>
          <w:p w14:paraId="0963C952" w14:textId="01893468" w:rsidR="009104B3" w:rsidRPr="00164C59" w:rsidRDefault="00ED3149" w:rsidP="00690414">
            <w:pPr>
              <w:pStyle w:val="Tabletextleft"/>
            </w:pPr>
            <w:r>
              <w:t>0</w:t>
            </w:r>
          </w:p>
        </w:tc>
        <w:tc>
          <w:tcPr>
            <w:tcW w:w="992" w:type="dxa"/>
            <w:tcBorders>
              <w:top w:val="single" w:sz="4" w:space="0" w:color="auto"/>
              <w:left w:val="nil"/>
              <w:bottom w:val="single" w:sz="4" w:space="0" w:color="auto"/>
              <w:right w:val="nil"/>
            </w:tcBorders>
            <w:vAlign w:val="bottom"/>
          </w:tcPr>
          <w:p w14:paraId="6D3018F9" w14:textId="7BBF9F61" w:rsidR="009104B3" w:rsidRPr="00164C59" w:rsidRDefault="00A8577F" w:rsidP="00690414">
            <w:pPr>
              <w:pStyle w:val="Tabletextleft"/>
              <w:rPr>
                <w:lang w:eastAsia="en-AU"/>
              </w:rPr>
            </w:pPr>
            <w:r w:rsidRPr="00164C59">
              <w:t>-</w:t>
            </w:r>
          </w:p>
        </w:tc>
        <w:tc>
          <w:tcPr>
            <w:tcW w:w="1134" w:type="dxa"/>
            <w:tcBorders>
              <w:top w:val="single" w:sz="4" w:space="0" w:color="auto"/>
              <w:left w:val="nil"/>
              <w:bottom w:val="single" w:sz="4" w:space="0" w:color="auto"/>
              <w:right w:val="nil"/>
            </w:tcBorders>
            <w:vAlign w:val="bottom"/>
          </w:tcPr>
          <w:p w14:paraId="693AED3C" w14:textId="33278AA0" w:rsidR="009104B3" w:rsidRPr="00164C59" w:rsidRDefault="00A8577F" w:rsidP="00690414">
            <w:pPr>
              <w:pStyle w:val="Tabletextleft"/>
              <w:rPr>
                <w:lang w:eastAsia="en-AU"/>
              </w:rPr>
            </w:pPr>
            <w:r w:rsidRPr="00164C59">
              <w:rPr>
                <w:lang w:eastAsia="en-AU"/>
              </w:rPr>
              <w:t>-</w:t>
            </w:r>
          </w:p>
        </w:tc>
        <w:tc>
          <w:tcPr>
            <w:tcW w:w="709" w:type="dxa"/>
            <w:tcBorders>
              <w:top w:val="single" w:sz="4" w:space="0" w:color="auto"/>
              <w:left w:val="nil"/>
              <w:bottom w:val="single" w:sz="4" w:space="0" w:color="auto"/>
              <w:right w:val="nil"/>
            </w:tcBorders>
            <w:vAlign w:val="bottom"/>
          </w:tcPr>
          <w:p w14:paraId="4B1109F2" w14:textId="050D4343" w:rsidR="009104B3" w:rsidRPr="00164C59" w:rsidRDefault="00ED3149" w:rsidP="00690414">
            <w:pPr>
              <w:pStyle w:val="Tabletextleft"/>
            </w:pPr>
            <w:r>
              <w:t>0</w:t>
            </w:r>
          </w:p>
        </w:tc>
        <w:tc>
          <w:tcPr>
            <w:tcW w:w="992" w:type="dxa"/>
            <w:tcBorders>
              <w:top w:val="single" w:sz="4" w:space="0" w:color="auto"/>
              <w:left w:val="nil"/>
              <w:bottom w:val="single" w:sz="4" w:space="0" w:color="auto"/>
              <w:right w:val="nil"/>
            </w:tcBorders>
            <w:vAlign w:val="bottom"/>
          </w:tcPr>
          <w:p w14:paraId="14ABFC7A" w14:textId="348AB832" w:rsidR="009104B3" w:rsidRPr="00164C59" w:rsidRDefault="00DE146C" w:rsidP="00690414">
            <w:pPr>
              <w:pStyle w:val="Tabletextleft"/>
              <w:rPr>
                <w:lang w:eastAsia="en-AU"/>
              </w:rPr>
            </w:pPr>
            <w:r w:rsidRPr="00164C59">
              <w:rPr>
                <w:lang w:eastAsia="en-AU"/>
              </w:rPr>
              <w:t>-</w:t>
            </w:r>
          </w:p>
        </w:tc>
        <w:tc>
          <w:tcPr>
            <w:tcW w:w="1134" w:type="dxa"/>
            <w:tcBorders>
              <w:top w:val="single" w:sz="4" w:space="0" w:color="auto"/>
              <w:left w:val="nil"/>
              <w:bottom w:val="single" w:sz="4" w:space="0" w:color="auto"/>
              <w:right w:val="nil"/>
            </w:tcBorders>
            <w:vAlign w:val="bottom"/>
          </w:tcPr>
          <w:p w14:paraId="25019A75" w14:textId="2900A814" w:rsidR="009104B3" w:rsidRPr="00164C59" w:rsidRDefault="00DE146C" w:rsidP="00690414">
            <w:pPr>
              <w:pStyle w:val="Tabletextleft"/>
              <w:rPr>
                <w:lang w:eastAsia="en-AU"/>
              </w:rPr>
            </w:pPr>
            <w:r w:rsidRPr="00164C59">
              <w:rPr>
                <w:lang w:eastAsia="en-AU"/>
              </w:rPr>
              <w:t>-</w:t>
            </w:r>
          </w:p>
        </w:tc>
      </w:tr>
    </w:tbl>
    <w:p w14:paraId="08650558" w14:textId="77777777" w:rsidR="00933911" w:rsidRPr="00933911" w:rsidRDefault="00933911" w:rsidP="00503F26">
      <w:pPr>
        <w:pStyle w:val="Paragraphtext"/>
        <w:spacing w:before="120"/>
      </w:pPr>
    </w:p>
    <w:p w14:paraId="77CAB3C7" w14:textId="09E7D317" w:rsidR="00D103B1" w:rsidRDefault="00F86E90" w:rsidP="00651510">
      <w:pPr>
        <w:pStyle w:val="Heading2"/>
        <w:spacing w:after="0"/>
      </w:pPr>
      <w:bookmarkStart w:id="17" w:name="_Toc131338405"/>
      <w:r>
        <w:t>Years post-PhD of CIA</w:t>
      </w:r>
      <w:r w:rsidR="00E45F45">
        <w:rPr>
          <w:rStyle w:val="FootnoteReference"/>
        </w:rPr>
        <w:footnoteReference w:id="8"/>
      </w:r>
      <w:bookmarkEnd w:id="17"/>
    </w:p>
    <w:p w14:paraId="1D3D8B9D" w14:textId="7232CE5B" w:rsidR="00E316A9" w:rsidRPr="00766DC6" w:rsidRDefault="00517163" w:rsidP="00651510">
      <w:pPr>
        <w:spacing w:before="120"/>
        <w:jc w:val="both"/>
        <w:rPr>
          <w:sz w:val="22"/>
          <w:szCs w:val="22"/>
        </w:rPr>
      </w:pPr>
      <w:r w:rsidRPr="00766DC6">
        <w:rPr>
          <w:sz w:val="22"/>
          <w:szCs w:val="22"/>
        </w:rPr>
        <w:t>The largest proportion</w:t>
      </w:r>
      <w:r w:rsidR="002F7FD4" w:rsidRPr="00766DC6">
        <w:rPr>
          <w:sz w:val="22"/>
          <w:szCs w:val="22"/>
        </w:rPr>
        <w:t xml:space="preserve"> (46%)</w:t>
      </w:r>
      <w:r w:rsidRPr="00766DC6">
        <w:rPr>
          <w:sz w:val="22"/>
          <w:szCs w:val="22"/>
        </w:rPr>
        <w:t xml:space="preserve"> of the available </w:t>
      </w:r>
      <w:r w:rsidR="002F7FD4" w:rsidRPr="00766DC6">
        <w:rPr>
          <w:sz w:val="22"/>
          <w:szCs w:val="22"/>
        </w:rPr>
        <w:t>funding was</w:t>
      </w:r>
      <w:r w:rsidRPr="00766DC6">
        <w:rPr>
          <w:sz w:val="22"/>
          <w:szCs w:val="22"/>
        </w:rPr>
        <w:t xml:space="preserve"> awarded to individuals who were between </w:t>
      </w:r>
      <w:proofErr w:type="gramStart"/>
      <w:r w:rsidR="003E2302">
        <w:rPr>
          <w:sz w:val="22"/>
          <w:szCs w:val="22"/>
        </w:rPr>
        <w:t>5</w:t>
      </w:r>
      <w:r w:rsidRPr="00766DC6">
        <w:rPr>
          <w:sz w:val="22"/>
          <w:szCs w:val="22"/>
        </w:rPr>
        <w:t xml:space="preserve"> and </w:t>
      </w:r>
      <w:r w:rsidR="003E2302">
        <w:rPr>
          <w:sz w:val="22"/>
          <w:szCs w:val="22"/>
        </w:rPr>
        <w:t>10</w:t>
      </w:r>
      <w:r w:rsidR="009D4187">
        <w:rPr>
          <w:sz w:val="22"/>
          <w:szCs w:val="22"/>
        </w:rPr>
        <w:t xml:space="preserve"> </w:t>
      </w:r>
      <w:r w:rsidRPr="00766DC6">
        <w:rPr>
          <w:sz w:val="22"/>
          <w:szCs w:val="22"/>
        </w:rPr>
        <w:t>years</w:t>
      </w:r>
      <w:proofErr w:type="gramEnd"/>
      <w:r w:rsidRPr="00766DC6">
        <w:rPr>
          <w:sz w:val="22"/>
          <w:szCs w:val="22"/>
        </w:rPr>
        <w:t xml:space="preserve"> </w:t>
      </w:r>
      <w:r w:rsidR="00982D83" w:rsidRPr="00766DC6">
        <w:rPr>
          <w:sz w:val="22"/>
          <w:szCs w:val="22"/>
        </w:rPr>
        <w:t xml:space="preserve">post-PhD completion. </w:t>
      </w:r>
      <w:r w:rsidR="00C239B4" w:rsidRPr="00766DC6">
        <w:rPr>
          <w:sz w:val="22"/>
          <w:szCs w:val="22"/>
        </w:rPr>
        <w:t>The largest number of grants was awarded to individuals who had completed their PhDs less than 5 years ago</w:t>
      </w:r>
      <w:r w:rsidR="00771600" w:rsidRPr="00766DC6">
        <w:rPr>
          <w:sz w:val="22"/>
          <w:szCs w:val="22"/>
        </w:rPr>
        <w:t xml:space="preserve"> (Table </w:t>
      </w:r>
      <w:r w:rsidR="00331A80" w:rsidRPr="00766DC6">
        <w:rPr>
          <w:sz w:val="22"/>
          <w:szCs w:val="22"/>
        </w:rPr>
        <w:t>9</w:t>
      </w:r>
      <w:r w:rsidR="00771600" w:rsidRPr="00766DC6">
        <w:rPr>
          <w:sz w:val="22"/>
          <w:szCs w:val="22"/>
        </w:rPr>
        <w:t>)</w:t>
      </w:r>
      <w:r w:rsidR="00C239B4" w:rsidRPr="00766DC6">
        <w:rPr>
          <w:sz w:val="22"/>
          <w:szCs w:val="22"/>
        </w:rPr>
        <w:t xml:space="preserve">. </w:t>
      </w:r>
      <w:r w:rsidRPr="00766DC6">
        <w:rPr>
          <w:sz w:val="22"/>
          <w:szCs w:val="22"/>
        </w:rPr>
        <w:t xml:space="preserve">  </w:t>
      </w:r>
    </w:p>
    <w:p w14:paraId="3F67E2FA" w14:textId="22237764" w:rsidR="00E316A9" w:rsidRPr="00766DC6" w:rsidRDefault="00F86E90" w:rsidP="00651510">
      <w:pPr>
        <w:spacing w:before="120"/>
        <w:jc w:val="both"/>
        <w:rPr>
          <w:rFonts w:cs="Arial"/>
          <w:color w:val="000000"/>
          <w:sz w:val="22"/>
          <w:szCs w:val="22"/>
          <w:lang w:eastAsia="en-AU"/>
        </w:rPr>
      </w:pPr>
      <w:r w:rsidRPr="00766DC6">
        <w:rPr>
          <w:rFonts w:cs="Arial"/>
          <w:sz w:val="22"/>
          <w:szCs w:val="22"/>
        </w:rPr>
        <w:t xml:space="preserve">The </w:t>
      </w:r>
      <w:proofErr w:type="spellStart"/>
      <w:r w:rsidRPr="00766DC6">
        <w:rPr>
          <w:rFonts w:cs="Arial"/>
          <w:sz w:val="22"/>
          <w:szCs w:val="22"/>
        </w:rPr>
        <w:t>years</w:t>
      </w:r>
      <w:proofErr w:type="spellEnd"/>
      <w:r w:rsidRPr="00766DC6">
        <w:rPr>
          <w:rFonts w:cs="Arial"/>
          <w:sz w:val="22"/>
          <w:szCs w:val="22"/>
        </w:rPr>
        <w:t xml:space="preserve"> post-PhD in </w:t>
      </w:r>
      <w:r w:rsidR="009D4187">
        <w:rPr>
          <w:rFonts w:cs="Arial"/>
          <w:sz w:val="22"/>
          <w:szCs w:val="22"/>
        </w:rPr>
        <w:t>T</w:t>
      </w:r>
      <w:r w:rsidRPr="00766DC6">
        <w:rPr>
          <w:rFonts w:cs="Arial"/>
          <w:sz w:val="22"/>
          <w:szCs w:val="22"/>
        </w:rPr>
        <w:t>able</w:t>
      </w:r>
      <w:r w:rsidR="009D4187">
        <w:rPr>
          <w:rFonts w:cs="Arial"/>
          <w:sz w:val="22"/>
          <w:szCs w:val="22"/>
        </w:rPr>
        <w:t>s</w:t>
      </w:r>
      <w:r w:rsidRPr="00766DC6">
        <w:rPr>
          <w:rFonts w:cs="Arial"/>
          <w:sz w:val="22"/>
          <w:szCs w:val="22"/>
        </w:rPr>
        <w:t xml:space="preserve"> </w:t>
      </w:r>
      <w:r w:rsidR="00216275" w:rsidRPr="00766DC6">
        <w:rPr>
          <w:rFonts w:cs="Arial"/>
          <w:sz w:val="22"/>
          <w:szCs w:val="22"/>
        </w:rPr>
        <w:t>9 and 10</w:t>
      </w:r>
      <w:r w:rsidR="00DF4CCF" w:rsidRPr="00766DC6">
        <w:rPr>
          <w:rFonts w:cs="Arial"/>
          <w:sz w:val="22"/>
          <w:szCs w:val="22"/>
        </w:rPr>
        <w:t xml:space="preserve"> </w:t>
      </w:r>
      <w:r w:rsidRPr="00766DC6">
        <w:rPr>
          <w:rFonts w:cs="Arial"/>
          <w:sz w:val="22"/>
          <w:szCs w:val="22"/>
        </w:rPr>
        <w:t xml:space="preserve">have not been adjusted to account for </w:t>
      </w:r>
      <w:r w:rsidR="00F95627" w:rsidRPr="00766DC6">
        <w:rPr>
          <w:rFonts w:cs="Arial"/>
          <w:sz w:val="22"/>
          <w:szCs w:val="22"/>
        </w:rPr>
        <w:t>career disruption</w:t>
      </w:r>
      <w:r w:rsidR="009B7846" w:rsidRPr="00766DC6">
        <w:rPr>
          <w:rFonts w:cs="Arial"/>
          <w:sz w:val="22"/>
          <w:szCs w:val="22"/>
        </w:rPr>
        <w:t>,</w:t>
      </w:r>
      <w:r w:rsidR="00E316A9" w:rsidRPr="00766DC6">
        <w:rPr>
          <w:rFonts w:cs="Arial"/>
          <w:sz w:val="22"/>
          <w:szCs w:val="22"/>
        </w:rPr>
        <w:t xml:space="preserve"> so some of the individuals in the </w:t>
      </w:r>
      <w:r w:rsidR="00640362" w:rsidRPr="00766DC6">
        <w:rPr>
          <w:rFonts w:cs="Arial"/>
          <w:color w:val="000000"/>
          <w:sz w:val="22"/>
          <w:szCs w:val="22"/>
          <w:lang w:eastAsia="en-AU"/>
        </w:rPr>
        <w:t>6</w:t>
      </w:r>
      <w:r w:rsidR="00E316A9" w:rsidRPr="00766DC6">
        <w:rPr>
          <w:rFonts w:cs="Arial"/>
          <w:color w:val="000000"/>
          <w:sz w:val="22"/>
          <w:szCs w:val="22"/>
          <w:lang w:eastAsia="en-AU"/>
        </w:rPr>
        <w:t xml:space="preserve"> to 10 </w:t>
      </w:r>
      <w:proofErr w:type="gramStart"/>
      <w:r w:rsidR="00C239B4" w:rsidRPr="00766DC6">
        <w:rPr>
          <w:rFonts w:cs="Arial"/>
          <w:color w:val="000000"/>
          <w:sz w:val="22"/>
          <w:szCs w:val="22"/>
          <w:lang w:eastAsia="en-AU"/>
        </w:rPr>
        <w:t>category</w:t>
      </w:r>
      <w:proofErr w:type="gramEnd"/>
      <w:r w:rsidR="00C239B4" w:rsidRPr="00766DC6">
        <w:rPr>
          <w:rFonts w:cs="Arial"/>
          <w:color w:val="000000"/>
          <w:sz w:val="22"/>
          <w:szCs w:val="22"/>
          <w:lang w:eastAsia="en-AU"/>
        </w:rPr>
        <w:t xml:space="preserve"> </w:t>
      </w:r>
      <w:r w:rsidR="00E316A9" w:rsidRPr="00766DC6">
        <w:rPr>
          <w:rFonts w:cs="Arial"/>
          <w:color w:val="000000"/>
          <w:sz w:val="22"/>
          <w:szCs w:val="22"/>
          <w:lang w:eastAsia="en-AU"/>
        </w:rPr>
        <w:t>will have had career disruptions that qualify them as ECRs</w:t>
      </w:r>
      <w:r w:rsidR="00982D83" w:rsidRPr="00766DC6">
        <w:rPr>
          <w:rFonts w:cs="Arial"/>
          <w:color w:val="000000"/>
          <w:sz w:val="22"/>
          <w:szCs w:val="22"/>
          <w:lang w:eastAsia="en-AU"/>
        </w:rPr>
        <w:t>.</w:t>
      </w:r>
      <w:r w:rsidR="00E316A9" w:rsidRPr="00766DC6">
        <w:rPr>
          <w:rFonts w:cs="Arial"/>
          <w:color w:val="000000"/>
          <w:sz w:val="22"/>
          <w:szCs w:val="22"/>
          <w:lang w:eastAsia="en-AU"/>
        </w:rPr>
        <w:t xml:space="preserve"> </w:t>
      </w:r>
      <w:r w:rsidR="00982D83" w:rsidRPr="00766DC6">
        <w:rPr>
          <w:rFonts w:cs="Arial"/>
          <w:color w:val="000000"/>
          <w:sz w:val="22"/>
          <w:szCs w:val="22"/>
          <w:lang w:eastAsia="en-AU"/>
        </w:rPr>
        <w:t>A</w:t>
      </w:r>
      <w:r w:rsidR="007B169A" w:rsidRPr="00766DC6">
        <w:rPr>
          <w:rFonts w:cs="Arial"/>
          <w:color w:val="000000"/>
          <w:sz w:val="22"/>
          <w:szCs w:val="22"/>
          <w:lang w:eastAsia="en-AU"/>
        </w:rPr>
        <w:t>ll the</w:t>
      </w:r>
      <w:r w:rsidR="00E316A9" w:rsidRPr="00766DC6">
        <w:rPr>
          <w:rFonts w:cs="Arial"/>
          <w:color w:val="000000"/>
          <w:sz w:val="22"/>
          <w:szCs w:val="22"/>
          <w:lang w:eastAsia="en-AU"/>
        </w:rPr>
        <w:t xml:space="preserve"> individuals in the over </w:t>
      </w:r>
      <w:r w:rsidR="00982D83" w:rsidRPr="00766DC6">
        <w:rPr>
          <w:rFonts w:cs="Arial"/>
          <w:color w:val="000000"/>
          <w:sz w:val="22"/>
          <w:szCs w:val="22"/>
          <w:lang w:eastAsia="en-AU"/>
        </w:rPr>
        <w:t xml:space="preserve">10 </w:t>
      </w:r>
      <w:r w:rsidR="00E316A9" w:rsidRPr="00766DC6">
        <w:rPr>
          <w:rFonts w:cs="Arial"/>
          <w:color w:val="000000"/>
          <w:sz w:val="22"/>
          <w:szCs w:val="22"/>
          <w:lang w:eastAsia="en-AU"/>
        </w:rPr>
        <w:t>years category will have had career disruptions that qualify them as MCRs</w:t>
      </w:r>
      <w:r w:rsidR="00517163" w:rsidRPr="00766DC6">
        <w:rPr>
          <w:rFonts w:cs="Arial"/>
          <w:color w:val="000000"/>
          <w:sz w:val="22"/>
          <w:szCs w:val="22"/>
          <w:lang w:eastAsia="en-AU"/>
        </w:rPr>
        <w:t xml:space="preserve">. </w:t>
      </w:r>
    </w:p>
    <w:p w14:paraId="45786CC9" w14:textId="77777777" w:rsidR="00766DC6" w:rsidRPr="002F0A85" w:rsidRDefault="00766DC6" w:rsidP="00503F26">
      <w:pPr>
        <w:spacing w:before="120"/>
        <w:jc w:val="both"/>
        <w:rPr>
          <w:rFonts w:cs="Arial"/>
          <w:sz w:val="22"/>
          <w:szCs w:val="22"/>
        </w:rPr>
      </w:pPr>
    </w:p>
    <w:p w14:paraId="01738587" w14:textId="3E5F3958" w:rsidR="00E316A9" w:rsidRPr="00024021" w:rsidRDefault="00E316A9" w:rsidP="00B95348">
      <w:pPr>
        <w:pStyle w:val="FigureTitle"/>
      </w:pPr>
      <w:r w:rsidRPr="00024021">
        <w:t xml:space="preserve">Table </w:t>
      </w:r>
      <w:r w:rsidR="00331A80" w:rsidRPr="00024021">
        <w:t>9</w:t>
      </w:r>
      <w:r w:rsidRPr="00024021">
        <w:t xml:space="preserve"> – </w:t>
      </w:r>
      <w:proofErr w:type="gramStart"/>
      <w:r w:rsidR="00770F3A">
        <w:t>Y</w:t>
      </w:r>
      <w:r w:rsidRPr="00024021">
        <w:t>ears</w:t>
      </w:r>
      <w:proofErr w:type="gramEnd"/>
      <w:r w:rsidRPr="00024021">
        <w:t xml:space="preserve"> post PhD of CIA</w:t>
      </w:r>
      <w:r w:rsidR="00770F3A">
        <w:t xml:space="preserve"> (without career disruption)</w:t>
      </w:r>
    </w:p>
    <w:tbl>
      <w:tblPr>
        <w:tblStyle w:val="MRFF"/>
        <w:tblW w:w="5474" w:type="pct"/>
        <w:tblLayout w:type="fixed"/>
        <w:tblLook w:val="04A0" w:firstRow="1" w:lastRow="0" w:firstColumn="1" w:lastColumn="0" w:noHBand="0" w:noVBand="1"/>
      </w:tblPr>
      <w:tblGrid>
        <w:gridCol w:w="1000"/>
        <w:gridCol w:w="1276"/>
        <w:gridCol w:w="987"/>
        <w:gridCol w:w="991"/>
        <w:gridCol w:w="1275"/>
        <w:gridCol w:w="1702"/>
        <w:gridCol w:w="1557"/>
        <w:gridCol w:w="1142"/>
      </w:tblGrid>
      <w:tr w:rsidR="00147D2A" w:rsidRPr="00024021" w14:paraId="689DD6B0" w14:textId="77777777" w:rsidTr="00317D25">
        <w:trPr>
          <w:cnfStyle w:val="100000000000" w:firstRow="1" w:lastRow="0" w:firstColumn="0" w:lastColumn="0" w:oddVBand="0" w:evenVBand="0" w:oddHBand="0" w:evenHBand="0" w:firstRowFirstColumn="0" w:firstRowLastColumn="0" w:lastRowFirstColumn="0" w:lastRowLastColumn="0"/>
          <w:trHeight w:val="290"/>
        </w:trPr>
        <w:tc>
          <w:tcPr>
            <w:tcW w:w="503" w:type="pct"/>
            <w:tcBorders>
              <w:top w:val="single" w:sz="4" w:space="0" w:color="000000"/>
              <w:bottom w:val="single" w:sz="4" w:space="0" w:color="000000"/>
            </w:tcBorders>
            <w:noWrap/>
            <w:hideMark/>
          </w:tcPr>
          <w:p w14:paraId="2CE1DA0F" w14:textId="6B1DA8D6"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Years post-PhD</w:t>
            </w:r>
          </w:p>
        </w:tc>
        <w:tc>
          <w:tcPr>
            <w:tcW w:w="642" w:type="pct"/>
            <w:tcBorders>
              <w:top w:val="single" w:sz="4" w:space="0" w:color="000000"/>
              <w:bottom w:val="single" w:sz="4" w:space="0" w:color="000000"/>
            </w:tcBorders>
            <w:noWrap/>
            <w:hideMark/>
          </w:tcPr>
          <w:p w14:paraId="6F773BB3" w14:textId="77777777"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Applications</w:t>
            </w:r>
          </w:p>
        </w:tc>
        <w:tc>
          <w:tcPr>
            <w:tcW w:w="497" w:type="pct"/>
            <w:tcBorders>
              <w:top w:val="single" w:sz="4" w:space="0" w:color="000000"/>
              <w:bottom w:val="single" w:sz="4" w:space="0" w:color="000000"/>
            </w:tcBorders>
            <w:noWrap/>
            <w:hideMark/>
          </w:tcPr>
          <w:p w14:paraId="4C3A4274" w14:textId="06DD49B7"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Grants</w:t>
            </w:r>
            <w:r w:rsidR="00B44E73">
              <w:rPr>
                <w:rFonts w:cs="Arial"/>
                <w:bCs/>
                <w:color w:val="FFFFFF"/>
                <w:sz w:val="18"/>
                <w:szCs w:val="18"/>
                <w:lang w:eastAsia="en-AU"/>
              </w:rPr>
              <w:t xml:space="preserve"> awarded</w:t>
            </w:r>
          </w:p>
        </w:tc>
        <w:tc>
          <w:tcPr>
            <w:tcW w:w="499" w:type="pct"/>
            <w:tcBorders>
              <w:top w:val="single" w:sz="4" w:space="0" w:color="000000"/>
              <w:bottom w:val="single" w:sz="4" w:space="0" w:color="000000"/>
            </w:tcBorders>
            <w:noWrap/>
            <w:hideMark/>
          </w:tcPr>
          <w:p w14:paraId="721442DD" w14:textId="77777777"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Funded rate</w:t>
            </w:r>
          </w:p>
        </w:tc>
        <w:tc>
          <w:tcPr>
            <w:tcW w:w="642" w:type="pct"/>
            <w:tcBorders>
              <w:top w:val="single" w:sz="4" w:space="0" w:color="000000"/>
              <w:bottom w:val="single" w:sz="4" w:space="0" w:color="000000"/>
            </w:tcBorders>
            <w:noWrap/>
            <w:hideMark/>
          </w:tcPr>
          <w:p w14:paraId="0E56199D" w14:textId="77777777"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Total value</w:t>
            </w:r>
          </w:p>
        </w:tc>
        <w:tc>
          <w:tcPr>
            <w:tcW w:w="857" w:type="pct"/>
            <w:tcBorders>
              <w:top w:val="single" w:sz="4" w:space="0" w:color="000000"/>
              <w:bottom w:val="single" w:sz="4" w:space="0" w:color="000000"/>
            </w:tcBorders>
            <w:noWrap/>
            <w:hideMark/>
          </w:tcPr>
          <w:p w14:paraId="1821634B" w14:textId="77777777"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Proportion of grants awarded</w:t>
            </w:r>
          </w:p>
        </w:tc>
        <w:tc>
          <w:tcPr>
            <w:tcW w:w="784" w:type="pct"/>
            <w:tcBorders>
              <w:top w:val="single" w:sz="4" w:space="0" w:color="000000"/>
              <w:bottom w:val="single" w:sz="4" w:space="0" w:color="000000"/>
            </w:tcBorders>
            <w:noWrap/>
            <w:hideMark/>
          </w:tcPr>
          <w:p w14:paraId="53EB041E" w14:textId="77777777"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Proportion of $ awarded</w:t>
            </w:r>
          </w:p>
        </w:tc>
        <w:tc>
          <w:tcPr>
            <w:tcW w:w="575" w:type="pct"/>
            <w:tcBorders>
              <w:top w:val="single" w:sz="4" w:space="0" w:color="000000"/>
              <w:bottom w:val="single" w:sz="4" w:space="0" w:color="000000"/>
            </w:tcBorders>
            <w:noWrap/>
            <w:hideMark/>
          </w:tcPr>
          <w:p w14:paraId="7A09E4DC" w14:textId="3926850A" w:rsidR="00F86E90" w:rsidRPr="00B95348" w:rsidRDefault="00F86E90" w:rsidP="00690414">
            <w:pPr>
              <w:rPr>
                <w:rFonts w:cs="Arial"/>
                <w:b w:val="0"/>
                <w:bCs/>
                <w:color w:val="FFFFFF"/>
                <w:sz w:val="18"/>
                <w:szCs w:val="18"/>
                <w:lang w:eastAsia="en-AU"/>
              </w:rPr>
            </w:pPr>
            <w:r w:rsidRPr="00B95348">
              <w:rPr>
                <w:rFonts w:cs="Arial"/>
                <w:bCs/>
                <w:color w:val="FFFFFF"/>
                <w:sz w:val="18"/>
                <w:szCs w:val="18"/>
                <w:lang w:eastAsia="en-AU"/>
              </w:rPr>
              <w:t xml:space="preserve">Mean </w:t>
            </w:r>
            <w:r w:rsidR="00A26F1F">
              <w:rPr>
                <w:rFonts w:cs="Arial"/>
                <w:bCs/>
                <w:color w:val="FFFFFF"/>
                <w:sz w:val="18"/>
                <w:szCs w:val="18"/>
                <w:lang w:eastAsia="en-AU"/>
              </w:rPr>
              <w:t>value</w:t>
            </w:r>
          </w:p>
        </w:tc>
      </w:tr>
      <w:tr w:rsidR="00147D2A" w:rsidRPr="00024021" w14:paraId="31D07F35" w14:textId="77777777" w:rsidTr="00317D25">
        <w:trPr>
          <w:trHeight w:val="227"/>
        </w:trPr>
        <w:tc>
          <w:tcPr>
            <w:tcW w:w="503" w:type="pct"/>
            <w:tcBorders>
              <w:top w:val="single" w:sz="4" w:space="0" w:color="000000"/>
            </w:tcBorders>
            <w:noWrap/>
            <w:hideMark/>
          </w:tcPr>
          <w:p w14:paraId="0A420711" w14:textId="5504EDE0"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0</w:t>
            </w:r>
            <w:r w:rsidR="00A50CBA">
              <w:rPr>
                <w:rFonts w:cs="Arial"/>
                <w:color w:val="000000"/>
                <w:sz w:val="18"/>
                <w:szCs w:val="18"/>
                <w:lang w:eastAsia="en-AU"/>
              </w:rPr>
              <w:t xml:space="preserve"> to </w:t>
            </w:r>
            <w:r w:rsidRPr="00B95348">
              <w:rPr>
                <w:rFonts w:cs="Arial"/>
                <w:color w:val="000000"/>
                <w:sz w:val="18"/>
                <w:szCs w:val="18"/>
                <w:lang w:eastAsia="en-AU"/>
              </w:rPr>
              <w:t>5</w:t>
            </w:r>
          </w:p>
        </w:tc>
        <w:tc>
          <w:tcPr>
            <w:tcW w:w="642" w:type="pct"/>
            <w:tcBorders>
              <w:top w:val="single" w:sz="4" w:space="0" w:color="000000"/>
            </w:tcBorders>
            <w:noWrap/>
            <w:hideMark/>
          </w:tcPr>
          <w:p w14:paraId="2215C496"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284</w:t>
            </w:r>
          </w:p>
        </w:tc>
        <w:tc>
          <w:tcPr>
            <w:tcW w:w="497" w:type="pct"/>
            <w:tcBorders>
              <w:top w:val="single" w:sz="4" w:space="0" w:color="000000"/>
            </w:tcBorders>
            <w:noWrap/>
            <w:hideMark/>
          </w:tcPr>
          <w:p w14:paraId="382364D1"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12</w:t>
            </w:r>
          </w:p>
        </w:tc>
        <w:tc>
          <w:tcPr>
            <w:tcW w:w="499" w:type="pct"/>
            <w:tcBorders>
              <w:top w:val="single" w:sz="4" w:space="0" w:color="000000"/>
            </w:tcBorders>
            <w:noWrap/>
            <w:hideMark/>
          </w:tcPr>
          <w:p w14:paraId="40DF73DA" w14:textId="3B3FB2C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4.2</w:t>
            </w:r>
            <w:r w:rsidR="009D4187">
              <w:rPr>
                <w:rFonts w:cs="Arial"/>
                <w:color w:val="000000"/>
                <w:sz w:val="18"/>
                <w:szCs w:val="18"/>
                <w:lang w:eastAsia="en-AU"/>
              </w:rPr>
              <w:t>%</w:t>
            </w:r>
          </w:p>
        </w:tc>
        <w:tc>
          <w:tcPr>
            <w:tcW w:w="642" w:type="pct"/>
            <w:tcBorders>
              <w:top w:val="single" w:sz="4" w:space="0" w:color="000000"/>
            </w:tcBorders>
            <w:noWrap/>
            <w:hideMark/>
          </w:tcPr>
          <w:p w14:paraId="576C4870"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$12,046,000</w:t>
            </w:r>
          </w:p>
        </w:tc>
        <w:tc>
          <w:tcPr>
            <w:tcW w:w="857" w:type="pct"/>
            <w:tcBorders>
              <w:top w:val="single" w:sz="4" w:space="0" w:color="000000"/>
            </w:tcBorders>
            <w:noWrap/>
            <w:hideMark/>
          </w:tcPr>
          <w:p w14:paraId="7023CD25" w14:textId="19BE83DB"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52.</w:t>
            </w:r>
            <w:r w:rsidR="00610316">
              <w:rPr>
                <w:rFonts w:cs="Arial"/>
                <w:color w:val="000000"/>
                <w:sz w:val="18"/>
                <w:szCs w:val="18"/>
                <w:lang w:eastAsia="en-AU"/>
              </w:rPr>
              <w:t>2%</w:t>
            </w:r>
          </w:p>
        </w:tc>
        <w:tc>
          <w:tcPr>
            <w:tcW w:w="784" w:type="pct"/>
            <w:tcBorders>
              <w:top w:val="single" w:sz="4" w:space="0" w:color="000000"/>
            </w:tcBorders>
            <w:noWrap/>
            <w:hideMark/>
          </w:tcPr>
          <w:p w14:paraId="28820A31" w14:textId="3CD53AE8"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28.1</w:t>
            </w:r>
            <w:r w:rsidR="00610316">
              <w:rPr>
                <w:rFonts w:cs="Arial"/>
                <w:color w:val="000000"/>
                <w:sz w:val="18"/>
                <w:szCs w:val="18"/>
                <w:lang w:eastAsia="en-AU"/>
              </w:rPr>
              <w:t>%</w:t>
            </w:r>
          </w:p>
        </w:tc>
        <w:tc>
          <w:tcPr>
            <w:tcW w:w="575" w:type="pct"/>
            <w:tcBorders>
              <w:top w:val="single" w:sz="4" w:space="0" w:color="000000"/>
            </w:tcBorders>
            <w:noWrap/>
            <w:hideMark/>
          </w:tcPr>
          <w:p w14:paraId="1FCDB61F"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$1,003,833</w:t>
            </w:r>
          </w:p>
        </w:tc>
      </w:tr>
      <w:tr w:rsidR="00147D2A" w:rsidRPr="00024021" w14:paraId="584CC8AE" w14:textId="77777777" w:rsidTr="00B95348">
        <w:trPr>
          <w:trHeight w:val="227"/>
        </w:trPr>
        <w:tc>
          <w:tcPr>
            <w:tcW w:w="503" w:type="pct"/>
            <w:noWrap/>
            <w:hideMark/>
          </w:tcPr>
          <w:p w14:paraId="26ACD3B8" w14:textId="0F9CA4B7" w:rsidR="00F86E90" w:rsidRPr="00B95348" w:rsidRDefault="00DB28FE" w:rsidP="00690414">
            <w:pPr>
              <w:rPr>
                <w:rFonts w:cs="Arial"/>
                <w:color w:val="000000"/>
                <w:sz w:val="18"/>
                <w:szCs w:val="18"/>
                <w:lang w:eastAsia="en-AU"/>
              </w:rPr>
            </w:pPr>
            <w:r w:rsidRPr="00B95348">
              <w:rPr>
                <w:rFonts w:cs="Arial"/>
                <w:color w:val="000000"/>
                <w:sz w:val="18"/>
                <w:szCs w:val="18"/>
                <w:lang w:eastAsia="en-AU"/>
              </w:rPr>
              <w:t>6</w:t>
            </w:r>
            <w:r w:rsidR="00F86E90" w:rsidRPr="00B95348">
              <w:rPr>
                <w:rFonts w:cs="Arial"/>
                <w:color w:val="000000"/>
                <w:sz w:val="18"/>
                <w:szCs w:val="18"/>
                <w:lang w:eastAsia="en-AU"/>
              </w:rPr>
              <w:t xml:space="preserve"> to 10</w:t>
            </w:r>
          </w:p>
        </w:tc>
        <w:tc>
          <w:tcPr>
            <w:tcW w:w="642" w:type="pct"/>
            <w:noWrap/>
            <w:hideMark/>
          </w:tcPr>
          <w:p w14:paraId="4F430DEA"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110</w:t>
            </w:r>
          </w:p>
        </w:tc>
        <w:tc>
          <w:tcPr>
            <w:tcW w:w="497" w:type="pct"/>
            <w:noWrap/>
            <w:hideMark/>
          </w:tcPr>
          <w:p w14:paraId="5A799C34"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8</w:t>
            </w:r>
          </w:p>
        </w:tc>
        <w:tc>
          <w:tcPr>
            <w:tcW w:w="499" w:type="pct"/>
            <w:noWrap/>
            <w:hideMark/>
          </w:tcPr>
          <w:p w14:paraId="066A5AB3" w14:textId="15BA4DD1"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7.</w:t>
            </w:r>
            <w:r w:rsidR="009D4187">
              <w:rPr>
                <w:rFonts w:cs="Arial"/>
                <w:color w:val="000000"/>
                <w:sz w:val="18"/>
                <w:szCs w:val="18"/>
                <w:lang w:eastAsia="en-AU"/>
              </w:rPr>
              <w:t>3%</w:t>
            </w:r>
          </w:p>
        </w:tc>
        <w:tc>
          <w:tcPr>
            <w:tcW w:w="642" w:type="pct"/>
            <w:noWrap/>
            <w:hideMark/>
          </w:tcPr>
          <w:p w14:paraId="39263668"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$19,582,661</w:t>
            </w:r>
          </w:p>
        </w:tc>
        <w:tc>
          <w:tcPr>
            <w:tcW w:w="857" w:type="pct"/>
            <w:noWrap/>
            <w:hideMark/>
          </w:tcPr>
          <w:p w14:paraId="0A020229" w14:textId="7FE39FE4"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34.</w:t>
            </w:r>
            <w:r w:rsidR="00610316">
              <w:rPr>
                <w:rFonts w:cs="Arial"/>
                <w:color w:val="000000"/>
                <w:sz w:val="18"/>
                <w:szCs w:val="18"/>
                <w:lang w:eastAsia="en-AU"/>
              </w:rPr>
              <w:t>8%</w:t>
            </w:r>
          </w:p>
        </w:tc>
        <w:tc>
          <w:tcPr>
            <w:tcW w:w="784" w:type="pct"/>
            <w:noWrap/>
            <w:hideMark/>
          </w:tcPr>
          <w:p w14:paraId="0A199239" w14:textId="5A79E350"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45.</w:t>
            </w:r>
            <w:r w:rsidR="00610316">
              <w:rPr>
                <w:rFonts w:cs="Arial"/>
                <w:color w:val="000000"/>
                <w:sz w:val="18"/>
                <w:szCs w:val="18"/>
                <w:lang w:eastAsia="en-AU"/>
              </w:rPr>
              <w:t>8%</w:t>
            </w:r>
          </w:p>
        </w:tc>
        <w:tc>
          <w:tcPr>
            <w:tcW w:w="575" w:type="pct"/>
            <w:noWrap/>
            <w:hideMark/>
          </w:tcPr>
          <w:p w14:paraId="120B5872"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$2,447,833</w:t>
            </w:r>
          </w:p>
        </w:tc>
      </w:tr>
      <w:tr w:rsidR="00147D2A" w:rsidRPr="00024021" w14:paraId="2836F573" w14:textId="77777777" w:rsidTr="00B95348">
        <w:trPr>
          <w:trHeight w:val="227"/>
        </w:trPr>
        <w:tc>
          <w:tcPr>
            <w:tcW w:w="503" w:type="pct"/>
            <w:noWrap/>
            <w:hideMark/>
          </w:tcPr>
          <w:p w14:paraId="14BBAF0E" w14:textId="10A5221F"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Over 10</w:t>
            </w:r>
            <w:r w:rsidR="00F11027">
              <w:rPr>
                <w:rStyle w:val="FootnoteReference"/>
                <w:rFonts w:cs="Arial"/>
                <w:color w:val="000000"/>
                <w:sz w:val="18"/>
                <w:szCs w:val="18"/>
                <w:lang w:eastAsia="en-AU"/>
              </w:rPr>
              <w:footnoteReference w:id="9"/>
            </w:r>
          </w:p>
        </w:tc>
        <w:tc>
          <w:tcPr>
            <w:tcW w:w="642" w:type="pct"/>
            <w:noWrap/>
            <w:hideMark/>
          </w:tcPr>
          <w:p w14:paraId="7F375884"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18</w:t>
            </w:r>
          </w:p>
        </w:tc>
        <w:tc>
          <w:tcPr>
            <w:tcW w:w="497" w:type="pct"/>
            <w:noWrap/>
            <w:hideMark/>
          </w:tcPr>
          <w:p w14:paraId="094BB525"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3</w:t>
            </w:r>
          </w:p>
        </w:tc>
        <w:tc>
          <w:tcPr>
            <w:tcW w:w="499" w:type="pct"/>
            <w:noWrap/>
            <w:hideMark/>
          </w:tcPr>
          <w:p w14:paraId="38710337" w14:textId="27481661"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16.</w:t>
            </w:r>
            <w:r w:rsidR="009D4187">
              <w:rPr>
                <w:rFonts w:cs="Arial"/>
                <w:color w:val="000000"/>
                <w:sz w:val="18"/>
                <w:szCs w:val="18"/>
                <w:lang w:eastAsia="en-AU"/>
              </w:rPr>
              <w:t>7%</w:t>
            </w:r>
          </w:p>
        </w:tc>
        <w:tc>
          <w:tcPr>
            <w:tcW w:w="642" w:type="pct"/>
            <w:noWrap/>
            <w:hideMark/>
          </w:tcPr>
          <w:p w14:paraId="6295265A"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$11,171,339</w:t>
            </w:r>
          </w:p>
        </w:tc>
        <w:tc>
          <w:tcPr>
            <w:tcW w:w="857" w:type="pct"/>
            <w:noWrap/>
            <w:hideMark/>
          </w:tcPr>
          <w:p w14:paraId="0EED2E94" w14:textId="11126D13"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13.0</w:t>
            </w:r>
            <w:r w:rsidR="00610316">
              <w:rPr>
                <w:rFonts w:cs="Arial"/>
                <w:color w:val="000000"/>
                <w:sz w:val="18"/>
                <w:szCs w:val="18"/>
                <w:lang w:eastAsia="en-AU"/>
              </w:rPr>
              <w:t>%</w:t>
            </w:r>
          </w:p>
        </w:tc>
        <w:tc>
          <w:tcPr>
            <w:tcW w:w="784" w:type="pct"/>
            <w:noWrap/>
            <w:hideMark/>
          </w:tcPr>
          <w:p w14:paraId="3C209C1D" w14:textId="72D88671"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26.1</w:t>
            </w:r>
            <w:r w:rsidR="00610316">
              <w:rPr>
                <w:rFonts w:cs="Arial"/>
                <w:color w:val="000000"/>
                <w:sz w:val="18"/>
                <w:szCs w:val="18"/>
                <w:lang w:eastAsia="en-AU"/>
              </w:rPr>
              <w:t>%</w:t>
            </w:r>
          </w:p>
        </w:tc>
        <w:tc>
          <w:tcPr>
            <w:tcW w:w="575" w:type="pct"/>
            <w:noWrap/>
            <w:hideMark/>
          </w:tcPr>
          <w:p w14:paraId="4A11CECA" w14:textId="77777777" w:rsidR="00F86E90" w:rsidRPr="00B95348" w:rsidRDefault="00F86E90" w:rsidP="00690414">
            <w:pPr>
              <w:rPr>
                <w:rFonts w:cs="Arial"/>
                <w:color w:val="000000"/>
                <w:sz w:val="18"/>
                <w:szCs w:val="18"/>
                <w:lang w:eastAsia="en-AU"/>
              </w:rPr>
            </w:pPr>
            <w:r w:rsidRPr="00B95348">
              <w:rPr>
                <w:rFonts w:cs="Arial"/>
                <w:color w:val="000000"/>
                <w:sz w:val="18"/>
                <w:szCs w:val="18"/>
                <w:lang w:eastAsia="en-AU"/>
              </w:rPr>
              <w:t>$3,723,780</w:t>
            </w:r>
          </w:p>
        </w:tc>
      </w:tr>
    </w:tbl>
    <w:p w14:paraId="0C294B5B" w14:textId="77777777" w:rsidR="0026665A" w:rsidRPr="00766DC6" w:rsidRDefault="0026665A" w:rsidP="002F0A85">
      <w:pPr>
        <w:pStyle w:val="Paragraphtext"/>
        <w:spacing w:before="120"/>
        <w:jc w:val="both"/>
        <w:rPr>
          <w:rFonts w:cs="Arial"/>
          <w:color w:val="000000"/>
          <w:sz w:val="22"/>
          <w:szCs w:val="22"/>
          <w:lang w:eastAsia="en-AU"/>
        </w:rPr>
      </w:pPr>
    </w:p>
    <w:p w14:paraId="3A4CB8B5" w14:textId="5838CA5F" w:rsidR="00216275" w:rsidRPr="00B95348" w:rsidRDefault="00216275" w:rsidP="00651510">
      <w:pPr>
        <w:pStyle w:val="Paragraphtext"/>
        <w:spacing w:before="120"/>
        <w:jc w:val="both"/>
        <w:rPr>
          <w:rFonts w:cs="Arial"/>
          <w:color w:val="000000"/>
          <w:sz w:val="22"/>
          <w:szCs w:val="22"/>
          <w:lang w:eastAsia="en-AU"/>
        </w:rPr>
      </w:pPr>
      <w:r w:rsidRPr="00B95348">
        <w:rPr>
          <w:rFonts w:cs="Arial"/>
          <w:color w:val="000000"/>
          <w:sz w:val="22"/>
          <w:szCs w:val="22"/>
          <w:lang w:eastAsia="en-AU"/>
        </w:rPr>
        <w:t xml:space="preserve">The CIA </w:t>
      </w:r>
      <w:r w:rsidR="00770514" w:rsidRPr="00B95348">
        <w:rPr>
          <w:rFonts w:cs="Arial"/>
          <w:color w:val="000000"/>
          <w:sz w:val="22"/>
          <w:szCs w:val="22"/>
          <w:lang w:eastAsia="en-AU"/>
        </w:rPr>
        <w:t>for Stream 3 could be an ECR or an MCR, and at</w:t>
      </w:r>
      <w:r w:rsidRPr="00B95348">
        <w:rPr>
          <w:rFonts w:cs="Arial"/>
          <w:color w:val="000000"/>
          <w:sz w:val="22"/>
          <w:szCs w:val="22"/>
          <w:lang w:eastAsia="en-AU"/>
        </w:rPr>
        <w:t xml:space="preserve"> least two grants from Stream 3 are being led</w:t>
      </w:r>
      <w:r w:rsidR="001C459E" w:rsidRPr="00B95348">
        <w:rPr>
          <w:rFonts w:cs="Arial"/>
          <w:color w:val="000000"/>
          <w:sz w:val="22"/>
          <w:szCs w:val="22"/>
          <w:lang w:eastAsia="en-AU"/>
        </w:rPr>
        <w:t xml:space="preserve"> by</w:t>
      </w:r>
      <w:r w:rsidRPr="00B95348">
        <w:rPr>
          <w:rFonts w:cs="Arial"/>
          <w:color w:val="000000"/>
          <w:sz w:val="22"/>
          <w:szCs w:val="22"/>
          <w:lang w:eastAsia="en-AU"/>
        </w:rPr>
        <w:t xml:space="preserve"> early-career researchers (see </w:t>
      </w:r>
      <w:r w:rsidR="001C459E" w:rsidRPr="00B95348">
        <w:rPr>
          <w:rFonts w:cs="Arial"/>
          <w:color w:val="000000"/>
          <w:sz w:val="22"/>
          <w:szCs w:val="22"/>
          <w:lang w:eastAsia="en-AU"/>
        </w:rPr>
        <w:t>T</w:t>
      </w:r>
      <w:r w:rsidRPr="00B95348">
        <w:rPr>
          <w:rFonts w:cs="Arial"/>
          <w:color w:val="000000"/>
          <w:sz w:val="22"/>
          <w:szCs w:val="22"/>
          <w:lang w:eastAsia="en-AU"/>
        </w:rPr>
        <w:t xml:space="preserve">able 10). </w:t>
      </w:r>
      <w:r w:rsidR="00EE733B" w:rsidRPr="00B95348">
        <w:rPr>
          <w:rFonts w:cs="Arial"/>
          <w:color w:val="000000"/>
          <w:sz w:val="22"/>
          <w:szCs w:val="22"/>
          <w:lang w:eastAsia="en-AU"/>
        </w:rPr>
        <w:t xml:space="preserve">All CIAs awarded funding from Stream 1 had been awarded their PhD less than 5 years ago without adjustment for career disruption. </w:t>
      </w:r>
    </w:p>
    <w:p w14:paraId="586DE63D" w14:textId="307AE2D1" w:rsidR="00216275" w:rsidRDefault="00216275" w:rsidP="001C459E">
      <w:pPr>
        <w:pStyle w:val="Paragraphtext"/>
        <w:jc w:val="both"/>
        <w:rPr>
          <w:rFonts w:cs="Arial"/>
          <w:color w:val="000000"/>
          <w:sz w:val="22"/>
          <w:szCs w:val="22"/>
          <w:lang w:eastAsia="en-AU"/>
        </w:rPr>
      </w:pPr>
    </w:p>
    <w:p w14:paraId="755C472F" w14:textId="6EDBAF6D" w:rsidR="00236887" w:rsidRDefault="00236887" w:rsidP="001C459E">
      <w:pPr>
        <w:pStyle w:val="Paragraphtext"/>
        <w:jc w:val="both"/>
        <w:rPr>
          <w:rFonts w:cs="Arial"/>
          <w:color w:val="000000"/>
          <w:sz w:val="22"/>
          <w:szCs w:val="22"/>
          <w:lang w:eastAsia="en-AU"/>
        </w:rPr>
      </w:pPr>
    </w:p>
    <w:p w14:paraId="7CE5D757" w14:textId="1563C69B" w:rsidR="00236887" w:rsidRDefault="00236887" w:rsidP="001C459E">
      <w:pPr>
        <w:pStyle w:val="Paragraphtext"/>
        <w:jc w:val="both"/>
        <w:rPr>
          <w:rFonts w:cs="Arial"/>
          <w:color w:val="000000"/>
          <w:sz w:val="22"/>
          <w:szCs w:val="22"/>
          <w:lang w:eastAsia="en-AU"/>
        </w:rPr>
      </w:pPr>
    </w:p>
    <w:p w14:paraId="2FC6EEAB" w14:textId="77777777" w:rsidR="009D4187" w:rsidRDefault="009D4187" w:rsidP="001C459E">
      <w:pPr>
        <w:pStyle w:val="Paragraphtext"/>
        <w:jc w:val="both"/>
        <w:rPr>
          <w:rFonts w:cs="Arial"/>
          <w:color w:val="000000"/>
          <w:sz w:val="22"/>
          <w:szCs w:val="22"/>
          <w:lang w:eastAsia="en-AU"/>
        </w:rPr>
      </w:pPr>
    </w:p>
    <w:p w14:paraId="56DBF461" w14:textId="15B87834" w:rsidR="00164C59" w:rsidRPr="006C2B28" w:rsidRDefault="00216275" w:rsidP="00164C59">
      <w:pPr>
        <w:pStyle w:val="FigureTitle"/>
      </w:pPr>
      <w:r w:rsidRPr="001C459E">
        <w:lastRenderedPageBreak/>
        <w:t xml:space="preserve">Table 10 – </w:t>
      </w:r>
      <w:proofErr w:type="gramStart"/>
      <w:r w:rsidR="00770F3A">
        <w:t>Y</w:t>
      </w:r>
      <w:r w:rsidRPr="001C459E">
        <w:t>ears</w:t>
      </w:r>
      <w:proofErr w:type="gramEnd"/>
      <w:r w:rsidRPr="001C459E">
        <w:t xml:space="preserve"> post PhD of CIA</w:t>
      </w:r>
      <w:r w:rsidR="00770F3A">
        <w:t xml:space="preserve"> (without career disruption)</w:t>
      </w:r>
      <w:r w:rsidR="00E45F45">
        <w:rPr>
          <w:rStyle w:val="FootnoteReference"/>
          <w:sz w:val="16"/>
          <w:szCs w:val="16"/>
        </w:rPr>
        <w:footnoteReference w:id="10"/>
      </w:r>
      <w:r w:rsidR="000A2B85">
        <w:t xml:space="preserve"> </w:t>
      </w:r>
      <w:r w:rsidR="00164C59" w:rsidRPr="006C2B28">
        <w:t>on applications</w:t>
      </w:r>
      <w:r w:rsidR="00164C59">
        <w:t xml:space="preserve"> (apps)</w:t>
      </w:r>
      <w:r w:rsidR="00164C59" w:rsidRPr="006C2B28">
        <w:t xml:space="preserve"> and </w:t>
      </w:r>
      <w:r w:rsidR="00164C59">
        <w:t xml:space="preserve">awarded </w:t>
      </w:r>
      <w:r w:rsidR="00164C59" w:rsidRPr="006C2B28">
        <w:t>grants by Stream</w:t>
      </w:r>
    </w:p>
    <w:tbl>
      <w:tblPr>
        <w:tblW w:w="9936" w:type="dxa"/>
        <w:tblLayout w:type="fixed"/>
        <w:tblLook w:val="04A0" w:firstRow="1" w:lastRow="0" w:firstColumn="1" w:lastColumn="0" w:noHBand="0" w:noVBand="1"/>
      </w:tblPr>
      <w:tblGrid>
        <w:gridCol w:w="1276"/>
        <w:gridCol w:w="709"/>
        <w:gridCol w:w="992"/>
        <w:gridCol w:w="992"/>
        <w:gridCol w:w="709"/>
        <w:gridCol w:w="992"/>
        <w:gridCol w:w="1134"/>
        <w:gridCol w:w="709"/>
        <w:gridCol w:w="1134"/>
        <w:gridCol w:w="1289"/>
      </w:tblGrid>
      <w:tr w:rsidR="000A2B85" w:rsidRPr="000A2B85" w14:paraId="79C6827E" w14:textId="77777777" w:rsidTr="00317D25">
        <w:trPr>
          <w:trHeight w:val="227"/>
        </w:trPr>
        <w:tc>
          <w:tcPr>
            <w:tcW w:w="1276" w:type="dxa"/>
            <w:vMerge w:val="restart"/>
            <w:tcBorders>
              <w:top w:val="single" w:sz="4" w:space="0" w:color="000000"/>
              <w:left w:val="nil"/>
              <w:right w:val="single" w:sz="4" w:space="0" w:color="FFFFFF" w:themeColor="background1"/>
            </w:tcBorders>
            <w:shd w:val="clear" w:color="auto" w:fill="18233B" w:themeFill="accent1"/>
            <w:noWrap/>
            <w:vAlign w:val="bottom"/>
          </w:tcPr>
          <w:p w14:paraId="76D3AC56" w14:textId="464C7409"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Years post-PhD</w:t>
            </w:r>
          </w:p>
        </w:tc>
        <w:tc>
          <w:tcPr>
            <w:tcW w:w="2693" w:type="dxa"/>
            <w:gridSpan w:val="3"/>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8233B" w:themeFill="accent1"/>
            <w:vAlign w:val="bottom"/>
          </w:tcPr>
          <w:p w14:paraId="31875974" w14:textId="77777777" w:rsidR="00147D2A" w:rsidRPr="00B95348" w:rsidRDefault="00147D2A" w:rsidP="00690414">
            <w:pPr>
              <w:jc w:val="center"/>
              <w:rPr>
                <w:rFonts w:cs="Arial"/>
                <w:b/>
                <w:bCs/>
                <w:color w:val="FFFFFF"/>
                <w:sz w:val="17"/>
                <w:szCs w:val="17"/>
                <w:lang w:eastAsia="en-AU"/>
              </w:rPr>
            </w:pPr>
            <w:r w:rsidRPr="00B95348">
              <w:rPr>
                <w:rFonts w:cs="Arial"/>
                <w:b/>
                <w:bCs/>
                <w:color w:val="FFFFFF"/>
                <w:sz w:val="17"/>
                <w:szCs w:val="17"/>
                <w:lang w:eastAsia="en-AU"/>
              </w:rPr>
              <w:t>Stream 1</w:t>
            </w:r>
          </w:p>
        </w:tc>
        <w:tc>
          <w:tcPr>
            <w:tcW w:w="2835" w:type="dxa"/>
            <w:gridSpan w:val="3"/>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8233B" w:themeFill="accent1"/>
            <w:vAlign w:val="bottom"/>
          </w:tcPr>
          <w:p w14:paraId="307F7482" w14:textId="77777777" w:rsidR="00147D2A" w:rsidRPr="00B95348" w:rsidRDefault="00147D2A" w:rsidP="00690414">
            <w:pPr>
              <w:jc w:val="center"/>
              <w:rPr>
                <w:rFonts w:cs="Arial"/>
                <w:b/>
                <w:bCs/>
                <w:color w:val="FFFFFF"/>
                <w:sz w:val="17"/>
                <w:szCs w:val="17"/>
                <w:lang w:eastAsia="en-AU"/>
              </w:rPr>
            </w:pPr>
            <w:r w:rsidRPr="00B95348">
              <w:rPr>
                <w:rFonts w:cs="Arial"/>
                <w:b/>
                <w:bCs/>
                <w:color w:val="FFFFFF"/>
                <w:sz w:val="17"/>
                <w:szCs w:val="17"/>
                <w:lang w:eastAsia="en-AU"/>
              </w:rPr>
              <w:t>Stream 2</w:t>
            </w:r>
          </w:p>
        </w:tc>
        <w:tc>
          <w:tcPr>
            <w:tcW w:w="3132" w:type="dxa"/>
            <w:gridSpan w:val="3"/>
            <w:tcBorders>
              <w:top w:val="single" w:sz="4" w:space="0" w:color="000000"/>
              <w:left w:val="single" w:sz="4" w:space="0" w:color="FFFFFF" w:themeColor="background1"/>
              <w:bottom w:val="single" w:sz="4" w:space="0" w:color="FFFFFF" w:themeColor="background1"/>
            </w:tcBorders>
            <w:shd w:val="clear" w:color="auto" w:fill="18233B" w:themeFill="accent1"/>
            <w:vAlign w:val="bottom"/>
          </w:tcPr>
          <w:p w14:paraId="24A57000" w14:textId="77777777" w:rsidR="00147D2A" w:rsidRPr="00B95348" w:rsidRDefault="00147D2A" w:rsidP="00690414">
            <w:pPr>
              <w:jc w:val="center"/>
              <w:rPr>
                <w:rFonts w:cs="Arial"/>
                <w:b/>
                <w:bCs/>
                <w:color w:val="FFFFFF"/>
                <w:sz w:val="17"/>
                <w:szCs w:val="17"/>
                <w:lang w:eastAsia="en-AU"/>
              </w:rPr>
            </w:pPr>
            <w:r w:rsidRPr="00B95348">
              <w:rPr>
                <w:rFonts w:cs="Arial"/>
                <w:b/>
                <w:bCs/>
                <w:color w:val="FFFFFF"/>
                <w:sz w:val="17"/>
                <w:szCs w:val="17"/>
                <w:lang w:eastAsia="en-AU"/>
              </w:rPr>
              <w:t>Stream 3</w:t>
            </w:r>
          </w:p>
        </w:tc>
      </w:tr>
      <w:tr w:rsidR="00243CEA" w:rsidRPr="00243CEA" w14:paraId="68177AB3" w14:textId="77777777" w:rsidTr="00192489">
        <w:trPr>
          <w:trHeight w:val="227"/>
        </w:trPr>
        <w:tc>
          <w:tcPr>
            <w:tcW w:w="1276" w:type="dxa"/>
            <w:vMerge/>
            <w:tcBorders>
              <w:left w:val="nil"/>
              <w:bottom w:val="single" w:sz="4" w:space="0" w:color="000000"/>
              <w:right w:val="single" w:sz="4" w:space="0" w:color="FFFFFF" w:themeColor="background1"/>
            </w:tcBorders>
            <w:shd w:val="clear" w:color="auto" w:fill="18233B" w:themeFill="accent1"/>
            <w:noWrap/>
            <w:vAlign w:val="bottom"/>
          </w:tcPr>
          <w:p w14:paraId="4F891B73" w14:textId="3DC71AFE" w:rsidR="00147D2A" w:rsidRPr="00B95348" w:rsidRDefault="00147D2A" w:rsidP="00690414">
            <w:pPr>
              <w:rPr>
                <w:rFonts w:cs="Arial"/>
                <w:b/>
                <w:bCs/>
                <w:color w:val="FFFFFF"/>
                <w:sz w:val="17"/>
                <w:szCs w:val="17"/>
                <w:lang w:eastAsia="en-AU"/>
              </w:rPr>
            </w:pP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59EEF865" w14:textId="672F9962"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3FBC30EE" w14:textId="541EF936"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Grants</w:t>
            </w:r>
            <w:r w:rsidR="000A2B85">
              <w:rPr>
                <w:rFonts w:cs="Arial"/>
                <w:b/>
                <w:bCs/>
                <w:color w:val="FFFFFF"/>
                <w:sz w:val="17"/>
                <w:szCs w:val="17"/>
                <w:lang w:eastAsia="en-AU"/>
              </w:rPr>
              <w:t xml:space="preserve"> awarded</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31ADE611" w14:textId="7B9EEC7E"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 xml:space="preserve">Mean </w:t>
            </w:r>
            <w:r w:rsidR="00FB0171">
              <w:rPr>
                <w:rFonts w:cs="Arial"/>
                <w:b/>
                <w:bCs/>
                <w:color w:val="FFFFFF"/>
                <w:sz w:val="17"/>
                <w:szCs w:val="17"/>
                <w:lang w:eastAsia="en-AU"/>
              </w:rPr>
              <w:t>amount</w:t>
            </w: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775FD837" w14:textId="77777777"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32F69F1B" w14:textId="2DC55ABC"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Grants</w:t>
            </w:r>
            <w:r w:rsidR="000A2B85">
              <w:rPr>
                <w:rFonts w:cs="Arial"/>
                <w:b/>
                <w:bCs/>
                <w:color w:val="FFFFFF"/>
                <w:sz w:val="17"/>
                <w:szCs w:val="17"/>
                <w:lang w:eastAsia="en-AU"/>
              </w:rPr>
              <w:t xml:space="preserve"> awarded</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3A42A2A7" w14:textId="1AE3A7DE"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 xml:space="preserve">Mean </w:t>
            </w:r>
            <w:r w:rsidR="007B5EB7">
              <w:rPr>
                <w:rFonts w:cs="Arial"/>
                <w:b/>
                <w:bCs/>
                <w:color w:val="FFFFFF"/>
                <w:sz w:val="17"/>
                <w:szCs w:val="17"/>
                <w:lang w:eastAsia="en-AU"/>
              </w:rPr>
              <w:t>amount</w:t>
            </w: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2966C453" w14:textId="77777777"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Apps</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66866DF4" w14:textId="62FAC56D"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Grants</w:t>
            </w:r>
            <w:r w:rsidR="000A2B85">
              <w:rPr>
                <w:rFonts w:cs="Arial"/>
                <w:b/>
                <w:bCs/>
                <w:color w:val="FFFFFF"/>
                <w:sz w:val="17"/>
                <w:szCs w:val="17"/>
                <w:lang w:eastAsia="en-AU"/>
              </w:rPr>
              <w:t xml:space="preserve"> awarded</w:t>
            </w:r>
          </w:p>
        </w:tc>
        <w:tc>
          <w:tcPr>
            <w:tcW w:w="128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4E35269F" w14:textId="2AABC07F" w:rsidR="00147D2A" w:rsidRPr="00B95348" w:rsidRDefault="00147D2A" w:rsidP="00690414">
            <w:pPr>
              <w:rPr>
                <w:rFonts w:cs="Arial"/>
                <w:b/>
                <w:bCs/>
                <w:color w:val="FFFFFF"/>
                <w:sz w:val="17"/>
                <w:szCs w:val="17"/>
                <w:lang w:eastAsia="en-AU"/>
              </w:rPr>
            </w:pPr>
            <w:r w:rsidRPr="00B95348">
              <w:rPr>
                <w:rFonts w:cs="Arial"/>
                <w:b/>
                <w:bCs/>
                <w:color w:val="FFFFFF"/>
                <w:sz w:val="17"/>
                <w:szCs w:val="17"/>
                <w:lang w:eastAsia="en-AU"/>
              </w:rPr>
              <w:t xml:space="preserve">Mean </w:t>
            </w:r>
            <w:r w:rsidR="00FB0171">
              <w:rPr>
                <w:rFonts w:cs="Arial"/>
                <w:b/>
                <w:bCs/>
                <w:color w:val="FFFFFF"/>
                <w:sz w:val="17"/>
                <w:szCs w:val="17"/>
                <w:lang w:eastAsia="en-AU"/>
              </w:rPr>
              <w:t>amount</w:t>
            </w:r>
          </w:p>
        </w:tc>
      </w:tr>
      <w:tr w:rsidR="00B44E73" w:rsidRPr="00B44E73" w14:paraId="54D0349D" w14:textId="77777777" w:rsidTr="00192489">
        <w:trPr>
          <w:trHeight w:val="227"/>
        </w:trPr>
        <w:tc>
          <w:tcPr>
            <w:tcW w:w="1276" w:type="dxa"/>
            <w:tcBorders>
              <w:top w:val="single" w:sz="4" w:space="0" w:color="000000"/>
              <w:left w:val="nil"/>
              <w:bottom w:val="single" w:sz="4" w:space="0" w:color="auto"/>
              <w:right w:val="nil"/>
            </w:tcBorders>
            <w:shd w:val="clear" w:color="auto" w:fill="auto"/>
            <w:noWrap/>
            <w:vAlign w:val="bottom"/>
          </w:tcPr>
          <w:p w14:paraId="67CB162B" w14:textId="3C48F403" w:rsidR="00331A80" w:rsidRPr="00340E8D" w:rsidRDefault="00331A80" w:rsidP="00690414">
            <w:pPr>
              <w:pStyle w:val="Tabletextleft"/>
              <w:rPr>
                <w:lang w:eastAsia="en-AU"/>
              </w:rPr>
            </w:pPr>
            <w:r w:rsidRPr="00340E8D">
              <w:rPr>
                <w:lang w:eastAsia="en-AU"/>
              </w:rPr>
              <w:t>0</w:t>
            </w:r>
            <w:r w:rsidR="00A50CBA">
              <w:rPr>
                <w:lang w:eastAsia="en-AU"/>
              </w:rPr>
              <w:t xml:space="preserve"> to </w:t>
            </w:r>
            <w:r w:rsidRPr="00340E8D">
              <w:rPr>
                <w:lang w:eastAsia="en-AU"/>
              </w:rPr>
              <w:t>5</w:t>
            </w:r>
          </w:p>
        </w:tc>
        <w:tc>
          <w:tcPr>
            <w:tcW w:w="709" w:type="dxa"/>
            <w:tcBorders>
              <w:top w:val="single" w:sz="4" w:space="0" w:color="000000"/>
              <w:left w:val="nil"/>
              <w:bottom w:val="single" w:sz="4" w:space="0" w:color="auto"/>
              <w:right w:val="nil"/>
            </w:tcBorders>
            <w:vAlign w:val="bottom"/>
          </w:tcPr>
          <w:p w14:paraId="751E5419" w14:textId="66575974" w:rsidR="00331A80" w:rsidRPr="00340E8D" w:rsidRDefault="00331A80" w:rsidP="00690414">
            <w:pPr>
              <w:pStyle w:val="Tabletextleft"/>
            </w:pPr>
            <w:r w:rsidRPr="00340E8D">
              <w:t>272</w:t>
            </w:r>
          </w:p>
        </w:tc>
        <w:tc>
          <w:tcPr>
            <w:tcW w:w="992" w:type="dxa"/>
            <w:tcBorders>
              <w:top w:val="single" w:sz="4" w:space="0" w:color="000000"/>
              <w:left w:val="nil"/>
              <w:bottom w:val="single" w:sz="4" w:space="0" w:color="auto"/>
              <w:right w:val="nil"/>
            </w:tcBorders>
            <w:vAlign w:val="bottom"/>
          </w:tcPr>
          <w:p w14:paraId="278D332D" w14:textId="142848F8" w:rsidR="00331A80" w:rsidRPr="00340E8D" w:rsidRDefault="00331A80" w:rsidP="00690414">
            <w:pPr>
              <w:pStyle w:val="Tabletextleft"/>
              <w:rPr>
                <w:lang w:eastAsia="en-AU"/>
              </w:rPr>
            </w:pPr>
            <w:r w:rsidRPr="00340E8D">
              <w:rPr>
                <w:lang w:eastAsia="en-AU"/>
              </w:rPr>
              <w:t>9</w:t>
            </w:r>
          </w:p>
        </w:tc>
        <w:tc>
          <w:tcPr>
            <w:tcW w:w="992" w:type="dxa"/>
            <w:tcBorders>
              <w:top w:val="single" w:sz="4" w:space="0" w:color="000000"/>
              <w:left w:val="nil"/>
              <w:bottom w:val="single" w:sz="4" w:space="0" w:color="auto"/>
              <w:right w:val="nil"/>
            </w:tcBorders>
            <w:vAlign w:val="bottom"/>
          </w:tcPr>
          <w:p w14:paraId="6EF114FE" w14:textId="02987426" w:rsidR="00331A80" w:rsidRPr="00340E8D" w:rsidRDefault="00331A80" w:rsidP="00690414">
            <w:pPr>
              <w:pStyle w:val="Tabletextleft"/>
              <w:rPr>
                <w:lang w:eastAsia="en-AU"/>
              </w:rPr>
            </w:pPr>
            <w:r w:rsidRPr="00340E8D">
              <w:rPr>
                <w:lang w:eastAsia="en-AU"/>
              </w:rPr>
              <w:t>$712,900</w:t>
            </w:r>
          </w:p>
        </w:tc>
        <w:tc>
          <w:tcPr>
            <w:tcW w:w="709" w:type="dxa"/>
            <w:tcBorders>
              <w:top w:val="single" w:sz="4" w:space="0" w:color="000000"/>
              <w:left w:val="nil"/>
              <w:bottom w:val="single" w:sz="4" w:space="0" w:color="auto"/>
              <w:right w:val="nil"/>
            </w:tcBorders>
            <w:vAlign w:val="bottom"/>
          </w:tcPr>
          <w:p w14:paraId="31BF57B3" w14:textId="1BD4E33F" w:rsidR="00331A80" w:rsidRPr="00340E8D" w:rsidRDefault="00331A80" w:rsidP="00690414">
            <w:pPr>
              <w:pStyle w:val="Tabletextleft"/>
            </w:pPr>
            <w:r w:rsidRPr="00340E8D">
              <w:t>6</w:t>
            </w:r>
          </w:p>
        </w:tc>
        <w:tc>
          <w:tcPr>
            <w:tcW w:w="992" w:type="dxa"/>
            <w:tcBorders>
              <w:top w:val="single" w:sz="4" w:space="0" w:color="000000"/>
              <w:left w:val="nil"/>
              <w:bottom w:val="single" w:sz="4" w:space="0" w:color="auto"/>
              <w:right w:val="nil"/>
            </w:tcBorders>
            <w:vAlign w:val="bottom"/>
          </w:tcPr>
          <w:p w14:paraId="14943895" w14:textId="382E822C" w:rsidR="00331A80" w:rsidRPr="00340E8D" w:rsidRDefault="00331A80" w:rsidP="00690414">
            <w:pPr>
              <w:pStyle w:val="Tabletextleft"/>
              <w:rPr>
                <w:lang w:eastAsia="en-AU"/>
              </w:rPr>
            </w:pPr>
            <w:r w:rsidRPr="00340E8D">
              <w:rPr>
                <w:lang w:eastAsia="en-AU"/>
              </w:rPr>
              <w:t>1</w:t>
            </w:r>
          </w:p>
        </w:tc>
        <w:tc>
          <w:tcPr>
            <w:tcW w:w="1134" w:type="dxa"/>
            <w:tcBorders>
              <w:top w:val="single" w:sz="4" w:space="0" w:color="000000"/>
              <w:left w:val="nil"/>
              <w:bottom w:val="single" w:sz="4" w:space="0" w:color="auto"/>
              <w:right w:val="nil"/>
            </w:tcBorders>
            <w:vAlign w:val="bottom"/>
          </w:tcPr>
          <w:p w14:paraId="154B7BB5" w14:textId="0B80BB1F" w:rsidR="00331A80" w:rsidRPr="00340E8D" w:rsidRDefault="00331A80" w:rsidP="00690414">
            <w:pPr>
              <w:pStyle w:val="Tabletextleft"/>
              <w:rPr>
                <w:lang w:eastAsia="en-AU"/>
              </w:rPr>
            </w:pPr>
            <w:r w:rsidRPr="00340E8D">
              <w:rPr>
                <w:lang w:eastAsia="en-AU"/>
              </w:rPr>
              <w:t>$4,063,177</w:t>
            </w:r>
          </w:p>
        </w:tc>
        <w:tc>
          <w:tcPr>
            <w:tcW w:w="709" w:type="dxa"/>
            <w:tcBorders>
              <w:top w:val="single" w:sz="4" w:space="0" w:color="000000"/>
              <w:left w:val="nil"/>
              <w:bottom w:val="single" w:sz="4" w:space="0" w:color="auto"/>
              <w:right w:val="nil"/>
            </w:tcBorders>
            <w:vAlign w:val="bottom"/>
          </w:tcPr>
          <w:p w14:paraId="0BD57E7D" w14:textId="34AF177D" w:rsidR="00331A80" w:rsidRPr="00340E8D" w:rsidRDefault="00331A80" w:rsidP="00690414">
            <w:pPr>
              <w:pStyle w:val="Tabletextleft"/>
            </w:pPr>
            <w:r w:rsidRPr="00340E8D">
              <w:t>6</w:t>
            </w:r>
          </w:p>
        </w:tc>
        <w:tc>
          <w:tcPr>
            <w:tcW w:w="1134" w:type="dxa"/>
            <w:tcBorders>
              <w:top w:val="single" w:sz="4" w:space="0" w:color="000000"/>
              <w:left w:val="nil"/>
              <w:bottom w:val="single" w:sz="4" w:space="0" w:color="auto"/>
              <w:right w:val="nil"/>
            </w:tcBorders>
            <w:vAlign w:val="bottom"/>
          </w:tcPr>
          <w:p w14:paraId="18622993" w14:textId="263308A7" w:rsidR="00331A80" w:rsidRPr="00340E8D" w:rsidRDefault="00331A80" w:rsidP="00690414">
            <w:pPr>
              <w:pStyle w:val="Tabletextleft"/>
              <w:rPr>
                <w:lang w:eastAsia="en-AU"/>
              </w:rPr>
            </w:pPr>
            <w:r w:rsidRPr="00340E8D">
              <w:rPr>
                <w:lang w:eastAsia="en-AU"/>
              </w:rPr>
              <w:t>2</w:t>
            </w:r>
          </w:p>
        </w:tc>
        <w:tc>
          <w:tcPr>
            <w:tcW w:w="1289" w:type="dxa"/>
            <w:tcBorders>
              <w:top w:val="single" w:sz="4" w:space="0" w:color="000000"/>
              <w:left w:val="nil"/>
              <w:bottom w:val="single" w:sz="4" w:space="0" w:color="auto"/>
              <w:right w:val="single" w:sz="4" w:space="0" w:color="FFFFFF" w:themeColor="background1"/>
            </w:tcBorders>
            <w:vAlign w:val="bottom"/>
          </w:tcPr>
          <w:p w14:paraId="08E1ADAB" w14:textId="7246C29B" w:rsidR="00331A80" w:rsidRPr="00340E8D" w:rsidRDefault="00331A80" w:rsidP="00690414">
            <w:pPr>
              <w:pStyle w:val="Tabletextleft"/>
              <w:rPr>
                <w:lang w:eastAsia="en-AU"/>
              </w:rPr>
            </w:pPr>
            <w:r w:rsidRPr="00340E8D">
              <w:rPr>
                <w:lang w:eastAsia="en-AU"/>
              </w:rPr>
              <w:t>$783,364</w:t>
            </w:r>
          </w:p>
        </w:tc>
      </w:tr>
      <w:tr w:rsidR="00B44E73" w:rsidRPr="00B44E73" w14:paraId="41393AA4" w14:textId="77777777" w:rsidTr="000C3317">
        <w:trPr>
          <w:trHeight w:val="227"/>
        </w:trPr>
        <w:tc>
          <w:tcPr>
            <w:tcW w:w="1276" w:type="dxa"/>
            <w:tcBorders>
              <w:top w:val="single" w:sz="4" w:space="0" w:color="auto"/>
              <w:left w:val="nil"/>
              <w:bottom w:val="single" w:sz="4" w:space="0" w:color="auto"/>
              <w:right w:val="nil"/>
            </w:tcBorders>
            <w:shd w:val="clear" w:color="auto" w:fill="auto"/>
            <w:noWrap/>
            <w:vAlign w:val="bottom"/>
          </w:tcPr>
          <w:p w14:paraId="527F4D6A" w14:textId="0792C083" w:rsidR="00331A80" w:rsidRPr="00340E8D" w:rsidRDefault="00DB28FE" w:rsidP="00690414">
            <w:pPr>
              <w:pStyle w:val="Tabletextleft"/>
              <w:rPr>
                <w:lang w:eastAsia="en-AU"/>
              </w:rPr>
            </w:pPr>
            <w:r w:rsidRPr="00340E8D">
              <w:rPr>
                <w:lang w:eastAsia="en-AU"/>
              </w:rPr>
              <w:t>6</w:t>
            </w:r>
            <w:r w:rsidR="00331A80" w:rsidRPr="00340E8D">
              <w:rPr>
                <w:lang w:eastAsia="en-AU"/>
              </w:rPr>
              <w:t xml:space="preserve"> to 10</w:t>
            </w:r>
          </w:p>
        </w:tc>
        <w:tc>
          <w:tcPr>
            <w:tcW w:w="709" w:type="dxa"/>
            <w:tcBorders>
              <w:top w:val="single" w:sz="4" w:space="0" w:color="auto"/>
              <w:left w:val="nil"/>
              <w:bottom w:val="single" w:sz="4" w:space="0" w:color="auto"/>
              <w:right w:val="nil"/>
            </w:tcBorders>
            <w:vAlign w:val="bottom"/>
          </w:tcPr>
          <w:p w14:paraId="78C9C84D" w14:textId="6BA3CD0B" w:rsidR="00331A80" w:rsidRPr="00340E8D" w:rsidRDefault="00331A80" w:rsidP="00690414">
            <w:pPr>
              <w:pStyle w:val="Tabletextleft"/>
            </w:pPr>
            <w:r w:rsidRPr="00340E8D">
              <w:t>23</w:t>
            </w:r>
          </w:p>
        </w:tc>
        <w:tc>
          <w:tcPr>
            <w:tcW w:w="992" w:type="dxa"/>
            <w:tcBorders>
              <w:top w:val="single" w:sz="4" w:space="0" w:color="auto"/>
              <w:left w:val="nil"/>
              <w:bottom w:val="single" w:sz="4" w:space="0" w:color="auto"/>
              <w:right w:val="nil"/>
            </w:tcBorders>
            <w:vAlign w:val="bottom"/>
          </w:tcPr>
          <w:p w14:paraId="70162848" w14:textId="31F50A05" w:rsidR="00331A80" w:rsidRPr="00340E8D" w:rsidRDefault="00331A80" w:rsidP="00690414">
            <w:pPr>
              <w:pStyle w:val="Tabletextleft"/>
              <w:rPr>
                <w:lang w:eastAsia="en-AU"/>
              </w:rPr>
            </w:pPr>
            <w:r w:rsidRPr="00340E8D">
              <w:rPr>
                <w:lang w:eastAsia="en-AU"/>
              </w:rPr>
              <w:t>0</w:t>
            </w:r>
          </w:p>
        </w:tc>
        <w:tc>
          <w:tcPr>
            <w:tcW w:w="992" w:type="dxa"/>
            <w:tcBorders>
              <w:top w:val="single" w:sz="4" w:space="0" w:color="auto"/>
              <w:left w:val="nil"/>
              <w:bottom w:val="single" w:sz="4" w:space="0" w:color="auto"/>
              <w:right w:val="nil"/>
            </w:tcBorders>
            <w:vAlign w:val="bottom"/>
          </w:tcPr>
          <w:p w14:paraId="1D144B2B" w14:textId="6324F10C" w:rsidR="00331A80" w:rsidRPr="00340E8D" w:rsidRDefault="00331A80" w:rsidP="00690414">
            <w:pPr>
              <w:pStyle w:val="Tabletextleft"/>
              <w:rPr>
                <w:lang w:eastAsia="en-AU"/>
              </w:rPr>
            </w:pPr>
            <w:r w:rsidRPr="00340E8D">
              <w:rPr>
                <w:lang w:eastAsia="en-AU"/>
              </w:rPr>
              <w:t>0</w:t>
            </w:r>
          </w:p>
        </w:tc>
        <w:tc>
          <w:tcPr>
            <w:tcW w:w="709" w:type="dxa"/>
            <w:tcBorders>
              <w:top w:val="single" w:sz="4" w:space="0" w:color="auto"/>
              <w:left w:val="nil"/>
              <w:bottom w:val="single" w:sz="4" w:space="0" w:color="auto"/>
              <w:right w:val="nil"/>
            </w:tcBorders>
            <w:vAlign w:val="bottom"/>
          </w:tcPr>
          <w:p w14:paraId="2E947196" w14:textId="1F21FCC4" w:rsidR="00331A80" w:rsidRPr="00340E8D" w:rsidRDefault="00331A80" w:rsidP="00690414">
            <w:pPr>
              <w:pStyle w:val="Tabletextleft"/>
            </w:pPr>
            <w:r w:rsidRPr="00340E8D">
              <w:t>78</w:t>
            </w:r>
          </w:p>
        </w:tc>
        <w:tc>
          <w:tcPr>
            <w:tcW w:w="992" w:type="dxa"/>
            <w:tcBorders>
              <w:top w:val="single" w:sz="4" w:space="0" w:color="auto"/>
              <w:left w:val="nil"/>
              <w:bottom w:val="single" w:sz="4" w:space="0" w:color="auto"/>
              <w:right w:val="nil"/>
            </w:tcBorders>
            <w:vAlign w:val="bottom"/>
          </w:tcPr>
          <w:p w14:paraId="0FD64D7A" w14:textId="21894B7D" w:rsidR="00331A80" w:rsidRPr="00340E8D" w:rsidRDefault="00331A80" w:rsidP="00690414">
            <w:pPr>
              <w:pStyle w:val="Tabletextleft"/>
              <w:rPr>
                <w:lang w:eastAsia="en-AU"/>
              </w:rPr>
            </w:pPr>
            <w:r w:rsidRPr="00340E8D">
              <w:rPr>
                <w:lang w:eastAsia="en-AU"/>
              </w:rPr>
              <w:t>3</w:t>
            </w:r>
          </w:p>
        </w:tc>
        <w:tc>
          <w:tcPr>
            <w:tcW w:w="1134" w:type="dxa"/>
            <w:tcBorders>
              <w:top w:val="single" w:sz="4" w:space="0" w:color="auto"/>
              <w:left w:val="nil"/>
              <w:bottom w:val="single" w:sz="4" w:space="0" w:color="auto"/>
              <w:right w:val="nil"/>
            </w:tcBorders>
            <w:vAlign w:val="bottom"/>
          </w:tcPr>
          <w:p w14:paraId="2B670DD3" w14:textId="52F39E25" w:rsidR="00331A80" w:rsidRPr="00340E8D" w:rsidRDefault="00331A80" w:rsidP="00690414">
            <w:pPr>
              <w:pStyle w:val="Tabletextleft"/>
              <w:rPr>
                <w:lang w:eastAsia="en-AU"/>
              </w:rPr>
            </w:pPr>
            <w:r w:rsidRPr="00340E8D">
              <w:rPr>
                <w:lang w:eastAsia="en-AU"/>
              </w:rPr>
              <w:t>$4,850,538</w:t>
            </w:r>
          </w:p>
        </w:tc>
        <w:tc>
          <w:tcPr>
            <w:tcW w:w="709" w:type="dxa"/>
            <w:tcBorders>
              <w:top w:val="single" w:sz="4" w:space="0" w:color="auto"/>
              <w:left w:val="nil"/>
              <w:bottom w:val="single" w:sz="4" w:space="0" w:color="auto"/>
              <w:right w:val="nil"/>
            </w:tcBorders>
            <w:vAlign w:val="bottom"/>
          </w:tcPr>
          <w:p w14:paraId="2B8A1C97" w14:textId="7459C412" w:rsidR="00331A80" w:rsidRPr="00340E8D" w:rsidRDefault="00331A80" w:rsidP="00690414">
            <w:pPr>
              <w:pStyle w:val="Tabletextleft"/>
            </w:pPr>
            <w:r w:rsidRPr="00340E8D">
              <w:t>9</w:t>
            </w:r>
          </w:p>
        </w:tc>
        <w:tc>
          <w:tcPr>
            <w:tcW w:w="1134" w:type="dxa"/>
            <w:tcBorders>
              <w:top w:val="single" w:sz="4" w:space="0" w:color="auto"/>
              <w:left w:val="nil"/>
              <w:bottom w:val="single" w:sz="4" w:space="0" w:color="auto"/>
              <w:right w:val="nil"/>
            </w:tcBorders>
            <w:vAlign w:val="bottom"/>
          </w:tcPr>
          <w:p w14:paraId="6C778486" w14:textId="24E3192A" w:rsidR="00331A80" w:rsidRPr="00340E8D" w:rsidRDefault="00331A80" w:rsidP="00690414">
            <w:pPr>
              <w:pStyle w:val="Tabletextleft"/>
              <w:rPr>
                <w:lang w:eastAsia="en-AU"/>
              </w:rPr>
            </w:pPr>
            <w:r w:rsidRPr="00340E8D">
              <w:rPr>
                <w:lang w:eastAsia="en-AU"/>
              </w:rPr>
              <w:t>5</w:t>
            </w:r>
          </w:p>
        </w:tc>
        <w:tc>
          <w:tcPr>
            <w:tcW w:w="1289" w:type="dxa"/>
            <w:tcBorders>
              <w:top w:val="single" w:sz="4" w:space="0" w:color="auto"/>
              <w:left w:val="nil"/>
              <w:bottom w:val="single" w:sz="4" w:space="0" w:color="auto"/>
              <w:right w:val="single" w:sz="4" w:space="0" w:color="FFFFFF" w:themeColor="background1"/>
            </w:tcBorders>
            <w:vAlign w:val="bottom"/>
          </w:tcPr>
          <w:p w14:paraId="4024074F" w14:textId="7D070418" w:rsidR="00331A80" w:rsidRPr="00340E8D" w:rsidRDefault="00331A80" w:rsidP="00690414">
            <w:pPr>
              <w:pStyle w:val="Tabletextleft"/>
              <w:rPr>
                <w:lang w:eastAsia="en-AU"/>
              </w:rPr>
            </w:pPr>
            <w:r w:rsidRPr="00340E8D">
              <w:rPr>
                <w:lang w:eastAsia="en-AU"/>
              </w:rPr>
              <w:t>$1,006,209</w:t>
            </w:r>
          </w:p>
        </w:tc>
      </w:tr>
      <w:tr w:rsidR="00331A80" w:rsidRPr="00B95348" w14:paraId="2004537E" w14:textId="77777777" w:rsidTr="000C3317">
        <w:trPr>
          <w:trHeight w:val="227"/>
        </w:trPr>
        <w:tc>
          <w:tcPr>
            <w:tcW w:w="1276" w:type="dxa"/>
            <w:tcBorders>
              <w:top w:val="single" w:sz="4" w:space="0" w:color="auto"/>
              <w:left w:val="nil"/>
              <w:bottom w:val="single" w:sz="4" w:space="0" w:color="auto"/>
              <w:right w:val="nil"/>
            </w:tcBorders>
            <w:shd w:val="clear" w:color="auto" w:fill="auto"/>
            <w:noWrap/>
            <w:vAlign w:val="bottom"/>
            <w:hideMark/>
          </w:tcPr>
          <w:p w14:paraId="4B8B705B" w14:textId="60E826A0" w:rsidR="00331A80" w:rsidRPr="00340E8D" w:rsidRDefault="00331A80" w:rsidP="00690414">
            <w:pPr>
              <w:pStyle w:val="Tabletextleft"/>
              <w:rPr>
                <w:lang w:eastAsia="en-AU"/>
              </w:rPr>
            </w:pPr>
            <w:r w:rsidRPr="00340E8D">
              <w:rPr>
                <w:lang w:eastAsia="en-AU"/>
              </w:rPr>
              <w:t>Over 10</w:t>
            </w:r>
          </w:p>
        </w:tc>
        <w:tc>
          <w:tcPr>
            <w:tcW w:w="709" w:type="dxa"/>
            <w:tcBorders>
              <w:top w:val="single" w:sz="4" w:space="0" w:color="auto"/>
              <w:left w:val="nil"/>
              <w:bottom w:val="single" w:sz="4" w:space="0" w:color="auto"/>
              <w:right w:val="nil"/>
            </w:tcBorders>
            <w:vAlign w:val="bottom"/>
          </w:tcPr>
          <w:p w14:paraId="3F62378A" w14:textId="1E4B0EC0" w:rsidR="00331A80" w:rsidRPr="00340E8D" w:rsidRDefault="00331A80" w:rsidP="00690414">
            <w:pPr>
              <w:pStyle w:val="Tabletextleft"/>
            </w:pPr>
            <w:r w:rsidRPr="00340E8D">
              <w:t>2</w:t>
            </w:r>
          </w:p>
        </w:tc>
        <w:tc>
          <w:tcPr>
            <w:tcW w:w="992" w:type="dxa"/>
            <w:tcBorders>
              <w:top w:val="single" w:sz="4" w:space="0" w:color="auto"/>
              <w:left w:val="nil"/>
              <w:bottom w:val="single" w:sz="4" w:space="0" w:color="auto"/>
              <w:right w:val="nil"/>
            </w:tcBorders>
            <w:vAlign w:val="bottom"/>
          </w:tcPr>
          <w:p w14:paraId="35F972DD" w14:textId="710F6A0B" w:rsidR="00331A80" w:rsidRPr="00340E8D" w:rsidRDefault="00331A80" w:rsidP="00690414">
            <w:pPr>
              <w:pStyle w:val="Tabletextleft"/>
              <w:rPr>
                <w:lang w:eastAsia="en-AU"/>
              </w:rPr>
            </w:pPr>
            <w:r w:rsidRPr="00340E8D">
              <w:rPr>
                <w:lang w:eastAsia="en-AU"/>
              </w:rPr>
              <w:t>0</w:t>
            </w:r>
          </w:p>
        </w:tc>
        <w:tc>
          <w:tcPr>
            <w:tcW w:w="992" w:type="dxa"/>
            <w:tcBorders>
              <w:top w:val="single" w:sz="4" w:space="0" w:color="auto"/>
              <w:left w:val="nil"/>
              <w:bottom w:val="single" w:sz="4" w:space="0" w:color="auto"/>
              <w:right w:val="nil"/>
            </w:tcBorders>
            <w:vAlign w:val="bottom"/>
          </w:tcPr>
          <w:p w14:paraId="3DB857EF" w14:textId="10B24FCE" w:rsidR="00331A80" w:rsidRPr="00340E8D" w:rsidRDefault="00331A80" w:rsidP="00690414">
            <w:pPr>
              <w:pStyle w:val="Tabletextleft"/>
              <w:rPr>
                <w:lang w:eastAsia="en-AU"/>
              </w:rPr>
            </w:pPr>
            <w:r w:rsidRPr="00340E8D">
              <w:rPr>
                <w:lang w:eastAsia="en-AU"/>
              </w:rPr>
              <w:t>0</w:t>
            </w:r>
          </w:p>
        </w:tc>
        <w:tc>
          <w:tcPr>
            <w:tcW w:w="709" w:type="dxa"/>
            <w:tcBorders>
              <w:top w:val="single" w:sz="4" w:space="0" w:color="auto"/>
              <w:left w:val="nil"/>
              <w:bottom w:val="single" w:sz="4" w:space="0" w:color="auto"/>
              <w:right w:val="nil"/>
            </w:tcBorders>
            <w:vAlign w:val="bottom"/>
          </w:tcPr>
          <w:p w14:paraId="641248E2" w14:textId="67219619" w:rsidR="00331A80" w:rsidRPr="00340E8D" w:rsidRDefault="00331A80" w:rsidP="00690414">
            <w:pPr>
              <w:pStyle w:val="Tabletextleft"/>
            </w:pPr>
            <w:r w:rsidRPr="00340E8D">
              <w:t>15</w:t>
            </w:r>
          </w:p>
        </w:tc>
        <w:tc>
          <w:tcPr>
            <w:tcW w:w="992" w:type="dxa"/>
            <w:tcBorders>
              <w:top w:val="single" w:sz="4" w:space="0" w:color="auto"/>
              <w:left w:val="nil"/>
              <w:bottom w:val="single" w:sz="4" w:space="0" w:color="auto"/>
              <w:right w:val="nil"/>
            </w:tcBorders>
            <w:vAlign w:val="bottom"/>
          </w:tcPr>
          <w:p w14:paraId="2C82F6DF" w14:textId="5502F0DF" w:rsidR="00331A80" w:rsidRPr="00340E8D" w:rsidRDefault="00331A80" w:rsidP="00690414">
            <w:pPr>
              <w:pStyle w:val="Tabletextleft"/>
              <w:rPr>
                <w:lang w:eastAsia="en-AU"/>
              </w:rPr>
            </w:pPr>
            <w:r w:rsidRPr="00340E8D">
              <w:rPr>
                <w:lang w:eastAsia="en-AU"/>
              </w:rPr>
              <w:t>2</w:t>
            </w:r>
          </w:p>
        </w:tc>
        <w:tc>
          <w:tcPr>
            <w:tcW w:w="1134" w:type="dxa"/>
            <w:tcBorders>
              <w:top w:val="single" w:sz="4" w:space="0" w:color="auto"/>
              <w:left w:val="nil"/>
              <w:bottom w:val="single" w:sz="4" w:space="0" w:color="auto"/>
              <w:right w:val="nil"/>
            </w:tcBorders>
            <w:vAlign w:val="bottom"/>
          </w:tcPr>
          <w:p w14:paraId="37458AA6" w14:textId="41E50C44" w:rsidR="00331A80" w:rsidRPr="00340E8D" w:rsidRDefault="00331A80" w:rsidP="00690414">
            <w:pPr>
              <w:pStyle w:val="Tabletextleft"/>
              <w:rPr>
                <w:lang w:eastAsia="en-AU"/>
              </w:rPr>
            </w:pPr>
            <w:r w:rsidRPr="00340E8D">
              <w:rPr>
                <w:lang w:eastAsia="en-AU"/>
              </w:rPr>
              <w:t>$4,791,084</w:t>
            </w:r>
          </w:p>
        </w:tc>
        <w:tc>
          <w:tcPr>
            <w:tcW w:w="709" w:type="dxa"/>
            <w:tcBorders>
              <w:top w:val="single" w:sz="4" w:space="0" w:color="auto"/>
              <w:left w:val="nil"/>
              <w:bottom w:val="single" w:sz="4" w:space="0" w:color="auto"/>
              <w:right w:val="nil"/>
            </w:tcBorders>
            <w:vAlign w:val="bottom"/>
          </w:tcPr>
          <w:p w14:paraId="01E4E0A5" w14:textId="30A3B271" w:rsidR="00331A80" w:rsidRPr="00340E8D" w:rsidRDefault="00331A80" w:rsidP="00690414">
            <w:pPr>
              <w:pStyle w:val="Tabletextleft"/>
            </w:pPr>
            <w:r w:rsidRPr="00340E8D">
              <w:t>1</w:t>
            </w:r>
          </w:p>
        </w:tc>
        <w:tc>
          <w:tcPr>
            <w:tcW w:w="1134" w:type="dxa"/>
            <w:tcBorders>
              <w:top w:val="single" w:sz="4" w:space="0" w:color="auto"/>
              <w:left w:val="nil"/>
              <w:bottom w:val="single" w:sz="4" w:space="0" w:color="auto"/>
              <w:right w:val="nil"/>
            </w:tcBorders>
            <w:vAlign w:val="bottom"/>
          </w:tcPr>
          <w:p w14:paraId="448AC15B" w14:textId="45445104" w:rsidR="00331A80" w:rsidRPr="00340E8D" w:rsidRDefault="00331A80" w:rsidP="00690414">
            <w:pPr>
              <w:pStyle w:val="Tabletextleft"/>
              <w:rPr>
                <w:lang w:eastAsia="en-AU"/>
              </w:rPr>
            </w:pPr>
            <w:r w:rsidRPr="00340E8D">
              <w:rPr>
                <w:lang w:eastAsia="en-AU"/>
              </w:rPr>
              <w:t>1</w:t>
            </w:r>
          </w:p>
        </w:tc>
        <w:tc>
          <w:tcPr>
            <w:tcW w:w="1289" w:type="dxa"/>
            <w:tcBorders>
              <w:top w:val="single" w:sz="4" w:space="0" w:color="auto"/>
              <w:left w:val="nil"/>
              <w:bottom w:val="single" w:sz="4" w:space="0" w:color="auto"/>
              <w:right w:val="single" w:sz="4" w:space="0" w:color="FFFFFF" w:themeColor="background1"/>
            </w:tcBorders>
            <w:vAlign w:val="bottom"/>
          </w:tcPr>
          <w:p w14:paraId="1A28885F" w14:textId="7436B1A4" w:rsidR="00331A80" w:rsidRPr="00340E8D" w:rsidRDefault="00331A80" w:rsidP="00690414">
            <w:pPr>
              <w:pStyle w:val="Tabletextleft"/>
              <w:rPr>
                <w:lang w:eastAsia="en-AU"/>
              </w:rPr>
            </w:pPr>
            <w:r w:rsidRPr="00340E8D">
              <w:rPr>
                <w:lang w:eastAsia="en-AU"/>
              </w:rPr>
              <w:t>$1,589,171</w:t>
            </w:r>
          </w:p>
        </w:tc>
      </w:tr>
      <w:tr w:rsidR="00B44E73" w:rsidRPr="00B44E73" w14:paraId="6909B747" w14:textId="77777777" w:rsidTr="000C3317">
        <w:trPr>
          <w:trHeight w:val="227"/>
        </w:trPr>
        <w:tc>
          <w:tcPr>
            <w:tcW w:w="1276" w:type="dxa"/>
            <w:tcBorders>
              <w:top w:val="single" w:sz="4" w:space="0" w:color="auto"/>
              <w:left w:val="nil"/>
              <w:bottom w:val="single" w:sz="4" w:space="0" w:color="auto"/>
              <w:right w:val="nil"/>
            </w:tcBorders>
            <w:shd w:val="clear" w:color="auto" w:fill="auto"/>
            <w:noWrap/>
            <w:vAlign w:val="bottom"/>
          </w:tcPr>
          <w:p w14:paraId="051F30B3" w14:textId="0E4BA368" w:rsidR="00331A80" w:rsidRPr="00340E8D" w:rsidRDefault="00331A80" w:rsidP="00690414">
            <w:pPr>
              <w:pStyle w:val="Tabletextleft"/>
              <w:rPr>
                <w:lang w:eastAsia="en-AU"/>
              </w:rPr>
            </w:pPr>
            <w:r w:rsidRPr="00340E8D">
              <w:rPr>
                <w:lang w:eastAsia="en-AU"/>
              </w:rPr>
              <w:t xml:space="preserve">Not </w:t>
            </w:r>
            <w:r w:rsidR="000D178B" w:rsidRPr="00340E8D">
              <w:rPr>
                <w:lang w:eastAsia="en-AU"/>
              </w:rPr>
              <w:t>reported</w:t>
            </w:r>
          </w:p>
        </w:tc>
        <w:tc>
          <w:tcPr>
            <w:tcW w:w="709" w:type="dxa"/>
            <w:tcBorders>
              <w:top w:val="single" w:sz="4" w:space="0" w:color="auto"/>
              <w:left w:val="nil"/>
              <w:bottom w:val="single" w:sz="4" w:space="0" w:color="auto"/>
              <w:right w:val="nil"/>
            </w:tcBorders>
            <w:vAlign w:val="bottom"/>
          </w:tcPr>
          <w:p w14:paraId="189BF4DB" w14:textId="66939158" w:rsidR="00331A80" w:rsidRPr="00340E8D" w:rsidRDefault="00331A80" w:rsidP="00690414">
            <w:pPr>
              <w:pStyle w:val="Tabletextleft"/>
            </w:pPr>
            <w:r w:rsidRPr="00340E8D">
              <w:t>6</w:t>
            </w:r>
          </w:p>
        </w:tc>
        <w:tc>
          <w:tcPr>
            <w:tcW w:w="992" w:type="dxa"/>
            <w:tcBorders>
              <w:top w:val="single" w:sz="4" w:space="0" w:color="auto"/>
              <w:left w:val="nil"/>
              <w:bottom w:val="single" w:sz="4" w:space="0" w:color="auto"/>
              <w:right w:val="nil"/>
            </w:tcBorders>
            <w:vAlign w:val="bottom"/>
          </w:tcPr>
          <w:p w14:paraId="320D4762" w14:textId="5F9272F5" w:rsidR="00331A80" w:rsidRPr="00340E8D" w:rsidRDefault="00331A80" w:rsidP="00690414">
            <w:pPr>
              <w:pStyle w:val="Tabletextleft"/>
              <w:rPr>
                <w:lang w:eastAsia="en-AU"/>
              </w:rPr>
            </w:pPr>
            <w:r w:rsidRPr="00340E8D">
              <w:rPr>
                <w:lang w:eastAsia="en-AU"/>
              </w:rPr>
              <w:t>0</w:t>
            </w:r>
          </w:p>
        </w:tc>
        <w:tc>
          <w:tcPr>
            <w:tcW w:w="992" w:type="dxa"/>
            <w:tcBorders>
              <w:top w:val="single" w:sz="4" w:space="0" w:color="auto"/>
              <w:left w:val="nil"/>
              <w:bottom w:val="single" w:sz="4" w:space="0" w:color="auto"/>
              <w:right w:val="nil"/>
            </w:tcBorders>
            <w:vAlign w:val="bottom"/>
          </w:tcPr>
          <w:p w14:paraId="42783B91" w14:textId="589CFEC2" w:rsidR="00331A80" w:rsidRPr="00340E8D" w:rsidRDefault="00331A80" w:rsidP="00690414">
            <w:pPr>
              <w:pStyle w:val="Tabletextleft"/>
              <w:rPr>
                <w:lang w:eastAsia="en-AU"/>
              </w:rPr>
            </w:pPr>
            <w:r w:rsidRPr="00340E8D">
              <w:rPr>
                <w:lang w:eastAsia="en-AU"/>
              </w:rPr>
              <w:t>0</w:t>
            </w:r>
          </w:p>
        </w:tc>
        <w:tc>
          <w:tcPr>
            <w:tcW w:w="709" w:type="dxa"/>
            <w:tcBorders>
              <w:top w:val="single" w:sz="4" w:space="0" w:color="auto"/>
              <w:left w:val="nil"/>
              <w:bottom w:val="single" w:sz="4" w:space="0" w:color="auto"/>
              <w:right w:val="nil"/>
            </w:tcBorders>
            <w:vAlign w:val="bottom"/>
          </w:tcPr>
          <w:p w14:paraId="1991EFA9" w14:textId="0457C04C" w:rsidR="00331A80" w:rsidRPr="00340E8D" w:rsidRDefault="00331A80" w:rsidP="00690414">
            <w:pPr>
              <w:pStyle w:val="Tabletextleft"/>
            </w:pPr>
            <w:r w:rsidRPr="00340E8D">
              <w:t>-</w:t>
            </w:r>
          </w:p>
        </w:tc>
        <w:tc>
          <w:tcPr>
            <w:tcW w:w="992" w:type="dxa"/>
            <w:tcBorders>
              <w:top w:val="single" w:sz="4" w:space="0" w:color="auto"/>
              <w:left w:val="nil"/>
              <w:bottom w:val="single" w:sz="4" w:space="0" w:color="auto"/>
              <w:right w:val="nil"/>
            </w:tcBorders>
            <w:vAlign w:val="bottom"/>
          </w:tcPr>
          <w:p w14:paraId="0EA3F2E6" w14:textId="0E34508A" w:rsidR="00331A80" w:rsidRPr="00340E8D" w:rsidRDefault="00331A80" w:rsidP="00690414">
            <w:pPr>
              <w:pStyle w:val="Tabletextleft"/>
              <w:rPr>
                <w:lang w:eastAsia="en-AU"/>
              </w:rPr>
            </w:pPr>
            <w:r w:rsidRPr="00340E8D">
              <w:rPr>
                <w:lang w:eastAsia="en-AU"/>
              </w:rPr>
              <w:t>-</w:t>
            </w:r>
          </w:p>
        </w:tc>
        <w:tc>
          <w:tcPr>
            <w:tcW w:w="1134" w:type="dxa"/>
            <w:tcBorders>
              <w:top w:val="single" w:sz="4" w:space="0" w:color="auto"/>
              <w:left w:val="nil"/>
              <w:bottom w:val="single" w:sz="4" w:space="0" w:color="auto"/>
              <w:right w:val="nil"/>
            </w:tcBorders>
            <w:vAlign w:val="bottom"/>
          </w:tcPr>
          <w:p w14:paraId="42AA267D" w14:textId="4B460CDD" w:rsidR="00331A80" w:rsidRPr="00340E8D" w:rsidRDefault="00331A80" w:rsidP="00690414">
            <w:pPr>
              <w:pStyle w:val="Tabletextleft"/>
              <w:rPr>
                <w:lang w:eastAsia="en-AU"/>
              </w:rPr>
            </w:pPr>
            <w:r w:rsidRPr="00340E8D">
              <w:rPr>
                <w:lang w:eastAsia="en-AU"/>
              </w:rPr>
              <w:t>-</w:t>
            </w:r>
          </w:p>
        </w:tc>
        <w:tc>
          <w:tcPr>
            <w:tcW w:w="709" w:type="dxa"/>
            <w:tcBorders>
              <w:top w:val="single" w:sz="4" w:space="0" w:color="auto"/>
              <w:left w:val="nil"/>
              <w:bottom w:val="single" w:sz="4" w:space="0" w:color="auto"/>
              <w:right w:val="nil"/>
            </w:tcBorders>
            <w:vAlign w:val="bottom"/>
          </w:tcPr>
          <w:p w14:paraId="14936773" w14:textId="37705C55" w:rsidR="00331A80" w:rsidRPr="00340E8D" w:rsidRDefault="00331A80" w:rsidP="00690414">
            <w:pPr>
              <w:pStyle w:val="Tabletextleft"/>
            </w:pPr>
            <w:r w:rsidRPr="00340E8D">
              <w:t>-</w:t>
            </w:r>
          </w:p>
        </w:tc>
        <w:tc>
          <w:tcPr>
            <w:tcW w:w="1134" w:type="dxa"/>
            <w:tcBorders>
              <w:top w:val="single" w:sz="4" w:space="0" w:color="auto"/>
              <w:left w:val="nil"/>
              <w:bottom w:val="single" w:sz="4" w:space="0" w:color="auto"/>
              <w:right w:val="nil"/>
            </w:tcBorders>
            <w:vAlign w:val="bottom"/>
          </w:tcPr>
          <w:p w14:paraId="75F458AD" w14:textId="680697FD" w:rsidR="00331A80" w:rsidRPr="00340E8D" w:rsidRDefault="00331A80" w:rsidP="00690414">
            <w:pPr>
              <w:pStyle w:val="Tabletextleft"/>
              <w:rPr>
                <w:lang w:eastAsia="en-AU"/>
              </w:rPr>
            </w:pPr>
            <w:r w:rsidRPr="00340E8D">
              <w:rPr>
                <w:lang w:eastAsia="en-AU"/>
              </w:rPr>
              <w:t>-</w:t>
            </w:r>
          </w:p>
        </w:tc>
        <w:tc>
          <w:tcPr>
            <w:tcW w:w="1289" w:type="dxa"/>
            <w:tcBorders>
              <w:top w:val="single" w:sz="4" w:space="0" w:color="auto"/>
              <w:left w:val="nil"/>
              <w:bottom w:val="single" w:sz="4" w:space="0" w:color="auto"/>
              <w:right w:val="single" w:sz="4" w:space="0" w:color="FFFFFF" w:themeColor="background1"/>
            </w:tcBorders>
            <w:vAlign w:val="bottom"/>
          </w:tcPr>
          <w:p w14:paraId="39FAE400" w14:textId="4B299BCC" w:rsidR="00331A80" w:rsidRPr="00340E8D" w:rsidRDefault="00331A80" w:rsidP="00690414">
            <w:pPr>
              <w:pStyle w:val="Tabletextleft"/>
              <w:rPr>
                <w:lang w:eastAsia="en-AU"/>
              </w:rPr>
            </w:pPr>
            <w:r w:rsidRPr="00340E8D">
              <w:rPr>
                <w:lang w:eastAsia="en-AU"/>
              </w:rPr>
              <w:t>-</w:t>
            </w:r>
          </w:p>
        </w:tc>
      </w:tr>
    </w:tbl>
    <w:p w14:paraId="499950E4" w14:textId="77777777" w:rsidR="00331A80" w:rsidRPr="00766DC6" w:rsidRDefault="00331A80" w:rsidP="00690414">
      <w:pPr>
        <w:spacing w:before="120"/>
        <w:rPr>
          <w:sz w:val="22"/>
          <w:szCs w:val="22"/>
        </w:rPr>
      </w:pPr>
    </w:p>
    <w:p w14:paraId="08A17C31" w14:textId="43481A9A" w:rsidR="002F323A" w:rsidRDefault="002F323A" w:rsidP="00651510">
      <w:pPr>
        <w:pStyle w:val="Heading2"/>
        <w:spacing w:after="0"/>
      </w:pPr>
      <w:bookmarkStart w:id="18" w:name="_Toc131338406"/>
      <w:r>
        <w:t>First Nations</w:t>
      </w:r>
      <w:r w:rsidR="001D2297">
        <w:t xml:space="preserve"> CI</w:t>
      </w:r>
      <w:r w:rsidR="000D086E">
        <w:t xml:space="preserve"> status</w:t>
      </w:r>
      <w:bookmarkEnd w:id="18"/>
    </w:p>
    <w:p w14:paraId="6066122A" w14:textId="5D03D4B8" w:rsidR="002F323A" w:rsidRDefault="00823965" w:rsidP="00651510">
      <w:pPr>
        <w:spacing w:before="120"/>
        <w:jc w:val="both"/>
        <w:rPr>
          <w:color w:val="000000" w:themeColor="text1"/>
          <w:sz w:val="22"/>
          <w:szCs w:val="22"/>
        </w:rPr>
      </w:pPr>
      <w:r w:rsidRPr="00766DC6">
        <w:rPr>
          <w:sz w:val="22"/>
          <w:szCs w:val="22"/>
        </w:rPr>
        <w:t xml:space="preserve">Three applications with First Nations CIAs were received but none of these applications were awarded </w:t>
      </w:r>
      <w:r w:rsidRPr="00766DC6">
        <w:rPr>
          <w:color w:val="000000" w:themeColor="text1"/>
          <w:sz w:val="22"/>
          <w:szCs w:val="22"/>
        </w:rPr>
        <w:t>funding</w:t>
      </w:r>
      <w:r w:rsidR="001A2FB0" w:rsidRPr="00766DC6">
        <w:rPr>
          <w:color w:val="000000" w:themeColor="text1"/>
          <w:sz w:val="22"/>
          <w:szCs w:val="22"/>
        </w:rPr>
        <w:t>.</w:t>
      </w:r>
      <w:r w:rsidR="0026665A" w:rsidRPr="00766DC6">
        <w:rPr>
          <w:color w:val="000000" w:themeColor="text1"/>
          <w:sz w:val="22"/>
          <w:szCs w:val="22"/>
        </w:rPr>
        <w:t xml:space="preserve"> A total of 31 First Nations CIs were included in the applications, of which </w:t>
      </w:r>
      <w:r w:rsidR="002732E6">
        <w:rPr>
          <w:color w:val="000000" w:themeColor="text1"/>
          <w:sz w:val="22"/>
          <w:szCs w:val="22"/>
        </w:rPr>
        <w:t>1</w:t>
      </w:r>
      <w:r w:rsidR="0026665A" w:rsidRPr="00766DC6">
        <w:rPr>
          <w:color w:val="000000" w:themeColor="text1"/>
          <w:sz w:val="22"/>
          <w:szCs w:val="22"/>
        </w:rPr>
        <w:t xml:space="preserve"> became a CI on an awarded grant.</w:t>
      </w:r>
      <w:r w:rsidR="00933911">
        <w:rPr>
          <w:color w:val="000000" w:themeColor="text1"/>
          <w:sz w:val="22"/>
          <w:szCs w:val="22"/>
        </w:rPr>
        <w:t xml:space="preserve"> </w:t>
      </w:r>
      <w:bookmarkStart w:id="19" w:name="_Hlk129950944"/>
      <w:r w:rsidR="00933911" w:rsidRPr="00772C44">
        <w:rPr>
          <w:color w:val="000000" w:themeColor="text1"/>
          <w:sz w:val="22"/>
          <w:szCs w:val="22"/>
        </w:rPr>
        <w:t>One project focussed on First Nations</w:t>
      </w:r>
      <w:r w:rsidR="003D0599" w:rsidRPr="00772C44">
        <w:rPr>
          <w:color w:val="000000" w:themeColor="text1"/>
          <w:sz w:val="22"/>
          <w:szCs w:val="22"/>
        </w:rPr>
        <w:t xml:space="preserve"> </w:t>
      </w:r>
      <w:r w:rsidR="00933911" w:rsidRPr="00772C44">
        <w:rPr>
          <w:color w:val="000000" w:themeColor="text1"/>
          <w:sz w:val="22"/>
          <w:szCs w:val="22"/>
        </w:rPr>
        <w:t>health</w:t>
      </w:r>
      <w:r w:rsidR="003D0599" w:rsidRPr="00772C44">
        <w:rPr>
          <w:color w:val="000000" w:themeColor="text1"/>
          <w:sz w:val="22"/>
          <w:szCs w:val="22"/>
        </w:rPr>
        <w:t xml:space="preserve">. See </w:t>
      </w:r>
      <w:r w:rsidR="00933911" w:rsidRPr="00772C44">
        <w:rPr>
          <w:color w:val="000000" w:themeColor="text1"/>
          <w:sz w:val="22"/>
          <w:szCs w:val="22"/>
        </w:rPr>
        <w:t xml:space="preserve">Appendix </w:t>
      </w:r>
      <w:r w:rsidR="003D0599" w:rsidRPr="00772C44">
        <w:rPr>
          <w:color w:val="000000" w:themeColor="text1"/>
          <w:sz w:val="22"/>
          <w:szCs w:val="22"/>
        </w:rPr>
        <w:t>B</w:t>
      </w:r>
      <w:r w:rsidR="00933911" w:rsidRPr="00772C44">
        <w:rPr>
          <w:color w:val="000000" w:themeColor="text1"/>
          <w:sz w:val="22"/>
          <w:szCs w:val="22"/>
        </w:rPr>
        <w:t>.</w:t>
      </w:r>
    </w:p>
    <w:bookmarkEnd w:id="19"/>
    <w:p w14:paraId="11F9BEA0" w14:textId="77777777" w:rsidR="00766DC6" w:rsidRPr="00766DC6" w:rsidRDefault="00766DC6" w:rsidP="002F0A85">
      <w:pPr>
        <w:spacing w:before="120"/>
        <w:rPr>
          <w:color w:val="000000" w:themeColor="text1"/>
          <w:sz w:val="22"/>
          <w:szCs w:val="22"/>
        </w:rPr>
      </w:pPr>
    </w:p>
    <w:p w14:paraId="548EC5DB" w14:textId="648E482F" w:rsidR="00A943FA" w:rsidRDefault="00A943FA" w:rsidP="00651510">
      <w:pPr>
        <w:pStyle w:val="Heading2"/>
        <w:spacing w:after="0"/>
      </w:pPr>
      <w:bookmarkStart w:id="20" w:name="_Toc131338407"/>
      <w:r>
        <w:t>Size of CI team</w:t>
      </w:r>
      <w:r w:rsidR="009C7C82">
        <w:t>s</w:t>
      </w:r>
      <w:bookmarkEnd w:id="20"/>
    </w:p>
    <w:p w14:paraId="65C3CF4C" w14:textId="1A04A19B" w:rsidR="007523B2" w:rsidRDefault="007523B2" w:rsidP="00651510">
      <w:pPr>
        <w:spacing w:before="120"/>
        <w:jc w:val="both"/>
        <w:rPr>
          <w:sz w:val="22"/>
          <w:szCs w:val="22"/>
        </w:rPr>
      </w:pPr>
      <w:r w:rsidRPr="00B95348">
        <w:rPr>
          <w:sz w:val="22"/>
          <w:szCs w:val="22"/>
        </w:rPr>
        <w:t xml:space="preserve">The largest number of grants </w:t>
      </w:r>
      <w:r w:rsidR="005D14F6" w:rsidRPr="00B95348">
        <w:rPr>
          <w:sz w:val="22"/>
          <w:szCs w:val="22"/>
        </w:rPr>
        <w:t xml:space="preserve">were </w:t>
      </w:r>
      <w:r w:rsidR="000A2B85">
        <w:rPr>
          <w:sz w:val="22"/>
          <w:szCs w:val="22"/>
        </w:rPr>
        <w:t>awarded</w:t>
      </w:r>
      <w:r w:rsidR="000A2B85" w:rsidRPr="00B95348">
        <w:rPr>
          <w:sz w:val="22"/>
          <w:szCs w:val="22"/>
        </w:rPr>
        <w:t xml:space="preserve"> </w:t>
      </w:r>
      <w:r w:rsidR="005D14F6" w:rsidRPr="00B95348">
        <w:rPr>
          <w:sz w:val="22"/>
          <w:szCs w:val="22"/>
        </w:rPr>
        <w:t xml:space="preserve">to </w:t>
      </w:r>
      <w:r w:rsidRPr="00B95348">
        <w:rPr>
          <w:sz w:val="22"/>
          <w:szCs w:val="22"/>
        </w:rPr>
        <w:t>teams with between 6 and 10</w:t>
      </w:r>
      <w:r w:rsidR="007B169A" w:rsidRPr="00B95348">
        <w:rPr>
          <w:sz w:val="22"/>
          <w:szCs w:val="22"/>
        </w:rPr>
        <w:t xml:space="preserve"> members</w:t>
      </w:r>
      <w:r w:rsidR="003F61BB" w:rsidRPr="00B95348">
        <w:rPr>
          <w:sz w:val="22"/>
          <w:szCs w:val="22"/>
        </w:rPr>
        <w:t xml:space="preserve"> (see Table </w:t>
      </w:r>
      <w:r w:rsidR="007B169A" w:rsidRPr="00B95348">
        <w:rPr>
          <w:sz w:val="22"/>
          <w:szCs w:val="22"/>
        </w:rPr>
        <w:t>1</w:t>
      </w:r>
      <w:r w:rsidR="001A2FB0" w:rsidRPr="00B95348">
        <w:rPr>
          <w:sz w:val="22"/>
          <w:szCs w:val="22"/>
        </w:rPr>
        <w:t>1</w:t>
      </w:r>
      <w:r w:rsidR="003F61BB" w:rsidRPr="00B95348">
        <w:rPr>
          <w:sz w:val="22"/>
          <w:szCs w:val="22"/>
        </w:rPr>
        <w:t>)</w:t>
      </w:r>
      <w:r w:rsidR="007B169A" w:rsidRPr="00B95348">
        <w:rPr>
          <w:sz w:val="22"/>
          <w:szCs w:val="22"/>
        </w:rPr>
        <w:t>.</w:t>
      </w:r>
      <w:r w:rsidR="007676BA" w:rsidRPr="00B95348">
        <w:rPr>
          <w:sz w:val="22"/>
          <w:szCs w:val="22"/>
        </w:rPr>
        <w:t xml:space="preserve"> </w:t>
      </w:r>
      <w:r w:rsidR="000A2B85">
        <w:rPr>
          <w:sz w:val="22"/>
          <w:szCs w:val="22"/>
        </w:rPr>
        <w:t>All g</w:t>
      </w:r>
      <w:r w:rsidR="000A2B85" w:rsidRPr="00B95348">
        <w:rPr>
          <w:sz w:val="22"/>
          <w:szCs w:val="22"/>
        </w:rPr>
        <w:t xml:space="preserve">rants </w:t>
      </w:r>
      <w:r w:rsidR="007676BA" w:rsidRPr="00B95348">
        <w:rPr>
          <w:sz w:val="22"/>
          <w:szCs w:val="22"/>
        </w:rPr>
        <w:t>from Stream 2 had</w:t>
      </w:r>
      <w:r w:rsidR="000F7F3C" w:rsidRPr="00B95348">
        <w:rPr>
          <w:sz w:val="22"/>
          <w:szCs w:val="22"/>
        </w:rPr>
        <w:t xml:space="preserve"> a team of</w:t>
      </w:r>
      <w:r w:rsidR="007676BA" w:rsidRPr="00B95348">
        <w:rPr>
          <w:sz w:val="22"/>
          <w:szCs w:val="22"/>
        </w:rPr>
        <w:t xml:space="preserve"> more than 5 CIs, which is in line with </w:t>
      </w:r>
      <w:r w:rsidR="00ED180A">
        <w:rPr>
          <w:sz w:val="22"/>
          <w:szCs w:val="22"/>
        </w:rPr>
        <w:t xml:space="preserve">the </w:t>
      </w:r>
      <w:r w:rsidR="007676BA" w:rsidRPr="00B95348">
        <w:rPr>
          <w:sz w:val="22"/>
          <w:szCs w:val="22"/>
        </w:rPr>
        <w:t xml:space="preserve">objective of Stream 2 (see page 1). </w:t>
      </w:r>
    </w:p>
    <w:p w14:paraId="13475876" w14:textId="77777777" w:rsidR="000A2B85" w:rsidRPr="00B95348" w:rsidRDefault="000A2B85" w:rsidP="00503F26">
      <w:pPr>
        <w:spacing w:before="120"/>
        <w:jc w:val="both"/>
        <w:rPr>
          <w:sz w:val="22"/>
          <w:szCs w:val="22"/>
        </w:rPr>
      </w:pPr>
    </w:p>
    <w:p w14:paraId="448C84A6" w14:textId="2BE96420" w:rsidR="009978D5" w:rsidRPr="00B95348" w:rsidRDefault="007523B2" w:rsidP="00B95348">
      <w:pPr>
        <w:pStyle w:val="FigureTitle"/>
      </w:pPr>
      <w:r w:rsidRPr="00B95348">
        <w:t xml:space="preserve">Table </w:t>
      </w:r>
      <w:r w:rsidR="000F7F3C" w:rsidRPr="00B95348">
        <w:t>1</w:t>
      </w:r>
      <w:r w:rsidR="001A2FB0" w:rsidRPr="00B95348">
        <w:t>1</w:t>
      </w:r>
      <w:r w:rsidR="00FB0171">
        <w:t xml:space="preserve"> </w:t>
      </w:r>
      <w:r w:rsidRPr="00B95348">
        <w:t>– Team size</w:t>
      </w:r>
      <w:r w:rsidR="000A2B85" w:rsidRPr="00B95348">
        <w:t xml:space="preserve"> </w:t>
      </w:r>
      <w:r w:rsidR="00164C59" w:rsidRPr="006C2B28">
        <w:t>on applications</w:t>
      </w:r>
      <w:r w:rsidR="00164C59">
        <w:t xml:space="preserve"> (apps)</w:t>
      </w:r>
      <w:r w:rsidR="00164C59" w:rsidRPr="006C2B28">
        <w:t xml:space="preserve"> and </w:t>
      </w:r>
      <w:r w:rsidR="00164C59">
        <w:t xml:space="preserve">awarded </w:t>
      </w:r>
      <w:r w:rsidR="00164C59" w:rsidRPr="006C2B28">
        <w:t>grants by Stream</w:t>
      </w:r>
    </w:p>
    <w:tbl>
      <w:tblPr>
        <w:tblW w:w="9498" w:type="dxa"/>
        <w:tblLayout w:type="fixed"/>
        <w:tblLook w:val="04A0" w:firstRow="1" w:lastRow="0" w:firstColumn="1" w:lastColumn="0" w:noHBand="0" w:noVBand="1"/>
      </w:tblPr>
      <w:tblGrid>
        <w:gridCol w:w="709"/>
        <w:gridCol w:w="709"/>
        <w:gridCol w:w="992"/>
        <w:gridCol w:w="1134"/>
        <w:gridCol w:w="851"/>
        <w:gridCol w:w="992"/>
        <w:gridCol w:w="1134"/>
        <w:gridCol w:w="709"/>
        <w:gridCol w:w="1134"/>
        <w:gridCol w:w="1134"/>
      </w:tblGrid>
      <w:tr w:rsidR="000A2B85" w:rsidRPr="001C459E" w14:paraId="64DA38B6" w14:textId="77777777" w:rsidTr="00317D25">
        <w:trPr>
          <w:trHeight w:val="290"/>
        </w:trPr>
        <w:tc>
          <w:tcPr>
            <w:tcW w:w="709" w:type="dxa"/>
            <w:vMerge w:val="restart"/>
            <w:tcBorders>
              <w:top w:val="single" w:sz="4" w:space="0" w:color="000000"/>
              <w:left w:val="nil"/>
              <w:right w:val="single" w:sz="4" w:space="0" w:color="FFFFFF" w:themeColor="background1"/>
            </w:tcBorders>
            <w:shd w:val="clear" w:color="auto" w:fill="18233B" w:themeFill="accent1"/>
            <w:noWrap/>
            <w:vAlign w:val="bottom"/>
          </w:tcPr>
          <w:p w14:paraId="36B097A3" w14:textId="3F69A270"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Team size</w:t>
            </w:r>
          </w:p>
        </w:tc>
        <w:tc>
          <w:tcPr>
            <w:tcW w:w="2835" w:type="dxa"/>
            <w:gridSpan w:val="3"/>
            <w:tcBorders>
              <w:top w:val="single" w:sz="4" w:space="0" w:color="000000"/>
              <w:left w:val="single" w:sz="4" w:space="0" w:color="FFFFFF" w:themeColor="background1"/>
              <w:bottom w:val="single" w:sz="4" w:space="0" w:color="FFFFFF" w:themeColor="background1"/>
              <w:right w:val="nil"/>
            </w:tcBorders>
            <w:shd w:val="clear" w:color="auto" w:fill="18233B" w:themeFill="accent1"/>
            <w:vAlign w:val="bottom"/>
          </w:tcPr>
          <w:p w14:paraId="2FB60B6D" w14:textId="77777777" w:rsidR="000A2B85" w:rsidRPr="001C459E" w:rsidRDefault="000A2B85" w:rsidP="00690414">
            <w:pPr>
              <w:jc w:val="center"/>
              <w:rPr>
                <w:rFonts w:cs="Arial"/>
                <w:b/>
                <w:bCs/>
                <w:color w:val="FFFFFF"/>
                <w:sz w:val="16"/>
                <w:szCs w:val="16"/>
                <w:lang w:eastAsia="en-AU"/>
              </w:rPr>
            </w:pPr>
            <w:r w:rsidRPr="001C459E">
              <w:rPr>
                <w:rFonts w:cs="Arial"/>
                <w:b/>
                <w:bCs/>
                <w:color w:val="FFFFFF"/>
                <w:sz w:val="16"/>
                <w:szCs w:val="16"/>
                <w:lang w:eastAsia="en-AU"/>
              </w:rPr>
              <w:t>Stream 1</w:t>
            </w:r>
          </w:p>
        </w:tc>
        <w:tc>
          <w:tcPr>
            <w:tcW w:w="2977" w:type="dxa"/>
            <w:gridSpan w:val="3"/>
            <w:tcBorders>
              <w:top w:val="single" w:sz="4" w:space="0" w:color="000000"/>
              <w:left w:val="nil"/>
              <w:bottom w:val="single" w:sz="4" w:space="0" w:color="FFFFFF" w:themeColor="background1"/>
              <w:right w:val="nil"/>
            </w:tcBorders>
            <w:shd w:val="clear" w:color="auto" w:fill="18233B" w:themeFill="accent1"/>
            <w:vAlign w:val="bottom"/>
          </w:tcPr>
          <w:p w14:paraId="75E12BD0" w14:textId="77777777" w:rsidR="000A2B85" w:rsidRPr="001C459E" w:rsidRDefault="000A2B85" w:rsidP="00690414">
            <w:pPr>
              <w:jc w:val="center"/>
              <w:rPr>
                <w:rFonts w:cs="Arial"/>
                <w:b/>
                <w:bCs/>
                <w:color w:val="FFFFFF"/>
                <w:sz w:val="16"/>
                <w:szCs w:val="16"/>
                <w:lang w:eastAsia="en-AU"/>
              </w:rPr>
            </w:pPr>
            <w:r w:rsidRPr="001C459E">
              <w:rPr>
                <w:rFonts w:cs="Arial"/>
                <w:b/>
                <w:bCs/>
                <w:color w:val="FFFFFF"/>
                <w:sz w:val="16"/>
                <w:szCs w:val="16"/>
                <w:lang w:eastAsia="en-AU"/>
              </w:rPr>
              <w:t>Stream 2</w:t>
            </w:r>
          </w:p>
        </w:tc>
        <w:tc>
          <w:tcPr>
            <w:tcW w:w="2977" w:type="dxa"/>
            <w:gridSpan w:val="3"/>
            <w:tcBorders>
              <w:top w:val="single" w:sz="4" w:space="0" w:color="000000"/>
              <w:left w:val="nil"/>
              <w:bottom w:val="single" w:sz="4" w:space="0" w:color="FFFFFF" w:themeColor="background1"/>
              <w:right w:val="nil"/>
            </w:tcBorders>
            <w:shd w:val="clear" w:color="auto" w:fill="18233B" w:themeFill="accent1"/>
            <w:vAlign w:val="bottom"/>
          </w:tcPr>
          <w:p w14:paraId="5A5AB4E2" w14:textId="77777777" w:rsidR="000A2B85" w:rsidRPr="001C459E" w:rsidRDefault="000A2B85" w:rsidP="00690414">
            <w:pPr>
              <w:jc w:val="center"/>
              <w:rPr>
                <w:rFonts w:cs="Arial"/>
                <w:b/>
                <w:bCs/>
                <w:color w:val="FFFFFF"/>
                <w:sz w:val="16"/>
                <w:szCs w:val="16"/>
                <w:lang w:eastAsia="en-AU"/>
              </w:rPr>
            </w:pPr>
            <w:r w:rsidRPr="001C459E">
              <w:rPr>
                <w:rFonts w:cs="Arial"/>
                <w:b/>
                <w:bCs/>
                <w:color w:val="FFFFFF"/>
                <w:sz w:val="16"/>
                <w:szCs w:val="16"/>
                <w:lang w:eastAsia="en-AU"/>
              </w:rPr>
              <w:t>Stream 3</w:t>
            </w:r>
          </w:p>
        </w:tc>
      </w:tr>
      <w:tr w:rsidR="00340E8D" w:rsidRPr="001C459E" w14:paraId="7E6F69B5" w14:textId="77777777" w:rsidTr="00192489">
        <w:trPr>
          <w:trHeight w:val="290"/>
        </w:trPr>
        <w:tc>
          <w:tcPr>
            <w:tcW w:w="709" w:type="dxa"/>
            <w:vMerge/>
            <w:tcBorders>
              <w:left w:val="nil"/>
              <w:bottom w:val="single" w:sz="4" w:space="0" w:color="000000"/>
              <w:right w:val="single" w:sz="4" w:space="0" w:color="FFFFFF" w:themeColor="background1"/>
            </w:tcBorders>
            <w:shd w:val="clear" w:color="auto" w:fill="18233B" w:themeFill="accent1"/>
            <w:noWrap/>
            <w:vAlign w:val="bottom"/>
          </w:tcPr>
          <w:p w14:paraId="22BE8C90" w14:textId="77777777" w:rsidR="000A2B85" w:rsidRPr="001C459E" w:rsidRDefault="000A2B85" w:rsidP="00690414">
            <w:pPr>
              <w:rPr>
                <w:rFonts w:cs="Arial"/>
                <w:b/>
                <w:bCs/>
                <w:color w:val="FFFFFF"/>
                <w:sz w:val="16"/>
                <w:szCs w:val="16"/>
                <w:lang w:eastAsia="en-AU"/>
              </w:rPr>
            </w:pP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0323401D" w14:textId="24497ADB"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7A5F5D2B" w14:textId="0AFB306F"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Grants</w:t>
            </w:r>
            <w:r>
              <w:rPr>
                <w:rFonts w:cs="Arial"/>
                <w:b/>
                <w:bCs/>
                <w:color w:val="FFFFFF"/>
                <w:sz w:val="16"/>
                <w:szCs w:val="16"/>
                <w:lang w:eastAsia="en-AU"/>
              </w:rPr>
              <w:t xml:space="preserve"> </w:t>
            </w:r>
            <w:r w:rsidR="00164C59">
              <w:rPr>
                <w:rFonts w:cs="Arial"/>
                <w:b/>
                <w:bCs/>
                <w:color w:val="FFFFFF"/>
                <w:sz w:val="16"/>
                <w:szCs w:val="16"/>
                <w:lang w:eastAsia="en-AU"/>
              </w:rPr>
              <w:t>a</w:t>
            </w:r>
            <w:r>
              <w:rPr>
                <w:rFonts w:cs="Arial"/>
                <w:b/>
                <w:bCs/>
                <w:color w:val="FFFFFF"/>
                <w:sz w:val="16"/>
                <w:szCs w:val="16"/>
                <w:lang w:eastAsia="en-AU"/>
              </w:rPr>
              <w:t>warded</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37862326" w14:textId="119CAD7A"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Funded rate</w:t>
            </w:r>
          </w:p>
        </w:tc>
        <w:tc>
          <w:tcPr>
            <w:tcW w:w="85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2FFF4232" w14:textId="77777777"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Apps</w:t>
            </w:r>
          </w:p>
        </w:tc>
        <w:tc>
          <w:tcPr>
            <w:tcW w:w="9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6E9B4663" w14:textId="73BDF6F9"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Grants</w:t>
            </w:r>
            <w:r>
              <w:rPr>
                <w:rFonts w:cs="Arial"/>
                <w:b/>
                <w:bCs/>
                <w:color w:val="FFFFFF"/>
                <w:sz w:val="16"/>
                <w:szCs w:val="16"/>
                <w:lang w:eastAsia="en-AU"/>
              </w:rPr>
              <w:t xml:space="preserve"> </w:t>
            </w:r>
            <w:r w:rsidR="00164C59">
              <w:rPr>
                <w:rFonts w:cs="Arial"/>
                <w:b/>
                <w:bCs/>
                <w:color w:val="FFFFFF"/>
                <w:sz w:val="16"/>
                <w:szCs w:val="16"/>
                <w:lang w:eastAsia="en-AU"/>
              </w:rPr>
              <w:t>a</w:t>
            </w:r>
            <w:r>
              <w:rPr>
                <w:rFonts w:cs="Arial"/>
                <w:b/>
                <w:bCs/>
                <w:color w:val="FFFFFF"/>
                <w:sz w:val="16"/>
                <w:szCs w:val="16"/>
                <w:lang w:eastAsia="en-AU"/>
              </w:rPr>
              <w:t>warded</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55E83614" w14:textId="7CD3213F"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Funded rate</w:t>
            </w:r>
          </w:p>
        </w:tc>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486F8FAE" w14:textId="77777777"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Apps</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8233B" w:themeFill="accent1"/>
            <w:vAlign w:val="bottom"/>
          </w:tcPr>
          <w:p w14:paraId="7AE7EE0F" w14:textId="59B89EC6"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Grants</w:t>
            </w:r>
            <w:r>
              <w:rPr>
                <w:rFonts w:cs="Arial"/>
                <w:b/>
                <w:bCs/>
                <w:color w:val="FFFFFF"/>
                <w:sz w:val="16"/>
                <w:szCs w:val="16"/>
                <w:lang w:eastAsia="en-AU"/>
              </w:rPr>
              <w:t xml:space="preserve"> </w:t>
            </w:r>
            <w:r w:rsidR="00164C59">
              <w:rPr>
                <w:rFonts w:cs="Arial"/>
                <w:b/>
                <w:bCs/>
                <w:color w:val="FFFFFF"/>
                <w:sz w:val="16"/>
                <w:szCs w:val="16"/>
                <w:lang w:eastAsia="en-AU"/>
              </w:rPr>
              <w:t>a</w:t>
            </w:r>
            <w:r>
              <w:rPr>
                <w:rFonts w:cs="Arial"/>
                <w:b/>
                <w:bCs/>
                <w:color w:val="FFFFFF"/>
                <w:sz w:val="16"/>
                <w:szCs w:val="16"/>
                <w:lang w:eastAsia="en-AU"/>
              </w:rPr>
              <w:t>warded</w:t>
            </w:r>
          </w:p>
        </w:tc>
        <w:tc>
          <w:tcPr>
            <w:tcW w:w="1134" w:type="dxa"/>
            <w:tcBorders>
              <w:top w:val="single" w:sz="4" w:space="0" w:color="FFFFFF" w:themeColor="background1"/>
              <w:left w:val="single" w:sz="4" w:space="0" w:color="FFFFFF" w:themeColor="background1"/>
              <w:bottom w:val="single" w:sz="4" w:space="0" w:color="000000"/>
              <w:right w:val="nil"/>
            </w:tcBorders>
            <w:shd w:val="clear" w:color="auto" w:fill="18233B" w:themeFill="accent1"/>
            <w:vAlign w:val="bottom"/>
          </w:tcPr>
          <w:p w14:paraId="2EA4AC36" w14:textId="55636D5E" w:rsidR="000A2B85" w:rsidRPr="001C459E" w:rsidRDefault="000A2B85" w:rsidP="00690414">
            <w:pPr>
              <w:rPr>
                <w:rFonts w:cs="Arial"/>
                <w:b/>
                <w:bCs/>
                <w:color w:val="FFFFFF"/>
                <w:sz w:val="16"/>
                <w:szCs w:val="16"/>
                <w:lang w:eastAsia="en-AU"/>
              </w:rPr>
            </w:pPr>
            <w:r w:rsidRPr="001C459E">
              <w:rPr>
                <w:rFonts w:cs="Arial"/>
                <w:b/>
                <w:bCs/>
                <w:color w:val="FFFFFF"/>
                <w:sz w:val="16"/>
                <w:szCs w:val="16"/>
                <w:lang w:eastAsia="en-AU"/>
              </w:rPr>
              <w:t>Funded rate</w:t>
            </w:r>
          </w:p>
        </w:tc>
      </w:tr>
      <w:tr w:rsidR="00340E8D" w:rsidRPr="001C459E" w14:paraId="29F1A279" w14:textId="77777777" w:rsidTr="00192489">
        <w:trPr>
          <w:trHeight w:val="290"/>
        </w:trPr>
        <w:tc>
          <w:tcPr>
            <w:tcW w:w="709" w:type="dxa"/>
            <w:tcBorders>
              <w:top w:val="single" w:sz="4" w:space="0" w:color="000000"/>
              <w:left w:val="nil"/>
              <w:bottom w:val="nil"/>
              <w:right w:val="nil"/>
            </w:tcBorders>
            <w:shd w:val="clear" w:color="auto" w:fill="auto"/>
            <w:noWrap/>
            <w:vAlign w:val="bottom"/>
          </w:tcPr>
          <w:p w14:paraId="133739A5" w14:textId="6D52DA6F" w:rsidR="000A2B85" w:rsidRPr="00164C59" w:rsidRDefault="000A2B85" w:rsidP="00690414">
            <w:pPr>
              <w:pStyle w:val="Tabletextleft"/>
              <w:rPr>
                <w:lang w:eastAsia="en-AU"/>
              </w:rPr>
            </w:pPr>
            <w:r w:rsidRPr="00164C59">
              <w:rPr>
                <w:lang w:eastAsia="en-AU"/>
              </w:rPr>
              <w:t>1-5</w:t>
            </w:r>
          </w:p>
        </w:tc>
        <w:tc>
          <w:tcPr>
            <w:tcW w:w="709" w:type="dxa"/>
            <w:tcBorders>
              <w:top w:val="single" w:sz="4" w:space="0" w:color="000000"/>
              <w:left w:val="nil"/>
              <w:bottom w:val="nil"/>
              <w:right w:val="nil"/>
            </w:tcBorders>
            <w:vAlign w:val="bottom"/>
          </w:tcPr>
          <w:p w14:paraId="48AB3034" w14:textId="4AC53D91" w:rsidR="000A2B85" w:rsidRPr="00164C59" w:rsidRDefault="000A2B85" w:rsidP="00690414">
            <w:pPr>
              <w:pStyle w:val="Tabletextleft"/>
            </w:pPr>
            <w:r w:rsidRPr="00164C59">
              <w:t>180</w:t>
            </w:r>
          </w:p>
        </w:tc>
        <w:tc>
          <w:tcPr>
            <w:tcW w:w="992" w:type="dxa"/>
            <w:tcBorders>
              <w:top w:val="single" w:sz="4" w:space="0" w:color="000000"/>
              <w:left w:val="nil"/>
              <w:bottom w:val="nil"/>
              <w:right w:val="nil"/>
            </w:tcBorders>
            <w:vAlign w:val="bottom"/>
          </w:tcPr>
          <w:p w14:paraId="6A651CBF" w14:textId="35F77FE8" w:rsidR="000A2B85" w:rsidRPr="00164C59" w:rsidRDefault="000A2B85" w:rsidP="00690414">
            <w:pPr>
              <w:pStyle w:val="Tabletextleft"/>
              <w:rPr>
                <w:lang w:eastAsia="en-AU"/>
              </w:rPr>
            </w:pPr>
            <w:r w:rsidRPr="00164C59">
              <w:rPr>
                <w:lang w:eastAsia="en-AU"/>
              </w:rPr>
              <w:t>5</w:t>
            </w:r>
          </w:p>
        </w:tc>
        <w:tc>
          <w:tcPr>
            <w:tcW w:w="1134" w:type="dxa"/>
            <w:tcBorders>
              <w:top w:val="single" w:sz="4" w:space="0" w:color="000000"/>
              <w:left w:val="nil"/>
              <w:bottom w:val="nil"/>
              <w:right w:val="nil"/>
            </w:tcBorders>
            <w:vAlign w:val="bottom"/>
          </w:tcPr>
          <w:p w14:paraId="440CADC5" w14:textId="42B6F862" w:rsidR="000A2B85" w:rsidRPr="00164C59" w:rsidRDefault="000A2B85" w:rsidP="00690414">
            <w:pPr>
              <w:pStyle w:val="Tabletextleft"/>
              <w:rPr>
                <w:lang w:eastAsia="en-AU"/>
              </w:rPr>
            </w:pPr>
            <w:r w:rsidRPr="00164C59">
              <w:rPr>
                <w:lang w:eastAsia="en-AU"/>
              </w:rPr>
              <w:t>2.8%</w:t>
            </w:r>
          </w:p>
        </w:tc>
        <w:tc>
          <w:tcPr>
            <w:tcW w:w="851" w:type="dxa"/>
            <w:tcBorders>
              <w:top w:val="single" w:sz="4" w:space="0" w:color="000000"/>
              <w:left w:val="nil"/>
              <w:bottom w:val="nil"/>
              <w:right w:val="nil"/>
            </w:tcBorders>
            <w:vAlign w:val="bottom"/>
          </w:tcPr>
          <w:p w14:paraId="35732500" w14:textId="45707364" w:rsidR="000A2B85" w:rsidRPr="00164C59" w:rsidRDefault="000A2B85" w:rsidP="00690414">
            <w:pPr>
              <w:pStyle w:val="Tabletextleft"/>
            </w:pPr>
            <w:r w:rsidRPr="00164C59">
              <w:t>25</w:t>
            </w:r>
          </w:p>
        </w:tc>
        <w:tc>
          <w:tcPr>
            <w:tcW w:w="992" w:type="dxa"/>
            <w:tcBorders>
              <w:top w:val="single" w:sz="4" w:space="0" w:color="000000"/>
              <w:left w:val="nil"/>
              <w:bottom w:val="nil"/>
              <w:right w:val="nil"/>
            </w:tcBorders>
            <w:vAlign w:val="bottom"/>
          </w:tcPr>
          <w:p w14:paraId="1D5F40F3" w14:textId="7DFCC270" w:rsidR="000A2B85" w:rsidRPr="00164C59" w:rsidRDefault="000A2B85" w:rsidP="00690414">
            <w:pPr>
              <w:pStyle w:val="Tabletextleft"/>
              <w:rPr>
                <w:lang w:eastAsia="en-AU"/>
              </w:rPr>
            </w:pPr>
            <w:r w:rsidRPr="00164C59">
              <w:rPr>
                <w:lang w:eastAsia="en-AU"/>
              </w:rPr>
              <w:t>0</w:t>
            </w:r>
          </w:p>
        </w:tc>
        <w:tc>
          <w:tcPr>
            <w:tcW w:w="1134" w:type="dxa"/>
            <w:tcBorders>
              <w:top w:val="single" w:sz="4" w:space="0" w:color="000000"/>
              <w:left w:val="nil"/>
              <w:bottom w:val="nil"/>
              <w:right w:val="nil"/>
            </w:tcBorders>
            <w:vAlign w:val="bottom"/>
          </w:tcPr>
          <w:p w14:paraId="6A4B7CD9" w14:textId="15F358BC" w:rsidR="000A2B85" w:rsidRPr="00164C59" w:rsidRDefault="000A2B85" w:rsidP="00690414">
            <w:pPr>
              <w:pStyle w:val="Tabletextleft"/>
              <w:rPr>
                <w:lang w:eastAsia="en-AU"/>
              </w:rPr>
            </w:pPr>
            <w:r w:rsidRPr="00164C59">
              <w:rPr>
                <w:lang w:eastAsia="en-AU"/>
              </w:rPr>
              <w:t>0</w:t>
            </w:r>
          </w:p>
        </w:tc>
        <w:tc>
          <w:tcPr>
            <w:tcW w:w="709" w:type="dxa"/>
            <w:tcBorders>
              <w:top w:val="single" w:sz="4" w:space="0" w:color="000000"/>
              <w:left w:val="nil"/>
              <w:bottom w:val="nil"/>
              <w:right w:val="nil"/>
            </w:tcBorders>
            <w:vAlign w:val="bottom"/>
          </w:tcPr>
          <w:p w14:paraId="6D01711D" w14:textId="23E18F0E" w:rsidR="000A2B85" w:rsidRPr="00164C59" w:rsidRDefault="000A2B85" w:rsidP="00690414">
            <w:pPr>
              <w:pStyle w:val="Tabletextleft"/>
            </w:pPr>
            <w:r w:rsidRPr="00164C59">
              <w:t>4</w:t>
            </w:r>
          </w:p>
        </w:tc>
        <w:tc>
          <w:tcPr>
            <w:tcW w:w="1134" w:type="dxa"/>
            <w:tcBorders>
              <w:top w:val="single" w:sz="4" w:space="0" w:color="000000"/>
              <w:left w:val="nil"/>
              <w:bottom w:val="nil"/>
              <w:right w:val="nil"/>
            </w:tcBorders>
            <w:vAlign w:val="bottom"/>
          </w:tcPr>
          <w:p w14:paraId="6B5D4F08" w14:textId="7FAD484A" w:rsidR="000A2B85" w:rsidRPr="00164C59" w:rsidRDefault="000A2B85" w:rsidP="00690414">
            <w:pPr>
              <w:pStyle w:val="Tabletextleft"/>
              <w:rPr>
                <w:lang w:eastAsia="en-AU"/>
              </w:rPr>
            </w:pPr>
            <w:r w:rsidRPr="00164C59">
              <w:rPr>
                <w:lang w:eastAsia="en-AU"/>
              </w:rPr>
              <w:t>2</w:t>
            </w:r>
          </w:p>
        </w:tc>
        <w:tc>
          <w:tcPr>
            <w:tcW w:w="1134" w:type="dxa"/>
            <w:tcBorders>
              <w:top w:val="single" w:sz="4" w:space="0" w:color="000000"/>
              <w:left w:val="nil"/>
              <w:bottom w:val="nil"/>
              <w:right w:val="nil"/>
            </w:tcBorders>
            <w:vAlign w:val="bottom"/>
          </w:tcPr>
          <w:p w14:paraId="75ADDC84" w14:textId="6A12B169" w:rsidR="000A2B85" w:rsidRPr="00164C59" w:rsidRDefault="000A2B85" w:rsidP="00690414">
            <w:pPr>
              <w:pStyle w:val="Tabletextleft"/>
              <w:rPr>
                <w:lang w:eastAsia="en-AU"/>
              </w:rPr>
            </w:pPr>
            <w:r w:rsidRPr="00164C59">
              <w:rPr>
                <w:lang w:eastAsia="en-AU"/>
              </w:rPr>
              <w:t>50</w:t>
            </w:r>
            <w:r w:rsidR="00ED180A">
              <w:rPr>
                <w:lang w:eastAsia="en-AU"/>
              </w:rPr>
              <w:t>.0</w:t>
            </w:r>
            <w:r w:rsidRPr="00164C59">
              <w:rPr>
                <w:lang w:eastAsia="en-AU"/>
              </w:rPr>
              <w:t>%</w:t>
            </w:r>
          </w:p>
        </w:tc>
      </w:tr>
      <w:tr w:rsidR="00340E8D" w:rsidRPr="001C459E" w14:paraId="2694078B" w14:textId="77777777" w:rsidTr="000C3317">
        <w:trPr>
          <w:trHeight w:val="290"/>
        </w:trPr>
        <w:tc>
          <w:tcPr>
            <w:tcW w:w="709" w:type="dxa"/>
            <w:tcBorders>
              <w:top w:val="single" w:sz="4" w:space="0" w:color="auto"/>
              <w:left w:val="nil"/>
              <w:bottom w:val="single" w:sz="4" w:space="0" w:color="auto"/>
              <w:right w:val="nil"/>
            </w:tcBorders>
            <w:shd w:val="clear" w:color="auto" w:fill="auto"/>
            <w:noWrap/>
            <w:vAlign w:val="bottom"/>
          </w:tcPr>
          <w:p w14:paraId="35F2D2CD" w14:textId="3FAEAC86" w:rsidR="000A2B85" w:rsidRPr="00164C59" w:rsidRDefault="000A2B85" w:rsidP="00690414">
            <w:pPr>
              <w:pStyle w:val="Tabletextleft"/>
              <w:rPr>
                <w:lang w:eastAsia="en-AU"/>
              </w:rPr>
            </w:pPr>
            <w:r w:rsidRPr="00164C59">
              <w:rPr>
                <w:lang w:eastAsia="en-AU"/>
              </w:rPr>
              <w:t>6-10</w:t>
            </w:r>
          </w:p>
        </w:tc>
        <w:tc>
          <w:tcPr>
            <w:tcW w:w="709" w:type="dxa"/>
            <w:tcBorders>
              <w:top w:val="single" w:sz="4" w:space="0" w:color="auto"/>
              <w:left w:val="nil"/>
              <w:bottom w:val="single" w:sz="4" w:space="0" w:color="auto"/>
              <w:right w:val="nil"/>
            </w:tcBorders>
            <w:vAlign w:val="bottom"/>
          </w:tcPr>
          <w:p w14:paraId="3F8DC9F4" w14:textId="5F061CAE" w:rsidR="000A2B85" w:rsidRPr="00164C59" w:rsidRDefault="000A2B85" w:rsidP="00690414">
            <w:pPr>
              <w:pStyle w:val="Tabletextleft"/>
            </w:pPr>
            <w:r w:rsidRPr="00164C59">
              <w:t>100</w:t>
            </w:r>
          </w:p>
        </w:tc>
        <w:tc>
          <w:tcPr>
            <w:tcW w:w="992" w:type="dxa"/>
            <w:tcBorders>
              <w:top w:val="single" w:sz="4" w:space="0" w:color="auto"/>
              <w:left w:val="nil"/>
              <w:bottom w:val="single" w:sz="4" w:space="0" w:color="auto"/>
              <w:right w:val="nil"/>
            </w:tcBorders>
            <w:vAlign w:val="bottom"/>
          </w:tcPr>
          <w:p w14:paraId="3D897A6B" w14:textId="230CCE00" w:rsidR="000A2B85" w:rsidRPr="00164C59" w:rsidRDefault="000A2B85" w:rsidP="00690414">
            <w:pPr>
              <w:pStyle w:val="Tabletextleft"/>
              <w:rPr>
                <w:lang w:eastAsia="en-AU"/>
              </w:rPr>
            </w:pPr>
            <w:r w:rsidRPr="00164C59">
              <w:rPr>
                <w:lang w:eastAsia="en-AU"/>
              </w:rPr>
              <w:t>4</w:t>
            </w:r>
          </w:p>
        </w:tc>
        <w:tc>
          <w:tcPr>
            <w:tcW w:w="1134" w:type="dxa"/>
            <w:tcBorders>
              <w:top w:val="single" w:sz="4" w:space="0" w:color="auto"/>
              <w:left w:val="nil"/>
              <w:bottom w:val="single" w:sz="4" w:space="0" w:color="auto"/>
              <w:right w:val="nil"/>
            </w:tcBorders>
            <w:vAlign w:val="bottom"/>
          </w:tcPr>
          <w:p w14:paraId="5E2A4079" w14:textId="6C81CBFF" w:rsidR="000A2B85" w:rsidRPr="00164C59" w:rsidRDefault="000A2B85" w:rsidP="00690414">
            <w:pPr>
              <w:pStyle w:val="Tabletextleft"/>
              <w:rPr>
                <w:lang w:eastAsia="en-AU"/>
              </w:rPr>
            </w:pPr>
            <w:r w:rsidRPr="00164C59">
              <w:rPr>
                <w:lang w:eastAsia="en-AU"/>
              </w:rPr>
              <w:t>4.0%</w:t>
            </w:r>
          </w:p>
        </w:tc>
        <w:tc>
          <w:tcPr>
            <w:tcW w:w="851" w:type="dxa"/>
            <w:tcBorders>
              <w:top w:val="single" w:sz="4" w:space="0" w:color="auto"/>
              <w:left w:val="nil"/>
              <w:bottom w:val="single" w:sz="4" w:space="0" w:color="auto"/>
              <w:right w:val="nil"/>
            </w:tcBorders>
            <w:vAlign w:val="bottom"/>
          </w:tcPr>
          <w:p w14:paraId="15F8477D" w14:textId="48ED7D5D" w:rsidR="000A2B85" w:rsidRPr="00164C59" w:rsidRDefault="000A2B85" w:rsidP="00690414">
            <w:pPr>
              <w:pStyle w:val="Tabletextleft"/>
            </w:pPr>
            <w:r w:rsidRPr="00164C59">
              <w:t>52</w:t>
            </w:r>
          </w:p>
        </w:tc>
        <w:tc>
          <w:tcPr>
            <w:tcW w:w="992" w:type="dxa"/>
            <w:tcBorders>
              <w:top w:val="single" w:sz="4" w:space="0" w:color="auto"/>
              <w:left w:val="nil"/>
              <w:bottom w:val="single" w:sz="4" w:space="0" w:color="auto"/>
              <w:right w:val="nil"/>
            </w:tcBorders>
            <w:vAlign w:val="bottom"/>
          </w:tcPr>
          <w:p w14:paraId="70DB3E9B" w14:textId="4D478B05" w:rsidR="000A2B85" w:rsidRPr="00164C59" w:rsidRDefault="000A2B85" w:rsidP="00690414">
            <w:pPr>
              <w:pStyle w:val="Tabletextleft"/>
              <w:rPr>
                <w:lang w:eastAsia="en-AU"/>
              </w:rPr>
            </w:pPr>
            <w:r w:rsidRPr="00164C59">
              <w:rPr>
                <w:lang w:eastAsia="en-AU"/>
              </w:rPr>
              <w:t>4</w:t>
            </w:r>
          </w:p>
        </w:tc>
        <w:tc>
          <w:tcPr>
            <w:tcW w:w="1134" w:type="dxa"/>
            <w:tcBorders>
              <w:top w:val="single" w:sz="4" w:space="0" w:color="auto"/>
              <w:left w:val="nil"/>
              <w:bottom w:val="single" w:sz="4" w:space="0" w:color="auto"/>
              <w:right w:val="nil"/>
            </w:tcBorders>
            <w:vAlign w:val="bottom"/>
          </w:tcPr>
          <w:p w14:paraId="25FDA2FE" w14:textId="2B520EB9" w:rsidR="000A2B85" w:rsidRPr="00164C59" w:rsidRDefault="00CA6663" w:rsidP="00690414">
            <w:pPr>
              <w:pStyle w:val="Tabletextleft"/>
              <w:rPr>
                <w:lang w:eastAsia="en-AU"/>
              </w:rPr>
            </w:pPr>
            <w:r>
              <w:rPr>
                <w:lang w:eastAsia="en-AU"/>
              </w:rPr>
              <w:t>7.7</w:t>
            </w:r>
            <w:r w:rsidR="000A2B85" w:rsidRPr="00164C59">
              <w:rPr>
                <w:lang w:eastAsia="en-AU"/>
              </w:rPr>
              <w:t>%</w:t>
            </w:r>
          </w:p>
        </w:tc>
        <w:tc>
          <w:tcPr>
            <w:tcW w:w="709" w:type="dxa"/>
            <w:tcBorders>
              <w:top w:val="single" w:sz="4" w:space="0" w:color="auto"/>
              <w:left w:val="nil"/>
              <w:bottom w:val="single" w:sz="4" w:space="0" w:color="auto"/>
              <w:right w:val="nil"/>
            </w:tcBorders>
            <w:vAlign w:val="bottom"/>
          </w:tcPr>
          <w:p w14:paraId="0E62A64B" w14:textId="76BC1009" w:rsidR="000A2B85" w:rsidRPr="00164C59" w:rsidRDefault="000A2B85" w:rsidP="00690414">
            <w:pPr>
              <w:pStyle w:val="Tabletextleft"/>
            </w:pPr>
            <w:r w:rsidRPr="00164C59">
              <w:t>3</w:t>
            </w:r>
          </w:p>
        </w:tc>
        <w:tc>
          <w:tcPr>
            <w:tcW w:w="1134" w:type="dxa"/>
            <w:tcBorders>
              <w:top w:val="single" w:sz="4" w:space="0" w:color="auto"/>
              <w:left w:val="nil"/>
              <w:bottom w:val="single" w:sz="4" w:space="0" w:color="auto"/>
              <w:right w:val="nil"/>
            </w:tcBorders>
            <w:vAlign w:val="bottom"/>
          </w:tcPr>
          <w:p w14:paraId="799251AD" w14:textId="257E3F3E" w:rsidR="000A2B85" w:rsidRPr="00164C59" w:rsidRDefault="000A2B85" w:rsidP="00690414">
            <w:pPr>
              <w:pStyle w:val="Tabletextleft"/>
              <w:rPr>
                <w:lang w:eastAsia="en-AU"/>
              </w:rPr>
            </w:pPr>
            <w:r w:rsidRPr="00164C59">
              <w:rPr>
                <w:lang w:eastAsia="en-AU"/>
              </w:rPr>
              <w:t>3</w:t>
            </w:r>
          </w:p>
        </w:tc>
        <w:tc>
          <w:tcPr>
            <w:tcW w:w="1134" w:type="dxa"/>
            <w:tcBorders>
              <w:top w:val="single" w:sz="4" w:space="0" w:color="auto"/>
              <w:left w:val="nil"/>
              <w:bottom w:val="single" w:sz="4" w:space="0" w:color="auto"/>
              <w:right w:val="nil"/>
            </w:tcBorders>
            <w:vAlign w:val="bottom"/>
          </w:tcPr>
          <w:p w14:paraId="7D545028" w14:textId="732E2A59" w:rsidR="000A2B85" w:rsidRPr="00164C59" w:rsidRDefault="000A2B85" w:rsidP="00690414">
            <w:pPr>
              <w:pStyle w:val="Tabletextleft"/>
              <w:rPr>
                <w:lang w:eastAsia="en-AU"/>
              </w:rPr>
            </w:pPr>
            <w:r w:rsidRPr="00164C59">
              <w:rPr>
                <w:lang w:eastAsia="en-AU"/>
              </w:rPr>
              <w:t>100%</w:t>
            </w:r>
          </w:p>
        </w:tc>
      </w:tr>
      <w:tr w:rsidR="00340E8D" w:rsidRPr="001C459E" w14:paraId="5723B1CF" w14:textId="77777777" w:rsidTr="000C3317">
        <w:trPr>
          <w:trHeight w:val="290"/>
        </w:trPr>
        <w:tc>
          <w:tcPr>
            <w:tcW w:w="709" w:type="dxa"/>
            <w:tcBorders>
              <w:top w:val="single" w:sz="4" w:space="0" w:color="auto"/>
              <w:left w:val="nil"/>
              <w:bottom w:val="single" w:sz="4" w:space="0" w:color="auto"/>
              <w:right w:val="nil"/>
            </w:tcBorders>
            <w:shd w:val="clear" w:color="auto" w:fill="auto"/>
            <w:noWrap/>
            <w:vAlign w:val="bottom"/>
            <w:hideMark/>
          </w:tcPr>
          <w:p w14:paraId="17F22076" w14:textId="2F97228B" w:rsidR="000A2B85" w:rsidRPr="00164C59" w:rsidRDefault="000A2B85" w:rsidP="00690414">
            <w:pPr>
              <w:pStyle w:val="Tabletextleft"/>
              <w:rPr>
                <w:lang w:eastAsia="en-AU"/>
              </w:rPr>
            </w:pPr>
            <w:r w:rsidRPr="00164C59">
              <w:rPr>
                <w:lang w:eastAsia="en-AU"/>
              </w:rPr>
              <w:t>11-15</w:t>
            </w:r>
          </w:p>
        </w:tc>
        <w:tc>
          <w:tcPr>
            <w:tcW w:w="709" w:type="dxa"/>
            <w:tcBorders>
              <w:top w:val="single" w:sz="4" w:space="0" w:color="auto"/>
              <w:left w:val="nil"/>
              <w:bottom w:val="single" w:sz="4" w:space="0" w:color="auto"/>
              <w:right w:val="nil"/>
            </w:tcBorders>
            <w:vAlign w:val="bottom"/>
          </w:tcPr>
          <w:p w14:paraId="3ED414DA" w14:textId="3E84490D" w:rsidR="000A2B85" w:rsidRPr="00164C59" w:rsidRDefault="000A2B85" w:rsidP="00690414">
            <w:pPr>
              <w:pStyle w:val="Tabletextleft"/>
            </w:pPr>
            <w:r w:rsidRPr="00164C59">
              <w:t>23</w:t>
            </w:r>
          </w:p>
        </w:tc>
        <w:tc>
          <w:tcPr>
            <w:tcW w:w="992" w:type="dxa"/>
            <w:tcBorders>
              <w:top w:val="single" w:sz="4" w:space="0" w:color="auto"/>
              <w:left w:val="nil"/>
              <w:bottom w:val="single" w:sz="4" w:space="0" w:color="auto"/>
              <w:right w:val="nil"/>
            </w:tcBorders>
            <w:vAlign w:val="bottom"/>
          </w:tcPr>
          <w:p w14:paraId="6930BBB2" w14:textId="236D9649" w:rsidR="000A2B85" w:rsidRPr="00164C59" w:rsidRDefault="000A2B85" w:rsidP="00690414">
            <w:pPr>
              <w:pStyle w:val="Tabletextleft"/>
              <w:rPr>
                <w:lang w:eastAsia="en-AU"/>
              </w:rPr>
            </w:pPr>
            <w:r w:rsidRPr="00164C59">
              <w:rPr>
                <w:lang w:eastAsia="en-AU"/>
              </w:rPr>
              <w:t>0</w:t>
            </w:r>
          </w:p>
        </w:tc>
        <w:tc>
          <w:tcPr>
            <w:tcW w:w="1134" w:type="dxa"/>
            <w:tcBorders>
              <w:top w:val="single" w:sz="4" w:space="0" w:color="auto"/>
              <w:left w:val="nil"/>
              <w:bottom w:val="single" w:sz="4" w:space="0" w:color="auto"/>
              <w:right w:val="nil"/>
            </w:tcBorders>
            <w:vAlign w:val="bottom"/>
          </w:tcPr>
          <w:p w14:paraId="0D9D86F7" w14:textId="522F614D" w:rsidR="000A2B85" w:rsidRPr="00164C59" w:rsidRDefault="000A2B85" w:rsidP="00690414">
            <w:pPr>
              <w:pStyle w:val="Tabletextleft"/>
              <w:rPr>
                <w:lang w:eastAsia="en-AU"/>
              </w:rPr>
            </w:pPr>
            <w:r w:rsidRPr="00164C59">
              <w:rPr>
                <w:lang w:eastAsia="en-AU"/>
              </w:rPr>
              <w:t>0</w:t>
            </w:r>
          </w:p>
        </w:tc>
        <w:tc>
          <w:tcPr>
            <w:tcW w:w="851" w:type="dxa"/>
            <w:tcBorders>
              <w:top w:val="single" w:sz="4" w:space="0" w:color="auto"/>
              <w:left w:val="nil"/>
              <w:bottom w:val="single" w:sz="4" w:space="0" w:color="auto"/>
              <w:right w:val="nil"/>
            </w:tcBorders>
            <w:vAlign w:val="bottom"/>
          </w:tcPr>
          <w:p w14:paraId="6F4F6966" w14:textId="52E4D5F7" w:rsidR="000A2B85" w:rsidRPr="00164C59" w:rsidRDefault="000A2B85" w:rsidP="00690414">
            <w:pPr>
              <w:pStyle w:val="Tabletextleft"/>
            </w:pPr>
            <w:r w:rsidRPr="00164C59">
              <w:t>22</w:t>
            </w:r>
          </w:p>
        </w:tc>
        <w:tc>
          <w:tcPr>
            <w:tcW w:w="992" w:type="dxa"/>
            <w:tcBorders>
              <w:top w:val="single" w:sz="4" w:space="0" w:color="auto"/>
              <w:left w:val="nil"/>
              <w:bottom w:val="single" w:sz="4" w:space="0" w:color="auto"/>
              <w:right w:val="nil"/>
            </w:tcBorders>
            <w:vAlign w:val="bottom"/>
          </w:tcPr>
          <w:p w14:paraId="548B6CAF" w14:textId="7EAA31AB" w:rsidR="000A2B85" w:rsidRPr="00164C59" w:rsidRDefault="000A2B85" w:rsidP="00690414">
            <w:pPr>
              <w:pStyle w:val="Tabletextleft"/>
              <w:rPr>
                <w:lang w:eastAsia="en-AU"/>
              </w:rPr>
            </w:pPr>
            <w:r w:rsidRPr="00164C59">
              <w:rPr>
                <w:lang w:eastAsia="en-AU"/>
              </w:rPr>
              <w:t>2</w:t>
            </w:r>
          </w:p>
        </w:tc>
        <w:tc>
          <w:tcPr>
            <w:tcW w:w="1134" w:type="dxa"/>
            <w:tcBorders>
              <w:top w:val="single" w:sz="4" w:space="0" w:color="auto"/>
              <w:left w:val="nil"/>
              <w:bottom w:val="single" w:sz="4" w:space="0" w:color="auto"/>
              <w:right w:val="nil"/>
            </w:tcBorders>
            <w:vAlign w:val="bottom"/>
          </w:tcPr>
          <w:p w14:paraId="03D54E85" w14:textId="060BA694" w:rsidR="000A2B85" w:rsidRPr="00164C59" w:rsidRDefault="000A2B85" w:rsidP="00690414">
            <w:pPr>
              <w:pStyle w:val="Tabletextleft"/>
              <w:rPr>
                <w:lang w:eastAsia="en-AU"/>
              </w:rPr>
            </w:pPr>
            <w:r w:rsidRPr="00164C59">
              <w:rPr>
                <w:lang w:eastAsia="en-AU"/>
              </w:rPr>
              <w:t>9.</w:t>
            </w:r>
            <w:r w:rsidR="00CA6663">
              <w:rPr>
                <w:lang w:eastAsia="en-AU"/>
              </w:rPr>
              <w:t>1</w:t>
            </w:r>
            <w:r w:rsidRPr="00164C59">
              <w:rPr>
                <w:lang w:eastAsia="en-AU"/>
              </w:rPr>
              <w:t>%</w:t>
            </w:r>
          </w:p>
        </w:tc>
        <w:tc>
          <w:tcPr>
            <w:tcW w:w="709" w:type="dxa"/>
            <w:tcBorders>
              <w:top w:val="single" w:sz="4" w:space="0" w:color="auto"/>
              <w:left w:val="nil"/>
              <w:bottom w:val="single" w:sz="4" w:space="0" w:color="auto"/>
              <w:right w:val="nil"/>
            </w:tcBorders>
            <w:vAlign w:val="bottom"/>
          </w:tcPr>
          <w:p w14:paraId="2931E8BC" w14:textId="06BE98BF" w:rsidR="000A2B85" w:rsidRPr="00164C59" w:rsidRDefault="000A2B85" w:rsidP="00690414">
            <w:pPr>
              <w:pStyle w:val="Tabletextleft"/>
            </w:pPr>
            <w:r w:rsidRPr="00164C59">
              <w:t>9</w:t>
            </w:r>
          </w:p>
        </w:tc>
        <w:tc>
          <w:tcPr>
            <w:tcW w:w="1134" w:type="dxa"/>
            <w:tcBorders>
              <w:top w:val="single" w:sz="4" w:space="0" w:color="auto"/>
              <w:left w:val="nil"/>
              <w:bottom w:val="single" w:sz="4" w:space="0" w:color="auto"/>
              <w:right w:val="nil"/>
            </w:tcBorders>
            <w:vAlign w:val="bottom"/>
          </w:tcPr>
          <w:p w14:paraId="7ABA3269" w14:textId="38244426" w:rsidR="000A2B85" w:rsidRPr="00164C59" w:rsidRDefault="000A2B85" w:rsidP="00690414">
            <w:pPr>
              <w:pStyle w:val="Tabletextleft"/>
              <w:rPr>
                <w:lang w:eastAsia="en-AU"/>
              </w:rPr>
            </w:pPr>
            <w:r w:rsidRPr="00164C59">
              <w:rPr>
                <w:lang w:eastAsia="en-AU"/>
              </w:rPr>
              <w:t>3</w:t>
            </w:r>
          </w:p>
        </w:tc>
        <w:tc>
          <w:tcPr>
            <w:tcW w:w="1134" w:type="dxa"/>
            <w:tcBorders>
              <w:top w:val="single" w:sz="4" w:space="0" w:color="auto"/>
              <w:left w:val="nil"/>
              <w:bottom w:val="single" w:sz="4" w:space="0" w:color="auto"/>
              <w:right w:val="nil"/>
            </w:tcBorders>
            <w:vAlign w:val="bottom"/>
          </w:tcPr>
          <w:p w14:paraId="542CD63D" w14:textId="6F2D33A4" w:rsidR="000A2B85" w:rsidRPr="00164C59" w:rsidRDefault="000A2B85" w:rsidP="00690414">
            <w:pPr>
              <w:pStyle w:val="Tabletextleft"/>
              <w:rPr>
                <w:lang w:eastAsia="en-AU"/>
              </w:rPr>
            </w:pPr>
            <w:r w:rsidRPr="00164C59">
              <w:rPr>
                <w:lang w:eastAsia="en-AU"/>
              </w:rPr>
              <w:t>33.3%</w:t>
            </w:r>
          </w:p>
        </w:tc>
      </w:tr>
    </w:tbl>
    <w:p w14:paraId="11EA602B" w14:textId="77777777" w:rsidR="009978D5" w:rsidRPr="00B95348" w:rsidRDefault="009978D5" w:rsidP="00690414">
      <w:pPr>
        <w:pStyle w:val="Paragraphtext"/>
        <w:spacing w:before="120"/>
        <w:rPr>
          <w:rFonts w:cs="Arial"/>
          <w:sz w:val="24"/>
        </w:rPr>
      </w:pPr>
    </w:p>
    <w:p w14:paraId="12662107" w14:textId="4F0B03BA" w:rsidR="007E1BE3" w:rsidRDefault="007E1BE3" w:rsidP="00651510">
      <w:pPr>
        <w:pStyle w:val="Heading2"/>
        <w:spacing w:after="0"/>
      </w:pPr>
      <w:bookmarkStart w:id="21" w:name="_Toc131338408"/>
      <w:r>
        <w:t>Gender of CI team</w:t>
      </w:r>
      <w:r w:rsidR="009C7C82">
        <w:t>s</w:t>
      </w:r>
      <w:bookmarkEnd w:id="21"/>
    </w:p>
    <w:p w14:paraId="518264E9" w14:textId="64FD0585" w:rsidR="007E1BE3" w:rsidRPr="00B95348" w:rsidRDefault="00711373" w:rsidP="00651510">
      <w:pPr>
        <w:pStyle w:val="Paragraphtext"/>
        <w:spacing w:before="120"/>
        <w:jc w:val="both"/>
        <w:rPr>
          <w:sz w:val="22"/>
          <w:szCs w:val="22"/>
        </w:rPr>
      </w:pPr>
      <w:r w:rsidRPr="00B95348">
        <w:rPr>
          <w:sz w:val="22"/>
          <w:szCs w:val="22"/>
        </w:rPr>
        <w:t>Of the CI teams who were awarded funding</w:t>
      </w:r>
      <w:r w:rsidR="003F61BB" w:rsidRPr="00B95348">
        <w:rPr>
          <w:sz w:val="22"/>
          <w:szCs w:val="22"/>
        </w:rPr>
        <w:t>,</w:t>
      </w:r>
      <w:r w:rsidRPr="00B95348">
        <w:rPr>
          <w:sz w:val="22"/>
          <w:szCs w:val="22"/>
        </w:rPr>
        <w:t xml:space="preserve"> 99 CIs were </w:t>
      </w:r>
      <w:r w:rsidR="003F61BB" w:rsidRPr="00B95348">
        <w:rPr>
          <w:sz w:val="22"/>
          <w:szCs w:val="22"/>
        </w:rPr>
        <w:t>women,</w:t>
      </w:r>
      <w:r w:rsidRPr="00B95348">
        <w:rPr>
          <w:sz w:val="22"/>
          <w:szCs w:val="22"/>
        </w:rPr>
        <w:t xml:space="preserve"> and 79 CIs were men. Data on gender was not </w:t>
      </w:r>
      <w:r w:rsidR="00120347">
        <w:rPr>
          <w:sz w:val="22"/>
          <w:szCs w:val="22"/>
        </w:rPr>
        <w:t>reported</w:t>
      </w:r>
      <w:r w:rsidRPr="00B95348">
        <w:rPr>
          <w:sz w:val="22"/>
          <w:szCs w:val="22"/>
        </w:rPr>
        <w:t xml:space="preserve"> for 8 CIs who were awarded funding</w:t>
      </w:r>
      <w:r w:rsidR="00771600" w:rsidRPr="00B95348">
        <w:rPr>
          <w:sz w:val="22"/>
          <w:szCs w:val="22"/>
        </w:rPr>
        <w:t xml:space="preserve"> (Table 1</w:t>
      </w:r>
      <w:r w:rsidR="001A2FB0" w:rsidRPr="00B95348">
        <w:rPr>
          <w:sz w:val="22"/>
          <w:szCs w:val="22"/>
        </w:rPr>
        <w:t>2</w:t>
      </w:r>
      <w:r w:rsidR="00771600" w:rsidRPr="00B95348">
        <w:rPr>
          <w:sz w:val="22"/>
          <w:szCs w:val="22"/>
        </w:rPr>
        <w:t>)</w:t>
      </w:r>
      <w:r w:rsidRPr="00B95348">
        <w:rPr>
          <w:sz w:val="22"/>
          <w:szCs w:val="22"/>
        </w:rPr>
        <w:t>.</w:t>
      </w:r>
      <w:r w:rsidR="00AB6D49" w:rsidRPr="00B95348">
        <w:rPr>
          <w:sz w:val="22"/>
          <w:szCs w:val="22"/>
        </w:rPr>
        <w:t xml:space="preserve"> </w:t>
      </w:r>
      <w:r w:rsidRPr="00B95348">
        <w:rPr>
          <w:sz w:val="22"/>
          <w:szCs w:val="22"/>
        </w:rPr>
        <w:t>Two CIs included on applications were non-</w:t>
      </w:r>
      <w:r w:rsidR="003F61BB" w:rsidRPr="00B95348">
        <w:rPr>
          <w:sz w:val="22"/>
          <w:szCs w:val="22"/>
        </w:rPr>
        <w:t>binary,</w:t>
      </w:r>
      <w:r w:rsidR="00174B1E" w:rsidRPr="00B95348">
        <w:rPr>
          <w:sz w:val="22"/>
          <w:szCs w:val="22"/>
        </w:rPr>
        <w:t xml:space="preserve"> </w:t>
      </w:r>
      <w:r w:rsidRPr="00B95348">
        <w:rPr>
          <w:sz w:val="22"/>
          <w:szCs w:val="22"/>
        </w:rPr>
        <w:t xml:space="preserve">but these applications were not awarded funding. </w:t>
      </w:r>
    </w:p>
    <w:p w14:paraId="413A6591" w14:textId="77777777" w:rsidR="00711373" w:rsidRPr="00B95348" w:rsidRDefault="00711373" w:rsidP="00AB6D49">
      <w:pPr>
        <w:pStyle w:val="Paragraphtext"/>
        <w:jc w:val="both"/>
        <w:rPr>
          <w:sz w:val="22"/>
          <w:szCs w:val="22"/>
        </w:rPr>
      </w:pPr>
      <w:bookmarkStart w:id="22" w:name="_Hlk129886558"/>
    </w:p>
    <w:p w14:paraId="7600B018" w14:textId="77777777" w:rsidR="00987CEB" w:rsidRDefault="00987CEB" w:rsidP="00B95348">
      <w:pPr>
        <w:pStyle w:val="FigureTitle"/>
      </w:pPr>
    </w:p>
    <w:p w14:paraId="5E786088" w14:textId="77777777" w:rsidR="00987CEB" w:rsidRDefault="00987CEB" w:rsidP="00B95348">
      <w:pPr>
        <w:pStyle w:val="FigureTitle"/>
      </w:pPr>
    </w:p>
    <w:p w14:paraId="17AA7E60" w14:textId="77777777" w:rsidR="00ED5AB3" w:rsidRDefault="00ED5AB3" w:rsidP="00B95348">
      <w:pPr>
        <w:pStyle w:val="FigureTitle"/>
      </w:pPr>
    </w:p>
    <w:p w14:paraId="159ADD8E" w14:textId="49A34568" w:rsidR="00B02A41" w:rsidRDefault="00B02A41" w:rsidP="00B95348">
      <w:pPr>
        <w:pStyle w:val="FigureTitle"/>
      </w:pPr>
      <w:r w:rsidRPr="00AB6D49">
        <w:lastRenderedPageBreak/>
        <w:t xml:space="preserve">Table </w:t>
      </w:r>
      <w:r w:rsidR="006A4A6E" w:rsidRPr="00AB6D49">
        <w:t>1</w:t>
      </w:r>
      <w:r w:rsidR="001A2FB0">
        <w:t>2</w:t>
      </w:r>
      <w:r w:rsidRPr="00AB6D49">
        <w:t xml:space="preserve"> – </w:t>
      </w:r>
      <w:r w:rsidR="001953EF">
        <w:t>G</w:t>
      </w:r>
      <w:r w:rsidRPr="00AB6D49">
        <w:t>ender of the CI team</w:t>
      </w:r>
    </w:p>
    <w:tbl>
      <w:tblPr>
        <w:tblStyle w:val="MRFF"/>
        <w:tblW w:w="5239" w:type="pct"/>
        <w:tblLayout w:type="fixed"/>
        <w:tblLook w:val="04A0" w:firstRow="1" w:lastRow="0" w:firstColumn="1" w:lastColumn="0" w:noHBand="0" w:noVBand="1"/>
      </w:tblPr>
      <w:tblGrid>
        <w:gridCol w:w="1776"/>
        <w:gridCol w:w="1483"/>
        <w:gridCol w:w="2129"/>
        <w:gridCol w:w="1561"/>
        <w:gridCol w:w="2555"/>
      </w:tblGrid>
      <w:tr w:rsidR="00F153D2" w:rsidRPr="00AB6D49" w14:paraId="6B2EBAA3" w14:textId="77777777" w:rsidTr="00317D25">
        <w:trPr>
          <w:cnfStyle w:val="100000000000" w:firstRow="1" w:lastRow="0" w:firstColumn="0" w:lastColumn="0" w:oddVBand="0" w:evenVBand="0" w:oddHBand="0" w:evenHBand="0" w:firstRowFirstColumn="0" w:firstRowLastColumn="0" w:lastRowFirstColumn="0" w:lastRowLastColumn="0"/>
          <w:trHeight w:val="290"/>
        </w:trPr>
        <w:tc>
          <w:tcPr>
            <w:tcW w:w="935" w:type="pct"/>
            <w:tcBorders>
              <w:top w:val="single" w:sz="4" w:space="0" w:color="000000"/>
              <w:bottom w:val="single" w:sz="4" w:space="0" w:color="000000"/>
            </w:tcBorders>
            <w:noWrap/>
            <w:hideMark/>
          </w:tcPr>
          <w:p w14:paraId="343C4C63" w14:textId="77777777" w:rsidR="00F153D2" w:rsidRPr="00B95348" w:rsidRDefault="00F153D2" w:rsidP="00690414">
            <w:pPr>
              <w:rPr>
                <w:rFonts w:cs="Arial"/>
                <w:b w:val="0"/>
                <w:bCs/>
                <w:color w:val="FFFFFF"/>
                <w:sz w:val="18"/>
                <w:szCs w:val="18"/>
                <w:lang w:eastAsia="en-AU"/>
              </w:rPr>
            </w:pPr>
            <w:r w:rsidRPr="00B95348">
              <w:rPr>
                <w:rFonts w:cs="Arial"/>
                <w:bCs/>
                <w:color w:val="FFFFFF"/>
                <w:sz w:val="18"/>
                <w:szCs w:val="18"/>
                <w:lang w:eastAsia="en-AU"/>
              </w:rPr>
              <w:t>Gender</w:t>
            </w:r>
          </w:p>
        </w:tc>
        <w:tc>
          <w:tcPr>
            <w:tcW w:w="780" w:type="pct"/>
            <w:tcBorders>
              <w:top w:val="single" w:sz="4" w:space="0" w:color="000000"/>
              <w:bottom w:val="single" w:sz="4" w:space="0" w:color="000000"/>
            </w:tcBorders>
            <w:noWrap/>
            <w:hideMark/>
          </w:tcPr>
          <w:p w14:paraId="084B4ECE" w14:textId="2AA09CD0" w:rsidR="00F153D2" w:rsidRPr="00B95348" w:rsidRDefault="00F153D2" w:rsidP="00690414">
            <w:pPr>
              <w:rPr>
                <w:rFonts w:cs="Arial"/>
                <w:b w:val="0"/>
                <w:bCs/>
                <w:color w:val="FFFFFF"/>
                <w:sz w:val="18"/>
                <w:szCs w:val="18"/>
                <w:lang w:eastAsia="en-AU"/>
              </w:rPr>
            </w:pPr>
            <w:r>
              <w:rPr>
                <w:rFonts w:cs="Arial"/>
                <w:bCs/>
                <w:color w:val="FFFFFF"/>
                <w:sz w:val="18"/>
                <w:szCs w:val="18"/>
                <w:lang w:eastAsia="en-AU"/>
              </w:rPr>
              <w:t xml:space="preserve">CIs on </w:t>
            </w:r>
            <w:r w:rsidRPr="00B95348">
              <w:rPr>
                <w:rFonts w:cs="Arial"/>
                <w:bCs/>
                <w:color w:val="FFFFFF"/>
                <w:sz w:val="18"/>
                <w:szCs w:val="18"/>
                <w:lang w:eastAsia="en-AU"/>
              </w:rPr>
              <w:t>Applications</w:t>
            </w:r>
          </w:p>
        </w:tc>
        <w:tc>
          <w:tcPr>
            <w:tcW w:w="1120" w:type="pct"/>
            <w:tcBorders>
              <w:top w:val="single" w:sz="4" w:space="0" w:color="000000"/>
              <w:bottom w:val="single" w:sz="4" w:space="0" w:color="000000"/>
            </w:tcBorders>
            <w:noWrap/>
            <w:hideMark/>
          </w:tcPr>
          <w:p w14:paraId="4C1AEA56" w14:textId="77777777" w:rsidR="00F153D2" w:rsidRPr="00B95348" w:rsidRDefault="00F153D2" w:rsidP="00690414">
            <w:pPr>
              <w:rPr>
                <w:rFonts w:cs="Arial"/>
                <w:b w:val="0"/>
                <w:bCs/>
                <w:color w:val="FFFFFF"/>
                <w:sz w:val="18"/>
                <w:szCs w:val="18"/>
                <w:lang w:eastAsia="en-AU"/>
              </w:rPr>
            </w:pPr>
            <w:r w:rsidRPr="00B95348">
              <w:rPr>
                <w:rFonts w:cs="Arial"/>
                <w:bCs/>
                <w:color w:val="FFFFFF"/>
                <w:sz w:val="18"/>
                <w:szCs w:val="18"/>
                <w:lang w:eastAsia="en-AU"/>
              </w:rPr>
              <w:t>CIs on grants awarded</w:t>
            </w:r>
          </w:p>
        </w:tc>
        <w:tc>
          <w:tcPr>
            <w:tcW w:w="821" w:type="pct"/>
            <w:tcBorders>
              <w:top w:val="single" w:sz="4" w:space="0" w:color="000000"/>
              <w:bottom w:val="single" w:sz="4" w:space="0" w:color="000000"/>
            </w:tcBorders>
            <w:noWrap/>
            <w:hideMark/>
          </w:tcPr>
          <w:p w14:paraId="3F9CB33E" w14:textId="77777777" w:rsidR="00F153D2" w:rsidRPr="00B95348" w:rsidRDefault="00F153D2" w:rsidP="00690414">
            <w:pPr>
              <w:rPr>
                <w:rFonts w:cs="Arial"/>
                <w:b w:val="0"/>
                <w:bCs/>
                <w:color w:val="FFFFFF"/>
                <w:sz w:val="18"/>
                <w:szCs w:val="18"/>
                <w:lang w:eastAsia="en-AU"/>
              </w:rPr>
            </w:pPr>
            <w:r w:rsidRPr="00B95348">
              <w:rPr>
                <w:rFonts w:cs="Arial"/>
                <w:bCs/>
                <w:color w:val="FFFFFF"/>
                <w:sz w:val="18"/>
                <w:szCs w:val="18"/>
                <w:lang w:eastAsia="en-AU"/>
              </w:rPr>
              <w:t>Funded rate</w:t>
            </w:r>
          </w:p>
        </w:tc>
        <w:tc>
          <w:tcPr>
            <w:tcW w:w="1344" w:type="pct"/>
            <w:tcBorders>
              <w:top w:val="single" w:sz="4" w:space="0" w:color="000000"/>
              <w:bottom w:val="single" w:sz="4" w:space="0" w:color="000000"/>
            </w:tcBorders>
            <w:noWrap/>
            <w:hideMark/>
          </w:tcPr>
          <w:p w14:paraId="79952EBB" w14:textId="77777777" w:rsidR="00F153D2" w:rsidRPr="00B95348" w:rsidRDefault="00F153D2" w:rsidP="00690414">
            <w:pPr>
              <w:rPr>
                <w:rFonts w:cs="Arial"/>
                <w:b w:val="0"/>
                <w:bCs/>
                <w:color w:val="FFFFFF"/>
                <w:sz w:val="18"/>
                <w:szCs w:val="18"/>
                <w:lang w:eastAsia="en-AU"/>
              </w:rPr>
            </w:pPr>
            <w:r w:rsidRPr="00B95348">
              <w:rPr>
                <w:rFonts w:cs="Arial"/>
                <w:bCs/>
                <w:color w:val="FFFFFF"/>
                <w:sz w:val="18"/>
                <w:szCs w:val="18"/>
                <w:lang w:eastAsia="en-AU"/>
              </w:rPr>
              <w:t>Proportion of CIs awarded</w:t>
            </w:r>
          </w:p>
        </w:tc>
      </w:tr>
      <w:tr w:rsidR="00F153D2" w:rsidRPr="00AB6D49" w14:paraId="6169A8F1" w14:textId="77777777" w:rsidTr="00192489">
        <w:trPr>
          <w:trHeight w:val="290"/>
        </w:trPr>
        <w:tc>
          <w:tcPr>
            <w:tcW w:w="935" w:type="pct"/>
            <w:tcBorders>
              <w:top w:val="single" w:sz="4" w:space="0" w:color="000000"/>
            </w:tcBorders>
            <w:noWrap/>
            <w:hideMark/>
          </w:tcPr>
          <w:p w14:paraId="7ABADF0B"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Woman or female</w:t>
            </w:r>
          </w:p>
        </w:tc>
        <w:tc>
          <w:tcPr>
            <w:tcW w:w="780" w:type="pct"/>
            <w:tcBorders>
              <w:top w:val="single" w:sz="4" w:space="0" w:color="000000"/>
            </w:tcBorders>
            <w:noWrap/>
            <w:hideMark/>
          </w:tcPr>
          <w:p w14:paraId="6E0BB57C"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1578</w:t>
            </w:r>
          </w:p>
        </w:tc>
        <w:tc>
          <w:tcPr>
            <w:tcW w:w="1120" w:type="pct"/>
            <w:tcBorders>
              <w:top w:val="single" w:sz="4" w:space="0" w:color="000000"/>
            </w:tcBorders>
            <w:noWrap/>
            <w:hideMark/>
          </w:tcPr>
          <w:p w14:paraId="523E4610"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99</w:t>
            </w:r>
          </w:p>
        </w:tc>
        <w:tc>
          <w:tcPr>
            <w:tcW w:w="821" w:type="pct"/>
            <w:tcBorders>
              <w:top w:val="single" w:sz="4" w:space="0" w:color="000000"/>
            </w:tcBorders>
            <w:noWrap/>
            <w:hideMark/>
          </w:tcPr>
          <w:p w14:paraId="3A12C2EF" w14:textId="27AC4671" w:rsidR="00F153D2" w:rsidRPr="00B95348" w:rsidRDefault="00F153D2" w:rsidP="00690414">
            <w:pPr>
              <w:rPr>
                <w:rFonts w:cs="Arial"/>
                <w:color w:val="000000"/>
                <w:sz w:val="18"/>
                <w:szCs w:val="18"/>
                <w:lang w:eastAsia="en-AU"/>
              </w:rPr>
            </w:pPr>
            <w:r>
              <w:rPr>
                <w:rFonts w:cs="Arial"/>
                <w:color w:val="000000"/>
                <w:sz w:val="18"/>
                <w:szCs w:val="18"/>
                <w:lang w:eastAsia="en-AU"/>
              </w:rPr>
              <w:t>6.3%</w:t>
            </w:r>
          </w:p>
        </w:tc>
        <w:tc>
          <w:tcPr>
            <w:tcW w:w="1344" w:type="pct"/>
            <w:tcBorders>
              <w:top w:val="single" w:sz="4" w:space="0" w:color="000000"/>
            </w:tcBorders>
            <w:noWrap/>
            <w:hideMark/>
          </w:tcPr>
          <w:p w14:paraId="7CCD0C9C" w14:textId="1717285B" w:rsidR="00F153D2" w:rsidRPr="00B95348" w:rsidRDefault="00F153D2" w:rsidP="00690414">
            <w:pPr>
              <w:rPr>
                <w:rFonts w:cs="Arial"/>
                <w:color w:val="000000"/>
                <w:sz w:val="18"/>
                <w:szCs w:val="18"/>
                <w:lang w:eastAsia="en-AU"/>
              </w:rPr>
            </w:pPr>
            <w:r>
              <w:rPr>
                <w:rFonts w:cs="Arial"/>
                <w:color w:val="000000"/>
                <w:sz w:val="18"/>
                <w:szCs w:val="18"/>
                <w:lang w:eastAsia="en-AU"/>
              </w:rPr>
              <w:t>53.2%</w:t>
            </w:r>
          </w:p>
        </w:tc>
      </w:tr>
      <w:tr w:rsidR="00F153D2" w:rsidRPr="00AB6D49" w14:paraId="1DD313F2" w14:textId="77777777" w:rsidTr="00BB01C2">
        <w:trPr>
          <w:trHeight w:val="290"/>
        </w:trPr>
        <w:tc>
          <w:tcPr>
            <w:tcW w:w="935" w:type="pct"/>
            <w:noWrap/>
            <w:hideMark/>
          </w:tcPr>
          <w:p w14:paraId="2D831186" w14:textId="77777777" w:rsidR="00F153D2" w:rsidRPr="00B95348" w:rsidRDefault="00F153D2" w:rsidP="00690414">
            <w:pPr>
              <w:rPr>
                <w:rFonts w:cs="Arial"/>
                <w:color w:val="000000"/>
                <w:sz w:val="18"/>
                <w:szCs w:val="18"/>
                <w:lang w:eastAsia="en-AU"/>
              </w:rPr>
            </w:pPr>
            <w:proofErr w:type="gramStart"/>
            <w:r w:rsidRPr="00B95348">
              <w:rPr>
                <w:rFonts w:cs="Arial"/>
                <w:color w:val="000000"/>
                <w:sz w:val="18"/>
                <w:szCs w:val="18"/>
                <w:lang w:eastAsia="en-AU"/>
              </w:rPr>
              <w:t>Man</w:t>
            </w:r>
            <w:proofErr w:type="gramEnd"/>
            <w:r w:rsidRPr="00B95348">
              <w:rPr>
                <w:rFonts w:cs="Arial"/>
                <w:color w:val="000000"/>
                <w:sz w:val="18"/>
                <w:szCs w:val="18"/>
                <w:lang w:eastAsia="en-AU"/>
              </w:rPr>
              <w:t xml:space="preserve"> or male</w:t>
            </w:r>
          </w:p>
        </w:tc>
        <w:tc>
          <w:tcPr>
            <w:tcW w:w="780" w:type="pct"/>
            <w:noWrap/>
            <w:hideMark/>
          </w:tcPr>
          <w:p w14:paraId="184411B5"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994</w:t>
            </w:r>
          </w:p>
        </w:tc>
        <w:tc>
          <w:tcPr>
            <w:tcW w:w="1120" w:type="pct"/>
            <w:noWrap/>
            <w:hideMark/>
          </w:tcPr>
          <w:p w14:paraId="0667FFEF"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79</w:t>
            </w:r>
          </w:p>
        </w:tc>
        <w:tc>
          <w:tcPr>
            <w:tcW w:w="821" w:type="pct"/>
            <w:noWrap/>
            <w:hideMark/>
          </w:tcPr>
          <w:p w14:paraId="5ED2299F" w14:textId="6E73F396" w:rsidR="00F153D2" w:rsidRPr="00B95348" w:rsidRDefault="00F153D2" w:rsidP="00690414">
            <w:pPr>
              <w:rPr>
                <w:rFonts w:cs="Arial"/>
                <w:color w:val="000000"/>
                <w:sz w:val="18"/>
                <w:szCs w:val="18"/>
                <w:lang w:eastAsia="en-AU"/>
              </w:rPr>
            </w:pPr>
            <w:r>
              <w:rPr>
                <w:rFonts w:cs="Arial"/>
                <w:color w:val="000000"/>
                <w:sz w:val="18"/>
                <w:szCs w:val="18"/>
                <w:lang w:eastAsia="en-AU"/>
              </w:rPr>
              <w:t>8.0%</w:t>
            </w:r>
          </w:p>
        </w:tc>
        <w:tc>
          <w:tcPr>
            <w:tcW w:w="1344" w:type="pct"/>
            <w:noWrap/>
            <w:hideMark/>
          </w:tcPr>
          <w:p w14:paraId="3F93A2A3" w14:textId="23EB9751" w:rsidR="00F153D2" w:rsidRPr="00B95348" w:rsidRDefault="00F153D2" w:rsidP="00690414">
            <w:pPr>
              <w:rPr>
                <w:rFonts w:cs="Arial"/>
                <w:color w:val="000000"/>
                <w:sz w:val="18"/>
                <w:szCs w:val="18"/>
                <w:lang w:eastAsia="en-AU"/>
              </w:rPr>
            </w:pPr>
            <w:r>
              <w:rPr>
                <w:rFonts w:cs="Arial"/>
                <w:color w:val="000000"/>
                <w:sz w:val="18"/>
                <w:szCs w:val="18"/>
                <w:lang w:eastAsia="en-AU"/>
              </w:rPr>
              <w:t>42</w:t>
            </w:r>
            <w:r w:rsidR="008C6715">
              <w:rPr>
                <w:rFonts w:cs="Arial"/>
                <w:color w:val="000000"/>
                <w:sz w:val="18"/>
                <w:szCs w:val="18"/>
                <w:lang w:eastAsia="en-AU"/>
              </w:rPr>
              <w:t>.</w:t>
            </w:r>
            <w:r>
              <w:rPr>
                <w:rFonts w:cs="Arial"/>
                <w:color w:val="000000"/>
                <w:sz w:val="18"/>
                <w:szCs w:val="18"/>
                <w:lang w:eastAsia="en-AU"/>
              </w:rPr>
              <w:t>5%</w:t>
            </w:r>
          </w:p>
        </w:tc>
      </w:tr>
      <w:tr w:rsidR="00F153D2" w:rsidRPr="00AB6D49" w14:paraId="51635E96" w14:textId="77777777" w:rsidTr="00BB01C2">
        <w:trPr>
          <w:trHeight w:val="290"/>
        </w:trPr>
        <w:tc>
          <w:tcPr>
            <w:tcW w:w="935" w:type="pct"/>
            <w:noWrap/>
            <w:hideMark/>
          </w:tcPr>
          <w:p w14:paraId="45B0DE64"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Non-binary</w:t>
            </w:r>
          </w:p>
        </w:tc>
        <w:tc>
          <w:tcPr>
            <w:tcW w:w="780" w:type="pct"/>
            <w:noWrap/>
            <w:hideMark/>
          </w:tcPr>
          <w:p w14:paraId="2D507400"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2</w:t>
            </w:r>
          </w:p>
        </w:tc>
        <w:tc>
          <w:tcPr>
            <w:tcW w:w="1120" w:type="pct"/>
            <w:noWrap/>
            <w:hideMark/>
          </w:tcPr>
          <w:p w14:paraId="027EFD65"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0</w:t>
            </w:r>
          </w:p>
        </w:tc>
        <w:tc>
          <w:tcPr>
            <w:tcW w:w="821" w:type="pct"/>
            <w:noWrap/>
            <w:hideMark/>
          </w:tcPr>
          <w:p w14:paraId="5CCBB38D"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0</w:t>
            </w:r>
          </w:p>
        </w:tc>
        <w:tc>
          <w:tcPr>
            <w:tcW w:w="1344" w:type="pct"/>
            <w:noWrap/>
            <w:hideMark/>
          </w:tcPr>
          <w:p w14:paraId="0DB41A58"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0</w:t>
            </w:r>
          </w:p>
        </w:tc>
      </w:tr>
      <w:tr w:rsidR="00F153D2" w:rsidRPr="00AB6D49" w14:paraId="3B5CE36D" w14:textId="77777777" w:rsidTr="00BB01C2">
        <w:trPr>
          <w:trHeight w:val="290"/>
        </w:trPr>
        <w:tc>
          <w:tcPr>
            <w:tcW w:w="935" w:type="pct"/>
            <w:noWrap/>
            <w:hideMark/>
          </w:tcPr>
          <w:p w14:paraId="6C30784E"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Not reported</w:t>
            </w:r>
          </w:p>
        </w:tc>
        <w:tc>
          <w:tcPr>
            <w:tcW w:w="780" w:type="pct"/>
            <w:noWrap/>
            <w:hideMark/>
          </w:tcPr>
          <w:p w14:paraId="1A84440C"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109</w:t>
            </w:r>
          </w:p>
        </w:tc>
        <w:tc>
          <w:tcPr>
            <w:tcW w:w="1120" w:type="pct"/>
            <w:noWrap/>
            <w:hideMark/>
          </w:tcPr>
          <w:p w14:paraId="5F332FA3"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8</w:t>
            </w:r>
          </w:p>
        </w:tc>
        <w:tc>
          <w:tcPr>
            <w:tcW w:w="821" w:type="pct"/>
            <w:noWrap/>
            <w:hideMark/>
          </w:tcPr>
          <w:p w14:paraId="49B771A8" w14:textId="5A9AA6CA" w:rsidR="00F153D2" w:rsidRPr="00B95348" w:rsidRDefault="00F153D2" w:rsidP="00690414">
            <w:pPr>
              <w:rPr>
                <w:rFonts w:cs="Arial"/>
                <w:color w:val="000000"/>
                <w:sz w:val="18"/>
                <w:szCs w:val="18"/>
                <w:lang w:eastAsia="en-AU"/>
              </w:rPr>
            </w:pPr>
            <w:r>
              <w:rPr>
                <w:rFonts w:cs="Arial"/>
                <w:color w:val="000000"/>
                <w:sz w:val="18"/>
                <w:szCs w:val="18"/>
                <w:lang w:eastAsia="en-AU"/>
              </w:rPr>
              <w:t>7.3%</w:t>
            </w:r>
          </w:p>
        </w:tc>
        <w:tc>
          <w:tcPr>
            <w:tcW w:w="1344" w:type="pct"/>
            <w:noWrap/>
            <w:hideMark/>
          </w:tcPr>
          <w:p w14:paraId="1D901406"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4.3</w:t>
            </w:r>
            <w:r>
              <w:rPr>
                <w:rFonts w:cs="Arial"/>
                <w:color w:val="000000"/>
                <w:sz w:val="18"/>
                <w:szCs w:val="18"/>
                <w:lang w:eastAsia="en-AU"/>
              </w:rPr>
              <w:t>%</w:t>
            </w:r>
          </w:p>
        </w:tc>
      </w:tr>
      <w:tr w:rsidR="00F153D2" w:rsidRPr="00AB6D49" w14:paraId="001B99F4" w14:textId="77777777" w:rsidTr="00BB01C2">
        <w:trPr>
          <w:trHeight w:val="290"/>
        </w:trPr>
        <w:tc>
          <w:tcPr>
            <w:tcW w:w="935" w:type="pct"/>
            <w:noWrap/>
            <w:hideMark/>
          </w:tcPr>
          <w:p w14:paraId="758D9DBE" w14:textId="77777777" w:rsidR="00F153D2" w:rsidRPr="00B95348" w:rsidRDefault="00F153D2" w:rsidP="00690414">
            <w:pPr>
              <w:rPr>
                <w:rFonts w:cs="Arial"/>
                <w:color w:val="000000"/>
                <w:sz w:val="18"/>
                <w:szCs w:val="18"/>
                <w:lang w:eastAsia="en-AU"/>
              </w:rPr>
            </w:pPr>
            <w:r>
              <w:rPr>
                <w:rFonts w:cs="Arial"/>
                <w:color w:val="000000"/>
                <w:sz w:val="18"/>
                <w:szCs w:val="18"/>
                <w:lang w:eastAsia="en-AU"/>
              </w:rPr>
              <w:t>All genders</w:t>
            </w:r>
          </w:p>
        </w:tc>
        <w:tc>
          <w:tcPr>
            <w:tcW w:w="780" w:type="pct"/>
            <w:noWrap/>
            <w:hideMark/>
          </w:tcPr>
          <w:p w14:paraId="54E9775C"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2683</w:t>
            </w:r>
          </w:p>
        </w:tc>
        <w:tc>
          <w:tcPr>
            <w:tcW w:w="1120" w:type="pct"/>
            <w:noWrap/>
            <w:hideMark/>
          </w:tcPr>
          <w:p w14:paraId="1B94EFA6"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186</w:t>
            </w:r>
          </w:p>
        </w:tc>
        <w:tc>
          <w:tcPr>
            <w:tcW w:w="821" w:type="pct"/>
            <w:noWrap/>
            <w:hideMark/>
          </w:tcPr>
          <w:p w14:paraId="3BBA6402" w14:textId="0AF1495A" w:rsidR="00F153D2" w:rsidRPr="00B95348" w:rsidRDefault="00F153D2" w:rsidP="00690414">
            <w:pPr>
              <w:rPr>
                <w:rFonts w:cs="Arial"/>
                <w:color w:val="000000"/>
                <w:sz w:val="18"/>
                <w:szCs w:val="18"/>
                <w:lang w:eastAsia="en-AU"/>
              </w:rPr>
            </w:pPr>
            <w:r>
              <w:rPr>
                <w:rFonts w:cs="Arial"/>
                <w:color w:val="000000"/>
                <w:sz w:val="18"/>
                <w:szCs w:val="18"/>
                <w:lang w:eastAsia="en-AU"/>
              </w:rPr>
              <w:t>6</w:t>
            </w:r>
            <w:r w:rsidR="00894B0B">
              <w:rPr>
                <w:rFonts w:cs="Arial"/>
                <w:color w:val="000000"/>
                <w:sz w:val="18"/>
                <w:szCs w:val="18"/>
                <w:lang w:eastAsia="en-AU"/>
              </w:rPr>
              <w:t>.</w:t>
            </w:r>
            <w:r>
              <w:rPr>
                <w:rFonts w:cs="Arial"/>
                <w:color w:val="000000"/>
                <w:sz w:val="18"/>
                <w:szCs w:val="18"/>
                <w:lang w:eastAsia="en-AU"/>
              </w:rPr>
              <w:t>9%</w:t>
            </w:r>
          </w:p>
        </w:tc>
        <w:tc>
          <w:tcPr>
            <w:tcW w:w="1344" w:type="pct"/>
            <w:noWrap/>
            <w:hideMark/>
          </w:tcPr>
          <w:p w14:paraId="789B7D1C" w14:textId="77777777" w:rsidR="00F153D2" w:rsidRPr="00B95348" w:rsidRDefault="00F153D2" w:rsidP="00690414">
            <w:pPr>
              <w:rPr>
                <w:rFonts w:cs="Arial"/>
                <w:color w:val="000000"/>
                <w:sz w:val="18"/>
                <w:szCs w:val="18"/>
                <w:lang w:eastAsia="en-AU"/>
              </w:rPr>
            </w:pPr>
            <w:r w:rsidRPr="00B95348">
              <w:rPr>
                <w:rFonts w:cs="Arial"/>
                <w:color w:val="000000"/>
                <w:sz w:val="18"/>
                <w:szCs w:val="18"/>
                <w:lang w:eastAsia="en-AU"/>
              </w:rPr>
              <w:t>100</w:t>
            </w:r>
            <w:r>
              <w:rPr>
                <w:rFonts w:cs="Arial"/>
                <w:color w:val="000000"/>
                <w:sz w:val="18"/>
                <w:szCs w:val="18"/>
                <w:lang w:eastAsia="en-AU"/>
              </w:rPr>
              <w:t>%</w:t>
            </w:r>
          </w:p>
        </w:tc>
      </w:tr>
    </w:tbl>
    <w:bookmarkEnd w:id="22"/>
    <w:p w14:paraId="156AC342" w14:textId="3C6A5E43" w:rsidR="007E1BE3" w:rsidRDefault="000F7F3C" w:rsidP="00B75A54">
      <w:pPr>
        <w:pStyle w:val="Tabletextleft"/>
      </w:pPr>
      <w:r w:rsidRPr="00AB6D49">
        <w:t xml:space="preserve">The analysis of gender was based on data provided by Chief Investigators (CIs) captured through self-identification as male or man, female or woman, non-binary, or not reported. </w:t>
      </w:r>
      <w:r w:rsidR="00A65975" w:rsidRPr="00A65975">
        <w:t xml:space="preserve">Data on gender were captured via the CIA's profile within the NHMRC grants management platform. </w:t>
      </w:r>
    </w:p>
    <w:p w14:paraId="556CC7FF" w14:textId="77777777" w:rsidR="00B75A54" w:rsidRPr="00B75A54" w:rsidRDefault="00B75A54" w:rsidP="00B75A54">
      <w:pPr>
        <w:pStyle w:val="Tabletextleft"/>
        <w:rPr>
          <w:sz w:val="22"/>
          <w:szCs w:val="22"/>
        </w:rPr>
      </w:pPr>
    </w:p>
    <w:p w14:paraId="7B1E34B3" w14:textId="38DC067E" w:rsidR="007E1BE3" w:rsidRDefault="007E1BE3" w:rsidP="00651510">
      <w:pPr>
        <w:pStyle w:val="Heading2"/>
        <w:spacing w:after="0"/>
      </w:pPr>
      <w:bookmarkStart w:id="23" w:name="_Toc131338409"/>
      <w:r>
        <w:t>Years post-PhD of CI team</w:t>
      </w:r>
      <w:r w:rsidR="009C7C82">
        <w:t>s</w:t>
      </w:r>
      <w:bookmarkEnd w:id="23"/>
    </w:p>
    <w:p w14:paraId="59AB040C" w14:textId="513BD3F4" w:rsidR="00233C0B" w:rsidRPr="00B95348" w:rsidRDefault="00552BF2" w:rsidP="00651510">
      <w:pPr>
        <w:pStyle w:val="Paragraphtext"/>
        <w:spacing w:before="120"/>
        <w:jc w:val="both"/>
        <w:rPr>
          <w:sz w:val="22"/>
          <w:szCs w:val="22"/>
        </w:rPr>
      </w:pPr>
      <w:r w:rsidRPr="00B95348">
        <w:rPr>
          <w:sz w:val="22"/>
          <w:szCs w:val="22"/>
        </w:rPr>
        <w:t xml:space="preserve">Over </w:t>
      </w:r>
      <w:r w:rsidR="00B603FB" w:rsidRPr="00B95348">
        <w:rPr>
          <w:sz w:val="22"/>
          <w:szCs w:val="22"/>
        </w:rPr>
        <w:t>80</w:t>
      </w:r>
      <w:r w:rsidRPr="00B95348">
        <w:rPr>
          <w:sz w:val="22"/>
          <w:szCs w:val="22"/>
        </w:rPr>
        <w:t>% of the</w:t>
      </w:r>
      <w:r w:rsidR="00D6714D" w:rsidRPr="00B95348">
        <w:rPr>
          <w:sz w:val="22"/>
          <w:szCs w:val="22"/>
        </w:rPr>
        <w:t xml:space="preserve"> 186</w:t>
      </w:r>
      <w:r w:rsidRPr="00B95348">
        <w:rPr>
          <w:sz w:val="22"/>
          <w:szCs w:val="22"/>
        </w:rPr>
        <w:t xml:space="preserve"> </w:t>
      </w:r>
      <w:r w:rsidR="00F8024E" w:rsidRPr="00B95348">
        <w:rPr>
          <w:sz w:val="22"/>
          <w:szCs w:val="22"/>
        </w:rPr>
        <w:t xml:space="preserve">CIs who received funding through the </w:t>
      </w:r>
      <w:r w:rsidR="002D77AD" w:rsidRPr="00D349CD">
        <w:rPr>
          <w:sz w:val="22"/>
          <w:szCs w:val="22"/>
        </w:rPr>
        <w:t>2021 Early to Mid-Career Researchers Grant Opportunity</w:t>
      </w:r>
      <w:r w:rsidR="002D77AD" w:rsidRPr="00E45F45" w:rsidDel="00E45F45">
        <w:rPr>
          <w:rFonts w:cs="Arial"/>
          <w:color w:val="000000"/>
          <w:sz w:val="22"/>
          <w:szCs w:val="22"/>
          <w:lang w:eastAsia="en-AU"/>
        </w:rPr>
        <w:t xml:space="preserve"> </w:t>
      </w:r>
      <w:r w:rsidR="0047388F" w:rsidRPr="00B95348">
        <w:rPr>
          <w:sz w:val="22"/>
          <w:szCs w:val="22"/>
        </w:rPr>
        <w:t>had completed their PhDs less than 1</w:t>
      </w:r>
      <w:r w:rsidR="00543F48" w:rsidRPr="00B95348">
        <w:rPr>
          <w:sz w:val="22"/>
          <w:szCs w:val="22"/>
        </w:rPr>
        <w:t>1</w:t>
      </w:r>
      <w:r w:rsidR="0047388F" w:rsidRPr="00B95348">
        <w:rPr>
          <w:sz w:val="22"/>
          <w:szCs w:val="22"/>
        </w:rPr>
        <w:t xml:space="preserve"> years ago.</w:t>
      </w:r>
      <w:r w:rsidR="00F8024E" w:rsidRPr="00B95348">
        <w:rPr>
          <w:sz w:val="22"/>
          <w:szCs w:val="22"/>
        </w:rPr>
        <w:t xml:space="preserve"> In </w:t>
      </w:r>
      <w:r w:rsidR="00771600" w:rsidRPr="00B95348">
        <w:rPr>
          <w:sz w:val="22"/>
          <w:szCs w:val="22"/>
        </w:rPr>
        <w:t>F</w:t>
      </w:r>
      <w:r w:rsidR="0047388F" w:rsidRPr="00B95348">
        <w:rPr>
          <w:sz w:val="22"/>
          <w:szCs w:val="22"/>
        </w:rPr>
        <w:t>igure 3</w:t>
      </w:r>
      <w:r w:rsidR="00F8024E" w:rsidRPr="00B95348">
        <w:rPr>
          <w:sz w:val="22"/>
          <w:szCs w:val="22"/>
        </w:rPr>
        <w:t xml:space="preserve"> many of the researchers who are close to 10 years post-PhD will have </w:t>
      </w:r>
      <w:r w:rsidR="0026665A" w:rsidRPr="00B95348">
        <w:rPr>
          <w:sz w:val="22"/>
          <w:szCs w:val="22"/>
        </w:rPr>
        <w:t xml:space="preserve">declared </w:t>
      </w:r>
      <w:r w:rsidR="00F8024E" w:rsidRPr="00B95348">
        <w:rPr>
          <w:sz w:val="22"/>
          <w:szCs w:val="22"/>
        </w:rPr>
        <w:t>career disruptions</w:t>
      </w:r>
      <w:r w:rsidR="002D77AD">
        <w:rPr>
          <w:sz w:val="22"/>
          <w:szCs w:val="22"/>
        </w:rPr>
        <w:t xml:space="preserve"> and</w:t>
      </w:r>
      <w:r w:rsidR="00F8024E" w:rsidRPr="00B95348">
        <w:rPr>
          <w:sz w:val="22"/>
          <w:szCs w:val="22"/>
        </w:rPr>
        <w:t xml:space="preserve"> qualified as MCRs.</w:t>
      </w:r>
      <w:r w:rsidR="007D547A" w:rsidRPr="00B95348">
        <w:rPr>
          <w:sz w:val="22"/>
          <w:szCs w:val="22"/>
        </w:rPr>
        <w:t xml:space="preserve"> </w:t>
      </w:r>
      <w:r w:rsidR="00233C0B" w:rsidRPr="00B95348">
        <w:rPr>
          <w:sz w:val="22"/>
          <w:szCs w:val="22"/>
        </w:rPr>
        <w:t>The CIA on Stream 3 applications had to be an E</w:t>
      </w:r>
      <w:r w:rsidR="00D6714D" w:rsidRPr="00B95348">
        <w:rPr>
          <w:sz w:val="22"/>
          <w:szCs w:val="22"/>
        </w:rPr>
        <w:t>CR or MCR</w:t>
      </w:r>
      <w:r w:rsidR="00F45527" w:rsidRPr="00B95348">
        <w:rPr>
          <w:sz w:val="22"/>
          <w:szCs w:val="22"/>
        </w:rPr>
        <w:t>, however</w:t>
      </w:r>
      <w:r w:rsidR="00233C0B" w:rsidRPr="00B95348">
        <w:rPr>
          <w:sz w:val="22"/>
          <w:szCs w:val="22"/>
        </w:rPr>
        <w:t xml:space="preserve"> more experienced researchers could be part of the CI team</w:t>
      </w:r>
      <w:r w:rsidR="00F45527" w:rsidRPr="00B95348">
        <w:rPr>
          <w:sz w:val="22"/>
          <w:szCs w:val="22"/>
        </w:rPr>
        <w:t xml:space="preserve"> in other positions</w:t>
      </w:r>
      <w:r w:rsidR="00233C0B" w:rsidRPr="00B95348">
        <w:rPr>
          <w:sz w:val="22"/>
          <w:szCs w:val="22"/>
        </w:rPr>
        <w:t xml:space="preserve">. </w:t>
      </w:r>
    </w:p>
    <w:p w14:paraId="29084CDD" w14:textId="77777777" w:rsidR="00ED3149" w:rsidRPr="002F0A85" w:rsidRDefault="00ED3149" w:rsidP="002F0A85">
      <w:pPr>
        <w:pStyle w:val="Paragraphtext"/>
        <w:spacing w:before="120"/>
        <w:rPr>
          <w:sz w:val="22"/>
          <w:szCs w:val="22"/>
        </w:rPr>
      </w:pPr>
    </w:p>
    <w:p w14:paraId="6C71906D" w14:textId="430A8E17" w:rsidR="00F8024E" w:rsidRDefault="000D45B5" w:rsidP="00B95348">
      <w:pPr>
        <w:pStyle w:val="FigureTitle"/>
      </w:pPr>
      <w:r w:rsidRPr="00B95348">
        <w:t xml:space="preserve">Figure </w:t>
      </w:r>
      <w:r w:rsidR="0047388F" w:rsidRPr="00B95348">
        <w:t>3</w:t>
      </w:r>
      <w:r w:rsidR="00771600" w:rsidRPr="00B95348">
        <w:t xml:space="preserve"> </w:t>
      </w:r>
      <w:r w:rsidRPr="00B95348">
        <w:t xml:space="preserve">- </w:t>
      </w:r>
      <w:r w:rsidR="002D77AD">
        <w:t>Y</w:t>
      </w:r>
      <w:r w:rsidRPr="00B95348">
        <w:t>ears post-PhD of CI team members on awarded grants</w:t>
      </w:r>
      <w:r w:rsidR="002D77AD">
        <w:t>, unadjusted for career disruption</w:t>
      </w:r>
    </w:p>
    <w:p w14:paraId="06F9D7B5" w14:textId="77777777" w:rsidR="00B75A54" w:rsidRPr="00B75A54" w:rsidRDefault="00B75A54" w:rsidP="00B75A54">
      <w:pPr>
        <w:pStyle w:val="Paragraphtext"/>
      </w:pPr>
    </w:p>
    <w:p w14:paraId="126BD914" w14:textId="6E69CAE8" w:rsidR="002F323A" w:rsidRDefault="007E1BE3" w:rsidP="009567BB">
      <w:pPr>
        <w:pStyle w:val="Paragraphtext"/>
      </w:pPr>
      <w:r>
        <w:rPr>
          <w:noProof/>
        </w:rPr>
        <w:drawing>
          <wp:inline distT="0" distB="0" distL="0" distR="0" wp14:anchorId="1D3CD583" wp14:editId="252D1CDA">
            <wp:extent cx="5772150" cy="3060700"/>
            <wp:effectExtent l="0" t="0" r="0" b="6350"/>
            <wp:docPr id="2" name="Chart 2" descr="Chart - years post-PHD of CI team members on awarded grants, unadjusted for career disruption.">
              <a:extLst xmlns:a="http://schemas.openxmlformats.org/drawingml/2006/main">
                <a:ext uri="{FF2B5EF4-FFF2-40B4-BE49-F238E27FC236}">
                  <a16:creationId xmlns:a16="http://schemas.microsoft.com/office/drawing/2014/main" id="{ECF788CC-0E25-4D4C-A813-54639CC259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5989D05" w14:textId="0D03ED25" w:rsidR="00695935" w:rsidRDefault="00695935" w:rsidP="00B95348">
      <w:pPr>
        <w:pStyle w:val="Paragraphtext"/>
      </w:pPr>
    </w:p>
    <w:p w14:paraId="6AAD5FB5" w14:textId="77777777" w:rsidR="001C3264" w:rsidRPr="00695935" w:rsidRDefault="001C3264" w:rsidP="00B95348">
      <w:pPr>
        <w:pStyle w:val="Paragraphtext"/>
      </w:pPr>
    </w:p>
    <w:p w14:paraId="008107C1" w14:textId="77777777" w:rsidR="00980997" w:rsidRDefault="00980997" w:rsidP="002116CC">
      <w:pPr>
        <w:pStyle w:val="Heading1"/>
        <w:spacing w:before="120"/>
        <w:jc w:val="both"/>
      </w:pPr>
    </w:p>
    <w:p w14:paraId="06E59993" w14:textId="77777777" w:rsidR="00980997" w:rsidRDefault="00980997">
      <w:pPr>
        <w:rPr>
          <w:rFonts w:cs="Arial"/>
          <w:b/>
          <w:bCs/>
          <w:color w:val="18233B"/>
          <w:kern w:val="28"/>
          <w:sz w:val="36"/>
          <w:szCs w:val="36"/>
        </w:rPr>
      </w:pPr>
      <w:r>
        <w:br w:type="page"/>
      </w:r>
    </w:p>
    <w:p w14:paraId="512E3C24" w14:textId="711327AA" w:rsidR="00823965" w:rsidRDefault="00823965" w:rsidP="00651510">
      <w:pPr>
        <w:pStyle w:val="Heading1"/>
        <w:jc w:val="both"/>
      </w:pPr>
      <w:bookmarkStart w:id="24" w:name="_Toc131338410"/>
      <w:r>
        <w:lastRenderedPageBreak/>
        <w:t>Applications by states and territories</w:t>
      </w:r>
      <w:bookmarkEnd w:id="24"/>
      <w:r>
        <w:t xml:space="preserve"> </w:t>
      </w:r>
    </w:p>
    <w:p w14:paraId="4130F659" w14:textId="3DA451BD" w:rsidR="003256F5" w:rsidRDefault="003256F5" w:rsidP="00651510">
      <w:pPr>
        <w:pStyle w:val="Paragraphtext"/>
        <w:spacing w:before="120"/>
        <w:jc w:val="both"/>
        <w:rPr>
          <w:sz w:val="22"/>
          <w:szCs w:val="22"/>
        </w:rPr>
      </w:pPr>
      <w:r w:rsidRPr="00B95348">
        <w:rPr>
          <w:sz w:val="22"/>
          <w:szCs w:val="22"/>
        </w:rPr>
        <w:t xml:space="preserve">Applications were received from </w:t>
      </w:r>
      <w:r w:rsidR="00A65975" w:rsidRPr="00B95348">
        <w:rPr>
          <w:sz w:val="22"/>
          <w:szCs w:val="22"/>
        </w:rPr>
        <w:t xml:space="preserve">eligible organisations </w:t>
      </w:r>
      <w:r w:rsidR="00A65975">
        <w:rPr>
          <w:sz w:val="22"/>
          <w:szCs w:val="22"/>
        </w:rPr>
        <w:t xml:space="preserve">from </w:t>
      </w:r>
      <w:r w:rsidRPr="00B95348">
        <w:rPr>
          <w:sz w:val="22"/>
          <w:szCs w:val="22"/>
        </w:rPr>
        <w:t xml:space="preserve">all states and territories. The </w:t>
      </w:r>
      <w:r w:rsidR="0045634F" w:rsidRPr="00B95348">
        <w:rPr>
          <w:sz w:val="22"/>
          <w:szCs w:val="22"/>
        </w:rPr>
        <w:t>highest proportion</w:t>
      </w:r>
      <w:r w:rsidRPr="00B95348">
        <w:rPr>
          <w:sz w:val="22"/>
          <w:szCs w:val="22"/>
        </w:rPr>
        <w:t xml:space="preserve"> of grants was awarded to researchers from Queensland</w:t>
      </w:r>
      <w:r w:rsidR="00FB608E" w:rsidRPr="00B95348">
        <w:rPr>
          <w:sz w:val="22"/>
          <w:szCs w:val="22"/>
        </w:rPr>
        <w:t>;</w:t>
      </w:r>
      <w:r w:rsidRPr="00B95348">
        <w:rPr>
          <w:sz w:val="22"/>
          <w:szCs w:val="22"/>
        </w:rPr>
        <w:t xml:space="preserve"> however</w:t>
      </w:r>
      <w:r w:rsidR="00FB608E" w:rsidRPr="00B95348">
        <w:rPr>
          <w:sz w:val="22"/>
          <w:szCs w:val="22"/>
        </w:rPr>
        <w:t>,</w:t>
      </w:r>
      <w:r w:rsidRPr="00B95348">
        <w:rPr>
          <w:sz w:val="22"/>
          <w:szCs w:val="22"/>
        </w:rPr>
        <w:t xml:space="preserve"> the </w:t>
      </w:r>
      <w:r w:rsidR="0045634F" w:rsidRPr="00B95348">
        <w:rPr>
          <w:sz w:val="22"/>
          <w:szCs w:val="22"/>
        </w:rPr>
        <w:t>highest proportion</w:t>
      </w:r>
      <w:r w:rsidRPr="00B95348">
        <w:rPr>
          <w:sz w:val="22"/>
          <w:szCs w:val="22"/>
        </w:rPr>
        <w:t xml:space="preserve"> of funding was awarded to researchers from </w:t>
      </w:r>
      <w:r w:rsidR="0047388F" w:rsidRPr="00B95348">
        <w:rPr>
          <w:sz w:val="22"/>
          <w:szCs w:val="22"/>
        </w:rPr>
        <w:t>Victoria</w:t>
      </w:r>
      <w:r w:rsidR="00FB608E" w:rsidRPr="00B95348">
        <w:rPr>
          <w:sz w:val="22"/>
          <w:szCs w:val="22"/>
        </w:rPr>
        <w:t xml:space="preserve"> (see Table </w:t>
      </w:r>
      <w:r w:rsidR="0047388F" w:rsidRPr="00B95348">
        <w:rPr>
          <w:sz w:val="22"/>
          <w:szCs w:val="22"/>
        </w:rPr>
        <w:t>1</w:t>
      </w:r>
      <w:r w:rsidR="001A2FB0" w:rsidRPr="00B95348">
        <w:rPr>
          <w:sz w:val="22"/>
          <w:szCs w:val="22"/>
        </w:rPr>
        <w:t>3</w:t>
      </w:r>
      <w:r w:rsidR="00FB608E" w:rsidRPr="00B95348">
        <w:rPr>
          <w:sz w:val="22"/>
          <w:szCs w:val="22"/>
        </w:rPr>
        <w:t>)</w:t>
      </w:r>
      <w:r w:rsidR="0047388F" w:rsidRPr="00B95348">
        <w:rPr>
          <w:sz w:val="22"/>
          <w:szCs w:val="22"/>
        </w:rPr>
        <w:t>.</w:t>
      </w:r>
    </w:p>
    <w:p w14:paraId="7124ABC7" w14:textId="77777777" w:rsidR="00980997" w:rsidRPr="00503F26" w:rsidRDefault="00980997" w:rsidP="00503F26">
      <w:pPr>
        <w:pStyle w:val="Paragraphtext"/>
        <w:spacing w:before="120"/>
        <w:rPr>
          <w:sz w:val="22"/>
          <w:szCs w:val="22"/>
        </w:rPr>
      </w:pPr>
    </w:p>
    <w:p w14:paraId="31DF6A1D" w14:textId="13B4EDC2" w:rsidR="009D0536" w:rsidRPr="007D547A" w:rsidRDefault="009D0536" w:rsidP="00B95348">
      <w:pPr>
        <w:pStyle w:val="FigureTitle"/>
      </w:pPr>
      <w:r w:rsidRPr="007D547A">
        <w:t xml:space="preserve">Table </w:t>
      </w:r>
      <w:r w:rsidR="00871070" w:rsidRPr="007D547A">
        <w:t>1</w:t>
      </w:r>
      <w:r w:rsidR="001A2FB0">
        <w:t>3</w:t>
      </w:r>
      <w:r w:rsidR="00771600" w:rsidRPr="007D547A">
        <w:t xml:space="preserve"> </w:t>
      </w:r>
      <w:r w:rsidRPr="007D547A">
        <w:t>- Applications and grants by states and territories</w:t>
      </w:r>
    </w:p>
    <w:tbl>
      <w:tblPr>
        <w:tblStyle w:val="MRFF"/>
        <w:tblW w:w="9819" w:type="dxa"/>
        <w:tblLook w:val="04A0" w:firstRow="1" w:lastRow="0" w:firstColumn="1" w:lastColumn="0" w:noHBand="0" w:noVBand="1"/>
      </w:tblPr>
      <w:tblGrid>
        <w:gridCol w:w="883"/>
        <w:gridCol w:w="1223"/>
        <w:gridCol w:w="1050"/>
        <w:gridCol w:w="850"/>
        <w:gridCol w:w="1276"/>
        <w:gridCol w:w="1701"/>
        <w:gridCol w:w="1597"/>
        <w:gridCol w:w="1276"/>
      </w:tblGrid>
      <w:tr w:rsidR="00C83F49" w:rsidRPr="007D547A" w14:paraId="59D1A33B" w14:textId="77777777" w:rsidTr="00192489">
        <w:trPr>
          <w:cnfStyle w:val="100000000000" w:firstRow="1" w:lastRow="0" w:firstColumn="0" w:lastColumn="0" w:oddVBand="0" w:evenVBand="0" w:oddHBand="0" w:evenHBand="0" w:firstRowFirstColumn="0" w:firstRowLastColumn="0" w:lastRowFirstColumn="0" w:lastRowLastColumn="0"/>
          <w:trHeight w:val="290"/>
        </w:trPr>
        <w:tc>
          <w:tcPr>
            <w:tcW w:w="846" w:type="dxa"/>
            <w:tcBorders>
              <w:top w:val="single" w:sz="4" w:space="0" w:color="000000"/>
              <w:bottom w:val="single" w:sz="4" w:space="0" w:color="000000"/>
            </w:tcBorders>
            <w:noWrap/>
            <w:hideMark/>
          </w:tcPr>
          <w:p w14:paraId="0CE4F031" w14:textId="675D0C9D"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State</w:t>
            </w:r>
            <w:r w:rsidR="00AB421A">
              <w:rPr>
                <w:rFonts w:cs="Arial"/>
                <w:bCs/>
                <w:color w:val="FFFFFF"/>
                <w:sz w:val="18"/>
                <w:szCs w:val="18"/>
                <w:lang w:eastAsia="en-AU"/>
              </w:rPr>
              <w:t xml:space="preserve"> / Territory</w:t>
            </w:r>
          </w:p>
        </w:tc>
        <w:tc>
          <w:tcPr>
            <w:tcW w:w="1223" w:type="dxa"/>
            <w:tcBorders>
              <w:top w:val="single" w:sz="4" w:space="0" w:color="000000"/>
              <w:bottom w:val="single" w:sz="4" w:space="0" w:color="000000"/>
            </w:tcBorders>
            <w:noWrap/>
            <w:hideMark/>
          </w:tcPr>
          <w:p w14:paraId="45DF411F" w14:textId="77777777"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Applications</w:t>
            </w:r>
          </w:p>
        </w:tc>
        <w:tc>
          <w:tcPr>
            <w:tcW w:w="1050" w:type="dxa"/>
            <w:tcBorders>
              <w:top w:val="single" w:sz="4" w:space="0" w:color="000000"/>
              <w:bottom w:val="single" w:sz="4" w:space="0" w:color="000000"/>
            </w:tcBorders>
            <w:noWrap/>
            <w:hideMark/>
          </w:tcPr>
          <w:p w14:paraId="20D21A61" w14:textId="79269B31"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Grants</w:t>
            </w:r>
            <w:r w:rsidR="002D77AD" w:rsidRPr="00B95348">
              <w:rPr>
                <w:rFonts w:cs="Arial"/>
                <w:bCs/>
                <w:color w:val="FFFFFF"/>
                <w:sz w:val="18"/>
                <w:szCs w:val="18"/>
                <w:lang w:eastAsia="en-AU"/>
              </w:rPr>
              <w:t xml:space="preserve"> awarded</w:t>
            </w:r>
          </w:p>
        </w:tc>
        <w:tc>
          <w:tcPr>
            <w:tcW w:w="850" w:type="dxa"/>
            <w:tcBorders>
              <w:top w:val="single" w:sz="4" w:space="0" w:color="000000"/>
              <w:bottom w:val="single" w:sz="4" w:space="0" w:color="000000"/>
            </w:tcBorders>
            <w:noWrap/>
            <w:hideMark/>
          </w:tcPr>
          <w:p w14:paraId="374AC618" w14:textId="77777777"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Funded rate</w:t>
            </w:r>
          </w:p>
        </w:tc>
        <w:tc>
          <w:tcPr>
            <w:tcW w:w="1276" w:type="dxa"/>
            <w:tcBorders>
              <w:top w:val="single" w:sz="4" w:space="0" w:color="000000"/>
              <w:bottom w:val="single" w:sz="4" w:space="0" w:color="000000"/>
            </w:tcBorders>
            <w:noWrap/>
            <w:hideMark/>
          </w:tcPr>
          <w:p w14:paraId="4A9E4BCD" w14:textId="7AADAD88"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 xml:space="preserve">Total </w:t>
            </w:r>
            <w:r w:rsidR="00D36779">
              <w:rPr>
                <w:rFonts w:cs="Arial"/>
                <w:bCs/>
                <w:color w:val="FFFFFF"/>
                <w:sz w:val="18"/>
                <w:szCs w:val="18"/>
                <w:lang w:eastAsia="en-AU"/>
              </w:rPr>
              <w:t>amount</w:t>
            </w:r>
          </w:p>
        </w:tc>
        <w:tc>
          <w:tcPr>
            <w:tcW w:w="1701" w:type="dxa"/>
            <w:tcBorders>
              <w:top w:val="single" w:sz="4" w:space="0" w:color="000000"/>
              <w:bottom w:val="single" w:sz="4" w:space="0" w:color="000000"/>
            </w:tcBorders>
            <w:noWrap/>
            <w:hideMark/>
          </w:tcPr>
          <w:p w14:paraId="35CEE372" w14:textId="77777777"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Proportion of grants awarded</w:t>
            </w:r>
          </w:p>
        </w:tc>
        <w:tc>
          <w:tcPr>
            <w:tcW w:w="1597" w:type="dxa"/>
            <w:tcBorders>
              <w:top w:val="single" w:sz="4" w:space="0" w:color="000000"/>
              <w:bottom w:val="single" w:sz="4" w:space="0" w:color="000000"/>
            </w:tcBorders>
            <w:noWrap/>
            <w:hideMark/>
          </w:tcPr>
          <w:p w14:paraId="5CF85C70" w14:textId="77777777"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Proportion of $ awarded</w:t>
            </w:r>
          </w:p>
        </w:tc>
        <w:tc>
          <w:tcPr>
            <w:tcW w:w="1276" w:type="dxa"/>
            <w:tcBorders>
              <w:top w:val="single" w:sz="4" w:space="0" w:color="000000"/>
              <w:bottom w:val="single" w:sz="4" w:space="0" w:color="000000"/>
            </w:tcBorders>
            <w:noWrap/>
            <w:hideMark/>
          </w:tcPr>
          <w:p w14:paraId="3EFF0E3A" w14:textId="6D8E6CD5" w:rsidR="003256F5" w:rsidRPr="00B95348" w:rsidRDefault="003256F5" w:rsidP="00690414">
            <w:pPr>
              <w:rPr>
                <w:rFonts w:cs="Arial"/>
                <w:b w:val="0"/>
                <w:bCs/>
                <w:color w:val="FFFFFF"/>
                <w:sz w:val="18"/>
                <w:szCs w:val="18"/>
                <w:lang w:eastAsia="en-AU"/>
              </w:rPr>
            </w:pPr>
            <w:r w:rsidRPr="00B95348">
              <w:rPr>
                <w:rFonts w:cs="Arial"/>
                <w:bCs/>
                <w:color w:val="FFFFFF"/>
                <w:sz w:val="18"/>
                <w:szCs w:val="18"/>
                <w:lang w:eastAsia="en-AU"/>
              </w:rPr>
              <w:t xml:space="preserve">Mean </w:t>
            </w:r>
            <w:r w:rsidR="00276C05">
              <w:rPr>
                <w:rFonts w:cs="Arial"/>
                <w:bCs/>
                <w:color w:val="FFFFFF"/>
                <w:sz w:val="18"/>
                <w:szCs w:val="18"/>
                <w:lang w:eastAsia="en-AU"/>
              </w:rPr>
              <w:t>amount</w:t>
            </w:r>
          </w:p>
        </w:tc>
      </w:tr>
      <w:tr w:rsidR="00C83F49" w:rsidRPr="007D547A" w14:paraId="10DBBD5C" w14:textId="77777777" w:rsidTr="00192489">
        <w:trPr>
          <w:trHeight w:val="290"/>
        </w:trPr>
        <w:tc>
          <w:tcPr>
            <w:tcW w:w="846" w:type="dxa"/>
            <w:tcBorders>
              <w:top w:val="single" w:sz="4" w:space="0" w:color="000000"/>
            </w:tcBorders>
            <w:noWrap/>
            <w:hideMark/>
          </w:tcPr>
          <w:p w14:paraId="5A6FF84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ACT</w:t>
            </w:r>
          </w:p>
        </w:tc>
        <w:tc>
          <w:tcPr>
            <w:tcW w:w="1223" w:type="dxa"/>
            <w:tcBorders>
              <w:top w:val="single" w:sz="4" w:space="0" w:color="000000"/>
            </w:tcBorders>
            <w:noWrap/>
            <w:hideMark/>
          </w:tcPr>
          <w:p w14:paraId="1495BB6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w:t>
            </w:r>
          </w:p>
        </w:tc>
        <w:tc>
          <w:tcPr>
            <w:tcW w:w="1050" w:type="dxa"/>
            <w:tcBorders>
              <w:top w:val="single" w:sz="4" w:space="0" w:color="000000"/>
            </w:tcBorders>
            <w:noWrap/>
            <w:hideMark/>
          </w:tcPr>
          <w:p w14:paraId="4F441E70"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w:t>
            </w:r>
          </w:p>
        </w:tc>
        <w:tc>
          <w:tcPr>
            <w:tcW w:w="850" w:type="dxa"/>
            <w:tcBorders>
              <w:top w:val="single" w:sz="4" w:space="0" w:color="000000"/>
            </w:tcBorders>
            <w:noWrap/>
            <w:hideMark/>
          </w:tcPr>
          <w:p w14:paraId="0350805D" w14:textId="42893940"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25</w:t>
            </w:r>
            <w:r w:rsidR="00AB421A">
              <w:rPr>
                <w:rFonts w:cs="Arial"/>
                <w:color w:val="000000"/>
                <w:sz w:val="16"/>
                <w:szCs w:val="16"/>
                <w:lang w:eastAsia="en-AU"/>
              </w:rPr>
              <w:t>.0%</w:t>
            </w:r>
          </w:p>
        </w:tc>
        <w:tc>
          <w:tcPr>
            <w:tcW w:w="1276" w:type="dxa"/>
            <w:tcBorders>
              <w:top w:val="single" w:sz="4" w:space="0" w:color="000000"/>
            </w:tcBorders>
            <w:noWrap/>
            <w:hideMark/>
          </w:tcPr>
          <w:p w14:paraId="425922D0"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$1,553,569</w:t>
            </w:r>
          </w:p>
        </w:tc>
        <w:tc>
          <w:tcPr>
            <w:tcW w:w="1701" w:type="dxa"/>
            <w:tcBorders>
              <w:top w:val="single" w:sz="4" w:space="0" w:color="000000"/>
            </w:tcBorders>
            <w:noWrap/>
            <w:hideMark/>
          </w:tcPr>
          <w:p w14:paraId="709953CA" w14:textId="6255C2C6"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w:t>
            </w:r>
            <w:r w:rsidR="00431BCE">
              <w:rPr>
                <w:rFonts w:cs="Arial"/>
                <w:color w:val="000000"/>
                <w:sz w:val="16"/>
                <w:szCs w:val="16"/>
                <w:lang w:eastAsia="en-AU"/>
              </w:rPr>
              <w:t>4%</w:t>
            </w:r>
          </w:p>
        </w:tc>
        <w:tc>
          <w:tcPr>
            <w:tcW w:w="1597" w:type="dxa"/>
            <w:tcBorders>
              <w:top w:val="single" w:sz="4" w:space="0" w:color="000000"/>
            </w:tcBorders>
            <w:noWrap/>
            <w:hideMark/>
          </w:tcPr>
          <w:p w14:paraId="45304F23" w14:textId="0F1E2310"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3.6</w:t>
            </w:r>
            <w:r w:rsidR="00431BCE">
              <w:rPr>
                <w:rFonts w:cs="Arial"/>
                <w:color w:val="000000"/>
                <w:sz w:val="16"/>
                <w:szCs w:val="16"/>
                <w:lang w:eastAsia="en-AU"/>
              </w:rPr>
              <w:t>%</w:t>
            </w:r>
          </w:p>
        </w:tc>
        <w:tc>
          <w:tcPr>
            <w:tcW w:w="1276" w:type="dxa"/>
            <w:tcBorders>
              <w:top w:val="single" w:sz="4" w:space="0" w:color="000000"/>
            </w:tcBorders>
            <w:noWrap/>
            <w:hideMark/>
          </w:tcPr>
          <w:p w14:paraId="6958DB23"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$1,553,569</w:t>
            </w:r>
          </w:p>
        </w:tc>
      </w:tr>
      <w:tr w:rsidR="00C83F49" w:rsidRPr="007D547A" w14:paraId="134EE35C" w14:textId="77777777" w:rsidTr="00B95348">
        <w:trPr>
          <w:trHeight w:val="290"/>
        </w:trPr>
        <w:tc>
          <w:tcPr>
            <w:tcW w:w="846" w:type="dxa"/>
            <w:noWrap/>
            <w:hideMark/>
          </w:tcPr>
          <w:p w14:paraId="58FC3E9F"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NSW</w:t>
            </w:r>
          </w:p>
        </w:tc>
        <w:tc>
          <w:tcPr>
            <w:tcW w:w="1223" w:type="dxa"/>
            <w:noWrap/>
            <w:hideMark/>
          </w:tcPr>
          <w:p w14:paraId="5FFB4F8C"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149</w:t>
            </w:r>
          </w:p>
        </w:tc>
        <w:tc>
          <w:tcPr>
            <w:tcW w:w="1050" w:type="dxa"/>
            <w:noWrap/>
            <w:hideMark/>
          </w:tcPr>
          <w:p w14:paraId="47279C61"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5</w:t>
            </w:r>
          </w:p>
        </w:tc>
        <w:tc>
          <w:tcPr>
            <w:tcW w:w="850" w:type="dxa"/>
            <w:noWrap/>
            <w:hideMark/>
          </w:tcPr>
          <w:p w14:paraId="55A70C01" w14:textId="1233DD54"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w:t>
            </w:r>
            <w:r w:rsidR="00AB421A">
              <w:rPr>
                <w:rFonts w:cs="Arial"/>
                <w:color w:val="000000"/>
                <w:sz w:val="16"/>
                <w:szCs w:val="16"/>
                <w:lang w:eastAsia="en-AU"/>
              </w:rPr>
              <w:t>4%</w:t>
            </w:r>
          </w:p>
        </w:tc>
        <w:tc>
          <w:tcPr>
            <w:tcW w:w="1276" w:type="dxa"/>
            <w:noWrap/>
            <w:hideMark/>
          </w:tcPr>
          <w:p w14:paraId="0484693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$7,796,091</w:t>
            </w:r>
          </w:p>
        </w:tc>
        <w:tc>
          <w:tcPr>
            <w:tcW w:w="1701" w:type="dxa"/>
            <w:noWrap/>
            <w:hideMark/>
          </w:tcPr>
          <w:p w14:paraId="66C6320F" w14:textId="6ABEA20D"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21.7</w:t>
            </w:r>
            <w:r w:rsidR="00431BCE">
              <w:rPr>
                <w:rFonts w:cs="Arial"/>
                <w:color w:val="000000"/>
                <w:sz w:val="16"/>
                <w:szCs w:val="16"/>
                <w:lang w:eastAsia="en-AU"/>
              </w:rPr>
              <w:t>%</w:t>
            </w:r>
          </w:p>
        </w:tc>
        <w:tc>
          <w:tcPr>
            <w:tcW w:w="1597" w:type="dxa"/>
            <w:noWrap/>
            <w:hideMark/>
          </w:tcPr>
          <w:p w14:paraId="5C7B4EAD" w14:textId="2E5BB1F4"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18.2</w:t>
            </w:r>
            <w:r w:rsidR="00431BCE">
              <w:rPr>
                <w:rFonts w:cs="Arial"/>
                <w:color w:val="000000"/>
                <w:sz w:val="16"/>
                <w:szCs w:val="16"/>
                <w:lang w:eastAsia="en-AU"/>
              </w:rPr>
              <w:t>%</w:t>
            </w:r>
          </w:p>
        </w:tc>
        <w:tc>
          <w:tcPr>
            <w:tcW w:w="1276" w:type="dxa"/>
            <w:noWrap/>
            <w:hideMark/>
          </w:tcPr>
          <w:p w14:paraId="01862BE7"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$1,559,218</w:t>
            </w:r>
          </w:p>
        </w:tc>
      </w:tr>
      <w:tr w:rsidR="00C83F49" w:rsidRPr="007D547A" w14:paraId="25CEACF0" w14:textId="77777777" w:rsidTr="00B95348">
        <w:trPr>
          <w:trHeight w:val="290"/>
        </w:trPr>
        <w:tc>
          <w:tcPr>
            <w:tcW w:w="846" w:type="dxa"/>
            <w:noWrap/>
            <w:hideMark/>
          </w:tcPr>
          <w:p w14:paraId="5474FAD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NT</w:t>
            </w:r>
          </w:p>
        </w:tc>
        <w:tc>
          <w:tcPr>
            <w:tcW w:w="1223" w:type="dxa"/>
            <w:noWrap/>
            <w:hideMark/>
          </w:tcPr>
          <w:p w14:paraId="26C8EFB4"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w:t>
            </w:r>
          </w:p>
        </w:tc>
        <w:tc>
          <w:tcPr>
            <w:tcW w:w="1050" w:type="dxa"/>
            <w:noWrap/>
            <w:hideMark/>
          </w:tcPr>
          <w:p w14:paraId="05A08E7B"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850" w:type="dxa"/>
            <w:noWrap/>
            <w:hideMark/>
          </w:tcPr>
          <w:p w14:paraId="7B86C019"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276" w:type="dxa"/>
            <w:noWrap/>
            <w:hideMark/>
          </w:tcPr>
          <w:p w14:paraId="7B8480DB"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701" w:type="dxa"/>
            <w:noWrap/>
            <w:hideMark/>
          </w:tcPr>
          <w:p w14:paraId="2550427A"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597" w:type="dxa"/>
            <w:noWrap/>
            <w:hideMark/>
          </w:tcPr>
          <w:p w14:paraId="131311F9"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276" w:type="dxa"/>
            <w:noWrap/>
            <w:hideMark/>
          </w:tcPr>
          <w:p w14:paraId="5DA53427" w14:textId="77777777" w:rsidR="003256F5" w:rsidRPr="007D547A" w:rsidRDefault="003256F5" w:rsidP="00690414">
            <w:pPr>
              <w:rPr>
                <w:rFonts w:cs="Arial"/>
                <w:color w:val="000000"/>
                <w:sz w:val="16"/>
                <w:szCs w:val="16"/>
                <w:lang w:eastAsia="en-AU"/>
              </w:rPr>
            </w:pPr>
          </w:p>
        </w:tc>
      </w:tr>
      <w:tr w:rsidR="00C83F49" w:rsidRPr="007D547A" w14:paraId="0F5F2D22" w14:textId="77777777" w:rsidTr="00B95348">
        <w:trPr>
          <w:trHeight w:val="290"/>
        </w:trPr>
        <w:tc>
          <w:tcPr>
            <w:tcW w:w="846" w:type="dxa"/>
            <w:noWrap/>
            <w:hideMark/>
          </w:tcPr>
          <w:p w14:paraId="04CD34D4"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QLD</w:t>
            </w:r>
          </w:p>
        </w:tc>
        <w:tc>
          <w:tcPr>
            <w:tcW w:w="1223" w:type="dxa"/>
            <w:noWrap/>
            <w:hideMark/>
          </w:tcPr>
          <w:p w14:paraId="4F7060FD"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77</w:t>
            </w:r>
          </w:p>
        </w:tc>
        <w:tc>
          <w:tcPr>
            <w:tcW w:w="1050" w:type="dxa"/>
            <w:noWrap/>
            <w:hideMark/>
          </w:tcPr>
          <w:p w14:paraId="254597B0"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7</w:t>
            </w:r>
          </w:p>
        </w:tc>
        <w:tc>
          <w:tcPr>
            <w:tcW w:w="850" w:type="dxa"/>
            <w:noWrap/>
            <w:hideMark/>
          </w:tcPr>
          <w:p w14:paraId="79D9033D" w14:textId="0EC6A055"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9.</w:t>
            </w:r>
            <w:r w:rsidR="00AB421A">
              <w:rPr>
                <w:rFonts w:cs="Arial"/>
                <w:color w:val="000000"/>
                <w:sz w:val="16"/>
                <w:szCs w:val="16"/>
                <w:lang w:eastAsia="en-AU"/>
              </w:rPr>
              <w:t>1%</w:t>
            </w:r>
          </w:p>
        </w:tc>
        <w:tc>
          <w:tcPr>
            <w:tcW w:w="1276" w:type="dxa"/>
            <w:noWrap/>
            <w:hideMark/>
          </w:tcPr>
          <w:p w14:paraId="155E463B"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$8,727,368</w:t>
            </w:r>
          </w:p>
        </w:tc>
        <w:tc>
          <w:tcPr>
            <w:tcW w:w="1701" w:type="dxa"/>
            <w:noWrap/>
            <w:hideMark/>
          </w:tcPr>
          <w:p w14:paraId="5CB8FDB4" w14:textId="75018350"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30.4</w:t>
            </w:r>
            <w:r w:rsidR="00431BCE">
              <w:rPr>
                <w:rFonts w:cs="Arial"/>
                <w:color w:val="000000"/>
                <w:sz w:val="16"/>
                <w:szCs w:val="16"/>
                <w:lang w:eastAsia="en-AU"/>
              </w:rPr>
              <w:t>%</w:t>
            </w:r>
          </w:p>
        </w:tc>
        <w:tc>
          <w:tcPr>
            <w:tcW w:w="1597" w:type="dxa"/>
            <w:noWrap/>
            <w:hideMark/>
          </w:tcPr>
          <w:p w14:paraId="3FE9CC0A" w14:textId="62AB1A59"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20.</w:t>
            </w:r>
            <w:r w:rsidR="00431BCE">
              <w:rPr>
                <w:rFonts w:cs="Arial"/>
                <w:color w:val="000000"/>
                <w:sz w:val="16"/>
                <w:szCs w:val="16"/>
                <w:lang w:eastAsia="en-AU"/>
              </w:rPr>
              <w:t>4 %</w:t>
            </w:r>
          </w:p>
        </w:tc>
        <w:tc>
          <w:tcPr>
            <w:tcW w:w="1276" w:type="dxa"/>
            <w:noWrap/>
            <w:hideMark/>
          </w:tcPr>
          <w:p w14:paraId="074579D2"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$1,246,767</w:t>
            </w:r>
          </w:p>
        </w:tc>
      </w:tr>
      <w:tr w:rsidR="00C83F49" w:rsidRPr="007D547A" w14:paraId="2F888179" w14:textId="77777777" w:rsidTr="00B95348">
        <w:trPr>
          <w:trHeight w:val="290"/>
        </w:trPr>
        <w:tc>
          <w:tcPr>
            <w:tcW w:w="846" w:type="dxa"/>
            <w:noWrap/>
            <w:hideMark/>
          </w:tcPr>
          <w:p w14:paraId="51531B89"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SA</w:t>
            </w:r>
          </w:p>
        </w:tc>
        <w:tc>
          <w:tcPr>
            <w:tcW w:w="1223" w:type="dxa"/>
            <w:noWrap/>
            <w:hideMark/>
          </w:tcPr>
          <w:p w14:paraId="7C543AB8"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26</w:t>
            </w:r>
          </w:p>
        </w:tc>
        <w:tc>
          <w:tcPr>
            <w:tcW w:w="1050" w:type="dxa"/>
            <w:noWrap/>
            <w:hideMark/>
          </w:tcPr>
          <w:p w14:paraId="465DB0E2"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w:t>
            </w:r>
          </w:p>
        </w:tc>
        <w:tc>
          <w:tcPr>
            <w:tcW w:w="850" w:type="dxa"/>
            <w:noWrap/>
            <w:hideMark/>
          </w:tcPr>
          <w:p w14:paraId="1357BAAD" w14:textId="591EA218"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w:t>
            </w:r>
            <w:r w:rsidR="00AB421A">
              <w:rPr>
                <w:rFonts w:cs="Arial"/>
                <w:color w:val="000000"/>
                <w:sz w:val="16"/>
                <w:szCs w:val="16"/>
                <w:lang w:eastAsia="en-AU"/>
              </w:rPr>
              <w:t>9%</w:t>
            </w:r>
          </w:p>
        </w:tc>
        <w:tc>
          <w:tcPr>
            <w:tcW w:w="1276" w:type="dxa"/>
            <w:noWrap/>
            <w:hideMark/>
          </w:tcPr>
          <w:p w14:paraId="27A139E5"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$758,438</w:t>
            </w:r>
          </w:p>
        </w:tc>
        <w:tc>
          <w:tcPr>
            <w:tcW w:w="1701" w:type="dxa"/>
            <w:noWrap/>
            <w:hideMark/>
          </w:tcPr>
          <w:p w14:paraId="6F36BEC2" w14:textId="5929F38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w:t>
            </w:r>
            <w:r w:rsidR="00431BCE">
              <w:rPr>
                <w:rFonts w:cs="Arial"/>
                <w:color w:val="000000"/>
                <w:sz w:val="16"/>
                <w:szCs w:val="16"/>
                <w:lang w:eastAsia="en-AU"/>
              </w:rPr>
              <w:t>4%</w:t>
            </w:r>
          </w:p>
        </w:tc>
        <w:tc>
          <w:tcPr>
            <w:tcW w:w="1597" w:type="dxa"/>
            <w:noWrap/>
            <w:hideMark/>
          </w:tcPr>
          <w:p w14:paraId="22411E00" w14:textId="2A759141"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w:t>
            </w:r>
            <w:r w:rsidR="00431BCE">
              <w:rPr>
                <w:rFonts w:cs="Arial"/>
                <w:color w:val="000000"/>
                <w:sz w:val="16"/>
                <w:szCs w:val="16"/>
                <w:lang w:eastAsia="en-AU"/>
              </w:rPr>
              <w:t>8%</w:t>
            </w:r>
          </w:p>
        </w:tc>
        <w:tc>
          <w:tcPr>
            <w:tcW w:w="1276" w:type="dxa"/>
            <w:noWrap/>
            <w:hideMark/>
          </w:tcPr>
          <w:p w14:paraId="3728B3DA"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$758,438</w:t>
            </w:r>
          </w:p>
        </w:tc>
      </w:tr>
      <w:tr w:rsidR="00C83F49" w:rsidRPr="007D547A" w14:paraId="50451CC6" w14:textId="77777777" w:rsidTr="00B95348">
        <w:trPr>
          <w:trHeight w:val="290"/>
        </w:trPr>
        <w:tc>
          <w:tcPr>
            <w:tcW w:w="846" w:type="dxa"/>
            <w:noWrap/>
            <w:hideMark/>
          </w:tcPr>
          <w:p w14:paraId="22DBB92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TAS</w:t>
            </w:r>
          </w:p>
        </w:tc>
        <w:tc>
          <w:tcPr>
            <w:tcW w:w="1223" w:type="dxa"/>
            <w:noWrap/>
            <w:hideMark/>
          </w:tcPr>
          <w:p w14:paraId="625BD25B"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w:t>
            </w:r>
          </w:p>
        </w:tc>
        <w:tc>
          <w:tcPr>
            <w:tcW w:w="1050" w:type="dxa"/>
            <w:noWrap/>
            <w:hideMark/>
          </w:tcPr>
          <w:p w14:paraId="77A1D32F"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850" w:type="dxa"/>
            <w:noWrap/>
            <w:hideMark/>
          </w:tcPr>
          <w:p w14:paraId="162FA205"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276" w:type="dxa"/>
            <w:noWrap/>
            <w:hideMark/>
          </w:tcPr>
          <w:p w14:paraId="3C675BA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701" w:type="dxa"/>
            <w:noWrap/>
            <w:hideMark/>
          </w:tcPr>
          <w:p w14:paraId="6434EF16"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597" w:type="dxa"/>
            <w:noWrap/>
            <w:hideMark/>
          </w:tcPr>
          <w:p w14:paraId="5DC506C4"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0</w:t>
            </w:r>
          </w:p>
        </w:tc>
        <w:tc>
          <w:tcPr>
            <w:tcW w:w="1276" w:type="dxa"/>
            <w:noWrap/>
            <w:hideMark/>
          </w:tcPr>
          <w:p w14:paraId="6AA17CFE" w14:textId="77777777" w:rsidR="003256F5" w:rsidRPr="007D547A" w:rsidRDefault="003256F5" w:rsidP="00690414">
            <w:pPr>
              <w:rPr>
                <w:rFonts w:cs="Arial"/>
                <w:color w:val="000000"/>
                <w:sz w:val="16"/>
                <w:szCs w:val="16"/>
                <w:lang w:eastAsia="en-AU"/>
              </w:rPr>
            </w:pPr>
          </w:p>
        </w:tc>
      </w:tr>
      <w:tr w:rsidR="00C83F49" w:rsidRPr="007D547A" w14:paraId="36F2DE26" w14:textId="77777777" w:rsidTr="00B95348">
        <w:trPr>
          <w:trHeight w:val="290"/>
        </w:trPr>
        <w:tc>
          <w:tcPr>
            <w:tcW w:w="846" w:type="dxa"/>
            <w:noWrap/>
            <w:hideMark/>
          </w:tcPr>
          <w:p w14:paraId="066DC57B"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VIC</w:t>
            </w:r>
          </w:p>
        </w:tc>
        <w:tc>
          <w:tcPr>
            <w:tcW w:w="1223" w:type="dxa"/>
            <w:noWrap/>
            <w:hideMark/>
          </w:tcPr>
          <w:p w14:paraId="3C3DA23A"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144</w:t>
            </w:r>
          </w:p>
        </w:tc>
        <w:tc>
          <w:tcPr>
            <w:tcW w:w="1050" w:type="dxa"/>
            <w:noWrap/>
            <w:hideMark/>
          </w:tcPr>
          <w:p w14:paraId="23855ACC"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6</w:t>
            </w:r>
          </w:p>
        </w:tc>
        <w:tc>
          <w:tcPr>
            <w:tcW w:w="850" w:type="dxa"/>
            <w:noWrap/>
            <w:hideMark/>
          </w:tcPr>
          <w:p w14:paraId="4DF901C6" w14:textId="7B5224D4"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w:t>
            </w:r>
            <w:r w:rsidR="00AB421A">
              <w:rPr>
                <w:rFonts w:cs="Arial"/>
                <w:color w:val="000000"/>
                <w:sz w:val="16"/>
                <w:szCs w:val="16"/>
                <w:lang w:eastAsia="en-AU"/>
              </w:rPr>
              <w:t>2%</w:t>
            </w:r>
          </w:p>
        </w:tc>
        <w:tc>
          <w:tcPr>
            <w:tcW w:w="1276" w:type="dxa"/>
            <w:noWrap/>
            <w:hideMark/>
          </w:tcPr>
          <w:p w14:paraId="64C5F593"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$13,352,738</w:t>
            </w:r>
          </w:p>
        </w:tc>
        <w:tc>
          <w:tcPr>
            <w:tcW w:w="1701" w:type="dxa"/>
            <w:noWrap/>
            <w:hideMark/>
          </w:tcPr>
          <w:p w14:paraId="196AF0C8" w14:textId="746F621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26.</w:t>
            </w:r>
            <w:r w:rsidR="00431BCE">
              <w:rPr>
                <w:rFonts w:cs="Arial"/>
                <w:color w:val="000000"/>
                <w:sz w:val="16"/>
                <w:szCs w:val="16"/>
                <w:lang w:eastAsia="en-AU"/>
              </w:rPr>
              <w:t>1%</w:t>
            </w:r>
          </w:p>
        </w:tc>
        <w:tc>
          <w:tcPr>
            <w:tcW w:w="1597" w:type="dxa"/>
            <w:noWrap/>
            <w:hideMark/>
          </w:tcPr>
          <w:p w14:paraId="36A3DD1B" w14:textId="74F7A133"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31.2</w:t>
            </w:r>
            <w:r w:rsidR="00431BCE">
              <w:rPr>
                <w:rFonts w:cs="Arial"/>
                <w:color w:val="000000"/>
                <w:sz w:val="16"/>
                <w:szCs w:val="16"/>
                <w:lang w:eastAsia="en-AU"/>
              </w:rPr>
              <w:t>%</w:t>
            </w:r>
          </w:p>
        </w:tc>
        <w:tc>
          <w:tcPr>
            <w:tcW w:w="1276" w:type="dxa"/>
            <w:noWrap/>
            <w:hideMark/>
          </w:tcPr>
          <w:p w14:paraId="47663458"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$2,225,456</w:t>
            </w:r>
          </w:p>
        </w:tc>
      </w:tr>
      <w:tr w:rsidR="00C83F49" w:rsidRPr="007D547A" w14:paraId="23A54B43" w14:textId="77777777" w:rsidTr="00B95348">
        <w:trPr>
          <w:trHeight w:val="290"/>
        </w:trPr>
        <w:tc>
          <w:tcPr>
            <w:tcW w:w="846" w:type="dxa"/>
            <w:noWrap/>
            <w:hideMark/>
          </w:tcPr>
          <w:p w14:paraId="1E412AE7"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WA</w:t>
            </w:r>
          </w:p>
        </w:tc>
        <w:tc>
          <w:tcPr>
            <w:tcW w:w="1223" w:type="dxa"/>
            <w:noWrap/>
            <w:hideMark/>
          </w:tcPr>
          <w:p w14:paraId="4517A441"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21</w:t>
            </w:r>
          </w:p>
        </w:tc>
        <w:tc>
          <w:tcPr>
            <w:tcW w:w="1050" w:type="dxa"/>
            <w:noWrap/>
            <w:hideMark/>
          </w:tcPr>
          <w:p w14:paraId="37051E44"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w:t>
            </w:r>
          </w:p>
        </w:tc>
        <w:tc>
          <w:tcPr>
            <w:tcW w:w="850" w:type="dxa"/>
            <w:noWrap/>
            <w:hideMark/>
          </w:tcPr>
          <w:p w14:paraId="5A66E993" w14:textId="7012FC4C"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14.</w:t>
            </w:r>
            <w:r w:rsidR="00AB421A">
              <w:rPr>
                <w:rFonts w:cs="Arial"/>
                <w:color w:val="000000"/>
                <w:sz w:val="16"/>
                <w:szCs w:val="16"/>
                <w:lang w:eastAsia="en-AU"/>
              </w:rPr>
              <w:t>3%</w:t>
            </w:r>
          </w:p>
        </w:tc>
        <w:tc>
          <w:tcPr>
            <w:tcW w:w="1276" w:type="dxa"/>
            <w:noWrap/>
            <w:hideMark/>
          </w:tcPr>
          <w:p w14:paraId="391B8232"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$10,611,797</w:t>
            </w:r>
          </w:p>
        </w:tc>
        <w:tc>
          <w:tcPr>
            <w:tcW w:w="1701" w:type="dxa"/>
            <w:noWrap/>
            <w:hideMark/>
          </w:tcPr>
          <w:p w14:paraId="6F5E912D" w14:textId="2365D7D6"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13.0</w:t>
            </w:r>
            <w:r w:rsidR="00431BCE">
              <w:rPr>
                <w:rFonts w:cs="Arial"/>
                <w:color w:val="000000"/>
                <w:sz w:val="16"/>
                <w:szCs w:val="16"/>
                <w:lang w:eastAsia="en-AU"/>
              </w:rPr>
              <w:t>%</w:t>
            </w:r>
          </w:p>
        </w:tc>
        <w:tc>
          <w:tcPr>
            <w:tcW w:w="1597" w:type="dxa"/>
            <w:noWrap/>
            <w:hideMark/>
          </w:tcPr>
          <w:p w14:paraId="19F46376" w14:textId="0718EA0C"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24.</w:t>
            </w:r>
            <w:r w:rsidR="00431BCE">
              <w:rPr>
                <w:rFonts w:cs="Arial"/>
                <w:color w:val="000000"/>
                <w:sz w:val="16"/>
                <w:szCs w:val="16"/>
                <w:lang w:eastAsia="en-AU"/>
              </w:rPr>
              <w:t>8%</w:t>
            </w:r>
          </w:p>
        </w:tc>
        <w:tc>
          <w:tcPr>
            <w:tcW w:w="1276" w:type="dxa"/>
            <w:noWrap/>
            <w:hideMark/>
          </w:tcPr>
          <w:p w14:paraId="4F985FF0"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$3,537,266</w:t>
            </w:r>
          </w:p>
        </w:tc>
      </w:tr>
      <w:tr w:rsidR="00C83F49" w:rsidRPr="007D547A" w14:paraId="0CD7F058" w14:textId="77777777" w:rsidTr="00B95348">
        <w:trPr>
          <w:trHeight w:val="290"/>
        </w:trPr>
        <w:tc>
          <w:tcPr>
            <w:tcW w:w="846" w:type="dxa"/>
            <w:noWrap/>
            <w:hideMark/>
          </w:tcPr>
          <w:p w14:paraId="17451159" w14:textId="61D793AB" w:rsidR="003256F5" w:rsidRPr="0086121C" w:rsidRDefault="00AB421A" w:rsidP="00690414">
            <w:pPr>
              <w:rPr>
                <w:rFonts w:cs="Arial"/>
                <w:color w:val="000000"/>
                <w:sz w:val="14"/>
                <w:szCs w:val="14"/>
                <w:lang w:eastAsia="en-AU"/>
              </w:rPr>
            </w:pPr>
            <w:r w:rsidRPr="0086121C">
              <w:rPr>
                <w:rFonts w:cs="Arial"/>
                <w:color w:val="000000"/>
                <w:sz w:val="14"/>
                <w:szCs w:val="14"/>
                <w:lang w:eastAsia="en-AU"/>
              </w:rPr>
              <w:t>All</w:t>
            </w:r>
            <w:r>
              <w:rPr>
                <w:rFonts w:cs="Arial"/>
                <w:color w:val="000000"/>
                <w:sz w:val="14"/>
                <w:szCs w:val="14"/>
                <w:lang w:eastAsia="en-AU"/>
              </w:rPr>
              <w:t xml:space="preserve"> states and territories</w:t>
            </w:r>
          </w:p>
        </w:tc>
        <w:tc>
          <w:tcPr>
            <w:tcW w:w="1223" w:type="dxa"/>
            <w:noWrap/>
            <w:hideMark/>
          </w:tcPr>
          <w:p w14:paraId="4FB74C29"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428</w:t>
            </w:r>
          </w:p>
        </w:tc>
        <w:tc>
          <w:tcPr>
            <w:tcW w:w="1050" w:type="dxa"/>
            <w:noWrap/>
            <w:hideMark/>
          </w:tcPr>
          <w:p w14:paraId="45F1B003"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23</w:t>
            </w:r>
          </w:p>
        </w:tc>
        <w:tc>
          <w:tcPr>
            <w:tcW w:w="850" w:type="dxa"/>
            <w:noWrap/>
            <w:hideMark/>
          </w:tcPr>
          <w:p w14:paraId="63FA4B3D" w14:textId="2648E1A3"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5.</w:t>
            </w:r>
            <w:r w:rsidR="00AB421A">
              <w:rPr>
                <w:rFonts w:cs="Arial"/>
                <w:color w:val="000000"/>
                <w:sz w:val="16"/>
                <w:szCs w:val="16"/>
                <w:lang w:eastAsia="en-AU"/>
              </w:rPr>
              <w:t>4%</w:t>
            </w:r>
          </w:p>
        </w:tc>
        <w:tc>
          <w:tcPr>
            <w:tcW w:w="1276" w:type="dxa"/>
            <w:noWrap/>
            <w:hideMark/>
          </w:tcPr>
          <w:p w14:paraId="14254F6F"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$42,800,000</w:t>
            </w:r>
          </w:p>
        </w:tc>
        <w:tc>
          <w:tcPr>
            <w:tcW w:w="1701" w:type="dxa"/>
            <w:noWrap/>
            <w:hideMark/>
          </w:tcPr>
          <w:p w14:paraId="76651ADB" w14:textId="29CEBE54"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100</w:t>
            </w:r>
            <w:r w:rsidR="00431BCE">
              <w:rPr>
                <w:rFonts w:cs="Arial"/>
                <w:color w:val="000000"/>
                <w:sz w:val="16"/>
                <w:szCs w:val="16"/>
                <w:lang w:eastAsia="en-AU"/>
              </w:rPr>
              <w:t>%</w:t>
            </w:r>
          </w:p>
        </w:tc>
        <w:tc>
          <w:tcPr>
            <w:tcW w:w="1597" w:type="dxa"/>
            <w:noWrap/>
            <w:hideMark/>
          </w:tcPr>
          <w:p w14:paraId="1FC432FB" w14:textId="7B685801"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100</w:t>
            </w:r>
            <w:r w:rsidR="00431BCE">
              <w:rPr>
                <w:rFonts w:cs="Arial"/>
                <w:color w:val="000000"/>
                <w:sz w:val="16"/>
                <w:szCs w:val="16"/>
                <w:lang w:eastAsia="en-AU"/>
              </w:rPr>
              <w:t>%</w:t>
            </w:r>
          </w:p>
        </w:tc>
        <w:tc>
          <w:tcPr>
            <w:tcW w:w="1276" w:type="dxa"/>
            <w:noWrap/>
            <w:hideMark/>
          </w:tcPr>
          <w:p w14:paraId="44E47E8E" w14:textId="77777777" w:rsidR="003256F5" w:rsidRPr="007D547A" w:rsidRDefault="003256F5" w:rsidP="00690414">
            <w:pPr>
              <w:rPr>
                <w:rFonts w:cs="Arial"/>
                <w:color w:val="000000"/>
                <w:sz w:val="16"/>
                <w:szCs w:val="16"/>
                <w:lang w:eastAsia="en-AU"/>
              </w:rPr>
            </w:pPr>
            <w:r w:rsidRPr="007D547A">
              <w:rPr>
                <w:rFonts w:cs="Arial"/>
                <w:color w:val="000000"/>
                <w:sz w:val="16"/>
                <w:szCs w:val="16"/>
                <w:lang w:eastAsia="en-AU"/>
              </w:rPr>
              <w:t>$1,860,870</w:t>
            </w:r>
          </w:p>
        </w:tc>
      </w:tr>
    </w:tbl>
    <w:p w14:paraId="55139CE5" w14:textId="77777777" w:rsidR="005128DD" w:rsidRDefault="005128DD" w:rsidP="0086121C">
      <w:pPr>
        <w:pStyle w:val="Paragraphtext"/>
      </w:pPr>
    </w:p>
    <w:p w14:paraId="26355ECE" w14:textId="77777777" w:rsidR="005128DD" w:rsidRDefault="005128DD">
      <w:pPr>
        <w:rPr>
          <w:rFonts w:cs="Arial"/>
          <w:b/>
          <w:bCs/>
          <w:color w:val="18233B"/>
          <w:kern w:val="28"/>
          <w:sz w:val="36"/>
          <w:szCs w:val="36"/>
        </w:rPr>
      </w:pPr>
      <w:r>
        <w:br w:type="page"/>
      </w:r>
    </w:p>
    <w:p w14:paraId="4AAB3F92" w14:textId="6C76D77A" w:rsidR="004626BB" w:rsidRDefault="00823965" w:rsidP="00651510">
      <w:pPr>
        <w:pStyle w:val="Heading1"/>
      </w:pPr>
      <w:bookmarkStart w:id="25" w:name="_Toc131338411"/>
      <w:r>
        <w:lastRenderedPageBreak/>
        <w:t>Applications by organisation</w:t>
      </w:r>
      <w:bookmarkEnd w:id="25"/>
      <w:r>
        <w:t xml:space="preserve"> </w:t>
      </w:r>
    </w:p>
    <w:p w14:paraId="78BC034F" w14:textId="331139BE" w:rsidR="00871070" w:rsidRPr="00B95348" w:rsidRDefault="000D45B5" w:rsidP="00651510">
      <w:pPr>
        <w:pStyle w:val="Paragraphtext"/>
        <w:spacing w:before="120"/>
        <w:rPr>
          <w:sz w:val="22"/>
          <w:szCs w:val="22"/>
        </w:rPr>
      </w:pPr>
      <w:r w:rsidRPr="00B95348">
        <w:rPr>
          <w:sz w:val="22"/>
          <w:szCs w:val="22"/>
        </w:rPr>
        <w:t xml:space="preserve">Applications were received from 42 different </w:t>
      </w:r>
      <w:r w:rsidR="00485413" w:rsidRPr="00B95348">
        <w:rPr>
          <w:sz w:val="22"/>
          <w:szCs w:val="22"/>
        </w:rPr>
        <w:t>e</w:t>
      </w:r>
      <w:r w:rsidRPr="00B95348">
        <w:rPr>
          <w:sz w:val="22"/>
          <w:szCs w:val="22"/>
        </w:rPr>
        <w:t xml:space="preserve">ligible </w:t>
      </w:r>
      <w:r w:rsidR="00485413" w:rsidRPr="00B95348">
        <w:rPr>
          <w:sz w:val="22"/>
          <w:szCs w:val="22"/>
        </w:rPr>
        <w:t>o</w:t>
      </w:r>
      <w:r w:rsidRPr="00B95348">
        <w:rPr>
          <w:sz w:val="22"/>
          <w:szCs w:val="22"/>
        </w:rPr>
        <w:t>rganisations</w:t>
      </w:r>
      <w:r w:rsidR="00485413" w:rsidRPr="00B95348">
        <w:rPr>
          <w:sz w:val="22"/>
          <w:szCs w:val="22"/>
        </w:rPr>
        <w:t>.</w:t>
      </w:r>
      <w:r w:rsidR="0046294D" w:rsidRPr="00B95348">
        <w:rPr>
          <w:sz w:val="22"/>
          <w:szCs w:val="22"/>
        </w:rPr>
        <w:t xml:space="preserve"> </w:t>
      </w:r>
      <w:r w:rsidR="00485413" w:rsidRPr="00B95348">
        <w:rPr>
          <w:sz w:val="22"/>
          <w:szCs w:val="22"/>
        </w:rPr>
        <w:t>G</w:t>
      </w:r>
      <w:r w:rsidR="0046294D" w:rsidRPr="00B95348">
        <w:rPr>
          <w:sz w:val="22"/>
          <w:szCs w:val="22"/>
        </w:rPr>
        <w:t>rants were awarded to 12 different organisations.</w:t>
      </w:r>
    </w:p>
    <w:p w14:paraId="244DE5B1" w14:textId="77777777" w:rsidR="00AE3273" w:rsidRPr="00787C99" w:rsidRDefault="00AE3273" w:rsidP="00503F26">
      <w:pPr>
        <w:pStyle w:val="TableHeader"/>
        <w:spacing w:before="120" w:after="0"/>
        <w:rPr>
          <w:rFonts w:cs="Arial"/>
          <w:sz w:val="22"/>
        </w:rPr>
      </w:pPr>
    </w:p>
    <w:p w14:paraId="481F5C3E" w14:textId="655A1EA7" w:rsidR="00823965" w:rsidRPr="007D547A" w:rsidRDefault="00485413" w:rsidP="00B95348">
      <w:pPr>
        <w:pStyle w:val="FigureTitle"/>
      </w:pPr>
      <w:r w:rsidRPr="007D547A">
        <w:t xml:space="preserve">Table </w:t>
      </w:r>
      <w:r w:rsidR="00871070" w:rsidRPr="007D547A">
        <w:t>1</w:t>
      </w:r>
      <w:r w:rsidR="000C3317">
        <w:t>4</w:t>
      </w:r>
      <w:r w:rsidRPr="007D547A">
        <w:t xml:space="preserve"> – Applications and grants by </w:t>
      </w:r>
      <w:r w:rsidR="00A65975" w:rsidRPr="00B95348">
        <w:rPr>
          <w:sz w:val="22"/>
        </w:rPr>
        <w:t xml:space="preserve">eligible </w:t>
      </w:r>
      <w:r w:rsidRPr="007D547A">
        <w:t>organisation</w:t>
      </w:r>
      <w:r w:rsidR="0046294D" w:rsidRPr="007D547A">
        <w:t xml:space="preserve">    </w:t>
      </w:r>
    </w:p>
    <w:tbl>
      <w:tblPr>
        <w:tblW w:w="9209" w:type="dxa"/>
        <w:tblBorders>
          <w:top w:val="single" w:sz="4" w:space="0" w:color="auto"/>
          <w:bottom w:val="single" w:sz="4" w:space="0" w:color="auto"/>
          <w:right w:val="single" w:sz="4" w:space="0" w:color="FFFFFF" w:themeColor="background1"/>
          <w:insideH w:val="single" w:sz="4" w:space="0" w:color="4F81BD"/>
        </w:tblBorders>
        <w:tblLook w:val="04A0" w:firstRow="1" w:lastRow="0" w:firstColumn="1" w:lastColumn="0" w:noHBand="0" w:noVBand="1"/>
      </w:tblPr>
      <w:tblGrid>
        <w:gridCol w:w="5382"/>
        <w:gridCol w:w="1417"/>
        <w:gridCol w:w="993"/>
        <w:gridCol w:w="1417"/>
      </w:tblGrid>
      <w:tr w:rsidR="00AE3273" w:rsidRPr="007D547A" w14:paraId="11CA6EA0" w14:textId="77777777" w:rsidTr="00317D25">
        <w:trPr>
          <w:trHeight w:val="227"/>
        </w:trPr>
        <w:tc>
          <w:tcPr>
            <w:tcW w:w="5382" w:type="dxa"/>
            <w:tcBorders>
              <w:top w:val="single" w:sz="4" w:space="0" w:color="000000"/>
              <w:bottom w:val="single" w:sz="4" w:space="0" w:color="000000"/>
              <w:right w:val="single" w:sz="4" w:space="0" w:color="FFFFFF" w:themeColor="background1"/>
            </w:tcBorders>
            <w:shd w:val="clear" w:color="auto" w:fill="18233B" w:themeFill="accent1"/>
            <w:noWrap/>
            <w:vAlign w:val="bottom"/>
            <w:hideMark/>
          </w:tcPr>
          <w:p w14:paraId="03F94CC4" w14:textId="7BA207D5" w:rsidR="0046294D" w:rsidRPr="007D547A" w:rsidRDefault="0046294D" w:rsidP="0046294D">
            <w:pPr>
              <w:rPr>
                <w:rFonts w:cs="Arial"/>
                <w:b/>
                <w:bCs/>
                <w:color w:val="FFFFFF"/>
                <w:sz w:val="18"/>
                <w:szCs w:val="18"/>
                <w:lang w:eastAsia="en-AU"/>
              </w:rPr>
            </w:pPr>
            <w:r w:rsidRPr="007D547A">
              <w:rPr>
                <w:rFonts w:cs="Arial"/>
                <w:b/>
                <w:bCs/>
                <w:color w:val="FFFFFF"/>
                <w:sz w:val="18"/>
                <w:szCs w:val="18"/>
                <w:lang w:eastAsia="en-AU"/>
              </w:rPr>
              <w:t>Organisations</w:t>
            </w:r>
          </w:p>
        </w:tc>
        <w:tc>
          <w:tcPr>
            <w:tcW w:w="1417"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18233B" w:themeFill="accent1"/>
            <w:noWrap/>
            <w:vAlign w:val="bottom"/>
            <w:hideMark/>
          </w:tcPr>
          <w:p w14:paraId="0E02AB9C" w14:textId="77777777" w:rsidR="0046294D" w:rsidRPr="007D547A" w:rsidRDefault="0046294D" w:rsidP="0047388F">
            <w:pPr>
              <w:jc w:val="center"/>
              <w:rPr>
                <w:rFonts w:cs="Arial"/>
                <w:b/>
                <w:bCs/>
                <w:color w:val="FFFFFF"/>
                <w:sz w:val="18"/>
                <w:szCs w:val="18"/>
                <w:lang w:eastAsia="en-AU"/>
              </w:rPr>
            </w:pPr>
            <w:r w:rsidRPr="007D547A">
              <w:rPr>
                <w:rFonts w:cs="Arial"/>
                <w:b/>
                <w:bCs/>
                <w:color w:val="FFFFFF"/>
                <w:sz w:val="18"/>
                <w:szCs w:val="18"/>
                <w:lang w:eastAsia="en-AU"/>
              </w:rPr>
              <w:t>Applications</w:t>
            </w:r>
          </w:p>
        </w:tc>
        <w:tc>
          <w:tcPr>
            <w:tcW w:w="993"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18233B" w:themeFill="accent1"/>
            <w:noWrap/>
            <w:vAlign w:val="bottom"/>
            <w:hideMark/>
          </w:tcPr>
          <w:p w14:paraId="177E4030" w14:textId="77777777" w:rsidR="0046294D" w:rsidRPr="007D547A" w:rsidRDefault="0046294D" w:rsidP="0047388F">
            <w:pPr>
              <w:jc w:val="center"/>
              <w:rPr>
                <w:rFonts w:cs="Arial"/>
                <w:b/>
                <w:bCs/>
                <w:color w:val="FFFFFF"/>
                <w:sz w:val="18"/>
                <w:szCs w:val="18"/>
                <w:lang w:eastAsia="en-AU"/>
              </w:rPr>
            </w:pPr>
            <w:r w:rsidRPr="007D547A">
              <w:rPr>
                <w:rFonts w:cs="Arial"/>
                <w:b/>
                <w:bCs/>
                <w:color w:val="FFFFFF"/>
                <w:sz w:val="18"/>
                <w:szCs w:val="18"/>
                <w:lang w:eastAsia="en-AU"/>
              </w:rPr>
              <w:t>Grants</w:t>
            </w:r>
          </w:p>
        </w:tc>
        <w:tc>
          <w:tcPr>
            <w:tcW w:w="1417" w:type="dxa"/>
            <w:tcBorders>
              <w:top w:val="single" w:sz="4" w:space="0" w:color="000000"/>
              <w:left w:val="single" w:sz="4" w:space="0" w:color="FFFFFF" w:themeColor="background1"/>
              <w:bottom w:val="single" w:sz="4" w:space="0" w:color="000000"/>
            </w:tcBorders>
            <w:shd w:val="clear" w:color="auto" w:fill="18233B" w:themeFill="accent1"/>
            <w:noWrap/>
            <w:vAlign w:val="bottom"/>
            <w:hideMark/>
          </w:tcPr>
          <w:p w14:paraId="4EE3BCAF" w14:textId="77777777" w:rsidR="0046294D" w:rsidRPr="007D547A" w:rsidRDefault="0046294D" w:rsidP="0047388F">
            <w:pPr>
              <w:jc w:val="center"/>
              <w:rPr>
                <w:rFonts w:cs="Arial"/>
                <w:b/>
                <w:bCs/>
                <w:color w:val="FFFFFF"/>
                <w:sz w:val="18"/>
                <w:szCs w:val="18"/>
                <w:lang w:eastAsia="en-AU"/>
              </w:rPr>
            </w:pPr>
            <w:r w:rsidRPr="007D547A">
              <w:rPr>
                <w:rFonts w:cs="Arial"/>
                <w:b/>
                <w:bCs/>
                <w:color w:val="FFFFFF"/>
                <w:sz w:val="18"/>
                <w:szCs w:val="18"/>
                <w:lang w:eastAsia="en-AU"/>
              </w:rPr>
              <w:t>Total value</w:t>
            </w:r>
          </w:p>
        </w:tc>
      </w:tr>
      <w:tr w:rsidR="0046294D" w:rsidRPr="007D547A" w14:paraId="21524B6B" w14:textId="77777777" w:rsidTr="00317D25">
        <w:trPr>
          <w:trHeight w:val="227"/>
        </w:trPr>
        <w:tc>
          <w:tcPr>
            <w:tcW w:w="5382" w:type="dxa"/>
            <w:tcBorders>
              <w:top w:val="single" w:sz="4" w:space="0" w:color="000000"/>
              <w:bottom w:val="single" w:sz="4" w:space="0" w:color="000000" w:themeColor="text1"/>
            </w:tcBorders>
            <w:shd w:val="clear" w:color="auto" w:fill="auto"/>
            <w:noWrap/>
            <w:vAlign w:val="bottom"/>
            <w:hideMark/>
          </w:tcPr>
          <w:p w14:paraId="7769D67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Sydney</w:t>
            </w:r>
          </w:p>
        </w:tc>
        <w:tc>
          <w:tcPr>
            <w:tcW w:w="1417" w:type="dxa"/>
            <w:tcBorders>
              <w:top w:val="single" w:sz="4" w:space="0" w:color="000000"/>
              <w:bottom w:val="single" w:sz="4" w:space="0" w:color="000000" w:themeColor="text1"/>
            </w:tcBorders>
            <w:shd w:val="clear" w:color="auto" w:fill="auto"/>
            <w:noWrap/>
            <w:vAlign w:val="bottom"/>
            <w:hideMark/>
          </w:tcPr>
          <w:p w14:paraId="32566F2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57</w:t>
            </w:r>
          </w:p>
        </w:tc>
        <w:tc>
          <w:tcPr>
            <w:tcW w:w="993" w:type="dxa"/>
            <w:tcBorders>
              <w:top w:val="single" w:sz="4" w:space="0" w:color="000000"/>
              <w:bottom w:val="single" w:sz="4" w:space="0" w:color="000000" w:themeColor="text1"/>
            </w:tcBorders>
            <w:shd w:val="clear" w:color="auto" w:fill="auto"/>
            <w:noWrap/>
            <w:vAlign w:val="bottom"/>
            <w:hideMark/>
          </w:tcPr>
          <w:p w14:paraId="38F1DFE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3</w:t>
            </w:r>
          </w:p>
        </w:tc>
        <w:tc>
          <w:tcPr>
            <w:tcW w:w="1417" w:type="dxa"/>
            <w:tcBorders>
              <w:top w:val="single" w:sz="4" w:space="0" w:color="000000"/>
              <w:bottom w:val="single" w:sz="4" w:space="0" w:color="000000" w:themeColor="text1"/>
            </w:tcBorders>
            <w:shd w:val="clear" w:color="auto" w:fill="auto"/>
            <w:noWrap/>
            <w:vAlign w:val="bottom"/>
            <w:hideMark/>
          </w:tcPr>
          <w:p w14:paraId="19D1D12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$2,136,508</w:t>
            </w:r>
          </w:p>
        </w:tc>
      </w:tr>
      <w:tr w:rsidR="0046294D" w:rsidRPr="007D547A" w14:paraId="4222F341"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D2417D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The University of Queensland</w:t>
            </w:r>
          </w:p>
        </w:tc>
        <w:tc>
          <w:tcPr>
            <w:tcW w:w="1417" w:type="dxa"/>
            <w:tcBorders>
              <w:top w:val="single" w:sz="4" w:space="0" w:color="000000" w:themeColor="text1"/>
              <w:bottom w:val="single" w:sz="4" w:space="0" w:color="000000" w:themeColor="text1"/>
            </w:tcBorders>
            <w:shd w:val="clear" w:color="auto" w:fill="auto"/>
            <w:noWrap/>
            <w:vAlign w:val="bottom"/>
            <w:hideMark/>
          </w:tcPr>
          <w:p w14:paraId="1CB2A5D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53</w:t>
            </w:r>
          </w:p>
        </w:tc>
        <w:tc>
          <w:tcPr>
            <w:tcW w:w="993" w:type="dxa"/>
            <w:tcBorders>
              <w:top w:val="single" w:sz="4" w:space="0" w:color="000000" w:themeColor="text1"/>
              <w:bottom w:val="single" w:sz="4" w:space="0" w:color="000000" w:themeColor="text1"/>
            </w:tcBorders>
            <w:shd w:val="clear" w:color="auto" w:fill="auto"/>
            <w:noWrap/>
            <w:vAlign w:val="bottom"/>
            <w:hideMark/>
          </w:tcPr>
          <w:p w14:paraId="0C91C95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w:t>
            </w:r>
          </w:p>
        </w:tc>
        <w:tc>
          <w:tcPr>
            <w:tcW w:w="1417" w:type="dxa"/>
            <w:tcBorders>
              <w:top w:val="single" w:sz="4" w:space="0" w:color="000000" w:themeColor="text1"/>
              <w:bottom w:val="single" w:sz="4" w:space="0" w:color="000000" w:themeColor="text1"/>
            </w:tcBorders>
            <w:shd w:val="clear" w:color="auto" w:fill="auto"/>
            <w:noWrap/>
            <w:vAlign w:val="bottom"/>
            <w:hideMark/>
          </w:tcPr>
          <w:p w14:paraId="57C1D55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$7,676,026</w:t>
            </w:r>
          </w:p>
        </w:tc>
      </w:tr>
      <w:tr w:rsidR="0046294D" w:rsidRPr="007D547A" w14:paraId="0C1D7FBB"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51DACD5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Melbourne</w:t>
            </w:r>
          </w:p>
        </w:tc>
        <w:tc>
          <w:tcPr>
            <w:tcW w:w="1417" w:type="dxa"/>
            <w:tcBorders>
              <w:top w:val="single" w:sz="4" w:space="0" w:color="000000" w:themeColor="text1"/>
              <w:bottom w:val="single" w:sz="4" w:space="0" w:color="000000" w:themeColor="text1"/>
            </w:tcBorders>
            <w:shd w:val="clear" w:color="auto" w:fill="auto"/>
            <w:noWrap/>
            <w:vAlign w:val="bottom"/>
            <w:hideMark/>
          </w:tcPr>
          <w:p w14:paraId="5205774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45</w:t>
            </w:r>
          </w:p>
        </w:tc>
        <w:tc>
          <w:tcPr>
            <w:tcW w:w="993" w:type="dxa"/>
            <w:tcBorders>
              <w:top w:val="single" w:sz="4" w:space="0" w:color="000000" w:themeColor="text1"/>
              <w:bottom w:val="single" w:sz="4" w:space="0" w:color="000000" w:themeColor="text1"/>
            </w:tcBorders>
            <w:shd w:val="clear" w:color="auto" w:fill="auto"/>
            <w:noWrap/>
            <w:vAlign w:val="bottom"/>
            <w:hideMark/>
          </w:tcPr>
          <w:p w14:paraId="36BE8AE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04C4C74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$4,897,653</w:t>
            </w:r>
          </w:p>
        </w:tc>
      </w:tr>
      <w:tr w:rsidR="0046294D" w:rsidRPr="007D547A" w14:paraId="140AE9C8"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2B9DE5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New South Wales</w:t>
            </w:r>
          </w:p>
        </w:tc>
        <w:tc>
          <w:tcPr>
            <w:tcW w:w="1417" w:type="dxa"/>
            <w:tcBorders>
              <w:top w:val="single" w:sz="4" w:space="0" w:color="000000" w:themeColor="text1"/>
              <w:bottom w:val="single" w:sz="4" w:space="0" w:color="000000" w:themeColor="text1"/>
            </w:tcBorders>
            <w:shd w:val="clear" w:color="auto" w:fill="auto"/>
            <w:noWrap/>
            <w:vAlign w:val="bottom"/>
            <w:hideMark/>
          </w:tcPr>
          <w:p w14:paraId="0F94367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44</w:t>
            </w:r>
          </w:p>
        </w:tc>
        <w:tc>
          <w:tcPr>
            <w:tcW w:w="993" w:type="dxa"/>
            <w:tcBorders>
              <w:top w:val="single" w:sz="4" w:space="0" w:color="000000" w:themeColor="text1"/>
              <w:bottom w:val="single" w:sz="4" w:space="0" w:color="000000" w:themeColor="text1"/>
            </w:tcBorders>
            <w:shd w:val="clear" w:color="auto" w:fill="auto"/>
            <w:noWrap/>
            <w:vAlign w:val="bottom"/>
            <w:hideMark/>
          </w:tcPr>
          <w:p w14:paraId="43F9E17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1417" w:type="dxa"/>
            <w:tcBorders>
              <w:top w:val="single" w:sz="4" w:space="0" w:color="000000" w:themeColor="text1"/>
              <w:bottom w:val="single" w:sz="4" w:space="0" w:color="000000" w:themeColor="text1"/>
            </w:tcBorders>
            <w:shd w:val="clear" w:color="auto" w:fill="auto"/>
            <w:noWrap/>
            <w:vAlign w:val="bottom"/>
            <w:hideMark/>
          </w:tcPr>
          <w:p w14:paraId="47B55F0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$5,659,583</w:t>
            </w:r>
          </w:p>
        </w:tc>
      </w:tr>
      <w:tr w:rsidR="0046294D" w:rsidRPr="007D547A" w14:paraId="35E0A836"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1B7628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Monash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734B390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39</w:t>
            </w:r>
          </w:p>
        </w:tc>
        <w:tc>
          <w:tcPr>
            <w:tcW w:w="993" w:type="dxa"/>
            <w:tcBorders>
              <w:top w:val="single" w:sz="4" w:space="0" w:color="000000" w:themeColor="text1"/>
              <w:bottom w:val="single" w:sz="4" w:space="0" w:color="000000" w:themeColor="text1"/>
            </w:tcBorders>
            <w:shd w:val="clear" w:color="auto" w:fill="auto"/>
            <w:noWrap/>
            <w:vAlign w:val="bottom"/>
            <w:hideMark/>
          </w:tcPr>
          <w:p w14:paraId="27D7513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w:t>
            </w:r>
          </w:p>
        </w:tc>
        <w:tc>
          <w:tcPr>
            <w:tcW w:w="1417" w:type="dxa"/>
            <w:tcBorders>
              <w:top w:val="single" w:sz="4" w:space="0" w:color="000000" w:themeColor="text1"/>
              <w:bottom w:val="single" w:sz="4" w:space="0" w:color="000000" w:themeColor="text1"/>
            </w:tcBorders>
            <w:shd w:val="clear" w:color="auto" w:fill="auto"/>
            <w:noWrap/>
            <w:vAlign w:val="bottom"/>
            <w:hideMark/>
          </w:tcPr>
          <w:p w14:paraId="3317DF5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$7,884,341</w:t>
            </w:r>
          </w:p>
        </w:tc>
      </w:tr>
      <w:tr w:rsidR="0046294D" w:rsidRPr="007D547A" w14:paraId="3AC438CE"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6A1E6A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The University of Newcastle</w:t>
            </w:r>
          </w:p>
        </w:tc>
        <w:tc>
          <w:tcPr>
            <w:tcW w:w="1417" w:type="dxa"/>
            <w:tcBorders>
              <w:top w:val="single" w:sz="4" w:space="0" w:color="000000" w:themeColor="text1"/>
              <w:bottom w:val="single" w:sz="4" w:space="0" w:color="000000" w:themeColor="text1"/>
            </w:tcBorders>
            <w:shd w:val="clear" w:color="auto" w:fill="auto"/>
            <w:noWrap/>
            <w:vAlign w:val="bottom"/>
            <w:hideMark/>
          </w:tcPr>
          <w:p w14:paraId="0C1A4FA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23</w:t>
            </w:r>
          </w:p>
        </w:tc>
        <w:tc>
          <w:tcPr>
            <w:tcW w:w="993" w:type="dxa"/>
            <w:tcBorders>
              <w:top w:val="single" w:sz="4" w:space="0" w:color="000000" w:themeColor="text1"/>
              <w:bottom w:val="single" w:sz="4" w:space="0" w:color="000000" w:themeColor="text1"/>
            </w:tcBorders>
            <w:shd w:val="clear" w:color="auto" w:fill="auto"/>
            <w:noWrap/>
            <w:vAlign w:val="bottom"/>
            <w:hideMark/>
          </w:tcPr>
          <w:p w14:paraId="686DF82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175BE09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5EECC5A0"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4C40DE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Murdoch Children's Research Institute</w:t>
            </w:r>
          </w:p>
        </w:tc>
        <w:tc>
          <w:tcPr>
            <w:tcW w:w="1417" w:type="dxa"/>
            <w:tcBorders>
              <w:top w:val="single" w:sz="4" w:space="0" w:color="000000" w:themeColor="text1"/>
              <w:bottom w:val="single" w:sz="4" w:space="0" w:color="000000" w:themeColor="text1"/>
            </w:tcBorders>
            <w:shd w:val="clear" w:color="auto" w:fill="auto"/>
            <w:noWrap/>
            <w:vAlign w:val="bottom"/>
            <w:hideMark/>
          </w:tcPr>
          <w:p w14:paraId="4056334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16</w:t>
            </w:r>
          </w:p>
        </w:tc>
        <w:tc>
          <w:tcPr>
            <w:tcW w:w="993" w:type="dxa"/>
            <w:tcBorders>
              <w:top w:val="single" w:sz="4" w:space="0" w:color="000000" w:themeColor="text1"/>
              <w:bottom w:val="single" w:sz="4" w:space="0" w:color="000000" w:themeColor="text1"/>
            </w:tcBorders>
            <w:shd w:val="clear" w:color="auto" w:fill="auto"/>
            <w:noWrap/>
            <w:vAlign w:val="bottom"/>
            <w:hideMark/>
          </w:tcPr>
          <w:p w14:paraId="45FB0FC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25FC664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647429D"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3C66736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Deakin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4166F07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14</w:t>
            </w:r>
          </w:p>
        </w:tc>
        <w:tc>
          <w:tcPr>
            <w:tcW w:w="993" w:type="dxa"/>
            <w:tcBorders>
              <w:top w:val="single" w:sz="4" w:space="0" w:color="000000" w:themeColor="text1"/>
              <w:bottom w:val="single" w:sz="4" w:space="0" w:color="000000" w:themeColor="text1"/>
            </w:tcBorders>
            <w:shd w:val="clear" w:color="auto" w:fill="auto"/>
            <w:noWrap/>
            <w:vAlign w:val="bottom"/>
            <w:hideMark/>
          </w:tcPr>
          <w:p w14:paraId="252302B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642E7B9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0E3EDE49"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56D3722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Flinders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08D00CD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11</w:t>
            </w:r>
          </w:p>
        </w:tc>
        <w:tc>
          <w:tcPr>
            <w:tcW w:w="993" w:type="dxa"/>
            <w:tcBorders>
              <w:top w:val="single" w:sz="4" w:space="0" w:color="000000" w:themeColor="text1"/>
              <w:bottom w:val="single" w:sz="4" w:space="0" w:color="000000" w:themeColor="text1"/>
            </w:tcBorders>
            <w:shd w:val="clear" w:color="auto" w:fill="auto"/>
            <w:noWrap/>
            <w:vAlign w:val="bottom"/>
            <w:hideMark/>
          </w:tcPr>
          <w:p w14:paraId="3088EABF"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65D7435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47031F65"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CE2582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The University of Adelaide</w:t>
            </w:r>
          </w:p>
        </w:tc>
        <w:tc>
          <w:tcPr>
            <w:tcW w:w="1417" w:type="dxa"/>
            <w:tcBorders>
              <w:top w:val="single" w:sz="4" w:space="0" w:color="000000" w:themeColor="text1"/>
              <w:bottom w:val="single" w:sz="4" w:space="0" w:color="000000" w:themeColor="text1"/>
            </w:tcBorders>
            <w:shd w:val="clear" w:color="auto" w:fill="auto"/>
            <w:noWrap/>
            <w:vAlign w:val="bottom"/>
            <w:hideMark/>
          </w:tcPr>
          <w:p w14:paraId="325CD4D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10</w:t>
            </w:r>
          </w:p>
        </w:tc>
        <w:tc>
          <w:tcPr>
            <w:tcW w:w="993" w:type="dxa"/>
            <w:tcBorders>
              <w:top w:val="single" w:sz="4" w:space="0" w:color="000000" w:themeColor="text1"/>
              <w:bottom w:val="single" w:sz="4" w:space="0" w:color="000000" w:themeColor="text1"/>
            </w:tcBorders>
            <w:shd w:val="clear" w:color="auto" w:fill="auto"/>
            <w:noWrap/>
            <w:vAlign w:val="bottom"/>
            <w:hideMark/>
          </w:tcPr>
          <w:p w14:paraId="2E5F166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4CF7519F"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$758,438</w:t>
            </w:r>
          </w:p>
        </w:tc>
      </w:tr>
      <w:tr w:rsidR="0046294D" w:rsidRPr="007D547A" w14:paraId="6FEFCB2B"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5DD84F5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Griffith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4E689AC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9</w:t>
            </w:r>
          </w:p>
        </w:tc>
        <w:tc>
          <w:tcPr>
            <w:tcW w:w="993" w:type="dxa"/>
            <w:tcBorders>
              <w:top w:val="single" w:sz="4" w:space="0" w:color="000000" w:themeColor="text1"/>
              <w:bottom w:val="single" w:sz="4" w:space="0" w:color="000000" w:themeColor="text1"/>
            </w:tcBorders>
            <w:shd w:val="clear" w:color="auto" w:fill="auto"/>
            <w:noWrap/>
            <w:vAlign w:val="bottom"/>
            <w:hideMark/>
          </w:tcPr>
          <w:p w14:paraId="1E071D9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2B01679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$761,471</w:t>
            </w:r>
          </w:p>
        </w:tc>
      </w:tr>
      <w:tr w:rsidR="0046294D" w:rsidRPr="007D547A" w14:paraId="7FA95FF2"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5D521D1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Western Australia</w:t>
            </w:r>
          </w:p>
        </w:tc>
        <w:tc>
          <w:tcPr>
            <w:tcW w:w="1417" w:type="dxa"/>
            <w:tcBorders>
              <w:top w:val="single" w:sz="4" w:space="0" w:color="000000" w:themeColor="text1"/>
              <w:bottom w:val="single" w:sz="4" w:space="0" w:color="000000" w:themeColor="text1"/>
            </w:tcBorders>
            <w:shd w:val="clear" w:color="auto" w:fill="auto"/>
            <w:noWrap/>
            <w:vAlign w:val="bottom"/>
            <w:hideMark/>
          </w:tcPr>
          <w:p w14:paraId="3233E25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9</w:t>
            </w:r>
          </w:p>
        </w:tc>
        <w:tc>
          <w:tcPr>
            <w:tcW w:w="993" w:type="dxa"/>
            <w:tcBorders>
              <w:top w:val="single" w:sz="4" w:space="0" w:color="000000" w:themeColor="text1"/>
              <w:bottom w:val="single" w:sz="4" w:space="0" w:color="000000" w:themeColor="text1"/>
            </w:tcBorders>
            <w:shd w:val="clear" w:color="auto" w:fill="auto"/>
            <w:noWrap/>
            <w:vAlign w:val="bottom"/>
            <w:hideMark/>
          </w:tcPr>
          <w:p w14:paraId="0B7EE04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1417" w:type="dxa"/>
            <w:tcBorders>
              <w:top w:val="single" w:sz="4" w:space="0" w:color="000000" w:themeColor="text1"/>
              <w:bottom w:val="single" w:sz="4" w:space="0" w:color="000000" w:themeColor="text1"/>
            </w:tcBorders>
            <w:shd w:val="clear" w:color="auto" w:fill="auto"/>
            <w:noWrap/>
            <w:vAlign w:val="bottom"/>
            <w:hideMark/>
          </w:tcPr>
          <w:p w14:paraId="5EB5CDE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$9,631,715</w:t>
            </w:r>
          </w:p>
        </w:tc>
      </w:tr>
      <w:tr w:rsidR="0046294D" w:rsidRPr="007D547A" w14:paraId="79D572CB"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FD2D43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Technology Sydney</w:t>
            </w:r>
          </w:p>
        </w:tc>
        <w:tc>
          <w:tcPr>
            <w:tcW w:w="1417" w:type="dxa"/>
            <w:tcBorders>
              <w:top w:val="single" w:sz="4" w:space="0" w:color="000000" w:themeColor="text1"/>
              <w:bottom w:val="single" w:sz="4" w:space="0" w:color="000000" w:themeColor="text1"/>
            </w:tcBorders>
            <w:shd w:val="clear" w:color="auto" w:fill="auto"/>
            <w:noWrap/>
            <w:vAlign w:val="bottom"/>
            <w:hideMark/>
          </w:tcPr>
          <w:p w14:paraId="7624A51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8</w:t>
            </w:r>
          </w:p>
        </w:tc>
        <w:tc>
          <w:tcPr>
            <w:tcW w:w="993" w:type="dxa"/>
            <w:tcBorders>
              <w:top w:val="single" w:sz="4" w:space="0" w:color="000000" w:themeColor="text1"/>
              <w:bottom w:val="single" w:sz="4" w:space="0" w:color="000000" w:themeColor="text1"/>
            </w:tcBorders>
            <w:shd w:val="clear" w:color="auto" w:fill="auto"/>
            <w:noWrap/>
            <w:vAlign w:val="bottom"/>
            <w:hideMark/>
          </w:tcPr>
          <w:p w14:paraId="76DE2C0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3AD789F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446D2CFB"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CA1C55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Curtin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351B79B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7</w:t>
            </w:r>
          </w:p>
        </w:tc>
        <w:tc>
          <w:tcPr>
            <w:tcW w:w="993" w:type="dxa"/>
            <w:tcBorders>
              <w:top w:val="single" w:sz="4" w:space="0" w:color="000000" w:themeColor="text1"/>
              <w:bottom w:val="single" w:sz="4" w:space="0" w:color="000000" w:themeColor="text1"/>
            </w:tcBorders>
            <w:shd w:val="clear" w:color="auto" w:fill="auto"/>
            <w:noWrap/>
            <w:vAlign w:val="bottom"/>
            <w:hideMark/>
          </w:tcPr>
          <w:p w14:paraId="7A19FBCF"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513A4B7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$980,081</w:t>
            </w:r>
          </w:p>
        </w:tc>
      </w:tr>
      <w:tr w:rsidR="0046294D" w:rsidRPr="007D547A" w14:paraId="377B59C9"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2B63677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The Council of the Queensland Institute of Medical Research</w:t>
            </w:r>
          </w:p>
        </w:tc>
        <w:tc>
          <w:tcPr>
            <w:tcW w:w="1417" w:type="dxa"/>
            <w:tcBorders>
              <w:top w:val="single" w:sz="4" w:space="0" w:color="000000" w:themeColor="text1"/>
              <w:bottom w:val="single" w:sz="4" w:space="0" w:color="000000" w:themeColor="text1"/>
            </w:tcBorders>
            <w:shd w:val="clear" w:color="auto" w:fill="auto"/>
            <w:noWrap/>
            <w:vAlign w:val="bottom"/>
            <w:hideMark/>
          </w:tcPr>
          <w:p w14:paraId="1F85D2C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6</w:t>
            </w:r>
          </w:p>
        </w:tc>
        <w:tc>
          <w:tcPr>
            <w:tcW w:w="993" w:type="dxa"/>
            <w:tcBorders>
              <w:top w:val="single" w:sz="4" w:space="0" w:color="000000" w:themeColor="text1"/>
              <w:bottom w:val="single" w:sz="4" w:space="0" w:color="000000" w:themeColor="text1"/>
            </w:tcBorders>
            <w:shd w:val="clear" w:color="auto" w:fill="auto"/>
            <w:noWrap/>
            <w:vAlign w:val="bottom"/>
            <w:hideMark/>
          </w:tcPr>
          <w:p w14:paraId="6BF3976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06CB11E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$289,870</w:t>
            </w:r>
          </w:p>
        </w:tc>
      </w:tr>
      <w:tr w:rsidR="0046294D" w:rsidRPr="007D547A" w14:paraId="014A3483"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2303FB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The Walter and Eliza Hall Institute of Medical Research</w:t>
            </w:r>
          </w:p>
        </w:tc>
        <w:tc>
          <w:tcPr>
            <w:tcW w:w="1417" w:type="dxa"/>
            <w:tcBorders>
              <w:top w:val="single" w:sz="4" w:space="0" w:color="000000" w:themeColor="text1"/>
              <w:bottom w:val="single" w:sz="4" w:space="0" w:color="000000" w:themeColor="text1"/>
            </w:tcBorders>
            <w:shd w:val="clear" w:color="auto" w:fill="auto"/>
            <w:noWrap/>
            <w:vAlign w:val="bottom"/>
            <w:hideMark/>
          </w:tcPr>
          <w:p w14:paraId="60087B0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6</w:t>
            </w:r>
          </w:p>
        </w:tc>
        <w:tc>
          <w:tcPr>
            <w:tcW w:w="993" w:type="dxa"/>
            <w:tcBorders>
              <w:top w:val="single" w:sz="4" w:space="0" w:color="000000" w:themeColor="text1"/>
              <w:bottom w:val="single" w:sz="4" w:space="0" w:color="000000" w:themeColor="text1"/>
            </w:tcBorders>
            <w:shd w:val="clear" w:color="auto" w:fill="auto"/>
            <w:noWrap/>
            <w:vAlign w:val="bottom"/>
            <w:hideMark/>
          </w:tcPr>
          <w:p w14:paraId="4064ED4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DD8629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60BC1AC"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6CD454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Western Sydney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5BE79DC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6</w:t>
            </w:r>
          </w:p>
        </w:tc>
        <w:tc>
          <w:tcPr>
            <w:tcW w:w="993" w:type="dxa"/>
            <w:tcBorders>
              <w:top w:val="single" w:sz="4" w:space="0" w:color="000000" w:themeColor="text1"/>
              <w:bottom w:val="single" w:sz="4" w:space="0" w:color="000000" w:themeColor="text1"/>
            </w:tcBorders>
            <w:shd w:val="clear" w:color="auto" w:fill="auto"/>
            <w:noWrap/>
            <w:vAlign w:val="bottom"/>
            <w:hideMark/>
          </w:tcPr>
          <w:p w14:paraId="5F9C5FE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6A15EC0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70B35EC3"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C11BF1F"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La Trobe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7FDDE7B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w:t>
            </w:r>
          </w:p>
        </w:tc>
        <w:tc>
          <w:tcPr>
            <w:tcW w:w="993" w:type="dxa"/>
            <w:tcBorders>
              <w:top w:val="single" w:sz="4" w:space="0" w:color="000000" w:themeColor="text1"/>
              <w:bottom w:val="single" w:sz="4" w:space="0" w:color="000000" w:themeColor="text1"/>
            </w:tcBorders>
            <w:shd w:val="clear" w:color="auto" w:fill="auto"/>
            <w:noWrap/>
            <w:vAlign w:val="bottom"/>
            <w:hideMark/>
          </w:tcPr>
          <w:p w14:paraId="7F0F679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1580290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F83CC00"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2C4761E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Macquarie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498335D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w:t>
            </w:r>
          </w:p>
        </w:tc>
        <w:tc>
          <w:tcPr>
            <w:tcW w:w="993" w:type="dxa"/>
            <w:tcBorders>
              <w:top w:val="single" w:sz="4" w:space="0" w:color="000000" w:themeColor="text1"/>
              <w:bottom w:val="single" w:sz="4" w:space="0" w:color="000000" w:themeColor="text1"/>
            </w:tcBorders>
            <w:shd w:val="clear" w:color="auto" w:fill="auto"/>
            <w:noWrap/>
            <w:vAlign w:val="bottom"/>
            <w:hideMark/>
          </w:tcPr>
          <w:p w14:paraId="49B4E33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6BE29BE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72ACB647"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2E36092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Queensland University of Technology</w:t>
            </w:r>
          </w:p>
        </w:tc>
        <w:tc>
          <w:tcPr>
            <w:tcW w:w="1417" w:type="dxa"/>
            <w:tcBorders>
              <w:top w:val="single" w:sz="4" w:space="0" w:color="000000" w:themeColor="text1"/>
              <w:bottom w:val="single" w:sz="4" w:space="0" w:color="000000" w:themeColor="text1"/>
            </w:tcBorders>
            <w:shd w:val="clear" w:color="auto" w:fill="auto"/>
            <w:noWrap/>
            <w:vAlign w:val="bottom"/>
            <w:hideMark/>
          </w:tcPr>
          <w:p w14:paraId="6A0AA97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w:t>
            </w:r>
          </w:p>
        </w:tc>
        <w:tc>
          <w:tcPr>
            <w:tcW w:w="993" w:type="dxa"/>
            <w:tcBorders>
              <w:top w:val="single" w:sz="4" w:space="0" w:color="000000" w:themeColor="text1"/>
              <w:bottom w:val="single" w:sz="4" w:space="0" w:color="000000" w:themeColor="text1"/>
            </w:tcBorders>
            <w:shd w:val="clear" w:color="auto" w:fill="auto"/>
            <w:noWrap/>
            <w:vAlign w:val="bottom"/>
            <w:hideMark/>
          </w:tcPr>
          <w:p w14:paraId="3614E55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1010E1A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2726AD4A"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6D9A4FF"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Wollongong</w:t>
            </w:r>
          </w:p>
        </w:tc>
        <w:tc>
          <w:tcPr>
            <w:tcW w:w="1417" w:type="dxa"/>
            <w:tcBorders>
              <w:top w:val="single" w:sz="4" w:space="0" w:color="000000" w:themeColor="text1"/>
              <w:bottom w:val="single" w:sz="4" w:space="0" w:color="000000" w:themeColor="text1"/>
            </w:tcBorders>
            <w:shd w:val="clear" w:color="auto" w:fill="auto"/>
            <w:noWrap/>
            <w:vAlign w:val="bottom"/>
            <w:hideMark/>
          </w:tcPr>
          <w:p w14:paraId="469BB75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w:t>
            </w:r>
          </w:p>
        </w:tc>
        <w:tc>
          <w:tcPr>
            <w:tcW w:w="993" w:type="dxa"/>
            <w:tcBorders>
              <w:top w:val="single" w:sz="4" w:space="0" w:color="000000" w:themeColor="text1"/>
              <w:bottom w:val="single" w:sz="4" w:space="0" w:color="000000" w:themeColor="text1"/>
            </w:tcBorders>
            <w:shd w:val="clear" w:color="auto" w:fill="auto"/>
            <w:noWrap/>
            <w:vAlign w:val="bottom"/>
            <w:hideMark/>
          </w:tcPr>
          <w:p w14:paraId="5ED60D6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5763B51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04952C6D"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1D2AE6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Baker Heart and Diabetes Institute</w:t>
            </w:r>
          </w:p>
        </w:tc>
        <w:tc>
          <w:tcPr>
            <w:tcW w:w="1417" w:type="dxa"/>
            <w:tcBorders>
              <w:top w:val="single" w:sz="4" w:space="0" w:color="000000" w:themeColor="text1"/>
              <w:bottom w:val="single" w:sz="4" w:space="0" w:color="000000" w:themeColor="text1"/>
            </w:tcBorders>
            <w:shd w:val="clear" w:color="auto" w:fill="auto"/>
            <w:noWrap/>
            <w:vAlign w:val="bottom"/>
            <w:hideMark/>
          </w:tcPr>
          <w:p w14:paraId="5A785F1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w:t>
            </w:r>
          </w:p>
        </w:tc>
        <w:tc>
          <w:tcPr>
            <w:tcW w:w="993" w:type="dxa"/>
            <w:tcBorders>
              <w:top w:val="single" w:sz="4" w:space="0" w:color="000000" w:themeColor="text1"/>
              <w:bottom w:val="single" w:sz="4" w:space="0" w:color="000000" w:themeColor="text1"/>
            </w:tcBorders>
            <w:shd w:val="clear" w:color="auto" w:fill="auto"/>
            <w:noWrap/>
            <w:vAlign w:val="bottom"/>
            <w:hideMark/>
          </w:tcPr>
          <w:p w14:paraId="56E48A0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74E15C0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46F3831"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9D6130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Edith Cowan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54A4238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w:t>
            </w:r>
          </w:p>
        </w:tc>
        <w:tc>
          <w:tcPr>
            <w:tcW w:w="993" w:type="dxa"/>
            <w:tcBorders>
              <w:top w:val="single" w:sz="4" w:space="0" w:color="000000" w:themeColor="text1"/>
              <w:bottom w:val="single" w:sz="4" w:space="0" w:color="000000" w:themeColor="text1"/>
            </w:tcBorders>
            <w:shd w:val="clear" w:color="auto" w:fill="auto"/>
            <w:noWrap/>
            <w:vAlign w:val="bottom"/>
            <w:hideMark/>
          </w:tcPr>
          <w:p w14:paraId="37F37F7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68D592D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5FAA5D1B"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9CB93D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RMIT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31F318A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w:t>
            </w:r>
          </w:p>
        </w:tc>
        <w:tc>
          <w:tcPr>
            <w:tcW w:w="993" w:type="dxa"/>
            <w:tcBorders>
              <w:top w:val="single" w:sz="4" w:space="0" w:color="000000" w:themeColor="text1"/>
              <w:bottom w:val="single" w:sz="4" w:space="0" w:color="000000" w:themeColor="text1"/>
            </w:tcBorders>
            <w:shd w:val="clear" w:color="auto" w:fill="auto"/>
            <w:noWrap/>
            <w:vAlign w:val="bottom"/>
            <w:hideMark/>
          </w:tcPr>
          <w:p w14:paraId="5605F3C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7FD313C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0F0C5D05"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25C2CE6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South Australia</w:t>
            </w:r>
          </w:p>
        </w:tc>
        <w:tc>
          <w:tcPr>
            <w:tcW w:w="1417" w:type="dxa"/>
            <w:tcBorders>
              <w:top w:val="single" w:sz="4" w:space="0" w:color="000000" w:themeColor="text1"/>
              <w:bottom w:val="single" w:sz="4" w:space="0" w:color="000000" w:themeColor="text1"/>
            </w:tcBorders>
            <w:shd w:val="clear" w:color="auto" w:fill="auto"/>
            <w:noWrap/>
            <w:vAlign w:val="bottom"/>
            <w:hideMark/>
          </w:tcPr>
          <w:p w14:paraId="3D75B12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w:t>
            </w:r>
          </w:p>
        </w:tc>
        <w:tc>
          <w:tcPr>
            <w:tcW w:w="993" w:type="dxa"/>
            <w:tcBorders>
              <w:top w:val="single" w:sz="4" w:space="0" w:color="000000" w:themeColor="text1"/>
              <w:bottom w:val="single" w:sz="4" w:space="0" w:color="000000" w:themeColor="text1"/>
            </w:tcBorders>
            <w:shd w:val="clear" w:color="auto" w:fill="auto"/>
            <w:noWrap/>
            <w:vAlign w:val="bottom"/>
            <w:hideMark/>
          </w:tcPr>
          <w:p w14:paraId="67199CD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7AAE62A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2FDB37AE"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859381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University of Tasmania</w:t>
            </w:r>
          </w:p>
        </w:tc>
        <w:tc>
          <w:tcPr>
            <w:tcW w:w="1417" w:type="dxa"/>
            <w:tcBorders>
              <w:top w:val="single" w:sz="4" w:space="0" w:color="000000" w:themeColor="text1"/>
              <w:bottom w:val="single" w:sz="4" w:space="0" w:color="000000" w:themeColor="text1"/>
            </w:tcBorders>
            <w:shd w:val="clear" w:color="auto" w:fill="auto"/>
            <w:noWrap/>
            <w:vAlign w:val="bottom"/>
            <w:hideMark/>
          </w:tcPr>
          <w:p w14:paraId="41C9E22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w:t>
            </w:r>
          </w:p>
        </w:tc>
        <w:tc>
          <w:tcPr>
            <w:tcW w:w="993" w:type="dxa"/>
            <w:tcBorders>
              <w:top w:val="single" w:sz="4" w:space="0" w:color="000000" w:themeColor="text1"/>
              <w:bottom w:val="single" w:sz="4" w:space="0" w:color="000000" w:themeColor="text1"/>
            </w:tcBorders>
            <w:shd w:val="clear" w:color="auto" w:fill="auto"/>
            <w:noWrap/>
            <w:vAlign w:val="bottom"/>
            <w:hideMark/>
          </w:tcPr>
          <w:p w14:paraId="78F618E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7C21984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2E90273D"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7F3D31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Burnet Institute</w:t>
            </w:r>
          </w:p>
        </w:tc>
        <w:tc>
          <w:tcPr>
            <w:tcW w:w="1417" w:type="dxa"/>
            <w:tcBorders>
              <w:top w:val="single" w:sz="4" w:space="0" w:color="000000" w:themeColor="text1"/>
              <w:bottom w:val="single" w:sz="4" w:space="0" w:color="000000" w:themeColor="text1"/>
            </w:tcBorders>
            <w:shd w:val="clear" w:color="auto" w:fill="auto"/>
            <w:noWrap/>
            <w:vAlign w:val="bottom"/>
            <w:hideMark/>
          </w:tcPr>
          <w:p w14:paraId="2FF5309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3</w:t>
            </w:r>
          </w:p>
        </w:tc>
        <w:tc>
          <w:tcPr>
            <w:tcW w:w="993" w:type="dxa"/>
            <w:tcBorders>
              <w:top w:val="single" w:sz="4" w:space="0" w:color="000000" w:themeColor="text1"/>
              <w:bottom w:val="single" w:sz="4" w:space="0" w:color="000000" w:themeColor="text1"/>
            </w:tcBorders>
            <w:shd w:val="clear" w:color="auto" w:fill="auto"/>
            <w:noWrap/>
            <w:vAlign w:val="bottom"/>
            <w:hideMark/>
          </w:tcPr>
          <w:p w14:paraId="6C5686B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1066CF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76269364"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B3E164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Menzies School of Health Research</w:t>
            </w:r>
          </w:p>
        </w:tc>
        <w:tc>
          <w:tcPr>
            <w:tcW w:w="1417" w:type="dxa"/>
            <w:tcBorders>
              <w:top w:val="single" w:sz="4" w:space="0" w:color="000000" w:themeColor="text1"/>
              <w:bottom w:val="single" w:sz="4" w:space="0" w:color="000000" w:themeColor="text1"/>
            </w:tcBorders>
            <w:shd w:val="clear" w:color="auto" w:fill="auto"/>
            <w:noWrap/>
            <w:vAlign w:val="bottom"/>
            <w:hideMark/>
          </w:tcPr>
          <w:p w14:paraId="47E9170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3</w:t>
            </w:r>
          </w:p>
        </w:tc>
        <w:tc>
          <w:tcPr>
            <w:tcW w:w="993" w:type="dxa"/>
            <w:tcBorders>
              <w:top w:val="single" w:sz="4" w:space="0" w:color="000000" w:themeColor="text1"/>
              <w:bottom w:val="single" w:sz="4" w:space="0" w:color="000000" w:themeColor="text1"/>
            </w:tcBorders>
            <w:shd w:val="clear" w:color="auto" w:fill="auto"/>
            <w:noWrap/>
            <w:vAlign w:val="bottom"/>
            <w:hideMark/>
          </w:tcPr>
          <w:p w14:paraId="5424553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5780757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1232AE68"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40F162A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Australian National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0761ABB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993" w:type="dxa"/>
            <w:tcBorders>
              <w:top w:val="single" w:sz="4" w:space="0" w:color="000000" w:themeColor="text1"/>
              <w:bottom w:val="single" w:sz="4" w:space="0" w:color="000000" w:themeColor="text1"/>
            </w:tcBorders>
            <w:shd w:val="clear" w:color="auto" w:fill="auto"/>
            <w:noWrap/>
            <w:vAlign w:val="bottom"/>
            <w:hideMark/>
          </w:tcPr>
          <w:p w14:paraId="490503D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6D34808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$1,553,569</w:t>
            </w:r>
          </w:p>
        </w:tc>
      </w:tr>
      <w:tr w:rsidR="0046294D" w:rsidRPr="007D547A" w14:paraId="304F9A1D"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3D5981A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Central Queensland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2DCFD48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993" w:type="dxa"/>
            <w:tcBorders>
              <w:top w:val="single" w:sz="4" w:space="0" w:color="000000" w:themeColor="text1"/>
              <w:bottom w:val="single" w:sz="4" w:space="0" w:color="000000" w:themeColor="text1"/>
            </w:tcBorders>
            <w:shd w:val="clear" w:color="auto" w:fill="auto"/>
            <w:noWrap/>
            <w:vAlign w:val="bottom"/>
            <w:hideMark/>
          </w:tcPr>
          <w:p w14:paraId="19186E3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5F3AD6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4D7E280B"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78D81AA1"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Commonwealth Scientific and Industrial Research Organisation</w:t>
            </w:r>
          </w:p>
        </w:tc>
        <w:tc>
          <w:tcPr>
            <w:tcW w:w="1417" w:type="dxa"/>
            <w:tcBorders>
              <w:top w:val="single" w:sz="4" w:space="0" w:color="000000" w:themeColor="text1"/>
              <w:bottom w:val="single" w:sz="4" w:space="0" w:color="000000" w:themeColor="text1"/>
            </w:tcBorders>
            <w:shd w:val="clear" w:color="auto" w:fill="auto"/>
            <w:noWrap/>
            <w:vAlign w:val="bottom"/>
            <w:hideMark/>
          </w:tcPr>
          <w:p w14:paraId="1582995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993" w:type="dxa"/>
            <w:tcBorders>
              <w:top w:val="single" w:sz="4" w:space="0" w:color="000000" w:themeColor="text1"/>
              <w:bottom w:val="single" w:sz="4" w:space="0" w:color="000000" w:themeColor="text1"/>
            </w:tcBorders>
            <w:shd w:val="clear" w:color="auto" w:fill="auto"/>
            <w:noWrap/>
            <w:vAlign w:val="bottom"/>
            <w:hideMark/>
          </w:tcPr>
          <w:p w14:paraId="4E42367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1DBF431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7FA0A62"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7BD3018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Swinburne University of Technology</w:t>
            </w:r>
          </w:p>
        </w:tc>
        <w:tc>
          <w:tcPr>
            <w:tcW w:w="1417" w:type="dxa"/>
            <w:tcBorders>
              <w:top w:val="single" w:sz="4" w:space="0" w:color="000000" w:themeColor="text1"/>
              <w:bottom w:val="single" w:sz="4" w:space="0" w:color="000000" w:themeColor="text1"/>
            </w:tcBorders>
            <w:shd w:val="clear" w:color="auto" w:fill="auto"/>
            <w:noWrap/>
            <w:vAlign w:val="bottom"/>
            <w:hideMark/>
          </w:tcPr>
          <w:p w14:paraId="68EEF94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993" w:type="dxa"/>
            <w:tcBorders>
              <w:top w:val="single" w:sz="4" w:space="0" w:color="000000" w:themeColor="text1"/>
              <w:bottom w:val="single" w:sz="4" w:space="0" w:color="000000" w:themeColor="text1"/>
            </w:tcBorders>
            <w:shd w:val="clear" w:color="auto" w:fill="auto"/>
            <w:noWrap/>
            <w:vAlign w:val="bottom"/>
            <w:hideMark/>
          </w:tcPr>
          <w:p w14:paraId="32DDF33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54AF73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A80C1BA"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7E6D4DE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Victoria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4252A43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w:t>
            </w:r>
          </w:p>
        </w:tc>
        <w:tc>
          <w:tcPr>
            <w:tcW w:w="993" w:type="dxa"/>
            <w:tcBorders>
              <w:top w:val="single" w:sz="4" w:space="0" w:color="000000" w:themeColor="text1"/>
              <w:bottom w:val="single" w:sz="4" w:space="0" w:color="000000" w:themeColor="text1"/>
            </w:tcBorders>
            <w:shd w:val="clear" w:color="auto" w:fill="auto"/>
            <w:noWrap/>
            <w:vAlign w:val="bottom"/>
            <w:hideMark/>
          </w:tcPr>
          <w:p w14:paraId="77735B7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81F0E9F"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034E7E81"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894DFD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Australian Catholic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325C7B86"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20FB888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00E599E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3D386EA6"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7557BBD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Cancer Council Victoria</w:t>
            </w:r>
          </w:p>
        </w:tc>
        <w:tc>
          <w:tcPr>
            <w:tcW w:w="1417" w:type="dxa"/>
            <w:tcBorders>
              <w:top w:val="single" w:sz="4" w:space="0" w:color="000000" w:themeColor="text1"/>
              <w:bottom w:val="single" w:sz="4" w:space="0" w:color="000000" w:themeColor="text1"/>
            </w:tcBorders>
            <w:shd w:val="clear" w:color="auto" w:fill="auto"/>
            <w:noWrap/>
            <w:vAlign w:val="bottom"/>
            <w:hideMark/>
          </w:tcPr>
          <w:p w14:paraId="41CDBCB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0CCDC46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2D2D483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57EF045D"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38F9BC2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Centre for Eye Research Australia Limited</w:t>
            </w:r>
          </w:p>
        </w:tc>
        <w:tc>
          <w:tcPr>
            <w:tcW w:w="1417" w:type="dxa"/>
            <w:tcBorders>
              <w:top w:val="single" w:sz="4" w:space="0" w:color="000000" w:themeColor="text1"/>
              <w:bottom w:val="single" w:sz="4" w:space="0" w:color="000000" w:themeColor="text1"/>
            </w:tcBorders>
            <w:shd w:val="clear" w:color="auto" w:fill="auto"/>
            <w:noWrap/>
            <w:vAlign w:val="bottom"/>
            <w:hideMark/>
          </w:tcPr>
          <w:p w14:paraId="5FB3386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7988596D"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DB29AF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65EB4A9D"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7874472"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Institute for Breathing and Sleep</w:t>
            </w:r>
          </w:p>
        </w:tc>
        <w:tc>
          <w:tcPr>
            <w:tcW w:w="1417" w:type="dxa"/>
            <w:tcBorders>
              <w:top w:val="single" w:sz="4" w:space="0" w:color="000000" w:themeColor="text1"/>
              <w:bottom w:val="single" w:sz="4" w:space="0" w:color="000000" w:themeColor="text1"/>
            </w:tcBorders>
            <w:shd w:val="clear" w:color="auto" w:fill="auto"/>
            <w:noWrap/>
            <w:vAlign w:val="bottom"/>
            <w:hideMark/>
          </w:tcPr>
          <w:p w14:paraId="6B59890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64EAB38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0EB58CE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47C24359"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E9A5AEE"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James Cook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529F138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3BBD35A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38DB150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5A935100"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29E81B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Murdoch University</w:t>
            </w:r>
          </w:p>
        </w:tc>
        <w:tc>
          <w:tcPr>
            <w:tcW w:w="1417" w:type="dxa"/>
            <w:tcBorders>
              <w:top w:val="single" w:sz="4" w:space="0" w:color="000000" w:themeColor="text1"/>
              <w:bottom w:val="single" w:sz="4" w:space="0" w:color="000000" w:themeColor="text1"/>
            </w:tcBorders>
            <w:shd w:val="clear" w:color="auto" w:fill="auto"/>
            <w:noWrap/>
            <w:vAlign w:val="bottom"/>
            <w:hideMark/>
          </w:tcPr>
          <w:p w14:paraId="15E29E1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31D7F868"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47386BF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7CCB048E"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60975E8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Royal Brisbane and Women's Hospital Foundation</w:t>
            </w:r>
          </w:p>
        </w:tc>
        <w:tc>
          <w:tcPr>
            <w:tcW w:w="1417" w:type="dxa"/>
            <w:tcBorders>
              <w:top w:val="single" w:sz="4" w:space="0" w:color="000000" w:themeColor="text1"/>
              <w:bottom w:val="single" w:sz="4" w:space="0" w:color="000000" w:themeColor="text1"/>
            </w:tcBorders>
            <w:shd w:val="clear" w:color="auto" w:fill="auto"/>
            <w:noWrap/>
            <w:vAlign w:val="bottom"/>
            <w:hideMark/>
          </w:tcPr>
          <w:p w14:paraId="2A11CEE9"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083B9C2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763F7DD3"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1248B00F"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137AB400"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South Australian Health and Medical Research Institute Limited</w:t>
            </w:r>
          </w:p>
        </w:tc>
        <w:tc>
          <w:tcPr>
            <w:tcW w:w="1417" w:type="dxa"/>
            <w:tcBorders>
              <w:top w:val="single" w:sz="4" w:space="0" w:color="000000" w:themeColor="text1"/>
              <w:bottom w:val="single" w:sz="4" w:space="0" w:color="000000" w:themeColor="text1"/>
            </w:tcBorders>
            <w:shd w:val="clear" w:color="auto" w:fill="auto"/>
            <w:noWrap/>
            <w:vAlign w:val="bottom"/>
            <w:hideMark/>
          </w:tcPr>
          <w:p w14:paraId="6558139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7EF3FBB7"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c>
          <w:tcPr>
            <w:tcW w:w="1417" w:type="dxa"/>
            <w:tcBorders>
              <w:top w:val="single" w:sz="4" w:space="0" w:color="000000" w:themeColor="text1"/>
              <w:bottom w:val="single" w:sz="4" w:space="0" w:color="000000" w:themeColor="text1"/>
            </w:tcBorders>
            <w:shd w:val="clear" w:color="auto" w:fill="auto"/>
            <w:noWrap/>
            <w:vAlign w:val="bottom"/>
            <w:hideMark/>
          </w:tcPr>
          <w:p w14:paraId="094AB685"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$0</w:t>
            </w:r>
          </w:p>
        </w:tc>
      </w:tr>
      <w:tr w:rsidR="0046294D" w:rsidRPr="007D547A" w14:paraId="045ED9AE" w14:textId="77777777" w:rsidTr="00B95348">
        <w:trPr>
          <w:trHeight w:val="227"/>
        </w:trPr>
        <w:tc>
          <w:tcPr>
            <w:tcW w:w="5382" w:type="dxa"/>
            <w:tcBorders>
              <w:top w:val="single" w:sz="4" w:space="0" w:color="000000" w:themeColor="text1"/>
              <w:bottom w:val="single" w:sz="4" w:space="0" w:color="000000" w:themeColor="text1"/>
            </w:tcBorders>
            <w:shd w:val="clear" w:color="auto" w:fill="auto"/>
            <w:noWrap/>
            <w:vAlign w:val="bottom"/>
            <w:hideMark/>
          </w:tcPr>
          <w:p w14:paraId="0996FB94"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St Vincent's Institute of Medical Research</w:t>
            </w:r>
          </w:p>
        </w:tc>
        <w:tc>
          <w:tcPr>
            <w:tcW w:w="1417" w:type="dxa"/>
            <w:tcBorders>
              <w:top w:val="single" w:sz="4" w:space="0" w:color="000000" w:themeColor="text1"/>
              <w:bottom w:val="single" w:sz="4" w:space="0" w:color="000000" w:themeColor="text1"/>
            </w:tcBorders>
            <w:shd w:val="clear" w:color="auto" w:fill="auto"/>
            <w:noWrap/>
            <w:vAlign w:val="bottom"/>
            <w:hideMark/>
          </w:tcPr>
          <w:p w14:paraId="003E253A"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993" w:type="dxa"/>
            <w:tcBorders>
              <w:top w:val="single" w:sz="4" w:space="0" w:color="000000" w:themeColor="text1"/>
              <w:bottom w:val="single" w:sz="4" w:space="0" w:color="000000" w:themeColor="text1"/>
            </w:tcBorders>
            <w:shd w:val="clear" w:color="auto" w:fill="auto"/>
            <w:noWrap/>
            <w:vAlign w:val="bottom"/>
            <w:hideMark/>
          </w:tcPr>
          <w:p w14:paraId="6B26C7FB"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1</w:t>
            </w:r>
          </w:p>
        </w:tc>
        <w:tc>
          <w:tcPr>
            <w:tcW w:w="1417" w:type="dxa"/>
            <w:tcBorders>
              <w:top w:val="single" w:sz="4" w:space="0" w:color="000000" w:themeColor="text1"/>
              <w:bottom w:val="single" w:sz="4" w:space="0" w:color="000000" w:themeColor="text1"/>
            </w:tcBorders>
            <w:shd w:val="clear" w:color="auto" w:fill="auto"/>
            <w:noWrap/>
            <w:vAlign w:val="bottom"/>
            <w:hideMark/>
          </w:tcPr>
          <w:p w14:paraId="3AA5C40C" w14:textId="77777777"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$570,744</w:t>
            </w:r>
          </w:p>
        </w:tc>
      </w:tr>
      <w:tr w:rsidR="0046294D" w:rsidRPr="007D547A" w14:paraId="24CFBEF3" w14:textId="77777777" w:rsidTr="00B95348">
        <w:trPr>
          <w:trHeight w:val="227"/>
        </w:trPr>
        <w:tc>
          <w:tcPr>
            <w:tcW w:w="5382" w:type="dxa"/>
            <w:tcBorders>
              <w:top w:val="single" w:sz="4" w:space="0" w:color="000000" w:themeColor="text1"/>
              <w:bottom w:val="single" w:sz="4" w:space="0" w:color="auto"/>
            </w:tcBorders>
            <w:shd w:val="clear" w:color="auto" w:fill="auto"/>
            <w:noWrap/>
            <w:vAlign w:val="bottom"/>
          </w:tcPr>
          <w:p w14:paraId="7BB04136" w14:textId="3D2FC415"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All Organisations</w:t>
            </w:r>
          </w:p>
        </w:tc>
        <w:tc>
          <w:tcPr>
            <w:tcW w:w="1417" w:type="dxa"/>
            <w:tcBorders>
              <w:top w:val="single" w:sz="4" w:space="0" w:color="000000" w:themeColor="text1"/>
              <w:bottom w:val="single" w:sz="4" w:space="0" w:color="auto"/>
            </w:tcBorders>
            <w:shd w:val="clear" w:color="auto" w:fill="auto"/>
            <w:noWrap/>
            <w:vAlign w:val="bottom"/>
          </w:tcPr>
          <w:p w14:paraId="33C2ABC1" w14:textId="72BBE595"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428</w:t>
            </w:r>
          </w:p>
        </w:tc>
        <w:tc>
          <w:tcPr>
            <w:tcW w:w="993" w:type="dxa"/>
            <w:tcBorders>
              <w:top w:val="single" w:sz="4" w:space="0" w:color="000000" w:themeColor="text1"/>
              <w:bottom w:val="single" w:sz="4" w:space="0" w:color="auto"/>
            </w:tcBorders>
            <w:shd w:val="clear" w:color="auto" w:fill="auto"/>
            <w:noWrap/>
            <w:vAlign w:val="bottom"/>
          </w:tcPr>
          <w:p w14:paraId="4E43DDC2" w14:textId="2D6377B2"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23</w:t>
            </w:r>
          </w:p>
        </w:tc>
        <w:tc>
          <w:tcPr>
            <w:tcW w:w="1417" w:type="dxa"/>
            <w:tcBorders>
              <w:top w:val="single" w:sz="4" w:space="0" w:color="000000" w:themeColor="text1"/>
              <w:bottom w:val="single" w:sz="4" w:space="0" w:color="auto"/>
            </w:tcBorders>
            <w:shd w:val="clear" w:color="auto" w:fill="auto"/>
            <w:noWrap/>
            <w:vAlign w:val="bottom"/>
          </w:tcPr>
          <w:p w14:paraId="1C9F42BB" w14:textId="5BF3B729" w:rsidR="0046294D" w:rsidRPr="007D547A" w:rsidRDefault="0046294D" w:rsidP="00690414">
            <w:pPr>
              <w:rPr>
                <w:rFonts w:cs="Arial"/>
                <w:color w:val="000000"/>
                <w:sz w:val="18"/>
                <w:szCs w:val="18"/>
                <w:lang w:eastAsia="en-AU"/>
              </w:rPr>
            </w:pPr>
            <w:r w:rsidRPr="007D547A">
              <w:rPr>
                <w:rFonts w:cs="Arial"/>
                <w:color w:val="000000"/>
                <w:sz w:val="18"/>
                <w:szCs w:val="18"/>
                <w:lang w:eastAsia="en-AU"/>
              </w:rPr>
              <w:t>$42,800,000</w:t>
            </w:r>
          </w:p>
        </w:tc>
      </w:tr>
    </w:tbl>
    <w:p w14:paraId="6B4BE105" w14:textId="17FD278B" w:rsidR="007D547A" w:rsidRDefault="007D547A" w:rsidP="00690414">
      <w:pPr>
        <w:pStyle w:val="Paragraphtext"/>
      </w:pPr>
      <w:bookmarkStart w:id="26" w:name="_Toc96522284"/>
    </w:p>
    <w:p w14:paraId="65E2B272" w14:textId="23224EC9" w:rsidR="007D547A" w:rsidRDefault="007D547A" w:rsidP="007D547A">
      <w:pPr>
        <w:pStyle w:val="Paragraphtext"/>
      </w:pPr>
    </w:p>
    <w:p w14:paraId="76353F32" w14:textId="77777777" w:rsidR="00147D2A" w:rsidRDefault="00147D2A" w:rsidP="007D547A">
      <w:pPr>
        <w:pStyle w:val="Paragraphtext"/>
      </w:pPr>
    </w:p>
    <w:p w14:paraId="6C176E3E" w14:textId="581A240F" w:rsidR="00C47AE9" w:rsidRPr="001B14FC" w:rsidRDefault="00AE7C4C" w:rsidP="00651510">
      <w:pPr>
        <w:pStyle w:val="Heading1"/>
      </w:pPr>
      <w:bookmarkStart w:id="27" w:name="_Toc131338412"/>
      <w:r>
        <w:lastRenderedPageBreak/>
        <w:t>A</w:t>
      </w:r>
      <w:r w:rsidR="00D349FC">
        <w:t>ppendix</w:t>
      </w:r>
      <w:r w:rsidR="00831A6E">
        <w:t xml:space="preserve"> A. </w:t>
      </w:r>
      <w:r w:rsidR="00D349FC">
        <w:t xml:space="preserve"> </w:t>
      </w:r>
      <w:r w:rsidR="00C47AE9">
        <w:t xml:space="preserve">The </w:t>
      </w:r>
      <w:bookmarkStart w:id="28" w:name="_Hlk129560688"/>
      <w:r w:rsidR="00C47AE9">
        <w:t>MRFF Early to Mid-Career Researcher Initiative</w:t>
      </w:r>
      <w:bookmarkEnd w:id="27"/>
    </w:p>
    <w:bookmarkEnd w:id="28"/>
    <w:p w14:paraId="59ED38DB" w14:textId="77777777" w:rsidR="00C47AE9" w:rsidRPr="00340E8D" w:rsidRDefault="00C47AE9" w:rsidP="00503F26">
      <w:pPr>
        <w:pStyle w:val="Paragraphtext"/>
        <w:spacing w:before="120"/>
        <w:jc w:val="both"/>
        <w:rPr>
          <w:szCs w:val="21"/>
        </w:rPr>
      </w:pPr>
      <w:r w:rsidRPr="00340E8D">
        <w:rPr>
          <w:szCs w:val="21"/>
        </w:rPr>
        <w:t xml:space="preserve">The Medical Research Future Fund (MRFF) is a $20 billion long-term investment supporting Australian health and medical research. The MRFF aims to transform health and medical research and innovation to improve lives, build the economy and contribute to health system sustainability. </w:t>
      </w:r>
    </w:p>
    <w:p w14:paraId="7CAB1EF8" w14:textId="2FBBD243" w:rsidR="00C47AE9" w:rsidRPr="00340E8D" w:rsidRDefault="00C47AE9" w:rsidP="00503F26">
      <w:pPr>
        <w:pStyle w:val="Paragraphtext"/>
        <w:spacing w:before="120"/>
        <w:jc w:val="both"/>
        <w:rPr>
          <w:szCs w:val="21"/>
        </w:rPr>
      </w:pPr>
      <w:r w:rsidRPr="00340E8D">
        <w:rPr>
          <w:szCs w:val="21"/>
        </w:rPr>
        <w:t>Early to Mid-Career Researchers (EMCR) are researchers in the first 10 years of employment since completing postgraduate research training (excluding career disruptions). The Department started consultation with EMCRs in early 2021 to find out what might support the next generation of health and medical research leaders to meet the challenges of improving the health of Australians. Subsequently two roundtables were held, and the outcomes were published on the Department</w:t>
      </w:r>
      <w:r w:rsidR="00701735">
        <w:rPr>
          <w:szCs w:val="21"/>
        </w:rPr>
        <w:t>’</w:t>
      </w:r>
      <w:r w:rsidRPr="00340E8D">
        <w:rPr>
          <w:szCs w:val="21"/>
        </w:rPr>
        <w:t xml:space="preserve">s website.  </w:t>
      </w:r>
    </w:p>
    <w:p w14:paraId="4BD00222" w14:textId="77777777" w:rsidR="00C47AE9" w:rsidRPr="00340E8D" w:rsidRDefault="00636337" w:rsidP="00B63C0E">
      <w:pPr>
        <w:pStyle w:val="Paragraphtext"/>
        <w:numPr>
          <w:ilvl w:val="0"/>
          <w:numId w:val="11"/>
        </w:numPr>
        <w:spacing w:before="120"/>
        <w:jc w:val="both"/>
        <w:rPr>
          <w:szCs w:val="21"/>
        </w:rPr>
      </w:pPr>
      <w:hyperlink r:id="rId37" w:history="1">
        <w:r w:rsidR="00C47AE9" w:rsidRPr="00340E8D">
          <w:rPr>
            <w:rStyle w:val="Hyperlink"/>
            <w:szCs w:val="21"/>
          </w:rPr>
          <w:t>MRFF Health and Medical Research Early to Mid-Career Researchers Roundtable – 6 May 2021</w:t>
        </w:r>
      </w:hyperlink>
    </w:p>
    <w:p w14:paraId="05EEBDE1" w14:textId="77777777" w:rsidR="00C47AE9" w:rsidRPr="00340E8D" w:rsidRDefault="00636337" w:rsidP="00B63C0E">
      <w:pPr>
        <w:pStyle w:val="Paragraphtext"/>
        <w:numPr>
          <w:ilvl w:val="0"/>
          <w:numId w:val="11"/>
        </w:numPr>
        <w:spacing w:before="120"/>
        <w:jc w:val="both"/>
        <w:rPr>
          <w:szCs w:val="21"/>
        </w:rPr>
      </w:pPr>
      <w:hyperlink r:id="rId38" w:anchor=":%7E:text=Description%3A,roundtable%20on%2014%20October%202021." w:history="1">
        <w:r w:rsidR="00C47AE9" w:rsidRPr="00340E8D">
          <w:rPr>
            <w:rStyle w:val="Hyperlink"/>
            <w:szCs w:val="21"/>
          </w:rPr>
          <w:t>MRFF Health Early to Mid-Career Researchers Stakeholder Roundtable – 14 October 2021</w:t>
        </w:r>
      </w:hyperlink>
    </w:p>
    <w:p w14:paraId="32F706F4" w14:textId="77777777" w:rsidR="00C47AE9" w:rsidRPr="00340E8D" w:rsidRDefault="00C47AE9" w:rsidP="00503F26">
      <w:pPr>
        <w:pStyle w:val="Paragraphtext"/>
        <w:spacing w:before="120"/>
        <w:jc w:val="both"/>
        <w:rPr>
          <w:szCs w:val="21"/>
        </w:rPr>
      </w:pPr>
      <w:r w:rsidRPr="00340E8D">
        <w:rPr>
          <w:szCs w:val="21"/>
        </w:rPr>
        <w:t xml:space="preserve">These consultations helped shape the Early to Mid-Career Researchers initiative which was </w:t>
      </w:r>
      <w:hyperlink r:id="rId39" w:history="1">
        <w:r w:rsidRPr="00340E8D">
          <w:rPr>
            <w:rStyle w:val="Hyperlink"/>
            <w:szCs w:val="21"/>
          </w:rPr>
          <w:t>announced as part of the 2nd 10-year Investment Plan for the Medical Research Future Fund</w:t>
        </w:r>
      </w:hyperlink>
      <w:r w:rsidRPr="00340E8D">
        <w:rPr>
          <w:szCs w:val="21"/>
        </w:rPr>
        <w:t xml:space="preserve">. The Early to Mid-Career Researchers initiative is one of 21 initiatives under the </w:t>
      </w:r>
      <w:hyperlink r:id="rId40" w:history="1">
        <w:r w:rsidRPr="00340E8D">
          <w:rPr>
            <w:rStyle w:val="Hyperlink"/>
            <w:szCs w:val="21"/>
          </w:rPr>
          <w:t>2</w:t>
        </w:r>
        <w:r w:rsidRPr="00340E8D">
          <w:rPr>
            <w:rStyle w:val="Hyperlink"/>
            <w:szCs w:val="21"/>
            <w:vertAlign w:val="superscript"/>
          </w:rPr>
          <w:t>nd</w:t>
        </w:r>
        <w:r w:rsidRPr="00340E8D">
          <w:rPr>
            <w:rStyle w:val="Hyperlink"/>
            <w:szCs w:val="21"/>
          </w:rPr>
          <w:t xml:space="preserve"> 10-year plan of the MRFF</w:t>
        </w:r>
      </w:hyperlink>
      <w:r w:rsidRPr="00340E8D">
        <w:rPr>
          <w:szCs w:val="21"/>
        </w:rPr>
        <w:t xml:space="preserve">.  </w:t>
      </w:r>
    </w:p>
    <w:p w14:paraId="49D28A8B" w14:textId="77777777" w:rsidR="00C47AE9" w:rsidRPr="00340E8D" w:rsidRDefault="00C47AE9" w:rsidP="00503F26">
      <w:pPr>
        <w:pStyle w:val="Paragraphtext"/>
        <w:spacing w:before="120"/>
        <w:jc w:val="both"/>
        <w:rPr>
          <w:szCs w:val="21"/>
        </w:rPr>
      </w:pPr>
      <w:r w:rsidRPr="00340E8D">
        <w:rPr>
          <w:szCs w:val="21"/>
        </w:rPr>
        <w:t>The Early to Mid-Career Researchers initiative will invest $384.2 million over 10 years from 2022-23 in early to mid-career researchers (EMCRs). The EMCR initiative will address the need of emerging leaders by providing targeted funding that enables EMCRs to lead research projects as named investigators. The funding will also encourage EMCRs to collaborate and embed a wider range of perspectives in health and medical research. The initiative will build and grow research capacity and capability in Australia by supporting EMCRs to continue their health and medical research careers.</w:t>
      </w:r>
    </w:p>
    <w:p w14:paraId="2D19D069" w14:textId="77777777" w:rsidR="00C47AE9" w:rsidRPr="00340E8D" w:rsidRDefault="00C47AE9" w:rsidP="00503F26">
      <w:pPr>
        <w:pStyle w:val="Paragraphtext"/>
        <w:spacing w:before="120"/>
        <w:jc w:val="both"/>
        <w:rPr>
          <w:szCs w:val="21"/>
        </w:rPr>
      </w:pPr>
      <w:r w:rsidRPr="00340E8D">
        <w:rPr>
          <w:szCs w:val="21"/>
        </w:rPr>
        <w:t>This initiative will support emerging health and medical research leaders to:</w:t>
      </w:r>
    </w:p>
    <w:p w14:paraId="525D24C9" w14:textId="77777777" w:rsidR="00C47AE9" w:rsidRPr="00340E8D" w:rsidRDefault="00C47AE9" w:rsidP="00503F26">
      <w:pPr>
        <w:pStyle w:val="Paragraphtext"/>
        <w:numPr>
          <w:ilvl w:val="0"/>
          <w:numId w:val="13"/>
        </w:numPr>
        <w:spacing w:before="120"/>
        <w:jc w:val="both"/>
        <w:rPr>
          <w:szCs w:val="21"/>
        </w:rPr>
      </w:pPr>
      <w:r w:rsidRPr="00340E8D">
        <w:rPr>
          <w:szCs w:val="21"/>
        </w:rPr>
        <w:t>make breakthrough discoveries</w:t>
      </w:r>
    </w:p>
    <w:p w14:paraId="5A590849" w14:textId="77777777" w:rsidR="00C47AE9" w:rsidRPr="00340E8D" w:rsidRDefault="00C47AE9" w:rsidP="00503F26">
      <w:pPr>
        <w:pStyle w:val="Paragraphtext"/>
        <w:numPr>
          <w:ilvl w:val="0"/>
          <w:numId w:val="13"/>
        </w:numPr>
        <w:spacing w:before="120"/>
        <w:jc w:val="both"/>
        <w:rPr>
          <w:szCs w:val="21"/>
        </w:rPr>
      </w:pPr>
      <w:r w:rsidRPr="00340E8D">
        <w:rPr>
          <w:szCs w:val="21"/>
        </w:rPr>
        <w:t>address intractable health issues</w:t>
      </w:r>
    </w:p>
    <w:p w14:paraId="249FCD7C" w14:textId="77777777" w:rsidR="00C47AE9" w:rsidRPr="00340E8D" w:rsidRDefault="00C47AE9" w:rsidP="00503F26">
      <w:pPr>
        <w:pStyle w:val="Paragraphtext"/>
        <w:numPr>
          <w:ilvl w:val="0"/>
          <w:numId w:val="13"/>
        </w:numPr>
        <w:spacing w:before="120"/>
        <w:jc w:val="both"/>
        <w:rPr>
          <w:szCs w:val="21"/>
        </w:rPr>
      </w:pPr>
      <w:r w:rsidRPr="00340E8D">
        <w:rPr>
          <w:szCs w:val="21"/>
        </w:rPr>
        <w:t>accelerate research translation</w:t>
      </w:r>
    </w:p>
    <w:p w14:paraId="219AD648" w14:textId="77777777" w:rsidR="00C47AE9" w:rsidRPr="00340E8D" w:rsidRDefault="00C47AE9" w:rsidP="00503F26">
      <w:pPr>
        <w:pStyle w:val="Paragraphtext"/>
        <w:numPr>
          <w:ilvl w:val="0"/>
          <w:numId w:val="13"/>
        </w:numPr>
        <w:spacing w:before="120"/>
        <w:jc w:val="both"/>
        <w:rPr>
          <w:szCs w:val="21"/>
        </w:rPr>
      </w:pPr>
      <w:r w:rsidRPr="00340E8D">
        <w:rPr>
          <w:szCs w:val="21"/>
        </w:rPr>
        <w:t>develop their skills and progress their careers in Australia</w:t>
      </w:r>
    </w:p>
    <w:p w14:paraId="4C1B3F87" w14:textId="77777777" w:rsidR="00C47AE9" w:rsidRPr="00340E8D" w:rsidRDefault="00C47AE9" w:rsidP="00503F26">
      <w:pPr>
        <w:spacing w:before="120"/>
        <w:jc w:val="both"/>
        <w:rPr>
          <w:szCs w:val="21"/>
        </w:rPr>
      </w:pPr>
      <w:r w:rsidRPr="00340E8D">
        <w:rPr>
          <w:szCs w:val="21"/>
        </w:rPr>
        <w:t>This initiative provides dedicated funding streams to capitalise on the new ideas and emerging talent of EMCRs by enabling them to:</w:t>
      </w:r>
    </w:p>
    <w:p w14:paraId="4C6100CC" w14:textId="77777777" w:rsidR="00C47AE9" w:rsidRPr="00340E8D" w:rsidRDefault="00C47AE9" w:rsidP="00503F26">
      <w:pPr>
        <w:pStyle w:val="Paragraphtext"/>
        <w:numPr>
          <w:ilvl w:val="0"/>
          <w:numId w:val="14"/>
        </w:numPr>
        <w:spacing w:before="120"/>
        <w:jc w:val="both"/>
        <w:rPr>
          <w:szCs w:val="21"/>
        </w:rPr>
      </w:pPr>
      <w:r w:rsidRPr="00340E8D">
        <w:rPr>
          <w:szCs w:val="21"/>
        </w:rPr>
        <w:t>address significant health challenges</w:t>
      </w:r>
    </w:p>
    <w:p w14:paraId="40687B62" w14:textId="77777777" w:rsidR="00C47AE9" w:rsidRPr="00340E8D" w:rsidRDefault="00C47AE9" w:rsidP="00503F26">
      <w:pPr>
        <w:pStyle w:val="Paragraphtext"/>
        <w:numPr>
          <w:ilvl w:val="0"/>
          <w:numId w:val="14"/>
        </w:numPr>
        <w:spacing w:before="120"/>
        <w:jc w:val="both"/>
        <w:rPr>
          <w:szCs w:val="21"/>
        </w:rPr>
      </w:pPr>
      <w:r w:rsidRPr="00340E8D">
        <w:rPr>
          <w:szCs w:val="21"/>
        </w:rPr>
        <w:t>undertake novel research</w:t>
      </w:r>
    </w:p>
    <w:p w14:paraId="03524050" w14:textId="77777777" w:rsidR="00C47AE9" w:rsidRPr="00340E8D" w:rsidRDefault="00C47AE9" w:rsidP="00503F26">
      <w:pPr>
        <w:pStyle w:val="Paragraphtext"/>
        <w:numPr>
          <w:ilvl w:val="0"/>
          <w:numId w:val="14"/>
        </w:numPr>
        <w:spacing w:before="120"/>
        <w:jc w:val="both"/>
        <w:rPr>
          <w:szCs w:val="21"/>
        </w:rPr>
      </w:pPr>
      <w:r w:rsidRPr="00340E8D">
        <w:rPr>
          <w:szCs w:val="21"/>
        </w:rPr>
        <w:t>develop new ideas and approaches</w:t>
      </w:r>
    </w:p>
    <w:p w14:paraId="0579EB26" w14:textId="77777777" w:rsidR="00C47AE9" w:rsidRPr="00340E8D" w:rsidRDefault="00C47AE9" w:rsidP="00503F26">
      <w:pPr>
        <w:pStyle w:val="Paragraphtext"/>
        <w:spacing w:before="120"/>
        <w:jc w:val="both"/>
        <w:rPr>
          <w:szCs w:val="21"/>
        </w:rPr>
      </w:pPr>
      <w:r w:rsidRPr="00340E8D">
        <w:rPr>
          <w:szCs w:val="21"/>
        </w:rPr>
        <w:t>There are 3 streams within this initiative:</w:t>
      </w:r>
    </w:p>
    <w:p w14:paraId="313EB91F" w14:textId="77777777" w:rsidR="00C47AE9" w:rsidRPr="00340E8D" w:rsidRDefault="00C47AE9" w:rsidP="00503F26">
      <w:pPr>
        <w:pStyle w:val="Paragraphtext"/>
        <w:numPr>
          <w:ilvl w:val="0"/>
          <w:numId w:val="8"/>
        </w:numPr>
        <w:spacing w:before="120"/>
        <w:jc w:val="both"/>
        <w:rPr>
          <w:szCs w:val="21"/>
        </w:rPr>
      </w:pPr>
      <w:r w:rsidRPr="00340E8D">
        <w:rPr>
          <w:szCs w:val="21"/>
        </w:rPr>
        <w:t>$84 million for early career researchers to develop and test novel solutions for challenging health issues. The incubator grants model will support early-stage small-scale research projects</w:t>
      </w:r>
    </w:p>
    <w:p w14:paraId="136A7B97" w14:textId="1498749B" w:rsidR="00431BCE" w:rsidRPr="00340E8D" w:rsidRDefault="00C47AE9" w:rsidP="00503F26">
      <w:pPr>
        <w:pStyle w:val="Paragraphtext"/>
        <w:numPr>
          <w:ilvl w:val="0"/>
          <w:numId w:val="8"/>
        </w:numPr>
        <w:spacing w:before="120"/>
        <w:jc w:val="both"/>
        <w:rPr>
          <w:szCs w:val="21"/>
        </w:rPr>
      </w:pPr>
      <w:r w:rsidRPr="00340E8D">
        <w:rPr>
          <w:szCs w:val="21"/>
        </w:rPr>
        <w:t>$206 million for mid-career researchers to lead large interdisciplinary teams to drive improvements in health care and/or the health system. The accelerator grants model will fund large-scale programs of work</w:t>
      </w:r>
    </w:p>
    <w:p w14:paraId="1D6AFF36" w14:textId="02D45C84" w:rsidR="00AE3273" w:rsidRPr="00831A6E" w:rsidRDefault="00C47AE9" w:rsidP="00503F26">
      <w:pPr>
        <w:pStyle w:val="Paragraphtext"/>
        <w:numPr>
          <w:ilvl w:val="0"/>
          <w:numId w:val="8"/>
        </w:numPr>
        <w:spacing w:before="120"/>
        <w:jc w:val="both"/>
      </w:pPr>
      <w:r w:rsidRPr="00431BCE">
        <w:rPr>
          <w:szCs w:val="21"/>
        </w:rPr>
        <w:t>$95 million for EMCRs to lead co-funded projects that will accelerate the translation of research outcomes. The targeted call for research model will support collaboration and translation into practice.</w:t>
      </w:r>
      <w:bookmarkEnd w:id="26"/>
    </w:p>
    <w:p w14:paraId="27EDDFCA" w14:textId="56B640AA" w:rsidR="00831A6E" w:rsidRPr="006B4D73" w:rsidRDefault="00831A6E" w:rsidP="006B4D73">
      <w:pPr>
        <w:pStyle w:val="Heading1"/>
      </w:pPr>
      <w:bookmarkStart w:id="29" w:name="_Toc131338413"/>
      <w:r>
        <w:lastRenderedPageBreak/>
        <w:t>Ap</w:t>
      </w:r>
      <w:r w:rsidRPr="006B4D73">
        <w:t>pendix B.  Table of grants awarded</w:t>
      </w:r>
      <w:bookmarkEnd w:id="29"/>
    </w:p>
    <w:p w14:paraId="20365E23" w14:textId="65DEEC0E" w:rsidR="00831A6E" w:rsidRPr="006B4D73" w:rsidRDefault="00831A6E" w:rsidP="006B4D73">
      <w:pPr>
        <w:pStyle w:val="Paragraphtext"/>
      </w:pPr>
    </w:p>
    <w:tbl>
      <w:tblPr>
        <w:tblStyle w:val="MRFF"/>
        <w:tblW w:w="0" w:type="auto"/>
        <w:tblLook w:val="04A0" w:firstRow="1" w:lastRow="0" w:firstColumn="1" w:lastColumn="0" w:noHBand="0" w:noVBand="1"/>
      </w:tblPr>
      <w:tblGrid>
        <w:gridCol w:w="3579"/>
        <w:gridCol w:w="2602"/>
        <w:gridCol w:w="1632"/>
        <w:gridCol w:w="1257"/>
      </w:tblGrid>
      <w:tr w:rsidR="003E1B13" w:rsidRPr="006B4D73" w14:paraId="4622E58B" w14:textId="3B2BCB72" w:rsidTr="00FD0FF9">
        <w:trPr>
          <w:cnfStyle w:val="100000000000" w:firstRow="1" w:lastRow="0" w:firstColumn="0" w:lastColumn="0" w:oddVBand="0" w:evenVBand="0" w:oddHBand="0" w:evenHBand="0" w:firstRowFirstColumn="0" w:firstRowLastColumn="0" w:lastRowFirstColumn="0" w:lastRowLastColumn="0"/>
          <w:cantSplit/>
        </w:trPr>
        <w:tc>
          <w:tcPr>
            <w:tcW w:w="3579" w:type="dxa"/>
          </w:tcPr>
          <w:p w14:paraId="56A12BAD" w14:textId="51D890AE" w:rsidR="003E1B13" w:rsidRPr="006B4D73" w:rsidRDefault="003E1B13" w:rsidP="00690414">
            <w:pPr>
              <w:pStyle w:val="Paragraphtext"/>
            </w:pPr>
            <w:r w:rsidRPr="006B4D73">
              <w:t xml:space="preserve">Project </w:t>
            </w:r>
          </w:p>
        </w:tc>
        <w:tc>
          <w:tcPr>
            <w:tcW w:w="2602" w:type="dxa"/>
          </w:tcPr>
          <w:p w14:paraId="00155DD3" w14:textId="54B21BBC" w:rsidR="003E1B13" w:rsidRPr="006B4D73" w:rsidRDefault="003E1B13" w:rsidP="00690414">
            <w:pPr>
              <w:pStyle w:val="Paragraphtext"/>
            </w:pPr>
            <w:r w:rsidRPr="006B4D73">
              <w:t>Recipient</w:t>
            </w:r>
          </w:p>
        </w:tc>
        <w:tc>
          <w:tcPr>
            <w:tcW w:w="1632" w:type="dxa"/>
          </w:tcPr>
          <w:p w14:paraId="4EBD1030" w14:textId="34211844" w:rsidR="003E1B13" w:rsidRPr="006B4D73" w:rsidRDefault="003E1B13" w:rsidP="00690414">
            <w:pPr>
              <w:pStyle w:val="Paragraphtext"/>
            </w:pPr>
            <w:r w:rsidRPr="006B4D73">
              <w:t>Funding</w:t>
            </w:r>
          </w:p>
        </w:tc>
        <w:tc>
          <w:tcPr>
            <w:tcW w:w="1257" w:type="dxa"/>
          </w:tcPr>
          <w:p w14:paraId="1A28A74A" w14:textId="5EBFE6C7" w:rsidR="003E1B13" w:rsidRPr="006B4D73" w:rsidRDefault="003E1B13" w:rsidP="00690414">
            <w:pPr>
              <w:pStyle w:val="Paragraphtext"/>
            </w:pPr>
            <w:r w:rsidRPr="006B4D73">
              <w:t>Stream</w:t>
            </w:r>
          </w:p>
        </w:tc>
      </w:tr>
      <w:tr w:rsidR="00FD0FF9" w:rsidRPr="006B4D73" w14:paraId="0673EAA0" w14:textId="77777777" w:rsidTr="00FD0FF9">
        <w:trPr>
          <w:cantSplit/>
        </w:trPr>
        <w:tc>
          <w:tcPr>
            <w:tcW w:w="3579" w:type="dxa"/>
          </w:tcPr>
          <w:p w14:paraId="0D1C869F" w14:textId="77777777" w:rsidR="00FD0FF9" w:rsidRPr="006B4D73" w:rsidRDefault="00FD0FF9" w:rsidP="00690414">
            <w:pPr>
              <w:pStyle w:val="Paragraphtext"/>
            </w:pPr>
            <w:r w:rsidRPr="006B4D73">
              <w:t>Treatment of Obsessive-Compulsive Disorder with Transcranial Focused Ultrasound</w:t>
            </w:r>
          </w:p>
        </w:tc>
        <w:tc>
          <w:tcPr>
            <w:tcW w:w="2602" w:type="dxa"/>
          </w:tcPr>
          <w:p w14:paraId="1A654BB8" w14:textId="77777777" w:rsidR="00FD0FF9" w:rsidRPr="006B4D73" w:rsidRDefault="00FD0FF9" w:rsidP="00690414">
            <w:pPr>
              <w:pStyle w:val="Paragraphtext"/>
            </w:pPr>
            <w:r w:rsidRPr="006B4D73">
              <w:t>The Council of the Queensland Institute of Medical Research</w:t>
            </w:r>
          </w:p>
        </w:tc>
        <w:tc>
          <w:tcPr>
            <w:tcW w:w="1632" w:type="dxa"/>
          </w:tcPr>
          <w:p w14:paraId="3B169009" w14:textId="77777777" w:rsidR="00FD0FF9" w:rsidRPr="006B4D73" w:rsidRDefault="00FD0FF9" w:rsidP="00690414">
            <w:pPr>
              <w:pStyle w:val="Paragraphtext"/>
            </w:pPr>
            <w:r w:rsidRPr="006B4D73">
              <w:t>$289,870.25</w:t>
            </w:r>
          </w:p>
        </w:tc>
        <w:tc>
          <w:tcPr>
            <w:tcW w:w="1257" w:type="dxa"/>
          </w:tcPr>
          <w:p w14:paraId="6BA079F7" w14:textId="77777777" w:rsidR="00FD0FF9" w:rsidRPr="006B4D73" w:rsidRDefault="00FD0FF9" w:rsidP="00690414">
            <w:pPr>
              <w:pStyle w:val="Paragraphtext"/>
            </w:pPr>
            <w:r w:rsidRPr="006B4D73">
              <w:t>1</w:t>
            </w:r>
          </w:p>
        </w:tc>
      </w:tr>
      <w:tr w:rsidR="00FD0FF9" w:rsidRPr="006B4D73" w14:paraId="5EAF0322" w14:textId="77777777" w:rsidTr="00FD0FF9">
        <w:trPr>
          <w:cantSplit/>
        </w:trPr>
        <w:tc>
          <w:tcPr>
            <w:tcW w:w="3579" w:type="dxa"/>
          </w:tcPr>
          <w:p w14:paraId="27FCB333" w14:textId="77777777" w:rsidR="00FD0FF9" w:rsidRPr="006B4D73" w:rsidRDefault="00FD0FF9" w:rsidP="00690414">
            <w:pPr>
              <w:pStyle w:val="Paragraphtext"/>
            </w:pPr>
            <w:r w:rsidRPr="006B4D73">
              <w:t xml:space="preserve">Broad-spectrum vaccine design for flaviviruses and </w:t>
            </w:r>
            <w:proofErr w:type="spellStart"/>
            <w:r w:rsidRPr="006B4D73">
              <w:t>henipaviruses</w:t>
            </w:r>
            <w:proofErr w:type="spellEnd"/>
          </w:p>
        </w:tc>
        <w:tc>
          <w:tcPr>
            <w:tcW w:w="2602" w:type="dxa"/>
          </w:tcPr>
          <w:p w14:paraId="24737269" w14:textId="77777777" w:rsidR="00FD0FF9" w:rsidRPr="006B4D73" w:rsidRDefault="00FD0FF9" w:rsidP="00690414">
            <w:pPr>
              <w:pStyle w:val="Paragraphtext"/>
            </w:pPr>
            <w:r w:rsidRPr="006B4D73">
              <w:t>The University of Queensland</w:t>
            </w:r>
          </w:p>
        </w:tc>
        <w:tc>
          <w:tcPr>
            <w:tcW w:w="1632" w:type="dxa"/>
          </w:tcPr>
          <w:p w14:paraId="7BF8F989" w14:textId="77777777" w:rsidR="00FD0FF9" w:rsidRPr="006B4D73" w:rsidRDefault="00FD0FF9" w:rsidP="00690414">
            <w:pPr>
              <w:pStyle w:val="Paragraphtext"/>
            </w:pPr>
            <w:r w:rsidRPr="006B4D73">
              <w:t>$936,701.61</w:t>
            </w:r>
          </w:p>
        </w:tc>
        <w:tc>
          <w:tcPr>
            <w:tcW w:w="1257" w:type="dxa"/>
          </w:tcPr>
          <w:p w14:paraId="198A0358" w14:textId="77777777" w:rsidR="00FD0FF9" w:rsidRPr="006B4D73" w:rsidRDefault="00FD0FF9" w:rsidP="00690414">
            <w:pPr>
              <w:pStyle w:val="Paragraphtext"/>
            </w:pPr>
            <w:r w:rsidRPr="006B4D73">
              <w:t>1</w:t>
            </w:r>
          </w:p>
        </w:tc>
      </w:tr>
      <w:tr w:rsidR="00FD0FF9" w:rsidRPr="006B4D73" w14:paraId="5907BF36" w14:textId="77777777" w:rsidTr="00FD0FF9">
        <w:trPr>
          <w:cantSplit/>
        </w:trPr>
        <w:tc>
          <w:tcPr>
            <w:tcW w:w="3579" w:type="dxa"/>
          </w:tcPr>
          <w:p w14:paraId="25D4B74D" w14:textId="77777777" w:rsidR="00FD0FF9" w:rsidRPr="006B4D73" w:rsidRDefault="00FD0FF9" w:rsidP="00690414">
            <w:pPr>
              <w:pStyle w:val="Paragraphtext"/>
            </w:pPr>
            <w:r w:rsidRPr="006B4D73">
              <w:t>Running for Health: community-based adaptive exercise for cardiorespiratory health in young people with moderate to severe cerebral palsy</w:t>
            </w:r>
          </w:p>
        </w:tc>
        <w:tc>
          <w:tcPr>
            <w:tcW w:w="2602" w:type="dxa"/>
          </w:tcPr>
          <w:p w14:paraId="6C88D0A6" w14:textId="77777777" w:rsidR="00FD0FF9" w:rsidRPr="006B4D73" w:rsidRDefault="00FD0FF9" w:rsidP="00690414">
            <w:pPr>
              <w:pStyle w:val="Paragraphtext"/>
            </w:pPr>
            <w:r w:rsidRPr="006B4D73">
              <w:t>The University of Queensland</w:t>
            </w:r>
          </w:p>
        </w:tc>
        <w:tc>
          <w:tcPr>
            <w:tcW w:w="1632" w:type="dxa"/>
          </w:tcPr>
          <w:p w14:paraId="57B95BAD" w14:textId="77777777" w:rsidR="00FD0FF9" w:rsidRPr="006B4D73" w:rsidRDefault="00FD0FF9" w:rsidP="00690414">
            <w:pPr>
              <w:pStyle w:val="Paragraphtext"/>
            </w:pPr>
            <w:r w:rsidRPr="006B4D73">
              <w:t>$768,886.64</w:t>
            </w:r>
          </w:p>
        </w:tc>
        <w:tc>
          <w:tcPr>
            <w:tcW w:w="1257" w:type="dxa"/>
          </w:tcPr>
          <w:p w14:paraId="7CFEE0EC" w14:textId="77777777" w:rsidR="00FD0FF9" w:rsidRPr="006B4D73" w:rsidRDefault="00FD0FF9" w:rsidP="00690414">
            <w:pPr>
              <w:pStyle w:val="Paragraphtext"/>
            </w:pPr>
            <w:r w:rsidRPr="006B4D73">
              <w:t>1</w:t>
            </w:r>
          </w:p>
        </w:tc>
      </w:tr>
      <w:tr w:rsidR="00FD0FF9" w:rsidRPr="006B4D73" w14:paraId="50ED7D9A" w14:textId="77777777" w:rsidTr="00FD0FF9">
        <w:trPr>
          <w:cantSplit/>
        </w:trPr>
        <w:tc>
          <w:tcPr>
            <w:tcW w:w="3579" w:type="dxa"/>
          </w:tcPr>
          <w:p w14:paraId="193F4FAA" w14:textId="77777777" w:rsidR="00FD0FF9" w:rsidRPr="006B4D73" w:rsidRDefault="00FD0FF9" w:rsidP="00690414">
            <w:pPr>
              <w:pStyle w:val="Paragraphtext"/>
            </w:pPr>
            <w:r w:rsidRPr="006B4D73">
              <w:t>Plasma Flush- translating cold plasma technology as an antimicrobial wound irrigation towards clinical trials</w:t>
            </w:r>
          </w:p>
        </w:tc>
        <w:tc>
          <w:tcPr>
            <w:tcW w:w="2602" w:type="dxa"/>
          </w:tcPr>
          <w:p w14:paraId="2CDFE674" w14:textId="77777777" w:rsidR="00FD0FF9" w:rsidRPr="006B4D73" w:rsidRDefault="00FD0FF9" w:rsidP="00690414">
            <w:pPr>
              <w:pStyle w:val="Paragraphtext"/>
            </w:pPr>
            <w:r w:rsidRPr="006B4D73">
              <w:t>The University of Adelaide</w:t>
            </w:r>
          </w:p>
        </w:tc>
        <w:tc>
          <w:tcPr>
            <w:tcW w:w="1632" w:type="dxa"/>
          </w:tcPr>
          <w:p w14:paraId="2498C4BD" w14:textId="77777777" w:rsidR="00FD0FF9" w:rsidRPr="006B4D73" w:rsidRDefault="00FD0FF9" w:rsidP="00690414">
            <w:pPr>
              <w:pStyle w:val="Paragraphtext"/>
              <w:rPr>
                <w:color w:val="FF0000"/>
              </w:rPr>
            </w:pPr>
            <w:r w:rsidRPr="006B4D73">
              <w:t>$758,437.60</w:t>
            </w:r>
          </w:p>
        </w:tc>
        <w:tc>
          <w:tcPr>
            <w:tcW w:w="1257" w:type="dxa"/>
          </w:tcPr>
          <w:p w14:paraId="13C03CE9" w14:textId="77777777" w:rsidR="00FD0FF9" w:rsidRPr="006B4D73" w:rsidRDefault="00FD0FF9" w:rsidP="00690414">
            <w:pPr>
              <w:pStyle w:val="Paragraphtext"/>
            </w:pPr>
            <w:r w:rsidRPr="006B4D73">
              <w:t>1</w:t>
            </w:r>
          </w:p>
        </w:tc>
      </w:tr>
      <w:tr w:rsidR="00FD0FF9" w:rsidRPr="006B4D73" w14:paraId="2B03EB61" w14:textId="77777777" w:rsidTr="00FD0FF9">
        <w:trPr>
          <w:cantSplit/>
        </w:trPr>
        <w:tc>
          <w:tcPr>
            <w:tcW w:w="3579" w:type="dxa"/>
          </w:tcPr>
          <w:p w14:paraId="41F8574F" w14:textId="77777777" w:rsidR="00FD0FF9" w:rsidRPr="006B4D73" w:rsidRDefault="00FD0FF9" w:rsidP="00690414">
            <w:pPr>
              <w:pStyle w:val="Paragraphtext"/>
            </w:pPr>
            <w:r w:rsidRPr="006B4D73">
              <w:t>Reducing medication-related harm in people living with dementia through community action: Development and testing of novel codesigned medication management resources across care settings</w:t>
            </w:r>
          </w:p>
        </w:tc>
        <w:tc>
          <w:tcPr>
            <w:tcW w:w="2602" w:type="dxa"/>
          </w:tcPr>
          <w:p w14:paraId="6F3A4DC9" w14:textId="77777777" w:rsidR="00FD0FF9" w:rsidRPr="006B4D73" w:rsidRDefault="00FD0FF9" w:rsidP="00690414">
            <w:pPr>
              <w:pStyle w:val="Paragraphtext"/>
            </w:pPr>
            <w:r w:rsidRPr="006B4D73">
              <w:t>University of Sydney</w:t>
            </w:r>
          </w:p>
        </w:tc>
        <w:tc>
          <w:tcPr>
            <w:tcW w:w="1632" w:type="dxa"/>
          </w:tcPr>
          <w:p w14:paraId="2AC6FAED" w14:textId="77777777" w:rsidR="00FD0FF9" w:rsidRPr="006B4D73" w:rsidRDefault="00FD0FF9" w:rsidP="00690414">
            <w:pPr>
              <w:pStyle w:val="Paragraphtext"/>
            </w:pPr>
            <w:r w:rsidRPr="006B4D73">
              <w:t>$664,384.24</w:t>
            </w:r>
          </w:p>
        </w:tc>
        <w:tc>
          <w:tcPr>
            <w:tcW w:w="1257" w:type="dxa"/>
          </w:tcPr>
          <w:p w14:paraId="2E9526F2" w14:textId="77777777" w:rsidR="00FD0FF9" w:rsidRPr="006B4D73" w:rsidRDefault="00FD0FF9" w:rsidP="00690414">
            <w:pPr>
              <w:pStyle w:val="Paragraphtext"/>
            </w:pPr>
            <w:r w:rsidRPr="006B4D73">
              <w:t>1</w:t>
            </w:r>
          </w:p>
        </w:tc>
      </w:tr>
      <w:tr w:rsidR="00FD0FF9" w:rsidRPr="006B4D73" w14:paraId="5D32595E" w14:textId="77777777" w:rsidTr="00FD0FF9">
        <w:trPr>
          <w:cantSplit/>
        </w:trPr>
        <w:tc>
          <w:tcPr>
            <w:tcW w:w="3579" w:type="dxa"/>
          </w:tcPr>
          <w:p w14:paraId="78616213" w14:textId="77777777" w:rsidR="00FD0FF9" w:rsidRPr="006B4D73" w:rsidRDefault="00FD0FF9" w:rsidP="00690414">
            <w:pPr>
              <w:pStyle w:val="Paragraphtext"/>
            </w:pPr>
            <w:r w:rsidRPr="006B4D73">
              <w:t>Repurposing approved drugs for Friedreich’s ataxia heart disease</w:t>
            </w:r>
          </w:p>
        </w:tc>
        <w:tc>
          <w:tcPr>
            <w:tcW w:w="2602" w:type="dxa"/>
          </w:tcPr>
          <w:p w14:paraId="4AFC71C1" w14:textId="77777777" w:rsidR="00FD0FF9" w:rsidRPr="006B4D73" w:rsidRDefault="00FD0FF9" w:rsidP="00690414">
            <w:pPr>
              <w:pStyle w:val="Paragraphtext"/>
            </w:pPr>
            <w:r w:rsidRPr="006B4D73">
              <w:t>St Vincent's Institute of Medical Research</w:t>
            </w:r>
          </w:p>
        </w:tc>
        <w:tc>
          <w:tcPr>
            <w:tcW w:w="1632" w:type="dxa"/>
          </w:tcPr>
          <w:p w14:paraId="51A4E6E2" w14:textId="77777777" w:rsidR="00FD0FF9" w:rsidRPr="006B4D73" w:rsidRDefault="00FD0FF9" w:rsidP="00690414">
            <w:pPr>
              <w:pStyle w:val="Paragraphtext"/>
            </w:pPr>
            <w:r w:rsidRPr="006B4D73">
              <w:t>$570,744.47</w:t>
            </w:r>
          </w:p>
        </w:tc>
        <w:tc>
          <w:tcPr>
            <w:tcW w:w="1257" w:type="dxa"/>
          </w:tcPr>
          <w:p w14:paraId="3E3A49EA" w14:textId="77777777" w:rsidR="00FD0FF9" w:rsidRPr="006B4D73" w:rsidRDefault="00FD0FF9" w:rsidP="00690414">
            <w:pPr>
              <w:pStyle w:val="Paragraphtext"/>
            </w:pPr>
            <w:r w:rsidRPr="006B4D73">
              <w:t>1</w:t>
            </w:r>
          </w:p>
        </w:tc>
      </w:tr>
      <w:tr w:rsidR="00FD0FF9" w:rsidRPr="006B4D73" w14:paraId="5FDA5C4A" w14:textId="77777777" w:rsidTr="00FD0FF9">
        <w:trPr>
          <w:cantSplit/>
        </w:trPr>
        <w:tc>
          <w:tcPr>
            <w:tcW w:w="3579" w:type="dxa"/>
          </w:tcPr>
          <w:p w14:paraId="0F586661" w14:textId="77777777" w:rsidR="00FD0FF9" w:rsidRPr="006B4D73" w:rsidRDefault="00FD0FF9" w:rsidP="00690414">
            <w:pPr>
              <w:pStyle w:val="Paragraphtext"/>
            </w:pPr>
            <w:r w:rsidRPr="006B4D73">
              <w:t>Developing a promoter-less gene therapy approach for haemophilia A</w:t>
            </w:r>
          </w:p>
        </w:tc>
        <w:tc>
          <w:tcPr>
            <w:tcW w:w="2602" w:type="dxa"/>
          </w:tcPr>
          <w:p w14:paraId="4D5C6384" w14:textId="77777777" w:rsidR="00FD0FF9" w:rsidRPr="006B4D73" w:rsidRDefault="00FD0FF9" w:rsidP="00690414">
            <w:pPr>
              <w:pStyle w:val="Paragraphtext"/>
            </w:pPr>
            <w:r w:rsidRPr="006B4D73">
              <w:t>University of Sydney</w:t>
            </w:r>
          </w:p>
        </w:tc>
        <w:tc>
          <w:tcPr>
            <w:tcW w:w="1632" w:type="dxa"/>
          </w:tcPr>
          <w:p w14:paraId="6C629558" w14:textId="77777777" w:rsidR="00FD0FF9" w:rsidRPr="006B4D73" w:rsidRDefault="00FD0FF9" w:rsidP="00690414">
            <w:pPr>
              <w:pStyle w:val="Paragraphtext"/>
            </w:pPr>
            <w:r w:rsidRPr="006B4D73">
              <w:t>$513,720.11</w:t>
            </w:r>
          </w:p>
        </w:tc>
        <w:tc>
          <w:tcPr>
            <w:tcW w:w="1257" w:type="dxa"/>
          </w:tcPr>
          <w:p w14:paraId="1D083B5F" w14:textId="77777777" w:rsidR="00FD0FF9" w:rsidRPr="006B4D73" w:rsidRDefault="00FD0FF9" w:rsidP="00690414">
            <w:pPr>
              <w:pStyle w:val="Paragraphtext"/>
            </w:pPr>
            <w:r w:rsidRPr="006B4D73">
              <w:t>1</w:t>
            </w:r>
          </w:p>
        </w:tc>
      </w:tr>
      <w:tr w:rsidR="00FD0FF9" w:rsidRPr="006B4D73" w14:paraId="7BC4264A" w14:textId="77777777" w:rsidTr="00FD0FF9">
        <w:trPr>
          <w:cantSplit/>
        </w:trPr>
        <w:tc>
          <w:tcPr>
            <w:tcW w:w="3579" w:type="dxa"/>
          </w:tcPr>
          <w:p w14:paraId="1BDCB944" w14:textId="77777777" w:rsidR="00FD0FF9" w:rsidRPr="006B4D73" w:rsidRDefault="00FD0FF9" w:rsidP="00690414">
            <w:pPr>
              <w:pStyle w:val="Paragraphtext"/>
            </w:pPr>
            <w:r w:rsidRPr="006B4D73">
              <w:t>Harnessing nanopore sequencing technology to improve diagnosis of human disease</w:t>
            </w:r>
          </w:p>
        </w:tc>
        <w:tc>
          <w:tcPr>
            <w:tcW w:w="2602" w:type="dxa"/>
          </w:tcPr>
          <w:p w14:paraId="7DBC23D1" w14:textId="77777777" w:rsidR="00FD0FF9" w:rsidRPr="006B4D73" w:rsidRDefault="00FD0FF9" w:rsidP="00690414">
            <w:pPr>
              <w:pStyle w:val="Paragraphtext"/>
            </w:pPr>
            <w:r w:rsidRPr="006B4D73">
              <w:t>University of New South Wales</w:t>
            </w:r>
          </w:p>
        </w:tc>
        <w:tc>
          <w:tcPr>
            <w:tcW w:w="1632" w:type="dxa"/>
          </w:tcPr>
          <w:p w14:paraId="35B6F905" w14:textId="77777777" w:rsidR="00FD0FF9" w:rsidRPr="006B4D73" w:rsidRDefault="00FD0FF9" w:rsidP="00690414">
            <w:pPr>
              <w:pStyle w:val="Paragraphtext"/>
            </w:pPr>
            <w:r w:rsidRPr="006B4D73">
              <w:t>$954,947.75</w:t>
            </w:r>
          </w:p>
        </w:tc>
        <w:tc>
          <w:tcPr>
            <w:tcW w:w="1257" w:type="dxa"/>
          </w:tcPr>
          <w:p w14:paraId="477C0477" w14:textId="77777777" w:rsidR="00FD0FF9" w:rsidRPr="006B4D73" w:rsidRDefault="00FD0FF9" w:rsidP="00690414">
            <w:pPr>
              <w:pStyle w:val="Paragraphtext"/>
            </w:pPr>
            <w:r w:rsidRPr="006B4D73">
              <w:t>1</w:t>
            </w:r>
          </w:p>
        </w:tc>
      </w:tr>
      <w:tr w:rsidR="00FD0FF9" w:rsidRPr="006B4D73" w14:paraId="2C0C9C48" w14:textId="77777777" w:rsidTr="00FD0FF9">
        <w:trPr>
          <w:cantSplit/>
        </w:trPr>
        <w:tc>
          <w:tcPr>
            <w:tcW w:w="3579" w:type="dxa"/>
          </w:tcPr>
          <w:p w14:paraId="61F03303" w14:textId="77777777" w:rsidR="00FD0FF9" w:rsidRPr="006B4D73" w:rsidRDefault="00FD0FF9" w:rsidP="00690414">
            <w:pPr>
              <w:pStyle w:val="Paragraphtext"/>
            </w:pPr>
            <w:r w:rsidRPr="006B4D73">
              <w:t>Learning health systems approach to the diagnosis and management of lower respiratory tract infections in children</w:t>
            </w:r>
          </w:p>
        </w:tc>
        <w:tc>
          <w:tcPr>
            <w:tcW w:w="2602" w:type="dxa"/>
          </w:tcPr>
          <w:p w14:paraId="56E1EA7B" w14:textId="77777777" w:rsidR="00FD0FF9" w:rsidRPr="006B4D73" w:rsidRDefault="00FD0FF9" w:rsidP="00690414">
            <w:pPr>
              <w:pStyle w:val="Paragraphtext"/>
            </w:pPr>
            <w:r w:rsidRPr="006B4D73">
              <w:t>University of Sydney</w:t>
            </w:r>
          </w:p>
        </w:tc>
        <w:tc>
          <w:tcPr>
            <w:tcW w:w="1632" w:type="dxa"/>
          </w:tcPr>
          <w:p w14:paraId="33ED5C35" w14:textId="77777777" w:rsidR="00FD0FF9" w:rsidRPr="006B4D73" w:rsidRDefault="00FD0FF9" w:rsidP="00690414">
            <w:pPr>
              <w:pStyle w:val="Paragraphtext"/>
            </w:pPr>
            <w:r w:rsidRPr="006B4D73">
              <w:t>$958,403.57</w:t>
            </w:r>
          </w:p>
        </w:tc>
        <w:tc>
          <w:tcPr>
            <w:tcW w:w="1257" w:type="dxa"/>
          </w:tcPr>
          <w:p w14:paraId="33F729D5" w14:textId="77777777" w:rsidR="00FD0FF9" w:rsidRPr="006B4D73" w:rsidRDefault="00FD0FF9" w:rsidP="00690414">
            <w:pPr>
              <w:pStyle w:val="Paragraphtext"/>
            </w:pPr>
            <w:r w:rsidRPr="006B4D73">
              <w:t>1</w:t>
            </w:r>
          </w:p>
        </w:tc>
      </w:tr>
      <w:tr w:rsidR="003E1B13" w:rsidRPr="006B4D73" w14:paraId="01B72B1F" w14:textId="24A67150" w:rsidTr="00FD0FF9">
        <w:trPr>
          <w:cantSplit/>
        </w:trPr>
        <w:tc>
          <w:tcPr>
            <w:tcW w:w="3579" w:type="dxa"/>
          </w:tcPr>
          <w:p w14:paraId="43CCE062" w14:textId="218514EC" w:rsidR="003E1B13" w:rsidRPr="006B4D73" w:rsidRDefault="003E1B13" w:rsidP="00690414">
            <w:pPr>
              <w:pStyle w:val="Paragraphtext"/>
            </w:pPr>
            <w:proofErr w:type="spellStart"/>
            <w:r w:rsidRPr="006B4D73">
              <w:t>MandEval</w:t>
            </w:r>
            <w:proofErr w:type="spellEnd"/>
            <w:r w:rsidRPr="006B4D73">
              <w:t>: Effectiveness and Consequences of Australia's COVID-19 Vaccine Mandates</w:t>
            </w:r>
          </w:p>
        </w:tc>
        <w:tc>
          <w:tcPr>
            <w:tcW w:w="2602" w:type="dxa"/>
          </w:tcPr>
          <w:p w14:paraId="25C8F61B" w14:textId="3686246E" w:rsidR="003E1B13" w:rsidRPr="006B4D73" w:rsidRDefault="003E1B13" w:rsidP="00690414">
            <w:pPr>
              <w:pStyle w:val="Paragraphtext"/>
            </w:pPr>
            <w:r w:rsidRPr="006B4D73">
              <w:t>University of Western Australia</w:t>
            </w:r>
          </w:p>
        </w:tc>
        <w:tc>
          <w:tcPr>
            <w:tcW w:w="1632" w:type="dxa"/>
          </w:tcPr>
          <w:p w14:paraId="29962FDE" w14:textId="62E4351B" w:rsidR="003E1B13" w:rsidRPr="006B4D73" w:rsidRDefault="003E1B13" w:rsidP="00690414">
            <w:pPr>
              <w:pStyle w:val="Paragraphtext"/>
            </w:pPr>
            <w:r w:rsidRPr="006B4D73">
              <w:t>$4,754,183.37</w:t>
            </w:r>
          </w:p>
        </w:tc>
        <w:tc>
          <w:tcPr>
            <w:tcW w:w="1257" w:type="dxa"/>
          </w:tcPr>
          <w:p w14:paraId="2055E314" w14:textId="0FBCEE66" w:rsidR="003E1B13" w:rsidRPr="006B4D73" w:rsidRDefault="003E1B13" w:rsidP="00690414">
            <w:pPr>
              <w:pStyle w:val="Paragraphtext"/>
            </w:pPr>
            <w:r w:rsidRPr="006B4D73">
              <w:t>2</w:t>
            </w:r>
          </w:p>
        </w:tc>
      </w:tr>
      <w:tr w:rsidR="00FD0FF9" w:rsidRPr="006B4D73" w14:paraId="6A5BE83A" w14:textId="77777777" w:rsidTr="00FD0FF9">
        <w:trPr>
          <w:cantSplit/>
        </w:trPr>
        <w:tc>
          <w:tcPr>
            <w:tcW w:w="3579" w:type="dxa"/>
          </w:tcPr>
          <w:p w14:paraId="70BEAB2C" w14:textId="659304D2" w:rsidR="00FD0FF9" w:rsidRPr="006B4D73" w:rsidRDefault="00FD0FF9" w:rsidP="00690414">
            <w:pPr>
              <w:pStyle w:val="Paragraphtext"/>
            </w:pPr>
            <w:r w:rsidRPr="006B4D73">
              <w:t>A national critical care research platform to ensure high-quality sepsis care in Australian ICU</w:t>
            </w:r>
            <w:r w:rsidR="00525316" w:rsidRPr="006B4D73">
              <w:t>’</w:t>
            </w:r>
            <w:r w:rsidRPr="006B4D73">
              <w:t>s</w:t>
            </w:r>
          </w:p>
        </w:tc>
        <w:tc>
          <w:tcPr>
            <w:tcW w:w="2602" w:type="dxa"/>
          </w:tcPr>
          <w:p w14:paraId="5DB99A56" w14:textId="77777777" w:rsidR="00FD0FF9" w:rsidRPr="006B4D73" w:rsidRDefault="00FD0FF9" w:rsidP="00690414">
            <w:pPr>
              <w:pStyle w:val="Paragraphtext"/>
            </w:pPr>
            <w:r w:rsidRPr="006B4D73">
              <w:t>Monash University</w:t>
            </w:r>
          </w:p>
        </w:tc>
        <w:tc>
          <w:tcPr>
            <w:tcW w:w="1632" w:type="dxa"/>
          </w:tcPr>
          <w:p w14:paraId="3462D00D" w14:textId="77777777" w:rsidR="00FD0FF9" w:rsidRPr="006B4D73" w:rsidRDefault="00FD0FF9" w:rsidP="00690414">
            <w:pPr>
              <w:pStyle w:val="Paragraphtext"/>
            </w:pPr>
            <w:r w:rsidRPr="006B4D73">
              <w:t>$4,899,778.81</w:t>
            </w:r>
          </w:p>
          <w:p w14:paraId="4DD45166" w14:textId="77777777" w:rsidR="00FD0FF9" w:rsidRPr="006B4D73" w:rsidRDefault="00FD0FF9" w:rsidP="00690414">
            <w:pPr>
              <w:ind w:firstLine="720"/>
            </w:pPr>
          </w:p>
        </w:tc>
        <w:tc>
          <w:tcPr>
            <w:tcW w:w="1257" w:type="dxa"/>
          </w:tcPr>
          <w:p w14:paraId="65438540" w14:textId="77777777" w:rsidR="00FD0FF9" w:rsidRPr="006B4D73" w:rsidRDefault="00FD0FF9" w:rsidP="00690414">
            <w:pPr>
              <w:pStyle w:val="Paragraphtext"/>
            </w:pPr>
            <w:r w:rsidRPr="006B4D73">
              <w:t>2</w:t>
            </w:r>
          </w:p>
        </w:tc>
      </w:tr>
      <w:tr w:rsidR="00FD0FF9" w:rsidRPr="006B4D73" w14:paraId="1D1FAAFB" w14:textId="77777777" w:rsidTr="00FD0FF9">
        <w:trPr>
          <w:cantSplit/>
        </w:trPr>
        <w:tc>
          <w:tcPr>
            <w:tcW w:w="3579" w:type="dxa"/>
          </w:tcPr>
          <w:p w14:paraId="451FD2D9" w14:textId="77777777" w:rsidR="00FD0FF9" w:rsidRPr="006B4D73" w:rsidRDefault="00FD0FF9" w:rsidP="00690414">
            <w:pPr>
              <w:pStyle w:val="Paragraphtext"/>
            </w:pPr>
            <w:r w:rsidRPr="006B4D73">
              <w:t>Transition Compass - Optimising transition from paediatric to adult healthcare services: A randomised controlled trial</w:t>
            </w:r>
          </w:p>
        </w:tc>
        <w:tc>
          <w:tcPr>
            <w:tcW w:w="2602" w:type="dxa"/>
          </w:tcPr>
          <w:p w14:paraId="70E89E54" w14:textId="77777777" w:rsidR="00FD0FF9" w:rsidRPr="006B4D73" w:rsidRDefault="00FD0FF9" w:rsidP="00690414">
            <w:pPr>
              <w:pStyle w:val="Paragraphtext"/>
            </w:pPr>
            <w:r w:rsidRPr="006B4D73">
              <w:t>University of New South Wales</w:t>
            </w:r>
          </w:p>
        </w:tc>
        <w:tc>
          <w:tcPr>
            <w:tcW w:w="1632" w:type="dxa"/>
          </w:tcPr>
          <w:p w14:paraId="270EF201" w14:textId="77777777" w:rsidR="00FD0FF9" w:rsidRPr="006B4D73" w:rsidRDefault="00FD0FF9" w:rsidP="00690414">
            <w:pPr>
              <w:pStyle w:val="Paragraphtext"/>
            </w:pPr>
            <w:r w:rsidRPr="006B4D73">
              <w:t>$4,704,635.53</w:t>
            </w:r>
          </w:p>
        </w:tc>
        <w:tc>
          <w:tcPr>
            <w:tcW w:w="1257" w:type="dxa"/>
          </w:tcPr>
          <w:p w14:paraId="0366E303" w14:textId="77777777" w:rsidR="00FD0FF9" w:rsidRPr="006B4D73" w:rsidRDefault="00FD0FF9" w:rsidP="00690414">
            <w:pPr>
              <w:pStyle w:val="Paragraphtext"/>
            </w:pPr>
            <w:r w:rsidRPr="006B4D73">
              <w:t>2</w:t>
            </w:r>
          </w:p>
        </w:tc>
      </w:tr>
      <w:tr w:rsidR="00FD0FF9" w:rsidRPr="006B4D73" w14:paraId="14661880" w14:textId="77777777" w:rsidTr="00FD0FF9">
        <w:trPr>
          <w:cantSplit/>
        </w:trPr>
        <w:tc>
          <w:tcPr>
            <w:tcW w:w="3579" w:type="dxa"/>
          </w:tcPr>
          <w:p w14:paraId="62EF1E32" w14:textId="77777777" w:rsidR="00FD0FF9" w:rsidRPr="006B4D73" w:rsidRDefault="00FD0FF9" w:rsidP="00690414">
            <w:pPr>
              <w:pStyle w:val="Paragraphtext"/>
            </w:pPr>
            <w:r w:rsidRPr="006B4D73">
              <w:t>The missing heritability of human disease: discovery to implementation</w:t>
            </w:r>
          </w:p>
        </w:tc>
        <w:tc>
          <w:tcPr>
            <w:tcW w:w="2602" w:type="dxa"/>
          </w:tcPr>
          <w:p w14:paraId="0A665B27" w14:textId="77777777" w:rsidR="00FD0FF9" w:rsidRPr="006B4D73" w:rsidRDefault="00FD0FF9" w:rsidP="00690414">
            <w:pPr>
              <w:pStyle w:val="Paragraphtext"/>
            </w:pPr>
            <w:r w:rsidRPr="006B4D73">
              <w:t>University of Western Australia</w:t>
            </w:r>
          </w:p>
        </w:tc>
        <w:tc>
          <w:tcPr>
            <w:tcW w:w="1632" w:type="dxa"/>
          </w:tcPr>
          <w:p w14:paraId="13C3ABBB" w14:textId="77777777" w:rsidR="00FD0FF9" w:rsidRPr="006B4D73" w:rsidRDefault="00FD0FF9" w:rsidP="00690414">
            <w:pPr>
              <w:pStyle w:val="Paragraphtext"/>
            </w:pPr>
            <w:r w:rsidRPr="006B4D73">
              <w:t>$4,877,532.00</w:t>
            </w:r>
          </w:p>
        </w:tc>
        <w:tc>
          <w:tcPr>
            <w:tcW w:w="1257" w:type="dxa"/>
          </w:tcPr>
          <w:p w14:paraId="549FE020" w14:textId="77777777" w:rsidR="00FD0FF9" w:rsidRPr="006B4D73" w:rsidRDefault="00FD0FF9" w:rsidP="00690414">
            <w:pPr>
              <w:pStyle w:val="Paragraphtext"/>
            </w:pPr>
            <w:r w:rsidRPr="006B4D73">
              <w:t>2</w:t>
            </w:r>
          </w:p>
        </w:tc>
      </w:tr>
      <w:tr w:rsidR="00FD0FF9" w:rsidRPr="006B4D73" w14:paraId="4CFD4C74" w14:textId="77777777" w:rsidTr="00FD0FF9">
        <w:trPr>
          <w:cantSplit/>
        </w:trPr>
        <w:tc>
          <w:tcPr>
            <w:tcW w:w="3579" w:type="dxa"/>
          </w:tcPr>
          <w:p w14:paraId="3430BC08" w14:textId="77777777" w:rsidR="00FD0FF9" w:rsidRPr="006B4D73" w:rsidRDefault="00FD0FF9" w:rsidP="00690414">
            <w:pPr>
              <w:pStyle w:val="Paragraphtext"/>
            </w:pPr>
            <w:r w:rsidRPr="006B4D73">
              <w:lastRenderedPageBreak/>
              <w:t xml:space="preserve">MEGA-dose </w:t>
            </w:r>
            <w:proofErr w:type="spellStart"/>
            <w:r w:rsidRPr="006B4D73">
              <w:t>aSCORbatE</w:t>
            </w:r>
            <w:proofErr w:type="spellEnd"/>
            <w:r w:rsidRPr="006B4D73">
              <w:t xml:space="preserve"> for Sepsis (MEGASCORES): An interdisciplinary research program to transform management of sepsis in intensive care units</w:t>
            </w:r>
          </w:p>
        </w:tc>
        <w:tc>
          <w:tcPr>
            <w:tcW w:w="2602" w:type="dxa"/>
          </w:tcPr>
          <w:p w14:paraId="4CAA4BDB" w14:textId="77777777" w:rsidR="00FD0FF9" w:rsidRPr="006B4D73" w:rsidRDefault="00FD0FF9" w:rsidP="00690414">
            <w:pPr>
              <w:pStyle w:val="Paragraphtext"/>
            </w:pPr>
            <w:r w:rsidRPr="006B4D73">
              <w:t>University of Melbourne</w:t>
            </w:r>
          </w:p>
        </w:tc>
        <w:tc>
          <w:tcPr>
            <w:tcW w:w="1632" w:type="dxa"/>
          </w:tcPr>
          <w:p w14:paraId="3C2CFF4E" w14:textId="77777777" w:rsidR="00FD0FF9" w:rsidRPr="006B4D73" w:rsidRDefault="00FD0FF9" w:rsidP="00690414">
            <w:pPr>
              <w:pStyle w:val="Paragraphtext"/>
            </w:pPr>
            <w:r w:rsidRPr="006B4D73">
              <w:t>$4,897,652.65</w:t>
            </w:r>
          </w:p>
        </w:tc>
        <w:tc>
          <w:tcPr>
            <w:tcW w:w="1257" w:type="dxa"/>
          </w:tcPr>
          <w:p w14:paraId="254B18A6" w14:textId="77777777" w:rsidR="00FD0FF9" w:rsidRPr="006B4D73" w:rsidRDefault="00FD0FF9" w:rsidP="00690414">
            <w:pPr>
              <w:pStyle w:val="Paragraphtext"/>
            </w:pPr>
            <w:r w:rsidRPr="006B4D73">
              <w:t>2</w:t>
            </w:r>
          </w:p>
        </w:tc>
      </w:tr>
      <w:tr w:rsidR="00FD0FF9" w:rsidRPr="006B4D73" w14:paraId="3D9CF967" w14:textId="77777777" w:rsidTr="00FD0FF9">
        <w:trPr>
          <w:cantSplit/>
        </w:trPr>
        <w:tc>
          <w:tcPr>
            <w:tcW w:w="3579" w:type="dxa"/>
          </w:tcPr>
          <w:p w14:paraId="10C4B02C" w14:textId="77777777" w:rsidR="00FD0FF9" w:rsidRPr="006B4D73" w:rsidRDefault="00FD0FF9" w:rsidP="00690414">
            <w:pPr>
              <w:pStyle w:val="Paragraphtext"/>
            </w:pPr>
            <w:r w:rsidRPr="006B4D73">
              <w:t>Obstructive sleep apnoea diagnosis and management in First Nations communities: community co-design, local capacity building and place-based models for sustainable success</w:t>
            </w:r>
          </w:p>
        </w:tc>
        <w:tc>
          <w:tcPr>
            <w:tcW w:w="2602" w:type="dxa"/>
          </w:tcPr>
          <w:p w14:paraId="64A73145" w14:textId="77777777" w:rsidR="00FD0FF9" w:rsidRPr="006B4D73" w:rsidRDefault="00FD0FF9" w:rsidP="00690414">
            <w:pPr>
              <w:pStyle w:val="Paragraphtext"/>
            </w:pPr>
            <w:r w:rsidRPr="006B4D73">
              <w:t>The University of Queensland</w:t>
            </w:r>
          </w:p>
        </w:tc>
        <w:tc>
          <w:tcPr>
            <w:tcW w:w="1632" w:type="dxa"/>
          </w:tcPr>
          <w:p w14:paraId="7D1A0120" w14:textId="77777777" w:rsidR="00FD0FF9" w:rsidRPr="006B4D73" w:rsidRDefault="00FD0FF9" w:rsidP="00690414">
            <w:pPr>
              <w:pStyle w:val="Paragraphtext"/>
            </w:pPr>
            <w:r w:rsidRPr="006B4D73">
              <w:t>$4,063,176.88</w:t>
            </w:r>
          </w:p>
        </w:tc>
        <w:tc>
          <w:tcPr>
            <w:tcW w:w="1257" w:type="dxa"/>
          </w:tcPr>
          <w:p w14:paraId="69AA1964" w14:textId="77777777" w:rsidR="00FD0FF9" w:rsidRPr="006B4D73" w:rsidRDefault="00FD0FF9" w:rsidP="00690414">
            <w:pPr>
              <w:pStyle w:val="Paragraphtext"/>
            </w:pPr>
            <w:r w:rsidRPr="006B4D73">
              <w:t>2</w:t>
            </w:r>
          </w:p>
        </w:tc>
      </w:tr>
      <w:tr w:rsidR="003E1B13" w:rsidRPr="006B4D73" w14:paraId="31FAD68E" w14:textId="19F54804" w:rsidTr="00FD0FF9">
        <w:trPr>
          <w:cantSplit/>
        </w:trPr>
        <w:tc>
          <w:tcPr>
            <w:tcW w:w="3579" w:type="dxa"/>
          </w:tcPr>
          <w:p w14:paraId="6AFE0513" w14:textId="4B444537" w:rsidR="003E1B13" w:rsidRPr="006B4D73" w:rsidRDefault="003E1B13" w:rsidP="00690414">
            <w:pPr>
              <w:pStyle w:val="Paragraphtext"/>
            </w:pPr>
            <w:r w:rsidRPr="006B4D73">
              <w:t xml:space="preserve">Better biomarkers for dementia diagnosis: </w:t>
            </w:r>
            <w:proofErr w:type="spellStart"/>
            <w:r w:rsidRPr="006B4D73">
              <w:t>NfL</w:t>
            </w:r>
            <w:proofErr w:type="spellEnd"/>
            <w:r w:rsidRPr="006B4D73">
              <w:t xml:space="preserve"> and Voice Acoustic analysis In Dementia Diagnosis (NAVAIDD)</w:t>
            </w:r>
          </w:p>
        </w:tc>
        <w:tc>
          <w:tcPr>
            <w:tcW w:w="2602" w:type="dxa"/>
          </w:tcPr>
          <w:p w14:paraId="2E158851" w14:textId="091BD786" w:rsidR="003E1B13" w:rsidRPr="006B4D73" w:rsidRDefault="003E1B13" w:rsidP="00690414">
            <w:pPr>
              <w:pStyle w:val="Paragraphtext"/>
            </w:pPr>
            <w:r w:rsidRPr="006B4D73">
              <w:t>Monash University</w:t>
            </w:r>
          </w:p>
        </w:tc>
        <w:tc>
          <w:tcPr>
            <w:tcW w:w="1632" w:type="dxa"/>
          </w:tcPr>
          <w:p w14:paraId="0B1B50E3" w14:textId="2D72C239" w:rsidR="003E1B13" w:rsidRPr="006B4D73" w:rsidRDefault="003E1B13" w:rsidP="00690414">
            <w:pPr>
              <w:pStyle w:val="Paragraphtext"/>
            </w:pPr>
            <w:r w:rsidRPr="006B4D73">
              <w:t>$1,589,171.41</w:t>
            </w:r>
          </w:p>
        </w:tc>
        <w:tc>
          <w:tcPr>
            <w:tcW w:w="1257" w:type="dxa"/>
          </w:tcPr>
          <w:p w14:paraId="71D87B72" w14:textId="17252FEB" w:rsidR="003E1B13" w:rsidRPr="006B4D73" w:rsidRDefault="00D13CDE" w:rsidP="00690414">
            <w:pPr>
              <w:pStyle w:val="Paragraphtext"/>
            </w:pPr>
            <w:r w:rsidRPr="006B4D73">
              <w:t>3</w:t>
            </w:r>
          </w:p>
        </w:tc>
      </w:tr>
      <w:tr w:rsidR="003E1B13" w:rsidRPr="006B4D73" w14:paraId="24484F76" w14:textId="51DD95C2" w:rsidTr="00FD0FF9">
        <w:trPr>
          <w:cantSplit/>
        </w:trPr>
        <w:tc>
          <w:tcPr>
            <w:tcW w:w="3579" w:type="dxa"/>
          </w:tcPr>
          <w:p w14:paraId="0A0F01E1" w14:textId="36C50632" w:rsidR="003E1B13" w:rsidRPr="006B4D73" w:rsidRDefault="003E1B13" w:rsidP="00690414">
            <w:pPr>
              <w:pStyle w:val="Paragraphtext"/>
            </w:pPr>
            <w:r w:rsidRPr="006B4D73">
              <w:t>A biological nerve bridge device for repairing spinal cord injury in humans</w:t>
            </w:r>
          </w:p>
        </w:tc>
        <w:tc>
          <w:tcPr>
            <w:tcW w:w="2602" w:type="dxa"/>
          </w:tcPr>
          <w:p w14:paraId="7CC7BCF9" w14:textId="38E84721" w:rsidR="003E1B13" w:rsidRPr="006B4D73" w:rsidRDefault="003E1B13" w:rsidP="00690414">
            <w:pPr>
              <w:pStyle w:val="Paragraphtext"/>
            </w:pPr>
            <w:r w:rsidRPr="006B4D73">
              <w:t>Griffith University</w:t>
            </w:r>
          </w:p>
        </w:tc>
        <w:tc>
          <w:tcPr>
            <w:tcW w:w="1632" w:type="dxa"/>
          </w:tcPr>
          <w:p w14:paraId="15A98B0E" w14:textId="30348A27" w:rsidR="003E1B13" w:rsidRPr="006B4D73" w:rsidRDefault="003E1B13" w:rsidP="00690414">
            <w:pPr>
              <w:pStyle w:val="Paragraphtext"/>
            </w:pPr>
            <w:r w:rsidRPr="006B4D73">
              <w:t>$761,471.40</w:t>
            </w:r>
          </w:p>
        </w:tc>
        <w:tc>
          <w:tcPr>
            <w:tcW w:w="1257" w:type="dxa"/>
          </w:tcPr>
          <w:p w14:paraId="3CC721FF" w14:textId="007FAD59" w:rsidR="003E1B13" w:rsidRPr="006B4D73" w:rsidRDefault="003E1B13" w:rsidP="00690414">
            <w:pPr>
              <w:pStyle w:val="Paragraphtext"/>
            </w:pPr>
            <w:r w:rsidRPr="006B4D73">
              <w:t>3</w:t>
            </w:r>
          </w:p>
        </w:tc>
      </w:tr>
      <w:tr w:rsidR="003E1B13" w:rsidRPr="006B4D73" w14:paraId="67327779" w14:textId="5C813E25" w:rsidTr="00FD0FF9">
        <w:trPr>
          <w:cantSplit/>
        </w:trPr>
        <w:tc>
          <w:tcPr>
            <w:tcW w:w="3579" w:type="dxa"/>
          </w:tcPr>
          <w:p w14:paraId="2C6D4074" w14:textId="12B2700C" w:rsidR="003E1B13" w:rsidRPr="006B4D73" w:rsidRDefault="003E1B13" w:rsidP="00690414">
            <w:pPr>
              <w:pStyle w:val="Paragraphtext"/>
            </w:pPr>
            <w:r w:rsidRPr="006B4D73">
              <w:t xml:space="preserve">Personalising </w:t>
            </w:r>
            <w:proofErr w:type="gramStart"/>
            <w:r w:rsidRPr="006B4D73">
              <w:t>Innate-immunotherapy</w:t>
            </w:r>
            <w:proofErr w:type="gramEnd"/>
            <w:r w:rsidRPr="006B4D73">
              <w:t xml:space="preserve"> for Superior Treatment Outcomes with Large anticancer applicability (PISTOL)</w:t>
            </w:r>
          </w:p>
        </w:tc>
        <w:tc>
          <w:tcPr>
            <w:tcW w:w="2602" w:type="dxa"/>
          </w:tcPr>
          <w:p w14:paraId="764E7156" w14:textId="24843B7C" w:rsidR="003E1B13" w:rsidRPr="006B4D73" w:rsidRDefault="003E1B13" w:rsidP="00690414">
            <w:pPr>
              <w:pStyle w:val="Paragraphtext"/>
            </w:pPr>
            <w:r w:rsidRPr="006B4D73">
              <w:t>The University of Queensland</w:t>
            </w:r>
          </w:p>
        </w:tc>
        <w:tc>
          <w:tcPr>
            <w:tcW w:w="1632" w:type="dxa"/>
          </w:tcPr>
          <w:p w14:paraId="3A5EF038" w14:textId="0DA6FE30" w:rsidR="003E1B13" w:rsidRPr="006B4D73" w:rsidRDefault="003E1B13" w:rsidP="00690414">
            <w:pPr>
              <w:pStyle w:val="Paragraphtext"/>
            </w:pPr>
            <w:r w:rsidRPr="006B4D73">
              <w:t>$990,020.97</w:t>
            </w:r>
          </w:p>
        </w:tc>
        <w:tc>
          <w:tcPr>
            <w:tcW w:w="1257" w:type="dxa"/>
          </w:tcPr>
          <w:p w14:paraId="6539F6AB" w14:textId="0ACB3120" w:rsidR="003E1B13" w:rsidRPr="006B4D73" w:rsidRDefault="003E1B13" w:rsidP="00690414">
            <w:pPr>
              <w:pStyle w:val="Paragraphtext"/>
            </w:pPr>
            <w:r w:rsidRPr="006B4D73">
              <w:t>3</w:t>
            </w:r>
          </w:p>
        </w:tc>
      </w:tr>
      <w:tr w:rsidR="003E1B13" w:rsidRPr="006B4D73" w14:paraId="0F494C56" w14:textId="3AB4AA34" w:rsidTr="00FD0FF9">
        <w:trPr>
          <w:cantSplit/>
        </w:trPr>
        <w:tc>
          <w:tcPr>
            <w:tcW w:w="3579" w:type="dxa"/>
          </w:tcPr>
          <w:p w14:paraId="3D684E48" w14:textId="36921E3A" w:rsidR="003E1B13" w:rsidRPr="006B4D73" w:rsidRDefault="003E1B13" w:rsidP="00690414">
            <w:pPr>
              <w:pStyle w:val="Paragraphtext"/>
            </w:pPr>
            <w:r w:rsidRPr="006B4D73">
              <w:t>Personalised medicine in the treatment of complex autoimmunity and autoinflammatory disease</w:t>
            </w:r>
          </w:p>
        </w:tc>
        <w:tc>
          <w:tcPr>
            <w:tcW w:w="2602" w:type="dxa"/>
          </w:tcPr>
          <w:p w14:paraId="658FECCE" w14:textId="7950C170" w:rsidR="003E1B13" w:rsidRPr="006B4D73" w:rsidRDefault="003E1B13" w:rsidP="00690414">
            <w:pPr>
              <w:pStyle w:val="Paragraphtext"/>
            </w:pPr>
            <w:r w:rsidRPr="006B4D73">
              <w:t>Australian National University</w:t>
            </w:r>
          </w:p>
        </w:tc>
        <w:tc>
          <w:tcPr>
            <w:tcW w:w="1632" w:type="dxa"/>
          </w:tcPr>
          <w:p w14:paraId="5D7C9412" w14:textId="0BC12F63" w:rsidR="003E1B13" w:rsidRPr="006B4D73" w:rsidRDefault="003E1B13" w:rsidP="00690414">
            <w:pPr>
              <w:pStyle w:val="Paragraphtext"/>
            </w:pPr>
            <w:r w:rsidRPr="006B4D73">
              <w:t>$1,553,568.84</w:t>
            </w:r>
          </w:p>
        </w:tc>
        <w:tc>
          <w:tcPr>
            <w:tcW w:w="1257" w:type="dxa"/>
          </w:tcPr>
          <w:p w14:paraId="3FF253D9" w14:textId="08AC021F" w:rsidR="003E1B13" w:rsidRPr="006B4D73" w:rsidRDefault="00D13CDE" w:rsidP="00690414">
            <w:pPr>
              <w:pStyle w:val="Paragraphtext"/>
            </w:pPr>
            <w:r w:rsidRPr="006B4D73">
              <w:t>3</w:t>
            </w:r>
          </w:p>
        </w:tc>
      </w:tr>
      <w:tr w:rsidR="003E1B13" w:rsidRPr="006B4D73" w14:paraId="0E68DF8A" w14:textId="1DA687B5" w:rsidTr="00FD0FF9">
        <w:trPr>
          <w:cantSplit/>
        </w:trPr>
        <w:tc>
          <w:tcPr>
            <w:tcW w:w="3579" w:type="dxa"/>
          </w:tcPr>
          <w:p w14:paraId="52081E1C" w14:textId="50E30880" w:rsidR="003E1B13" w:rsidRPr="006B4D73" w:rsidRDefault="003E1B13" w:rsidP="00690414">
            <w:pPr>
              <w:pStyle w:val="Paragraphtext"/>
            </w:pPr>
            <w:r w:rsidRPr="006B4D73">
              <w:t>“Max Up” Trial – Maximising uptake of lung cancer screening and smoking cessation outcomes</w:t>
            </w:r>
          </w:p>
        </w:tc>
        <w:tc>
          <w:tcPr>
            <w:tcW w:w="2602" w:type="dxa"/>
          </w:tcPr>
          <w:p w14:paraId="1C77E786" w14:textId="3A0236CE" w:rsidR="003E1B13" w:rsidRPr="006B4D73" w:rsidRDefault="003E1B13" w:rsidP="00690414">
            <w:pPr>
              <w:pStyle w:val="Paragraphtext"/>
            </w:pPr>
            <w:r w:rsidRPr="006B4D73">
              <w:t>The University of Queensland</w:t>
            </w:r>
          </w:p>
        </w:tc>
        <w:tc>
          <w:tcPr>
            <w:tcW w:w="1632" w:type="dxa"/>
          </w:tcPr>
          <w:p w14:paraId="3EF9C0DE" w14:textId="4A18C9B9" w:rsidR="003E1B13" w:rsidRPr="006B4D73" w:rsidRDefault="003E1B13" w:rsidP="00690414">
            <w:pPr>
              <w:pStyle w:val="Paragraphtext"/>
            </w:pPr>
            <w:r w:rsidRPr="006B4D73">
              <w:t>$917,239.91</w:t>
            </w:r>
          </w:p>
        </w:tc>
        <w:tc>
          <w:tcPr>
            <w:tcW w:w="1257" w:type="dxa"/>
          </w:tcPr>
          <w:p w14:paraId="18B0D996" w14:textId="52BEE5B8" w:rsidR="003E1B13" w:rsidRPr="006B4D73" w:rsidRDefault="003E1B13" w:rsidP="00690414">
            <w:pPr>
              <w:pStyle w:val="Paragraphtext"/>
            </w:pPr>
            <w:r w:rsidRPr="006B4D73">
              <w:t>3</w:t>
            </w:r>
          </w:p>
        </w:tc>
      </w:tr>
      <w:tr w:rsidR="003E1B13" w:rsidRPr="006B4D73" w14:paraId="31D4DF7A" w14:textId="5398171F" w:rsidTr="00FD0FF9">
        <w:trPr>
          <w:cantSplit/>
        </w:trPr>
        <w:tc>
          <w:tcPr>
            <w:tcW w:w="3579" w:type="dxa"/>
          </w:tcPr>
          <w:p w14:paraId="386204EA" w14:textId="269BE75A" w:rsidR="003E1B13" w:rsidRPr="006B4D73" w:rsidRDefault="003E1B13" w:rsidP="00690414">
            <w:pPr>
              <w:pStyle w:val="Paragraphtext"/>
            </w:pPr>
            <w:r w:rsidRPr="006B4D73">
              <w:t>Expanded umbilical cord blood cells for neuroprotection in extremely preterm infants</w:t>
            </w:r>
          </w:p>
        </w:tc>
        <w:tc>
          <w:tcPr>
            <w:tcW w:w="2602" w:type="dxa"/>
          </w:tcPr>
          <w:p w14:paraId="2363637F" w14:textId="24982A19" w:rsidR="003E1B13" w:rsidRPr="006B4D73" w:rsidRDefault="003E1B13" w:rsidP="00690414">
            <w:pPr>
              <w:pStyle w:val="Paragraphtext"/>
            </w:pPr>
            <w:r w:rsidRPr="006B4D73">
              <w:t>Monash University</w:t>
            </w:r>
          </w:p>
        </w:tc>
        <w:tc>
          <w:tcPr>
            <w:tcW w:w="1632" w:type="dxa"/>
          </w:tcPr>
          <w:p w14:paraId="36ECB47D" w14:textId="55986083" w:rsidR="003E1B13" w:rsidRPr="006B4D73" w:rsidRDefault="003E1B13" w:rsidP="00690414">
            <w:pPr>
              <w:pStyle w:val="Paragraphtext"/>
            </w:pPr>
            <w:r w:rsidRPr="006B4D73">
              <w:t>$590,134.71</w:t>
            </w:r>
          </w:p>
        </w:tc>
        <w:tc>
          <w:tcPr>
            <w:tcW w:w="1257" w:type="dxa"/>
          </w:tcPr>
          <w:p w14:paraId="0CBBF2FB" w14:textId="3D29D938" w:rsidR="003E1B13" w:rsidRPr="006B4D73" w:rsidRDefault="003E1B13" w:rsidP="00690414">
            <w:pPr>
              <w:pStyle w:val="Paragraphtext"/>
            </w:pPr>
            <w:r w:rsidRPr="006B4D73">
              <w:t>3</w:t>
            </w:r>
          </w:p>
        </w:tc>
      </w:tr>
      <w:tr w:rsidR="003E1B13" w:rsidRPr="006B4D73" w14:paraId="33D467D1" w14:textId="2FF3CEC3" w:rsidTr="00FD0FF9">
        <w:trPr>
          <w:cantSplit/>
        </w:trPr>
        <w:tc>
          <w:tcPr>
            <w:tcW w:w="3579" w:type="dxa"/>
          </w:tcPr>
          <w:p w14:paraId="0460CD49" w14:textId="5DC6E178" w:rsidR="003E1B13" w:rsidRPr="006B4D73" w:rsidRDefault="003E1B13" w:rsidP="00690414">
            <w:pPr>
              <w:pStyle w:val="Paragraphtext"/>
            </w:pPr>
            <w:proofErr w:type="spellStart"/>
            <w:r w:rsidRPr="006B4D73">
              <w:t>TRACKERx</w:t>
            </w:r>
            <w:proofErr w:type="spellEnd"/>
            <w:r w:rsidRPr="006B4D73">
              <w:t xml:space="preserve">: Biomarkers to predicting relapse in </w:t>
            </w:r>
            <w:proofErr w:type="gramStart"/>
            <w:r w:rsidRPr="006B4D73">
              <w:t>early stage</w:t>
            </w:r>
            <w:proofErr w:type="gramEnd"/>
            <w:r w:rsidRPr="006B4D73">
              <w:t xml:space="preserve"> hepatocellular carcinoma</w:t>
            </w:r>
          </w:p>
        </w:tc>
        <w:tc>
          <w:tcPr>
            <w:tcW w:w="2602" w:type="dxa"/>
          </w:tcPr>
          <w:p w14:paraId="10B02DA2" w14:textId="463FE178" w:rsidR="003E1B13" w:rsidRPr="006B4D73" w:rsidRDefault="003E1B13" w:rsidP="00690414">
            <w:pPr>
              <w:pStyle w:val="Paragraphtext"/>
            </w:pPr>
            <w:r w:rsidRPr="006B4D73">
              <w:t xml:space="preserve">Curtin University </w:t>
            </w:r>
          </w:p>
        </w:tc>
        <w:tc>
          <w:tcPr>
            <w:tcW w:w="1632" w:type="dxa"/>
          </w:tcPr>
          <w:p w14:paraId="51D35799" w14:textId="36530A32" w:rsidR="003E1B13" w:rsidRPr="006B4D73" w:rsidRDefault="003E1B13" w:rsidP="00690414">
            <w:pPr>
              <w:pStyle w:val="Paragraphtext"/>
            </w:pPr>
            <w:r w:rsidRPr="006B4D73">
              <w:t>$980,081.41</w:t>
            </w:r>
          </w:p>
        </w:tc>
        <w:tc>
          <w:tcPr>
            <w:tcW w:w="1257" w:type="dxa"/>
          </w:tcPr>
          <w:p w14:paraId="374FE382" w14:textId="627E0225" w:rsidR="003E1B13" w:rsidRPr="006B4D73" w:rsidRDefault="00D13CDE" w:rsidP="00690414">
            <w:pPr>
              <w:pStyle w:val="Paragraphtext"/>
            </w:pPr>
            <w:r w:rsidRPr="006B4D73">
              <w:t>3</w:t>
            </w:r>
          </w:p>
        </w:tc>
      </w:tr>
      <w:tr w:rsidR="003E1B13" w14:paraId="50AAF6AD" w14:textId="645D1901" w:rsidTr="00FD0FF9">
        <w:trPr>
          <w:cantSplit/>
        </w:trPr>
        <w:tc>
          <w:tcPr>
            <w:tcW w:w="3579" w:type="dxa"/>
          </w:tcPr>
          <w:p w14:paraId="355BC457" w14:textId="6F288259" w:rsidR="003E1B13" w:rsidRPr="006B4D73" w:rsidRDefault="003E1B13" w:rsidP="00690414">
            <w:pPr>
              <w:pStyle w:val="Paragraphtext"/>
            </w:pPr>
            <w:r w:rsidRPr="006B4D73">
              <w:t>Zest – A personalised, digital intervention for sleep and wellbeing in Australian shift workers</w:t>
            </w:r>
          </w:p>
        </w:tc>
        <w:tc>
          <w:tcPr>
            <w:tcW w:w="2602" w:type="dxa"/>
          </w:tcPr>
          <w:p w14:paraId="1C881114" w14:textId="3B68525C" w:rsidR="003E1B13" w:rsidRPr="006B4D73" w:rsidRDefault="003E1B13" w:rsidP="00690414">
            <w:pPr>
              <w:pStyle w:val="Paragraphtext"/>
            </w:pPr>
            <w:r w:rsidRPr="006B4D73">
              <w:t>Monash University</w:t>
            </w:r>
          </w:p>
        </w:tc>
        <w:tc>
          <w:tcPr>
            <w:tcW w:w="1632" w:type="dxa"/>
          </w:tcPr>
          <w:p w14:paraId="2B03ED15" w14:textId="418EDFB1" w:rsidR="003E1B13" w:rsidRPr="006B4D73" w:rsidRDefault="003E1B13" w:rsidP="00690414">
            <w:pPr>
              <w:pStyle w:val="Paragraphtext"/>
            </w:pPr>
            <w:r w:rsidRPr="006B4D73">
              <w:t>$805,255.87</w:t>
            </w:r>
          </w:p>
        </w:tc>
        <w:tc>
          <w:tcPr>
            <w:tcW w:w="1257" w:type="dxa"/>
          </w:tcPr>
          <w:p w14:paraId="62953A4A" w14:textId="097F016E" w:rsidR="003E1B13" w:rsidRPr="006B4D73" w:rsidRDefault="003E1B13" w:rsidP="00690414">
            <w:pPr>
              <w:pStyle w:val="Paragraphtext"/>
            </w:pPr>
            <w:r w:rsidRPr="006B4D73">
              <w:t>3</w:t>
            </w:r>
          </w:p>
        </w:tc>
      </w:tr>
    </w:tbl>
    <w:p w14:paraId="3412D344" w14:textId="513FAD0C" w:rsidR="00831A6E" w:rsidRDefault="00831A6E" w:rsidP="00690414">
      <w:pPr>
        <w:pStyle w:val="Paragraphtext"/>
      </w:pPr>
    </w:p>
    <w:p w14:paraId="12DE7AEE" w14:textId="06F0B40B" w:rsidR="00831A6E" w:rsidRDefault="00831A6E" w:rsidP="00690414">
      <w:pPr>
        <w:pStyle w:val="Paragraphtext"/>
      </w:pPr>
    </w:p>
    <w:p w14:paraId="5B37B84D" w14:textId="77777777" w:rsidR="00831A6E" w:rsidRDefault="00831A6E" w:rsidP="00690414">
      <w:pPr>
        <w:pStyle w:val="Paragraphtext"/>
      </w:pPr>
    </w:p>
    <w:p w14:paraId="1934EA02" w14:textId="77777777" w:rsidR="00847D33" w:rsidRDefault="00847D33" w:rsidP="00690414"/>
    <w:p w14:paraId="509979DA" w14:textId="77777777" w:rsidR="00847D33" w:rsidRDefault="00847D33" w:rsidP="00690414"/>
    <w:p w14:paraId="1AF973A2" w14:textId="77777777" w:rsidR="00847D33" w:rsidRDefault="00847D33" w:rsidP="006B4D73"/>
    <w:p w14:paraId="1ADC3461" w14:textId="77777777" w:rsidR="00847D33" w:rsidRDefault="00847D33" w:rsidP="006B4D73"/>
    <w:p w14:paraId="74605C99" w14:textId="77777777" w:rsidR="00847D33" w:rsidRDefault="00847D33" w:rsidP="006B4D73"/>
    <w:p w14:paraId="723F99AE" w14:textId="77777777" w:rsidR="00847D33" w:rsidRDefault="00847D33" w:rsidP="006B4D73"/>
    <w:p w14:paraId="125E2F32" w14:textId="77777777" w:rsidR="00847D33" w:rsidRDefault="00847D33" w:rsidP="006B4D73"/>
    <w:p w14:paraId="752247DC" w14:textId="77777777" w:rsidR="00847D33" w:rsidRDefault="00847D33" w:rsidP="006B4D73"/>
    <w:p w14:paraId="0DA44BE5" w14:textId="77777777" w:rsidR="00847D33" w:rsidRDefault="00847D33" w:rsidP="006B4D73"/>
    <w:p w14:paraId="6C396867" w14:textId="77777777" w:rsidR="00847D33" w:rsidRDefault="00847D33" w:rsidP="006B4D73"/>
    <w:p w14:paraId="1DE4F67F" w14:textId="77777777" w:rsidR="00847D33" w:rsidRDefault="00847D33" w:rsidP="006B4D73"/>
    <w:p w14:paraId="3A4E90FF" w14:textId="77777777" w:rsidR="00847D33" w:rsidRDefault="00847D33" w:rsidP="006B4D73"/>
    <w:p w14:paraId="5D3FA0A7" w14:textId="673552E4" w:rsidR="00847D33" w:rsidRPr="00651510" w:rsidRDefault="00847D33" w:rsidP="006B4D73">
      <w:pPr>
        <w:pStyle w:val="Heading1"/>
      </w:pPr>
      <w:bookmarkStart w:id="30" w:name="_Toc131338414"/>
      <w:bookmarkStart w:id="31" w:name="_Hlk129628024"/>
      <w:r>
        <w:lastRenderedPageBreak/>
        <w:t xml:space="preserve">Appendix C.  </w:t>
      </w:r>
      <w:r w:rsidRPr="00352FBE">
        <w:t xml:space="preserve">Focus of the 2023 Early to Mid-Career Researchers </w:t>
      </w:r>
      <w:r w:rsidR="00701735">
        <w:t>G</w:t>
      </w:r>
      <w:r w:rsidRPr="00352FBE">
        <w:t xml:space="preserve">rant </w:t>
      </w:r>
      <w:r w:rsidR="00701735">
        <w:t>O</w:t>
      </w:r>
      <w:r w:rsidRPr="00352FBE">
        <w:t>pportunity</w:t>
      </w:r>
      <w:bookmarkEnd w:id="30"/>
      <w:r w:rsidRPr="00352FBE">
        <w:t xml:space="preserve"> </w:t>
      </w:r>
    </w:p>
    <w:bookmarkEnd w:id="31"/>
    <w:p w14:paraId="28B8E51E" w14:textId="6D8829F7" w:rsidR="00847D33" w:rsidRPr="00651510" w:rsidRDefault="00847D33" w:rsidP="006B4D73">
      <w:pPr>
        <w:spacing w:before="120"/>
        <w:rPr>
          <w:rFonts w:cs="Arial"/>
          <w:szCs w:val="21"/>
        </w:rPr>
      </w:pPr>
      <w:r w:rsidRPr="00651510">
        <w:rPr>
          <w:rFonts w:cs="Arial"/>
          <w:szCs w:val="21"/>
        </w:rPr>
        <w:t xml:space="preserve">The second grant opportunity under the Early to Mid-Career Researchers initiative is the 2023 Early to Mid-Career Researchers </w:t>
      </w:r>
      <w:r w:rsidR="00701735" w:rsidRPr="00651510">
        <w:rPr>
          <w:rFonts w:cs="Arial"/>
          <w:szCs w:val="21"/>
        </w:rPr>
        <w:t>G</w:t>
      </w:r>
      <w:r w:rsidRPr="00651510">
        <w:rPr>
          <w:rFonts w:cs="Arial"/>
          <w:szCs w:val="21"/>
        </w:rPr>
        <w:t xml:space="preserve">rant </w:t>
      </w:r>
      <w:r w:rsidR="00701735" w:rsidRPr="00651510">
        <w:rPr>
          <w:rFonts w:cs="Arial"/>
          <w:szCs w:val="21"/>
        </w:rPr>
        <w:t>O</w:t>
      </w:r>
      <w:r w:rsidRPr="00651510">
        <w:rPr>
          <w:rFonts w:cs="Arial"/>
          <w:szCs w:val="21"/>
        </w:rPr>
        <w:t xml:space="preserve">pportunity which opened on 15 February 2023 and will close on 21 June 2023. Outcomes are anticipated to be announced in Quarter 1 2024. Up to $44.8 million of funding is available over 5 years from 2023-24 from the 2023 EMCR </w:t>
      </w:r>
      <w:r w:rsidR="00701735" w:rsidRPr="00651510">
        <w:rPr>
          <w:rFonts w:cs="Arial"/>
          <w:szCs w:val="21"/>
        </w:rPr>
        <w:t>G</w:t>
      </w:r>
      <w:r w:rsidRPr="00651510">
        <w:rPr>
          <w:rFonts w:cs="Arial"/>
          <w:szCs w:val="21"/>
        </w:rPr>
        <w:t xml:space="preserve">rant </w:t>
      </w:r>
      <w:r w:rsidR="00701735" w:rsidRPr="00651510">
        <w:rPr>
          <w:rFonts w:cs="Arial"/>
          <w:szCs w:val="21"/>
        </w:rPr>
        <w:t>O</w:t>
      </w:r>
      <w:r w:rsidRPr="00651510">
        <w:rPr>
          <w:rFonts w:cs="Arial"/>
          <w:szCs w:val="21"/>
        </w:rPr>
        <w:t xml:space="preserve">pportunity. </w:t>
      </w:r>
    </w:p>
    <w:p w14:paraId="4CD84D72" w14:textId="77777777" w:rsidR="00317808" w:rsidRPr="00651510" w:rsidRDefault="00317808" w:rsidP="006B4D73">
      <w:pPr>
        <w:rPr>
          <w:rFonts w:cs="Arial"/>
          <w:szCs w:val="21"/>
        </w:rPr>
      </w:pPr>
    </w:p>
    <w:p w14:paraId="583A7A60" w14:textId="5CEF1124" w:rsidR="00847D33" w:rsidRPr="00651510" w:rsidRDefault="00847D33" w:rsidP="006B4D73">
      <w:pPr>
        <w:rPr>
          <w:rFonts w:cs="Arial"/>
          <w:szCs w:val="21"/>
        </w:rPr>
      </w:pPr>
      <w:r w:rsidRPr="00651510">
        <w:rPr>
          <w:rFonts w:cs="Arial"/>
          <w:szCs w:val="21"/>
        </w:rPr>
        <w:t xml:space="preserve">The 2023 Early to Mid-Career Researchers </w:t>
      </w:r>
      <w:r w:rsidR="00701735" w:rsidRPr="00651510">
        <w:rPr>
          <w:rFonts w:cs="Arial"/>
          <w:szCs w:val="21"/>
        </w:rPr>
        <w:t>G</w:t>
      </w:r>
      <w:r w:rsidRPr="00651510">
        <w:rPr>
          <w:rFonts w:cs="Arial"/>
          <w:szCs w:val="21"/>
        </w:rPr>
        <w:t xml:space="preserve">rant </w:t>
      </w:r>
      <w:r w:rsidR="00701735" w:rsidRPr="00651510">
        <w:rPr>
          <w:rFonts w:cs="Arial"/>
          <w:szCs w:val="21"/>
        </w:rPr>
        <w:t>O</w:t>
      </w:r>
      <w:r w:rsidRPr="00651510">
        <w:rPr>
          <w:rFonts w:cs="Arial"/>
          <w:szCs w:val="21"/>
        </w:rPr>
        <w:t xml:space="preserve">pportunity includes a focus on </w:t>
      </w:r>
      <w:r w:rsidR="00701735" w:rsidRPr="00651510">
        <w:rPr>
          <w:rFonts w:cs="Arial"/>
          <w:szCs w:val="21"/>
        </w:rPr>
        <w:t>P</w:t>
      </w:r>
      <w:r w:rsidRPr="00651510">
        <w:rPr>
          <w:rFonts w:cs="Arial"/>
          <w:szCs w:val="21"/>
        </w:rPr>
        <w:t xml:space="preserve">riority </w:t>
      </w:r>
      <w:r w:rsidR="00701735" w:rsidRPr="00651510">
        <w:rPr>
          <w:rFonts w:cs="Arial"/>
          <w:szCs w:val="21"/>
        </w:rPr>
        <w:t>P</w:t>
      </w:r>
      <w:r w:rsidRPr="00651510">
        <w:rPr>
          <w:rFonts w:cs="Arial"/>
          <w:szCs w:val="21"/>
        </w:rPr>
        <w:t>opulations</w:t>
      </w:r>
      <w:r w:rsidR="00701735" w:rsidRPr="00651510">
        <w:rPr>
          <w:rFonts w:cs="Arial"/>
          <w:szCs w:val="21"/>
        </w:rPr>
        <w:t>,</w:t>
      </w:r>
      <w:r w:rsidRPr="00651510">
        <w:rPr>
          <w:rFonts w:cs="Arial"/>
          <w:szCs w:val="21"/>
        </w:rPr>
        <w:t xml:space="preserve"> which is reflected in the objectives and intended outcomes of the 2023 grant opportunity. </w:t>
      </w:r>
      <w:r w:rsidR="0046554D" w:rsidRPr="0046554D">
        <w:rPr>
          <w:rFonts w:cs="Arial"/>
          <w:szCs w:val="21"/>
        </w:rPr>
        <w:t xml:space="preserve">This focus has carried through </w:t>
      </w:r>
      <w:r w:rsidR="0046554D">
        <w:rPr>
          <w:rFonts w:cs="Arial"/>
          <w:szCs w:val="21"/>
        </w:rPr>
        <w:t>to</w:t>
      </w:r>
      <w:r w:rsidR="0046554D" w:rsidRPr="0046554D">
        <w:rPr>
          <w:rFonts w:cs="Arial"/>
          <w:szCs w:val="21"/>
        </w:rPr>
        <w:t xml:space="preserve"> adjustments made to </w:t>
      </w:r>
      <w:r w:rsidRPr="00651510">
        <w:rPr>
          <w:rFonts w:cs="Arial"/>
          <w:szCs w:val="21"/>
        </w:rPr>
        <w:t>Streams 1 and 2 (but not Stream 3) of the grant opportunity, as follows (text new to the 2023 grant opportunity is underlined):</w:t>
      </w:r>
    </w:p>
    <w:p w14:paraId="5675A3D8" w14:textId="77777777" w:rsidR="00847D33" w:rsidRPr="00651510" w:rsidRDefault="00847D33" w:rsidP="00847D33">
      <w:pPr>
        <w:pStyle w:val="ListParagraph"/>
        <w:numPr>
          <w:ilvl w:val="0"/>
          <w:numId w:val="16"/>
        </w:numPr>
        <w:spacing w:before="120" w:after="60"/>
        <w:rPr>
          <w:rFonts w:cs="Arial"/>
          <w:szCs w:val="21"/>
        </w:rPr>
      </w:pPr>
      <w:r w:rsidRPr="00651510">
        <w:rPr>
          <w:rFonts w:cs="Arial"/>
          <w:szCs w:val="21"/>
        </w:rPr>
        <w:t xml:space="preserve">Consistent with the </w:t>
      </w:r>
      <w:r w:rsidRPr="00651510">
        <w:rPr>
          <w:rFonts w:cs="Arial"/>
          <w:i/>
          <w:iCs/>
          <w:szCs w:val="21"/>
        </w:rPr>
        <w:t>Medical Research Future Fund Act 2015</w:t>
      </w:r>
      <w:r w:rsidRPr="00651510">
        <w:rPr>
          <w:rFonts w:cs="Arial"/>
          <w:szCs w:val="21"/>
        </w:rPr>
        <w:t>, the objective of this grant opportunity is to provide grants of financial assistance to support Australian medical research and medical innovation projects that:</w:t>
      </w:r>
    </w:p>
    <w:p w14:paraId="7A1B6FAE" w14:textId="77777777" w:rsidR="00847D33" w:rsidRPr="00651510" w:rsidRDefault="00847D33" w:rsidP="00847D33">
      <w:pPr>
        <w:pStyle w:val="ListParagraph"/>
        <w:numPr>
          <w:ilvl w:val="1"/>
          <w:numId w:val="16"/>
        </w:numPr>
        <w:spacing w:before="120" w:after="60"/>
        <w:rPr>
          <w:rFonts w:cs="Arial"/>
          <w:szCs w:val="21"/>
        </w:rPr>
      </w:pPr>
      <w:r w:rsidRPr="00651510">
        <w:rPr>
          <w:rFonts w:cs="Arial"/>
          <w:szCs w:val="21"/>
        </w:rPr>
        <w:t xml:space="preserve">Stream 1 (Incubator): conduct early stage, small scale research, led by early-career researchers, that seeks to assess the potential and feasibility of novel strategies to address a critical or intractable health issue </w:t>
      </w:r>
      <w:r w:rsidRPr="00651510">
        <w:rPr>
          <w:rFonts w:cs="Arial"/>
          <w:szCs w:val="21"/>
          <w:u w:val="single"/>
        </w:rPr>
        <w:t>in one or more Priority Populations</w:t>
      </w:r>
      <w:r w:rsidRPr="00651510">
        <w:rPr>
          <w:rFonts w:cs="Arial"/>
          <w:szCs w:val="21"/>
        </w:rPr>
        <w:t xml:space="preserve">. </w:t>
      </w:r>
    </w:p>
    <w:p w14:paraId="09985ABA" w14:textId="77777777" w:rsidR="00847D33" w:rsidRPr="00651510" w:rsidRDefault="00847D33" w:rsidP="00847D33">
      <w:pPr>
        <w:pStyle w:val="ListParagraph"/>
        <w:numPr>
          <w:ilvl w:val="1"/>
          <w:numId w:val="16"/>
        </w:numPr>
        <w:spacing w:before="120" w:after="160"/>
        <w:rPr>
          <w:rFonts w:cs="Arial"/>
          <w:szCs w:val="21"/>
        </w:rPr>
      </w:pPr>
      <w:r w:rsidRPr="00651510">
        <w:rPr>
          <w:rFonts w:cs="Arial"/>
          <w:szCs w:val="21"/>
        </w:rPr>
        <w:t xml:space="preserve">Stream 2 (Accelerator): establish a large-scale interdisciplinary research program, led by mid-career researchers, that drives implementation of substantial improvements to health care and/or health system effectiveness </w:t>
      </w:r>
      <w:r w:rsidRPr="00651510">
        <w:rPr>
          <w:rFonts w:cs="Arial"/>
          <w:szCs w:val="21"/>
          <w:u w:val="single"/>
        </w:rPr>
        <w:t>for one or more Priority Populations</w:t>
      </w:r>
      <w:r w:rsidRPr="00651510">
        <w:rPr>
          <w:rFonts w:cs="Arial"/>
          <w:szCs w:val="21"/>
        </w:rPr>
        <w:t>.</w:t>
      </w:r>
    </w:p>
    <w:p w14:paraId="34DD566E" w14:textId="6FB9D0D0" w:rsidR="00847D33" w:rsidRPr="00651510" w:rsidRDefault="00847D33" w:rsidP="00847D33">
      <w:pPr>
        <w:pStyle w:val="ListParagraph"/>
        <w:numPr>
          <w:ilvl w:val="0"/>
          <w:numId w:val="16"/>
        </w:numPr>
        <w:spacing w:before="120" w:after="60"/>
        <w:rPr>
          <w:rStyle w:val="Hyperlink"/>
          <w:rFonts w:cs="Arial"/>
          <w:color w:val="auto"/>
          <w:szCs w:val="21"/>
          <w:u w:val="none"/>
        </w:rPr>
      </w:pPr>
      <w:r w:rsidRPr="00651510">
        <w:rPr>
          <w:rStyle w:val="Hyperlink"/>
          <w:rFonts w:cs="Arial"/>
          <w:color w:val="auto"/>
          <w:szCs w:val="21"/>
          <w:u w:val="none"/>
        </w:rPr>
        <w:t xml:space="preserve">There has been no change in focus on </w:t>
      </w:r>
      <w:r w:rsidR="00701735" w:rsidRPr="00651510">
        <w:rPr>
          <w:rStyle w:val="Hyperlink"/>
          <w:rFonts w:cs="Arial"/>
          <w:color w:val="auto"/>
          <w:szCs w:val="21"/>
          <w:u w:val="none"/>
        </w:rPr>
        <w:t>S</w:t>
      </w:r>
      <w:r w:rsidRPr="00651510">
        <w:rPr>
          <w:rStyle w:val="Hyperlink"/>
          <w:rFonts w:cs="Arial"/>
          <w:color w:val="auto"/>
          <w:szCs w:val="21"/>
          <w:u w:val="none"/>
        </w:rPr>
        <w:t>tream 3 in the 2023 grant opportunity, which is to:</w:t>
      </w:r>
    </w:p>
    <w:p w14:paraId="2A499107" w14:textId="0BACEC4A" w:rsidR="00847D33" w:rsidRPr="00651510" w:rsidRDefault="00847D33" w:rsidP="00847D33">
      <w:pPr>
        <w:pStyle w:val="ListParagraph"/>
        <w:numPr>
          <w:ilvl w:val="1"/>
          <w:numId w:val="16"/>
        </w:numPr>
        <w:spacing w:before="120" w:after="160"/>
        <w:ind w:left="1077" w:hanging="357"/>
        <w:rPr>
          <w:rFonts w:cs="Arial"/>
          <w:szCs w:val="21"/>
        </w:rPr>
      </w:pPr>
      <w:r w:rsidRPr="00651510">
        <w:rPr>
          <w:rStyle w:val="Hyperlink"/>
          <w:rFonts w:cs="Arial"/>
          <w:color w:val="auto"/>
          <w:szCs w:val="21"/>
          <w:u w:val="none"/>
        </w:rPr>
        <w:t>Stream 3 (Targeted Call for Research): utilise co-funding between the MRFF, a sponsoring academic organisation and partner organisation(s) to accelerate translation of research led by early to mid-career researchers</w:t>
      </w:r>
      <w:r w:rsidRPr="00651510">
        <w:rPr>
          <w:rFonts w:cs="Arial"/>
          <w:szCs w:val="21"/>
        </w:rPr>
        <w:t>.</w:t>
      </w:r>
      <w:r w:rsidR="00736FAD">
        <w:rPr>
          <w:rStyle w:val="FootnoteReference"/>
          <w:rFonts w:cs="Arial"/>
          <w:szCs w:val="21"/>
        </w:rPr>
        <w:footnoteReference w:id="11"/>
      </w:r>
      <w:r w:rsidRPr="00651510">
        <w:rPr>
          <w:rFonts w:cs="Arial"/>
          <w:szCs w:val="21"/>
        </w:rPr>
        <w:t xml:space="preserve"> </w:t>
      </w:r>
    </w:p>
    <w:p w14:paraId="634D95ED" w14:textId="77777777" w:rsidR="00847D33" w:rsidRPr="00651510" w:rsidRDefault="00847D33" w:rsidP="00847D33">
      <w:pPr>
        <w:pStyle w:val="ListParagraph"/>
        <w:numPr>
          <w:ilvl w:val="2"/>
          <w:numId w:val="16"/>
        </w:numPr>
        <w:spacing w:before="120" w:after="160"/>
        <w:rPr>
          <w:rFonts w:cs="Arial"/>
          <w:color w:val="000000" w:themeColor="text1"/>
          <w:szCs w:val="21"/>
        </w:rPr>
      </w:pPr>
      <w:r w:rsidRPr="00651510">
        <w:rPr>
          <w:rFonts w:cs="Arial"/>
          <w:szCs w:val="21"/>
        </w:rPr>
        <w:t xml:space="preserve">Requiring commercialisation projects to focus on priority populations may increase challenges on the research team and risk delivery of the projects </w:t>
      </w:r>
    </w:p>
    <w:p w14:paraId="327DA3E1" w14:textId="7135E461" w:rsidR="00847D33" w:rsidRPr="00651510" w:rsidRDefault="00847D33" w:rsidP="00847D33">
      <w:pPr>
        <w:pStyle w:val="ListParagraph"/>
        <w:numPr>
          <w:ilvl w:val="2"/>
          <w:numId w:val="16"/>
        </w:numPr>
        <w:spacing w:before="120" w:after="160"/>
        <w:rPr>
          <w:rFonts w:cs="Arial"/>
          <w:color w:val="000000" w:themeColor="text1"/>
          <w:szCs w:val="21"/>
        </w:rPr>
      </w:pPr>
      <w:r w:rsidRPr="00651510">
        <w:rPr>
          <w:rFonts w:cs="Arial"/>
          <w:szCs w:val="21"/>
        </w:rPr>
        <w:t xml:space="preserve">The eligibility requirements for this Stream were </w:t>
      </w:r>
      <w:r w:rsidR="0046554D">
        <w:rPr>
          <w:rFonts w:cs="Arial"/>
          <w:szCs w:val="21"/>
        </w:rPr>
        <w:t xml:space="preserve">also </w:t>
      </w:r>
      <w:r w:rsidRPr="00651510">
        <w:rPr>
          <w:rFonts w:cs="Arial"/>
          <w:szCs w:val="21"/>
        </w:rPr>
        <w:t xml:space="preserve">updated to ensure that at least </w:t>
      </w:r>
      <w:r w:rsidRPr="00651510">
        <w:rPr>
          <w:rFonts w:cs="Arial"/>
          <w:szCs w:val="21"/>
          <w:u w:val="single"/>
        </w:rPr>
        <w:t>50% of all Chief Investigators must be early-career researchers or mid-career researchers</w:t>
      </w:r>
      <w:r w:rsidRPr="00651510">
        <w:rPr>
          <w:rFonts w:cs="Arial"/>
          <w:szCs w:val="21"/>
        </w:rPr>
        <w:t>.</w:t>
      </w:r>
    </w:p>
    <w:p w14:paraId="1904AF1B" w14:textId="468CB912" w:rsidR="00847D33" w:rsidRPr="00651510" w:rsidRDefault="00847D33" w:rsidP="00847D33">
      <w:pPr>
        <w:rPr>
          <w:rFonts w:cs="Arial"/>
          <w:szCs w:val="21"/>
        </w:rPr>
      </w:pPr>
      <w:r w:rsidRPr="00651510">
        <w:rPr>
          <w:rFonts w:cs="Arial"/>
          <w:szCs w:val="21"/>
        </w:rPr>
        <w:t xml:space="preserve">For the purposes of the grant opportunity, Priority Populations are defined as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and youth. These are the Priority </w:t>
      </w:r>
      <w:r w:rsidR="00701735" w:rsidRPr="00651510">
        <w:rPr>
          <w:rFonts w:cs="Arial"/>
          <w:szCs w:val="21"/>
        </w:rPr>
        <w:t>P</w:t>
      </w:r>
      <w:r w:rsidRPr="00651510">
        <w:rPr>
          <w:rFonts w:cs="Arial"/>
          <w:szCs w:val="21"/>
        </w:rPr>
        <w:t>opulations identified by AMRAB in the Australian Medical Research and Innovation Priorities 2022-24.</w:t>
      </w:r>
    </w:p>
    <w:p w14:paraId="35D9812B" w14:textId="77777777" w:rsidR="00317808" w:rsidRPr="00651510" w:rsidRDefault="00317808" w:rsidP="00847D33">
      <w:pPr>
        <w:rPr>
          <w:rFonts w:cs="Arial"/>
          <w:szCs w:val="21"/>
        </w:rPr>
      </w:pPr>
    </w:p>
    <w:p w14:paraId="0018269D" w14:textId="1DBFC54E" w:rsidR="00847D33" w:rsidRPr="00651510" w:rsidRDefault="00847D33" w:rsidP="00DE371F">
      <w:pPr>
        <w:rPr>
          <w:szCs w:val="21"/>
        </w:rPr>
      </w:pPr>
      <w:r w:rsidRPr="00651510">
        <w:rPr>
          <w:rFonts w:cs="Arial"/>
          <w:szCs w:val="21"/>
        </w:rPr>
        <w:t xml:space="preserve">The 2023 Early to Mid-Career Researchers </w:t>
      </w:r>
      <w:r w:rsidR="00701735" w:rsidRPr="00651510">
        <w:rPr>
          <w:rFonts w:cs="Arial"/>
          <w:szCs w:val="21"/>
        </w:rPr>
        <w:t>G</w:t>
      </w:r>
      <w:r w:rsidRPr="00651510">
        <w:rPr>
          <w:rFonts w:cs="Arial"/>
          <w:szCs w:val="21"/>
        </w:rPr>
        <w:t xml:space="preserve">rant </w:t>
      </w:r>
      <w:r w:rsidR="00701735" w:rsidRPr="00651510">
        <w:rPr>
          <w:rFonts w:cs="Arial"/>
          <w:szCs w:val="21"/>
        </w:rPr>
        <w:t>O</w:t>
      </w:r>
      <w:r w:rsidRPr="00651510">
        <w:rPr>
          <w:rFonts w:cs="Arial"/>
          <w:szCs w:val="21"/>
        </w:rPr>
        <w:t xml:space="preserve">pportunity is intended to support excellent early and mid-career researchers to start, or continue to, focus </w:t>
      </w:r>
      <w:proofErr w:type="gramStart"/>
      <w:r w:rsidRPr="00651510">
        <w:rPr>
          <w:rFonts w:cs="Arial"/>
          <w:szCs w:val="21"/>
        </w:rPr>
        <w:t>on</w:t>
      </w:r>
      <w:proofErr w:type="gramEnd"/>
      <w:r w:rsidRPr="00651510">
        <w:rPr>
          <w:rFonts w:cs="Arial"/>
          <w:szCs w:val="21"/>
        </w:rPr>
        <w:t xml:space="preserve"> and build capacity in working with Priority Populations. Full details are available on</w:t>
      </w:r>
      <w:r w:rsidR="00DE371F">
        <w:rPr>
          <w:rFonts w:cs="Arial"/>
          <w:szCs w:val="21"/>
        </w:rPr>
        <w:t xml:space="preserve"> </w:t>
      </w:r>
      <w:hyperlink r:id="rId41" w:history="1">
        <w:proofErr w:type="spellStart"/>
        <w:r w:rsidR="00DE371F" w:rsidRPr="00352FBE">
          <w:rPr>
            <w:rStyle w:val="Hyperlink"/>
            <w:rFonts w:cs="Arial"/>
            <w:szCs w:val="22"/>
          </w:rPr>
          <w:t>GrantConnect</w:t>
        </w:r>
        <w:proofErr w:type="spellEnd"/>
      </w:hyperlink>
      <w:r w:rsidR="00DE371F">
        <w:rPr>
          <w:rStyle w:val="Hyperlink"/>
          <w:rFonts w:cs="Arial"/>
          <w:szCs w:val="22"/>
        </w:rPr>
        <w:t>.</w:t>
      </w:r>
      <w:r w:rsidRPr="00651510">
        <w:rPr>
          <w:rFonts w:cs="Arial"/>
          <w:szCs w:val="21"/>
        </w:rPr>
        <w:t xml:space="preserve"> </w:t>
      </w:r>
    </w:p>
    <w:p w14:paraId="69E420C3" w14:textId="1C5AAE97" w:rsidR="0031718F" w:rsidRDefault="0031718F">
      <w:pPr>
        <w:rPr>
          <w:rFonts w:cs="Arial"/>
          <w:b/>
          <w:bCs/>
          <w:iCs/>
          <w:color w:val="48607B"/>
          <w:sz w:val="32"/>
          <w:szCs w:val="28"/>
        </w:rPr>
      </w:pPr>
      <w:r>
        <w:br w:type="page"/>
      </w:r>
    </w:p>
    <w:p w14:paraId="373B3FD5" w14:textId="3C0012F5" w:rsidR="00AE7C4C" w:rsidRDefault="00AE7C4C" w:rsidP="00B95348">
      <w:pPr>
        <w:pStyle w:val="Heading2"/>
      </w:pPr>
      <w:bookmarkStart w:id="32" w:name="_Toc131338415"/>
      <w:r>
        <w:lastRenderedPageBreak/>
        <w:t>Glossary</w:t>
      </w:r>
      <w:bookmarkEnd w:id="32"/>
    </w:p>
    <w:tbl>
      <w:tblPr>
        <w:tblW w:w="9322" w:type="dxa"/>
        <w:tblInd w:w="-108" w:type="dxa"/>
        <w:tblBorders>
          <w:top w:val="nil"/>
          <w:left w:val="nil"/>
          <w:bottom w:val="nil"/>
          <w:right w:val="nil"/>
        </w:tblBorders>
        <w:tblLayout w:type="fixed"/>
        <w:tblLook w:val="0000" w:firstRow="0" w:lastRow="0" w:firstColumn="0" w:lastColumn="0" w:noHBand="0" w:noVBand="0"/>
      </w:tblPr>
      <w:tblGrid>
        <w:gridCol w:w="3227"/>
        <w:gridCol w:w="6095"/>
      </w:tblGrid>
      <w:tr w:rsidR="00AE7C4C" w:rsidRPr="0047388F" w14:paraId="36B7549B" w14:textId="77777777" w:rsidTr="00C21DD2">
        <w:trPr>
          <w:trHeight w:val="142"/>
        </w:trPr>
        <w:tc>
          <w:tcPr>
            <w:tcW w:w="3227" w:type="dxa"/>
          </w:tcPr>
          <w:p w14:paraId="07326D62" w14:textId="77777777" w:rsidR="00AE7C4C" w:rsidRPr="00766DC6" w:rsidRDefault="00AE7C4C" w:rsidP="00C21DD2">
            <w:pPr>
              <w:autoSpaceDE w:val="0"/>
              <w:autoSpaceDN w:val="0"/>
              <w:adjustRightInd w:val="0"/>
              <w:spacing w:before="120"/>
              <w:rPr>
                <w:rFonts w:cs="Arial"/>
                <w:color w:val="000000"/>
                <w:szCs w:val="21"/>
                <w:lang w:eastAsia="en-AU"/>
              </w:rPr>
            </w:pPr>
            <w:r w:rsidRPr="00766DC6">
              <w:rPr>
                <w:rFonts w:cs="Arial"/>
                <w:b/>
                <w:bCs/>
                <w:color w:val="000000"/>
                <w:szCs w:val="21"/>
                <w:lang w:eastAsia="en-AU"/>
              </w:rPr>
              <w:t xml:space="preserve">Term </w:t>
            </w:r>
          </w:p>
        </w:tc>
        <w:tc>
          <w:tcPr>
            <w:tcW w:w="6095" w:type="dxa"/>
          </w:tcPr>
          <w:p w14:paraId="349AEE5E" w14:textId="77777777" w:rsidR="00AE7C4C" w:rsidRPr="00766DC6" w:rsidRDefault="00AE7C4C" w:rsidP="00C21DD2">
            <w:pPr>
              <w:autoSpaceDE w:val="0"/>
              <w:autoSpaceDN w:val="0"/>
              <w:adjustRightInd w:val="0"/>
              <w:spacing w:before="120"/>
              <w:rPr>
                <w:rFonts w:cs="Arial"/>
                <w:color w:val="000000"/>
                <w:szCs w:val="21"/>
                <w:lang w:eastAsia="en-AU"/>
              </w:rPr>
            </w:pPr>
            <w:r w:rsidRPr="00766DC6">
              <w:rPr>
                <w:rFonts w:cs="Arial"/>
                <w:b/>
                <w:bCs/>
                <w:color w:val="000000"/>
                <w:szCs w:val="21"/>
                <w:lang w:eastAsia="en-AU"/>
              </w:rPr>
              <w:t xml:space="preserve">Definition </w:t>
            </w:r>
          </w:p>
        </w:tc>
      </w:tr>
      <w:tr w:rsidR="00AE7C4C" w:rsidRPr="00766DC6" w14:paraId="1DCE3281" w14:textId="77777777" w:rsidTr="00C21DD2">
        <w:trPr>
          <w:trHeight w:val="20"/>
        </w:trPr>
        <w:tc>
          <w:tcPr>
            <w:tcW w:w="3227" w:type="dxa"/>
          </w:tcPr>
          <w:p w14:paraId="32358A96"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Career disruption</w:t>
            </w:r>
          </w:p>
        </w:tc>
        <w:tc>
          <w:tcPr>
            <w:tcW w:w="6095" w:type="dxa"/>
          </w:tcPr>
          <w:p w14:paraId="4B1272E2" w14:textId="09CB2870" w:rsidR="00AE7C4C" w:rsidRPr="00887728" w:rsidRDefault="00701735" w:rsidP="00ED5AB3">
            <w:pPr>
              <w:autoSpaceDE w:val="0"/>
              <w:autoSpaceDN w:val="0"/>
              <w:adjustRightInd w:val="0"/>
              <w:spacing w:before="80" w:after="120"/>
              <w:jc w:val="both"/>
              <w:rPr>
                <w:rFonts w:cs="Arial"/>
                <w:color w:val="000000" w:themeColor="text1"/>
                <w:szCs w:val="21"/>
                <w:lang w:eastAsia="en-AU"/>
              </w:rPr>
            </w:pPr>
            <w:r w:rsidRPr="00887728">
              <w:rPr>
                <w:rFonts w:cs="Arial"/>
                <w:color w:val="000000" w:themeColor="text1"/>
                <w:szCs w:val="21"/>
                <w:lang w:eastAsia="en-AU"/>
              </w:rPr>
              <w:t>A</w:t>
            </w:r>
            <w:r w:rsidR="00AE7C4C" w:rsidRPr="00887728">
              <w:rPr>
                <w:rFonts w:cs="Arial"/>
                <w:color w:val="000000" w:themeColor="text1"/>
                <w:szCs w:val="21"/>
                <w:lang w:eastAsia="en-AU"/>
              </w:rPr>
              <w:t xml:space="preserve"> prolonged interruption to an applicant’s capacity to work, due to pregnancy, major illness/</w:t>
            </w:r>
            <w:proofErr w:type="gramStart"/>
            <w:r w:rsidR="00AE7C4C" w:rsidRPr="00887728">
              <w:rPr>
                <w:rFonts w:cs="Arial"/>
                <w:color w:val="000000" w:themeColor="text1"/>
                <w:szCs w:val="21"/>
                <w:lang w:eastAsia="en-AU"/>
              </w:rPr>
              <w:t>injury</w:t>
            </w:r>
            <w:proofErr w:type="gramEnd"/>
            <w:r w:rsidR="00AE7C4C" w:rsidRPr="00887728">
              <w:rPr>
                <w:rFonts w:cs="Arial"/>
                <w:color w:val="000000" w:themeColor="text1"/>
                <w:szCs w:val="21"/>
                <w:lang w:eastAsia="en-AU"/>
              </w:rPr>
              <w:t xml:space="preserve"> or carer responsibilities. Interruptions must involve either a continuous absence from work for periods of 90 calendar days or more and/or a long-term partial return to work that has been formalised with the applicant’s employer. Full details are available in the Grant Opportunity Guidelines</w:t>
            </w:r>
            <w:r w:rsidRPr="00887728">
              <w:rPr>
                <w:rFonts w:cs="Arial"/>
                <w:color w:val="000000" w:themeColor="text1"/>
                <w:szCs w:val="21"/>
                <w:lang w:eastAsia="en-AU"/>
              </w:rPr>
              <w:t>.</w:t>
            </w:r>
          </w:p>
        </w:tc>
      </w:tr>
      <w:tr w:rsidR="00AE7C4C" w:rsidRPr="00766DC6" w14:paraId="143C6A1F" w14:textId="77777777" w:rsidTr="00C21DD2">
        <w:trPr>
          <w:trHeight w:val="20"/>
        </w:trPr>
        <w:tc>
          <w:tcPr>
            <w:tcW w:w="3227" w:type="dxa"/>
          </w:tcPr>
          <w:p w14:paraId="0A742FA5"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Early Career Researcher</w:t>
            </w:r>
          </w:p>
        </w:tc>
        <w:tc>
          <w:tcPr>
            <w:tcW w:w="6095" w:type="dxa"/>
          </w:tcPr>
          <w:p w14:paraId="265489EF"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An early-career researcher is defined as an individual who is within five years post PhD (i.e., within five years of their PhD conferral date), excluding career disruptions.</w:t>
            </w:r>
          </w:p>
        </w:tc>
      </w:tr>
      <w:tr w:rsidR="00AE7C4C" w:rsidRPr="00766DC6" w14:paraId="7FA70AFD" w14:textId="77777777" w:rsidTr="00C21DD2">
        <w:trPr>
          <w:trHeight w:val="20"/>
        </w:trPr>
        <w:tc>
          <w:tcPr>
            <w:tcW w:w="3227" w:type="dxa"/>
          </w:tcPr>
          <w:p w14:paraId="6CBFE7FF"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Eligible application </w:t>
            </w:r>
          </w:p>
        </w:tc>
        <w:tc>
          <w:tcPr>
            <w:tcW w:w="6095" w:type="dxa"/>
          </w:tcPr>
          <w:p w14:paraId="19341F72"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An application or proposal for services or grant funding under the program that the Program Delegate has determined is eligible for assessment in accordance with the relevant guidelines. </w:t>
            </w:r>
          </w:p>
        </w:tc>
      </w:tr>
      <w:tr w:rsidR="00AE7C4C" w:rsidRPr="00766DC6" w14:paraId="2B18945D" w14:textId="77777777" w:rsidTr="00C21DD2">
        <w:trPr>
          <w:trHeight w:val="20"/>
        </w:trPr>
        <w:tc>
          <w:tcPr>
            <w:tcW w:w="3227" w:type="dxa"/>
          </w:tcPr>
          <w:p w14:paraId="465D7D0D"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Eligible expenditure </w:t>
            </w:r>
          </w:p>
        </w:tc>
        <w:tc>
          <w:tcPr>
            <w:tcW w:w="6095" w:type="dxa"/>
          </w:tcPr>
          <w:p w14:paraId="0B93405B" w14:textId="16D8DACB"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The expenditure incurred by a grantee on a project, which is eligible for funding support as set out in section 4</w:t>
            </w:r>
            <w:r w:rsidR="00ED5AB3">
              <w:rPr>
                <w:rFonts w:cs="Arial"/>
                <w:color w:val="000000"/>
                <w:szCs w:val="21"/>
                <w:lang w:eastAsia="en-AU"/>
              </w:rPr>
              <w:t xml:space="preserve"> of the Grant Opportunity Guidelines</w:t>
            </w:r>
            <w:r w:rsidRPr="00766DC6">
              <w:rPr>
                <w:rFonts w:cs="Arial"/>
                <w:color w:val="000000"/>
                <w:szCs w:val="21"/>
                <w:lang w:eastAsia="en-AU"/>
              </w:rPr>
              <w:t xml:space="preserve">. </w:t>
            </w:r>
          </w:p>
        </w:tc>
      </w:tr>
      <w:tr w:rsidR="00AE7C4C" w:rsidRPr="00766DC6" w14:paraId="02891E66" w14:textId="77777777" w:rsidTr="00C21DD2">
        <w:trPr>
          <w:trHeight w:val="20"/>
        </w:trPr>
        <w:tc>
          <w:tcPr>
            <w:tcW w:w="3227" w:type="dxa"/>
          </w:tcPr>
          <w:p w14:paraId="69007B31"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Eligible Organisation </w:t>
            </w:r>
          </w:p>
        </w:tc>
        <w:tc>
          <w:tcPr>
            <w:tcW w:w="6095" w:type="dxa"/>
          </w:tcPr>
          <w:p w14:paraId="5282E49C"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An organisation that meets the eligibility requirements for receiving and administering MRFF funding and has been approved as an MRFF Eligible Organisation by NHMRC. </w:t>
            </w:r>
          </w:p>
        </w:tc>
      </w:tr>
      <w:tr w:rsidR="00AE7C4C" w:rsidRPr="00766DC6" w14:paraId="4B5C5E26" w14:textId="77777777" w:rsidTr="00C21DD2">
        <w:trPr>
          <w:trHeight w:val="20"/>
        </w:trPr>
        <w:tc>
          <w:tcPr>
            <w:tcW w:w="3227" w:type="dxa"/>
          </w:tcPr>
          <w:p w14:paraId="615FEDD8"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Mid-career Researcher</w:t>
            </w:r>
          </w:p>
        </w:tc>
        <w:tc>
          <w:tcPr>
            <w:tcW w:w="6095" w:type="dxa"/>
          </w:tcPr>
          <w:p w14:paraId="3834598E"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A mid-career researcher is defined as an individual who is between </w:t>
            </w:r>
            <w:proofErr w:type="gramStart"/>
            <w:r w:rsidRPr="00766DC6">
              <w:rPr>
                <w:rFonts w:cs="Arial"/>
                <w:color w:val="000000"/>
                <w:szCs w:val="21"/>
                <w:lang w:eastAsia="en-AU"/>
              </w:rPr>
              <w:t>five and ten years</w:t>
            </w:r>
            <w:proofErr w:type="gramEnd"/>
            <w:r w:rsidRPr="00766DC6">
              <w:rPr>
                <w:rFonts w:cs="Arial"/>
                <w:color w:val="000000"/>
                <w:szCs w:val="21"/>
                <w:lang w:eastAsia="en-AU"/>
              </w:rPr>
              <w:t xml:space="preserve"> post PhD (i.e., between five and ten years of their PhD conferral date), excluding career disruptions.</w:t>
            </w:r>
          </w:p>
        </w:tc>
      </w:tr>
      <w:tr w:rsidR="00AE7C4C" w:rsidRPr="00766DC6" w14:paraId="16C23209" w14:textId="77777777" w:rsidTr="00C21DD2">
        <w:trPr>
          <w:trHeight w:val="20"/>
        </w:trPr>
        <w:tc>
          <w:tcPr>
            <w:tcW w:w="3227" w:type="dxa"/>
          </w:tcPr>
          <w:p w14:paraId="3194AF2C"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Grant activity/activities </w:t>
            </w:r>
          </w:p>
        </w:tc>
        <w:tc>
          <w:tcPr>
            <w:tcW w:w="6095" w:type="dxa"/>
          </w:tcPr>
          <w:p w14:paraId="3010FCE2"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Refers to the project/tasks/services that the grantee is required to undertake. </w:t>
            </w:r>
          </w:p>
        </w:tc>
      </w:tr>
      <w:tr w:rsidR="00AE7C4C" w:rsidRPr="00766DC6" w14:paraId="4470F6D9" w14:textId="77777777" w:rsidTr="00C21DD2">
        <w:trPr>
          <w:trHeight w:val="20"/>
        </w:trPr>
        <w:tc>
          <w:tcPr>
            <w:tcW w:w="3227" w:type="dxa"/>
          </w:tcPr>
          <w:p w14:paraId="33064522"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Grant agreement </w:t>
            </w:r>
          </w:p>
        </w:tc>
        <w:tc>
          <w:tcPr>
            <w:tcW w:w="6095" w:type="dxa"/>
          </w:tcPr>
          <w:p w14:paraId="1296F63B"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Sets out the relationship between the parties to the agreement and specifies the details of the grant. </w:t>
            </w:r>
          </w:p>
        </w:tc>
      </w:tr>
      <w:tr w:rsidR="00AE7C4C" w:rsidRPr="00766DC6" w14:paraId="2BD515DE" w14:textId="77777777" w:rsidTr="00C21DD2">
        <w:trPr>
          <w:trHeight w:val="20"/>
        </w:trPr>
        <w:tc>
          <w:tcPr>
            <w:tcW w:w="3227" w:type="dxa"/>
          </w:tcPr>
          <w:p w14:paraId="3CBAAC43"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Grant funding or grant funds </w:t>
            </w:r>
          </w:p>
        </w:tc>
        <w:tc>
          <w:tcPr>
            <w:tcW w:w="6095" w:type="dxa"/>
          </w:tcPr>
          <w:p w14:paraId="606F607A"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The funding made available by the Australian Government to grantees under the program. </w:t>
            </w:r>
          </w:p>
        </w:tc>
      </w:tr>
      <w:tr w:rsidR="00AE7C4C" w:rsidRPr="00766DC6" w14:paraId="3237B3BB" w14:textId="77777777" w:rsidTr="00C21DD2">
        <w:trPr>
          <w:trHeight w:val="20"/>
        </w:trPr>
        <w:tc>
          <w:tcPr>
            <w:tcW w:w="3227" w:type="dxa"/>
          </w:tcPr>
          <w:p w14:paraId="28B4AE8E"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Grant Opportunity </w:t>
            </w:r>
          </w:p>
        </w:tc>
        <w:tc>
          <w:tcPr>
            <w:tcW w:w="6095" w:type="dxa"/>
          </w:tcPr>
          <w:p w14:paraId="36994D4F"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Refers to the specific grant round or process where a Commonwealth grant is made available to potential grantees. A grant opportunity is aimed at achieving government policy outcomes under a Portfolio Budget Statement Program. </w:t>
            </w:r>
          </w:p>
        </w:tc>
      </w:tr>
      <w:tr w:rsidR="00AE7C4C" w:rsidRPr="00766DC6" w14:paraId="42FFF6DF" w14:textId="77777777" w:rsidTr="00C21DD2">
        <w:trPr>
          <w:trHeight w:val="20"/>
        </w:trPr>
        <w:tc>
          <w:tcPr>
            <w:tcW w:w="3227" w:type="dxa"/>
          </w:tcPr>
          <w:p w14:paraId="1DF6D338" w14:textId="77777777" w:rsidR="00AE7C4C" w:rsidRPr="00766DC6" w:rsidRDefault="00AE7C4C" w:rsidP="00ED5AB3">
            <w:pPr>
              <w:autoSpaceDE w:val="0"/>
              <w:autoSpaceDN w:val="0"/>
              <w:adjustRightInd w:val="0"/>
              <w:spacing w:before="80" w:after="120"/>
              <w:jc w:val="both"/>
              <w:rPr>
                <w:rFonts w:cs="Arial"/>
                <w:color w:val="000000"/>
                <w:szCs w:val="21"/>
                <w:lang w:eastAsia="en-AU"/>
              </w:rPr>
            </w:pPr>
            <w:proofErr w:type="spellStart"/>
            <w:r w:rsidRPr="00766DC6">
              <w:rPr>
                <w:rFonts w:cs="Arial"/>
                <w:color w:val="000000"/>
                <w:szCs w:val="21"/>
                <w:lang w:eastAsia="en-AU"/>
              </w:rPr>
              <w:t>GrantConnect</w:t>
            </w:r>
            <w:proofErr w:type="spellEnd"/>
            <w:r w:rsidRPr="00766DC6">
              <w:rPr>
                <w:rFonts w:cs="Arial"/>
                <w:color w:val="000000"/>
                <w:szCs w:val="21"/>
                <w:lang w:eastAsia="en-AU"/>
              </w:rPr>
              <w:t xml:space="preserve"> </w:t>
            </w:r>
          </w:p>
        </w:tc>
        <w:tc>
          <w:tcPr>
            <w:tcW w:w="6095" w:type="dxa"/>
          </w:tcPr>
          <w:p w14:paraId="2111CD5C" w14:textId="54AB3DD2"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The Australian Government’s whole-of-government grants information system, which centralises the publication and reporting of Commonwealth grants in accordance with the</w:t>
            </w:r>
            <w:r w:rsidR="00651510">
              <w:rPr>
                <w:rFonts w:cs="Arial"/>
                <w:color w:val="000000"/>
                <w:szCs w:val="21"/>
                <w:lang w:eastAsia="en-AU"/>
              </w:rPr>
              <w:t xml:space="preserve"> </w:t>
            </w:r>
            <w:r w:rsidR="0024200B" w:rsidRPr="00ED5AB3">
              <w:rPr>
                <w:rFonts w:cs="Arial"/>
                <w:color w:val="000000" w:themeColor="text1"/>
                <w:shd w:val="clear" w:color="auto" w:fill="FFFFFF"/>
              </w:rPr>
              <w:t>Commonwealth Grants Rules and Guidelines</w:t>
            </w:r>
            <w:r w:rsidRPr="00766DC6">
              <w:rPr>
                <w:rFonts w:cs="Arial"/>
                <w:color w:val="000000"/>
                <w:szCs w:val="21"/>
                <w:lang w:eastAsia="en-AU"/>
              </w:rPr>
              <w:t xml:space="preserve">. </w:t>
            </w:r>
          </w:p>
        </w:tc>
      </w:tr>
      <w:tr w:rsidR="00AE7C4C" w:rsidRPr="00766DC6" w14:paraId="3CBACBE1" w14:textId="77777777" w:rsidTr="00C21DD2">
        <w:trPr>
          <w:trHeight w:val="20"/>
        </w:trPr>
        <w:tc>
          <w:tcPr>
            <w:tcW w:w="3227" w:type="dxa"/>
          </w:tcPr>
          <w:p w14:paraId="70AEA88B"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Grantee </w:t>
            </w:r>
          </w:p>
        </w:tc>
        <w:tc>
          <w:tcPr>
            <w:tcW w:w="6095" w:type="dxa"/>
          </w:tcPr>
          <w:p w14:paraId="7784CD09"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The individual/organisation which has been selected to receive a grant. </w:t>
            </w:r>
          </w:p>
        </w:tc>
      </w:tr>
      <w:tr w:rsidR="00AE7C4C" w:rsidRPr="00766DC6" w14:paraId="6C07B802" w14:textId="77777777" w:rsidTr="00ED5AB3">
        <w:trPr>
          <w:trHeight w:val="64"/>
        </w:trPr>
        <w:tc>
          <w:tcPr>
            <w:tcW w:w="3227" w:type="dxa"/>
          </w:tcPr>
          <w:p w14:paraId="652C4915" w14:textId="77777777" w:rsidR="00AE7C4C" w:rsidRPr="00766DC6" w:rsidRDefault="00AE7C4C" w:rsidP="00ED5AB3">
            <w:pPr>
              <w:autoSpaceDE w:val="0"/>
              <w:autoSpaceDN w:val="0"/>
              <w:adjustRightInd w:val="0"/>
              <w:spacing w:before="80" w:after="120"/>
              <w:jc w:val="both"/>
              <w:rPr>
                <w:rFonts w:cs="Arial"/>
                <w:color w:val="000000"/>
                <w:szCs w:val="21"/>
                <w:lang w:eastAsia="en-AU"/>
              </w:rPr>
            </w:pPr>
            <w:r w:rsidRPr="00766DC6">
              <w:rPr>
                <w:rFonts w:cs="Arial"/>
                <w:color w:val="000000"/>
                <w:szCs w:val="21"/>
                <w:lang w:eastAsia="en-AU"/>
              </w:rPr>
              <w:t xml:space="preserve">Project </w:t>
            </w:r>
          </w:p>
        </w:tc>
        <w:tc>
          <w:tcPr>
            <w:tcW w:w="6095" w:type="dxa"/>
          </w:tcPr>
          <w:p w14:paraId="6EFC9C5E" w14:textId="77777777" w:rsidR="00AE7C4C" w:rsidRPr="00766DC6" w:rsidRDefault="00AE7C4C" w:rsidP="00ED5AB3">
            <w:pPr>
              <w:autoSpaceDE w:val="0"/>
              <w:autoSpaceDN w:val="0"/>
              <w:adjustRightInd w:val="0"/>
              <w:spacing w:before="80"/>
              <w:jc w:val="both"/>
              <w:rPr>
                <w:rFonts w:cs="Arial"/>
                <w:color w:val="000000"/>
                <w:szCs w:val="21"/>
                <w:lang w:eastAsia="en-AU"/>
              </w:rPr>
            </w:pPr>
            <w:r w:rsidRPr="00766DC6">
              <w:rPr>
                <w:rFonts w:cs="Arial"/>
                <w:color w:val="000000"/>
                <w:szCs w:val="21"/>
                <w:lang w:eastAsia="en-AU"/>
              </w:rPr>
              <w:t xml:space="preserve">A project described in an application for grant funding under the grant opportunity. </w:t>
            </w:r>
          </w:p>
        </w:tc>
      </w:tr>
    </w:tbl>
    <w:p w14:paraId="64063E19" w14:textId="57A2D8FB" w:rsidR="00AE7C4C" w:rsidRPr="00AE3273" w:rsidRDefault="00AE7C4C" w:rsidP="00B95348">
      <w:pPr>
        <w:sectPr w:rsidR="00AE7C4C" w:rsidRPr="00AE3273" w:rsidSect="00276C05">
          <w:headerReference w:type="even" r:id="rId42"/>
          <w:headerReference w:type="default" r:id="rId43"/>
          <w:footerReference w:type="even" r:id="rId44"/>
          <w:footerReference w:type="default" r:id="rId45"/>
          <w:headerReference w:type="first" r:id="rId46"/>
          <w:footerReference w:type="first" r:id="rId47"/>
          <w:pgSz w:w="11906" w:h="16838" w:code="9"/>
          <w:pgMar w:top="1701" w:right="1418" w:bottom="1418" w:left="1418" w:header="709" w:footer="567" w:gutter="0"/>
          <w:pgNumType w:start="1"/>
          <w:cols w:space="708"/>
          <w:docGrid w:linePitch="360"/>
        </w:sectPr>
      </w:pPr>
    </w:p>
    <w:p w14:paraId="5E893493" w14:textId="77777777" w:rsidR="00205A93" w:rsidRPr="009567BB" w:rsidRDefault="00205A93" w:rsidP="00F62BC0">
      <w:pPr>
        <w:pStyle w:val="Paragraphtext"/>
        <w:jc w:val="center"/>
      </w:pPr>
      <w:r w:rsidRPr="009567BB">
        <w:lastRenderedPageBreak/>
        <w:t>Health.gov.au</w:t>
      </w:r>
    </w:p>
    <w:p w14:paraId="50B2D008" w14:textId="75849B88" w:rsidR="00205A93" w:rsidRPr="009567BB" w:rsidRDefault="00205A93" w:rsidP="00F62BC0">
      <w:pPr>
        <w:pStyle w:val="Paragraphtext"/>
        <w:jc w:val="center"/>
      </w:pPr>
      <w:r w:rsidRPr="009567BB">
        <w:t xml:space="preserve">All information in this publication is correct as </w:t>
      </w:r>
      <w:proofErr w:type="gramStart"/>
      <w:r w:rsidRPr="009567BB">
        <w:t>at</w:t>
      </w:r>
      <w:proofErr w:type="gramEnd"/>
      <w:r w:rsidRPr="009567BB">
        <w:t xml:space="preserve"> </w:t>
      </w:r>
      <w:r w:rsidR="00025E09">
        <w:t>April 2023</w:t>
      </w:r>
    </w:p>
    <w:sectPr w:rsidR="00205A93" w:rsidRPr="009567BB" w:rsidSect="00F62BC0">
      <w:headerReference w:type="default" r:id="rId48"/>
      <w:footerReference w:type="default" r:id="rId49"/>
      <w:type w:val="oddPage"/>
      <w:pgSz w:w="11906" w:h="16838" w:code="9"/>
      <w:pgMar w:top="1701" w:right="1418" w:bottom="1418" w:left="1418" w:header="709" w:footer="709"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42CC" w14:textId="77777777" w:rsidR="00636337" w:rsidRDefault="00636337" w:rsidP="009567BB">
      <w:r>
        <w:separator/>
      </w:r>
    </w:p>
    <w:p w14:paraId="7AF55F20" w14:textId="77777777" w:rsidR="00636337" w:rsidRDefault="00636337" w:rsidP="009567BB"/>
  </w:endnote>
  <w:endnote w:type="continuationSeparator" w:id="0">
    <w:p w14:paraId="290B5BB1" w14:textId="77777777" w:rsidR="00636337" w:rsidRDefault="00636337" w:rsidP="009567BB">
      <w:r>
        <w:continuationSeparator/>
      </w:r>
    </w:p>
    <w:p w14:paraId="33C96EC4" w14:textId="77777777" w:rsidR="00636337" w:rsidRDefault="00636337" w:rsidP="009567BB"/>
  </w:endnote>
  <w:endnote w:type="continuationNotice" w:id="1">
    <w:p w14:paraId="2E8652B0" w14:textId="77777777" w:rsidR="00636337" w:rsidRDefault="00636337"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755717888"/>
      <w:docPartObj>
        <w:docPartGallery w:val="Page Numbers (Bottom of Page)"/>
        <w:docPartUnique/>
      </w:docPartObj>
    </w:sdtPr>
    <w:sdtEndPr>
      <w:rPr>
        <w:noProof/>
      </w:rPr>
    </w:sdtEndPr>
    <w:sdtContent>
      <w:p w14:paraId="05DE7898" w14:textId="6B6D3010" w:rsidR="00236073" w:rsidRPr="00921E93" w:rsidRDefault="00522423" w:rsidP="00A216E1">
        <w:pPr>
          <w:pStyle w:val="Footer"/>
          <w:pBdr>
            <w:top w:val="single" w:sz="6" w:space="1" w:color="48607B" w:themeColor="text2"/>
          </w:pBdr>
          <w:tabs>
            <w:tab w:val="clear" w:pos="0"/>
            <w:tab w:val="clear" w:pos="9026"/>
            <w:tab w:val="right" w:pos="14005"/>
          </w:tabs>
          <w:rPr>
            <w:color w:val="000000" w:themeColor="text1"/>
          </w:rPr>
        </w:pPr>
        <w:r w:rsidRPr="00522423">
          <w:rPr>
            <w:color w:val="000000" w:themeColor="text1"/>
            <w:szCs w:val="20"/>
          </w:rPr>
          <w:t xml:space="preserve">MRFF - 2021 </w:t>
        </w:r>
        <w:r w:rsidRPr="00522423">
          <w:rPr>
            <w:szCs w:val="20"/>
          </w:rPr>
          <w:t>Early to Mid-Career Researchers Grant Opportunity</w:t>
        </w:r>
        <w:r w:rsidRPr="00522423" w:rsidDel="0092272D">
          <w:rPr>
            <w:szCs w:val="20"/>
          </w:rPr>
          <w:t xml:space="preserve"> </w:t>
        </w:r>
        <w:r w:rsidRPr="00522423">
          <w:rPr>
            <w:color w:val="000000" w:themeColor="text1"/>
            <w:szCs w:val="20"/>
          </w:rPr>
          <w:t>Outcomes data analysis</w:t>
        </w:r>
        <w:r w:rsidR="00A216E1" w:rsidRPr="00921E93">
          <w:rPr>
            <w:color w:val="000000" w:themeColor="text1"/>
          </w:rPr>
          <w:tab/>
        </w:r>
        <w:r w:rsidR="00A216E1" w:rsidRPr="00921E93">
          <w:rPr>
            <w:color w:val="000000" w:themeColor="text1"/>
          </w:rPr>
          <w:fldChar w:fldCharType="begin"/>
        </w:r>
        <w:r w:rsidR="00A216E1" w:rsidRPr="00921E93">
          <w:rPr>
            <w:color w:val="000000" w:themeColor="text1"/>
          </w:rPr>
          <w:instrText xml:space="preserve"> PAGE   \* MERGEFORMAT </w:instrText>
        </w:r>
        <w:r w:rsidR="00A216E1" w:rsidRPr="00921E93">
          <w:rPr>
            <w:color w:val="000000" w:themeColor="text1"/>
          </w:rPr>
          <w:fldChar w:fldCharType="separate"/>
        </w:r>
        <w:r w:rsidR="00A216E1" w:rsidRPr="00921E93">
          <w:rPr>
            <w:noProof/>
            <w:color w:val="000000" w:themeColor="text1"/>
          </w:rPr>
          <w:t>3</w:t>
        </w:r>
        <w:r w:rsidR="00A216E1" w:rsidRPr="00921E93">
          <w:rPr>
            <w:noProof/>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776178347"/>
      <w:docPartObj>
        <w:docPartGallery w:val="Page Numbers (Bottom of Page)"/>
        <w:docPartUnique/>
      </w:docPartObj>
    </w:sdtPr>
    <w:sdtEndPr>
      <w:rPr>
        <w:noProof/>
      </w:rPr>
    </w:sdtEndPr>
    <w:sdtContent>
      <w:p w14:paraId="1B9F1D08" w14:textId="68797F15" w:rsidR="00236073" w:rsidRPr="00921E93" w:rsidRDefault="00C610DE" w:rsidP="00B76810">
        <w:pPr>
          <w:pStyle w:val="Footer"/>
          <w:pBdr>
            <w:top w:val="single" w:sz="6" w:space="1" w:color="48607B" w:themeColor="text2"/>
          </w:pBdr>
          <w:tabs>
            <w:tab w:val="clear" w:pos="0"/>
            <w:tab w:val="clear" w:pos="9026"/>
            <w:tab w:val="right" w:pos="14005"/>
          </w:tabs>
          <w:rPr>
            <w:color w:val="000000" w:themeColor="text1"/>
          </w:rPr>
        </w:pPr>
        <w:r w:rsidRPr="00C610DE">
          <w:rPr>
            <w:color w:val="000000" w:themeColor="text1"/>
          </w:rPr>
          <w:t xml:space="preserve">Data about the MRFF - 2021 </w:t>
        </w:r>
        <w:r>
          <w:rPr>
            <w:color w:val="000000" w:themeColor="text1"/>
          </w:rPr>
          <w:t>EMCR</w:t>
        </w:r>
        <w:r w:rsidRPr="00C610DE">
          <w:rPr>
            <w:color w:val="000000" w:themeColor="text1"/>
          </w:rPr>
          <w:t xml:space="preserve"> Grant Opportunity</w:t>
        </w:r>
        <w:r>
          <w:rPr>
            <w:color w:val="000000" w:themeColor="text1"/>
          </w:rPr>
          <w:t xml:space="preserve"> </w:t>
        </w:r>
        <w:r w:rsidRPr="00C610DE">
          <w:rPr>
            <w:color w:val="000000" w:themeColor="text1"/>
          </w:rPr>
          <w:t>Outcomes</w:t>
        </w:r>
        <w:r w:rsidR="00B76810" w:rsidRPr="00921E93">
          <w:rPr>
            <w:color w:val="000000" w:themeColor="text1"/>
          </w:rPr>
          <w:tab/>
        </w:r>
        <w:r w:rsidR="00B76810" w:rsidRPr="00921E93">
          <w:rPr>
            <w:color w:val="000000" w:themeColor="text1"/>
          </w:rPr>
          <w:fldChar w:fldCharType="begin"/>
        </w:r>
        <w:r w:rsidR="00B76810" w:rsidRPr="00921E93">
          <w:rPr>
            <w:color w:val="000000" w:themeColor="text1"/>
          </w:rPr>
          <w:instrText xml:space="preserve"> PAGE   \* MERGEFORMAT </w:instrText>
        </w:r>
        <w:r w:rsidR="00B76810" w:rsidRPr="00921E93">
          <w:rPr>
            <w:color w:val="000000" w:themeColor="text1"/>
          </w:rPr>
          <w:fldChar w:fldCharType="separate"/>
        </w:r>
        <w:r w:rsidR="00B76810" w:rsidRPr="00921E93">
          <w:rPr>
            <w:noProof/>
            <w:color w:val="000000" w:themeColor="text1"/>
          </w:rPr>
          <w:t>3</w:t>
        </w:r>
        <w:r w:rsidR="00B76810" w:rsidRPr="00921E93">
          <w:rPr>
            <w:noProof/>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0E9B2AC4" w14:textId="77777777" w:rsidR="00236073" w:rsidRDefault="00236073" w:rsidP="009567BB">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40B" w14:textId="76416AF4" w:rsidR="00276C05" w:rsidRDefault="00276C05">
    <w:pPr>
      <w:pStyle w:val="Footer"/>
    </w:pPr>
  </w:p>
  <w:sdt>
    <w:sdtPr>
      <w:rPr>
        <w:color w:val="000000" w:themeColor="text1"/>
      </w:rPr>
      <w:id w:val="949588170"/>
      <w:docPartObj>
        <w:docPartGallery w:val="Page Numbers (Bottom of Page)"/>
        <w:docPartUnique/>
      </w:docPartObj>
    </w:sdtPr>
    <w:sdtEndPr>
      <w:rPr>
        <w:noProof/>
      </w:rPr>
    </w:sdtEndPr>
    <w:sdtContent>
      <w:p w14:paraId="011D7AE4" w14:textId="77777777" w:rsidR="00276C05" w:rsidRPr="00921E93" w:rsidRDefault="00276C05" w:rsidP="00276C05">
        <w:pPr>
          <w:pStyle w:val="Footer"/>
          <w:pBdr>
            <w:top w:val="single" w:sz="6" w:space="1" w:color="48607B" w:themeColor="text2"/>
          </w:pBdr>
          <w:tabs>
            <w:tab w:val="clear" w:pos="0"/>
            <w:tab w:val="clear" w:pos="9026"/>
            <w:tab w:val="right" w:pos="14005"/>
          </w:tabs>
          <w:rPr>
            <w:color w:val="000000" w:themeColor="text1"/>
          </w:rPr>
        </w:pPr>
        <w:r w:rsidRPr="00522423">
          <w:rPr>
            <w:color w:val="000000" w:themeColor="text1"/>
            <w:szCs w:val="20"/>
          </w:rPr>
          <w:t xml:space="preserve">MRFF - 2021 </w:t>
        </w:r>
        <w:r w:rsidRPr="00522423">
          <w:rPr>
            <w:szCs w:val="20"/>
          </w:rPr>
          <w:t>Early to Mid-Career Researchers Grant Opportunity</w:t>
        </w:r>
        <w:r w:rsidRPr="00522423" w:rsidDel="0092272D">
          <w:rPr>
            <w:szCs w:val="20"/>
          </w:rPr>
          <w:t xml:space="preserve"> </w:t>
        </w:r>
        <w:r w:rsidRPr="00522423">
          <w:rPr>
            <w:color w:val="000000" w:themeColor="text1"/>
            <w:szCs w:val="20"/>
          </w:rPr>
          <w:t>Outcomes data analysis</w:t>
        </w:r>
        <w:r w:rsidRPr="00921E93">
          <w:rPr>
            <w:color w:val="000000" w:themeColor="text1"/>
          </w:rPr>
          <w:tab/>
        </w:r>
        <w:r w:rsidRPr="00921E93">
          <w:rPr>
            <w:color w:val="000000" w:themeColor="text1"/>
          </w:rPr>
          <w:fldChar w:fldCharType="begin"/>
        </w:r>
        <w:r w:rsidRPr="00921E93">
          <w:rPr>
            <w:color w:val="000000" w:themeColor="text1"/>
          </w:rPr>
          <w:instrText xml:space="preserve"> PAGE   \* MERGEFORMAT </w:instrText>
        </w:r>
        <w:r w:rsidRPr="00921E93">
          <w:rPr>
            <w:color w:val="000000" w:themeColor="text1"/>
          </w:rPr>
          <w:fldChar w:fldCharType="separate"/>
        </w:r>
        <w:r>
          <w:rPr>
            <w:color w:val="000000" w:themeColor="text1"/>
          </w:rPr>
          <w:t>3</w:t>
        </w:r>
        <w:r w:rsidRPr="00921E93">
          <w:rPr>
            <w:noProof/>
            <w:color w:val="000000" w:themeColor="text1"/>
          </w:rPr>
          <w:fldChar w:fldCharType="end"/>
        </w:r>
      </w:p>
    </w:sdtContent>
  </w:sdt>
  <w:p w14:paraId="08C97C61" w14:textId="2B3A5B53" w:rsidR="009E1CE1" w:rsidRPr="00921E93" w:rsidRDefault="009E1CE1" w:rsidP="00A216E1">
    <w:pPr>
      <w:pStyle w:val="Footer"/>
      <w:pBdr>
        <w:top w:val="single" w:sz="6" w:space="1" w:color="48607B" w:themeColor="text2"/>
      </w:pBdr>
      <w:tabs>
        <w:tab w:val="clear" w:pos="0"/>
        <w:tab w:val="clear" w:pos="9026"/>
        <w:tab w:val="right" w:pos="14005"/>
      </w:tabs>
      <w:rPr>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0434068"/>
      <w:docPartObj>
        <w:docPartGallery w:val="Page Numbers (Bottom of Page)"/>
        <w:docPartUnique/>
      </w:docPartObj>
    </w:sdtPr>
    <w:sdtEndPr>
      <w:rPr>
        <w:noProof/>
      </w:rPr>
    </w:sdtEndPr>
    <w:sdtContent>
      <w:p w14:paraId="2B0C56A3" w14:textId="18BD21A9" w:rsidR="009E1CE1" w:rsidRPr="00921E93" w:rsidRDefault="00C610DE" w:rsidP="00B76810">
        <w:pPr>
          <w:pStyle w:val="Footer"/>
          <w:pBdr>
            <w:top w:val="single" w:sz="6" w:space="1" w:color="48607B" w:themeColor="text2"/>
          </w:pBdr>
          <w:tabs>
            <w:tab w:val="clear" w:pos="0"/>
            <w:tab w:val="clear" w:pos="9026"/>
            <w:tab w:val="right" w:pos="14005"/>
          </w:tabs>
          <w:rPr>
            <w:color w:val="000000" w:themeColor="text1"/>
          </w:rPr>
        </w:pPr>
        <w:r w:rsidRPr="00522423">
          <w:rPr>
            <w:color w:val="000000" w:themeColor="text1"/>
            <w:szCs w:val="20"/>
          </w:rPr>
          <w:t xml:space="preserve">MRFF - 2021 </w:t>
        </w:r>
        <w:r w:rsidR="00522423" w:rsidRPr="00522423">
          <w:rPr>
            <w:szCs w:val="20"/>
          </w:rPr>
          <w:t>Early to Mid-Career Researchers Grant Opportunity</w:t>
        </w:r>
        <w:r w:rsidR="00522423" w:rsidRPr="00522423" w:rsidDel="0092272D">
          <w:rPr>
            <w:szCs w:val="20"/>
          </w:rPr>
          <w:t xml:space="preserve"> </w:t>
        </w:r>
        <w:r w:rsidRPr="00522423">
          <w:rPr>
            <w:color w:val="000000" w:themeColor="text1"/>
            <w:szCs w:val="20"/>
          </w:rPr>
          <w:t>Outcomes</w:t>
        </w:r>
        <w:r w:rsidR="00E041D5" w:rsidRPr="00522423">
          <w:rPr>
            <w:color w:val="000000" w:themeColor="text1"/>
            <w:szCs w:val="20"/>
          </w:rPr>
          <w:t xml:space="preserve"> data analysis</w:t>
        </w:r>
        <w:r w:rsidR="009E1CE1" w:rsidRPr="00921E93">
          <w:rPr>
            <w:color w:val="000000" w:themeColor="text1"/>
          </w:rPr>
          <w:tab/>
        </w:r>
        <w:r w:rsidR="009E1CE1" w:rsidRPr="00921E93">
          <w:rPr>
            <w:color w:val="000000" w:themeColor="text1"/>
          </w:rPr>
          <w:fldChar w:fldCharType="begin"/>
        </w:r>
        <w:r w:rsidR="009E1CE1" w:rsidRPr="00921E93">
          <w:rPr>
            <w:color w:val="000000" w:themeColor="text1"/>
          </w:rPr>
          <w:instrText xml:space="preserve"> PAGE   \* MERGEFORMAT </w:instrText>
        </w:r>
        <w:r w:rsidR="009E1CE1" w:rsidRPr="00921E93">
          <w:rPr>
            <w:color w:val="000000" w:themeColor="text1"/>
          </w:rPr>
          <w:fldChar w:fldCharType="separate"/>
        </w:r>
        <w:r w:rsidR="009E1CE1" w:rsidRPr="00921E93">
          <w:rPr>
            <w:noProof/>
            <w:color w:val="000000" w:themeColor="text1"/>
          </w:rPr>
          <w:t>3</w:t>
        </w:r>
        <w:r w:rsidR="009E1CE1" w:rsidRPr="00921E93">
          <w:rPr>
            <w:noProof/>
            <w:color w:val="000000" w:themeColor="text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97658"/>
      <w:docPartObj>
        <w:docPartGallery w:val="Page Numbers (Bottom of Page)"/>
        <w:docPartUnique/>
      </w:docPartObj>
    </w:sdtPr>
    <w:sdtEndPr>
      <w:rPr>
        <w:noProof/>
      </w:rPr>
    </w:sdtEndPr>
    <w:sdtContent>
      <w:p w14:paraId="1DE80733" w14:textId="77777777" w:rsidR="009E1CE1" w:rsidRDefault="009E1CE1" w:rsidP="009567BB">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5986" w14:textId="77777777" w:rsidR="00205A93" w:rsidRDefault="00205A93" w:rsidP="0095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837E" w14:textId="77777777" w:rsidR="00636337" w:rsidRDefault="00636337" w:rsidP="009567BB">
      <w:r>
        <w:separator/>
      </w:r>
    </w:p>
    <w:p w14:paraId="4A71595B" w14:textId="77777777" w:rsidR="00636337" w:rsidRDefault="00636337" w:rsidP="009567BB"/>
  </w:footnote>
  <w:footnote w:type="continuationSeparator" w:id="0">
    <w:p w14:paraId="6BB36D2C" w14:textId="77777777" w:rsidR="00636337" w:rsidRDefault="00636337" w:rsidP="009567BB">
      <w:r>
        <w:continuationSeparator/>
      </w:r>
    </w:p>
    <w:p w14:paraId="5D701CCE" w14:textId="77777777" w:rsidR="00636337" w:rsidRDefault="00636337" w:rsidP="009567BB"/>
  </w:footnote>
  <w:footnote w:type="continuationNotice" w:id="1">
    <w:p w14:paraId="7F3DF92B" w14:textId="77777777" w:rsidR="00636337" w:rsidRDefault="00636337" w:rsidP="009567BB"/>
  </w:footnote>
  <w:footnote w:id="2">
    <w:p w14:paraId="1240183A" w14:textId="29A35B50" w:rsidR="003D2704" w:rsidRPr="00236887" w:rsidRDefault="003D2704">
      <w:pPr>
        <w:pStyle w:val="FootnoteText"/>
        <w:rPr>
          <w:sz w:val="18"/>
          <w:szCs w:val="18"/>
        </w:rPr>
      </w:pPr>
      <w:r>
        <w:rPr>
          <w:rStyle w:val="FootnoteReference"/>
        </w:rPr>
        <w:footnoteRef/>
      </w:r>
      <w:r>
        <w:t xml:space="preserve"> </w:t>
      </w:r>
      <w:r w:rsidRPr="00236887">
        <w:rPr>
          <w:sz w:val="16"/>
          <w:szCs w:val="16"/>
        </w:rPr>
        <w:t xml:space="preserve">The analysis is based on the difference between the year of PhD awarded and the year the grant opportunity closed as captured on </w:t>
      </w:r>
      <w:r w:rsidR="00110703">
        <w:rPr>
          <w:sz w:val="16"/>
          <w:szCs w:val="16"/>
        </w:rPr>
        <w:t xml:space="preserve">the </w:t>
      </w:r>
      <w:r w:rsidRPr="00236887">
        <w:rPr>
          <w:sz w:val="16"/>
          <w:szCs w:val="16"/>
        </w:rPr>
        <w:t xml:space="preserve">NHMRC grants management platform. </w:t>
      </w:r>
      <w:r w:rsidR="006A2EFC">
        <w:rPr>
          <w:sz w:val="16"/>
          <w:szCs w:val="16"/>
        </w:rPr>
        <w:t xml:space="preserve">This period may include career disruptions. As a result, some researchers who completed their PhD more than 10 years ago </w:t>
      </w:r>
      <w:r w:rsidR="00855839">
        <w:rPr>
          <w:sz w:val="16"/>
          <w:szCs w:val="16"/>
        </w:rPr>
        <w:t xml:space="preserve">may </w:t>
      </w:r>
      <w:r w:rsidR="006A2EFC">
        <w:rPr>
          <w:sz w:val="16"/>
          <w:szCs w:val="16"/>
        </w:rPr>
        <w:t>meet eligibility requirements as an early to mid-career researcher.</w:t>
      </w:r>
    </w:p>
  </w:footnote>
  <w:footnote w:id="3">
    <w:p w14:paraId="0CB24F06" w14:textId="565EF4D6" w:rsidR="00D73CF6" w:rsidRPr="001F29BA" w:rsidRDefault="00D73CF6">
      <w:pPr>
        <w:pStyle w:val="FootnoteText"/>
        <w:rPr>
          <w:sz w:val="16"/>
          <w:szCs w:val="16"/>
        </w:rPr>
      </w:pPr>
      <w:r w:rsidRPr="001F29BA">
        <w:rPr>
          <w:rStyle w:val="FootnoteReference"/>
          <w:sz w:val="16"/>
          <w:szCs w:val="16"/>
        </w:rPr>
        <w:footnoteRef/>
      </w:r>
      <w:r w:rsidRPr="001F29BA">
        <w:rPr>
          <w:sz w:val="16"/>
          <w:szCs w:val="16"/>
        </w:rPr>
        <w:t xml:space="preserve"> To be awarded MRFF funding applications must receive a score of 4 or higher against each of the weighted technical assessment criteria and rating of ‘Good’ or ‘Excellent’ for the non-weighted assessment criterion. See Section 7.1 Assessment of grant applications of the </w:t>
      </w:r>
      <w:hyperlink r:id="rId1" w:history="1">
        <w:r w:rsidRPr="001F29BA">
          <w:rPr>
            <w:rStyle w:val="Hyperlink"/>
            <w:sz w:val="16"/>
            <w:szCs w:val="16"/>
          </w:rPr>
          <w:t>Grant Opportunity Guidelines</w:t>
        </w:r>
      </w:hyperlink>
    </w:p>
  </w:footnote>
  <w:footnote w:id="4">
    <w:p w14:paraId="559A9ACC" w14:textId="3448ADF5" w:rsidR="006A2EFC" w:rsidRPr="001F29BA" w:rsidRDefault="006A2EFC" w:rsidP="002732E6">
      <w:pPr>
        <w:pStyle w:val="FootnoteText"/>
        <w:rPr>
          <w:sz w:val="16"/>
          <w:szCs w:val="16"/>
        </w:rPr>
      </w:pPr>
      <w:r w:rsidRPr="001F29BA">
        <w:rPr>
          <w:rStyle w:val="FootnoteReference"/>
          <w:sz w:val="16"/>
          <w:szCs w:val="16"/>
        </w:rPr>
        <w:footnoteRef/>
      </w:r>
      <w:r w:rsidRPr="001F29BA">
        <w:rPr>
          <w:sz w:val="16"/>
          <w:szCs w:val="16"/>
        </w:rPr>
        <w:t xml:space="preserve"> Information about funding allocations was provided in the Grant Opportunity Guidelines.</w:t>
      </w:r>
    </w:p>
  </w:footnote>
  <w:footnote w:id="5">
    <w:p w14:paraId="79A64A5D" w14:textId="3E445D1D" w:rsidR="00120347" w:rsidRDefault="00120347" w:rsidP="002732E6">
      <w:pPr>
        <w:pStyle w:val="FootnoteText"/>
      </w:pPr>
      <w:r>
        <w:rPr>
          <w:rStyle w:val="FootnoteReference"/>
        </w:rPr>
        <w:footnoteRef/>
      </w:r>
      <w:r>
        <w:t xml:space="preserve"> </w:t>
      </w:r>
      <w:r w:rsidRPr="00236887">
        <w:rPr>
          <w:rFonts w:cs="Arial"/>
          <w:color w:val="000000" w:themeColor="text1"/>
          <w:sz w:val="16"/>
        </w:rPr>
        <w:t xml:space="preserve">A greater amount of funding was awarded to Stream 2 than initially allocated due to an application in Stream 2 being the </w:t>
      </w:r>
      <w:proofErr w:type="gramStart"/>
      <w:r w:rsidRPr="00236887">
        <w:rPr>
          <w:rFonts w:cs="Arial"/>
          <w:color w:val="000000" w:themeColor="text1"/>
          <w:sz w:val="16"/>
        </w:rPr>
        <w:t>highest ranking</w:t>
      </w:r>
      <w:proofErr w:type="gramEnd"/>
      <w:r w:rsidRPr="00236887">
        <w:rPr>
          <w:rFonts w:cs="Arial"/>
          <w:color w:val="000000" w:themeColor="text1"/>
          <w:sz w:val="16"/>
        </w:rPr>
        <w:t xml:space="preserve"> application</w:t>
      </w:r>
      <w:r>
        <w:rPr>
          <w:rFonts w:cs="Arial"/>
          <w:color w:val="000000" w:themeColor="text1"/>
          <w:sz w:val="16"/>
        </w:rPr>
        <w:t xml:space="preserve"> that had not received funding when the funds remaining from each Stream were pooled. </w:t>
      </w:r>
      <w:r>
        <w:t xml:space="preserve"> </w:t>
      </w:r>
    </w:p>
  </w:footnote>
  <w:footnote w:id="6">
    <w:p w14:paraId="4623DD3A" w14:textId="64C9C681" w:rsidR="00B44E73" w:rsidRPr="006C2B28" w:rsidRDefault="00B44E73" w:rsidP="00B75A54">
      <w:pPr>
        <w:pStyle w:val="Tabletextleft"/>
      </w:pPr>
      <w:r>
        <w:rPr>
          <w:rStyle w:val="FootnoteReference"/>
        </w:rPr>
        <w:footnoteRef/>
      </w:r>
      <w:r>
        <w:t xml:space="preserve"> </w:t>
      </w:r>
      <w:r w:rsidRPr="006C2B28">
        <w:t>Only MRFF funding listed</w:t>
      </w:r>
    </w:p>
    <w:p w14:paraId="6287EAEB" w14:textId="68EADEB2" w:rsidR="00B44E73" w:rsidRDefault="00B44E73">
      <w:pPr>
        <w:pStyle w:val="FootnoteText"/>
      </w:pPr>
    </w:p>
  </w:footnote>
  <w:footnote w:id="7">
    <w:p w14:paraId="0B2AF1FA" w14:textId="374883BD" w:rsidR="00A032D2" w:rsidRPr="00A032D2" w:rsidRDefault="00A032D2" w:rsidP="00A032D2">
      <w:pPr>
        <w:pStyle w:val="CommentText"/>
        <w:rPr>
          <w:sz w:val="16"/>
          <w:szCs w:val="16"/>
        </w:rPr>
      </w:pPr>
      <w:r w:rsidRPr="00A032D2">
        <w:rPr>
          <w:rStyle w:val="FootnoteReference"/>
          <w:sz w:val="16"/>
          <w:szCs w:val="16"/>
        </w:rPr>
        <w:footnoteRef/>
      </w:r>
      <w:r w:rsidRPr="00A032D2">
        <w:rPr>
          <w:sz w:val="16"/>
          <w:szCs w:val="16"/>
        </w:rPr>
        <w:t xml:space="preserve"> Where multiple Fields of Research are nominated in the application, only the first/primary Field of Research is used in this analysis.</w:t>
      </w:r>
    </w:p>
    <w:p w14:paraId="3AA1D4A9" w14:textId="0991BE91" w:rsidR="00A032D2" w:rsidRDefault="00A032D2">
      <w:pPr>
        <w:pStyle w:val="FootnoteText"/>
      </w:pPr>
    </w:p>
  </w:footnote>
  <w:footnote w:id="8">
    <w:p w14:paraId="5E49640C" w14:textId="3DBA5926" w:rsidR="00E45F45" w:rsidRDefault="00E45F45" w:rsidP="00B95348">
      <w:pPr>
        <w:jc w:val="both"/>
      </w:pPr>
      <w:r>
        <w:rPr>
          <w:rStyle w:val="FootnoteReference"/>
        </w:rPr>
        <w:footnoteRef/>
      </w:r>
      <w:r>
        <w:t xml:space="preserve"> </w:t>
      </w:r>
      <w:r w:rsidRPr="00B95348">
        <w:rPr>
          <w:sz w:val="16"/>
          <w:szCs w:val="16"/>
        </w:rPr>
        <w:t xml:space="preserve">The analysis in this section is based on the difference between the year of PhD awarded and the year </w:t>
      </w:r>
      <w:r w:rsidRPr="00871DF3">
        <w:rPr>
          <w:color w:val="000000" w:themeColor="text1"/>
          <w:sz w:val="16"/>
          <w:szCs w:val="16"/>
        </w:rPr>
        <w:t xml:space="preserve">the </w:t>
      </w:r>
      <w:r w:rsidR="00871DF3">
        <w:rPr>
          <w:color w:val="000000" w:themeColor="text1"/>
          <w:sz w:val="16"/>
          <w:szCs w:val="16"/>
        </w:rPr>
        <w:t>grant opportunity</w:t>
      </w:r>
      <w:r w:rsidR="00871DF3" w:rsidRPr="00871DF3">
        <w:rPr>
          <w:color w:val="000000" w:themeColor="text1"/>
          <w:sz w:val="16"/>
          <w:szCs w:val="16"/>
        </w:rPr>
        <w:t xml:space="preserve"> </w:t>
      </w:r>
      <w:r w:rsidRPr="00871DF3">
        <w:rPr>
          <w:color w:val="000000" w:themeColor="text1"/>
          <w:sz w:val="16"/>
          <w:szCs w:val="16"/>
        </w:rPr>
        <w:t xml:space="preserve">closed </w:t>
      </w:r>
      <w:r w:rsidRPr="00B95348">
        <w:rPr>
          <w:sz w:val="16"/>
          <w:szCs w:val="16"/>
        </w:rPr>
        <w:t>as captured on NHMRC grants management platform. This is distinct to data used for eligibility and may include discrepancies due to rounding</w:t>
      </w:r>
      <w:r w:rsidR="00236887">
        <w:rPr>
          <w:sz w:val="16"/>
          <w:szCs w:val="16"/>
        </w:rPr>
        <w:t xml:space="preserve">. </w:t>
      </w:r>
    </w:p>
  </w:footnote>
  <w:footnote w:id="9">
    <w:p w14:paraId="2A1AB849" w14:textId="061CAE9F" w:rsidR="00F11027" w:rsidRPr="00F11027" w:rsidRDefault="00F11027" w:rsidP="00F11027">
      <w:pPr>
        <w:pStyle w:val="Paragraphtext"/>
        <w:rPr>
          <w:rFonts w:cs="Arial"/>
          <w:sz w:val="16"/>
          <w:szCs w:val="16"/>
        </w:rPr>
      </w:pPr>
      <w:r>
        <w:rPr>
          <w:rStyle w:val="FootnoteReference"/>
        </w:rPr>
        <w:footnoteRef/>
      </w:r>
      <w:r>
        <w:t xml:space="preserve"> </w:t>
      </w:r>
      <w:proofErr w:type="gramStart"/>
      <w:r w:rsidRPr="001C459E">
        <w:rPr>
          <w:rFonts w:cs="Arial"/>
          <w:sz w:val="16"/>
          <w:szCs w:val="16"/>
        </w:rPr>
        <w:t>In order to</w:t>
      </w:r>
      <w:proofErr w:type="gramEnd"/>
      <w:r w:rsidRPr="001C459E">
        <w:rPr>
          <w:rFonts w:cs="Arial"/>
          <w:sz w:val="16"/>
          <w:szCs w:val="16"/>
        </w:rPr>
        <w:t xml:space="preserve"> be eligible as CIAs applicants who were more than 10 years post-PhD must have declared career disruption</w:t>
      </w:r>
      <w:r w:rsidR="009D4187">
        <w:rPr>
          <w:rFonts w:cs="Arial"/>
          <w:sz w:val="16"/>
          <w:szCs w:val="16"/>
        </w:rPr>
        <w:t>.</w:t>
      </w:r>
    </w:p>
  </w:footnote>
  <w:footnote w:id="10">
    <w:p w14:paraId="24563FB3" w14:textId="45BE3E65" w:rsidR="00E45F45" w:rsidRPr="001C459E" w:rsidRDefault="00E45F45" w:rsidP="00243CEA">
      <w:pPr>
        <w:pStyle w:val="Paragraphtext"/>
        <w:jc w:val="both"/>
        <w:rPr>
          <w:rFonts w:cs="Arial"/>
          <w:sz w:val="16"/>
          <w:szCs w:val="16"/>
        </w:rPr>
      </w:pPr>
      <w:r>
        <w:rPr>
          <w:rStyle w:val="FootnoteReference"/>
        </w:rPr>
        <w:footnoteRef/>
      </w:r>
      <w:r>
        <w:t xml:space="preserve"> </w:t>
      </w:r>
      <w:r>
        <w:rPr>
          <w:rFonts w:cs="Arial"/>
          <w:sz w:val="16"/>
          <w:szCs w:val="16"/>
        </w:rPr>
        <w:t>T</w:t>
      </w:r>
      <w:r w:rsidRPr="001C459E">
        <w:rPr>
          <w:rFonts w:cs="Arial"/>
          <w:sz w:val="16"/>
          <w:szCs w:val="16"/>
        </w:rPr>
        <w:t>o be eligible as CIA</w:t>
      </w:r>
      <w:r>
        <w:rPr>
          <w:rFonts w:cs="Arial"/>
          <w:sz w:val="16"/>
          <w:szCs w:val="16"/>
        </w:rPr>
        <w:t>,</w:t>
      </w:r>
      <w:r w:rsidRPr="001C459E">
        <w:rPr>
          <w:rFonts w:cs="Arial"/>
          <w:sz w:val="16"/>
          <w:szCs w:val="16"/>
        </w:rPr>
        <w:t xml:space="preserve"> applicants who were </w:t>
      </w:r>
      <w:r>
        <w:rPr>
          <w:rFonts w:cs="Arial"/>
          <w:sz w:val="16"/>
          <w:szCs w:val="16"/>
        </w:rPr>
        <w:t>&gt;</w:t>
      </w:r>
      <w:r w:rsidRPr="001C459E">
        <w:rPr>
          <w:rFonts w:cs="Arial"/>
          <w:sz w:val="16"/>
          <w:szCs w:val="16"/>
        </w:rPr>
        <w:t>10 years post-PhD must have declared career disruption. The applicant awarded a grant from Stream 2 listed in the 0-5 years post-PhD category has a PhD date in 2017 and was ruled eligible based on the guidelines.</w:t>
      </w:r>
      <w:r w:rsidR="00A40B32">
        <w:rPr>
          <w:rFonts w:cs="Arial"/>
          <w:sz w:val="16"/>
          <w:szCs w:val="16"/>
        </w:rPr>
        <w:t xml:space="preserve"> </w:t>
      </w:r>
      <w:r w:rsidR="00A34D1C">
        <w:rPr>
          <w:rFonts w:cs="Arial"/>
          <w:sz w:val="16"/>
          <w:szCs w:val="16"/>
        </w:rPr>
        <w:t xml:space="preserve">It is the responsibility of the </w:t>
      </w:r>
      <w:r w:rsidR="00A34D1C" w:rsidRPr="00A34D1C">
        <w:rPr>
          <w:rFonts w:cs="Arial"/>
          <w:sz w:val="16"/>
          <w:szCs w:val="16"/>
        </w:rPr>
        <w:t xml:space="preserve">Eligible Organisation </w:t>
      </w:r>
      <w:r w:rsidR="00A34D1C">
        <w:rPr>
          <w:rFonts w:cs="Arial"/>
          <w:sz w:val="16"/>
          <w:szCs w:val="16"/>
        </w:rPr>
        <w:t>to certify</w:t>
      </w:r>
      <w:r w:rsidR="00A34D1C" w:rsidRPr="00A34D1C">
        <w:rPr>
          <w:rFonts w:cs="Arial"/>
          <w:sz w:val="16"/>
          <w:szCs w:val="16"/>
        </w:rPr>
        <w:t xml:space="preserve"> that the Chief Investigators meet the definition of early-career researcher and mid-career researcher and holds evidence of their PhD conferral dates</w:t>
      </w:r>
      <w:r w:rsidR="00A34D1C">
        <w:rPr>
          <w:rFonts w:cs="Arial"/>
          <w:sz w:val="16"/>
          <w:szCs w:val="16"/>
        </w:rPr>
        <w:t>.</w:t>
      </w:r>
      <w:r w:rsidR="00A40B32">
        <w:rPr>
          <w:rFonts w:cs="Arial"/>
          <w:sz w:val="16"/>
          <w:szCs w:val="16"/>
        </w:rPr>
        <w:t xml:space="preserve">   </w:t>
      </w:r>
      <w:r w:rsidRPr="001C459E">
        <w:rPr>
          <w:rFonts w:cs="Arial"/>
          <w:sz w:val="16"/>
          <w:szCs w:val="16"/>
        </w:rPr>
        <w:t xml:space="preserve"> </w:t>
      </w:r>
    </w:p>
    <w:p w14:paraId="0B9C4412" w14:textId="1BD6714C" w:rsidR="00E45F45" w:rsidRDefault="00E45F45">
      <w:pPr>
        <w:pStyle w:val="FootnoteText"/>
      </w:pPr>
    </w:p>
  </w:footnote>
  <w:footnote w:id="11">
    <w:p w14:paraId="03F184B7" w14:textId="5D9992D7" w:rsidR="00736FAD" w:rsidRPr="00B75A54" w:rsidRDefault="00736FAD">
      <w:pPr>
        <w:pStyle w:val="FootnoteText"/>
        <w:rPr>
          <w:sz w:val="16"/>
          <w:szCs w:val="16"/>
        </w:rPr>
      </w:pPr>
      <w:r w:rsidRPr="00B75A54">
        <w:rPr>
          <w:rStyle w:val="FootnoteReference"/>
          <w:sz w:val="16"/>
          <w:szCs w:val="16"/>
        </w:rPr>
        <w:footnoteRef/>
      </w:r>
      <w:r w:rsidRPr="00B75A54">
        <w:rPr>
          <w:sz w:val="16"/>
          <w:szCs w:val="16"/>
        </w:rPr>
        <w:t xml:space="preserve"> The co-funding arrangements under Stream 3 </w:t>
      </w:r>
      <w:r w:rsidR="00887728" w:rsidRPr="00B75A54">
        <w:rPr>
          <w:sz w:val="16"/>
          <w:szCs w:val="16"/>
        </w:rPr>
        <w:t xml:space="preserve">has </w:t>
      </w:r>
      <w:r w:rsidRPr="00B75A54">
        <w:rPr>
          <w:sz w:val="16"/>
          <w:szCs w:val="16"/>
        </w:rPr>
        <w:t>been adjusted</w:t>
      </w:r>
      <w:r w:rsidR="00CA3170" w:rsidRPr="00B75A54">
        <w:rPr>
          <w:sz w:val="16"/>
          <w:szCs w:val="16"/>
        </w:rPr>
        <w:t xml:space="preserve"> for the 2023 Grant Opportunity</w:t>
      </w:r>
      <w:r w:rsidRPr="00B75A54">
        <w:rPr>
          <w:sz w:val="16"/>
          <w:szCs w:val="16"/>
        </w:rPr>
        <w:t xml:space="preserve"> </w:t>
      </w:r>
      <w:r w:rsidR="00887728" w:rsidRPr="00B75A54">
        <w:rPr>
          <w:sz w:val="16"/>
          <w:szCs w:val="16"/>
        </w:rPr>
        <w:t>so</w:t>
      </w:r>
      <w:r w:rsidRPr="00B75A54">
        <w:rPr>
          <w:sz w:val="16"/>
          <w:szCs w:val="16"/>
        </w:rPr>
        <w:t xml:space="preserve"> that the sponsoring academic organisation and the partner organisation(s) </w:t>
      </w:r>
      <w:r w:rsidR="00CA3170" w:rsidRPr="00B75A54">
        <w:rPr>
          <w:sz w:val="16"/>
          <w:szCs w:val="16"/>
        </w:rPr>
        <w:t xml:space="preserve">will jointly </w:t>
      </w:r>
      <w:r w:rsidRPr="00B75A54">
        <w:rPr>
          <w:sz w:val="16"/>
          <w:szCs w:val="16"/>
        </w:rPr>
        <w:t>contribute 50% or more of total project costs, rather than this being capped at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DE94" w14:textId="77777777" w:rsidR="008E0C77" w:rsidRDefault="00CA79CF" w:rsidP="009567BB">
    <w:pPr>
      <w:pStyle w:val="Headertext"/>
    </w:pPr>
    <w:r>
      <w:rPr>
        <w:noProof/>
        <w:lang w:eastAsia="en-AU"/>
      </w:rPr>
      <w:drawing>
        <wp:anchor distT="0" distB="0" distL="114300" distR="114300" simplePos="0" relativeHeight="251659264" behindDoc="1" locked="0" layoutInCell="1" allowOverlap="1" wp14:anchorId="4C994A96" wp14:editId="2FCF2912">
          <wp:simplePos x="0" y="0"/>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B122" w14:textId="77777777" w:rsidR="00CA79CF" w:rsidRDefault="00205A93" w:rsidP="009567B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4A5" w14:textId="77777777" w:rsidR="000D56E4" w:rsidRDefault="000D56E4" w:rsidP="00956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A30" w14:textId="77777777" w:rsidR="000D56E4" w:rsidRDefault="000D56E4" w:rsidP="009567BB">
    <w:pPr>
      <w:pStyle w:val="Head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88A2" w14:textId="77777777" w:rsidR="000D56E4" w:rsidRDefault="000D56E4" w:rsidP="009567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F4FB" w14:textId="77777777" w:rsidR="009E1CE1" w:rsidRDefault="009E1CE1" w:rsidP="009567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2982" w14:textId="77777777" w:rsidR="009E1CE1" w:rsidRDefault="009E1CE1" w:rsidP="009567BB">
    <w:pPr>
      <w:pStyle w:val="Headertex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3782" w14:textId="77777777" w:rsidR="009E1CE1" w:rsidRDefault="009E1CE1" w:rsidP="009567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9050" w14:textId="77777777" w:rsidR="00205A93" w:rsidRDefault="00205A93" w:rsidP="009567BB">
    <w:pPr>
      <w:pStyle w:val="Headertext"/>
    </w:pPr>
    <w:r>
      <w:rPr>
        <w:noProof/>
        <w:lang w:eastAsia="en-AU"/>
      </w:rPr>
      <w:drawing>
        <wp:anchor distT="0" distB="0" distL="114300" distR="114300" simplePos="0" relativeHeight="251663360" behindDoc="1" locked="0" layoutInCell="1" allowOverlap="1" wp14:anchorId="39676371" wp14:editId="4E5EBFF7">
          <wp:simplePos x="0" y="0"/>
          <wp:positionH relativeFrom="page">
            <wp:posOffset>0</wp:posOffset>
          </wp:positionH>
          <wp:positionV relativeFrom="page">
            <wp:posOffset>13648</wp:posOffset>
          </wp:positionV>
          <wp:extent cx="7560000" cy="10659785"/>
          <wp:effectExtent l="0" t="0" r="317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59" b="159"/>
                  <a:stretch>
                    <a:fillRect/>
                  </a:stretch>
                </pic:blipFill>
                <pic:spPr bwMode="auto">
                  <a:xfrm>
                    <a:off x="0" y="0"/>
                    <a:ext cx="7560000" cy="1065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057"/>
    <w:multiLevelType w:val="hybridMultilevel"/>
    <w:tmpl w:val="9000DE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1718B"/>
    <w:multiLevelType w:val="hybridMultilevel"/>
    <w:tmpl w:val="7DE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75E21"/>
    <w:multiLevelType w:val="hybridMultilevel"/>
    <w:tmpl w:val="EA0C5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894D5B"/>
    <w:multiLevelType w:val="hybridMultilevel"/>
    <w:tmpl w:val="A27E4376"/>
    <w:lvl w:ilvl="0" w:tplc="8B886978">
      <w:start w:val="1"/>
      <w:numFmt w:val="upp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5E26561"/>
    <w:multiLevelType w:val="hybridMultilevel"/>
    <w:tmpl w:val="25268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A3673"/>
    <w:multiLevelType w:val="hybridMultilevel"/>
    <w:tmpl w:val="171A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3A6376"/>
    <w:multiLevelType w:val="hybridMultilevel"/>
    <w:tmpl w:val="C332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38513A"/>
    <w:multiLevelType w:val="hybridMultilevel"/>
    <w:tmpl w:val="A9D605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46092E"/>
    <w:multiLevelType w:val="hybridMultilevel"/>
    <w:tmpl w:val="26225840"/>
    <w:lvl w:ilvl="0" w:tplc="0C090001">
      <w:start w:val="1"/>
      <w:numFmt w:val="bullet"/>
      <w:lvlText w:val=""/>
      <w:lvlJc w:val="left"/>
      <w:pPr>
        <w:ind w:left="720" w:hanging="360"/>
      </w:pPr>
      <w:rPr>
        <w:rFonts w:ascii="Symbol" w:hAnsi="Symbol" w:hint="default"/>
      </w:rPr>
    </w:lvl>
    <w:lvl w:ilvl="1" w:tplc="FE4E9AC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D77EC"/>
    <w:multiLevelType w:val="hybridMultilevel"/>
    <w:tmpl w:val="B1DA97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4"/>
  </w:num>
  <w:num w:numId="3">
    <w:abstractNumId w:val="1"/>
  </w:num>
  <w:num w:numId="4">
    <w:abstractNumId w:val="15"/>
  </w:num>
  <w:num w:numId="5">
    <w:abstractNumId w:val="3"/>
  </w:num>
  <w:num w:numId="6">
    <w:abstractNumId w:val="6"/>
  </w:num>
  <w:num w:numId="7">
    <w:abstractNumId w:val="8"/>
  </w:num>
  <w:num w:numId="8">
    <w:abstractNumId w:val="13"/>
  </w:num>
  <w:num w:numId="9">
    <w:abstractNumId w:val="10"/>
  </w:num>
  <w:num w:numId="10">
    <w:abstractNumId w:val="7"/>
  </w:num>
  <w:num w:numId="11">
    <w:abstractNumId w:val="9"/>
  </w:num>
  <w:num w:numId="12">
    <w:abstractNumId w:val="4"/>
  </w:num>
  <w:num w:numId="13">
    <w:abstractNumId w:val="2"/>
  </w:num>
  <w:num w:numId="14">
    <w:abstractNumId w:val="12"/>
  </w:num>
  <w:num w:numId="15">
    <w:abstractNumId w:val="5"/>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3A"/>
    <w:rsid w:val="00003743"/>
    <w:rsid w:val="000045B7"/>
    <w:rsid w:val="000047B4"/>
    <w:rsid w:val="00005712"/>
    <w:rsid w:val="00005A62"/>
    <w:rsid w:val="00007FD8"/>
    <w:rsid w:val="000117F8"/>
    <w:rsid w:val="00011A61"/>
    <w:rsid w:val="000210EB"/>
    <w:rsid w:val="000225FE"/>
    <w:rsid w:val="00024021"/>
    <w:rsid w:val="0002539F"/>
    <w:rsid w:val="00025E09"/>
    <w:rsid w:val="00026139"/>
    <w:rsid w:val="00027071"/>
    <w:rsid w:val="00027601"/>
    <w:rsid w:val="000323CE"/>
    <w:rsid w:val="00033321"/>
    <w:rsid w:val="000338E5"/>
    <w:rsid w:val="00033ECC"/>
    <w:rsid w:val="0003422F"/>
    <w:rsid w:val="0003634A"/>
    <w:rsid w:val="00041F37"/>
    <w:rsid w:val="00045E79"/>
    <w:rsid w:val="000460BD"/>
    <w:rsid w:val="00046FF0"/>
    <w:rsid w:val="00050176"/>
    <w:rsid w:val="000533E3"/>
    <w:rsid w:val="0005622C"/>
    <w:rsid w:val="000606EB"/>
    <w:rsid w:val="00062B65"/>
    <w:rsid w:val="00067456"/>
    <w:rsid w:val="00071506"/>
    <w:rsid w:val="0007154F"/>
    <w:rsid w:val="0007609A"/>
    <w:rsid w:val="00077BB5"/>
    <w:rsid w:val="00081AB1"/>
    <w:rsid w:val="0009016A"/>
    <w:rsid w:val="00090316"/>
    <w:rsid w:val="00093981"/>
    <w:rsid w:val="00093CD9"/>
    <w:rsid w:val="000A2B85"/>
    <w:rsid w:val="000A4BC3"/>
    <w:rsid w:val="000B067A"/>
    <w:rsid w:val="000B1540"/>
    <w:rsid w:val="000B33FD"/>
    <w:rsid w:val="000B4ABA"/>
    <w:rsid w:val="000C2CF8"/>
    <w:rsid w:val="000C3317"/>
    <w:rsid w:val="000C4B16"/>
    <w:rsid w:val="000C50C3"/>
    <w:rsid w:val="000D086E"/>
    <w:rsid w:val="000D178B"/>
    <w:rsid w:val="000D21F6"/>
    <w:rsid w:val="000D42C3"/>
    <w:rsid w:val="000D4500"/>
    <w:rsid w:val="000D45B5"/>
    <w:rsid w:val="000D56E4"/>
    <w:rsid w:val="000D7AEA"/>
    <w:rsid w:val="000D7E1B"/>
    <w:rsid w:val="000E01A9"/>
    <w:rsid w:val="000E027C"/>
    <w:rsid w:val="000E2C66"/>
    <w:rsid w:val="000E4EF4"/>
    <w:rsid w:val="000E6E7D"/>
    <w:rsid w:val="000F123C"/>
    <w:rsid w:val="000F28AB"/>
    <w:rsid w:val="000F2FED"/>
    <w:rsid w:val="000F7619"/>
    <w:rsid w:val="000F7F3C"/>
    <w:rsid w:val="00100F6D"/>
    <w:rsid w:val="0010616D"/>
    <w:rsid w:val="0010763B"/>
    <w:rsid w:val="00110478"/>
    <w:rsid w:val="00110703"/>
    <w:rsid w:val="00116402"/>
    <w:rsid w:val="00116DA4"/>
    <w:rsid w:val="00116F8C"/>
    <w:rsid w:val="0011711B"/>
    <w:rsid w:val="00117F8A"/>
    <w:rsid w:val="00120347"/>
    <w:rsid w:val="00121B9B"/>
    <w:rsid w:val="00121DDF"/>
    <w:rsid w:val="001227F9"/>
    <w:rsid w:val="00122ADC"/>
    <w:rsid w:val="00130F59"/>
    <w:rsid w:val="001328FF"/>
    <w:rsid w:val="00133EC0"/>
    <w:rsid w:val="0013521B"/>
    <w:rsid w:val="0013603E"/>
    <w:rsid w:val="00141CE5"/>
    <w:rsid w:val="0014221C"/>
    <w:rsid w:val="001439B5"/>
    <w:rsid w:val="00144908"/>
    <w:rsid w:val="00146087"/>
    <w:rsid w:val="00147D2A"/>
    <w:rsid w:val="00151D20"/>
    <w:rsid w:val="001571C7"/>
    <w:rsid w:val="00161094"/>
    <w:rsid w:val="00162DAC"/>
    <w:rsid w:val="00164C59"/>
    <w:rsid w:val="00172A55"/>
    <w:rsid w:val="00173860"/>
    <w:rsid w:val="00174B1E"/>
    <w:rsid w:val="00174DE5"/>
    <w:rsid w:val="001758CD"/>
    <w:rsid w:val="0017665C"/>
    <w:rsid w:val="00177AD2"/>
    <w:rsid w:val="00181284"/>
    <w:rsid w:val="001815A8"/>
    <w:rsid w:val="00183682"/>
    <w:rsid w:val="001840FA"/>
    <w:rsid w:val="001848E0"/>
    <w:rsid w:val="00190079"/>
    <w:rsid w:val="00192489"/>
    <w:rsid w:val="001953EF"/>
    <w:rsid w:val="0019622E"/>
    <w:rsid w:val="001966A7"/>
    <w:rsid w:val="001A2FB0"/>
    <w:rsid w:val="001A4627"/>
    <w:rsid w:val="001A4979"/>
    <w:rsid w:val="001B14FC"/>
    <w:rsid w:val="001B15D3"/>
    <w:rsid w:val="001B3443"/>
    <w:rsid w:val="001B378D"/>
    <w:rsid w:val="001B6CE9"/>
    <w:rsid w:val="001C0326"/>
    <w:rsid w:val="001C192F"/>
    <w:rsid w:val="001C3264"/>
    <w:rsid w:val="001C3C42"/>
    <w:rsid w:val="001C459E"/>
    <w:rsid w:val="001C7ACD"/>
    <w:rsid w:val="001C7CEC"/>
    <w:rsid w:val="001D2297"/>
    <w:rsid w:val="001D2D6A"/>
    <w:rsid w:val="001D36C5"/>
    <w:rsid w:val="001D732B"/>
    <w:rsid w:val="001D7869"/>
    <w:rsid w:val="001E3ABE"/>
    <w:rsid w:val="001E55FE"/>
    <w:rsid w:val="001F0F4A"/>
    <w:rsid w:val="001F29BA"/>
    <w:rsid w:val="001F2F78"/>
    <w:rsid w:val="001F4583"/>
    <w:rsid w:val="001F5C18"/>
    <w:rsid w:val="001F6000"/>
    <w:rsid w:val="001F6956"/>
    <w:rsid w:val="00201DD9"/>
    <w:rsid w:val="002026CD"/>
    <w:rsid w:val="002033FC"/>
    <w:rsid w:val="002044BB"/>
    <w:rsid w:val="00205371"/>
    <w:rsid w:val="00205A93"/>
    <w:rsid w:val="00210B09"/>
    <w:rsid w:val="00210C9E"/>
    <w:rsid w:val="002116CC"/>
    <w:rsid w:val="00211840"/>
    <w:rsid w:val="002118A8"/>
    <w:rsid w:val="00212E77"/>
    <w:rsid w:val="002146E8"/>
    <w:rsid w:val="00216114"/>
    <w:rsid w:val="00216275"/>
    <w:rsid w:val="00216540"/>
    <w:rsid w:val="00220E5F"/>
    <w:rsid w:val="002212B5"/>
    <w:rsid w:val="00222F67"/>
    <w:rsid w:val="0022364F"/>
    <w:rsid w:val="00226668"/>
    <w:rsid w:val="00227864"/>
    <w:rsid w:val="00233809"/>
    <w:rsid w:val="002338F8"/>
    <w:rsid w:val="00233C0B"/>
    <w:rsid w:val="00236073"/>
    <w:rsid w:val="00236887"/>
    <w:rsid w:val="00236D56"/>
    <w:rsid w:val="00240046"/>
    <w:rsid w:val="0024200B"/>
    <w:rsid w:val="00243CEA"/>
    <w:rsid w:val="0024797F"/>
    <w:rsid w:val="0025119E"/>
    <w:rsid w:val="00251269"/>
    <w:rsid w:val="002535C0"/>
    <w:rsid w:val="002579FE"/>
    <w:rsid w:val="0026311C"/>
    <w:rsid w:val="0026665A"/>
    <w:rsid w:val="0026668C"/>
    <w:rsid w:val="00266AC1"/>
    <w:rsid w:val="0027178C"/>
    <w:rsid w:val="002719FA"/>
    <w:rsid w:val="00271A87"/>
    <w:rsid w:val="00272668"/>
    <w:rsid w:val="002732E6"/>
    <w:rsid w:val="0027330B"/>
    <w:rsid w:val="0027585E"/>
    <w:rsid w:val="00276C05"/>
    <w:rsid w:val="002774B3"/>
    <w:rsid w:val="002803AD"/>
    <w:rsid w:val="00282052"/>
    <w:rsid w:val="00282DD2"/>
    <w:rsid w:val="0028519E"/>
    <w:rsid w:val="002856A5"/>
    <w:rsid w:val="002872ED"/>
    <w:rsid w:val="002905C2"/>
    <w:rsid w:val="00292E55"/>
    <w:rsid w:val="0029424A"/>
    <w:rsid w:val="00294AEA"/>
    <w:rsid w:val="00295AF2"/>
    <w:rsid w:val="00295C91"/>
    <w:rsid w:val="00297151"/>
    <w:rsid w:val="002A1D31"/>
    <w:rsid w:val="002B20E6"/>
    <w:rsid w:val="002B231B"/>
    <w:rsid w:val="002B42A3"/>
    <w:rsid w:val="002B5819"/>
    <w:rsid w:val="002B740E"/>
    <w:rsid w:val="002C0AD9"/>
    <w:rsid w:val="002C0CDD"/>
    <w:rsid w:val="002C44E7"/>
    <w:rsid w:val="002C510F"/>
    <w:rsid w:val="002D25CB"/>
    <w:rsid w:val="002D77AD"/>
    <w:rsid w:val="002E1A1D"/>
    <w:rsid w:val="002E4081"/>
    <w:rsid w:val="002E5B78"/>
    <w:rsid w:val="002E6ABE"/>
    <w:rsid w:val="002F0A85"/>
    <w:rsid w:val="002F323A"/>
    <w:rsid w:val="002F3AE3"/>
    <w:rsid w:val="002F7FD4"/>
    <w:rsid w:val="00300D19"/>
    <w:rsid w:val="0030464B"/>
    <w:rsid w:val="003076B4"/>
    <w:rsid w:val="0030786C"/>
    <w:rsid w:val="0031114A"/>
    <w:rsid w:val="0031697E"/>
    <w:rsid w:val="0031718F"/>
    <w:rsid w:val="00317808"/>
    <w:rsid w:val="00317D25"/>
    <w:rsid w:val="00321EE7"/>
    <w:rsid w:val="00322058"/>
    <w:rsid w:val="003233DE"/>
    <w:rsid w:val="0032466B"/>
    <w:rsid w:val="003256F5"/>
    <w:rsid w:val="00327B44"/>
    <w:rsid w:val="003310B0"/>
    <w:rsid w:val="00331A80"/>
    <w:rsid w:val="003330EB"/>
    <w:rsid w:val="00336605"/>
    <w:rsid w:val="00340E8D"/>
    <w:rsid w:val="003415FD"/>
    <w:rsid w:val="003429F0"/>
    <w:rsid w:val="0034741F"/>
    <w:rsid w:val="0035097A"/>
    <w:rsid w:val="00353305"/>
    <w:rsid w:val="003540A4"/>
    <w:rsid w:val="00360E4E"/>
    <w:rsid w:val="00361CBC"/>
    <w:rsid w:val="00365AD9"/>
    <w:rsid w:val="00367FFE"/>
    <w:rsid w:val="00370AAA"/>
    <w:rsid w:val="0037199D"/>
    <w:rsid w:val="00375A4E"/>
    <w:rsid w:val="00375F77"/>
    <w:rsid w:val="00377A78"/>
    <w:rsid w:val="00381BBE"/>
    <w:rsid w:val="00382098"/>
    <w:rsid w:val="00382903"/>
    <w:rsid w:val="003846FF"/>
    <w:rsid w:val="00385AD4"/>
    <w:rsid w:val="00387924"/>
    <w:rsid w:val="00391167"/>
    <w:rsid w:val="0039384D"/>
    <w:rsid w:val="00394C1A"/>
    <w:rsid w:val="00395123"/>
    <w:rsid w:val="00395C23"/>
    <w:rsid w:val="00397195"/>
    <w:rsid w:val="003A22F5"/>
    <w:rsid w:val="003A2327"/>
    <w:rsid w:val="003A2E4F"/>
    <w:rsid w:val="003A4438"/>
    <w:rsid w:val="003A5013"/>
    <w:rsid w:val="003A5078"/>
    <w:rsid w:val="003A5493"/>
    <w:rsid w:val="003A5DEF"/>
    <w:rsid w:val="003A62DD"/>
    <w:rsid w:val="003A775A"/>
    <w:rsid w:val="003B0DAB"/>
    <w:rsid w:val="003B213A"/>
    <w:rsid w:val="003B3B35"/>
    <w:rsid w:val="003B43AD"/>
    <w:rsid w:val="003C0FEC"/>
    <w:rsid w:val="003C15B8"/>
    <w:rsid w:val="003C2248"/>
    <w:rsid w:val="003C26E4"/>
    <w:rsid w:val="003C2AC8"/>
    <w:rsid w:val="003D0599"/>
    <w:rsid w:val="003D17F9"/>
    <w:rsid w:val="003D2704"/>
    <w:rsid w:val="003D2D88"/>
    <w:rsid w:val="003D41EA"/>
    <w:rsid w:val="003D4850"/>
    <w:rsid w:val="003D535A"/>
    <w:rsid w:val="003D56C2"/>
    <w:rsid w:val="003D7837"/>
    <w:rsid w:val="003E10B8"/>
    <w:rsid w:val="003E1B13"/>
    <w:rsid w:val="003E2302"/>
    <w:rsid w:val="003E5265"/>
    <w:rsid w:val="003E6C78"/>
    <w:rsid w:val="003F0955"/>
    <w:rsid w:val="003F31AD"/>
    <w:rsid w:val="003F36A2"/>
    <w:rsid w:val="003F61BB"/>
    <w:rsid w:val="003F6FE1"/>
    <w:rsid w:val="004003FA"/>
    <w:rsid w:val="0040046E"/>
    <w:rsid w:val="00400AAD"/>
    <w:rsid w:val="00400F00"/>
    <w:rsid w:val="00404F8B"/>
    <w:rsid w:val="00405256"/>
    <w:rsid w:val="00410031"/>
    <w:rsid w:val="004115A2"/>
    <w:rsid w:val="00415C81"/>
    <w:rsid w:val="00416731"/>
    <w:rsid w:val="00420B55"/>
    <w:rsid w:val="004218C5"/>
    <w:rsid w:val="004264AD"/>
    <w:rsid w:val="0043174E"/>
    <w:rsid w:val="00431BCE"/>
    <w:rsid w:val="00432378"/>
    <w:rsid w:val="00440D65"/>
    <w:rsid w:val="00441620"/>
    <w:rsid w:val="004435E6"/>
    <w:rsid w:val="00446082"/>
    <w:rsid w:val="00447E31"/>
    <w:rsid w:val="00451180"/>
    <w:rsid w:val="00453923"/>
    <w:rsid w:val="00454B9B"/>
    <w:rsid w:val="00455093"/>
    <w:rsid w:val="0045634F"/>
    <w:rsid w:val="004574A5"/>
    <w:rsid w:val="00457858"/>
    <w:rsid w:val="00457F4E"/>
    <w:rsid w:val="00460B0B"/>
    <w:rsid w:val="00461023"/>
    <w:rsid w:val="004626BB"/>
    <w:rsid w:val="0046294D"/>
    <w:rsid w:val="00462FAC"/>
    <w:rsid w:val="00464631"/>
    <w:rsid w:val="00464B79"/>
    <w:rsid w:val="0046554D"/>
    <w:rsid w:val="0046780C"/>
    <w:rsid w:val="004678B7"/>
    <w:rsid w:val="00467BBF"/>
    <w:rsid w:val="0047366C"/>
    <w:rsid w:val="004737EC"/>
    <w:rsid w:val="0047388F"/>
    <w:rsid w:val="00476379"/>
    <w:rsid w:val="00477A63"/>
    <w:rsid w:val="00477F19"/>
    <w:rsid w:val="0048019C"/>
    <w:rsid w:val="00483D13"/>
    <w:rsid w:val="00484D39"/>
    <w:rsid w:val="00485413"/>
    <w:rsid w:val="004867E2"/>
    <w:rsid w:val="00486A03"/>
    <w:rsid w:val="004929A9"/>
    <w:rsid w:val="00495D4B"/>
    <w:rsid w:val="004A1EC2"/>
    <w:rsid w:val="004A2B40"/>
    <w:rsid w:val="004A5212"/>
    <w:rsid w:val="004C2BF5"/>
    <w:rsid w:val="004C2FEC"/>
    <w:rsid w:val="004C3F7C"/>
    <w:rsid w:val="004C454A"/>
    <w:rsid w:val="004C627B"/>
    <w:rsid w:val="004C6BCF"/>
    <w:rsid w:val="004D3B34"/>
    <w:rsid w:val="004D58BF"/>
    <w:rsid w:val="004E1592"/>
    <w:rsid w:val="004E1AF7"/>
    <w:rsid w:val="004E4335"/>
    <w:rsid w:val="004E5ACF"/>
    <w:rsid w:val="004F13EE"/>
    <w:rsid w:val="004F2022"/>
    <w:rsid w:val="004F267C"/>
    <w:rsid w:val="004F6915"/>
    <w:rsid w:val="004F7C05"/>
    <w:rsid w:val="00501C94"/>
    <w:rsid w:val="00503F26"/>
    <w:rsid w:val="00506432"/>
    <w:rsid w:val="0051242B"/>
    <w:rsid w:val="005128DD"/>
    <w:rsid w:val="00517163"/>
    <w:rsid w:val="0052051D"/>
    <w:rsid w:val="005223D1"/>
    <w:rsid w:val="00522423"/>
    <w:rsid w:val="00525316"/>
    <w:rsid w:val="005267ED"/>
    <w:rsid w:val="0053346A"/>
    <w:rsid w:val="00534856"/>
    <w:rsid w:val="00540763"/>
    <w:rsid w:val="00541534"/>
    <w:rsid w:val="00543F48"/>
    <w:rsid w:val="00545787"/>
    <w:rsid w:val="00545EE6"/>
    <w:rsid w:val="00547805"/>
    <w:rsid w:val="00547A20"/>
    <w:rsid w:val="00552BF2"/>
    <w:rsid w:val="005550E7"/>
    <w:rsid w:val="005564FB"/>
    <w:rsid w:val="005572C7"/>
    <w:rsid w:val="00557A79"/>
    <w:rsid w:val="00557D5A"/>
    <w:rsid w:val="0056486D"/>
    <w:rsid w:val="005650ED"/>
    <w:rsid w:val="00565182"/>
    <w:rsid w:val="00566A63"/>
    <w:rsid w:val="00572C32"/>
    <w:rsid w:val="0057360C"/>
    <w:rsid w:val="00575754"/>
    <w:rsid w:val="00581330"/>
    <w:rsid w:val="00584C85"/>
    <w:rsid w:val="00587A77"/>
    <w:rsid w:val="00591E20"/>
    <w:rsid w:val="0059207A"/>
    <w:rsid w:val="00594632"/>
    <w:rsid w:val="00595408"/>
    <w:rsid w:val="00595E84"/>
    <w:rsid w:val="005A0C59"/>
    <w:rsid w:val="005A2D97"/>
    <w:rsid w:val="005A3B8C"/>
    <w:rsid w:val="005A48EB"/>
    <w:rsid w:val="005A6CFB"/>
    <w:rsid w:val="005B6FCC"/>
    <w:rsid w:val="005C0872"/>
    <w:rsid w:val="005C5AEB"/>
    <w:rsid w:val="005C7002"/>
    <w:rsid w:val="005D14F6"/>
    <w:rsid w:val="005D395A"/>
    <w:rsid w:val="005D3B6D"/>
    <w:rsid w:val="005E0A3F"/>
    <w:rsid w:val="005E2CA3"/>
    <w:rsid w:val="005E307A"/>
    <w:rsid w:val="005E6883"/>
    <w:rsid w:val="005E772F"/>
    <w:rsid w:val="005F0415"/>
    <w:rsid w:val="005F2879"/>
    <w:rsid w:val="005F42D1"/>
    <w:rsid w:val="005F4ECA"/>
    <w:rsid w:val="005F51B7"/>
    <w:rsid w:val="00603E46"/>
    <w:rsid w:val="006041BE"/>
    <w:rsid w:val="006043C7"/>
    <w:rsid w:val="00610316"/>
    <w:rsid w:val="00616E6B"/>
    <w:rsid w:val="00624B52"/>
    <w:rsid w:val="006258C5"/>
    <w:rsid w:val="00631DF4"/>
    <w:rsid w:val="00634175"/>
    <w:rsid w:val="00636337"/>
    <w:rsid w:val="00640362"/>
    <w:rsid w:val="006408AC"/>
    <w:rsid w:val="006511B6"/>
    <w:rsid w:val="00651510"/>
    <w:rsid w:val="00652742"/>
    <w:rsid w:val="00657FF8"/>
    <w:rsid w:val="0066095B"/>
    <w:rsid w:val="0066259D"/>
    <w:rsid w:val="006637FF"/>
    <w:rsid w:val="006645F3"/>
    <w:rsid w:val="00670474"/>
    <w:rsid w:val="00670D99"/>
    <w:rsid w:val="00670E2B"/>
    <w:rsid w:val="006734BB"/>
    <w:rsid w:val="00675440"/>
    <w:rsid w:val="00675681"/>
    <w:rsid w:val="00675EC1"/>
    <w:rsid w:val="00676EF1"/>
    <w:rsid w:val="00680F69"/>
    <w:rsid w:val="00681A34"/>
    <w:rsid w:val="006821EB"/>
    <w:rsid w:val="00684D9A"/>
    <w:rsid w:val="00690414"/>
    <w:rsid w:val="006906D7"/>
    <w:rsid w:val="00695935"/>
    <w:rsid w:val="00696B19"/>
    <w:rsid w:val="00696DAF"/>
    <w:rsid w:val="006A2EFC"/>
    <w:rsid w:val="006A4A6E"/>
    <w:rsid w:val="006B2286"/>
    <w:rsid w:val="006B326F"/>
    <w:rsid w:val="006B4D73"/>
    <w:rsid w:val="006B56BB"/>
    <w:rsid w:val="006B71B8"/>
    <w:rsid w:val="006C2B28"/>
    <w:rsid w:val="006C69E4"/>
    <w:rsid w:val="006C77A8"/>
    <w:rsid w:val="006D150F"/>
    <w:rsid w:val="006D1F70"/>
    <w:rsid w:val="006D2267"/>
    <w:rsid w:val="006D4098"/>
    <w:rsid w:val="006D7681"/>
    <w:rsid w:val="006D7A61"/>
    <w:rsid w:val="006D7B2E"/>
    <w:rsid w:val="006E01B7"/>
    <w:rsid w:val="006E02EA"/>
    <w:rsid w:val="006E0968"/>
    <w:rsid w:val="006E2AF6"/>
    <w:rsid w:val="006F0841"/>
    <w:rsid w:val="00701275"/>
    <w:rsid w:val="0070144E"/>
    <w:rsid w:val="00701735"/>
    <w:rsid w:val="007070F4"/>
    <w:rsid w:val="00707F56"/>
    <w:rsid w:val="00711373"/>
    <w:rsid w:val="00713558"/>
    <w:rsid w:val="00716141"/>
    <w:rsid w:val="00720D08"/>
    <w:rsid w:val="007263B9"/>
    <w:rsid w:val="00726E8C"/>
    <w:rsid w:val="00726F42"/>
    <w:rsid w:val="00732312"/>
    <w:rsid w:val="007334F8"/>
    <w:rsid w:val="007339CD"/>
    <w:rsid w:val="007359D8"/>
    <w:rsid w:val="007362D4"/>
    <w:rsid w:val="00736FAD"/>
    <w:rsid w:val="0074111D"/>
    <w:rsid w:val="00741649"/>
    <w:rsid w:val="00745D11"/>
    <w:rsid w:val="0074757A"/>
    <w:rsid w:val="00751A23"/>
    <w:rsid w:val="007523B2"/>
    <w:rsid w:val="0076672A"/>
    <w:rsid w:val="00766DC6"/>
    <w:rsid w:val="007676BA"/>
    <w:rsid w:val="00770514"/>
    <w:rsid w:val="00770F3A"/>
    <w:rsid w:val="00771600"/>
    <w:rsid w:val="00772C44"/>
    <w:rsid w:val="007732DF"/>
    <w:rsid w:val="00774862"/>
    <w:rsid w:val="00775038"/>
    <w:rsid w:val="00775E45"/>
    <w:rsid w:val="00776E74"/>
    <w:rsid w:val="00785169"/>
    <w:rsid w:val="00787C99"/>
    <w:rsid w:val="007907FB"/>
    <w:rsid w:val="00792D05"/>
    <w:rsid w:val="0079324A"/>
    <w:rsid w:val="00794DEF"/>
    <w:rsid w:val="007954AB"/>
    <w:rsid w:val="00795DD0"/>
    <w:rsid w:val="007963E8"/>
    <w:rsid w:val="007965B3"/>
    <w:rsid w:val="007A1470"/>
    <w:rsid w:val="007A14C5"/>
    <w:rsid w:val="007A2BB5"/>
    <w:rsid w:val="007A3BA1"/>
    <w:rsid w:val="007A3E38"/>
    <w:rsid w:val="007A4A10"/>
    <w:rsid w:val="007A5AEA"/>
    <w:rsid w:val="007A75E3"/>
    <w:rsid w:val="007A7843"/>
    <w:rsid w:val="007A7A1A"/>
    <w:rsid w:val="007B169A"/>
    <w:rsid w:val="007B1760"/>
    <w:rsid w:val="007B5EB7"/>
    <w:rsid w:val="007B78FC"/>
    <w:rsid w:val="007C0C53"/>
    <w:rsid w:val="007C3E6C"/>
    <w:rsid w:val="007C6D9C"/>
    <w:rsid w:val="007C7DDB"/>
    <w:rsid w:val="007D2B7A"/>
    <w:rsid w:val="007D2CC7"/>
    <w:rsid w:val="007D489E"/>
    <w:rsid w:val="007D547A"/>
    <w:rsid w:val="007D673D"/>
    <w:rsid w:val="007D756F"/>
    <w:rsid w:val="007E1BE3"/>
    <w:rsid w:val="007E4ACC"/>
    <w:rsid w:val="007E7897"/>
    <w:rsid w:val="007F140F"/>
    <w:rsid w:val="007F2220"/>
    <w:rsid w:val="007F333F"/>
    <w:rsid w:val="007F4B3E"/>
    <w:rsid w:val="007F588A"/>
    <w:rsid w:val="00802F45"/>
    <w:rsid w:val="00803434"/>
    <w:rsid w:val="00806857"/>
    <w:rsid w:val="008122F6"/>
    <w:rsid w:val="008127AF"/>
    <w:rsid w:val="00812B46"/>
    <w:rsid w:val="00815700"/>
    <w:rsid w:val="00817B70"/>
    <w:rsid w:val="008210E4"/>
    <w:rsid w:val="00823965"/>
    <w:rsid w:val="008264EB"/>
    <w:rsid w:val="00826B8F"/>
    <w:rsid w:val="00831A6E"/>
    <w:rsid w:val="00831E8A"/>
    <w:rsid w:val="00835904"/>
    <w:rsid w:val="00835C76"/>
    <w:rsid w:val="00841111"/>
    <w:rsid w:val="00843049"/>
    <w:rsid w:val="00847D33"/>
    <w:rsid w:val="0085209B"/>
    <w:rsid w:val="008532B4"/>
    <w:rsid w:val="00855839"/>
    <w:rsid w:val="00856B66"/>
    <w:rsid w:val="00860E0F"/>
    <w:rsid w:val="0086121C"/>
    <w:rsid w:val="00861A5F"/>
    <w:rsid w:val="008644AD"/>
    <w:rsid w:val="00865485"/>
    <w:rsid w:val="00865735"/>
    <w:rsid w:val="00865DDB"/>
    <w:rsid w:val="00867538"/>
    <w:rsid w:val="00867613"/>
    <w:rsid w:val="00871070"/>
    <w:rsid w:val="00871DF3"/>
    <w:rsid w:val="00873D90"/>
    <w:rsid w:val="00873FC8"/>
    <w:rsid w:val="00876BF0"/>
    <w:rsid w:val="00876E95"/>
    <w:rsid w:val="0087795A"/>
    <w:rsid w:val="008821D6"/>
    <w:rsid w:val="00884690"/>
    <w:rsid w:val="00884C63"/>
    <w:rsid w:val="00885908"/>
    <w:rsid w:val="008864B7"/>
    <w:rsid w:val="00887728"/>
    <w:rsid w:val="008938B2"/>
    <w:rsid w:val="00893F4E"/>
    <w:rsid w:val="008942BA"/>
    <w:rsid w:val="00894B0B"/>
    <w:rsid w:val="0089677E"/>
    <w:rsid w:val="00896E8C"/>
    <w:rsid w:val="008A1A98"/>
    <w:rsid w:val="008A7438"/>
    <w:rsid w:val="008B1334"/>
    <w:rsid w:val="008B5783"/>
    <w:rsid w:val="008C0278"/>
    <w:rsid w:val="008C0752"/>
    <w:rsid w:val="008C0C07"/>
    <w:rsid w:val="008C0CB2"/>
    <w:rsid w:val="008C13AE"/>
    <w:rsid w:val="008C24E9"/>
    <w:rsid w:val="008C6715"/>
    <w:rsid w:val="008C6784"/>
    <w:rsid w:val="008D0533"/>
    <w:rsid w:val="008D3802"/>
    <w:rsid w:val="008D3DE7"/>
    <w:rsid w:val="008D42CB"/>
    <w:rsid w:val="008D48C9"/>
    <w:rsid w:val="008D5B79"/>
    <w:rsid w:val="008D6381"/>
    <w:rsid w:val="008E0C77"/>
    <w:rsid w:val="008E625F"/>
    <w:rsid w:val="008E6BC4"/>
    <w:rsid w:val="008E749E"/>
    <w:rsid w:val="008F264D"/>
    <w:rsid w:val="008F53E6"/>
    <w:rsid w:val="009074E1"/>
    <w:rsid w:val="0091030A"/>
    <w:rsid w:val="009104B3"/>
    <w:rsid w:val="009112F7"/>
    <w:rsid w:val="009122AF"/>
    <w:rsid w:val="009127BC"/>
    <w:rsid w:val="00912D54"/>
    <w:rsid w:val="0091389F"/>
    <w:rsid w:val="00914D38"/>
    <w:rsid w:val="009208F7"/>
    <w:rsid w:val="00921E93"/>
    <w:rsid w:val="00922517"/>
    <w:rsid w:val="00922722"/>
    <w:rsid w:val="0092272D"/>
    <w:rsid w:val="009227C0"/>
    <w:rsid w:val="009261E6"/>
    <w:rsid w:val="009268E1"/>
    <w:rsid w:val="00927A66"/>
    <w:rsid w:val="009305B6"/>
    <w:rsid w:val="00933911"/>
    <w:rsid w:val="00940AC8"/>
    <w:rsid w:val="009410A7"/>
    <w:rsid w:val="00945E7F"/>
    <w:rsid w:val="0094747E"/>
    <w:rsid w:val="00953E43"/>
    <w:rsid w:val="009542C2"/>
    <w:rsid w:val="009557C1"/>
    <w:rsid w:val="009567BB"/>
    <w:rsid w:val="00960D6E"/>
    <w:rsid w:val="0096748D"/>
    <w:rsid w:val="009701DB"/>
    <w:rsid w:val="00971666"/>
    <w:rsid w:val="00972B5D"/>
    <w:rsid w:val="00972BC1"/>
    <w:rsid w:val="0097320A"/>
    <w:rsid w:val="00974B59"/>
    <w:rsid w:val="0097527E"/>
    <w:rsid w:val="00980997"/>
    <w:rsid w:val="00981AFD"/>
    <w:rsid w:val="00982D83"/>
    <w:rsid w:val="0098340B"/>
    <w:rsid w:val="00986830"/>
    <w:rsid w:val="00987920"/>
    <w:rsid w:val="00987CEB"/>
    <w:rsid w:val="00992457"/>
    <w:rsid w:val="009924C3"/>
    <w:rsid w:val="00993102"/>
    <w:rsid w:val="009978D5"/>
    <w:rsid w:val="009A4DC2"/>
    <w:rsid w:val="009A4F8F"/>
    <w:rsid w:val="009A51AF"/>
    <w:rsid w:val="009B077E"/>
    <w:rsid w:val="009B3C1A"/>
    <w:rsid w:val="009B51D2"/>
    <w:rsid w:val="009B5DEA"/>
    <w:rsid w:val="009B7846"/>
    <w:rsid w:val="009C4A39"/>
    <w:rsid w:val="009C6F10"/>
    <w:rsid w:val="009C7C82"/>
    <w:rsid w:val="009D0536"/>
    <w:rsid w:val="009D0781"/>
    <w:rsid w:val="009D148F"/>
    <w:rsid w:val="009D26E3"/>
    <w:rsid w:val="009D3A41"/>
    <w:rsid w:val="009D3D70"/>
    <w:rsid w:val="009D4187"/>
    <w:rsid w:val="009D4254"/>
    <w:rsid w:val="009E1146"/>
    <w:rsid w:val="009E1CE1"/>
    <w:rsid w:val="009E6F7E"/>
    <w:rsid w:val="009E7A57"/>
    <w:rsid w:val="009F173A"/>
    <w:rsid w:val="009F4F6A"/>
    <w:rsid w:val="00A032D2"/>
    <w:rsid w:val="00A04084"/>
    <w:rsid w:val="00A1458F"/>
    <w:rsid w:val="00A16E36"/>
    <w:rsid w:val="00A216E1"/>
    <w:rsid w:val="00A23B2C"/>
    <w:rsid w:val="00A2475D"/>
    <w:rsid w:val="00A24961"/>
    <w:rsid w:val="00A24B10"/>
    <w:rsid w:val="00A26F1F"/>
    <w:rsid w:val="00A2733C"/>
    <w:rsid w:val="00A30E9B"/>
    <w:rsid w:val="00A34D1C"/>
    <w:rsid w:val="00A3540A"/>
    <w:rsid w:val="00A37013"/>
    <w:rsid w:val="00A374BD"/>
    <w:rsid w:val="00A40B32"/>
    <w:rsid w:val="00A4512D"/>
    <w:rsid w:val="00A50244"/>
    <w:rsid w:val="00A50CBA"/>
    <w:rsid w:val="00A514DE"/>
    <w:rsid w:val="00A54DFD"/>
    <w:rsid w:val="00A56F17"/>
    <w:rsid w:val="00A627D7"/>
    <w:rsid w:val="00A6496B"/>
    <w:rsid w:val="00A656C7"/>
    <w:rsid w:val="00A65975"/>
    <w:rsid w:val="00A705AF"/>
    <w:rsid w:val="00A71113"/>
    <w:rsid w:val="00A72454"/>
    <w:rsid w:val="00A7347E"/>
    <w:rsid w:val="00A77696"/>
    <w:rsid w:val="00A80557"/>
    <w:rsid w:val="00A81B5C"/>
    <w:rsid w:val="00A81D33"/>
    <w:rsid w:val="00A8577F"/>
    <w:rsid w:val="00A930AE"/>
    <w:rsid w:val="00A943FA"/>
    <w:rsid w:val="00AA1A95"/>
    <w:rsid w:val="00AA260F"/>
    <w:rsid w:val="00AA3593"/>
    <w:rsid w:val="00AA596B"/>
    <w:rsid w:val="00AA740D"/>
    <w:rsid w:val="00AB0864"/>
    <w:rsid w:val="00AB1EE7"/>
    <w:rsid w:val="00AB421A"/>
    <w:rsid w:val="00AB4B37"/>
    <w:rsid w:val="00AB5762"/>
    <w:rsid w:val="00AB5FB3"/>
    <w:rsid w:val="00AB6D49"/>
    <w:rsid w:val="00AC0C70"/>
    <w:rsid w:val="00AC1187"/>
    <w:rsid w:val="00AC1485"/>
    <w:rsid w:val="00AC2679"/>
    <w:rsid w:val="00AC4BE4"/>
    <w:rsid w:val="00AC65A5"/>
    <w:rsid w:val="00AC6BF9"/>
    <w:rsid w:val="00AD05E6"/>
    <w:rsid w:val="00AD0D3F"/>
    <w:rsid w:val="00AE1D7D"/>
    <w:rsid w:val="00AE2A8B"/>
    <w:rsid w:val="00AE3273"/>
    <w:rsid w:val="00AE3F64"/>
    <w:rsid w:val="00AE66A0"/>
    <w:rsid w:val="00AE7C4C"/>
    <w:rsid w:val="00AF7386"/>
    <w:rsid w:val="00AF7934"/>
    <w:rsid w:val="00B00B81"/>
    <w:rsid w:val="00B01455"/>
    <w:rsid w:val="00B02A41"/>
    <w:rsid w:val="00B02BAA"/>
    <w:rsid w:val="00B04580"/>
    <w:rsid w:val="00B04B09"/>
    <w:rsid w:val="00B05757"/>
    <w:rsid w:val="00B14B34"/>
    <w:rsid w:val="00B15467"/>
    <w:rsid w:val="00B16A51"/>
    <w:rsid w:val="00B20627"/>
    <w:rsid w:val="00B20E23"/>
    <w:rsid w:val="00B23663"/>
    <w:rsid w:val="00B25440"/>
    <w:rsid w:val="00B25A1E"/>
    <w:rsid w:val="00B26709"/>
    <w:rsid w:val="00B301CD"/>
    <w:rsid w:val="00B32222"/>
    <w:rsid w:val="00B3618D"/>
    <w:rsid w:val="00B36233"/>
    <w:rsid w:val="00B376AA"/>
    <w:rsid w:val="00B42851"/>
    <w:rsid w:val="00B44E73"/>
    <w:rsid w:val="00B45AC7"/>
    <w:rsid w:val="00B47001"/>
    <w:rsid w:val="00B51AD7"/>
    <w:rsid w:val="00B52CCB"/>
    <w:rsid w:val="00B53339"/>
    <w:rsid w:val="00B5372F"/>
    <w:rsid w:val="00B54000"/>
    <w:rsid w:val="00B603FB"/>
    <w:rsid w:val="00B61129"/>
    <w:rsid w:val="00B63C0E"/>
    <w:rsid w:val="00B67C28"/>
    <w:rsid w:val="00B67E7F"/>
    <w:rsid w:val="00B73C60"/>
    <w:rsid w:val="00B75A04"/>
    <w:rsid w:val="00B75A54"/>
    <w:rsid w:val="00B76810"/>
    <w:rsid w:val="00B839B2"/>
    <w:rsid w:val="00B94252"/>
    <w:rsid w:val="00B94828"/>
    <w:rsid w:val="00B95348"/>
    <w:rsid w:val="00B9715A"/>
    <w:rsid w:val="00BA14BE"/>
    <w:rsid w:val="00BA2732"/>
    <w:rsid w:val="00BA293D"/>
    <w:rsid w:val="00BA3F16"/>
    <w:rsid w:val="00BA49BC"/>
    <w:rsid w:val="00BA56B7"/>
    <w:rsid w:val="00BA660D"/>
    <w:rsid w:val="00BA7A1E"/>
    <w:rsid w:val="00BA7B3E"/>
    <w:rsid w:val="00BA7CA9"/>
    <w:rsid w:val="00BB2F6C"/>
    <w:rsid w:val="00BB2FBA"/>
    <w:rsid w:val="00BB3875"/>
    <w:rsid w:val="00BB5860"/>
    <w:rsid w:val="00BB6AAD"/>
    <w:rsid w:val="00BC3BEF"/>
    <w:rsid w:val="00BC4A19"/>
    <w:rsid w:val="00BC4E6D"/>
    <w:rsid w:val="00BC78F2"/>
    <w:rsid w:val="00BD0617"/>
    <w:rsid w:val="00BD2E9B"/>
    <w:rsid w:val="00BE164F"/>
    <w:rsid w:val="00BE23E2"/>
    <w:rsid w:val="00BE287E"/>
    <w:rsid w:val="00BF1C0C"/>
    <w:rsid w:val="00BF5D11"/>
    <w:rsid w:val="00C000B9"/>
    <w:rsid w:val="00C00930"/>
    <w:rsid w:val="00C035C1"/>
    <w:rsid w:val="00C060AD"/>
    <w:rsid w:val="00C0652B"/>
    <w:rsid w:val="00C0670D"/>
    <w:rsid w:val="00C113BF"/>
    <w:rsid w:val="00C12B07"/>
    <w:rsid w:val="00C14C89"/>
    <w:rsid w:val="00C214C8"/>
    <w:rsid w:val="00C2176E"/>
    <w:rsid w:val="00C21DF5"/>
    <w:rsid w:val="00C23430"/>
    <w:rsid w:val="00C239B4"/>
    <w:rsid w:val="00C27BBA"/>
    <w:rsid w:val="00C27D67"/>
    <w:rsid w:val="00C367DA"/>
    <w:rsid w:val="00C402A2"/>
    <w:rsid w:val="00C41B4B"/>
    <w:rsid w:val="00C45534"/>
    <w:rsid w:val="00C4631F"/>
    <w:rsid w:val="00C47AE9"/>
    <w:rsid w:val="00C503AF"/>
    <w:rsid w:val="00C50E16"/>
    <w:rsid w:val="00C516A2"/>
    <w:rsid w:val="00C55258"/>
    <w:rsid w:val="00C55340"/>
    <w:rsid w:val="00C610DE"/>
    <w:rsid w:val="00C63F63"/>
    <w:rsid w:val="00C7548A"/>
    <w:rsid w:val="00C75763"/>
    <w:rsid w:val="00C77829"/>
    <w:rsid w:val="00C80FDE"/>
    <w:rsid w:val="00C81131"/>
    <w:rsid w:val="00C82EEB"/>
    <w:rsid w:val="00C83F49"/>
    <w:rsid w:val="00C85ADB"/>
    <w:rsid w:val="00C86135"/>
    <w:rsid w:val="00C86D2E"/>
    <w:rsid w:val="00C906C4"/>
    <w:rsid w:val="00C90EFE"/>
    <w:rsid w:val="00C91CB4"/>
    <w:rsid w:val="00C94362"/>
    <w:rsid w:val="00C971DC"/>
    <w:rsid w:val="00CA16B7"/>
    <w:rsid w:val="00CA3170"/>
    <w:rsid w:val="00CA477D"/>
    <w:rsid w:val="00CA4BE3"/>
    <w:rsid w:val="00CA6119"/>
    <w:rsid w:val="00CA62AE"/>
    <w:rsid w:val="00CA6663"/>
    <w:rsid w:val="00CA79CF"/>
    <w:rsid w:val="00CB54EE"/>
    <w:rsid w:val="00CB5B1A"/>
    <w:rsid w:val="00CB66C6"/>
    <w:rsid w:val="00CC220B"/>
    <w:rsid w:val="00CC5C43"/>
    <w:rsid w:val="00CD02AE"/>
    <w:rsid w:val="00CD2A4F"/>
    <w:rsid w:val="00CD3A87"/>
    <w:rsid w:val="00CD4B08"/>
    <w:rsid w:val="00CE02FC"/>
    <w:rsid w:val="00CE03CA"/>
    <w:rsid w:val="00CE201D"/>
    <w:rsid w:val="00CE22F1"/>
    <w:rsid w:val="00CE3F97"/>
    <w:rsid w:val="00CE50F2"/>
    <w:rsid w:val="00CE6502"/>
    <w:rsid w:val="00CE7021"/>
    <w:rsid w:val="00CE7D9D"/>
    <w:rsid w:val="00CF14A6"/>
    <w:rsid w:val="00CF2BA9"/>
    <w:rsid w:val="00CF3E6D"/>
    <w:rsid w:val="00CF7D3C"/>
    <w:rsid w:val="00D01273"/>
    <w:rsid w:val="00D04CD0"/>
    <w:rsid w:val="00D103B1"/>
    <w:rsid w:val="00D13CDE"/>
    <w:rsid w:val="00D147EB"/>
    <w:rsid w:val="00D1533E"/>
    <w:rsid w:val="00D16D7C"/>
    <w:rsid w:val="00D176D1"/>
    <w:rsid w:val="00D253AA"/>
    <w:rsid w:val="00D264D4"/>
    <w:rsid w:val="00D26AF3"/>
    <w:rsid w:val="00D34667"/>
    <w:rsid w:val="00D349CD"/>
    <w:rsid w:val="00D349FC"/>
    <w:rsid w:val="00D36779"/>
    <w:rsid w:val="00D36B44"/>
    <w:rsid w:val="00D401E1"/>
    <w:rsid w:val="00D408B4"/>
    <w:rsid w:val="00D45D94"/>
    <w:rsid w:val="00D45F2A"/>
    <w:rsid w:val="00D50715"/>
    <w:rsid w:val="00D524C8"/>
    <w:rsid w:val="00D55E84"/>
    <w:rsid w:val="00D60E25"/>
    <w:rsid w:val="00D64877"/>
    <w:rsid w:val="00D6714D"/>
    <w:rsid w:val="00D70E24"/>
    <w:rsid w:val="00D716B3"/>
    <w:rsid w:val="00D72B61"/>
    <w:rsid w:val="00D73CF6"/>
    <w:rsid w:val="00D8373A"/>
    <w:rsid w:val="00D851EE"/>
    <w:rsid w:val="00D85B91"/>
    <w:rsid w:val="00D9310C"/>
    <w:rsid w:val="00DA3D1D"/>
    <w:rsid w:val="00DA5589"/>
    <w:rsid w:val="00DA67A0"/>
    <w:rsid w:val="00DB0138"/>
    <w:rsid w:val="00DB1B2B"/>
    <w:rsid w:val="00DB28FE"/>
    <w:rsid w:val="00DB6286"/>
    <w:rsid w:val="00DB645F"/>
    <w:rsid w:val="00DB692D"/>
    <w:rsid w:val="00DB7279"/>
    <w:rsid w:val="00DB76E9"/>
    <w:rsid w:val="00DC09D4"/>
    <w:rsid w:val="00DC0A67"/>
    <w:rsid w:val="00DC1D5E"/>
    <w:rsid w:val="00DC2313"/>
    <w:rsid w:val="00DC5220"/>
    <w:rsid w:val="00DC5B04"/>
    <w:rsid w:val="00DC76A1"/>
    <w:rsid w:val="00DC7910"/>
    <w:rsid w:val="00DD2061"/>
    <w:rsid w:val="00DD3129"/>
    <w:rsid w:val="00DD7DAB"/>
    <w:rsid w:val="00DE146C"/>
    <w:rsid w:val="00DE21E7"/>
    <w:rsid w:val="00DE3355"/>
    <w:rsid w:val="00DE36E9"/>
    <w:rsid w:val="00DE371F"/>
    <w:rsid w:val="00DF3AEB"/>
    <w:rsid w:val="00DF486F"/>
    <w:rsid w:val="00DF4CCF"/>
    <w:rsid w:val="00DF5B5B"/>
    <w:rsid w:val="00DF7619"/>
    <w:rsid w:val="00E034D9"/>
    <w:rsid w:val="00E041D5"/>
    <w:rsid w:val="00E042D8"/>
    <w:rsid w:val="00E070CD"/>
    <w:rsid w:val="00E07EE7"/>
    <w:rsid w:val="00E1103B"/>
    <w:rsid w:val="00E1352B"/>
    <w:rsid w:val="00E17B44"/>
    <w:rsid w:val="00E17E32"/>
    <w:rsid w:val="00E20A6A"/>
    <w:rsid w:val="00E22742"/>
    <w:rsid w:val="00E22C32"/>
    <w:rsid w:val="00E27A40"/>
    <w:rsid w:val="00E27FEA"/>
    <w:rsid w:val="00E316A9"/>
    <w:rsid w:val="00E3187A"/>
    <w:rsid w:val="00E337CA"/>
    <w:rsid w:val="00E37830"/>
    <w:rsid w:val="00E4086F"/>
    <w:rsid w:val="00E43B3C"/>
    <w:rsid w:val="00E45166"/>
    <w:rsid w:val="00E45F45"/>
    <w:rsid w:val="00E479AC"/>
    <w:rsid w:val="00E50188"/>
    <w:rsid w:val="00E50BE3"/>
    <w:rsid w:val="00E50EE5"/>
    <w:rsid w:val="00E515CB"/>
    <w:rsid w:val="00E51901"/>
    <w:rsid w:val="00E52260"/>
    <w:rsid w:val="00E560A5"/>
    <w:rsid w:val="00E61170"/>
    <w:rsid w:val="00E6249B"/>
    <w:rsid w:val="00E62650"/>
    <w:rsid w:val="00E639B6"/>
    <w:rsid w:val="00E6434B"/>
    <w:rsid w:val="00E6463D"/>
    <w:rsid w:val="00E6572A"/>
    <w:rsid w:val="00E7046F"/>
    <w:rsid w:val="00E72E9B"/>
    <w:rsid w:val="00E820EC"/>
    <w:rsid w:val="00E849DA"/>
    <w:rsid w:val="00E911F2"/>
    <w:rsid w:val="00E915D6"/>
    <w:rsid w:val="00E938EC"/>
    <w:rsid w:val="00E93D75"/>
    <w:rsid w:val="00E9462E"/>
    <w:rsid w:val="00E9499B"/>
    <w:rsid w:val="00E949BF"/>
    <w:rsid w:val="00EA0816"/>
    <w:rsid w:val="00EA1467"/>
    <w:rsid w:val="00EA470E"/>
    <w:rsid w:val="00EA47A7"/>
    <w:rsid w:val="00EA57EB"/>
    <w:rsid w:val="00EA7D16"/>
    <w:rsid w:val="00EB3226"/>
    <w:rsid w:val="00EB3908"/>
    <w:rsid w:val="00EC213A"/>
    <w:rsid w:val="00EC4C1B"/>
    <w:rsid w:val="00EC5F7E"/>
    <w:rsid w:val="00EC6603"/>
    <w:rsid w:val="00EC7744"/>
    <w:rsid w:val="00EC7CFF"/>
    <w:rsid w:val="00ED0DAD"/>
    <w:rsid w:val="00ED0F46"/>
    <w:rsid w:val="00ED1096"/>
    <w:rsid w:val="00ED180A"/>
    <w:rsid w:val="00ED2373"/>
    <w:rsid w:val="00ED3149"/>
    <w:rsid w:val="00ED37FF"/>
    <w:rsid w:val="00ED5AB3"/>
    <w:rsid w:val="00ED6C1A"/>
    <w:rsid w:val="00EE3E8A"/>
    <w:rsid w:val="00EE4B98"/>
    <w:rsid w:val="00EE733B"/>
    <w:rsid w:val="00EF4528"/>
    <w:rsid w:val="00EF4E6F"/>
    <w:rsid w:val="00EF5402"/>
    <w:rsid w:val="00EF6ECA"/>
    <w:rsid w:val="00F024E1"/>
    <w:rsid w:val="00F06C10"/>
    <w:rsid w:val="00F1096F"/>
    <w:rsid w:val="00F11027"/>
    <w:rsid w:val="00F12589"/>
    <w:rsid w:val="00F12595"/>
    <w:rsid w:val="00F134D9"/>
    <w:rsid w:val="00F1403D"/>
    <w:rsid w:val="00F1463F"/>
    <w:rsid w:val="00F153D2"/>
    <w:rsid w:val="00F21302"/>
    <w:rsid w:val="00F321DE"/>
    <w:rsid w:val="00F32336"/>
    <w:rsid w:val="00F33777"/>
    <w:rsid w:val="00F40648"/>
    <w:rsid w:val="00F45527"/>
    <w:rsid w:val="00F47DA2"/>
    <w:rsid w:val="00F519FC"/>
    <w:rsid w:val="00F57B1C"/>
    <w:rsid w:val="00F6239D"/>
    <w:rsid w:val="00F62BC0"/>
    <w:rsid w:val="00F668AE"/>
    <w:rsid w:val="00F67218"/>
    <w:rsid w:val="00F715D2"/>
    <w:rsid w:val="00F7274F"/>
    <w:rsid w:val="00F73332"/>
    <w:rsid w:val="00F76FA8"/>
    <w:rsid w:val="00F7767F"/>
    <w:rsid w:val="00F777DF"/>
    <w:rsid w:val="00F8024E"/>
    <w:rsid w:val="00F85DC7"/>
    <w:rsid w:val="00F86BAD"/>
    <w:rsid w:val="00F86E90"/>
    <w:rsid w:val="00F90CC3"/>
    <w:rsid w:val="00F93642"/>
    <w:rsid w:val="00F93F08"/>
    <w:rsid w:val="00F94CED"/>
    <w:rsid w:val="00F95627"/>
    <w:rsid w:val="00FA2CEE"/>
    <w:rsid w:val="00FA318C"/>
    <w:rsid w:val="00FB0171"/>
    <w:rsid w:val="00FB317B"/>
    <w:rsid w:val="00FB608E"/>
    <w:rsid w:val="00FB6F92"/>
    <w:rsid w:val="00FB7E42"/>
    <w:rsid w:val="00FC026E"/>
    <w:rsid w:val="00FC0FB5"/>
    <w:rsid w:val="00FC5124"/>
    <w:rsid w:val="00FC68CE"/>
    <w:rsid w:val="00FC7FEE"/>
    <w:rsid w:val="00FD0780"/>
    <w:rsid w:val="00FD0FF9"/>
    <w:rsid w:val="00FD4087"/>
    <w:rsid w:val="00FD4731"/>
    <w:rsid w:val="00FD54C1"/>
    <w:rsid w:val="00FE61E4"/>
    <w:rsid w:val="00FE644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4DFE"/>
  <w15:docId w15:val="{12D05909-6E34-4004-9368-659C5C88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67BB"/>
    <w:rPr>
      <w:rFonts w:ascii="Arial" w:hAnsi="Arial"/>
      <w:sz w:val="21"/>
      <w:szCs w:val="24"/>
      <w:lang w:eastAsia="en-US"/>
    </w:rPr>
  </w:style>
  <w:style w:type="paragraph" w:styleId="Heading1">
    <w:name w:val="heading 1"/>
    <w:basedOn w:val="Normal"/>
    <w:next w:val="Paragraphtext"/>
    <w:qFormat/>
    <w:rsid w:val="00AC1485"/>
    <w:pPr>
      <w:keepNext/>
      <w:spacing w:before="240"/>
      <w:outlineLvl w:val="0"/>
    </w:pPr>
    <w:rPr>
      <w:rFonts w:cs="Arial"/>
      <w:b/>
      <w:bCs/>
      <w:color w:val="18233B"/>
      <w:kern w:val="28"/>
      <w:sz w:val="36"/>
      <w:szCs w:val="36"/>
    </w:rPr>
  </w:style>
  <w:style w:type="paragraph" w:styleId="Heading2">
    <w:name w:val="heading 2"/>
    <w:next w:val="Paragraphtext"/>
    <w:qFormat/>
    <w:rsid w:val="00AC1485"/>
    <w:pPr>
      <w:keepNext/>
      <w:spacing w:before="240" w:after="60"/>
      <w:outlineLvl w:val="1"/>
    </w:pPr>
    <w:rPr>
      <w:rFonts w:ascii="Arial" w:hAnsi="Arial" w:cs="Arial"/>
      <w:b/>
      <w:bCs/>
      <w:iCs/>
      <w:color w:val="48607B"/>
      <w:sz w:val="32"/>
      <w:szCs w:val="28"/>
      <w:lang w:eastAsia="en-US"/>
    </w:rPr>
  </w:style>
  <w:style w:type="paragraph" w:styleId="Heading3">
    <w:name w:val="heading 3"/>
    <w:next w:val="Normal"/>
    <w:qFormat/>
    <w:rsid w:val="00AC1485"/>
    <w:pPr>
      <w:keepNext/>
      <w:spacing w:before="180" w:after="60"/>
      <w:outlineLvl w:val="2"/>
    </w:pPr>
    <w:rPr>
      <w:rFonts w:ascii="Arial" w:hAnsi="Arial" w:cs="Arial"/>
      <w:bCs/>
      <w:color w:val="48607B" w:themeColor="text2"/>
      <w:sz w:val="28"/>
      <w:szCs w:val="26"/>
      <w:lang w:eastAsia="en-US"/>
    </w:rPr>
  </w:style>
  <w:style w:type="paragraph" w:styleId="Heading4">
    <w:name w:val="heading 4"/>
    <w:basedOn w:val="Normal"/>
    <w:next w:val="Normal"/>
    <w:qFormat/>
    <w:rsid w:val="00027071"/>
    <w:pPr>
      <w:keepNext/>
      <w:spacing w:before="240"/>
      <w:outlineLvl w:val="3"/>
    </w:pPr>
    <w:rPr>
      <w:b/>
      <w:bCs/>
      <w:i/>
      <w:color w:val="41414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Paragraphtext"/>
    <w:next w:val="Normal"/>
    <w:link w:val="SubtitleChar"/>
    <w:qFormat/>
    <w:rsid w:val="00045E79"/>
    <w:pPr>
      <w:spacing w:before="240"/>
      <w:ind w:left="624"/>
    </w:pPr>
    <w:rPr>
      <w:color w:val="48607B" w:themeColor="text2"/>
      <w:sz w:val="44"/>
      <w:szCs w:val="44"/>
      <w:lang w:eastAsia="en-AU"/>
    </w:rPr>
  </w:style>
  <w:style w:type="character" w:customStyle="1" w:styleId="SubtitleChar">
    <w:name w:val="Subtitle Char"/>
    <w:basedOn w:val="DefaultParagraphFont"/>
    <w:link w:val="Subtitle"/>
    <w:rsid w:val="00045E79"/>
    <w:rPr>
      <w:rFonts w:ascii="Arial" w:hAnsi="Arial"/>
      <w:color w:val="48607B" w:themeColor="text2"/>
      <w:sz w:val="44"/>
      <w:szCs w:val="44"/>
    </w:rPr>
  </w:style>
  <w:style w:type="paragraph" w:styleId="Title">
    <w:name w:val="Title"/>
    <w:basedOn w:val="Normal"/>
    <w:next w:val="Paragraphtext"/>
    <w:link w:val="TitleChar"/>
    <w:qFormat/>
    <w:rsid w:val="00045E79"/>
    <w:pPr>
      <w:spacing w:before="2760" w:after="120"/>
      <w:ind w:left="624"/>
      <w:contextualSpacing/>
    </w:pPr>
    <w:rPr>
      <w:rFonts w:eastAsiaTheme="majorEastAsia" w:cstheme="majorBidi"/>
      <w:b/>
      <w:noProof/>
      <w:color w:val="48607B" w:themeColor="text2"/>
      <w:kern w:val="28"/>
      <w:sz w:val="54"/>
      <w:szCs w:val="54"/>
      <w:lang w:eastAsia="en-AU"/>
    </w:rPr>
  </w:style>
  <w:style w:type="character" w:customStyle="1" w:styleId="TitleChar">
    <w:name w:val="Title Char"/>
    <w:basedOn w:val="DefaultParagraphFont"/>
    <w:link w:val="Title"/>
    <w:rsid w:val="00045E79"/>
    <w:rPr>
      <w:rFonts w:ascii="Arial" w:eastAsiaTheme="majorEastAsia" w:hAnsi="Arial" w:cstheme="majorBidi"/>
      <w:b/>
      <w:noProof/>
      <w:color w:val="48607B" w:themeColor="text2"/>
      <w:kern w:val="28"/>
      <w:sz w:val="54"/>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18233B"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pPr>
    <w:rPr>
      <w:color w:val="000000" w:themeColor="text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75A54"/>
    <w:pPr>
      <w:spacing w:before="120"/>
    </w:pPr>
    <w:rPr>
      <w:rFonts w:ascii="Arial" w:hAnsi="Arial" w:cs="Arial"/>
      <w:color w:val="000000" w:themeColor="text1"/>
      <w:sz w:val="16"/>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E915D6"/>
    <w:pPr>
      <w:spacing w:before="80" w:after="80"/>
    </w:pPr>
    <w:rPr>
      <w:rFonts w:eastAsia="Cambria"/>
      <w:b/>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IntroPara">
    <w:name w:val="Intro Para"/>
    <w:basedOn w:val="Paragraphtext"/>
    <w:next w:val="Paragraphtext"/>
    <w:qFormat/>
    <w:rsid w:val="00AC1485"/>
    <w:pPr>
      <w:spacing w:before="480" w:line="400" w:lineRule="exact"/>
    </w:pPr>
    <w:rPr>
      <w:color w:val="902A26" w:themeColor="accent2"/>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style>
  <w:style w:type="paragraph" w:customStyle="1" w:styleId="Boxheading">
    <w:name w:val="Box heading"/>
    <w:basedOn w:val="Boxtype"/>
    <w:qFormat/>
    <w:rsid w:val="00AC1485"/>
    <w:pPr>
      <w:spacing w:before="240"/>
    </w:pPr>
    <w:rPr>
      <w:rFonts w:cs="Times New Roman"/>
      <w:b/>
      <w:bCs/>
      <w:caps/>
      <w:color w:val="902A26" w:themeColor="accent2"/>
      <w:szCs w:val="20"/>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151D20"/>
    <w:pPr>
      <w:tabs>
        <w:tab w:val="right" w:leader="dot" w:pos="9060"/>
      </w:tabs>
      <w:spacing w:after="100"/>
    </w:pPr>
  </w:style>
  <w:style w:type="character" w:styleId="CommentReference">
    <w:name w:val="annotation reference"/>
    <w:basedOn w:val="DefaultParagraphFont"/>
    <w:semiHidden/>
    <w:unhideWhenUsed/>
    <w:rsid w:val="00D8373A"/>
    <w:rPr>
      <w:sz w:val="16"/>
      <w:szCs w:val="16"/>
    </w:rPr>
  </w:style>
  <w:style w:type="paragraph" w:styleId="CommentText">
    <w:name w:val="annotation text"/>
    <w:basedOn w:val="Normal"/>
    <w:link w:val="CommentTextChar"/>
    <w:unhideWhenUsed/>
    <w:rsid w:val="00D8373A"/>
    <w:rPr>
      <w:sz w:val="20"/>
      <w:szCs w:val="20"/>
    </w:rPr>
  </w:style>
  <w:style w:type="character" w:customStyle="1" w:styleId="CommentTextChar">
    <w:name w:val="Comment Text Char"/>
    <w:basedOn w:val="DefaultParagraphFont"/>
    <w:link w:val="CommentText"/>
    <w:rsid w:val="00D8373A"/>
    <w:rPr>
      <w:rFonts w:ascii="Arial" w:hAnsi="Arial"/>
      <w:lang w:eastAsia="en-US"/>
    </w:rPr>
  </w:style>
  <w:style w:type="paragraph" w:styleId="CommentSubject">
    <w:name w:val="annotation subject"/>
    <w:basedOn w:val="CommentText"/>
    <w:next w:val="CommentText"/>
    <w:link w:val="CommentSubjectChar"/>
    <w:semiHidden/>
    <w:unhideWhenUsed/>
    <w:rsid w:val="00D8373A"/>
    <w:rPr>
      <w:b/>
      <w:bCs/>
    </w:rPr>
  </w:style>
  <w:style w:type="character" w:customStyle="1" w:styleId="CommentSubjectChar">
    <w:name w:val="Comment Subject Char"/>
    <w:basedOn w:val="CommentTextChar"/>
    <w:link w:val="CommentSubject"/>
    <w:semiHidden/>
    <w:rsid w:val="00D8373A"/>
    <w:rPr>
      <w:rFonts w:ascii="Arial" w:hAnsi="Arial"/>
      <w:b/>
      <w:bCs/>
      <w:lang w:eastAsia="en-US"/>
    </w:rPr>
  </w:style>
  <w:style w:type="character" w:styleId="UnresolvedMention">
    <w:name w:val="Unresolved Mention"/>
    <w:basedOn w:val="DefaultParagraphFont"/>
    <w:uiPriority w:val="99"/>
    <w:semiHidden/>
    <w:unhideWhenUsed/>
    <w:rsid w:val="00D8373A"/>
    <w:rPr>
      <w:color w:val="605E5C"/>
      <w:shd w:val="clear" w:color="auto" w:fill="E1DFDD"/>
    </w:rPr>
  </w:style>
  <w:style w:type="paragraph" w:styleId="TOC2">
    <w:name w:val="toc 2"/>
    <w:basedOn w:val="Normal"/>
    <w:next w:val="Normal"/>
    <w:autoRedefine/>
    <w:uiPriority w:val="39"/>
    <w:unhideWhenUsed/>
    <w:rsid w:val="002F323A"/>
    <w:pPr>
      <w:spacing w:after="100"/>
      <w:ind w:left="210"/>
    </w:pPr>
  </w:style>
  <w:style w:type="paragraph" w:styleId="TOC3">
    <w:name w:val="toc 3"/>
    <w:basedOn w:val="Normal"/>
    <w:next w:val="Normal"/>
    <w:autoRedefine/>
    <w:uiPriority w:val="39"/>
    <w:unhideWhenUsed/>
    <w:rsid w:val="002F323A"/>
    <w:pPr>
      <w:spacing w:after="100"/>
      <w:ind w:left="420"/>
    </w:pPr>
  </w:style>
  <w:style w:type="paragraph" w:customStyle="1" w:styleId="Default">
    <w:name w:val="Default"/>
    <w:rsid w:val="00E45166"/>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D45F2A"/>
    <w:rPr>
      <w:rFonts w:ascii="Arial" w:hAnsi="Arial"/>
      <w:sz w:val="21"/>
      <w:szCs w:val="24"/>
      <w:lang w:eastAsia="en-US"/>
    </w:rPr>
  </w:style>
  <w:style w:type="character" w:styleId="FollowedHyperlink">
    <w:name w:val="FollowedHyperlink"/>
    <w:basedOn w:val="DefaultParagraphFont"/>
    <w:semiHidden/>
    <w:unhideWhenUsed/>
    <w:rsid w:val="0070144E"/>
    <w:rPr>
      <w:color w:val="800080" w:themeColor="followedHyperlink"/>
      <w:u w:val="single"/>
    </w:rPr>
  </w:style>
  <w:style w:type="character" w:styleId="FootnoteReference">
    <w:name w:val="footnote reference"/>
    <w:basedOn w:val="DefaultParagraphFont"/>
    <w:semiHidden/>
    <w:unhideWhenUsed/>
    <w:rsid w:val="00E45F45"/>
    <w:rPr>
      <w:vertAlign w:val="superscript"/>
    </w:rPr>
  </w:style>
  <w:style w:type="table" w:styleId="TableGridLight">
    <w:name w:val="Grid Table Light"/>
    <w:basedOn w:val="TableNormal"/>
    <w:uiPriority w:val="40"/>
    <w:rsid w:val="00340E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068">
      <w:bodyDiv w:val="1"/>
      <w:marLeft w:val="0"/>
      <w:marRight w:val="0"/>
      <w:marTop w:val="0"/>
      <w:marBottom w:val="0"/>
      <w:divBdr>
        <w:top w:val="none" w:sz="0" w:space="0" w:color="auto"/>
        <w:left w:val="none" w:sz="0" w:space="0" w:color="auto"/>
        <w:bottom w:val="none" w:sz="0" w:space="0" w:color="auto"/>
        <w:right w:val="none" w:sz="0" w:space="0" w:color="auto"/>
      </w:divBdr>
    </w:div>
    <w:div w:id="67728483">
      <w:bodyDiv w:val="1"/>
      <w:marLeft w:val="0"/>
      <w:marRight w:val="0"/>
      <w:marTop w:val="0"/>
      <w:marBottom w:val="0"/>
      <w:divBdr>
        <w:top w:val="none" w:sz="0" w:space="0" w:color="auto"/>
        <w:left w:val="none" w:sz="0" w:space="0" w:color="auto"/>
        <w:bottom w:val="none" w:sz="0" w:space="0" w:color="auto"/>
        <w:right w:val="none" w:sz="0" w:space="0" w:color="auto"/>
      </w:divBdr>
    </w:div>
    <w:div w:id="92749207">
      <w:bodyDiv w:val="1"/>
      <w:marLeft w:val="0"/>
      <w:marRight w:val="0"/>
      <w:marTop w:val="0"/>
      <w:marBottom w:val="0"/>
      <w:divBdr>
        <w:top w:val="none" w:sz="0" w:space="0" w:color="auto"/>
        <w:left w:val="none" w:sz="0" w:space="0" w:color="auto"/>
        <w:bottom w:val="none" w:sz="0" w:space="0" w:color="auto"/>
        <w:right w:val="none" w:sz="0" w:space="0" w:color="auto"/>
      </w:divBdr>
    </w:div>
    <w:div w:id="2514775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8324454">
      <w:bodyDiv w:val="1"/>
      <w:marLeft w:val="0"/>
      <w:marRight w:val="0"/>
      <w:marTop w:val="0"/>
      <w:marBottom w:val="0"/>
      <w:divBdr>
        <w:top w:val="none" w:sz="0" w:space="0" w:color="auto"/>
        <w:left w:val="none" w:sz="0" w:space="0" w:color="auto"/>
        <w:bottom w:val="none" w:sz="0" w:space="0" w:color="auto"/>
        <w:right w:val="none" w:sz="0" w:space="0" w:color="auto"/>
      </w:divBdr>
    </w:div>
    <w:div w:id="556209068">
      <w:bodyDiv w:val="1"/>
      <w:marLeft w:val="0"/>
      <w:marRight w:val="0"/>
      <w:marTop w:val="0"/>
      <w:marBottom w:val="0"/>
      <w:divBdr>
        <w:top w:val="none" w:sz="0" w:space="0" w:color="auto"/>
        <w:left w:val="none" w:sz="0" w:space="0" w:color="auto"/>
        <w:bottom w:val="none" w:sz="0" w:space="0" w:color="auto"/>
        <w:right w:val="none" w:sz="0" w:space="0" w:color="auto"/>
      </w:divBdr>
    </w:div>
    <w:div w:id="5721986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0614461">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62061131">
      <w:bodyDiv w:val="1"/>
      <w:marLeft w:val="0"/>
      <w:marRight w:val="0"/>
      <w:marTop w:val="0"/>
      <w:marBottom w:val="0"/>
      <w:divBdr>
        <w:top w:val="none" w:sz="0" w:space="0" w:color="auto"/>
        <w:left w:val="none" w:sz="0" w:space="0" w:color="auto"/>
        <w:bottom w:val="none" w:sz="0" w:space="0" w:color="auto"/>
        <w:right w:val="none" w:sz="0" w:space="0" w:color="auto"/>
      </w:divBdr>
    </w:div>
    <w:div w:id="869143437">
      <w:bodyDiv w:val="1"/>
      <w:marLeft w:val="0"/>
      <w:marRight w:val="0"/>
      <w:marTop w:val="0"/>
      <w:marBottom w:val="0"/>
      <w:divBdr>
        <w:top w:val="none" w:sz="0" w:space="0" w:color="auto"/>
        <w:left w:val="none" w:sz="0" w:space="0" w:color="auto"/>
        <w:bottom w:val="none" w:sz="0" w:space="0" w:color="auto"/>
        <w:right w:val="none" w:sz="0" w:space="0" w:color="auto"/>
      </w:divBdr>
    </w:div>
    <w:div w:id="986084375">
      <w:bodyDiv w:val="1"/>
      <w:marLeft w:val="0"/>
      <w:marRight w:val="0"/>
      <w:marTop w:val="0"/>
      <w:marBottom w:val="0"/>
      <w:divBdr>
        <w:top w:val="none" w:sz="0" w:space="0" w:color="auto"/>
        <w:left w:val="none" w:sz="0" w:space="0" w:color="auto"/>
        <w:bottom w:val="none" w:sz="0" w:space="0" w:color="auto"/>
        <w:right w:val="none" w:sz="0" w:space="0" w:color="auto"/>
      </w:divBdr>
    </w:div>
    <w:div w:id="1119882789">
      <w:bodyDiv w:val="1"/>
      <w:marLeft w:val="0"/>
      <w:marRight w:val="0"/>
      <w:marTop w:val="0"/>
      <w:marBottom w:val="0"/>
      <w:divBdr>
        <w:top w:val="none" w:sz="0" w:space="0" w:color="auto"/>
        <w:left w:val="none" w:sz="0" w:space="0" w:color="auto"/>
        <w:bottom w:val="none" w:sz="0" w:space="0" w:color="auto"/>
        <w:right w:val="none" w:sz="0" w:space="0" w:color="auto"/>
      </w:divBdr>
    </w:div>
    <w:div w:id="1189099447">
      <w:bodyDiv w:val="1"/>
      <w:marLeft w:val="0"/>
      <w:marRight w:val="0"/>
      <w:marTop w:val="0"/>
      <w:marBottom w:val="0"/>
      <w:divBdr>
        <w:top w:val="none" w:sz="0" w:space="0" w:color="auto"/>
        <w:left w:val="none" w:sz="0" w:space="0" w:color="auto"/>
        <w:bottom w:val="none" w:sz="0" w:space="0" w:color="auto"/>
        <w:right w:val="none" w:sz="0" w:space="0" w:color="auto"/>
      </w:divBdr>
    </w:div>
    <w:div w:id="1195194583">
      <w:bodyDiv w:val="1"/>
      <w:marLeft w:val="0"/>
      <w:marRight w:val="0"/>
      <w:marTop w:val="0"/>
      <w:marBottom w:val="0"/>
      <w:divBdr>
        <w:top w:val="none" w:sz="0" w:space="0" w:color="auto"/>
        <w:left w:val="none" w:sz="0" w:space="0" w:color="auto"/>
        <w:bottom w:val="none" w:sz="0" w:space="0" w:color="auto"/>
        <w:right w:val="none" w:sz="0" w:space="0" w:color="auto"/>
      </w:divBdr>
    </w:div>
    <w:div w:id="120123645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9440861">
      <w:bodyDiv w:val="1"/>
      <w:marLeft w:val="0"/>
      <w:marRight w:val="0"/>
      <w:marTop w:val="0"/>
      <w:marBottom w:val="0"/>
      <w:divBdr>
        <w:top w:val="none" w:sz="0" w:space="0" w:color="auto"/>
        <w:left w:val="none" w:sz="0" w:space="0" w:color="auto"/>
        <w:bottom w:val="none" w:sz="0" w:space="0" w:color="auto"/>
        <w:right w:val="none" w:sz="0" w:space="0" w:color="auto"/>
      </w:divBdr>
    </w:div>
    <w:div w:id="1373503942">
      <w:bodyDiv w:val="1"/>
      <w:marLeft w:val="0"/>
      <w:marRight w:val="0"/>
      <w:marTop w:val="0"/>
      <w:marBottom w:val="0"/>
      <w:divBdr>
        <w:top w:val="none" w:sz="0" w:space="0" w:color="auto"/>
        <w:left w:val="none" w:sz="0" w:space="0" w:color="auto"/>
        <w:bottom w:val="none" w:sz="0" w:space="0" w:color="auto"/>
        <w:right w:val="none" w:sz="0" w:space="0" w:color="auto"/>
      </w:divBdr>
    </w:div>
    <w:div w:id="1455901621">
      <w:bodyDiv w:val="1"/>
      <w:marLeft w:val="0"/>
      <w:marRight w:val="0"/>
      <w:marTop w:val="0"/>
      <w:marBottom w:val="0"/>
      <w:divBdr>
        <w:top w:val="none" w:sz="0" w:space="0" w:color="auto"/>
        <w:left w:val="none" w:sz="0" w:space="0" w:color="auto"/>
        <w:bottom w:val="none" w:sz="0" w:space="0" w:color="auto"/>
        <w:right w:val="none" w:sz="0" w:space="0" w:color="auto"/>
      </w:divBdr>
    </w:div>
    <w:div w:id="1479229369">
      <w:bodyDiv w:val="1"/>
      <w:marLeft w:val="0"/>
      <w:marRight w:val="0"/>
      <w:marTop w:val="0"/>
      <w:marBottom w:val="0"/>
      <w:divBdr>
        <w:top w:val="none" w:sz="0" w:space="0" w:color="auto"/>
        <w:left w:val="none" w:sz="0" w:space="0" w:color="auto"/>
        <w:bottom w:val="none" w:sz="0" w:space="0" w:color="auto"/>
        <w:right w:val="none" w:sz="0" w:space="0" w:color="auto"/>
      </w:divBdr>
    </w:div>
    <w:div w:id="1666547060">
      <w:bodyDiv w:val="1"/>
      <w:marLeft w:val="0"/>
      <w:marRight w:val="0"/>
      <w:marTop w:val="0"/>
      <w:marBottom w:val="0"/>
      <w:divBdr>
        <w:top w:val="none" w:sz="0" w:space="0" w:color="auto"/>
        <w:left w:val="none" w:sz="0" w:space="0" w:color="auto"/>
        <w:bottom w:val="none" w:sz="0" w:space="0" w:color="auto"/>
        <w:right w:val="none" w:sz="0" w:space="0" w:color="auto"/>
      </w:divBdr>
    </w:div>
    <w:div w:id="1753892678">
      <w:bodyDiv w:val="1"/>
      <w:marLeft w:val="0"/>
      <w:marRight w:val="0"/>
      <w:marTop w:val="0"/>
      <w:marBottom w:val="0"/>
      <w:divBdr>
        <w:top w:val="none" w:sz="0" w:space="0" w:color="auto"/>
        <w:left w:val="none" w:sz="0" w:space="0" w:color="auto"/>
        <w:bottom w:val="none" w:sz="0" w:space="0" w:color="auto"/>
        <w:right w:val="none" w:sz="0" w:space="0" w:color="auto"/>
      </w:divBdr>
    </w:div>
    <w:div w:id="1775242150">
      <w:bodyDiv w:val="1"/>
      <w:marLeft w:val="0"/>
      <w:marRight w:val="0"/>
      <w:marTop w:val="0"/>
      <w:marBottom w:val="0"/>
      <w:divBdr>
        <w:top w:val="none" w:sz="0" w:space="0" w:color="auto"/>
        <w:left w:val="none" w:sz="0" w:space="0" w:color="auto"/>
        <w:bottom w:val="none" w:sz="0" w:space="0" w:color="auto"/>
        <w:right w:val="none" w:sz="0" w:space="0" w:color="auto"/>
      </w:divBdr>
    </w:div>
    <w:div w:id="1814331009">
      <w:bodyDiv w:val="1"/>
      <w:marLeft w:val="0"/>
      <w:marRight w:val="0"/>
      <w:marTop w:val="0"/>
      <w:marBottom w:val="0"/>
      <w:divBdr>
        <w:top w:val="none" w:sz="0" w:space="0" w:color="auto"/>
        <w:left w:val="none" w:sz="0" w:space="0" w:color="auto"/>
        <w:bottom w:val="none" w:sz="0" w:space="0" w:color="auto"/>
        <w:right w:val="none" w:sz="0" w:space="0" w:color="auto"/>
      </w:divBdr>
    </w:div>
    <w:div w:id="1941528159">
      <w:bodyDiv w:val="1"/>
      <w:marLeft w:val="0"/>
      <w:marRight w:val="0"/>
      <w:marTop w:val="0"/>
      <w:marBottom w:val="0"/>
      <w:divBdr>
        <w:top w:val="none" w:sz="0" w:space="0" w:color="auto"/>
        <w:left w:val="none" w:sz="0" w:space="0" w:color="auto"/>
        <w:bottom w:val="none" w:sz="0" w:space="0" w:color="auto"/>
        <w:right w:val="none" w:sz="0" w:space="0" w:color="auto"/>
      </w:divBdr>
    </w:div>
    <w:div w:id="1963220687">
      <w:bodyDiv w:val="1"/>
      <w:marLeft w:val="0"/>
      <w:marRight w:val="0"/>
      <w:marTop w:val="0"/>
      <w:marBottom w:val="0"/>
      <w:divBdr>
        <w:top w:val="none" w:sz="0" w:space="0" w:color="auto"/>
        <w:left w:val="none" w:sz="0" w:space="0" w:color="auto"/>
        <w:bottom w:val="none" w:sz="0" w:space="0" w:color="auto"/>
        <w:right w:val="none" w:sz="0" w:space="0" w:color="auto"/>
      </w:divBdr>
    </w:div>
    <w:div w:id="1983073726">
      <w:bodyDiv w:val="1"/>
      <w:marLeft w:val="0"/>
      <w:marRight w:val="0"/>
      <w:marTop w:val="0"/>
      <w:marBottom w:val="0"/>
      <w:divBdr>
        <w:top w:val="none" w:sz="0" w:space="0" w:color="auto"/>
        <w:left w:val="none" w:sz="0" w:space="0" w:color="auto"/>
        <w:bottom w:val="none" w:sz="0" w:space="0" w:color="auto"/>
        <w:right w:val="none" w:sz="0" w:space="0" w:color="auto"/>
      </w:divBdr>
    </w:div>
    <w:div w:id="2041935058">
      <w:bodyDiv w:val="1"/>
      <w:marLeft w:val="0"/>
      <w:marRight w:val="0"/>
      <w:marTop w:val="0"/>
      <w:marBottom w:val="0"/>
      <w:divBdr>
        <w:top w:val="none" w:sz="0" w:space="0" w:color="auto"/>
        <w:left w:val="none" w:sz="0" w:space="0" w:color="auto"/>
        <w:bottom w:val="none" w:sz="0" w:space="0" w:color="auto"/>
        <w:right w:val="none" w:sz="0" w:space="0" w:color="auto"/>
      </w:divBdr>
    </w:div>
    <w:div w:id="20482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microsoft.com/office/2014/relationships/chartEx" Target="charts/chartEx1.xml"/><Relationship Id="rId39" Type="http://schemas.openxmlformats.org/officeDocument/2006/relationships/hyperlink" Target="https://www.health.gov.au/resources/publications/new-mrff-funding-empowers-early-to-mid-career-researchers-to-tackle-significant-health-challenges?language=en" TargetMode="External"/><Relationship Id="rId3" Type="http://schemas.openxmlformats.org/officeDocument/2006/relationships/customXml" Target="../customXml/item3.xml"/><Relationship Id="rId21" Type="http://schemas.openxmlformats.org/officeDocument/2006/relationships/hyperlink" Target="https://www.grants.gov.au/Go/Show?GoUuid=dfbdbdbe-c2c6-4001-9faf-5ef47fb1e137&amp;keyword=GO5339" TargetMode="External"/><Relationship Id="rId34" Type="http://schemas.openxmlformats.org/officeDocument/2006/relationships/hyperlink" Target="https://www.health.gov.au/resources/publications/mrff-grant-assessment-committees?language=en" TargetMode="External"/><Relationship Id="rId42" Type="http://schemas.openxmlformats.org/officeDocument/2006/relationships/header" Target="header6.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grants.gov.au/Go/Show?GoUuid=02f5570e-16a1-4def-af34-e25773bd578c" TargetMode="External"/><Relationship Id="rId33" Type="http://schemas.openxmlformats.org/officeDocument/2006/relationships/image" Target="media/image6.png"/><Relationship Id="rId38" Type="http://schemas.openxmlformats.org/officeDocument/2006/relationships/hyperlink" Target="https://www.health.gov.au/resources/publications/mrff-health-early-to-mid-career-researchers-stakeholder-roundtable-14-october-2021?language=en"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gov.au/our-work/early-to-mid-career-researchers-initiative?language=en" TargetMode="External"/><Relationship Id="rId29" Type="http://schemas.openxmlformats.org/officeDocument/2006/relationships/image" Target="media/image4.png"/><Relationship Id="rId41" Type="http://schemas.openxmlformats.org/officeDocument/2006/relationships/hyperlink" Target="https://www.grants.gov.au/Go/Show?GoUuid=dfbdbdbe-c2c6-4001-9faf-5ef47fb1e137&amp;keyword=GO53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resources/publications/mrff-accelerator-grants?language=en" TargetMode="External"/><Relationship Id="rId32" Type="http://schemas.microsoft.com/office/2014/relationships/chartEx" Target="charts/chartEx4.xml"/><Relationship Id="rId37" Type="http://schemas.openxmlformats.org/officeDocument/2006/relationships/hyperlink" Target="https://www.health.gov.au/resources/publications/mrff-health-and-medical-research-early-to-mid-career-researchers-roundtable-6-may-2021?language=en" TargetMode="External"/><Relationship Id="rId40" Type="http://schemas.openxmlformats.org/officeDocument/2006/relationships/hyperlink" Target="https://www.health.gov.au/resources/collections/medical-research-future-fund-mrff-2nd-10-year-investment-plan-2022-23-to-2031-32"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health.gov.au/resources/publications/mrff-incubator-grants" TargetMode="External"/><Relationship Id="rId28" Type="http://schemas.microsoft.com/office/2014/relationships/chartEx" Target="charts/chartEx2.xml"/><Relationship Id="rId36" Type="http://schemas.openxmlformats.org/officeDocument/2006/relationships/chart" Target="charts/chart1.xm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5.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grants.gov.au/Go/Show?GoUuid=dfbdbdbe-c2c6-4001-9faf-5ef47fb1e137&amp;keyword=GO5339" TargetMode="External"/><Relationship Id="rId27" Type="http://schemas.openxmlformats.org/officeDocument/2006/relationships/image" Target="media/image3.png"/><Relationship Id="rId30" Type="http://schemas.microsoft.com/office/2014/relationships/chartEx" Target="charts/chartEx3.xml"/><Relationship Id="rId35" Type="http://schemas.openxmlformats.org/officeDocument/2006/relationships/image" Target="media/image7.png"/><Relationship Id="rId43" Type="http://schemas.openxmlformats.org/officeDocument/2006/relationships/header" Target="header7.xml"/><Relationship Id="rId4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rants.gov.au/Go/Show?GoUuid=dfbdbdbe-c2c6-4001-9faf-5ef47fb1e137&amp;keyword=GO53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ja\AppData\Local\Hewlett-Packard\HP%20TRIM\TEMP\HPTRIM.20008\t0TG1T2Q.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13\REIDJA\Downloads\amrab_emcr_tables_2023-02-28.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entral.health\dfsuserenv\Users\User_13\REIDJA\Downloads\amrab_emcr_tables_2023-02-28.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entral.health\dfsuserenv\Users\User_13\REIDJA\Downloads\amrab_emcr_tables_2023-02-28.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entral.health\dfsuserenv\Users\User_13\REIDJA\Downloads\amrab_emcr_tables_2023-02-28.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entral.health\dfsuserenv\Users\User_13\REIDJA\Downloads\amrab_emcr_tables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287596835862619E-2"/>
          <c:y val="2.4492841404857836E-2"/>
          <c:w val="0.87041713211454108"/>
          <c:h val="0.75293954476426228"/>
        </c:manualLayout>
      </c:layout>
      <c:barChart>
        <c:barDir val="col"/>
        <c:grouping val="clustered"/>
        <c:varyColors val="0"/>
        <c:ser>
          <c:idx val="0"/>
          <c:order val="0"/>
          <c:tx>
            <c:strRef>
              <c:f>'Years post PhD - Team'!$H$1</c:f>
              <c:strCache>
                <c:ptCount val="1"/>
                <c:pt idx="0">
                  <c:v>CIs on grants awarded</c:v>
                </c:pt>
              </c:strCache>
            </c:strRef>
          </c:tx>
          <c:spPr>
            <a:solidFill>
              <a:schemeClr val="accent1"/>
            </a:solidFill>
            <a:ln>
              <a:noFill/>
            </a:ln>
            <a:effectLst/>
          </c:spPr>
          <c:invertIfNegative val="0"/>
          <c:cat>
            <c:strRef>
              <c:f>'Years post PhD - Team'!$G$2:$G$30</c:f>
              <c:strCach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strCache>
            </c:strRef>
          </c:cat>
          <c:val>
            <c:numRef>
              <c:f>'Years post PhD - Team'!$H$2:$H$30</c:f>
              <c:numCache>
                <c:formatCode>General</c:formatCode>
                <c:ptCount val="29"/>
                <c:pt idx="0">
                  <c:v>4</c:v>
                </c:pt>
                <c:pt idx="1">
                  <c:v>13</c:v>
                </c:pt>
                <c:pt idx="2">
                  <c:v>14</c:v>
                </c:pt>
                <c:pt idx="3">
                  <c:v>20</c:v>
                </c:pt>
                <c:pt idx="4">
                  <c:v>10</c:v>
                </c:pt>
                <c:pt idx="5">
                  <c:v>24</c:v>
                </c:pt>
                <c:pt idx="6">
                  <c:v>21</c:v>
                </c:pt>
                <c:pt idx="7">
                  <c:v>14</c:v>
                </c:pt>
                <c:pt idx="8">
                  <c:v>8</c:v>
                </c:pt>
                <c:pt idx="9">
                  <c:v>9</c:v>
                </c:pt>
                <c:pt idx="10">
                  <c:v>4</c:v>
                </c:pt>
                <c:pt idx="11">
                  <c:v>3</c:v>
                </c:pt>
                <c:pt idx="12">
                  <c:v>6</c:v>
                </c:pt>
                <c:pt idx="13">
                  <c:v>1</c:v>
                </c:pt>
                <c:pt idx="14">
                  <c:v>2</c:v>
                </c:pt>
                <c:pt idx="15">
                  <c:v>1</c:v>
                </c:pt>
                <c:pt idx="16">
                  <c:v>1</c:v>
                </c:pt>
                <c:pt idx="17">
                  <c:v>3</c:v>
                </c:pt>
                <c:pt idx="18">
                  <c:v>3</c:v>
                </c:pt>
                <c:pt idx="19">
                  <c:v>1</c:v>
                </c:pt>
                <c:pt idx="20">
                  <c:v>1</c:v>
                </c:pt>
                <c:pt idx="21">
                  <c:v>1</c:v>
                </c:pt>
                <c:pt idx="22">
                  <c:v>1</c:v>
                </c:pt>
                <c:pt idx="23">
                  <c:v>1</c:v>
                </c:pt>
                <c:pt idx="24">
                  <c:v>1</c:v>
                </c:pt>
                <c:pt idx="25">
                  <c:v>3</c:v>
                </c:pt>
                <c:pt idx="26">
                  <c:v>1</c:v>
                </c:pt>
                <c:pt idx="27">
                  <c:v>0</c:v>
                </c:pt>
                <c:pt idx="28">
                  <c:v>1</c:v>
                </c:pt>
              </c:numCache>
            </c:numRef>
          </c:val>
          <c:extLst>
            <c:ext xmlns:c16="http://schemas.microsoft.com/office/drawing/2014/chart" uri="{C3380CC4-5D6E-409C-BE32-E72D297353CC}">
              <c16:uniqueId val="{00000000-58C6-43A4-B0EC-251D166D2BA1}"/>
            </c:ext>
          </c:extLst>
        </c:ser>
        <c:dLbls>
          <c:showLegendKey val="0"/>
          <c:showVal val="0"/>
          <c:showCatName val="0"/>
          <c:showSerName val="0"/>
          <c:showPercent val="0"/>
          <c:showBubbleSize val="0"/>
        </c:dLbls>
        <c:gapWidth val="219"/>
        <c:overlap val="-27"/>
        <c:axId val="650701032"/>
        <c:axId val="650697752"/>
      </c:barChart>
      <c:catAx>
        <c:axId val="650701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Years post-PhD</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97752"/>
        <c:crosses val="autoZero"/>
        <c:auto val="1"/>
        <c:lblAlgn val="ctr"/>
        <c:lblOffset val="100"/>
        <c:noMultiLvlLbl val="0"/>
      </c:catAx>
      <c:valAx>
        <c:axId val="650697752"/>
        <c:scaling>
          <c:orientation val="minMax"/>
          <c:max val="2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CIs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701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 1'!$A$3:$A$6</cx:f>
        <cx:lvl ptCount="4">
          <cx:pt idx="0">Basic Science Research 11%</cx:pt>
          <cx:pt idx="1">Clinical Medicine and Science Research 56% </cx:pt>
          <cx:pt idx="2">Health Services Research 20%</cx:pt>
          <cx:pt idx="3">Public Health Research 13%</cx:pt>
        </cx:lvl>
      </cx:strDim>
      <cx:numDim type="size">
        <cx:f>'Figure 1'!$C$3:$C$6</cx:f>
        <cx:lvl ptCount="4" formatCode="0">
          <cx:pt idx="0">10.65</cx:pt>
          <cx:pt idx="1">55.880000000000003</cx:pt>
          <cx:pt idx="2">20.489999999999998</cx:pt>
          <cx:pt idx="3">12.99</cx:pt>
        </cx:lvl>
      </cx:numDim>
    </cx:data>
  </cx:chartData>
  <cx:chart>
    <cx:plotArea>
      <cx:plotAreaRegion>
        <cx:series layoutId="treemap" uniqueId="{4B68BD93-8EB2-4EF5-AA10-9FA2A2581CAA}">
          <cx:dataLabels pos="inEnd">
            <cx:txPr>
              <a:bodyPr spcFirstLastPara="1" vertOverflow="ellipsis" horzOverflow="overflow" wrap="square" lIns="0" tIns="0" rIns="0" bIns="0" anchor="ctr" anchorCtr="1"/>
              <a:lstStyle/>
              <a:p>
                <a:pPr algn="ctr" rtl="0">
                  <a:defRPr sz="700"/>
                </a:pPr>
                <a:endParaRPr lang="en-US" sz="700" b="0" i="0" u="none" strike="noStrike" baseline="0">
                  <a:solidFill>
                    <a:sysClr val="window" lastClr="FFFFFF"/>
                  </a:solidFill>
                  <a:latin typeface="Calibri"/>
                </a:endParaRPr>
              </a:p>
            </cx:txPr>
            <cx:visibility seriesName="0" categoryName="1" value="0"/>
          </cx:dataLabels>
          <cx:dataId val="0"/>
          <cx:layoutPr>
            <cx:parentLabelLayout val="overlapping"/>
          </cx:layoutPr>
        </cx:series>
      </cx:plotAreaRegion>
    </cx:plotArea>
  </cx:chart>
  <cx:spPr>
    <a:ln>
      <a:no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 1'!$A$10:$A$11</cx:f>
        <cx:lvl ptCount="2">
          <cx:pt idx="0">Woman 60%</cx:pt>
          <cx:pt idx="1">Man 40%</cx:pt>
        </cx:lvl>
      </cx:strDim>
      <cx:numDim type="size">
        <cx:f>'Figure 1'!$C$10:$C$11</cx:f>
        <cx:lvl ptCount="2" formatCode="0">
          <cx:pt idx="0">59.509999999999998</cx:pt>
          <cx:pt idx="1">40.490000000000002</cx:pt>
        </cx:lvl>
      </cx:numDim>
    </cx:data>
  </cx:chartData>
  <cx:chart>
    <cx:plotArea>
      <cx:plotAreaRegion>
        <cx:series layoutId="treemap" uniqueId="{4B68BD93-8EB2-4EF5-AA10-9FA2A2581CAA}">
          <cx:spPr>
            <a:solidFill>
              <a:schemeClr val="accent2"/>
            </a:solidFill>
          </cx:spPr>
          <cx:dataPt idx="1">
            <cx:spPr>
              <a:solidFill>
                <a:srgbClr val="48607B"/>
              </a:solidFill>
            </cx:spPr>
          </cx:dataPt>
          <cx:dataLabels pos="inEnd">
            <cx:txPr>
              <a:bodyPr spcFirstLastPara="1" vertOverflow="ellipsis" horzOverflow="overflow" wrap="square" lIns="0" tIns="0" rIns="0" bIns="0" anchor="ctr" anchorCtr="1"/>
              <a:lstStyle/>
              <a:p>
                <a:pPr algn="ctr" rtl="0">
                  <a:defRPr sz="800"/>
                </a:pPr>
                <a:endParaRPr lang="en-US" sz="800" b="0" i="0" u="none" strike="noStrike" baseline="0">
                  <a:solidFill>
                    <a:sysClr val="window" lastClr="FFFFFF"/>
                  </a:solidFill>
                  <a:latin typeface="Calibri"/>
                </a:endParaRPr>
              </a:p>
            </cx:txPr>
            <cx:visibility seriesName="0" categoryName="1" value="0"/>
          </cx:dataLabels>
          <cx:dataId val="0"/>
          <cx:layoutPr>
            <cx:parentLabelLayout val="overlapping"/>
          </cx:layoutPr>
        </cx:series>
      </cx:plotAreaRegion>
    </cx:plotArea>
  </cx:chart>
  <cx:spPr>
    <a:ln>
      <a:noFill/>
    </a:ln>
  </cx:spPr>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 1'!$A$16:$A$18</cx:f>
        <cx:lvl ptCount="3">
          <cx:pt idx="0">0 to 5 years 28%</cx:pt>
          <cx:pt idx="1">6 to 10 years 46%</cx:pt>
          <cx:pt idx="2">Over 10 years 26%</cx:pt>
        </cx:lvl>
      </cx:strDim>
      <cx:numDim type="size">
        <cx:f>'Figure 1'!$C$16:$C$18</cx:f>
        <cx:lvl ptCount="3" formatCode="0">
          <cx:pt idx="0">28.140000000000001</cx:pt>
          <cx:pt idx="1">45.75</cx:pt>
          <cx:pt idx="2">26.100000000000001</cx:pt>
        </cx:lvl>
      </cx:numDim>
    </cx:data>
  </cx:chartData>
  <cx:chart>
    <cx:plotArea>
      <cx:plotAreaRegion>
        <cx:series layoutId="treemap" uniqueId="{4B68BD93-8EB2-4EF5-AA10-9FA2A2581CAA}">
          <cx:dataPt idx="0">
            <cx:spPr>
              <a:solidFill>
                <a:srgbClr val="48607B"/>
              </a:solidFill>
            </cx:spPr>
          </cx:dataPt>
          <cx:dataPt idx="2">
            <cx:spPr>
              <a:solidFill>
                <a:srgbClr val="7A98CE"/>
              </a:solidFill>
            </cx:spPr>
          </cx:dataPt>
          <cx:dataLabels pos="inEnd">
            <cx:txPr>
              <a:bodyPr spcFirstLastPara="1" vertOverflow="ellipsis" horzOverflow="overflow" wrap="square" lIns="0" tIns="0" rIns="0" bIns="0" anchor="ctr" anchorCtr="1"/>
              <a:lstStyle/>
              <a:p>
                <a:pPr algn="ctr" rtl="0">
                  <a:defRPr sz="800"/>
                </a:pPr>
                <a:endParaRPr lang="en-US" sz="800" b="0" i="0" u="none" strike="noStrike" baseline="0">
                  <a:solidFill>
                    <a:sysClr val="window" lastClr="FFFFFF"/>
                  </a:solidFill>
                  <a:latin typeface="Calibri"/>
                </a:endParaRPr>
              </a:p>
            </cx:txPr>
            <cx:visibility seriesName="0" categoryName="1" value="0"/>
          </cx:dataLabels>
          <cx:dataId val="0"/>
          <cx:layoutPr>
            <cx:parentLabelLayout val="overlapping"/>
          </cx:layoutPr>
        </cx:series>
      </cx:plotAreaRegion>
    </cx:plotArea>
  </cx:chart>
  <cx:spPr>
    <a:ln>
      <a:noFill/>
    </a:ln>
  </cx:spPr>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 1'!$A$21:$A$28</cx:f>
        <cx:lvl ptCount="8">
          <cx:pt idx="0">ACT 4%</cx:pt>
          <cx:pt idx="1">NSW 18%</cx:pt>
          <cx:pt idx="2">NT 0%</cx:pt>
          <cx:pt idx="3">QLD 20%</cx:pt>
          <cx:pt idx="4">SA 2%</cx:pt>
          <cx:pt idx="5">TAS 0%</cx:pt>
          <cx:pt idx="6">VIC 31%</cx:pt>
          <cx:pt idx="7">WA 25%</cx:pt>
        </cx:lvl>
      </cx:strDim>
      <cx:numDim type="size">
        <cx:f>'Figure 1'!$C$21:$C$28</cx:f>
        <cx:lvl ptCount="8" formatCode="0">
          <cx:pt idx="0">3.6299999999999999</cx:pt>
          <cx:pt idx="1">18.219999999999999</cx:pt>
          <cx:pt idx="2">0</cx:pt>
          <cx:pt idx="3">20.390000000000001</cx:pt>
          <cx:pt idx="4">1.77</cx:pt>
          <cx:pt idx="5">0</cx:pt>
          <cx:pt idx="6">31.199999999999999</cx:pt>
          <cx:pt idx="7">24.789999999999999</cx:pt>
        </cx:lvl>
      </cx:numDim>
    </cx:data>
  </cx:chartData>
  <cx:chart>
    <cx:plotArea>
      <cx:plotAreaRegion>
        <cx:series layoutId="treemap" uniqueId="{4B68BD93-8EB2-4EF5-AA10-9FA2A2581CAA}">
          <cx:dataPt idx="0">
            <cx:spPr>
              <a:solidFill>
                <a:srgbClr val="902A26"/>
              </a:solidFill>
            </cx:spPr>
          </cx:dataPt>
          <cx:dataPt idx="1">
            <cx:spPr>
              <a:solidFill>
                <a:srgbClr val="000000"/>
              </a:solidFill>
            </cx:spPr>
          </cx:dataPt>
          <cx:dataPt idx="3">
            <cx:spPr>
              <a:solidFill>
                <a:srgbClr val="7A98CE"/>
              </a:solidFill>
            </cx:spPr>
          </cx:dataPt>
          <cx:dataPt idx="4">
            <cx:spPr>
              <a:solidFill>
                <a:srgbClr val="48607B"/>
              </a:solidFill>
            </cx:spPr>
          </cx:dataPt>
          <cx:dataPt idx="6">
            <cx:spPr>
              <a:solidFill>
                <a:srgbClr val="902A26"/>
              </a:solidFill>
            </cx:spPr>
          </cx:dataPt>
          <cx:dataPt idx="7">
            <cx:spPr>
              <a:solidFill>
                <a:srgbClr val="48607B"/>
              </a:solidFill>
            </cx:spPr>
          </cx:dataPt>
          <cx:dataLabels pos="inEnd">
            <cx:txPr>
              <a:bodyPr spcFirstLastPara="1" vertOverflow="ellipsis" horzOverflow="overflow" wrap="square" lIns="0" tIns="0" rIns="0" bIns="0" anchor="ctr" anchorCtr="1"/>
              <a:lstStyle/>
              <a:p>
                <a:pPr algn="ctr" rtl="0">
                  <a:defRPr sz="700"/>
                </a:pPr>
                <a:endParaRPr lang="en-US" sz="700" b="0" i="0" u="none" strike="noStrike" baseline="0">
                  <a:solidFill>
                    <a:sysClr val="window" lastClr="FFFFFF"/>
                  </a:solidFill>
                  <a:latin typeface="Calibri"/>
                </a:endParaRPr>
              </a:p>
            </cx:txPr>
            <cx:visibility seriesName="0" categoryName="1" value="0"/>
          </cx:dataLabels>
          <cx:dataId val="0"/>
          <cx:layoutPr>
            <cx:parentLabelLayout val="overlapping"/>
          </cx:layoutPr>
        </cx:series>
      </cx:plotAreaRegion>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679D2EE-C155-46EA-B3BA-FB271A0D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t0TG1T2Q.DOTX</Template>
  <TotalTime>94</TotalTime>
  <Pages>23</Pages>
  <Words>5592</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about the MRFF - 2021 Early to Mid-Career Researchers Grant Opportunity Outcomes</dc:title>
  <dc:creator>Australian Government Department of Health and Aged Care</dc:creator>
  <cp:keywords>Medical Research Future Fund"; MRFF; EMCR</cp:keywords>
  <cp:lastModifiedBy>REID, Jane</cp:lastModifiedBy>
  <cp:revision>5</cp:revision>
  <dcterms:created xsi:type="dcterms:W3CDTF">2023-03-31T07:34:00Z</dcterms:created>
  <dcterms:modified xsi:type="dcterms:W3CDTF">2023-04-03T02:07:00Z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y fmtid="{D5CDD505-2E9C-101B-9397-08002B2CF9AE}" pid="5" name="MSIP_Label_9a5e7792-7543-4db2-bcc9-9caeff0b8eb1_Enabled">
    <vt:lpwstr>true</vt:lpwstr>
  </property>
  <property fmtid="{D5CDD505-2E9C-101B-9397-08002B2CF9AE}" pid="6" name="MSIP_Label_9a5e7792-7543-4db2-bcc9-9caeff0b8eb1_SetDate">
    <vt:lpwstr>2023-03-26T00:45:17Z</vt:lpwstr>
  </property>
  <property fmtid="{D5CDD505-2E9C-101B-9397-08002B2CF9AE}" pid="7" name="MSIP_Label_9a5e7792-7543-4db2-bcc9-9caeff0b8eb1_Method">
    <vt:lpwstr>Privileged</vt:lpwstr>
  </property>
  <property fmtid="{D5CDD505-2E9C-101B-9397-08002B2CF9AE}" pid="8" name="MSIP_Label_9a5e7792-7543-4db2-bcc9-9caeff0b8eb1_Name">
    <vt:lpwstr>OFFICIAL</vt:lpwstr>
  </property>
  <property fmtid="{D5CDD505-2E9C-101B-9397-08002B2CF9AE}" pid="9" name="MSIP_Label_9a5e7792-7543-4db2-bcc9-9caeff0b8eb1_SiteId">
    <vt:lpwstr>402fca06-dc9c-412f-9bf9-1a335a4671f7</vt:lpwstr>
  </property>
  <property fmtid="{D5CDD505-2E9C-101B-9397-08002B2CF9AE}" pid="10" name="MSIP_Label_9a5e7792-7543-4db2-bcc9-9caeff0b8eb1_ActionId">
    <vt:lpwstr>68e24ece-3147-475f-9dac-59f971ffe450</vt:lpwstr>
  </property>
  <property fmtid="{D5CDD505-2E9C-101B-9397-08002B2CF9AE}" pid="11" name="MSIP_Label_9a5e7792-7543-4db2-bcc9-9caeff0b8eb1_ContentBits">
    <vt:lpwstr>0</vt:lpwstr>
  </property>
</Properties>
</file>