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99B09C" w14:textId="6D822FE8" w:rsidR="00A71515" w:rsidRPr="0016493D" w:rsidRDefault="00A71515" w:rsidP="0016493D">
      <w:pPr>
        <w:jc w:val="center"/>
      </w:pPr>
      <w:r w:rsidRPr="0016493D">
        <w:drawing>
          <wp:inline distT="0" distB="0" distL="0" distR="0" wp14:anchorId="15694599" wp14:editId="7C865C7F">
            <wp:extent cx="1016000" cy="1028700"/>
            <wp:effectExtent l="0" t="0" r="0" b="12700"/>
            <wp:docPr id="2" name="Picture 1" descr="Logo - The University of Melbour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Logo - The University of Melbourne"/>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016000" cy="1028700"/>
                    </a:xfrm>
                    <a:prstGeom prst="rect">
                      <a:avLst/>
                    </a:prstGeom>
                    <a:noFill/>
                    <a:ln>
                      <a:noFill/>
                    </a:ln>
                  </pic:spPr>
                </pic:pic>
              </a:graphicData>
            </a:graphic>
          </wp:inline>
        </w:drawing>
      </w:r>
    </w:p>
    <w:p w14:paraId="4D72B5AC" w14:textId="03772B75" w:rsidR="004B7D23" w:rsidRPr="00A04624" w:rsidRDefault="004B7D23" w:rsidP="00851983">
      <w:pPr>
        <w:pStyle w:val="Title"/>
        <w:spacing w:before="4400"/>
        <w:rPr>
          <w:color w:val="2F5496" w:themeColor="accent1" w:themeShade="BF"/>
          <w:sz w:val="60"/>
          <w:szCs w:val="60"/>
        </w:rPr>
      </w:pPr>
      <w:r w:rsidRPr="00A04624">
        <w:rPr>
          <w:color w:val="2F5496" w:themeColor="accent1" w:themeShade="BF"/>
          <w:sz w:val="60"/>
          <w:szCs w:val="60"/>
        </w:rPr>
        <w:t>Evaluation of Better Access</w:t>
      </w:r>
    </w:p>
    <w:p w14:paraId="782FA6B1" w14:textId="6E5F8B44" w:rsidR="00A71515" w:rsidRPr="00A04624" w:rsidRDefault="00DA582E" w:rsidP="0016493D">
      <w:pPr>
        <w:pStyle w:val="Subtitle"/>
      </w:pPr>
      <w:r w:rsidRPr="00A04624">
        <w:t>CONCLUSIONS AND RECOMMENDATIONS</w:t>
      </w:r>
    </w:p>
    <w:p w14:paraId="44CBAD08" w14:textId="552A4ACA" w:rsidR="00F72A26" w:rsidRPr="0002386E" w:rsidRDefault="003B0027" w:rsidP="0016493D">
      <w:pPr>
        <w:pStyle w:val="Coverpage"/>
      </w:pPr>
      <w:r w:rsidRPr="0002386E">
        <w:t xml:space="preserve">Jane </w:t>
      </w:r>
      <w:proofErr w:type="spellStart"/>
      <w:r w:rsidRPr="0002386E">
        <w:t>Pirkis</w:t>
      </w:r>
      <w:proofErr w:type="spellEnd"/>
      <w:r w:rsidRPr="0002386E">
        <w:t xml:space="preserve">, </w:t>
      </w:r>
      <w:r w:rsidR="005917D1" w:rsidRPr="0002386E">
        <w:t xml:space="preserve">Dianne Currier, </w:t>
      </w:r>
      <w:r w:rsidRPr="0002386E">
        <w:t xml:space="preserve">Meredith Harris, Cathy </w:t>
      </w:r>
      <w:proofErr w:type="spellStart"/>
      <w:r w:rsidRPr="0002386E">
        <w:t>Mihalopoulos</w:t>
      </w:r>
      <w:proofErr w:type="spellEnd"/>
    </w:p>
    <w:p w14:paraId="16103058" w14:textId="2694117B" w:rsidR="00586B4E" w:rsidRPr="0002386E" w:rsidRDefault="00586B4E" w:rsidP="0016493D">
      <w:pPr>
        <w:pStyle w:val="Coverpage"/>
      </w:pPr>
      <w:r w:rsidRPr="0002386E">
        <w:t xml:space="preserve">Vikas Arya, Michelle Banfield, Bridget </w:t>
      </w:r>
      <w:proofErr w:type="spellStart"/>
      <w:r w:rsidRPr="0002386E">
        <w:t>Bassilios</w:t>
      </w:r>
      <w:proofErr w:type="spellEnd"/>
      <w:r w:rsidRPr="0002386E">
        <w:t xml:space="preserve">, Ben Buchanan, Peter Butterworth, Lisa Brophy, Philip Burgess, Mary Lou Chatterton, Miranda </w:t>
      </w:r>
      <w:proofErr w:type="spellStart"/>
      <w:r w:rsidRPr="0002386E">
        <w:t>Chilver</w:t>
      </w:r>
      <w:proofErr w:type="spellEnd"/>
      <w:r w:rsidRPr="0002386E">
        <w:t xml:space="preserve">, Kathy Eagar, Jan Faller, Ellie </w:t>
      </w:r>
      <w:proofErr w:type="spellStart"/>
      <w:r w:rsidRPr="0002386E">
        <w:t>Fossey</w:t>
      </w:r>
      <w:proofErr w:type="spellEnd"/>
      <w:r w:rsidRPr="0002386E">
        <w:t xml:space="preserve">, Maria </w:t>
      </w:r>
      <w:proofErr w:type="spellStart"/>
      <w:r w:rsidRPr="0002386E">
        <w:t>Ftanou</w:t>
      </w:r>
      <w:proofErr w:type="spellEnd"/>
      <w:r w:rsidRPr="0002386E">
        <w:t xml:space="preserve">, Jane Gunn, Ariel Kruger, Long Le, Danielle Newton, Leo Roberts, Katrina </w:t>
      </w:r>
      <w:proofErr w:type="spellStart"/>
      <w:r w:rsidRPr="0002386E">
        <w:t>Scurrah</w:t>
      </w:r>
      <w:proofErr w:type="spellEnd"/>
      <w:r w:rsidRPr="0002386E">
        <w:t xml:space="preserve">, Roman </w:t>
      </w:r>
      <w:proofErr w:type="spellStart"/>
      <w:r w:rsidRPr="0002386E">
        <w:t>Scheurer</w:t>
      </w:r>
      <w:proofErr w:type="spellEnd"/>
      <w:r w:rsidRPr="0002386E">
        <w:t xml:space="preserve">, Matthew </w:t>
      </w:r>
      <w:proofErr w:type="spellStart"/>
      <w:r w:rsidRPr="0002386E">
        <w:t>Spittal</w:t>
      </w:r>
      <w:proofErr w:type="spellEnd"/>
      <w:r w:rsidRPr="0002386E">
        <w:t xml:space="preserve">, Caley </w:t>
      </w:r>
      <w:proofErr w:type="spellStart"/>
      <w:r w:rsidRPr="0002386E">
        <w:t>Tapp</w:t>
      </w:r>
      <w:proofErr w:type="spellEnd"/>
      <w:r w:rsidRPr="0002386E">
        <w:t>, Tim van Gelder, Michelle Williamson</w:t>
      </w:r>
    </w:p>
    <w:p w14:paraId="51F716D3" w14:textId="46E0CF5D" w:rsidR="007616FF" w:rsidRPr="0002386E" w:rsidRDefault="00E70075" w:rsidP="0016493D">
      <w:pPr>
        <w:pStyle w:val="Subtitle"/>
        <w:sectPr w:rsidR="007616FF" w:rsidRPr="0002386E" w:rsidSect="007616FF">
          <w:footerReference w:type="default" r:id="rId12"/>
          <w:footnotePr>
            <w:numFmt w:val="lowerLetter"/>
          </w:footnotePr>
          <w:type w:val="continuous"/>
          <w:pgSz w:w="11906" w:h="16838"/>
          <w:pgMar w:top="1440" w:right="1440" w:bottom="1440" w:left="1440" w:header="708" w:footer="717" w:gutter="0"/>
          <w:pgNumType w:start="0"/>
          <w:cols w:space="708"/>
          <w:docGrid w:linePitch="360"/>
        </w:sectPr>
      </w:pPr>
      <w:r>
        <w:t>8</w:t>
      </w:r>
      <w:r w:rsidR="00586B4E" w:rsidRPr="0002386E">
        <w:t xml:space="preserve"> December</w:t>
      </w:r>
      <w:r w:rsidR="002D474B" w:rsidRPr="0002386E">
        <w:t xml:space="preserve"> </w:t>
      </w:r>
      <w:r w:rsidR="00C45037" w:rsidRPr="0002386E">
        <w:t>2022</w:t>
      </w:r>
    </w:p>
    <w:p w14:paraId="20CA1127" w14:textId="0EFB14A9" w:rsidR="00A01898" w:rsidRPr="00CC5EB2" w:rsidRDefault="00A01898" w:rsidP="0016493D">
      <w:pPr>
        <w:pStyle w:val="Heading1"/>
      </w:pPr>
      <w:bookmarkStart w:id="0" w:name="_Toc119512915"/>
      <w:bookmarkStart w:id="1" w:name="_Hlk119497932"/>
      <w:bookmarkStart w:id="2" w:name="_Toc119512912"/>
      <w:r w:rsidRPr="00CC5EB2">
        <w:lastRenderedPageBreak/>
        <w:t>Conclusions and recommendations</w:t>
      </w:r>
      <w:bookmarkEnd w:id="2"/>
    </w:p>
    <w:p w14:paraId="520DF1B1" w14:textId="2FF2DAC2" w:rsidR="00A01898" w:rsidRPr="00CC5EB2" w:rsidRDefault="00A01898" w:rsidP="00DD6C49">
      <w:pPr>
        <w:spacing w:before="120" w:after="120" w:line="259" w:lineRule="auto"/>
      </w:pPr>
      <w:r w:rsidRPr="00CC5EB2">
        <w:t xml:space="preserve">This </w:t>
      </w:r>
      <w:r w:rsidR="00DA582E">
        <w:t xml:space="preserve">report </w:t>
      </w:r>
      <w:r w:rsidRPr="00CC5EB2">
        <w:t xml:space="preserve">provides a summary of the key findings from the evaluation </w:t>
      </w:r>
      <w:r w:rsidR="00352DAE">
        <w:t xml:space="preserve">of Better Access </w:t>
      </w:r>
      <w:r w:rsidRPr="00CC5EB2">
        <w:t xml:space="preserve">and draws some broad conclusions. It then provides some interpretation of these findings, considering what they mean for Better Access in the context of the broader mental health system. It then shifts focus to specific issues raised by the evaluation, making recommendations for how they might be addressed. In doing this, it </w:t>
      </w:r>
      <w:proofErr w:type="gramStart"/>
      <w:r w:rsidRPr="00CC5EB2">
        <w:t>refers back</w:t>
      </w:r>
      <w:proofErr w:type="gramEnd"/>
      <w:r w:rsidRPr="00CC5EB2">
        <w:t xml:space="preserve"> to recent relevant inquiries and reviews.</w:t>
      </w:r>
    </w:p>
    <w:p w14:paraId="5A81C418" w14:textId="77777777" w:rsidR="00A01898" w:rsidRPr="0016493D" w:rsidRDefault="00A01898" w:rsidP="0016493D">
      <w:pPr>
        <w:pStyle w:val="Heading2"/>
      </w:pPr>
      <w:bookmarkStart w:id="3" w:name="_Toc119512913"/>
      <w:r w:rsidRPr="00CC5EB2">
        <w:t>Summary and conclusions</w:t>
      </w:r>
      <w:bookmarkEnd w:id="3"/>
    </w:p>
    <w:p w14:paraId="6EB8741E" w14:textId="6E4FD299" w:rsidR="00A01898" w:rsidRPr="0002386E" w:rsidRDefault="00A01898" w:rsidP="00DD6C49">
      <w:pPr>
        <w:spacing w:before="120" w:after="120" w:line="259" w:lineRule="auto"/>
        <w:rPr>
          <w:color w:val="000000"/>
          <w:lang w:eastAsia="en-AU"/>
        </w:rPr>
      </w:pPr>
      <w:r w:rsidRPr="0002386E">
        <w:rPr>
          <w:color w:val="000000"/>
          <w:lang w:eastAsia="en-AU"/>
        </w:rPr>
        <w:t xml:space="preserve">The evaluation points to some consistent findings about Better Access in terms of outcomes and access. Those who receive treatment through Better Access tend to have positive outcomes, irrespective of how outcomes are measured. These outcomes are not related to </w:t>
      </w:r>
      <w:r>
        <w:rPr>
          <w:color w:val="000000"/>
          <w:lang w:eastAsia="en-AU"/>
        </w:rPr>
        <w:t>sociodemographic</w:t>
      </w:r>
      <w:r w:rsidRPr="0002386E">
        <w:rPr>
          <w:color w:val="000000"/>
          <w:lang w:eastAsia="en-AU"/>
        </w:rPr>
        <w:t xml:space="preserve"> factors like where people live or how much money they earn, which is positive. Instead, they appear to be associated with levels of need, with those who receive care when they are experiencing</w:t>
      </w:r>
      <w:r w:rsidRPr="0002386E">
        <w:rPr>
          <w:rFonts w:asciiTheme="minorHAnsi" w:hAnsiTheme="minorHAnsi" w:cstheme="minorHAnsi"/>
        </w:rPr>
        <w:t xml:space="preserve"> relatively severe </w:t>
      </w:r>
      <w:r>
        <w:rPr>
          <w:rFonts w:asciiTheme="minorHAnsi" w:hAnsiTheme="minorHAnsi" w:cstheme="minorHAnsi"/>
        </w:rPr>
        <w:t xml:space="preserve">symptoms of </w:t>
      </w:r>
      <w:r w:rsidRPr="0002386E">
        <w:rPr>
          <w:rFonts w:asciiTheme="minorHAnsi" w:hAnsiTheme="minorHAnsi" w:cstheme="minorHAnsi"/>
        </w:rPr>
        <w:t>depression</w:t>
      </w:r>
      <w:r>
        <w:rPr>
          <w:rFonts w:asciiTheme="minorHAnsi" w:hAnsiTheme="minorHAnsi" w:cstheme="minorHAnsi"/>
        </w:rPr>
        <w:t xml:space="preserve"> or anxiety, high levels of </w:t>
      </w:r>
      <w:r w:rsidRPr="0002386E">
        <w:rPr>
          <w:rFonts w:asciiTheme="minorHAnsi" w:hAnsiTheme="minorHAnsi" w:cstheme="minorHAnsi"/>
        </w:rPr>
        <w:t>psychological distress</w:t>
      </w:r>
      <w:r>
        <w:rPr>
          <w:rFonts w:asciiTheme="minorHAnsi" w:hAnsiTheme="minorHAnsi" w:cstheme="minorHAnsi"/>
        </w:rPr>
        <w:t>, low levels of functioning and/or poor quality of life</w:t>
      </w:r>
      <w:r w:rsidRPr="0002386E">
        <w:rPr>
          <w:rFonts w:asciiTheme="minorHAnsi" w:hAnsiTheme="minorHAnsi" w:cstheme="minorHAnsi"/>
        </w:rPr>
        <w:t xml:space="preserve"> showing the greatest levels of improvement over episodes of Better Access care. There are also indications that a relatively greater number of sessions may lead to better outcomes, but this is not quite so clear-cut.</w:t>
      </w:r>
      <w:r w:rsidRPr="0002386E">
        <w:rPr>
          <w:rStyle w:val="FootnoteReference"/>
          <w:rFonts w:asciiTheme="minorHAnsi" w:hAnsiTheme="minorHAnsi"/>
        </w:rPr>
        <w:footnoteReference w:id="1"/>
      </w:r>
      <w:r w:rsidRPr="0002386E">
        <w:rPr>
          <w:rFonts w:asciiTheme="minorHAnsi" w:hAnsiTheme="minorHAnsi" w:cstheme="minorHAnsi"/>
        </w:rPr>
        <w:t xml:space="preserve"> </w:t>
      </w:r>
    </w:p>
    <w:p w14:paraId="2EFF8DC0" w14:textId="358DBF40" w:rsidR="00A01898" w:rsidRPr="0002386E" w:rsidRDefault="00A01898" w:rsidP="00DD6C49">
      <w:pPr>
        <w:spacing w:before="120" w:after="120" w:line="259" w:lineRule="auto"/>
        <w:rPr>
          <w:color w:val="000000"/>
          <w:lang w:eastAsia="en-AU"/>
        </w:rPr>
      </w:pPr>
      <w:r w:rsidRPr="0002386E">
        <w:rPr>
          <w:color w:val="000000"/>
          <w:lang w:eastAsia="en-AU"/>
        </w:rPr>
        <w:t>The findings with respect to access are somewhat less positive. The reach of Better Access has continued to expand, with more than 10% of the Australian population receiving any Better Access service in 2021 and around 5% receiving at least one session of psychological treatment through the program. This should be considered in the context of 21% of the adult population experiencing a mental disorder in 2021.</w:t>
      </w:r>
      <w:r w:rsidRPr="0002386E">
        <w:rPr>
          <w:color w:val="000000"/>
          <w:lang w:eastAsia="en-AU"/>
        </w:rPr>
        <w:fldChar w:fldCharType="begin"/>
      </w:r>
      <w:r>
        <w:rPr>
          <w:color w:val="000000"/>
          <w:lang w:eastAsia="en-AU"/>
        </w:rPr>
        <w:instrText xml:space="preserve"> ADDIN EN.CITE &lt;EndNote&gt;&lt;Cite&gt;&lt;Author&gt;Australian Bureau of Statistics&lt;/Author&gt;&lt;Year&gt;2022&lt;/Year&gt;&lt;RecNum&gt;1240&lt;/RecNum&gt;&lt;DisplayText&gt;&lt;style face="superscript"&gt;1&lt;/style&gt;&lt;/DisplayText&gt;&lt;record&gt;&lt;rec-number&gt;1240&lt;/rec-number&gt;&lt;foreign-keys&gt;&lt;key app="EN" db-id="aepeer0xlwrzpbef0r45aps5xe0r0zpsv59d" timestamp="1668291326"&gt;1240&lt;/key&gt;&lt;/foreign-keys&gt;&lt;ref-type name="Web Page"&gt;12&lt;/ref-type&gt;&lt;contributors&gt;&lt;authors&gt;&lt;author&gt;Australian Bureau of Statistics,&lt;/author&gt;&lt;/authors&gt;&lt;/contributors&gt;&lt;titles&gt;&lt;title&gt;National Study of Mental Health and Wellbeing&lt;/title&gt;&lt;/titles&gt;&lt;number&gt;13 November 2022)&lt;/number&gt;&lt;dates&gt;&lt;year&gt;2022&lt;/year&gt;&lt;/dates&gt;&lt;urls&gt;&lt;related-urls&gt;&lt;url&gt;https://www.abs.gov.au/statistics/health/mental-health/national-study-mental-health-and-wellbeing/latest-release&lt;/url&gt;&lt;/related-urls&gt;&lt;/urls&gt;&lt;/record&gt;&lt;/Cite&gt;&lt;/EndNote&gt;</w:instrText>
      </w:r>
      <w:r w:rsidRPr="0002386E">
        <w:rPr>
          <w:color w:val="000000"/>
          <w:lang w:eastAsia="en-AU"/>
        </w:rPr>
        <w:fldChar w:fldCharType="separate"/>
      </w:r>
      <w:r w:rsidRPr="000D1467">
        <w:rPr>
          <w:noProof/>
          <w:color w:val="000000"/>
          <w:vertAlign w:val="superscript"/>
          <w:lang w:eastAsia="en-AU"/>
        </w:rPr>
        <w:t>1</w:t>
      </w:r>
      <w:r w:rsidRPr="0002386E">
        <w:rPr>
          <w:color w:val="000000"/>
          <w:lang w:eastAsia="en-AU"/>
        </w:rPr>
        <w:fldChar w:fldCharType="end"/>
      </w:r>
      <w:r w:rsidRPr="0002386E">
        <w:rPr>
          <w:color w:val="000000"/>
          <w:lang w:eastAsia="en-AU"/>
        </w:rPr>
        <w:t xml:space="preserve"> Not all of these people would have needed formal care, and some may have sought care through other avenues, but there are certainly people who would benefit from Better Access who are not accessing it. At the same time, Better Access appears to be providing services to some people with relatively low levels of need who could potentially be helped by information or support through other means.</w:t>
      </w:r>
    </w:p>
    <w:p w14:paraId="680BB386" w14:textId="19EECF85" w:rsidR="00A01898" w:rsidRPr="0002386E" w:rsidRDefault="00A01898" w:rsidP="00DD6C49">
      <w:pPr>
        <w:spacing w:before="120" w:after="120" w:line="259" w:lineRule="auto"/>
      </w:pPr>
      <w:r w:rsidRPr="0002386E">
        <w:rPr>
          <w:color w:val="000000"/>
          <w:lang w:eastAsia="en-AU"/>
        </w:rPr>
        <w:t xml:space="preserve">The evaluation suggests that </w:t>
      </w:r>
      <w:proofErr w:type="gramStart"/>
      <w:r w:rsidRPr="0002386E">
        <w:rPr>
          <w:color w:val="000000"/>
          <w:lang w:eastAsia="en-AU"/>
        </w:rPr>
        <w:t>particular groups</w:t>
      </w:r>
      <w:proofErr w:type="gramEnd"/>
      <w:r w:rsidRPr="0002386E">
        <w:rPr>
          <w:color w:val="000000"/>
          <w:lang w:eastAsia="en-AU"/>
        </w:rPr>
        <w:t xml:space="preserve"> are differentially affected by issues of access. Better Access is certainly serving some groups better than others, and these gaps are widening. Of most concern, increases in utilisation over time disproportionately favour people on relatively higher incomes in major cities. Affordability was consistently raised as an issue by </w:t>
      </w:r>
      <w:r>
        <w:rPr>
          <w:color w:val="000000"/>
          <w:lang w:eastAsia="en-AU"/>
        </w:rPr>
        <w:t xml:space="preserve">the </w:t>
      </w:r>
      <w:r w:rsidRPr="0002386E">
        <w:t>consumers and providers who contributed to the various studies in the evaluation. In 2021, 65% of Better Access treatment services attracted a co-payment compared with 53% in 2018. The median co-payment for these services was relatively stable at around $74 per session between 2018 and 2021 but increased significantly in the first half of 2022 to $90.</w:t>
      </w:r>
    </w:p>
    <w:p w14:paraId="41DC3301" w14:textId="3298EEAB" w:rsidR="00A01898" w:rsidRPr="0016493D" w:rsidRDefault="00A01898" w:rsidP="0016493D">
      <w:pPr>
        <w:spacing w:before="120" w:after="120" w:line="259" w:lineRule="auto"/>
      </w:pPr>
      <w:r w:rsidRPr="0002386E">
        <w:rPr>
          <w:color w:val="000000"/>
          <w:lang w:eastAsia="en-AU"/>
        </w:rPr>
        <w:t>Moving forward, it will be important to maintain positive outcomes for those who use Better Access while increasing access for those who are currently missing out. Improved targeting of the program will be important here, as will consideration of how Better Access interfaces with other elements of the mental health system. Maximising the affordability of the program to reduce inequities will also be critical.</w:t>
      </w:r>
      <w:bookmarkStart w:id="4" w:name="_Toc119512914"/>
      <w:r w:rsidRPr="0016493D">
        <w:br w:type="page"/>
      </w:r>
    </w:p>
    <w:p w14:paraId="379D8375" w14:textId="77777777" w:rsidR="00A01898" w:rsidRPr="00CC5EB2" w:rsidRDefault="00A01898" w:rsidP="0016493D">
      <w:pPr>
        <w:pStyle w:val="Heading2"/>
      </w:pPr>
      <w:r w:rsidRPr="00CC5EB2">
        <w:lastRenderedPageBreak/>
        <w:t>Better Access in the context of the broader mental health system</w:t>
      </w:r>
      <w:bookmarkEnd w:id="4"/>
    </w:p>
    <w:p w14:paraId="27606A2C" w14:textId="77777777" w:rsidR="00A01898" w:rsidRPr="00CC5EB2" w:rsidRDefault="00A01898" w:rsidP="00DD6C49">
      <w:pPr>
        <w:autoSpaceDE w:val="0"/>
        <w:autoSpaceDN w:val="0"/>
        <w:adjustRightInd w:val="0"/>
        <w:spacing w:before="120" w:after="120" w:line="259" w:lineRule="auto"/>
      </w:pPr>
      <w:r w:rsidRPr="00CC5EB2">
        <w:t>Better Access is one element in the broader system of mental health care, representing a significant investment by the Australian Government. It is complemented by a range of other Australian Government-funded services (e.g., mental health services commissioned by Primary Health Networks [PHNs]; headspace services). Better Access also sits alongside public hospital and community mental health services funded by state/territory governments. Private hospitals also form part of the mix.</w:t>
      </w:r>
    </w:p>
    <w:p w14:paraId="7E6B8BB3" w14:textId="77777777" w:rsidR="00A01898" w:rsidRPr="00CC5EB2" w:rsidRDefault="00A01898" w:rsidP="00DD6C49">
      <w:pPr>
        <w:spacing w:before="120" w:after="120" w:line="259" w:lineRule="auto"/>
        <w:rPr>
          <w:color w:val="000000"/>
          <w:lang w:eastAsia="en-AU"/>
        </w:rPr>
      </w:pPr>
      <w:r w:rsidRPr="00CC5EB2">
        <w:t xml:space="preserve">In this context, Better Access was originally designed to </w:t>
      </w:r>
      <w:r w:rsidRPr="00CC5EB2">
        <w:rPr>
          <w:color w:val="000000"/>
          <w:lang w:eastAsia="en-AU"/>
        </w:rPr>
        <w:t>improve clinical treatment and management for people who have mild to moderate mental health conditions, for whom short-term evidence-based interventions are most likely to be useful.</w:t>
      </w:r>
      <w:r w:rsidRPr="00CC5EB2">
        <w:rPr>
          <w:color w:val="000000"/>
          <w:lang w:eastAsia="en-AU"/>
        </w:rPr>
        <w:fldChar w:fldCharType="begin"/>
      </w:r>
      <w:r w:rsidRPr="00CC5EB2">
        <w:rPr>
          <w:color w:val="000000"/>
          <w:lang w:eastAsia="en-AU"/>
        </w:rPr>
        <w:instrText xml:space="preserve"> ADDIN EN.CITE &lt;EndNote&gt;&lt;Cite&gt;&lt;Author&gt;Australian Government Department of Health&lt;/Author&gt;&lt;Year&gt;2021&lt;/Year&gt;&lt;RecNum&gt;1178&lt;/RecNum&gt;&lt;DisplayText&gt;&lt;style face="superscript"&gt;2&lt;/style&gt;&lt;/DisplayText&gt;&lt;record&gt;&lt;rec-number&gt;1178&lt;/rec-number&gt;&lt;foreign-keys&gt;&lt;key app="EN" db-id="aepeer0xlwrzpbef0r45aps5xe0r0zpsv59d" timestamp="1651823678"&gt;1178&lt;/key&gt;&lt;/foreign-keys&gt;&lt;ref-type name="Web Page"&gt;12&lt;/ref-type&gt;&lt;contributors&gt;&lt;authors&gt;&lt;author&gt;Australian Government Department of Health,&lt;/author&gt;&lt;/authors&gt;&lt;/contributors&gt;&lt;titles&gt;&lt;/titles&gt;&lt;number&gt;26 June 2021)&lt;/number&gt;&lt;dates&gt;&lt;year&gt;2021&lt;/year&gt;&lt;/dates&gt;&lt;urls&gt;&lt;related-urls&gt;&lt;url&gt;https://www.health.gov.au/initiatives-and-programs/better-access-initiative#about-the-better-access-initiative&lt;/url&gt;&lt;/related-urls&gt;&lt;/urls&gt;&lt;/record&gt;&lt;/Cite&gt;&lt;/EndNote&gt;</w:instrText>
      </w:r>
      <w:r w:rsidRPr="00CC5EB2">
        <w:rPr>
          <w:color w:val="000000"/>
          <w:lang w:eastAsia="en-AU"/>
        </w:rPr>
        <w:fldChar w:fldCharType="separate"/>
      </w:r>
      <w:r w:rsidRPr="00CC5EB2">
        <w:rPr>
          <w:noProof/>
          <w:color w:val="000000"/>
          <w:vertAlign w:val="superscript"/>
          <w:lang w:eastAsia="en-AU"/>
        </w:rPr>
        <w:t>2</w:t>
      </w:r>
      <w:r w:rsidRPr="00CC5EB2">
        <w:rPr>
          <w:color w:val="000000"/>
          <w:lang w:eastAsia="en-AU"/>
        </w:rPr>
        <w:fldChar w:fldCharType="end"/>
      </w:r>
      <w:r w:rsidRPr="00CC5EB2">
        <w:rPr>
          <w:color w:val="000000"/>
          <w:lang w:eastAsia="en-AU"/>
        </w:rPr>
        <w:t xml:space="preserve"> This is still its stated aim but the evaluation has shown it is not only serving this group but also people with more complex needs – the so-called the “missing middle” – who may require more treatment and support than is available through 10 or even 20 Better Access sessions, but who are </w:t>
      </w:r>
      <w:r w:rsidRPr="00CC5EB2">
        <w:t xml:space="preserve">unlikely to be seen by state/territory-funded mental health services (which are at capacity and serving consumers with the greatest levels of symptom severity and the highest levels of risk) </w:t>
      </w:r>
      <w:r w:rsidRPr="00CC5EB2">
        <w:rPr>
          <w:color w:val="000000"/>
          <w:lang w:eastAsia="en-AU"/>
        </w:rPr>
        <w:t>and may not be able to afford private sector options.</w:t>
      </w:r>
      <w:r w:rsidRPr="00CC5EB2">
        <w:rPr>
          <w:color w:val="000000"/>
          <w:lang w:eastAsia="en-AU"/>
        </w:rPr>
        <w:fldChar w:fldCharType="begin"/>
      </w:r>
      <w:r w:rsidRPr="00CC5EB2">
        <w:rPr>
          <w:color w:val="000000"/>
          <w:lang w:eastAsia="en-AU"/>
        </w:rPr>
        <w:instrText xml:space="preserve"> ADDIN EN.CITE &lt;EndNote&gt;&lt;Cite&gt;&lt;Author&gt;Productivity Commission&lt;/Author&gt;&lt;Year&gt;2020&lt;/Year&gt;&lt;RecNum&gt;1182&lt;/RecNum&gt;&lt;DisplayText&gt;&lt;style face="superscript"&gt;3&lt;/style&gt;&lt;/DisplayText&gt;&lt;record&gt;&lt;rec-number&gt;1182&lt;/rec-number&gt;&lt;foreign-keys&gt;&lt;key app="EN" db-id="aepeer0xlwrzpbef0r45aps5xe0r0zpsv59d" timestamp="1651823679"&gt;1182&lt;/key&gt;&lt;/foreign-keys&gt;&lt;ref-type name="Report"&gt;27&lt;/ref-type&gt;&lt;contributors&gt;&lt;authors&gt;&lt;author&gt;Productivity Commission,&lt;/author&gt;&lt;/authors&gt;&lt;/contributors&gt;&lt;titles&gt;&lt;title&gt;Mental Health, Report No. 95&lt;/title&gt;&lt;/titles&gt;&lt;dates&gt;&lt;year&gt;2020&lt;/year&gt;&lt;/dates&gt;&lt;pub-location&gt;Canberra&lt;/pub-location&gt;&lt;publisher&gt;Productivity Commission&lt;/publisher&gt;&lt;urls&gt;&lt;/urls&gt;&lt;/record&gt;&lt;/Cite&gt;&lt;/EndNote&gt;</w:instrText>
      </w:r>
      <w:r w:rsidRPr="00CC5EB2">
        <w:rPr>
          <w:color w:val="000000"/>
          <w:lang w:eastAsia="en-AU"/>
        </w:rPr>
        <w:fldChar w:fldCharType="separate"/>
      </w:r>
      <w:r w:rsidRPr="00CC5EB2">
        <w:rPr>
          <w:noProof/>
          <w:color w:val="000000"/>
          <w:vertAlign w:val="superscript"/>
          <w:lang w:eastAsia="en-AU"/>
        </w:rPr>
        <w:t>3</w:t>
      </w:r>
      <w:r w:rsidRPr="00CC5EB2">
        <w:rPr>
          <w:color w:val="000000"/>
          <w:lang w:eastAsia="en-AU"/>
        </w:rPr>
        <w:fldChar w:fldCharType="end"/>
      </w:r>
      <w:r w:rsidRPr="00CC5EB2">
        <w:rPr>
          <w:color w:val="000000"/>
          <w:lang w:eastAsia="en-AU"/>
        </w:rPr>
        <w:t xml:space="preserve"> It is also providing services to those with relatively lower levels of need for whom less intensive service options (e.g., digital services) may be beneficial.</w:t>
      </w:r>
    </w:p>
    <w:p w14:paraId="3C05F49A" w14:textId="77777777" w:rsidR="00A01898" w:rsidRPr="00CC5EB2" w:rsidRDefault="00A01898" w:rsidP="00DD6C49">
      <w:pPr>
        <w:spacing w:before="120" w:after="120" w:line="259" w:lineRule="auto"/>
        <w:rPr>
          <w:color w:val="000000"/>
          <w:lang w:eastAsia="en-AU"/>
        </w:rPr>
      </w:pPr>
      <w:r w:rsidRPr="00CC5EB2">
        <w:rPr>
          <w:color w:val="000000"/>
          <w:lang w:eastAsia="en-AU"/>
        </w:rPr>
        <w:t xml:space="preserve">Consideration should be given to how best to serve the needs of these different consumer groups, and whether Better Access is the ideal avenue for all of them. It would be useful to revisit the objectives of Better Access to tailor the program towards those with mild, </w:t>
      </w:r>
      <w:proofErr w:type="gramStart"/>
      <w:r w:rsidRPr="00CC5EB2">
        <w:rPr>
          <w:color w:val="000000"/>
          <w:lang w:eastAsia="en-AU"/>
        </w:rPr>
        <w:t>moderate</w:t>
      </w:r>
      <w:proofErr w:type="gramEnd"/>
      <w:r w:rsidRPr="00CC5EB2">
        <w:rPr>
          <w:color w:val="000000"/>
          <w:lang w:eastAsia="en-AU"/>
        </w:rPr>
        <w:t xml:space="preserve"> and severe mental illness, noting that several of the studies in the evaluation indicated that the greatest gains in terms of outcomes were made for those with relatively high levels of baseline severity. People with lower levels of need might then be channelled to alternatives that do not necessarily involve psychological therapy from Better Access providers.</w:t>
      </w:r>
    </w:p>
    <w:p w14:paraId="5D22AA1B" w14:textId="77777777" w:rsidR="00A01898" w:rsidRPr="00CC5EB2" w:rsidRDefault="00A01898" w:rsidP="00DD6C49">
      <w:pPr>
        <w:spacing w:before="120" w:after="120" w:line="259" w:lineRule="auto"/>
        <w:rPr>
          <w:color w:val="000000"/>
          <w:lang w:eastAsia="en-AU"/>
        </w:rPr>
      </w:pPr>
      <w:r w:rsidRPr="00CC5EB2">
        <w:rPr>
          <w:color w:val="000000"/>
          <w:lang w:eastAsia="en-AU"/>
        </w:rPr>
        <w:t xml:space="preserve">Positioning Better Access in the context of the broader mental health system is consistent with the National Mental Health and Suicide Prevention Agreement which commits the Australian Government and all state/territory governments to </w:t>
      </w:r>
      <w:r w:rsidRPr="00CC5EB2">
        <w:rPr>
          <w:i/>
          <w:color w:val="000000"/>
          <w:lang w:eastAsia="en-AU"/>
        </w:rPr>
        <w:t>“collaborate on systemic, whole-of-government reform to deliver a comprehensive, coordinated, consumer focused and compassionate mental health and suicide prevention system to benefit all Australians.”</w:t>
      </w:r>
      <w:r w:rsidRPr="00CC5EB2">
        <w:rPr>
          <w:color w:val="000000"/>
          <w:lang w:eastAsia="en-AU"/>
        </w:rPr>
        <w:fldChar w:fldCharType="begin"/>
      </w:r>
      <w:r w:rsidRPr="00CC5EB2">
        <w:rPr>
          <w:color w:val="000000"/>
          <w:lang w:eastAsia="en-AU"/>
        </w:rPr>
        <w:instrText xml:space="preserve"> ADDIN EN.CITE &lt;EndNote&gt;&lt;Cite&gt;&lt;Author&gt;Territories&lt;/Author&gt;&lt;Year&gt;2022&lt;/Year&gt;&lt;RecNum&gt;1242&lt;/RecNum&gt;&lt;DisplayText&gt;&lt;style face="superscript"&gt;4&lt;/style&gt;&lt;/DisplayText&gt;&lt;record&gt;&lt;rec-number&gt;1242&lt;/rec-number&gt;&lt;foreign-keys&gt;&lt;key app="EN" db-id="aepeer0xlwrzpbef0r45aps5xe0r0zpsv59d" timestamp="1668327818"&gt;1242&lt;/key&gt;&lt;/foreign-keys&gt;&lt;ref-type name="Report"&gt;27&lt;/ref-type&gt;&lt;contributors&gt;&lt;authors&gt;&lt;author&gt;Commonwealth of Australia and the States and Territories&lt;/author&gt;&lt;/authors&gt;&lt;/contributors&gt;&lt;titles&gt;&lt;title&gt;National Mental Health and Suicide Prevention Agreement&lt;/title&gt;&lt;/titles&gt;&lt;dates&gt;&lt;year&gt;2022&lt;/year&gt;&lt;/dates&gt;&lt;pub-location&gt;Canberra&lt;/pub-location&gt;&lt;publisher&gt;Commonwealth of Australia&lt;/publisher&gt;&lt;urls&gt;&lt;/urls&gt;&lt;/record&gt;&lt;/Cite&gt;&lt;/EndNote&gt;</w:instrText>
      </w:r>
      <w:r w:rsidRPr="00CC5EB2">
        <w:rPr>
          <w:color w:val="000000"/>
          <w:lang w:eastAsia="en-AU"/>
        </w:rPr>
        <w:fldChar w:fldCharType="separate"/>
      </w:r>
      <w:r w:rsidRPr="00CC5EB2">
        <w:rPr>
          <w:noProof/>
          <w:color w:val="000000"/>
          <w:vertAlign w:val="superscript"/>
          <w:lang w:eastAsia="en-AU"/>
        </w:rPr>
        <w:t>4</w:t>
      </w:r>
      <w:r w:rsidRPr="00CC5EB2">
        <w:rPr>
          <w:color w:val="000000"/>
          <w:lang w:eastAsia="en-AU"/>
        </w:rPr>
        <w:fldChar w:fldCharType="end"/>
      </w:r>
      <w:r w:rsidRPr="00CC5EB2">
        <w:rPr>
          <w:color w:val="000000"/>
          <w:lang w:eastAsia="en-AU"/>
        </w:rPr>
        <w:t xml:space="preserve"> Of particular relevance, the National Agreement commits all governments to address gaps in the mental health system by reviewing existing models of care and developing new ones where necessary.</w:t>
      </w:r>
      <w:r w:rsidRPr="00CC5EB2">
        <w:rPr>
          <w:color w:val="000000"/>
          <w:lang w:eastAsia="en-AU"/>
        </w:rPr>
        <w:fldChar w:fldCharType="begin"/>
      </w:r>
      <w:r w:rsidRPr="00CC5EB2">
        <w:rPr>
          <w:color w:val="000000"/>
          <w:lang w:eastAsia="en-AU"/>
        </w:rPr>
        <w:instrText xml:space="preserve"> ADDIN EN.CITE &lt;EndNote&gt;&lt;Cite&gt;&lt;Author&gt;Territories&lt;/Author&gt;&lt;Year&gt;2022&lt;/Year&gt;&lt;RecNum&gt;1242&lt;/RecNum&gt;&lt;DisplayText&gt;&lt;style face="superscript"&gt;4&lt;/style&gt;&lt;/DisplayText&gt;&lt;record&gt;&lt;rec-number&gt;1242&lt;/rec-number&gt;&lt;foreign-keys&gt;&lt;key app="EN" db-id="aepeer0xlwrzpbef0r45aps5xe0r0zpsv59d" timestamp="1668327818"&gt;1242&lt;/key&gt;&lt;/foreign-keys&gt;&lt;ref-type name="Report"&gt;27&lt;/ref-type&gt;&lt;contributors&gt;&lt;authors&gt;&lt;author&gt;Commonwealth of Australia and the States and Territories&lt;/author&gt;&lt;/authors&gt;&lt;/contributors&gt;&lt;titles&gt;&lt;title&gt;National Mental Health and Suicide Prevention Agreement&lt;/title&gt;&lt;/titles&gt;&lt;dates&gt;&lt;year&gt;2022&lt;/year&gt;&lt;/dates&gt;&lt;pub-location&gt;Canberra&lt;/pub-location&gt;&lt;publisher&gt;Commonwealth of Australia&lt;/publisher&gt;&lt;urls&gt;&lt;/urls&gt;&lt;/record&gt;&lt;/Cite&gt;&lt;/EndNote&gt;</w:instrText>
      </w:r>
      <w:r w:rsidRPr="00CC5EB2">
        <w:rPr>
          <w:color w:val="000000"/>
          <w:lang w:eastAsia="en-AU"/>
        </w:rPr>
        <w:fldChar w:fldCharType="separate"/>
      </w:r>
      <w:r w:rsidRPr="00CC5EB2">
        <w:rPr>
          <w:noProof/>
          <w:color w:val="000000"/>
          <w:vertAlign w:val="superscript"/>
          <w:lang w:eastAsia="en-AU"/>
        </w:rPr>
        <w:t>4</w:t>
      </w:r>
      <w:r w:rsidRPr="00CC5EB2">
        <w:rPr>
          <w:color w:val="000000"/>
          <w:lang w:eastAsia="en-AU"/>
        </w:rPr>
        <w:fldChar w:fldCharType="end"/>
      </w:r>
      <w:r w:rsidRPr="00CC5EB2">
        <w:rPr>
          <w:color w:val="000000"/>
          <w:lang w:eastAsia="en-AU"/>
        </w:rPr>
        <w:t xml:space="preserve"> It also binds them jointly deliver accessible and affordable treatment, support better integration across disciplines and services, and prioritise the delivery of whole-of-person care.</w:t>
      </w:r>
      <w:r w:rsidRPr="00CC5EB2">
        <w:rPr>
          <w:color w:val="000000"/>
          <w:lang w:eastAsia="en-AU"/>
        </w:rPr>
        <w:fldChar w:fldCharType="begin"/>
      </w:r>
      <w:r w:rsidRPr="00CC5EB2">
        <w:rPr>
          <w:color w:val="000000"/>
          <w:lang w:eastAsia="en-AU"/>
        </w:rPr>
        <w:instrText xml:space="preserve"> ADDIN EN.CITE &lt;EndNote&gt;&lt;Cite&gt;&lt;Author&gt;Territories&lt;/Author&gt;&lt;Year&gt;2022&lt;/Year&gt;&lt;RecNum&gt;1242&lt;/RecNum&gt;&lt;DisplayText&gt;&lt;style face="superscript"&gt;4&lt;/style&gt;&lt;/DisplayText&gt;&lt;record&gt;&lt;rec-number&gt;1242&lt;/rec-number&gt;&lt;foreign-keys&gt;&lt;key app="EN" db-id="aepeer0xlwrzpbef0r45aps5xe0r0zpsv59d" timestamp="1668327818"&gt;1242&lt;/key&gt;&lt;/foreign-keys&gt;&lt;ref-type name="Report"&gt;27&lt;/ref-type&gt;&lt;contributors&gt;&lt;authors&gt;&lt;author&gt;Commonwealth of Australia and the States and Territories&lt;/author&gt;&lt;/authors&gt;&lt;/contributors&gt;&lt;titles&gt;&lt;title&gt;National Mental Health and Suicide Prevention Agreement&lt;/title&gt;&lt;/titles&gt;&lt;dates&gt;&lt;year&gt;2022&lt;/year&gt;&lt;/dates&gt;&lt;pub-location&gt;Canberra&lt;/pub-location&gt;&lt;publisher&gt;Commonwealth of Australia&lt;/publisher&gt;&lt;urls&gt;&lt;/urls&gt;&lt;/record&gt;&lt;/Cite&gt;&lt;/EndNote&gt;</w:instrText>
      </w:r>
      <w:r w:rsidRPr="00CC5EB2">
        <w:rPr>
          <w:color w:val="000000"/>
          <w:lang w:eastAsia="en-AU"/>
        </w:rPr>
        <w:fldChar w:fldCharType="separate"/>
      </w:r>
      <w:r w:rsidRPr="00CC5EB2">
        <w:rPr>
          <w:noProof/>
          <w:color w:val="000000"/>
          <w:vertAlign w:val="superscript"/>
          <w:lang w:eastAsia="en-AU"/>
        </w:rPr>
        <w:t>4</w:t>
      </w:r>
      <w:r w:rsidRPr="00CC5EB2">
        <w:rPr>
          <w:color w:val="000000"/>
          <w:lang w:eastAsia="en-AU"/>
        </w:rPr>
        <w:fldChar w:fldCharType="end"/>
      </w:r>
      <w:r w:rsidRPr="00CC5EB2">
        <w:rPr>
          <w:color w:val="000000"/>
          <w:lang w:eastAsia="en-AU"/>
        </w:rPr>
        <w:t xml:space="preserve"> </w:t>
      </w:r>
    </w:p>
    <w:p w14:paraId="01BB0911" w14:textId="77777777" w:rsidR="00A01898" w:rsidRPr="0016493D" w:rsidRDefault="00A01898" w:rsidP="0016493D">
      <w:pPr>
        <w:pStyle w:val="Heading2"/>
      </w:pPr>
      <w:r w:rsidRPr="00CC5EB2">
        <w:t>Recommendations</w:t>
      </w:r>
      <w:bookmarkEnd w:id="0"/>
    </w:p>
    <w:p w14:paraId="58587112" w14:textId="7EED9E32" w:rsidR="00A01898" w:rsidRPr="0016493D" w:rsidRDefault="00A01898" w:rsidP="0016493D">
      <w:pPr>
        <w:pStyle w:val="Heading3"/>
      </w:pPr>
      <w:r w:rsidRPr="00C95874">
        <w:t>Complementary service delivery models</w:t>
      </w:r>
    </w:p>
    <w:p w14:paraId="7704688A" w14:textId="77777777" w:rsidR="00B51924" w:rsidRDefault="00A01898" w:rsidP="00B51924">
      <w:pPr>
        <w:spacing w:before="120" w:after="120" w:line="259" w:lineRule="auto"/>
        <w:rPr>
          <w:rFonts w:asciiTheme="minorHAnsi" w:hAnsiTheme="minorHAnsi" w:cstheme="minorHAnsi"/>
        </w:rPr>
      </w:pPr>
      <w:r w:rsidRPr="00CC5EB2">
        <w:t>Studies 1b, 2, 3, 4 and 5 clearly showed that Better Access is delivering care to people with a range of needs</w:t>
      </w:r>
      <w:r>
        <w:t xml:space="preserve">, providing treatment to consumers with varying levels of depression and anxiety symptoms, psychological distress, functioning and quality of life. For example, </w:t>
      </w:r>
      <w:r w:rsidRPr="00CC5EB2">
        <w:t>Study 1b indicated that, over a two-year period, 6% of Australian adults with low levels of psychological distress receive</w:t>
      </w:r>
      <w:r>
        <w:t>d</w:t>
      </w:r>
      <w:r w:rsidRPr="00CC5EB2">
        <w:t xml:space="preserve"> Better Access treatment, and 11%, 21% and 25% of those with moderate, </w:t>
      </w:r>
      <w:proofErr w:type="gramStart"/>
      <w:r w:rsidRPr="00CC5EB2">
        <w:t>high</w:t>
      </w:r>
      <w:proofErr w:type="gramEnd"/>
      <w:r w:rsidRPr="00CC5EB2">
        <w:t xml:space="preserve"> and very high levels of distress </w:t>
      </w:r>
      <w:r>
        <w:t>respectively, also did</w:t>
      </w:r>
      <w:r w:rsidRPr="00CC5EB2">
        <w:t xml:space="preserve"> so</w:t>
      </w:r>
      <w:r w:rsidRPr="00CC5EB2">
        <w:rPr>
          <w:rFonts w:asciiTheme="minorHAnsi" w:hAnsiTheme="minorHAnsi" w:cstheme="minorHAnsi"/>
        </w:rPr>
        <w:t xml:space="preserve">. Consideration should be given to whether Better Access – as a program that is designed to deliver session-based clinical care – is ideally positioned to serve people with such a diverse range of needs, or whether complementary models of service delivery might also be warranted. </w:t>
      </w:r>
    </w:p>
    <w:p w14:paraId="7135B812" w14:textId="77777777" w:rsidR="00532448" w:rsidRPr="0016493D" w:rsidRDefault="00532448" w:rsidP="0016493D">
      <w:r w:rsidRPr="0016493D">
        <w:br w:type="page"/>
      </w:r>
    </w:p>
    <w:p w14:paraId="4F57878F" w14:textId="62124032" w:rsidR="00B51924" w:rsidRPr="0016493D" w:rsidRDefault="00A01898" w:rsidP="0016493D">
      <w:pPr>
        <w:pStyle w:val="Heading4"/>
      </w:pPr>
      <w:r w:rsidRPr="00024E0F">
        <w:lastRenderedPageBreak/>
        <w:t>Meeting the needs of people with severe and complex mental health conditions: Multidisciplinary, holistic care</w:t>
      </w:r>
    </w:p>
    <w:p w14:paraId="36324121" w14:textId="40A9DB86" w:rsidR="00A01898" w:rsidRPr="00CC5EB2" w:rsidRDefault="00A01898" w:rsidP="003F6AB7">
      <w:pPr>
        <w:spacing w:before="120" w:after="120" w:line="259" w:lineRule="auto"/>
      </w:pPr>
      <w:r w:rsidRPr="00CC5EB2">
        <w:rPr>
          <w:rFonts w:asciiTheme="minorHAnsi" w:hAnsiTheme="minorHAnsi" w:cstheme="minorHAnsi"/>
        </w:rPr>
        <w:t xml:space="preserve">The evaluation provided clear evidence that people with severe and complex mental health conditions benefit from Better Access. Studies 2, 3, 4 and 5 showed that reductions in symptoms and improvements in levels of functioning </w:t>
      </w:r>
      <w:r>
        <w:rPr>
          <w:rFonts w:asciiTheme="minorHAnsi" w:hAnsiTheme="minorHAnsi" w:cstheme="minorHAnsi"/>
        </w:rPr>
        <w:t xml:space="preserve">and quality of life </w:t>
      </w:r>
      <w:r w:rsidRPr="00CC5EB2">
        <w:rPr>
          <w:rFonts w:asciiTheme="minorHAnsi" w:hAnsiTheme="minorHAnsi" w:cstheme="minorHAnsi"/>
        </w:rPr>
        <w:t>were greatest for those with the highest levels of need (e.g., Study 3 found that high self-rated mental health at the beginning of an episode of care associated with 47% lower odds of showing improvement).</w:t>
      </w:r>
    </w:p>
    <w:p w14:paraId="390F7785" w14:textId="77777777" w:rsidR="00A01898" w:rsidRPr="00CC5EB2" w:rsidRDefault="00A01898" w:rsidP="003F6AB7">
      <w:pPr>
        <w:spacing w:before="120" w:after="120" w:line="259" w:lineRule="auto"/>
        <w:rPr>
          <w:rFonts w:asciiTheme="minorHAnsi" w:hAnsiTheme="minorHAnsi" w:cstheme="minorHAnsi"/>
        </w:rPr>
      </w:pPr>
      <w:proofErr w:type="gramStart"/>
      <w:r w:rsidRPr="00CC5EB2">
        <w:t>Having said this, there</w:t>
      </w:r>
      <w:proofErr w:type="gramEnd"/>
      <w:r w:rsidRPr="00CC5EB2">
        <w:t xml:space="preserve"> are suggestions that Better Access does not always serve people with complex needs optimally. Participants in Studies 6, 7 and 8 suggested that </w:t>
      </w:r>
      <w:r w:rsidRPr="00CC5EB2">
        <w:rPr>
          <w:color w:val="000000"/>
          <w:lang w:eastAsia="en-AU"/>
        </w:rPr>
        <w:t xml:space="preserve">many of these people require more </w:t>
      </w:r>
      <w:r>
        <w:rPr>
          <w:color w:val="000000"/>
          <w:lang w:eastAsia="en-AU"/>
        </w:rPr>
        <w:t>multidisciplinary</w:t>
      </w:r>
      <w:r w:rsidRPr="00CC5EB2">
        <w:rPr>
          <w:color w:val="000000"/>
          <w:lang w:eastAsia="en-AU"/>
        </w:rPr>
        <w:t xml:space="preserve">, holistic care than Better Access can deliver. They indicated that this sort of care would ideally involve seamless delivery of clinical treatment and non-clinical support and care from private and public health, mental health, and social support services. Over 90% of the Study 8 participants agreed that </w:t>
      </w:r>
      <w:r>
        <w:rPr>
          <w:color w:val="000000"/>
          <w:lang w:eastAsia="en-AU"/>
        </w:rPr>
        <w:t>multidisciplinary</w:t>
      </w:r>
      <w:r w:rsidRPr="00CC5EB2">
        <w:rPr>
          <w:color w:val="000000"/>
          <w:lang w:eastAsia="en-AU"/>
        </w:rPr>
        <w:t>, holistic care is required, and over 75% indicated that the Medicare-funded service model that underpins Better Access would not be able to accommodate such an approach without a fundamental restructure.</w:t>
      </w:r>
    </w:p>
    <w:p w14:paraId="5271C0CF" w14:textId="77777777" w:rsidR="00A01898" w:rsidRPr="00CC5EB2" w:rsidRDefault="00A01898" w:rsidP="003F6AB7">
      <w:pPr>
        <w:spacing w:before="120" w:after="120" w:line="259" w:lineRule="auto"/>
        <w:rPr>
          <w:color w:val="000000"/>
          <w:lang w:eastAsia="en-AU"/>
        </w:rPr>
      </w:pPr>
      <w:r w:rsidRPr="00CC5EB2">
        <w:rPr>
          <w:color w:val="000000"/>
          <w:lang w:eastAsia="en-AU"/>
        </w:rPr>
        <w:t>Better Access should continue to provide foundational clinical care for people with complex needs, and this group should be able to readily access the additional 10 sessions of care (see Recommendation 12). However, additional clinical care might also desirably come from other sources, delivered in a coordinated, integrated fashion by a broader range of providers. Non-clinical support and care that may be necessary to “round out” clinical treatment and provide more holistic care for people with complex needs (e.g., help with navigating housing or financial support services, or peer support services) might also come from elsewhere. For example, Primary Health Networks (PHNs) might be supported to commission additional primary mental health care services in their local areas to meet some of these unmet clinical and non-clinical needs.</w:t>
      </w:r>
    </w:p>
    <w:p w14:paraId="74A3833B" w14:textId="77777777" w:rsidR="00A01898" w:rsidRPr="00CC5EB2" w:rsidRDefault="00A01898" w:rsidP="003F6AB7">
      <w:pPr>
        <w:spacing w:before="120" w:after="120" w:line="259" w:lineRule="auto"/>
      </w:pPr>
      <w:r w:rsidRPr="00CC5EB2">
        <w:rPr>
          <w:color w:val="000000"/>
          <w:lang w:eastAsia="en-AU"/>
        </w:rPr>
        <w:t>Greater coordination between Better Access and these complementary services could allow people with complex needs to draw on both in ways that lead to improvements not only in clinical outcomes but also in their overall quality of life.</w:t>
      </w:r>
    </w:p>
    <w:p w14:paraId="38034161" w14:textId="77777777" w:rsidR="00A01898" w:rsidRPr="00C95874" w:rsidRDefault="00A01898" w:rsidP="0016493D">
      <w:pPr>
        <w:pStyle w:val="Heading4"/>
        <w:rPr>
          <w:b/>
          <w:bCs/>
        </w:rPr>
      </w:pPr>
      <w:r w:rsidRPr="00C95874">
        <w:t>Meeting the needs of people who may benefit from less intensive services</w:t>
      </w:r>
    </w:p>
    <w:p w14:paraId="62461335" w14:textId="77777777" w:rsidR="00A01898" w:rsidRPr="00CC5EB2" w:rsidRDefault="00A01898" w:rsidP="003F6AB7">
      <w:pPr>
        <w:spacing w:before="120" w:after="120" w:line="259" w:lineRule="auto"/>
        <w:rPr>
          <w:color w:val="000000"/>
          <w:lang w:eastAsia="en-AU"/>
        </w:rPr>
      </w:pPr>
      <w:r w:rsidRPr="00CC5EB2">
        <w:t>Better Access may not be ideal for people who have lower levels of need. As noted, Studies 2, 3, 4 and 5 suggested that this group is likely to show the least benefit in terms of improvement in symptoms</w:t>
      </w:r>
      <w:r>
        <w:t>,</w:t>
      </w:r>
      <w:r w:rsidRPr="00CC5EB2">
        <w:t xml:space="preserve"> levels of functioning</w:t>
      </w:r>
      <w:r>
        <w:t xml:space="preserve"> and quality of life. They have less room to improve because their mental health and wellbeing is relatively good when they enter episodes of care. </w:t>
      </w:r>
      <w:r w:rsidRPr="00CC5EB2">
        <w:t xml:space="preserve">Some of those with lower levels of need – e.g., those are experiencing relatively low levels of psychological distress – might be well served by services that sit outside Better Access. </w:t>
      </w:r>
      <w:r w:rsidRPr="00CC5EB2">
        <w:rPr>
          <w:color w:val="000000"/>
          <w:lang w:eastAsia="en-AU"/>
        </w:rPr>
        <w:t>Digital options should be explored here. The Head to Health website acts as an ideal starting point for this, because it assists people to find a range of low intensity options to match their needs. Some people may only require digital services, whereas others may benefit from a small number of tailored Better Access sessions to support their use of digital services.</w:t>
      </w:r>
    </w:p>
    <w:p w14:paraId="1C6CB621" w14:textId="77777777" w:rsidR="00A01898" w:rsidRPr="00C95874" w:rsidRDefault="00A01898" w:rsidP="0016493D">
      <w:pPr>
        <w:pStyle w:val="Heading4"/>
        <w:rPr>
          <w:b/>
          <w:bCs/>
        </w:rPr>
      </w:pPr>
      <w:r w:rsidRPr="00C95874">
        <w:t>Considering the implications of complementing Better Access with other service delivery models</w:t>
      </w:r>
    </w:p>
    <w:p w14:paraId="32DD38A3" w14:textId="663637FE" w:rsidR="00DA582E" w:rsidRDefault="00A01898" w:rsidP="003F6AB7">
      <w:pPr>
        <w:spacing w:before="120" w:after="120" w:line="259" w:lineRule="auto"/>
      </w:pPr>
      <w:r w:rsidRPr="00CC5EB2">
        <w:rPr>
          <w:color w:val="000000"/>
          <w:lang w:eastAsia="en-AU"/>
        </w:rPr>
        <w:t xml:space="preserve">If there is an appetite for exploring how relevant service delivery models could complement Better Access, this should be done carefully. Appropriate funding would be required. The benefits and disadvantages should be considered, and any unintended consequences thought through. The aim of any complementary models would be that they should add to, rather than duplicate, what is being provided through Better Access. The incentives for providers to deliver services through one model or another would need to be examined, as would the interface between the different models. Any new or modified model should be trialled alongside Better Access, with the processes, outcomes and costs carefully monitored before any broader roll-out. </w:t>
      </w:r>
      <w:r w:rsidR="00DA582E">
        <w:br w:type="page"/>
      </w:r>
    </w:p>
    <w:p w14:paraId="3E1F2DA4" w14:textId="77777777" w:rsidR="00E43777" w:rsidRPr="00A30B16" w:rsidRDefault="00E43777" w:rsidP="003F6AB7">
      <w:pPr>
        <w:spacing w:before="120" w:after="120" w:line="259" w:lineRule="auto"/>
        <w:rPr>
          <w:rStyle w:val="Strong"/>
        </w:rPr>
      </w:pPr>
      <w:r w:rsidRPr="00A30B16">
        <w:rPr>
          <w:rStyle w:val="Strong"/>
        </w:rPr>
        <w:lastRenderedPageBreak/>
        <w:t>Recommendation 1: Models of service delivery that complement Better Access are warranted. For those with severe and complex needs, Better Access should be supplemented by other multidisciplinary models that not only provide more intensive, longer-term clinical care but also offer holistic support for dealing with life’s complexities. For those with lower levels of need, less intensive options (e.g., digital services) should be explored. The way in which combinations of these models might work for consumers, providers and funders should be carefully evaluated.</w:t>
      </w:r>
    </w:p>
    <w:p w14:paraId="7505AB45" w14:textId="77777777" w:rsidR="00A01898" w:rsidRPr="0016493D" w:rsidRDefault="00A01898" w:rsidP="0016493D">
      <w:pPr>
        <w:pStyle w:val="Heading3"/>
      </w:pPr>
      <w:r w:rsidRPr="00C95874">
        <w:t xml:space="preserve">Workforce capacity, </w:t>
      </w:r>
      <w:proofErr w:type="gramStart"/>
      <w:r w:rsidRPr="00C95874">
        <w:t>composition</w:t>
      </w:r>
      <w:proofErr w:type="gramEnd"/>
      <w:r w:rsidRPr="00C95874">
        <w:t xml:space="preserve"> and distribution</w:t>
      </w:r>
    </w:p>
    <w:p w14:paraId="0C34492A" w14:textId="77777777" w:rsidR="00A01898" w:rsidRPr="00CC5EB2" w:rsidRDefault="00A01898" w:rsidP="003F6AB7">
      <w:pPr>
        <w:spacing w:before="120" w:after="120" w:line="259" w:lineRule="auto"/>
        <w:rPr>
          <w:color w:val="000000"/>
          <w:lang w:eastAsia="en-AU"/>
        </w:rPr>
      </w:pPr>
      <w:r w:rsidRPr="00CC5EB2">
        <w:rPr>
          <w:color w:val="000000"/>
          <w:lang w:eastAsia="en-AU"/>
        </w:rPr>
        <w:t>Many Better Access providers are currently at capacity. A 2022 survey of psychologists showed that one third of them were unable to see new consumers. This figure represented an increase from one fifth in 2021 and one in 100 before the pandemic.</w:t>
      </w:r>
      <w:r w:rsidRPr="00CC5EB2">
        <w:rPr>
          <w:color w:val="000000"/>
          <w:lang w:eastAsia="en-AU"/>
        </w:rPr>
        <w:fldChar w:fldCharType="begin"/>
      </w:r>
      <w:r w:rsidRPr="00CC5EB2">
        <w:rPr>
          <w:color w:val="000000"/>
          <w:lang w:eastAsia="en-AU"/>
        </w:rPr>
        <w:instrText xml:space="preserve"> ADDIN EN.CITE &lt;EndNote&gt;&lt;Cite&gt;&lt;Author&gt;Australian Psychological Society&lt;/Author&gt;&lt;Year&gt;2022&lt;/Year&gt;&lt;RecNum&gt;1232&lt;/RecNum&gt;&lt;DisplayText&gt;&lt;style face="superscript"&gt;5&lt;/style&gt;&lt;/DisplayText&gt;&lt;record&gt;&lt;rec-number&gt;1232&lt;/rec-number&gt;&lt;foreign-keys&gt;&lt;key app="EN" db-id="aepeer0xlwrzpbef0r45aps5xe0r0zpsv59d" timestamp="1662711813"&gt;1232&lt;/key&gt;&lt;/foreign-keys&gt;&lt;ref-type name="Web Page"&gt;12&lt;/ref-type&gt;&lt;contributors&gt;&lt;authors&gt;&lt;author&gt;Australian Psychological Society,&lt;/author&gt;&lt;/authors&gt;&lt;/contributors&gt;&lt;titles&gt;&lt;title&gt;1 in 3 psychologists are unable to see new clients, but Australians need help more than ever&lt;/title&gt;&lt;/titles&gt;&lt;number&gt;4 December 2022)&lt;/number&gt;&lt;dates&gt;&lt;year&gt;2022&lt;/year&gt;&lt;/dates&gt;&lt;pub-location&gt;Melbourne&lt;/pub-location&gt;&lt;publisher&gt;Australian Psychological Society&lt;/publisher&gt;&lt;urls&gt;&lt;related-urls&gt;&lt;url&gt;https://psychology.org.au/for-members/news-and-updates/news/2022/australians-need-psychological-help-more-than-ever&lt;/url&gt;&lt;/related-urls&gt;&lt;/urls&gt;&lt;/record&gt;&lt;/Cite&gt;&lt;/EndNote&gt;</w:instrText>
      </w:r>
      <w:r w:rsidRPr="00CC5EB2">
        <w:rPr>
          <w:color w:val="000000"/>
          <w:lang w:eastAsia="en-AU"/>
        </w:rPr>
        <w:fldChar w:fldCharType="separate"/>
      </w:r>
      <w:r w:rsidRPr="00CC5EB2">
        <w:rPr>
          <w:noProof/>
          <w:color w:val="000000"/>
          <w:vertAlign w:val="superscript"/>
          <w:lang w:eastAsia="en-AU"/>
        </w:rPr>
        <w:t>5</w:t>
      </w:r>
      <w:r w:rsidRPr="00CC5EB2">
        <w:rPr>
          <w:color w:val="000000"/>
          <w:lang w:eastAsia="en-AU"/>
        </w:rPr>
        <w:fldChar w:fldCharType="end"/>
      </w:r>
      <w:r w:rsidRPr="00CC5EB2">
        <w:rPr>
          <w:color w:val="000000"/>
          <w:lang w:eastAsia="en-AU"/>
        </w:rPr>
        <w:t xml:space="preserve"> Study 1b suggested that these capacity issues have translated </w:t>
      </w:r>
      <w:r>
        <w:rPr>
          <w:color w:val="000000"/>
          <w:lang w:eastAsia="en-AU"/>
        </w:rPr>
        <w:t>in</w:t>
      </w:r>
      <w:r w:rsidRPr="00CC5EB2">
        <w:rPr>
          <w:color w:val="000000"/>
          <w:lang w:eastAsia="en-AU"/>
        </w:rPr>
        <w:t>to new consumers either not being able to get into care or having to wait for long</w:t>
      </w:r>
      <w:r>
        <w:rPr>
          <w:color w:val="000000"/>
          <w:lang w:eastAsia="en-AU"/>
        </w:rPr>
        <w:t>er</w:t>
      </w:r>
      <w:r w:rsidRPr="00CC5EB2">
        <w:rPr>
          <w:color w:val="000000"/>
          <w:lang w:eastAsia="en-AU"/>
        </w:rPr>
        <w:t xml:space="preserve"> periods in order to do so. Although the number of consumers and the number of sessions provided to them increased between 2018 and 2021, the increase was primarily accounted for by existing users. The median wait time to receive an initial session of Better Access treatment following receipt of a mental health plan increased from 14 days in 2017-18 to 19 days in 2020-21.</w:t>
      </w:r>
    </w:p>
    <w:p w14:paraId="67AD20DD" w14:textId="77777777" w:rsidR="00A01898" w:rsidRPr="00CC5EB2" w:rsidRDefault="00A01898" w:rsidP="003F6AB7">
      <w:pPr>
        <w:spacing w:before="120" w:after="120" w:line="259" w:lineRule="auto"/>
        <w:rPr>
          <w:color w:val="000000"/>
          <w:lang w:eastAsia="en-AU"/>
        </w:rPr>
      </w:pPr>
      <w:r w:rsidRPr="00CC5EB2">
        <w:rPr>
          <w:color w:val="000000"/>
          <w:lang w:eastAsia="en-AU"/>
        </w:rPr>
        <w:t>In addition to capacity issues, there are questions about the composition of the workforce, and whether additional or alternative providers might be brought in to meet demand. And there are issues with distribution, with the location of providers’ practices contributing to relatively poorer access for consumers in rural areas and areas of lower socioeconomic status. In Study 8 there was considerable discussion about whether expanding the range of eligible providers could help to address capacity issues, particularly in under-served areas.</w:t>
      </w:r>
    </w:p>
    <w:p w14:paraId="6A24DB9E" w14:textId="77777777" w:rsidR="00A01898" w:rsidRPr="00CC5EB2" w:rsidRDefault="00A01898" w:rsidP="003F6AB7">
      <w:pPr>
        <w:spacing w:before="120" w:after="120" w:line="259" w:lineRule="auto"/>
        <w:rPr>
          <w:color w:val="000000"/>
          <w:lang w:eastAsia="en-AU"/>
        </w:rPr>
      </w:pPr>
      <w:r w:rsidRPr="00CC5EB2">
        <w:rPr>
          <w:color w:val="000000"/>
          <w:lang w:eastAsia="en-AU"/>
        </w:rPr>
        <w:t xml:space="preserve">These issues should be considered in the context of the models that might run alongside Better Access </w:t>
      </w:r>
      <w:proofErr w:type="gramStart"/>
      <w:r w:rsidRPr="00CC5EB2">
        <w:rPr>
          <w:color w:val="000000"/>
          <w:lang w:eastAsia="en-AU"/>
        </w:rPr>
        <w:t>in order to</w:t>
      </w:r>
      <w:proofErr w:type="gramEnd"/>
      <w:r w:rsidRPr="00CC5EB2">
        <w:rPr>
          <w:color w:val="000000"/>
          <w:lang w:eastAsia="en-AU"/>
        </w:rPr>
        <w:t xml:space="preserve"> address gaps in the system of care (see Recommendation 1). As noted above, addressing these sorts of gaps is the crux of the National Mental Health and Suicide Prevention Agreement.</w:t>
      </w:r>
      <w:r w:rsidRPr="00CC5EB2">
        <w:rPr>
          <w:color w:val="000000"/>
          <w:lang w:eastAsia="en-AU"/>
        </w:rPr>
        <w:fldChar w:fldCharType="begin"/>
      </w:r>
      <w:r w:rsidRPr="00CC5EB2">
        <w:rPr>
          <w:color w:val="000000"/>
          <w:lang w:eastAsia="en-AU"/>
        </w:rPr>
        <w:instrText xml:space="preserve"> ADDIN EN.CITE &lt;EndNote&gt;&lt;Cite&gt;&lt;Author&gt;Territories&lt;/Author&gt;&lt;Year&gt;2022&lt;/Year&gt;&lt;RecNum&gt;1242&lt;/RecNum&gt;&lt;DisplayText&gt;&lt;style face="superscript"&gt;4&lt;/style&gt;&lt;/DisplayText&gt;&lt;record&gt;&lt;rec-number&gt;1242&lt;/rec-number&gt;&lt;foreign-keys&gt;&lt;key app="EN" db-id="aepeer0xlwrzpbef0r45aps5xe0r0zpsv59d" timestamp="1668327818"&gt;1242&lt;/key&gt;&lt;/foreign-keys&gt;&lt;ref-type name="Report"&gt;27&lt;/ref-type&gt;&lt;contributors&gt;&lt;authors&gt;&lt;author&gt;Commonwealth of Australia and the States and Territories&lt;/author&gt;&lt;/authors&gt;&lt;/contributors&gt;&lt;titles&gt;&lt;title&gt;National Mental Health and Suicide Prevention Agreement&lt;/title&gt;&lt;/titles&gt;&lt;dates&gt;&lt;year&gt;2022&lt;/year&gt;&lt;/dates&gt;&lt;pub-location&gt;Canberra&lt;/pub-location&gt;&lt;publisher&gt;Commonwealth of Australia&lt;/publisher&gt;&lt;urls&gt;&lt;/urls&gt;&lt;/record&gt;&lt;/Cite&gt;&lt;/EndNote&gt;</w:instrText>
      </w:r>
      <w:r w:rsidRPr="00CC5EB2">
        <w:rPr>
          <w:color w:val="000000"/>
          <w:lang w:eastAsia="en-AU"/>
        </w:rPr>
        <w:fldChar w:fldCharType="separate"/>
      </w:r>
      <w:r w:rsidRPr="00CC5EB2">
        <w:rPr>
          <w:noProof/>
          <w:color w:val="000000"/>
          <w:vertAlign w:val="superscript"/>
          <w:lang w:eastAsia="en-AU"/>
        </w:rPr>
        <w:t>4</w:t>
      </w:r>
      <w:r w:rsidRPr="00CC5EB2">
        <w:rPr>
          <w:color w:val="000000"/>
          <w:lang w:eastAsia="en-AU"/>
        </w:rPr>
        <w:fldChar w:fldCharType="end"/>
      </w:r>
      <w:r w:rsidRPr="00CC5EB2">
        <w:rPr>
          <w:color w:val="000000"/>
          <w:lang w:eastAsia="en-AU"/>
        </w:rPr>
        <w:t xml:space="preserve"> Under the proposed arrangements, greater emphasis would be placed on low intensity digital services for people with relatively low levels of need. Better Access would be then focus on people with mild and moderate mental health conditions, as well as those with higher levels of need for whom other service delivery models might be required too.</w:t>
      </w:r>
    </w:p>
    <w:p w14:paraId="5576EEA8" w14:textId="77777777" w:rsidR="00A01898" w:rsidRPr="00CC5EB2" w:rsidRDefault="00A01898" w:rsidP="003F6AB7">
      <w:pPr>
        <w:spacing w:before="120" w:after="120" w:line="259" w:lineRule="auto"/>
        <w:rPr>
          <w:color w:val="000000"/>
          <w:lang w:eastAsia="en-AU"/>
        </w:rPr>
      </w:pPr>
      <w:r w:rsidRPr="00CC5EB2">
        <w:rPr>
          <w:color w:val="000000"/>
          <w:lang w:eastAsia="en-AU"/>
        </w:rPr>
        <w:t xml:space="preserve">This improved program targeting would have implications for workforce capacity and composition issues. Better tailoring of Better Access would be likely to reduce the overall demand on the program, easing some of the capacity issues within it. But it is likely that demand might increase in other settings, so sufficient funding would be required to ensure that people were equally well served by all parts of the system. </w:t>
      </w:r>
      <w:r>
        <w:rPr>
          <w:color w:val="000000"/>
          <w:lang w:eastAsia="en-AU"/>
        </w:rPr>
        <w:t>A</w:t>
      </w:r>
      <w:r w:rsidRPr="00CC5EB2">
        <w:rPr>
          <w:color w:val="000000"/>
          <w:lang w:eastAsia="en-AU"/>
        </w:rPr>
        <w:t xml:space="preserve">s an MBS-funded scheme, Better Access would deliver clinical services only, and the workforce would need to reflect this. </w:t>
      </w:r>
      <w:r>
        <w:rPr>
          <w:color w:val="000000"/>
          <w:lang w:eastAsia="en-AU"/>
        </w:rPr>
        <w:t>E</w:t>
      </w:r>
      <w:r w:rsidRPr="00CC5EB2">
        <w:rPr>
          <w:color w:val="000000"/>
          <w:lang w:eastAsia="en-AU"/>
        </w:rPr>
        <w:t>lements elsewhere in the system would also provide clinical care, and others would provide non-clinical care; these might require a broader workforce. Consideration of the training, levels of experience and scopes of practice of different Better Access and non-Better Access provider groups will be important here and are part of the remit of the National Mental Health Workforce Strategy.</w:t>
      </w:r>
      <w:r w:rsidRPr="00CC5EB2">
        <w:rPr>
          <w:color w:val="000000"/>
          <w:lang w:eastAsia="en-AU"/>
        </w:rPr>
        <w:fldChar w:fldCharType="begin"/>
      </w:r>
      <w:r w:rsidRPr="00CC5EB2">
        <w:rPr>
          <w:color w:val="000000"/>
          <w:lang w:eastAsia="en-AU"/>
        </w:rPr>
        <w:instrText xml:space="preserve"> ADDIN EN.CITE &lt;EndNote&gt;&lt;Cite&gt;&lt;Author&gt;Department of Health and Aged Care&lt;/Author&gt;&lt;Year&gt;2022&lt;/Year&gt;&lt;RecNum&gt;1238&lt;/RecNum&gt;&lt;DisplayText&gt;&lt;style face="superscript"&gt;6&lt;/style&gt;&lt;/DisplayText&gt;&lt;record&gt;&lt;rec-number&gt;1238&lt;/rec-number&gt;&lt;foreign-keys&gt;&lt;key app="EN" db-id="aepeer0xlwrzpbef0r45aps5xe0r0zpsv59d" timestamp="1667522873"&gt;1238&lt;/key&gt;&lt;/foreign-keys&gt;&lt;ref-type name="Web Page"&gt;12&lt;/ref-type&gt;&lt;contributors&gt;&lt;authors&gt;&lt;author&gt;Department of Health and Aged Care,&lt;/author&gt;&lt;/authors&gt;&lt;/contributors&gt;&lt;titles&gt;&lt;title&gt;National Mental Health Workforce Strategy Taskforce&lt;/title&gt;&lt;/titles&gt;&lt;number&gt;4 November 2022)&lt;/number&gt;&lt;dates&gt;&lt;year&gt;2022&lt;/year&gt;&lt;/dates&gt;&lt;pub-location&gt;Canberra&lt;/pub-location&gt;&lt;publisher&gt;Department of Health and Aged Care&lt;/publisher&gt;&lt;urls&gt;&lt;related-urls&gt;&lt;url&gt;https://www.health.gov.au/committees-and-groups/national-mental-health-workforce-strategy-taskforce&lt;/url&gt;&lt;/related-urls&gt;&lt;/urls&gt;&lt;/record&gt;&lt;/Cite&gt;&lt;/EndNote&gt;</w:instrText>
      </w:r>
      <w:r w:rsidRPr="00CC5EB2">
        <w:rPr>
          <w:color w:val="000000"/>
          <w:lang w:eastAsia="en-AU"/>
        </w:rPr>
        <w:fldChar w:fldCharType="separate"/>
      </w:r>
      <w:r w:rsidRPr="00CC5EB2">
        <w:rPr>
          <w:noProof/>
          <w:color w:val="000000"/>
          <w:vertAlign w:val="superscript"/>
          <w:lang w:eastAsia="en-AU"/>
        </w:rPr>
        <w:t>6</w:t>
      </w:r>
      <w:r w:rsidRPr="00CC5EB2">
        <w:rPr>
          <w:color w:val="000000"/>
          <w:lang w:eastAsia="en-AU"/>
        </w:rPr>
        <w:fldChar w:fldCharType="end"/>
      </w:r>
    </w:p>
    <w:p w14:paraId="1AF2DAE8" w14:textId="020AC088" w:rsidR="00A01898" w:rsidRDefault="00A01898" w:rsidP="003F6AB7">
      <w:pPr>
        <w:spacing w:before="120" w:after="120" w:line="259" w:lineRule="auto"/>
        <w:rPr>
          <w:color w:val="000000"/>
          <w:lang w:eastAsia="en-AU"/>
        </w:rPr>
      </w:pPr>
      <w:r w:rsidRPr="00CC5EB2">
        <w:rPr>
          <w:color w:val="000000"/>
          <w:lang w:eastAsia="en-AU"/>
        </w:rPr>
        <w:t>Workforce distribution issues were raised by the MBS Review Taskforce, particularly in relation to the lack of providers in rural and remote areas,</w:t>
      </w:r>
      <w:r w:rsidRPr="00CC5EB2">
        <w:rPr>
          <w:color w:val="000000"/>
          <w:lang w:eastAsia="en-AU"/>
        </w:rPr>
        <w:fldChar w:fldCharType="begin"/>
      </w:r>
      <w:r w:rsidRPr="00CC5EB2">
        <w:rPr>
          <w:color w:val="000000"/>
          <w:lang w:eastAsia="en-AU"/>
        </w:rPr>
        <w:instrText xml:space="preserve"> ADDIN EN.CITE &lt;EndNote&gt;&lt;Cite&gt;&lt;Author&gt;Medicare Benefits Schedule Review Taskforce&lt;/Author&gt;&lt;Year&gt;2020&lt;/Year&gt;&lt;RecNum&gt;1181&lt;/RecNum&gt;&lt;DisplayText&gt;&lt;style face="superscript"&gt;7&lt;/style&gt;&lt;/DisplayText&gt;&lt;record&gt;&lt;rec-number&gt;1181&lt;/rec-number&gt;&lt;foreign-keys&gt;&lt;key app="EN" db-id="aepeer0xlwrzpbef0r45aps5xe0r0zpsv59d" timestamp="1651823678"&gt;1181&lt;/key&gt;&lt;/foreign-keys&gt;&lt;ref-type name="Report"&gt;27&lt;/ref-type&gt;&lt;contributors&gt;&lt;authors&gt;&lt;author&gt;Medicare Benefits Schedule Review Taskforce,&lt;/author&gt;&lt;/authors&gt;&lt;/contributors&gt;&lt;titles&gt;&lt;title&gt;An MBS for the 21st Century: Recommendations, Learnings and Ideas for the Future&lt;/title&gt;&lt;/titles&gt;&lt;dates&gt;&lt;year&gt;2020&lt;/year&gt;&lt;/dates&gt;&lt;pub-location&gt;Canberra&lt;/pub-location&gt;&lt;publisher&gt;Medicare Benefits Schedule Review Taskforce&lt;/publisher&gt;&lt;urls&gt;&lt;/urls&gt;&lt;/record&gt;&lt;/Cite&gt;&lt;/EndNote&gt;</w:instrText>
      </w:r>
      <w:r w:rsidRPr="00CC5EB2">
        <w:rPr>
          <w:color w:val="000000"/>
          <w:lang w:eastAsia="en-AU"/>
        </w:rPr>
        <w:fldChar w:fldCharType="separate"/>
      </w:r>
      <w:r w:rsidRPr="00CC5EB2">
        <w:rPr>
          <w:noProof/>
          <w:color w:val="000000"/>
          <w:vertAlign w:val="superscript"/>
          <w:lang w:eastAsia="en-AU"/>
        </w:rPr>
        <w:t>7</w:t>
      </w:r>
      <w:r w:rsidRPr="00CC5EB2">
        <w:rPr>
          <w:color w:val="000000"/>
          <w:lang w:eastAsia="en-AU"/>
        </w:rPr>
        <w:fldChar w:fldCharType="end"/>
      </w:r>
      <w:r w:rsidRPr="00CC5EB2">
        <w:rPr>
          <w:color w:val="000000"/>
          <w:lang w:eastAsia="en-AU"/>
        </w:rPr>
        <w:t xml:space="preserve"> and are also being picked up by the National Mental Health Workforce Strategy.</w:t>
      </w:r>
      <w:r w:rsidRPr="00CC5EB2">
        <w:rPr>
          <w:color w:val="000000"/>
          <w:lang w:eastAsia="en-AU"/>
        </w:rPr>
        <w:fldChar w:fldCharType="begin"/>
      </w:r>
      <w:r w:rsidRPr="00CC5EB2">
        <w:rPr>
          <w:color w:val="000000"/>
          <w:lang w:eastAsia="en-AU"/>
        </w:rPr>
        <w:instrText xml:space="preserve"> ADDIN EN.CITE &lt;EndNote&gt;&lt;Cite&gt;&lt;Author&gt;Department of Health and Aged Care&lt;/Author&gt;&lt;Year&gt;2022&lt;/Year&gt;&lt;RecNum&gt;1238&lt;/RecNum&gt;&lt;DisplayText&gt;&lt;style face="superscript"&gt;6&lt;/style&gt;&lt;/DisplayText&gt;&lt;record&gt;&lt;rec-number&gt;1238&lt;/rec-number&gt;&lt;foreign-keys&gt;&lt;key app="EN" db-id="aepeer0xlwrzpbef0r45aps5xe0r0zpsv59d" timestamp="1667522873"&gt;1238&lt;/key&gt;&lt;/foreign-keys&gt;&lt;ref-type name="Web Page"&gt;12&lt;/ref-type&gt;&lt;contributors&gt;&lt;authors&gt;&lt;author&gt;Department of Health and Aged Care,&lt;/author&gt;&lt;/authors&gt;&lt;/contributors&gt;&lt;titles&gt;&lt;title&gt;National Mental Health Workforce Strategy Taskforce&lt;/title&gt;&lt;/titles&gt;&lt;number&gt;4 November 2022)&lt;/number&gt;&lt;dates&gt;&lt;year&gt;2022&lt;/year&gt;&lt;/dates&gt;&lt;pub-location&gt;Canberra&lt;/pub-location&gt;&lt;publisher&gt;Department of Health and Aged Care&lt;/publisher&gt;&lt;urls&gt;&lt;related-urls&gt;&lt;url&gt;https://www.health.gov.au/committees-and-groups/national-mental-health-workforce-strategy-taskforce&lt;/url&gt;&lt;/related-urls&gt;&lt;/urls&gt;&lt;/record&gt;&lt;/Cite&gt;&lt;/EndNote&gt;</w:instrText>
      </w:r>
      <w:r w:rsidRPr="00CC5EB2">
        <w:rPr>
          <w:color w:val="000000"/>
          <w:lang w:eastAsia="en-AU"/>
        </w:rPr>
        <w:fldChar w:fldCharType="separate"/>
      </w:r>
      <w:r w:rsidRPr="00CC5EB2">
        <w:rPr>
          <w:noProof/>
          <w:color w:val="000000"/>
          <w:vertAlign w:val="superscript"/>
          <w:lang w:eastAsia="en-AU"/>
        </w:rPr>
        <w:t>6</w:t>
      </w:r>
      <w:r w:rsidRPr="00CC5EB2">
        <w:rPr>
          <w:color w:val="000000"/>
          <w:lang w:eastAsia="en-AU"/>
        </w:rPr>
        <w:fldChar w:fldCharType="end"/>
      </w:r>
      <w:r w:rsidRPr="00CC5EB2">
        <w:rPr>
          <w:color w:val="000000"/>
          <w:lang w:eastAsia="en-AU"/>
        </w:rPr>
        <w:t xml:space="preserve"> The widespread adoption of telehealth services under Better Access will undoubtedly have helped to some extent, but there are broader issues around attracting and retaining providers in rural and remote areas. It may be easier to recruit and retain providers in rural and remote areas if they are salaried than if they work within a fee-for-service model. Different options may be required to attract Better Access providers to rural and remote areas. Similar issues apply in areas of lower </w:t>
      </w:r>
      <w:r>
        <w:rPr>
          <w:color w:val="000000"/>
          <w:lang w:eastAsia="en-AU"/>
        </w:rPr>
        <w:t>socioeconomic</w:t>
      </w:r>
      <w:r w:rsidRPr="00CC5EB2">
        <w:rPr>
          <w:color w:val="000000"/>
          <w:lang w:eastAsia="en-AU"/>
        </w:rPr>
        <w:t xml:space="preserve"> status.</w:t>
      </w:r>
    </w:p>
    <w:p w14:paraId="2BDCB6F0" w14:textId="16F31BC6" w:rsidR="00E43777" w:rsidRDefault="00E43777" w:rsidP="00E43777">
      <w:pPr>
        <w:rPr>
          <w:rStyle w:val="Strong"/>
        </w:rPr>
      </w:pPr>
      <w:r w:rsidRPr="00A30B16">
        <w:rPr>
          <w:rStyle w:val="Strong"/>
        </w:rPr>
        <w:lastRenderedPageBreak/>
        <w:t>Recommendation 2: Means of addressing workforce capacity and composition issues should be considered in the context of the National Mental Health Workforce Strategy and the complementary service delivery models noted above. Improved tailoring of the program would be likely to reduce overall demand and allow consumers’ needs to be better matched to providers’ training, levels of experience and scopes of practice.</w:t>
      </w:r>
    </w:p>
    <w:p w14:paraId="7188E597" w14:textId="67B50599" w:rsidR="00E43777" w:rsidRPr="00CC5EB2" w:rsidRDefault="00E43777" w:rsidP="003F6AB7">
      <w:pPr>
        <w:spacing w:before="120" w:after="120" w:line="259" w:lineRule="auto"/>
        <w:rPr>
          <w:color w:val="000000"/>
          <w:lang w:eastAsia="en-AU"/>
        </w:rPr>
      </w:pPr>
      <w:r w:rsidRPr="00A30B16">
        <w:rPr>
          <w:rStyle w:val="Strong"/>
        </w:rPr>
        <w:t>Recommendation 3: Workforce distribution issues – particularly the lack of providers in rural and remote areas – should also be considered in the context of the National Mental Health Workforce Strategy. Broad measures to recruit and retain providers in rural and remote areas are likely to be more successful than ones that are tied to the MBS.</w:t>
      </w:r>
    </w:p>
    <w:p w14:paraId="1F8EFBF6" w14:textId="77777777" w:rsidR="00A01898" w:rsidRPr="00C95874" w:rsidRDefault="00A01898" w:rsidP="0016493D">
      <w:pPr>
        <w:pStyle w:val="Heading3"/>
      </w:pPr>
      <w:r w:rsidRPr="00C95874">
        <w:t>Therapies available through Better Access</w:t>
      </w:r>
    </w:p>
    <w:p w14:paraId="744E658F" w14:textId="77777777" w:rsidR="00A01898" w:rsidRPr="00CC5EB2" w:rsidRDefault="00A01898" w:rsidP="003F6AB7">
      <w:pPr>
        <w:spacing w:before="120" w:after="120" w:line="259" w:lineRule="auto"/>
        <w:rPr>
          <w:color w:val="000000"/>
          <w:lang w:eastAsia="en-AU"/>
        </w:rPr>
      </w:pPr>
      <w:r w:rsidRPr="00CC5EB2">
        <w:rPr>
          <w:color w:val="000000"/>
          <w:lang w:eastAsia="en-AU"/>
        </w:rPr>
        <w:t>There are suggestions that the list of therapies available through Better Access is too restrictive. In Study 8, 92% of participants supported expanding the range of therapies to better meet consumers’ mental health needs. Eighty seven percent suggested that any new therapies must have evidence of effectiveness from scientific studies, and 78% said that they must have support from people with lived experience.</w:t>
      </w:r>
    </w:p>
    <w:p w14:paraId="1E5AA043" w14:textId="725886E2" w:rsidR="00A01898" w:rsidRDefault="00A01898" w:rsidP="003F6AB7">
      <w:pPr>
        <w:spacing w:before="120" w:after="120" w:line="259" w:lineRule="auto"/>
        <w:rPr>
          <w:color w:val="000000"/>
          <w:lang w:eastAsia="en-AU"/>
        </w:rPr>
      </w:pPr>
      <w:r w:rsidRPr="00CC5EB2">
        <w:rPr>
          <w:color w:val="000000"/>
          <w:lang w:eastAsia="en-AU"/>
        </w:rPr>
        <w:t xml:space="preserve">The list of available therapies through Better Access could potentially be expanded </w:t>
      </w:r>
      <w:proofErr w:type="gramStart"/>
      <w:r w:rsidRPr="00CC5EB2">
        <w:rPr>
          <w:color w:val="000000"/>
          <w:lang w:eastAsia="en-AU"/>
        </w:rPr>
        <w:t>in order to</w:t>
      </w:r>
      <w:proofErr w:type="gramEnd"/>
      <w:r w:rsidRPr="00CC5EB2">
        <w:rPr>
          <w:color w:val="000000"/>
          <w:lang w:eastAsia="en-AU"/>
        </w:rPr>
        <w:t xml:space="preserve"> enable the program to </w:t>
      </w:r>
      <w:r>
        <w:rPr>
          <w:color w:val="000000"/>
          <w:lang w:eastAsia="en-AU"/>
        </w:rPr>
        <w:t>be better targeted</w:t>
      </w:r>
      <w:r w:rsidRPr="00CC5EB2">
        <w:rPr>
          <w:color w:val="000000"/>
          <w:lang w:eastAsia="en-AU"/>
        </w:rPr>
        <w:t xml:space="preserve">. </w:t>
      </w:r>
      <w:r>
        <w:rPr>
          <w:color w:val="000000"/>
          <w:lang w:eastAsia="en-AU"/>
        </w:rPr>
        <w:t xml:space="preserve">Different therapies of varying levels of intensity (e.g., session numbers) might be more suitable for different groups of consumers, raising questions about whether the current list of available psychological therapies is ideal for all. </w:t>
      </w:r>
      <w:r w:rsidRPr="00CC5EB2">
        <w:rPr>
          <w:color w:val="000000"/>
          <w:lang w:eastAsia="en-AU"/>
        </w:rPr>
        <w:t>The Productivity Commission recommended that the treatment options available under Better Access should be updated.</w:t>
      </w:r>
      <w:r w:rsidRPr="00CC5EB2">
        <w:rPr>
          <w:color w:val="000000"/>
          <w:lang w:eastAsia="en-AU"/>
        </w:rPr>
        <w:fldChar w:fldCharType="begin"/>
      </w:r>
      <w:r w:rsidRPr="00CC5EB2">
        <w:rPr>
          <w:color w:val="000000"/>
          <w:lang w:eastAsia="en-AU"/>
        </w:rPr>
        <w:instrText xml:space="preserve"> ADDIN EN.CITE &lt;EndNote&gt;&lt;Cite&gt;&lt;Author&gt;Productivity Commission&lt;/Author&gt;&lt;Year&gt;2020&lt;/Year&gt;&lt;RecNum&gt;1182&lt;/RecNum&gt;&lt;DisplayText&gt;&lt;style face="superscript"&gt;3&lt;/style&gt;&lt;/DisplayText&gt;&lt;record&gt;&lt;rec-number&gt;1182&lt;/rec-number&gt;&lt;foreign-keys&gt;&lt;key app="EN" db-id="aepeer0xlwrzpbef0r45aps5xe0r0zpsv59d" timestamp="1651823679"&gt;1182&lt;/key&gt;&lt;/foreign-keys&gt;&lt;ref-type name="Report"&gt;27&lt;/ref-type&gt;&lt;contributors&gt;&lt;authors&gt;&lt;author&gt;Productivity Commission,&lt;/author&gt;&lt;/authors&gt;&lt;/contributors&gt;&lt;titles&gt;&lt;title&gt;Mental Health, Report No. 95&lt;/title&gt;&lt;/titles&gt;&lt;dates&gt;&lt;year&gt;2020&lt;/year&gt;&lt;/dates&gt;&lt;pub-location&gt;Canberra&lt;/pub-location&gt;&lt;publisher&gt;Productivity Commission&lt;/publisher&gt;&lt;urls&gt;&lt;/urls&gt;&lt;/record&gt;&lt;/Cite&gt;&lt;/EndNote&gt;</w:instrText>
      </w:r>
      <w:r w:rsidRPr="00CC5EB2">
        <w:rPr>
          <w:color w:val="000000"/>
          <w:lang w:eastAsia="en-AU"/>
        </w:rPr>
        <w:fldChar w:fldCharType="separate"/>
      </w:r>
      <w:r w:rsidRPr="00CC5EB2">
        <w:rPr>
          <w:noProof/>
          <w:color w:val="000000"/>
          <w:vertAlign w:val="superscript"/>
          <w:lang w:eastAsia="en-AU"/>
        </w:rPr>
        <w:t>3</w:t>
      </w:r>
      <w:r w:rsidRPr="00CC5EB2">
        <w:rPr>
          <w:color w:val="000000"/>
          <w:lang w:eastAsia="en-AU"/>
        </w:rPr>
        <w:fldChar w:fldCharType="end"/>
      </w:r>
      <w:r w:rsidRPr="00CC5EB2">
        <w:rPr>
          <w:color w:val="000000"/>
          <w:lang w:eastAsia="en-AU"/>
        </w:rPr>
        <w:t xml:space="preserve"> More specifically, it suggested that a number of additional psychological therapies should be added to the list of approved therapies under Better Access, following review by the Medical Services Advisory Committee (MSAC) and MBS Review Advisory Committee (MRAC) and assuming that they meet National Health and Medical Research Council (NHMRC) Level 1 or 2 evidence</w:t>
      </w:r>
      <w:r>
        <w:rPr>
          <w:color w:val="000000"/>
          <w:lang w:eastAsia="en-AU"/>
        </w:rPr>
        <w:t xml:space="preserve"> standards</w:t>
      </w:r>
      <w:r w:rsidRPr="00CC5EB2">
        <w:rPr>
          <w:color w:val="000000"/>
          <w:lang w:eastAsia="en-AU"/>
        </w:rPr>
        <w:t>.</w:t>
      </w:r>
    </w:p>
    <w:p w14:paraId="492D687D" w14:textId="328725FC" w:rsidR="00E43777" w:rsidRPr="00C95874" w:rsidRDefault="00E43777" w:rsidP="003F6AB7">
      <w:pPr>
        <w:spacing w:before="120" w:after="120" w:line="259" w:lineRule="auto"/>
        <w:rPr>
          <w:rStyle w:val="Strong"/>
        </w:rPr>
      </w:pPr>
      <w:r w:rsidRPr="00C95874">
        <w:rPr>
          <w:rStyle w:val="Strong"/>
        </w:rPr>
        <w:t>Recommendation 4: Additional psychological therapies could be added to the list of approved therapies under Better Access, providing that they meet National Health and Medical Research Council (NHMRC) Level 1 or 2 evidence standards.</w:t>
      </w:r>
    </w:p>
    <w:p w14:paraId="7E637E10" w14:textId="77777777" w:rsidR="00A01898" w:rsidRPr="00C95874" w:rsidRDefault="00A01898" w:rsidP="0016493D">
      <w:pPr>
        <w:pStyle w:val="Heading3"/>
      </w:pPr>
      <w:r w:rsidRPr="00C95874">
        <w:t>Referring people to the most appropriate care</w:t>
      </w:r>
    </w:p>
    <w:p w14:paraId="6A7D4C2B" w14:textId="77777777" w:rsidR="00A01898" w:rsidRPr="00CC5EB2" w:rsidRDefault="00A01898" w:rsidP="003F6AB7">
      <w:pPr>
        <w:spacing w:before="120" w:after="120" w:line="259" w:lineRule="auto"/>
      </w:pPr>
      <w:r w:rsidRPr="00CC5EB2">
        <w:t>As noted above, Studies 1b, 2, 3, 4 and 5 clearly showed that Better Access is delivering care to people with varying needs, ranging from relatively low level to severe and complex. Studies 1b showed that there are inequities in access to care, and that although people with higher levels of need are more likely to receive treatment through Better Access, the absolute numbers of those with relatively lower levels of need are substantial. In addition, although Studies 2, 3, 4 and 5 showed that those with severe and complex mental health conditions benefit from Better Access treatment, Studies 6, 7 and 8 suggested that this group may require additional care, beyond what Better Access offers.</w:t>
      </w:r>
    </w:p>
    <w:p w14:paraId="20C4FFC6" w14:textId="77777777" w:rsidR="00A01898" w:rsidRPr="00CC5EB2" w:rsidRDefault="00A01898" w:rsidP="003F6AB7">
      <w:pPr>
        <w:spacing w:before="120" w:after="120" w:line="259" w:lineRule="auto"/>
        <w:rPr>
          <w:color w:val="000000"/>
          <w:lang w:eastAsia="en-AU"/>
        </w:rPr>
      </w:pPr>
      <w:r w:rsidRPr="00CC5EB2">
        <w:rPr>
          <w:color w:val="000000"/>
          <w:lang w:eastAsia="en-AU"/>
        </w:rPr>
        <w:t xml:space="preserve">Differentiating people </w:t>
      </w:r>
      <w:proofErr w:type="gramStart"/>
      <w:r w:rsidRPr="00CC5EB2">
        <w:rPr>
          <w:color w:val="000000"/>
          <w:lang w:eastAsia="en-AU"/>
        </w:rPr>
        <w:t>on the basis of</w:t>
      </w:r>
      <w:proofErr w:type="gramEnd"/>
      <w:r w:rsidRPr="00CC5EB2">
        <w:rPr>
          <w:color w:val="000000"/>
          <w:lang w:eastAsia="en-AU"/>
        </w:rPr>
        <w:t xml:space="preserve"> their initial level of need in order to direct them to the most appropriate care would be helpful here. One way of doing this, as recommended in the Productivity Commission Inquiry into Mental Health, would be to make use of more rigorous and consistent assessment and referral processes.</w:t>
      </w:r>
      <w:r w:rsidRPr="00CC5EB2">
        <w:rPr>
          <w:color w:val="000000"/>
          <w:lang w:eastAsia="en-AU"/>
        </w:rPr>
        <w:fldChar w:fldCharType="begin"/>
      </w:r>
      <w:r w:rsidRPr="00CC5EB2">
        <w:rPr>
          <w:color w:val="000000"/>
          <w:lang w:eastAsia="en-AU"/>
        </w:rPr>
        <w:instrText xml:space="preserve"> ADDIN EN.CITE &lt;EndNote&gt;&lt;Cite&gt;&lt;Author&gt;Productivity Commission&lt;/Author&gt;&lt;Year&gt;2020&lt;/Year&gt;&lt;RecNum&gt;1182&lt;/RecNum&gt;&lt;DisplayText&gt;&lt;style face="superscript"&gt;3&lt;/style&gt;&lt;/DisplayText&gt;&lt;record&gt;&lt;rec-number&gt;1182&lt;/rec-number&gt;&lt;foreign-keys&gt;&lt;key app="EN" db-id="aepeer0xlwrzpbef0r45aps5xe0r0zpsv59d" timestamp="1651823679"&gt;1182&lt;/key&gt;&lt;/foreign-keys&gt;&lt;ref-type name="Report"&gt;27&lt;/ref-type&gt;&lt;contributors&gt;&lt;authors&gt;&lt;author&gt;Productivity Commission,&lt;/author&gt;&lt;/authors&gt;&lt;/contributors&gt;&lt;titles&gt;&lt;title&gt;Mental Health, Report No. 95&lt;/title&gt;&lt;/titles&gt;&lt;dates&gt;&lt;year&gt;2020&lt;/year&gt;&lt;/dates&gt;&lt;pub-location&gt;Canberra&lt;/pub-location&gt;&lt;publisher&gt;Productivity Commission&lt;/publisher&gt;&lt;urls&gt;&lt;/urls&gt;&lt;/record&gt;&lt;/Cite&gt;&lt;/EndNote&gt;</w:instrText>
      </w:r>
      <w:r w:rsidRPr="00CC5EB2">
        <w:rPr>
          <w:color w:val="000000"/>
          <w:lang w:eastAsia="en-AU"/>
        </w:rPr>
        <w:fldChar w:fldCharType="separate"/>
      </w:r>
      <w:r w:rsidRPr="00CC5EB2">
        <w:rPr>
          <w:noProof/>
          <w:color w:val="000000"/>
          <w:vertAlign w:val="superscript"/>
          <w:lang w:eastAsia="en-AU"/>
        </w:rPr>
        <w:t>3</w:t>
      </w:r>
      <w:r w:rsidRPr="00CC5EB2">
        <w:rPr>
          <w:color w:val="000000"/>
          <w:lang w:eastAsia="en-AU"/>
        </w:rPr>
        <w:fldChar w:fldCharType="end"/>
      </w:r>
      <w:r w:rsidRPr="00CC5EB2">
        <w:rPr>
          <w:color w:val="000000"/>
          <w:lang w:eastAsia="en-AU"/>
        </w:rPr>
        <w:t xml:space="preserve"> Appropriate triage tools could be used to assist GPs in this regard. These would need to simplify the processes, not add to the “red tape” concerns articulated by providers in Study 7.</w:t>
      </w:r>
    </w:p>
    <w:p w14:paraId="30C3735C" w14:textId="77777777" w:rsidR="00A01898" w:rsidRPr="00CC5EB2" w:rsidRDefault="00A01898" w:rsidP="003F6AB7">
      <w:pPr>
        <w:spacing w:before="120" w:after="120" w:line="259" w:lineRule="auto"/>
        <w:rPr>
          <w:color w:val="000000"/>
          <w:lang w:eastAsia="en-AU"/>
        </w:rPr>
      </w:pPr>
      <w:r w:rsidRPr="00CC5EB2">
        <w:rPr>
          <w:color w:val="000000"/>
          <w:lang w:eastAsia="en-AU"/>
        </w:rPr>
        <w:t>Primary mental health care triage tools already exist, with the Initial Assessment and Referral Decision Support Tool (IAR-DST)</w:t>
      </w:r>
      <w:r w:rsidRPr="00CC5EB2">
        <w:rPr>
          <w:color w:val="000000"/>
          <w:lang w:eastAsia="en-AU"/>
        </w:rPr>
        <w:fldChar w:fldCharType="begin"/>
      </w:r>
      <w:r w:rsidRPr="00CC5EB2">
        <w:rPr>
          <w:color w:val="000000"/>
          <w:lang w:eastAsia="en-AU"/>
        </w:rPr>
        <w:instrText xml:space="preserve"> ADDIN EN.CITE &lt;EndNote&gt;&lt;Cite&gt;&lt;Author&gt;Department of Health and Aged Care&lt;/Author&gt;&lt;Year&gt;2022&lt;/Year&gt;&lt;RecNum&gt;1234&lt;/RecNum&gt;&lt;DisplayText&gt;&lt;style face="superscript"&gt;8&lt;/style&gt;&lt;/DisplayText&gt;&lt;record&gt;&lt;rec-number&gt;1234&lt;/rec-number&gt;&lt;foreign-keys&gt;&lt;key app="EN" db-id="aepeer0xlwrzpbef0r45aps5xe0r0zpsv59d" timestamp="1667521630"&gt;1234&lt;/key&gt;&lt;/foreign-keys&gt;&lt;ref-type name="Web Page"&gt;12&lt;/ref-type&gt;&lt;contributors&gt;&lt;authors&gt;&lt;author&gt;Department of Health and Aged Care,&lt;/author&gt;&lt;/authors&gt;&lt;/contributors&gt;&lt;titles&gt;&lt;title&gt;Initial Assessment and Referral Decision Support Tool (v1.05)&lt;/title&gt;&lt;/titles&gt;&lt;number&gt;4 November 2022)&lt;/number&gt;&lt;dates&gt;&lt;year&gt;2022&lt;/year&gt;&lt;/dates&gt;&lt;pub-location&gt;Canberra&lt;/pub-location&gt;&lt;publisher&gt;Department of Health and Aged Care&lt;/publisher&gt;&lt;urls&gt;&lt;related-urls&gt;&lt;url&gt;https://iar-dst.online/#/&lt;/url&gt;&lt;/related-urls&gt;&lt;/urls&gt;&lt;/record&gt;&lt;/Cite&gt;&lt;/EndNote&gt;</w:instrText>
      </w:r>
      <w:r w:rsidRPr="00CC5EB2">
        <w:rPr>
          <w:color w:val="000000"/>
          <w:lang w:eastAsia="en-AU"/>
        </w:rPr>
        <w:fldChar w:fldCharType="separate"/>
      </w:r>
      <w:r w:rsidRPr="00CC5EB2">
        <w:rPr>
          <w:noProof/>
          <w:color w:val="000000"/>
          <w:vertAlign w:val="superscript"/>
          <w:lang w:eastAsia="en-AU"/>
        </w:rPr>
        <w:t>8</w:t>
      </w:r>
      <w:r w:rsidRPr="00CC5EB2">
        <w:rPr>
          <w:color w:val="000000"/>
          <w:lang w:eastAsia="en-AU"/>
        </w:rPr>
        <w:fldChar w:fldCharType="end"/>
      </w:r>
      <w:r w:rsidRPr="00CC5EB2">
        <w:rPr>
          <w:color w:val="000000"/>
          <w:lang w:eastAsia="en-AU"/>
        </w:rPr>
        <w:t xml:space="preserve"> being one example. The IAR-DST offers a standardised, evidence-based approach to assist GPs and mental health care providers to make recommendations about the most appropriate care based on a consumer’s level of need. It is designed to complement clinical judgement by assessing consumers on eight objective domains (symptom severity and distress; risk of harm; impact on </w:t>
      </w:r>
      <w:r w:rsidRPr="00CC5EB2">
        <w:rPr>
          <w:color w:val="000000"/>
          <w:lang w:eastAsia="en-AU"/>
        </w:rPr>
        <w:lastRenderedPageBreak/>
        <w:t xml:space="preserve">functioning; impact of co-existing conditions; treatment and recovery history; social and environmental stressors; family and other supports; and engagement and motivation). The IAR-DST then uses this assessment to match consumers </w:t>
      </w:r>
      <w:r>
        <w:rPr>
          <w:color w:val="000000"/>
          <w:lang w:eastAsia="en-AU"/>
        </w:rPr>
        <w:t xml:space="preserve">to </w:t>
      </w:r>
      <w:r w:rsidRPr="00CC5EB2">
        <w:rPr>
          <w:color w:val="000000"/>
          <w:lang w:eastAsia="en-AU"/>
        </w:rPr>
        <w:t xml:space="preserve">one of five levels of care (self-management; low intensity; moderate intensity; high intensity; and acute and specialist). Psychological services provided through Better Access would typically be regarded as moderate to high intensity. The IAR-DST is currently being rolled out across </w:t>
      </w:r>
      <w:proofErr w:type="gramStart"/>
      <w:r w:rsidRPr="00CC5EB2">
        <w:rPr>
          <w:color w:val="000000"/>
          <w:lang w:eastAsia="en-AU"/>
        </w:rPr>
        <w:t>a number of</w:t>
      </w:r>
      <w:proofErr w:type="gramEnd"/>
      <w:r w:rsidRPr="00CC5EB2">
        <w:rPr>
          <w:color w:val="000000"/>
          <w:lang w:eastAsia="en-AU"/>
        </w:rPr>
        <w:t xml:space="preserve"> primary mental health care settings, including in GP</w:t>
      </w:r>
      <w:r>
        <w:rPr>
          <w:color w:val="000000"/>
          <w:lang w:eastAsia="en-AU"/>
        </w:rPr>
        <w:t>s’</w:t>
      </w:r>
      <w:r w:rsidRPr="00CC5EB2">
        <w:rPr>
          <w:color w:val="000000"/>
          <w:lang w:eastAsia="en-AU"/>
        </w:rPr>
        <w:t xml:space="preserve"> practices and Primary Health Networks (PHNs) which use it to guide a stepped care approach. </w:t>
      </w:r>
    </w:p>
    <w:p w14:paraId="462DADBC" w14:textId="77777777" w:rsidR="00A01898" w:rsidRPr="00CC5EB2" w:rsidRDefault="00A01898" w:rsidP="003F6AB7">
      <w:pPr>
        <w:spacing w:after="120" w:line="259" w:lineRule="auto"/>
        <w:rPr>
          <w:color w:val="000000"/>
          <w:lang w:eastAsia="en-AU"/>
        </w:rPr>
      </w:pPr>
      <w:r w:rsidRPr="00CC5EB2">
        <w:rPr>
          <w:color w:val="000000"/>
          <w:lang w:eastAsia="en-AU"/>
        </w:rPr>
        <w:t xml:space="preserve">If a tool like the IAR-DST was incorporated into practice management software used by GPs it could potentially be used to inform and better target the mental health treatment plan (see Recommendation 7). Appropriate training and support for GPs would also be required. </w:t>
      </w:r>
      <w:r w:rsidRPr="00CC5EB2">
        <w:t xml:space="preserve">There was funding allocated in the 2021-22 Budget to integrate the IAR-DST into practice management software, and </w:t>
      </w:r>
      <w:r w:rsidRPr="00CC5EB2">
        <w:rPr>
          <w:color w:val="000000"/>
          <w:lang w:eastAsia="en-AU"/>
        </w:rPr>
        <w:t xml:space="preserve">the current initiative to provide Training Support Officers to promote the IAR-DST could be extended to align with Better Access. Consideration would also need to be given to how GPs would be recompensed for </w:t>
      </w:r>
      <w:r>
        <w:rPr>
          <w:color w:val="000000"/>
          <w:lang w:eastAsia="en-AU"/>
        </w:rPr>
        <w:t xml:space="preserve">appropriate triage and referral </w:t>
      </w:r>
      <w:r w:rsidRPr="00CC5EB2">
        <w:rPr>
          <w:color w:val="000000"/>
          <w:lang w:eastAsia="en-AU"/>
        </w:rPr>
        <w:t>(e.g., replacing the item numbers that currently relate to the preparation of a mental health treatment plan with broader mental health assessment, planning and referral items).</w:t>
      </w:r>
    </w:p>
    <w:p w14:paraId="734E0C16" w14:textId="530C8003" w:rsidR="00A01898" w:rsidRDefault="00A01898" w:rsidP="003F6AB7">
      <w:pPr>
        <w:spacing w:after="120" w:line="259" w:lineRule="auto"/>
        <w:rPr>
          <w:color w:val="000000"/>
          <w:lang w:eastAsia="en-AU"/>
        </w:rPr>
      </w:pPr>
      <w:r w:rsidRPr="00CC5EB2">
        <w:rPr>
          <w:color w:val="000000"/>
          <w:lang w:eastAsia="en-AU"/>
        </w:rPr>
        <w:t>In addition to boosting the infrastructure and providing training and support for the IAR-DST, GPs (and other referrers) would need to be supported to refer to the most appropriate provider or service, perhaps with the assistance of up-to-date service directories. Allied health professionals providing services within Better Access could be listed by their profession, scopes of practice and specialist skills. This would potentially raise the profile of social workers and occupational therapists, noted as an issue by providers in Study 7. Outside Better Access, special consideration should be given to listing low intensity services here, with digital services that meet the National Safety and Quality Digital Mental Health Standards</w:t>
      </w:r>
      <w:r w:rsidRPr="00CC5EB2">
        <w:rPr>
          <w:color w:val="000000"/>
          <w:lang w:eastAsia="en-AU"/>
        </w:rPr>
        <w:fldChar w:fldCharType="begin"/>
      </w:r>
      <w:r w:rsidRPr="00CC5EB2">
        <w:rPr>
          <w:color w:val="000000"/>
          <w:lang w:eastAsia="en-AU"/>
        </w:rPr>
        <w:instrText xml:space="preserve"> ADDIN EN.CITE &lt;EndNote&gt;&lt;Cite&gt;&lt;Author&gt;Australian Commission on Safety and Quality in Health Care&lt;/Author&gt;&lt;Year&gt;2022&lt;/Year&gt;&lt;RecNum&gt;1241&lt;/RecNum&gt;&lt;DisplayText&gt;&lt;style face="superscript"&gt;9&lt;/style&gt;&lt;/DisplayText&gt;&lt;record&gt;&lt;rec-number&gt;1241&lt;/rec-number&gt;&lt;foreign-keys&gt;&lt;key app="EN" db-id="aepeer0xlwrzpbef0r45aps5xe0r0zpsv59d" timestamp="1668296985"&gt;1241&lt;/key&gt;&lt;/foreign-keys&gt;&lt;ref-type name="Web Page"&gt;12&lt;/ref-type&gt;&lt;contributors&gt;&lt;authors&gt;&lt;author&gt;Australian Commission on Safety and Quality in Health Care,&lt;/author&gt;&lt;/authors&gt;&lt;/contributors&gt;&lt;titles&gt;&lt;title&gt;National Safety and Quality Digital Mental Health Standards&lt;/title&gt;&lt;/titles&gt;&lt;number&gt;13 November 2022)&lt;/number&gt;&lt;dates&gt;&lt;year&gt;2022&lt;/year&gt;&lt;/dates&gt;&lt;urls&gt;&lt;related-urls&gt;&lt;url&gt;https://www.safetyandquality.gov.au/standards/national-safety-and-quality-digital-mental-health-standards#:~:text=The%20three%20NSQDMH%20Standards%20include,digital%20mental%20health%20service%20providers.&lt;/url&gt;&lt;/related-urls&gt;&lt;/urls&gt;&lt;/record&gt;&lt;/Cite&gt;&lt;/EndNote&gt;</w:instrText>
      </w:r>
      <w:r w:rsidRPr="00CC5EB2">
        <w:rPr>
          <w:color w:val="000000"/>
          <w:lang w:eastAsia="en-AU"/>
        </w:rPr>
        <w:fldChar w:fldCharType="separate"/>
      </w:r>
      <w:r w:rsidRPr="00CC5EB2">
        <w:rPr>
          <w:noProof/>
          <w:color w:val="000000"/>
          <w:vertAlign w:val="superscript"/>
          <w:lang w:eastAsia="en-AU"/>
        </w:rPr>
        <w:t>9</w:t>
      </w:r>
      <w:r w:rsidRPr="00CC5EB2">
        <w:rPr>
          <w:color w:val="000000"/>
          <w:lang w:eastAsia="en-AU"/>
        </w:rPr>
        <w:fldChar w:fldCharType="end"/>
      </w:r>
      <w:r w:rsidRPr="00CC5EB2">
        <w:rPr>
          <w:color w:val="000000"/>
          <w:lang w:eastAsia="en-AU"/>
        </w:rPr>
        <w:t xml:space="preserve"> being </w:t>
      </w:r>
      <w:r>
        <w:rPr>
          <w:color w:val="000000"/>
          <w:lang w:eastAsia="en-AU"/>
        </w:rPr>
        <w:t xml:space="preserve">given preference </w:t>
      </w:r>
      <w:r w:rsidRPr="00CC5EB2">
        <w:rPr>
          <w:color w:val="000000"/>
          <w:lang w:eastAsia="en-AU"/>
        </w:rPr>
        <w:t xml:space="preserve">and promoted. </w:t>
      </w:r>
    </w:p>
    <w:p w14:paraId="730B1967" w14:textId="28BDB0B3" w:rsidR="00E43777" w:rsidRPr="00E43777" w:rsidRDefault="00E43777" w:rsidP="003F6AB7">
      <w:pPr>
        <w:spacing w:before="120" w:after="120" w:line="259" w:lineRule="auto"/>
        <w:rPr>
          <w:rStyle w:val="Strong"/>
        </w:rPr>
      </w:pPr>
      <w:r w:rsidRPr="00E43777">
        <w:rPr>
          <w:rStyle w:val="Strong"/>
        </w:rPr>
        <w:t xml:space="preserve">Recommendation 5: A tool like the Initial Assessment and Referral Decision Support Tool (IAR-DST) could be used to inform and better target the mental health treatment plan, </w:t>
      </w:r>
      <w:proofErr w:type="gramStart"/>
      <w:r w:rsidRPr="00E43777">
        <w:rPr>
          <w:rStyle w:val="Strong"/>
        </w:rPr>
        <w:t>in order to</w:t>
      </w:r>
      <w:proofErr w:type="gramEnd"/>
      <w:r w:rsidRPr="00E43777">
        <w:rPr>
          <w:rStyle w:val="Strong"/>
        </w:rPr>
        <w:t xml:space="preserve"> direct people towards (or potentially away from) Better Access services based on their level of need. Appropriate training and support for GPs would be required, as would suitable mechanisms for recompensing GPs for appropriate triage and referral.</w:t>
      </w:r>
    </w:p>
    <w:p w14:paraId="37C520AA" w14:textId="616592CF" w:rsidR="00E43777" w:rsidRPr="00E43777" w:rsidRDefault="00E43777" w:rsidP="003F6AB7">
      <w:pPr>
        <w:spacing w:before="120" w:after="120" w:line="259" w:lineRule="auto"/>
        <w:rPr>
          <w:rStyle w:val="Strong"/>
        </w:rPr>
      </w:pPr>
      <w:r w:rsidRPr="00E43777">
        <w:rPr>
          <w:rStyle w:val="Strong"/>
        </w:rPr>
        <w:t>Recommendation 6: GPs should be supported to refer to the most appropriate providers within Better Access and to a broader range of services (particularly low intensity services) outside it. Up-to-date service directories that list allied health professionals providing services within Better Access and point to high quality digital services might be one means of doing this.</w:t>
      </w:r>
    </w:p>
    <w:p w14:paraId="2480C67C" w14:textId="77777777" w:rsidR="00A01898" w:rsidRPr="00C95874" w:rsidRDefault="00A01898" w:rsidP="0016493D">
      <w:pPr>
        <w:pStyle w:val="Heading3"/>
      </w:pPr>
      <w:r w:rsidRPr="00C95874">
        <w:t>Fostering communication and collaboration between providers</w:t>
      </w:r>
    </w:p>
    <w:p w14:paraId="13ECB103" w14:textId="77777777" w:rsidR="00A01898" w:rsidRPr="00CC5EB2" w:rsidRDefault="00A01898" w:rsidP="003F6AB7">
      <w:pPr>
        <w:spacing w:before="120" w:after="120" w:line="259" w:lineRule="auto"/>
      </w:pPr>
      <w:r w:rsidRPr="00CC5EB2">
        <w:t>The evaluation suggested that good communication between providers is key to optimal care. Allied health professionals in Study 7 commonly cited barriers related to communication and collaboration. Around 70% of all allied health professionals noted that good communication with referrers was a facilitator to provision of quality care. GPs also commonly noted that good communication with relevant allied health professionals and good documentation from these professionals were key facilitators.</w:t>
      </w:r>
    </w:p>
    <w:p w14:paraId="570B3C96" w14:textId="77777777" w:rsidR="00A01898" w:rsidRPr="00CC5EB2" w:rsidRDefault="00A01898" w:rsidP="003F6AB7">
      <w:pPr>
        <w:spacing w:before="120" w:after="120" w:line="259" w:lineRule="auto"/>
        <w:rPr>
          <w:color w:val="000000"/>
          <w:lang w:eastAsia="en-AU"/>
        </w:rPr>
      </w:pPr>
      <w:r w:rsidRPr="00CC5EB2">
        <w:t xml:space="preserve">Fostering good communication between GPs and allied health professionals operating within Better Access and other providers delivering services outside Better Access is critical for holistic, person-centred care (see Recommendation 1). </w:t>
      </w:r>
      <w:r w:rsidRPr="00CC5EB2">
        <w:rPr>
          <w:color w:val="000000"/>
          <w:lang w:eastAsia="en-AU"/>
        </w:rPr>
        <w:t xml:space="preserve">The mental health treatment plan is a </w:t>
      </w:r>
      <w:proofErr w:type="gramStart"/>
      <w:r w:rsidRPr="00CC5EB2">
        <w:rPr>
          <w:color w:val="000000"/>
          <w:lang w:eastAsia="en-AU"/>
        </w:rPr>
        <w:t>key way</w:t>
      </w:r>
      <w:proofErr w:type="gramEnd"/>
      <w:r w:rsidRPr="00CC5EB2">
        <w:rPr>
          <w:color w:val="000000"/>
          <w:lang w:eastAsia="en-AU"/>
        </w:rPr>
        <w:t xml:space="preserve"> of ensuring that all providers and the consumer themselves are “on the same page”. The benefits of the mental health treatment plan should be retained but </w:t>
      </w:r>
      <w:r>
        <w:rPr>
          <w:color w:val="000000"/>
          <w:lang w:eastAsia="en-AU"/>
        </w:rPr>
        <w:t xml:space="preserve">it </w:t>
      </w:r>
      <w:r w:rsidRPr="00CC5EB2">
        <w:rPr>
          <w:color w:val="000000"/>
          <w:lang w:eastAsia="en-AU"/>
        </w:rPr>
        <w:t xml:space="preserve">should be standardised, </w:t>
      </w:r>
      <w:proofErr w:type="gramStart"/>
      <w:r w:rsidRPr="00CC5EB2">
        <w:rPr>
          <w:color w:val="000000"/>
          <w:lang w:eastAsia="en-AU"/>
        </w:rPr>
        <w:t>simplified</w:t>
      </w:r>
      <w:proofErr w:type="gramEnd"/>
      <w:r w:rsidRPr="00CC5EB2">
        <w:rPr>
          <w:color w:val="000000"/>
          <w:lang w:eastAsia="en-AU"/>
        </w:rPr>
        <w:t xml:space="preserve"> and used to help GPs understand the needs of individual consumers and work collaboratively with other providers to meet these needs, rather than just as a requirement for referring them to Better Access. Appropriate funding mechanisms would need to be in place to achieve this.</w:t>
      </w:r>
    </w:p>
    <w:p w14:paraId="1D03A8DD" w14:textId="0CF463A9" w:rsidR="00A01898" w:rsidRDefault="00A01898" w:rsidP="003F6AB7">
      <w:pPr>
        <w:spacing w:before="120" w:after="120" w:line="259" w:lineRule="auto"/>
        <w:rPr>
          <w:color w:val="000000"/>
          <w:lang w:eastAsia="en-AU"/>
        </w:rPr>
      </w:pPr>
      <w:r w:rsidRPr="00CC5EB2">
        <w:rPr>
          <w:color w:val="000000"/>
          <w:lang w:eastAsia="en-AU"/>
        </w:rPr>
        <w:lastRenderedPageBreak/>
        <w:t>The case conferencing item numbers announced in the 2022-23 October Federal Budget are also likely to be helpful in promoting good communication and shared care between providers. These new item numbers will enable the various providers who are involved in a consumer’s treatment to provide more collaborative care. It will be important to consider how these item numbers might operate relative to existing chronic disease management case conferencing item numbers. Once they are introduced, the uptake and impact of these item numbers for providers and consumers should be monitored.</w:t>
      </w:r>
    </w:p>
    <w:p w14:paraId="06023280" w14:textId="358BAD29" w:rsidR="00E43777" w:rsidRPr="00C95874" w:rsidRDefault="00E43777" w:rsidP="003F6AB7">
      <w:pPr>
        <w:spacing w:before="120" w:after="120" w:line="259" w:lineRule="auto"/>
        <w:rPr>
          <w:rStyle w:val="Strong"/>
        </w:rPr>
      </w:pPr>
      <w:r w:rsidRPr="00C95874">
        <w:rPr>
          <w:rStyle w:val="Strong"/>
        </w:rPr>
        <w:t xml:space="preserve">Recommendation 7: The mental health treatment plan should be retained but should be standardised, </w:t>
      </w:r>
      <w:proofErr w:type="gramStart"/>
      <w:r w:rsidRPr="00C95874">
        <w:rPr>
          <w:rStyle w:val="Strong"/>
        </w:rPr>
        <w:t>simplified</w:t>
      </w:r>
      <w:proofErr w:type="gramEnd"/>
      <w:r w:rsidRPr="00C95874">
        <w:rPr>
          <w:rStyle w:val="Strong"/>
        </w:rPr>
        <w:t xml:space="preserve"> and used to help GPs understand the needs of individual consumers and work collaboratively with other providers to meet these needs, rather than just being a requirement for referring consumers to Better Access. Appropriate funding mechanisms will need to be in place to achieve this.</w:t>
      </w:r>
    </w:p>
    <w:p w14:paraId="06745E6C" w14:textId="73EDF686" w:rsidR="00E43777" w:rsidRPr="00CC5EB2" w:rsidRDefault="00E43777" w:rsidP="003F6AB7">
      <w:pPr>
        <w:spacing w:before="120" w:after="120" w:line="259" w:lineRule="auto"/>
        <w:rPr>
          <w:color w:val="000000"/>
          <w:lang w:eastAsia="en-AU"/>
        </w:rPr>
      </w:pPr>
      <w:r w:rsidRPr="00C95874">
        <w:rPr>
          <w:rStyle w:val="Strong"/>
        </w:rPr>
        <w:t>Recommendation 8: The case conferencing item numbers announced in the 2022-23 October Federal Budget should also be used as a way of fostering more collaborative care. The uptake and impact of these item numbers should be monitored</w:t>
      </w:r>
      <w:r>
        <w:rPr>
          <w:b/>
          <w:color w:val="000000"/>
          <w:lang w:eastAsia="en-AU"/>
        </w:rPr>
        <w:t>.</w:t>
      </w:r>
    </w:p>
    <w:p w14:paraId="3DC487BD" w14:textId="77777777" w:rsidR="00A01898" w:rsidRPr="00C95874" w:rsidRDefault="00A01898" w:rsidP="0016493D">
      <w:pPr>
        <w:pStyle w:val="Heading3"/>
      </w:pPr>
      <w:r w:rsidRPr="00C95874">
        <w:t>Affordability</w:t>
      </w:r>
    </w:p>
    <w:p w14:paraId="62C75B80" w14:textId="77777777" w:rsidR="00A01898" w:rsidRPr="00CC5EB2" w:rsidRDefault="00A01898" w:rsidP="003F6AB7">
      <w:pPr>
        <w:spacing w:before="120" w:after="120" w:line="259" w:lineRule="auto"/>
        <w:rPr>
          <w:color w:val="000000"/>
          <w:lang w:eastAsia="en-AU"/>
        </w:rPr>
      </w:pPr>
      <w:r w:rsidRPr="00CC5EB2">
        <w:rPr>
          <w:color w:val="000000"/>
          <w:lang w:eastAsia="en-AU"/>
        </w:rPr>
        <w:t xml:space="preserve">A key finding from the evaluation was that although Better Access has enabled many people to access mental health care who otherwise may not have been able to do so, affordability is an issue. Studies 1a and 1b showed that those on low incomes are less likely to use Better Access, with Study 1b indicating that this is despite their relatively higher levels of need. </w:t>
      </w:r>
      <w:r>
        <w:rPr>
          <w:color w:val="000000"/>
          <w:lang w:eastAsia="en-AU"/>
        </w:rPr>
        <w:t xml:space="preserve">Study 1b also showed that people on low incomes are less likely to receive treatment following a mental health plan than their wealthier counterparts, and to wait longer for their first treatment session if the mental health plan is followed by treatment. </w:t>
      </w:r>
      <w:r w:rsidRPr="00CC5EB2">
        <w:rPr>
          <w:color w:val="000000"/>
          <w:lang w:eastAsia="en-AU"/>
        </w:rPr>
        <w:t xml:space="preserve">This </w:t>
      </w:r>
      <w:r>
        <w:rPr>
          <w:color w:val="000000"/>
          <w:lang w:eastAsia="en-AU"/>
        </w:rPr>
        <w:t xml:space="preserve">poorer access to treatment </w:t>
      </w:r>
      <w:r w:rsidRPr="00CC5EB2">
        <w:rPr>
          <w:color w:val="000000"/>
          <w:lang w:eastAsia="en-AU"/>
        </w:rPr>
        <w:t xml:space="preserve">is likely to have been exacerbated recently by increases in the out-of-pocket costs that are borne by consumers (with Study 1a demonstrating that the median co-payment for any Better Access treatment service increased from $74 per session in 2021 to $90 per session in 2022). Participants in Studies 3, 6, 7 and 8 all indicated that the affordability of Better Access was a major concern, with Study 8 participants ranking improvements to affordability as the single highest priority for future reforms to the program. </w:t>
      </w:r>
    </w:p>
    <w:p w14:paraId="5D7BFE68" w14:textId="77777777" w:rsidR="00A01898" w:rsidRPr="00CC5EB2" w:rsidRDefault="00A01898" w:rsidP="003F6AB7">
      <w:pPr>
        <w:spacing w:before="120" w:after="120" w:line="259" w:lineRule="auto"/>
        <w:rPr>
          <w:color w:val="000000"/>
          <w:lang w:eastAsia="en-AU"/>
        </w:rPr>
      </w:pPr>
      <w:r w:rsidRPr="00CC5EB2">
        <w:rPr>
          <w:color w:val="000000"/>
          <w:lang w:eastAsia="en-AU"/>
        </w:rPr>
        <w:t xml:space="preserve">Providers in Study 8 noted that they have been forced to set their own fees above schedule fee levels because the schedule fees associated with Better Access treatment services are too low. They indicated that schedule fees have not always kept pace with indexation, and that the costs of running private practices as small businesses have risen. This has had an impact on out-of-pocket costs for consumers (because they pay a co-payment up to or beyond the schedule fee, depending on whether the provider charges more than the schedule fee). Schedule fees associated with Better Access item numbers should be </w:t>
      </w:r>
      <w:r>
        <w:rPr>
          <w:color w:val="000000"/>
          <w:lang w:eastAsia="en-AU"/>
        </w:rPr>
        <w:t xml:space="preserve">reviewed in a </w:t>
      </w:r>
      <w:r w:rsidRPr="00CC5EB2">
        <w:rPr>
          <w:color w:val="000000"/>
          <w:lang w:eastAsia="en-AU"/>
        </w:rPr>
        <w:t>manner that is consistent with the MBS Review Taskforce recommendation that the approach to setting (and re-setting) schedule fees be standardised and made more transparent.</w:t>
      </w:r>
      <w:r w:rsidRPr="00CC5EB2">
        <w:rPr>
          <w:color w:val="000000"/>
          <w:lang w:eastAsia="en-AU"/>
        </w:rPr>
        <w:fldChar w:fldCharType="begin"/>
      </w:r>
      <w:r w:rsidRPr="00CC5EB2">
        <w:rPr>
          <w:color w:val="000000"/>
          <w:lang w:eastAsia="en-AU"/>
        </w:rPr>
        <w:instrText xml:space="preserve"> ADDIN EN.CITE &lt;EndNote&gt;&lt;Cite&gt;&lt;Author&gt;Medicare Benefits Schedule Review Taskforce&lt;/Author&gt;&lt;Year&gt;2020&lt;/Year&gt;&lt;RecNum&gt;1181&lt;/RecNum&gt;&lt;DisplayText&gt;&lt;style face="superscript"&gt;7&lt;/style&gt;&lt;/DisplayText&gt;&lt;record&gt;&lt;rec-number&gt;1181&lt;/rec-number&gt;&lt;foreign-keys&gt;&lt;key app="EN" db-id="aepeer0xlwrzpbef0r45aps5xe0r0zpsv59d" timestamp="1651823678"&gt;1181&lt;/key&gt;&lt;/foreign-keys&gt;&lt;ref-type name="Report"&gt;27&lt;/ref-type&gt;&lt;contributors&gt;&lt;authors&gt;&lt;author&gt;Medicare Benefits Schedule Review Taskforce,&lt;/author&gt;&lt;/authors&gt;&lt;/contributors&gt;&lt;titles&gt;&lt;title&gt;An MBS for the 21st Century: Recommendations, Learnings and Ideas for the Future&lt;/title&gt;&lt;/titles&gt;&lt;dates&gt;&lt;year&gt;2020&lt;/year&gt;&lt;/dates&gt;&lt;pub-location&gt;Canberra&lt;/pub-location&gt;&lt;publisher&gt;Medicare Benefits Schedule Review Taskforce&lt;/publisher&gt;&lt;urls&gt;&lt;/urls&gt;&lt;/record&gt;&lt;/Cite&gt;&lt;/EndNote&gt;</w:instrText>
      </w:r>
      <w:r w:rsidRPr="00CC5EB2">
        <w:rPr>
          <w:color w:val="000000"/>
          <w:lang w:eastAsia="en-AU"/>
        </w:rPr>
        <w:fldChar w:fldCharType="separate"/>
      </w:r>
      <w:r w:rsidRPr="00CC5EB2">
        <w:rPr>
          <w:noProof/>
          <w:color w:val="000000"/>
          <w:vertAlign w:val="superscript"/>
          <w:lang w:eastAsia="en-AU"/>
        </w:rPr>
        <w:t>7</w:t>
      </w:r>
      <w:r w:rsidRPr="00CC5EB2">
        <w:rPr>
          <w:color w:val="000000"/>
          <w:lang w:eastAsia="en-AU"/>
        </w:rPr>
        <w:fldChar w:fldCharType="end"/>
      </w:r>
    </w:p>
    <w:p w14:paraId="232BFFE6" w14:textId="77777777" w:rsidR="00A01898" w:rsidRPr="00CC5EB2" w:rsidRDefault="00A01898" w:rsidP="003F6AB7">
      <w:pPr>
        <w:spacing w:before="120" w:after="120" w:line="259" w:lineRule="auto"/>
        <w:rPr>
          <w:color w:val="000000"/>
          <w:lang w:eastAsia="en-AU"/>
        </w:rPr>
      </w:pPr>
      <w:r w:rsidRPr="00CC5EB2">
        <w:rPr>
          <w:color w:val="000000"/>
          <w:lang w:eastAsia="en-AU"/>
        </w:rPr>
        <w:t>The MBS Review Taskforce also</w:t>
      </w:r>
      <w:r w:rsidRPr="00CC5EB2">
        <w:rPr>
          <w:b/>
          <w:bCs/>
          <w:color w:val="000000"/>
          <w:lang w:eastAsia="en-AU"/>
        </w:rPr>
        <w:t xml:space="preserve"> </w:t>
      </w:r>
      <w:r w:rsidRPr="00CC5EB2">
        <w:rPr>
          <w:color w:val="000000"/>
          <w:lang w:eastAsia="en-AU"/>
        </w:rPr>
        <w:t>recommended a range of actions to address rising out-of-pocket costs,</w:t>
      </w:r>
      <w:r w:rsidRPr="00CC5EB2">
        <w:rPr>
          <w:color w:val="000000"/>
          <w:lang w:eastAsia="en-AU"/>
        </w:rPr>
        <w:fldChar w:fldCharType="begin"/>
      </w:r>
      <w:r w:rsidRPr="00CC5EB2">
        <w:rPr>
          <w:color w:val="000000"/>
          <w:lang w:eastAsia="en-AU"/>
        </w:rPr>
        <w:instrText xml:space="preserve"> ADDIN EN.CITE &lt;EndNote&gt;&lt;Cite&gt;&lt;Author&gt;Medicare Benefits Schedule Review Taskforce&lt;/Author&gt;&lt;Year&gt;2020&lt;/Year&gt;&lt;RecNum&gt;1181&lt;/RecNum&gt;&lt;DisplayText&gt;&lt;style face="superscript"&gt;7&lt;/style&gt;&lt;/DisplayText&gt;&lt;record&gt;&lt;rec-number&gt;1181&lt;/rec-number&gt;&lt;foreign-keys&gt;&lt;key app="EN" db-id="aepeer0xlwrzpbef0r45aps5xe0r0zpsv59d" timestamp="1651823678"&gt;1181&lt;/key&gt;&lt;/foreign-keys&gt;&lt;ref-type name="Report"&gt;27&lt;/ref-type&gt;&lt;contributors&gt;&lt;authors&gt;&lt;author&gt;Medicare Benefits Schedule Review Taskforce,&lt;/author&gt;&lt;/authors&gt;&lt;/contributors&gt;&lt;titles&gt;&lt;title&gt;An MBS for the 21st Century: Recommendations, Learnings and Ideas for the Future&lt;/title&gt;&lt;/titles&gt;&lt;dates&gt;&lt;year&gt;2020&lt;/year&gt;&lt;/dates&gt;&lt;pub-location&gt;Canberra&lt;/pub-location&gt;&lt;publisher&gt;Medicare Benefits Schedule Review Taskforce&lt;/publisher&gt;&lt;urls&gt;&lt;/urls&gt;&lt;/record&gt;&lt;/Cite&gt;&lt;/EndNote&gt;</w:instrText>
      </w:r>
      <w:r w:rsidRPr="00CC5EB2">
        <w:rPr>
          <w:color w:val="000000"/>
          <w:lang w:eastAsia="en-AU"/>
        </w:rPr>
        <w:fldChar w:fldCharType="separate"/>
      </w:r>
      <w:r w:rsidRPr="00CC5EB2">
        <w:rPr>
          <w:noProof/>
          <w:color w:val="000000"/>
          <w:vertAlign w:val="superscript"/>
          <w:lang w:eastAsia="en-AU"/>
        </w:rPr>
        <w:t>7</w:t>
      </w:r>
      <w:r w:rsidRPr="00CC5EB2">
        <w:rPr>
          <w:color w:val="000000"/>
          <w:lang w:eastAsia="en-AU"/>
        </w:rPr>
        <w:fldChar w:fldCharType="end"/>
      </w:r>
      <w:r w:rsidRPr="00CC5EB2">
        <w:rPr>
          <w:color w:val="000000"/>
          <w:lang w:eastAsia="en-AU"/>
        </w:rPr>
        <w:t xml:space="preserve"> many of which are now being considered by the Strengthening Medicare Taskforce.</w:t>
      </w:r>
      <w:r w:rsidRPr="00CC5EB2">
        <w:rPr>
          <w:color w:val="000000"/>
          <w:lang w:eastAsia="en-AU"/>
        </w:rPr>
        <w:fldChar w:fldCharType="begin"/>
      </w:r>
      <w:r w:rsidRPr="00CC5EB2">
        <w:rPr>
          <w:color w:val="000000"/>
          <w:lang w:eastAsia="en-AU"/>
        </w:rPr>
        <w:instrText xml:space="preserve"> ADDIN EN.CITE &lt;EndNote&gt;&lt;Cite&gt;&lt;Author&gt;Australian Government Department of Health&lt;/Author&gt;&lt;Year&gt;2022&lt;/Year&gt;&lt;RecNum&gt;1243&lt;/RecNum&gt;&lt;DisplayText&gt;&lt;style face="superscript"&gt;10&lt;/style&gt;&lt;/DisplayText&gt;&lt;record&gt;&lt;rec-number&gt;1243&lt;/rec-number&gt;&lt;foreign-keys&gt;&lt;key app="EN" db-id="aepeer0xlwrzpbef0r45aps5xe0r0zpsv59d" timestamp="1668546458"&gt;1243&lt;/key&gt;&lt;/foreign-keys&gt;&lt;ref-type name="Web Page"&gt;12&lt;/ref-type&gt;&lt;contributors&gt;&lt;authors&gt;&lt;author&gt;Australian Government Department of Health,&lt;/author&gt;&lt;/authors&gt;&lt;/contributors&gt;&lt;titles&gt;&lt;title&gt;Strengthening Medicare Taskforce&lt;/title&gt;&lt;/titles&gt;&lt;number&gt;16 November 2022)&lt;/number&gt;&lt;dates&gt;&lt;year&gt;2022&lt;/year&gt;&lt;/dates&gt;&lt;urls&gt;&lt;related-urls&gt;&lt;url&gt;https://www.health.gov.au/committees-and-groups/strengthening-medicare-taskforce&lt;/url&gt;&lt;/related-urls&gt;&lt;/urls&gt;&lt;/record&gt;&lt;/Cite&gt;&lt;/EndNote&gt;</w:instrText>
      </w:r>
      <w:r w:rsidRPr="00CC5EB2">
        <w:rPr>
          <w:color w:val="000000"/>
          <w:lang w:eastAsia="en-AU"/>
        </w:rPr>
        <w:fldChar w:fldCharType="separate"/>
      </w:r>
      <w:r w:rsidRPr="00CC5EB2">
        <w:rPr>
          <w:noProof/>
          <w:color w:val="000000"/>
          <w:vertAlign w:val="superscript"/>
          <w:lang w:eastAsia="en-AU"/>
        </w:rPr>
        <w:t>10</w:t>
      </w:r>
      <w:r w:rsidRPr="00CC5EB2">
        <w:rPr>
          <w:color w:val="000000"/>
          <w:lang w:eastAsia="en-AU"/>
        </w:rPr>
        <w:fldChar w:fldCharType="end"/>
      </w:r>
      <w:r w:rsidRPr="00CC5EB2">
        <w:rPr>
          <w:color w:val="000000"/>
          <w:lang w:eastAsia="en-AU"/>
        </w:rPr>
        <w:t xml:space="preserve"> These included, but were not limited to, further investigation of the Extended Medicare Safety Net (EMSN).</w:t>
      </w:r>
      <w:r w:rsidRPr="00CC5EB2">
        <w:rPr>
          <w:color w:val="000000"/>
          <w:lang w:eastAsia="en-AU"/>
        </w:rPr>
        <w:fldChar w:fldCharType="begin"/>
      </w:r>
      <w:r w:rsidRPr="00CC5EB2">
        <w:rPr>
          <w:color w:val="000000"/>
          <w:lang w:eastAsia="en-AU"/>
        </w:rPr>
        <w:instrText xml:space="preserve"> ADDIN EN.CITE &lt;EndNote&gt;&lt;Cite&gt;&lt;Author&gt;Medicare Benefits Schedule Review Taskforce&lt;/Author&gt;&lt;Year&gt;2020&lt;/Year&gt;&lt;RecNum&gt;1181&lt;/RecNum&gt;&lt;DisplayText&gt;&lt;style face="superscript"&gt;7&lt;/style&gt;&lt;/DisplayText&gt;&lt;record&gt;&lt;rec-number&gt;1181&lt;/rec-number&gt;&lt;foreign-keys&gt;&lt;key app="EN" db-id="aepeer0xlwrzpbef0r45aps5xe0r0zpsv59d" timestamp="1651823678"&gt;1181&lt;/key&gt;&lt;/foreign-keys&gt;&lt;ref-type name="Report"&gt;27&lt;/ref-type&gt;&lt;contributors&gt;&lt;authors&gt;&lt;author&gt;Medicare Benefits Schedule Review Taskforce,&lt;/author&gt;&lt;/authors&gt;&lt;/contributors&gt;&lt;titles&gt;&lt;title&gt;An MBS for the 21st Century: Recommendations, Learnings and Ideas for the Future&lt;/title&gt;&lt;/titles&gt;&lt;dates&gt;&lt;year&gt;2020&lt;/year&gt;&lt;/dates&gt;&lt;pub-location&gt;Canberra&lt;/pub-location&gt;&lt;publisher&gt;Medicare Benefits Schedule Review Taskforce&lt;/publisher&gt;&lt;urls&gt;&lt;/urls&gt;&lt;/record&gt;&lt;/Cite&gt;&lt;/EndNote&gt;</w:instrText>
      </w:r>
      <w:r w:rsidRPr="00CC5EB2">
        <w:rPr>
          <w:color w:val="000000"/>
          <w:lang w:eastAsia="en-AU"/>
        </w:rPr>
        <w:fldChar w:fldCharType="separate"/>
      </w:r>
      <w:r w:rsidRPr="00CC5EB2">
        <w:rPr>
          <w:noProof/>
          <w:color w:val="000000"/>
          <w:vertAlign w:val="superscript"/>
          <w:lang w:eastAsia="en-AU"/>
        </w:rPr>
        <w:t>7</w:t>
      </w:r>
      <w:r w:rsidRPr="00CC5EB2">
        <w:rPr>
          <w:color w:val="000000"/>
          <w:lang w:eastAsia="en-AU"/>
        </w:rPr>
        <w:fldChar w:fldCharType="end"/>
      </w:r>
      <w:r w:rsidRPr="00CC5EB2">
        <w:rPr>
          <w:color w:val="000000"/>
          <w:lang w:eastAsia="en-AU"/>
        </w:rPr>
        <w:t xml:space="preserve"> Under the EMSN arrangements, consumers who spend a threshold amount on visits to Medicare-subsidised providers in a calendar year are entitled to higher Medicare rebates for future visits. Modifying the rules around the EMSN would make Better Access care more affordable for some, particularly those who also need care from Medicare providers for other conditions.</w:t>
      </w:r>
      <w:r>
        <w:rPr>
          <w:color w:val="000000"/>
          <w:lang w:eastAsia="en-AU"/>
        </w:rPr>
        <w:t xml:space="preserve"> Potential options might include modifying the </w:t>
      </w:r>
      <w:proofErr w:type="gramStart"/>
      <w:r>
        <w:rPr>
          <w:color w:val="000000"/>
          <w:lang w:eastAsia="en-AU"/>
        </w:rPr>
        <w:t>threshold, or</w:t>
      </w:r>
      <w:proofErr w:type="gramEnd"/>
      <w:r>
        <w:rPr>
          <w:color w:val="000000"/>
          <w:lang w:eastAsia="en-AU"/>
        </w:rPr>
        <w:t xml:space="preserve"> quarantining a threshold for mental health-related item numbers.</w:t>
      </w:r>
    </w:p>
    <w:p w14:paraId="553E5C21" w14:textId="77777777" w:rsidR="00A01898" w:rsidRPr="00CC5EB2" w:rsidRDefault="00A01898" w:rsidP="003F6AB7">
      <w:pPr>
        <w:spacing w:before="120" w:after="120" w:line="259" w:lineRule="auto"/>
        <w:rPr>
          <w:color w:val="000000"/>
          <w:lang w:eastAsia="en-AU"/>
        </w:rPr>
      </w:pPr>
      <w:r w:rsidRPr="00CC5EB2">
        <w:rPr>
          <w:color w:val="000000"/>
          <w:lang w:eastAsia="en-AU"/>
        </w:rPr>
        <w:t>Other options for increasing affordability that are tied to the MBS should also be explored, and again some of these were proposed by the MBS Review Taskforce and are being considered by the Strengthening Medicare Taskforce.</w:t>
      </w:r>
      <w:r w:rsidRPr="00CC5EB2">
        <w:rPr>
          <w:color w:val="000000"/>
          <w:lang w:eastAsia="en-AU"/>
        </w:rPr>
        <w:fldChar w:fldCharType="begin"/>
      </w:r>
      <w:r w:rsidRPr="00CC5EB2">
        <w:rPr>
          <w:color w:val="000000"/>
          <w:lang w:eastAsia="en-AU"/>
        </w:rPr>
        <w:instrText xml:space="preserve"> ADDIN EN.CITE &lt;EndNote&gt;&lt;Cite&gt;&lt;Author&gt;Australian Government Department of Health&lt;/Author&gt;&lt;Year&gt;2022&lt;/Year&gt;&lt;RecNum&gt;1243&lt;/RecNum&gt;&lt;DisplayText&gt;&lt;style face="superscript"&gt;7,10&lt;/style&gt;&lt;/DisplayText&gt;&lt;record&gt;&lt;rec-number&gt;1243&lt;/rec-number&gt;&lt;foreign-keys&gt;&lt;key app="EN" db-id="aepeer0xlwrzpbef0r45aps5xe0r0zpsv59d" timestamp="1668546458"&gt;1243&lt;/key&gt;&lt;/foreign-keys&gt;&lt;ref-type name="Web Page"&gt;12&lt;/ref-type&gt;&lt;contributors&gt;&lt;authors&gt;&lt;author&gt;Australian Government Department of Health,&lt;/author&gt;&lt;/authors&gt;&lt;/contributors&gt;&lt;titles&gt;&lt;title&gt;Strengthening Medicare Taskforce&lt;/title&gt;&lt;/titles&gt;&lt;number&gt;16 November 2022)&lt;/number&gt;&lt;dates&gt;&lt;year&gt;2022&lt;/year&gt;&lt;/dates&gt;&lt;urls&gt;&lt;related-urls&gt;&lt;url&gt;https://www.health.gov.au/committees-and-groups/strengthening-medicare-taskforce&lt;/url&gt;&lt;/related-urls&gt;&lt;/urls&gt;&lt;/record&gt;&lt;/Cite&gt;&lt;Cite&gt;&lt;Author&gt;Medicare Benefits Schedule Review Taskforce&lt;/Author&gt;&lt;Year&gt;2020&lt;/Year&gt;&lt;RecNum&gt;1181&lt;/RecNum&gt;&lt;record&gt;&lt;rec-number&gt;1181&lt;/rec-number&gt;&lt;foreign-keys&gt;&lt;key app="EN" db-id="aepeer0xlwrzpbef0r45aps5xe0r0zpsv59d" timestamp="1651823678"&gt;1181&lt;/key&gt;&lt;/foreign-keys&gt;&lt;ref-type name="Report"&gt;27&lt;/ref-type&gt;&lt;contributors&gt;&lt;authors&gt;&lt;author&gt;Medicare Benefits Schedule Review Taskforce,&lt;/author&gt;&lt;/authors&gt;&lt;/contributors&gt;&lt;titles&gt;&lt;title&gt;An MBS for the 21st Century: Recommendations, Learnings and Ideas for the Future&lt;/title&gt;&lt;/titles&gt;&lt;dates&gt;&lt;year&gt;2020&lt;/year&gt;&lt;/dates&gt;&lt;pub-location&gt;Canberra&lt;/pub-location&gt;&lt;publisher&gt;Medicare Benefits Schedule Review Taskforce&lt;/publisher&gt;&lt;urls&gt;&lt;/urls&gt;&lt;/record&gt;&lt;/Cite&gt;&lt;/EndNote&gt;</w:instrText>
      </w:r>
      <w:r w:rsidRPr="00CC5EB2">
        <w:rPr>
          <w:color w:val="000000"/>
          <w:lang w:eastAsia="en-AU"/>
        </w:rPr>
        <w:fldChar w:fldCharType="separate"/>
      </w:r>
      <w:r w:rsidRPr="00CC5EB2">
        <w:rPr>
          <w:noProof/>
          <w:color w:val="000000"/>
          <w:vertAlign w:val="superscript"/>
          <w:lang w:eastAsia="en-AU"/>
        </w:rPr>
        <w:t>7,10</w:t>
      </w:r>
      <w:r w:rsidRPr="00CC5EB2">
        <w:rPr>
          <w:color w:val="000000"/>
          <w:lang w:eastAsia="en-AU"/>
        </w:rPr>
        <w:fldChar w:fldCharType="end"/>
      </w:r>
      <w:r w:rsidRPr="00CC5EB2">
        <w:rPr>
          <w:color w:val="000000"/>
          <w:lang w:eastAsia="en-AU"/>
        </w:rPr>
        <w:t xml:space="preserve"> These options include bulk-billing incentives in some areas or loadings on specific item numbers. There are precedents for this; loadings for the delivery of bulk-billed </w:t>
      </w:r>
      <w:r w:rsidRPr="00CC5EB2">
        <w:rPr>
          <w:color w:val="000000"/>
          <w:lang w:eastAsia="en-AU"/>
        </w:rPr>
        <w:lastRenderedPageBreak/>
        <w:t xml:space="preserve">telehealth services delivered by psychiatrists in rural and remote areas were reinstated in the October 2022-23 Budget. Additional models for minimising co-payments or complementing Better Access in other ways might include paying </w:t>
      </w:r>
      <w:r w:rsidRPr="00CC5EB2">
        <w:t xml:space="preserve">GPs and allied health professionals practice incentive payments (PIPs) or service incentive payments (SIPs) for maximising the quality of mental health care provided to consumers. </w:t>
      </w:r>
      <w:r w:rsidRPr="00CC5EB2">
        <w:rPr>
          <w:color w:val="000000"/>
          <w:lang w:eastAsia="en-AU"/>
        </w:rPr>
        <w:t>Options that sit outside the MBS, like blended funding models, should also be considered.</w:t>
      </w:r>
      <w:r w:rsidRPr="00CC5EB2">
        <w:rPr>
          <w:color w:val="000000"/>
          <w:lang w:eastAsia="en-AU"/>
        </w:rPr>
        <w:fldChar w:fldCharType="begin">
          <w:fldData xml:space="preserve">PEVuZE5vdGU+PENpdGU+PEF1dGhvcj5BdXN0cmFsaWFuIEdvdmVybm1lbnQgRGVwYXJ0bWVudCBv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</w:fldData>
        </w:fldChar>
      </w:r>
      <w:r w:rsidRPr="00CC5EB2">
        <w:rPr>
          <w:color w:val="000000"/>
          <w:lang w:eastAsia="en-AU"/>
        </w:rPr>
        <w:instrText xml:space="preserve"> ADDIN EN.CITE </w:instrText>
      </w:r>
      <w:r w:rsidRPr="00CC5EB2">
        <w:rPr>
          <w:color w:val="000000"/>
          <w:lang w:eastAsia="en-AU"/>
        </w:rPr>
        <w:fldChar w:fldCharType="begin">
          <w:fldData xml:space="preserve">PEVuZE5vdGU+PENpdGU+PEF1dGhvcj5BdXN0cmFsaWFuIEdvdmVybm1lbnQgRGVwYXJ0bWVudCBv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</w:fldData>
        </w:fldChar>
      </w:r>
      <w:r w:rsidRPr="00CC5EB2">
        <w:rPr>
          <w:color w:val="000000"/>
          <w:lang w:eastAsia="en-AU"/>
        </w:rPr>
        <w:instrText xml:space="preserve"> ADDIN EN.CITE.DATA </w:instrText>
      </w:r>
      <w:r w:rsidRPr="00CC5EB2">
        <w:rPr>
          <w:color w:val="000000"/>
          <w:lang w:eastAsia="en-AU"/>
        </w:rPr>
      </w:r>
      <w:r w:rsidRPr="00CC5EB2">
        <w:rPr>
          <w:color w:val="000000"/>
          <w:lang w:eastAsia="en-AU"/>
        </w:rPr>
        <w:fldChar w:fldCharType="end"/>
      </w:r>
      <w:r w:rsidRPr="00CC5EB2">
        <w:rPr>
          <w:color w:val="000000"/>
          <w:lang w:eastAsia="en-AU"/>
        </w:rPr>
      </w:r>
      <w:r w:rsidRPr="00CC5EB2">
        <w:rPr>
          <w:color w:val="000000"/>
          <w:lang w:eastAsia="en-AU"/>
        </w:rPr>
        <w:fldChar w:fldCharType="separate"/>
      </w:r>
      <w:r w:rsidRPr="00CC5EB2">
        <w:rPr>
          <w:noProof/>
          <w:color w:val="000000"/>
          <w:vertAlign w:val="superscript"/>
          <w:lang w:eastAsia="en-AU"/>
        </w:rPr>
        <w:t>7,10,11</w:t>
      </w:r>
      <w:r w:rsidRPr="00CC5EB2">
        <w:rPr>
          <w:color w:val="000000"/>
          <w:lang w:eastAsia="en-AU"/>
        </w:rPr>
        <w:fldChar w:fldCharType="end"/>
      </w:r>
    </w:p>
    <w:p w14:paraId="0E47E386" w14:textId="4D09E4B0" w:rsidR="00E43777" w:rsidRPr="00C95874" w:rsidRDefault="00E43777" w:rsidP="003F6AB7">
      <w:pPr>
        <w:spacing w:before="120" w:after="120" w:line="259" w:lineRule="auto"/>
        <w:rPr>
          <w:rStyle w:val="Strong"/>
        </w:rPr>
      </w:pPr>
      <w:r w:rsidRPr="00C95874">
        <w:rPr>
          <w:rStyle w:val="Strong"/>
        </w:rPr>
        <w:t>Recommendation 9: The appropriate level for schedule fees should be determined in a standardised, transparent way.</w:t>
      </w:r>
    </w:p>
    <w:p w14:paraId="6C37A04A" w14:textId="20AF0544" w:rsidR="00E43777" w:rsidRPr="00C95874" w:rsidRDefault="00E43777" w:rsidP="00A01898">
      <w:pPr>
        <w:rPr>
          <w:rStyle w:val="Strong"/>
        </w:rPr>
      </w:pPr>
      <w:r w:rsidRPr="00C95874">
        <w:rPr>
          <w:rStyle w:val="Strong"/>
        </w:rPr>
        <w:t xml:space="preserve">Recommendation 10: The rules around the Extended Medicare Safety Net (EMSN) should be modified to increase the affordability of Better Access services. Potential options might include modifying the </w:t>
      </w:r>
      <w:r w:rsidR="0016493D" w:rsidRPr="00C95874">
        <w:rPr>
          <w:rStyle w:val="Strong"/>
        </w:rPr>
        <w:t>threshold or</w:t>
      </w:r>
      <w:r w:rsidRPr="00C95874">
        <w:rPr>
          <w:rStyle w:val="Strong"/>
        </w:rPr>
        <w:t xml:space="preserve"> quarantining a threshold for mental health-related item numbers.</w:t>
      </w:r>
    </w:p>
    <w:p w14:paraId="12E0A52D" w14:textId="47EAA39A" w:rsidR="00A01898" w:rsidRPr="00C95874" w:rsidRDefault="00E43777" w:rsidP="00FC0C0A">
      <w:pPr>
        <w:spacing w:before="120" w:after="120" w:line="262" w:lineRule="auto"/>
        <w:rPr>
          <w:rStyle w:val="Strong"/>
        </w:rPr>
      </w:pPr>
      <w:r w:rsidRPr="00C95874">
        <w:rPr>
          <w:rStyle w:val="Strong"/>
        </w:rPr>
        <w:t>Recommendation 11: Other options to increase affordability that sit within or outside the MBS should also be explored (e.g., bulk-billing incentives, loadings on specific item numbers, practice incentive payments, service incentive payments, and blended funding models.</w:t>
      </w:r>
    </w:p>
    <w:p w14:paraId="46D618E1" w14:textId="77777777" w:rsidR="00A01898" w:rsidRPr="00C95874" w:rsidRDefault="00A01898" w:rsidP="0016493D">
      <w:pPr>
        <w:pStyle w:val="Heading3"/>
      </w:pPr>
      <w:r w:rsidRPr="00C95874">
        <w:t>Number of sessions: Additional 10 sessions</w:t>
      </w:r>
    </w:p>
    <w:p w14:paraId="77C3E2B2" w14:textId="77777777" w:rsidR="00A01898" w:rsidRPr="00CC5EB2" w:rsidRDefault="00A01898" w:rsidP="00FC0C0A">
      <w:pPr>
        <w:spacing w:before="120" w:after="120" w:line="262" w:lineRule="auto"/>
        <w:rPr>
          <w:color w:val="000000"/>
          <w:lang w:eastAsia="en-AU"/>
        </w:rPr>
      </w:pPr>
      <w:r w:rsidRPr="00CC5EB2">
        <w:rPr>
          <w:color w:val="000000"/>
          <w:lang w:eastAsia="en-AU"/>
        </w:rPr>
        <w:t>The Productivity Commission and the House of Representatives Senate Select Committee on Mental Health and Suicide Prevention</w:t>
      </w:r>
      <w:r w:rsidRPr="00CC5EB2">
        <w:rPr>
          <w:b/>
          <w:bCs/>
          <w:color w:val="000000"/>
          <w:lang w:eastAsia="en-AU"/>
        </w:rPr>
        <w:t xml:space="preserve"> </w:t>
      </w:r>
      <w:r w:rsidRPr="00CC5EB2">
        <w:rPr>
          <w:color w:val="000000"/>
          <w:lang w:eastAsia="en-AU"/>
        </w:rPr>
        <w:t>both recommended trialling an additional 10 sessions over and above the standard 10.</w:t>
      </w:r>
      <w:r w:rsidRPr="00CC5EB2">
        <w:rPr>
          <w:color w:val="000000"/>
          <w:lang w:eastAsia="en-AU"/>
        </w:rPr>
        <w:fldChar w:fldCharType="begin"/>
      </w:r>
      <w:r w:rsidRPr="00CC5EB2">
        <w:rPr>
          <w:color w:val="000000"/>
          <w:lang w:eastAsia="en-AU"/>
        </w:rPr>
        <w:instrText xml:space="preserve"> ADDIN EN.CITE &lt;EndNote&gt;&lt;Cite&gt;&lt;Author&gt;House of Representatives Select Committee on Mental Health and Suicide Prevention&lt;/Author&gt;&lt;Year&gt;2021&lt;/Year&gt;&lt;RecNum&gt;1212&lt;/RecNum&gt;&lt;DisplayText&gt;&lt;style face="superscript"&gt;3,12&lt;/style&gt;&lt;/DisplayText&gt;&lt;record&gt;&lt;rec-number&gt;1212&lt;/rec-number&gt;&lt;foreign-keys&gt;&lt;key app="EN" db-id="aepeer0xlwrzpbef0r45aps5xe0r0zpsv59d" timestamp="1653710507"&gt;1212&lt;/key&gt;&lt;/foreign-keys&gt;&lt;ref-type name="Report"&gt;27&lt;/ref-type&gt;&lt;contributors&gt;&lt;authors&gt;&lt;author&gt;House of Representatives Select Committee on Mental Health and Suicide Prevention,&lt;/author&gt;&lt;/authors&gt;&lt;/contributors&gt;&lt;titles&gt;&lt;title&gt;Mental Health and Suicide Prevention: Final Report&lt;/title&gt;&lt;/titles&gt;&lt;dates&gt;&lt;year&gt;2021&lt;/year&gt;&lt;/dates&gt;&lt;pub-location&gt;Canberra&lt;/pub-location&gt;&lt;publisher&gt;Parliament of the Commonwealth of Australia&lt;/publisher&gt;&lt;urls&gt;&lt;/urls&gt;&lt;/record&gt;&lt;/Cite&gt;&lt;Cite&gt;&lt;Author&gt;Productivity Commission&lt;/Author&gt;&lt;Year&gt;2020&lt;/Year&gt;&lt;RecNum&gt;1182&lt;/RecNum&gt;&lt;record&gt;&lt;rec-number&gt;1182&lt;/rec-number&gt;&lt;foreign-keys&gt;&lt;key app="EN" db-id="aepeer0xlwrzpbef0r45aps5xe0r0zpsv59d" timestamp="1651823679"&gt;1182&lt;/key&gt;&lt;/foreign-keys&gt;&lt;ref-type name="Report"&gt;27&lt;/ref-type&gt;&lt;contributors&gt;&lt;authors&gt;&lt;author&gt;Productivity Commission,&lt;/author&gt;&lt;/authors&gt;&lt;/contributors&gt;&lt;titles&gt;&lt;title&gt;Mental Health, Report No. 95&lt;/title&gt;&lt;/titles&gt;&lt;dates&gt;&lt;year&gt;2020&lt;/year&gt;&lt;/dates&gt;&lt;pub-location&gt;Canberra&lt;/pub-location&gt;&lt;publisher&gt;Productivity Commission&lt;/publisher&gt;&lt;urls&gt;&lt;/urls&gt;&lt;/record&gt;&lt;/Cite&gt;&lt;/EndNote&gt;</w:instrText>
      </w:r>
      <w:r w:rsidRPr="00CC5EB2">
        <w:rPr>
          <w:color w:val="000000"/>
          <w:lang w:eastAsia="en-AU"/>
        </w:rPr>
        <w:fldChar w:fldCharType="separate"/>
      </w:r>
      <w:r w:rsidRPr="00CC5EB2">
        <w:rPr>
          <w:noProof/>
          <w:color w:val="000000"/>
          <w:vertAlign w:val="superscript"/>
          <w:lang w:eastAsia="en-AU"/>
        </w:rPr>
        <w:t>3,12</w:t>
      </w:r>
      <w:r w:rsidRPr="00CC5EB2">
        <w:rPr>
          <w:color w:val="000000"/>
          <w:lang w:eastAsia="en-AU"/>
        </w:rPr>
        <w:fldChar w:fldCharType="end"/>
      </w:r>
      <w:r w:rsidRPr="00CC5EB2">
        <w:rPr>
          <w:color w:val="000000"/>
          <w:lang w:eastAsia="en-AU"/>
        </w:rPr>
        <w:t xml:space="preserve"> The provision of the additional 10 sessions during the COVID-19 pandemic effectively enabled the evaluation to incorporate such a trial. </w:t>
      </w:r>
    </w:p>
    <w:p w14:paraId="217DFC1F" w14:textId="77777777" w:rsidR="00A01898" w:rsidRPr="00CC5EB2" w:rsidRDefault="00A01898" w:rsidP="00FC0C0A">
      <w:pPr>
        <w:spacing w:before="120" w:after="120" w:line="262" w:lineRule="auto"/>
        <w:rPr>
          <w:color w:val="000000"/>
          <w:lang w:eastAsia="en-AU"/>
        </w:rPr>
      </w:pPr>
      <w:r w:rsidRPr="00CC5EB2">
        <w:rPr>
          <w:color w:val="000000"/>
          <w:lang w:eastAsia="en-AU"/>
        </w:rPr>
        <w:t xml:space="preserve">To differing degrees, Studies 2, 3 and 4 suggested that levels of improvement were associated with the number of sessions consumers received. It is important to note, however, that the studies did not always explicitly test whether the additional sessions were associated with greater improvement and did not point to a threshold number of sessions required for improvement. Study 2 used the number of outcome assessments in each episode of care as a proxy for the number of sessions and showed that, </w:t>
      </w:r>
      <w:proofErr w:type="gramStart"/>
      <w:r w:rsidRPr="00CC5EB2">
        <w:rPr>
          <w:color w:val="000000"/>
          <w:lang w:eastAsia="en-AU"/>
        </w:rPr>
        <w:t>as a general rule</w:t>
      </w:r>
      <w:proofErr w:type="gramEnd"/>
      <w:r w:rsidRPr="00CC5EB2">
        <w:rPr>
          <w:color w:val="000000"/>
          <w:lang w:eastAsia="en-AU"/>
        </w:rPr>
        <w:t xml:space="preserve">, those with five or more outcome assessments improved the most. Study 3 showed that consumers who received 3-4, 5-6, 7-10 or 11+ sessions were more likely to improve than those who received 1-2; there was some evidence of a dose-response </w:t>
      </w:r>
      <w:proofErr w:type="gramStart"/>
      <w:r w:rsidRPr="00CC5EB2">
        <w:rPr>
          <w:color w:val="000000"/>
          <w:lang w:eastAsia="en-AU"/>
        </w:rPr>
        <w:t>effect</w:t>
      </w:r>
      <w:proofErr w:type="gramEnd"/>
      <w:r w:rsidRPr="00CC5EB2">
        <w:rPr>
          <w:color w:val="000000"/>
          <w:lang w:eastAsia="en-AU"/>
        </w:rPr>
        <w:t xml:space="preserve"> but the 95%</w:t>
      </w:r>
      <w:r>
        <w:rPr>
          <w:color w:val="000000"/>
          <w:lang w:eastAsia="en-AU"/>
        </w:rPr>
        <w:t xml:space="preserve"> confidence intervals </w:t>
      </w:r>
      <w:r w:rsidRPr="00CC5EB2">
        <w:rPr>
          <w:color w:val="000000"/>
          <w:lang w:eastAsia="en-AU"/>
        </w:rPr>
        <w:t>overlapped. Studies 4 and 5 used data that was not tied to specific episodes; Study 4 suggested that people who had five or more sessions had increased odds of significant improvement, but this was dependent on the measure used, and Study 5 produced results that contradicted Studies 2, 3 and 4, presumably because of the significant period (often of several years) between data collection waves.</w:t>
      </w:r>
    </w:p>
    <w:p w14:paraId="582F04CD" w14:textId="77777777" w:rsidR="00A01898" w:rsidRPr="00CC5EB2" w:rsidRDefault="00A01898" w:rsidP="00FC0C0A">
      <w:pPr>
        <w:spacing w:before="120" w:after="120" w:line="262" w:lineRule="auto"/>
        <w:rPr>
          <w:color w:val="000000"/>
          <w:lang w:eastAsia="en-AU"/>
        </w:rPr>
      </w:pPr>
      <w:r w:rsidRPr="00CC5EB2">
        <w:rPr>
          <w:color w:val="000000"/>
          <w:lang w:eastAsia="en-AU"/>
        </w:rPr>
        <w:t xml:space="preserve">Studies 1a showed that the uptake of the additional sessions has not been </w:t>
      </w:r>
      <w:proofErr w:type="gramStart"/>
      <w:r w:rsidRPr="00CC5EB2">
        <w:rPr>
          <w:color w:val="000000"/>
          <w:lang w:eastAsia="en-AU"/>
        </w:rPr>
        <w:t>insubstantial</w:t>
      </w:r>
      <w:proofErr w:type="gramEnd"/>
      <w:r w:rsidRPr="00CC5EB2">
        <w:rPr>
          <w:color w:val="000000"/>
          <w:lang w:eastAsia="en-AU"/>
        </w:rPr>
        <w:t xml:space="preserve"> but it has not been extensive either, with the </w:t>
      </w:r>
      <w:r w:rsidRPr="00CC5EB2">
        <w:t>percentage of Better Access treatment users who received at least one additional treatment session sitting at 17.0% in 2021 and 13.6% in the first half of 2022. However, Study 1b suggested that provision of additional services to existing consumers may have limited the capacity of providers to offer treatment to new users; the number of continuing users of Better Access services and the number of sessions provided for them increased markedly in 2020 and 2021, whereas the figures for new users remained stable.</w:t>
      </w:r>
    </w:p>
    <w:p w14:paraId="64E389C7" w14:textId="77777777" w:rsidR="00A01898" w:rsidRPr="00CC5EB2" w:rsidRDefault="00A01898" w:rsidP="00FC0C0A">
      <w:pPr>
        <w:spacing w:before="120" w:after="120" w:line="262" w:lineRule="auto"/>
        <w:rPr>
          <w:color w:val="000000"/>
          <w:lang w:eastAsia="en-AU"/>
        </w:rPr>
      </w:pPr>
      <w:r w:rsidRPr="00CC5EB2">
        <w:rPr>
          <w:color w:val="000000"/>
          <w:lang w:eastAsia="en-AU"/>
        </w:rPr>
        <w:t xml:space="preserve">The additional 10 sessions were welcomed by many of the consumers and providers who participated in the various studies that sought their views via surveys, </w:t>
      </w:r>
      <w:proofErr w:type="gramStart"/>
      <w:r w:rsidRPr="00CC5EB2">
        <w:rPr>
          <w:color w:val="000000"/>
          <w:lang w:eastAsia="en-AU"/>
        </w:rPr>
        <w:t>interviews</w:t>
      </w:r>
      <w:proofErr w:type="gramEnd"/>
      <w:r w:rsidRPr="00CC5EB2">
        <w:rPr>
          <w:color w:val="000000"/>
          <w:lang w:eastAsia="en-AU"/>
        </w:rPr>
        <w:t xml:space="preserve"> or other consultative methods. For example, three quarters of the participants in Study 8 felt that the additional 10 sessions should be retained as a standard offering and close to 90% indicated that potentially even more sessions should be available for people with complex needs.</w:t>
      </w:r>
    </w:p>
    <w:p w14:paraId="3CB74B0E" w14:textId="77777777" w:rsidR="00A01898" w:rsidRPr="00CC5EB2" w:rsidRDefault="00A01898" w:rsidP="00A01898">
      <w:pPr>
        <w:rPr>
          <w:color w:val="000000"/>
          <w:lang w:eastAsia="en-AU"/>
        </w:rPr>
      </w:pPr>
      <w:r w:rsidRPr="00CC5EB2">
        <w:rPr>
          <w:color w:val="000000"/>
          <w:lang w:eastAsia="en-AU"/>
        </w:rPr>
        <w:t xml:space="preserve">However, it does not appear to be the case that the additional sessions have always been specifically targeted to consumers with particularly complex needs. In Study 3, the patterns of self-reported baseline mental health were almost identical for those who did and didn’t receive the additional sessions. </w:t>
      </w:r>
    </w:p>
    <w:p w14:paraId="17BF8635" w14:textId="1ADD25DC" w:rsidR="00A01898" w:rsidRDefault="00A01898" w:rsidP="00A01898">
      <w:pPr>
        <w:rPr>
          <w:bCs/>
          <w:color w:val="000000"/>
          <w:lang w:eastAsia="en-AU"/>
        </w:rPr>
      </w:pPr>
      <w:r w:rsidRPr="00CC5EB2">
        <w:rPr>
          <w:color w:val="000000"/>
          <w:lang w:eastAsia="en-AU"/>
        </w:rPr>
        <w:lastRenderedPageBreak/>
        <w:t>On balance, the evidence from the evaluation suggests that the additional 10 sessions should continue to be made available and should be targeted towards those with more complex mental health needs. If the additional 10 sessions are to be retained, it would make some sense for the review to occur after 10 initial sessions, rather than six. This would then act as the trigger for the additional 10. This is consistent with recommendations made by the Productivity Commission and the House of Representatives Senate Select Committee on Mental Health and Suicide Prevention.</w:t>
      </w:r>
      <w:r w:rsidRPr="00CC5EB2">
        <w:rPr>
          <w:color w:val="000000"/>
          <w:lang w:eastAsia="en-AU"/>
        </w:rPr>
        <w:fldChar w:fldCharType="begin"/>
      </w:r>
      <w:r w:rsidRPr="00CC5EB2">
        <w:rPr>
          <w:color w:val="000000"/>
          <w:lang w:eastAsia="en-AU"/>
        </w:rPr>
        <w:instrText xml:space="preserve"> ADDIN EN.CITE &lt;EndNote&gt;&lt;Cite&gt;&lt;Author&gt;House of Representatives Select Committee on Mental Health and Suicide Prevention&lt;/Author&gt;&lt;Year&gt;2021&lt;/Year&gt;&lt;RecNum&gt;1212&lt;/RecNum&gt;&lt;DisplayText&gt;&lt;style face="superscript"&gt;3,12&lt;/style&gt;&lt;/DisplayText&gt;&lt;record&gt;&lt;rec-number&gt;1212&lt;/rec-number&gt;&lt;foreign-keys&gt;&lt;key app="EN" db-id="aepeer0xlwrzpbef0r45aps5xe0r0zpsv59d" timestamp="1653710507"&gt;1212&lt;/key&gt;&lt;/foreign-keys&gt;&lt;ref-type name="Report"&gt;27&lt;/ref-type&gt;&lt;contributors&gt;&lt;authors&gt;&lt;author&gt;House of Representatives Select Committee on Mental Health and Suicide Prevention,&lt;/author&gt;&lt;/authors&gt;&lt;/contributors&gt;&lt;titles&gt;&lt;title&gt;Mental Health and Suicide Prevention: Final Report&lt;/title&gt;&lt;/titles&gt;&lt;dates&gt;&lt;year&gt;2021&lt;/year&gt;&lt;/dates&gt;&lt;pub-location&gt;Canberra&lt;/pub-location&gt;&lt;publisher&gt;Parliament of the Commonwealth of Australia&lt;/publisher&gt;&lt;urls&gt;&lt;/urls&gt;&lt;/record&gt;&lt;/Cite&gt;&lt;Cite&gt;&lt;Author&gt;Productivity Commission&lt;/Author&gt;&lt;Year&gt;2020&lt;/Year&gt;&lt;RecNum&gt;1182&lt;/RecNum&gt;&lt;record&gt;&lt;rec-number&gt;1182&lt;/rec-number&gt;&lt;foreign-keys&gt;&lt;key app="EN" db-id="aepeer0xlwrzpbef0r45aps5xe0r0zpsv59d" timestamp="1651823679"&gt;1182&lt;/key&gt;&lt;/foreign-keys&gt;&lt;ref-type name="Report"&gt;27&lt;/ref-type&gt;&lt;contributors&gt;&lt;authors&gt;&lt;author&gt;Productivity Commission,&lt;/author&gt;&lt;/authors&gt;&lt;/contributors&gt;&lt;titles&gt;&lt;title&gt;Mental Health, Report No. 95&lt;/title&gt;&lt;/titles&gt;&lt;dates&gt;&lt;year&gt;2020&lt;/year&gt;&lt;/dates&gt;&lt;pub-location&gt;Canberra&lt;/pub-location&gt;&lt;publisher&gt;Productivity Commission&lt;/publisher&gt;&lt;urls&gt;&lt;/urls&gt;&lt;/record&gt;&lt;/Cite&gt;&lt;/EndNote&gt;</w:instrText>
      </w:r>
      <w:r w:rsidRPr="00CC5EB2">
        <w:rPr>
          <w:color w:val="000000"/>
          <w:lang w:eastAsia="en-AU"/>
        </w:rPr>
        <w:fldChar w:fldCharType="separate"/>
      </w:r>
      <w:r w:rsidRPr="00CC5EB2">
        <w:rPr>
          <w:noProof/>
          <w:color w:val="000000"/>
          <w:vertAlign w:val="superscript"/>
          <w:lang w:eastAsia="en-AU"/>
        </w:rPr>
        <w:t>3,12</w:t>
      </w:r>
      <w:r w:rsidRPr="00CC5EB2">
        <w:rPr>
          <w:color w:val="000000"/>
          <w:lang w:eastAsia="en-AU"/>
        </w:rPr>
        <w:fldChar w:fldCharType="end"/>
      </w:r>
      <w:r w:rsidRPr="00CC5EB2">
        <w:rPr>
          <w:bCs/>
          <w:color w:val="000000"/>
          <w:lang w:eastAsia="en-AU"/>
        </w:rPr>
        <w:t xml:space="preserve"> However, this does assume that the majority of people will require at least 10 sessions, and Study 1a indicated that the mean number of sessions per person per calendar year is 5.4. A more nuanced, stepped approach might allow for reviews to occur at different time points, depending on consumers’ levels of need and when the review might be most helpful/relevant. Alternatively, recommended reviews might occur after 10 sessions and others might occur at the discretion of the GP, allied health professional and consumer, as a means of collaborating and in line with best practice.</w:t>
      </w:r>
    </w:p>
    <w:p w14:paraId="253AA37A" w14:textId="2691684E" w:rsidR="00E43777" w:rsidRPr="00C95874" w:rsidRDefault="00E43777" w:rsidP="00A04624">
      <w:pPr>
        <w:spacing w:before="120" w:after="120" w:line="262" w:lineRule="auto"/>
        <w:rPr>
          <w:rStyle w:val="Strong"/>
        </w:rPr>
      </w:pPr>
      <w:r w:rsidRPr="00C95874">
        <w:rPr>
          <w:rStyle w:val="Strong"/>
        </w:rPr>
        <w:t>Recommendation 12: The additional 10 sessions should continue to be made available and should be targeted towards those with complex mental health needs. If the additional 10 sessions are retained, the review could occur after the initial 10 sessions. However, alternative review cadences might be recommended based on consumers’ levels of need. Recommended reviews might also be complemented by reviews done at the discretion of the GP, allied health professional and consumer, as a means of collaborating and in line with best practice.</w:t>
      </w:r>
    </w:p>
    <w:p w14:paraId="03119D0E" w14:textId="77777777" w:rsidR="00A01898" w:rsidRPr="00C95874" w:rsidRDefault="00A01898" w:rsidP="0016493D">
      <w:pPr>
        <w:pStyle w:val="Heading3"/>
      </w:pPr>
      <w:r w:rsidRPr="00C95874">
        <w:t>Session modality: Telehealth</w:t>
      </w:r>
    </w:p>
    <w:p w14:paraId="2D6853EC" w14:textId="77777777" w:rsidR="00A01898" w:rsidRPr="00CC5EB2" w:rsidRDefault="00A01898" w:rsidP="00A04624">
      <w:pPr>
        <w:spacing w:before="120" w:after="120" w:line="262" w:lineRule="auto"/>
        <w:rPr>
          <w:color w:val="000000"/>
          <w:lang w:eastAsia="en-AU"/>
        </w:rPr>
      </w:pPr>
      <w:r w:rsidRPr="00CC5EB2">
        <w:rPr>
          <w:color w:val="000000"/>
          <w:lang w:eastAsia="en-AU"/>
        </w:rPr>
        <w:t>The Productivity Commission and the House of Representatives Senate Select Committee on Mental Health and Suicide Prevention also commented on telehealth, noting that telehealth options should be made more widely available.</w:t>
      </w:r>
      <w:r w:rsidRPr="00CC5EB2">
        <w:rPr>
          <w:color w:val="000000"/>
          <w:lang w:eastAsia="en-AU"/>
        </w:rPr>
        <w:fldChar w:fldCharType="begin"/>
      </w:r>
      <w:r w:rsidRPr="00CC5EB2">
        <w:rPr>
          <w:color w:val="000000"/>
          <w:lang w:eastAsia="en-AU"/>
        </w:rPr>
        <w:instrText xml:space="preserve"> ADDIN EN.CITE &lt;EndNote&gt;&lt;Cite&gt;&lt;Author&gt;House of Representatives Select Committee on Mental Health and Suicide Prevention&lt;/Author&gt;&lt;Year&gt;2021&lt;/Year&gt;&lt;RecNum&gt;1212&lt;/RecNum&gt;&lt;DisplayText&gt;&lt;style face="superscript"&gt;3,12&lt;/style&gt;&lt;/DisplayText&gt;&lt;record&gt;&lt;rec-number&gt;1212&lt;/rec-number&gt;&lt;foreign-keys&gt;&lt;key app="EN" db-id="aepeer0xlwrzpbef0r45aps5xe0r0zpsv59d" timestamp="1653710507"&gt;1212&lt;/key&gt;&lt;/foreign-keys&gt;&lt;ref-type name="Report"&gt;27&lt;/ref-type&gt;&lt;contributors&gt;&lt;authors&gt;&lt;author&gt;House of Representatives Select Committee on Mental Health and Suicide Prevention,&lt;/author&gt;&lt;/authors&gt;&lt;/contributors&gt;&lt;titles&gt;&lt;title&gt;Mental Health and Suicide Prevention: Final Report&lt;/title&gt;&lt;/titles&gt;&lt;dates&gt;&lt;year&gt;2021&lt;/year&gt;&lt;/dates&gt;&lt;pub-location&gt;Canberra&lt;/pub-location&gt;&lt;publisher&gt;Parliament of the Commonwealth of Australia&lt;/publisher&gt;&lt;urls&gt;&lt;/urls&gt;&lt;/record&gt;&lt;/Cite&gt;&lt;Cite&gt;&lt;Author&gt;Productivity Commission&lt;/Author&gt;&lt;Year&gt;2020&lt;/Year&gt;&lt;RecNum&gt;1182&lt;/RecNum&gt;&lt;record&gt;&lt;rec-number&gt;1182&lt;/rec-number&gt;&lt;foreign-keys&gt;&lt;key app="EN" db-id="aepeer0xlwrzpbef0r45aps5xe0r0zpsv59d" timestamp="1651823679"&gt;1182&lt;/key&gt;&lt;/foreign-keys&gt;&lt;ref-type name="Report"&gt;27&lt;/ref-type&gt;&lt;contributors&gt;&lt;authors&gt;&lt;author&gt;Productivity Commission,&lt;/author&gt;&lt;/authors&gt;&lt;/contributors&gt;&lt;titles&gt;&lt;title&gt;Mental Health, Report No. 95&lt;/title&gt;&lt;/titles&gt;&lt;dates&gt;&lt;year&gt;2020&lt;/year&gt;&lt;/dates&gt;&lt;pub-location&gt;Canberra&lt;/pub-location&gt;&lt;publisher&gt;Productivity Commission&lt;/publisher&gt;&lt;urls&gt;&lt;/urls&gt;&lt;/record&gt;&lt;/Cite&gt;&lt;/EndNote&gt;</w:instrText>
      </w:r>
      <w:r w:rsidRPr="00CC5EB2">
        <w:rPr>
          <w:color w:val="000000"/>
          <w:lang w:eastAsia="en-AU"/>
        </w:rPr>
        <w:fldChar w:fldCharType="separate"/>
      </w:r>
      <w:r w:rsidRPr="00CC5EB2">
        <w:rPr>
          <w:noProof/>
          <w:color w:val="000000"/>
          <w:vertAlign w:val="superscript"/>
          <w:lang w:eastAsia="en-AU"/>
        </w:rPr>
        <w:t>3,12</w:t>
      </w:r>
      <w:r w:rsidRPr="00CC5EB2">
        <w:rPr>
          <w:color w:val="000000"/>
          <w:lang w:eastAsia="en-AU"/>
        </w:rPr>
        <w:fldChar w:fldCharType="end"/>
      </w:r>
      <w:r w:rsidRPr="00CC5EB2">
        <w:rPr>
          <w:color w:val="000000"/>
          <w:lang w:eastAsia="en-AU"/>
        </w:rPr>
        <w:t xml:space="preserve"> Again, the pandemic made this a reality, with the Better Access telehealth item numbers being introduced alongside a broader suite of around 280 temporary MBS telehealth item numbers. Prior to this they had been available to people in small and medium rural towns and remote and very remote communities. The widespread availability of telehealth arrangements has now been made permanent.</w:t>
      </w:r>
    </w:p>
    <w:p w14:paraId="39270B6F" w14:textId="77777777" w:rsidR="00A01898" w:rsidRPr="00CC5EB2" w:rsidRDefault="00A01898" w:rsidP="00A04624">
      <w:pPr>
        <w:spacing w:before="120" w:after="120" w:line="262" w:lineRule="auto"/>
        <w:rPr>
          <w:color w:val="000000"/>
          <w:lang w:eastAsia="en-AU"/>
        </w:rPr>
      </w:pPr>
      <w:r w:rsidRPr="00CC5EB2">
        <w:rPr>
          <w:color w:val="000000"/>
          <w:lang w:eastAsia="en-AU"/>
        </w:rPr>
        <w:t>As noted, the telehealth sessions proved popular. Study 1a showed that although f</w:t>
      </w:r>
      <w:r w:rsidRPr="00CC5EB2">
        <w:t xml:space="preserve">ace-to-face remained the most common mode of delivery of Better Access treatment, telehealth services were taken up by </w:t>
      </w:r>
      <w:r>
        <w:t>almost one third</w:t>
      </w:r>
      <w:r w:rsidRPr="00CC5EB2">
        <w:t xml:space="preserve"> of all Better Access treatment users. </w:t>
      </w:r>
      <w:r w:rsidRPr="00CC5EB2">
        <w:rPr>
          <w:color w:val="000000"/>
          <w:lang w:eastAsia="en-AU"/>
        </w:rPr>
        <w:t>Importantly, the evaluation indicated that consumers who received telehealth care and consumers who received face-to-face care experienced similar improvements; session modality had no impact on outcomes for the consumers in Study 3.</w:t>
      </w:r>
    </w:p>
    <w:p w14:paraId="3C0376EC" w14:textId="77777777" w:rsidR="00A01898" w:rsidRPr="00CC5EB2" w:rsidRDefault="00A01898" w:rsidP="00A04624">
      <w:pPr>
        <w:spacing w:before="120" w:after="120" w:line="262" w:lineRule="auto"/>
        <w:rPr>
          <w:color w:val="000000"/>
          <w:lang w:eastAsia="en-AU"/>
        </w:rPr>
      </w:pPr>
      <w:r w:rsidRPr="00CC5EB2">
        <w:rPr>
          <w:color w:val="000000"/>
          <w:lang w:eastAsia="en-AU"/>
        </w:rPr>
        <w:t>Telehealth undoubtedly improved access to psychological care for people during the pandemic, just as it had done previously for people in rural and remote areas. People in other circumstances responded positively to it too (e.g., those whose mental health made it difficult for them to travel from home or visit a provider in their rooms). In summary, the telehealth item numbers appear to have improved access without jeopardising outcomes.</w:t>
      </w:r>
    </w:p>
    <w:p w14:paraId="5B55D22F" w14:textId="4655609D" w:rsidR="00A01898" w:rsidRDefault="00A01898" w:rsidP="00A04624">
      <w:pPr>
        <w:spacing w:before="120" w:after="120" w:line="262" w:lineRule="auto"/>
        <w:rPr>
          <w:color w:val="000000"/>
          <w:lang w:eastAsia="en-AU"/>
        </w:rPr>
      </w:pPr>
      <w:r w:rsidRPr="00CC5EB2">
        <w:rPr>
          <w:color w:val="000000"/>
          <w:lang w:eastAsia="en-AU"/>
        </w:rPr>
        <w:t xml:space="preserve">Now that telehealth options have become permanently available to all, consideration should be given to whether they are achieving maximum effect. For example, Study 1b showed that existing users were much more likely to receive services via telehealth than new users, suggesting that telehealth options may not have worked in their favour (and in fact may have made it more difficult for </w:t>
      </w:r>
      <w:r>
        <w:rPr>
          <w:color w:val="000000"/>
          <w:lang w:eastAsia="en-AU"/>
        </w:rPr>
        <w:t>new users</w:t>
      </w:r>
      <w:r w:rsidRPr="00CC5EB2">
        <w:rPr>
          <w:color w:val="000000"/>
          <w:lang w:eastAsia="en-AU"/>
        </w:rPr>
        <w:t xml:space="preserve"> to access services). It would be worth considering whether further augmentation to the relevant item numbers could further increases access (e.g., additional loadings for providers who use the relevant item numbers under </w:t>
      </w:r>
      <w:proofErr w:type="gramStart"/>
      <w:r w:rsidRPr="00CC5EB2">
        <w:rPr>
          <w:color w:val="000000"/>
          <w:lang w:eastAsia="en-AU"/>
        </w:rPr>
        <w:t>particular circumstances</w:t>
      </w:r>
      <w:proofErr w:type="gramEnd"/>
      <w:r w:rsidRPr="00CC5EB2">
        <w:rPr>
          <w:color w:val="000000"/>
          <w:lang w:eastAsia="en-AU"/>
        </w:rPr>
        <w:t>, as discussed above). Consumers’ preferences for face-to-face versus telehealth services (or a combination of the two) might also be explored further.</w:t>
      </w:r>
    </w:p>
    <w:p w14:paraId="1599AC04" w14:textId="77777777" w:rsidR="00532448" w:rsidRDefault="00532448">
      <w:pPr>
        <w:rPr>
          <w:rStyle w:val="Strong"/>
        </w:rPr>
      </w:pPr>
      <w:r>
        <w:rPr>
          <w:rStyle w:val="Strong"/>
        </w:rPr>
        <w:br w:type="page"/>
      </w:r>
    </w:p>
    <w:p w14:paraId="54684016" w14:textId="34E378AF" w:rsidR="00E43777" w:rsidRPr="00C95874" w:rsidRDefault="00E43777" w:rsidP="00A04624">
      <w:pPr>
        <w:spacing w:before="120" w:after="120" w:line="262" w:lineRule="auto"/>
        <w:rPr>
          <w:rStyle w:val="Strong"/>
        </w:rPr>
      </w:pPr>
      <w:r w:rsidRPr="00C95874">
        <w:rPr>
          <w:rStyle w:val="Strong"/>
        </w:rPr>
        <w:lastRenderedPageBreak/>
        <w:t>Recommendation 13: Telehealth options should continue to be monitored to ensure they are achieving their maximum</w:t>
      </w:r>
      <w:r w:rsidR="00C95874" w:rsidRPr="00C95874">
        <w:rPr>
          <w:rStyle w:val="Strong"/>
        </w:rPr>
        <w:t xml:space="preserve"> effect.</w:t>
      </w:r>
    </w:p>
    <w:p w14:paraId="489A2397" w14:textId="77777777" w:rsidR="00A01898" w:rsidRPr="00C95874" w:rsidRDefault="00A01898" w:rsidP="0016493D">
      <w:pPr>
        <w:pStyle w:val="Heading3"/>
      </w:pPr>
      <w:r w:rsidRPr="00C95874">
        <w:t>Services for people in residential aged care facilities (RACFs)</w:t>
      </w:r>
    </w:p>
    <w:p w14:paraId="256AC6AF" w14:textId="0699B66B" w:rsidR="00A01898" w:rsidRDefault="00A01898" w:rsidP="00A04624">
      <w:pPr>
        <w:spacing w:before="120" w:after="120" w:line="262" w:lineRule="auto"/>
        <w:rPr>
          <w:rFonts w:cstheme="minorHAnsi"/>
        </w:rPr>
      </w:pPr>
      <w:r w:rsidRPr="00CC5EB2">
        <w:rPr>
          <w:color w:val="000000"/>
          <w:lang w:eastAsia="en-AU"/>
        </w:rPr>
        <w:t xml:space="preserve">The dedicated item numbers for people living in </w:t>
      </w:r>
      <w:r w:rsidRPr="00CC5EB2">
        <w:rPr>
          <w:rFonts w:cstheme="minorHAnsi"/>
        </w:rPr>
        <w:t>residential aged care facilities (RACFs) that were introduced during the COVID-19 pandemic</w:t>
      </w:r>
      <w:r w:rsidRPr="00CC5EB2">
        <w:rPr>
          <w:rFonts w:cstheme="minorHAnsi"/>
        </w:rPr>
        <w:fldChar w:fldCharType="begin"/>
      </w:r>
      <w:r w:rsidRPr="00CC5EB2">
        <w:rPr>
          <w:rFonts w:cstheme="minorHAnsi"/>
        </w:rPr>
        <w:instrText xml:space="preserve"> ADDIN EN.CITE &lt;EndNote&gt;&lt;Cite&gt;&lt;Author&gt;Australian Government Department of Health and Aged Care&lt;/Author&gt;&lt;Year&gt;2022&lt;/Year&gt;&lt;RecNum&gt;8&lt;/RecNum&gt;&lt;DisplayText&gt;&lt;style face="superscript"&gt;13,14&lt;/style&gt;&lt;/DisplayText&gt;&lt;record&gt;&lt;rec-number&gt;8&lt;/rec-number&gt;&lt;foreign-keys&gt;&lt;key app="EN" db-id="zzvszz22ippdtve99pwprdv69t2ed02p00sv" timestamp="1662844812"&gt;8&lt;/key&gt;&lt;/foreign-keys&gt;&lt;ref-type name="Web Page"&gt;12&lt;/ref-type&gt;&lt;contributors&gt;&lt;authors&gt;&lt;author&gt;Australian Government Department of Health and Aged Care,&lt;/author&gt;&lt;/authors&gt;&lt;/contributors&gt;&lt;titles&gt;&lt;title&gt;Medicare Benefits Schedule Better Access initiative – mental health support for aged care residents during the COVID-19 pandemic&lt;/title&gt;&lt;/titles&gt;&lt;volume&gt;2022&lt;/volume&gt;&lt;number&gt;11 September&lt;/number&gt;&lt;dates&gt;&lt;year&gt;2022&lt;/year&gt;&lt;/dates&gt;&lt;urls&gt;&lt;related-urls&gt;&lt;url&gt;https://www.health.gov.au/initiatives-and-programs/medicare-benefits-schedule-better-access-initiative-mental-health-support-for-aged-care-residents-during-the-covid-19-pandemic&lt;/url&gt;&lt;/related-urls&gt;&lt;/urls&gt;&lt;/record&gt;&lt;/Cite&gt;&lt;Cite&gt;&lt;Author&gt;Australian Government Department of Health and Aged Care&lt;/Author&gt;&lt;Year&gt;2022&lt;/Year&gt;&lt;RecNum&gt;9&lt;/RecNum&gt;&lt;record&gt;&lt;rec-number&gt;9&lt;/rec-number&gt;&lt;foreign-keys&gt;&lt;key app="EN" db-id="zzvszz22ippdtve99pwprdv69t2ed02p00sv" timestamp="1662845542"&gt;9&lt;/key&gt;&lt;/foreign-keys&gt;&lt;ref-type name="Web Page"&gt;12&lt;/ref-type&gt;&lt;contributors&gt;&lt;authors&gt;&lt;author&gt;Australian Government Department of Health and Aged Care,&lt;/author&gt;&lt;/authors&gt;&lt;/contributors&gt;&lt;titles&gt;&lt;title&gt;Extending mental health support for aged care residents during COVID-19&lt;/title&gt;&lt;/titles&gt;&lt;volume&gt;2022&lt;/volume&gt;&lt;number&gt;11 September&lt;/number&gt;&lt;dates&gt;&lt;year&gt;2022&lt;/year&gt;&lt;/dates&gt;&lt;urls&gt;&lt;related-urls&gt;&lt;url&gt;http://www.mbsonline.gov.au/internet/mbsonline/publishing.nsf/Content/Factsheet-Mental-Health-Aged-Care&lt;/url&gt;&lt;/related-urls&gt;&lt;/urls&gt;&lt;/record&gt;&lt;/Cite&gt;&lt;/EndNote&gt;</w:instrText>
      </w:r>
      <w:r w:rsidRPr="00CC5EB2">
        <w:rPr>
          <w:rFonts w:cstheme="minorHAnsi"/>
        </w:rPr>
        <w:fldChar w:fldCharType="separate"/>
      </w:r>
      <w:r w:rsidRPr="00CC5EB2">
        <w:rPr>
          <w:rFonts w:cstheme="minorHAnsi"/>
          <w:noProof/>
          <w:vertAlign w:val="superscript"/>
        </w:rPr>
        <w:t>13,14</w:t>
      </w:r>
      <w:r w:rsidRPr="00CC5EB2">
        <w:rPr>
          <w:rFonts w:cstheme="minorHAnsi"/>
        </w:rPr>
        <w:fldChar w:fldCharType="end"/>
      </w:r>
      <w:r w:rsidRPr="00CC5EB2">
        <w:rPr>
          <w:rFonts w:cstheme="minorHAnsi"/>
        </w:rPr>
        <w:t xml:space="preserve"> were not well taken up. Study 1a showed that in 2021 only 402 people received individual sessions through these item numbers. In the first half of 2022, 213 did so. This low uptake is unlikely to reflect low levels of need among this population group. Further investigation is required, but it is possible that alternative means of ensuring access to high quality mental health care for this group might better meet these needs.</w:t>
      </w:r>
    </w:p>
    <w:p w14:paraId="2D802E7F" w14:textId="77777777" w:rsidR="00532448" w:rsidRPr="00CC5EB2" w:rsidRDefault="00532448" w:rsidP="00532448">
      <w:pPr>
        <w:spacing w:before="120" w:after="120" w:line="262" w:lineRule="auto"/>
        <w:rPr>
          <w:color w:val="000000"/>
          <w:lang w:eastAsia="en-AU"/>
        </w:rPr>
      </w:pPr>
      <w:r w:rsidRPr="00C95874">
        <w:rPr>
          <w:rStyle w:val="Strong"/>
        </w:rPr>
        <w:t>Recommendation 14: Further investigation is required to determine whether the dedicated item numbers for people living in residential aged care facilities are the best means of ensuring access to high quality mental health care for this group.</w:t>
      </w:r>
    </w:p>
    <w:p w14:paraId="532A176D" w14:textId="77777777" w:rsidR="00A01898" w:rsidRPr="00C95874" w:rsidRDefault="00A01898" w:rsidP="0016493D">
      <w:pPr>
        <w:pStyle w:val="Heading3"/>
      </w:pPr>
      <w:r w:rsidRPr="00C95874">
        <w:t>Family/carer-inclusive practices</w:t>
      </w:r>
    </w:p>
    <w:p w14:paraId="5162803D" w14:textId="77777777" w:rsidR="00A01898" w:rsidRPr="00CC5EB2" w:rsidRDefault="00A01898" w:rsidP="00A04624">
      <w:pPr>
        <w:spacing w:before="120" w:after="120" w:line="259" w:lineRule="auto"/>
      </w:pPr>
      <w:r w:rsidRPr="00CC5EB2">
        <w:rPr>
          <w:rFonts w:cstheme="minorHAnsi"/>
        </w:rPr>
        <w:t xml:space="preserve">Several studies in the evaluation pointed to the importance of family/carer inclusive practices. In Study 8, for example, 95% percent of participants agreed or strongly agreed that </w:t>
      </w:r>
      <w:r w:rsidRPr="00CC5EB2">
        <w:rPr>
          <w:rFonts w:cstheme="minorHAnsi"/>
          <w:i/>
        </w:rPr>
        <w:t>“Processes that encourage family and carer support for consumers and better sharing of information should be established where appropriate and safe for the consumer.”</w:t>
      </w:r>
    </w:p>
    <w:p w14:paraId="55CB09B4" w14:textId="77777777" w:rsidR="00A01898" w:rsidRPr="00CC5EB2" w:rsidRDefault="00A01898" w:rsidP="00A04624">
      <w:pPr>
        <w:spacing w:before="120" w:after="120" w:line="259" w:lineRule="auto"/>
        <w:rPr>
          <w:iCs/>
        </w:rPr>
      </w:pPr>
      <w:r w:rsidRPr="00CC5EB2">
        <w:rPr>
          <w:color w:val="000000"/>
          <w:lang w:eastAsia="en-AU"/>
        </w:rPr>
        <w:t>Family/carer-inclusive practices should be embedded into Better Access going forward. The Productivity Commission recommended the introduction of dedicated MBS-rebated family/carer consultations, with separate item numbers depending on whether the consumer themselves is or isn’t present.</w:t>
      </w:r>
      <w:r w:rsidRPr="00CC5EB2">
        <w:rPr>
          <w:color w:val="000000"/>
          <w:lang w:eastAsia="en-AU"/>
        </w:rPr>
        <w:fldChar w:fldCharType="begin"/>
      </w:r>
      <w:r w:rsidRPr="00CC5EB2">
        <w:rPr>
          <w:color w:val="000000"/>
          <w:lang w:eastAsia="en-AU"/>
        </w:rPr>
        <w:instrText xml:space="preserve"> ADDIN EN.CITE &lt;EndNote&gt;&lt;Cite&gt;&lt;Author&gt;Productivity Commission&lt;/Author&gt;&lt;Year&gt;2020&lt;/Year&gt;&lt;RecNum&gt;1182&lt;/RecNum&gt;&lt;DisplayText&gt;&lt;style face="superscript"&gt;3&lt;/style&gt;&lt;/DisplayText&gt;&lt;record&gt;&lt;rec-number&gt;1182&lt;/rec-number&gt;&lt;foreign-keys&gt;&lt;key app="EN" db-id="aepeer0xlwrzpbef0r45aps5xe0r0zpsv59d" timestamp="1651823679"&gt;1182&lt;/key&gt;&lt;/foreign-keys&gt;&lt;ref-type name="Report"&gt;27&lt;/ref-type&gt;&lt;contributors&gt;&lt;authors&gt;&lt;author&gt;Productivity Commission,&lt;/author&gt;&lt;/authors&gt;&lt;/contributors&gt;&lt;titles&gt;&lt;title&gt;Mental Health, Report No. 95&lt;/title&gt;&lt;/titles&gt;&lt;dates&gt;&lt;year&gt;2020&lt;/year&gt;&lt;/dates&gt;&lt;pub-location&gt;Canberra&lt;/pub-location&gt;&lt;publisher&gt;Productivity Commission&lt;/publisher&gt;&lt;urls&gt;&lt;/urls&gt;&lt;/record&gt;&lt;/Cite&gt;&lt;/EndNote&gt;</w:instrText>
      </w:r>
      <w:r w:rsidRPr="00CC5EB2">
        <w:rPr>
          <w:color w:val="000000"/>
          <w:lang w:eastAsia="en-AU"/>
        </w:rPr>
        <w:fldChar w:fldCharType="separate"/>
      </w:r>
      <w:r w:rsidRPr="00CC5EB2">
        <w:rPr>
          <w:noProof/>
          <w:color w:val="000000"/>
          <w:vertAlign w:val="superscript"/>
          <w:lang w:eastAsia="en-AU"/>
        </w:rPr>
        <w:t>3</w:t>
      </w:r>
      <w:r w:rsidRPr="00CC5EB2">
        <w:rPr>
          <w:color w:val="000000"/>
          <w:lang w:eastAsia="en-AU"/>
        </w:rPr>
        <w:fldChar w:fldCharType="end"/>
      </w:r>
      <w:r w:rsidRPr="00CC5EB2">
        <w:rPr>
          <w:color w:val="000000"/>
          <w:lang w:eastAsia="en-AU"/>
        </w:rPr>
        <w:t xml:space="preserve"> The May 2021-22 Federal Budget included a measure </w:t>
      </w:r>
      <w:r w:rsidRPr="00CC5EB2">
        <w:rPr>
          <w:iCs/>
        </w:rPr>
        <w:t>to support the participation of family/carers in treatment provided under Better Access.</w:t>
      </w:r>
    </w:p>
    <w:p w14:paraId="2A89DCE0" w14:textId="7CB90F4E" w:rsidR="00C95874" w:rsidRPr="00C95874" w:rsidRDefault="00C95874" w:rsidP="00A04624">
      <w:pPr>
        <w:spacing w:before="120" w:after="120" w:line="259" w:lineRule="auto"/>
        <w:rPr>
          <w:rStyle w:val="Strong"/>
        </w:rPr>
      </w:pPr>
      <w:r w:rsidRPr="00C95874">
        <w:rPr>
          <w:rStyle w:val="Strong"/>
        </w:rPr>
        <w:t>Recommendation 15: Dedicated family/carer item numbers should also be considered as a means of providing more holistic care. Again, if such item numbers were to be introduced their uptake and impact should be monitored.</w:t>
      </w:r>
    </w:p>
    <w:p w14:paraId="4102D4E7" w14:textId="77777777" w:rsidR="00A01898" w:rsidRPr="00C95874" w:rsidRDefault="00A01898" w:rsidP="0016493D">
      <w:pPr>
        <w:pStyle w:val="Heading3"/>
      </w:pPr>
      <w:r w:rsidRPr="00C95874">
        <w:t>Routinely assessing outcomes</w:t>
      </w:r>
    </w:p>
    <w:p w14:paraId="51AF771A" w14:textId="77777777" w:rsidR="00A01898" w:rsidRPr="00CC5EB2" w:rsidRDefault="00A01898" w:rsidP="00A04624">
      <w:pPr>
        <w:spacing w:before="120" w:after="120" w:line="259" w:lineRule="auto"/>
      </w:pPr>
      <w:r w:rsidRPr="00CC5EB2">
        <w:t xml:space="preserve">Despite </w:t>
      </w:r>
      <w:r>
        <w:t>a</w:t>
      </w:r>
      <w:r w:rsidRPr="00CC5EB2">
        <w:t xml:space="preserve"> disappointing response to Study 9, the evaluation highlighted the importance of capturing data on consumer outcomes in a routine way and at scale, </w:t>
      </w:r>
      <w:proofErr w:type="gramStart"/>
      <w:r w:rsidRPr="00CC5EB2">
        <w:t>in order to</w:t>
      </w:r>
      <w:proofErr w:type="gramEnd"/>
      <w:r w:rsidRPr="00CC5EB2">
        <w:t xml:space="preserve"> monitor the extent to which Better Access is achieving its goals, and to allow improvements to be made to the program as appropriate. Doing this would also allow providers to see what outcomes they might expect for similar consumers receiving similar </w:t>
      </w:r>
      <w:proofErr w:type="gramStart"/>
      <w:r w:rsidRPr="00CC5EB2">
        <w:t>treatment, and</w:t>
      </w:r>
      <w:proofErr w:type="gramEnd"/>
      <w:r w:rsidRPr="00CC5EB2">
        <w:t xml:space="preserve"> could provide immediate feedback to inform their practice. These sorts of benefits of routine outcome measurement were also noted by the Productivity Commission</w:t>
      </w:r>
      <w:r w:rsidRPr="00CC5EB2">
        <w:fldChar w:fldCharType="begin"/>
      </w:r>
      <w:r w:rsidRPr="00CC5EB2">
        <w:instrText xml:space="preserve"> ADDIN EN.CITE &lt;EndNote&gt;&lt;Cite&gt;&lt;Author&gt;Productivity Commission&lt;/Author&gt;&lt;Year&gt;2020&lt;/Year&gt;&lt;RecNum&gt;1182&lt;/RecNum&gt;&lt;DisplayText&gt;&lt;style face="superscript"&gt;3&lt;/style&gt;&lt;/DisplayText&gt;&lt;record&gt;&lt;rec-number&gt;1182&lt;/rec-number&gt;&lt;foreign-keys&gt;&lt;key app="EN" db-id="aepeer0xlwrzpbef0r45aps5xe0r0zpsv59d" timestamp="1651823679"&gt;1182&lt;/key&gt;&lt;/foreign-keys&gt;&lt;ref-type name="Report"&gt;27&lt;/ref-type&gt;&lt;contributors&gt;&lt;authors&gt;&lt;author&gt;Productivity Commission,&lt;/author&gt;&lt;/authors&gt;&lt;/contributors&gt;&lt;titles&gt;&lt;title&gt;Mental Health, Report No. 95&lt;/title&gt;&lt;/titles&gt;&lt;dates&gt;&lt;year&gt;2020&lt;/year&gt;&lt;/dates&gt;&lt;pub-location&gt;Canberra&lt;/pub-location&gt;&lt;publisher&gt;Productivity Commission&lt;/publisher&gt;&lt;urls&gt;&lt;/urls&gt;&lt;/record&gt;&lt;/Cite&gt;&lt;/EndNote&gt;</w:instrText>
      </w:r>
      <w:r w:rsidRPr="00CC5EB2">
        <w:fldChar w:fldCharType="separate"/>
      </w:r>
      <w:r w:rsidRPr="00CC5EB2">
        <w:rPr>
          <w:noProof/>
          <w:vertAlign w:val="superscript"/>
        </w:rPr>
        <w:t>3</w:t>
      </w:r>
      <w:r w:rsidRPr="00CC5EB2">
        <w:fldChar w:fldCharType="end"/>
      </w:r>
      <w:r w:rsidRPr="00CC5EB2">
        <w:t xml:space="preserve"> and the MBS Review Taskforce.</w:t>
      </w:r>
      <w:r w:rsidRPr="00CC5EB2">
        <w:fldChar w:fldCharType="begin"/>
      </w:r>
      <w:r w:rsidRPr="00CC5EB2">
        <w:instrText xml:space="preserve"> ADDIN EN.CITE &lt;EndNote&gt;&lt;Cite&gt;&lt;Author&gt;Medicare Benefits Schedule Review Taskforce&lt;/Author&gt;&lt;Year&gt;2020&lt;/Year&gt;&lt;RecNum&gt;1181&lt;/RecNum&gt;&lt;DisplayText&gt;&lt;style face="superscript"&gt;7&lt;/style&gt;&lt;/DisplayText&gt;&lt;record&gt;&lt;rec-number&gt;1181&lt;/rec-number&gt;&lt;foreign-keys&gt;&lt;key app="EN" db-id="aepeer0xlwrzpbef0r45aps5xe0r0zpsv59d" timestamp="1651823678"&gt;1181&lt;/key&gt;&lt;/foreign-keys&gt;&lt;ref-type name="Report"&gt;27&lt;/ref-type&gt;&lt;contributors&gt;&lt;authors&gt;&lt;author&gt;Medicare Benefits Schedule Review Taskforce,&lt;/author&gt;&lt;/authors&gt;&lt;/contributors&gt;&lt;titles&gt;&lt;title&gt;An MBS for the 21st Century: Recommendations, Learnings and Ideas for the Future&lt;/title&gt;&lt;/titles&gt;&lt;dates&gt;&lt;year&gt;2020&lt;/year&gt;&lt;/dates&gt;&lt;pub-location&gt;Canberra&lt;/pub-location&gt;&lt;publisher&gt;Medicare Benefits Schedule Review Taskforce&lt;/publisher&gt;&lt;urls&gt;&lt;/urls&gt;&lt;/record&gt;&lt;/Cite&gt;&lt;/EndNote&gt;</w:instrText>
      </w:r>
      <w:r w:rsidRPr="00CC5EB2">
        <w:fldChar w:fldCharType="separate"/>
      </w:r>
      <w:r w:rsidRPr="00CC5EB2">
        <w:rPr>
          <w:noProof/>
          <w:vertAlign w:val="superscript"/>
        </w:rPr>
        <w:t>7</w:t>
      </w:r>
      <w:r w:rsidRPr="00CC5EB2">
        <w:fldChar w:fldCharType="end"/>
      </w:r>
      <w:r w:rsidRPr="00CC5EB2">
        <w:t xml:space="preserve"> There are no precedents for this in other Medicare-subsidised programs; the only data captured relate to activity and costs, not outcomes.</w:t>
      </w:r>
    </w:p>
    <w:p w14:paraId="624C1E05" w14:textId="77777777" w:rsidR="00A01898" w:rsidRPr="00CC5EB2" w:rsidRDefault="00A01898" w:rsidP="00A04624">
      <w:pPr>
        <w:spacing w:before="120" w:after="120" w:line="259" w:lineRule="auto"/>
      </w:pPr>
      <w:r w:rsidRPr="00CC5EB2">
        <w:t xml:space="preserve">One of the difficulties with Study 9 was that it could not really put routine outcome measurement </w:t>
      </w:r>
      <w:r w:rsidRPr="00CC5EB2">
        <w:rPr>
          <w:u w:val="single"/>
        </w:rPr>
        <w:t>done at scale</w:t>
      </w:r>
      <w:r w:rsidRPr="00CC5EB2">
        <w:t xml:space="preserve"> to the test. It examined whether providers found it acceptable to administer a particular assessment at each session, and the relatively small number who participated agreed that it was. They were less sure about how acceptable it might be to their peers but largely felt that it would be acceptable to consumers. Overall, the outcome data collected were relatively complete, suggesting that meaningful data could be collected. Multiple other providers have used the platform used in Study 9 – </w:t>
      </w:r>
      <w:proofErr w:type="spellStart"/>
      <w:r w:rsidRPr="00CC5EB2">
        <w:t>NovoPsych</w:t>
      </w:r>
      <w:proofErr w:type="spellEnd"/>
      <w:r w:rsidRPr="00CC5EB2">
        <w:t xml:space="preserve"> – in their practices to track the progress of their own consumers and even to make comparisons with similar consumers, suggesting that this would be feasible in real-world circumstances. However, the </w:t>
      </w:r>
      <w:proofErr w:type="spellStart"/>
      <w:r>
        <w:t>NovoPsych</w:t>
      </w:r>
      <w:proofErr w:type="spellEnd"/>
      <w:r>
        <w:t xml:space="preserve"> </w:t>
      </w:r>
      <w:r w:rsidRPr="00CC5EB2">
        <w:t>system is not designed to capture information in a manner that would allow for program monitoring and quality assurance, so testing whether outcome measurement would be acceptable under these circumstances was beyond the scope of Study 9.</w:t>
      </w:r>
    </w:p>
    <w:p w14:paraId="3696579E" w14:textId="77777777" w:rsidR="00A01898" w:rsidRPr="00CC5EB2" w:rsidRDefault="00A01898" w:rsidP="00A04624">
      <w:pPr>
        <w:spacing w:before="120" w:after="120" w:line="259" w:lineRule="auto"/>
      </w:pPr>
      <w:r w:rsidRPr="00CC5EB2">
        <w:lastRenderedPageBreak/>
        <w:t xml:space="preserve">An alternative approach to laying the groundwork for routine outcome measurement is to look at systems that have been successfully developed and implemented in primary mental health care elsewhere. </w:t>
      </w:r>
      <w:bookmarkStart w:id="5" w:name="_Hlk121042690"/>
      <w:r w:rsidRPr="00CC5EB2">
        <w:t xml:space="preserve">One example is </w:t>
      </w:r>
      <w:r w:rsidRPr="00CC5EB2">
        <w:rPr>
          <w:i/>
          <w:iCs/>
        </w:rPr>
        <w:t>iaptus</w:t>
      </w:r>
      <w:r w:rsidRPr="00CC5EB2">
        <w:t>,</w:t>
      </w:r>
      <w:r w:rsidRPr="00CC5EB2">
        <w:fldChar w:fldCharType="begin"/>
      </w:r>
      <w:r w:rsidRPr="00CC5EB2">
        <w:instrText xml:space="preserve"> ADDIN EN.CITE &lt;EndNote&gt;&lt;Cite&gt;&lt;Author&gt;Mayden&lt;/Author&gt;&lt;Year&gt;2022&lt;/Year&gt;&lt;RecNum&gt;1235&lt;/RecNum&gt;&lt;DisplayText&gt;&lt;style face="superscript"&gt;15&lt;/style&gt;&lt;/DisplayText&gt;&lt;record&gt;&lt;rec-number&gt;1235&lt;/rec-number&gt;&lt;foreign-keys&gt;&lt;key app="EN" db-id="aepeer0xlwrzpbef0r45aps5xe0r0zpsv59d" timestamp="1667521930"&gt;1235&lt;/key&gt;&lt;/foreign-keys&gt;&lt;ref-type name="Web Page"&gt;12&lt;/ref-type&gt;&lt;contributors&gt;&lt;authors&gt;&lt;author&gt;Mayden,&lt;/author&gt;&lt;/authors&gt;&lt;/contributors&gt;&lt;titles&gt;&lt;title&gt;iaptus&lt;/title&gt;&lt;/titles&gt;&lt;number&gt;4 November 2022)&lt;/number&gt;&lt;dates&gt;&lt;year&gt;2022&lt;/year&gt;&lt;/dates&gt;&lt;pub-location&gt;Bath&lt;/pub-location&gt;&lt;publisher&gt;Mayden&lt;/publisher&gt;&lt;urls&gt;&lt;related-urls&gt;&lt;url&gt;https://iaptus.co.uk/&lt;/url&gt;&lt;/related-urls&gt;&lt;/urls&gt;&lt;/record&gt;&lt;/Cite&gt;&lt;/EndNote&gt;</w:instrText>
      </w:r>
      <w:r w:rsidRPr="00CC5EB2">
        <w:fldChar w:fldCharType="separate"/>
      </w:r>
      <w:r w:rsidRPr="00CC5EB2">
        <w:rPr>
          <w:noProof/>
          <w:vertAlign w:val="superscript"/>
        </w:rPr>
        <w:t>15</w:t>
      </w:r>
      <w:r w:rsidRPr="00CC5EB2">
        <w:fldChar w:fldCharType="end"/>
      </w:r>
      <w:r w:rsidRPr="00CC5EB2">
        <w:t xml:space="preserve"> the clinical software that supports routine outcome measurement for the Improving Access to Psychological Therapies (IAPT) program in the United Kingdom.</w:t>
      </w:r>
      <w:r w:rsidRPr="00CC5EB2">
        <w:fldChar w:fldCharType="begin"/>
      </w:r>
      <w:r w:rsidRPr="00CC5EB2">
        <w:instrText xml:space="preserve"> ADDIN EN.CITE &lt;EndNote&gt;&lt;Cite&gt;&lt;Author&gt;NHS England&lt;/Author&gt;&lt;Year&gt;2022&lt;/Year&gt;&lt;RecNum&gt;1236&lt;/RecNum&gt;&lt;DisplayText&gt;&lt;style face="superscript"&gt;16&lt;/style&gt;&lt;/DisplayText&gt;&lt;record&gt;&lt;rec-number&gt;1236&lt;/rec-number&gt;&lt;foreign-keys&gt;&lt;key app="EN" db-id="aepeer0xlwrzpbef0r45aps5xe0r0zpsv59d" timestamp="1667522213"&gt;1236&lt;/key&gt;&lt;/foreign-keys&gt;&lt;ref-type name="Web Page"&gt;12&lt;/ref-type&gt;&lt;contributors&gt;&lt;authors&gt;&lt;author&gt;NHS England,&lt;/author&gt;&lt;/authors&gt;&lt;/contributors&gt;&lt;titles&gt;&lt;title&gt;Adult Improving Access to Psychological Therapies programme&lt;/title&gt;&lt;/titles&gt;&lt;number&gt;4 November 2022)&lt;/number&gt;&lt;dates&gt;&lt;year&gt;2022&lt;/year&gt;&lt;/dates&gt;&lt;pub-location&gt;London&lt;/pub-location&gt;&lt;publisher&gt;NHS England&lt;/publisher&gt;&lt;urls&gt;&lt;related-urls&gt;&lt;url&gt;https://www.england.nhs.uk/mental-health/adults/iapt/&lt;/url&gt;&lt;/related-urls&gt;&lt;/urls&gt;&lt;/record&gt;&lt;/Cite&gt;&lt;/EndNote&gt;</w:instrText>
      </w:r>
      <w:r w:rsidRPr="00CC5EB2">
        <w:fldChar w:fldCharType="separate"/>
      </w:r>
      <w:r w:rsidRPr="00CC5EB2">
        <w:rPr>
          <w:noProof/>
          <w:vertAlign w:val="superscript"/>
        </w:rPr>
        <w:t>16</w:t>
      </w:r>
      <w:r w:rsidRPr="00CC5EB2">
        <w:fldChar w:fldCharType="end"/>
      </w:r>
      <w:r w:rsidRPr="00CC5EB2">
        <w:t xml:space="preserve"> </w:t>
      </w:r>
      <w:bookmarkEnd w:id="5"/>
      <w:r w:rsidRPr="00CC5EB2">
        <w:t xml:space="preserve">The IAPT program is different to Better Access but it does involve individual providers delivering psychological services to people with depression and anxiety. </w:t>
      </w:r>
      <w:proofErr w:type="spellStart"/>
      <w:r w:rsidRPr="00CC5EB2">
        <w:rPr>
          <w:i/>
          <w:iCs/>
        </w:rPr>
        <w:t>iaptus</w:t>
      </w:r>
      <w:proofErr w:type="spellEnd"/>
      <w:r w:rsidRPr="00CC5EB2">
        <w:rPr>
          <w:i/>
          <w:iCs/>
        </w:rPr>
        <w:t xml:space="preserve"> </w:t>
      </w:r>
      <w:r w:rsidRPr="00CC5EB2">
        <w:t xml:space="preserve">is a secure, flexible consumer management system that is built around the consumer pathway, capturing information on the consumer themselves and the treatment they receive from referral to the end of an episode of care. The collection of outcome data is a key element of this. Providers can use </w:t>
      </w:r>
      <w:proofErr w:type="spellStart"/>
      <w:r w:rsidRPr="00CC5EB2">
        <w:rPr>
          <w:i/>
          <w:iCs/>
        </w:rPr>
        <w:t>iaptus</w:t>
      </w:r>
      <w:proofErr w:type="spellEnd"/>
      <w:r w:rsidRPr="00CC5EB2">
        <w:t xml:space="preserve"> to make decisions about the specific treatment they offer </w:t>
      </w:r>
      <w:proofErr w:type="gramStart"/>
      <w:r w:rsidRPr="00CC5EB2">
        <w:t>particular consumers</w:t>
      </w:r>
      <w:proofErr w:type="gramEnd"/>
      <w:r w:rsidRPr="00CC5EB2">
        <w:t xml:space="preserve">, based on typical outcomes for similar consumers. They can also monitor a consumer’s progress over the course of an episode and use this feedback to make decisions about further sessions of care. Importantly, the system provides a bird’s eye view of the overall IAPT program and the outcomes it is achieving. All of this is possible because </w:t>
      </w:r>
      <w:proofErr w:type="spellStart"/>
      <w:r w:rsidRPr="00CC5EB2">
        <w:rPr>
          <w:i/>
          <w:iCs/>
        </w:rPr>
        <w:t>iaptus</w:t>
      </w:r>
      <w:proofErr w:type="spellEnd"/>
      <w:r w:rsidRPr="00CC5EB2">
        <w:t xml:space="preserve"> has been deployed at scale and now contains data on more than five million consumers in the United Kingdom. The system already has a footprint in Australia and is being used by some PHNs.</w:t>
      </w:r>
      <w:r w:rsidRPr="00CC5EB2">
        <w:fldChar w:fldCharType="begin"/>
      </w:r>
      <w:r w:rsidRPr="00CC5EB2">
        <w:instrText xml:space="preserve"> ADDIN EN.CITE &lt;EndNote&gt;&lt;Cite&gt;&lt;Author&gt;Mayden&lt;/Author&gt;&lt;Year&gt;2022&lt;/Year&gt;&lt;RecNum&gt;1237&lt;/RecNum&gt;&lt;DisplayText&gt;&lt;style face="superscript"&gt;15&lt;/style&gt;&lt;/DisplayText&gt;&lt;record&gt;&lt;rec-number&gt;1237&lt;/rec-number&gt;&lt;foreign-keys&gt;&lt;key app="EN" db-id="aepeer0xlwrzpbef0r45aps5xe0r0zpsv59d" timestamp="1667522564"&gt;1237&lt;/key&gt;&lt;/foreign-keys&gt;&lt;ref-type name="Web Page"&gt;12&lt;/ref-type&gt;&lt;contributors&gt;&lt;authors&gt;&lt;author&gt;Mayden,&lt;/author&gt;&lt;/authors&gt;&lt;/contributors&gt;&lt;titles&gt;&lt;title&gt;iaptus&lt;/title&gt;&lt;/titles&gt;&lt;number&gt;4 November 2022)&lt;/number&gt;&lt;dates&gt;&lt;year&gt;2022&lt;/year&gt;&lt;/dates&gt;&lt;pub-location&gt;Bath&lt;/pub-location&gt;&lt;publisher&gt;Mayden&lt;/publisher&gt;&lt;urls&gt;&lt;related-urls&gt;&lt;url&gt;https://iaptus.com.au/&lt;/url&gt;&lt;/related-urls&gt;&lt;/urls&gt;&lt;/record&gt;&lt;/Cite&gt;&lt;/EndNote&gt;</w:instrText>
      </w:r>
      <w:r w:rsidRPr="00CC5EB2">
        <w:fldChar w:fldCharType="separate"/>
      </w:r>
      <w:r w:rsidRPr="00CC5EB2">
        <w:rPr>
          <w:noProof/>
          <w:vertAlign w:val="superscript"/>
        </w:rPr>
        <w:t>15</w:t>
      </w:r>
      <w:r w:rsidRPr="00CC5EB2">
        <w:fldChar w:fldCharType="end"/>
      </w:r>
      <w:r w:rsidRPr="00CC5EB2">
        <w:t xml:space="preserve"> </w:t>
      </w:r>
    </w:p>
    <w:p w14:paraId="246B69B3" w14:textId="739C165E" w:rsidR="00A01898" w:rsidRDefault="00A01898" w:rsidP="00A04624">
      <w:pPr>
        <w:spacing w:before="120" w:after="120" w:line="259" w:lineRule="auto"/>
        <w:rPr>
          <w:lang w:val="en-US"/>
        </w:rPr>
      </w:pPr>
      <w:r w:rsidRPr="00CC5EB2">
        <w:t xml:space="preserve">Steps should be taken to implement routine outcome measurement as a quality assurance tool for the Better Access program. It will be important to draw on lessons from the roll-out of </w:t>
      </w:r>
      <w:proofErr w:type="spellStart"/>
      <w:r w:rsidRPr="00CC5EB2">
        <w:rPr>
          <w:i/>
        </w:rPr>
        <w:t>iaptus</w:t>
      </w:r>
      <w:proofErr w:type="spellEnd"/>
      <w:r w:rsidRPr="00CC5EB2">
        <w:rPr>
          <w:i/>
        </w:rPr>
        <w:t xml:space="preserve"> </w:t>
      </w:r>
      <w:r w:rsidRPr="00CC5EB2">
        <w:t>in the United Kingdom,</w:t>
      </w:r>
      <w:r w:rsidRPr="00CC5EB2">
        <w:fldChar w:fldCharType="begin"/>
      </w:r>
      <w:r w:rsidRPr="00CC5EB2">
        <w:instrText xml:space="preserve"> ADDIN EN.CITE &lt;EndNote&gt;&lt;Cite&gt;&lt;Author&gt;Mayden&lt;/Author&gt;&lt;Year&gt;2022&lt;/Year&gt;&lt;RecNum&gt;1235&lt;/RecNum&gt;&lt;DisplayText&gt;&lt;style face="superscript"&gt;15&lt;/style&gt;&lt;/DisplayText&gt;&lt;record&gt;&lt;rec-number&gt;1235&lt;/rec-number&gt;&lt;foreign-keys&gt;&lt;key app="EN" db-id="aepeer0xlwrzpbef0r45aps5xe0r0zpsv59d" timestamp="1667521930"&gt;1235&lt;/key&gt;&lt;/foreign-keys&gt;&lt;ref-type name="Web Page"&gt;12&lt;/ref-type&gt;&lt;contributors&gt;&lt;authors&gt;&lt;author&gt;Mayden,&lt;/author&gt;&lt;/authors&gt;&lt;/contributors&gt;&lt;titles&gt;&lt;title&gt;iaptus&lt;/title&gt;&lt;/titles&gt;&lt;number&gt;4 November 2022)&lt;/number&gt;&lt;dates&gt;&lt;year&gt;2022&lt;/year&gt;&lt;/dates&gt;&lt;pub-location&gt;Bath&lt;/pub-location&gt;&lt;publisher&gt;Mayden&lt;/publisher&gt;&lt;urls&gt;&lt;related-urls&gt;&lt;url&gt;https://iaptus.co.uk/&lt;/url&gt;&lt;/related-urls&gt;&lt;/urls&gt;&lt;/record&gt;&lt;/Cite&gt;&lt;/EndNote&gt;</w:instrText>
      </w:r>
      <w:r w:rsidRPr="00CC5EB2">
        <w:fldChar w:fldCharType="separate"/>
      </w:r>
      <w:r w:rsidRPr="00CC5EB2">
        <w:rPr>
          <w:noProof/>
          <w:vertAlign w:val="superscript"/>
        </w:rPr>
        <w:t>15</w:t>
      </w:r>
      <w:r w:rsidRPr="00CC5EB2">
        <w:fldChar w:fldCharType="end"/>
      </w:r>
      <w:r w:rsidRPr="00CC5EB2">
        <w:t xml:space="preserve"> and from the implementation of other outcome measurement systems used elsewhere in mental health in Australia (e.g., the Mental Health National Outcomes and </w:t>
      </w:r>
      <w:proofErr w:type="spellStart"/>
      <w:r w:rsidRPr="00CC5EB2">
        <w:t>Casemix</w:t>
      </w:r>
      <w:proofErr w:type="spellEnd"/>
      <w:r w:rsidRPr="00CC5EB2">
        <w:t xml:space="preserve"> Collection [MH-NOCC] and the Primary Mental Health Care Minimum Data Set [PMHC MDS]).</w:t>
      </w:r>
      <w:r w:rsidRPr="00CC5EB2">
        <w:fldChar w:fldCharType="begin"/>
      </w:r>
      <w:r w:rsidRPr="00CC5EB2">
        <w:instrText xml:space="preserve"> ADDIN EN.CITE &lt;EndNote&gt;&lt;Cite&gt;&lt;Author&gt;Australian Government Department of Health&lt;/Author&gt;&lt;Year&gt;2022&lt;/Year&gt;&lt;RecNum&gt;1263&lt;/RecNum&gt;&lt;DisplayText&gt;&lt;style face="superscript"&gt;17,18&lt;/style&gt;&lt;/DisplayText&gt;&lt;record&gt;&lt;rec-number&gt;1263&lt;/rec-number&gt;&lt;foreign-keys&gt;&lt;key app="EN" db-id="aepeer0xlwrzpbef0r45aps5xe0r0zpsv59d" timestamp="1670112889"&gt;1263&lt;/key&gt;&lt;/foreign-keys&gt;&lt;ref-type name="Web Page"&gt;12&lt;/ref-type&gt;&lt;contributors&gt;&lt;authors&gt;&lt;author&gt;Australian Government Department of Health,&lt;/author&gt;&lt;/authors&gt;&lt;/contributors&gt;&lt;titles&gt;&lt;title&gt;Primary Mental Health Care Minimum Data Set&lt;/title&gt;&lt;/titles&gt;&lt;number&gt;4 December 2022)&lt;/number&gt;&lt;dates&gt;&lt;year&gt;2022&lt;/year&gt;&lt;/dates&gt;&lt;urls&gt;&lt;related-urls&gt;&lt;url&gt;https://pmhc-mds.net/#/&lt;/url&gt;&lt;/related-urls&gt;&lt;/urls&gt;&lt;/record&gt;&lt;/Cite&gt;&lt;Cite&gt;&lt;Author&gt;Australian Mental Health Outcomes and Classification Network&lt;/Author&gt;&lt;Year&gt;2022&lt;/Year&gt;&lt;RecNum&gt;1262&lt;/RecNum&gt;&lt;record&gt;&lt;rec-number&gt;1262&lt;/rec-number&gt;&lt;foreign-keys&gt;&lt;key app="EN" db-id="aepeer0xlwrzpbef0r45aps5xe0r0zpsv59d" timestamp="1670112662"&gt;1262&lt;/key&gt;&lt;/foreign-keys&gt;&lt;ref-type name="Web Page"&gt;12&lt;/ref-type&gt;&lt;contributors&gt;&lt;authors&gt;&lt;author&gt;Australian Mental Health Outcomes and Classification Network,&lt;/author&gt;&lt;/authors&gt;&lt;/contributors&gt;&lt;titles&gt;&lt;title&gt;Update of NOCC data&lt;/title&gt;&lt;/titles&gt;&lt;number&gt;4 December 2022)&lt;/number&gt;&lt;dates&gt;&lt;year&gt;2022&lt;/year&gt;&lt;/dates&gt;&lt;urls&gt;&lt;related-urls&gt;&lt;url&gt;https://www.amhocn.org/&lt;/url&gt;&lt;/related-urls&gt;&lt;/urls&gt;&lt;/record&gt;&lt;/Cite&gt;&lt;/EndNote&gt;</w:instrText>
      </w:r>
      <w:r w:rsidRPr="00CC5EB2">
        <w:fldChar w:fldCharType="separate"/>
      </w:r>
      <w:r w:rsidRPr="00CC5EB2">
        <w:rPr>
          <w:noProof/>
          <w:vertAlign w:val="superscript"/>
        </w:rPr>
        <w:t>17,18</w:t>
      </w:r>
      <w:r w:rsidRPr="00CC5EB2">
        <w:fldChar w:fldCharType="end"/>
      </w:r>
      <w:r w:rsidRPr="00CC5EB2">
        <w:t xml:space="preserve"> </w:t>
      </w:r>
      <w:r>
        <w:t xml:space="preserve">The </w:t>
      </w:r>
      <w:r w:rsidRPr="00CC5EB2">
        <w:t xml:space="preserve">Study 9 survey </w:t>
      </w:r>
      <w:r>
        <w:t xml:space="preserve">results </w:t>
      </w:r>
      <w:r w:rsidRPr="00CC5EB2">
        <w:rPr>
          <w:szCs w:val="20"/>
          <w:lang w:val="en-US" w:eastAsia="en-US"/>
        </w:rPr>
        <w:t xml:space="preserve">suggested that implementing routine outcome measurement in the Better Access context would </w:t>
      </w:r>
      <w:r w:rsidRPr="00CC5EB2">
        <w:rPr>
          <w:lang w:val="en-US"/>
        </w:rPr>
        <w:t xml:space="preserve">need to involve a flexible, easy-to-use, secure platform that could interface with various practice-management software systems, and that appropriate governance and transparency around data use would be required. They also indicated that providers would need to see the benefits to their own practice of contributing data to such a system, and that financial incentives would be likely to be required to guarantee provider engagement. </w:t>
      </w:r>
    </w:p>
    <w:p w14:paraId="55F70F9F" w14:textId="59EDAD4A" w:rsidR="00C95874" w:rsidRPr="00C95874" w:rsidRDefault="00C95874" w:rsidP="00A04624">
      <w:pPr>
        <w:spacing w:before="120" w:after="120" w:line="259" w:lineRule="auto"/>
        <w:rPr>
          <w:rStyle w:val="Strong"/>
        </w:rPr>
      </w:pPr>
      <w:r w:rsidRPr="00C95874">
        <w:rPr>
          <w:rStyle w:val="Strong"/>
        </w:rPr>
        <w:t>Recommendation 16: Steps should be taken to implement routine outcome measurement as a quality assurance tool for the Better Access program. This will require significant effort and investment in consultation and communication, system design and governance, technology, and ongoing administrative and financial support.</w:t>
      </w:r>
    </w:p>
    <w:p w14:paraId="7696C83E" w14:textId="77777777" w:rsidR="003172DE" w:rsidRPr="0016493D" w:rsidRDefault="003172DE" w:rsidP="0016493D">
      <w:r w:rsidRPr="0002386E">
        <w:rPr>
          <w:lang w:eastAsia="en-AU"/>
        </w:rPr>
        <w:br w:type="page"/>
      </w:r>
    </w:p>
    <w:p w14:paraId="240B8D12" w14:textId="337E0E25" w:rsidR="009D71AB" w:rsidRPr="0016493D" w:rsidRDefault="009D71AB" w:rsidP="0016493D">
      <w:pPr>
        <w:pStyle w:val="Heading1"/>
      </w:pPr>
      <w:bookmarkStart w:id="6" w:name="_Toc119512916"/>
      <w:bookmarkStart w:id="7" w:name="_Toc121201925"/>
      <w:bookmarkStart w:id="8" w:name="_Toc121206574"/>
      <w:bookmarkStart w:id="9" w:name="_Toc121393101"/>
      <w:bookmarkEnd w:id="1"/>
      <w:r w:rsidRPr="008938F5">
        <w:lastRenderedPageBreak/>
        <w:t>References</w:t>
      </w:r>
      <w:bookmarkEnd w:id="6"/>
      <w:bookmarkEnd w:id="7"/>
      <w:bookmarkEnd w:id="8"/>
      <w:bookmarkEnd w:id="9"/>
    </w:p>
    <w:p w14:paraId="56BC6026" w14:textId="7D90DF96" w:rsidR="00DA582E" w:rsidRPr="00DA582E" w:rsidRDefault="00DA582E" w:rsidP="00DA582E">
      <w:pPr>
        <w:pStyle w:val="EndNoteBibliography"/>
        <w:ind w:left="567" w:hanging="567"/>
        <w:rPr>
          <w:rFonts w:asciiTheme="minorHAnsi" w:hAnsiTheme="minorHAnsi" w:cstheme="minorHAnsi"/>
          <w:sz w:val="21"/>
        </w:rPr>
      </w:pPr>
      <w:r w:rsidRPr="00DA582E">
        <w:rPr>
          <w:rFonts w:asciiTheme="minorHAnsi" w:hAnsiTheme="minorHAnsi" w:cstheme="minorHAnsi"/>
          <w:color w:val="000000"/>
          <w:sz w:val="21"/>
          <w:lang w:eastAsia="en-AU"/>
        </w:rPr>
        <w:fldChar w:fldCharType="begin"/>
      </w:r>
      <w:r w:rsidRPr="00DA582E">
        <w:rPr>
          <w:rFonts w:asciiTheme="minorHAnsi" w:hAnsiTheme="minorHAnsi" w:cstheme="minorHAnsi"/>
          <w:color w:val="000000"/>
          <w:sz w:val="21"/>
          <w:lang w:eastAsia="en-AU"/>
        </w:rPr>
        <w:instrText xml:space="preserve"> ADDIN EN.REFLIST </w:instrText>
      </w:r>
      <w:r w:rsidRPr="00DA582E">
        <w:rPr>
          <w:rFonts w:asciiTheme="minorHAnsi" w:hAnsiTheme="minorHAnsi" w:cstheme="minorHAnsi"/>
          <w:color w:val="000000"/>
          <w:sz w:val="21"/>
          <w:lang w:eastAsia="en-AU"/>
        </w:rPr>
        <w:fldChar w:fldCharType="separate"/>
      </w:r>
      <w:r w:rsidRPr="00DA582E">
        <w:rPr>
          <w:rFonts w:asciiTheme="minorHAnsi" w:hAnsiTheme="minorHAnsi" w:cstheme="minorHAnsi"/>
          <w:sz w:val="21"/>
        </w:rPr>
        <w:t>1.</w:t>
      </w:r>
      <w:r w:rsidRPr="00DA582E">
        <w:rPr>
          <w:rFonts w:asciiTheme="minorHAnsi" w:hAnsiTheme="minorHAnsi" w:cstheme="minorHAnsi"/>
          <w:sz w:val="21"/>
        </w:rPr>
        <w:tab/>
        <w:t xml:space="preserve">Australian Bureau of Statistics. National Study of Mental Health and Wellbeing. 2022. </w:t>
      </w:r>
      <w:hyperlink r:id="rId13" w:history="1">
        <w:r w:rsidRPr="00DA582E">
          <w:rPr>
            <w:rStyle w:val="Hyperlink"/>
            <w:rFonts w:asciiTheme="minorHAnsi" w:hAnsiTheme="minorHAnsi" w:cstheme="minorHAnsi"/>
            <w:sz w:val="21"/>
          </w:rPr>
          <w:t>https://www.abs.gov.au/statistics/health/mental-health/national-study-mental-health-and-wellbeing/latest-release</w:t>
        </w:r>
      </w:hyperlink>
      <w:r w:rsidRPr="00DA582E">
        <w:rPr>
          <w:rFonts w:asciiTheme="minorHAnsi" w:hAnsiTheme="minorHAnsi" w:cstheme="minorHAnsi"/>
          <w:sz w:val="21"/>
        </w:rPr>
        <w:t xml:space="preserve"> (accessed 13 November 2022).</w:t>
      </w:r>
    </w:p>
    <w:p w14:paraId="45F25EF0" w14:textId="0F3D4328" w:rsidR="00DA582E" w:rsidRPr="00DA582E" w:rsidRDefault="00DA582E" w:rsidP="00DA582E">
      <w:pPr>
        <w:pStyle w:val="EndNoteBibliography"/>
        <w:ind w:left="567" w:hanging="567"/>
        <w:rPr>
          <w:rFonts w:asciiTheme="minorHAnsi" w:hAnsiTheme="minorHAnsi" w:cstheme="minorHAnsi"/>
          <w:sz w:val="21"/>
        </w:rPr>
      </w:pPr>
      <w:r w:rsidRPr="00DA582E">
        <w:rPr>
          <w:rFonts w:asciiTheme="minorHAnsi" w:hAnsiTheme="minorHAnsi" w:cstheme="minorHAnsi"/>
          <w:sz w:val="21"/>
        </w:rPr>
        <w:t>2.</w:t>
      </w:r>
      <w:r w:rsidRPr="00DA582E">
        <w:rPr>
          <w:rFonts w:asciiTheme="minorHAnsi" w:hAnsiTheme="minorHAnsi" w:cstheme="minorHAnsi"/>
          <w:sz w:val="21"/>
        </w:rPr>
        <w:tab/>
        <w:t xml:space="preserve">Australian Government Department of Health. 2021. </w:t>
      </w:r>
      <w:hyperlink r:id="rId14" w:anchor="about-the-better-access-initiative" w:history="1">
        <w:r w:rsidRPr="00DA582E">
          <w:rPr>
            <w:rStyle w:val="Hyperlink"/>
            <w:rFonts w:asciiTheme="minorHAnsi" w:hAnsiTheme="minorHAnsi" w:cstheme="minorHAnsi"/>
            <w:sz w:val="21"/>
          </w:rPr>
          <w:t>https://www.health.gov.au/initiatives-and-programs/better-access-initiative#about-the-better-access-initiative</w:t>
        </w:r>
      </w:hyperlink>
      <w:r w:rsidRPr="00DA582E">
        <w:rPr>
          <w:rFonts w:asciiTheme="minorHAnsi" w:hAnsiTheme="minorHAnsi" w:cstheme="minorHAnsi"/>
          <w:sz w:val="21"/>
        </w:rPr>
        <w:t xml:space="preserve"> (accessed 26 June 2021).</w:t>
      </w:r>
    </w:p>
    <w:p w14:paraId="1CFC99D8" w14:textId="77777777" w:rsidR="00DA582E" w:rsidRPr="00DA582E" w:rsidRDefault="00DA582E" w:rsidP="00DA582E">
      <w:pPr>
        <w:pStyle w:val="EndNoteBibliography"/>
        <w:ind w:left="567" w:hanging="567"/>
        <w:rPr>
          <w:rFonts w:asciiTheme="minorHAnsi" w:hAnsiTheme="minorHAnsi" w:cstheme="minorHAnsi"/>
          <w:sz w:val="21"/>
        </w:rPr>
      </w:pPr>
      <w:r w:rsidRPr="00DA582E">
        <w:rPr>
          <w:rFonts w:asciiTheme="minorHAnsi" w:hAnsiTheme="minorHAnsi" w:cstheme="minorHAnsi"/>
          <w:sz w:val="21"/>
        </w:rPr>
        <w:t>3.</w:t>
      </w:r>
      <w:r w:rsidRPr="00DA582E">
        <w:rPr>
          <w:rFonts w:asciiTheme="minorHAnsi" w:hAnsiTheme="minorHAnsi" w:cstheme="minorHAnsi"/>
          <w:sz w:val="21"/>
        </w:rPr>
        <w:tab/>
        <w:t>Productivity Commission. Mental Health, Report No. 95. Canberra: Productivity Commission, 2020.</w:t>
      </w:r>
    </w:p>
    <w:p w14:paraId="13EBE63B" w14:textId="77777777" w:rsidR="00DA582E" w:rsidRPr="00DA582E" w:rsidRDefault="00DA582E" w:rsidP="00DA582E">
      <w:pPr>
        <w:pStyle w:val="EndNoteBibliography"/>
        <w:ind w:left="567" w:hanging="567"/>
        <w:rPr>
          <w:rFonts w:asciiTheme="minorHAnsi" w:hAnsiTheme="minorHAnsi" w:cstheme="minorHAnsi"/>
          <w:sz w:val="21"/>
        </w:rPr>
      </w:pPr>
      <w:r w:rsidRPr="00DA582E">
        <w:rPr>
          <w:rFonts w:asciiTheme="minorHAnsi" w:hAnsiTheme="minorHAnsi" w:cstheme="minorHAnsi"/>
          <w:sz w:val="21"/>
        </w:rPr>
        <w:t>4.</w:t>
      </w:r>
      <w:r w:rsidRPr="00DA582E">
        <w:rPr>
          <w:rFonts w:asciiTheme="minorHAnsi" w:hAnsiTheme="minorHAnsi" w:cstheme="minorHAnsi"/>
          <w:sz w:val="21"/>
        </w:rPr>
        <w:tab/>
        <w:t>Territories CoAatSa. National Mental Health and Suicide Prevention Agreement. Canberra: Commonwealth of Australia, 2022.</w:t>
      </w:r>
    </w:p>
    <w:p w14:paraId="0E6CF109" w14:textId="02D4BB7F" w:rsidR="00DA582E" w:rsidRPr="00DA582E" w:rsidRDefault="00DA582E" w:rsidP="00DA582E">
      <w:pPr>
        <w:pStyle w:val="EndNoteBibliography"/>
        <w:ind w:left="567" w:hanging="567"/>
        <w:rPr>
          <w:rFonts w:asciiTheme="minorHAnsi" w:hAnsiTheme="minorHAnsi" w:cstheme="minorHAnsi"/>
          <w:sz w:val="21"/>
        </w:rPr>
      </w:pPr>
      <w:r w:rsidRPr="00DA582E">
        <w:rPr>
          <w:rFonts w:asciiTheme="minorHAnsi" w:hAnsiTheme="minorHAnsi" w:cstheme="minorHAnsi"/>
          <w:sz w:val="21"/>
        </w:rPr>
        <w:t>5.</w:t>
      </w:r>
      <w:r w:rsidRPr="00DA582E">
        <w:rPr>
          <w:rFonts w:asciiTheme="minorHAnsi" w:hAnsiTheme="minorHAnsi" w:cstheme="minorHAnsi"/>
          <w:sz w:val="21"/>
        </w:rPr>
        <w:tab/>
        <w:t xml:space="preserve">Australian Psychological Society. 1 in 3 psychologists are unable to see new clients, but Australians need help more than ever. 2022. </w:t>
      </w:r>
      <w:hyperlink r:id="rId15" w:history="1">
        <w:r w:rsidRPr="00DA582E">
          <w:rPr>
            <w:rStyle w:val="Hyperlink"/>
            <w:rFonts w:asciiTheme="minorHAnsi" w:hAnsiTheme="minorHAnsi" w:cstheme="minorHAnsi"/>
            <w:sz w:val="21"/>
          </w:rPr>
          <w:t>https://psychology.org.au/for-members/news-and-updates/news/2022/australians-need-psychological-help-more-than-ever</w:t>
        </w:r>
      </w:hyperlink>
      <w:r w:rsidRPr="00DA582E">
        <w:rPr>
          <w:rFonts w:asciiTheme="minorHAnsi" w:hAnsiTheme="minorHAnsi" w:cstheme="minorHAnsi"/>
          <w:sz w:val="21"/>
        </w:rPr>
        <w:t xml:space="preserve"> (accessed 4 December 2022).</w:t>
      </w:r>
    </w:p>
    <w:p w14:paraId="5406E2CD" w14:textId="6251C6EA" w:rsidR="00DA582E" w:rsidRPr="00DA582E" w:rsidRDefault="00DA582E" w:rsidP="00DA582E">
      <w:pPr>
        <w:pStyle w:val="EndNoteBibliography"/>
        <w:ind w:left="567" w:hanging="567"/>
        <w:rPr>
          <w:rFonts w:asciiTheme="minorHAnsi" w:hAnsiTheme="minorHAnsi" w:cstheme="minorHAnsi"/>
          <w:sz w:val="21"/>
        </w:rPr>
      </w:pPr>
      <w:r w:rsidRPr="00DA582E">
        <w:rPr>
          <w:rFonts w:asciiTheme="minorHAnsi" w:hAnsiTheme="minorHAnsi" w:cstheme="minorHAnsi"/>
          <w:sz w:val="21"/>
        </w:rPr>
        <w:t>6.</w:t>
      </w:r>
      <w:r w:rsidRPr="00DA582E">
        <w:rPr>
          <w:rFonts w:asciiTheme="minorHAnsi" w:hAnsiTheme="minorHAnsi" w:cstheme="minorHAnsi"/>
          <w:sz w:val="21"/>
        </w:rPr>
        <w:tab/>
        <w:t xml:space="preserve">Department of Health and Aged Care. National Mental Health Workforce Strategy Taskforce. 2022. </w:t>
      </w:r>
      <w:hyperlink r:id="rId16" w:history="1">
        <w:r w:rsidRPr="00DA582E">
          <w:rPr>
            <w:rStyle w:val="Hyperlink"/>
            <w:rFonts w:asciiTheme="minorHAnsi" w:hAnsiTheme="minorHAnsi" w:cstheme="minorHAnsi"/>
            <w:sz w:val="21"/>
          </w:rPr>
          <w:t>https://www.health.gov.au/committees-and-groups/national-mental-health-workforce-strategy-taskforce</w:t>
        </w:r>
      </w:hyperlink>
      <w:r w:rsidRPr="00DA582E">
        <w:rPr>
          <w:rFonts w:asciiTheme="minorHAnsi" w:hAnsiTheme="minorHAnsi" w:cstheme="minorHAnsi"/>
          <w:sz w:val="21"/>
        </w:rPr>
        <w:t xml:space="preserve"> (accessed 4 November 2022).</w:t>
      </w:r>
    </w:p>
    <w:p w14:paraId="3AAD667D" w14:textId="77777777" w:rsidR="00DA582E" w:rsidRPr="00DA582E" w:rsidRDefault="00DA582E" w:rsidP="00DA582E">
      <w:pPr>
        <w:pStyle w:val="EndNoteBibliography"/>
        <w:ind w:left="567" w:hanging="567"/>
        <w:rPr>
          <w:rFonts w:asciiTheme="minorHAnsi" w:hAnsiTheme="minorHAnsi" w:cstheme="minorHAnsi"/>
          <w:sz w:val="21"/>
        </w:rPr>
      </w:pPr>
      <w:r w:rsidRPr="00DA582E">
        <w:rPr>
          <w:rFonts w:asciiTheme="minorHAnsi" w:hAnsiTheme="minorHAnsi" w:cstheme="minorHAnsi"/>
          <w:sz w:val="21"/>
        </w:rPr>
        <w:t>7.</w:t>
      </w:r>
      <w:r w:rsidRPr="00DA582E">
        <w:rPr>
          <w:rFonts w:asciiTheme="minorHAnsi" w:hAnsiTheme="minorHAnsi" w:cstheme="minorHAnsi"/>
          <w:sz w:val="21"/>
        </w:rPr>
        <w:tab/>
        <w:t>Medicare Benefits Schedule Review Taskforce. An MBS for the 21st Century: Recommendations, Learnings and Ideas for the Future. Canberra: Medicare Benefits Schedule Review Taskforce, 2020.</w:t>
      </w:r>
    </w:p>
    <w:p w14:paraId="56711C4D" w14:textId="7E40B02C" w:rsidR="00DA582E" w:rsidRPr="00DA582E" w:rsidRDefault="00DA582E" w:rsidP="00DA582E">
      <w:pPr>
        <w:pStyle w:val="EndNoteBibliography"/>
        <w:ind w:left="567" w:hanging="567"/>
        <w:rPr>
          <w:rFonts w:asciiTheme="minorHAnsi" w:hAnsiTheme="minorHAnsi" w:cstheme="minorHAnsi"/>
          <w:sz w:val="21"/>
        </w:rPr>
      </w:pPr>
      <w:r w:rsidRPr="00DA582E">
        <w:rPr>
          <w:rFonts w:asciiTheme="minorHAnsi" w:hAnsiTheme="minorHAnsi" w:cstheme="minorHAnsi"/>
          <w:sz w:val="21"/>
        </w:rPr>
        <w:t>8.</w:t>
      </w:r>
      <w:r w:rsidRPr="00DA582E">
        <w:rPr>
          <w:rFonts w:asciiTheme="minorHAnsi" w:hAnsiTheme="minorHAnsi" w:cstheme="minorHAnsi"/>
          <w:sz w:val="21"/>
        </w:rPr>
        <w:tab/>
        <w:t xml:space="preserve">Department of Health and Aged Care. Initial Assessment and Referral Decision Support Tool (v1.05). 2022. </w:t>
      </w:r>
      <w:hyperlink r:id="rId17" w:anchor="/" w:history="1">
        <w:r w:rsidRPr="00DA582E">
          <w:rPr>
            <w:rStyle w:val="Hyperlink"/>
            <w:rFonts w:asciiTheme="minorHAnsi" w:hAnsiTheme="minorHAnsi" w:cstheme="minorHAnsi"/>
            <w:sz w:val="21"/>
          </w:rPr>
          <w:t>https://iar-dst.online/#/</w:t>
        </w:r>
      </w:hyperlink>
      <w:r w:rsidRPr="00DA582E">
        <w:rPr>
          <w:rFonts w:asciiTheme="minorHAnsi" w:hAnsiTheme="minorHAnsi" w:cstheme="minorHAnsi"/>
          <w:sz w:val="21"/>
        </w:rPr>
        <w:t xml:space="preserve"> (accessed 4 November 2022).</w:t>
      </w:r>
    </w:p>
    <w:p w14:paraId="63B268A2" w14:textId="49CB11D8" w:rsidR="00DA582E" w:rsidRPr="00DA582E" w:rsidRDefault="00DA582E" w:rsidP="00DA582E">
      <w:pPr>
        <w:pStyle w:val="EndNoteBibliography"/>
        <w:ind w:left="567" w:hanging="567"/>
        <w:rPr>
          <w:rFonts w:asciiTheme="minorHAnsi" w:hAnsiTheme="minorHAnsi" w:cstheme="minorHAnsi"/>
          <w:sz w:val="21"/>
        </w:rPr>
      </w:pPr>
      <w:r w:rsidRPr="00DA582E">
        <w:rPr>
          <w:rFonts w:asciiTheme="minorHAnsi" w:hAnsiTheme="minorHAnsi" w:cstheme="minorHAnsi"/>
          <w:sz w:val="21"/>
        </w:rPr>
        <w:t>9.</w:t>
      </w:r>
      <w:r w:rsidRPr="00DA582E">
        <w:rPr>
          <w:rFonts w:asciiTheme="minorHAnsi" w:hAnsiTheme="minorHAnsi" w:cstheme="minorHAnsi"/>
          <w:sz w:val="21"/>
        </w:rPr>
        <w:tab/>
        <w:t xml:space="preserve">Australian Commission on Safety and Quality in Health Care. National Safety and Quality Digital Mental Health Standards. 2022. </w:t>
      </w:r>
      <w:hyperlink r:id="rId18" w:anchor=":~:text=The%20three%20NSQDMH%20Standards%20include,digital%20mental%20health%20service%20providers" w:history="1">
        <w:r w:rsidRPr="00DA582E">
          <w:rPr>
            <w:rStyle w:val="Hyperlink"/>
            <w:rFonts w:asciiTheme="minorHAnsi" w:hAnsiTheme="minorHAnsi" w:cstheme="minorHAnsi"/>
            <w:sz w:val="21"/>
          </w:rPr>
          <w:t>https://www.safetyandquality.gov.au/standards/national-safety-and-quality-digital-mental-health-standards#:~:text=The%20three%20NSQDMH%20Standards%20include,digital%20mental%20health%20service%20providers</w:t>
        </w:r>
      </w:hyperlink>
      <w:r w:rsidRPr="00DA582E">
        <w:rPr>
          <w:rFonts w:asciiTheme="minorHAnsi" w:hAnsiTheme="minorHAnsi" w:cstheme="minorHAnsi"/>
          <w:sz w:val="21"/>
        </w:rPr>
        <w:t>. (accessed 13 November 2022).</w:t>
      </w:r>
    </w:p>
    <w:p w14:paraId="4A0665CB" w14:textId="25451CA0" w:rsidR="00DA582E" w:rsidRPr="00DA582E" w:rsidRDefault="00DA582E" w:rsidP="00DA582E">
      <w:pPr>
        <w:pStyle w:val="EndNoteBibliography"/>
        <w:ind w:left="567" w:hanging="567"/>
        <w:rPr>
          <w:rFonts w:asciiTheme="minorHAnsi" w:hAnsiTheme="minorHAnsi" w:cstheme="minorHAnsi"/>
          <w:sz w:val="21"/>
        </w:rPr>
      </w:pPr>
      <w:r w:rsidRPr="00DA582E">
        <w:rPr>
          <w:rFonts w:asciiTheme="minorHAnsi" w:hAnsiTheme="minorHAnsi" w:cstheme="minorHAnsi"/>
          <w:sz w:val="21"/>
        </w:rPr>
        <w:t>10.</w:t>
      </w:r>
      <w:r w:rsidRPr="00DA582E">
        <w:rPr>
          <w:rFonts w:asciiTheme="minorHAnsi" w:hAnsiTheme="minorHAnsi" w:cstheme="minorHAnsi"/>
          <w:sz w:val="21"/>
        </w:rPr>
        <w:tab/>
        <w:t xml:space="preserve">Australian Government Department of Health. Strengthening Medicare Taskforce. 2022. </w:t>
      </w:r>
      <w:hyperlink r:id="rId19" w:history="1">
        <w:r w:rsidRPr="00DA582E">
          <w:rPr>
            <w:rStyle w:val="Hyperlink"/>
            <w:rFonts w:asciiTheme="minorHAnsi" w:hAnsiTheme="minorHAnsi" w:cstheme="minorHAnsi"/>
            <w:sz w:val="21"/>
          </w:rPr>
          <w:t>https://www.health.gov.au/committees-and-groups/strengthening-medicare-taskforce</w:t>
        </w:r>
      </w:hyperlink>
      <w:r w:rsidRPr="00DA582E">
        <w:rPr>
          <w:rFonts w:asciiTheme="minorHAnsi" w:hAnsiTheme="minorHAnsi" w:cstheme="minorHAnsi"/>
          <w:sz w:val="21"/>
        </w:rPr>
        <w:t xml:space="preserve"> (accessed 16 November 2022).</w:t>
      </w:r>
    </w:p>
    <w:p w14:paraId="1B646B00" w14:textId="77777777" w:rsidR="00DA582E" w:rsidRPr="00DA582E" w:rsidRDefault="00DA582E" w:rsidP="00DA582E">
      <w:pPr>
        <w:pStyle w:val="EndNoteBibliography"/>
        <w:ind w:left="567" w:hanging="567"/>
        <w:rPr>
          <w:rFonts w:asciiTheme="minorHAnsi" w:hAnsiTheme="minorHAnsi" w:cstheme="minorHAnsi"/>
          <w:sz w:val="21"/>
        </w:rPr>
      </w:pPr>
      <w:r w:rsidRPr="00DA582E">
        <w:rPr>
          <w:rFonts w:asciiTheme="minorHAnsi" w:hAnsiTheme="minorHAnsi" w:cstheme="minorHAnsi"/>
          <w:sz w:val="21"/>
        </w:rPr>
        <w:t>11.</w:t>
      </w:r>
      <w:r w:rsidRPr="00DA582E">
        <w:rPr>
          <w:rFonts w:asciiTheme="minorHAnsi" w:hAnsiTheme="minorHAnsi" w:cstheme="minorHAnsi"/>
          <w:sz w:val="21"/>
        </w:rPr>
        <w:tab/>
        <w:t>Duckett S, Stobart A, Lin L. Not so Universal: How to Reduce Out-of-pocket Healthcare Payments. Melbourne: Grattan Institute, 2022.</w:t>
      </w:r>
    </w:p>
    <w:p w14:paraId="51302320" w14:textId="77777777" w:rsidR="00DA582E" w:rsidRPr="00DA582E" w:rsidRDefault="00DA582E" w:rsidP="00DA582E">
      <w:pPr>
        <w:pStyle w:val="EndNoteBibliography"/>
        <w:ind w:left="567" w:hanging="567"/>
        <w:rPr>
          <w:rFonts w:asciiTheme="minorHAnsi" w:hAnsiTheme="minorHAnsi" w:cstheme="minorHAnsi"/>
          <w:sz w:val="21"/>
        </w:rPr>
      </w:pPr>
      <w:r w:rsidRPr="00DA582E">
        <w:rPr>
          <w:rFonts w:asciiTheme="minorHAnsi" w:hAnsiTheme="minorHAnsi" w:cstheme="minorHAnsi"/>
          <w:sz w:val="21"/>
        </w:rPr>
        <w:t>12.</w:t>
      </w:r>
      <w:r w:rsidRPr="00DA582E">
        <w:rPr>
          <w:rFonts w:asciiTheme="minorHAnsi" w:hAnsiTheme="minorHAnsi" w:cstheme="minorHAnsi"/>
          <w:sz w:val="21"/>
        </w:rPr>
        <w:tab/>
        <w:t>House of Representatives Select Committee on Mental Health and Suicide Prevention. Mental Health and Suicide Prevention: Final Report. Canberra: Parliament of the Commonwealth of Australia, 2021.</w:t>
      </w:r>
    </w:p>
    <w:p w14:paraId="62002CED" w14:textId="548219C9" w:rsidR="00DA582E" w:rsidRPr="00DA582E" w:rsidRDefault="00DA582E" w:rsidP="00DA582E">
      <w:pPr>
        <w:pStyle w:val="EndNoteBibliography"/>
        <w:ind w:left="567" w:hanging="567"/>
        <w:rPr>
          <w:rFonts w:asciiTheme="minorHAnsi" w:hAnsiTheme="minorHAnsi" w:cstheme="minorHAnsi"/>
          <w:sz w:val="21"/>
        </w:rPr>
      </w:pPr>
      <w:r w:rsidRPr="00DA582E">
        <w:rPr>
          <w:rFonts w:asciiTheme="minorHAnsi" w:hAnsiTheme="minorHAnsi" w:cstheme="minorHAnsi"/>
          <w:sz w:val="21"/>
        </w:rPr>
        <w:t>13.</w:t>
      </w:r>
      <w:r w:rsidRPr="00DA582E">
        <w:rPr>
          <w:rFonts w:asciiTheme="minorHAnsi" w:hAnsiTheme="minorHAnsi" w:cstheme="minorHAnsi"/>
          <w:sz w:val="21"/>
        </w:rPr>
        <w:tab/>
        <w:t xml:space="preserve">Australian Government Department of Health and Aged Care. Medicare Benefits Schedule Better Access initiative – mental health support for aged care residents during the COVID-19 pandemic. 2022. </w:t>
      </w:r>
      <w:hyperlink r:id="rId20" w:history="1">
        <w:r w:rsidRPr="00DA582E">
          <w:rPr>
            <w:rStyle w:val="Hyperlink"/>
            <w:rFonts w:asciiTheme="minorHAnsi" w:hAnsiTheme="minorHAnsi" w:cstheme="minorHAnsi"/>
            <w:sz w:val="21"/>
          </w:rPr>
          <w:t>https://www.health.gov.au/initiatives-and-programs/medicare-benefits-schedule-better-access-initiative-mental-health-support-for-aged-care-residents-during-the-covid-19-pandemic</w:t>
        </w:r>
      </w:hyperlink>
      <w:r w:rsidRPr="00DA582E">
        <w:rPr>
          <w:rFonts w:asciiTheme="minorHAnsi" w:hAnsiTheme="minorHAnsi" w:cstheme="minorHAnsi"/>
          <w:sz w:val="21"/>
        </w:rPr>
        <w:t xml:space="preserve"> (accessed 11 September 2022).</w:t>
      </w:r>
    </w:p>
    <w:p w14:paraId="5E262CD0" w14:textId="339B9512" w:rsidR="00DA582E" w:rsidRPr="00DA582E" w:rsidRDefault="00DA582E" w:rsidP="00DA582E">
      <w:pPr>
        <w:pStyle w:val="EndNoteBibliography"/>
        <w:ind w:left="567" w:hanging="567"/>
        <w:rPr>
          <w:rFonts w:asciiTheme="minorHAnsi" w:hAnsiTheme="minorHAnsi" w:cstheme="minorHAnsi"/>
          <w:sz w:val="21"/>
        </w:rPr>
      </w:pPr>
      <w:r w:rsidRPr="00DA582E">
        <w:rPr>
          <w:rFonts w:asciiTheme="minorHAnsi" w:hAnsiTheme="minorHAnsi" w:cstheme="minorHAnsi"/>
          <w:sz w:val="21"/>
        </w:rPr>
        <w:t>14.</w:t>
      </w:r>
      <w:r w:rsidRPr="00DA582E">
        <w:rPr>
          <w:rFonts w:asciiTheme="minorHAnsi" w:hAnsiTheme="minorHAnsi" w:cstheme="minorHAnsi"/>
          <w:sz w:val="21"/>
        </w:rPr>
        <w:tab/>
        <w:t xml:space="preserve">Australian Government Department of Health and Aged Care. Extending mental health support for aged care residents during COVID-19. 2022. </w:t>
      </w:r>
      <w:hyperlink r:id="rId21" w:history="1">
        <w:r w:rsidRPr="00DA582E">
          <w:rPr>
            <w:rStyle w:val="Hyperlink"/>
            <w:rFonts w:asciiTheme="minorHAnsi" w:hAnsiTheme="minorHAnsi" w:cstheme="minorHAnsi"/>
            <w:sz w:val="21"/>
          </w:rPr>
          <w:t>http://www.mbsonline.gov.au/internet/mbsonline/publishing.nsf/Content/Factsheet-Mental-Health-Aged-Care</w:t>
        </w:r>
      </w:hyperlink>
      <w:r w:rsidRPr="00DA582E">
        <w:rPr>
          <w:rFonts w:asciiTheme="minorHAnsi" w:hAnsiTheme="minorHAnsi" w:cstheme="minorHAnsi"/>
          <w:sz w:val="21"/>
        </w:rPr>
        <w:t xml:space="preserve"> (accessed 11 September 2022).</w:t>
      </w:r>
    </w:p>
    <w:p w14:paraId="73018A6E" w14:textId="3F651FC1" w:rsidR="00DA582E" w:rsidRPr="00DA582E" w:rsidRDefault="00DA582E" w:rsidP="00DA582E">
      <w:pPr>
        <w:pStyle w:val="EndNoteBibliography"/>
        <w:ind w:left="567" w:hanging="567"/>
        <w:rPr>
          <w:rFonts w:asciiTheme="minorHAnsi" w:hAnsiTheme="minorHAnsi" w:cstheme="minorHAnsi"/>
          <w:sz w:val="21"/>
        </w:rPr>
      </w:pPr>
      <w:r w:rsidRPr="00DA582E">
        <w:rPr>
          <w:rFonts w:asciiTheme="minorHAnsi" w:hAnsiTheme="minorHAnsi" w:cstheme="minorHAnsi"/>
          <w:sz w:val="21"/>
        </w:rPr>
        <w:t>15.</w:t>
      </w:r>
      <w:r w:rsidRPr="00DA582E">
        <w:rPr>
          <w:rFonts w:asciiTheme="minorHAnsi" w:hAnsiTheme="minorHAnsi" w:cstheme="minorHAnsi"/>
          <w:sz w:val="21"/>
        </w:rPr>
        <w:tab/>
        <w:t xml:space="preserve">Mayden. iaptus. 2022. </w:t>
      </w:r>
      <w:hyperlink r:id="rId22" w:history="1">
        <w:r w:rsidRPr="00DA582E">
          <w:rPr>
            <w:rStyle w:val="Hyperlink"/>
            <w:rFonts w:asciiTheme="minorHAnsi" w:hAnsiTheme="minorHAnsi" w:cstheme="minorHAnsi"/>
            <w:sz w:val="21"/>
          </w:rPr>
          <w:t>https://iaptus.co.uk/</w:t>
        </w:r>
      </w:hyperlink>
      <w:r w:rsidRPr="00DA582E">
        <w:rPr>
          <w:rFonts w:asciiTheme="minorHAnsi" w:hAnsiTheme="minorHAnsi" w:cstheme="minorHAnsi"/>
          <w:sz w:val="21"/>
        </w:rPr>
        <w:t xml:space="preserve"> (accessed 4 November 2022).</w:t>
      </w:r>
    </w:p>
    <w:p w14:paraId="73877886" w14:textId="69407201" w:rsidR="00DA582E" w:rsidRPr="00DA582E" w:rsidRDefault="00DA582E" w:rsidP="00DA582E">
      <w:pPr>
        <w:pStyle w:val="EndNoteBibliography"/>
        <w:ind w:left="567" w:hanging="567"/>
        <w:rPr>
          <w:rFonts w:asciiTheme="minorHAnsi" w:hAnsiTheme="minorHAnsi" w:cstheme="minorHAnsi"/>
          <w:sz w:val="21"/>
        </w:rPr>
      </w:pPr>
      <w:r w:rsidRPr="00DA582E">
        <w:rPr>
          <w:rFonts w:asciiTheme="minorHAnsi" w:hAnsiTheme="minorHAnsi" w:cstheme="minorHAnsi"/>
          <w:sz w:val="21"/>
        </w:rPr>
        <w:t>16.</w:t>
      </w:r>
      <w:r w:rsidRPr="00DA582E">
        <w:rPr>
          <w:rFonts w:asciiTheme="minorHAnsi" w:hAnsiTheme="minorHAnsi" w:cstheme="minorHAnsi"/>
          <w:sz w:val="21"/>
        </w:rPr>
        <w:tab/>
        <w:t xml:space="preserve">NHS England. Adult Improving Access to Psychological Therapies programme. 2022. </w:t>
      </w:r>
      <w:hyperlink r:id="rId23" w:history="1">
        <w:r w:rsidRPr="00DA582E">
          <w:rPr>
            <w:rStyle w:val="Hyperlink"/>
            <w:rFonts w:asciiTheme="minorHAnsi" w:hAnsiTheme="minorHAnsi" w:cstheme="minorHAnsi"/>
            <w:sz w:val="21"/>
          </w:rPr>
          <w:t>https://www.england.nhs.uk/mental-health/adults/iapt/</w:t>
        </w:r>
      </w:hyperlink>
      <w:r w:rsidRPr="00DA582E">
        <w:rPr>
          <w:rFonts w:asciiTheme="minorHAnsi" w:hAnsiTheme="minorHAnsi" w:cstheme="minorHAnsi"/>
          <w:sz w:val="21"/>
        </w:rPr>
        <w:t xml:space="preserve"> (accessed 4 November 2022).</w:t>
      </w:r>
    </w:p>
    <w:p w14:paraId="1F9BF1CD" w14:textId="0508FF50" w:rsidR="00DA582E" w:rsidRPr="00DA582E" w:rsidRDefault="00DA582E" w:rsidP="00DA582E">
      <w:pPr>
        <w:pStyle w:val="EndNoteBibliography"/>
        <w:ind w:left="567" w:hanging="567"/>
        <w:rPr>
          <w:rFonts w:asciiTheme="minorHAnsi" w:hAnsiTheme="minorHAnsi" w:cstheme="minorHAnsi"/>
          <w:sz w:val="21"/>
        </w:rPr>
      </w:pPr>
      <w:r w:rsidRPr="00DA582E">
        <w:rPr>
          <w:rFonts w:asciiTheme="minorHAnsi" w:hAnsiTheme="minorHAnsi" w:cstheme="minorHAnsi"/>
          <w:sz w:val="21"/>
        </w:rPr>
        <w:t>17.</w:t>
      </w:r>
      <w:r w:rsidRPr="00DA582E">
        <w:rPr>
          <w:rFonts w:asciiTheme="minorHAnsi" w:hAnsiTheme="minorHAnsi" w:cstheme="minorHAnsi"/>
          <w:sz w:val="21"/>
        </w:rPr>
        <w:tab/>
        <w:t xml:space="preserve">Australian Government Department of Health. Primary Mental Health Care Minimum Data Set. 2022. </w:t>
      </w:r>
      <w:hyperlink r:id="rId24" w:anchor="/" w:history="1">
        <w:r w:rsidRPr="00DA582E">
          <w:rPr>
            <w:rStyle w:val="Hyperlink"/>
            <w:rFonts w:asciiTheme="minorHAnsi" w:hAnsiTheme="minorHAnsi" w:cstheme="minorHAnsi"/>
            <w:sz w:val="21"/>
          </w:rPr>
          <w:t>https://pmhc-mds.net/#/</w:t>
        </w:r>
      </w:hyperlink>
      <w:r w:rsidRPr="00DA582E">
        <w:rPr>
          <w:rFonts w:asciiTheme="minorHAnsi" w:hAnsiTheme="minorHAnsi" w:cstheme="minorHAnsi"/>
          <w:sz w:val="21"/>
        </w:rPr>
        <w:t xml:space="preserve"> (accessed 4 December 2022).</w:t>
      </w:r>
    </w:p>
    <w:p w14:paraId="25ECFE70" w14:textId="2A33D94B" w:rsidR="00DA582E" w:rsidRPr="00DA582E" w:rsidRDefault="00DA582E" w:rsidP="00DA582E">
      <w:pPr>
        <w:pStyle w:val="EndNoteBibliography"/>
        <w:ind w:left="567" w:hanging="567"/>
        <w:rPr>
          <w:rFonts w:asciiTheme="minorHAnsi" w:hAnsiTheme="minorHAnsi" w:cstheme="minorHAnsi"/>
          <w:sz w:val="21"/>
        </w:rPr>
      </w:pPr>
      <w:r w:rsidRPr="00DA582E">
        <w:rPr>
          <w:rFonts w:asciiTheme="minorHAnsi" w:hAnsiTheme="minorHAnsi" w:cstheme="minorHAnsi"/>
          <w:sz w:val="21"/>
        </w:rPr>
        <w:t>18.</w:t>
      </w:r>
      <w:r w:rsidRPr="00DA582E">
        <w:rPr>
          <w:rFonts w:asciiTheme="minorHAnsi" w:hAnsiTheme="minorHAnsi" w:cstheme="minorHAnsi"/>
          <w:sz w:val="21"/>
        </w:rPr>
        <w:tab/>
        <w:t xml:space="preserve">Australian Mental Health Outcomes and Classification Network. Update of NOCC data. 2022. </w:t>
      </w:r>
      <w:hyperlink r:id="rId25" w:history="1">
        <w:r w:rsidRPr="00DA582E">
          <w:rPr>
            <w:rStyle w:val="Hyperlink"/>
            <w:rFonts w:asciiTheme="minorHAnsi" w:hAnsiTheme="minorHAnsi" w:cstheme="minorHAnsi"/>
            <w:sz w:val="21"/>
          </w:rPr>
          <w:t>https://www.amhocn.org/</w:t>
        </w:r>
      </w:hyperlink>
      <w:r w:rsidRPr="00DA582E">
        <w:rPr>
          <w:rFonts w:asciiTheme="minorHAnsi" w:hAnsiTheme="minorHAnsi" w:cstheme="minorHAnsi"/>
          <w:sz w:val="21"/>
        </w:rPr>
        <w:t xml:space="preserve"> (accessed 4 December 2022).</w:t>
      </w:r>
    </w:p>
    <w:p w14:paraId="33FC7799" w14:textId="2DDA2C94" w:rsidR="00DA582E" w:rsidRPr="00DA582E" w:rsidRDefault="00DA582E" w:rsidP="00DA582E">
      <w:pPr>
        <w:ind w:left="567" w:hanging="567"/>
        <w:rPr>
          <w:rFonts w:asciiTheme="minorHAnsi" w:hAnsiTheme="minorHAnsi" w:cstheme="minorHAnsi"/>
          <w:color w:val="000000"/>
          <w:lang w:eastAsia="en-AU"/>
        </w:rPr>
      </w:pPr>
      <w:r w:rsidRPr="00DA582E">
        <w:rPr>
          <w:rFonts w:asciiTheme="minorHAnsi" w:hAnsiTheme="minorHAnsi" w:cstheme="minorHAnsi"/>
          <w:color w:val="000000"/>
          <w:lang w:eastAsia="en-AU"/>
        </w:rPr>
        <w:fldChar w:fldCharType="end"/>
      </w:r>
    </w:p>
    <w:sectPr w:rsidR="00DA582E" w:rsidRPr="00DA582E" w:rsidSect="00DA582E">
      <w:footerReference w:type="default" r:id="rId26"/>
      <w:footnotePr>
        <w:numFmt w:val="lowerLetter"/>
      </w:footnotePr>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1BE58A" w14:textId="77777777" w:rsidR="00D46FDE" w:rsidRDefault="00D46FDE" w:rsidP="00A71515">
      <w:r>
        <w:separator/>
      </w:r>
    </w:p>
  </w:endnote>
  <w:endnote w:type="continuationSeparator" w:id="0">
    <w:p w14:paraId="39C40CC1" w14:textId="77777777" w:rsidR="00D46FDE" w:rsidRDefault="00D46FDE" w:rsidP="00A715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Palatino">
    <w:charset w:val="4D"/>
    <w:family w:val="auto"/>
    <w:pitch w:val="variable"/>
    <w:sig w:usb0="A00002FF" w:usb1="7800205A" w:usb2="14600000" w:usb3="00000000" w:csb0="00000193" w:csb1="00000000"/>
  </w:font>
  <w:font w:name="Calibri Light">
    <w:panose1 w:val="020F0302020204030204"/>
    <w:charset w:val="00"/>
    <w:family w:val="swiss"/>
    <w:pitch w:val="variable"/>
    <w:sig w:usb0="E4002EFF" w:usb1="C000247B" w:usb2="00000009" w:usb3="00000000" w:csb0="000001FF" w:csb1="00000000"/>
  </w:font>
  <w:font w:name="DengXian Light">
    <w:charset w:val="86"/>
    <w:family w:val="auto"/>
    <w:pitch w:val="variable"/>
    <w:sig w:usb0="A00002BF" w:usb1="38CF7CFA" w:usb2="00000016" w:usb3="00000000" w:csb0="0004000F" w:csb1="00000000"/>
  </w:font>
  <w:font w:name="Univers 45 Light">
    <w:altName w:val="Calibri"/>
    <w:charset w:val="00"/>
    <w:family w:val="auto"/>
    <w:pitch w:val="variable"/>
    <w:sig w:usb0="80000023" w:usb1="00000000" w:usb2="00000000" w:usb3="00000000" w:csb0="00000001" w:csb1="00000000"/>
  </w:font>
  <w:font w:name="Shaker 2 Lancet">
    <w:altName w:val="Calibri"/>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C50F0F" w14:textId="62CAE5EF" w:rsidR="00D46FDE" w:rsidRDefault="00D46FDE" w:rsidP="008D4CE1">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29710"/>
      <w:docPartObj>
        <w:docPartGallery w:val="Page Numbers (Bottom of Page)"/>
        <w:docPartUnique/>
      </w:docPartObj>
    </w:sdtPr>
    <w:sdtEndPr>
      <w:rPr>
        <w:noProof/>
      </w:rPr>
    </w:sdtEndPr>
    <w:sdtContent>
      <w:p w14:paraId="399A8451" w14:textId="52884954" w:rsidR="00D46FDE" w:rsidRDefault="00D46FDE" w:rsidP="00D152D2">
        <w:pPr>
          <w:pStyle w:val="Footer"/>
          <w:jc w:val="center"/>
        </w:pPr>
        <w:r>
          <w:fldChar w:fldCharType="begin"/>
        </w:r>
        <w:r>
          <w:instrText xml:space="preserve"> PAGE   \* MERGEFORMAT </w:instrText>
        </w:r>
        <w:r>
          <w:fldChar w:fldCharType="separate"/>
        </w:r>
        <w:r w:rsidR="00352DAE">
          <w:rPr>
            <w:noProof/>
          </w:rPr>
          <w:t>12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07AA28" w14:textId="77777777" w:rsidR="00D46FDE" w:rsidRDefault="00D46FDE" w:rsidP="00A71515">
      <w:r>
        <w:separator/>
      </w:r>
    </w:p>
  </w:footnote>
  <w:footnote w:type="continuationSeparator" w:id="0">
    <w:p w14:paraId="1700B46F" w14:textId="77777777" w:rsidR="00D46FDE" w:rsidRDefault="00D46FDE" w:rsidP="00A71515">
      <w:r>
        <w:continuationSeparator/>
      </w:r>
    </w:p>
  </w:footnote>
  <w:footnote w:id="1">
    <w:p w14:paraId="1F1A8BB4" w14:textId="77777777" w:rsidR="00D46FDE" w:rsidRDefault="00D46FDE" w:rsidP="00A01898">
      <w:pPr>
        <w:pStyle w:val="FootnoteText"/>
      </w:pPr>
      <w:r>
        <w:rPr>
          <w:rStyle w:val="FootnoteReference"/>
        </w:rPr>
        <w:footnoteRef/>
      </w:r>
      <w:r>
        <w:t xml:space="preserve"> Most of the studies that considered outcomes showed that higher numbers of sessions were predictive of improvement in outcomes as assessed by a range of measures. However, because session numbers were, by necessity, aggregated in different ways in different studies and because the relationship between session numbers and improvement was not linear, it is not possible to determine whether there is an “ideal” or “optimal” number of sessions.</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217324"/>
    <w:multiLevelType w:val="hybridMultilevel"/>
    <w:tmpl w:val="B4C0C988"/>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1832473"/>
    <w:multiLevelType w:val="hybridMultilevel"/>
    <w:tmpl w:val="7E3057F8"/>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1B52DFE"/>
    <w:multiLevelType w:val="hybridMultilevel"/>
    <w:tmpl w:val="B4C0C988"/>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024D69BC"/>
    <w:multiLevelType w:val="hybridMultilevel"/>
    <w:tmpl w:val="F926BCA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49F03F4"/>
    <w:multiLevelType w:val="hybridMultilevel"/>
    <w:tmpl w:val="C16C012E"/>
    <w:lvl w:ilvl="0" w:tplc="0C09000F">
      <w:start w:val="1"/>
      <w:numFmt w:val="decimal"/>
      <w:lvlText w:val="%1."/>
      <w:lvlJc w:val="left"/>
      <w:pPr>
        <w:ind w:left="720" w:hanging="360"/>
      </w:pPr>
      <w:rPr>
        <w:rFonts w:hint="default"/>
      </w:rPr>
    </w:lvl>
    <w:lvl w:ilvl="1" w:tplc="0C09000F">
      <w:start w:val="1"/>
      <w:numFmt w:val="decimal"/>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4D75ADD"/>
    <w:multiLevelType w:val="hybridMultilevel"/>
    <w:tmpl w:val="3C4C88D8"/>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7987850"/>
    <w:multiLevelType w:val="hybridMultilevel"/>
    <w:tmpl w:val="0DFCE32A"/>
    <w:lvl w:ilvl="0" w:tplc="3D2AD6B2">
      <w:start w:val="1"/>
      <w:numFmt w:val="lowerLetter"/>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7A62B0F"/>
    <w:multiLevelType w:val="hybridMultilevel"/>
    <w:tmpl w:val="56FC8E2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8" w15:restartNumberingAfterBreak="0">
    <w:nsid w:val="08A71AF7"/>
    <w:multiLevelType w:val="hybridMultilevel"/>
    <w:tmpl w:val="F926BCA6"/>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09F11A14"/>
    <w:multiLevelType w:val="hybridMultilevel"/>
    <w:tmpl w:val="6FB84D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0BEE6418"/>
    <w:multiLevelType w:val="multilevel"/>
    <w:tmpl w:val="123493D2"/>
    <w:lvl w:ilvl="0">
      <w:start w:val="1"/>
      <w:numFmt w:val="decimal"/>
      <w:lvlText w:val="C%1"/>
      <w:lvlJc w:val="left"/>
      <w:pPr>
        <w:tabs>
          <w:tab w:val="num" w:pos="924"/>
        </w:tabs>
        <w:ind w:left="924" w:hanging="924"/>
      </w:pPr>
    </w:lvl>
    <w:lvl w:ilvl="1">
      <w:start w:val="1"/>
      <w:numFmt w:val="decimal"/>
      <w:pStyle w:val="PFNumLevel2"/>
      <w:lvlText w:val="B%1.%2"/>
      <w:lvlJc w:val="left"/>
      <w:pPr>
        <w:tabs>
          <w:tab w:val="num" w:pos="924"/>
        </w:tabs>
        <w:ind w:left="924" w:hanging="924"/>
      </w:pPr>
    </w:lvl>
    <w:lvl w:ilvl="2">
      <w:start w:val="1"/>
      <w:numFmt w:val="decimal"/>
      <w:pStyle w:val="PFNumLevel2"/>
      <w:lvlText w:val="%1.%2.%3"/>
      <w:lvlJc w:val="left"/>
      <w:pPr>
        <w:tabs>
          <w:tab w:val="num" w:pos="1848"/>
        </w:tabs>
        <w:ind w:left="1848" w:hanging="924"/>
      </w:pPr>
    </w:lvl>
    <w:lvl w:ilvl="3">
      <w:start w:val="1"/>
      <w:numFmt w:val="lowerLetter"/>
      <w:lvlText w:val="(%4)"/>
      <w:lvlJc w:val="left"/>
      <w:pPr>
        <w:tabs>
          <w:tab w:val="num" w:pos="2773"/>
        </w:tabs>
        <w:ind w:left="2773" w:hanging="925"/>
      </w:pPr>
    </w:lvl>
    <w:lvl w:ilvl="4">
      <w:start w:val="1"/>
      <w:numFmt w:val="lowerLetter"/>
      <w:lvlText w:val="(%5)"/>
      <w:lvlJc w:val="left"/>
      <w:pPr>
        <w:tabs>
          <w:tab w:val="num" w:pos="1848"/>
        </w:tabs>
        <w:ind w:left="1848" w:hanging="924"/>
      </w:pPr>
    </w:lvl>
    <w:lvl w:ilvl="5">
      <w:start w:val="1"/>
      <w:numFmt w:val="lowerRoman"/>
      <w:lvlRestart w:val="4"/>
      <w:lvlText w:val="(%6)"/>
      <w:lvlJc w:val="left"/>
      <w:pPr>
        <w:tabs>
          <w:tab w:val="num" w:pos="3697"/>
        </w:tabs>
        <w:ind w:left="3697" w:hanging="924"/>
      </w:pPr>
    </w:lvl>
    <w:lvl w:ilvl="6">
      <w:start w:val="1"/>
      <w:numFmt w:val="none"/>
      <w:suff w:val="nothing"/>
      <w:lvlText w:val=""/>
      <w:lvlJc w:val="left"/>
      <w:pPr>
        <w:ind w:left="0" w:firstLine="0"/>
      </w:pPr>
    </w:lvl>
    <w:lvl w:ilvl="7">
      <w:start w:val="1"/>
      <w:numFmt w:val="none"/>
      <w:suff w:val="nothing"/>
      <w:lvlText w:val=""/>
      <w:lvlJc w:val="left"/>
      <w:pPr>
        <w:ind w:left="-32767" w:firstLine="32767"/>
      </w:pPr>
    </w:lvl>
    <w:lvl w:ilvl="8">
      <w:start w:val="1"/>
      <w:numFmt w:val="none"/>
      <w:suff w:val="nothing"/>
      <w:lvlText w:val=""/>
      <w:lvlJc w:val="left"/>
      <w:pPr>
        <w:ind w:left="0" w:firstLine="0"/>
      </w:pPr>
    </w:lvl>
  </w:abstractNum>
  <w:abstractNum w:abstractNumId="11" w15:restartNumberingAfterBreak="0">
    <w:nsid w:val="0C804603"/>
    <w:multiLevelType w:val="hybridMultilevel"/>
    <w:tmpl w:val="F926BCA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0D3F593D"/>
    <w:multiLevelType w:val="hybridMultilevel"/>
    <w:tmpl w:val="F926BCA6"/>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0E242F95"/>
    <w:multiLevelType w:val="hybridMultilevel"/>
    <w:tmpl w:val="92D68E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E865182"/>
    <w:multiLevelType w:val="hybridMultilevel"/>
    <w:tmpl w:val="A5B22178"/>
    <w:lvl w:ilvl="0" w:tplc="0304F812">
      <w:start w:val="34"/>
      <w:numFmt w:val="decimal"/>
      <w:lvlText w:val="%1."/>
      <w:lvlJc w:val="left"/>
      <w:pPr>
        <w:ind w:left="4188" w:hanging="360"/>
      </w:pPr>
      <w:rPr>
        <w:rFonts w:hint="default"/>
      </w:rPr>
    </w:lvl>
    <w:lvl w:ilvl="1" w:tplc="0C090019" w:tentative="1">
      <w:start w:val="1"/>
      <w:numFmt w:val="lowerLetter"/>
      <w:lvlText w:val="%2."/>
      <w:lvlJc w:val="left"/>
      <w:pPr>
        <w:ind w:left="4908" w:hanging="360"/>
      </w:pPr>
    </w:lvl>
    <w:lvl w:ilvl="2" w:tplc="0C09001B" w:tentative="1">
      <w:start w:val="1"/>
      <w:numFmt w:val="lowerRoman"/>
      <w:lvlText w:val="%3."/>
      <w:lvlJc w:val="right"/>
      <w:pPr>
        <w:ind w:left="5628" w:hanging="180"/>
      </w:pPr>
    </w:lvl>
    <w:lvl w:ilvl="3" w:tplc="0C09000F" w:tentative="1">
      <w:start w:val="1"/>
      <w:numFmt w:val="decimal"/>
      <w:lvlText w:val="%4."/>
      <w:lvlJc w:val="left"/>
      <w:pPr>
        <w:ind w:left="6348" w:hanging="360"/>
      </w:pPr>
    </w:lvl>
    <w:lvl w:ilvl="4" w:tplc="0C090019" w:tentative="1">
      <w:start w:val="1"/>
      <w:numFmt w:val="lowerLetter"/>
      <w:lvlText w:val="%5."/>
      <w:lvlJc w:val="left"/>
      <w:pPr>
        <w:ind w:left="7068" w:hanging="360"/>
      </w:pPr>
    </w:lvl>
    <w:lvl w:ilvl="5" w:tplc="0C09001B" w:tentative="1">
      <w:start w:val="1"/>
      <w:numFmt w:val="lowerRoman"/>
      <w:lvlText w:val="%6."/>
      <w:lvlJc w:val="right"/>
      <w:pPr>
        <w:ind w:left="7788" w:hanging="180"/>
      </w:pPr>
    </w:lvl>
    <w:lvl w:ilvl="6" w:tplc="0C09000F" w:tentative="1">
      <w:start w:val="1"/>
      <w:numFmt w:val="decimal"/>
      <w:lvlText w:val="%7."/>
      <w:lvlJc w:val="left"/>
      <w:pPr>
        <w:ind w:left="8508" w:hanging="360"/>
      </w:pPr>
    </w:lvl>
    <w:lvl w:ilvl="7" w:tplc="0C090019" w:tentative="1">
      <w:start w:val="1"/>
      <w:numFmt w:val="lowerLetter"/>
      <w:lvlText w:val="%8."/>
      <w:lvlJc w:val="left"/>
      <w:pPr>
        <w:ind w:left="9228" w:hanging="360"/>
      </w:pPr>
    </w:lvl>
    <w:lvl w:ilvl="8" w:tplc="0C09001B" w:tentative="1">
      <w:start w:val="1"/>
      <w:numFmt w:val="lowerRoman"/>
      <w:lvlText w:val="%9."/>
      <w:lvlJc w:val="right"/>
      <w:pPr>
        <w:ind w:left="9948" w:hanging="180"/>
      </w:pPr>
    </w:lvl>
  </w:abstractNum>
  <w:abstractNum w:abstractNumId="15" w15:restartNumberingAfterBreak="0">
    <w:nsid w:val="0E8942A9"/>
    <w:multiLevelType w:val="hybridMultilevel"/>
    <w:tmpl w:val="402064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1274431"/>
    <w:multiLevelType w:val="hybridMultilevel"/>
    <w:tmpl w:val="8E9426F2"/>
    <w:lvl w:ilvl="0" w:tplc="105AA396">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12D64E31"/>
    <w:multiLevelType w:val="hybridMultilevel"/>
    <w:tmpl w:val="F926BCA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15731100"/>
    <w:multiLevelType w:val="hybridMultilevel"/>
    <w:tmpl w:val="F926BCA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170540BE"/>
    <w:multiLevelType w:val="hybridMultilevel"/>
    <w:tmpl w:val="05FAA0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17084FD5"/>
    <w:multiLevelType w:val="hybridMultilevel"/>
    <w:tmpl w:val="ACD4F444"/>
    <w:lvl w:ilvl="0" w:tplc="AA224398">
      <w:start w:val="38"/>
      <w:numFmt w:val="bullet"/>
      <w:lvlText w:val="-"/>
      <w:lvlJc w:val="left"/>
      <w:pPr>
        <w:ind w:left="720" w:hanging="360"/>
      </w:pPr>
      <w:rPr>
        <w:rFonts w:ascii="Calibri" w:eastAsiaTheme="minorEastAsia"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17B073BF"/>
    <w:multiLevelType w:val="hybridMultilevel"/>
    <w:tmpl w:val="F926BCA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1B8743A4"/>
    <w:multiLevelType w:val="hybridMultilevel"/>
    <w:tmpl w:val="F926BCA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1C023B2F"/>
    <w:multiLevelType w:val="hybridMultilevel"/>
    <w:tmpl w:val="F926BCA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1C047BB5"/>
    <w:multiLevelType w:val="hybridMultilevel"/>
    <w:tmpl w:val="3B2C72EC"/>
    <w:lvl w:ilvl="0" w:tplc="690C6C24">
      <w:start w:val="1"/>
      <w:numFmt w:val="bullet"/>
      <w:lvlText w:val=""/>
      <w:lvlJc w:val="left"/>
      <w:pPr>
        <w:ind w:left="786"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1C8725A0"/>
    <w:multiLevelType w:val="hybridMultilevel"/>
    <w:tmpl w:val="70F6EDF0"/>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6" w15:restartNumberingAfterBreak="0">
    <w:nsid w:val="1F3D0CDF"/>
    <w:multiLevelType w:val="hybridMultilevel"/>
    <w:tmpl w:val="3C4C88D8"/>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20C434A9"/>
    <w:multiLevelType w:val="hybridMultilevel"/>
    <w:tmpl w:val="E0D87D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233436AD"/>
    <w:multiLevelType w:val="hybridMultilevel"/>
    <w:tmpl w:val="7E4A38F2"/>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29" w15:restartNumberingAfterBreak="0">
    <w:nsid w:val="2507370B"/>
    <w:multiLevelType w:val="hybridMultilevel"/>
    <w:tmpl w:val="C92298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25403F58"/>
    <w:multiLevelType w:val="hybridMultilevel"/>
    <w:tmpl w:val="A8DC737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25740A13"/>
    <w:multiLevelType w:val="hybridMultilevel"/>
    <w:tmpl w:val="3A44AA54"/>
    <w:lvl w:ilvl="0" w:tplc="0C09000F">
      <w:start w:val="1"/>
      <w:numFmt w:val="decimal"/>
      <w:lvlText w:val="%1."/>
      <w:lvlJc w:val="left"/>
      <w:pPr>
        <w:ind w:left="720" w:hanging="360"/>
      </w:pPr>
    </w:lvl>
    <w:lvl w:ilvl="1" w:tplc="0C090001">
      <w:start w:val="1"/>
      <w:numFmt w:val="bullet"/>
      <w:lvlText w:val=""/>
      <w:lvlJc w:val="left"/>
      <w:pPr>
        <w:ind w:left="1440" w:hanging="360"/>
      </w:pPr>
      <w:rPr>
        <w:rFonts w:ascii="Symbol" w:hAnsi="Symbol" w:hint="default"/>
      </w:rPr>
    </w:lvl>
    <w:lvl w:ilvl="2" w:tplc="0C090001">
      <w:start w:val="1"/>
      <w:numFmt w:val="bullet"/>
      <w:lvlText w:val=""/>
      <w:lvlJc w:val="left"/>
      <w:pPr>
        <w:ind w:left="2160" w:hanging="180"/>
      </w:pPr>
      <w:rPr>
        <w:rFonts w:ascii="Symbol" w:hAnsi="Symbol"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25F60D94"/>
    <w:multiLevelType w:val="hybridMultilevel"/>
    <w:tmpl w:val="F926BCA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27FD4ED8"/>
    <w:multiLevelType w:val="hybridMultilevel"/>
    <w:tmpl w:val="F926BCA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28312C94"/>
    <w:multiLevelType w:val="hybridMultilevel"/>
    <w:tmpl w:val="C0FC3850"/>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28643AC6"/>
    <w:multiLevelType w:val="hybridMultilevel"/>
    <w:tmpl w:val="CB2628E0"/>
    <w:lvl w:ilvl="0" w:tplc="1C38EA6A">
      <w:start w:val="1"/>
      <w:numFmt w:val="bullet"/>
      <w:pStyle w:val="Style1"/>
      <w:lvlText w:val=""/>
      <w:lvlJc w:val="left"/>
      <w:pPr>
        <w:ind w:left="720" w:hanging="360"/>
      </w:pPr>
      <w:rPr>
        <w:rFonts w:ascii="Symbol" w:hAnsi="Symbol" w:hint="default"/>
      </w:rPr>
    </w:lvl>
    <w:lvl w:ilvl="1" w:tplc="689456CE">
      <w:start w:val="1"/>
      <w:numFmt w:val="bullet"/>
      <w:lvlText w:val="o"/>
      <w:lvlJc w:val="left"/>
      <w:pPr>
        <w:ind w:left="1440" w:hanging="360"/>
      </w:pPr>
      <w:rPr>
        <w:rFonts w:ascii="Courier New" w:hAnsi="Courier New" w:cs="Courier New" w:hint="default"/>
      </w:rPr>
    </w:lvl>
    <w:lvl w:ilvl="2" w:tplc="82B493DE">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28BC5D13"/>
    <w:multiLevelType w:val="hybridMultilevel"/>
    <w:tmpl w:val="BF9068BC"/>
    <w:lvl w:ilvl="0" w:tplc="ADB8DCAC">
      <w:numFmt w:val="bullet"/>
      <w:lvlText w:val=""/>
      <w:lvlJc w:val="left"/>
      <w:pPr>
        <w:ind w:left="720" w:hanging="360"/>
      </w:pPr>
      <w:rPr>
        <w:rFonts w:ascii="Wingdings" w:eastAsia="Times New Roman" w:hAnsi="Wingdings" w:cs="Arial" w:hint="default"/>
        <w:sz w:val="28"/>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291C633F"/>
    <w:multiLevelType w:val="hybridMultilevel"/>
    <w:tmpl w:val="C07A84C0"/>
    <w:lvl w:ilvl="0" w:tplc="0C09000F">
      <w:start w:val="1"/>
      <w:numFmt w:val="decimal"/>
      <w:lvlText w:val="%1."/>
      <w:lvlJc w:val="left"/>
      <w:pPr>
        <w:ind w:left="1080" w:hanging="360"/>
      </w:pPr>
      <w:rPr>
        <w:rFont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8" w15:restartNumberingAfterBreak="0">
    <w:nsid w:val="294569CF"/>
    <w:multiLevelType w:val="hybridMultilevel"/>
    <w:tmpl w:val="08F4C2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2BE36C3A"/>
    <w:multiLevelType w:val="hybridMultilevel"/>
    <w:tmpl w:val="79F06F46"/>
    <w:lvl w:ilvl="0" w:tplc="3B5C88D2">
      <w:start w:val="5"/>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15:restartNumberingAfterBreak="0">
    <w:nsid w:val="2E3432AA"/>
    <w:multiLevelType w:val="multilevel"/>
    <w:tmpl w:val="B8A2C1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2F0178D1"/>
    <w:multiLevelType w:val="hybridMultilevel"/>
    <w:tmpl w:val="1A0EFA08"/>
    <w:lvl w:ilvl="0" w:tplc="BC3CD7B0">
      <w:start w:val="1"/>
      <w:numFmt w:val="decimal"/>
      <w:lvlText w:val="%1."/>
      <w:lvlJc w:val="left"/>
      <w:pPr>
        <w:ind w:left="720" w:hanging="360"/>
      </w:pPr>
      <w:rPr>
        <w:rFonts w:cs="Times New Roman" w:hint="default"/>
        <w:color w:val="000000"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2" w15:restartNumberingAfterBreak="0">
    <w:nsid w:val="31AE1EB3"/>
    <w:multiLevelType w:val="hybridMultilevel"/>
    <w:tmpl w:val="F926BCA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32FA5B5F"/>
    <w:multiLevelType w:val="hybridMultilevel"/>
    <w:tmpl w:val="F926BCA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33AA4AEE"/>
    <w:multiLevelType w:val="hybridMultilevel"/>
    <w:tmpl w:val="0DA85BBA"/>
    <w:lvl w:ilvl="0" w:tplc="0C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5" w15:restartNumberingAfterBreak="0">
    <w:nsid w:val="33C4259B"/>
    <w:multiLevelType w:val="hybridMultilevel"/>
    <w:tmpl w:val="F926BCA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35B64EB9"/>
    <w:multiLevelType w:val="hybridMultilevel"/>
    <w:tmpl w:val="F926BCA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36132AA2"/>
    <w:multiLevelType w:val="hybridMultilevel"/>
    <w:tmpl w:val="1D4092CE"/>
    <w:lvl w:ilvl="0" w:tplc="9642FE58">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377B192B"/>
    <w:multiLevelType w:val="hybridMultilevel"/>
    <w:tmpl w:val="3C4C88D8"/>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9" w15:restartNumberingAfterBreak="0">
    <w:nsid w:val="390A6DEB"/>
    <w:multiLevelType w:val="hybridMultilevel"/>
    <w:tmpl w:val="70F6EDF0"/>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3B167592"/>
    <w:multiLevelType w:val="hybridMultilevel"/>
    <w:tmpl w:val="F926BCA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3D3E252B"/>
    <w:multiLevelType w:val="hybridMultilevel"/>
    <w:tmpl w:val="27D4673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2" w15:restartNumberingAfterBreak="0">
    <w:nsid w:val="3D3E3F81"/>
    <w:multiLevelType w:val="hybridMultilevel"/>
    <w:tmpl w:val="A79ECEE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3E3E1A7A"/>
    <w:multiLevelType w:val="hybridMultilevel"/>
    <w:tmpl w:val="3A44AA54"/>
    <w:lvl w:ilvl="0" w:tplc="0C09000F">
      <w:start w:val="1"/>
      <w:numFmt w:val="decimal"/>
      <w:lvlText w:val="%1."/>
      <w:lvlJc w:val="left"/>
      <w:pPr>
        <w:ind w:left="720" w:hanging="360"/>
      </w:pPr>
    </w:lvl>
    <w:lvl w:ilvl="1" w:tplc="0C090001">
      <w:start w:val="1"/>
      <w:numFmt w:val="bullet"/>
      <w:lvlText w:val=""/>
      <w:lvlJc w:val="left"/>
      <w:pPr>
        <w:ind w:left="1440" w:hanging="360"/>
      </w:pPr>
      <w:rPr>
        <w:rFonts w:ascii="Symbol" w:hAnsi="Symbol" w:hint="default"/>
      </w:rPr>
    </w:lvl>
    <w:lvl w:ilvl="2" w:tplc="0C090001">
      <w:start w:val="1"/>
      <w:numFmt w:val="bullet"/>
      <w:lvlText w:val=""/>
      <w:lvlJc w:val="left"/>
      <w:pPr>
        <w:ind w:left="2160" w:hanging="180"/>
      </w:pPr>
      <w:rPr>
        <w:rFonts w:ascii="Symbol" w:hAnsi="Symbol"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40746671"/>
    <w:multiLevelType w:val="hybridMultilevel"/>
    <w:tmpl w:val="F926BCA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5" w15:restartNumberingAfterBreak="0">
    <w:nsid w:val="417C6A82"/>
    <w:multiLevelType w:val="hybridMultilevel"/>
    <w:tmpl w:val="798C6F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42381C5F"/>
    <w:multiLevelType w:val="hybridMultilevel"/>
    <w:tmpl w:val="F926BCA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426425EC"/>
    <w:multiLevelType w:val="hybridMultilevel"/>
    <w:tmpl w:val="DBC849D2"/>
    <w:lvl w:ilvl="0" w:tplc="9242645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8" w15:restartNumberingAfterBreak="0">
    <w:nsid w:val="426F63D6"/>
    <w:multiLevelType w:val="hybridMultilevel"/>
    <w:tmpl w:val="9C1EB220"/>
    <w:lvl w:ilvl="0" w:tplc="A6F46EFE">
      <w:start w:val="36"/>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9" w15:restartNumberingAfterBreak="0">
    <w:nsid w:val="44414207"/>
    <w:multiLevelType w:val="hybridMultilevel"/>
    <w:tmpl w:val="B4C0C988"/>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0" w15:restartNumberingAfterBreak="0">
    <w:nsid w:val="445B2510"/>
    <w:multiLevelType w:val="hybridMultilevel"/>
    <w:tmpl w:val="F926BCA6"/>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1" w15:restartNumberingAfterBreak="0">
    <w:nsid w:val="454E0C6D"/>
    <w:multiLevelType w:val="hybridMultilevel"/>
    <w:tmpl w:val="47C83D02"/>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457C7381"/>
    <w:multiLevelType w:val="hybridMultilevel"/>
    <w:tmpl w:val="D76269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15:restartNumberingAfterBreak="0">
    <w:nsid w:val="45E5237F"/>
    <w:multiLevelType w:val="hybridMultilevel"/>
    <w:tmpl w:val="BD701F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4" w15:restartNumberingAfterBreak="0">
    <w:nsid w:val="47B77E0C"/>
    <w:multiLevelType w:val="hybridMultilevel"/>
    <w:tmpl w:val="F926BCA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5" w15:restartNumberingAfterBreak="0">
    <w:nsid w:val="4A3B00CB"/>
    <w:multiLevelType w:val="hybridMultilevel"/>
    <w:tmpl w:val="4478355C"/>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66" w15:restartNumberingAfterBreak="0">
    <w:nsid w:val="4AED3949"/>
    <w:multiLevelType w:val="hybridMultilevel"/>
    <w:tmpl w:val="F926BCA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7" w15:restartNumberingAfterBreak="0">
    <w:nsid w:val="4D073CDA"/>
    <w:multiLevelType w:val="hybridMultilevel"/>
    <w:tmpl w:val="A6128230"/>
    <w:lvl w:ilvl="0" w:tplc="FFFFFFFF">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8" w15:restartNumberingAfterBreak="0">
    <w:nsid w:val="4D480321"/>
    <w:multiLevelType w:val="hybridMultilevel"/>
    <w:tmpl w:val="D48EFAF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9" w15:restartNumberingAfterBreak="0">
    <w:nsid w:val="4DD7663C"/>
    <w:multiLevelType w:val="hybridMultilevel"/>
    <w:tmpl w:val="281E5B2A"/>
    <w:lvl w:ilvl="0" w:tplc="0C09000F">
      <w:start w:val="1"/>
      <w:numFmt w:val="decimal"/>
      <w:lvlText w:val="%1."/>
      <w:lvlJc w:val="left"/>
      <w:pPr>
        <w:ind w:left="720" w:hanging="360"/>
      </w:pPr>
    </w:lvl>
    <w:lvl w:ilvl="1" w:tplc="EA429A78">
      <w:start w:val="1"/>
      <w:numFmt w:val="decimal"/>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0" w15:restartNumberingAfterBreak="0">
    <w:nsid w:val="5055127A"/>
    <w:multiLevelType w:val="hybridMultilevel"/>
    <w:tmpl w:val="325667E4"/>
    <w:lvl w:ilvl="0" w:tplc="0C090001">
      <w:start w:val="1"/>
      <w:numFmt w:val="bullet"/>
      <w:lvlText w:val=""/>
      <w:lvlJc w:val="left"/>
      <w:pPr>
        <w:ind w:left="1146" w:hanging="360"/>
      </w:pPr>
      <w:rPr>
        <w:rFonts w:ascii="Symbol" w:hAnsi="Symbol" w:hint="default"/>
      </w:rPr>
    </w:lvl>
    <w:lvl w:ilvl="1" w:tplc="0C090003" w:tentative="1">
      <w:start w:val="1"/>
      <w:numFmt w:val="bullet"/>
      <w:lvlText w:val="o"/>
      <w:lvlJc w:val="left"/>
      <w:pPr>
        <w:ind w:left="1866" w:hanging="360"/>
      </w:pPr>
      <w:rPr>
        <w:rFonts w:ascii="Courier New" w:hAnsi="Courier New" w:cs="Courier New" w:hint="default"/>
      </w:rPr>
    </w:lvl>
    <w:lvl w:ilvl="2" w:tplc="0C090005" w:tentative="1">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71" w15:restartNumberingAfterBreak="0">
    <w:nsid w:val="517C4655"/>
    <w:multiLevelType w:val="hybridMultilevel"/>
    <w:tmpl w:val="3C4C88D8"/>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2" w15:restartNumberingAfterBreak="0">
    <w:nsid w:val="55737658"/>
    <w:multiLevelType w:val="hybridMultilevel"/>
    <w:tmpl w:val="CB169A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3" w15:restartNumberingAfterBreak="0">
    <w:nsid w:val="56780387"/>
    <w:multiLevelType w:val="hybridMultilevel"/>
    <w:tmpl w:val="70F6EDF0"/>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4" w15:restartNumberingAfterBreak="0">
    <w:nsid w:val="58492B7F"/>
    <w:multiLevelType w:val="hybridMultilevel"/>
    <w:tmpl w:val="F926BCA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5" w15:restartNumberingAfterBreak="0">
    <w:nsid w:val="58EC183C"/>
    <w:multiLevelType w:val="hybridMultilevel"/>
    <w:tmpl w:val="F926BCA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6" w15:restartNumberingAfterBreak="0">
    <w:nsid w:val="6142771E"/>
    <w:multiLevelType w:val="hybridMultilevel"/>
    <w:tmpl w:val="F926BCA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7" w15:restartNumberingAfterBreak="0">
    <w:nsid w:val="61B64259"/>
    <w:multiLevelType w:val="hybridMultilevel"/>
    <w:tmpl w:val="235854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8" w15:restartNumberingAfterBreak="0">
    <w:nsid w:val="62A355F0"/>
    <w:multiLevelType w:val="multilevel"/>
    <w:tmpl w:val="EF042E32"/>
    <w:lvl w:ilvl="0">
      <w:start w:val="1"/>
      <w:numFmt w:val="lowerLetter"/>
      <w:pStyle w:val="Sub-parax"/>
      <w:lvlText w:val="(%1)"/>
      <w:lvlJc w:val="left"/>
      <w:pPr>
        <w:tabs>
          <w:tab w:val="num" w:pos="1887"/>
        </w:tabs>
        <w:ind w:left="1887" w:hanging="567"/>
      </w:pPr>
      <w:rPr>
        <w:rFonts w:cs="Times New Roman" w:hint="default"/>
        <w:b w:val="0"/>
        <w:bCs w:val="0"/>
        <w:i w:val="0"/>
        <w:iCs w:val="0"/>
        <w:color w:val="000000"/>
      </w:rPr>
    </w:lvl>
    <w:lvl w:ilvl="1">
      <w:start w:val="1"/>
      <w:numFmt w:val="decimal"/>
      <w:lvlText w:val="Schedule %2."/>
      <w:lvlJc w:val="left"/>
      <w:pPr>
        <w:tabs>
          <w:tab w:val="num" w:pos="1440"/>
        </w:tabs>
        <w:ind w:left="1440" w:hanging="360"/>
      </w:pPr>
      <w:rPr>
        <w:rFonts w:cs="Times New Roman" w:hint="default"/>
        <w:b w:val="0"/>
        <w:bCs w:val="0"/>
        <w:i w:val="0"/>
        <w:iCs w:val="0"/>
        <w:color w:val="000000"/>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79" w15:restartNumberingAfterBreak="0">
    <w:nsid w:val="62C72826"/>
    <w:multiLevelType w:val="hybridMultilevel"/>
    <w:tmpl w:val="3C4C88D8"/>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0" w15:restartNumberingAfterBreak="0">
    <w:nsid w:val="63087E73"/>
    <w:multiLevelType w:val="hybridMultilevel"/>
    <w:tmpl w:val="70F6EDF0"/>
    <w:lvl w:ilvl="0" w:tplc="FFFFFFFF">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1" w15:restartNumberingAfterBreak="0">
    <w:nsid w:val="63870020"/>
    <w:multiLevelType w:val="hybridMultilevel"/>
    <w:tmpl w:val="B4C0C988"/>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2" w15:restartNumberingAfterBreak="0">
    <w:nsid w:val="652E67BC"/>
    <w:multiLevelType w:val="hybridMultilevel"/>
    <w:tmpl w:val="0B340F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3" w15:restartNumberingAfterBreak="0">
    <w:nsid w:val="68AC5694"/>
    <w:multiLevelType w:val="hybridMultilevel"/>
    <w:tmpl w:val="63924F8C"/>
    <w:lvl w:ilvl="0" w:tplc="04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4" w15:restartNumberingAfterBreak="0">
    <w:nsid w:val="68DC0A6F"/>
    <w:multiLevelType w:val="hybridMultilevel"/>
    <w:tmpl w:val="F926BCA6"/>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5" w15:restartNumberingAfterBreak="0">
    <w:nsid w:val="68E03006"/>
    <w:multiLevelType w:val="hybridMultilevel"/>
    <w:tmpl w:val="9A38F500"/>
    <w:lvl w:ilvl="0" w:tplc="53A2DC64">
      <w:start w:val="1"/>
      <w:numFmt w:val="decimal"/>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86" w15:restartNumberingAfterBreak="0">
    <w:nsid w:val="69F471C0"/>
    <w:multiLevelType w:val="hybridMultilevel"/>
    <w:tmpl w:val="F926BCA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7" w15:restartNumberingAfterBreak="0">
    <w:nsid w:val="6A2E3978"/>
    <w:multiLevelType w:val="hybridMultilevel"/>
    <w:tmpl w:val="C25AA788"/>
    <w:lvl w:ilvl="0" w:tplc="04090019">
      <w:start w:val="1"/>
      <w:numFmt w:val="lowerLetter"/>
      <w:lvlText w:val="%1."/>
      <w:lvlJc w:val="left"/>
      <w:pPr>
        <w:ind w:left="1080" w:hanging="360"/>
      </w:p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8" w15:restartNumberingAfterBreak="0">
    <w:nsid w:val="6AD006C5"/>
    <w:multiLevelType w:val="hybridMultilevel"/>
    <w:tmpl w:val="D48EFAF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9" w15:restartNumberingAfterBreak="0">
    <w:nsid w:val="6B476091"/>
    <w:multiLevelType w:val="hybridMultilevel"/>
    <w:tmpl w:val="C86C4A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0" w15:restartNumberingAfterBreak="0">
    <w:nsid w:val="6E256112"/>
    <w:multiLevelType w:val="hybridMultilevel"/>
    <w:tmpl w:val="70F6EDF0"/>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1" w15:restartNumberingAfterBreak="0">
    <w:nsid w:val="6F0F53A1"/>
    <w:multiLevelType w:val="hybridMultilevel"/>
    <w:tmpl w:val="F926BCA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2" w15:restartNumberingAfterBreak="0">
    <w:nsid w:val="6F3C1FBF"/>
    <w:multiLevelType w:val="hybridMultilevel"/>
    <w:tmpl w:val="D90EAD5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3" w15:restartNumberingAfterBreak="0">
    <w:nsid w:val="6F3C2FE7"/>
    <w:multiLevelType w:val="hybridMultilevel"/>
    <w:tmpl w:val="F926BCA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4" w15:restartNumberingAfterBreak="0">
    <w:nsid w:val="70263F6B"/>
    <w:multiLevelType w:val="hybridMultilevel"/>
    <w:tmpl w:val="594888A4"/>
    <w:lvl w:ilvl="0" w:tplc="0516654A">
      <w:start w:val="4"/>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5" w15:restartNumberingAfterBreak="0">
    <w:nsid w:val="705F3CFC"/>
    <w:multiLevelType w:val="hybridMultilevel"/>
    <w:tmpl w:val="BC942EB4"/>
    <w:lvl w:ilvl="0" w:tplc="1F682DA6">
      <w:start w:val="1"/>
      <w:numFmt w:val="decimal"/>
      <w:lvlText w:val="%1."/>
      <w:lvlJc w:val="left"/>
      <w:pPr>
        <w:ind w:left="1332" w:hanging="360"/>
      </w:pPr>
    </w:lvl>
    <w:lvl w:ilvl="1" w:tplc="08090019" w:tentative="1">
      <w:start w:val="1"/>
      <w:numFmt w:val="lowerLetter"/>
      <w:lvlText w:val="%2."/>
      <w:lvlJc w:val="left"/>
      <w:pPr>
        <w:ind w:left="1746" w:hanging="360"/>
      </w:pPr>
    </w:lvl>
    <w:lvl w:ilvl="2" w:tplc="0809001B" w:tentative="1">
      <w:start w:val="1"/>
      <w:numFmt w:val="lowerRoman"/>
      <w:lvlText w:val="%3."/>
      <w:lvlJc w:val="right"/>
      <w:pPr>
        <w:ind w:left="2466" w:hanging="180"/>
      </w:pPr>
    </w:lvl>
    <w:lvl w:ilvl="3" w:tplc="0809000F" w:tentative="1">
      <w:start w:val="1"/>
      <w:numFmt w:val="decimal"/>
      <w:lvlText w:val="%4."/>
      <w:lvlJc w:val="left"/>
      <w:pPr>
        <w:ind w:left="3186" w:hanging="360"/>
      </w:pPr>
    </w:lvl>
    <w:lvl w:ilvl="4" w:tplc="08090019" w:tentative="1">
      <w:start w:val="1"/>
      <w:numFmt w:val="lowerLetter"/>
      <w:lvlText w:val="%5."/>
      <w:lvlJc w:val="left"/>
      <w:pPr>
        <w:ind w:left="3906" w:hanging="360"/>
      </w:pPr>
    </w:lvl>
    <w:lvl w:ilvl="5" w:tplc="0809001B" w:tentative="1">
      <w:start w:val="1"/>
      <w:numFmt w:val="lowerRoman"/>
      <w:lvlText w:val="%6."/>
      <w:lvlJc w:val="right"/>
      <w:pPr>
        <w:ind w:left="4626" w:hanging="180"/>
      </w:pPr>
    </w:lvl>
    <w:lvl w:ilvl="6" w:tplc="0809000F" w:tentative="1">
      <w:start w:val="1"/>
      <w:numFmt w:val="decimal"/>
      <w:lvlText w:val="%7."/>
      <w:lvlJc w:val="left"/>
      <w:pPr>
        <w:ind w:left="5346" w:hanging="360"/>
      </w:pPr>
    </w:lvl>
    <w:lvl w:ilvl="7" w:tplc="08090019" w:tentative="1">
      <w:start w:val="1"/>
      <w:numFmt w:val="lowerLetter"/>
      <w:lvlText w:val="%8."/>
      <w:lvlJc w:val="left"/>
      <w:pPr>
        <w:ind w:left="6066" w:hanging="360"/>
      </w:pPr>
    </w:lvl>
    <w:lvl w:ilvl="8" w:tplc="0809001B" w:tentative="1">
      <w:start w:val="1"/>
      <w:numFmt w:val="lowerRoman"/>
      <w:lvlText w:val="%9."/>
      <w:lvlJc w:val="right"/>
      <w:pPr>
        <w:ind w:left="6786" w:hanging="180"/>
      </w:pPr>
    </w:lvl>
  </w:abstractNum>
  <w:abstractNum w:abstractNumId="96" w15:restartNumberingAfterBreak="0">
    <w:nsid w:val="708B5320"/>
    <w:multiLevelType w:val="hybridMultilevel"/>
    <w:tmpl w:val="F926BCA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7" w15:restartNumberingAfterBreak="0">
    <w:nsid w:val="71F1738B"/>
    <w:multiLevelType w:val="hybridMultilevel"/>
    <w:tmpl w:val="E96EA494"/>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8" w15:restartNumberingAfterBreak="0">
    <w:nsid w:val="780E0480"/>
    <w:multiLevelType w:val="hybridMultilevel"/>
    <w:tmpl w:val="776A78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9" w15:restartNumberingAfterBreak="0">
    <w:nsid w:val="7ACA79BF"/>
    <w:multiLevelType w:val="hybridMultilevel"/>
    <w:tmpl w:val="DB167CA8"/>
    <w:lvl w:ilvl="0" w:tplc="FFFFFFFF">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0" w15:restartNumberingAfterBreak="0">
    <w:nsid w:val="7C2310BC"/>
    <w:multiLevelType w:val="hybridMultilevel"/>
    <w:tmpl w:val="25B84D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1" w15:restartNumberingAfterBreak="0">
    <w:nsid w:val="7C906DC2"/>
    <w:multiLevelType w:val="hybridMultilevel"/>
    <w:tmpl w:val="70F6EDF0"/>
    <w:lvl w:ilvl="0" w:tplc="FFFFFFFF">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2" w15:restartNumberingAfterBreak="0">
    <w:nsid w:val="7F5B0E7D"/>
    <w:multiLevelType w:val="hybridMultilevel"/>
    <w:tmpl w:val="F926BCA6"/>
    <w:lvl w:ilvl="0" w:tplc="0C090019">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78"/>
  </w:num>
  <w:num w:numId="2">
    <w:abstractNumId w:val="6"/>
  </w:num>
  <w:num w:numId="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5"/>
  </w:num>
  <w:num w:numId="5">
    <w:abstractNumId w:val="97"/>
  </w:num>
  <w:num w:numId="6">
    <w:abstractNumId w:val="34"/>
  </w:num>
  <w:num w:numId="7">
    <w:abstractNumId w:val="88"/>
  </w:num>
  <w:num w:numId="8">
    <w:abstractNumId w:val="83"/>
  </w:num>
  <w:num w:numId="9">
    <w:abstractNumId w:val="87"/>
  </w:num>
  <w:num w:numId="10">
    <w:abstractNumId w:val="30"/>
  </w:num>
  <w:num w:numId="11">
    <w:abstractNumId w:val="69"/>
  </w:num>
  <w:num w:numId="12">
    <w:abstractNumId w:val="41"/>
  </w:num>
  <w:num w:numId="13">
    <w:abstractNumId w:val="68"/>
  </w:num>
  <w:num w:numId="14">
    <w:abstractNumId w:val="51"/>
  </w:num>
  <w:num w:numId="15">
    <w:abstractNumId w:val="92"/>
  </w:num>
  <w:num w:numId="16">
    <w:abstractNumId w:val="94"/>
  </w:num>
  <w:num w:numId="17">
    <w:abstractNumId w:val="39"/>
  </w:num>
  <w:num w:numId="18">
    <w:abstractNumId w:val="77"/>
  </w:num>
  <w:num w:numId="19">
    <w:abstractNumId w:val="33"/>
  </w:num>
  <w:num w:numId="20">
    <w:abstractNumId w:val="100"/>
  </w:num>
  <w:num w:numId="21">
    <w:abstractNumId w:val="36"/>
  </w:num>
  <w:num w:numId="22">
    <w:abstractNumId w:val="86"/>
  </w:num>
  <w:num w:numId="23">
    <w:abstractNumId w:val="16"/>
  </w:num>
  <w:num w:numId="24">
    <w:abstractNumId w:val="22"/>
  </w:num>
  <w:num w:numId="25">
    <w:abstractNumId w:val="59"/>
  </w:num>
  <w:num w:numId="26">
    <w:abstractNumId w:val="43"/>
  </w:num>
  <w:num w:numId="27">
    <w:abstractNumId w:val="42"/>
  </w:num>
  <w:num w:numId="28">
    <w:abstractNumId w:val="17"/>
  </w:num>
  <w:num w:numId="29">
    <w:abstractNumId w:val="21"/>
  </w:num>
  <w:num w:numId="30">
    <w:abstractNumId w:val="56"/>
  </w:num>
  <w:num w:numId="31">
    <w:abstractNumId w:val="32"/>
  </w:num>
  <w:num w:numId="32">
    <w:abstractNumId w:val="66"/>
  </w:num>
  <w:num w:numId="33">
    <w:abstractNumId w:val="91"/>
  </w:num>
  <w:num w:numId="34">
    <w:abstractNumId w:val="23"/>
  </w:num>
  <w:num w:numId="35">
    <w:abstractNumId w:val="102"/>
  </w:num>
  <w:num w:numId="36">
    <w:abstractNumId w:val="54"/>
  </w:num>
  <w:num w:numId="37">
    <w:abstractNumId w:val="45"/>
  </w:num>
  <w:num w:numId="38">
    <w:abstractNumId w:val="50"/>
  </w:num>
  <w:num w:numId="39">
    <w:abstractNumId w:val="93"/>
  </w:num>
  <w:num w:numId="40">
    <w:abstractNumId w:val="18"/>
  </w:num>
  <w:num w:numId="41">
    <w:abstractNumId w:val="76"/>
  </w:num>
  <w:num w:numId="42">
    <w:abstractNumId w:val="75"/>
  </w:num>
  <w:num w:numId="43">
    <w:abstractNumId w:val="74"/>
  </w:num>
  <w:num w:numId="44">
    <w:abstractNumId w:val="11"/>
  </w:num>
  <w:num w:numId="45">
    <w:abstractNumId w:val="46"/>
  </w:num>
  <w:num w:numId="46">
    <w:abstractNumId w:val="64"/>
  </w:num>
  <w:num w:numId="47">
    <w:abstractNumId w:val="96"/>
  </w:num>
  <w:num w:numId="48">
    <w:abstractNumId w:val="14"/>
  </w:num>
  <w:num w:numId="49">
    <w:abstractNumId w:val="58"/>
  </w:num>
  <w:num w:numId="50">
    <w:abstractNumId w:val="95"/>
  </w:num>
  <w:num w:numId="51">
    <w:abstractNumId w:val="3"/>
  </w:num>
  <w:num w:numId="52">
    <w:abstractNumId w:val="61"/>
  </w:num>
  <w:num w:numId="53">
    <w:abstractNumId w:val="31"/>
  </w:num>
  <w:num w:numId="54">
    <w:abstractNumId w:val="37"/>
  </w:num>
  <w:num w:numId="55">
    <w:abstractNumId w:val="85"/>
  </w:num>
  <w:num w:numId="56">
    <w:abstractNumId w:val="70"/>
  </w:num>
  <w:num w:numId="57">
    <w:abstractNumId w:val="53"/>
  </w:num>
  <w:num w:numId="58">
    <w:abstractNumId w:val="52"/>
  </w:num>
  <w:num w:numId="59">
    <w:abstractNumId w:val="15"/>
  </w:num>
  <w:num w:numId="60">
    <w:abstractNumId w:val="29"/>
  </w:num>
  <w:num w:numId="61">
    <w:abstractNumId w:val="0"/>
  </w:num>
  <w:num w:numId="62">
    <w:abstractNumId w:val="7"/>
  </w:num>
  <w:num w:numId="63">
    <w:abstractNumId w:val="62"/>
  </w:num>
  <w:num w:numId="64">
    <w:abstractNumId w:val="44"/>
  </w:num>
  <w:num w:numId="65">
    <w:abstractNumId w:val="47"/>
  </w:num>
  <w:num w:numId="66">
    <w:abstractNumId w:val="57"/>
  </w:num>
  <w:num w:numId="67">
    <w:abstractNumId w:val="99"/>
  </w:num>
  <w:num w:numId="68">
    <w:abstractNumId w:val="20"/>
  </w:num>
  <w:num w:numId="69">
    <w:abstractNumId w:val="80"/>
  </w:num>
  <w:num w:numId="70">
    <w:abstractNumId w:val="73"/>
  </w:num>
  <w:num w:numId="71">
    <w:abstractNumId w:val="65"/>
  </w:num>
  <w:num w:numId="72">
    <w:abstractNumId w:val="25"/>
  </w:num>
  <w:num w:numId="73">
    <w:abstractNumId w:val="90"/>
  </w:num>
  <w:num w:numId="74">
    <w:abstractNumId w:val="101"/>
  </w:num>
  <w:num w:numId="75">
    <w:abstractNumId w:val="49"/>
  </w:num>
  <w:num w:numId="76">
    <w:abstractNumId w:val="67"/>
  </w:num>
  <w:num w:numId="77">
    <w:abstractNumId w:val="1"/>
  </w:num>
  <w:num w:numId="78">
    <w:abstractNumId w:val="12"/>
  </w:num>
  <w:num w:numId="79">
    <w:abstractNumId w:val="13"/>
  </w:num>
  <w:num w:numId="80">
    <w:abstractNumId w:val="2"/>
  </w:num>
  <w:num w:numId="81">
    <w:abstractNumId w:val="81"/>
  </w:num>
  <w:num w:numId="82">
    <w:abstractNumId w:val="84"/>
  </w:num>
  <w:num w:numId="83">
    <w:abstractNumId w:val="82"/>
  </w:num>
  <w:num w:numId="84">
    <w:abstractNumId w:val="63"/>
  </w:num>
  <w:num w:numId="85">
    <w:abstractNumId w:val="55"/>
  </w:num>
  <w:num w:numId="86">
    <w:abstractNumId w:val="38"/>
  </w:num>
  <w:num w:numId="87">
    <w:abstractNumId w:val="27"/>
  </w:num>
  <w:num w:numId="88">
    <w:abstractNumId w:val="98"/>
  </w:num>
  <w:num w:numId="89">
    <w:abstractNumId w:val="19"/>
  </w:num>
  <w:num w:numId="90">
    <w:abstractNumId w:val="60"/>
  </w:num>
  <w:num w:numId="91">
    <w:abstractNumId w:val="8"/>
  </w:num>
  <w:num w:numId="92">
    <w:abstractNumId w:val="79"/>
  </w:num>
  <w:num w:numId="93">
    <w:abstractNumId w:val="5"/>
  </w:num>
  <w:num w:numId="94">
    <w:abstractNumId w:val="26"/>
  </w:num>
  <w:num w:numId="95">
    <w:abstractNumId w:val="48"/>
  </w:num>
  <w:num w:numId="96">
    <w:abstractNumId w:val="71"/>
  </w:num>
  <w:num w:numId="97">
    <w:abstractNumId w:val="89"/>
  </w:num>
  <w:num w:numId="98">
    <w:abstractNumId w:val="4"/>
  </w:num>
  <w:num w:numId="99">
    <w:abstractNumId w:val="9"/>
  </w:num>
  <w:num w:numId="100">
    <w:abstractNumId w:val="72"/>
  </w:num>
  <w:num w:numId="101">
    <w:abstractNumId w:val="28"/>
  </w:num>
  <w:num w:numId="102">
    <w:abstractNumId w:val="24"/>
  </w:num>
  <w:num w:numId="103">
    <w:abstractNumId w:val="9"/>
  </w:num>
  <w:num w:numId="104">
    <w:abstractNumId w:val="9"/>
  </w:num>
  <w:num w:numId="105">
    <w:abstractNumId w:val="63"/>
  </w:num>
  <w:num w:numId="106">
    <w:abstractNumId w:val="40"/>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51201"/>
  </w:hdrShapeDefaults>
  <w:footnotePr>
    <w:numFmt w:val="lowerLette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Lancet&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aepeer0xlwrzpbef0r45aps5xe0r0zpsv59d&quot;&gt;Better Access&lt;record-ids&gt;&lt;item&gt;1178&lt;/item&gt;&lt;item&gt;1181&lt;/item&gt;&lt;item&gt;1182&lt;/item&gt;&lt;item&gt;1212&lt;/item&gt;&lt;item&gt;1232&lt;/item&gt;&lt;item&gt;1233&lt;/item&gt;&lt;item&gt;1234&lt;/item&gt;&lt;item&gt;1235&lt;/item&gt;&lt;item&gt;1236&lt;/item&gt;&lt;item&gt;1237&lt;/item&gt;&lt;item&gt;1238&lt;/item&gt;&lt;item&gt;1240&lt;/item&gt;&lt;item&gt;1241&lt;/item&gt;&lt;item&gt;1242&lt;/item&gt;&lt;item&gt;1243&lt;/item&gt;&lt;item&gt;1262&lt;/item&gt;&lt;item&gt;1263&lt;/item&gt;&lt;/record-ids&gt;&lt;/item&gt;&lt;/Libraries&gt;"/>
  </w:docVars>
  <w:rsids>
    <w:rsidRoot w:val="00A71515"/>
    <w:rsid w:val="00000351"/>
    <w:rsid w:val="00000A89"/>
    <w:rsid w:val="00000E07"/>
    <w:rsid w:val="000015E6"/>
    <w:rsid w:val="000016F8"/>
    <w:rsid w:val="00001A17"/>
    <w:rsid w:val="00001B10"/>
    <w:rsid w:val="000022BE"/>
    <w:rsid w:val="00002788"/>
    <w:rsid w:val="0000284B"/>
    <w:rsid w:val="000028E4"/>
    <w:rsid w:val="00002AE7"/>
    <w:rsid w:val="00002EB8"/>
    <w:rsid w:val="00002EB9"/>
    <w:rsid w:val="0000348C"/>
    <w:rsid w:val="000039C0"/>
    <w:rsid w:val="000041BC"/>
    <w:rsid w:val="000052AB"/>
    <w:rsid w:val="00005321"/>
    <w:rsid w:val="0000546F"/>
    <w:rsid w:val="000057EC"/>
    <w:rsid w:val="00005A09"/>
    <w:rsid w:val="000066BB"/>
    <w:rsid w:val="00006830"/>
    <w:rsid w:val="00006976"/>
    <w:rsid w:val="00006B6C"/>
    <w:rsid w:val="00006BAF"/>
    <w:rsid w:val="0000734C"/>
    <w:rsid w:val="00007737"/>
    <w:rsid w:val="000077F4"/>
    <w:rsid w:val="00007EBA"/>
    <w:rsid w:val="00007F47"/>
    <w:rsid w:val="00010089"/>
    <w:rsid w:val="000103CF"/>
    <w:rsid w:val="00010DD2"/>
    <w:rsid w:val="000113BD"/>
    <w:rsid w:val="000114B2"/>
    <w:rsid w:val="000115E6"/>
    <w:rsid w:val="00011721"/>
    <w:rsid w:val="0001175E"/>
    <w:rsid w:val="00012DF7"/>
    <w:rsid w:val="000131F8"/>
    <w:rsid w:val="00013616"/>
    <w:rsid w:val="0001429E"/>
    <w:rsid w:val="0001495C"/>
    <w:rsid w:val="0001496C"/>
    <w:rsid w:val="00014B29"/>
    <w:rsid w:val="00014C9E"/>
    <w:rsid w:val="00014D30"/>
    <w:rsid w:val="00015644"/>
    <w:rsid w:val="00015B48"/>
    <w:rsid w:val="000167A7"/>
    <w:rsid w:val="00016A76"/>
    <w:rsid w:val="00016BAC"/>
    <w:rsid w:val="00016CC4"/>
    <w:rsid w:val="000172E4"/>
    <w:rsid w:val="0001766E"/>
    <w:rsid w:val="00017AF1"/>
    <w:rsid w:val="00020FF2"/>
    <w:rsid w:val="00021031"/>
    <w:rsid w:val="00021ACA"/>
    <w:rsid w:val="000220F1"/>
    <w:rsid w:val="000223F1"/>
    <w:rsid w:val="000226F0"/>
    <w:rsid w:val="0002374B"/>
    <w:rsid w:val="0002386E"/>
    <w:rsid w:val="0002386F"/>
    <w:rsid w:val="0002397D"/>
    <w:rsid w:val="00023B90"/>
    <w:rsid w:val="00023F96"/>
    <w:rsid w:val="0002408D"/>
    <w:rsid w:val="00024174"/>
    <w:rsid w:val="000241A4"/>
    <w:rsid w:val="0002429D"/>
    <w:rsid w:val="00024316"/>
    <w:rsid w:val="00024561"/>
    <w:rsid w:val="00024583"/>
    <w:rsid w:val="00024727"/>
    <w:rsid w:val="00024A73"/>
    <w:rsid w:val="00024C65"/>
    <w:rsid w:val="00024DDD"/>
    <w:rsid w:val="00024E0F"/>
    <w:rsid w:val="00024E2D"/>
    <w:rsid w:val="000250F1"/>
    <w:rsid w:val="000255E1"/>
    <w:rsid w:val="0002569A"/>
    <w:rsid w:val="000257DE"/>
    <w:rsid w:val="000258E3"/>
    <w:rsid w:val="00025EFB"/>
    <w:rsid w:val="000262EA"/>
    <w:rsid w:val="0002644D"/>
    <w:rsid w:val="0002697E"/>
    <w:rsid w:val="00026CF3"/>
    <w:rsid w:val="00026E8A"/>
    <w:rsid w:val="00026EC1"/>
    <w:rsid w:val="00027116"/>
    <w:rsid w:val="00027339"/>
    <w:rsid w:val="0002778B"/>
    <w:rsid w:val="00027F43"/>
    <w:rsid w:val="00030143"/>
    <w:rsid w:val="00030587"/>
    <w:rsid w:val="00031548"/>
    <w:rsid w:val="00031AAF"/>
    <w:rsid w:val="00031C56"/>
    <w:rsid w:val="00031EDF"/>
    <w:rsid w:val="00032226"/>
    <w:rsid w:val="0003233A"/>
    <w:rsid w:val="00032577"/>
    <w:rsid w:val="00032754"/>
    <w:rsid w:val="00032A50"/>
    <w:rsid w:val="0003308C"/>
    <w:rsid w:val="00033703"/>
    <w:rsid w:val="00033B47"/>
    <w:rsid w:val="00033DF6"/>
    <w:rsid w:val="00034107"/>
    <w:rsid w:val="000347F8"/>
    <w:rsid w:val="00034A2B"/>
    <w:rsid w:val="000350A3"/>
    <w:rsid w:val="000354AC"/>
    <w:rsid w:val="00035B19"/>
    <w:rsid w:val="00035F21"/>
    <w:rsid w:val="00035FA0"/>
    <w:rsid w:val="00035FF6"/>
    <w:rsid w:val="00036542"/>
    <w:rsid w:val="00036AA7"/>
    <w:rsid w:val="00036AD0"/>
    <w:rsid w:val="00036B4E"/>
    <w:rsid w:val="00036C6F"/>
    <w:rsid w:val="0003720A"/>
    <w:rsid w:val="0003760D"/>
    <w:rsid w:val="00037893"/>
    <w:rsid w:val="00037A7C"/>
    <w:rsid w:val="00037C74"/>
    <w:rsid w:val="00037F20"/>
    <w:rsid w:val="0004001D"/>
    <w:rsid w:val="0004081C"/>
    <w:rsid w:val="000408A6"/>
    <w:rsid w:val="00040E38"/>
    <w:rsid w:val="00040EF9"/>
    <w:rsid w:val="000415D4"/>
    <w:rsid w:val="00041713"/>
    <w:rsid w:val="00042091"/>
    <w:rsid w:val="00042391"/>
    <w:rsid w:val="00042888"/>
    <w:rsid w:val="00042C64"/>
    <w:rsid w:val="00043254"/>
    <w:rsid w:val="00043BC8"/>
    <w:rsid w:val="00043CBE"/>
    <w:rsid w:val="00043F27"/>
    <w:rsid w:val="00044002"/>
    <w:rsid w:val="00044051"/>
    <w:rsid w:val="00044086"/>
    <w:rsid w:val="00044A40"/>
    <w:rsid w:val="00044EF7"/>
    <w:rsid w:val="00045535"/>
    <w:rsid w:val="00045838"/>
    <w:rsid w:val="000459DC"/>
    <w:rsid w:val="00045DAE"/>
    <w:rsid w:val="000463DD"/>
    <w:rsid w:val="0004647F"/>
    <w:rsid w:val="000464AB"/>
    <w:rsid w:val="000464F2"/>
    <w:rsid w:val="000467B8"/>
    <w:rsid w:val="000469CC"/>
    <w:rsid w:val="00046A89"/>
    <w:rsid w:val="00046ECD"/>
    <w:rsid w:val="00047CB2"/>
    <w:rsid w:val="00047E96"/>
    <w:rsid w:val="00047FB4"/>
    <w:rsid w:val="0005015D"/>
    <w:rsid w:val="000501B5"/>
    <w:rsid w:val="000501B6"/>
    <w:rsid w:val="00050810"/>
    <w:rsid w:val="00050B2B"/>
    <w:rsid w:val="00050CD4"/>
    <w:rsid w:val="00050DBD"/>
    <w:rsid w:val="00051482"/>
    <w:rsid w:val="00051578"/>
    <w:rsid w:val="0005186F"/>
    <w:rsid w:val="0005241E"/>
    <w:rsid w:val="00052568"/>
    <w:rsid w:val="00052731"/>
    <w:rsid w:val="0005346F"/>
    <w:rsid w:val="00053FEB"/>
    <w:rsid w:val="00054434"/>
    <w:rsid w:val="00054579"/>
    <w:rsid w:val="0005458D"/>
    <w:rsid w:val="0005463F"/>
    <w:rsid w:val="00055017"/>
    <w:rsid w:val="00055263"/>
    <w:rsid w:val="00055D12"/>
    <w:rsid w:val="00055DC8"/>
    <w:rsid w:val="00055FFF"/>
    <w:rsid w:val="000560A9"/>
    <w:rsid w:val="0005613C"/>
    <w:rsid w:val="0005615B"/>
    <w:rsid w:val="0005674F"/>
    <w:rsid w:val="00056D1C"/>
    <w:rsid w:val="000571BA"/>
    <w:rsid w:val="00057C28"/>
    <w:rsid w:val="0006036B"/>
    <w:rsid w:val="000607A6"/>
    <w:rsid w:val="000609C4"/>
    <w:rsid w:val="00060FA6"/>
    <w:rsid w:val="00061021"/>
    <w:rsid w:val="0006122C"/>
    <w:rsid w:val="0006131A"/>
    <w:rsid w:val="000613BF"/>
    <w:rsid w:val="000613D1"/>
    <w:rsid w:val="00061B18"/>
    <w:rsid w:val="00061C00"/>
    <w:rsid w:val="0006202C"/>
    <w:rsid w:val="00062CA4"/>
    <w:rsid w:val="0006324C"/>
    <w:rsid w:val="000635A4"/>
    <w:rsid w:val="00063A85"/>
    <w:rsid w:val="00063D8F"/>
    <w:rsid w:val="00063DB1"/>
    <w:rsid w:val="0006437F"/>
    <w:rsid w:val="00064891"/>
    <w:rsid w:val="0006546C"/>
    <w:rsid w:val="00065DF4"/>
    <w:rsid w:val="0006639F"/>
    <w:rsid w:val="0006642F"/>
    <w:rsid w:val="000669A0"/>
    <w:rsid w:val="000669E2"/>
    <w:rsid w:val="00066A94"/>
    <w:rsid w:val="0006728F"/>
    <w:rsid w:val="000676F9"/>
    <w:rsid w:val="00067823"/>
    <w:rsid w:val="00067C88"/>
    <w:rsid w:val="000701BE"/>
    <w:rsid w:val="00070306"/>
    <w:rsid w:val="0007057A"/>
    <w:rsid w:val="000709BF"/>
    <w:rsid w:val="00071445"/>
    <w:rsid w:val="000714B4"/>
    <w:rsid w:val="00071ADD"/>
    <w:rsid w:val="000721A5"/>
    <w:rsid w:val="00072EDE"/>
    <w:rsid w:val="000732ED"/>
    <w:rsid w:val="000737BD"/>
    <w:rsid w:val="00073D57"/>
    <w:rsid w:val="00073D5F"/>
    <w:rsid w:val="00073DBA"/>
    <w:rsid w:val="00073E29"/>
    <w:rsid w:val="00073F8B"/>
    <w:rsid w:val="00074219"/>
    <w:rsid w:val="000745BB"/>
    <w:rsid w:val="000754CD"/>
    <w:rsid w:val="000759D6"/>
    <w:rsid w:val="000766A3"/>
    <w:rsid w:val="00076732"/>
    <w:rsid w:val="00077291"/>
    <w:rsid w:val="000774DB"/>
    <w:rsid w:val="00077E30"/>
    <w:rsid w:val="000818A6"/>
    <w:rsid w:val="00082298"/>
    <w:rsid w:val="000824DB"/>
    <w:rsid w:val="000825B7"/>
    <w:rsid w:val="00082710"/>
    <w:rsid w:val="00082AE9"/>
    <w:rsid w:val="00082FC5"/>
    <w:rsid w:val="00083140"/>
    <w:rsid w:val="00083280"/>
    <w:rsid w:val="00083A7D"/>
    <w:rsid w:val="00084288"/>
    <w:rsid w:val="000842E0"/>
    <w:rsid w:val="00084AEE"/>
    <w:rsid w:val="00084CBB"/>
    <w:rsid w:val="00084CD3"/>
    <w:rsid w:val="00084E96"/>
    <w:rsid w:val="00084F4A"/>
    <w:rsid w:val="00084F7C"/>
    <w:rsid w:val="0008503C"/>
    <w:rsid w:val="0008519E"/>
    <w:rsid w:val="000851F4"/>
    <w:rsid w:val="000858EA"/>
    <w:rsid w:val="000862C1"/>
    <w:rsid w:val="000867CF"/>
    <w:rsid w:val="00086B24"/>
    <w:rsid w:val="00087995"/>
    <w:rsid w:val="00087CD6"/>
    <w:rsid w:val="00087DCB"/>
    <w:rsid w:val="00087F32"/>
    <w:rsid w:val="000908EA"/>
    <w:rsid w:val="00090BEB"/>
    <w:rsid w:val="00090F73"/>
    <w:rsid w:val="00091025"/>
    <w:rsid w:val="000916C3"/>
    <w:rsid w:val="000919C8"/>
    <w:rsid w:val="00091D7B"/>
    <w:rsid w:val="00092159"/>
    <w:rsid w:val="00092B3A"/>
    <w:rsid w:val="00092CD4"/>
    <w:rsid w:val="00092FF7"/>
    <w:rsid w:val="0009309A"/>
    <w:rsid w:val="000933ED"/>
    <w:rsid w:val="000935B0"/>
    <w:rsid w:val="0009380B"/>
    <w:rsid w:val="000938C6"/>
    <w:rsid w:val="0009418F"/>
    <w:rsid w:val="00094A09"/>
    <w:rsid w:val="00094D2B"/>
    <w:rsid w:val="0009570B"/>
    <w:rsid w:val="00095817"/>
    <w:rsid w:val="0009583D"/>
    <w:rsid w:val="00095962"/>
    <w:rsid w:val="00095CE2"/>
    <w:rsid w:val="000963FF"/>
    <w:rsid w:val="00096586"/>
    <w:rsid w:val="00096FFD"/>
    <w:rsid w:val="000970F3"/>
    <w:rsid w:val="00097FE5"/>
    <w:rsid w:val="000A0157"/>
    <w:rsid w:val="000A1269"/>
    <w:rsid w:val="000A1E35"/>
    <w:rsid w:val="000A3598"/>
    <w:rsid w:val="000A390C"/>
    <w:rsid w:val="000A3960"/>
    <w:rsid w:val="000A3BD6"/>
    <w:rsid w:val="000A3D8C"/>
    <w:rsid w:val="000A3E9B"/>
    <w:rsid w:val="000A4364"/>
    <w:rsid w:val="000A4A79"/>
    <w:rsid w:val="000A545E"/>
    <w:rsid w:val="000A5685"/>
    <w:rsid w:val="000A570E"/>
    <w:rsid w:val="000A6261"/>
    <w:rsid w:val="000A6767"/>
    <w:rsid w:val="000A68F6"/>
    <w:rsid w:val="000A6A20"/>
    <w:rsid w:val="000A6A4D"/>
    <w:rsid w:val="000A6AA5"/>
    <w:rsid w:val="000A6D22"/>
    <w:rsid w:val="000A6FC8"/>
    <w:rsid w:val="000A71B1"/>
    <w:rsid w:val="000A7223"/>
    <w:rsid w:val="000A75E2"/>
    <w:rsid w:val="000A7610"/>
    <w:rsid w:val="000A7B95"/>
    <w:rsid w:val="000B0098"/>
    <w:rsid w:val="000B05B0"/>
    <w:rsid w:val="000B0DA6"/>
    <w:rsid w:val="000B106D"/>
    <w:rsid w:val="000B143A"/>
    <w:rsid w:val="000B1865"/>
    <w:rsid w:val="000B1981"/>
    <w:rsid w:val="000B1C27"/>
    <w:rsid w:val="000B1D00"/>
    <w:rsid w:val="000B22F3"/>
    <w:rsid w:val="000B24E1"/>
    <w:rsid w:val="000B285A"/>
    <w:rsid w:val="000B2E2D"/>
    <w:rsid w:val="000B2F39"/>
    <w:rsid w:val="000B3602"/>
    <w:rsid w:val="000B37EF"/>
    <w:rsid w:val="000B3AF6"/>
    <w:rsid w:val="000B406D"/>
    <w:rsid w:val="000B41A3"/>
    <w:rsid w:val="000B462F"/>
    <w:rsid w:val="000B49ED"/>
    <w:rsid w:val="000B5067"/>
    <w:rsid w:val="000B529F"/>
    <w:rsid w:val="000B5376"/>
    <w:rsid w:val="000B5734"/>
    <w:rsid w:val="000B587E"/>
    <w:rsid w:val="000B5A19"/>
    <w:rsid w:val="000B5CD8"/>
    <w:rsid w:val="000B5F66"/>
    <w:rsid w:val="000B638D"/>
    <w:rsid w:val="000B6873"/>
    <w:rsid w:val="000B68C1"/>
    <w:rsid w:val="000B69E3"/>
    <w:rsid w:val="000B6A4F"/>
    <w:rsid w:val="000B6B28"/>
    <w:rsid w:val="000B6CBD"/>
    <w:rsid w:val="000B6E10"/>
    <w:rsid w:val="000B7161"/>
    <w:rsid w:val="000B7277"/>
    <w:rsid w:val="000B73F1"/>
    <w:rsid w:val="000B7605"/>
    <w:rsid w:val="000B766E"/>
    <w:rsid w:val="000B78EC"/>
    <w:rsid w:val="000B7C13"/>
    <w:rsid w:val="000B7D96"/>
    <w:rsid w:val="000B7E83"/>
    <w:rsid w:val="000C089E"/>
    <w:rsid w:val="000C08E9"/>
    <w:rsid w:val="000C0BDF"/>
    <w:rsid w:val="000C12F1"/>
    <w:rsid w:val="000C1972"/>
    <w:rsid w:val="000C2298"/>
    <w:rsid w:val="000C2518"/>
    <w:rsid w:val="000C29D6"/>
    <w:rsid w:val="000C2A1D"/>
    <w:rsid w:val="000C37F8"/>
    <w:rsid w:val="000C46B8"/>
    <w:rsid w:val="000C493F"/>
    <w:rsid w:val="000C4A2F"/>
    <w:rsid w:val="000C4F62"/>
    <w:rsid w:val="000C5650"/>
    <w:rsid w:val="000C5699"/>
    <w:rsid w:val="000C630E"/>
    <w:rsid w:val="000C64BC"/>
    <w:rsid w:val="000C65E7"/>
    <w:rsid w:val="000C67E8"/>
    <w:rsid w:val="000C694E"/>
    <w:rsid w:val="000C6981"/>
    <w:rsid w:val="000C6BD8"/>
    <w:rsid w:val="000C70C0"/>
    <w:rsid w:val="000C7A55"/>
    <w:rsid w:val="000C7A5F"/>
    <w:rsid w:val="000D05D8"/>
    <w:rsid w:val="000D07D8"/>
    <w:rsid w:val="000D0FDD"/>
    <w:rsid w:val="000D1208"/>
    <w:rsid w:val="000D12A7"/>
    <w:rsid w:val="000D1862"/>
    <w:rsid w:val="000D1DFB"/>
    <w:rsid w:val="000D2BE8"/>
    <w:rsid w:val="000D2C7E"/>
    <w:rsid w:val="000D2CF8"/>
    <w:rsid w:val="000D303C"/>
    <w:rsid w:val="000D345C"/>
    <w:rsid w:val="000D3603"/>
    <w:rsid w:val="000D3678"/>
    <w:rsid w:val="000D3A19"/>
    <w:rsid w:val="000D3B5D"/>
    <w:rsid w:val="000D3E83"/>
    <w:rsid w:val="000D4012"/>
    <w:rsid w:val="000D4391"/>
    <w:rsid w:val="000D43A1"/>
    <w:rsid w:val="000D47AF"/>
    <w:rsid w:val="000D4877"/>
    <w:rsid w:val="000D4A2D"/>
    <w:rsid w:val="000D4A48"/>
    <w:rsid w:val="000D4A88"/>
    <w:rsid w:val="000D4C19"/>
    <w:rsid w:val="000D581B"/>
    <w:rsid w:val="000D5903"/>
    <w:rsid w:val="000D60D3"/>
    <w:rsid w:val="000D6649"/>
    <w:rsid w:val="000D67A5"/>
    <w:rsid w:val="000D67ED"/>
    <w:rsid w:val="000D691D"/>
    <w:rsid w:val="000D7315"/>
    <w:rsid w:val="000D7479"/>
    <w:rsid w:val="000D765B"/>
    <w:rsid w:val="000D7826"/>
    <w:rsid w:val="000D7C29"/>
    <w:rsid w:val="000E0BB7"/>
    <w:rsid w:val="000E0E6A"/>
    <w:rsid w:val="000E1607"/>
    <w:rsid w:val="000E1875"/>
    <w:rsid w:val="000E1B84"/>
    <w:rsid w:val="000E2218"/>
    <w:rsid w:val="000E25AF"/>
    <w:rsid w:val="000E2E11"/>
    <w:rsid w:val="000E32DA"/>
    <w:rsid w:val="000E3511"/>
    <w:rsid w:val="000E3DAE"/>
    <w:rsid w:val="000E40E4"/>
    <w:rsid w:val="000E43B4"/>
    <w:rsid w:val="000E4A0F"/>
    <w:rsid w:val="000E4F1E"/>
    <w:rsid w:val="000E51EB"/>
    <w:rsid w:val="000E5579"/>
    <w:rsid w:val="000E5865"/>
    <w:rsid w:val="000E5A27"/>
    <w:rsid w:val="000E5B2D"/>
    <w:rsid w:val="000E5E0F"/>
    <w:rsid w:val="000E5FEB"/>
    <w:rsid w:val="000E6598"/>
    <w:rsid w:val="000E6B08"/>
    <w:rsid w:val="000E6E22"/>
    <w:rsid w:val="000E6E57"/>
    <w:rsid w:val="000E7F77"/>
    <w:rsid w:val="000E7F8B"/>
    <w:rsid w:val="000F001A"/>
    <w:rsid w:val="000F0565"/>
    <w:rsid w:val="000F06CF"/>
    <w:rsid w:val="000F08D1"/>
    <w:rsid w:val="000F11CD"/>
    <w:rsid w:val="000F150B"/>
    <w:rsid w:val="000F1A0F"/>
    <w:rsid w:val="000F1E75"/>
    <w:rsid w:val="000F2338"/>
    <w:rsid w:val="000F23CD"/>
    <w:rsid w:val="000F23F9"/>
    <w:rsid w:val="000F2998"/>
    <w:rsid w:val="000F2A6B"/>
    <w:rsid w:val="000F2C42"/>
    <w:rsid w:val="000F3186"/>
    <w:rsid w:val="000F3B29"/>
    <w:rsid w:val="000F3F14"/>
    <w:rsid w:val="000F4675"/>
    <w:rsid w:val="000F4C99"/>
    <w:rsid w:val="000F4CBD"/>
    <w:rsid w:val="000F4D0E"/>
    <w:rsid w:val="000F5027"/>
    <w:rsid w:val="000F5ABA"/>
    <w:rsid w:val="000F6661"/>
    <w:rsid w:val="000F6B1B"/>
    <w:rsid w:val="000F6EAA"/>
    <w:rsid w:val="000F703D"/>
    <w:rsid w:val="000F74C3"/>
    <w:rsid w:val="000F7557"/>
    <w:rsid w:val="000F7B65"/>
    <w:rsid w:val="000F7CEF"/>
    <w:rsid w:val="000F7FDB"/>
    <w:rsid w:val="00100173"/>
    <w:rsid w:val="0010038D"/>
    <w:rsid w:val="001004E6"/>
    <w:rsid w:val="00100937"/>
    <w:rsid w:val="00100CD1"/>
    <w:rsid w:val="00101223"/>
    <w:rsid w:val="00101CAC"/>
    <w:rsid w:val="0010238B"/>
    <w:rsid w:val="00103B20"/>
    <w:rsid w:val="00103D93"/>
    <w:rsid w:val="00104D0F"/>
    <w:rsid w:val="00104E62"/>
    <w:rsid w:val="00104F73"/>
    <w:rsid w:val="00105153"/>
    <w:rsid w:val="0010534B"/>
    <w:rsid w:val="001064B5"/>
    <w:rsid w:val="0010655D"/>
    <w:rsid w:val="001069B3"/>
    <w:rsid w:val="00107444"/>
    <w:rsid w:val="001076F6"/>
    <w:rsid w:val="00107904"/>
    <w:rsid w:val="0010799E"/>
    <w:rsid w:val="0011013D"/>
    <w:rsid w:val="0011132D"/>
    <w:rsid w:val="00111981"/>
    <w:rsid w:val="00111BEF"/>
    <w:rsid w:val="00111CA6"/>
    <w:rsid w:val="00111F5F"/>
    <w:rsid w:val="00112323"/>
    <w:rsid w:val="001131E0"/>
    <w:rsid w:val="001142C5"/>
    <w:rsid w:val="00114637"/>
    <w:rsid w:val="0011487F"/>
    <w:rsid w:val="00114C25"/>
    <w:rsid w:val="00115463"/>
    <w:rsid w:val="00115A0F"/>
    <w:rsid w:val="00115DD2"/>
    <w:rsid w:val="00115E4A"/>
    <w:rsid w:val="00115F34"/>
    <w:rsid w:val="00115F5B"/>
    <w:rsid w:val="0011614D"/>
    <w:rsid w:val="00116B0D"/>
    <w:rsid w:val="00116B21"/>
    <w:rsid w:val="00116CE6"/>
    <w:rsid w:val="00116F1F"/>
    <w:rsid w:val="0011700C"/>
    <w:rsid w:val="00117595"/>
    <w:rsid w:val="00120221"/>
    <w:rsid w:val="001203A9"/>
    <w:rsid w:val="001209CC"/>
    <w:rsid w:val="00120B60"/>
    <w:rsid w:val="00120CF7"/>
    <w:rsid w:val="00121670"/>
    <w:rsid w:val="00121946"/>
    <w:rsid w:val="00122186"/>
    <w:rsid w:val="001225EA"/>
    <w:rsid w:val="00122842"/>
    <w:rsid w:val="00123114"/>
    <w:rsid w:val="00123506"/>
    <w:rsid w:val="001239C8"/>
    <w:rsid w:val="00123C38"/>
    <w:rsid w:val="0012515F"/>
    <w:rsid w:val="0012518D"/>
    <w:rsid w:val="00125252"/>
    <w:rsid w:val="00125356"/>
    <w:rsid w:val="001254F2"/>
    <w:rsid w:val="001254FD"/>
    <w:rsid w:val="00125732"/>
    <w:rsid w:val="00125855"/>
    <w:rsid w:val="00125EFF"/>
    <w:rsid w:val="001260C0"/>
    <w:rsid w:val="00126F4B"/>
    <w:rsid w:val="001271D5"/>
    <w:rsid w:val="00127D0C"/>
    <w:rsid w:val="001302B4"/>
    <w:rsid w:val="0013058A"/>
    <w:rsid w:val="001305A2"/>
    <w:rsid w:val="001309DA"/>
    <w:rsid w:val="00130C83"/>
    <w:rsid w:val="00130FFE"/>
    <w:rsid w:val="0013157C"/>
    <w:rsid w:val="00131590"/>
    <w:rsid w:val="00132047"/>
    <w:rsid w:val="00132764"/>
    <w:rsid w:val="0013291A"/>
    <w:rsid w:val="001330DA"/>
    <w:rsid w:val="0013316C"/>
    <w:rsid w:val="0013338E"/>
    <w:rsid w:val="00133D48"/>
    <w:rsid w:val="00134128"/>
    <w:rsid w:val="00134149"/>
    <w:rsid w:val="001341CA"/>
    <w:rsid w:val="00135F5B"/>
    <w:rsid w:val="001361BA"/>
    <w:rsid w:val="00136457"/>
    <w:rsid w:val="00136D35"/>
    <w:rsid w:val="00137827"/>
    <w:rsid w:val="00137B0E"/>
    <w:rsid w:val="00140F46"/>
    <w:rsid w:val="001413C9"/>
    <w:rsid w:val="00141F8A"/>
    <w:rsid w:val="00142324"/>
    <w:rsid w:val="00142562"/>
    <w:rsid w:val="0014285C"/>
    <w:rsid w:val="0014321C"/>
    <w:rsid w:val="001437D7"/>
    <w:rsid w:val="00143953"/>
    <w:rsid w:val="00143C02"/>
    <w:rsid w:val="00143E2A"/>
    <w:rsid w:val="001441B5"/>
    <w:rsid w:val="00144449"/>
    <w:rsid w:val="0014472D"/>
    <w:rsid w:val="00144D7C"/>
    <w:rsid w:val="00144E6C"/>
    <w:rsid w:val="001454C5"/>
    <w:rsid w:val="0014569D"/>
    <w:rsid w:val="00145988"/>
    <w:rsid w:val="00145A7C"/>
    <w:rsid w:val="00145AB5"/>
    <w:rsid w:val="00145B69"/>
    <w:rsid w:val="00145BA3"/>
    <w:rsid w:val="00146360"/>
    <w:rsid w:val="0014757A"/>
    <w:rsid w:val="00147581"/>
    <w:rsid w:val="001476AF"/>
    <w:rsid w:val="00147D36"/>
    <w:rsid w:val="00147F2E"/>
    <w:rsid w:val="001500FD"/>
    <w:rsid w:val="001505C6"/>
    <w:rsid w:val="00150F0F"/>
    <w:rsid w:val="001512FF"/>
    <w:rsid w:val="001514A7"/>
    <w:rsid w:val="0015158B"/>
    <w:rsid w:val="0015199D"/>
    <w:rsid w:val="00151BAA"/>
    <w:rsid w:val="00152000"/>
    <w:rsid w:val="0015242F"/>
    <w:rsid w:val="0015299E"/>
    <w:rsid w:val="00152A1B"/>
    <w:rsid w:val="00152E50"/>
    <w:rsid w:val="00152FC3"/>
    <w:rsid w:val="0015312E"/>
    <w:rsid w:val="001531CF"/>
    <w:rsid w:val="00153644"/>
    <w:rsid w:val="0015377F"/>
    <w:rsid w:val="00153B96"/>
    <w:rsid w:val="001546DF"/>
    <w:rsid w:val="00154770"/>
    <w:rsid w:val="001550EE"/>
    <w:rsid w:val="00155BE2"/>
    <w:rsid w:val="0015619D"/>
    <w:rsid w:val="001561BD"/>
    <w:rsid w:val="00156302"/>
    <w:rsid w:val="00156326"/>
    <w:rsid w:val="0015641C"/>
    <w:rsid w:val="0015692C"/>
    <w:rsid w:val="00157670"/>
    <w:rsid w:val="0015789E"/>
    <w:rsid w:val="00157AF5"/>
    <w:rsid w:val="00160016"/>
    <w:rsid w:val="00160158"/>
    <w:rsid w:val="001606DC"/>
    <w:rsid w:val="00160912"/>
    <w:rsid w:val="0016172A"/>
    <w:rsid w:val="00161B21"/>
    <w:rsid w:val="00161BC4"/>
    <w:rsid w:val="00162141"/>
    <w:rsid w:val="00162711"/>
    <w:rsid w:val="00162BF8"/>
    <w:rsid w:val="00162D9B"/>
    <w:rsid w:val="00162E63"/>
    <w:rsid w:val="00162F5A"/>
    <w:rsid w:val="00163570"/>
    <w:rsid w:val="00163832"/>
    <w:rsid w:val="00163933"/>
    <w:rsid w:val="00163E0D"/>
    <w:rsid w:val="001646BB"/>
    <w:rsid w:val="0016493D"/>
    <w:rsid w:val="00164C29"/>
    <w:rsid w:val="00164C92"/>
    <w:rsid w:val="00164ED8"/>
    <w:rsid w:val="001654B9"/>
    <w:rsid w:val="001654C9"/>
    <w:rsid w:val="001658D2"/>
    <w:rsid w:val="00165E38"/>
    <w:rsid w:val="00166022"/>
    <w:rsid w:val="0016647A"/>
    <w:rsid w:val="001664CF"/>
    <w:rsid w:val="00166B8C"/>
    <w:rsid w:val="0016717D"/>
    <w:rsid w:val="00167507"/>
    <w:rsid w:val="0016787F"/>
    <w:rsid w:val="001700F8"/>
    <w:rsid w:val="00170518"/>
    <w:rsid w:val="0017056B"/>
    <w:rsid w:val="001708BA"/>
    <w:rsid w:val="00170B8D"/>
    <w:rsid w:val="00170D6C"/>
    <w:rsid w:val="00170E9D"/>
    <w:rsid w:val="00170F3F"/>
    <w:rsid w:val="00171139"/>
    <w:rsid w:val="00171D9B"/>
    <w:rsid w:val="001723D0"/>
    <w:rsid w:val="00172972"/>
    <w:rsid w:val="0017358D"/>
    <w:rsid w:val="00174496"/>
    <w:rsid w:val="00174AB7"/>
    <w:rsid w:val="00175408"/>
    <w:rsid w:val="00175B11"/>
    <w:rsid w:val="00176058"/>
    <w:rsid w:val="001763D2"/>
    <w:rsid w:val="001764B5"/>
    <w:rsid w:val="001768DD"/>
    <w:rsid w:val="00176F2A"/>
    <w:rsid w:val="001776AA"/>
    <w:rsid w:val="00177E6B"/>
    <w:rsid w:val="00177FBC"/>
    <w:rsid w:val="00180185"/>
    <w:rsid w:val="001802B2"/>
    <w:rsid w:val="0018041A"/>
    <w:rsid w:val="00180425"/>
    <w:rsid w:val="0018058C"/>
    <w:rsid w:val="00180812"/>
    <w:rsid w:val="00180880"/>
    <w:rsid w:val="001808CB"/>
    <w:rsid w:val="001824C8"/>
    <w:rsid w:val="001828E6"/>
    <w:rsid w:val="00182C96"/>
    <w:rsid w:val="00182CB9"/>
    <w:rsid w:val="00182CC6"/>
    <w:rsid w:val="00182DD8"/>
    <w:rsid w:val="00182EC2"/>
    <w:rsid w:val="00182F95"/>
    <w:rsid w:val="00183CC2"/>
    <w:rsid w:val="00184080"/>
    <w:rsid w:val="00184B07"/>
    <w:rsid w:val="0018512F"/>
    <w:rsid w:val="001852DB"/>
    <w:rsid w:val="00185420"/>
    <w:rsid w:val="001854BB"/>
    <w:rsid w:val="001854FE"/>
    <w:rsid w:val="001860B5"/>
    <w:rsid w:val="001862AA"/>
    <w:rsid w:val="00186597"/>
    <w:rsid w:val="001866DF"/>
    <w:rsid w:val="001866F9"/>
    <w:rsid w:val="001868AA"/>
    <w:rsid w:val="00186EF9"/>
    <w:rsid w:val="00186F45"/>
    <w:rsid w:val="001870CA"/>
    <w:rsid w:val="00187D5E"/>
    <w:rsid w:val="00187F38"/>
    <w:rsid w:val="0019035A"/>
    <w:rsid w:val="00190365"/>
    <w:rsid w:val="001906CD"/>
    <w:rsid w:val="001908D0"/>
    <w:rsid w:val="00190C1B"/>
    <w:rsid w:val="00190E09"/>
    <w:rsid w:val="00191298"/>
    <w:rsid w:val="001913F4"/>
    <w:rsid w:val="0019140C"/>
    <w:rsid w:val="00191556"/>
    <w:rsid w:val="001916D4"/>
    <w:rsid w:val="00191896"/>
    <w:rsid w:val="00191B8D"/>
    <w:rsid w:val="001922B0"/>
    <w:rsid w:val="00192656"/>
    <w:rsid w:val="001927C3"/>
    <w:rsid w:val="001934C4"/>
    <w:rsid w:val="0019359E"/>
    <w:rsid w:val="00193843"/>
    <w:rsid w:val="00193B77"/>
    <w:rsid w:val="001940F5"/>
    <w:rsid w:val="00194563"/>
    <w:rsid w:val="0019478F"/>
    <w:rsid w:val="001952E0"/>
    <w:rsid w:val="0019572B"/>
    <w:rsid w:val="00195884"/>
    <w:rsid w:val="001959D2"/>
    <w:rsid w:val="001961C4"/>
    <w:rsid w:val="001966B1"/>
    <w:rsid w:val="0019711F"/>
    <w:rsid w:val="001971B2"/>
    <w:rsid w:val="00197214"/>
    <w:rsid w:val="00197369"/>
    <w:rsid w:val="001974E6"/>
    <w:rsid w:val="00197793"/>
    <w:rsid w:val="00197A9F"/>
    <w:rsid w:val="00197F51"/>
    <w:rsid w:val="001A019B"/>
    <w:rsid w:val="001A050E"/>
    <w:rsid w:val="001A0ADA"/>
    <w:rsid w:val="001A0E8B"/>
    <w:rsid w:val="001A11BE"/>
    <w:rsid w:val="001A1637"/>
    <w:rsid w:val="001A16DD"/>
    <w:rsid w:val="001A19E4"/>
    <w:rsid w:val="001A1CEC"/>
    <w:rsid w:val="001A222B"/>
    <w:rsid w:val="001A245B"/>
    <w:rsid w:val="001A2EC1"/>
    <w:rsid w:val="001A3078"/>
    <w:rsid w:val="001A3085"/>
    <w:rsid w:val="001A30CD"/>
    <w:rsid w:val="001A3453"/>
    <w:rsid w:val="001A3615"/>
    <w:rsid w:val="001A3975"/>
    <w:rsid w:val="001A4BB7"/>
    <w:rsid w:val="001A4EA8"/>
    <w:rsid w:val="001A4FEC"/>
    <w:rsid w:val="001A5080"/>
    <w:rsid w:val="001A5332"/>
    <w:rsid w:val="001A56ED"/>
    <w:rsid w:val="001A5A33"/>
    <w:rsid w:val="001A5B03"/>
    <w:rsid w:val="001A5C9B"/>
    <w:rsid w:val="001A5CCE"/>
    <w:rsid w:val="001A5ED8"/>
    <w:rsid w:val="001A6026"/>
    <w:rsid w:val="001A68F2"/>
    <w:rsid w:val="001A6A74"/>
    <w:rsid w:val="001A6C63"/>
    <w:rsid w:val="001A743D"/>
    <w:rsid w:val="001A7A88"/>
    <w:rsid w:val="001B070B"/>
    <w:rsid w:val="001B0F57"/>
    <w:rsid w:val="001B17DD"/>
    <w:rsid w:val="001B2044"/>
    <w:rsid w:val="001B2437"/>
    <w:rsid w:val="001B2903"/>
    <w:rsid w:val="001B2CC5"/>
    <w:rsid w:val="001B331F"/>
    <w:rsid w:val="001B33BF"/>
    <w:rsid w:val="001B341D"/>
    <w:rsid w:val="001B3BB6"/>
    <w:rsid w:val="001B3D6F"/>
    <w:rsid w:val="001B3EF5"/>
    <w:rsid w:val="001B457D"/>
    <w:rsid w:val="001B4FA4"/>
    <w:rsid w:val="001B5046"/>
    <w:rsid w:val="001B5337"/>
    <w:rsid w:val="001B5965"/>
    <w:rsid w:val="001B5CE7"/>
    <w:rsid w:val="001B5E61"/>
    <w:rsid w:val="001B60B9"/>
    <w:rsid w:val="001B60EB"/>
    <w:rsid w:val="001B61FF"/>
    <w:rsid w:val="001B7F97"/>
    <w:rsid w:val="001C0063"/>
    <w:rsid w:val="001C010C"/>
    <w:rsid w:val="001C01BB"/>
    <w:rsid w:val="001C07E7"/>
    <w:rsid w:val="001C0985"/>
    <w:rsid w:val="001C0B11"/>
    <w:rsid w:val="001C0F97"/>
    <w:rsid w:val="001C1620"/>
    <w:rsid w:val="001C1655"/>
    <w:rsid w:val="001C1904"/>
    <w:rsid w:val="001C1E34"/>
    <w:rsid w:val="001C1EC5"/>
    <w:rsid w:val="001C22ED"/>
    <w:rsid w:val="001C26A3"/>
    <w:rsid w:val="001C2CAE"/>
    <w:rsid w:val="001C2EEB"/>
    <w:rsid w:val="001C3016"/>
    <w:rsid w:val="001C33AF"/>
    <w:rsid w:val="001C33D3"/>
    <w:rsid w:val="001C37DA"/>
    <w:rsid w:val="001C393E"/>
    <w:rsid w:val="001C3EB4"/>
    <w:rsid w:val="001C40A3"/>
    <w:rsid w:val="001C43A9"/>
    <w:rsid w:val="001C4891"/>
    <w:rsid w:val="001C4AD5"/>
    <w:rsid w:val="001C4BA8"/>
    <w:rsid w:val="001C4DAD"/>
    <w:rsid w:val="001C4FD5"/>
    <w:rsid w:val="001C5373"/>
    <w:rsid w:val="001C59AB"/>
    <w:rsid w:val="001C627D"/>
    <w:rsid w:val="001C64D0"/>
    <w:rsid w:val="001C6609"/>
    <w:rsid w:val="001C6BEE"/>
    <w:rsid w:val="001C7076"/>
    <w:rsid w:val="001C76A3"/>
    <w:rsid w:val="001C7AC6"/>
    <w:rsid w:val="001C7CA5"/>
    <w:rsid w:val="001C7FC3"/>
    <w:rsid w:val="001C7FEF"/>
    <w:rsid w:val="001D0163"/>
    <w:rsid w:val="001D0171"/>
    <w:rsid w:val="001D0546"/>
    <w:rsid w:val="001D0A55"/>
    <w:rsid w:val="001D1199"/>
    <w:rsid w:val="001D1A2B"/>
    <w:rsid w:val="001D1BA7"/>
    <w:rsid w:val="001D1C18"/>
    <w:rsid w:val="001D1F98"/>
    <w:rsid w:val="001D24AB"/>
    <w:rsid w:val="001D2742"/>
    <w:rsid w:val="001D2C05"/>
    <w:rsid w:val="001D2E93"/>
    <w:rsid w:val="001D2F65"/>
    <w:rsid w:val="001D300F"/>
    <w:rsid w:val="001D3298"/>
    <w:rsid w:val="001D38B6"/>
    <w:rsid w:val="001D3A31"/>
    <w:rsid w:val="001D3B29"/>
    <w:rsid w:val="001D44EA"/>
    <w:rsid w:val="001D48B0"/>
    <w:rsid w:val="001D4E1A"/>
    <w:rsid w:val="001D5866"/>
    <w:rsid w:val="001D5F20"/>
    <w:rsid w:val="001D60BF"/>
    <w:rsid w:val="001D6934"/>
    <w:rsid w:val="001D6B5E"/>
    <w:rsid w:val="001D6B7B"/>
    <w:rsid w:val="001D6BDB"/>
    <w:rsid w:val="001D70BB"/>
    <w:rsid w:val="001D70DA"/>
    <w:rsid w:val="001D7451"/>
    <w:rsid w:val="001D749C"/>
    <w:rsid w:val="001D7786"/>
    <w:rsid w:val="001D790A"/>
    <w:rsid w:val="001D7CAC"/>
    <w:rsid w:val="001E012F"/>
    <w:rsid w:val="001E01E4"/>
    <w:rsid w:val="001E06F3"/>
    <w:rsid w:val="001E0AA5"/>
    <w:rsid w:val="001E0AB1"/>
    <w:rsid w:val="001E0AE6"/>
    <w:rsid w:val="001E0FE3"/>
    <w:rsid w:val="001E11B0"/>
    <w:rsid w:val="001E1595"/>
    <w:rsid w:val="001E18B3"/>
    <w:rsid w:val="001E19F7"/>
    <w:rsid w:val="001E1D45"/>
    <w:rsid w:val="001E2689"/>
    <w:rsid w:val="001E29F6"/>
    <w:rsid w:val="001E350E"/>
    <w:rsid w:val="001E36C3"/>
    <w:rsid w:val="001E3787"/>
    <w:rsid w:val="001E3DC0"/>
    <w:rsid w:val="001E3FF7"/>
    <w:rsid w:val="001E4780"/>
    <w:rsid w:val="001E47AA"/>
    <w:rsid w:val="001E47D3"/>
    <w:rsid w:val="001E4CE5"/>
    <w:rsid w:val="001E4FE3"/>
    <w:rsid w:val="001E5AAE"/>
    <w:rsid w:val="001E5CE7"/>
    <w:rsid w:val="001E5FBE"/>
    <w:rsid w:val="001E61E9"/>
    <w:rsid w:val="001E636F"/>
    <w:rsid w:val="001E63BF"/>
    <w:rsid w:val="001E65CB"/>
    <w:rsid w:val="001E6C7D"/>
    <w:rsid w:val="001E6F9E"/>
    <w:rsid w:val="001E7339"/>
    <w:rsid w:val="001E7F45"/>
    <w:rsid w:val="001F009F"/>
    <w:rsid w:val="001F015F"/>
    <w:rsid w:val="001F0659"/>
    <w:rsid w:val="001F073F"/>
    <w:rsid w:val="001F0889"/>
    <w:rsid w:val="001F0A3D"/>
    <w:rsid w:val="001F0C07"/>
    <w:rsid w:val="001F0DE3"/>
    <w:rsid w:val="001F1855"/>
    <w:rsid w:val="001F1D38"/>
    <w:rsid w:val="001F2748"/>
    <w:rsid w:val="001F29AD"/>
    <w:rsid w:val="001F2D85"/>
    <w:rsid w:val="001F2FC3"/>
    <w:rsid w:val="001F3044"/>
    <w:rsid w:val="001F319E"/>
    <w:rsid w:val="001F33B3"/>
    <w:rsid w:val="001F3699"/>
    <w:rsid w:val="001F38C7"/>
    <w:rsid w:val="001F39DF"/>
    <w:rsid w:val="001F40C1"/>
    <w:rsid w:val="001F44A3"/>
    <w:rsid w:val="001F44EC"/>
    <w:rsid w:val="001F474A"/>
    <w:rsid w:val="001F4A5B"/>
    <w:rsid w:val="001F5441"/>
    <w:rsid w:val="001F5AB2"/>
    <w:rsid w:val="001F5DA2"/>
    <w:rsid w:val="001F5DE3"/>
    <w:rsid w:val="001F5E87"/>
    <w:rsid w:val="001F650E"/>
    <w:rsid w:val="001F683F"/>
    <w:rsid w:val="001F6912"/>
    <w:rsid w:val="001F6967"/>
    <w:rsid w:val="001F6EA1"/>
    <w:rsid w:val="001F6FC7"/>
    <w:rsid w:val="001F72FF"/>
    <w:rsid w:val="001F776A"/>
    <w:rsid w:val="001F7C1D"/>
    <w:rsid w:val="00200469"/>
    <w:rsid w:val="00200CBE"/>
    <w:rsid w:val="0020138B"/>
    <w:rsid w:val="002013C3"/>
    <w:rsid w:val="0020143E"/>
    <w:rsid w:val="00201BD3"/>
    <w:rsid w:val="00202602"/>
    <w:rsid w:val="00202694"/>
    <w:rsid w:val="00202779"/>
    <w:rsid w:val="0020283C"/>
    <w:rsid w:val="00202950"/>
    <w:rsid w:val="00202C71"/>
    <w:rsid w:val="00202CAB"/>
    <w:rsid w:val="00202E0F"/>
    <w:rsid w:val="00202E97"/>
    <w:rsid w:val="0020328C"/>
    <w:rsid w:val="00203DD7"/>
    <w:rsid w:val="0020406D"/>
    <w:rsid w:val="00204321"/>
    <w:rsid w:val="0020460F"/>
    <w:rsid w:val="00204B4A"/>
    <w:rsid w:val="00204DD7"/>
    <w:rsid w:val="0020514C"/>
    <w:rsid w:val="00205804"/>
    <w:rsid w:val="0020592A"/>
    <w:rsid w:val="00205A77"/>
    <w:rsid w:val="00205B4E"/>
    <w:rsid w:val="00205D34"/>
    <w:rsid w:val="002067DE"/>
    <w:rsid w:val="002067E4"/>
    <w:rsid w:val="00206867"/>
    <w:rsid w:val="00206EEF"/>
    <w:rsid w:val="00207188"/>
    <w:rsid w:val="0020768B"/>
    <w:rsid w:val="0020788F"/>
    <w:rsid w:val="00207A7A"/>
    <w:rsid w:val="00207F1E"/>
    <w:rsid w:val="002109B6"/>
    <w:rsid w:val="00211160"/>
    <w:rsid w:val="002112BA"/>
    <w:rsid w:val="00211F68"/>
    <w:rsid w:val="0021242D"/>
    <w:rsid w:val="0021276D"/>
    <w:rsid w:val="00213E52"/>
    <w:rsid w:val="00214180"/>
    <w:rsid w:val="00214336"/>
    <w:rsid w:val="002147D9"/>
    <w:rsid w:val="00214D41"/>
    <w:rsid w:val="00214ED1"/>
    <w:rsid w:val="002153B9"/>
    <w:rsid w:val="002155A7"/>
    <w:rsid w:val="002158CD"/>
    <w:rsid w:val="00215910"/>
    <w:rsid w:val="00215CCB"/>
    <w:rsid w:val="002162FB"/>
    <w:rsid w:val="0021654F"/>
    <w:rsid w:val="002168B7"/>
    <w:rsid w:val="00216F50"/>
    <w:rsid w:val="002170CB"/>
    <w:rsid w:val="002170FC"/>
    <w:rsid w:val="002173FD"/>
    <w:rsid w:val="002176E0"/>
    <w:rsid w:val="0022016C"/>
    <w:rsid w:val="002208D3"/>
    <w:rsid w:val="00220D35"/>
    <w:rsid w:val="002210BC"/>
    <w:rsid w:val="002211FA"/>
    <w:rsid w:val="0022186D"/>
    <w:rsid w:val="00221E74"/>
    <w:rsid w:val="00222629"/>
    <w:rsid w:val="00222790"/>
    <w:rsid w:val="0022299F"/>
    <w:rsid w:val="002229DD"/>
    <w:rsid w:val="00222BFE"/>
    <w:rsid w:val="0022334D"/>
    <w:rsid w:val="0022387F"/>
    <w:rsid w:val="00223BB0"/>
    <w:rsid w:val="00223BCA"/>
    <w:rsid w:val="00223F47"/>
    <w:rsid w:val="00224212"/>
    <w:rsid w:val="00224D0B"/>
    <w:rsid w:val="00224DB3"/>
    <w:rsid w:val="002254A3"/>
    <w:rsid w:val="00225BD1"/>
    <w:rsid w:val="002265C1"/>
    <w:rsid w:val="00226CBD"/>
    <w:rsid w:val="00227300"/>
    <w:rsid w:val="00227307"/>
    <w:rsid w:val="00227857"/>
    <w:rsid w:val="00230652"/>
    <w:rsid w:val="002309BB"/>
    <w:rsid w:val="00230C99"/>
    <w:rsid w:val="00230FBF"/>
    <w:rsid w:val="002314B3"/>
    <w:rsid w:val="00231BAB"/>
    <w:rsid w:val="002324FA"/>
    <w:rsid w:val="00232708"/>
    <w:rsid w:val="00232772"/>
    <w:rsid w:val="002327EA"/>
    <w:rsid w:val="002329A1"/>
    <w:rsid w:val="00232C47"/>
    <w:rsid w:val="00232DCE"/>
    <w:rsid w:val="00232DF0"/>
    <w:rsid w:val="00233316"/>
    <w:rsid w:val="00233462"/>
    <w:rsid w:val="00233CD4"/>
    <w:rsid w:val="00233D07"/>
    <w:rsid w:val="00233D8F"/>
    <w:rsid w:val="0023417E"/>
    <w:rsid w:val="0023441D"/>
    <w:rsid w:val="00234511"/>
    <w:rsid w:val="002349C6"/>
    <w:rsid w:val="00234A01"/>
    <w:rsid w:val="00234E10"/>
    <w:rsid w:val="00234EED"/>
    <w:rsid w:val="0023574E"/>
    <w:rsid w:val="0023595D"/>
    <w:rsid w:val="00235B8E"/>
    <w:rsid w:val="00235F91"/>
    <w:rsid w:val="00236340"/>
    <w:rsid w:val="002363F1"/>
    <w:rsid w:val="00236A0A"/>
    <w:rsid w:val="00236C0F"/>
    <w:rsid w:val="00236C65"/>
    <w:rsid w:val="0023716C"/>
    <w:rsid w:val="0023734D"/>
    <w:rsid w:val="0023754F"/>
    <w:rsid w:val="0023765F"/>
    <w:rsid w:val="00237768"/>
    <w:rsid w:val="00237922"/>
    <w:rsid w:val="00240015"/>
    <w:rsid w:val="0024079B"/>
    <w:rsid w:val="0024085D"/>
    <w:rsid w:val="00240DCA"/>
    <w:rsid w:val="00240E14"/>
    <w:rsid w:val="00241C1B"/>
    <w:rsid w:val="00241F97"/>
    <w:rsid w:val="002424F4"/>
    <w:rsid w:val="002426DC"/>
    <w:rsid w:val="00242AA4"/>
    <w:rsid w:val="00243015"/>
    <w:rsid w:val="00243A7E"/>
    <w:rsid w:val="00243F05"/>
    <w:rsid w:val="00244753"/>
    <w:rsid w:val="002449AC"/>
    <w:rsid w:val="00244D02"/>
    <w:rsid w:val="00245118"/>
    <w:rsid w:val="00245768"/>
    <w:rsid w:val="00245B3D"/>
    <w:rsid w:val="00245B8B"/>
    <w:rsid w:val="00245BD4"/>
    <w:rsid w:val="00245CA7"/>
    <w:rsid w:val="00245DB8"/>
    <w:rsid w:val="00245FE3"/>
    <w:rsid w:val="00246373"/>
    <w:rsid w:val="00246ABD"/>
    <w:rsid w:val="00246E06"/>
    <w:rsid w:val="00247166"/>
    <w:rsid w:val="00247580"/>
    <w:rsid w:val="00247589"/>
    <w:rsid w:val="00250169"/>
    <w:rsid w:val="00250AE2"/>
    <w:rsid w:val="00250C11"/>
    <w:rsid w:val="002510FD"/>
    <w:rsid w:val="00251E49"/>
    <w:rsid w:val="00251F4F"/>
    <w:rsid w:val="00252117"/>
    <w:rsid w:val="00252440"/>
    <w:rsid w:val="00252714"/>
    <w:rsid w:val="00252E32"/>
    <w:rsid w:val="002533E5"/>
    <w:rsid w:val="00253B3E"/>
    <w:rsid w:val="00253C16"/>
    <w:rsid w:val="00253F9B"/>
    <w:rsid w:val="00254324"/>
    <w:rsid w:val="002545FB"/>
    <w:rsid w:val="00254766"/>
    <w:rsid w:val="00254B32"/>
    <w:rsid w:val="00255298"/>
    <w:rsid w:val="00255910"/>
    <w:rsid w:val="00255A70"/>
    <w:rsid w:val="002566DB"/>
    <w:rsid w:val="00256DA9"/>
    <w:rsid w:val="00257079"/>
    <w:rsid w:val="0026079E"/>
    <w:rsid w:val="00260857"/>
    <w:rsid w:val="00260885"/>
    <w:rsid w:val="00260FCC"/>
    <w:rsid w:val="00261802"/>
    <w:rsid w:val="00261B4B"/>
    <w:rsid w:val="00261F6B"/>
    <w:rsid w:val="002623E7"/>
    <w:rsid w:val="002625AF"/>
    <w:rsid w:val="00262633"/>
    <w:rsid w:val="00262A6D"/>
    <w:rsid w:val="00262E8A"/>
    <w:rsid w:val="002632FB"/>
    <w:rsid w:val="00263492"/>
    <w:rsid w:val="00263D23"/>
    <w:rsid w:val="00263E1C"/>
    <w:rsid w:val="0026432C"/>
    <w:rsid w:val="00264E73"/>
    <w:rsid w:val="00265A9F"/>
    <w:rsid w:val="00265AE8"/>
    <w:rsid w:val="00265BDD"/>
    <w:rsid w:val="00265C4C"/>
    <w:rsid w:val="002661C4"/>
    <w:rsid w:val="002666BE"/>
    <w:rsid w:val="00266A37"/>
    <w:rsid w:val="00267C21"/>
    <w:rsid w:val="00267E71"/>
    <w:rsid w:val="00267F79"/>
    <w:rsid w:val="00270112"/>
    <w:rsid w:val="00271B32"/>
    <w:rsid w:val="00271E20"/>
    <w:rsid w:val="00271F81"/>
    <w:rsid w:val="002721A2"/>
    <w:rsid w:val="002721A8"/>
    <w:rsid w:val="002723E9"/>
    <w:rsid w:val="00272590"/>
    <w:rsid w:val="002727AB"/>
    <w:rsid w:val="002727BB"/>
    <w:rsid w:val="00272D6C"/>
    <w:rsid w:val="00272DF0"/>
    <w:rsid w:val="00272FC3"/>
    <w:rsid w:val="002732B9"/>
    <w:rsid w:val="0027388F"/>
    <w:rsid w:val="00273C5E"/>
    <w:rsid w:val="00273F65"/>
    <w:rsid w:val="002741BE"/>
    <w:rsid w:val="002757DF"/>
    <w:rsid w:val="00275CC5"/>
    <w:rsid w:val="0027611A"/>
    <w:rsid w:val="00276A9F"/>
    <w:rsid w:val="00276C32"/>
    <w:rsid w:val="00276C98"/>
    <w:rsid w:val="00277986"/>
    <w:rsid w:val="00277BA1"/>
    <w:rsid w:val="002803F6"/>
    <w:rsid w:val="00280686"/>
    <w:rsid w:val="00280C8B"/>
    <w:rsid w:val="00280DED"/>
    <w:rsid w:val="00280F13"/>
    <w:rsid w:val="002814DC"/>
    <w:rsid w:val="00281FD5"/>
    <w:rsid w:val="002823D6"/>
    <w:rsid w:val="0028297A"/>
    <w:rsid w:val="0028298F"/>
    <w:rsid w:val="00282F51"/>
    <w:rsid w:val="002830CF"/>
    <w:rsid w:val="002833A8"/>
    <w:rsid w:val="00283BA0"/>
    <w:rsid w:val="002841FE"/>
    <w:rsid w:val="0028463F"/>
    <w:rsid w:val="002847B6"/>
    <w:rsid w:val="002847CA"/>
    <w:rsid w:val="00284B5A"/>
    <w:rsid w:val="00284D1A"/>
    <w:rsid w:val="002851AD"/>
    <w:rsid w:val="002851F9"/>
    <w:rsid w:val="00286331"/>
    <w:rsid w:val="002869FB"/>
    <w:rsid w:val="00286E86"/>
    <w:rsid w:val="00287493"/>
    <w:rsid w:val="002879B7"/>
    <w:rsid w:val="002879C1"/>
    <w:rsid w:val="00287AD2"/>
    <w:rsid w:val="002900AD"/>
    <w:rsid w:val="00290197"/>
    <w:rsid w:val="00290324"/>
    <w:rsid w:val="00290881"/>
    <w:rsid w:val="00290AFC"/>
    <w:rsid w:val="00290F1E"/>
    <w:rsid w:val="002917BC"/>
    <w:rsid w:val="00291CD3"/>
    <w:rsid w:val="0029210D"/>
    <w:rsid w:val="002928EA"/>
    <w:rsid w:val="00292C66"/>
    <w:rsid w:val="00292FA6"/>
    <w:rsid w:val="002935A8"/>
    <w:rsid w:val="00293764"/>
    <w:rsid w:val="00294114"/>
    <w:rsid w:val="0029411A"/>
    <w:rsid w:val="00294363"/>
    <w:rsid w:val="002948C9"/>
    <w:rsid w:val="002952A3"/>
    <w:rsid w:val="00295868"/>
    <w:rsid w:val="00295B20"/>
    <w:rsid w:val="00295C86"/>
    <w:rsid w:val="0029633C"/>
    <w:rsid w:val="0029684B"/>
    <w:rsid w:val="002970A8"/>
    <w:rsid w:val="002972D5"/>
    <w:rsid w:val="0029756A"/>
    <w:rsid w:val="00297F77"/>
    <w:rsid w:val="002A014A"/>
    <w:rsid w:val="002A0462"/>
    <w:rsid w:val="002A048C"/>
    <w:rsid w:val="002A05FB"/>
    <w:rsid w:val="002A08FD"/>
    <w:rsid w:val="002A0EE5"/>
    <w:rsid w:val="002A1439"/>
    <w:rsid w:val="002A14F1"/>
    <w:rsid w:val="002A19B1"/>
    <w:rsid w:val="002A1D7B"/>
    <w:rsid w:val="002A218D"/>
    <w:rsid w:val="002A2530"/>
    <w:rsid w:val="002A28B1"/>
    <w:rsid w:val="002A30DD"/>
    <w:rsid w:val="002A3263"/>
    <w:rsid w:val="002A3414"/>
    <w:rsid w:val="002A347E"/>
    <w:rsid w:val="002A3698"/>
    <w:rsid w:val="002A4182"/>
    <w:rsid w:val="002A483A"/>
    <w:rsid w:val="002A4878"/>
    <w:rsid w:val="002A4913"/>
    <w:rsid w:val="002A4B3D"/>
    <w:rsid w:val="002A4C6F"/>
    <w:rsid w:val="002A5381"/>
    <w:rsid w:val="002A541A"/>
    <w:rsid w:val="002A5953"/>
    <w:rsid w:val="002A5C16"/>
    <w:rsid w:val="002A6604"/>
    <w:rsid w:val="002A69F6"/>
    <w:rsid w:val="002A73E4"/>
    <w:rsid w:val="002A749A"/>
    <w:rsid w:val="002A7829"/>
    <w:rsid w:val="002A783C"/>
    <w:rsid w:val="002A7EB7"/>
    <w:rsid w:val="002A7F91"/>
    <w:rsid w:val="002B0607"/>
    <w:rsid w:val="002B0713"/>
    <w:rsid w:val="002B0990"/>
    <w:rsid w:val="002B1017"/>
    <w:rsid w:val="002B1BA6"/>
    <w:rsid w:val="002B21F3"/>
    <w:rsid w:val="002B22CE"/>
    <w:rsid w:val="002B2626"/>
    <w:rsid w:val="002B27AD"/>
    <w:rsid w:val="002B35EC"/>
    <w:rsid w:val="002B3639"/>
    <w:rsid w:val="002B3686"/>
    <w:rsid w:val="002B3D7B"/>
    <w:rsid w:val="002B42B4"/>
    <w:rsid w:val="002B4755"/>
    <w:rsid w:val="002B48F7"/>
    <w:rsid w:val="002B4922"/>
    <w:rsid w:val="002B4BBE"/>
    <w:rsid w:val="002B4C07"/>
    <w:rsid w:val="002B525D"/>
    <w:rsid w:val="002B5316"/>
    <w:rsid w:val="002B6008"/>
    <w:rsid w:val="002B607F"/>
    <w:rsid w:val="002B6182"/>
    <w:rsid w:val="002B6597"/>
    <w:rsid w:val="002B6F65"/>
    <w:rsid w:val="002C0356"/>
    <w:rsid w:val="002C0405"/>
    <w:rsid w:val="002C0AB4"/>
    <w:rsid w:val="002C0CBC"/>
    <w:rsid w:val="002C1BFC"/>
    <w:rsid w:val="002C1EB5"/>
    <w:rsid w:val="002C2266"/>
    <w:rsid w:val="002C2431"/>
    <w:rsid w:val="002C26FC"/>
    <w:rsid w:val="002C28AF"/>
    <w:rsid w:val="002C2F25"/>
    <w:rsid w:val="002C30A7"/>
    <w:rsid w:val="002C32CF"/>
    <w:rsid w:val="002C32FF"/>
    <w:rsid w:val="002C34DA"/>
    <w:rsid w:val="002C3E45"/>
    <w:rsid w:val="002C48D0"/>
    <w:rsid w:val="002C4DD2"/>
    <w:rsid w:val="002C505F"/>
    <w:rsid w:val="002C5516"/>
    <w:rsid w:val="002C55A2"/>
    <w:rsid w:val="002C5CD2"/>
    <w:rsid w:val="002C65E9"/>
    <w:rsid w:val="002C667B"/>
    <w:rsid w:val="002C6BB1"/>
    <w:rsid w:val="002C6DBE"/>
    <w:rsid w:val="002C73D5"/>
    <w:rsid w:val="002C7E6A"/>
    <w:rsid w:val="002D07CA"/>
    <w:rsid w:val="002D088D"/>
    <w:rsid w:val="002D0D32"/>
    <w:rsid w:val="002D133F"/>
    <w:rsid w:val="002D17EB"/>
    <w:rsid w:val="002D1D80"/>
    <w:rsid w:val="002D2646"/>
    <w:rsid w:val="002D275B"/>
    <w:rsid w:val="002D2CE0"/>
    <w:rsid w:val="002D2D12"/>
    <w:rsid w:val="002D2D3E"/>
    <w:rsid w:val="002D3673"/>
    <w:rsid w:val="002D379C"/>
    <w:rsid w:val="002D389F"/>
    <w:rsid w:val="002D3B10"/>
    <w:rsid w:val="002D3BD9"/>
    <w:rsid w:val="002D3F44"/>
    <w:rsid w:val="002D4076"/>
    <w:rsid w:val="002D4107"/>
    <w:rsid w:val="002D4597"/>
    <w:rsid w:val="002D474B"/>
    <w:rsid w:val="002D48EA"/>
    <w:rsid w:val="002D4B9F"/>
    <w:rsid w:val="002D512E"/>
    <w:rsid w:val="002D5191"/>
    <w:rsid w:val="002D526F"/>
    <w:rsid w:val="002D5D41"/>
    <w:rsid w:val="002D613B"/>
    <w:rsid w:val="002D6216"/>
    <w:rsid w:val="002D6503"/>
    <w:rsid w:val="002D65B1"/>
    <w:rsid w:val="002D683B"/>
    <w:rsid w:val="002D6966"/>
    <w:rsid w:val="002D7215"/>
    <w:rsid w:val="002D73AC"/>
    <w:rsid w:val="002D745E"/>
    <w:rsid w:val="002D7AB4"/>
    <w:rsid w:val="002D7E63"/>
    <w:rsid w:val="002E0141"/>
    <w:rsid w:val="002E01A1"/>
    <w:rsid w:val="002E07AF"/>
    <w:rsid w:val="002E0CFF"/>
    <w:rsid w:val="002E110B"/>
    <w:rsid w:val="002E18C8"/>
    <w:rsid w:val="002E1A9F"/>
    <w:rsid w:val="002E1F47"/>
    <w:rsid w:val="002E2634"/>
    <w:rsid w:val="002E2998"/>
    <w:rsid w:val="002E3025"/>
    <w:rsid w:val="002E342B"/>
    <w:rsid w:val="002E36A4"/>
    <w:rsid w:val="002E3E96"/>
    <w:rsid w:val="002E3FD8"/>
    <w:rsid w:val="002E447B"/>
    <w:rsid w:val="002E44FF"/>
    <w:rsid w:val="002E4919"/>
    <w:rsid w:val="002E4A86"/>
    <w:rsid w:val="002E587A"/>
    <w:rsid w:val="002E6BC0"/>
    <w:rsid w:val="002E75F0"/>
    <w:rsid w:val="002F00A3"/>
    <w:rsid w:val="002F00ED"/>
    <w:rsid w:val="002F056D"/>
    <w:rsid w:val="002F05C0"/>
    <w:rsid w:val="002F0FD7"/>
    <w:rsid w:val="002F120F"/>
    <w:rsid w:val="002F1926"/>
    <w:rsid w:val="002F1ABF"/>
    <w:rsid w:val="002F1F13"/>
    <w:rsid w:val="002F2248"/>
    <w:rsid w:val="002F22A4"/>
    <w:rsid w:val="002F2CDB"/>
    <w:rsid w:val="002F2D56"/>
    <w:rsid w:val="002F2E2C"/>
    <w:rsid w:val="002F35BA"/>
    <w:rsid w:val="002F36AC"/>
    <w:rsid w:val="002F378D"/>
    <w:rsid w:val="002F3D74"/>
    <w:rsid w:val="002F4138"/>
    <w:rsid w:val="002F47F8"/>
    <w:rsid w:val="002F4D54"/>
    <w:rsid w:val="002F5092"/>
    <w:rsid w:val="002F515B"/>
    <w:rsid w:val="002F5997"/>
    <w:rsid w:val="002F637A"/>
    <w:rsid w:val="002F72AD"/>
    <w:rsid w:val="002F775B"/>
    <w:rsid w:val="002F7AC9"/>
    <w:rsid w:val="002F7E9D"/>
    <w:rsid w:val="003008F3"/>
    <w:rsid w:val="00300A66"/>
    <w:rsid w:val="00300B8D"/>
    <w:rsid w:val="00300BFC"/>
    <w:rsid w:val="00300CE5"/>
    <w:rsid w:val="00300F59"/>
    <w:rsid w:val="00301108"/>
    <w:rsid w:val="0030119B"/>
    <w:rsid w:val="00301455"/>
    <w:rsid w:val="003020E7"/>
    <w:rsid w:val="00302617"/>
    <w:rsid w:val="00302F8F"/>
    <w:rsid w:val="003030B4"/>
    <w:rsid w:val="0030352F"/>
    <w:rsid w:val="00303AA4"/>
    <w:rsid w:val="00303EDD"/>
    <w:rsid w:val="00304289"/>
    <w:rsid w:val="00304901"/>
    <w:rsid w:val="00304D96"/>
    <w:rsid w:val="00305029"/>
    <w:rsid w:val="0030517C"/>
    <w:rsid w:val="003054C9"/>
    <w:rsid w:val="00305841"/>
    <w:rsid w:val="00305B7C"/>
    <w:rsid w:val="003061E5"/>
    <w:rsid w:val="0030696D"/>
    <w:rsid w:val="00306A86"/>
    <w:rsid w:val="00306C68"/>
    <w:rsid w:val="00306C9F"/>
    <w:rsid w:val="00306F90"/>
    <w:rsid w:val="00306F9E"/>
    <w:rsid w:val="00307499"/>
    <w:rsid w:val="00307795"/>
    <w:rsid w:val="00307CDC"/>
    <w:rsid w:val="00307CEC"/>
    <w:rsid w:val="00310313"/>
    <w:rsid w:val="00310947"/>
    <w:rsid w:val="00310A8A"/>
    <w:rsid w:val="00310D85"/>
    <w:rsid w:val="00310DFF"/>
    <w:rsid w:val="00311609"/>
    <w:rsid w:val="00311DCE"/>
    <w:rsid w:val="00312246"/>
    <w:rsid w:val="003122E1"/>
    <w:rsid w:val="00312A67"/>
    <w:rsid w:val="00312FEE"/>
    <w:rsid w:val="003132CF"/>
    <w:rsid w:val="0031342D"/>
    <w:rsid w:val="00313652"/>
    <w:rsid w:val="00313A6A"/>
    <w:rsid w:val="00313CEC"/>
    <w:rsid w:val="00313FB6"/>
    <w:rsid w:val="003148A6"/>
    <w:rsid w:val="003157B3"/>
    <w:rsid w:val="003162B7"/>
    <w:rsid w:val="00316ADD"/>
    <w:rsid w:val="00316CE8"/>
    <w:rsid w:val="00316D79"/>
    <w:rsid w:val="00316DBB"/>
    <w:rsid w:val="00316F3D"/>
    <w:rsid w:val="00316FB6"/>
    <w:rsid w:val="0031727B"/>
    <w:rsid w:val="003172DE"/>
    <w:rsid w:val="00317427"/>
    <w:rsid w:val="00317502"/>
    <w:rsid w:val="003176CE"/>
    <w:rsid w:val="0031789A"/>
    <w:rsid w:val="00320533"/>
    <w:rsid w:val="00320566"/>
    <w:rsid w:val="00320A64"/>
    <w:rsid w:val="00320B12"/>
    <w:rsid w:val="00320CF9"/>
    <w:rsid w:val="003212DC"/>
    <w:rsid w:val="00321657"/>
    <w:rsid w:val="00321AF3"/>
    <w:rsid w:val="00321BA7"/>
    <w:rsid w:val="00321FAE"/>
    <w:rsid w:val="003223D4"/>
    <w:rsid w:val="003231FC"/>
    <w:rsid w:val="00323428"/>
    <w:rsid w:val="00323517"/>
    <w:rsid w:val="00324473"/>
    <w:rsid w:val="00324EFC"/>
    <w:rsid w:val="0032534E"/>
    <w:rsid w:val="00325B19"/>
    <w:rsid w:val="00325D56"/>
    <w:rsid w:val="00326480"/>
    <w:rsid w:val="00326704"/>
    <w:rsid w:val="00326924"/>
    <w:rsid w:val="00326B63"/>
    <w:rsid w:val="00327013"/>
    <w:rsid w:val="00327060"/>
    <w:rsid w:val="003272F2"/>
    <w:rsid w:val="003274B8"/>
    <w:rsid w:val="003275E5"/>
    <w:rsid w:val="0032776E"/>
    <w:rsid w:val="00327FE9"/>
    <w:rsid w:val="003306C3"/>
    <w:rsid w:val="00330803"/>
    <w:rsid w:val="003308D3"/>
    <w:rsid w:val="0033093D"/>
    <w:rsid w:val="00330CFC"/>
    <w:rsid w:val="003311BB"/>
    <w:rsid w:val="00331B29"/>
    <w:rsid w:val="0033212A"/>
    <w:rsid w:val="003324C3"/>
    <w:rsid w:val="0033259E"/>
    <w:rsid w:val="00332A36"/>
    <w:rsid w:val="00332E7A"/>
    <w:rsid w:val="0033330A"/>
    <w:rsid w:val="003334FD"/>
    <w:rsid w:val="00333546"/>
    <w:rsid w:val="00333B7B"/>
    <w:rsid w:val="00334267"/>
    <w:rsid w:val="0033445A"/>
    <w:rsid w:val="00334680"/>
    <w:rsid w:val="00334BD1"/>
    <w:rsid w:val="00334E5D"/>
    <w:rsid w:val="00334EE8"/>
    <w:rsid w:val="00334FB7"/>
    <w:rsid w:val="00335443"/>
    <w:rsid w:val="0033663B"/>
    <w:rsid w:val="00336726"/>
    <w:rsid w:val="00337508"/>
    <w:rsid w:val="003377B5"/>
    <w:rsid w:val="0033792D"/>
    <w:rsid w:val="00337941"/>
    <w:rsid w:val="00337C2A"/>
    <w:rsid w:val="00340025"/>
    <w:rsid w:val="003400FD"/>
    <w:rsid w:val="00340501"/>
    <w:rsid w:val="00340850"/>
    <w:rsid w:val="0034086C"/>
    <w:rsid w:val="0034111F"/>
    <w:rsid w:val="0034196A"/>
    <w:rsid w:val="00341A8E"/>
    <w:rsid w:val="003423FE"/>
    <w:rsid w:val="00342776"/>
    <w:rsid w:val="003434C5"/>
    <w:rsid w:val="0034374E"/>
    <w:rsid w:val="00343EF8"/>
    <w:rsid w:val="00344874"/>
    <w:rsid w:val="00344E69"/>
    <w:rsid w:val="00345024"/>
    <w:rsid w:val="00345268"/>
    <w:rsid w:val="00345414"/>
    <w:rsid w:val="00345768"/>
    <w:rsid w:val="00345B11"/>
    <w:rsid w:val="00345F7D"/>
    <w:rsid w:val="00346B2B"/>
    <w:rsid w:val="003471D0"/>
    <w:rsid w:val="00347AA4"/>
    <w:rsid w:val="00347FFA"/>
    <w:rsid w:val="003500E5"/>
    <w:rsid w:val="00350553"/>
    <w:rsid w:val="00350569"/>
    <w:rsid w:val="003505B0"/>
    <w:rsid w:val="0035142E"/>
    <w:rsid w:val="00351738"/>
    <w:rsid w:val="003517C0"/>
    <w:rsid w:val="003519ED"/>
    <w:rsid w:val="00351DD2"/>
    <w:rsid w:val="00352A02"/>
    <w:rsid w:val="00352C9E"/>
    <w:rsid w:val="00352DAE"/>
    <w:rsid w:val="00352FDF"/>
    <w:rsid w:val="003537E5"/>
    <w:rsid w:val="003539F3"/>
    <w:rsid w:val="00353CAC"/>
    <w:rsid w:val="00353EA5"/>
    <w:rsid w:val="003540A3"/>
    <w:rsid w:val="003546E8"/>
    <w:rsid w:val="003546F2"/>
    <w:rsid w:val="00354BAA"/>
    <w:rsid w:val="00354BEF"/>
    <w:rsid w:val="00355243"/>
    <w:rsid w:val="00355961"/>
    <w:rsid w:val="00355C3C"/>
    <w:rsid w:val="00355CF9"/>
    <w:rsid w:val="00355FA3"/>
    <w:rsid w:val="003561A9"/>
    <w:rsid w:val="003564DB"/>
    <w:rsid w:val="00356DE0"/>
    <w:rsid w:val="003573B9"/>
    <w:rsid w:val="003579BB"/>
    <w:rsid w:val="00357A68"/>
    <w:rsid w:val="00360040"/>
    <w:rsid w:val="003602B3"/>
    <w:rsid w:val="00360C5E"/>
    <w:rsid w:val="00361373"/>
    <w:rsid w:val="00361494"/>
    <w:rsid w:val="00361AE6"/>
    <w:rsid w:val="00361AED"/>
    <w:rsid w:val="00362ADB"/>
    <w:rsid w:val="00362B2D"/>
    <w:rsid w:val="00362BCF"/>
    <w:rsid w:val="00362D2F"/>
    <w:rsid w:val="0036301C"/>
    <w:rsid w:val="00363516"/>
    <w:rsid w:val="00363670"/>
    <w:rsid w:val="00364245"/>
    <w:rsid w:val="00364545"/>
    <w:rsid w:val="0036497C"/>
    <w:rsid w:val="00364B12"/>
    <w:rsid w:val="00364C8E"/>
    <w:rsid w:val="00364CF1"/>
    <w:rsid w:val="00365112"/>
    <w:rsid w:val="0036563C"/>
    <w:rsid w:val="0036566F"/>
    <w:rsid w:val="00365671"/>
    <w:rsid w:val="00365728"/>
    <w:rsid w:val="00365B8A"/>
    <w:rsid w:val="00365C8D"/>
    <w:rsid w:val="00365F55"/>
    <w:rsid w:val="00366D1F"/>
    <w:rsid w:val="00366F1E"/>
    <w:rsid w:val="0036705A"/>
    <w:rsid w:val="00367B55"/>
    <w:rsid w:val="00370264"/>
    <w:rsid w:val="003702A7"/>
    <w:rsid w:val="00370399"/>
    <w:rsid w:val="0037056D"/>
    <w:rsid w:val="0037076A"/>
    <w:rsid w:val="00370CFE"/>
    <w:rsid w:val="00370D43"/>
    <w:rsid w:val="00370EC9"/>
    <w:rsid w:val="00371358"/>
    <w:rsid w:val="003713AB"/>
    <w:rsid w:val="003715C6"/>
    <w:rsid w:val="0037196E"/>
    <w:rsid w:val="0037249F"/>
    <w:rsid w:val="0037284E"/>
    <w:rsid w:val="003734AF"/>
    <w:rsid w:val="0037353D"/>
    <w:rsid w:val="00373B1D"/>
    <w:rsid w:val="0037408A"/>
    <w:rsid w:val="003743C5"/>
    <w:rsid w:val="0037442F"/>
    <w:rsid w:val="00374637"/>
    <w:rsid w:val="003746AA"/>
    <w:rsid w:val="00374E06"/>
    <w:rsid w:val="00375A91"/>
    <w:rsid w:val="00375BDD"/>
    <w:rsid w:val="00376147"/>
    <w:rsid w:val="00376EC4"/>
    <w:rsid w:val="003770CF"/>
    <w:rsid w:val="0037722E"/>
    <w:rsid w:val="00377B16"/>
    <w:rsid w:val="00377EEE"/>
    <w:rsid w:val="0038017C"/>
    <w:rsid w:val="003804A7"/>
    <w:rsid w:val="003807F1"/>
    <w:rsid w:val="00380B36"/>
    <w:rsid w:val="00380C30"/>
    <w:rsid w:val="00380ED0"/>
    <w:rsid w:val="0038101F"/>
    <w:rsid w:val="00381210"/>
    <w:rsid w:val="0038124C"/>
    <w:rsid w:val="0038146F"/>
    <w:rsid w:val="003814D8"/>
    <w:rsid w:val="0038180F"/>
    <w:rsid w:val="00381880"/>
    <w:rsid w:val="00381E81"/>
    <w:rsid w:val="0038202A"/>
    <w:rsid w:val="00382433"/>
    <w:rsid w:val="0038286F"/>
    <w:rsid w:val="00382916"/>
    <w:rsid w:val="003830B1"/>
    <w:rsid w:val="0038336F"/>
    <w:rsid w:val="00383B41"/>
    <w:rsid w:val="00383BB9"/>
    <w:rsid w:val="0038410C"/>
    <w:rsid w:val="003841A8"/>
    <w:rsid w:val="0038426A"/>
    <w:rsid w:val="00384A27"/>
    <w:rsid w:val="00384B20"/>
    <w:rsid w:val="00385668"/>
    <w:rsid w:val="00385691"/>
    <w:rsid w:val="003858D2"/>
    <w:rsid w:val="00385945"/>
    <w:rsid w:val="003861E1"/>
    <w:rsid w:val="0038674B"/>
    <w:rsid w:val="003877C5"/>
    <w:rsid w:val="00387978"/>
    <w:rsid w:val="00387D93"/>
    <w:rsid w:val="00387DE0"/>
    <w:rsid w:val="00387FC4"/>
    <w:rsid w:val="003901FA"/>
    <w:rsid w:val="0039057F"/>
    <w:rsid w:val="00390A4A"/>
    <w:rsid w:val="00390AD4"/>
    <w:rsid w:val="00390E55"/>
    <w:rsid w:val="00390EA0"/>
    <w:rsid w:val="00391A60"/>
    <w:rsid w:val="00391B43"/>
    <w:rsid w:val="00391BA5"/>
    <w:rsid w:val="0039223C"/>
    <w:rsid w:val="00392264"/>
    <w:rsid w:val="0039287D"/>
    <w:rsid w:val="00392947"/>
    <w:rsid w:val="00392A06"/>
    <w:rsid w:val="003931DF"/>
    <w:rsid w:val="00393355"/>
    <w:rsid w:val="003935FC"/>
    <w:rsid w:val="00393A0F"/>
    <w:rsid w:val="00394380"/>
    <w:rsid w:val="0039457F"/>
    <w:rsid w:val="00394CDD"/>
    <w:rsid w:val="00394D2E"/>
    <w:rsid w:val="0039534E"/>
    <w:rsid w:val="00395816"/>
    <w:rsid w:val="00395ACA"/>
    <w:rsid w:val="00395C0E"/>
    <w:rsid w:val="00395F3F"/>
    <w:rsid w:val="003961AC"/>
    <w:rsid w:val="00396267"/>
    <w:rsid w:val="00396530"/>
    <w:rsid w:val="00396746"/>
    <w:rsid w:val="00397036"/>
    <w:rsid w:val="003971D0"/>
    <w:rsid w:val="003973F0"/>
    <w:rsid w:val="003977F0"/>
    <w:rsid w:val="003A0BE4"/>
    <w:rsid w:val="003A0DC8"/>
    <w:rsid w:val="003A1032"/>
    <w:rsid w:val="003A19B3"/>
    <w:rsid w:val="003A1A1D"/>
    <w:rsid w:val="003A1E2F"/>
    <w:rsid w:val="003A2341"/>
    <w:rsid w:val="003A23A9"/>
    <w:rsid w:val="003A2DC1"/>
    <w:rsid w:val="003A3452"/>
    <w:rsid w:val="003A387F"/>
    <w:rsid w:val="003A38B7"/>
    <w:rsid w:val="003A3A76"/>
    <w:rsid w:val="003A3ABE"/>
    <w:rsid w:val="003A414F"/>
    <w:rsid w:val="003A41A0"/>
    <w:rsid w:val="003A4341"/>
    <w:rsid w:val="003A4558"/>
    <w:rsid w:val="003A48F2"/>
    <w:rsid w:val="003A4E4F"/>
    <w:rsid w:val="003A4F36"/>
    <w:rsid w:val="003A504E"/>
    <w:rsid w:val="003A5252"/>
    <w:rsid w:val="003A55DE"/>
    <w:rsid w:val="003A5AF9"/>
    <w:rsid w:val="003A5C2F"/>
    <w:rsid w:val="003A5D41"/>
    <w:rsid w:val="003A60E4"/>
    <w:rsid w:val="003A63BA"/>
    <w:rsid w:val="003A6BB9"/>
    <w:rsid w:val="003A7119"/>
    <w:rsid w:val="003A71FB"/>
    <w:rsid w:val="003A739B"/>
    <w:rsid w:val="003A754F"/>
    <w:rsid w:val="003A78FB"/>
    <w:rsid w:val="003A7E32"/>
    <w:rsid w:val="003A7E4D"/>
    <w:rsid w:val="003B0027"/>
    <w:rsid w:val="003B0A14"/>
    <w:rsid w:val="003B0BF7"/>
    <w:rsid w:val="003B0C71"/>
    <w:rsid w:val="003B1349"/>
    <w:rsid w:val="003B1658"/>
    <w:rsid w:val="003B1B01"/>
    <w:rsid w:val="003B1CDE"/>
    <w:rsid w:val="003B20D6"/>
    <w:rsid w:val="003B23D1"/>
    <w:rsid w:val="003B2927"/>
    <w:rsid w:val="003B2A04"/>
    <w:rsid w:val="003B3097"/>
    <w:rsid w:val="003B346C"/>
    <w:rsid w:val="003B34B1"/>
    <w:rsid w:val="003B34F1"/>
    <w:rsid w:val="003B495B"/>
    <w:rsid w:val="003B4FBC"/>
    <w:rsid w:val="003B52BC"/>
    <w:rsid w:val="003B54FA"/>
    <w:rsid w:val="003B5517"/>
    <w:rsid w:val="003B58FF"/>
    <w:rsid w:val="003B5955"/>
    <w:rsid w:val="003B618C"/>
    <w:rsid w:val="003B6368"/>
    <w:rsid w:val="003B6E26"/>
    <w:rsid w:val="003B7157"/>
    <w:rsid w:val="003B7454"/>
    <w:rsid w:val="003B7494"/>
    <w:rsid w:val="003B7894"/>
    <w:rsid w:val="003B7ED8"/>
    <w:rsid w:val="003B7FEF"/>
    <w:rsid w:val="003C0667"/>
    <w:rsid w:val="003C08FD"/>
    <w:rsid w:val="003C10EB"/>
    <w:rsid w:val="003C1447"/>
    <w:rsid w:val="003C1852"/>
    <w:rsid w:val="003C1DA1"/>
    <w:rsid w:val="003C1F05"/>
    <w:rsid w:val="003C2051"/>
    <w:rsid w:val="003C2095"/>
    <w:rsid w:val="003C228A"/>
    <w:rsid w:val="003C2A1A"/>
    <w:rsid w:val="003C2D85"/>
    <w:rsid w:val="003C2F12"/>
    <w:rsid w:val="003C304C"/>
    <w:rsid w:val="003C32CA"/>
    <w:rsid w:val="003C3E9F"/>
    <w:rsid w:val="003C4234"/>
    <w:rsid w:val="003C433D"/>
    <w:rsid w:val="003C43C8"/>
    <w:rsid w:val="003C495D"/>
    <w:rsid w:val="003C4A3D"/>
    <w:rsid w:val="003C4DDD"/>
    <w:rsid w:val="003C502B"/>
    <w:rsid w:val="003C52BB"/>
    <w:rsid w:val="003C53EA"/>
    <w:rsid w:val="003C5E7D"/>
    <w:rsid w:val="003C6508"/>
    <w:rsid w:val="003C70A7"/>
    <w:rsid w:val="003C71F3"/>
    <w:rsid w:val="003C776A"/>
    <w:rsid w:val="003C7EDA"/>
    <w:rsid w:val="003D02A5"/>
    <w:rsid w:val="003D0355"/>
    <w:rsid w:val="003D0423"/>
    <w:rsid w:val="003D0467"/>
    <w:rsid w:val="003D0519"/>
    <w:rsid w:val="003D0522"/>
    <w:rsid w:val="003D05EB"/>
    <w:rsid w:val="003D078F"/>
    <w:rsid w:val="003D0F18"/>
    <w:rsid w:val="003D0F6E"/>
    <w:rsid w:val="003D1F5D"/>
    <w:rsid w:val="003D20A5"/>
    <w:rsid w:val="003D216B"/>
    <w:rsid w:val="003D2389"/>
    <w:rsid w:val="003D2537"/>
    <w:rsid w:val="003D260E"/>
    <w:rsid w:val="003D28A3"/>
    <w:rsid w:val="003D2EDF"/>
    <w:rsid w:val="003D30BE"/>
    <w:rsid w:val="003D31EA"/>
    <w:rsid w:val="003D3934"/>
    <w:rsid w:val="003D3A31"/>
    <w:rsid w:val="003D3D66"/>
    <w:rsid w:val="003D3D90"/>
    <w:rsid w:val="003D46F6"/>
    <w:rsid w:val="003D54B4"/>
    <w:rsid w:val="003D5C3E"/>
    <w:rsid w:val="003D5E87"/>
    <w:rsid w:val="003D60FD"/>
    <w:rsid w:val="003D65C4"/>
    <w:rsid w:val="003D68B2"/>
    <w:rsid w:val="003D698D"/>
    <w:rsid w:val="003D6FC9"/>
    <w:rsid w:val="003D75A4"/>
    <w:rsid w:val="003D7E66"/>
    <w:rsid w:val="003D7F3A"/>
    <w:rsid w:val="003D7F8E"/>
    <w:rsid w:val="003E03A2"/>
    <w:rsid w:val="003E0475"/>
    <w:rsid w:val="003E0632"/>
    <w:rsid w:val="003E08B6"/>
    <w:rsid w:val="003E1948"/>
    <w:rsid w:val="003E1AAC"/>
    <w:rsid w:val="003E1F78"/>
    <w:rsid w:val="003E2B7C"/>
    <w:rsid w:val="003E3257"/>
    <w:rsid w:val="003E3A28"/>
    <w:rsid w:val="003E3AA5"/>
    <w:rsid w:val="003E423F"/>
    <w:rsid w:val="003E48AB"/>
    <w:rsid w:val="003E5444"/>
    <w:rsid w:val="003E55FB"/>
    <w:rsid w:val="003E5F39"/>
    <w:rsid w:val="003E6098"/>
    <w:rsid w:val="003E60B8"/>
    <w:rsid w:val="003E63DC"/>
    <w:rsid w:val="003E6465"/>
    <w:rsid w:val="003E67B2"/>
    <w:rsid w:val="003E6889"/>
    <w:rsid w:val="003E6B4A"/>
    <w:rsid w:val="003E6E41"/>
    <w:rsid w:val="003E6FE1"/>
    <w:rsid w:val="003E71A1"/>
    <w:rsid w:val="003E73BB"/>
    <w:rsid w:val="003E7652"/>
    <w:rsid w:val="003E7668"/>
    <w:rsid w:val="003E778F"/>
    <w:rsid w:val="003E789C"/>
    <w:rsid w:val="003F020F"/>
    <w:rsid w:val="003F0570"/>
    <w:rsid w:val="003F092C"/>
    <w:rsid w:val="003F0DB7"/>
    <w:rsid w:val="003F1134"/>
    <w:rsid w:val="003F1382"/>
    <w:rsid w:val="003F1804"/>
    <w:rsid w:val="003F1832"/>
    <w:rsid w:val="003F1BC2"/>
    <w:rsid w:val="003F1DF3"/>
    <w:rsid w:val="003F1E5C"/>
    <w:rsid w:val="003F1E9D"/>
    <w:rsid w:val="003F218E"/>
    <w:rsid w:val="003F21A8"/>
    <w:rsid w:val="003F2288"/>
    <w:rsid w:val="003F23DE"/>
    <w:rsid w:val="003F29B2"/>
    <w:rsid w:val="003F2AD4"/>
    <w:rsid w:val="003F3063"/>
    <w:rsid w:val="003F34FE"/>
    <w:rsid w:val="003F4569"/>
    <w:rsid w:val="003F4B16"/>
    <w:rsid w:val="003F4DDA"/>
    <w:rsid w:val="003F4FC9"/>
    <w:rsid w:val="003F5352"/>
    <w:rsid w:val="003F591A"/>
    <w:rsid w:val="003F59A5"/>
    <w:rsid w:val="003F59A8"/>
    <w:rsid w:val="003F5EF7"/>
    <w:rsid w:val="003F65B6"/>
    <w:rsid w:val="003F6A56"/>
    <w:rsid w:val="003F6AB7"/>
    <w:rsid w:val="003F71BF"/>
    <w:rsid w:val="003F74C7"/>
    <w:rsid w:val="003F75F3"/>
    <w:rsid w:val="004005A1"/>
    <w:rsid w:val="00401347"/>
    <w:rsid w:val="0040141E"/>
    <w:rsid w:val="00401455"/>
    <w:rsid w:val="004018DA"/>
    <w:rsid w:val="00401D11"/>
    <w:rsid w:val="00401D43"/>
    <w:rsid w:val="00401EA7"/>
    <w:rsid w:val="00401F29"/>
    <w:rsid w:val="00402933"/>
    <w:rsid w:val="0040316A"/>
    <w:rsid w:val="004035B4"/>
    <w:rsid w:val="004039CF"/>
    <w:rsid w:val="00404020"/>
    <w:rsid w:val="00404058"/>
    <w:rsid w:val="00404809"/>
    <w:rsid w:val="00404B50"/>
    <w:rsid w:val="004051C1"/>
    <w:rsid w:val="004053BE"/>
    <w:rsid w:val="004054DE"/>
    <w:rsid w:val="00405665"/>
    <w:rsid w:val="004059C5"/>
    <w:rsid w:val="00405B60"/>
    <w:rsid w:val="00405D16"/>
    <w:rsid w:val="00405E83"/>
    <w:rsid w:val="004062E3"/>
    <w:rsid w:val="004062EE"/>
    <w:rsid w:val="004069AE"/>
    <w:rsid w:val="0040711B"/>
    <w:rsid w:val="00407120"/>
    <w:rsid w:val="0040714E"/>
    <w:rsid w:val="0040727E"/>
    <w:rsid w:val="004100FF"/>
    <w:rsid w:val="0041013A"/>
    <w:rsid w:val="00410338"/>
    <w:rsid w:val="00410342"/>
    <w:rsid w:val="00410765"/>
    <w:rsid w:val="0041112D"/>
    <w:rsid w:val="004111A2"/>
    <w:rsid w:val="00411E71"/>
    <w:rsid w:val="004122C6"/>
    <w:rsid w:val="00412462"/>
    <w:rsid w:val="0041336E"/>
    <w:rsid w:val="004137C1"/>
    <w:rsid w:val="004139BC"/>
    <w:rsid w:val="00413A10"/>
    <w:rsid w:val="00413AA9"/>
    <w:rsid w:val="00413E49"/>
    <w:rsid w:val="00414088"/>
    <w:rsid w:val="0041447A"/>
    <w:rsid w:val="004145B9"/>
    <w:rsid w:val="0041481A"/>
    <w:rsid w:val="00414CE3"/>
    <w:rsid w:val="00414D35"/>
    <w:rsid w:val="004150A0"/>
    <w:rsid w:val="0041517C"/>
    <w:rsid w:val="0041539F"/>
    <w:rsid w:val="0041540E"/>
    <w:rsid w:val="00415A71"/>
    <w:rsid w:val="00415C3A"/>
    <w:rsid w:val="00416438"/>
    <w:rsid w:val="00416C63"/>
    <w:rsid w:val="00416DAC"/>
    <w:rsid w:val="00416FAC"/>
    <w:rsid w:val="0041735D"/>
    <w:rsid w:val="00417614"/>
    <w:rsid w:val="0041764A"/>
    <w:rsid w:val="00417D27"/>
    <w:rsid w:val="00420186"/>
    <w:rsid w:val="00420284"/>
    <w:rsid w:val="0042029F"/>
    <w:rsid w:val="004212D8"/>
    <w:rsid w:val="00421695"/>
    <w:rsid w:val="004217CE"/>
    <w:rsid w:val="0042226D"/>
    <w:rsid w:val="004222B6"/>
    <w:rsid w:val="00422913"/>
    <w:rsid w:val="00422DCD"/>
    <w:rsid w:val="00422E06"/>
    <w:rsid w:val="00423FE6"/>
    <w:rsid w:val="00424094"/>
    <w:rsid w:val="0042492F"/>
    <w:rsid w:val="00424BBE"/>
    <w:rsid w:val="00424E7F"/>
    <w:rsid w:val="004253FC"/>
    <w:rsid w:val="004256DE"/>
    <w:rsid w:val="00425B4F"/>
    <w:rsid w:val="00425B5B"/>
    <w:rsid w:val="00425E5F"/>
    <w:rsid w:val="00425FBD"/>
    <w:rsid w:val="00426144"/>
    <w:rsid w:val="004266A1"/>
    <w:rsid w:val="004269A8"/>
    <w:rsid w:val="00426B90"/>
    <w:rsid w:val="00426D70"/>
    <w:rsid w:val="0042721D"/>
    <w:rsid w:val="004272A6"/>
    <w:rsid w:val="00427924"/>
    <w:rsid w:val="00427ABF"/>
    <w:rsid w:val="00427DB0"/>
    <w:rsid w:val="00427E21"/>
    <w:rsid w:val="0043013A"/>
    <w:rsid w:val="0043027A"/>
    <w:rsid w:val="004306AF"/>
    <w:rsid w:val="00430FEF"/>
    <w:rsid w:val="00431270"/>
    <w:rsid w:val="00431752"/>
    <w:rsid w:val="0043179A"/>
    <w:rsid w:val="004322DC"/>
    <w:rsid w:val="0043230C"/>
    <w:rsid w:val="004324AD"/>
    <w:rsid w:val="00433896"/>
    <w:rsid w:val="004340A2"/>
    <w:rsid w:val="004342DC"/>
    <w:rsid w:val="00434B73"/>
    <w:rsid w:val="00434C25"/>
    <w:rsid w:val="00434C95"/>
    <w:rsid w:val="00434E3F"/>
    <w:rsid w:val="00434F8F"/>
    <w:rsid w:val="004354D6"/>
    <w:rsid w:val="00435A9A"/>
    <w:rsid w:val="00436742"/>
    <w:rsid w:val="0043687B"/>
    <w:rsid w:val="00436AFC"/>
    <w:rsid w:val="00436B1D"/>
    <w:rsid w:val="00436B2A"/>
    <w:rsid w:val="0043758A"/>
    <w:rsid w:val="00437808"/>
    <w:rsid w:val="00437A5A"/>
    <w:rsid w:val="00437CE0"/>
    <w:rsid w:val="00437CE9"/>
    <w:rsid w:val="00437DD6"/>
    <w:rsid w:val="00440102"/>
    <w:rsid w:val="0044051D"/>
    <w:rsid w:val="00441211"/>
    <w:rsid w:val="00441721"/>
    <w:rsid w:val="004421CB"/>
    <w:rsid w:val="00442206"/>
    <w:rsid w:val="004424DD"/>
    <w:rsid w:val="0044267C"/>
    <w:rsid w:val="004426DE"/>
    <w:rsid w:val="00442806"/>
    <w:rsid w:val="0044281C"/>
    <w:rsid w:val="00442EE5"/>
    <w:rsid w:val="00443342"/>
    <w:rsid w:val="0044374C"/>
    <w:rsid w:val="004443C6"/>
    <w:rsid w:val="00444824"/>
    <w:rsid w:val="004451C7"/>
    <w:rsid w:val="004456B8"/>
    <w:rsid w:val="0044573D"/>
    <w:rsid w:val="00445884"/>
    <w:rsid w:val="004459C6"/>
    <w:rsid w:val="0044663E"/>
    <w:rsid w:val="004467CF"/>
    <w:rsid w:val="004468AC"/>
    <w:rsid w:val="004470A4"/>
    <w:rsid w:val="004478F2"/>
    <w:rsid w:val="00447AA6"/>
    <w:rsid w:val="00447C2F"/>
    <w:rsid w:val="004500E8"/>
    <w:rsid w:val="00450112"/>
    <w:rsid w:val="00450AE9"/>
    <w:rsid w:val="00450B83"/>
    <w:rsid w:val="00450E62"/>
    <w:rsid w:val="0045131A"/>
    <w:rsid w:val="004515C2"/>
    <w:rsid w:val="004517CA"/>
    <w:rsid w:val="0045188C"/>
    <w:rsid w:val="00451979"/>
    <w:rsid w:val="00451FF8"/>
    <w:rsid w:val="004526C1"/>
    <w:rsid w:val="004529E3"/>
    <w:rsid w:val="00452E89"/>
    <w:rsid w:val="0045311A"/>
    <w:rsid w:val="0045331A"/>
    <w:rsid w:val="004535F9"/>
    <w:rsid w:val="00453A58"/>
    <w:rsid w:val="00453D57"/>
    <w:rsid w:val="00453ECE"/>
    <w:rsid w:val="00454313"/>
    <w:rsid w:val="0045459C"/>
    <w:rsid w:val="004548C5"/>
    <w:rsid w:val="00455A89"/>
    <w:rsid w:val="00455E9C"/>
    <w:rsid w:val="00455EFE"/>
    <w:rsid w:val="00455F67"/>
    <w:rsid w:val="0045616A"/>
    <w:rsid w:val="004562E0"/>
    <w:rsid w:val="004563D2"/>
    <w:rsid w:val="0045647D"/>
    <w:rsid w:val="004568E9"/>
    <w:rsid w:val="004569F6"/>
    <w:rsid w:val="00456EA8"/>
    <w:rsid w:val="00457021"/>
    <w:rsid w:val="00457534"/>
    <w:rsid w:val="004579C7"/>
    <w:rsid w:val="004600DE"/>
    <w:rsid w:val="00460964"/>
    <w:rsid w:val="00460ACE"/>
    <w:rsid w:val="00460ADE"/>
    <w:rsid w:val="00460B40"/>
    <w:rsid w:val="00460E3C"/>
    <w:rsid w:val="0046113A"/>
    <w:rsid w:val="00461230"/>
    <w:rsid w:val="0046151F"/>
    <w:rsid w:val="004617AF"/>
    <w:rsid w:val="00461DDF"/>
    <w:rsid w:val="00461E23"/>
    <w:rsid w:val="00462287"/>
    <w:rsid w:val="004639F7"/>
    <w:rsid w:val="0046414B"/>
    <w:rsid w:val="00464445"/>
    <w:rsid w:val="004648C6"/>
    <w:rsid w:val="00464BC8"/>
    <w:rsid w:val="004653C0"/>
    <w:rsid w:val="00465646"/>
    <w:rsid w:val="00465743"/>
    <w:rsid w:val="00465947"/>
    <w:rsid w:val="00466F72"/>
    <w:rsid w:val="004672FD"/>
    <w:rsid w:val="004675FF"/>
    <w:rsid w:val="00467B52"/>
    <w:rsid w:val="00467E13"/>
    <w:rsid w:val="0047001E"/>
    <w:rsid w:val="004708A4"/>
    <w:rsid w:val="00470A6C"/>
    <w:rsid w:val="00470C4A"/>
    <w:rsid w:val="004711BD"/>
    <w:rsid w:val="004713AE"/>
    <w:rsid w:val="0047167E"/>
    <w:rsid w:val="00471A9D"/>
    <w:rsid w:val="00471CEE"/>
    <w:rsid w:val="00472516"/>
    <w:rsid w:val="004727D8"/>
    <w:rsid w:val="004727E2"/>
    <w:rsid w:val="0047282A"/>
    <w:rsid w:val="00472B7B"/>
    <w:rsid w:val="00473594"/>
    <w:rsid w:val="00473651"/>
    <w:rsid w:val="004736C9"/>
    <w:rsid w:val="00473C19"/>
    <w:rsid w:val="00473D2B"/>
    <w:rsid w:val="00474462"/>
    <w:rsid w:val="00474890"/>
    <w:rsid w:val="0047490C"/>
    <w:rsid w:val="00474C65"/>
    <w:rsid w:val="004750BE"/>
    <w:rsid w:val="00475E7F"/>
    <w:rsid w:val="00476436"/>
    <w:rsid w:val="00476824"/>
    <w:rsid w:val="004769C2"/>
    <w:rsid w:val="00476A7F"/>
    <w:rsid w:val="00476ED0"/>
    <w:rsid w:val="0048018C"/>
    <w:rsid w:val="004818BB"/>
    <w:rsid w:val="00481B63"/>
    <w:rsid w:val="00481F75"/>
    <w:rsid w:val="0048225D"/>
    <w:rsid w:val="004822F5"/>
    <w:rsid w:val="0048297E"/>
    <w:rsid w:val="004839D2"/>
    <w:rsid w:val="00483EA7"/>
    <w:rsid w:val="00484309"/>
    <w:rsid w:val="0048444F"/>
    <w:rsid w:val="00484B07"/>
    <w:rsid w:val="00485049"/>
    <w:rsid w:val="00485748"/>
    <w:rsid w:val="00485766"/>
    <w:rsid w:val="00485953"/>
    <w:rsid w:val="00485CBC"/>
    <w:rsid w:val="00485D19"/>
    <w:rsid w:val="0048626B"/>
    <w:rsid w:val="004862F6"/>
    <w:rsid w:val="004863DE"/>
    <w:rsid w:val="00486892"/>
    <w:rsid w:val="0048692B"/>
    <w:rsid w:val="00486F63"/>
    <w:rsid w:val="004874A5"/>
    <w:rsid w:val="004875B7"/>
    <w:rsid w:val="00487E5F"/>
    <w:rsid w:val="00487EF3"/>
    <w:rsid w:val="00487F12"/>
    <w:rsid w:val="00490018"/>
    <w:rsid w:val="00490030"/>
    <w:rsid w:val="0049007F"/>
    <w:rsid w:val="00490516"/>
    <w:rsid w:val="00490586"/>
    <w:rsid w:val="00490854"/>
    <w:rsid w:val="004908DB"/>
    <w:rsid w:val="004909F2"/>
    <w:rsid w:val="00490E8F"/>
    <w:rsid w:val="00490FFF"/>
    <w:rsid w:val="0049109D"/>
    <w:rsid w:val="0049126A"/>
    <w:rsid w:val="0049132C"/>
    <w:rsid w:val="00491BFD"/>
    <w:rsid w:val="004923A0"/>
    <w:rsid w:val="004925A3"/>
    <w:rsid w:val="004927DE"/>
    <w:rsid w:val="00492837"/>
    <w:rsid w:val="00492897"/>
    <w:rsid w:val="00492F09"/>
    <w:rsid w:val="004935DB"/>
    <w:rsid w:val="0049389E"/>
    <w:rsid w:val="0049434B"/>
    <w:rsid w:val="0049441B"/>
    <w:rsid w:val="00494470"/>
    <w:rsid w:val="004944BA"/>
    <w:rsid w:val="00494B29"/>
    <w:rsid w:val="00494FE2"/>
    <w:rsid w:val="00495328"/>
    <w:rsid w:val="00495B97"/>
    <w:rsid w:val="004966A6"/>
    <w:rsid w:val="0049688A"/>
    <w:rsid w:val="00496B93"/>
    <w:rsid w:val="00496C98"/>
    <w:rsid w:val="00496D4A"/>
    <w:rsid w:val="00496FF4"/>
    <w:rsid w:val="004971E7"/>
    <w:rsid w:val="004975FB"/>
    <w:rsid w:val="0049767B"/>
    <w:rsid w:val="004976B9"/>
    <w:rsid w:val="004978CD"/>
    <w:rsid w:val="00497DC4"/>
    <w:rsid w:val="004A0148"/>
    <w:rsid w:val="004A0211"/>
    <w:rsid w:val="004A0291"/>
    <w:rsid w:val="004A0663"/>
    <w:rsid w:val="004A0AF8"/>
    <w:rsid w:val="004A159B"/>
    <w:rsid w:val="004A1832"/>
    <w:rsid w:val="004A1A22"/>
    <w:rsid w:val="004A1AF3"/>
    <w:rsid w:val="004A1D7A"/>
    <w:rsid w:val="004A1D80"/>
    <w:rsid w:val="004A1F13"/>
    <w:rsid w:val="004A209D"/>
    <w:rsid w:val="004A21C5"/>
    <w:rsid w:val="004A359D"/>
    <w:rsid w:val="004A3C64"/>
    <w:rsid w:val="004A3E7C"/>
    <w:rsid w:val="004A4301"/>
    <w:rsid w:val="004A49DD"/>
    <w:rsid w:val="004A4E63"/>
    <w:rsid w:val="004A4EF5"/>
    <w:rsid w:val="004A4F48"/>
    <w:rsid w:val="004A525B"/>
    <w:rsid w:val="004A54C4"/>
    <w:rsid w:val="004A54E8"/>
    <w:rsid w:val="004A5A20"/>
    <w:rsid w:val="004A5D45"/>
    <w:rsid w:val="004A6F5A"/>
    <w:rsid w:val="004A71FA"/>
    <w:rsid w:val="004A7442"/>
    <w:rsid w:val="004A7FF0"/>
    <w:rsid w:val="004B0292"/>
    <w:rsid w:val="004B05C6"/>
    <w:rsid w:val="004B082F"/>
    <w:rsid w:val="004B0A2B"/>
    <w:rsid w:val="004B0E16"/>
    <w:rsid w:val="004B1211"/>
    <w:rsid w:val="004B1649"/>
    <w:rsid w:val="004B19BC"/>
    <w:rsid w:val="004B1A34"/>
    <w:rsid w:val="004B2257"/>
    <w:rsid w:val="004B244A"/>
    <w:rsid w:val="004B24BF"/>
    <w:rsid w:val="004B283E"/>
    <w:rsid w:val="004B32EA"/>
    <w:rsid w:val="004B37F9"/>
    <w:rsid w:val="004B392F"/>
    <w:rsid w:val="004B3973"/>
    <w:rsid w:val="004B3EAE"/>
    <w:rsid w:val="004B3F09"/>
    <w:rsid w:val="004B3FCF"/>
    <w:rsid w:val="004B4013"/>
    <w:rsid w:val="004B4204"/>
    <w:rsid w:val="004B4216"/>
    <w:rsid w:val="004B4608"/>
    <w:rsid w:val="004B47BA"/>
    <w:rsid w:val="004B47F8"/>
    <w:rsid w:val="004B4E73"/>
    <w:rsid w:val="004B55E1"/>
    <w:rsid w:val="004B569A"/>
    <w:rsid w:val="004B5914"/>
    <w:rsid w:val="004B5A96"/>
    <w:rsid w:val="004B5AEE"/>
    <w:rsid w:val="004B5C33"/>
    <w:rsid w:val="004B60DE"/>
    <w:rsid w:val="004B6133"/>
    <w:rsid w:val="004B67DC"/>
    <w:rsid w:val="004B6A0A"/>
    <w:rsid w:val="004B6AA5"/>
    <w:rsid w:val="004B7479"/>
    <w:rsid w:val="004B7754"/>
    <w:rsid w:val="004B7C24"/>
    <w:rsid w:val="004B7D23"/>
    <w:rsid w:val="004B7FDA"/>
    <w:rsid w:val="004C00F1"/>
    <w:rsid w:val="004C09F5"/>
    <w:rsid w:val="004C0BAC"/>
    <w:rsid w:val="004C15F4"/>
    <w:rsid w:val="004C1AF3"/>
    <w:rsid w:val="004C1FB1"/>
    <w:rsid w:val="004C233D"/>
    <w:rsid w:val="004C23D1"/>
    <w:rsid w:val="004C285B"/>
    <w:rsid w:val="004C28A1"/>
    <w:rsid w:val="004C2951"/>
    <w:rsid w:val="004C2B48"/>
    <w:rsid w:val="004C2B56"/>
    <w:rsid w:val="004C2CF3"/>
    <w:rsid w:val="004C2FC3"/>
    <w:rsid w:val="004C31B3"/>
    <w:rsid w:val="004C3455"/>
    <w:rsid w:val="004C37A3"/>
    <w:rsid w:val="004C3C1B"/>
    <w:rsid w:val="004C4008"/>
    <w:rsid w:val="004C475E"/>
    <w:rsid w:val="004C4CE9"/>
    <w:rsid w:val="004C522F"/>
    <w:rsid w:val="004C58EB"/>
    <w:rsid w:val="004C58ED"/>
    <w:rsid w:val="004C5967"/>
    <w:rsid w:val="004C5A6C"/>
    <w:rsid w:val="004C5A97"/>
    <w:rsid w:val="004C5F29"/>
    <w:rsid w:val="004C6397"/>
    <w:rsid w:val="004C655B"/>
    <w:rsid w:val="004C66A7"/>
    <w:rsid w:val="004C6738"/>
    <w:rsid w:val="004C7254"/>
    <w:rsid w:val="004C7914"/>
    <w:rsid w:val="004C7ABA"/>
    <w:rsid w:val="004C7C3D"/>
    <w:rsid w:val="004D0036"/>
    <w:rsid w:val="004D0665"/>
    <w:rsid w:val="004D0C42"/>
    <w:rsid w:val="004D0EF2"/>
    <w:rsid w:val="004D1057"/>
    <w:rsid w:val="004D130A"/>
    <w:rsid w:val="004D1478"/>
    <w:rsid w:val="004D160C"/>
    <w:rsid w:val="004D1BA7"/>
    <w:rsid w:val="004D223F"/>
    <w:rsid w:val="004D267B"/>
    <w:rsid w:val="004D35DF"/>
    <w:rsid w:val="004D3AA8"/>
    <w:rsid w:val="004D3E63"/>
    <w:rsid w:val="004D4323"/>
    <w:rsid w:val="004D4E69"/>
    <w:rsid w:val="004D4EC6"/>
    <w:rsid w:val="004D5857"/>
    <w:rsid w:val="004D6335"/>
    <w:rsid w:val="004D6848"/>
    <w:rsid w:val="004D6FC6"/>
    <w:rsid w:val="004D7595"/>
    <w:rsid w:val="004D75C5"/>
    <w:rsid w:val="004D767C"/>
    <w:rsid w:val="004D772C"/>
    <w:rsid w:val="004D7ACE"/>
    <w:rsid w:val="004E0D28"/>
    <w:rsid w:val="004E10AD"/>
    <w:rsid w:val="004E145C"/>
    <w:rsid w:val="004E146A"/>
    <w:rsid w:val="004E16C9"/>
    <w:rsid w:val="004E1884"/>
    <w:rsid w:val="004E190F"/>
    <w:rsid w:val="004E19DB"/>
    <w:rsid w:val="004E28F1"/>
    <w:rsid w:val="004E2B46"/>
    <w:rsid w:val="004E34A4"/>
    <w:rsid w:val="004E380D"/>
    <w:rsid w:val="004E4361"/>
    <w:rsid w:val="004E43D8"/>
    <w:rsid w:val="004E4439"/>
    <w:rsid w:val="004E4A17"/>
    <w:rsid w:val="004E4A6C"/>
    <w:rsid w:val="004E51C5"/>
    <w:rsid w:val="004E57A9"/>
    <w:rsid w:val="004E64D6"/>
    <w:rsid w:val="004E677E"/>
    <w:rsid w:val="004E69B3"/>
    <w:rsid w:val="004E6D33"/>
    <w:rsid w:val="004E6F5C"/>
    <w:rsid w:val="004E6FD9"/>
    <w:rsid w:val="004E7006"/>
    <w:rsid w:val="004E7246"/>
    <w:rsid w:val="004E7A78"/>
    <w:rsid w:val="004E7FC2"/>
    <w:rsid w:val="004F14BE"/>
    <w:rsid w:val="004F19A7"/>
    <w:rsid w:val="004F1E1E"/>
    <w:rsid w:val="004F1EF0"/>
    <w:rsid w:val="004F20D1"/>
    <w:rsid w:val="004F2380"/>
    <w:rsid w:val="004F254F"/>
    <w:rsid w:val="004F27B1"/>
    <w:rsid w:val="004F2F22"/>
    <w:rsid w:val="004F3A48"/>
    <w:rsid w:val="004F4C9E"/>
    <w:rsid w:val="004F4D2C"/>
    <w:rsid w:val="004F4D95"/>
    <w:rsid w:val="004F4E18"/>
    <w:rsid w:val="004F5156"/>
    <w:rsid w:val="004F51DF"/>
    <w:rsid w:val="004F5409"/>
    <w:rsid w:val="004F55C7"/>
    <w:rsid w:val="004F5956"/>
    <w:rsid w:val="004F5A0F"/>
    <w:rsid w:val="004F5A6D"/>
    <w:rsid w:val="004F6318"/>
    <w:rsid w:val="004F634B"/>
    <w:rsid w:val="004F6690"/>
    <w:rsid w:val="004F6815"/>
    <w:rsid w:val="004F6895"/>
    <w:rsid w:val="004F68C7"/>
    <w:rsid w:val="004F69BA"/>
    <w:rsid w:val="004F6B49"/>
    <w:rsid w:val="004F6C51"/>
    <w:rsid w:val="004F7268"/>
    <w:rsid w:val="004F72E3"/>
    <w:rsid w:val="004F72E8"/>
    <w:rsid w:val="004F7599"/>
    <w:rsid w:val="005001C0"/>
    <w:rsid w:val="005001D2"/>
    <w:rsid w:val="00500816"/>
    <w:rsid w:val="005008F0"/>
    <w:rsid w:val="00500D06"/>
    <w:rsid w:val="00501282"/>
    <w:rsid w:val="0050138A"/>
    <w:rsid w:val="00501656"/>
    <w:rsid w:val="00501691"/>
    <w:rsid w:val="00501DF6"/>
    <w:rsid w:val="00502392"/>
    <w:rsid w:val="005023B8"/>
    <w:rsid w:val="0050251D"/>
    <w:rsid w:val="00502893"/>
    <w:rsid w:val="0050309C"/>
    <w:rsid w:val="005034E8"/>
    <w:rsid w:val="00503596"/>
    <w:rsid w:val="00503874"/>
    <w:rsid w:val="00503937"/>
    <w:rsid w:val="00503960"/>
    <w:rsid w:val="00503BBD"/>
    <w:rsid w:val="00503ED5"/>
    <w:rsid w:val="00504B34"/>
    <w:rsid w:val="00504D4B"/>
    <w:rsid w:val="0050514E"/>
    <w:rsid w:val="00505500"/>
    <w:rsid w:val="00505B7D"/>
    <w:rsid w:val="00505D91"/>
    <w:rsid w:val="00506024"/>
    <w:rsid w:val="00506299"/>
    <w:rsid w:val="005065AB"/>
    <w:rsid w:val="00506625"/>
    <w:rsid w:val="00506CD5"/>
    <w:rsid w:val="00506D90"/>
    <w:rsid w:val="00507BFD"/>
    <w:rsid w:val="00507CF9"/>
    <w:rsid w:val="00507ED6"/>
    <w:rsid w:val="00507FDF"/>
    <w:rsid w:val="0051022A"/>
    <w:rsid w:val="005105F1"/>
    <w:rsid w:val="00510905"/>
    <w:rsid w:val="00510C66"/>
    <w:rsid w:val="00510F1D"/>
    <w:rsid w:val="0051100C"/>
    <w:rsid w:val="00511104"/>
    <w:rsid w:val="00511272"/>
    <w:rsid w:val="0051151C"/>
    <w:rsid w:val="005118EB"/>
    <w:rsid w:val="00511992"/>
    <w:rsid w:val="00511B1A"/>
    <w:rsid w:val="0051216C"/>
    <w:rsid w:val="00512242"/>
    <w:rsid w:val="00512332"/>
    <w:rsid w:val="005125DF"/>
    <w:rsid w:val="00512A24"/>
    <w:rsid w:val="005131F3"/>
    <w:rsid w:val="005132B9"/>
    <w:rsid w:val="0051488D"/>
    <w:rsid w:val="00514C77"/>
    <w:rsid w:val="00515605"/>
    <w:rsid w:val="0051568F"/>
    <w:rsid w:val="00515837"/>
    <w:rsid w:val="00515881"/>
    <w:rsid w:val="00515F61"/>
    <w:rsid w:val="005160A7"/>
    <w:rsid w:val="005160B6"/>
    <w:rsid w:val="005160D0"/>
    <w:rsid w:val="00516410"/>
    <w:rsid w:val="00516696"/>
    <w:rsid w:val="00516E26"/>
    <w:rsid w:val="00516EFE"/>
    <w:rsid w:val="005170E8"/>
    <w:rsid w:val="00517261"/>
    <w:rsid w:val="00517299"/>
    <w:rsid w:val="005173A3"/>
    <w:rsid w:val="00517D80"/>
    <w:rsid w:val="005206D4"/>
    <w:rsid w:val="00520C4C"/>
    <w:rsid w:val="005210CC"/>
    <w:rsid w:val="0052134F"/>
    <w:rsid w:val="005218ED"/>
    <w:rsid w:val="00521C59"/>
    <w:rsid w:val="00521F3A"/>
    <w:rsid w:val="0052267E"/>
    <w:rsid w:val="0052340C"/>
    <w:rsid w:val="005238F3"/>
    <w:rsid w:val="005238FA"/>
    <w:rsid w:val="00523B62"/>
    <w:rsid w:val="00524117"/>
    <w:rsid w:val="0052453D"/>
    <w:rsid w:val="005246A2"/>
    <w:rsid w:val="00524AE7"/>
    <w:rsid w:val="00524E08"/>
    <w:rsid w:val="0052534D"/>
    <w:rsid w:val="00525E7A"/>
    <w:rsid w:val="0052600A"/>
    <w:rsid w:val="00526CAE"/>
    <w:rsid w:val="00526F93"/>
    <w:rsid w:val="00527122"/>
    <w:rsid w:val="00527770"/>
    <w:rsid w:val="0052798E"/>
    <w:rsid w:val="00527B5E"/>
    <w:rsid w:val="00527E1B"/>
    <w:rsid w:val="00527E4E"/>
    <w:rsid w:val="005302C4"/>
    <w:rsid w:val="00530ABB"/>
    <w:rsid w:val="0053126E"/>
    <w:rsid w:val="00531291"/>
    <w:rsid w:val="0053133B"/>
    <w:rsid w:val="005316E6"/>
    <w:rsid w:val="00531B7E"/>
    <w:rsid w:val="00531D88"/>
    <w:rsid w:val="00532021"/>
    <w:rsid w:val="005320C3"/>
    <w:rsid w:val="00532390"/>
    <w:rsid w:val="00532424"/>
    <w:rsid w:val="00532448"/>
    <w:rsid w:val="00532849"/>
    <w:rsid w:val="00532E30"/>
    <w:rsid w:val="00533455"/>
    <w:rsid w:val="00533A61"/>
    <w:rsid w:val="00533BC8"/>
    <w:rsid w:val="00533E3D"/>
    <w:rsid w:val="005343DF"/>
    <w:rsid w:val="005344D0"/>
    <w:rsid w:val="00534508"/>
    <w:rsid w:val="00534992"/>
    <w:rsid w:val="005349F7"/>
    <w:rsid w:val="00534E72"/>
    <w:rsid w:val="00535073"/>
    <w:rsid w:val="005350DF"/>
    <w:rsid w:val="005351AB"/>
    <w:rsid w:val="00535394"/>
    <w:rsid w:val="00535933"/>
    <w:rsid w:val="00535C39"/>
    <w:rsid w:val="005361AD"/>
    <w:rsid w:val="00536CAF"/>
    <w:rsid w:val="00537350"/>
    <w:rsid w:val="00537505"/>
    <w:rsid w:val="0053751A"/>
    <w:rsid w:val="00537B0A"/>
    <w:rsid w:val="00540097"/>
    <w:rsid w:val="0054066A"/>
    <w:rsid w:val="005406B1"/>
    <w:rsid w:val="0054078E"/>
    <w:rsid w:val="00540A3B"/>
    <w:rsid w:val="00540A7C"/>
    <w:rsid w:val="00540F60"/>
    <w:rsid w:val="00541C75"/>
    <w:rsid w:val="00541E16"/>
    <w:rsid w:val="005422C2"/>
    <w:rsid w:val="00542465"/>
    <w:rsid w:val="00542AAC"/>
    <w:rsid w:val="00542F3E"/>
    <w:rsid w:val="005434B1"/>
    <w:rsid w:val="0054354E"/>
    <w:rsid w:val="00543965"/>
    <w:rsid w:val="00543B11"/>
    <w:rsid w:val="00543C42"/>
    <w:rsid w:val="00543FB6"/>
    <w:rsid w:val="00544763"/>
    <w:rsid w:val="005449FE"/>
    <w:rsid w:val="00544A3B"/>
    <w:rsid w:val="00544B12"/>
    <w:rsid w:val="0054523E"/>
    <w:rsid w:val="0054539E"/>
    <w:rsid w:val="005457CD"/>
    <w:rsid w:val="0054581D"/>
    <w:rsid w:val="00545A38"/>
    <w:rsid w:val="005465FD"/>
    <w:rsid w:val="00546687"/>
    <w:rsid w:val="0054681F"/>
    <w:rsid w:val="005469E6"/>
    <w:rsid w:val="00546C85"/>
    <w:rsid w:val="00546DB2"/>
    <w:rsid w:val="00547355"/>
    <w:rsid w:val="005474AE"/>
    <w:rsid w:val="00547BEB"/>
    <w:rsid w:val="00547CB6"/>
    <w:rsid w:val="00547E0A"/>
    <w:rsid w:val="00547F6C"/>
    <w:rsid w:val="0055003C"/>
    <w:rsid w:val="00550517"/>
    <w:rsid w:val="005508C8"/>
    <w:rsid w:val="00550945"/>
    <w:rsid w:val="00550DEB"/>
    <w:rsid w:val="005510BE"/>
    <w:rsid w:val="005513BE"/>
    <w:rsid w:val="00551828"/>
    <w:rsid w:val="00551E1B"/>
    <w:rsid w:val="00551F75"/>
    <w:rsid w:val="005520AC"/>
    <w:rsid w:val="00552B6A"/>
    <w:rsid w:val="00552D73"/>
    <w:rsid w:val="00552F54"/>
    <w:rsid w:val="0055325E"/>
    <w:rsid w:val="00553495"/>
    <w:rsid w:val="0055387B"/>
    <w:rsid w:val="00554267"/>
    <w:rsid w:val="00554736"/>
    <w:rsid w:val="00554B61"/>
    <w:rsid w:val="00554CC0"/>
    <w:rsid w:val="00554F21"/>
    <w:rsid w:val="00555127"/>
    <w:rsid w:val="00555141"/>
    <w:rsid w:val="005553E1"/>
    <w:rsid w:val="0055575F"/>
    <w:rsid w:val="00555A00"/>
    <w:rsid w:val="00555E98"/>
    <w:rsid w:val="00556288"/>
    <w:rsid w:val="00556C0A"/>
    <w:rsid w:val="00556DCD"/>
    <w:rsid w:val="0055729F"/>
    <w:rsid w:val="005573C9"/>
    <w:rsid w:val="0055782C"/>
    <w:rsid w:val="005578C5"/>
    <w:rsid w:val="005601FE"/>
    <w:rsid w:val="005608AF"/>
    <w:rsid w:val="00560A37"/>
    <w:rsid w:val="00560A8F"/>
    <w:rsid w:val="00560B96"/>
    <w:rsid w:val="00560DA5"/>
    <w:rsid w:val="00560F17"/>
    <w:rsid w:val="00560FD4"/>
    <w:rsid w:val="005611EB"/>
    <w:rsid w:val="005619EF"/>
    <w:rsid w:val="00562355"/>
    <w:rsid w:val="0056263A"/>
    <w:rsid w:val="005630FE"/>
    <w:rsid w:val="005631C4"/>
    <w:rsid w:val="005636FF"/>
    <w:rsid w:val="00564662"/>
    <w:rsid w:val="0056481E"/>
    <w:rsid w:val="00564B22"/>
    <w:rsid w:val="0056547C"/>
    <w:rsid w:val="00565974"/>
    <w:rsid w:val="00566428"/>
    <w:rsid w:val="00566747"/>
    <w:rsid w:val="0056674C"/>
    <w:rsid w:val="005669A7"/>
    <w:rsid w:val="00567036"/>
    <w:rsid w:val="00567323"/>
    <w:rsid w:val="005674ED"/>
    <w:rsid w:val="00567632"/>
    <w:rsid w:val="005676A0"/>
    <w:rsid w:val="0056798B"/>
    <w:rsid w:val="005679E2"/>
    <w:rsid w:val="00567EF7"/>
    <w:rsid w:val="005704F0"/>
    <w:rsid w:val="00570696"/>
    <w:rsid w:val="00570869"/>
    <w:rsid w:val="00571195"/>
    <w:rsid w:val="00571323"/>
    <w:rsid w:val="00571C02"/>
    <w:rsid w:val="00571F81"/>
    <w:rsid w:val="00572144"/>
    <w:rsid w:val="00572235"/>
    <w:rsid w:val="005726D6"/>
    <w:rsid w:val="00573142"/>
    <w:rsid w:val="0057321C"/>
    <w:rsid w:val="00573F0A"/>
    <w:rsid w:val="0057413B"/>
    <w:rsid w:val="00574820"/>
    <w:rsid w:val="0057491E"/>
    <w:rsid w:val="00574D7B"/>
    <w:rsid w:val="0057501A"/>
    <w:rsid w:val="0057564A"/>
    <w:rsid w:val="00575F45"/>
    <w:rsid w:val="00576569"/>
    <w:rsid w:val="00576658"/>
    <w:rsid w:val="00576751"/>
    <w:rsid w:val="0057688D"/>
    <w:rsid w:val="00576EED"/>
    <w:rsid w:val="00577451"/>
    <w:rsid w:val="005775B6"/>
    <w:rsid w:val="00577734"/>
    <w:rsid w:val="00577839"/>
    <w:rsid w:val="0057794E"/>
    <w:rsid w:val="00577D3C"/>
    <w:rsid w:val="00580117"/>
    <w:rsid w:val="005808A0"/>
    <w:rsid w:val="005808DC"/>
    <w:rsid w:val="00580933"/>
    <w:rsid w:val="00580BB1"/>
    <w:rsid w:val="005812BD"/>
    <w:rsid w:val="0058132F"/>
    <w:rsid w:val="00581C09"/>
    <w:rsid w:val="00581D01"/>
    <w:rsid w:val="00581F82"/>
    <w:rsid w:val="005821B3"/>
    <w:rsid w:val="00582206"/>
    <w:rsid w:val="00582369"/>
    <w:rsid w:val="0058275E"/>
    <w:rsid w:val="005829A0"/>
    <w:rsid w:val="00582A1A"/>
    <w:rsid w:val="00582A4B"/>
    <w:rsid w:val="00582B2C"/>
    <w:rsid w:val="00582EB6"/>
    <w:rsid w:val="00582F36"/>
    <w:rsid w:val="00583081"/>
    <w:rsid w:val="00583220"/>
    <w:rsid w:val="00583457"/>
    <w:rsid w:val="00583706"/>
    <w:rsid w:val="00583957"/>
    <w:rsid w:val="00583D42"/>
    <w:rsid w:val="0058436E"/>
    <w:rsid w:val="00584CBB"/>
    <w:rsid w:val="0058505F"/>
    <w:rsid w:val="0058539F"/>
    <w:rsid w:val="00585876"/>
    <w:rsid w:val="005861A0"/>
    <w:rsid w:val="00586224"/>
    <w:rsid w:val="00586B4E"/>
    <w:rsid w:val="005879FA"/>
    <w:rsid w:val="00587C19"/>
    <w:rsid w:val="0059002E"/>
    <w:rsid w:val="005907A5"/>
    <w:rsid w:val="00591513"/>
    <w:rsid w:val="005917D1"/>
    <w:rsid w:val="00591BF8"/>
    <w:rsid w:val="00593163"/>
    <w:rsid w:val="00593776"/>
    <w:rsid w:val="00593940"/>
    <w:rsid w:val="00593E57"/>
    <w:rsid w:val="005943F1"/>
    <w:rsid w:val="0059515C"/>
    <w:rsid w:val="005952B7"/>
    <w:rsid w:val="005952CF"/>
    <w:rsid w:val="005952F1"/>
    <w:rsid w:val="00595519"/>
    <w:rsid w:val="00595C03"/>
    <w:rsid w:val="00595EA1"/>
    <w:rsid w:val="0059682A"/>
    <w:rsid w:val="00596A26"/>
    <w:rsid w:val="00596F5E"/>
    <w:rsid w:val="00597747"/>
    <w:rsid w:val="00597C15"/>
    <w:rsid w:val="005A0770"/>
    <w:rsid w:val="005A123F"/>
    <w:rsid w:val="005A12E3"/>
    <w:rsid w:val="005A12F0"/>
    <w:rsid w:val="005A1961"/>
    <w:rsid w:val="005A1BB7"/>
    <w:rsid w:val="005A2207"/>
    <w:rsid w:val="005A2578"/>
    <w:rsid w:val="005A2BE0"/>
    <w:rsid w:val="005A2D1B"/>
    <w:rsid w:val="005A2F2E"/>
    <w:rsid w:val="005A3460"/>
    <w:rsid w:val="005A34A1"/>
    <w:rsid w:val="005A35B7"/>
    <w:rsid w:val="005A37FA"/>
    <w:rsid w:val="005A3853"/>
    <w:rsid w:val="005A413E"/>
    <w:rsid w:val="005A47CD"/>
    <w:rsid w:val="005A492F"/>
    <w:rsid w:val="005A4BCF"/>
    <w:rsid w:val="005A4DF3"/>
    <w:rsid w:val="005A4E57"/>
    <w:rsid w:val="005A5071"/>
    <w:rsid w:val="005A5C5A"/>
    <w:rsid w:val="005A5E59"/>
    <w:rsid w:val="005A5FF3"/>
    <w:rsid w:val="005A677F"/>
    <w:rsid w:val="005A6A06"/>
    <w:rsid w:val="005A6F13"/>
    <w:rsid w:val="005A720A"/>
    <w:rsid w:val="005A751E"/>
    <w:rsid w:val="005A7979"/>
    <w:rsid w:val="005A7B56"/>
    <w:rsid w:val="005B0294"/>
    <w:rsid w:val="005B04DA"/>
    <w:rsid w:val="005B08EA"/>
    <w:rsid w:val="005B0F00"/>
    <w:rsid w:val="005B102D"/>
    <w:rsid w:val="005B1167"/>
    <w:rsid w:val="005B12B4"/>
    <w:rsid w:val="005B1353"/>
    <w:rsid w:val="005B145F"/>
    <w:rsid w:val="005B14EB"/>
    <w:rsid w:val="005B1F56"/>
    <w:rsid w:val="005B2167"/>
    <w:rsid w:val="005B225E"/>
    <w:rsid w:val="005B2917"/>
    <w:rsid w:val="005B2ABC"/>
    <w:rsid w:val="005B2DD4"/>
    <w:rsid w:val="005B2DFD"/>
    <w:rsid w:val="005B2E57"/>
    <w:rsid w:val="005B2F04"/>
    <w:rsid w:val="005B30CB"/>
    <w:rsid w:val="005B33A2"/>
    <w:rsid w:val="005B33E8"/>
    <w:rsid w:val="005B37C3"/>
    <w:rsid w:val="005B4098"/>
    <w:rsid w:val="005B44D6"/>
    <w:rsid w:val="005B4C79"/>
    <w:rsid w:val="005B52ED"/>
    <w:rsid w:val="005B56A7"/>
    <w:rsid w:val="005B5888"/>
    <w:rsid w:val="005B5BA0"/>
    <w:rsid w:val="005B5BBE"/>
    <w:rsid w:val="005B5D86"/>
    <w:rsid w:val="005B5E0C"/>
    <w:rsid w:val="005B6B8D"/>
    <w:rsid w:val="005B6BB7"/>
    <w:rsid w:val="005B6EB7"/>
    <w:rsid w:val="005B6F00"/>
    <w:rsid w:val="005B77E2"/>
    <w:rsid w:val="005B7869"/>
    <w:rsid w:val="005B7A7D"/>
    <w:rsid w:val="005B7C19"/>
    <w:rsid w:val="005B7DED"/>
    <w:rsid w:val="005B7EF7"/>
    <w:rsid w:val="005C09EF"/>
    <w:rsid w:val="005C0A10"/>
    <w:rsid w:val="005C165E"/>
    <w:rsid w:val="005C19BB"/>
    <w:rsid w:val="005C1E8F"/>
    <w:rsid w:val="005C2700"/>
    <w:rsid w:val="005C27FE"/>
    <w:rsid w:val="005C2886"/>
    <w:rsid w:val="005C28AA"/>
    <w:rsid w:val="005C2E56"/>
    <w:rsid w:val="005C2ECF"/>
    <w:rsid w:val="005C3469"/>
    <w:rsid w:val="005C388F"/>
    <w:rsid w:val="005C3A14"/>
    <w:rsid w:val="005C3FA7"/>
    <w:rsid w:val="005C4B3C"/>
    <w:rsid w:val="005C5369"/>
    <w:rsid w:val="005C5652"/>
    <w:rsid w:val="005C5B86"/>
    <w:rsid w:val="005C5C25"/>
    <w:rsid w:val="005C60FD"/>
    <w:rsid w:val="005C61F2"/>
    <w:rsid w:val="005C64F8"/>
    <w:rsid w:val="005C6542"/>
    <w:rsid w:val="005C692A"/>
    <w:rsid w:val="005C6970"/>
    <w:rsid w:val="005C6AC0"/>
    <w:rsid w:val="005C6AC7"/>
    <w:rsid w:val="005C6B40"/>
    <w:rsid w:val="005C6CD7"/>
    <w:rsid w:val="005C78D2"/>
    <w:rsid w:val="005C7AFE"/>
    <w:rsid w:val="005D03E5"/>
    <w:rsid w:val="005D04AE"/>
    <w:rsid w:val="005D13B9"/>
    <w:rsid w:val="005D1BCC"/>
    <w:rsid w:val="005D1FBF"/>
    <w:rsid w:val="005D265A"/>
    <w:rsid w:val="005D2DC3"/>
    <w:rsid w:val="005D3012"/>
    <w:rsid w:val="005D3365"/>
    <w:rsid w:val="005D35B5"/>
    <w:rsid w:val="005D3683"/>
    <w:rsid w:val="005D3F07"/>
    <w:rsid w:val="005D42C8"/>
    <w:rsid w:val="005D448F"/>
    <w:rsid w:val="005D4494"/>
    <w:rsid w:val="005D4B3A"/>
    <w:rsid w:val="005D4BA6"/>
    <w:rsid w:val="005D4F41"/>
    <w:rsid w:val="005D4FF1"/>
    <w:rsid w:val="005D530C"/>
    <w:rsid w:val="005D5A9F"/>
    <w:rsid w:val="005D5B61"/>
    <w:rsid w:val="005D5E57"/>
    <w:rsid w:val="005D5EA7"/>
    <w:rsid w:val="005D616A"/>
    <w:rsid w:val="005D6368"/>
    <w:rsid w:val="005D6B0F"/>
    <w:rsid w:val="005D788D"/>
    <w:rsid w:val="005D78DC"/>
    <w:rsid w:val="005D7F83"/>
    <w:rsid w:val="005E0298"/>
    <w:rsid w:val="005E0723"/>
    <w:rsid w:val="005E07D5"/>
    <w:rsid w:val="005E0F47"/>
    <w:rsid w:val="005E0F60"/>
    <w:rsid w:val="005E1A38"/>
    <w:rsid w:val="005E2003"/>
    <w:rsid w:val="005E201D"/>
    <w:rsid w:val="005E2594"/>
    <w:rsid w:val="005E25FD"/>
    <w:rsid w:val="005E2699"/>
    <w:rsid w:val="005E2A0A"/>
    <w:rsid w:val="005E2D2E"/>
    <w:rsid w:val="005E3506"/>
    <w:rsid w:val="005E3917"/>
    <w:rsid w:val="005E4A02"/>
    <w:rsid w:val="005E4A4D"/>
    <w:rsid w:val="005E5A64"/>
    <w:rsid w:val="005E60C5"/>
    <w:rsid w:val="005E61C3"/>
    <w:rsid w:val="005E6715"/>
    <w:rsid w:val="005E674F"/>
    <w:rsid w:val="005E6805"/>
    <w:rsid w:val="005E6EE6"/>
    <w:rsid w:val="005E7183"/>
    <w:rsid w:val="005E731D"/>
    <w:rsid w:val="005E74CB"/>
    <w:rsid w:val="005E7536"/>
    <w:rsid w:val="005E7DE5"/>
    <w:rsid w:val="005E7F6E"/>
    <w:rsid w:val="005F03B3"/>
    <w:rsid w:val="005F0AE8"/>
    <w:rsid w:val="005F0E99"/>
    <w:rsid w:val="005F11DA"/>
    <w:rsid w:val="005F16F5"/>
    <w:rsid w:val="005F1879"/>
    <w:rsid w:val="005F2468"/>
    <w:rsid w:val="005F25B8"/>
    <w:rsid w:val="005F2748"/>
    <w:rsid w:val="005F27B8"/>
    <w:rsid w:val="005F2D3B"/>
    <w:rsid w:val="005F31BF"/>
    <w:rsid w:val="005F34A5"/>
    <w:rsid w:val="005F35C2"/>
    <w:rsid w:val="005F3BF1"/>
    <w:rsid w:val="005F42E3"/>
    <w:rsid w:val="005F4493"/>
    <w:rsid w:val="005F45F2"/>
    <w:rsid w:val="005F5269"/>
    <w:rsid w:val="005F57D0"/>
    <w:rsid w:val="005F5CD4"/>
    <w:rsid w:val="005F5E4B"/>
    <w:rsid w:val="005F628D"/>
    <w:rsid w:val="005F6550"/>
    <w:rsid w:val="005F6561"/>
    <w:rsid w:val="005F6650"/>
    <w:rsid w:val="005F6A9E"/>
    <w:rsid w:val="005F715F"/>
    <w:rsid w:val="005F7AB4"/>
    <w:rsid w:val="005F7F68"/>
    <w:rsid w:val="006002C6"/>
    <w:rsid w:val="0060035B"/>
    <w:rsid w:val="00601579"/>
    <w:rsid w:val="00601650"/>
    <w:rsid w:val="006017C4"/>
    <w:rsid w:val="006018AE"/>
    <w:rsid w:val="00601AA4"/>
    <w:rsid w:val="00601C7F"/>
    <w:rsid w:val="00601D91"/>
    <w:rsid w:val="00602092"/>
    <w:rsid w:val="006021EB"/>
    <w:rsid w:val="00602D1E"/>
    <w:rsid w:val="00602D88"/>
    <w:rsid w:val="00602E69"/>
    <w:rsid w:val="00603023"/>
    <w:rsid w:val="00603042"/>
    <w:rsid w:val="006036F0"/>
    <w:rsid w:val="00603D92"/>
    <w:rsid w:val="00603E0A"/>
    <w:rsid w:val="00603F94"/>
    <w:rsid w:val="006040C5"/>
    <w:rsid w:val="006046F8"/>
    <w:rsid w:val="006048EC"/>
    <w:rsid w:val="0060491C"/>
    <w:rsid w:val="0060499E"/>
    <w:rsid w:val="00605014"/>
    <w:rsid w:val="006056E7"/>
    <w:rsid w:val="006059F9"/>
    <w:rsid w:val="00605CF1"/>
    <w:rsid w:val="00605E15"/>
    <w:rsid w:val="00605E3D"/>
    <w:rsid w:val="00606A16"/>
    <w:rsid w:val="00607990"/>
    <w:rsid w:val="00607C1D"/>
    <w:rsid w:val="00607DDD"/>
    <w:rsid w:val="00607EFB"/>
    <w:rsid w:val="00607F2A"/>
    <w:rsid w:val="006102E9"/>
    <w:rsid w:val="00610608"/>
    <w:rsid w:val="00610FB0"/>
    <w:rsid w:val="00611398"/>
    <w:rsid w:val="006114BA"/>
    <w:rsid w:val="0061178D"/>
    <w:rsid w:val="00611AB7"/>
    <w:rsid w:val="00612560"/>
    <w:rsid w:val="006127BB"/>
    <w:rsid w:val="006131A6"/>
    <w:rsid w:val="006132BE"/>
    <w:rsid w:val="006132C1"/>
    <w:rsid w:val="00613326"/>
    <w:rsid w:val="00613433"/>
    <w:rsid w:val="00613554"/>
    <w:rsid w:val="00613674"/>
    <w:rsid w:val="00613D36"/>
    <w:rsid w:val="00613E5C"/>
    <w:rsid w:val="006142B0"/>
    <w:rsid w:val="00614377"/>
    <w:rsid w:val="00614623"/>
    <w:rsid w:val="006146B1"/>
    <w:rsid w:val="00614AC4"/>
    <w:rsid w:val="006153A3"/>
    <w:rsid w:val="006153AB"/>
    <w:rsid w:val="0061566E"/>
    <w:rsid w:val="00615A47"/>
    <w:rsid w:val="00615E34"/>
    <w:rsid w:val="006165FF"/>
    <w:rsid w:val="00616731"/>
    <w:rsid w:val="0061682B"/>
    <w:rsid w:val="00616951"/>
    <w:rsid w:val="00617CB3"/>
    <w:rsid w:val="00617D86"/>
    <w:rsid w:val="00617E0C"/>
    <w:rsid w:val="00620500"/>
    <w:rsid w:val="00620D86"/>
    <w:rsid w:val="00620F40"/>
    <w:rsid w:val="00621CFB"/>
    <w:rsid w:val="00622313"/>
    <w:rsid w:val="0062235A"/>
    <w:rsid w:val="006226BA"/>
    <w:rsid w:val="006236A9"/>
    <w:rsid w:val="00623A23"/>
    <w:rsid w:val="00623CD6"/>
    <w:rsid w:val="00623F16"/>
    <w:rsid w:val="00624766"/>
    <w:rsid w:val="00624ADF"/>
    <w:rsid w:val="006250FB"/>
    <w:rsid w:val="00625751"/>
    <w:rsid w:val="00625AB2"/>
    <w:rsid w:val="00625BB9"/>
    <w:rsid w:val="00625D91"/>
    <w:rsid w:val="006264A3"/>
    <w:rsid w:val="006269AF"/>
    <w:rsid w:val="006269CF"/>
    <w:rsid w:val="006277D9"/>
    <w:rsid w:val="00627984"/>
    <w:rsid w:val="00627B7C"/>
    <w:rsid w:val="00627C20"/>
    <w:rsid w:val="00630B9F"/>
    <w:rsid w:val="00630EF8"/>
    <w:rsid w:val="006310AD"/>
    <w:rsid w:val="006313DC"/>
    <w:rsid w:val="00631502"/>
    <w:rsid w:val="006318C2"/>
    <w:rsid w:val="00631B01"/>
    <w:rsid w:val="00631FD5"/>
    <w:rsid w:val="006322ED"/>
    <w:rsid w:val="0063251A"/>
    <w:rsid w:val="006327C2"/>
    <w:rsid w:val="00632936"/>
    <w:rsid w:val="00632A37"/>
    <w:rsid w:val="00632AC2"/>
    <w:rsid w:val="00632E89"/>
    <w:rsid w:val="006330C4"/>
    <w:rsid w:val="00633445"/>
    <w:rsid w:val="00633556"/>
    <w:rsid w:val="00633A31"/>
    <w:rsid w:val="00633ADE"/>
    <w:rsid w:val="00634591"/>
    <w:rsid w:val="00634632"/>
    <w:rsid w:val="0063480D"/>
    <w:rsid w:val="006348CE"/>
    <w:rsid w:val="006349DB"/>
    <w:rsid w:val="00634D0E"/>
    <w:rsid w:val="00635C09"/>
    <w:rsid w:val="00635E58"/>
    <w:rsid w:val="0063615D"/>
    <w:rsid w:val="00636592"/>
    <w:rsid w:val="00636DCE"/>
    <w:rsid w:val="00636EE9"/>
    <w:rsid w:val="00636F28"/>
    <w:rsid w:val="006401E3"/>
    <w:rsid w:val="0064024C"/>
    <w:rsid w:val="00640E6B"/>
    <w:rsid w:val="00641086"/>
    <w:rsid w:val="006416A3"/>
    <w:rsid w:val="00641EFC"/>
    <w:rsid w:val="00642041"/>
    <w:rsid w:val="00642A12"/>
    <w:rsid w:val="00642C9C"/>
    <w:rsid w:val="00642DB8"/>
    <w:rsid w:val="0064339A"/>
    <w:rsid w:val="00643883"/>
    <w:rsid w:val="006438F9"/>
    <w:rsid w:val="006439AE"/>
    <w:rsid w:val="00643C86"/>
    <w:rsid w:val="0064475C"/>
    <w:rsid w:val="00645258"/>
    <w:rsid w:val="00645D73"/>
    <w:rsid w:val="00645ECA"/>
    <w:rsid w:val="00645F06"/>
    <w:rsid w:val="0064648E"/>
    <w:rsid w:val="0064653E"/>
    <w:rsid w:val="0064667D"/>
    <w:rsid w:val="0064700F"/>
    <w:rsid w:val="00647581"/>
    <w:rsid w:val="0064761E"/>
    <w:rsid w:val="00647713"/>
    <w:rsid w:val="00647776"/>
    <w:rsid w:val="006477B0"/>
    <w:rsid w:val="00651138"/>
    <w:rsid w:val="006519EB"/>
    <w:rsid w:val="00651A4E"/>
    <w:rsid w:val="00651B73"/>
    <w:rsid w:val="00651D7C"/>
    <w:rsid w:val="00651F9B"/>
    <w:rsid w:val="006525A9"/>
    <w:rsid w:val="006526EE"/>
    <w:rsid w:val="00652A67"/>
    <w:rsid w:val="00652EFA"/>
    <w:rsid w:val="00652F58"/>
    <w:rsid w:val="006532BF"/>
    <w:rsid w:val="006539E4"/>
    <w:rsid w:val="00653BAB"/>
    <w:rsid w:val="00653D3E"/>
    <w:rsid w:val="006545C3"/>
    <w:rsid w:val="00654852"/>
    <w:rsid w:val="00654C9D"/>
    <w:rsid w:val="00654E5E"/>
    <w:rsid w:val="00654E9F"/>
    <w:rsid w:val="006555E1"/>
    <w:rsid w:val="0065562F"/>
    <w:rsid w:val="00655B0E"/>
    <w:rsid w:val="00655BB0"/>
    <w:rsid w:val="00655D60"/>
    <w:rsid w:val="006561E8"/>
    <w:rsid w:val="006567BA"/>
    <w:rsid w:val="00656E83"/>
    <w:rsid w:val="00656FB4"/>
    <w:rsid w:val="006572C1"/>
    <w:rsid w:val="0065762F"/>
    <w:rsid w:val="00660007"/>
    <w:rsid w:val="00660473"/>
    <w:rsid w:val="006608A2"/>
    <w:rsid w:val="00660A02"/>
    <w:rsid w:val="00660ABC"/>
    <w:rsid w:val="00660E56"/>
    <w:rsid w:val="006615DD"/>
    <w:rsid w:val="006616A5"/>
    <w:rsid w:val="0066194B"/>
    <w:rsid w:val="006619BF"/>
    <w:rsid w:val="00661BD9"/>
    <w:rsid w:val="006622B3"/>
    <w:rsid w:val="006622EE"/>
    <w:rsid w:val="00662536"/>
    <w:rsid w:val="006639C9"/>
    <w:rsid w:val="00663AF4"/>
    <w:rsid w:val="00663CE5"/>
    <w:rsid w:val="00663D33"/>
    <w:rsid w:val="00663DAB"/>
    <w:rsid w:val="00664B6E"/>
    <w:rsid w:val="00664D59"/>
    <w:rsid w:val="006651D6"/>
    <w:rsid w:val="006659B1"/>
    <w:rsid w:val="00665A01"/>
    <w:rsid w:val="00665B93"/>
    <w:rsid w:val="00666344"/>
    <w:rsid w:val="00666992"/>
    <w:rsid w:val="006669B1"/>
    <w:rsid w:val="00666CE7"/>
    <w:rsid w:val="006672F4"/>
    <w:rsid w:val="00667397"/>
    <w:rsid w:val="0066750B"/>
    <w:rsid w:val="00667792"/>
    <w:rsid w:val="00667A83"/>
    <w:rsid w:val="00670333"/>
    <w:rsid w:val="00670486"/>
    <w:rsid w:val="0067074A"/>
    <w:rsid w:val="00670A9F"/>
    <w:rsid w:val="00670B6D"/>
    <w:rsid w:val="00670F02"/>
    <w:rsid w:val="00671BD8"/>
    <w:rsid w:val="00671ECE"/>
    <w:rsid w:val="00672105"/>
    <w:rsid w:val="00672156"/>
    <w:rsid w:val="006721A5"/>
    <w:rsid w:val="00672290"/>
    <w:rsid w:val="0067237C"/>
    <w:rsid w:val="0067248B"/>
    <w:rsid w:val="0067254F"/>
    <w:rsid w:val="00672A81"/>
    <w:rsid w:val="00672CE6"/>
    <w:rsid w:val="006730E1"/>
    <w:rsid w:val="0067322E"/>
    <w:rsid w:val="00673486"/>
    <w:rsid w:val="006738D0"/>
    <w:rsid w:val="00673E39"/>
    <w:rsid w:val="0067415D"/>
    <w:rsid w:val="00674171"/>
    <w:rsid w:val="006741ED"/>
    <w:rsid w:val="00674329"/>
    <w:rsid w:val="00674BDF"/>
    <w:rsid w:val="00674F24"/>
    <w:rsid w:val="00675018"/>
    <w:rsid w:val="00675B37"/>
    <w:rsid w:val="00675D60"/>
    <w:rsid w:val="006762A9"/>
    <w:rsid w:val="006764E8"/>
    <w:rsid w:val="00676D58"/>
    <w:rsid w:val="006775B5"/>
    <w:rsid w:val="00677705"/>
    <w:rsid w:val="00677CE1"/>
    <w:rsid w:val="00677DD8"/>
    <w:rsid w:val="0068000D"/>
    <w:rsid w:val="00680A64"/>
    <w:rsid w:val="00680AAA"/>
    <w:rsid w:val="0068101A"/>
    <w:rsid w:val="0068127F"/>
    <w:rsid w:val="00681314"/>
    <w:rsid w:val="00681716"/>
    <w:rsid w:val="006817B8"/>
    <w:rsid w:val="00681A37"/>
    <w:rsid w:val="00683064"/>
    <w:rsid w:val="00683115"/>
    <w:rsid w:val="00683516"/>
    <w:rsid w:val="00683A0C"/>
    <w:rsid w:val="00683A7D"/>
    <w:rsid w:val="00683B42"/>
    <w:rsid w:val="00683C78"/>
    <w:rsid w:val="0068443F"/>
    <w:rsid w:val="00684C2E"/>
    <w:rsid w:val="00684D20"/>
    <w:rsid w:val="00684D9A"/>
    <w:rsid w:val="00684EC6"/>
    <w:rsid w:val="006855BC"/>
    <w:rsid w:val="0068613E"/>
    <w:rsid w:val="00686171"/>
    <w:rsid w:val="00686758"/>
    <w:rsid w:val="00686CE7"/>
    <w:rsid w:val="00686D4A"/>
    <w:rsid w:val="00687614"/>
    <w:rsid w:val="0068781A"/>
    <w:rsid w:val="006879E6"/>
    <w:rsid w:val="00690003"/>
    <w:rsid w:val="0069023A"/>
    <w:rsid w:val="00690858"/>
    <w:rsid w:val="00691042"/>
    <w:rsid w:val="0069114A"/>
    <w:rsid w:val="00691758"/>
    <w:rsid w:val="00691C31"/>
    <w:rsid w:val="00691CB2"/>
    <w:rsid w:val="0069221F"/>
    <w:rsid w:val="006928D4"/>
    <w:rsid w:val="00692F07"/>
    <w:rsid w:val="006931F7"/>
    <w:rsid w:val="006932F9"/>
    <w:rsid w:val="00693E36"/>
    <w:rsid w:val="00694286"/>
    <w:rsid w:val="006949F9"/>
    <w:rsid w:val="00695575"/>
    <w:rsid w:val="00695638"/>
    <w:rsid w:val="00695BAA"/>
    <w:rsid w:val="00695CCC"/>
    <w:rsid w:val="00695F5E"/>
    <w:rsid w:val="006969D4"/>
    <w:rsid w:val="00696C22"/>
    <w:rsid w:val="00696FE8"/>
    <w:rsid w:val="00697676"/>
    <w:rsid w:val="006977AD"/>
    <w:rsid w:val="006978DD"/>
    <w:rsid w:val="006978EB"/>
    <w:rsid w:val="00697D05"/>
    <w:rsid w:val="006A06C7"/>
    <w:rsid w:val="006A0AFF"/>
    <w:rsid w:val="006A0B95"/>
    <w:rsid w:val="006A0C41"/>
    <w:rsid w:val="006A0D2E"/>
    <w:rsid w:val="006A10BC"/>
    <w:rsid w:val="006A1B30"/>
    <w:rsid w:val="006A2AF2"/>
    <w:rsid w:val="006A3130"/>
    <w:rsid w:val="006A31BB"/>
    <w:rsid w:val="006A326F"/>
    <w:rsid w:val="006A37F8"/>
    <w:rsid w:val="006A399A"/>
    <w:rsid w:val="006A3AA2"/>
    <w:rsid w:val="006A3AF1"/>
    <w:rsid w:val="006A3DBB"/>
    <w:rsid w:val="006A404E"/>
    <w:rsid w:val="006A4165"/>
    <w:rsid w:val="006A42FE"/>
    <w:rsid w:val="006A4509"/>
    <w:rsid w:val="006A45CE"/>
    <w:rsid w:val="006A4B58"/>
    <w:rsid w:val="006A5508"/>
    <w:rsid w:val="006A5756"/>
    <w:rsid w:val="006A5993"/>
    <w:rsid w:val="006A609D"/>
    <w:rsid w:val="006A6700"/>
    <w:rsid w:val="006A6A64"/>
    <w:rsid w:val="006A6B2C"/>
    <w:rsid w:val="006A6B9D"/>
    <w:rsid w:val="006A6F01"/>
    <w:rsid w:val="006A6FF2"/>
    <w:rsid w:val="006A703E"/>
    <w:rsid w:val="006A774B"/>
    <w:rsid w:val="006A7814"/>
    <w:rsid w:val="006A78CA"/>
    <w:rsid w:val="006A78D0"/>
    <w:rsid w:val="006A7EA0"/>
    <w:rsid w:val="006B0417"/>
    <w:rsid w:val="006B0612"/>
    <w:rsid w:val="006B09CC"/>
    <w:rsid w:val="006B139E"/>
    <w:rsid w:val="006B19B3"/>
    <w:rsid w:val="006B21A4"/>
    <w:rsid w:val="006B21FC"/>
    <w:rsid w:val="006B239B"/>
    <w:rsid w:val="006B2856"/>
    <w:rsid w:val="006B2FCF"/>
    <w:rsid w:val="006B30CF"/>
    <w:rsid w:val="006B375D"/>
    <w:rsid w:val="006B3DD0"/>
    <w:rsid w:val="006B449E"/>
    <w:rsid w:val="006B48D9"/>
    <w:rsid w:val="006B4C4E"/>
    <w:rsid w:val="006B4D42"/>
    <w:rsid w:val="006B536A"/>
    <w:rsid w:val="006B54AB"/>
    <w:rsid w:val="006B5B6D"/>
    <w:rsid w:val="006B6858"/>
    <w:rsid w:val="006B6DEF"/>
    <w:rsid w:val="006B7631"/>
    <w:rsid w:val="006B7E95"/>
    <w:rsid w:val="006C011D"/>
    <w:rsid w:val="006C01C7"/>
    <w:rsid w:val="006C0AD8"/>
    <w:rsid w:val="006C127B"/>
    <w:rsid w:val="006C1F0A"/>
    <w:rsid w:val="006C20A7"/>
    <w:rsid w:val="006C23D1"/>
    <w:rsid w:val="006C2680"/>
    <w:rsid w:val="006C26AA"/>
    <w:rsid w:val="006C2C3C"/>
    <w:rsid w:val="006C2D91"/>
    <w:rsid w:val="006C3617"/>
    <w:rsid w:val="006C36DB"/>
    <w:rsid w:val="006C3876"/>
    <w:rsid w:val="006C387C"/>
    <w:rsid w:val="006C396D"/>
    <w:rsid w:val="006C3E37"/>
    <w:rsid w:val="006C40DF"/>
    <w:rsid w:val="006C4916"/>
    <w:rsid w:val="006C4B3C"/>
    <w:rsid w:val="006C54BD"/>
    <w:rsid w:val="006C5872"/>
    <w:rsid w:val="006C5953"/>
    <w:rsid w:val="006C5E4C"/>
    <w:rsid w:val="006C5F10"/>
    <w:rsid w:val="006C5F86"/>
    <w:rsid w:val="006C6006"/>
    <w:rsid w:val="006C6017"/>
    <w:rsid w:val="006C6250"/>
    <w:rsid w:val="006C6BBC"/>
    <w:rsid w:val="006C6F48"/>
    <w:rsid w:val="006C729F"/>
    <w:rsid w:val="006C75E2"/>
    <w:rsid w:val="006C7ADD"/>
    <w:rsid w:val="006C7C94"/>
    <w:rsid w:val="006C7CEB"/>
    <w:rsid w:val="006C7F8F"/>
    <w:rsid w:val="006D035C"/>
    <w:rsid w:val="006D070A"/>
    <w:rsid w:val="006D098A"/>
    <w:rsid w:val="006D0BAB"/>
    <w:rsid w:val="006D1015"/>
    <w:rsid w:val="006D12E2"/>
    <w:rsid w:val="006D139B"/>
    <w:rsid w:val="006D15C3"/>
    <w:rsid w:val="006D1CAA"/>
    <w:rsid w:val="006D1D77"/>
    <w:rsid w:val="006D1DC1"/>
    <w:rsid w:val="006D2138"/>
    <w:rsid w:val="006D2651"/>
    <w:rsid w:val="006D29BA"/>
    <w:rsid w:val="006D2F2B"/>
    <w:rsid w:val="006D3E78"/>
    <w:rsid w:val="006D3EEF"/>
    <w:rsid w:val="006D431E"/>
    <w:rsid w:val="006D46B3"/>
    <w:rsid w:val="006D47E8"/>
    <w:rsid w:val="006D4BA2"/>
    <w:rsid w:val="006D518C"/>
    <w:rsid w:val="006D5393"/>
    <w:rsid w:val="006D53EE"/>
    <w:rsid w:val="006D545C"/>
    <w:rsid w:val="006D554C"/>
    <w:rsid w:val="006D5565"/>
    <w:rsid w:val="006D59A3"/>
    <w:rsid w:val="006D5A34"/>
    <w:rsid w:val="006D5B32"/>
    <w:rsid w:val="006D5B85"/>
    <w:rsid w:val="006D5F6E"/>
    <w:rsid w:val="006D611B"/>
    <w:rsid w:val="006D6398"/>
    <w:rsid w:val="006D6610"/>
    <w:rsid w:val="006D6761"/>
    <w:rsid w:val="006D6DDA"/>
    <w:rsid w:val="006D6F06"/>
    <w:rsid w:val="006D74BB"/>
    <w:rsid w:val="006D7AD6"/>
    <w:rsid w:val="006D7B5B"/>
    <w:rsid w:val="006D7BF2"/>
    <w:rsid w:val="006E0349"/>
    <w:rsid w:val="006E0691"/>
    <w:rsid w:val="006E0D00"/>
    <w:rsid w:val="006E0FAA"/>
    <w:rsid w:val="006E106C"/>
    <w:rsid w:val="006E117E"/>
    <w:rsid w:val="006E14CC"/>
    <w:rsid w:val="006E18E1"/>
    <w:rsid w:val="006E191D"/>
    <w:rsid w:val="006E1A40"/>
    <w:rsid w:val="006E20B0"/>
    <w:rsid w:val="006E2114"/>
    <w:rsid w:val="006E269E"/>
    <w:rsid w:val="006E2829"/>
    <w:rsid w:val="006E2D5E"/>
    <w:rsid w:val="006E301E"/>
    <w:rsid w:val="006E3072"/>
    <w:rsid w:val="006E3653"/>
    <w:rsid w:val="006E3CFB"/>
    <w:rsid w:val="006E3FB7"/>
    <w:rsid w:val="006E4552"/>
    <w:rsid w:val="006E4E2C"/>
    <w:rsid w:val="006E596A"/>
    <w:rsid w:val="006E6434"/>
    <w:rsid w:val="006E65C3"/>
    <w:rsid w:val="006E7D97"/>
    <w:rsid w:val="006F057E"/>
    <w:rsid w:val="006F05C9"/>
    <w:rsid w:val="006F0CAF"/>
    <w:rsid w:val="006F1504"/>
    <w:rsid w:val="006F191E"/>
    <w:rsid w:val="006F206D"/>
    <w:rsid w:val="006F20B1"/>
    <w:rsid w:val="006F2204"/>
    <w:rsid w:val="006F2239"/>
    <w:rsid w:val="006F2364"/>
    <w:rsid w:val="006F2EA2"/>
    <w:rsid w:val="006F2F16"/>
    <w:rsid w:val="006F305F"/>
    <w:rsid w:val="006F35D1"/>
    <w:rsid w:val="006F35D4"/>
    <w:rsid w:val="006F3DA4"/>
    <w:rsid w:val="006F3DB6"/>
    <w:rsid w:val="006F3E31"/>
    <w:rsid w:val="006F51BC"/>
    <w:rsid w:val="006F5A02"/>
    <w:rsid w:val="006F5D4A"/>
    <w:rsid w:val="006F5F55"/>
    <w:rsid w:val="006F6085"/>
    <w:rsid w:val="006F63ED"/>
    <w:rsid w:val="006F6671"/>
    <w:rsid w:val="006F7195"/>
    <w:rsid w:val="006F74E6"/>
    <w:rsid w:val="006F788E"/>
    <w:rsid w:val="006F7B9D"/>
    <w:rsid w:val="006F7D15"/>
    <w:rsid w:val="006F7DC5"/>
    <w:rsid w:val="00700075"/>
    <w:rsid w:val="007006F2"/>
    <w:rsid w:val="00700927"/>
    <w:rsid w:val="00701BAC"/>
    <w:rsid w:val="0070207B"/>
    <w:rsid w:val="00702623"/>
    <w:rsid w:val="00702854"/>
    <w:rsid w:val="00702CBF"/>
    <w:rsid w:val="00702D31"/>
    <w:rsid w:val="00703337"/>
    <w:rsid w:val="0070335F"/>
    <w:rsid w:val="00703D03"/>
    <w:rsid w:val="00703EA9"/>
    <w:rsid w:val="00704284"/>
    <w:rsid w:val="007043C7"/>
    <w:rsid w:val="007044FD"/>
    <w:rsid w:val="00704707"/>
    <w:rsid w:val="0070482B"/>
    <w:rsid w:val="007048BA"/>
    <w:rsid w:val="00704C9D"/>
    <w:rsid w:val="00704EC2"/>
    <w:rsid w:val="007054B9"/>
    <w:rsid w:val="0070571B"/>
    <w:rsid w:val="00705B3F"/>
    <w:rsid w:val="00705F7A"/>
    <w:rsid w:val="00706AF5"/>
    <w:rsid w:val="00706CAE"/>
    <w:rsid w:val="007071F8"/>
    <w:rsid w:val="007076CA"/>
    <w:rsid w:val="0070777C"/>
    <w:rsid w:val="0070784C"/>
    <w:rsid w:val="007078A5"/>
    <w:rsid w:val="00707BAA"/>
    <w:rsid w:val="00707BF7"/>
    <w:rsid w:val="007100E2"/>
    <w:rsid w:val="00710868"/>
    <w:rsid w:val="00710A70"/>
    <w:rsid w:val="00710EFB"/>
    <w:rsid w:val="00710F1B"/>
    <w:rsid w:val="00711002"/>
    <w:rsid w:val="007117CE"/>
    <w:rsid w:val="00711870"/>
    <w:rsid w:val="00711ECD"/>
    <w:rsid w:val="00711EF5"/>
    <w:rsid w:val="007121ED"/>
    <w:rsid w:val="00712252"/>
    <w:rsid w:val="0071230F"/>
    <w:rsid w:val="007129D6"/>
    <w:rsid w:val="00712AF0"/>
    <w:rsid w:val="00712B88"/>
    <w:rsid w:val="00713603"/>
    <w:rsid w:val="00713697"/>
    <w:rsid w:val="007136FB"/>
    <w:rsid w:val="007138BB"/>
    <w:rsid w:val="00713B81"/>
    <w:rsid w:val="00713CA4"/>
    <w:rsid w:val="00713EFE"/>
    <w:rsid w:val="00714464"/>
    <w:rsid w:val="007145CA"/>
    <w:rsid w:val="0071487D"/>
    <w:rsid w:val="007150CE"/>
    <w:rsid w:val="00715959"/>
    <w:rsid w:val="00715DCD"/>
    <w:rsid w:val="00715FB5"/>
    <w:rsid w:val="007162BD"/>
    <w:rsid w:val="007163CB"/>
    <w:rsid w:val="007163E6"/>
    <w:rsid w:val="00716485"/>
    <w:rsid w:val="007168E3"/>
    <w:rsid w:val="00716BAC"/>
    <w:rsid w:val="00717C8F"/>
    <w:rsid w:val="00717FFB"/>
    <w:rsid w:val="0072028D"/>
    <w:rsid w:val="00720435"/>
    <w:rsid w:val="0072050D"/>
    <w:rsid w:val="00720C70"/>
    <w:rsid w:val="0072109E"/>
    <w:rsid w:val="007213B3"/>
    <w:rsid w:val="00721B93"/>
    <w:rsid w:val="00722317"/>
    <w:rsid w:val="00722A5F"/>
    <w:rsid w:val="00722F0E"/>
    <w:rsid w:val="007232BB"/>
    <w:rsid w:val="007232E1"/>
    <w:rsid w:val="00723845"/>
    <w:rsid w:val="00724543"/>
    <w:rsid w:val="0072459C"/>
    <w:rsid w:val="00724852"/>
    <w:rsid w:val="00724940"/>
    <w:rsid w:val="00724A64"/>
    <w:rsid w:val="00724A88"/>
    <w:rsid w:val="00724E2B"/>
    <w:rsid w:val="00724E8A"/>
    <w:rsid w:val="007250B1"/>
    <w:rsid w:val="007252C4"/>
    <w:rsid w:val="00725344"/>
    <w:rsid w:val="007258DA"/>
    <w:rsid w:val="00725CE7"/>
    <w:rsid w:val="007264AE"/>
    <w:rsid w:val="007265E6"/>
    <w:rsid w:val="00726DD7"/>
    <w:rsid w:val="0072720E"/>
    <w:rsid w:val="0072728B"/>
    <w:rsid w:val="007277F3"/>
    <w:rsid w:val="00730389"/>
    <w:rsid w:val="007306B7"/>
    <w:rsid w:val="007307B9"/>
    <w:rsid w:val="00730CB6"/>
    <w:rsid w:val="00732169"/>
    <w:rsid w:val="007329E3"/>
    <w:rsid w:val="00732C1F"/>
    <w:rsid w:val="00732CE9"/>
    <w:rsid w:val="00732F59"/>
    <w:rsid w:val="0073332B"/>
    <w:rsid w:val="0073338B"/>
    <w:rsid w:val="007335D3"/>
    <w:rsid w:val="0073364C"/>
    <w:rsid w:val="007336F9"/>
    <w:rsid w:val="00733A1C"/>
    <w:rsid w:val="00733C48"/>
    <w:rsid w:val="00733C49"/>
    <w:rsid w:val="00733DE5"/>
    <w:rsid w:val="00733F8E"/>
    <w:rsid w:val="00733FAE"/>
    <w:rsid w:val="0073402D"/>
    <w:rsid w:val="00734264"/>
    <w:rsid w:val="007344BB"/>
    <w:rsid w:val="00734B37"/>
    <w:rsid w:val="00734B71"/>
    <w:rsid w:val="00734D24"/>
    <w:rsid w:val="007351CF"/>
    <w:rsid w:val="007351EF"/>
    <w:rsid w:val="00735549"/>
    <w:rsid w:val="0073623A"/>
    <w:rsid w:val="007362E8"/>
    <w:rsid w:val="0073663A"/>
    <w:rsid w:val="0073691D"/>
    <w:rsid w:val="00736AB4"/>
    <w:rsid w:val="00736F6C"/>
    <w:rsid w:val="00737212"/>
    <w:rsid w:val="007378DD"/>
    <w:rsid w:val="00737965"/>
    <w:rsid w:val="00737F8E"/>
    <w:rsid w:val="007400CD"/>
    <w:rsid w:val="00740762"/>
    <w:rsid w:val="00740CB1"/>
    <w:rsid w:val="007415B5"/>
    <w:rsid w:val="00741673"/>
    <w:rsid w:val="00741E7D"/>
    <w:rsid w:val="00742054"/>
    <w:rsid w:val="0074236A"/>
    <w:rsid w:val="00742490"/>
    <w:rsid w:val="00742640"/>
    <w:rsid w:val="00742BAD"/>
    <w:rsid w:val="00742D97"/>
    <w:rsid w:val="00743339"/>
    <w:rsid w:val="0074333D"/>
    <w:rsid w:val="00743767"/>
    <w:rsid w:val="00743CDF"/>
    <w:rsid w:val="00743E30"/>
    <w:rsid w:val="00744129"/>
    <w:rsid w:val="00744212"/>
    <w:rsid w:val="007444B5"/>
    <w:rsid w:val="007444ED"/>
    <w:rsid w:val="00744A81"/>
    <w:rsid w:val="00744C89"/>
    <w:rsid w:val="00744D40"/>
    <w:rsid w:val="00744DC0"/>
    <w:rsid w:val="007456E5"/>
    <w:rsid w:val="00745EF0"/>
    <w:rsid w:val="00746489"/>
    <w:rsid w:val="00746512"/>
    <w:rsid w:val="00746AB6"/>
    <w:rsid w:val="00746CEF"/>
    <w:rsid w:val="007500C5"/>
    <w:rsid w:val="00750B7C"/>
    <w:rsid w:val="00750C19"/>
    <w:rsid w:val="0075149C"/>
    <w:rsid w:val="00751553"/>
    <w:rsid w:val="00751BFE"/>
    <w:rsid w:val="00751E15"/>
    <w:rsid w:val="007522AB"/>
    <w:rsid w:val="007523C3"/>
    <w:rsid w:val="007527A2"/>
    <w:rsid w:val="00752C17"/>
    <w:rsid w:val="00752C9A"/>
    <w:rsid w:val="00752D3D"/>
    <w:rsid w:val="00752FBF"/>
    <w:rsid w:val="007531E8"/>
    <w:rsid w:val="00753AC6"/>
    <w:rsid w:val="00753BA8"/>
    <w:rsid w:val="00753F96"/>
    <w:rsid w:val="00754512"/>
    <w:rsid w:val="007552EF"/>
    <w:rsid w:val="007558FD"/>
    <w:rsid w:val="00755938"/>
    <w:rsid w:val="00755B74"/>
    <w:rsid w:val="00755BDC"/>
    <w:rsid w:val="00756EEC"/>
    <w:rsid w:val="007572E4"/>
    <w:rsid w:val="0075765B"/>
    <w:rsid w:val="00760111"/>
    <w:rsid w:val="007602ED"/>
    <w:rsid w:val="00760826"/>
    <w:rsid w:val="00760DA8"/>
    <w:rsid w:val="00760E83"/>
    <w:rsid w:val="0076157F"/>
    <w:rsid w:val="007616AE"/>
    <w:rsid w:val="007616FF"/>
    <w:rsid w:val="0076187B"/>
    <w:rsid w:val="0076188B"/>
    <w:rsid w:val="007629F5"/>
    <w:rsid w:val="00762AC5"/>
    <w:rsid w:val="00762B77"/>
    <w:rsid w:val="00762D17"/>
    <w:rsid w:val="00762D30"/>
    <w:rsid w:val="00762D9A"/>
    <w:rsid w:val="00762F12"/>
    <w:rsid w:val="00762F13"/>
    <w:rsid w:val="00763128"/>
    <w:rsid w:val="007632BA"/>
    <w:rsid w:val="00763433"/>
    <w:rsid w:val="00763486"/>
    <w:rsid w:val="00763D89"/>
    <w:rsid w:val="00764170"/>
    <w:rsid w:val="00764A25"/>
    <w:rsid w:val="00764D0D"/>
    <w:rsid w:val="00764D27"/>
    <w:rsid w:val="00765591"/>
    <w:rsid w:val="0076587A"/>
    <w:rsid w:val="00765A8D"/>
    <w:rsid w:val="0076607B"/>
    <w:rsid w:val="007660C0"/>
    <w:rsid w:val="00766313"/>
    <w:rsid w:val="00766711"/>
    <w:rsid w:val="007672B4"/>
    <w:rsid w:val="007672CF"/>
    <w:rsid w:val="00770083"/>
    <w:rsid w:val="007700C4"/>
    <w:rsid w:val="007701CD"/>
    <w:rsid w:val="007704DE"/>
    <w:rsid w:val="007709AD"/>
    <w:rsid w:val="00771123"/>
    <w:rsid w:val="00771BC1"/>
    <w:rsid w:val="00771CA7"/>
    <w:rsid w:val="00771E12"/>
    <w:rsid w:val="00771EDD"/>
    <w:rsid w:val="00772A26"/>
    <w:rsid w:val="00773144"/>
    <w:rsid w:val="00773198"/>
    <w:rsid w:val="00773865"/>
    <w:rsid w:val="00773A93"/>
    <w:rsid w:val="00773F9C"/>
    <w:rsid w:val="007742F2"/>
    <w:rsid w:val="00774AF1"/>
    <w:rsid w:val="0077503F"/>
    <w:rsid w:val="00775799"/>
    <w:rsid w:val="00775BB3"/>
    <w:rsid w:val="00776290"/>
    <w:rsid w:val="007763B3"/>
    <w:rsid w:val="007764B5"/>
    <w:rsid w:val="00776834"/>
    <w:rsid w:val="00776968"/>
    <w:rsid w:val="00776D42"/>
    <w:rsid w:val="00776E98"/>
    <w:rsid w:val="0077738F"/>
    <w:rsid w:val="00777715"/>
    <w:rsid w:val="00777BBB"/>
    <w:rsid w:val="00780459"/>
    <w:rsid w:val="00780AAB"/>
    <w:rsid w:val="00780DA9"/>
    <w:rsid w:val="00780DB9"/>
    <w:rsid w:val="00781613"/>
    <w:rsid w:val="007818A6"/>
    <w:rsid w:val="00781F63"/>
    <w:rsid w:val="0078225F"/>
    <w:rsid w:val="00782CB9"/>
    <w:rsid w:val="007831AC"/>
    <w:rsid w:val="007831B4"/>
    <w:rsid w:val="007837FB"/>
    <w:rsid w:val="00783A20"/>
    <w:rsid w:val="00783C1D"/>
    <w:rsid w:val="00784ADE"/>
    <w:rsid w:val="00784BB2"/>
    <w:rsid w:val="00784D20"/>
    <w:rsid w:val="00784EDC"/>
    <w:rsid w:val="0078506C"/>
    <w:rsid w:val="00785209"/>
    <w:rsid w:val="007856CC"/>
    <w:rsid w:val="007857E5"/>
    <w:rsid w:val="007858C8"/>
    <w:rsid w:val="0078590D"/>
    <w:rsid w:val="00785C08"/>
    <w:rsid w:val="007862E4"/>
    <w:rsid w:val="007867D0"/>
    <w:rsid w:val="007869E4"/>
    <w:rsid w:val="00786CD2"/>
    <w:rsid w:val="00787163"/>
    <w:rsid w:val="00787352"/>
    <w:rsid w:val="00787456"/>
    <w:rsid w:val="007874EF"/>
    <w:rsid w:val="00787968"/>
    <w:rsid w:val="00787D21"/>
    <w:rsid w:val="0079067F"/>
    <w:rsid w:val="007912CB"/>
    <w:rsid w:val="0079187F"/>
    <w:rsid w:val="00791D86"/>
    <w:rsid w:val="00792295"/>
    <w:rsid w:val="00792659"/>
    <w:rsid w:val="00792795"/>
    <w:rsid w:val="00792D6B"/>
    <w:rsid w:val="00792F41"/>
    <w:rsid w:val="007934E2"/>
    <w:rsid w:val="00793878"/>
    <w:rsid w:val="00793D8B"/>
    <w:rsid w:val="00793DE6"/>
    <w:rsid w:val="007940F4"/>
    <w:rsid w:val="00794C16"/>
    <w:rsid w:val="007951D1"/>
    <w:rsid w:val="00795561"/>
    <w:rsid w:val="00796227"/>
    <w:rsid w:val="0079655A"/>
    <w:rsid w:val="0079662C"/>
    <w:rsid w:val="00796CC1"/>
    <w:rsid w:val="00796CFB"/>
    <w:rsid w:val="00797218"/>
    <w:rsid w:val="00797A6A"/>
    <w:rsid w:val="00797D17"/>
    <w:rsid w:val="00797DA8"/>
    <w:rsid w:val="007A02AF"/>
    <w:rsid w:val="007A0850"/>
    <w:rsid w:val="007A08E1"/>
    <w:rsid w:val="007A0F91"/>
    <w:rsid w:val="007A1022"/>
    <w:rsid w:val="007A1075"/>
    <w:rsid w:val="007A12C9"/>
    <w:rsid w:val="007A1795"/>
    <w:rsid w:val="007A1C31"/>
    <w:rsid w:val="007A1CE0"/>
    <w:rsid w:val="007A20D9"/>
    <w:rsid w:val="007A27E3"/>
    <w:rsid w:val="007A296A"/>
    <w:rsid w:val="007A2A3B"/>
    <w:rsid w:val="007A32E9"/>
    <w:rsid w:val="007A36A0"/>
    <w:rsid w:val="007A4768"/>
    <w:rsid w:val="007A4928"/>
    <w:rsid w:val="007A4D06"/>
    <w:rsid w:val="007A4D42"/>
    <w:rsid w:val="007A51D7"/>
    <w:rsid w:val="007A54DF"/>
    <w:rsid w:val="007A6241"/>
    <w:rsid w:val="007A65F2"/>
    <w:rsid w:val="007A6780"/>
    <w:rsid w:val="007A6AC2"/>
    <w:rsid w:val="007A6B56"/>
    <w:rsid w:val="007A6E33"/>
    <w:rsid w:val="007A6E8B"/>
    <w:rsid w:val="007A737C"/>
    <w:rsid w:val="007A755E"/>
    <w:rsid w:val="007A775B"/>
    <w:rsid w:val="007A77C3"/>
    <w:rsid w:val="007A798D"/>
    <w:rsid w:val="007B029C"/>
    <w:rsid w:val="007B0852"/>
    <w:rsid w:val="007B0DF3"/>
    <w:rsid w:val="007B1146"/>
    <w:rsid w:val="007B13AE"/>
    <w:rsid w:val="007B1CE8"/>
    <w:rsid w:val="007B22B8"/>
    <w:rsid w:val="007B28B8"/>
    <w:rsid w:val="007B3040"/>
    <w:rsid w:val="007B357F"/>
    <w:rsid w:val="007B35FF"/>
    <w:rsid w:val="007B3DAB"/>
    <w:rsid w:val="007B3F1B"/>
    <w:rsid w:val="007B3F8B"/>
    <w:rsid w:val="007B407F"/>
    <w:rsid w:val="007B4572"/>
    <w:rsid w:val="007B4E7E"/>
    <w:rsid w:val="007B51FE"/>
    <w:rsid w:val="007B5527"/>
    <w:rsid w:val="007B55B9"/>
    <w:rsid w:val="007B5E2B"/>
    <w:rsid w:val="007B61DA"/>
    <w:rsid w:val="007B625C"/>
    <w:rsid w:val="007B640E"/>
    <w:rsid w:val="007B650E"/>
    <w:rsid w:val="007B65E1"/>
    <w:rsid w:val="007B739D"/>
    <w:rsid w:val="007B764D"/>
    <w:rsid w:val="007B7CE8"/>
    <w:rsid w:val="007B7F21"/>
    <w:rsid w:val="007C0997"/>
    <w:rsid w:val="007C0FA9"/>
    <w:rsid w:val="007C10D0"/>
    <w:rsid w:val="007C1210"/>
    <w:rsid w:val="007C12C8"/>
    <w:rsid w:val="007C1312"/>
    <w:rsid w:val="007C199A"/>
    <w:rsid w:val="007C1FD5"/>
    <w:rsid w:val="007C29F3"/>
    <w:rsid w:val="007C2DF5"/>
    <w:rsid w:val="007C34E9"/>
    <w:rsid w:val="007C35AB"/>
    <w:rsid w:val="007C3A51"/>
    <w:rsid w:val="007C44AC"/>
    <w:rsid w:val="007C4CD8"/>
    <w:rsid w:val="007C4E2D"/>
    <w:rsid w:val="007C4E58"/>
    <w:rsid w:val="007C51EA"/>
    <w:rsid w:val="007C5EE3"/>
    <w:rsid w:val="007C6059"/>
    <w:rsid w:val="007C626D"/>
    <w:rsid w:val="007C69E7"/>
    <w:rsid w:val="007C6A3C"/>
    <w:rsid w:val="007C6D5C"/>
    <w:rsid w:val="007C764B"/>
    <w:rsid w:val="007C7745"/>
    <w:rsid w:val="007C7A53"/>
    <w:rsid w:val="007C7AC3"/>
    <w:rsid w:val="007C7DA7"/>
    <w:rsid w:val="007C7EC6"/>
    <w:rsid w:val="007D0280"/>
    <w:rsid w:val="007D0564"/>
    <w:rsid w:val="007D0A9D"/>
    <w:rsid w:val="007D0B69"/>
    <w:rsid w:val="007D1381"/>
    <w:rsid w:val="007D14AB"/>
    <w:rsid w:val="007D1A26"/>
    <w:rsid w:val="007D21CF"/>
    <w:rsid w:val="007D297F"/>
    <w:rsid w:val="007D2A69"/>
    <w:rsid w:val="007D2AE5"/>
    <w:rsid w:val="007D31BF"/>
    <w:rsid w:val="007D32AF"/>
    <w:rsid w:val="007D37AF"/>
    <w:rsid w:val="007D3B63"/>
    <w:rsid w:val="007D3C07"/>
    <w:rsid w:val="007D4C40"/>
    <w:rsid w:val="007D4E79"/>
    <w:rsid w:val="007D4EA0"/>
    <w:rsid w:val="007D54C5"/>
    <w:rsid w:val="007D5AA7"/>
    <w:rsid w:val="007D5ABF"/>
    <w:rsid w:val="007D5C2A"/>
    <w:rsid w:val="007D5D3A"/>
    <w:rsid w:val="007D5E4F"/>
    <w:rsid w:val="007D600C"/>
    <w:rsid w:val="007D61D8"/>
    <w:rsid w:val="007D625E"/>
    <w:rsid w:val="007D720F"/>
    <w:rsid w:val="007D7759"/>
    <w:rsid w:val="007D7944"/>
    <w:rsid w:val="007D7A4E"/>
    <w:rsid w:val="007D7C4D"/>
    <w:rsid w:val="007D7F26"/>
    <w:rsid w:val="007E0049"/>
    <w:rsid w:val="007E0419"/>
    <w:rsid w:val="007E056D"/>
    <w:rsid w:val="007E07F4"/>
    <w:rsid w:val="007E098C"/>
    <w:rsid w:val="007E0A80"/>
    <w:rsid w:val="007E0B7D"/>
    <w:rsid w:val="007E0D4E"/>
    <w:rsid w:val="007E13E8"/>
    <w:rsid w:val="007E172B"/>
    <w:rsid w:val="007E1898"/>
    <w:rsid w:val="007E19CA"/>
    <w:rsid w:val="007E1AB2"/>
    <w:rsid w:val="007E1B04"/>
    <w:rsid w:val="007E1B6B"/>
    <w:rsid w:val="007E2A22"/>
    <w:rsid w:val="007E2BE1"/>
    <w:rsid w:val="007E2C2B"/>
    <w:rsid w:val="007E2D06"/>
    <w:rsid w:val="007E3300"/>
    <w:rsid w:val="007E3840"/>
    <w:rsid w:val="007E3B24"/>
    <w:rsid w:val="007E3F1E"/>
    <w:rsid w:val="007E429F"/>
    <w:rsid w:val="007E4B7A"/>
    <w:rsid w:val="007E4CA3"/>
    <w:rsid w:val="007E4D12"/>
    <w:rsid w:val="007E4DCC"/>
    <w:rsid w:val="007E4EEC"/>
    <w:rsid w:val="007E59D4"/>
    <w:rsid w:val="007E5C97"/>
    <w:rsid w:val="007E5D5A"/>
    <w:rsid w:val="007E5FA9"/>
    <w:rsid w:val="007E5FD2"/>
    <w:rsid w:val="007E6042"/>
    <w:rsid w:val="007E612D"/>
    <w:rsid w:val="007E616F"/>
    <w:rsid w:val="007E6A65"/>
    <w:rsid w:val="007E6DA4"/>
    <w:rsid w:val="007E71BE"/>
    <w:rsid w:val="007E747E"/>
    <w:rsid w:val="007E7BE7"/>
    <w:rsid w:val="007E7D61"/>
    <w:rsid w:val="007F0058"/>
    <w:rsid w:val="007F071B"/>
    <w:rsid w:val="007F093E"/>
    <w:rsid w:val="007F0B23"/>
    <w:rsid w:val="007F0D2B"/>
    <w:rsid w:val="007F118B"/>
    <w:rsid w:val="007F1383"/>
    <w:rsid w:val="007F1BAB"/>
    <w:rsid w:val="007F3023"/>
    <w:rsid w:val="007F30EB"/>
    <w:rsid w:val="007F32BB"/>
    <w:rsid w:val="007F35B3"/>
    <w:rsid w:val="007F3721"/>
    <w:rsid w:val="007F3A33"/>
    <w:rsid w:val="007F3CB1"/>
    <w:rsid w:val="007F4ABC"/>
    <w:rsid w:val="007F4CC5"/>
    <w:rsid w:val="007F4E81"/>
    <w:rsid w:val="007F4F5C"/>
    <w:rsid w:val="007F5B7A"/>
    <w:rsid w:val="007F5D52"/>
    <w:rsid w:val="007F61E0"/>
    <w:rsid w:val="007F6A62"/>
    <w:rsid w:val="007F704C"/>
    <w:rsid w:val="007F7862"/>
    <w:rsid w:val="007F7AC5"/>
    <w:rsid w:val="00800085"/>
    <w:rsid w:val="008001B3"/>
    <w:rsid w:val="008005AC"/>
    <w:rsid w:val="0080087A"/>
    <w:rsid w:val="008008EF"/>
    <w:rsid w:val="008009EF"/>
    <w:rsid w:val="008013BC"/>
    <w:rsid w:val="00802A3D"/>
    <w:rsid w:val="00802C1E"/>
    <w:rsid w:val="00802C88"/>
    <w:rsid w:val="00802D0D"/>
    <w:rsid w:val="008034E1"/>
    <w:rsid w:val="0080352B"/>
    <w:rsid w:val="00803594"/>
    <w:rsid w:val="0080376E"/>
    <w:rsid w:val="00803919"/>
    <w:rsid w:val="00803A98"/>
    <w:rsid w:val="00803AFF"/>
    <w:rsid w:val="008044BD"/>
    <w:rsid w:val="008045D5"/>
    <w:rsid w:val="00804A59"/>
    <w:rsid w:val="00805021"/>
    <w:rsid w:val="008057FC"/>
    <w:rsid w:val="00805FF9"/>
    <w:rsid w:val="008064C1"/>
    <w:rsid w:val="0080653B"/>
    <w:rsid w:val="008069C9"/>
    <w:rsid w:val="00806E20"/>
    <w:rsid w:val="00806F6D"/>
    <w:rsid w:val="00807097"/>
    <w:rsid w:val="0080767D"/>
    <w:rsid w:val="00807CDF"/>
    <w:rsid w:val="00807D66"/>
    <w:rsid w:val="00807E29"/>
    <w:rsid w:val="00807E72"/>
    <w:rsid w:val="00810435"/>
    <w:rsid w:val="00810D0D"/>
    <w:rsid w:val="00810D94"/>
    <w:rsid w:val="008110FB"/>
    <w:rsid w:val="00811489"/>
    <w:rsid w:val="00811A2C"/>
    <w:rsid w:val="00811AA6"/>
    <w:rsid w:val="00811DA4"/>
    <w:rsid w:val="00811E05"/>
    <w:rsid w:val="00811E54"/>
    <w:rsid w:val="00812291"/>
    <w:rsid w:val="00812959"/>
    <w:rsid w:val="00812A1F"/>
    <w:rsid w:val="00812E86"/>
    <w:rsid w:val="0081325F"/>
    <w:rsid w:val="0081426D"/>
    <w:rsid w:val="0081481B"/>
    <w:rsid w:val="00814E1C"/>
    <w:rsid w:val="0081579F"/>
    <w:rsid w:val="00815850"/>
    <w:rsid w:val="00815856"/>
    <w:rsid w:val="00815A93"/>
    <w:rsid w:val="00815D47"/>
    <w:rsid w:val="00815D52"/>
    <w:rsid w:val="00816474"/>
    <w:rsid w:val="00816B56"/>
    <w:rsid w:val="0081701B"/>
    <w:rsid w:val="0081764B"/>
    <w:rsid w:val="008178B5"/>
    <w:rsid w:val="008178F8"/>
    <w:rsid w:val="0081792D"/>
    <w:rsid w:val="00817A20"/>
    <w:rsid w:val="00817F95"/>
    <w:rsid w:val="0082009D"/>
    <w:rsid w:val="00820EFB"/>
    <w:rsid w:val="0082287A"/>
    <w:rsid w:val="00822EFC"/>
    <w:rsid w:val="0082300D"/>
    <w:rsid w:val="008230E1"/>
    <w:rsid w:val="00823223"/>
    <w:rsid w:val="00823638"/>
    <w:rsid w:val="00823659"/>
    <w:rsid w:val="008239C8"/>
    <w:rsid w:val="008241A5"/>
    <w:rsid w:val="00824514"/>
    <w:rsid w:val="008246DE"/>
    <w:rsid w:val="00824E68"/>
    <w:rsid w:val="0082561D"/>
    <w:rsid w:val="00825DEB"/>
    <w:rsid w:val="00825E93"/>
    <w:rsid w:val="00826342"/>
    <w:rsid w:val="00826A01"/>
    <w:rsid w:val="00826BE2"/>
    <w:rsid w:val="00826ECC"/>
    <w:rsid w:val="00826F28"/>
    <w:rsid w:val="0082721D"/>
    <w:rsid w:val="008272FC"/>
    <w:rsid w:val="008274F7"/>
    <w:rsid w:val="00827A2B"/>
    <w:rsid w:val="00827B3D"/>
    <w:rsid w:val="00827CE1"/>
    <w:rsid w:val="0083016B"/>
    <w:rsid w:val="0083085A"/>
    <w:rsid w:val="00830885"/>
    <w:rsid w:val="00830D34"/>
    <w:rsid w:val="008312FD"/>
    <w:rsid w:val="00831AD2"/>
    <w:rsid w:val="00831B88"/>
    <w:rsid w:val="008325CF"/>
    <w:rsid w:val="0083262F"/>
    <w:rsid w:val="00832AEC"/>
    <w:rsid w:val="00832AEE"/>
    <w:rsid w:val="00833029"/>
    <w:rsid w:val="00833338"/>
    <w:rsid w:val="00833418"/>
    <w:rsid w:val="00833598"/>
    <w:rsid w:val="00833872"/>
    <w:rsid w:val="00833CCC"/>
    <w:rsid w:val="008343E3"/>
    <w:rsid w:val="00834667"/>
    <w:rsid w:val="00834B46"/>
    <w:rsid w:val="00834B8D"/>
    <w:rsid w:val="00834E59"/>
    <w:rsid w:val="0083502F"/>
    <w:rsid w:val="008364E2"/>
    <w:rsid w:val="00836B27"/>
    <w:rsid w:val="00836BB5"/>
    <w:rsid w:val="00837075"/>
    <w:rsid w:val="008370A7"/>
    <w:rsid w:val="00837184"/>
    <w:rsid w:val="00837E21"/>
    <w:rsid w:val="00837F12"/>
    <w:rsid w:val="00840236"/>
    <w:rsid w:val="00840D4B"/>
    <w:rsid w:val="0084169C"/>
    <w:rsid w:val="008416F5"/>
    <w:rsid w:val="00841915"/>
    <w:rsid w:val="00841AAE"/>
    <w:rsid w:val="00842A02"/>
    <w:rsid w:val="00842E0B"/>
    <w:rsid w:val="00843FE2"/>
    <w:rsid w:val="00843FF3"/>
    <w:rsid w:val="00844100"/>
    <w:rsid w:val="0084442B"/>
    <w:rsid w:val="00844D1A"/>
    <w:rsid w:val="0084510A"/>
    <w:rsid w:val="0084514A"/>
    <w:rsid w:val="0084515F"/>
    <w:rsid w:val="00845BD7"/>
    <w:rsid w:val="00845BEE"/>
    <w:rsid w:val="008460E3"/>
    <w:rsid w:val="008461B5"/>
    <w:rsid w:val="008464DB"/>
    <w:rsid w:val="00846564"/>
    <w:rsid w:val="008466D6"/>
    <w:rsid w:val="00846915"/>
    <w:rsid w:val="00846D86"/>
    <w:rsid w:val="00846D8A"/>
    <w:rsid w:val="0084746F"/>
    <w:rsid w:val="00847F36"/>
    <w:rsid w:val="0085059C"/>
    <w:rsid w:val="008511C6"/>
    <w:rsid w:val="0085157D"/>
    <w:rsid w:val="00851983"/>
    <w:rsid w:val="00851DCB"/>
    <w:rsid w:val="008533C9"/>
    <w:rsid w:val="00853881"/>
    <w:rsid w:val="00853BEB"/>
    <w:rsid w:val="00853CEC"/>
    <w:rsid w:val="00853F5C"/>
    <w:rsid w:val="008541A3"/>
    <w:rsid w:val="008549C6"/>
    <w:rsid w:val="00854BB8"/>
    <w:rsid w:val="00854C2D"/>
    <w:rsid w:val="00855283"/>
    <w:rsid w:val="00855449"/>
    <w:rsid w:val="00855720"/>
    <w:rsid w:val="0085674A"/>
    <w:rsid w:val="00856768"/>
    <w:rsid w:val="008569D7"/>
    <w:rsid w:val="00856C96"/>
    <w:rsid w:val="00856F64"/>
    <w:rsid w:val="008575F5"/>
    <w:rsid w:val="0085776E"/>
    <w:rsid w:val="00857993"/>
    <w:rsid w:val="0086016A"/>
    <w:rsid w:val="0086039B"/>
    <w:rsid w:val="00860A6E"/>
    <w:rsid w:val="00860AD7"/>
    <w:rsid w:val="00860B06"/>
    <w:rsid w:val="008610AA"/>
    <w:rsid w:val="00861205"/>
    <w:rsid w:val="008617DC"/>
    <w:rsid w:val="00862183"/>
    <w:rsid w:val="0086248E"/>
    <w:rsid w:val="00862C10"/>
    <w:rsid w:val="00862FFA"/>
    <w:rsid w:val="00863259"/>
    <w:rsid w:val="0086345D"/>
    <w:rsid w:val="0086370B"/>
    <w:rsid w:val="00863AEF"/>
    <w:rsid w:val="00863EFC"/>
    <w:rsid w:val="00863F33"/>
    <w:rsid w:val="008642F0"/>
    <w:rsid w:val="00864A37"/>
    <w:rsid w:val="00864EE2"/>
    <w:rsid w:val="008650A8"/>
    <w:rsid w:val="00865324"/>
    <w:rsid w:val="00865872"/>
    <w:rsid w:val="00865931"/>
    <w:rsid w:val="008662F6"/>
    <w:rsid w:val="00866A29"/>
    <w:rsid w:val="00866C77"/>
    <w:rsid w:val="00866F74"/>
    <w:rsid w:val="008670D0"/>
    <w:rsid w:val="00867170"/>
    <w:rsid w:val="00867CF4"/>
    <w:rsid w:val="00870154"/>
    <w:rsid w:val="00870755"/>
    <w:rsid w:val="00870EA9"/>
    <w:rsid w:val="00871048"/>
    <w:rsid w:val="00871080"/>
    <w:rsid w:val="008719DC"/>
    <w:rsid w:val="00871DA4"/>
    <w:rsid w:val="0087262D"/>
    <w:rsid w:val="00873047"/>
    <w:rsid w:val="008732CD"/>
    <w:rsid w:val="00873935"/>
    <w:rsid w:val="00873E3E"/>
    <w:rsid w:val="00873FDB"/>
    <w:rsid w:val="0087416B"/>
    <w:rsid w:val="008748FA"/>
    <w:rsid w:val="00876593"/>
    <w:rsid w:val="00876832"/>
    <w:rsid w:val="008768C6"/>
    <w:rsid w:val="00876E0F"/>
    <w:rsid w:val="00876EF5"/>
    <w:rsid w:val="0087700E"/>
    <w:rsid w:val="008770F6"/>
    <w:rsid w:val="00877407"/>
    <w:rsid w:val="00880076"/>
    <w:rsid w:val="00880446"/>
    <w:rsid w:val="008807B2"/>
    <w:rsid w:val="00880C93"/>
    <w:rsid w:val="00881610"/>
    <w:rsid w:val="008827C9"/>
    <w:rsid w:val="0088316B"/>
    <w:rsid w:val="0088344D"/>
    <w:rsid w:val="0088352F"/>
    <w:rsid w:val="008835F2"/>
    <w:rsid w:val="00883945"/>
    <w:rsid w:val="0088435D"/>
    <w:rsid w:val="00884430"/>
    <w:rsid w:val="00884BA5"/>
    <w:rsid w:val="00885109"/>
    <w:rsid w:val="00885471"/>
    <w:rsid w:val="008855DA"/>
    <w:rsid w:val="00885AFC"/>
    <w:rsid w:val="00885E32"/>
    <w:rsid w:val="00886295"/>
    <w:rsid w:val="0088644D"/>
    <w:rsid w:val="008865B8"/>
    <w:rsid w:val="00886864"/>
    <w:rsid w:val="00886A3B"/>
    <w:rsid w:val="008900BB"/>
    <w:rsid w:val="008903F0"/>
    <w:rsid w:val="00890ABE"/>
    <w:rsid w:val="0089106F"/>
    <w:rsid w:val="0089113A"/>
    <w:rsid w:val="0089169D"/>
    <w:rsid w:val="00891F56"/>
    <w:rsid w:val="00892570"/>
    <w:rsid w:val="00892724"/>
    <w:rsid w:val="00892792"/>
    <w:rsid w:val="008927ED"/>
    <w:rsid w:val="00892B34"/>
    <w:rsid w:val="00892EBC"/>
    <w:rsid w:val="00893653"/>
    <w:rsid w:val="00893777"/>
    <w:rsid w:val="00893895"/>
    <w:rsid w:val="008938F5"/>
    <w:rsid w:val="00893D2B"/>
    <w:rsid w:val="00893E67"/>
    <w:rsid w:val="008941F6"/>
    <w:rsid w:val="008948E9"/>
    <w:rsid w:val="008949AC"/>
    <w:rsid w:val="00894F83"/>
    <w:rsid w:val="0089531A"/>
    <w:rsid w:val="0089577A"/>
    <w:rsid w:val="008961AE"/>
    <w:rsid w:val="00896455"/>
    <w:rsid w:val="0089694E"/>
    <w:rsid w:val="00896A69"/>
    <w:rsid w:val="00896E56"/>
    <w:rsid w:val="0089753A"/>
    <w:rsid w:val="00897F46"/>
    <w:rsid w:val="008A00A1"/>
    <w:rsid w:val="008A0146"/>
    <w:rsid w:val="008A01E5"/>
    <w:rsid w:val="008A0533"/>
    <w:rsid w:val="008A05D7"/>
    <w:rsid w:val="008A07A4"/>
    <w:rsid w:val="008A07F1"/>
    <w:rsid w:val="008A08B0"/>
    <w:rsid w:val="008A0A21"/>
    <w:rsid w:val="008A0AC4"/>
    <w:rsid w:val="008A0EB4"/>
    <w:rsid w:val="008A1277"/>
    <w:rsid w:val="008A1972"/>
    <w:rsid w:val="008A1F03"/>
    <w:rsid w:val="008A2266"/>
    <w:rsid w:val="008A2635"/>
    <w:rsid w:val="008A2A3A"/>
    <w:rsid w:val="008A338F"/>
    <w:rsid w:val="008A3E07"/>
    <w:rsid w:val="008A3F46"/>
    <w:rsid w:val="008A3FC3"/>
    <w:rsid w:val="008A486C"/>
    <w:rsid w:val="008A4B91"/>
    <w:rsid w:val="008A4E57"/>
    <w:rsid w:val="008A56D1"/>
    <w:rsid w:val="008A61AA"/>
    <w:rsid w:val="008A65F0"/>
    <w:rsid w:val="008A66D1"/>
    <w:rsid w:val="008A6854"/>
    <w:rsid w:val="008A6918"/>
    <w:rsid w:val="008A6935"/>
    <w:rsid w:val="008A6A47"/>
    <w:rsid w:val="008A6B65"/>
    <w:rsid w:val="008A6E56"/>
    <w:rsid w:val="008A749E"/>
    <w:rsid w:val="008B0259"/>
    <w:rsid w:val="008B0A77"/>
    <w:rsid w:val="008B0AFA"/>
    <w:rsid w:val="008B0CE6"/>
    <w:rsid w:val="008B11B1"/>
    <w:rsid w:val="008B1894"/>
    <w:rsid w:val="008B1B4E"/>
    <w:rsid w:val="008B20EA"/>
    <w:rsid w:val="008B21EC"/>
    <w:rsid w:val="008B2227"/>
    <w:rsid w:val="008B31D5"/>
    <w:rsid w:val="008B3236"/>
    <w:rsid w:val="008B34C0"/>
    <w:rsid w:val="008B3582"/>
    <w:rsid w:val="008B36E5"/>
    <w:rsid w:val="008B3726"/>
    <w:rsid w:val="008B3C5A"/>
    <w:rsid w:val="008B3D81"/>
    <w:rsid w:val="008B3E91"/>
    <w:rsid w:val="008B3EDA"/>
    <w:rsid w:val="008B402A"/>
    <w:rsid w:val="008B43E2"/>
    <w:rsid w:val="008B488A"/>
    <w:rsid w:val="008B5206"/>
    <w:rsid w:val="008B53B0"/>
    <w:rsid w:val="008B5854"/>
    <w:rsid w:val="008B599C"/>
    <w:rsid w:val="008B59B0"/>
    <w:rsid w:val="008B5CEA"/>
    <w:rsid w:val="008B6025"/>
    <w:rsid w:val="008B72B2"/>
    <w:rsid w:val="008B749F"/>
    <w:rsid w:val="008B7565"/>
    <w:rsid w:val="008B7E63"/>
    <w:rsid w:val="008C03F9"/>
    <w:rsid w:val="008C0856"/>
    <w:rsid w:val="008C0A82"/>
    <w:rsid w:val="008C0F19"/>
    <w:rsid w:val="008C13A9"/>
    <w:rsid w:val="008C150C"/>
    <w:rsid w:val="008C25DF"/>
    <w:rsid w:val="008C2701"/>
    <w:rsid w:val="008C2BCC"/>
    <w:rsid w:val="008C2E6D"/>
    <w:rsid w:val="008C3071"/>
    <w:rsid w:val="008C45CC"/>
    <w:rsid w:val="008C47A3"/>
    <w:rsid w:val="008C4949"/>
    <w:rsid w:val="008C49AF"/>
    <w:rsid w:val="008C4EBE"/>
    <w:rsid w:val="008C5141"/>
    <w:rsid w:val="008C564F"/>
    <w:rsid w:val="008C6C6E"/>
    <w:rsid w:val="008C7200"/>
    <w:rsid w:val="008C7372"/>
    <w:rsid w:val="008C7560"/>
    <w:rsid w:val="008C7565"/>
    <w:rsid w:val="008D03D7"/>
    <w:rsid w:val="008D05B3"/>
    <w:rsid w:val="008D1222"/>
    <w:rsid w:val="008D16FA"/>
    <w:rsid w:val="008D19E7"/>
    <w:rsid w:val="008D1DA7"/>
    <w:rsid w:val="008D1EB8"/>
    <w:rsid w:val="008D2386"/>
    <w:rsid w:val="008D2523"/>
    <w:rsid w:val="008D292B"/>
    <w:rsid w:val="008D30FC"/>
    <w:rsid w:val="008D30FF"/>
    <w:rsid w:val="008D31C3"/>
    <w:rsid w:val="008D38E0"/>
    <w:rsid w:val="008D3E06"/>
    <w:rsid w:val="008D3E6F"/>
    <w:rsid w:val="008D4043"/>
    <w:rsid w:val="008D417A"/>
    <w:rsid w:val="008D41D8"/>
    <w:rsid w:val="008D41DD"/>
    <w:rsid w:val="008D49F8"/>
    <w:rsid w:val="008D4C54"/>
    <w:rsid w:val="008D4CE1"/>
    <w:rsid w:val="008D5768"/>
    <w:rsid w:val="008D5DCF"/>
    <w:rsid w:val="008D642C"/>
    <w:rsid w:val="008D6A13"/>
    <w:rsid w:val="008D6D37"/>
    <w:rsid w:val="008D70A7"/>
    <w:rsid w:val="008E01CC"/>
    <w:rsid w:val="008E066D"/>
    <w:rsid w:val="008E07C7"/>
    <w:rsid w:val="008E1357"/>
    <w:rsid w:val="008E1D01"/>
    <w:rsid w:val="008E1DBE"/>
    <w:rsid w:val="008E2374"/>
    <w:rsid w:val="008E29CB"/>
    <w:rsid w:val="008E2CB9"/>
    <w:rsid w:val="008E2CD8"/>
    <w:rsid w:val="008E2D93"/>
    <w:rsid w:val="008E386F"/>
    <w:rsid w:val="008E4334"/>
    <w:rsid w:val="008E43D1"/>
    <w:rsid w:val="008E43E6"/>
    <w:rsid w:val="008E4867"/>
    <w:rsid w:val="008E4DAF"/>
    <w:rsid w:val="008E54E1"/>
    <w:rsid w:val="008E5667"/>
    <w:rsid w:val="008E5788"/>
    <w:rsid w:val="008E5C8F"/>
    <w:rsid w:val="008E5D76"/>
    <w:rsid w:val="008E69B6"/>
    <w:rsid w:val="008E6CE5"/>
    <w:rsid w:val="008E71D6"/>
    <w:rsid w:val="008E722B"/>
    <w:rsid w:val="008E7593"/>
    <w:rsid w:val="008E75A3"/>
    <w:rsid w:val="008F011B"/>
    <w:rsid w:val="008F1526"/>
    <w:rsid w:val="008F191F"/>
    <w:rsid w:val="008F1A16"/>
    <w:rsid w:val="008F1D66"/>
    <w:rsid w:val="008F21A7"/>
    <w:rsid w:val="008F2CBA"/>
    <w:rsid w:val="008F2EE0"/>
    <w:rsid w:val="008F3420"/>
    <w:rsid w:val="008F3A3C"/>
    <w:rsid w:val="008F3B22"/>
    <w:rsid w:val="008F3DB8"/>
    <w:rsid w:val="008F3FAF"/>
    <w:rsid w:val="008F3FDD"/>
    <w:rsid w:val="008F4308"/>
    <w:rsid w:val="008F44F3"/>
    <w:rsid w:val="008F4582"/>
    <w:rsid w:val="008F4723"/>
    <w:rsid w:val="008F47B1"/>
    <w:rsid w:val="008F493A"/>
    <w:rsid w:val="008F4A51"/>
    <w:rsid w:val="008F5180"/>
    <w:rsid w:val="008F5209"/>
    <w:rsid w:val="008F54BD"/>
    <w:rsid w:val="008F5556"/>
    <w:rsid w:val="008F57DB"/>
    <w:rsid w:val="008F5890"/>
    <w:rsid w:val="008F609C"/>
    <w:rsid w:val="008F64D4"/>
    <w:rsid w:val="008F66E0"/>
    <w:rsid w:val="008F6B20"/>
    <w:rsid w:val="008F6D30"/>
    <w:rsid w:val="008F6E02"/>
    <w:rsid w:val="008F737C"/>
    <w:rsid w:val="008F7B5B"/>
    <w:rsid w:val="0090011B"/>
    <w:rsid w:val="0090053C"/>
    <w:rsid w:val="00900605"/>
    <w:rsid w:val="009006A5"/>
    <w:rsid w:val="009011DA"/>
    <w:rsid w:val="009015A4"/>
    <w:rsid w:val="009015C0"/>
    <w:rsid w:val="009016EC"/>
    <w:rsid w:val="00901855"/>
    <w:rsid w:val="009018DA"/>
    <w:rsid w:val="00901D9C"/>
    <w:rsid w:val="00901E89"/>
    <w:rsid w:val="00903372"/>
    <w:rsid w:val="0090343A"/>
    <w:rsid w:val="009045F2"/>
    <w:rsid w:val="00904C74"/>
    <w:rsid w:val="00904E76"/>
    <w:rsid w:val="00904FD3"/>
    <w:rsid w:val="00905263"/>
    <w:rsid w:val="009055F2"/>
    <w:rsid w:val="00905655"/>
    <w:rsid w:val="00905666"/>
    <w:rsid w:val="0090573B"/>
    <w:rsid w:val="00906097"/>
    <w:rsid w:val="009066A4"/>
    <w:rsid w:val="0090684D"/>
    <w:rsid w:val="0090686A"/>
    <w:rsid w:val="009069EF"/>
    <w:rsid w:val="00906C02"/>
    <w:rsid w:val="00906E42"/>
    <w:rsid w:val="00906EA0"/>
    <w:rsid w:val="00907364"/>
    <w:rsid w:val="009076E9"/>
    <w:rsid w:val="009079AF"/>
    <w:rsid w:val="00907DD3"/>
    <w:rsid w:val="0091023B"/>
    <w:rsid w:val="009105EE"/>
    <w:rsid w:val="00910682"/>
    <w:rsid w:val="00910D4A"/>
    <w:rsid w:val="00911323"/>
    <w:rsid w:val="009113E7"/>
    <w:rsid w:val="0091172B"/>
    <w:rsid w:val="00911C9E"/>
    <w:rsid w:val="00911D26"/>
    <w:rsid w:val="00911D2C"/>
    <w:rsid w:val="00911D4B"/>
    <w:rsid w:val="00911FA8"/>
    <w:rsid w:val="0091216C"/>
    <w:rsid w:val="0091224C"/>
    <w:rsid w:val="0091255B"/>
    <w:rsid w:val="00913013"/>
    <w:rsid w:val="009132DC"/>
    <w:rsid w:val="00913F7F"/>
    <w:rsid w:val="009142B1"/>
    <w:rsid w:val="00914684"/>
    <w:rsid w:val="009146F0"/>
    <w:rsid w:val="009147C6"/>
    <w:rsid w:val="00914C49"/>
    <w:rsid w:val="00914E96"/>
    <w:rsid w:val="00914F62"/>
    <w:rsid w:val="00915220"/>
    <w:rsid w:val="0091532C"/>
    <w:rsid w:val="009158F5"/>
    <w:rsid w:val="00915A40"/>
    <w:rsid w:val="00915A67"/>
    <w:rsid w:val="00915E74"/>
    <w:rsid w:val="0091677F"/>
    <w:rsid w:val="00916976"/>
    <w:rsid w:val="00916AE2"/>
    <w:rsid w:val="00916FBE"/>
    <w:rsid w:val="009170B2"/>
    <w:rsid w:val="00917417"/>
    <w:rsid w:val="00917918"/>
    <w:rsid w:val="00917BDE"/>
    <w:rsid w:val="00917D9F"/>
    <w:rsid w:val="00917DA5"/>
    <w:rsid w:val="009200DF"/>
    <w:rsid w:val="0092012B"/>
    <w:rsid w:val="0092034D"/>
    <w:rsid w:val="009203C2"/>
    <w:rsid w:val="00920798"/>
    <w:rsid w:val="009207D9"/>
    <w:rsid w:val="009207DD"/>
    <w:rsid w:val="00920A87"/>
    <w:rsid w:val="00920C99"/>
    <w:rsid w:val="00921412"/>
    <w:rsid w:val="00921478"/>
    <w:rsid w:val="00921AE9"/>
    <w:rsid w:val="00921C33"/>
    <w:rsid w:val="0092201C"/>
    <w:rsid w:val="009220F7"/>
    <w:rsid w:val="00922272"/>
    <w:rsid w:val="00922567"/>
    <w:rsid w:val="009229B0"/>
    <w:rsid w:val="00922D97"/>
    <w:rsid w:val="00922E03"/>
    <w:rsid w:val="00922EA2"/>
    <w:rsid w:val="0092394A"/>
    <w:rsid w:val="009242EA"/>
    <w:rsid w:val="0092435A"/>
    <w:rsid w:val="00924521"/>
    <w:rsid w:val="0092473D"/>
    <w:rsid w:val="00924D39"/>
    <w:rsid w:val="0092540F"/>
    <w:rsid w:val="00925D19"/>
    <w:rsid w:val="00926118"/>
    <w:rsid w:val="00926148"/>
    <w:rsid w:val="009263DD"/>
    <w:rsid w:val="00926CE3"/>
    <w:rsid w:val="00926FC9"/>
    <w:rsid w:val="00927422"/>
    <w:rsid w:val="0092764E"/>
    <w:rsid w:val="00927F21"/>
    <w:rsid w:val="00927F3C"/>
    <w:rsid w:val="009300B4"/>
    <w:rsid w:val="009300D5"/>
    <w:rsid w:val="00930137"/>
    <w:rsid w:val="00930A43"/>
    <w:rsid w:val="00930E73"/>
    <w:rsid w:val="00931064"/>
    <w:rsid w:val="009313D7"/>
    <w:rsid w:val="009314A4"/>
    <w:rsid w:val="0093152E"/>
    <w:rsid w:val="00931724"/>
    <w:rsid w:val="00931834"/>
    <w:rsid w:val="00931DA1"/>
    <w:rsid w:val="0093210B"/>
    <w:rsid w:val="009322A2"/>
    <w:rsid w:val="00932BE1"/>
    <w:rsid w:val="009330D8"/>
    <w:rsid w:val="00933402"/>
    <w:rsid w:val="009336CF"/>
    <w:rsid w:val="00933B6B"/>
    <w:rsid w:val="00933C2F"/>
    <w:rsid w:val="0093421E"/>
    <w:rsid w:val="00934AF7"/>
    <w:rsid w:val="00934EE4"/>
    <w:rsid w:val="009356D5"/>
    <w:rsid w:val="009359DF"/>
    <w:rsid w:val="0093603B"/>
    <w:rsid w:val="0093704E"/>
    <w:rsid w:val="009371CE"/>
    <w:rsid w:val="00937417"/>
    <w:rsid w:val="009374EE"/>
    <w:rsid w:val="009375AE"/>
    <w:rsid w:val="00937FE0"/>
    <w:rsid w:val="00940B05"/>
    <w:rsid w:val="00940DE3"/>
    <w:rsid w:val="00941170"/>
    <w:rsid w:val="0094172A"/>
    <w:rsid w:val="00943A43"/>
    <w:rsid w:val="00943EBC"/>
    <w:rsid w:val="00943EBE"/>
    <w:rsid w:val="0094409F"/>
    <w:rsid w:val="00944516"/>
    <w:rsid w:val="00944547"/>
    <w:rsid w:val="00944809"/>
    <w:rsid w:val="0094488E"/>
    <w:rsid w:val="00944B55"/>
    <w:rsid w:val="00944C85"/>
    <w:rsid w:val="00945394"/>
    <w:rsid w:val="0094551C"/>
    <w:rsid w:val="00945672"/>
    <w:rsid w:val="009459A7"/>
    <w:rsid w:val="00945D52"/>
    <w:rsid w:val="0094616B"/>
    <w:rsid w:val="00946640"/>
    <w:rsid w:val="00946B31"/>
    <w:rsid w:val="00946FA6"/>
    <w:rsid w:val="009473B0"/>
    <w:rsid w:val="00947678"/>
    <w:rsid w:val="00947B17"/>
    <w:rsid w:val="0095053D"/>
    <w:rsid w:val="009505C3"/>
    <w:rsid w:val="0095065A"/>
    <w:rsid w:val="0095070A"/>
    <w:rsid w:val="00950769"/>
    <w:rsid w:val="00950D70"/>
    <w:rsid w:val="00950FAE"/>
    <w:rsid w:val="00951029"/>
    <w:rsid w:val="009512CF"/>
    <w:rsid w:val="0095138D"/>
    <w:rsid w:val="00951732"/>
    <w:rsid w:val="009517C4"/>
    <w:rsid w:val="00951918"/>
    <w:rsid w:val="0095191D"/>
    <w:rsid w:val="00951C50"/>
    <w:rsid w:val="00951D04"/>
    <w:rsid w:val="009520F7"/>
    <w:rsid w:val="0095265B"/>
    <w:rsid w:val="00952B10"/>
    <w:rsid w:val="00952BCB"/>
    <w:rsid w:val="00952F41"/>
    <w:rsid w:val="00952F80"/>
    <w:rsid w:val="00952FD9"/>
    <w:rsid w:val="0095343E"/>
    <w:rsid w:val="00953CDC"/>
    <w:rsid w:val="00953FD5"/>
    <w:rsid w:val="00953FF1"/>
    <w:rsid w:val="00954E92"/>
    <w:rsid w:val="00954EF8"/>
    <w:rsid w:val="00955059"/>
    <w:rsid w:val="00955245"/>
    <w:rsid w:val="0095564E"/>
    <w:rsid w:val="009558F3"/>
    <w:rsid w:val="009559AB"/>
    <w:rsid w:val="00955A64"/>
    <w:rsid w:val="00955A97"/>
    <w:rsid w:val="00956012"/>
    <w:rsid w:val="009560EF"/>
    <w:rsid w:val="00956333"/>
    <w:rsid w:val="0095663F"/>
    <w:rsid w:val="0095664D"/>
    <w:rsid w:val="00956931"/>
    <w:rsid w:val="00956C96"/>
    <w:rsid w:val="009574F7"/>
    <w:rsid w:val="00957924"/>
    <w:rsid w:val="00960121"/>
    <w:rsid w:val="009605A6"/>
    <w:rsid w:val="00960736"/>
    <w:rsid w:val="00960A74"/>
    <w:rsid w:val="00960B50"/>
    <w:rsid w:val="00961266"/>
    <w:rsid w:val="00961283"/>
    <w:rsid w:val="0096189F"/>
    <w:rsid w:val="0096196B"/>
    <w:rsid w:val="00961A2E"/>
    <w:rsid w:val="00961A55"/>
    <w:rsid w:val="0096252A"/>
    <w:rsid w:val="00962D24"/>
    <w:rsid w:val="00962FDD"/>
    <w:rsid w:val="00963AB5"/>
    <w:rsid w:val="0096434C"/>
    <w:rsid w:val="00964464"/>
    <w:rsid w:val="009647FF"/>
    <w:rsid w:val="00964A14"/>
    <w:rsid w:val="00964A3C"/>
    <w:rsid w:val="009651F3"/>
    <w:rsid w:val="009652CA"/>
    <w:rsid w:val="0096534F"/>
    <w:rsid w:val="00965605"/>
    <w:rsid w:val="009668F3"/>
    <w:rsid w:val="00967368"/>
    <w:rsid w:val="009673CB"/>
    <w:rsid w:val="00967DF9"/>
    <w:rsid w:val="00967F6B"/>
    <w:rsid w:val="009709E7"/>
    <w:rsid w:val="009711DD"/>
    <w:rsid w:val="009716A9"/>
    <w:rsid w:val="00972354"/>
    <w:rsid w:val="009729A5"/>
    <w:rsid w:val="009729AC"/>
    <w:rsid w:val="00972A3A"/>
    <w:rsid w:val="00972DFA"/>
    <w:rsid w:val="00973213"/>
    <w:rsid w:val="00973649"/>
    <w:rsid w:val="009739BB"/>
    <w:rsid w:val="00973DFA"/>
    <w:rsid w:val="00974305"/>
    <w:rsid w:val="00974C17"/>
    <w:rsid w:val="009751CF"/>
    <w:rsid w:val="0097542B"/>
    <w:rsid w:val="009759D5"/>
    <w:rsid w:val="00975B5B"/>
    <w:rsid w:val="00975B61"/>
    <w:rsid w:val="009762EA"/>
    <w:rsid w:val="00976619"/>
    <w:rsid w:val="0097685C"/>
    <w:rsid w:val="009770F2"/>
    <w:rsid w:val="0097728E"/>
    <w:rsid w:val="0097753E"/>
    <w:rsid w:val="00977628"/>
    <w:rsid w:val="00977BA0"/>
    <w:rsid w:val="00977BCE"/>
    <w:rsid w:val="009800BE"/>
    <w:rsid w:val="0098172E"/>
    <w:rsid w:val="00981E0B"/>
    <w:rsid w:val="00981F15"/>
    <w:rsid w:val="009821FA"/>
    <w:rsid w:val="0098247F"/>
    <w:rsid w:val="00982504"/>
    <w:rsid w:val="00982CB3"/>
    <w:rsid w:val="00982F4E"/>
    <w:rsid w:val="00982FA4"/>
    <w:rsid w:val="0098314A"/>
    <w:rsid w:val="009835C8"/>
    <w:rsid w:val="0098364D"/>
    <w:rsid w:val="009838D2"/>
    <w:rsid w:val="009838E2"/>
    <w:rsid w:val="009839D5"/>
    <w:rsid w:val="00983A9A"/>
    <w:rsid w:val="009840B9"/>
    <w:rsid w:val="009845E6"/>
    <w:rsid w:val="00984713"/>
    <w:rsid w:val="009856F7"/>
    <w:rsid w:val="00985EDC"/>
    <w:rsid w:val="0098627B"/>
    <w:rsid w:val="00986328"/>
    <w:rsid w:val="00986A41"/>
    <w:rsid w:val="00986C6D"/>
    <w:rsid w:val="00986D6D"/>
    <w:rsid w:val="00987549"/>
    <w:rsid w:val="009877A9"/>
    <w:rsid w:val="0099097B"/>
    <w:rsid w:val="0099097C"/>
    <w:rsid w:val="009909C5"/>
    <w:rsid w:val="00990B82"/>
    <w:rsid w:val="00991151"/>
    <w:rsid w:val="009913DD"/>
    <w:rsid w:val="00991546"/>
    <w:rsid w:val="00991AE4"/>
    <w:rsid w:val="00991B04"/>
    <w:rsid w:val="00992196"/>
    <w:rsid w:val="0099261C"/>
    <w:rsid w:val="009928DD"/>
    <w:rsid w:val="009930C3"/>
    <w:rsid w:val="00993160"/>
    <w:rsid w:val="0099332A"/>
    <w:rsid w:val="00993A67"/>
    <w:rsid w:val="00993CA2"/>
    <w:rsid w:val="0099435A"/>
    <w:rsid w:val="00994C63"/>
    <w:rsid w:val="00995124"/>
    <w:rsid w:val="0099528C"/>
    <w:rsid w:val="00995A83"/>
    <w:rsid w:val="00995AD0"/>
    <w:rsid w:val="00995BDD"/>
    <w:rsid w:val="00995C13"/>
    <w:rsid w:val="00995C9C"/>
    <w:rsid w:val="00996307"/>
    <w:rsid w:val="00996B02"/>
    <w:rsid w:val="00997808"/>
    <w:rsid w:val="00997916"/>
    <w:rsid w:val="00997FFC"/>
    <w:rsid w:val="009A00EF"/>
    <w:rsid w:val="009A0B0A"/>
    <w:rsid w:val="009A0DD1"/>
    <w:rsid w:val="009A1349"/>
    <w:rsid w:val="009A1576"/>
    <w:rsid w:val="009A1BAC"/>
    <w:rsid w:val="009A230F"/>
    <w:rsid w:val="009A237B"/>
    <w:rsid w:val="009A2CC9"/>
    <w:rsid w:val="009A2FE2"/>
    <w:rsid w:val="009A3145"/>
    <w:rsid w:val="009A32B0"/>
    <w:rsid w:val="009A3554"/>
    <w:rsid w:val="009A3555"/>
    <w:rsid w:val="009A3A70"/>
    <w:rsid w:val="009A3BB0"/>
    <w:rsid w:val="009A4105"/>
    <w:rsid w:val="009A47CA"/>
    <w:rsid w:val="009A4928"/>
    <w:rsid w:val="009A4AEC"/>
    <w:rsid w:val="009A4AF2"/>
    <w:rsid w:val="009A5AC5"/>
    <w:rsid w:val="009A5CB5"/>
    <w:rsid w:val="009A6443"/>
    <w:rsid w:val="009A6693"/>
    <w:rsid w:val="009A7097"/>
    <w:rsid w:val="009A7E34"/>
    <w:rsid w:val="009B035B"/>
    <w:rsid w:val="009B03CE"/>
    <w:rsid w:val="009B05B4"/>
    <w:rsid w:val="009B1121"/>
    <w:rsid w:val="009B1239"/>
    <w:rsid w:val="009B125A"/>
    <w:rsid w:val="009B241F"/>
    <w:rsid w:val="009B2504"/>
    <w:rsid w:val="009B2C49"/>
    <w:rsid w:val="009B31E9"/>
    <w:rsid w:val="009B3860"/>
    <w:rsid w:val="009B3902"/>
    <w:rsid w:val="009B3A9B"/>
    <w:rsid w:val="009B3B55"/>
    <w:rsid w:val="009B4219"/>
    <w:rsid w:val="009B4289"/>
    <w:rsid w:val="009B4359"/>
    <w:rsid w:val="009B4387"/>
    <w:rsid w:val="009B4487"/>
    <w:rsid w:val="009B490A"/>
    <w:rsid w:val="009B4E82"/>
    <w:rsid w:val="009B4F0B"/>
    <w:rsid w:val="009B4FFA"/>
    <w:rsid w:val="009B5278"/>
    <w:rsid w:val="009B5322"/>
    <w:rsid w:val="009B550E"/>
    <w:rsid w:val="009B551D"/>
    <w:rsid w:val="009B5896"/>
    <w:rsid w:val="009B5B66"/>
    <w:rsid w:val="009B5EB3"/>
    <w:rsid w:val="009B6080"/>
    <w:rsid w:val="009B71E1"/>
    <w:rsid w:val="009B7449"/>
    <w:rsid w:val="009B7842"/>
    <w:rsid w:val="009B7A7C"/>
    <w:rsid w:val="009C083D"/>
    <w:rsid w:val="009C0F1D"/>
    <w:rsid w:val="009C122C"/>
    <w:rsid w:val="009C1485"/>
    <w:rsid w:val="009C1E4C"/>
    <w:rsid w:val="009C2194"/>
    <w:rsid w:val="009C22C0"/>
    <w:rsid w:val="009C2B0B"/>
    <w:rsid w:val="009C2DA7"/>
    <w:rsid w:val="009C311D"/>
    <w:rsid w:val="009C3209"/>
    <w:rsid w:val="009C41BB"/>
    <w:rsid w:val="009C45A4"/>
    <w:rsid w:val="009C4810"/>
    <w:rsid w:val="009C4C48"/>
    <w:rsid w:val="009C50AD"/>
    <w:rsid w:val="009C518D"/>
    <w:rsid w:val="009C5299"/>
    <w:rsid w:val="009C55C8"/>
    <w:rsid w:val="009C5AB6"/>
    <w:rsid w:val="009C5D02"/>
    <w:rsid w:val="009C628D"/>
    <w:rsid w:val="009C660F"/>
    <w:rsid w:val="009C6985"/>
    <w:rsid w:val="009C6BCA"/>
    <w:rsid w:val="009C6CA2"/>
    <w:rsid w:val="009C6DD4"/>
    <w:rsid w:val="009C6E6C"/>
    <w:rsid w:val="009C76A7"/>
    <w:rsid w:val="009C7E6D"/>
    <w:rsid w:val="009D0F44"/>
    <w:rsid w:val="009D18E0"/>
    <w:rsid w:val="009D1BA2"/>
    <w:rsid w:val="009D1F07"/>
    <w:rsid w:val="009D200C"/>
    <w:rsid w:val="009D2016"/>
    <w:rsid w:val="009D2414"/>
    <w:rsid w:val="009D2A9D"/>
    <w:rsid w:val="009D2BCB"/>
    <w:rsid w:val="009D3DB7"/>
    <w:rsid w:val="009D3E37"/>
    <w:rsid w:val="009D431E"/>
    <w:rsid w:val="009D4797"/>
    <w:rsid w:val="009D53E2"/>
    <w:rsid w:val="009D54D0"/>
    <w:rsid w:val="009D5E42"/>
    <w:rsid w:val="009D5FC1"/>
    <w:rsid w:val="009D6E93"/>
    <w:rsid w:val="009D6F4F"/>
    <w:rsid w:val="009D6F77"/>
    <w:rsid w:val="009D71AB"/>
    <w:rsid w:val="009D7B63"/>
    <w:rsid w:val="009D7BE8"/>
    <w:rsid w:val="009D7DDD"/>
    <w:rsid w:val="009E044C"/>
    <w:rsid w:val="009E05DC"/>
    <w:rsid w:val="009E0A67"/>
    <w:rsid w:val="009E18B3"/>
    <w:rsid w:val="009E1A26"/>
    <w:rsid w:val="009E2218"/>
    <w:rsid w:val="009E22F7"/>
    <w:rsid w:val="009E2316"/>
    <w:rsid w:val="009E275A"/>
    <w:rsid w:val="009E2772"/>
    <w:rsid w:val="009E2E89"/>
    <w:rsid w:val="009E3F4D"/>
    <w:rsid w:val="009E44BC"/>
    <w:rsid w:val="009E44E3"/>
    <w:rsid w:val="009E4B51"/>
    <w:rsid w:val="009E5205"/>
    <w:rsid w:val="009E529A"/>
    <w:rsid w:val="009E5891"/>
    <w:rsid w:val="009E596A"/>
    <w:rsid w:val="009E6009"/>
    <w:rsid w:val="009E689A"/>
    <w:rsid w:val="009E6BB0"/>
    <w:rsid w:val="009E6C0D"/>
    <w:rsid w:val="009E7A89"/>
    <w:rsid w:val="009E7B38"/>
    <w:rsid w:val="009F0390"/>
    <w:rsid w:val="009F08C1"/>
    <w:rsid w:val="009F0E6B"/>
    <w:rsid w:val="009F1615"/>
    <w:rsid w:val="009F19B6"/>
    <w:rsid w:val="009F20C8"/>
    <w:rsid w:val="009F26C8"/>
    <w:rsid w:val="009F270E"/>
    <w:rsid w:val="009F2AAA"/>
    <w:rsid w:val="009F2E25"/>
    <w:rsid w:val="009F2F42"/>
    <w:rsid w:val="009F31DE"/>
    <w:rsid w:val="009F39E2"/>
    <w:rsid w:val="009F3B03"/>
    <w:rsid w:val="009F40B0"/>
    <w:rsid w:val="009F47BC"/>
    <w:rsid w:val="009F496D"/>
    <w:rsid w:val="009F4C06"/>
    <w:rsid w:val="009F4E8D"/>
    <w:rsid w:val="009F4F5D"/>
    <w:rsid w:val="009F4FCB"/>
    <w:rsid w:val="009F4FE4"/>
    <w:rsid w:val="009F5315"/>
    <w:rsid w:val="009F544A"/>
    <w:rsid w:val="009F59E5"/>
    <w:rsid w:val="009F5F60"/>
    <w:rsid w:val="009F6256"/>
    <w:rsid w:val="009F63B6"/>
    <w:rsid w:val="009F673F"/>
    <w:rsid w:val="009F6A92"/>
    <w:rsid w:val="009F707F"/>
    <w:rsid w:val="009F7419"/>
    <w:rsid w:val="009F782A"/>
    <w:rsid w:val="00A00160"/>
    <w:rsid w:val="00A008E2"/>
    <w:rsid w:val="00A01079"/>
    <w:rsid w:val="00A01605"/>
    <w:rsid w:val="00A016DA"/>
    <w:rsid w:val="00A01898"/>
    <w:rsid w:val="00A01B5E"/>
    <w:rsid w:val="00A030AA"/>
    <w:rsid w:val="00A03367"/>
    <w:rsid w:val="00A03570"/>
    <w:rsid w:val="00A042BA"/>
    <w:rsid w:val="00A0433C"/>
    <w:rsid w:val="00A04590"/>
    <w:rsid w:val="00A04624"/>
    <w:rsid w:val="00A04B97"/>
    <w:rsid w:val="00A04C40"/>
    <w:rsid w:val="00A0535B"/>
    <w:rsid w:val="00A053E0"/>
    <w:rsid w:val="00A055EF"/>
    <w:rsid w:val="00A056B9"/>
    <w:rsid w:val="00A05824"/>
    <w:rsid w:val="00A05CB2"/>
    <w:rsid w:val="00A05E4B"/>
    <w:rsid w:val="00A061F2"/>
    <w:rsid w:val="00A0644F"/>
    <w:rsid w:val="00A06787"/>
    <w:rsid w:val="00A0687D"/>
    <w:rsid w:val="00A06883"/>
    <w:rsid w:val="00A068AF"/>
    <w:rsid w:val="00A06BA2"/>
    <w:rsid w:val="00A06D95"/>
    <w:rsid w:val="00A07007"/>
    <w:rsid w:val="00A070E2"/>
    <w:rsid w:val="00A0734B"/>
    <w:rsid w:val="00A07648"/>
    <w:rsid w:val="00A10199"/>
    <w:rsid w:val="00A101FD"/>
    <w:rsid w:val="00A1096F"/>
    <w:rsid w:val="00A1097A"/>
    <w:rsid w:val="00A10CA5"/>
    <w:rsid w:val="00A10F46"/>
    <w:rsid w:val="00A11052"/>
    <w:rsid w:val="00A1107F"/>
    <w:rsid w:val="00A11254"/>
    <w:rsid w:val="00A11EE2"/>
    <w:rsid w:val="00A12247"/>
    <w:rsid w:val="00A12548"/>
    <w:rsid w:val="00A126B9"/>
    <w:rsid w:val="00A12B92"/>
    <w:rsid w:val="00A12E8A"/>
    <w:rsid w:val="00A131D5"/>
    <w:rsid w:val="00A1376C"/>
    <w:rsid w:val="00A13A2B"/>
    <w:rsid w:val="00A13C4B"/>
    <w:rsid w:val="00A14155"/>
    <w:rsid w:val="00A1416D"/>
    <w:rsid w:val="00A1429B"/>
    <w:rsid w:val="00A14408"/>
    <w:rsid w:val="00A149F2"/>
    <w:rsid w:val="00A15470"/>
    <w:rsid w:val="00A15D0F"/>
    <w:rsid w:val="00A162D3"/>
    <w:rsid w:val="00A167CB"/>
    <w:rsid w:val="00A173E4"/>
    <w:rsid w:val="00A17964"/>
    <w:rsid w:val="00A20886"/>
    <w:rsid w:val="00A20AC3"/>
    <w:rsid w:val="00A210BB"/>
    <w:rsid w:val="00A2175A"/>
    <w:rsid w:val="00A21AAF"/>
    <w:rsid w:val="00A21BC2"/>
    <w:rsid w:val="00A21C75"/>
    <w:rsid w:val="00A21EB1"/>
    <w:rsid w:val="00A220FC"/>
    <w:rsid w:val="00A22E17"/>
    <w:rsid w:val="00A233A4"/>
    <w:rsid w:val="00A233E1"/>
    <w:rsid w:val="00A234C7"/>
    <w:rsid w:val="00A23E91"/>
    <w:rsid w:val="00A23F7E"/>
    <w:rsid w:val="00A241F2"/>
    <w:rsid w:val="00A243E0"/>
    <w:rsid w:val="00A24BE6"/>
    <w:rsid w:val="00A2511D"/>
    <w:rsid w:val="00A253AF"/>
    <w:rsid w:val="00A25475"/>
    <w:rsid w:val="00A255CC"/>
    <w:rsid w:val="00A25DD3"/>
    <w:rsid w:val="00A25F03"/>
    <w:rsid w:val="00A25FA7"/>
    <w:rsid w:val="00A26032"/>
    <w:rsid w:val="00A26289"/>
    <w:rsid w:val="00A26B03"/>
    <w:rsid w:val="00A2766E"/>
    <w:rsid w:val="00A277B5"/>
    <w:rsid w:val="00A31817"/>
    <w:rsid w:val="00A31E53"/>
    <w:rsid w:val="00A320F0"/>
    <w:rsid w:val="00A326A1"/>
    <w:rsid w:val="00A3279C"/>
    <w:rsid w:val="00A338CA"/>
    <w:rsid w:val="00A33F0C"/>
    <w:rsid w:val="00A33F81"/>
    <w:rsid w:val="00A33FF1"/>
    <w:rsid w:val="00A34259"/>
    <w:rsid w:val="00A34831"/>
    <w:rsid w:val="00A34900"/>
    <w:rsid w:val="00A34A73"/>
    <w:rsid w:val="00A3505D"/>
    <w:rsid w:val="00A35563"/>
    <w:rsid w:val="00A355D5"/>
    <w:rsid w:val="00A35DA8"/>
    <w:rsid w:val="00A36028"/>
    <w:rsid w:val="00A361B2"/>
    <w:rsid w:val="00A36231"/>
    <w:rsid w:val="00A36321"/>
    <w:rsid w:val="00A36339"/>
    <w:rsid w:val="00A3641D"/>
    <w:rsid w:val="00A36553"/>
    <w:rsid w:val="00A367FB"/>
    <w:rsid w:val="00A36A80"/>
    <w:rsid w:val="00A36B6C"/>
    <w:rsid w:val="00A37CB1"/>
    <w:rsid w:val="00A37D74"/>
    <w:rsid w:val="00A401FB"/>
    <w:rsid w:val="00A41183"/>
    <w:rsid w:val="00A4151B"/>
    <w:rsid w:val="00A417AB"/>
    <w:rsid w:val="00A420F7"/>
    <w:rsid w:val="00A42729"/>
    <w:rsid w:val="00A42837"/>
    <w:rsid w:val="00A42A09"/>
    <w:rsid w:val="00A43521"/>
    <w:rsid w:val="00A439E9"/>
    <w:rsid w:val="00A43BE2"/>
    <w:rsid w:val="00A43D79"/>
    <w:rsid w:val="00A44440"/>
    <w:rsid w:val="00A444ED"/>
    <w:rsid w:val="00A44735"/>
    <w:rsid w:val="00A448AB"/>
    <w:rsid w:val="00A448D3"/>
    <w:rsid w:val="00A44A2F"/>
    <w:rsid w:val="00A44B27"/>
    <w:rsid w:val="00A45010"/>
    <w:rsid w:val="00A455C2"/>
    <w:rsid w:val="00A4574B"/>
    <w:rsid w:val="00A45A03"/>
    <w:rsid w:val="00A45C9F"/>
    <w:rsid w:val="00A45D7A"/>
    <w:rsid w:val="00A45D92"/>
    <w:rsid w:val="00A45FD7"/>
    <w:rsid w:val="00A466E2"/>
    <w:rsid w:val="00A46A9D"/>
    <w:rsid w:val="00A46B5B"/>
    <w:rsid w:val="00A46FB7"/>
    <w:rsid w:val="00A479CA"/>
    <w:rsid w:val="00A50264"/>
    <w:rsid w:val="00A50644"/>
    <w:rsid w:val="00A50B50"/>
    <w:rsid w:val="00A50B70"/>
    <w:rsid w:val="00A515E0"/>
    <w:rsid w:val="00A5168E"/>
    <w:rsid w:val="00A516B5"/>
    <w:rsid w:val="00A51AF9"/>
    <w:rsid w:val="00A51DA2"/>
    <w:rsid w:val="00A521A5"/>
    <w:rsid w:val="00A5263D"/>
    <w:rsid w:val="00A52DE8"/>
    <w:rsid w:val="00A52F34"/>
    <w:rsid w:val="00A53929"/>
    <w:rsid w:val="00A5392D"/>
    <w:rsid w:val="00A53B97"/>
    <w:rsid w:val="00A53F39"/>
    <w:rsid w:val="00A54299"/>
    <w:rsid w:val="00A54403"/>
    <w:rsid w:val="00A54708"/>
    <w:rsid w:val="00A54A09"/>
    <w:rsid w:val="00A55F4F"/>
    <w:rsid w:val="00A56304"/>
    <w:rsid w:val="00A56365"/>
    <w:rsid w:val="00A56CED"/>
    <w:rsid w:val="00A56CF6"/>
    <w:rsid w:val="00A5711E"/>
    <w:rsid w:val="00A57650"/>
    <w:rsid w:val="00A57DFF"/>
    <w:rsid w:val="00A60083"/>
    <w:rsid w:val="00A60109"/>
    <w:rsid w:val="00A601C7"/>
    <w:rsid w:val="00A60604"/>
    <w:rsid w:val="00A60646"/>
    <w:rsid w:val="00A60772"/>
    <w:rsid w:val="00A60C20"/>
    <w:rsid w:val="00A60D36"/>
    <w:rsid w:val="00A6110C"/>
    <w:rsid w:val="00A6191B"/>
    <w:rsid w:val="00A61E42"/>
    <w:rsid w:val="00A6279E"/>
    <w:rsid w:val="00A63514"/>
    <w:rsid w:val="00A63736"/>
    <w:rsid w:val="00A63894"/>
    <w:rsid w:val="00A63AE6"/>
    <w:rsid w:val="00A64650"/>
    <w:rsid w:val="00A64F31"/>
    <w:rsid w:val="00A651AF"/>
    <w:rsid w:val="00A65D7C"/>
    <w:rsid w:val="00A6632A"/>
    <w:rsid w:val="00A6634B"/>
    <w:rsid w:val="00A6637E"/>
    <w:rsid w:val="00A66594"/>
    <w:rsid w:val="00A674BC"/>
    <w:rsid w:val="00A67560"/>
    <w:rsid w:val="00A675AF"/>
    <w:rsid w:val="00A677EF"/>
    <w:rsid w:val="00A67A89"/>
    <w:rsid w:val="00A70174"/>
    <w:rsid w:val="00A702CA"/>
    <w:rsid w:val="00A70BD9"/>
    <w:rsid w:val="00A70D7A"/>
    <w:rsid w:val="00A71194"/>
    <w:rsid w:val="00A713BA"/>
    <w:rsid w:val="00A71515"/>
    <w:rsid w:val="00A7159E"/>
    <w:rsid w:val="00A71868"/>
    <w:rsid w:val="00A71C00"/>
    <w:rsid w:val="00A729B8"/>
    <w:rsid w:val="00A72BA5"/>
    <w:rsid w:val="00A7389D"/>
    <w:rsid w:val="00A739A2"/>
    <w:rsid w:val="00A74352"/>
    <w:rsid w:val="00A74804"/>
    <w:rsid w:val="00A750FD"/>
    <w:rsid w:val="00A752C3"/>
    <w:rsid w:val="00A75469"/>
    <w:rsid w:val="00A75C64"/>
    <w:rsid w:val="00A76B22"/>
    <w:rsid w:val="00A770C4"/>
    <w:rsid w:val="00A771C9"/>
    <w:rsid w:val="00A77269"/>
    <w:rsid w:val="00A774AF"/>
    <w:rsid w:val="00A7751B"/>
    <w:rsid w:val="00A7759C"/>
    <w:rsid w:val="00A77B0E"/>
    <w:rsid w:val="00A802F4"/>
    <w:rsid w:val="00A804D4"/>
    <w:rsid w:val="00A80796"/>
    <w:rsid w:val="00A80AD7"/>
    <w:rsid w:val="00A814A0"/>
    <w:rsid w:val="00A814D5"/>
    <w:rsid w:val="00A81700"/>
    <w:rsid w:val="00A818FD"/>
    <w:rsid w:val="00A81BB1"/>
    <w:rsid w:val="00A82782"/>
    <w:rsid w:val="00A8361F"/>
    <w:rsid w:val="00A8377F"/>
    <w:rsid w:val="00A843F6"/>
    <w:rsid w:val="00A8459A"/>
    <w:rsid w:val="00A84839"/>
    <w:rsid w:val="00A84C19"/>
    <w:rsid w:val="00A8521D"/>
    <w:rsid w:val="00A85303"/>
    <w:rsid w:val="00A854F8"/>
    <w:rsid w:val="00A85635"/>
    <w:rsid w:val="00A856CE"/>
    <w:rsid w:val="00A85770"/>
    <w:rsid w:val="00A861F3"/>
    <w:rsid w:val="00A86590"/>
    <w:rsid w:val="00A86631"/>
    <w:rsid w:val="00A86A49"/>
    <w:rsid w:val="00A8750B"/>
    <w:rsid w:val="00A87625"/>
    <w:rsid w:val="00A8780D"/>
    <w:rsid w:val="00A87927"/>
    <w:rsid w:val="00A87C93"/>
    <w:rsid w:val="00A87F1C"/>
    <w:rsid w:val="00A90392"/>
    <w:rsid w:val="00A90BC1"/>
    <w:rsid w:val="00A90EC7"/>
    <w:rsid w:val="00A91225"/>
    <w:rsid w:val="00A913B6"/>
    <w:rsid w:val="00A91A52"/>
    <w:rsid w:val="00A91BF6"/>
    <w:rsid w:val="00A91C7D"/>
    <w:rsid w:val="00A92165"/>
    <w:rsid w:val="00A930CD"/>
    <w:rsid w:val="00A930DE"/>
    <w:rsid w:val="00A9332F"/>
    <w:rsid w:val="00A93577"/>
    <w:rsid w:val="00A93631"/>
    <w:rsid w:val="00A93954"/>
    <w:rsid w:val="00A939BB"/>
    <w:rsid w:val="00A93C17"/>
    <w:rsid w:val="00A93D9A"/>
    <w:rsid w:val="00A93F8F"/>
    <w:rsid w:val="00A940B9"/>
    <w:rsid w:val="00A944DC"/>
    <w:rsid w:val="00A9455B"/>
    <w:rsid w:val="00A94703"/>
    <w:rsid w:val="00A94B53"/>
    <w:rsid w:val="00A94C31"/>
    <w:rsid w:val="00A94F0F"/>
    <w:rsid w:val="00A96A8F"/>
    <w:rsid w:val="00A96AF5"/>
    <w:rsid w:val="00A97172"/>
    <w:rsid w:val="00A975F7"/>
    <w:rsid w:val="00AA008B"/>
    <w:rsid w:val="00AA0968"/>
    <w:rsid w:val="00AA0A89"/>
    <w:rsid w:val="00AA0EEE"/>
    <w:rsid w:val="00AA155F"/>
    <w:rsid w:val="00AA1772"/>
    <w:rsid w:val="00AA1879"/>
    <w:rsid w:val="00AA1C41"/>
    <w:rsid w:val="00AA1D9D"/>
    <w:rsid w:val="00AA26EA"/>
    <w:rsid w:val="00AA2733"/>
    <w:rsid w:val="00AA27B7"/>
    <w:rsid w:val="00AA27DF"/>
    <w:rsid w:val="00AA34B4"/>
    <w:rsid w:val="00AA3C3C"/>
    <w:rsid w:val="00AA3D52"/>
    <w:rsid w:val="00AA4CEA"/>
    <w:rsid w:val="00AA4EE0"/>
    <w:rsid w:val="00AA52AF"/>
    <w:rsid w:val="00AA57DE"/>
    <w:rsid w:val="00AA582B"/>
    <w:rsid w:val="00AA591A"/>
    <w:rsid w:val="00AA5F9D"/>
    <w:rsid w:val="00AA5FF6"/>
    <w:rsid w:val="00AA6E13"/>
    <w:rsid w:val="00AB0108"/>
    <w:rsid w:val="00AB0730"/>
    <w:rsid w:val="00AB0833"/>
    <w:rsid w:val="00AB0C29"/>
    <w:rsid w:val="00AB0EF4"/>
    <w:rsid w:val="00AB11E6"/>
    <w:rsid w:val="00AB1972"/>
    <w:rsid w:val="00AB1E2C"/>
    <w:rsid w:val="00AB2082"/>
    <w:rsid w:val="00AB293F"/>
    <w:rsid w:val="00AB2AE4"/>
    <w:rsid w:val="00AB2DF5"/>
    <w:rsid w:val="00AB371B"/>
    <w:rsid w:val="00AB3906"/>
    <w:rsid w:val="00AB3952"/>
    <w:rsid w:val="00AB3F97"/>
    <w:rsid w:val="00AB413E"/>
    <w:rsid w:val="00AB4213"/>
    <w:rsid w:val="00AB4359"/>
    <w:rsid w:val="00AB46E2"/>
    <w:rsid w:val="00AB479F"/>
    <w:rsid w:val="00AB483C"/>
    <w:rsid w:val="00AB48EF"/>
    <w:rsid w:val="00AB5D89"/>
    <w:rsid w:val="00AB5D95"/>
    <w:rsid w:val="00AB5DAA"/>
    <w:rsid w:val="00AB61DB"/>
    <w:rsid w:val="00AB63EA"/>
    <w:rsid w:val="00AB7015"/>
    <w:rsid w:val="00AB70AA"/>
    <w:rsid w:val="00AB70F8"/>
    <w:rsid w:val="00AB71F9"/>
    <w:rsid w:val="00AB7270"/>
    <w:rsid w:val="00AB7524"/>
    <w:rsid w:val="00AB79A7"/>
    <w:rsid w:val="00AB7A33"/>
    <w:rsid w:val="00AC04B5"/>
    <w:rsid w:val="00AC0537"/>
    <w:rsid w:val="00AC0590"/>
    <w:rsid w:val="00AC07A0"/>
    <w:rsid w:val="00AC095D"/>
    <w:rsid w:val="00AC14F0"/>
    <w:rsid w:val="00AC1D33"/>
    <w:rsid w:val="00AC2282"/>
    <w:rsid w:val="00AC2467"/>
    <w:rsid w:val="00AC27CE"/>
    <w:rsid w:val="00AC2B07"/>
    <w:rsid w:val="00AC3A41"/>
    <w:rsid w:val="00AC3B9D"/>
    <w:rsid w:val="00AC3BAF"/>
    <w:rsid w:val="00AC3E1E"/>
    <w:rsid w:val="00AC3E6F"/>
    <w:rsid w:val="00AC42E0"/>
    <w:rsid w:val="00AC4888"/>
    <w:rsid w:val="00AC5435"/>
    <w:rsid w:val="00AC5799"/>
    <w:rsid w:val="00AC5EA3"/>
    <w:rsid w:val="00AC623D"/>
    <w:rsid w:val="00AC685E"/>
    <w:rsid w:val="00AC72C6"/>
    <w:rsid w:val="00AC75C9"/>
    <w:rsid w:val="00AC7CB9"/>
    <w:rsid w:val="00AC7D8F"/>
    <w:rsid w:val="00AD003C"/>
    <w:rsid w:val="00AD05B1"/>
    <w:rsid w:val="00AD05E0"/>
    <w:rsid w:val="00AD09CF"/>
    <w:rsid w:val="00AD0E30"/>
    <w:rsid w:val="00AD1B2D"/>
    <w:rsid w:val="00AD1EC8"/>
    <w:rsid w:val="00AD20D9"/>
    <w:rsid w:val="00AD250F"/>
    <w:rsid w:val="00AD288D"/>
    <w:rsid w:val="00AD2CEF"/>
    <w:rsid w:val="00AD2D58"/>
    <w:rsid w:val="00AD314B"/>
    <w:rsid w:val="00AD32F6"/>
    <w:rsid w:val="00AD3B7F"/>
    <w:rsid w:val="00AD3CB9"/>
    <w:rsid w:val="00AD40D8"/>
    <w:rsid w:val="00AD4B51"/>
    <w:rsid w:val="00AD4BED"/>
    <w:rsid w:val="00AD4D1F"/>
    <w:rsid w:val="00AD4E22"/>
    <w:rsid w:val="00AD4E26"/>
    <w:rsid w:val="00AD4FBD"/>
    <w:rsid w:val="00AD5DF0"/>
    <w:rsid w:val="00AD63AE"/>
    <w:rsid w:val="00AD6A58"/>
    <w:rsid w:val="00AD6C3E"/>
    <w:rsid w:val="00AD6D51"/>
    <w:rsid w:val="00AD72FC"/>
    <w:rsid w:val="00AD776C"/>
    <w:rsid w:val="00AD7949"/>
    <w:rsid w:val="00AD7AC4"/>
    <w:rsid w:val="00AD7F9B"/>
    <w:rsid w:val="00AE009B"/>
    <w:rsid w:val="00AE08B8"/>
    <w:rsid w:val="00AE097F"/>
    <w:rsid w:val="00AE1653"/>
    <w:rsid w:val="00AE1914"/>
    <w:rsid w:val="00AE19ED"/>
    <w:rsid w:val="00AE1A52"/>
    <w:rsid w:val="00AE1C7B"/>
    <w:rsid w:val="00AE2896"/>
    <w:rsid w:val="00AE2971"/>
    <w:rsid w:val="00AE29EE"/>
    <w:rsid w:val="00AE2CFC"/>
    <w:rsid w:val="00AE3023"/>
    <w:rsid w:val="00AE3DBB"/>
    <w:rsid w:val="00AE4838"/>
    <w:rsid w:val="00AE4AC6"/>
    <w:rsid w:val="00AE4D23"/>
    <w:rsid w:val="00AE534E"/>
    <w:rsid w:val="00AE57D8"/>
    <w:rsid w:val="00AE5BF2"/>
    <w:rsid w:val="00AE5CCE"/>
    <w:rsid w:val="00AE6409"/>
    <w:rsid w:val="00AE68FF"/>
    <w:rsid w:val="00AE75EF"/>
    <w:rsid w:val="00AE7AFB"/>
    <w:rsid w:val="00AF0270"/>
    <w:rsid w:val="00AF0446"/>
    <w:rsid w:val="00AF07D2"/>
    <w:rsid w:val="00AF07EE"/>
    <w:rsid w:val="00AF08F8"/>
    <w:rsid w:val="00AF0989"/>
    <w:rsid w:val="00AF0C80"/>
    <w:rsid w:val="00AF0C8C"/>
    <w:rsid w:val="00AF0CEB"/>
    <w:rsid w:val="00AF0DDE"/>
    <w:rsid w:val="00AF0DE8"/>
    <w:rsid w:val="00AF12F2"/>
    <w:rsid w:val="00AF150F"/>
    <w:rsid w:val="00AF15C1"/>
    <w:rsid w:val="00AF1C08"/>
    <w:rsid w:val="00AF28A5"/>
    <w:rsid w:val="00AF2A50"/>
    <w:rsid w:val="00AF2B9C"/>
    <w:rsid w:val="00AF2F42"/>
    <w:rsid w:val="00AF2F64"/>
    <w:rsid w:val="00AF30AF"/>
    <w:rsid w:val="00AF3200"/>
    <w:rsid w:val="00AF41D5"/>
    <w:rsid w:val="00AF4288"/>
    <w:rsid w:val="00AF46C7"/>
    <w:rsid w:val="00AF498B"/>
    <w:rsid w:val="00AF4A3F"/>
    <w:rsid w:val="00AF52E9"/>
    <w:rsid w:val="00AF59E7"/>
    <w:rsid w:val="00AF5B29"/>
    <w:rsid w:val="00AF60BF"/>
    <w:rsid w:val="00AF654B"/>
    <w:rsid w:val="00AF680F"/>
    <w:rsid w:val="00AF7341"/>
    <w:rsid w:val="00AF7352"/>
    <w:rsid w:val="00AF74B3"/>
    <w:rsid w:val="00AF74B6"/>
    <w:rsid w:val="00AF76EA"/>
    <w:rsid w:val="00AF7C9F"/>
    <w:rsid w:val="00AF7D70"/>
    <w:rsid w:val="00AF7D88"/>
    <w:rsid w:val="00B000D1"/>
    <w:rsid w:val="00B00E0D"/>
    <w:rsid w:val="00B00F01"/>
    <w:rsid w:val="00B01940"/>
    <w:rsid w:val="00B02139"/>
    <w:rsid w:val="00B02720"/>
    <w:rsid w:val="00B02CDF"/>
    <w:rsid w:val="00B02F45"/>
    <w:rsid w:val="00B0395C"/>
    <w:rsid w:val="00B039E8"/>
    <w:rsid w:val="00B03BAD"/>
    <w:rsid w:val="00B03DAC"/>
    <w:rsid w:val="00B041D4"/>
    <w:rsid w:val="00B045D2"/>
    <w:rsid w:val="00B04AA8"/>
    <w:rsid w:val="00B04C34"/>
    <w:rsid w:val="00B04D77"/>
    <w:rsid w:val="00B04F97"/>
    <w:rsid w:val="00B05995"/>
    <w:rsid w:val="00B05EA7"/>
    <w:rsid w:val="00B060E8"/>
    <w:rsid w:val="00B06290"/>
    <w:rsid w:val="00B06399"/>
    <w:rsid w:val="00B066C2"/>
    <w:rsid w:val="00B07125"/>
    <w:rsid w:val="00B07460"/>
    <w:rsid w:val="00B07586"/>
    <w:rsid w:val="00B07F52"/>
    <w:rsid w:val="00B10032"/>
    <w:rsid w:val="00B101EE"/>
    <w:rsid w:val="00B1090D"/>
    <w:rsid w:val="00B10C0E"/>
    <w:rsid w:val="00B10D20"/>
    <w:rsid w:val="00B11772"/>
    <w:rsid w:val="00B118C8"/>
    <w:rsid w:val="00B11F52"/>
    <w:rsid w:val="00B12049"/>
    <w:rsid w:val="00B12354"/>
    <w:rsid w:val="00B1239A"/>
    <w:rsid w:val="00B1252A"/>
    <w:rsid w:val="00B126B7"/>
    <w:rsid w:val="00B129F9"/>
    <w:rsid w:val="00B133A4"/>
    <w:rsid w:val="00B139D9"/>
    <w:rsid w:val="00B141E0"/>
    <w:rsid w:val="00B1438B"/>
    <w:rsid w:val="00B14BCE"/>
    <w:rsid w:val="00B14CF7"/>
    <w:rsid w:val="00B152F7"/>
    <w:rsid w:val="00B153BE"/>
    <w:rsid w:val="00B1600F"/>
    <w:rsid w:val="00B1623F"/>
    <w:rsid w:val="00B16269"/>
    <w:rsid w:val="00B1633F"/>
    <w:rsid w:val="00B16764"/>
    <w:rsid w:val="00B16846"/>
    <w:rsid w:val="00B16B8E"/>
    <w:rsid w:val="00B16CB3"/>
    <w:rsid w:val="00B16DE0"/>
    <w:rsid w:val="00B17422"/>
    <w:rsid w:val="00B17483"/>
    <w:rsid w:val="00B1799A"/>
    <w:rsid w:val="00B179A0"/>
    <w:rsid w:val="00B17F4B"/>
    <w:rsid w:val="00B205C8"/>
    <w:rsid w:val="00B21487"/>
    <w:rsid w:val="00B214DB"/>
    <w:rsid w:val="00B21511"/>
    <w:rsid w:val="00B2166F"/>
    <w:rsid w:val="00B2178C"/>
    <w:rsid w:val="00B2241D"/>
    <w:rsid w:val="00B22665"/>
    <w:rsid w:val="00B22724"/>
    <w:rsid w:val="00B2297B"/>
    <w:rsid w:val="00B22C27"/>
    <w:rsid w:val="00B23021"/>
    <w:rsid w:val="00B23701"/>
    <w:rsid w:val="00B2375F"/>
    <w:rsid w:val="00B23B9A"/>
    <w:rsid w:val="00B23C60"/>
    <w:rsid w:val="00B23C79"/>
    <w:rsid w:val="00B23D25"/>
    <w:rsid w:val="00B24667"/>
    <w:rsid w:val="00B247D0"/>
    <w:rsid w:val="00B24910"/>
    <w:rsid w:val="00B24A99"/>
    <w:rsid w:val="00B24EF9"/>
    <w:rsid w:val="00B251DC"/>
    <w:rsid w:val="00B25448"/>
    <w:rsid w:val="00B2560A"/>
    <w:rsid w:val="00B256B9"/>
    <w:rsid w:val="00B257D1"/>
    <w:rsid w:val="00B258F0"/>
    <w:rsid w:val="00B259EB"/>
    <w:rsid w:val="00B260F1"/>
    <w:rsid w:val="00B26687"/>
    <w:rsid w:val="00B26830"/>
    <w:rsid w:val="00B26DD9"/>
    <w:rsid w:val="00B26DEE"/>
    <w:rsid w:val="00B2703B"/>
    <w:rsid w:val="00B2709E"/>
    <w:rsid w:val="00B271C2"/>
    <w:rsid w:val="00B27284"/>
    <w:rsid w:val="00B2752F"/>
    <w:rsid w:val="00B27974"/>
    <w:rsid w:val="00B3020A"/>
    <w:rsid w:val="00B304CC"/>
    <w:rsid w:val="00B30B65"/>
    <w:rsid w:val="00B31F70"/>
    <w:rsid w:val="00B31FFA"/>
    <w:rsid w:val="00B32421"/>
    <w:rsid w:val="00B32997"/>
    <w:rsid w:val="00B32C7E"/>
    <w:rsid w:val="00B33260"/>
    <w:rsid w:val="00B335E5"/>
    <w:rsid w:val="00B33AD4"/>
    <w:rsid w:val="00B33B88"/>
    <w:rsid w:val="00B342C2"/>
    <w:rsid w:val="00B345F8"/>
    <w:rsid w:val="00B3463E"/>
    <w:rsid w:val="00B34996"/>
    <w:rsid w:val="00B3575F"/>
    <w:rsid w:val="00B358E9"/>
    <w:rsid w:val="00B358F6"/>
    <w:rsid w:val="00B35A44"/>
    <w:rsid w:val="00B35CE3"/>
    <w:rsid w:val="00B35FD5"/>
    <w:rsid w:val="00B36997"/>
    <w:rsid w:val="00B36D78"/>
    <w:rsid w:val="00B36DF3"/>
    <w:rsid w:val="00B370A5"/>
    <w:rsid w:val="00B370D3"/>
    <w:rsid w:val="00B3735A"/>
    <w:rsid w:val="00B37A96"/>
    <w:rsid w:val="00B37BA8"/>
    <w:rsid w:val="00B400F2"/>
    <w:rsid w:val="00B4075C"/>
    <w:rsid w:val="00B40A80"/>
    <w:rsid w:val="00B40BEF"/>
    <w:rsid w:val="00B4208D"/>
    <w:rsid w:val="00B428C2"/>
    <w:rsid w:val="00B42D80"/>
    <w:rsid w:val="00B435FE"/>
    <w:rsid w:val="00B43D37"/>
    <w:rsid w:val="00B44600"/>
    <w:rsid w:val="00B44932"/>
    <w:rsid w:val="00B44A6E"/>
    <w:rsid w:val="00B44F0A"/>
    <w:rsid w:val="00B45274"/>
    <w:rsid w:val="00B4567A"/>
    <w:rsid w:val="00B45759"/>
    <w:rsid w:val="00B45806"/>
    <w:rsid w:val="00B45A58"/>
    <w:rsid w:val="00B45F89"/>
    <w:rsid w:val="00B45FD8"/>
    <w:rsid w:val="00B46243"/>
    <w:rsid w:val="00B463AA"/>
    <w:rsid w:val="00B469C6"/>
    <w:rsid w:val="00B46C5C"/>
    <w:rsid w:val="00B47381"/>
    <w:rsid w:val="00B478F3"/>
    <w:rsid w:val="00B4790F"/>
    <w:rsid w:val="00B5089B"/>
    <w:rsid w:val="00B51572"/>
    <w:rsid w:val="00B51924"/>
    <w:rsid w:val="00B51DCC"/>
    <w:rsid w:val="00B52292"/>
    <w:rsid w:val="00B52772"/>
    <w:rsid w:val="00B52965"/>
    <w:rsid w:val="00B52A92"/>
    <w:rsid w:val="00B52BC1"/>
    <w:rsid w:val="00B53063"/>
    <w:rsid w:val="00B5336D"/>
    <w:rsid w:val="00B534D1"/>
    <w:rsid w:val="00B5366A"/>
    <w:rsid w:val="00B5388F"/>
    <w:rsid w:val="00B53A60"/>
    <w:rsid w:val="00B53C63"/>
    <w:rsid w:val="00B545DE"/>
    <w:rsid w:val="00B54A2F"/>
    <w:rsid w:val="00B54D58"/>
    <w:rsid w:val="00B54D8E"/>
    <w:rsid w:val="00B55159"/>
    <w:rsid w:val="00B55950"/>
    <w:rsid w:val="00B55999"/>
    <w:rsid w:val="00B55BC1"/>
    <w:rsid w:val="00B55BC2"/>
    <w:rsid w:val="00B55C73"/>
    <w:rsid w:val="00B56249"/>
    <w:rsid w:val="00B56254"/>
    <w:rsid w:val="00B56397"/>
    <w:rsid w:val="00B5652E"/>
    <w:rsid w:val="00B5666A"/>
    <w:rsid w:val="00B56DE1"/>
    <w:rsid w:val="00B56E02"/>
    <w:rsid w:val="00B570C1"/>
    <w:rsid w:val="00B571DD"/>
    <w:rsid w:val="00B571F5"/>
    <w:rsid w:val="00B5798C"/>
    <w:rsid w:val="00B60112"/>
    <w:rsid w:val="00B60D19"/>
    <w:rsid w:val="00B60D3D"/>
    <w:rsid w:val="00B61413"/>
    <w:rsid w:val="00B618FE"/>
    <w:rsid w:val="00B61B34"/>
    <w:rsid w:val="00B61C57"/>
    <w:rsid w:val="00B623E8"/>
    <w:rsid w:val="00B627DD"/>
    <w:rsid w:val="00B62E10"/>
    <w:rsid w:val="00B635BE"/>
    <w:rsid w:val="00B6360A"/>
    <w:rsid w:val="00B644D9"/>
    <w:rsid w:val="00B649AF"/>
    <w:rsid w:val="00B64A17"/>
    <w:rsid w:val="00B64A86"/>
    <w:rsid w:val="00B65462"/>
    <w:rsid w:val="00B6548F"/>
    <w:rsid w:val="00B6591E"/>
    <w:rsid w:val="00B65935"/>
    <w:rsid w:val="00B65D02"/>
    <w:rsid w:val="00B65DF8"/>
    <w:rsid w:val="00B6662C"/>
    <w:rsid w:val="00B66776"/>
    <w:rsid w:val="00B667B8"/>
    <w:rsid w:val="00B66AA9"/>
    <w:rsid w:val="00B66EA3"/>
    <w:rsid w:val="00B675F6"/>
    <w:rsid w:val="00B67D08"/>
    <w:rsid w:val="00B70CDF"/>
    <w:rsid w:val="00B70D34"/>
    <w:rsid w:val="00B7106D"/>
    <w:rsid w:val="00B7110D"/>
    <w:rsid w:val="00B71992"/>
    <w:rsid w:val="00B719AE"/>
    <w:rsid w:val="00B71A3E"/>
    <w:rsid w:val="00B71FE8"/>
    <w:rsid w:val="00B7273E"/>
    <w:rsid w:val="00B72948"/>
    <w:rsid w:val="00B72A2F"/>
    <w:rsid w:val="00B72DDC"/>
    <w:rsid w:val="00B73367"/>
    <w:rsid w:val="00B7382B"/>
    <w:rsid w:val="00B74FEE"/>
    <w:rsid w:val="00B75351"/>
    <w:rsid w:val="00B75762"/>
    <w:rsid w:val="00B758C1"/>
    <w:rsid w:val="00B75AD6"/>
    <w:rsid w:val="00B76105"/>
    <w:rsid w:val="00B762BF"/>
    <w:rsid w:val="00B767A6"/>
    <w:rsid w:val="00B76A72"/>
    <w:rsid w:val="00B76E24"/>
    <w:rsid w:val="00B76E2C"/>
    <w:rsid w:val="00B76FFC"/>
    <w:rsid w:val="00B77069"/>
    <w:rsid w:val="00B77217"/>
    <w:rsid w:val="00B77276"/>
    <w:rsid w:val="00B77326"/>
    <w:rsid w:val="00B7774E"/>
    <w:rsid w:val="00B8046C"/>
    <w:rsid w:val="00B80792"/>
    <w:rsid w:val="00B80A97"/>
    <w:rsid w:val="00B80B23"/>
    <w:rsid w:val="00B80D3B"/>
    <w:rsid w:val="00B8100B"/>
    <w:rsid w:val="00B81133"/>
    <w:rsid w:val="00B81628"/>
    <w:rsid w:val="00B816C1"/>
    <w:rsid w:val="00B81E97"/>
    <w:rsid w:val="00B81EAD"/>
    <w:rsid w:val="00B8215B"/>
    <w:rsid w:val="00B82379"/>
    <w:rsid w:val="00B825A4"/>
    <w:rsid w:val="00B8294E"/>
    <w:rsid w:val="00B829C4"/>
    <w:rsid w:val="00B830A2"/>
    <w:rsid w:val="00B837BF"/>
    <w:rsid w:val="00B839F8"/>
    <w:rsid w:val="00B83D5D"/>
    <w:rsid w:val="00B83EBB"/>
    <w:rsid w:val="00B84002"/>
    <w:rsid w:val="00B841FB"/>
    <w:rsid w:val="00B842E0"/>
    <w:rsid w:val="00B84477"/>
    <w:rsid w:val="00B846BE"/>
    <w:rsid w:val="00B84DA7"/>
    <w:rsid w:val="00B85380"/>
    <w:rsid w:val="00B85819"/>
    <w:rsid w:val="00B8591C"/>
    <w:rsid w:val="00B85C63"/>
    <w:rsid w:val="00B85CE6"/>
    <w:rsid w:val="00B85FA5"/>
    <w:rsid w:val="00B866D9"/>
    <w:rsid w:val="00B8680A"/>
    <w:rsid w:val="00B86963"/>
    <w:rsid w:val="00B86F1F"/>
    <w:rsid w:val="00B8732A"/>
    <w:rsid w:val="00B8786D"/>
    <w:rsid w:val="00B87874"/>
    <w:rsid w:val="00B87BC7"/>
    <w:rsid w:val="00B87CA3"/>
    <w:rsid w:val="00B9077D"/>
    <w:rsid w:val="00B91252"/>
    <w:rsid w:val="00B915F8"/>
    <w:rsid w:val="00B91D6F"/>
    <w:rsid w:val="00B92466"/>
    <w:rsid w:val="00B9249B"/>
    <w:rsid w:val="00B928E5"/>
    <w:rsid w:val="00B933A9"/>
    <w:rsid w:val="00B93559"/>
    <w:rsid w:val="00B93722"/>
    <w:rsid w:val="00B93E16"/>
    <w:rsid w:val="00B940E1"/>
    <w:rsid w:val="00B940F2"/>
    <w:rsid w:val="00B949F2"/>
    <w:rsid w:val="00B94C17"/>
    <w:rsid w:val="00B94EAA"/>
    <w:rsid w:val="00B95268"/>
    <w:rsid w:val="00B95422"/>
    <w:rsid w:val="00B9547B"/>
    <w:rsid w:val="00B95529"/>
    <w:rsid w:val="00B959FF"/>
    <w:rsid w:val="00B962F9"/>
    <w:rsid w:val="00B96AD1"/>
    <w:rsid w:val="00B96AEB"/>
    <w:rsid w:val="00BA0312"/>
    <w:rsid w:val="00BA056B"/>
    <w:rsid w:val="00BA0BBF"/>
    <w:rsid w:val="00BA14A4"/>
    <w:rsid w:val="00BA1571"/>
    <w:rsid w:val="00BA2734"/>
    <w:rsid w:val="00BA2C0A"/>
    <w:rsid w:val="00BA361C"/>
    <w:rsid w:val="00BA3CBA"/>
    <w:rsid w:val="00BA3D70"/>
    <w:rsid w:val="00BA3FCA"/>
    <w:rsid w:val="00BA3FD7"/>
    <w:rsid w:val="00BA4224"/>
    <w:rsid w:val="00BA439D"/>
    <w:rsid w:val="00BA465B"/>
    <w:rsid w:val="00BA4A96"/>
    <w:rsid w:val="00BA4C0F"/>
    <w:rsid w:val="00BA528F"/>
    <w:rsid w:val="00BA54B8"/>
    <w:rsid w:val="00BA590B"/>
    <w:rsid w:val="00BA59E9"/>
    <w:rsid w:val="00BA6112"/>
    <w:rsid w:val="00BA624B"/>
    <w:rsid w:val="00BA6FA9"/>
    <w:rsid w:val="00BA7207"/>
    <w:rsid w:val="00BA7601"/>
    <w:rsid w:val="00BA7773"/>
    <w:rsid w:val="00BB057F"/>
    <w:rsid w:val="00BB0A7F"/>
    <w:rsid w:val="00BB1298"/>
    <w:rsid w:val="00BB1FED"/>
    <w:rsid w:val="00BB2A7B"/>
    <w:rsid w:val="00BB2C05"/>
    <w:rsid w:val="00BB36B7"/>
    <w:rsid w:val="00BB37C6"/>
    <w:rsid w:val="00BB3F51"/>
    <w:rsid w:val="00BB4363"/>
    <w:rsid w:val="00BB4797"/>
    <w:rsid w:val="00BB5345"/>
    <w:rsid w:val="00BB55C3"/>
    <w:rsid w:val="00BB56C9"/>
    <w:rsid w:val="00BB5C12"/>
    <w:rsid w:val="00BB5C90"/>
    <w:rsid w:val="00BB61C5"/>
    <w:rsid w:val="00BB62E2"/>
    <w:rsid w:val="00BB6388"/>
    <w:rsid w:val="00BB6946"/>
    <w:rsid w:val="00BB695C"/>
    <w:rsid w:val="00BB6A35"/>
    <w:rsid w:val="00BB7AFB"/>
    <w:rsid w:val="00BB7F75"/>
    <w:rsid w:val="00BC00B6"/>
    <w:rsid w:val="00BC022E"/>
    <w:rsid w:val="00BC08AD"/>
    <w:rsid w:val="00BC0BDE"/>
    <w:rsid w:val="00BC0E54"/>
    <w:rsid w:val="00BC12A8"/>
    <w:rsid w:val="00BC1335"/>
    <w:rsid w:val="00BC15CA"/>
    <w:rsid w:val="00BC1FE7"/>
    <w:rsid w:val="00BC2207"/>
    <w:rsid w:val="00BC237D"/>
    <w:rsid w:val="00BC249B"/>
    <w:rsid w:val="00BC265C"/>
    <w:rsid w:val="00BC2CDA"/>
    <w:rsid w:val="00BC30E2"/>
    <w:rsid w:val="00BC3D01"/>
    <w:rsid w:val="00BC3F7B"/>
    <w:rsid w:val="00BC41F2"/>
    <w:rsid w:val="00BC42AA"/>
    <w:rsid w:val="00BC44E3"/>
    <w:rsid w:val="00BC4889"/>
    <w:rsid w:val="00BC49F1"/>
    <w:rsid w:val="00BC4A06"/>
    <w:rsid w:val="00BC4EAB"/>
    <w:rsid w:val="00BC57A1"/>
    <w:rsid w:val="00BC5897"/>
    <w:rsid w:val="00BC59B7"/>
    <w:rsid w:val="00BC5F84"/>
    <w:rsid w:val="00BC5FCD"/>
    <w:rsid w:val="00BC606D"/>
    <w:rsid w:val="00BC65B6"/>
    <w:rsid w:val="00BC73A7"/>
    <w:rsid w:val="00BC74A1"/>
    <w:rsid w:val="00BC7C96"/>
    <w:rsid w:val="00BC7CBD"/>
    <w:rsid w:val="00BD0137"/>
    <w:rsid w:val="00BD026B"/>
    <w:rsid w:val="00BD084B"/>
    <w:rsid w:val="00BD0B48"/>
    <w:rsid w:val="00BD0DEA"/>
    <w:rsid w:val="00BD1B38"/>
    <w:rsid w:val="00BD1E8A"/>
    <w:rsid w:val="00BD1FF2"/>
    <w:rsid w:val="00BD21D0"/>
    <w:rsid w:val="00BD255B"/>
    <w:rsid w:val="00BD280D"/>
    <w:rsid w:val="00BD3933"/>
    <w:rsid w:val="00BD3F2A"/>
    <w:rsid w:val="00BD49C9"/>
    <w:rsid w:val="00BD5030"/>
    <w:rsid w:val="00BD528D"/>
    <w:rsid w:val="00BD53CD"/>
    <w:rsid w:val="00BD5427"/>
    <w:rsid w:val="00BD5985"/>
    <w:rsid w:val="00BD6023"/>
    <w:rsid w:val="00BD61B4"/>
    <w:rsid w:val="00BD6A22"/>
    <w:rsid w:val="00BD6B14"/>
    <w:rsid w:val="00BD6E26"/>
    <w:rsid w:val="00BD7385"/>
    <w:rsid w:val="00BD7434"/>
    <w:rsid w:val="00BD7559"/>
    <w:rsid w:val="00BD7613"/>
    <w:rsid w:val="00BD77A9"/>
    <w:rsid w:val="00BD7C7F"/>
    <w:rsid w:val="00BD7CC8"/>
    <w:rsid w:val="00BD7CCA"/>
    <w:rsid w:val="00BD7D0D"/>
    <w:rsid w:val="00BE02D0"/>
    <w:rsid w:val="00BE0814"/>
    <w:rsid w:val="00BE0A01"/>
    <w:rsid w:val="00BE0D4B"/>
    <w:rsid w:val="00BE0D95"/>
    <w:rsid w:val="00BE15D6"/>
    <w:rsid w:val="00BE1B47"/>
    <w:rsid w:val="00BE1F6C"/>
    <w:rsid w:val="00BE2D53"/>
    <w:rsid w:val="00BE3516"/>
    <w:rsid w:val="00BE36A9"/>
    <w:rsid w:val="00BE36B1"/>
    <w:rsid w:val="00BE3FF7"/>
    <w:rsid w:val="00BE40E1"/>
    <w:rsid w:val="00BE4A4A"/>
    <w:rsid w:val="00BE4CD2"/>
    <w:rsid w:val="00BE50A8"/>
    <w:rsid w:val="00BE59C3"/>
    <w:rsid w:val="00BE5CAE"/>
    <w:rsid w:val="00BE5E4E"/>
    <w:rsid w:val="00BE64F8"/>
    <w:rsid w:val="00BE6AA7"/>
    <w:rsid w:val="00BE6EDB"/>
    <w:rsid w:val="00BE78D9"/>
    <w:rsid w:val="00BE7AEF"/>
    <w:rsid w:val="00BE7BC3"/>
    <w:rsid w:val="00BF0283"/>
    <w:rsid w:val="00BF0561"/>
    <w:rsid w:val="00BF0764"/>
    <w:rsid w:val="00BF08B2"/>
    <w:rsid w:val="00BF0C10"/>
    <w:rsid w:val="00BF0E61"/>
    <w:rsid w:val="00BF147F"/>
    <w:rsid w:val="00BF16D9"/>
    <w:rsid w:val="00BF1C40"/>
    <w:rsid w:val="00BF1D61"/>
    <w:rsid w:val="00BF20E3"/>
    <w:rsid w:val="00BF218F"/>
    <w:rsid w:val="00BF25FE"/>
    <w:rsid w:val="00BF3091"/>
    <w:rsid w:val="00BF3701"/>
    <w:rsid w:val="00BF3909"/>
    <w:rsid w:val="00BF3AAE"/>
    <w:rsid w:val="00BF3E9D"/>
    <w:rsid w:val="00BF3EC1"/>
    <w:rsid w:val="00BF48C3"/>
    <w:rsid w:val="00BF4949"/>
    <w:rsid w:val="00BF514B"/>
    <w:rsid w:val="00BF5244"/>
    <w:rsid w:val="00BF5357"/>
    <w:rsid w:val="00BF5E73"/>
    <w:rsid w:val="00BF5EBB"/>
    <w:rsid w:val="00BF614E"/>
    <w:rsid w:val="00BF6612"/>
    <w:rsid w:val="00BF6947"/>
    <w:rsid w:val="00BF6E11"/>
    <w:rsid w:val="00BF6EF7"/>
    <w:rsid w:val="00BF7CC0"/>
    <w:rsid w:val="00C002CE"/>
    <w:rsid w:val="00C00880"/>
    <w:rsid w:val="00C008B1"/>
    <w:rsid w:val="00C00AF3"/>
    <w:rsid w:val="00C00BE8"/>
    <w:rsid w:val="00C01507"/>
    <w:rsid w:val="00C01638"/>
    <w:rsid w:val="00C01746"/>
    <w:rsid w:val="00C0196E"/>
    <w:rsid w:val="00C01AF1"/>
    <w:rsid w:val="00C01CA2"/>
    <w:rsid w:val="00C01E15"/>
    <w:rsid w:val="00C01E1F"/>
    <w:rsid w:val="00C01FFA"/>
    <w:rsid w:val="00C02080"/>
    <w:rsid w:val="00C023A3"/>
    <w:rsid w:val="00C027D7"/>
    <w:rsid w:val="00C02909"/>
    <w:rsid w:val="00C02B0E"/>
    <w:rsid w:val="00C0321C"/>
    <w:rsid w:val="00C0358B"/>
    <w:rsid w:val="00C03861"/>
    <w:rsid w:val="00C038DC"/>
    <w:rsid w:val="00C03A29"/>
    <w:rsid w:val="00C03BA5"/>
    <w:rsid w:val="00C0458D"/>
    <w:rsid w:val="00C04F2D"/>
    <w:rsid w:val="00C04F94"/>
    <w:rsid w:val="00C0541E"/>
    <w:rsid w:val="00C05458"/>
    <w:rsid w:val="00C05472"/>
    <w:rsid w:val="00C05713"/>
    <w:rsid w:val="00C05AEB"/>
    <w:rsid w:val="00C05D04"/>
    <w:rsid w:val="00C0602F"/>
    <w:rsid w:val="00C060B6"/>
    <w:rsid w:val="00C06147"/>
    <w:rsid w:val="00C068AA"/>
    <w:rsid w:val="00C06A1A"/>
    <w:rsid w:val="00C06C5F"/>
    <w:rsid w:val="00C075F0"/>
    <w:rsid w:val="00C07BD9"/>
    <w:rsid w:val="00C100A0"/>
    <w:rsid w:val="00C10936"/>
    <w:rsid w:val="00C10AA8"/>
    <w:rsid w:val="00C10B24"/>
    <w:rsid w:val="00C11007"/>
    <w:rsid w:val="00C113D9"/>
    <w:rsid w:val="00C11AF2"/>
    <w:rsid w:val="00C1286A"/>
    <w:rsid w:val="00C12ABA"/>
    <w:rsid w:val="00C12B7A"/>
    <w:rsid w:val="00C13188"/>
    <w:rsid w:val="00C133D1"/>
    <w:rsid w:val="00C136C8"/>
    <w:rsid w:val="00C137F9"/>
    <w:rsid w:val="00C13993"/>
    <w:rsid w:val="00C13A3E"/>
    <w:rsid w:val="00C13C6F"/>
    <w:rsid w:val="00C13DB7"/>
    <w:rsid w:val="00C14179"/>
    <w:rsid w:val="00C142F4"/>
    <w:rsid w:val="00C14582"/>
    <w:rsid w:val="00C14C9A"/>
    <w:rsid w:val="00C14DEC"/>
    <w:rsid w:val="00C14F89"/>
    <w:rsid w:val="00C151B7"/>
    <w:rsid w:val="00C153C2"/>
    <w:rsid w:val="00C155EE"/>
    <w:rsid w:val="00C160D3"/>
    <w:rsid w:val="00C161C0"/>
    <w:rsid w:val="00C16296"/>
    <w:rsid w:val="00C1685B"/>
    <w:rsid w:val="00C16976"/>
    <w:rsid w:val="00C16A77"/>
    <w:rsid w:val="00C16B66"/>
    <w:rsid w:val="00C16B9D"/>
    <w:rsid w:val="00C16EE0"/>
    <w:rsid w:val="00C171DA"/>
    <w:rsid w:val="00C17826"/>
    <w:rsid w:val="00C17851"/>
    <w:rsid w:val="00C17C9A"/>
    <w:rsid w:val="00C203A1"/>
    <w:rsid w:val="00C20467"/>
    <w:rsid w:val="00C20810"/>
    <w:rsid w:val="00C20E92"/>
    <w:rsid w:val="00C2107F"/>
    <w:rsid w:val="00C213E8"/>
    <w:rsid w:val="00C216AB"/>
    <w:rsid w:val="00C21876"/>
    <w:rsid w:val="00C22BA9"/>
    <w:rsid w:val="00C22F3D"/>
    <w:rsid w:val="00C23046"/>
    <w:rsid w:val="00C234F5"/>
    <w:rsid w:val="00C23524"/>
    <w:rsid w:val="00C23820"/>
    <w:rsid w:val="00C238DE"/>
    <w:rsid w:val="00C23A37"/>
    <w:rsid w:val="00C2406E"/>
    <w:rsid w:val="00C24631"/>
    <w:rsid w:val="00C2490D"/>
    <w:rsid w:val="00C24F42"/>
    <w:rsid w:val="00C25003"/>
    <w:rsid w:val="00C25693"/>
    <w:rsid w:val="00C25B13"/>
    <w:rsid w:val="00C25DD9"/>
    <w:rsid w:val="00C26101"/>
    <w:rsid w:val="00C2632B"/>
    <w:rsid w:val="00C26D02"/>
    <w:rsid w:val="00C26D2B"/>
    <w:rsid w:val="00C26E80"/>
    <w:rsid w:val="00C2707D"/>
    <w:rsid w:val="00C27138"/>
    <w:rsid w:val="00C274B0"/>
    <w:rsid w:val="00C27772"/>
    <w:rsid w:val="00C27875"/>
    <w:rsid w:val="00C30124"/>
    <w:rsid w:val="00C301A7"/>
    <w:rsid w:val="00C3026B"/>
    <w:rsid w:val="00C3082B"/>
    <w:rsid w:val="00C30864"/>
    <w:rsid w:val="00C30881"/>
    <w:rsid w:val="00C30B6F"/>
    <w:rsid w:val="00C30D00"/>
    <w:rsid w:val="00C30DC9"/>
    <w:rsid w:val="00C30E26"/>
    <w:rsid w:val="00C3114C"/>
    <w:rsid w:val="00C314E7"/>
    <w:rsid w:val="00C319D5"/>
    <w:rsid w:val="00C31BB0"/>
    <w:rsid w:val="00C31C65"/>
    <w:rsid w:val="00C3205C"/>
    <w:rsid w:val="00C32460"/>
    <w:rsid w:val="00C328FC"/>
    <w:rsid w:val="00C33049"/>
    <w:rsid w:val="00C33079"/>
    <w:rsid w:val="00C33CAC"/>
    <w:rsid w:val="00C33E79"/>
    <w:rsid w:val="00C340FD"/>
    <w:rsid w:val="00C3439B"/>
    <w:rsid w:val="00C346E7"/>
    <w:rsid w:val="00C3555D"/>
    <w:rsid w:val="00C358AD"/>
    <w:rsid w:val="00C35AB2"/>
    <w:rsid w:val="00C36002"/>
    <w:rsid w:val="00C3621C"/>
    <w:rsid w:val="00C36B3E"/>
    <w:rsid w:val="00C36B70"/>
    <w:rsid w:val="00C36E4C"/>
    <w:rsid w:val="00C375F6"/>
    <w:rsid w:val="00C37A1B"/>
    <w:rsid w:val="00C37CFF"/>
    <w:rsid w:val="00C400A0"/>
    <w:rsid w:val="00C402DF"/>
    <w:rsid w:val="00C403A9"/>
    <w:rsid w:val="00C4087D"/>
    <w:rsid w:val="00C40AED"/>
    <w:rsid w:val="00C40D6C"/>
    <w:rsid w:val="00C41481"/>
    <w:rsid w:val="00C41576"/>
    <w:rsid w:val="00C41797"/>
    <w:rsid w:val="00C417D2"/>
    <w:rsid w:val="00C4184B"/>
    <w:rsid w:val="00C419B8"/>
    <w:rsid w:val="00C41DEF"/>
    <w:rsid w:val="00C42062"/>
    <w:rsid w:val="00C4242C"/>
    <w:rsid w:val="00C429B7"/>
    <w:rsid w:val="00C42FD2"/>
    <w:rsid w:val="00C43374"/>
    <w:rsid w:val="00C433DB"/>
    <w:rsid w:val="00C43F20"/>
    <w:rsid w:val="00C44248"/>
    <w:rsid w:val="00C44493"/>
    <w:rsid w:val="00C44A0E"/>
    <w:rsid w:val="00C44CCB"/>
    <w:rsid w:val="00C44DCD"/>
    <w:rsid w:val="00C45037"/>
    <w:rsid w:val="00C452C3"/>
    <w:rsid w:val="00C45328"/>
    <w:rsid w:val="00C45424"/>
    <w:rsid w:val="00C455BA"/>
    <w:rsid w:val="00C459D9"/>
    <w:rsid w:val="00C45B00"/>
    <w:rsid w:val="00C467C2"/>
    <w:rsid w:val="00C47566"/>
    <w:rsid w:val="00C4768C"/>
    <w:rsid w:val="00C476A7"/>
    <w:rsid w:val="00C47814"/>
    <w:rsid w:val="00C47DBF"/>
    <w:rsid w:val="00C47DC3"/>
    <w:rsid w:val="00C47F6B"/>
    <w:rsid w:val="00C503B8"/>
    <w:rsid w:val="00C50B36"/>
    <w:rsid w:val="00C50E81"/>
    <w:rsid w:val="00C50E8E"/>
    <w:rsid w:val="00C50F6A"/>
    <w:rsid w:val="00C51020"/>
    <w:rsid w:val="00C51492"/>
    <w:rsid w:val="00C518AC"/>
    <w:rsid w:val="00C51B97"/>
    <w:rsid w:val="00C51BF1"/>
    <w:rsid w:val="00C51F09"/>
    <w:rsid w:val="00C51FD8"/>
    <w:rsid w:val="00C5206D"/>
    <w:rsid w:val="00C521D3"/>
    <w:rsid w:val="00C52352"/>
    <w:rsid w:val="00C52612"/>
    <w:rsid w:val="00C528FF"/>
    <w:rsid w:val="00C52F3C"/>
    <w:rsid w:val="00C531BE"/>
    <w:rsid w:val="00C53A85"/>
    <w:rsid w:val="00C54262"/>
    <w:rsid w:val="00C5472E"/>
    <w:rsid w:val="00C54AF5"/>
    <w:rsid w:val="00C55217"/>
    <w:rsid w:val="00C557D1"/>
    <w:rsid w:val="00C55980"/>
    <w:rsid w:val="00C559F9"/>
    <w:rsid w:val="00C55A3D"/>
    <w:rsid w:val="00C5607C"/>
    <w:rsid w:val="00C56B5F"/>
    <w:rsid w:val="00C57087"/>
    <w:rsid w:val="00C57616"/>
    <w:rsid w:val="00C5771C"/>
    <w:rsid w:val="00C57C21"/>
    <w:rsid w:val="00C6048F"/>
    <w:rsid w:val="00C6090B"/>
    <w:rsid w:val="00C60949"/>
    <w:rsid w:val="00C60ACC"/>
    <w:rsid w:val="00C60AE4"/>
    <w:rsid w:val="00C60CAB"/>
    <w:rsid w:val="00C611D6"/>
    <w:rsid w:val="00C613C0"/>
    <w:rsid w:val="00C618F0"/>
    <w:rsid w:val="00C61AFD"/>
    <w:rsid w:val="00C61BB6"/>
    <w:rsid w:val="00C61C82"/>
    <w:rsid w:val="00C61D39"/>
    <w:rsid w:val="00C61F00"/>
    <w:rsid w:val="00C620A2"/>
    <w:rsid w:val="00C627B9"/>
    <w:rsid w:val="00C62D44"/>
    <w:rsid w:val="00C641CB"/>
    <w:rsid w:val="00C64444"/>
    <w:rsid w:val="00C6469D"/>
    <w:rsid w:val="00C6488D"/>
    <w:rsid w:val="00C64C35"/>
    <w:rsid w:val="00C658D6"/>
    <w:rsid w:val="00C65D2B"/>
    <w:rsid w:val="00C65D95"/>
    <w:rsid w:val="00C6624C"/>
    <w:rsid w:val="00C664A6"/>
    <w:rsid w:val="00C6654D"/>
    <w:rsid w:val="00C666BB"/>
    <w:rsid w:val="00C670A5"/>
    <w:rsid w:val="00C676F0"/>
    <w:rsid w:val="00C6770C"/>
    <w:rsid w:val="00C67A5D"/>
    <w:rsid w:val="00C67B44"/>
    <w:rsid w:val="00C67B7D"/>
    <w:rsid w:val="00C67C4A"/>
    <w:rsid w:val="00C700AB"/>
    <w:rsid w:val="00C7019C"/>
    <w:rsid w:val="00C7042C"/>
    <w:rsid w:val="00C7089B"/>
    <w:rsid w:val="00C7095E"/>
    <w:rsid w:val="00C70D11"/>
    <w:rsid w:val="00C71078"/>
    <w:rsid w:val="00C7110F"/>
    <w:rsid w:val="00C71222"/>
    <w:rsid w:val="00C716AD"/>
    <w:rsid w:val="00C7192D"/>
    <w:rsid w:val="00C71B15"/>
    <w:rsid w:val="00C7207D"/>
    <w:rsid w:val="00C72384"/>
    <w:rsid w:val="00C723A2"/>
    <w:rsid w:val="00C72797"/>
    <w:rsid w:val="00C72BB7"/>
    <w:rsid w:val="00C72C7B"/>
    <w:rsid w:val="00C731D9"/>
    <w:rsid w:val="00C733B5"/>
    <w:rsid w:val="00C73465"/>
    <w:rsid w:val="00C73780"/>
    <w:rsid w:val="00C7391E"/>
    <w:rsid w:val="00C73BA2"/>
    <w:rsid w:val="00C73CF7"/>
    <w:rsid w:val="00C73DEC"/>
    <w:rsid w:val="00C73ED3"/>
    <w:rsid w:val="00C7437E"/>
    <w:rsid w:val="00C74C3A"/>
    <w:rsid w:val="00C74C60"/>
    <w:rsid w:val="00C74FBD"/>
    <w:rsid w:val="00C75CD1"/>
    <w:rsid w:val="00C75FBE"/>
    <w:rsid w:val="00C76002"/>
    <w:rsid w:val="00C7632A"/>
    <w:rsid w:val="00C7699C"/>
    <w:rsid w:val="00C76A82"/>
    <w:rsid w:val="00C774DB"/>
    <w:rsid w:val="00C775E8"/>
    <w:rsid w:val="00C804D4"/>
    <w:rsid w:val="00C80618"/>
    <w:rsid w:val="00C807FD"/>
    <w:rsid w:val="00C809A0"/>
    <w:rsid w:val="00C81049"/>
    <w:rsid w:val="00C810EE"/>
    <w:rsid w:val="00C81424"/>
    <w:rsid w:val="00C8178E"/>
    <w:rsid w:val="00C81837"/>
    <w:rsid w:val="00C818D6"/>
    <w:rsid w:val="00C81BE9"/>
    <w:rsid w:val="00C81CF4"/>
    <w:rsid w:val="00C81E88"/>
    <w:rsid w:val="00C8218D"/>
    <w:rsid w:val="00C8239F"/>
    <w:rsid w:val="00C8241D"/>
    <w:rsid w:val="00C825C1"/>
    <w:rsid w:val="00C826B2"/>
    <w:rsid w:val="00C8295F"/>
    <w:rsid w:val="00C82A70"/>
    <w:rsid w:val="00C82C34"/>
    <w:rsid w:val="00C82ED6"/>
    <w:rsid w:val="00C82EEA"/>
    <w:rsid w:val="00C834D2"/>
    <w:rsid w:val="00C83B88"/>
    <w:rsid w:val="00C83CF5"/>
    <w:rsid w:val="00C83E27"/>
    <w:rsid w:val="00C83F58"/>
    <w:rsid w:val="00C843D9"/>
    <w:rsid w:val="00C8481D"/>
    <w:rsid w:val="00C84A5B"/>
    <w:rsid w:val="00C85605"/>
    <w:rsid w:val="00C85815"/>
    <w:rsid w:val="00C85D88"/>
    <w:rsid w:val="00C85FF2"/>
    <w:rsid w:val="00C85FFD"/>
    <w:rsid w:val="00C86007"/>
    <w:rsid w:val="00C862D6"/>
    <w:rsid w:val="00C863FD"/>
    <w:rsid w:val="00C86670"/>
    <w:rsid w:val="00C8675B"/>
    <w:rsid w:val="00C867C7"/>
    <w:rsid w:val="00C86902"/>
    <w:rsid w:val="00C86BAE"/>
    <w:rsid w:val="00C86DF6"/>
    <w:rsid w:val="00C86FFA"/>
    <w:rsid w:val="00C870B9"/>
    <w:rsid w:val="00C873F4"/>
    <w:rsid w:val="00C878A8"/>
    <w:rsid w:val="00C87AD7"/>
    <w:rsid w:val="00C87D3E"/>
    <w:rsid w:val="00C90258"/>
    <w:rsid w:val="00C9048C"/>
    <w:rsid w:val="00C904FF"/>
    <w:rsid w:val="00C90510"/>
    <w:rsid w:val="00C90806"/>
    <w:rsid w:val="00C90ABF"/>
    <w:rsid w:val="00C916F7"/>
    <w:rsid w:val="00C9192C"/>
    <w:rsid w:val="00C91F60"/>
    <w:rsid w:val="00C92A58"/>
    <w:rsid w:val="00C93378"/>
    <w:rsid w:val="00C93AA4"/>
    <w:rsid w:val="00C9463D"/>
    <w:rsid w:val="00C94BC2"/>
    <w:rsid w:val="00C94D7A"/>
    <w:rsid w:val="00C951A7"/>
    <w:rsid w:val="00C9561A"/>
    <w:rsid w:val="00C95874"/>
    <w:rsid w:val="00C9587E"/>
    <w:rsid w:val="00C95F2D"/>
    <w:rsid w:val="00C95F30"/>
    <w:rsid w:val="00C9620B"/>
    <w:rsid w:val="00C97907"/>
    <w:rsid w:val="00C97958"/>
    <w:rsid w:val="00CA02D1"/>
    <w:rsid w:val="00CA08C7"/>
    <w:rsid w:val="00CA099C"/>
    <w:rsid w:val="00CA0CD8"/>
    <w:rsid w:val="00CA1479"/>
    <w:rsid w:val="00CA1FC7"/>
    <w:rsid w:val="00CA2200"/>
    <w:rsid w:val="00CA2525"/>
    <w:rsid w:val="00CA2D4B"/>
    <w:rsid w:val="00CA30BE"/>
    <w:rsid w:val="00CA31EB"/>
    <w:rsid w:val="00CA32C7"/>
    <w:rsid w:val="00CA337B"/>
    <w:rsid w:val="00CA36CF"/>
    <w:rsid w:val="00CA3E1D"/>
    <w:rsid w:val="00CA46D7"/>
    <w:rsid w:val="00CA4C0C"/>
    <w:rsid w:val="00CA4E7C"/>
    <w:rsid w:val="00CA50D1"/>
    <w:rsid w:val="00CA50DF"/>
    <w:rsid w:val="00CA510F"/>
    <w:rsid w:val="00CA53D8"/>
    <w:rsid w:val="00CA54F3"/>
    <w:rsid w:val="00CA5ADA"/>
    <w:rsid w:val="00CA5BC9"/>
    <w:rsid w:val="00CA5CA5"/>
    <w:rsid w:val="00CA5D11"/>
    <w:rsid w:val="00CA69E2"/>
    <w:rsid w:val="00CA6ECE"/>
    <w:rsid w:val="00CA703E"/>
    <w:rsid w:val="00CA751D"/>
    <w:rsid w:val="00CA781B"/>
    <w:rsid w:val="00CA78A0"/>
    <w:rsid w:val="00CA7BA1"/>
    <w:rsid w:val="00CA7D13"/>
    <w:rsid w:val="00CB03AC"/>
    <w:rsid w:val="00CB05EC"/>
    <w:rsid w:val="00CB0F6C"/>
    <w:rsid w:val="00CB1929"/>
    <w:rsid w:val="00CB2346"/>
    <w:rsid w:val="00CB2562"/>
    <w:rsid w:val="00CB258C"/>
    <w:rsid w:val="00CB262A"/>
    <w:rsid w:val="00CB2BE8"/>
    <w:rsid w:val="00CB2C74"/>
    <w:rsid w:val="00CB2E06"/>
    <w:rsid w:val="00CB2E4E"/>
    <w:rsid w:val="00CB2FC5"/>
    <w:rsid w:val="00CB39C8"/>
    <w:rsid w:val="00CB39E5"/>
    <w:rsid w:val="00CB4241"/>
    <w:rsid w:val="00CB42B0"/>
    <w:rsid w:val="00CB42BC"/>
    <w:rsid w:val="00CB454A"/>
    <w:rsid w:val="00CB46E8"/>
    <w:rsid w:val="00CB50C0"/>
    <w:rsid w:val="00CB5C11"/>
    <w:rsid w:val="00CB5D8E"/>
    <w:rsid w:val="00CB5FB2"/>
    <w:rsid w:val="00CB6592"/>
    <w:rsid w:val="00CB6824"/>
    <w:rsid w:val="00CB6B55"/>
    <w:rsid w:val="00CB6E13"/>
    <w:rsid w:val="00CB6FE5"/>
    <w:rsid w:val="00CB7937"/>
    <w:rsid w:val="00CC01D5"/>
    <w:rsid w:val="00CC026A"/>
    <w:rsid w:val="00CC0578"/>
    <w:rsid w:val="00CC0881"/>
    <w:rsid w:val="00CC11DB"/>
    <w:rsid w:val="00CC1497"/>
    <w:rsid w:val="00CC14B6"/>
    <w:rsid w:val="00CC15D6"/>
    <w:rsid w:val="00CC1A62"/>
    <w:rsid w:val="00CC1A9D"/>
    <w:rsid w:val="00CC1B57"/>
    <w:rsid w:val="00CC23E3"/>
    <w:rsid w:val="00CC2420"/>
    <w:rsid w:val="00CC2760"/>
    <w:rsid w:val="00CC2843"/>
    <w:rsid w:val="00CC2A51"/>
    <w:rsid w:val="00CC2AC6"/>
    <w:rsid w:val="00CC2FC1"/>
    <w:rsid w:val="00CC36CD"/>
    <w:rsid w:val="00CC37FD"/>
    <w:rsid w:val="00CC3C60"/>
    <w:rsid w:val="00CC4529"/>
    <w:rsid w:val="00CC4697"/>
    <w:rsid w:val="00CC49F3"/>
    <w:rsid w:val="00CC4A83"/>
    <w:rsid w:val="00CC4D86"/>
    <w:rsid w:val="00CC4D95"/>
    <w:rsid w:val="00CC4F36"/>
    <w:rsid w:val="00CC5004"/>
    <w:rsid w:val="00CC505C"/>
    <w:rsid w:val="00CC51E0"/>
    <w:rsid w:val="00CC522F"/>
    <w:rsid w:val="00CC5675"/>
    <w:rsid w:val="00CC6192"/>
    <w:rsid w:val="00CC6334"/>
    <w:rsid w:val="00CC6377"/>
    <w:rsid w:val="00CC6510"/>
    <w:rsid w:val="00CC6D35"/>
    <w:rsid w:val="00CC6DA7"/>
    <w:rsid w:val="00CC6DFD"/>
    <w:rsid w:val="00CC6E82"/>
    <w:rsid w:val="00CC734B"/>
    <w:rsid w:val="00CC7469"/>
    <w:rsid w:val="00CC74FD"/>
    <w:rsid w:val="00CC7B41"/>
    <w:rsid w:val="00CC7D4E"/>
    <w:rsid w:val="00CD0D95"/>
    <w:rsid w:val="00CD0F93"/>
    <w:rsid w:val="00CD1985"/>
    <w:rsid w:val="00CD1AF0"/>
    <w:rsid w:val="00CD1AF7"/>
    <w:rsid w:val="00CD214F"/>
    <w:rsid w:val="00CD2A61"/>
    <w:rsid w:val="00CD2BF3"/>
    <w:rsid w:val="00CD3088"/>
    <w:rsid w:val="00CD3126"/>
    <w:rsid w:val="00CD38BF"/>
    <w:rsid w:val="00CD43EE"/>
    <w:rsid w:val="00CD4599"/>
    <w:rsid w:val="00CD4943"/>
    <w:rsid w:val="00CD502C"/>
    <w:rsid w:val="00CD590B"/>
    <w:rsid w:val="00CD5FE4"/>
    <w:rsid w:val="00CD6165"/>
    <w:rsid w:val="00CD637B"/>
    <w:rsid w:val="00CD6401"/>
    <w:rsid w:val="00CD664A"/>
    <w:rsid w:val="00CD6826"/>
    <w:rsid w:val="00CD69DD"/>
    <w:rsid w:val="00CD7708"/>
    <w:rsid w:val="00CE0706"/>
    <w:rsid w:val="00CE07D6"/>
    <w:rsid w:val="00CE0A0E"/>
    <w:rsid w:val="00CE0BFC"/>
    <w:rsid w:val="00CE0DA4"/>
    <w:rsid w:val="00CE0E82"/>
    <w:rsid w:val="00CE1151"/>
    <w:rsid w:val="00CE16C1"/>
    <w:rsid w:val="00CE1925"/>
    <w:rsid w:val="00CE1BBF"/>
    <w:rsid w:val="00CE1C53"/>
    <w:rsid w:val="00CE1D8C"/>
    <w:rsid w:val="00CE1F4C"/>
    <w:rsid w:val="00CE1F70"/>
    <w:rsid w:val="00CE23CA"/>
    <w:rsid w:val="00CE2499"/>
    <w:rsid w:val="00CE2946"/>
    <w:rsid w:val="00CE2FD1"/>
    <w:rsid w:val="00CE2FDC"/>
    <w:rsid w:val="00CE303F"/>
    <w:rsid w:val="00CE33CC"/>
    <w:rsid w:val="00CE387E"/>
    <w:rsid w:val="00CE417D"/>
    <w:rsid w:val="00CE4641"/>
    <w:rsid w:val="00CE5480"/>
    <w:rsid w:val="00CE5B78"/>
    <w:rsid w:val="00CE5C25"/>
    <w:rsid w:val="00CE5F53"/>
    <w:rsid w:val="00CE604C"/>
    <w:rsid w:val="00CE6197"/>
    <w:rsid w:val="00CE65D3"/>
    <w:rsid w:val="00CE68E3"/>
    <w:rsid w:val="00CE6A09"/>
    <w:rsid w:val="00CE7129"/>
    <w:rsid w:val="00CE7CDD"/>
    <w:rsid w:val="00CF051F"/>
    <w:rsid w:val="00CF069D"/>
    <w:rsid w:val="00CF091B"/>
    <w:rsid w:val="00CF0FF9"/>
    <w:rsid w:val="00CF1288"/>
    <w:rsid w:val="00CF1474"/>
    <w:rsid w:val="00CF147F"/>
    <w:rsid w:val="00CF18EE"/>
    <w:rsid w:val="00CF222A"/>
    <w:rsid w:val="00CF2432"/>
    <w:rsid w:val="00CF265A"/>
    <w:rsid w:val="00CF28CA"/>
    <w:rsid w:val="00CF2D42"/>
    <w:rsid w:val="00CF2FE3"/>
    <w:rsid w:val="00CF33D0"/>
    <w:rsid w:val="00CF3671"/>
    <w:rsid w:val="00CF3BF5"/>
    <w:rsid w:val="00CF429B"/>
    <w:rsid w:val="00CF4333"/>
    <w:rsid w:val="00CF439C"/>
    <w:rsid w:val="00CF4A3E"/>
    <w:rsid w:val="00CF4BFB"/>
    <w:rsid w:val="00CF4D7F"/>
    <w:rsid w:val="00CF4D80"/>
    <w:rsid w:val="00CF5584"/>
    <w:rsid w:val="00CF57D8"/>
    <w:rsid w:val="00CF584E"/>
    <w:rsid w:val="00CF650F"/>
    <w:rsid w:val="00CF6892"/>
    <w:rsid w:val="00CF7202"/>
    <w:rsid w:val="00CF7913"/>
    <w:rsid w:val="00CF7BA0"/>
    <w:rsid w:val="00CF7E24"/>
    <w:rsid w:val="00CF7E61"/>
    <w:rsid w:val="00CF7EB4"/>
    <w:rsid w:val="00D00298"/>
    <w:rsid w:val="00D002CE"/>
    <w:rsid w:val="00D00613"/>
    <w:rsid w:val="00D00E11"/>
    <w:rsid w:val="00D01ABE"/>
    <w:rsid w:val="00D01C05"/>
    <w:rsid w:val="00D01F53"/>
    <w:rsid w:val="00D02068"/>
    <w:rsid w:val="00D02071"/>
    <w:rsid w:val="00D02632"/>
    <w:rsid w:val="00D02792"/>
    <w:rsid w:val="00D02D81"/>
    <w:rsid w:val="00D033DB"/>
    <w:rsid w:val="00D039BD"/>
    <w:rsid w:val="00D03C59"/>
    <w:rsid w:val="00D03CEC"/>
    <w:rsid w:val="00D04343"/>
    <w:rsid w:val="00D0448C"/>
    <w:rsid w:val="00D046B9"/>
    <w:rsid w:val="00D047DA"/>
    <w:rsid w:val="00D04B9A"/>
    <w:rsid w:val="00D04C7B"/>
    <w:rsid w:val="00D04F01"/>
    <w:rsid w:val="00D0502B"/>
    <w:rsid w:val="00D05317"/>
    <w:rsid w:val="00D056AD"/>
    <w:rsid w:val="00D05B8C"/>
    <w:rsid w:val="00D07459"/>
    <w:rsid w:val="00D07694"/>
    <w:rsid w:val="00D07A2F"/>
    <w:rsid w:val="00D07F0B"/>
    <w:rsid w:val="00D101CD"/>
    <w:rsid w:val="00D10DCB"/>
    <w:rsid w:val="00D10E4A"/>
    <w:rsid w:val="00D11215"/>
    <w:rsid w:val="00D11388"/>
    <w:rsid w:val="00D11ADC"/>
    <w:rsid w:val="00D11B53"/>
    <w:rsid w:val="00D11F69"/>
    <w:rsid w:val="00D12CA5"/>
    <w:rsid w:val="00D13259"/>
    <w:rsid w:val="00D13A9C"/>
    <w:rsid w:val="00D14058"/>
    <w:rsid w:val="00D14179"/>
    <w:rsid w:val="00D14331"/>
    <w:rsid w:val="00D14709"/>
    <w:rsid w:val="00D14787"/>
    <w:rsid w:val="00D14A87"/>
    <w:rsid w:val="00D14AAC"/>
    <w:rsid w:val="00D14BFB"/>
    <w:rsid w:val="00D1510E"/>
    <w:rsid w:val="00D15165"/>
    <w:rsid w:val="00D152D2"/>
    <w:rsid w:val="00D16522"/>
    <w:rsid w:val="00D1697B"/>
    <w:rsid w:val="00D16F24"/>
    <w:rsid w:val="00D16F26"/>
    <w:rsid w:val="00D178AC"/>
    <w:rsid w:val="00D17F17"/>
    <w:rsid w:val="00D17FC3"/>
    <w:rsid w:val="00D20221"/>
    <w:rsid w:val="00D20B66"/>
    <w:rsid w:val="00D20D02"/>
    <w:rsid w:val="00D2129F"/>
    <w:rsid w:val="00D213DC"/>
    <w:rsid w:val="00D21472"/>
    <w:rsid w:val="00D2152E"/>
    <w:rsid w:val="00D218E8"/>
    <w:rsid w:val="00D2194B"/>
    <w:rsid w:val="00D21F31"/>
    <w:rsid w:val="00D21F6E"/>
    <w:rsid w:val="00D222ED"/>
    <w:rsid w:val="00D22620"/>
    <w:rsid w:val="00D22751"/>
    <w:rsid w:val="00D22DFF"/>
    <w:rsid w:val="00D23081"/>
    <w:rsid w:val="00D2388E"/>
    <w:rsid w:val="00D23DFA"/>
    <w:rsid w:val="00D2411C"/>
    <w:rsid w:val="00D242CE"/>
    <w:rsid w:val="00D244FD"/>
    <w:rsid w:val="00D2465C"/>
    <w:rsid w:val="00D24995"/>
    <w:rsid w:val="00D24D3F"/>
    <w:rsid w:val="00D255CE"/>
    <w:rsid w:val="00D25F73"/>
    <w:rsid w:val="00D263FE"/>
    <w:rsid w:val="00D26B3A"/>
    <w:rsid w:val="00D2708A"/>
    <w:rsid w:val="00D27197"/>
    <w:rsid w:val="00D27608"/>
    <w:rsid w:val="00D27AB1"/>
    <w:rsid w:val="00D27B96"/>
    <w:rsid w:val="00D27D7F"/>
    <w:rsid w:val="00D27F04"/>
    <w:rsid w:val="00D300F0"/>
    <w:rsid w:val="00D30B73"/>
    <w:rsid w:val="00D30DA1"/>
    <w:rsid w:val="00D30F57"/>
    <w:rsid w:val="00D3103D"/>
    <w:rsid w:val="00D3147E"/>
    <w:rsid w:val="00D31BF0"/>
    <w:rsid w:val="00D31D7C"/>
    <w:rsid w:val="00D31D99"/>
    <w:rsid w:val="00D31FB8"/>
    <w:rsid w:val="00D32060"/>
    <w:rsid w:val="00D32114"/>
    <w:rsid w:val="00D32543"/>
    <w:rsid w:val="00D325F3"/>
    <w:rsid w:val="00D33204"/>
    <w:rsid w:val="00D332EC"/>
    <w:rsid w:val="00D33399"/>
    <w:rsid w:val="00D3371F"/>
    <w:rsid w:val="00D3443B"/>
    <w:rsid w:val="00D34900"/>
    <w:rsid w:val="00D34B99"/>
    <w:rsid w:val="00D3507E"/>
    <w:rsid w:val="00D35487"/>
    <w:rsid w:val="00D35564"/>
    <w:rsid w:val="00D35C15"/>
    <w:rsid w:val="00D35ECF"/>
    <w:rsid w:val="00D36573"/>
    <w:rsid w:val="00D36614"/>
    <w:rsid w:val="00D36649"/>
    <w:rsid w:val="00D367DB"/>
    <w:rsid w:val="00D369EF"/>
    <w:rsid w:val="00D36C9C"/>
    <w:rsid w:val="00D3706A"/>
    <w:rsid w:val="00D3715C"/>
    <w:rsid w:val="00D3749B"/>
    <w:rsid w:val="00D375F4"/>
    <w:rsid w:val="00D37A13"/>
    <w:rsid w:val="00D40188"/>
    <w:rsid w:val="00D402AB"/>
    <w:rsid w:val="00D410B3"/>
    <w:rsid w:val="00D412D5"/>
    <w:rsid w:val="00D413EC"/>
    <w:rsid w:val="00D4192B"/>
    <w:rsid w:val="00D41B0E"/>
    <w:rsid w:val="00D41B8B"/>
    <w:rsid w:val="00D42833"/>
    <w:rsid w:val="00D42A71"/>
    <w:rsid w:val="00D42B91"/>
    <w:rsid w:val="00D42D15"/>
    <w:rsid w:val="00D436EB"/>
    <w:rsid w:val="00D43735"/>
    <w:rsid w:val="00D43774"/>
    <w:rsid w:val="00D440AC"/>
    <w:rsid w:val="00D440FC"/>
    <w:rsid w:val="00D4447E"/>
    <w:rsid w:val="00D4456A"/>
    <w:rsid w:val="00D44A4F"/>
    <w:rsid w:val="00D44C59"/>
    <w:rsid w:val="00D44E19"/>
    <w:rsid w:val="00D45249"/>
    <w:rsid w:val="00D4568A"/>
    <w:rsid w:val="00D457A3"/>
    <w:rsid w:val="00D45A78"/>
    <w:rsid w:val="00D45E35"/>
    <w:rsid w:val="00D4634B"/>
    <w:rsid w:val="00D463E6"/>
    <w:rsid w:val="00D46C41"/>
    <w:rsid w:val="00D46EC2"/>
    <w:rsid w:val="00D46ECE"/>
    <w:rsid w:val="00D46FAE"/>
    <w:rsid w:val="00D46FDE"/>
    <w:rsid w:val="00D4715A"/>
    <w:rsid w:val="00D47913"/>
    <w:rsid w:val="00D47B0B"/>
    <w:rsid w:val="00D47BBC"/>
    <w:rsid w:val="00D5058F"/>
    <w:rsid w:val="00D50648"/>
    <w:rsid w:val="00D5081C"/>
    <w:rsid w:val="00D50921"/>
    <w:rsid w:val="00D50954"/>
    <w:rsid w:val="00D5164D"/>
    <w:rsid w:val="00D5182B"/>
    <w:rsid w:val="00D52194"/>
    <w:rsid w:val="00D5260F"/>
    <w:rsid w:val="00D527D3"/>
    <w:rsid w:val="00D52B96"/>
    <w:rsid w:val="00D52E8D"/>
    <w:rsid w:val="00D531FE"/>
    <w:rsid w:val="00D5329F"/>
    <w:rsid w:val="00D53425"/>
    <w:rsid w:val="00D53534"/>
    <w:rsid w:val="00D537C0"/>
    <w:rsid w:val="00D53BB6"/>
    <w:rsid w:val="00D53BC2"/>
    <w:rsid w:val="00D53E0B"/>
    <w:rsid w:val="00D541D4"/>
    <w:rsid w:val="00D5426D"/>
    <w:rsid w:val="00D542AF"/>
    <w:rsid w:val="00D5554C"/>
    <w:rsid w:val="00D55913"/>
    <w:rsid w:val="00D55B1D"/>
    <w:rsid w:val="00D5638C"/>
    <w:rsid w:val="00D56454"/>
    <w:rsid w:val="00D56B6B"/>
    <w:rsid w:val="00D56CF7"/>
    <w:rsid w:val="00D5744A"/>
    <w:rsid w:val="00D57828"/>
    <w:rsid w:val="00D57BE3"/>
    <w:rsid w:val="00D600DC"/>
    <w:rsid w:val="00D6029A"/>
    <w:rsid w:val="00D6065C"/>
    <w:rsid w:val="00D6185A"/>
    <w:rsid w:val="00D61986"/>
    <w:rsid w:val="00D619F2"/>
    <w:rsid w:val="00D620E9"/>
    <w:rsid w:val="00D62350"/>
    <w:rsid w:val="00D62754"/>
    <w:rsid w:val="00D62AF8"/>
    <w:rsid w:val="00D62D36"/>
    <w:rsid w:val="00D631BE"/>
    <w:rsid w:val="00D633F0"/>
    <w:rsid w:val="00D63829"/>
    <w:rsid w:val="00D6386E"/>
    <w:rsid w:val="00D63964"/>
    <w:rsid w:val="00D63FBE"/>
    <w:rsid w:val="00D642CE"/>
    <w:rsid w:val="00D648DE"/>
    <w:rsid w:val="00D64A21"/>
    <w:rsid w:val="00D64F45"/>
    <w:rsid w:val="00D64FF7"/>
    <w:rsid w:val="00D651F1"/>
    <w:rsid w:val="00D654B4"/>
    <w:rsid w:val="00D65B1E"/>
    <w:rsid w:val="00D660B1"/>
    <w:rsid w:val="00D670D8"/>
    <w:rsid w:val="00D6747B"/>
    <w:rsid w:val="00D70422"/>
    <w:rsid w:val="00D705E8"/>
    <w:rsid w:val="00D708FE"/>
    <w:rsid w:val="00D71110"/>
    <w:rsid w:val="00D71682"/>
    <w:rsid w:val="00D71A1E"/>
    <w:rsid w:val="00D71DD7"/>
    <w:rsid w:val="00D71F25"/>
    <w:rsid w:val="00D72224"/>
    <w:rsid w:val="00D722DC"/>
    <w:rsid w:val="00D7233A"/>
    <w:rsid w:val="00D72BD2"/>
    <w:rsid w:val="00D733F3"/>
    <w:rsid w:val="00D73F3C"/>
    <w:rsid w:val="00D74184"/>
    <w:rsid w:val="00D74446"/>
    <w:rsid w:val="00D75182"/>
    <w:rsid w:val="00D75259"/>
    <w:rsid w:val="00D753E0"/>
    <w:rsid w:val="00D75623"/>
    <w:rsid w:val="00D75759"/>
    <w:rsid w:val="00D7616A"/>
    <w:rsid w:val="00D76172"/>
    <w:rsid w:val="00D76B35"/>
    <w:rsid w:val="00D76B7B"/>
    <w:rsid w:val="00D76EFD"/>
    <w:rsid w:val="00D77553"/>
    <w:rsid w:val="00D775BA"/>
    <w:rsid w:val="00D77770"/>
    <w:rsid w:val="00D777B1"/>
    <w:rsid w:val="00D77895"/>
    <w:rsid w:val="00D778C9"/>
    <w:rsid w:val="00D77C6F"/>
    <w:rsid w:val="00D80765"/>
    <w:rsid w:val="00D8105A"/>
    <w:rsid w:val="00D81608"/>
    <w:rsid w:val="00D823AB"/>
    <w:rsid w:val="00D83378"/>
    <w:rsid w:val="00D835D5"/>
    <w:rsid w:val="00D8361A"/>
    <w:rsid w:val="00D83681"/>
    <w:rsid w:val="00D83D16"/>
    <w:rsid w:val="00D83D40"/>
    <w:rsid w:val="00D844C9"/>
    <w:rsid w:val="00D84D3C"/>
    <w:rsid w:val="00D851C1"/>
    <w:rsid w:val="00D8558C"/>
    <w:rsid w:val="00D85760"/>
    <w:rsid w:val="00D85A0C"/>
    <w:rsid w:val="00D8633B"/>
    <w:rsid w:val="00D86A39"/>
    <w:rsid w:val="00D86C21"/>
    <w:rsid w:val="00D86D0F"/>
    <w:rsid w:val="00D878B9"/>
    <w:rsid w:val="00D87C35"/>
    <w:rsid w:val="00D87EF5"/>
    <w:rsid w:val="00D90166"/>
    <w:rsid w:val="00D90192"/>
    <w:rsid w:val="00D901CA"/>
    <w:rsid w:val="00D91057"/>
    <w:rsid w:val="00D916F9"/>
    <w:rsid w:val="00D918A8"/>
    <w:rsid w:val="00D91E76"/>
    <w:rsid w:val="00D920FD"/>
    <w:rsid w:val="00D92129"/>
    <w:rsid w:val="00D92352"/>
    <w:rsid w:val="00D92706"/>
    <w:rsid w:val="00D92B10"/>
    <w:rsid w:val="00D92D77"/>
    <w:rsid w:val="00D931BB"/>
    <w:rsid w:val="00D938E8"/>
    <w:rsid w:val="00D93D3E"/>
    <w:rsid w:val="00D94C52"/>
    <w:rsid w:val="00D94CBD"/>
    <w:rsid w:val="00D94F63"/>
    <w:rsid w:val="00D957A3"/>
    <w:rsid w:val="00D957F4"/>
    <w:rsid w:val="00D95F4C"/>
    <w:rsid w:val="00D965FD"/>
    <w:rsid w:val="00D967FB"/>
    <w:rsid w:val="00D9769C"/>
    <w:rsid w:val="00D97A47"/>
    <w:rsid w:val="00D97DBF"/>
    <w:rsid w:val="00DA05E9"/>
    <w:rsid w:val="00DA0776"/>
    <w:rsid w:val="00DA0CA4"/>
    <w:rsid w:val="00DA0EED"/>
    <w:rsid w:val="00DA1034"/>
    <w:rsid w:val="00DA10D9"/>
    <w:rsid w:val="00DA143B"/>
    <w:rsid w:val="00DA18B9"/>
    <w:rsid w:val="00DA221B"/>
    <w:rsid w:val="00DA2431"/>
    <w:rsid w:val="00DA2496"/>
    <w:rsid w:val="00DA2A73"/>
    <w:rsid w:val="00DA2AE6"/>
    <w:rsid w:val="00DA2C1A"/>
    <w:rsid w:val="00DA3367"/>
    <w:rsid w:val="00DA343A"/>
    <w:rsid w:val="00DA380F"/>
    <w:rsid w:val="00DA3821"/>
    <w:rsid w:val="00DA38D6"/>
    <w:rsid w:val="00DA398D"/>
    <w:rsid w:val="00DA3BCC"/>
    <w:rsid w:val="00DA3D21"/>
    <w:rsid w:val="00DA3F73"/>
    <w:rsid w:val="00DA3F9D"/>
    <w:rsid w:val="00DA4339"/>
    <w:rsid w:val="00DA45C1"/>
    <w:rsid w:val="00DA471F"/>
    <w:rsid w:val="00DA4C2A"/>
    <w:rsid w:val="00DA4C89"/>
    <w:rsid w:val="00DA50F0"/>
    <w:rsid w:val="00DA5553"/>
    <w:rsid w:val="00DA582E"/>
    <w:rsid w:val="00DA5A14"/>
    <w:rsid w:val="00DA5AEA"/>
    <w:rsid w:val="00DA5C7D"/>
    <w:rsid w:val="00DA60D4"/>
    <w:rsid w:val="00DA6BC2"/>
    <w:rsid w:val="00DA7717"/>
    <w:rsid w:val="00DA7A57"/>
    <w:rsid w:val="00DA7C0A"/>
    <w:rsid w:val="00DB031E"/>
    <w:rsid w:val="00DB0ACE"/>
    <w:rsid w:val="00DB0E17"/>
    <w:rsid w:val="00DB135F"/>
    <w:rsid w:val="00DB17CA"/>
    <w:rsid w:val="00DB20B0"/>
    <w:rsid w:val="00DB231C"/>
    <w:rsid w:val="00DB2A4C"/>
    <w:rsid w:val="00DB30A9"/>
    <w:rsid w:val="00DB34C5"/>
    <w:rsid w:val="00DB37D0"/>
    <w:rsid w:val="00DB3A7D"/>
    <w:rsid w:val="00DB3F1C"/>
    <w:rsid w:val="00DB40AD"/>
    <w:rsid w:val="00DB424F"/>
    <w:rsid w:val="00DB4C7E"/>
    <w:rsid w:val="00DB505B"/>
    <w:rsid w:val="00DB54E0"/>
    <w:rsid w:val="00DB59DF"/>
    <w:rsid w:val="00DB5AA2"/>
    <w:rsid w:val="00DB5DAE"/>
    <w:rsid w:val="00DB5DCB"/>
    <w:rsid w:val="00DB5FE8"/>
    <w:rsid w:val="00DB60B1"/>
    <w:rsid w:val="00DB61FC"/>
    <w:rsid w:val="00DB629D"/>
    <w:rsid w:val="00DB6666"/>
    <w:rsid w:val="00DB6820"/>
    <w:rsid w:val="00DB6E7A"/>
    <w:rsid w:val="00DB7012"/>
    <w:rsid w:val="00DB7047"/>
    <w:rsid w:val="00DB70DB"/>
    <w:rsid w:val="00DB725D"/>
    <w:rsid w:val="00DB7288"/>
    <w:rsid w:val="00DB7391"/>
    <w:rsid w:val="00DB7C7A"/>
    <w:rsid w:val="00DC00C8"/>
    <w:rsid w:val="00DC0CB4"/>
    <w:rsid w:val="00DC0D2F"/>
    <w:rsid w:val="00DC0D63"/>
    <w:rsid w:val="00DC1512"/>
    <w:rsid w:val="00DC1904"/>
    <w:rsid w:val="00DC1E7B"/>
    <w:rsid w:val="00DC1F08"/>
    <w:rsid w:val="00DC1F70"/>
    <w:rsid w:val="00DC30DB"/>
    <w:rsid w:val="00DC30EF"/>
    <w:rsid w:val="00DC3171"/>
    <w:rsid w:val="00DC3362"/>
    <w:rsid w:val="00DC3659"/>
    <w:rsid w:val="00DC38ED"/>
    <w:rsid w:val="00DC3B4A"/>
    <w:rsid w:val="00DC3CE4"/>
    <w:rsid w:val="00DC3D2F"/>
    <w:rsid w:val="00DC4178"/>
    <w:rsid w:val="00DC428F"/>
    <w:rsid w:val="00DC4595"/>
    <w:rsid w:val="00DC4663"/>
    <w:rsid w:val="00DC49C0"/>
    <w:rsid w:val="00DC4DED"/>
    <w:rsid w:val="00DC4EDF"/>
    <w:rsid w:val="00DC516D"/>
    <w:rsid w:val="00DC5377"/>
    <w:rsid w:val="00DC616D"/>
    <w:rsid w:val="00DC63C3"/>
    <w:rsid w:val="00DC65F3"/>
    <w:rsid w:val="00DC76DC"/>
    <w:rsid w:val="00DC7C98"/>
    <w:rsid w:val="00DD0180"/>
    <w:rsid w:val="00DD05D1"/>
    <w:rsid w:val="00DD05DF"/>
    <w:rsid w:val="00DD0645"/>
    <w:rsid w:val="00DD07E9"/>
    <w:rsid w:val="00DD0AE1"/>
    <w:rsid w:val="00DD0B86"/>
    <w:rsid w:val="00DD1195"/>
    <w:rsid w:val="00DD12FD"/>
    <w:rsid w:val="00DD14C7"/>
    <w:rsid w:val="00DD234E"/>
    <w:rsid w:val="00DD27C9"/>
    <w:rsid w:val="00DD2C25"/>
    <w:rsid w:val="00DD31A2"/>
    <w:rsid w:val="00DD3F0B"/>
    <w:rsid w:val="00DD3FD2"/>
    <w:rsid w:val="00DD40AB"/>
    <w:rsid w:val="00DD458D"/>
    <w:rsid w:val="00DD48F2"/>
    <w:rsid w:val="00DD511A"/>
    <w:rsid w:val="00DD55B6"/>
    <w:rsid w:val="00DD5F4E"/>
    <w:rsid w:val="00DD63D0"/>
    <w:rsid w:val="00DD63DB"/>
    <w:rsid w:val="00DD6C49"/>
    <w:rsid w:val="00DD6C84"/>
    <w:rsid w:val="00DD71C1"/>
    <w:rsid w:val="00DD76B3"/>
    <w:rsid w:val="00DD779C"/>
    <w:rsid w:val="00DD7BC3"/>
    <w:rsid w:val="00DD7E76"/>
    <w:rsid w:val="00DE02B3"/>
    <w:rsid w:val="00DE0577"/>
    <w:rsid w:val="00DE1046"/>
    <w:rsid w:val="00DE1231"/>
    <w:rsid w:val="00DE12DB"/>
    <w:rsid w:val="00DE14D6"/>
    <w:rsid w:val="00DE1870"/>
    <w:rsid w:val="00DE1A1E"/>
    <w:rsid w:val="00DE20E3"/>
    <w:rsid w:val="00DE23D4"/>
    <w:rsid w:val="00DE2DC8"/>
    <w:rsid w:val="00DE2E52"/>
    <w:rsid w:val="00DE3013"/>
    <w:rsid w:val="00DE30C2"/>
    <w:rsid w:val="00DE30F3"/>
    <w:rsid w:val="00DE3373"/>
    <w:rsid w:val="00DE34E7"/>
    <w:rsid w:val="00DE3518"/>
    <w:rsid w:val="00DE354C"/>
    <w:rsid w:val="00DE3B91"/>
    <w:rsid w:val="00DE3E7E"/>
    <w:rsid w:val="00DE3EA4"/>
    <w:rsid w:val="00DE4EAA"/>
    <w:rsid w:val="00DE536E"/>
    <w:rsid w:val="00DE562E"/>
    <w:rsid w:val="00DE5E04"/>
    <w:rsid w:val="00DE617E"/>
    <w:rsid w:val="00DE6379"/>
    <w:rsid w:val="00DE69D8"/>
    <w:rsid w:val="00DE6B65"/>
    <w:rsid w:val="00DE6CB3"/>
    <w:rsid w:val="00DE6E59"/>
    <w:rsid w:val="00DE700B"/>
    <w:rsid w:val="00DE70AD"/>
    <w:rsid w:val="00DE7404"/>
    <w:rsid w:val="00DE7573"/>
    <w:rsid w:val="00DE7BCA"/>
    <w:rsid w:val="00DF00FA"/>
    <w:rsid w:val="00DF03E6"/>
    <w:rsid w:val="00DF0FCB"/>
    <w:rsid w:val="00DF10DB"/>
    <w:rsid w:val="00DF11BD"/>
    <w:rsid w:val="00DF1350"/>
    <w:rsid w:val="00DF1651"/>
    <w:rsid w:val="00DF188A"/>
    <w:rsid w:val="00DF1B0F"/>
    <w:rsid w:val="00DF1C12"/>
    <w:rsid w:val="00DF1E27"/>
    <w:rsid w:val="00DF1EFC"/>
    <w:rsid w:val="00DF2166"/>
    <w:rsid w:val="00DF217D"/>
    <w:rsid w:val="00DF27B5"/>
    <w:rsid w:val="00DF2C61"/>
    <w:rsid w:val="00DF30CB"/>
    <w:rsid w:val="00DF31B2"/>
    <w:rsid w:val="00DF32D8"/>
    <w:rsid w:val="00DF3472"/>
    <w:rsid w:val="00DF391D"/>
    <w:rsid w:val="00DF3AC3"/>
    <w:rsid w:val="00DF3BD1"/>
    <w:rsid w:val="00DF3D6B"/>
    <w:rsid w:val="00DF4339"/>
    <w:rsid w:val="00DF442D"/>
    <w:rsid w:val="00DF4D2A"/>
    <w:rsid w:val="00DF5316"/>
    <w:rsid w:val="00DF54F9"/>
    <w:rsid w:val="00DF5804"/>
    <w:rsid w:val="00DF5947"/>
    <w:rsid w:val="00DF5A7E"/>
    <w:rsid w:val="00DF617B"/>
    <w:rsid w:val="00DF629B"/>
    <w:rsid w:val="00DF6B06"/>
    <w:rsid w:val="00DF6DB0"/>
    <w:rsid w:val="00DF725D"/>
    <w:rsid w:val="00DF7719"/>
    <w:rsid w:val="00E0013E"/>
    <w:rsid w:val="00E004A5"/>
    <w:rsid w:val="00E005E8"/>
    <w:rsid w:val="00E00E03"/>
    <w:rsid w:val="00E0136B"/>
    <w:rsid w:val="00E01CE6"/>
    <w:rsid w:val="00E01DD6"/>
    <w:rsid w:val="00E027A7"/>
    <w:rsid w:val="00E035C0"/>
    <w:rsid w:val="00E03FFA"/>
    <w:rsid w:val="00E04016"/>
    <w:rsid w:val="00E041C1"/>
    <w:rsid w:val="00E04202"/>
    <w:rsid w:val="00E04214"/>
    <w:rsid w:val="00E04DC5"/>
    <w:rsid w:val="00E068F0"/>
    <w:rsid w:val="00E07C40"/>
    <w:rsid w:val="00E07E4E"/>
    <w:rsid w:val="00E10A3D"/>
    <w:rsid w:val="00E10B13"/>
    <w:rsid w:val="00E10CCF"/>
    <w:rsid w:val="00E10F77"/>
    <w:rsid w:val="00E110AB"/>
    <w:rsid w:val="00E1142A"/>
    <w:rsid w:val="00E11E92"/>
    <w:rsid w:val="00E12648"/>
    <w:rsid w:val="00E1270C"/>
    <w:rsid w:val="00E12862"/>
    <w:rsid w:val="00E1301A"/>
    <w:rsid w:val="00E1316A"/>
    <w:rsid w:val="00E138A6"/>
    <w:rsid w:val="00E13C79"/>
    <w:rsid w:val="00E13F6F"/>
    <w:rsid w:val="00E14113"/>
    <w:rsid w:val="00E15746"/>
    <w:rsid w:val="00E15879"/>
    <w:rsid w:val="00E15EE9"/>
    <w:rsid w:val="00E1631C"/>
    <w:rsid w:val="00E16366"/>
    <w:rsid w:val="00E165B1"/>
    <w:rsid w:val="00E17600"/>
    <w:rsid w:val="00E17AFF"/>
    <w:rsid w:val="00E17C51"/>
    <w:rsid w:val="00E17E07"/>
    <w:rsid w:val="00E2021E"/>
    <w:rsid w:val="00E2047D"/>
    <w:rsid w:val="00E20CA0"/>
    <w:rsid w:val="00E20FE1"/>
    <w:rsid w:val="00E2126D"/>
    <w:rsid w:val="00E2141E"/>
    <w:rsid w:val="00E214AA"/>
    <w:rsid w:val="00E219C4"/>
    <w:rsid w:val="00E21F97"/>
    <w:rsid w:val="00E22348"/>
    <w:rsid w:val="00E22C54"/>
    <w:rsid w:val="00E22D3A"/>
    <w:rsid w:val="00E22D9A"/>
    <w:rsid w:val="00E23032"/>
    <w:rsid w:val="00E23543"/>
    <w:rsid w:val="00E235F3"/>
    <w:rsid w:val="00E23971"/>
    <w:rsid w:val="00E24088"/>
    <w:rsid w:val="00E2436C"/>
    <w:rsid w:val="00E24840"/>
    <w:rsid w:val="00E24CA4"/>
    <w:rsid w:val="00E2503A"/>
    <w:rsid w:val="00E2530A"/>
    <w:rsid w:val="00E2536E"/>
    <w:rsid w:val="00E26189"/>
    <w:rsid w:val="00E26383"/>
    <w:rsid w:val="00E26727"/>
    <w:rsid w:val="00E274B8"/>
    <w:rsid w:val="00E30C99"/>
    <w:rsid w:val="00E30FA2"/>
    <w:rsid w:val="00E31543"/>
    <w:rsid w:val="00E32B56"/>
    <w:rsid w:val="00E32C69"/>
    <w:rsid w:val="00E32D77"/>
    <w:rsid w:val="00E32EE3"/>
    <w:rsid w:val="00E33F79"/>
    <w:rsid w:val="00E33FDF"/>
    <w:rsid w:val="00E341BF"/>
    <w:rsid w:val="00E34375"/>
    <w:rsid w:val="00E34829"/>
    <w:rsid w:val="00E3491E"/>
    <w:rsid w:val="00E34E22"/>
    <w:rsid w:val="00E34F91"/>
    <w:rsid w:val="00E35319"/>
    <w:rsid w:val="00E35643"/>
    <w:rsid w:val="00E35A3E"/>
    <w:rsid w:val="00E35AF0"/>
    <w:rsid w:val="00E364AA"/>
    <w:rsid w:val="00E3685E"/>
    <w:rsid w:val="00E368FE"/>
    <w:rsid w:val="00E36DFB"/>
    <w:rsid w:val="00E36EAD"/>
    <w:rsid w:val="00E37DC0"/>
    <w:rsid w:val="00E37E32"/>
    <w:rsid w:val="00E37F73"/>
    <w:rsid w:val="00E4047F"/>
    <w:rsid w:val="00E405FC"/>
    <w:rsid w:val="00E40671"/>
    <w:rsid w:val="00E40C0D"/>
    <w:rsid w:val="00E40D3E"/>
    <w:rsid w:val="00E412E7"/>
    <w:rsid w:val="00E413A5"/>
    <w:rsid w:val="00E41413"/>
    <w:rsid w:val="00E423ED"/>
    <w:rsid w:val="00E42A0A"/>
    <w:rsid w:val="00E433FD"/>
    <w:rsid w:val="00E43777"/>
    <w:rsid w:val="00E4390B"/>
    <w:rsid w:val="00E4391C"/>
    <w:rsid w:val="00E43E53"/>
    <w:rsid w:val="00E441E2"/>
    <w:rsid w:val="00E4426D"/>
    <w:rsid w:val="00E44878"/>
    <w:rsid w:val="00E44887"/>
    <w:rsid w:val="00E44CF4"/>
    <w:rsid w:val="00E45582"/>
    <w:rsid w:val="00E459B3"/>
    <w:rsid w:val="00E45C2C"/>
    <w:rsid w:val="00E45E5E"/>
    <w:rsid w:val="00E45FB1"/>
    <w:rsid w:val="00E4605D"/>
    <w:rsid w:val="00E46851"/>
    <w:rsid w:val="00E46DF4"/>
    <w:rsid w:val="00E47300"/>
    <w:rsid w:val="00E47812"/>
    <w:rsid w:val="00E505FF"/>
    <w:rsid w:val="00E506FB"/>
    <w:rsid w:val="00E507BD"/>
    <w:rsid w:val="00E50994"/>
    <w:rsid w:val="00E50C17"/>
    <w:rsid w:val="00E50C77"/>
    <w:rsid w:val="00E51D68"/>
    <w:rsid w:val="00E52175"/>
    <w:rsid w:val="00E5229D"/>
    <w:rsid w:val="00E52513"/>
    <w:rsid w:val="00E52651"/>
    <w:rsid w:val="00E526C4"/>
    <w:rsid w:val="00E5280A"/>
    <w:rsid w:val="00E528FF"/>
    <w:rsid w:val="00E52B71"/>
    <w:rsid w:val="00E52E2A"/>
    <w:rsid w:val="00E52EE7"/>
    <w:rsid w:val="00E53D04"/>
    <w:rsid w:val="00E5415E"/>
    <w:rsid w:val="00E54412"/>
    <w:rsid w:val="00E54BB6"/>
    <w:rsid w:val="00E54BD6"/>
    <w:rsid w:val="00E54D90"/>
    <w:rsid w:val="00E54E7B"/>
    <w:rsid w:val="00E54F6F"/>
    <w:rsid w:val="00E54FD0"/>
    <w:rsid w:val="00E55481"/>
    <w:rsid w:val="00E55AF7"/>
    <w:rsid w:val="00E563F3"/>
    <w:rsid w:val="00E56451"/>
    <w:rsid w:val="00E5676A"/>
    <w:rsid w:val="00E567D8"/>
    <w:rsid w:val="00E56B32"/>
    <w:rsid w:val="00E56F4A"/>
    <w:rsid w:val="00E570B8"/>
    <w:rsid w:val="00E5759D"/>
    <w:rsid w:val="00E5788D"/>
    <w:rsid w:val="00E5791B"/>
    <w:rsid w:val="00E605D9"/>
    <w:rsid w:val="00E60CD5"/>
    <w:rsid w:val="00E61023"/>
    <w:rsid w:val="00E614A8"/>
    <w:rsid w:val="00E6150F"/>
    <w:rsid w:val="00E61624"/>
    <w:rsid w:val="00E61B29"/>
    <w:rsid w:val="00E61FA2"/>
    <w:rsid w:val="00E6242F"/>
    <w:rsid w:val="00E6251A"/>
    <w:rsid w:val="00E62874"/>
    <w:rsid w:val="00E62949"/>
    <w:rsid w:val="00E6296C"/>
    <w:rsid w:val="00E6305C"/>
    <w:rsid w:val="00E6330D"/>
    <w:rsid w:val="00E634FB"/>
    <w:rsid w:val="00E638DA"/>
    <w:rsid w:val="00E63982"/>
    <w:rsid w:val="00E6440C"/>
    <w:rsid w:val="00E64978"/>
    <w:rsid w:val="00E64CA2"/>
    <w:rsid w:val="00E6508E"/>
    <w:rsid w:val="00E654C5"/>
    <w:rsid w:val="00E6588B"/>
    <w:rsid w:val="00E65B1F"/>
    <w:rsid w:val="00E65BD8"/>
    <w:rsid w:val="00E65BDB"/>
    <w:rsid w:val="00E65C2A"/>
    <w:rsid w:val="00E65C34"/>
    <w:rsid w:val="00E65C5C"/>
    <w:rsid w:val="00E65E6B"/>
    <w:rsid w:val="00E65E6C"/>
    <w:rsid w:val="00E66153"/>
    <w:rsid w:val="00E668FB"/>
    <w:rsid w:val="00E66966"/>
    <w:rsid w:val="00E66B61"/>
    <w:rsid w:val="00E66DBE"/>
    <w:rsid w:val="00E66DD4"/>
    <w:rsid w:val="00E66EED"/>
    <w:rsid w:val="00E66F12"/>
    <w:rsid w:val="00E674FA"/>
    <w:rsid w:val="00E70075"/>
    <w:rsid w:val="00E70565"/>
    <w:rsid w:val="00E70771"/>
    <w:rsid w:val="00E70A51"/>
    <w:rsid w:val="00E70C4A"/>
    <w:rsid w:val="00E70EC7"/>
    <w:rsid w:val="00E7131E"/>
    <w:rsid w:val="00E7137A"/>
    <w:rsid w:val="00E71841"/>
    <w:rsid w:val="00E71AC6"/>
    <w:rsid w:val="00E71DDB"/>
    <w:rsid w:val="00E7225B"/>
    <w:rsid w:val="00E727EB"/>
    <w:rsid w:val="00E72F58"/>
    <w:rsid w:val="00E735C8"/>
    <w:rsid w:val="00E7390C"/>
    <w:rsid w:val="00E73F5B"/>
    <w:rsid w:val="00E744A6"/>
    <w:rsid w:val="00E744D4"/>
    <w:rsid w:val="00E748A7"/>
    <w:rsid w:val="00E74C4A"/>
    <w:rsid w:val="00E75372"/>
    <w:rsid w:val="00E75668"/>
    <w:rsid w:val="00E75C94"/>
    <w:rsid w:val="00E75E29"/>
    <w:rsid w:val="00E75E43"/>
    <w:rsid w:val="00E75EA1"/>
    <w:rsid w:val="00E76C18"/>
    <w:rsid w:val="00E77351"/>
    <w:rsid w:val="00E773CA"/>
    <w:rsid w:val="00E7769B"/>
    <w:rsid w:val="00E77795"/>
    <w:rsid w:val="00E777E2"/>
    <w:rsid w:val="00E77A99"/>
    <w:rsid w:val="00E80110"/>
    <w:rsid w:val="00E80CCE"/>
    <w:rsid w:val="00E80CF9"/>
    <w:rsid w:val="00E80F1A"/>
    <w:rsid w:val="00E81029"/>
    <w:rsid w:val="00E8164A"/>
    <w:rsid w:val="00E81C45"/>
    <w:rsid w:val="00E82201"/>
    <w:rsid w:val="00E82AE9"/>
    <w:rsid w:val="00E8373B"/>
    <w:rsid w:val="00E83C3C"/>
    <w:rsid w:val="00E83FAE"/>
    <w:rsid w:val="00E84104"/>
    <w:rsid w:val="00E84299"/>
    <w:rsid w:val="00E844CF"/>
    <w:rsid w:val="00E85122"/>
    <w:rsid w:val="00E854DC"/>
    <w:rsid w:val="00E8588C"/>
    <w:rsid w:val="00E85C27"/>
    <w:rsid w:val="00E85EFA"/>
    <w:rsid w:val="00E86043"/>
    <w:rsid w:val="00E861BD"/>
    <w:rsid w:val="00E8686A"/>
    <w:rsid w:val="00E86948"/>
    <w:rsid w:val="00E86EF3"/>
    <w:rsid w:val="00E86FEF"/>
    <w:rsid w:val="00E877A1"/>
    <w:rsid w:val="00E90331"/>
    <w:rsid w:val="00E90652"/>
    <w:rsid w:val="00E90AF4"/>
    <w:rsid w:val="00E90EBC"/>
    <w:rsid w:val="00E91153"/>
    <w:rsid w:val="00E91B38"/>
    <w:rsid w:val="00E91CC1"/>
    <w:rsid w:val="00E91D4C"/>
    <w:rsid w:val="00E91E62"/>
    <w:rsid w:val="00E921C2"/>
    <w:rsid w:val="00E921F1"/>
    <w:rsid w:val="00E92204"/>
    <w:rsid w:val="00E92670"/>
    <w:rsid w:val="00E92687"/>
    <w:rsid w:val="00E935AB"/>
    <w:rsid w:val="00E93717"/>
    <w:rsid w:val="00E937E9"/>
    <w:rsid w:val="00E93E40"/>
    <w:rsid w:val="00E940C1"/>
    <w:rsid w:val="00E9561F"/>
    <w:rsid w:val="00E95813"/>
    <w:rsid w:val="00E96E94"/>
    <w:rsid w:val="00E978C4"/>
    <w:rsid w:val="00E97DD3"/>
    <w:rsid w:val="00EA0DC7"/>
    <w:rsid w:val="00EA0F59"/>
    <w:rsid w:val="00EA107A"/>
    <w:rsid w:val="00EA14EE"/>
    <w:rsid w:val="00EA163A"/>
    <w:rsid w:val="00EA176D"/>
    <w:rsid w:val="00EA1827"/>
    <w:rsid w:val="00EA1F67"/>
    <w:rsid w:val="00EA1F94"/>
    <w:rsid w:val="00EA1FC1"/>
    <w:rsid w:val="00EA2139"/>
    <w:rsid w:val="00EA2456"/>
    <w:rsid w:val="00EA2702"/>
    <w:rsid w:val="00EA3B6F"/>
    <w:rsid w:val="00EA3F44"/>
    <w:rsid w:val="00EA4067"/>
    <w:rsid w:val="00EA41BE"/>
    <w:rsid w:val="00EA475C"/>
    <w:rsid w:val="00EA5370"/>
    <w:rsid w:val="00EA5537"/>
    <w:rsid w:val="00EA58A4"/>
    <w:rsid w:val="00EA5E1E"/>
    <w:rsid w:val="00EA5E56"/>
    <w:rsid w:val="00EA5EE9"/>
    <w:rsid w:val="00EA5FC3"/>
    <w:rsid w:val="00EA6749"/>
    <w:rsid w:val="00EA7F12"/>
    <w:rsid w:val="00EA7F1C"/>
    <w:rsid w:val="00EB02EC"/>
    <w:rsid w:val="00EB0377"/>
    <w:rsid w:val="00EB04CD"/>
    <w:rsid w:val="00EB09D7"/>
    <w:rsid w:val="00EB1C8A"/>
    <w:rsid w:val="00EB1FF1"/>
    <w:rsid w:val="00EB27F0"/>
    <w:rsid w:val="00EB2CD0"/>
    <w:rsid w:val="00EB2E09"/>
    <w:rsid w:val="00EB309D"/>
    <w:rsid w:val="00EB33E9"/>
    <w:rsid w:val="00EB3B3D"/>
    <w:rsid w:val="00EB3D58"/>
    <w:rsid w:val="00EB3E0B"/>
    <w:rsid w:val="00EB418E"/>
    <w:rsid w:val="00EB433D"/>
    <w:rsid w:val="00EB4A61"/>
    <w:rsid w:val="00EB4BA5"/>
    <w:rsid w:val="00EB5266"/>
    <w:rsid w:val="00EB52A7"/>
    <w:rsid w:val="00EB539B"/>
    <w:rsid w:val="00EB53E3"/>
    <w:rsid w:val="00EB582D"/>
    <w:rsid w:val="00EB5857"/>
    <w:rsid w:val="00EB614B"/>
    <w:rsid w:val="00EB67A6"/>
    <w:rsid w:val="00EB687A"/>
    <w:rsid w:val="00EB69DC"/>
    <w:rsid w:val="00EB6E7E"/>
    <w:rsid w:val="00EB70BD"/>
    <w:rsid w:val="00EB7A7A"/>
    <w:rsid w:val="00EC03BD"/>
    <w:rsid w:val="00EC05A3"/>
    <w:rsid w:val="00EC07C4"/>
    <w:rsid w:val="00EC08A0"/>
    <w:rsid w:val="00EC0AC4"/>
    <w:rsid w:val="00EC1184"/>
    <w:rsid w:val="00EC1525"/>
    <w:rsid w:val="00EC1EBC"/>
    <w:rsid w:val="00EC22CB"/>
    <w:rsid w:val="00EC2971"/>
    <w:rsid w:val="00EC2E15"/>
    <w:rsid w:val="00EC2FE7"/>
    <w:rsid w:val="00EC3075"/>
    <w:rsid w:val="00EC33D8"/>
    <w:rsid w:val="00EC3B18"/>
    <w:rsid w:val="00EC3B71"/>
    <w:rsid w:val="00EC409D"/>
    <w:rsid w:val="00EC4128"/>
    <w:rsid w:val="00EC455D"/>
    <w:rsid w:val="00EC4867"/>
    <w:rsid w:val="00EC56A1"/>
    <w:rsid w:val="00EC56FA"/>
    <w:rsid w:val="00EC57EE"/>
    <w:rsid w:val="00EC5872"/>
    <w:rsid w:val="00EC5D2D"/>
    <w:rsid w:val="00EC621B"/>
    <w:rsid w:val="00EC632D"/>
    <w:rsid w:val="00EC6B87"/>
    <w:rsid w:val="00EC6C4E"/>
    <w:rsid w:val="00EC6C68"/>
    <w:rsid w:val="00ED00DD"/>
    <w:rsid w:val="00ED0698"/>
    <w:rsid w:val="00ED0D18"/>
    <w:rsid w:val="00ED192F"/>
    <w:rsid w:val="00ED1A41"/>
    <w:rsid w:val="00ED1BD4"/>
    <w:rsid w:val="00ED1EDA"/>
    <w:rsid w:val="00ED2279"/>
    <w:rsid w:val="00ED2490"/>
    <w:rsid w:val="00ED2CE6"/>
    <w:rsid w:val="00ED3EB7"/>
    <w:rsid w:val="00ED4152"/>
    <w:rsid w:val="00ED43D3"/>
    <w:rsid w:val="00ED43DE"/>
    <w:rsid w:val="00ED4A45"/>
    <w:rsid w:val="00ED4F6E"/>
    <w:rsid w:val="00ED5162"/>
    <w:rsid w:val="00ED579D"/>
    <w:rsid w:val="00ED5A9D"/>
    <w:rsid w:val="00ED5C4B"/>
    <w:rsid w:val="00ED63F1"/>
    <w:rsid w:val="00ED6917"/>
    <w:rsid w:val="00ED71CE"/>
    <w:rsid w:val="00ED7838"/>
    <w:rsid w:val="00EE2283"/>
    <w:rsid w:val="00EE2325"/>
    <w:rsid w:val="00EE251B"/>
    <w:rsid w:val="00EE2836"/>
    <w:rsid w:val="00EE29B2"/>
    <w:rsid w:val="00EE3038"/>
    <w:rsid w:val="00EE4146"/>
    <w:rsid w:val="00EE4631"/>
    <w:rsid w:val="00EE4B51"/>
    <w:rsid w:val="00EE4EBB"/>
    <w:rsid w:val="00EE51BD"/>
    <w:rsid w:val="00EE5B8F"/>
    <w:rsid w:val="00EE5F6A"/>
    <w:rsid w:val="00EE61BC"/>
    <w:rsid w:val="00EE6226"/>
    <w:rsid w:val="00EE6DE6"/>
    <w:rsid w:val="00EE6EA7"/>
    <w:rsid w:val="00EE6F37"/>
    <w:rsid w:val="00EE7707"/>
    <w:rsid w:val="00EE7A29"/>
    <w:rsid w:val="00EF01DD"/>
    <w:rsid w:val="00EF01FA"/>
    <w:rsid w:val="00EF04F7"/>
    <w:rsid w:val="00EF144C"/>
    <w:rsid w:val="00EF1567"/>
    <w:rsid w:val="00EF1698"/>
    <w:rsid w:val="00EF191C"/>
    <w:rsid w:val="00EF19B4"/>
    <w:rsid w:val="00EF2416"/>
    <w:rsid w:val="00EF260A"/>
    <w:rsid w:val="00EF2A92"/>
    <w:rsid w:val="00EF2E8B"/>
    <w:rsid w:val="00EF366D"/>
    <w:rsid w:val="00EF3C39"/>
    <w:rsid w:val="00EF3E8F"/>
    <w:rsid w:val="00EF4353"/>
    <w:rsid w:val="00EF44A1"/>
    <w:rsid w:val="00EF4A03"/>
    <w:rsid w:val="00EF4EAF"/>
    <w:rsid w:val="00EF5235"/>
    <w:rsid w:val="00EF5251"/>
    <w:rsid w:val="00EF565D"/>
    <w:rsid w:val="00EF5661"/>
    <w:rsid w:val="00EF56D4"/>
    <w:rsid w:val="00EF5B1E"/>
    <w:rsid w:val="00EF63DC"/>
    <w:rsid w:val="00EF665D"/>
    <w:rsid w:val="00EF67CC"/>
    <w:rsid w:val="00EF699D"/>
    <w:rsid w:val="00EF7181"/>
    <w:rsid w:val="00EF7332"/>
    <w:rsid w:val="00EF742A"/>
    <w:rsid w:val="00EF75D5"/>
    <w:rsid w:val="00F00344"/>
    <w:rsid w:val="00F014B7"/>
    <w:rsid w:val="00F016CC"/>
    <w:rsid w:val="00F022C0"/>
    <w:rsid w:val="00F023D0"/>
    <w:rsid w:val="00F0243D"/>
    <w:rsid w:val="00F02499"/>
    <w:rsid w:val="00F027BE"/>
    <w:rsid w:val="00F02A0F"/>
    <w:rsid w:val="00F02A4D"/>
    <w:rsid w:val="00F02B57"/>
    <w:rsid w:val="00F02ED1"/>
    <w:rsid w:val="00F02EF8"/>
    <w:rsid w:val="00F0315A"/>
    <w:rsid w:val="00F031A3"/>
    <w:rsid w:val="00F032FA"/>
    <w:rsid w:val="00F03642"/>
    <w:rsid w:val="00F0380A"/>
    <w:rsid w:val="00F03CE2"/>
    <w:rsid w:val="00F03E83"/>
    <w:rsid w:val="00F03F78"/>
    <w:rsid w:val="00F049C2"/>
    <w:rsid w:val="00F055F4"/>
    <w:rsid w:val="00F05693"/>
    <w:rsid w:val="00F05699"/>
    <w:rsid w:val="00F0573D"/>
    <w:rsid w:val="00F05CF7"/>
    <w:rsid w:val="00F0619E"/>
    <w:rsid w:val="00F06C03"/>
    <w:rsid w:val="00F06E9F"/>
    <w:rsid w:val="00F07321"/>
    <w:rsid w:val="00F0755C"/>
    <w:rsid w:val="00F0763B"/>
    <w:rsid w:val="00F07775"/>
    <w:rsid w:val="00F078AA"/>
    <w:rsid w:val="00F07E5B"/>
    <w:rsid w:val="00F101D6"/>
    <w:rsid w:val="00F1024A"/>
    <w:rsid w:val="00F1036E"/>
    <w:rsid w:val="00F105A1"/>
    <w:rsid w:val="00F1076B"/>
    <w:rsid w:val="00F107CE"/>
    <w:rsid w:val="00F10EE0"/>
    <w:rsid w:val="00F115AA"/>
    <w:rsid w:val="00F117FB"/>
    <w:rsid w:val="00F11C8B"/>
    <w:rsid w:val="00F11CA1"/>
    <w:rsid w:val="00F11DB8"/>
    <w:rsid w:val="00F11F07"/>
    <w:rsid w:val="00F11FBE"/>
    <w:rsid w:val="00F12381"/>
    <w:rsid w:val="00F125CF"/>
    <w:rsid w:val="00F12658"/>
    <w:rsid w:val="00F12CA0"/>
    <w:rsid w:val="00F13412"/>
    <w:rsid w:val="00F13865"/>
    <w:rsid w:val="00F139D1"/>
    <w:rsid w:val="00F13C6C"/>
    <w:rsid w:val="00F14411"/>
    <w:rsid w:val="00F14461"/>
    <w:rsid w:val="00F144C7"/>
    <w:rsid w:val="00F1505B"/>
    <w:rsid w:val="00F15317"/>
    <w:rsid w:val="00F15327"/>
    <w:rsid w:val="00F158E2"/>
    <w:rsid w:val="00F15A60"/>
    <w:rsid w:val="00F15DE1"/>
    <w:rsid w:val="00F16434"/>
    <w:rsid w:val="00F1648F"/>
    <w:rsid w:val="00F165D4"/>
    <w:rsid w:val="00F167C7"/>
    <w:rsid w:val="00F16B9C"/>
    <w:rsid w:val="00F16E07"/>
    <w:rsid w:val="00F16FE7"/>
    <w:rsid w:val="00F17C76"/>
    <w:rsid w:val="00F17F0C"/>
    <w:rsid w:val="00F2006C"/>
    <w:rsid w:val="00F20782"/>
    <w:rsid w:val="00F20A1D"/>
    <w:rsid w:val="00F20B2E"/>
    <w:rsid w:val="00F20BC2"/>
    <w:rsid w:val="00F21123"/>
    <w:rsid w:val="00F2130E"/>
    <w:rsid w:val="00F2135F"/>
    <w:rsid w:val="00F2142B"/>
    <w:rsid w:val="00F21587"/>
    <w:rsid w:val="00F22459"/>
    <w:rsid w:val="00F226DF"/>
    <w:rsid w:val="00F22ADC"/>
    <w:rsid w:val="00F22C65"/>
    <w:rsid w:val="00F22F29"/>
    <w:rsid w:val="00F22F56"/>
    <w:rsid w:val="00F23507"/>
    <w:rsid w:val="00F23B6C"/>
    <w:rsid w:val="00F23EF0"/>
    <w:rsid w:val="00F245DF"/>
    <w:rsid w:val="00F24624"/>
    <w:rsid w:val="00F247EE"/>
    <w:rsid w:val="00F24ACF"/>
    <w:rsid w:val="00F24B67"/>
    <w:rsid w:val="00F24F9C"/>
    <w:rsid w:val="00F251FA"/>
    <w:rsid w:val="00F25629"/>
    <w:rsid w:val="00F256ED"/>
    <w:rsid w:val="00F25C7D"/>
    <w:rsid w:val="00F25D4B"/>
    <w:rsid w:val="00F26ACD"/>
    <w:rsid w:val="00F26BF8"/>
    <w:rsid w:val="00F26D72"/>
    <w:rsid w:val="00F27185"/>
    <w:rsid w:val="00F2725A"/>
    <w:rsid w:val="00F27B35"/>
    <w:rsid w:val="00F3071C"/>
    <w:rsid w:val="00F30744"/>
    <w:rsid w:val="00F30D1B"/>
    <w:rsid w:val="00F31973"/>
    <w:rsid w:val="00F31C89"/>
    <w:rsid w:val="00F31E52"/>
    <w:rsid w:val="00F32384"/>
    <w:rsid w:val="00F323B6"/>
    <w:rsid w:val="00F327B0"/>
    <w:rsid w:val="00F327BF"/>
    <w:rsid w:val="00F32F88"/>
    <w:rsid w:val="00F32FFE"/>
    <w:rsid w:val="00F33063"/>
    <w:rsid w:val="00F3354D"/>
    <w:rsid w:val="00F33ACE"/>
    <w:rsid w:val="00F33F36"/>
    <w:rsid w:val="00F34904"/>
    <w:rsid w:val="00F34C09"/>
    <w:rsid w:val="00F3519B"/>
    <w:rsid w:val="00F35B8C"/>
    <w:rsid w:val="00F36A32"/>
    <w:rsid w:val="00F36D91"/>
    <w:rsid w:val="00F36EC0"/>
    <w:rsid w:val="00F370EC"/>
    <w:rsid w:val="00F3742A"/>
    <w:rsid w:val="00F40111"/>
    <w:rsid w:val="00F40254"/>
    <w:rsid w:val="00F40932"/>
    <w:rsid w:val="00F4097E"/>
    <w:rsid w:val="00F409CA"/>
    <w:rsid w:val="00F40B77"/>
    <w:rsid w:val="00F40C84"/>
    <w:rsid w:val="00F40CFD"/>
    <w:rsid w:val="00F40F90"/>
    <w:rsid w:val="00F41048"/>
    <w:rsid w:val="00F414B7"/>
    <w:rsid w:val="00F41505"/>
    <w:rsid w:val="00F416B6"/>
    <w:rsid w:val="00F41B81"/>
    <w:rsid w:val="00F42F32"/>
    <w:rsid w:val="00F4316C"/>
    <w:rsid w:val="00F43285"/>
    <w:rsid w:val="00F43DA6"/>
    <w:rsid w:val="00F44224"/>
    <w:rsid w:val="00F44621"/>
    <w:rsid w:val="00F446CD"/>
    <w:rsid w:val="00F44FA5"/>
    <w:rsid w:val="00F4594D"/>
    <w:rsid w:val="00F45C29"/>
    <w:rsid w:val="00F45D4D"/>
    <w:rsid w:val="00F460BE"/>
    <w:rsid w:val="00F46B55"/>
    <w:rsid w:val="00F46DC3"/>
    <w:rsid w:val="00F47515"/>
    <w:rsid w:val="00F47637"/>
    <w:rsid w:val="00F47911"/>
    <w:rsid w:val="00F47A9F"/>
    <w:rsid w:val="00F47EF3"/>
    <w:rsid w:val="00F501A1"/>
    <w:rsid w:val="00F50374"/>
    <w:rsid w:val="00F50413"/>
    <w:rsid w:val="00F50444"/>
    <w:rsid w:val="00F5051B"/>
    <w:rsid w:val="00F5063A"/>
    <w:rsid w:val="00F50B11"/>
    <w:rsid w:val="00F50CA1"/>
    <w:rsid w:val="00F50CC4"/>
    <w:rsid w:val="00F50F70"/>
    <w:rsid w:val="00F512EA"/>
    <w:rsid w:val="00F51B87"/>
    <w:rsid w:val="00F52418"/>
    <w:rsid w:val="00F52CDD"/>
    <w:rsid w:val="00F54027"/>
    <w:rsid w:val="00F5429F"/>
    <w:rsid w:val="00F549AA"/>
    <w:rsid w:val="00F54BD3"/>
    <w:rsid w:val="00F557DF"/>
    <w:rsid w:val="00F565BC"/>
    <w:rsid w:val="00F565E7"/>
    <w:rsid w:val="00F56805"/>
    <w:rsid w:val="00F56C4B"/>
    <w:rsid w:val="00F56F04"/>
    <w:rsid w:val="00F57745"/>
    <w:rsid w:val="00F57A16"/>
    <w:rsid w:val="00F57D28"/>
    <w:rsid w:val="00F57ECC"/>
    <w:rsid w:val="00F60533"/>
    <w:rsid w:val="00F60884"/>
    <w:rsid w:val="00F60B73"/>
    <w:rsid w:val="00F61E1E"/>
    <w:rsid w:val="00F622B5"/>
    <w:rsid w:val="00F628E0"/>
    <w:rsid w:val="00F62B53"/>
    <w:rsid w:val="00F62D85"/>
    <w:rsid w:val="00F62F3E"/>
    <w:rsid w:val="00F63110"/>
    <w:rsid w:val="00F63716"/>
    <w:rsid w:val="00F63858"/>
    <w:rsid w:val="00F63C57"/>
    <w:rsid w:val="00F63EA1"/>
    <w:rsid w:val="00F64A43"/>
    <w:rsid w:val="00F64E00"/>
    <w:rsid w:val="00F6555F"/>
    <w:rsid w:val="00F656D3"/>
    <w:rsid w:val="00F6588C"/>
    <w:rsid w:val="00F658EA"/>
    <w:rsid w:val="00F65B4B"/>
    <w:rsid w:val="00F65DD8"/>
    <w:rsid w:val="00F663ED"/>
    <w:rsid w:val="00F6688D"/>
    <w:rsid w:val="00F669FC"/>
    <w:rsid w:val="00F66A23"/>
    <w:rsid w:val="00F66BF8"/>
    <w:rsid w:val="00F66E07"/>
    <w:rsid w:val="00F67775"/>
    <w:rsid w:val="00F679BF"/>
    <w:rsid w:val="00F67DEB"/>
    <w:rsid w:val="00F701C1"/>
    <w:rsid w:val="00F70347"/>
    <w:rsid w:val="00F70531"/>
    <w:rsid w:val="00F70614"/>
    <w:rsid w:val="00F70BF3"/>
    <w:rsid w:val="00F70EDA"/>
    <w:rsid w:val="00F70FC2"/>
    <w:rsid w:val="00F71230"/>
    <w:rsid w:val="00F7170E"/>
    <w:rsid w:val="00F719B7"/>
    <w:rsid w:val="00F71B75"/>
    <w:rsid w:val="00F71C96"/>
    <w:rsid w:val="00F72777"/>
    <w:rsid w:val="00F72803"/>
    <w:rsid w:val="00F72A26"/>
    <w:rsid w:val="00F72BA5"/>
    <w:rsid w:val="00F72BE8"/>
    <w:rsid w:val="00F72E11"/>
    <w:rsid w:val="00F72EC8"/>
    <w:rsid w:val="00F72F90"/>
    <w:rsid w:val="00F736FC"/>
    <w:rsid w:val="00F739C8"/>
    <w:rsid w:val="00F73A1B"/>
    <w:rsid w:val="00F73F76"/>
    <w:rsid w:val="00F74045"/>
    <w:rsid w:val="00F7405D"/>
    <w:rsid w:val="00F7413E"/>
    <w:rsid w:val="00F74534"/>
    <w:rsid w:val="00F74758"/>
    <w:rsid w:val="00F74C34"/>
    <w:rsid w:val="00F74D9A"/>
    <w:rsid w:val="00F74EB0"/>
    <w:rsid w:val="00F7515F"/>
    <w:rsid w:val="00F75D10"/>
    <w:rsid w:val="00F75D15"/>
    <w:rsid w:val="00F76523"/>
    <w:rsid w:val="00F7665B"/>
    <w:rsid w:val="00F76AFE"/>
    <w:rsid w:val="00F76F84"/>
    <w:rsid w:val="00F77837"/>
    <w:rsid w:val="00F80088"/>
    <w:rsid w:val="00F80429"/>
    <w:rsid w:val="00F80633"/>
    <w:rsid w:val="00F80C08"/>
    <w:rsid w:val="00F80EBB"/>
    <w:rsid w:val="00F814C4"/>
    <w:rsid w:val="00F81949"/>
    <w:rsid w:val="00F81F82"/>
    <w:rsid w:val="00F820AD"/>
    <w:rsid w:val="00F823B9"/>
    <w:rsid w:val="00F824B3"/>
    <w:rsid w:val="00F8250E"/>
    <w:rsid w:val="00F8257B"/>
    <w:rsid w:val="00F82843"/>
    <w:rsid w:val="00F83582"/>
    <w:rsid w:val="00F83854"/>
    <w:rsid w:val="00F83EA0"/>
    <w:rsid w:val="00F83EB1"/>
    <w:rsid w:val="00F83ED1"/>
    <w:rsid w:val="00F843CC"/>
    <w:rsid w:val="00F844D4"/>
    <w:rsid w:val="00F8480D"/>
    <w:rsid w:val="00F84C81"/>
    <w:rsid w:val="00F85572"/>
    <w:rsid w:val="00F85AD0"/>
    <w:rsid w:val="00F85B52"/>
    <w:rsid w:val="00F865F4"/>
    <w:rsid w:val="00F86DA4"/>
    <w:rsid w:val="00F87686"/>
    <w:rsid w:val="00F879B4"/>
    <w:rsid w:val="00F901AC"/>
    <w:rsid w:val="00F91430"/>
    <w:rsid w:val="00F915B7"/>
    <w:rsid w:val="00F91778"/>
    <w:rsid w:val="00F9179F"/>
    <w:rsid w:val="00F91AF2"/>
    <w:rsid w:val="00F91D77"/>
    <w:rsid w:val="00F92129"/>
    <w:rsid w:val="00F92188"/>
    <w:rsid w:val="00F92B13"/>
    <w:rsid w:val="00F92BBA"/>
    <w:rsid w:val="00F92F86"/>
    <w:rsid w:val="00F92FF5"/>
    <w:rsid w:val="00F93248"/>
    <w:rsid w:val="00F93412"/>
    <w:rsid w:val="00F93AD4"/>
    <w:rsid w:val="00F93D36"/>
    <w:rsid w:val="00F940AE"/>
    <w:rsid w:val="00F9433C"/>
    <w:rsid w:val="00F94754"/>
    <w:rsid w:val="00F9475D"/>
    <w:rsid w:val="00F94826"/>
    <w:rsid w:val="00F948C8"/>
    <w:rsid w:val="00F94A4C"/>
    <w:rsid w:val="00F95450"/>
    <w:rsid w:val="00F958B0"/>
    <w:rsid w:val="00F959AA"/>
    <w:rsid w:val="00F95EFD"/>
    <w:rsid w:val="00F9607F"/>
    <w:rsid w:val="00F96087"/>
    <w:rsid w:val="00F96104"/>
    <w:rsid w:val="00F96363"/>
    <w:rsid w:val="00F96745"/>
    <w:rsid w:val="00F96AC5"/>
    <w:rsid w:val="00F974F8"/>
    <w:rsid w:val="00F97790"/>
    <w:rsid w:val="00F978C2"/>
    <w:rsid w:val="00FA04EB"/>
    <w:rsid w:val="00FA089D"/>
    <w:rsid w:val="00FA0A97"/>
    <w:rsid w:val="00FA1072"/>
    <w:rsid w:val="00FA12E1"/>
    <w:rsid w:val="00FA148C"/>
    <w:rsid w:val="00FA196C"/>
    <w:rsid w:val="00FA1B53"/>
    <w:rsid w:val="00FA1D93"/>
    <w:rsid w:val="00FA1DA7"/>
    <w:rsid w:val="00FA227F"/>
    <w:rsid w:val="00FA26F4"/>
    <w:rsid w:val="00FA27BE"/>
    <w:rsid w:val="00FA296F"/>
    <w:rsid w:val="00FA2AB0"/>
    <w:rsid w:val="00FA2B03"/>
    <w:rsid w:val="00FA2BB6"/>
    <w:rsid w:val="00FA303E"/>
    <w:rsid w:val="00FA3072"/>
    <w:rsid w:val="00FA31F4"/>
    <w:rsid w:val="00FA3528"/>
    <w:rsid w:val="00FA398A"/>
    <w:rsid w:val="00FA39B2"/>
    <w:rsid w:val="00FA3EBF"/>
    <w:rsid w:val="00FA3FB8"/>
    <w:rsid w:val="00FA4031"/>
    <w:rsid w:val="00FA4338"/>
    <w:rsid w:val="00FA4693"/>
    <w:rsid w:val="00FA48FE"/>
    <w:rsid w:val="00FA4CE0"/>
    <w:rsid w:val="00FA5488"/>
    <w:rsid w:val="00FA54A4"/>
    <w:rsid w:val="00FA5573"/>
    <w:rsid w:val="00FA57FD"/>
    <w:rsid w:val="00FA59CB"/>
    <w:rsid w:val="00FA5D05"/>
    <w:rsid w:val="00FA6316"/>
    <w:rsid w:val="00FA6472"/>
    <w:rsid w:val="00FA6804"/>
    <w:rsid w:val="00FA693B"/>
    <w:rsid w:val="00FA6EA1"/>
    <w:rsid w:val="00FA7195"/>
    <w:rsid w:val="00FA7800"/>
    <w:rsid w:val="00FA7B58"/>
    <w:rsid w:val="00FB0401"/>
    <w:rsid w:val="00FB0C00"/>
    <w:rsid w:val="00FB0CC9"/>
    <w:rsid w:val="00FB0E17"/>
    <w:rsid w:val="00FB10F4"/>
    <w:rsid w:val="00FB1124"/>
    <w:rsid w:val="00FB1666"/>
    <w:rsid w:val="00FB1A3A"/>
    <w:rsid w:val="00FB1D1E"/>
    <w:rsid w:val="00FB2550"/>
    <w:rsid w:val="00FB25B4"/>
    <w:rsid w:val="00FB2DA3"/>
    <w:rsid w:val="00FB2DE3"/>
    <w:rsid w:val="00FB337B"/>
    <w:rsid w:val="00FB3955"/>
    <w:rsid w:val="00FB3A42"/>
    <w:rsid w:val="00FB3BC6"/>
    <w:rsid w:val="00FB45C2"/>
    <w:rsid w:val="00FB49AA"/>
    <w:rsid w:val="00FB4AE3"/>
    <w:rsid w:val="00FB4FE2"/>
    <w:rsid w:val="00FB621E"/>
    <w:rsid w:val="00FB62B2"/>
    <w:rsid w:val="00FB6A43"/>
    <w:rsid w:val="00FB6B20"/>
    <w:rsid w:val="00FB6E6B"/>
    <w:rsid w:val="00FB7746"/>
    <w:rsid w:val="00FB7AFF"/>
    <w:rsid w:val="00FB7DD9"/>
    <w:rsid w:val="00FC02F7"/>
    <w:rsid w:val="00FC06A0"/>
    <w:rsid w:val="00FC0851"/>
    <w:rsid w:val="00FC0887"/>
    <w:rsid w:val="00FC0C0A"/>
    <w:rsid w:val="00FC0CBB"/>
    <w:rsid w:val="00FC12BE"/>
    <w:rsid w:val="00FC16B2"/>
    <w:rsid w:val="00FC18CC"/>
    <w:rsid w:val="00FC1B54"/>
    <w:rsid w:val="00FC1D22"/>
    <w:rsid w:val="00FC2395"/>
    <w:rsid w:val="00FC250D"/>
    <w:rsid w:val="00FC26F5"/>
    <w:rsid w:val="00FC28E3"/>
    <w:rsid w:val="00FC32AE"/>
    <w:rsid w:val="00FC32E0"/>
    <w:rsid w:val="00FC394A"/>
    <w:rsid w:val="00FC4091"/>
    <w:rsid w:val="00FC4465"/>
    <w:rsid w:val="00FC51A7"/>
    <w:rsid w:val="00FC52F2"/>
    <w:rsid w:val="00FC5B07"/>
    <w:rsid w:val="00FC607C"/>
    <w:rsid w:val="00FC68AA"/>
    <w:rsid w:val="00FC6ABD"/>
    <w:rsid w:val="00FC6F2B"/>
    <w:rsid w:val="00FC7264"/>
    <w:rsid w:val="00FC763E"/>
    <w:rsid w:val="00FC78C6"/>
    <w:rsid w:val="00FC7C55"/>
    <w:rsid w:val="00FD002B"/>
    <w:rsid w:val="00FD018C"/>
    <w:rsid w:val="00FD0DD5"/>
    <w:rsid w:val="00FD11A7"/>
    <w:rsid w:val="00FD12E1"/>
    <w:rsid w:val="00FD1785"/>
    <w:rsid w:val="00FD17AA"/>
    <w:rsid w:val="00FD1845"/>
    <w:rsid w:val="00FD1909"/>
    <w:rsid w:val="00FD208A"/>
    <w:rsid w:val="00FD22B9"/>
    <w:rsid w:val="00FD25A9"/>
    <w:rsid w:val="00FD26EF"/>
    <w:rsid w:val="00FD2932"/>
    <w:rsid w:val="00FD2A33"/>
    <w:rsid w:val="00FD2A52"/>
    <w:rsid w:val="00FD2B16"/>
    <w:rsid w:val="00FD2EE7"/>
    <w:rsid w:val="00FD305E"/>
    <w:rsid w:val="00FD3549"/>
    <w:rsid w:val="00FD35FA"/>
    <w:rsid w:val="00FD3983"/>
    <w:rsid w:val="00FD398C"/>
    <w:rsid w:val="00FD39D6"/>
    <w:rsid w:val="00FD3A11"/>
    <w:rsid w:val="00FD3C34"/>
    <w:rsid w:val="00FD3D6C"/>
    <w:rsid w:val="00FD3E68"/>
    <w:rsid w:val="00FD4E86"/>
    <w:rsid w:val="00FD50DF"/>
    <w:rsid w:val="00FD5BDA"/>
    <w:rsid w:val="00FD5E90"/>
    <w:rsid w:val="00FD5EE0"/>
    <w:rsid w:val="00FD6144"/>
    <w:rsid w:val="00FD61E8"/>
    <w:rsid w:val="00FD63BE"/>
    <w:rsid w:val="00FD66D2"/>
    <w:rsid w:val="00FD6F7E"/>
    <w:rsid w:val="00FD76D5"/>
    <w:rsid w:val="00FD7839"/>
    <w:rsid w:val="00FD7A55"/>
    <w:rsid w:val="00FD7C97"/>
    <w:rsid w:val="00FD7E7F"/>
    <w:rsid w:val="00FE0C1F"/>
    <w:rsid w:val="00FE10E6"/>
    <w:rsid w:val="00FE1194"/>
    <w:rsid w:val="00FE13EE"/>
    <w:rsid w:val="00FE1F72"/>
    <w:rsid w:val="00FE2812"/>
    <w:rsid w:val="00FE2D49"/>
    <w:rsid w:val="00FE3501"/>
    <w:rsid w:val="00FE35D4"/>
    <w:rsid w:val="00FE390B"/>
    <w:rsid w:val="00FE39BE"/>
    <w:rsid w:val="00FE4371"/>
    <w:rsid w:val="00FE4397"/>
    <w:rsid w:val="00FE4ACE"/>
    <w:rsid w:val="00FE4CEC"/>
    <w:rsid w:val="00FE5055"/>
    <w:rsid w:val="00FE50D6"/>
    <w:rsid w:val="00FE5D80"/>
    <w:rsid w:val="00FE639E"/>
    <w:rsid w:val="00FE67E6"/>
    <w:rsid w:val="00FE680A"/>
    <w:rsid w:val="00FE69B7"/>
    <w:rsid w:val="00FE6AF1"/>
    <w:rsid w:val="00FE7C7E"/>
    <w:rsid w:val="00FE7D23"/>
    <w:rsid w:val="00FE7DC8"/>
    <w:rsid w:val="00FE7DF0"/>
    <w:rsid w:val="00FE7ED4"/>
    <w:rsid w:val="00FF01DC"/>
    <w:rsid w:val="00FF0227"/>
    <w:rsid w:val="00FF05BA"/>
    <w:rsid w:val="00FF06D2"/>
    <w:rsid w:val="00FF127D"/>
    <w:rsid w:val="00FF13E7"/>
    <w:rsid w:val="00FF1E33"/>
    <w:rsid w:val="00FF1EB5"/>
    <w:rsid w:val="00FF1F6E"/>
    <w:rsid w:val="00FF2064"/>
    <w:rsid w:val="00FF21AA"/>
    <w:rsid w:val="00FF26BF"/>
    <w:rsid w:val="00FF2C51"/>
    <w:rsid w:val="00FF2FBC"/>
    <w:rsid w:val="00FF31C1"/>
    <w:rsid w:val="00FF33DC"/>
    <w:rsid w:val="00FF36E6"/>
    <w:rsid w:val="00FF3AC8"/>
    <w:rsid w:val="00FF3CD8"/>
    <w:rsid w:val="00FF3EFE"/>
    <w:rsid w:val="00FF42B9"/>
    <w:rsid w:val="00FF4394"/>
    <w:rsid w:val="00FF44E2"/>
    <w:rsid w:val="00FF45D8"/>
    <w:rsid w:val="00FF49D3"/>
    <w:rsid w:val="00FF4E65"/>
    <w:rsid w:val="00FF50D6"/>
    <w:rsid w:val="00FF55F3"/>
    <w:rsid w:val="00FF57E5"/>
    <w:rsid w:val="00FF5B6A"/>
    <w:rsid w:val="00FF5E77"/>
    <w:rsid w:val="00FF67F6"/>
    <w:rsid w:val="00FF6818"/>
    <w:rsid w:val="00FF6F07"/>
    <w:rsid w:val="00FF7197"/>
    <w:rsid w:val="00FF7275"/>
    <w:rsid w:val="00FF759C"/>
    <w:rsid w:val="00FF7C16"/>
    <w:rsid w:val="00FF7C24"/>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14:docId w14:val="5FB9BE7A"/>
  <w15:chartTrackingRefBased/>
  <w15:docId w15:val="{3EEE7EC4-555D-4E2B-8529-638A1F121A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EastAsia" w:hAnsi="Calibri" w:cs="Calibri"/>
        <w:sz w:val="21"/>
        <w:szCs w:val="21"/>
        <w:lang w:val="en-AU"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493D"/>
  </w:style>
  <w:style w:type="paragraph" w:styleId="Heading1">
    <w:name w:val="heading 1"/>
    <w:next w:val="Normal"/>
    <w:link w:val="Heading1Char"/>
    <w:uiPriority w:val="9"/>
    <w:qFormat/>
    <w:rsid w:val="0016493D"/>
    <w:pPr>
      <w:keepNext/>
      <w:spacing w:before="120" w:after="120" w:line="259" w:lineRule="auto"/>
      <w:outlineLvl w:val="0"/>
    </w:pPr>
    <w:rPr>
      <w:rFonts w:cs="Arial"/>
      <w:b/>
      <w:bCs/>
      <w:color w:val="2F5496" w:themeColor="accent1" w:themeShade="BF"/>
      <w:sz w:val="40"/>
      <w:szCs w:val="40"/>
      <w:lang w:eastAsia="en-AU"/>
    </w:rPr>
  </w:style>
  <w:style w:type="paragraph" w:styleId="Heading2">
    <w:name w:val="heading 2"/>
    <w:basedOn w:val="Heading1"/>
    <w:next w:val="Normal"/>
    <w:link w:val="Heading2Char"/>
    <w:uiPriority w:val="9"/>
    <w:qFormat/>
    <w:rsid w:val="0016493D"/>
    <w:pPr>
      <w:ind w:left="720" w:hanging="720"/>
      <w:outlineLvl w:val="1"/>
    </w:pPr>
    <w:rPr>
      <w:rFonts w:asciiTheme="minorHAnsi" w:hAnsiTheme="minorHAnsi" w:cstheme="minorHAnsi"/>
      <w:bCs w:val="0"/>
      <w:iCs/>
      <w:sz w:val="28"/>
      <w:szCs w:val="28"/>
    </w:rPr>
  </w:style>
  <w:style w:type="paragraph" w:styleId="Heading3">
    <w:name w:val="heading 3"/>
    <w:basedOn w:val="Heading2"/>
    <w:next w:val="Normal"/>
    <w:link w:val="Heading3Char"/>
    <w:uiPriority w:val="9"/>
    <w:qFormat/>
    <w:rsid w:val="0016493D"/>
    <w:pPr>
      <w:ind w:left="0" w:firstLine="0"/>
      <w:outlineLvl w:val="2"/>
    </w:pPr>
    <w:rPr>
      <w:bCs/>
      <w:sz w:val="24"/>
    </w:rPr>
  </w:style>
  <w:style w:type="paragraph" w:styleId="Heading4">
    <w:name w:val="heading 4"/>
    <w:basedOn w:val="Heading3"/>
    <w:next w:val="Normal"/>
    <w:link w:val="Heading4Char"/>
    <w:uiPriority w:val="9"/>
    <w:qFormat/>
    <w:rsid w:val="0016493D"/>
    <w:pPr>
      <w:outlineLvl w:val="3"/>
    </w:pPr>
    <w:rPr>
      <w:rFonts w:cs="Arial"/>
      <w:b w:val="0"/>
      <w:bCs w:val="0"/>
      <w:sz w:val="22"/>
    </w:rPr>
  </w:style>
  <w:style w:type="paragraph" w:styleId="Heading5">
    <w:name w:val="heading 5"/>
    <w:basedOn w:val="Normal"/>
    <w:next w:val="Normal"/>
    <w:link w:val="Heading5Char"/>
    <w:uiPriority w:val="9"/>
    <w:qFormat/>
    <w:rsid w:val="00A71515"/>
    <w:pPr>
      <w:keepNext/>
      <w:outlineLvl w:val="4"/>
    </w:pPr>
    <w:rPr>
      <w:rFonts w:ascii="Arial" w:hAnsi="Arial" w:cs="Arial"/>
      <w:b/>
      <w:bCs/>
      <w:sz w:val="19"/>
    </w:rPr>
  </w:style>
  <w:style w:type="paragraph" w:styleId="Heading6">
    <w:name w:val="heading 6"/>
    <w:basedOn w:val="Normal"/>
    <w:next w:val="Normal"/>
    <w:link w:val="Heading6Char"/>
    <w:uiPriority w:val="99"/>
    <w:qFormat/>
    <w:rsid w:val="00A71515"/>
    <w:pPr>
      <w:keepNext/>
      <w:jc w:val="center"/>
      <w:outlineLvl w:val="5"/>
    </w:pPr>
    <w:rPr>
      <w:rFonts w:ascii="Arial" w:hAnsi="Arial" w:cs="Arial"/>
      <w:b/>
      <w:bCs/>
      <w:sz w:val="36"/>
    </w:rPr>
  </w:style>
  <w:style w:type="paragraph" w:styleId="Heading7">
    <w:name w:val="heading 7"/>
    <w:basedOn w:val="Normal"/>
    <w:next w:val="Normal"/>
    <w:link w:val="Heading7Char"/>
    <w:uiPriority w:val="99"/>
    <w:qFormat/>
    <w:rsid w:val="00A71515"/>
    <w:pPr>
      <w:keepNext/>
      <w:outlineLvl w:val="6"/>
    </w:pPr>
    <w:rPr>
      <w:rFonts w:ascii="Garamond" w:hAnsi="Garamond" w:cs="Arial"/>
      <w:b/>
      <w:bCs/>
    </w:rPr>
  </w:style>
  <w:style w:type="paragraph" w:styleId="Heading8">
    <w:name w:val="heading 8"/>
    <w:basedOn w:val="Normal"/>
    <w:next w:val="Normal"/>
    <w:link w:val="Heading8Char"/>
    <w:uiPriority w:val="99"/>
    <w:qFormat/>
    <w:rsid w:val="00A71515"/>
    <w:pPr>
      <w:keepNext/>
      <w:jc w:val="center"/>
      <w:outlineLvl w:val="7"/>
    </w:pPr>
    <w:rPr>
      <w:rFonts w:ascii="Garamond" w:hAnsi="Garamond" w:cs="Arial"/>
      <w:b/>
      <w:bCs/>
      <w:sz w:val="20"/>
    </w:rPr>
  </w:style>
  <w:style w:type="paragraph" w:styleId="Heading9">
    <w:name w:val="heading 9"/>
    <w:basedOn w:val="Normal"/>
    <w:next w:val="Normal"/>
    <w:link w:val="Heading9Char"/>
    <w:uiPriority w:val="99"/>
    <w:qFormat/>
    <w:rsid w:val="00A71515"/>
    <w:pPr>
      <w:keepNext/>
      <w:outlineLvl w:val="8"/>
    </w:pPr>
    <w:rPr>
      <w:rFonts w:ascii="Garamond" w:hAnsi="Garamond" w:cs="Arial"/>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6493D"/>
    <w:rPr>
      <w:rFonts w:cs="Arial"/>
      <w:b/>
      <w:bCs/>
      <w:color w:val="2F5496" w:themeColor="accent1" w:themeShade="BF"/>
      <w:sz w:val="40"/>
      <w:szCs w:val="40"/>
      <w:lang w:eastAsia="en-AU"/>
    </w:rPr>
  </w:style>
  <w:style w:type="character" w:customStyle="1" w:styleId="Heading2Char">
    <w:name w:val="Heading 2 Char"/>
    <w:basedOn w:val="DefaultParagraphFont"/>
    <w:link w:val="Heading2"/>
    <w:uiPriority w:val="9"/>
    <w:rsid w:val="0016493D"/>
    <w:rPr>
      <w:rFonts w:asciiTheme="minorHAnsi" w:hAnsiTheme="minorHAnsi" w:cstheme="minorHAnsi"/>
      <w:b/>
      <w:iCs/>
      <w:color w:val="2F5496" w:themeColor="accent1" w:themeShade="BF"/>
      <w:sz w:val="28"/>
      <w:szCs w:val="28"/>
      <w:lang w:eastAsia="en-AU"/>
    </w:rPr>
  </w:style>
  <w:style w:type="character" w:customStyle="1" w:styleId="Heading3Char">
    <w:name w:val="Heading 3 Char"/>
    <w:basedOn w:val="DefaultParagraphFont"/>
    <w:link w:val="Heading3"/>
    <w:uiPriority w:val="9"/>
    <w:rsid w:val="0016493D"/>
    <w:rPr>
      <w:rFonts w:asciiTheme="minorHAnsi" w:hAnsiTheme="minorHAnsi" w:cstheme="minorHAnsi"/>
      <w:b/>
      <w:bCs/>
      <w:iCs/>
      <w:color w:val="2F5496" w:themeColor="accent1" w:themeShade="BF"/>
      <w:sz w:val="24"/>
      <w:szCs w:val="28"/>
      <w:lang w:eastAsia="en-AU"/>
    </w:rPr>
  </w:style>
  <w:style w:type="character" w:customStyle="1" w:styleId="Heading4Char">
    <w:name w:val="Heading 4 Char"/>
    <w:basedOn w:val="DefaultParagraphFont"/>
    <w:link w:val="Heading4"/>
    <w:uiPriority w:val="9"/>
    <w:rsid w:val="0016493D"/>
    <w:rPr>
      <w:rFonts w:asciiTheme="minorHAnsi" w:hAnsiTheme="minorHAnsi" w:cs="Arial"/>
      <w:iCs/>
      <w:color w:val="2F5496" w:themeColor="accent1" w:themeShade="BF"/>
      <w:sz w:val="22"/>
      <w:szCs w:val="28"/>
      <w:lang w:eastAsia="en-AU"/>
    </w:rPr>
  </w:style>
  <w:style w:type="character" w:customStyle="1" w:styleId="Heading5Char">
    <w:name w:val="Heading 5 Char"/>
    <w:basedOn w:val="DefaultParagraphFont"/>
    <w:link w:val="Heading5"/>
    <w:uiPriority w:val="9"/>
    <w:rsid w:val="00A71515"/>
    <w:rPr>
      <w:rFonts w:ascii="Arial" w:eastAsia="Times New Roman" w:hAnsi="Arial" w:cs="Arial"/>
      <w:b/>
      <w:bCs/>
      <w:sz w:val="19"/>
    </w:rPr>
  </w:style>
  <w:style w:type="character" w:customStyle="1" w:styleId="Heading6Char">
    <w:name w:val="Heading 6 Char"/>
    <w:basedOn w:val="DefaultParagraphFont"/>
    <w:link w:val="Heading6"/>
    <w:uiPriority w:val="99"/>
    <w:rsid w:val="00A71515"/>
    <w:rPr>
      <w:rFonts w:ascii="Arial" w:eastAsia="Times New Roman" w:hAnsi="Arial" w:cs="Arial"/>
      <w:b/>
      <w:bCs/>
      <w:sz w:val="36"/>
    </w:rPr>
  </w:style>
  <w:style w:type="character" w:customStyle="1" w:styleId="Heading7Char">
    <w:name w:val="Heading 7 Char"/>
    <w:basedOn w:val="DefaultParagraphFont"/>
    <w:link w:val="Heading7"/>
    <w:uiPriority w:val="99"/>
    <w:rsid w:val="00A71515"/>
    <w:rPr>
      <w:rFonts w:ascii="Garamond" w:eastAsia="Times New Roman" w:hAnsi="Garamond" w:cs="Arial"/>
      <w:b/>
      <w:bCs/>
    </w:rPr>
  </w:style>
  <w:style w:type="character" w:customStyle="1" w:styleId="Heading8Char">
    <w:name w:val="Heading 8 Char"/>
    <w:basedOn w:val="DefaultParagraphFont"/>
    <w:link w:val="Heading8"/>
    <w:uiPriority w:val="99"/>
    <w:rsid w:val="00A71515"/>
    <w:rPr>
      <w:rFonts w:ascii="Garamond" w:eastAsia="Times New Roman" w:hAnsi="Garamond" w:cs="Arial"/>
      <w:b/>
      <w:bCs/>
      <w:sz w:val="20"/>
    </w:rPr>
  </w:style>
  <w:style w:type="character" w:customStyle="1" w:styleId="Heading9Char">
    <w:name w:val="Heading 9 Char"/>
    <w:basedOn w:val="DefaultParagraphFont"/>
    <w:link w:val="Heading9"/>
    <w:uiPriority w:val="99"/>
    <w:rsid w:val="00A71515"/>
    <w:rPr>
      <w:rFonts w:ascii="Garamond" w:eastAsia="Times New Roman" w:hAnsi="Garamond" w:cs="Arial"/>
      <w:b/>
      <w:bCs/>
      <w:sz w:val="20"/>
    </w:rPr>
  </w:style>
  <w:style w:type="paragraph" w:customStyle="1" w:styleId="Coverpage">
    <w:name w:val="Cover page"/>
    <w:basedOn w:val="Normal"/>
    <w:link w:val="CoverpageChar"/>
    <w:qFormat/>
    <w:rsid w:val="0016493D"/>
    <w:pPr>
      <w:shd w:val="clear" w:color="auto" w:fill="FFFFFF" w:themeFill="background1"/>
      <w:tabs>
        <w:tab w:val="left" w:pos="4755"/>
      </w:tabs>
      <w:spacing w:before="600" w:after="120"/>
      <w:jc w:val="center"/>
    </w:pPr>
    <w:rPr>
      <w:rFonts w:cs="Arial"/>
      <w:color w:val="2F5496" w:themeColor="accent1" w:themeShade="BF"/>
    </w:rPr>
  </w:style>
  <w:style w:type="character" w:styleId="Hyperlink">
    <w:name w:val="Hyperlink"/>
    <w:basedOn w:val="DefaultParagraphFont"/>
    <w:uiPriority w:val="99"/>
    <w:rsid w:val="00A71515"/>
    <w:rPr>
      <w:rFonts w:cs="Times New Roman"/>
      <w:color w:val="0000FF"/>
      <w:u w:val="single"/>
    </w:rPr>
  </w:style>
  <w:style w:type="paragraph" w:styleId="Footer">
    <w:name w:val="footer"/>
    <w:basedOn w:val="Normal"/>
    <w:link w:val="FooterChar"/>
    <w:uiPriority w:val="99"/>
    <w:rsid w:val="00A71515"/>
    <w:pPr>
      <w:tabs>
        <w:tab w:val="center" w:pos="4153"/>
        <w:tab w:val="right" w:pos="8306"/>
      </w:tabs>
    </w:pPr>
  </w:style>
  <w:style w:type="character" w:customStyle="1" w:styleId="FooterChar">
    <w:name w:val="Footer Char"/>
    <w:basedOn w:val="DefaultParagraphFont"/>
    <w:link w:val="Footer"/>
    <w:uiPriority w:val="99"/>
    <w:rsid w:val="00A71515"/>
    <w:rPr>
      <w:rFonts w:ascii="Times New Roman" w:eastAsia="Times New Roman" w:hAnsi="Times New Roman" w:cs="Times New Roman"/>
    </w:rPr>
  </w:style>
  <w:style w:type="character" w:styleId="PageNumber">
    <w:name w:val="page number"/>
    <w:basedOn w:val="DefaultParagraphFont"/>
    <w:uiPriority w:val="99"/>
    <w:rsid w:val="00A71515"/>
    <w:rPr>
      <w:rFonts w:cs="Times New Roman"/>
    </w:rPr>
  </w:style>
  <w:style w:type="paragraph" w:styleId="Header">
    <w:name w:val="header"/>
    <w:basedOn w:val="Normal"/>
    <w:link w:val="HeaderChar"/>
    <w:uiPriority w:val="99"/>
    <w:rsid w:val="00A71515"/>
    <w:pPr>
      <w:tabs>
        <w:tab w:val="center" w:pos="4153"/>
        <w:tab w:val="right" w:pos="8306"/>
      </w:tabs>
    </w:pPr>
  </w:style>
  <w:style w:type="character" w:customStyle="1" w:styleId="HeaderChar">
    <w:name w:val="Header Char"/>
    <w:basedOn w:val="DefaultParagraphFont"/>
    <w:link w:val="Header"/>
    <w:uiPriority w:val="99"/>
    <w:rsid w:val="00A71515"/>
    <w:rPr>
      <w:rFonts w:ascii="Times New Roman" w:eastAsia="Times New Roman" w:hAnsi="Times New Roman" w:cs="Times New Roman"/>
    </w:rPr>
  </w:style>
  <w:style w:type="paragraph" w:styleId="BodyText2">
    <w:name w:val="Body Text 2"/>
    <w:basedOn w:val="Normal"/>
    <w:link w:val="BodyText2Char"/>
    <w:uiPriority w:val="99"/>
    <w:rsid w:val="00A71515"/>
    <w:pPr>
      <w:ind w:left="1440"/>
    </w:pPr>
    <w:rPr>
      <w:sz w:val="20"/>
      <w:szCs w:val="20"/>
      <w:lang w:val="en-GB"/>
    </w:rPr>
  </w:style>
  <w:style w:type="character" w:customStyle="1" w:styleId="BodyText2Char">
    <w:name w:val="Body Text 2 Char"/>
    <w:basedOn w:val="DefaultParagraphFont"/>
    <w:link w:val="BodyText2"/>
    <w:uiPriority w:val="99"/>
    <w:rsid w:val="00A71515"/>
    <w:rPr>
      <w:rFonts w:ascii="Times New Roman" w:eastAsia="Times New Roman" w:hAnsi="Times New Roman" w:cs="Times New Roman"/>
      <w:sz w:val="20"/>
      <w:szCs w:val="20"/>
      <w:lang w:val="en-GB"/>
    </w:rPr>
  </w:style>
  <w:style w:type="character" w:styleId="FollowedHyperlink">
    <w:name w:val="FollowedHyperlink"/>
    <w:basedOn w:val="DefaultParagraphFont"/>
    <w:uiPriority w:val="99"/>
    <w:rsid w:val="00A71515"/>
    <w:rPr>
      <w:rFonts w:cs="Times New Roman"/>
      <w:color w:val="800080"/>
      <w:u w:val="single"/>
    </w:rPr>
  </w:style>
  <w:style w:type="paragraph" w:styleId="BalloonText">
    <w:name w:val="Balloon Text"/>
    <w:basedOn w:val="Normal"/>
    <w:link w:val="BalloonTextChar"/>
    <w:uiPriority w:val="99"/>
    <w:semiHidden/>
    <w:rsid w:val="00A71515"/>
    <w:rPr>
      <w:rFonts w:ascii="Tahoma" w:hAnsi="Tahoma" w:cs="Tahoma"/>
      <w:sz w:val="16"/>
      <w:szCs w:val="16"/>
    </w:rPr>
  </w:style>
  <w:style w:type="character" w:customStyle="1" w:styleId="BalloonTextChar">
    <w:name w:val="Balloon Text Char"/>
    <w:basedOn w:val="DefaultParagraphFont"/>
    <w:link w:val="BalloonText"/>
    <w:uiPriority w:val="99"/>
    <w:semiHidden/>
    <w:rsid w:val="00A71515"/>
    <w:rPr>
      <w:rFonts w:ascii="Tahoma" w:eastAsia="Times New Roman" w:hAnsi="Tahoma" w:cs="Tahoma"/>
      <w:sz w:val="16"/>
      <w:szCs w:val="16"/>
    </w:rPr>
  </w:style>
  <w:style w:type="paragraph" w:styleId="NormalWeb">
    <w:name w:val="Normal (Web)"/>
    <w:basedOn w:val="Normal"/>
    <w:uiPriority w:val="99"/>
    <w:rsid w:val="00A71515"/>
    <w:pPr>
      <w:spacing w:before="100" w:beforeAutospacing="1" w:after="100" w:afterAutospacing="1"/>
    </w:pPr>
  </w:style>
  <w:style w:type="paragraph" w:styleId="BodyText3">
    <w:name w:val="Body Text 3"/>
    <w:basedOn w:val="Normal"/>
    <w:link w:val="BodyText3Char"/>
    <w:uiPriority w:val="99"/>
    <w:rsid w:val="00A71515"/>
    <w:pPr>
      <w:spacing w:after="120"/>
    </w:pPr>
    <w:rPr>
      <w:sz w:val="16"/>
      <w:szCs w:val="16"/>
    </w:rPr>
  </w:style>
  <w:style w:type="character" w:customStyle="1" w:styleId="BodyText3Char">
    <w:name w:val="Body Text 3 Char"/>
    <w:basedOn w:val="DefaultParagraphFont"/>
    <w:link w:val="BodyText3"/>
    <w:uiPriority w:val="99"/>
    <w:rsid w:val="00A71515"/>
    <w:rPr>
      <w:rFonts w:ascii="Times New Roman" w:eastAsia="Times New Roman" w:hAnsi="Times New Roman" w:cs="Times New Roman"/>
      <w:sz w:val="16"/>
      <w:szCs w:val="16"/>
    </w:rPr>
  </w:style>
  <w:style w:type="table" w:styleId="TableGrid">
    <w:name w:val="Table Grid"/>
    <w:basedOn w:val="TableNormal"/>
    <w:uiPriority w:val="39"/>
    <w:rsid w:val="00A71515"/>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udoraheader">
    <w:name w:val="eudoraheader"/>
    <w:basedOn w:val="DefaultParagraphFont"/>
    <w:uiPriority w:val="99"/>
    <w:rsid w:val="00A71515"/>
    <w:rPr>
      <w:rFonts w:cs="Times New Roman"/>
    </w:rPr>
  </w:style>
  <w:style w:type="paragraph" w:styleId="FootnoteText">
    <w:name w:val="footnote text"/>
    <w:basedOn w:val="Normal"/>
    <w:link w:val="FootnoteTextChar"/>
    <w:rsid w:val="00A71515"/>
    <w:rPr>
      <w:sz w:val="20"/>
      <w:szCs w:val="20"/>
    </w:rPr>
  </w:style>
  <w:style w:type="character" w:customStyle="1" w:styleId="FootnoteTextChar">
    <w:name w:val="Footnote Text Char"/>
    <w:basedOn w:val="DefaultParagraphFont"/>
    <w:link w:val="FootnoteText"/>
    <w:rsid w:val="00A71515"/>
    <w:rPr>
      <w:rFonts w:ascii="Times New Roman" w:eastAsia="Times New Roman" w:hAnsi="Times New Roman" w:cs="Times New Roman"/>
      <w:sz w:val="20"/>
      <w:szCs w:val="20"/>
    </w:rPr>
  </w:style>
  <w:style w:type="character" w:styleId="FootnoteReference">
    <w:name w:val="footnote reference"/>
    <w:basedOn w:val="DefaultParagraphFont"/>
    <w:uiPriority w:val="99"/>
    <w:rsid w:val="00A71515"/>
    <w:rPr>
      <w:rFonts w:cs="Times New Roman"/>
      <w:vertAlign w:val="superscript"/>
    </w:rPr>
  </w:style>
  <w:style w:type="paragraph" w:styleId="BodyTextIndent">
    <w:name w:val="Body Text Indent"/>
    <w:basedOn w:val="Normal"/>
    <w:link w:val="BodyTextIndentChar"/>
    <w:uiPriority w:val="99"/>
    <w:rsid w:val="00A71515"/>
    <w:pPr>
      <w:ind w:left="741" w:hanging="342"/>
    </w:pPr>
    <w:rPr>
      <w:lang w:val="en-US"/>
    </w:rPr>
  </w:style>
  <w:style w:type="character" w:customStyle="1" w:styleId="BodyTextIndentChar">
    <w:name w:val="Body Text Indent Char"/>
    <w:basedOn w:val="DefaultParagraphFont"/>
    <w:link w:val="BodyTextIndent"/>
    <w:uiPriority w:val="99"/>
    <w:rsid w:val="00A71515"/>
    <w:rPr>
      <w:rFonts w:ascii="Times New Roman" w:eastAsia="Times New Roman" w:hAnsi="Times New Roman" w:cs="Times New Roman"/>
      <w:lang w:val="en-US"/>
    </w:rPr>
  </w:style>
  <w:style w:type="paragraph" w:styleId="BodyTextIndent2">
    <w:name w:val="Body Text Indent 2"/>
    <w:basedOn w:val="Normal"/>
    <w:link w:val="BodyTextIndent2Char"/>
    <w:uiPriority w:val="99"/>
    <w:rsid w:val="00A71515"/>
    <w:pPr>
      <w:ind w:left="912" w:hanging="513"/>
    </w:pPr>
    <w:rPr>
      <w:lang w:val="en-US"/>
    </w:rPr>
  </w:style>
  <w:style w:type="character" w:customStyle="1" w:styleId="BodyTextIndent2Char">
    <w:name w:val="Body Text Indent 2 Char"/>
    <w:basedOn w:val="DefaultParagraphFont"/>
    <w:link w:val="BodyTextIndent2"/>
    <w:uiPriority w:val="99"/>
    <w:rsid w:val="00A71515"/>
    <w:rPr>
      <w:rFonts w:ascii="Times New Roman" w:eastAsia="Times New Roman" w:hAnsi="Times New Roman" w:cs="Times New Roman"/>
      <w:lang w:val="en-US"/>
    </w:rPr>
  </w:style>
  <w:style w:type="paragraph" w:styleId="BodyTextIndent3">
    <w:name w:val="Body Text Indent 3"/>
    <w:basedOn w:val="Normal"/>
    <w:link w:val="BodyTextIndent3Char"/>
    <w:uiPriority w:val="99"/>
    <w:rsid w:val="00A71515"/>
    <w:pPr>
      <w:ind w:left="399"/>
    </w:pPr>
    <w:rPr>
      <w:lang w:val="en-US"/>
    </w:rPr>
  </w:style>
  <w:style w:type="character" w:customStyle="1" w:styleId="BodyTextIndent3Char">
    <w:name w:val="Body Text Indent 3 Char"/>
    <w:basedOn w:val="DefaultParagraphFont"/>
    <w:link w:val="BodyTextIndent3"/>
    <w:uiPriority w:val="99"/>
    <w:rsid w:val="00A71515"/>
    <w:rPr>
      <w:rFonts w:ascii="Times New Roman" w:eastAsia="Times New Roman" w:hAnsi="Times New Roman" w:cs="Times New Roman"/>
      <w:lang w:val="en-US"/>
    </w:rPr>
  </w:style>
  <w:style w:type="paragraph" w:styleId="Title">
    <w:name w:val="Title"/>
    <w:basedOn w:val="Normal"/>
    <w:link w:val="TitleChar"/>
    <w:uiPriority w:val="10"/>
    <w:qFormat/>
    <w:rsid w:val="00A71515"/>
    <w:pPr>
      <w:jc w:val="center"/>
    </w:pPr>
    <w:rPr>
      <w:b/>
    </w:rPr>
  </w:style>
  <w:style w:type="character" w:customStyle="1" w:styleId="TitleChar">
    <w:name w:val="Title Char"/>
    <w:basedOn w:val="DefaultParagraphFont"/>
    <w:link w:val="Title"/>
    <w:uiPriority w:val="10"/>
    <w:rsid w:val="00A71515"/>
    <w:rPr>
      <w:rFonts w:ascii="Times New Roman" w:eastAsia="Times New Roman" w:hAnsi="Times New Roman" w:cs="Times New Roman"/>
      <w:b/>
    </w:rPr>
  </w:style>
  <w:style w:type="paragraph" w:styleId="TOC1">
    <w:name w:val="toc 1"/>
    <w:basedOn w:val="Normal"/>
    <w:next w:val="Normal"/>
    <w:autoRedefine/>
    <w:uiPriority w:val="39"/>
    <w:rsid w:val="009840B9"/>
    <w:pPr>
      <w:tabs>
        <w:tab w:val="left" w:pos="567"/>
        <w:tab w:val="right" w:leader="dot" w:pos="8494"/>
      </w:tabs>
      <w:spacing w:before="120" w:after="120"/>
    </w:pPr>
    <w:rPr>
      <w:rFonts w:asciiTheme="minorHAnsi" w:hAnsiTheme="minorHAnsi"/>
      <w:b/>
      <w:bCs/>
      <w:caps/>
      <w:sz w:val="20"/>
      <w:szCs w:val="20"/>
    </w:rPr>
  </w:style>
  <w:style w:type="character" w:styleId="Strong">
    <w:name w:val="Strong"/>
    <w:basedOn w:val="DefaultParagraphFont"/>
    <w:uiPriority w:val="22"/>
    <w:qFormat/>
    <w:rsid w:val="00A71515"/>
    <w:rPr>
      <w:rFonts w:cs="Times New Roman"/>
      <w:b/>
      <w:bCs/>
    </w:rPr>
  </w:style>
  <w:style w:type="paragraph" w:customStyle="1" w:styleId="Summary">
    <w:name w:val="Summary"/>
    <w:basedOn w:val="Normal"/>
    <w:next w:val="Normal"/>
    <w:uiPriority w:val="99"/>
    <w:rsid w:val="00A71515"/>
    <w:pPr>
      <w:widowControl w:val="0"/>
      <w:overflowPunct w:val="0"/>
      <w:autoSpaceDE w:val="0"/>
      <w:autoSpaceDN w:val="0"/>
      <w:adjustRightInd w:val="0"/>
      <w:spacing w:line="260" w:lineRule="exact"/>
      <w:ind w:left="851"/>
      <w:jc w:val="both"/>
      <w:textAlignment w:val="baseline"/>
    </w:pPr>
    <w:rPr>
      <w:rFonts w:ascii="Arial" w:hAnsi="Arial"/>
      <w:color w:val="000080"/>
      <w:sz w:val="20"/>
      <w:szCs w:val="20"/>
      <w:lang w:val="en-GB" w:eastAsia="ko-KR"/>
    </w:rPr>
  </w:style>
  <w:style w:type="character" w:customStyle="1" w:styleId="Summaryheading">
    <w:name w:val="Summary heading"/>
    <w:basedOn w:val="DefaultParagraphFont"/>
    <w:uiPriority w:val="99"/>
    <w:rsid w:val="00A71515"/>
    <w:rPr>
      <w:rFonts w:cs="Times New Roman"/>
      <w:b/>
      <w:color w:val="FF00FF"/>
      <w:sz w:val="20"/>
    </w:rPr>
  </w:style>
  <w:style w:type="paragraph" w:styleId="Caption">
    <w:name w:val="caption"/>
    <w:basedOn w:val="Normal"/>
    <w:next w:val="Normal"/>
    <w:uiPriority w:val="99"/>
    <w:qFormat/>
    <w:rsid w:val="00A71515"/>
    <w:rPr>
      <w:b/>
      <w:bCs/>
      <w:sz w:val="20"/>
      <w:szCs w:val="20"/>
    </w:rPr>
  </w:style>
  <w:style w:type="character" w:customStyle="1" w:styleId="CoverpageChar">
    <w:name w:val="Cover page Char"/>
    <w:basedOn w:val="DefaultParagraphFont"/>
    <w:link w:val="Coverpage"/>
    <w:rsid w:val="0016493D"/>
    <w:rPr>
      <w:rFonts w:cs="Arial"/>
      <w:color w:val="2F5496" w:themeColor="accent1" w:themeShade="BF"/>
      <w:shd w:val="clear" w:color="auto" w:fill="FFFFFF" w:themeFill="background1"/>
    </w:rPr>
  </w:style>
  <w:style w:type="character" w:customStyle="1" w:styleId="EmailStyle591">
    <w:name w:val="EmailStyle591"/>
    <w:basedOn w:val="DefaultParagraphFont"/>
    <w:uiPriority w:val="99"/>
    <w:semiHidden/>
    <w:rsid w:val="00A71515"/>
    <w:rPr>
      <w:rFonts w:ascii="Arial" w:hAnsi="Arial" w:cs="Arial"/>
      <w:color w:val="auto"/>
      <w:sz w:val="20"/>
      <w:szCs w:val="20"/>
    </w:rPr>
  </w:style>
  <w:style w:type="paragraph" w:customStyle="1" w:styleId="TableText">
    <w:name w:val="TableText"/>
    <w:basedOn w:val="Normal"/>
    <w:link w:val="TableTextChar"/>
    <w:qFormat/>
    <w:rsid w:val="00A71515"/>
    <w:pPr>
      <w:spacing w:before="80" w:after="80"/>
    </w:pPr>
    <w:rPr>
      <w:rFonts w:ascii="Arial" w:hAnsi="Arial"/>
      <w:sz w:val="18"/>
      <w:lang w:val="en-NZ"/>
    </w:rPr>
  </w:style>
  <w:style w:type="character" w:customStyle="1" w:styleId="TableTextChar">
    <w:name w:val="TableText Char"/>
    <w:link w:val="TableText"/>
    <w:rsid w:val="006F2204"/>
    <w:rPr>
      <w:rFonts w:ascii="Arial" w:eastAsia="Times New Roman" w:hAnsi="Arial" w:cs="Times New Roman"/>
      <w:sz w:val="18"/>
      <w:lang w:val="en-NZ"/>
    </w:rPr>
  </w:style>
  <w:style w:type="character" w:customStyle="1" w:styleId="txtboldonly1">
    <w:name w:val="txtboldonly1"/>
    <w:basedOn w:val="DefaultParagraphFont"/>
    <w:uiPriority w:val="99"/>
    <w:rsid w:val="00A71515"/>
    <w:rPr>
      <w:rFonts w:cs="Times New Roman"/>
      <w:b/>
      <w:bCs/>
    </w:rPr>
  </w:style>
  <w:style w:type="paragraph" w:styleId="EnvelopeReturn">
    <w:name w:val="envelope return"/>
    <w:basedOn w:val="Normal"/>
    <w:uiPriority w:val="99"/>
    <w:rsid w:val="00A71515"/>
  </w:style>
  <w:style w:type="paragraph" w:styleId="TOC2">
    <w:name w:val="toc 2"/>
    <w:basedOn w:val="Normal"/>
    <w:next w:val="Normal"/>
    <w:autoRedefine/>
    <w:uiPriority w:val="39"/>
    <w:rsid w:val="00A71515"/>
    <w:pPr>
      <w:tabs>
        <w:tab w:val="left" w:pos="720"/>
        <w:tab w:val="right" w:leader="dot" w:pos="8494"/>
      </w:tabs>
      <w:ind w:left="567" w:hanging="327"/>
    </w:pPr>
    <w:rPr>
      <w:rFonts w:asciiTheme="minorHAnsi" w:hAnsiTheme="minorHAnsi"/>
      <w:smallCaps/>
      <w:sz w:val="20"/>
      <w:szCs w:val="20"/>
    </w:rPr>
  </w:style>
  <w:style w:type="paragraph" w:styleId="TOC3">
    <w:name w:val="toc 3"/>
    <w:basedOn w:val="Normal"/>
    <w:next w:val="Normal"/>
    <w:autoRedefine/>
    <w:uiPriority w:val="39"/>
    <w:rsid w:val="00A71515"/>
    <w:pPr>
      <w:ind w:left="480"/>
    </w:pPr>
    <w:rPr>
      <w:rFonts w:asciiTheme="minorHAnsi" w:hAnsiTheme="minorHAnsi"/>
      <w:i/>
      <w:iCs/>
      <w:sz w:val="20"/>
      <w:szCs w:val="20"/>
    </w:rPr>
  </w:style>
  <w:style w:type="paragraph" w:styleId="TOC4">
    <w:name w:val="toc 4"/>
    <w:basedOn w:val="Normal"/>
    <w:next w:val="Normal"/>
    <w:autoRedefine/>
    <w:uiPriority w:val="39"/>
    <w:rsid w:val="00A71515"/>
    <w:pPr>
      <w:ind w:left="720"/>
    </w:pPr>
    <w:rPr>
      <w:rFonts w:asciiTheme="minorHAnsi" w:hAnsiTheme="minorHAnsi"/>
      <w:sz w:val="18"/>
      <w:szCs w:val="18"/>
    </w:rPr>
  </w:style>
  <w:style w:type="paragraph" w:styleId="TOC5">
    <w:name w:val="toc 5"/>
    <w:basedOn w:val="Normal"/>
    <w:next w:val="Normal"/>
    <w:autoRedefine/>
    <w:uiPriority w:val="39"/>
    <w:rsid w:val="00A71515"/>
    <w:pPr>
      <w:ind w:left="960"/>
    </w:pPr>
    <w:rPr>
      <w:rFonts w:asciiTheme="minorHAnsi" w:hAnsiTheme="minorHAnsi"/>
      <w:sz w:val="18"/>
      <w:szCs w:val="18"/>
    </w:rPr>
  </w:style>
  <w:style w:type="paragraph" w:styleId="TOC6">
    <w:name w:val="toc 6"/>
    <w:basedOn w:val="Normal"/>
    <w:next w:val="Normal"/>
    <w:autoRedefine/>
    <w:uiPriority w:val="39"/>
    <w:rsid w:val="00A71515"/>
    <w:pPr>
      <w:ind w:left="1200"/>
    </w:pPr>
    <w:rPr>
      <w:rFonts w:asciiTheme="minorHAnsi" w:hAnsiTheme="minorHAnsi"/>
      <w:sz w:val="18"/>
      <w:szCs w:val="18"/>
    </w:rPr>
  </w:style>
  <w:style w:type="paragraph" w:styleId="TOC7">
    <w:name w:val="toc 7"/>
    <w:basedOn w:val="Normal"/>
    <w:next w:val="Normal"/>
    <w:autoRedefine/>
    <w:uiPriority w:val="39"/>
    <w:rsid w:val="00A71515"/>
    <w:pPr>
      <w:ind w:left="1440"/>
    </w:pPr>
    <w:rPr>
      <w:rFonts w:asciiTheme="minorHAnsi" w:hAnsiTheme="minorHAnsi"/>
      <w:sz w:val="18"/>
      <w:szCs w:val="18"/>
    </w:rPr>
  </w:style>
  <w:style w:type="paragraph" w:styleId="TOC8">
    <w:name w:val="toc 8"/>
    <w:basedOn w:val="Normal"/>
    <w:next w:val="Normal"/>
    <w:autoRedefine/>
    <w:uiPriority w:val="39"/>
    <w:rsid w:val="00A71515"/>
    <w:pPr>
      <w:ind w:left="1680"/>
    </w:pPr>
    <w:rPr>
      <w:rFonts w:asciiTheme="minorHAnsi" w:hAnsiTheme="minorHAnsi"/>
      <w:sz w:val="18"/>
      <w:szCs w:val="18"/>
    </w:rPr>
  </w:style>
  <w:style w:type="paragraph" w:styleId="TOC9">
    <w:name w:val="toc 9"/>
    <w:basedOn w:val="Normal"/>
    <w:next w:val="Normal"/>
    <w:autoRedefine/>
    <w:uiPriority w:val="39"/>
    <w:rsid w:val="00A71515"/>
    <w:pPr>
      <w:ind w:left="1920"/>
    </w:pPr>
    <w:rPr>
      <w:rFonts w:asciiTheme="minorHAnsi" w:hAnsiTheme="minorHAnsi"/>
      <w:sz w:val="18"/>
      <w:szCs w:val="18"/>
    </w:rPr>
  </w:style>
  <w:style w:type="paragraph" w:customStyle="1" w:styleId="Sub-parax">
    <w:name w:val="Sub-para (x)"/>
    <w:uiPriority w:val="99"/>
    <w:rsid w:val="00A71515"/>
    <w:pPr>
      <w:numPr>
        <w:numId w:val="1"/>
      </w:numPr>
    </w:pPr>
    <w:rPr>
      <w:rFonts w:ascii="Arial" w:eastAsia="Times New Roman" w:hAnsi="Arial" w:cs="Arial"/>
      <w:color w:val="000000"/>
      <w:sz w:val="22"/>
      <w:lang w:eastAsia="en-US"/>
    </w:rPr>
  </w:style>
  <w:style w:type="paragraph" w:customStyle="1" w:styleId="StyleSub-paraxArial">
    <w:name w:val="Style Sub-para (x) + Arial"/>
    <w:basedOn w:val="Sub-parax"/>
    <w:uiPriority w:val="99"/>
    <w:rsid w:val="00A71515"/>
  </w:style>
  <w:style w:type="character" w:customStyle="1" w:styleId="StyleSub-paraxArialChar">
    <w:name w:val="Style Sub-para (x) + Arial Char"/>
    <w:basedOn w:val="DefaultParagraphFont"/>
    <w:uiPriority w:val="99"/>
    <w:rsid w:val="00A71515"/>
    <w:rPr>
      <w:rFonts w:ascii="Arial" w:hAnsi="Arial" w:cs="Arial"/>
      <w:color w:val="000000"/>
      <w:sz w:val="22"/>
      <w:szCs w:val="22"/>
      <w:lang w:val="en-AU"/>
    </w:rPr>
  </w:style>
  <w:style w:type="paragraph" w:customStyle="1" w:styleId="CharCharChar">
    <w:name w:val="Char Char Char"/>
    <w:basedOn w:val="Normal"/>
    <w:uiPriority w:val="99"/>
    <w:rsid w:val="00A71515"/>
    <w:rPr>
      <w:rFonts w:ascii="Arial" w:hAnsi="Arial" w:cs="Arial"/>
      <w:sz w:val="22"/>
    </w:rPr>
  </w:style>
  <w:style w:type="paragraph" w:customStyle="1" w:styleId="Default">
    <w:name w:val="Default"/>
    <w:rsid w:val="00A71515"/>
    <w:pPr>
      <w:widowControl w:val="0"/>
      <w:autoSpaceDE w:val="0"/>
      <w:autoSpaceDN w:val="0"/>
      <w:adjustRightInd w:val="0"/>
    </w:pPr>
    <w:rPr>
      <w:rFonts w:ascii="Times New Roman" w:eastAsia="Times New Roman" w:hAnsi="Times New Roman" w:cs="Times New Roman"/>
      <w:color w:val="000000"/>
      <w:lang w:val="en-US" w:eastAsia="en-US"/>
    </w:rPr>
  </w:style>
  <w:style w:type="paragraph" w:customStyle="1" w:styleId="Noindent">
    <w:name w:val="No. indent"/>
    <w:basedOn w:val="Normal"/>
    <w:uiPriority w:val="99"/>
    <w:rsid w:val="00A71515"/>
    <w:pPr>
      <w:overflowPunct w:val="0"/>
      <w:autoSpaceDE w:val="0"/>
      <w:autoSpaceDN w:val="0"/>
      <w:adjustRightInd w:val="0"/>
      <w:ind w:left="720" w:hanging="720"/>
      <w:textAlignment w:val="baseline"/>
    </w:pPr>
    <w:rPr>
      <w:rFonts w:ascii="Palatino" w:hAnsi="Palatino"/>
      <w:b/>
      <w:sz w:val="20"/>
      <w:szCs w:val="20"/>
      <w:lang w:val="en-US" w:eastAsia="en-AU"/>
    </w:rPr>
  </w:style>
  <w:style w:type="character" w:styleId="CommentReference">
    <w:name w:val="annotation reference"/>
    <w:basedOn w:val="DefaultParagraphFont"/>
    <w:uiPriority w:val="99"/>
    <w:rsid w:val="00A71515"/>
    <w:rPr>
      <w:rFonts w:cs="Times New Roman"/>
      <w:sz w:val="16"/>
      <w:szCs w:val="16"/>
    </w:rPr>
  </w:style>
  <w:style w:type="paragraph" w:styleId="CommentText">
    <w:name w:val="annotation text"/>
    <w:basedOn w:val="Normal"/>
    <w:link w:val="CommentTextChar"/>
    <w:uiPriority w:val="99"/>
    <w:rsid w:val="00A71515"/>
    <w:rPr>
      <w:sz w:val="20"/>
      <w:szCs w:val="20"/>
    </w:rPr>
  </w:style>
  <w:style w:type="character" w:customStyle="1" w:styleId="CommentTextChar">
    <w:name w:val="Comment Text Char"/>
    <w:basedOn w:val="DefaultParagraphFont"/>
    <w:link w:val="CommentText"/>
    <w:uiPriority w:val="99"/>
    <w:rsid w:val="00A71515"/>
    <w:rPr>
      <w:rFonts w:ascii="Times New Roman" w:eastAsia="Times New Roman" w:hAnsi="Times New Roman" w:cs="Times New Roman"/>
      <w:sz w:val="20"/>
      <w:szCs w:val="20"/>
    </w:rPr>
  </w:style>
  <w:style w:type="paragraph" w:customStyle="1" w:styleId="Text">
    <w:name w:val="Text"/>
    <w:basedOn w:val="Normal"/>
    <w:uiPriority w:val="99"/>
    <w:rsid w:val="00A71515"/>
    <w:pPr>
      <w:spacing w:after="120"/>
    </w:pPr>
    <w:rPr>
      <w:rFonts w:ascii="Arial" w:hAnsi="Arial" w:cs="Arial"/>
      <w:sz w:val="22"/>
      <w:lang w:val="en-US"/>
    </w:rPr>
  </w:style>
  <w:style w:type="paragraph" w:styleId="CommentSubject">
    <w:name w:val="annotation subject"/>
    <w:basedOn w:val="CommentText"/>
    <w:next w:val="CommentText"/>
    <w:link w:val="CommentSubjectChar"/>
    <w:uiPriority w:val="99"/>
    <w:semiHidden/>
    <w:rsid w:val="00A71515"/>
    <w:rPr>
      <w:b/>
      <w:bCs/>
    </w:rPr>
  </w:style>
  <w:style w:type="character" w:customStyle="1" w:styleId="CommentSubjectChar">
    <w:name w:val="Comment Subject Char"/>
    <w:basedOn w:val="CommentTextChar"/>
    <w:link w:val="CommentSubject"/>
    <w:uiPriority w:val="99"/>
    <w:semiHidden/>
    <w:rsid w:val="00A71515"/>
    <w:rPr>
      <w:rFonts w:ascii="Times New Roman" w:eastAsia="Times New Roman" w:hAnsi="Times New Roman" w:cs="Times New Roman"/>
      <w:b/>
      <w:bCs/>
      <w:sz w:val="20"/>
      <w:szCs w:val="20"/>
    </w:rPr>
  </w:style>
  <w:style w:type="paragraph" w:styleId="ListParagraph">
    <w:name w:val="List Paragraph"/>
    <w:aliases w:val="List Paragraph1,List Paragraph11,Recommendation,First level bullet point,Bullet point,Bullets,CV text,Dot pt,F5 List Paragraph,FooterText,L,List Paragraph111,List Paragraph2,Medium Grid 1 - Accent 21,NAST Quote,NFP GP Bulleted List,列,Ha"/>
    <w:basedOn w:val="Normal"/>
    <w:link w:val="ListParagraphChar"/>
    <w:uiPriority w:val="34"/>
    <w:qFormat/>
    <w:rsid w:val="00A71515"/>
    <w:pPr>
      <w:ind w:left="720"/>
      <w:contextualSpacing/>
    </w:pPr>
  </w:style>
  <w:style w:type="character" w:customStyle="1" w:styleId="ListParagraphChar">
    <w:name w:val="List Paragraph Char"/>
    <w:aliases w:val="List Paragraph1 Char,List Paragraph11 Char,Recommendation Char,First level bullet point Char,Bullet point Char,Bullets Char,CV text Char,Dot pt Char,F5 List Paragraph Char,FooterText Char,L Char,List Paragraph111 Char,NAST Quote Char"/>
    <w:link w:val="ListParagraph"/>
    <w:uiPriority w:val="34"/>
    <w:qFormat/>
    <w:locked/>
    <w:rsid w:val="00A71515"/>
    <w:rPr>
      <w:rFonts w:ascii="Times New Roman" w:eastAsia="Times New Roman" w:hAnsi="Times New Roman" w:cs="Times New Roman"/>
    </w:rPr>
  </w:style>
  <w:style w:type="paragraph" w:customStyle="1" w:styleId="Body1">
    <w:name w:val="Body 1"/>
    <w:basedOn w:val="Normal"/>
    <w:uiPriority w:val="99"/>
    <w:rsid w:val="00A71515"/>
    <w:pPr>
      <w:overflowPunct w:val="0"/>
      <w:autoSpaceDE w:val="0"/>
      <w:autoSpaceDN w:val="0"/>
      <w:adjustRightInd w:val="0"/>
      <w:spacing w:after="120"/>
      <w:ind w:left="1134"/>
      <w:textAlignment w:val="baseline"/>
    </w:pPr>
    <w:rPr>
      <w:szCs w:val="20"/>
    </w:rPr>
  </w:style>
  <w:style w:type="paragraph" w:styleId="TOCHeading">
    <w:name w:val="TOC Heading"/>
    <w:basedOn w:val="Heading1"/>
    <w:next w:val="Normal"/>
    <w:uiPriority w:val="39"/>
    <w:unhideWhenUsed/>
    <w:qFormat/>
    <w:rsid w:val="00A71515"/>
    <w:pPr>
      <w:keepLines/>
      <w:spacing w:before="480" w:line="276" w:lineRule="auto"/>
      <w:outlineLvl w:val="9"/>
    </w:pPr>
    <w:rPr>
      <w:rFonts w:asciiTheme="majorHAnsi" w:eastAsiaTheme="majorEastAsia" w:hAnsiTheme="majorHAnsi" w:cstheme="majorBidi"/>
      <w:sz w:val="28"/>
      <w:szCs w:val="28"/>
      <w:lang w:val="en-US"/>
    </w:rPr>
  </w:style>
  <w:style w:type="character" w:customStyle="1" w:styleId="pi-ph-fax-email1">
    <w:name w:val="pi-ph-fax-email1"/>
    <w:basedOn w:val="DefaultParagraphFont"/>
    <w:rsid w:val="00A71515"/>
    <w:rPr>
      <w:sz w:val="15"/>
      <w:szCs w:val="15"/>
    </w:rPr>
  </w:style>
  <w:style w:type="paragraph" w:styleId="Revision">
    <w:name w:val="Revision"/>
    <w:hidden/>
    <w:uiPriority w:val="99"/>
    <w:semiHidden/>
    <w:rsid w:val="00A71515"/>
    <w:rPr>
      <w:rFonts w:ascii="Times New Roman" w:eastAsia="Times New Roman" w:hAnsi="Times New Roman" w:cs="Times New Roman"/>
      <w:lang w:eastAsia="en-US"/>
    </w:rPr>
  </w:style>
  <w:style w:type="paragraph" w:customStyle="1" w:styleId="EndNoteBibliographyTitle">
    <w:name w:val="EndNote Bibliography Title"/>
    <w:basedOn w:val="Normal"/>
    <w:link w:val="EndNoteBibliographyTitleChar"/>
    <w:rsid w:val="00A71515"/>
    <w:pPr>
      <w:jc w:val="center"/>
    </w:pPr>
    <w:rPr>
      <w:rFonts w:ascii="Times New Roman" w:hAnsi="Times New Roman" w:cs="Times New Roman"/>
      <w:noProof/>
      <w:sz w:val="24"/>
      <w:lang w:val="en-US"/>
    </w:rPr>
  </w:style>
  <w:style w:type="character" w:customStyle="1" w:styleId="EndNoteBibliographyTitleChar">
    <w:name w:val="EndNote Bibliography Title Char"/>
    <w:basedOn w:val="DefaultParagraphFont"/>
    <w:link w:val="EndNoteBibliographyTitle"/>
    <w:rsid w:val="00A71515"/>
    <w:rPr>
      <w:rFonts w:ascii="Times New Roman" w:hAnsi="Times New Roman" w:cs="Times New Roman"/>
      <w:noProof/>
      <w:sz w:val="24"/>
      <w:lang w:val="en-US"/>
    </w:rPr>
  </w:style>
  <w:style w:type="paragraph" w:customStyle="1" w:styleId="EndNoteBibliography">
    <w:name w:val="EndNote Bibliography"/>
    <w:basedOn w:val="Normal"/>
    <w:link w:val="EndNoteBibliographyChar"/>
    <w:rsid w:val="00A71515"/>
    <w:rPr>
      <w:rFonts w:ascii="Times New Roman" w:hAnsi="Times New Roman" w:cs="Times New Roman"/>
      <w:noProof/>
      <w:sz w:val="24"/>
      <w:lang w:val="en-US"/>
    </w:rPr>
  </w:style>
  <w:style w:type="character" w:customStyle="1" w:styleId="EndNoteBibliographyChar">
    <w:name w:val="EndNote Bibliography Char"/>
    <w:basedOn w:val="DefaultParagraphFont"/>
    <w:link w:val="EndNoteBibliography"/>
    <w:rsid w:val="00A71515"/>
    <w:rPr>
      <w:rFonts w:ascii="Times New Roman" w:hAnsi="Times New Roman" w:cs="Times New Roman"/>
      <w:noProof/>
      <w:sz w:val="24"/>
      <w:lang w:val="en-US"/>
    </w:rPr>
  </w:style>
  <w:style w:type="paragraph" w:customStyle="1" w:styleId="p2">
    <w:name w:val="p2"/>
    <w:basedOn w:val="Normal"/>
    <w:rsid w:val="00A71515"/>
    <w:rPr>
      <w:rFonts w:ascii="Arial" w:hAnsi="Arial" w:cs="Arial"/>
      <w:lang w:val="en-GB"/>
    </w:rPr>
  </w:style>
  <w:style w:type="character" w:styleId="Emphasis">
    <w:name w:val="Emphasis"/>
    <w:basedOn w:val="DefaultParagraphFont"/>
    <w:uiPriority w:val="20"/>
    <w:qFormat/>
    <w:rsid w:val="00A71515"/>
    <w:rPr>
      <w:i/>
      <w:iCs/>
    </w:rPr>
  </w:style>
  <w:style w:type="paragraph" w:customStyle="1" w:styleId="xmsonormal">
    <w:name w:val="x_msonormal"/>
    <w:basedOn w:val="Normal"/>
    <w:rsid w:val="00A71515"/>
    <w:rPr>
      <w:rFonts w:eastAsiaTheme="minorHAnsi"/>
      <w:lang w:eastAsia="en-AU"/>
    </w:rPr>
  </w:style>
  <w:style w:type="paragraph" w:customStyle="1" w:styleId="xmsolistparagraph">
    <w:name w:val="x_msolistparagraph"/>
    <w:basedOn w:val="Normal"/>
    <w:rsid w:val="00A71515"/>
    <w:pPr>
      <w:ind w:left="720"/>
    </w:pPr>
    <w:rPr>
      <w:rFonts w:eastAsiaTheme="minorHAnsi"/>
      <w:lang w:eastAsia="en-AU"/>
    </w:rPr>
  </w:style>
  <w:style w:type="table" w:customStyle="1" w:styleId="TableGrid1">
    <w:name w:val="Table Grid1"/>
    <w:basedOn w:val="TableNormal"/>
    <w:next w:val="TableGrid"/>
    <w:uiPriority w:val="59"/>
    <w:rsid w:val="00A71515"/>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xmsonormal">
    <w:name w:val="x_x_msonormal"/>
    <w:basedOn w:val="Normal"/>
    <w:uiPriority w:val="99"/>
    <w:semiHidden/>
    <w:rsid w:val="00A71515"/>
    <w:rPr>
      <w:rFonts w:eastAsiaTheme="minorHAnsi"/>
      <w:sz w:val="22"/>
      <w:lang w:val="en-US"/>
    </w:rPr>
  </w:style>
  <w:style w:type="table" w:customStyle="1" w:styleId="GridTable31">
    <w:name w:val="Grid Table 31"/>
    <w:basedOn w:val="TableNormal"/>
    <w:uiPriority w:val="48"/>
    <w:rsid w:val="00A71515"/>
    <w:rPr>
      <w:rFonts w:eastAsiaTheme="minorHAnsi"/>
      <w:sz w:val="22"/>
      <w:lang w:eastAsia="en-US"/>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paragraph" w:customStyle="1" w:styleId="tableheading">
    <w:name w:val="table heading"/>
    <w:basedOn w:val="Normal"/>
    <w:link w:val="tableheadingChar"/>
    <w:qFormat/>
    <w:rsid w:val="00A71515"/>
    <w:pPr>
      <w:keepLines/>
      <w:spacing w:after="120"/>
      <w:outlineLvl w:val="2"/>
    </w:pPr>
    <w:rPr>
      <w:rFonts w:asciiTheme="minorHAnsi" w:eastAsiaTheme="majorEastAsia" w:hAnsiTheme="minorHAnsi" w:cstheme="majorBidi"/>
      <w:b/>
      <w:color w:val="000000" w:themeColor="text1"/>
      <w:lang w:val="en-US" w:eastAsia="en-US"/>
    </w:rPr>
  </w:style>
  <w:style w:type="character" w:customStyle="1" w:styleId="tableheadingChar">
    <w:name w:val="table heading Char"/>
    <w:basedOn w:val="DefaultParagraphFont"/>
    <w:link w:val="tableheading"/>
    <w:rsid w:val="00A71515"/>
    <w:rPr>
      <w:rFonts w:eastAsiaTheme="majorEastAsia" w:cstheme="majorBidi"/>
      <w:b/>
      <w:color w:val="000000" w:themeColor="text1"/>
      <w:sz w:val="21"/>
      <w:szCs w:val="21"/>
      <w:lang w:val="en-US" w:eastAsia="en-US"/>
    </w:rPr>
  </w:style>
  <w:style w:type="character" w:customStyle="1" w:styleId="UnresolvedMention1">
    <w:name w:val="Unresolved Mention1"/>
    <w:basedOn w:val="DefaultParagraphFont"/>
    <w:uiPriority w:val="99"/>
    <w:semiHidden/>
    <w:unhideWhenUsed/>
    <w:rsid w:val="00A71515"/>
    <w:rPr>
      <w:color w:val="605E5C"/>
      <w:shd w:val="clear" w:color="auto" w:fill="E1DFDD"/>
    </w:rPr>
  </w:style>
  <w:style w:type="paragraph" w:customStyle="1" w:styleId="paragraph">
    <w:name w:val="paragraph"/>
    <w:basedOn w:val="Normal"/>
    <w:rsid w:val="00A71515"/>
    <w:pPr>
      <w:spacing w:before="100" w:beforeAutospacing="1" w:after="100" w:afterAutospacing="1"/>
    </w:pPr>
  </w:style>
  <w:style w:type="character" w:customStyle="1" w:styleId="normaltextrun">
    <w:name w:val="normaltextrun"/>
    <w:basedOn w:val="DefaultParagraphFont"/>
    <w:rsid w:val="00A71515"/>
  </w:style>
  <w:style w:type="character" w:customStyle="1" w:styleId="eop">
    <w:name w:val="eop"/>
    <w:basedOn w:val="DefaultParagraphFont"/>
    <w:rsid w:val="00A71515"/>
  </w:style>
  <w:style w:type="table" w:customStyle="1" w:styleId="GridTable4-Accent11">
    <w:name w:val="Grid Table 4 - Accent 11"/>
    <w:basedOn w:val="TableNormal"/>
    <w:uiPriority w:val="49"/>
    <w:rsid w:val="00A71515"/>
    <w:rPr>
      <w:rFonts w:ascii="Times New Roman" w:eastAsia="Times New Roman" w:hAnsi="Times New Roman" w:cs="Times New Roman"/>
      <w:sz w:val="22"/>
      <w:lang w:eastAsia="en-AU"/>
    </w:rPr>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tcBorders>
          <w:top w:val="single" w:sz="4" w:space="0" w:color="4472C4" w:themeColor="accent1"/>
          <w:left w:val="single" w:sz="4" w:space="0" w:color="4472C4" w:themeColor="accent1"/>
          <w:bottom w:val="single" w:sz="4" w:space="0" w:color="4472C4" w:themeColor="accent1"/>
          <w:right w:val="single" w:sz="4" w:space="0" w:color="4472C4" w:themeColor="accent1"/>
          <w:insideH w:val="nil"/>
          <w:insideV w:val="nil"/>
        </w:tcBorders>
        <w:shd w:val="clear" w:color="auto" w:fill="4472C4" w:themeFill="accent1"/>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character" w:styleId="UnresolvedMention">
    <w:name w:val="Unresolved Mention"/>
    <w:basedOn w:val="DefaultParagraphFont"/>
    <w:uiPriority w:val="99"/>
    <w:semiHidden/>
    <w:unhideWhenUsed/>
    <w:rsid w:val="00A71515"/>
    <w:rPr>
      <w:color w:val="605E5C"/>
      <w:shd w:val="clear" w:color="auto" w:fill="E1DFDD"/>
    </w:rPr>
  </w:style>
  <w:style w:type="paragraph" w:customStyle="1" w:styleId="TableParagraph">
    <w:name w:val="Table Paragraph"/>
    <w:basedOn w:val="Normal"/>
    <w:uiPriority w:val="1"/>
    <w:qFormat/>
    <w:rsid w:val="00A71515"/>
    <w:pPr>
      <w:widowControl w:val="0"/>
      <w:autoSpaceDE w:val="0"/>
      <w:autoSpaceDN w:val="0"/>
    </w:pPr>
    <w:rPr>
      <w:rFonts w:eastAsia="Calibri"/>
      <w:sz w:val="22"/>
      <w:lang w:val="en-US" w:eastAsia="en-US"/>
    </w:rPr>
  </w:style>
  <w:style w:type="paragraph" w:customStyle="1" w:styleId="PFNumLevel2">
    <w:name w:val="PF (Num) Level 2"/>
    <w:basedOn w:val="Normal"/>
    <w:rsid w:val="00B37BA8"/>
    <w:pPr>
      <w:numPr>
        <w:ilvl w:val="1"/>
        <w:numId w:val="3"/>
      </w:numPr>
      <w:tabs>
        <w:tab w:val="left" w:pos="2773"/>
        <w:tab w:val="left" w:pos="3697"/>
        <w:tab w:val="left" w:pos="4621"/>
        <w:tab w:val="left" w:pos="5545"/>
        <w:tab w:val="left" w:pos="6469"/>
        <w:tab w:val="left" w:pos="7394"/>
        <w:tab w:val="left" w:pos="8318"/>
        <w:tab w:val="right" w:pos="8930"/>
      </w:tabs>
      <w:spacing w:before="120" w:after="120" w:line="276" w:lineRule="auto"/>
    </w:pPr>
    <w:rPr>
      <w:rFonts w:ascii="Arial" w:hAnsi="Arial"/>
      <w:color w:val="000000"/>
      <w:szCs w:val="20"/>
      <w:lang w:eastAsia="en-US"/>
    </w:rPr>
  </w:style>
  <w:style w:type="paragraph" w:customStyle="1" w:styleId="PFNumLevel3">
    <w:name w:val="PF (Num) Level 3"/>
    <w:basedOn w:val="Normal"/>
    <w:rsid w:val="00B37BA8"/>
    <w:pPr>
      <w:tabs>
        <w:tab w:val="num" w:pos="1848"/>
        <w:tab w:val="left" w:pos="3697"/>
        <w:tab w:val="left" w:pos="4621"/>
        <w:tab w:val="left" w:pos="5545"/>
        <w:tab w:val="left" w:pos="6469"/>
        <w:tab w:val="left" w:pos="7394"/>
        <w:tab w:val="left" w:pos="8318"/>
        <w:tab w:val="right" w:pos="8930"/>
      </w:tabs>
      <w:spacing w:before="120" w:after="120" w:line="276" w:lineRule="auto"/>
      <w:ind w:left="1848" w:hanging="924"/>
    </w:pPr>
    <w:rPr>
      <w:rFonts w:ascii="Arial" w:hAnsi="Arial"/>
      <w:color w:val="000000"/>
      <w:szCs w:val="20"/>
      <w:lang w:eastAsia="en-US"/>
    </w:rPr>
  </w:style>
  <w:style w:type="paragraph" w:customStyle="1" w:styleId="PFNumLevel4">
    <w:name w:val="PF (Num) Level 4"/>
    <w:basedOn w:val="Normal"/>
    <w:rsid w:val="00B37BA8"/>
    <w:pPr>
      <w:tabs>
        <w:tab w:val="num" w:pos="2773"/>
        <w:tab w:val="left" w:pos="4621"/>
        <w:tab w:val="left" w:pos="5545"/>
        <w:tab w:val="left" w:pos="6469"/>
        <w:tab w:val="left" w:pos="7394"/>
        <w:tab w:val="left" w:pos="8318"/>
        <w:tab w:val="right" w:pos="8930"/>
      </w:tabs>
      <w:spacing w:before="120" w:after="120" w:line="276" w:lineRule="auto"/>
      <w:ind w:left="2773" w:hanging="925"/>
    </w:pPr>
    <w:rPr>
      <w:rFonts w:ascii="Arial" w:hAnsi="Arial"/>
      <w:color w:val="000000"/>
      <w:szCs w:val="20"/>
      <w:lang w:eastAsia="en-US"/>
    </w:rPr>
  </w:style>
  <w:style w:type="paragraph" w:customStyle="1" w:styleId="PFNumLevel5">
    <w:name w:val="PF (Num) Level 5"/>
    <w:basedOn w:val="Normal"/>
    <w:rsid w:val="00B37BA8"/>
    <w:pPr>
      <w:tabs>
        <w:tab w:val="num" w:pos="1848"/>
        <w:tab w:val="left" w:pos="2773"/>
        <w:tab w:val="left" w:pos="3697"/>
        <w:tab w:val="left" w:pos="4621"/>
        <w:tab w:val="left" w:pos="5545"/>
        <w:tab w:val="left" w:pos="6469"/>
        <w:tab w:val="left" w:pos="7394"/>
        <w:tab w:val="left" w:pos="8318"/>
        <w:tab w:val="right" w:pos="8930"/>
      </w:tabs>
      <w:spacing w:before="120" w:after="120" w:line="276" w:lineRule="auto"/>
      <w:ind w:left="1848" w:hanging="924"/>
    </w:pPr>
    <w:rPr>
      <w:rFonts w:ascii="Arial" w:hAnsi="Arial"/>
      <w:color w:val="000000"/>
      <w:szCs w:val="20"/>
      <w:lang w:eastAsia="en-US"/>
    </w:rPr>
  </w:style>
  <w:style w:type="paragraph" w:customStyle="1" w:styleId="Heading1A">
    <w:name w:val="Heading 1A"/>
    <w:basedOn w:val="Heading1"/>
    <w:next w:val="Normal"/>
    <w:rsid w:val="00B37BA8"/>
    <w:pPr>
      <w:tabs>
        <w:tab w:val="num" w:pos="924"/>
        <w:tab w:val="left" w:pos="1848"/>
        <w:tab w:val="left" w:pos="2773"/>
        <w:tab w:val="left" w:pos="3697"/>
        <w:tab w:val="left" w:pos="4621"/>
        <w:tab w:val="left" w:pos="5545"/>
        <w:tab w:val="left" w:pos="6469"/>
        <w:tab w:val="left" w:pos="7394"/>
        <w:tab w:val="left" w:pos="8318"/>
        <w:tab w:val="right" w:pos="8930"/>
      </w:tabs>
      <w:spacing w:before="400" w:line="276" w:lineRule="auto"/>
      <w:ind w:left="924" w:hanging="924"/>
    </w:pPr>
    <w:rPr>
      <w:rFonts w:ascii="Arial" w:hAnsi="Arial" w:cs="Times New Roman"/>
      <w:bCs w:val="0"/>
      <w:color w:val="000000"/>
      <w:kern w:val="28"/>
      <w:sz w:val="28"/>
      <w:szCs w:val="28"/>
      <w:lang w:eastAsia="en-US"/>
    </w:rPr>
  </w:style>
  <w:style w:type="paragraph" w:customStyle="1" w:styleId="PFNumLevel6">
    <w:name w:val="PF (Num) Level 6"/>
    <w:basedOn w:val="PFNumLevel4"/>
    <w:rsid w:val="00B37BA8"/>
    <w:pPr>
      <w:numPr>
        <w:ilvl w:val="5"/>
      </w:numPr>
      <w:tabs>
        <w:tab w:val="num" w:pos="2773"/>
      </w:tabs>
      <w:ind w:left="2773" w:hanging="925"/>
    </w:pPr>
  </w:style>
  <w:style w:type="table" w:styleId="ListTable3-Accent1">
    <w:name w:val="List Table 3 Accent 1"/>
    <w:basedOn w:val="TableNormal"/>
    <w:uiPriority w:val="48"/>
    <w:rsid w:val="006E7D97"/>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table" w:styleId="ListTable3-Accent5">
    <w:name w:val="List Table 3 Accent 5"/>
    <w:basedOn w:val="TableNormal"/>
    <w:uiPriority w:val="48"/>
    <w:rsid w:val="006E7D97"/>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
    <w:name w:val="List Table 3"/>
    <w:basedOn w:val="TableNormal"/>
    <w:uiPriority w:val="48"/>
    <w:rsid w:val="00AD20D9"/>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paragraph" w:customStyle="1" w:styleId="Style1">
    <w:name w:val="Style1"/>
    <w:basedOn w:val="ListParagraph"/>
    <w:link w:val="Style1Char"/>
    <w:qFormat/>
    <w:rsid w:val="0086248E"/>
    <w:pPr>
      <w:numPr>
        <w:numId w:val="4"/>
      </w:numPr>
      <w:spacing w:before="60"/>
      <w:contextualSpacing w:val="0"/>
    </w:pPr>
    <w:rPr>
      <w:sz w:val="18"/>
      <w:szCs w:val="18"/>
      <w:lang w:eastAsia="en-US"/>
    </w:rPr>
  </w:style>
  <w:style w:type="character" w:customStyle="1" w:styleId="Style1Char">
    <w:name w:val="Style1 Char"/>
    <w:basedOn w:val="DefaultParagraphFont"/>
    <w:link w:val="Style1"/>
    <w:rsid w:val="0086248E"/>
    <w:rPr>
      <w:sz w:val="18"/>
      <w:szCs w:val="18"/>
      <w:lang w:eastAsia="en-US"/>
    </w:rPr>
  </w:style>
  <w:style w:type="paragraph" w:customStyle="1" w:styleId="Style2">
    <w:name w:val="Style2"/>
    <w:basedOn w:val="Style1"/>
    <w:link w:val="Style2Char"/>
    <w:qFormat/>
    <w:rsid w:val="0086248E"/>
    <w:pPr>
      <w:numPr>
        <w:ilvl w:val="1"/>
        <w:numId w:val="0"/>
      </w:numPr>
    </w:pPr>
  </w:style>
  <w:style w:type="character" w:customStyle="1" w:styleId="Style2Char">
    <w:name w:val="Style2 Char"/>
    <w:basedOn w:val="Style1Char"/>
    <w:link w:val="Style2"/>
    <w:rsid w:val="0086248E"/>
    <w:rPr>
      <w:rFonts w:ascii="Times New Roman" w:eastAsia="Times New Roman" w:hAnsi="Times New Roman" w:cs="Times New Roman"/>
      <w:sz w:val="18"/>
      <w:szCs w:val="18"/>
      <w:lang w:eastAsia="en-US"/>
    </w:rPr>
  </w:style>
  <w:style w:type="paragraph" w:customStyle="1" w:styleId="CVtitle">
    <w:name w:val="CV title"/>
    <w:next w:val="Normal"/>
    <w:uiPriority w:val="8"/>
    <w:qFormat/>
    <w:rsid w:val="00837184"/>
    <w:pPr>
      <w:spacing w:before="60" w:after="120"/>
    </w:pPr>
    <w:rPr>
      <w:rFonts w:ascii="Univers 45 Light" w:eastAsia="Univers 45 Light" w:hAnsi="Univers 45 Light" w:cs="Times New Roman"/>
      <w:b/>
      <w:color w:val="005EB8"/>
      <w:lang w:eastAsia="en-US"/>
    </w:rPr>
  </w:style>
  <w:style w:type="paragraph" w:customStyle="1" w:styleId="xpfnumlevel4">
    <w:name w:val="xpfnumlevel4"/>
    <w:basedOn w:val="Normal"/>
    <w:rsid w:val="00C31C65"/>
    <w:pPr>
      <w:spacing w:before="100" w:beforeAutospacing="1" w:after="100" w:afterAutospacing="1"/>
    </w:pPr>
    <w:rPr>
      <w:rFonts w:eastAsiaTheme="minorHAnsi"/>
      <w:sz w:val="22"/>
      <w:lang w:eastAsia="en-AU"/>
    </w:rPr>
  </w:style>
  <w:style w:type="character" w:customStyle="1" w:styleId="moh-rtestyle-externallink">
    <w:name w:val="moh-rtestyle-externallink"/>
    <w:basedOn w:val="DefaultParagraphFont"/>
    <w:rsid w:val="00D436EB"/>
  </w:style>
  <w:style w:type="table" w:styleId="GridTable1Light-Accent1">
    <w:name w:val="Grid Table 1 Light Accent 1"/>
    <w:basedOn w:val="TableNormal"/>
    <w:uiPriority w:val="46"/>
    <w:rsid w:val="0081701B"/>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paragraph" w:customStyle="1" w:styleId="Tabletext0">
    <w:name w:val="Table text"/>
    <w:basedOn w:val="Normal"/>
    <w:qFormat/>
    <w:rsid w:val="006F2204"/>
    <w:pPr>
      <w:spacing w:before="60" w:after="60"/>
    </w:pPr>
    <w:rPr>
      <w:sz w:val="20"/>
      <w:szCs w:val="20"/>
      <w:lang w:val="en-GB" w:eastAsia="en-US"/>
    </w:rPr>
  </w:style>
  <w:style w:type="paragraph" w:styleId="Quote">
    <w:name w:val="Quote"/>
    <w:basedOn w:val="Normal"/>
    <w:next w:val="Normal"/>
    <w:link w:val="QuoteChar"/>
    <w:uiPriority w:val="29"/>
    <w:qFormat/>
    <w:rsid w:val="006F2204"/>
    <w:pPr>
      <w:suppressAutoHyphens/>
      <w:spacing w:before="120" w:after="120" w:line="360" w:lineRule="auto"/>
      <w:jc w:val="both"/>
    </w:pPr>
    <w:rPr>
      <w:i/>
      <w:iCs/>
      <w:color w:val="000000"/>
      <w:shd w:val="clear" w:color="auto" w:fill="FFFFFF"/>
      <w:lang w:eastAsia="en-AU"/>
    </w:rPr>
  </w:style>
  <w:style w:type="character" w:customStyle="1" w:styleId="QuoteChar">
    <w:name w:val="Quote Char"/>
    <w:basedOn w:val="DefaultParagraphFont"/>
    <w:link w:val="Quote"/>
    <w:uiPriority w:val="29"/>
    <w:rsid w:val="006F2204"/>
    <w:rPr>
      <w:rFonts w:ascii="Times New Roman" w:eastAsia="Times New Roman" w:hAnsi="Times New Roman" w:cs="Times New Roman"/>
      <w:i/>
      <w:iCs/>
      <w:color w:val="000000"/>
      <w:lang w:eastAsia="en-AU"/>
    </w:rPr>
  </w:style>
  <w:style w:type="character" w:customStyle="1" w:styleId="pagebreaktextspan">
    <w:name w:val="pagebreaktextspan"/>
    <w:basedOn w:val="DefaultParagraphFont"/>
    <w:rsid w:val="006F2204"/>
  </w:style>
  <w:style w:type="paragraph" w:styleId="PlainText">
    <w:name w:val="Plain Text"/>
    <w:basedOn w:val="Normal"/>
    <w:link w:val="PlainTextChar"/>
    <w:uiPriority w:val="99"/>
    <w:unhideWhenUsed/>
    <w:rsid w:val="00BA0312"/>
    <w:rPr>
      <w:rFonts w:eastAsiaTheme="minorHAnsi" w:cstheme="minorBidi"/>
      <w:sz w:val="22"/>
      <w:lang w:eastAsia="en-US"/>
    </w:rPr>
  </w:style>
  <w:style w:type="character" w:customStyle="1" w:styleId="PlainTextChar">
    <w:name w:val="Plain Text Char"/>
    <w:basedOn w:val="DefaultParagraphFont"/>
    <w:link w:val="PlainText"/>
    <w:uiPriority w:val="99"/>
    <w:rsid w:val="00BA0312"/>
    <w:rPr>
      <w:rFonts w:ascii="Calibri" w:eastAsiaTheme="minorHAnsi" w:hAnsi="Calibri"/>
      <w:sz w:val="22"/>
      <w:szCs w:val="21"/>
      <w:lang w:eastAsia="en-US"/>
    </w:rPr>
  </w:style>
  <w:style w:type="paragraph" w:customStyle="1" w:styleId="msonormal0">
    <w:name w:val="msonormal"/>
    <w:basedOn w:val="Normal"/>
    <w:rsid w:val="000C7A55"/>
    <w:pPr>
      <w:spacing w:before="100" w:beforeAutospacing="1" w:after="100" w:afterAutospacing="1"/>
    </w:pPr>
    <w:rPr>
      <w:lang w:eastAsia="en-AU"/>
    </w:rPr>
  </w:style>
  <w:style w:type="character" w:customStyle="1" w:styleId="text0">
    <w:name w:val="text"/>
    <w:basedOn w:val="DefaultParagraphFont"/>
    <w:rsid w:val="00950FAE"/>
  </w:style>
  <w:style w:type="paragraph" w:customStyle="1" w:styleId="Pa14">
    <w:name w:val="Pa14"/>
    <w:basedOn w:val="Default"/>
    <w:next w:val="Default"/>
    <w:uiPriority w:val="99"/>
    <w:rsid w:val="00802C1E"/>
    <w:pPr>
      <w:widowControl/>
      <w:spacing w:line="140" w:lineRule="atLeast"/>
    </w:pPr>
    <w:rPr>
      <w:rFonts w:ascii="Shaker 2 Lancet" w:eastAsiaTheme="minorHAnsi" w:hAnsi="Shaker 2 Lancet" w:cstheme="minorBidi"/>
      <w:color w:val="auto"/>
      <w:lang w:val="en-AU"/>
    </w:rPr>
  </w:style>
  <w:style w:type="paragraph" w:styleId="NoSpacing">
    <w:name w:val="No Spacing"/>
    <w:uiPriority w:val="1"/>
    <w:qFormat/>
    <w:rsid w:val="00802C1E"/>
    <w:rPr>
      <w:rFonts w:eastAsiaTheme="minorHAnsi"/>
      <w:sz w:val="22"/>
      <w:lang w:eastAsia="en-US"/>
    </w:rPr>
  </w:style>
  <w:style w:type="paragraph" w:customStyle="1" w:styleId="pf0">
    <w:name w:val="pf0"/>
    <w:basedOn w:val="Normal"/>
    <w:rsid w:val="00802C1E"/>
    <w:pPr>
      <w:spacing w:before="100" w:beforeAutospacing="1" w:after="100" w:afterAutospacing="1"/>
    </w:pPr>
    <w:rPr>
      <w:lang w:val="en-GB" w:eastAsia="en-GB"/>
    </w:rPr>
  </w:style>
  <w:style w:type="paragraph" w:customStyle="1" w:styleId="SABodytext">
    <w:name w:val="SA Body text"/>
    <w:basedOn w:val="Normal"/>
    <w:qFormat/>
    <w:rsid w:val="00802C1E"/>
    <w:pPr>
      <w:spacing w:after="120"/>
    </w:pPr>
    <w:rPr>
      <w:rFonts w:ascii="Arial" w:hAnsi="Arial" w:cs="Arial"/>
      <w:sz w:val="22"/>
      <w:lang w:eastAsia="en-AU"/>
    </w:rPr>
  </w:style>
  <w:style w:type="paragraph" w:customStyle="1" w:styleId="FirstParagraph">
    <w:name w:val="First Paragraph"/>
    <w:basedOn w:val="Normal"/>
    <w:next w:val="Normal"/>
    <w:link w:val="FirstParagraphChar"/>
    <w:qFormat/>
    <w:rsid w:val="0016493D"/>
    <w:pPr>
      <w:spacing w:before="180" w:after="180"/>
    </w:pPr>
    <w:rPr>
      <w:rFonts w:ascii="Arial" w:eastAsiaTheme="minorHAnsi" w:hAnsi="Arial" w:cs="Arial"/>
      <w:sz w:val="48"/>
      <w:lang w:val="en-US" w:eastAsia="en-US"/>
    </w:rPr>
  </w:style>
  <w:style w:type="character" w:customStyle="1" w:styleId="FirstParagraphChar">
    <w:name w:val="First Paragraph Char"/>
    <w:basedOn w:val="DefaultParagraphFont"/>
    <w:link w:val="FirstParagraph"/>
    <w:rsid w:val="0016493D"/>
    <w:rPr>
      <w:rFonts w:ascii="Arial" w:eastAsiaTheme="minorHAnsi" w:hAnsi="Arial" w:cs="Arial"/>
      <w:b w:val="0"/>
      <w:bCs w:val="0"/>
      <w:sz w:val="48"/>
      <w:lang w:val="en-US" w:eastAsia="en-US"/>
    </w:rPr>
  </w:style>
  <w:style w:type="paragraph" w:customStyle="1" w:styleId="CommentText1">
    <w:name w:val="Comment Text1"/>
    <w:basedOn w:val="Normal"/>
    <w:next w:val="CommentText"/>
    <w:uiPriority w:val="99"/>
    <w:unhideWhenUsed/>
    <w:rsid w:val="00C417D2"/>
    <w:pPr>
      <w:spacing w:after="160"/>
    </w:pPr>
    <w:rPr>
      <w:rFonts w:asciiTheme="minorHAnsi" w:eastAsiaTheme="minorHAnsi" w:hAnsiTheme="minorHAnsi" w:cstheme="minorBidi"/>
      <w:sz w:val="20"/>
      <w:szCs w:val="20"/>
      <w:lang w:eastAsia="en-US"/>
    </w:rPr>
  </w:style>
  <w:style w:type="character" w:customStyle="1" w:styleId="CommentTextChar1">
    <w:name w:val="Comment Text Char1"/>
    <w:basedOn w:val="DefaultParagraphFont"/>
    <w:uiPriority w:val="99"/>
    <w:semiHidden/>
    <w:rsid w:val="00C417D2"/>
    <w:rPr>
      <w:sz w:val="20"/>
      <w:szCs w:val="20"/>
    </w:rPr>
  </w:style>
  <w:style w:type="table" w:customStyle="1" w:styleId="StylePHNreport">
    <w:name w:val="Style PHN report"/>
    <w:basedOn w:val="TableNormal"/>
    <w:uiPriority w:val="99"/>
    <w:rsid w:val="000613BF"/>
    <w:rPr>
      <w:rFonts w:ascii="Times New Roman" w:eastAsia="Times New Roman" w:hAnsi="Times New Roman" w:cs="Times New Roman"/>
      <w:sz w:val="22"/>
      <w:lang w:eastAsia="en-AU"/>
    </w:rPr>
    <w:tblPr>
      <w:tblStyleRowBandSize w:val="1"/>
    </w:tblPr>
    <w:tcPr>
      <w:vAlign w:val="center"/>
    </w:tcPr>
    <w:tblStylePr w:type="firstRow">
      <w:rPr>
        <w:b/>
      </w:rPr>
      <w:tblPr/>
      <w:tcPr>
        <w:tcBorders>
          <w:top w:val="single" w:sz="4" w:space="0" w:color="auto"/>
          <w:bottom w:val="single" w:sz="4" w:space="0" w:color="auto"/>
        </w:tcBorders>
      </w:tcPr>
    </w:tblStylePr>
    <w:tblStylePr w:type="lastRow">
      <w:rPr>
        <w:b/>
      </w:rPr>
      <w:tblPr/>
      <w:tcPr>
        <w:tcBorders>
          <w:bottom w:val="single" w:sz="4" w:space="0" w:color="auto"/>
        </w:tcBorders>
      </w:tcPr>
    </w:tblStylePr>
    <w:tblStylePr w:type="band2Horz">
      <w:tblPr/>
      <w:tcPr>
        <w:shd w:val="clear" w:color="auto" w:fill="D9D9D9" w:themeFill="background1" w:themeFillShade="D9"/>
      </w:tcPr>
    </w:tblStylePr>
  </w:style>
  <w:style w:type="character" w:customStyle="1" w:styleId="UnresolvedMention2">
    <w:name w:val="Unresolved Mention2"/>
    <w:basedOn w:val="DefaultParagraphFont"/>
    <w:uiPriority w:val="99"/>
    <w:semiHidden/>
    <w:unhideWhenUsed/>
    <w:rsid w:val="000613BF"/>
    <w:rPr>
      <w:color w:val="605E5C"/>
      <w:shd w:val="clear" w:color="auto" w:fill="E1DFDD"/>
    </w:rPr>
  </w:style>
  <w:style w:type="character" w:styleId="PlaceholderText">
    <w:name w:val="Placeholder Text"/>
    <w:basedOn w:val="DefaultParagraphFont"/>
    <w:uiPriority w:val="99"/>
    <w:semiHidden/>
    <w:rsid w:val="00E23971"/>
    <w:rPr>
      <w:color w:val="808080"/>
    </w:rPr>
  </w:style>
  <w:style w:type="table" w:styleId="TableGridLight">
    <w:name w:val="Grid Table Light"/>
    <w:basedOn w:val="TableNormal"/>
    <w:uiPriority w:val="40"/>
    <w:rsid w:val="00E6330D"/>
    <w:rPr>
      <w:rFonts w:asciiTheme="minorHAnsi" w:eastAsiaTheme="minorHAnsi" w:hAnsiTheme="minorHAnsi" w:cstheme="minorBidi"/>
      <w:sz w:val="22"/>
      <w:lang w:eastAsia="en-US"/>
    </w:rPr>
    <w:tblPr>
      <w:tblInd w:w="0" w:type="nil"/>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BodyText1">
    <w:name w:val="Body Text1"/>
    <w:basedOn w:val="Normal"/>
    <w:link w:val="BodytextChar"/>
    <w:uiPriority w:val="99"/>
    <w:rsid w:val="00DA4339"/>
    <w:pPr>
      <w:spacing w:after="200" w:line="276" w:lineRule="auto"/>
    </w:pPr>
    <w:rPr>
      <w:rFonts w:eastAsia="Times New Roman" w:cs="Arial"/>
      <w:lang w:val="en-US" w:eastAsia="en-US"/>
    </w:rPr>
  </w:style>
  <w:style w:type="character" w:customStyle="1" w:styleId="BodytextChar">
    <w:name w:val="Body text Char"/>
    <w:basedOn w:val="DefaultParagraphFont"/>
    <w:link w:val="BodyText1"/>
    <w:uiPriority w:val="99"/>
    <w:locked/>
    <w:rsid w:val="00DA4339"/>
    <w:rPr>
      <w:rFonts w:eastAsia="Times New Roman" w:cs="Arial"/>
      <w:szCs w:val="21"/>
      <w:lang w:val="en-US" w:eastAsia="en-US"/>
    </w:rPr>
  </w:style>
  <w:style w:type="paragraph" w:customStyle="1" w:styleId="Numberedlist">
    <w:name w:val="Numbered list"/>
    <w:basedOn w:val="Normal"/>
    <w:link w:val="NumberedlistChar"/>
    <w:uiPriority w:val="99"/>
    <w:rsid w:val="007D3B63"/>
    <w:pPr>
      <w:spacing w:after="120" w:line="264" w:lineRule="auto"/>
      <w:ind w:left="1157" w:hanging="360"/>
      <w:jc w:val="both"/>
    </w:pPr>
    <w:rPr>
      <w:rFonts w:eastAsia="Times New Roman" w:cs="Arial"/>
      <w:lang w:val="en-US" w:eastAsia="en-AU"/>
    </w:rPr>
  </w:style>
  <w:style w:type="character" w:customStyle="1" w:styleId="NumberedlistChar">
    <w:name w:val="Numbered list Char"/>
    <w:basedOn w:val="DefaultParagraphFont"/>
    <w:link w:val="Numberedlist"/>
    <w:uiPriority w:val="99"/>
    <w:locked/>
    <w:rsid w:val="007D3B63"/>
    <w:rPr>
      <w:rFonts w:eastAsia="Times New Roman" w:cs="Arial"/>
      <w:szCs w:val="21"/>
      <w:lang w:val="en-US" w:eastAsia="en-AU"/>
    </w:rPr>
  </w:style>
  <w:style w:type="paragraph" w:customStyle="1" w:styleId="Footnote">
    <w:name w:val="Footnote"/>
    <w:basedOn w:val="FootnoteText"/>
    <w:link w:val="FootnoteChar"/>
    <w:uiPriority w:val="99"/>
    <w:rsid w:val="007D3B63"/>
    <w:pPr>
      <w:spacing w:before="120" w:line="276" w:lineRule="auto"/>
    </w:pPr>
    <w:rPr>
      <w:rFonts w:eastAsia="Times New Roman" w:cs="Arial"/>
      <w:szCs w:val="22"/>
      <w:lang w:val="en-GB" w:eastAsia="en-US"/>
    </w:rPr>
  </w:style>
  <w:style w:type="character" w:customStyle="1" w:styleId="FootnoteChar">
    <w:name w:val="Footnote Char"/>
    <w:basedOn w:val="DefaultParagraphFont"/>
    <w:link w:val="Footnote"/>
    <w:uiPriority w:val="99"/>
    <w:locked/>
    <w:rsid w:val="007D3B63"/>
    <w:rPr>
      <w:rFonts w:eastAsia="Times New Roman" w:cs="Arial"/>
      <w:sz w:val="20"/>
      <w:lang w:val="en-GB" w:eastAsia="en-US"/>
    </w:rPr>
  </w:style>
  <w:style w:type="character" w:customStyle="1" w:styleId="EndnoteTextChar">
    <w:name w:val="Endnote Text Char"/>
    <w:basedOn w:val="DefaultParagraphFont"/>
    <w:link w:val="EndnoteText"/>
    <w:uiPriority w:val="99"/>
    <w:semiHidden/>
    <w:rsid w:val="00711002"/>
    <w:rPr>
      <w:rFonts w:ascii="Times New Roman" w:eastAsiaTheme="minorHAnsi" w:hAnsi="Times New Roman" w:cs="Times New Roman"/>
      <w:sz w:val="20"/>
      <w:szCs w:val="20"/>
      <w:lang w:eastAsia="en-US"/>
    </w:rPr>
  </w:style>
  <w:style w:type="paragraph" w:styleId="EndnoteText">
    <w:name w:val="endnote text"/>
    <w:basedOn w:val="Normal"/>
    <w:link w:val="EndnoteTextChar"/>
    <w:uiPriority w:val="99"/>
    <w:semiHidden/>
    <w:unhideWhenUsed/>
    <w:rsid w:val="00711002"/>
    <w:rPr>
      <w:rFonts w:ascii="Times New Roman" w:eastAsiaTheme="minorHAnsi" w:hAnsi="Times New Roman" w:cs="Times New Roman"/>
      <w:sz w:val="20"/>
      <w:szCs w:val="20"/>
      <w:lang w:eastAsia="en-US"/>
    </w:rPr>
  </w:style>
  <w:style w:type="table" w:styleId="GridTable4">
    <w:name w:val="Grid Table 4"/>
    <w:basedOn w:val="TableNormal"/>
    <w:uiPriority w:val="49"/>
    <w:rsid w:val="007258DA"/>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QQuestionTable">
    <w:name w:val="QQuestionTable"/>
    <w:uiPriority w:val="99"/>
    <w:qFormat/>
    <w:rsid w:val="00A81700"/>
    <w:pPr>
      <w:jc w:val="center"/>
    </w:pPr>
    <w:rPr>
      <w:rFonts w:asciiTheme="minorHAnsi" w:hAnsiTheme="minorHAnsi" w:cstheme="minorBidi"/>
      <w:sz w:val="20"/>
      <w:szCs w:val="20"/>
      <w:lang w:eastAsia="en-AU"/>
    </w:rPr>
    <w:tblPr>
      <w:tblStyleRowBandSize w:val="1"/>
      <w:tblInd w:w="0" w:type="dxa"/>
      <w:tblCellMar>
        <w:top w:w="43" w:type="dxa"/>
        <w:left w:w="115" w:type="dxa"/>
        <w:bottom w:w="115" w:type="dxa"/>
        <w:right w:w="115" w:type="dxa"/>
      </w:tblCellMar>
    </w:tblPr>
    <w:tcPr>
      <w:shd w:val="clear" w:color="auto" w:fill="auto"/>
      <w:vAlign w:val="center"/>
    </w:tcPr>
    <w:tblStylePr w:type="firstRow">
      <w:pPr>
        <w:wordWrap/>
        <w:jc w:val="center"/>
      </w:pPr>
      <w:tblPr/>
      <w:tcPr>
        <w:tcBorders>
          <w:bottom w:val="single" w:sz="4" w:space="0" w:color="BFBFBF"/>
        </w:tcBorders>
        <w:vAlign w:val="center"/>
      </w:tcPr>
    </w:tblStylePr>
    <w:tblStylePr w:type="firstCol">
      <w:tblPr/>
      <w:tcPr>
        <w:tcBorders>
          <w:right w:val="single" w:sz="4" w:space="0" w:color="BFBFBF"/>
        </w:tcBorders>
      </w:tcPr>
    </w:tblStylePr>
  </w:style>
  <w:style w:type="paragraph" w:styleId="Subtitle">
    <w:name w:val="Subtitle"/>
    <w:basedOn w:val="Normal"/>
    <w:next w:val="Normal"/>
    <w:link w:val="SubtitleChar"/>
    <w:uiPriority w:val="11"/>
    <w:qFormat/>
    <w:rsid w:val="0016493D"/>
    <w:pPr>
      <w:numPr>
        <w:ilvl w:val="1"/>
      </w:numPr>
      <w:spacing w:before="400" w:after="160"/>
      <w:jc w:val="center"/>
    </w:pPr>
    <w:rPr>
      <w:rFonts w:asciiTheme="minorHAnsi" w:hAnsiTheme="minorHAnsi" w:cstheme="minorBidi"/>
      <w:b/>
      <w:bCs/>
      <w:color w:val="2F5496" w:themeColor="accent1" w:themeShade="BF"/>
      <w:spacing w:val="15"/>
      <w:sz w:val="40"/>
      <w:szCs w:val="40"/>
    </w:rPr>
  </w:style>
  <w:style w:type="character" w:customStyle="1" w:styleId="SubtitleChar">
    <w:name w:val="Subtitle Char"/>
    <w:basedOn w:val="DefaultParagraphFont"/>
    <w:link w:val="Subtitle"/>
    <w:uiPriority w:val="11"/>
    <w:rsid w:val="0016493D"/>
    <w:rPr>
      <w:rFonts w:asciiTheme="minorHAnsi" w:hAnsiTheme="minorHAnsi" w:cstheme="minorBidi"/>
      <w:b/>
      <w:bCs/>
      <w:color w:val="2F5496" w:themeColor="accent1" w:themeShade="BF"/>
      <w:spacing w:val="15"/>
      <w:sz w:val="40"/>
      <w:szCs w:val="4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80969">
      <w:bodyDiv w:val="1"/>
      <w:marLeft w:val="0"/>
      <w:marRight w:val="0"/>
      <w:marTop w:val="0"/>
      <w:marBottom w:val="0"/>
      <w:divBdr>
        <w:top w:val="none" w:sz="0" w:space="0" w:color="auto"/>
        <w:left w:val="none" w:sz="0" w:space="0" w:color="auto"/>
        <w:bottom w:val="none" w:sz="0" w:space="0" w:color="auto"/>
        <w:right w:val="none" w:sz="0" w:space="0" w:color="auto"/>
      </w:divBdr>
    </w:div>
    <w:div w:id="11300386">
      <w:bodyDiv w:val="1"/>
      <w:marLeft w:val="0"/>
      <w:marRight w:val="0"/>
      <w:marTop w:val="0"/>
      <w:marBottom w:val="0"/>
      <w:divBdr>
        <w:top w:val="none" w:sz="0" w:space="0" w:color="auto"/>
        <w:left w:val="none" w:sz="0" w:space="0" w:color="auto"/>
        <w:bottom w:val="none" w:sz="0" w:space="0" w:color="auto"/>
        <w:right w:val="none" w:sz="0" w:space="0" w:color="auto"/>
      </w:divBdr>
    </w:div>
    <w:div w:id="15809480">
      <w:bodyDiv w:val="1"/>
      <w:marLeft w:val="0"/>
      <w:marRight w:val="0"/>
      <w:marTop w:val="0"/>
      <w:marBottom w:val="0"/>
      <w:divBdr>
        <w:top w:val="none" w:sz="0" w:space="0" w:color="auto"/>
        <w:left w:val="none" w:sz="0" w:space="0" w:color="auto"/>
        <w:bottom w:val="none" w:sz="0" w:space="0" w:color="auto"/>
        <w:right w:val="none" w:sz="0" w:space="0" w:color="auto"/>
      </w:divBdr>
    </w:div>
    <w:div w:id="16853849">
      <w:bodyDiv w:val="1"/>
      <w:marLeft w:val="0"/>
      <w:marRight w:val="0"/>
      <w:marTop w:val="0"/>
      <w:marBottom w:val="0"/>
      <w:divBdr>
        <w:top w:val="none" w:sz="0" w:space="0" w:color="auto"/>
        <w:left w:val="none" w:sz="0" w:space="0" w:color="auto"/>
        <w:bottom w:val="none" w:sz="0" w:space="0" w:color="auto"/>
        <w:right w:val="none" w:sz="0" w:space="0" w:color="auto"/>
      </w:divBdr>
    </w:div>
    <w:div w:id="77791737">
      <w:bodyDiv w:val="1"/>
      <w:marLeft w:val="0"/>
      <w:marRight w:val="0"/>
      <w:marTop w:val="0"/>
      <w:marBottom w:val="0"/>
      <w:divBdr>
        <w:top w:val="none" w:sz="0" w:space="0" w:color="auto"/>
        <w:left w:val="none" w:sz="0" w:space="0" w:color="auto"/>
        <w:bottom w:val="none" w:sz="0" w:space="0" w:color="auto"/>
        <w:right w:val="none" w:sz="0" w:space="0" w:color="auto"/>
      </w:divBdr>
    </w:div>
    <w:div w:id="92869108">
      <w:bodyDiv w:val="1"/>
      <w:marLeft w:val="0"/>
      <w:marRight w:val="0"/>
      <w:marTop w:val="0"/>
      <w:marBottom w:val="0"/>
      <w:divBdr>
        <w:top w:val="none" w:sz="0" w:space="0" w:color="auto"/>
        <w:left w:val="none" w:sz="0" w:space="0" w:color="auto"/>
        <w:bottom w:val="none" w:sz="0" w:space="0" w:color="auto"/>
        <w:right w:val="none" w:sz="0" w:space="0" w:color="auto"/>
      </w:divBdr>
    </w:div>
    <w:div w:id="146947277">
      <w:bodyDiv w:val="1"/>
      <w:marLeft w:val="0"/>
      <w:marRight w:val="0"/>
      <w:marTop w:val="0"/>
      <w:marBottom w:val="0"/>
      <w:divBdr>
        <w:top w:val="none" w:sz="0" w:space="0" w:color="auto"/>
        <w:left w:val="none" w:sz="0" w:space="0" w:color="auto"/>
        <w:bottom w:val="none" w:sz="0" w:space="0" w:color="auto"/>
        <w:right w:val="none" w:sz="0" w:space="0" w:color="auto"/>
      </w:divBdr>
    </w:div>
    <w:div w:id="149252320">
      <w:bodyDiv w:val="1"/>
      <w:marLeft w:val="0"/>
      <w:marRight w:val="0"/>
      <w:marTop w:val="0"/>
      <w:marBottom w:val="0"/>
      <w:divBdr>
        <w:top w:val="none" w:sz="0" w:space="0" w:color="auto"/>
        <w:left w:val="none" w:sz="0" w:space="0" w:color="auto"/>
        <w:bottom w:val="none" w:sz="0" w:space="0" w:color="auto"/>
        <w:right w:val="none" w:sz="0" w:space="0" w:color="auto"/>
      </w:divBdr>
    </w:div>
    <w:div w:id="153498333">
      <w:bodyDiv w:val="1"/>
      <w:marLeft w:val="0"/>
      <w:marRight w:val="0"/>
      <w:marTop w:val="0"/>
      <w:marBottom w:val="0"/>
      <w:divBdr>
        <w:top w:val="none" w:sz="0" w:space="0" w:color="auto"/>
        <w:left w:val="none" w:sz="0" w:space="0" w:color="auto"/>
        <w:bottom w:val="none" w:sz="0" w:space="0" w:color="auto"/>
        <w:right w:val="none" w:sz="0" w:space="0" w:color="auto"/>
      </w:divBdr>
    </w:div>
    <w:div w:id="181238936">
      <w:bodyDiv w:val="1"/>
      <w:marLeft w:val="0"/>
      <w:marRight w:val="0"/>
      <w:marTop w:val="0"/>
      <w:marBottom w:val="0"/>
      <w:divBdr>
        <w:top w:val="none" w:sz="0" w:space="0" w:color="auto"/>
        <w:left w:val="none" w:sz="0" w:space="0" w:color="auto"/>
        <w:bottom w:val="none" w:sz="0" w:space="0" w:color="auto"/>
        <w:right w:val="none" w:sz="0" w:space="0" w:color="auto"/>
      </w:divBdr>
    </w:div>
    <w:div w:id="198251910">
      <w:bodyDiv w:val="1"/>
      <w:marLeft w:val="0"/>
      <w:marRight w:val="0"/>
      <w:marTop w:val="0"/>
      <w:marBottom w:val="0"/>
      <w:divBdr>
        <w:top w:val="none" w:sz="0" w:space="0" w:color="auto"/>
        <w:left w:val="none" w:sz="0" w:space="0" w:color="auto"/>
        <w:bottom w:val="none" w:sz="0" w:space="0" w:color="auto"/>
        <w:right w:val="none" w:sz="0" w:space="0" w:color="auto"/>
      </w:divBdr>
    </w:div>
    <w:div w:id="237597155">
      <w:bodyDiv w:val="1"/>
      <w:marLeft w:val="0"/>
      <w:marRight w:val="0"/>
      <w:marTop w:val="0"/>
      <w:marBottom w:val="0"/>
      <w:divBdr>
        <w:top w:val="none" w:sz="0" w:space="0" w:color="auto"/>
        <w:left w:val="none" w:sz="0" w:space="0" w:color="auto"/>
        <w:bottom w:val="none" w:sz="0" w:space="0" w:color="auto"/>
        <w:right w:val="none" w:sz="0" w:space="0" w:color="auto"/>
      </w:divBdr>
    </w:div>
    <w:div w:id="262230268">
      <w:bodyDiv w:val="1"/>
      <w:marLeft w:val="0"/>
      <w:marRight w:val="0"/>
      <w:marTop w:val="0"/>
      <w:marBottom w:val="0"/>
      <w:divBdr>
        <w:top w:val="none" w:sz="0" w:space="0" w:color="auto"/>
        <w:left w:val="none" w:sz="0" w:space="0" w:color="auto"/>
        <w:bottom w:val="none" w:sz="0" w:space="0" w:color="auto"/>
        <w:right w:val="none" w:sz="0" w:space="0" w:color="auto"/>
      </w:divBdr>
    </w:div>
    <w:div w:id="349139278">
      <w:bodyDiv w:val="1"/>
      <w:marLeft w:val="0"/>
      <w:marRight w:val="0"/>
      <w:marTop w:val="0"/>
      <w:marBottom w:val="0"/>
      <w:divBdr>
        <w:top w:val="none" w:sz="0" w:space="0" w:color="auto"/>
        <w:left w:val="none" w:sz="0" w:space="0" w:color="auto"/>
        <w:bottom w:val="none" w:sz="0" w:space="0" w:color="auto"/>
        <w:right w:val="none" w:sz="0" w:space="0" w:color="auto"/>
      </w:divBdr>
    </w:div>
    <w:div w:id="440684398">
      <w:bodyDiv w:val="1"/>
      <w:marLeft w:val="0"/>
      <w:marRight w:val="0"/>
      <w:marTop w:val="0"/>
      <w:marBottom w:val="0"/>
      <w:divBdr>
        <w:top w:val="none" w:sz="0" w:space="0" w:color="auto"/>
        <w:left w:val="none" w:sz="0" w:space="0" w:color="auto"/>
        <w:bottom w:val="none" w:sz="0" w:space="0" w:color="auto"/>
        <w:right w:val="none" w:sz="0" w:space="0" w:color="auto"/>
      </w:divBdr>
    </w:div>
    <w:div w:id="452790659">
      <w:bodyDiv w:val="1"/>
      <w:marLeft w:val="0"/>
      <w:marRight w:val="0"/>
      <w:marTop w:val="0"/>
      <w:marBottom w:val="0"/>
      <w:divBdr>
        <w:top w:val="none" w:sz="0" w:space="0" w:color="auto"/>
        <w:left w:val="none" w:sz="0" w:space="0" w:color="auto"/>
        <w:bottom w:val="none" w:sz="0" w:space="0" w:color="auto"/>
        <w:right w:val="none" w:sz="0" w:space="0" w:color="auto"/>
      </w:divBdr>
    </w:div>
    <w:div w:id="502360368">
      <w:bodyDiv w:val="1"/>
      <w:marLeft w:val="0"/>
      <w:marRight w:val="0"/>
      <w:marTop w:val="0"/>
      <w:marBottom w:val="0"/>
      <w:divBdr>
        <w:top w:val="none" w:sz="0" w:space="0" w:color="auto"/>
        <w:left w:val="none" w:sz="0" w:space="0" w:color="auto"/>
        <w:bottom w:val="none" w:sz="0" w:space="0" w:color="auto"/>
        <w:right w:val="none" w:sz="0" w:space="0" w:color="auto"/>
      </w:divBdr>
    </w:div>
    <w:div w:id="519009195">
      <w:bodyDiv w:val="1"/>
      <w:marLeft w:val="0"/>
      <w:marRight w:val="0"/>
      <w:marTop w:val="0"/>
      <w:marBottom w:val="0"/>
      <w:divBdr>
        <w:top w:val="none" w:sz="0" w:space="0" w:color="auto"/>
        <w:left w:val="none" w:sz="0" w:space="0" w:color="auto"/>
        <w:bottom w:val="none" w:sz="0" w:space="0" w:color="auto"/>
        <w:right w:val="none" w:sz="0" w:space="0" w:color="auto"/>
      </w:divBdr>
    </w:div>
    <w:div w:id="529609303">
      <w:bodyDiv w:val="1"/>
      <w:marLeft w:val="0"/>
      <w:marRight w:val="0"/>
      <w:marTop w:val="0"/>
      <w:marBottom w:val="0"/>
      <w:divBdr>
        <w:top w:val="none" w:sz="0" w:space="0" w:color="auto"/>
        <w:left w:val="none" w:sz="0" w:space="0" w:color="auto"/>
        <w:bottom w:val="none" w:sz="0" w:space="0" w:color="auto"/>
        <w:right w:val="none" w:sz="0" w:space="0" w:color="auto"/>
      </w:divBdr>
    </w:div>
    <w:div w:id="543257197">
      <w:bodyDiv w:val="1"/>
      <w:marLeft w:val="0"/>
      <w:marRight w:val="0"/>
      <w:marTop w:val="0"/>
      <w:marBottom w:val="0"/>
      <w:divBdr>
        <w:top w:val="none" w:sz="0" w:space="0" w:color="auto"/>
        <w:left w:val="none" w:sz="0" w:space="0" w:color="auto"/>
        <w:bottom w:val="none" w:sz="0" w:space="0" w:color="auto"/>
        <w:right w:val="none" w:sz="0" w:space="0" w:color="auto"/>
      </w:divBdr>
    </w:div>
    <w:div w:id="571042428">
      <w:bodyDiv w:val="1"/>
      <w:marLeft w:val="0"/>
      <w:marRight w:val="0"/>
      <w:marTop w:val="0"/>
      <w:marBottom w:val="0"/>
      <w:divBdr>
        <w:top w:val="none" w:sz="0" w:space="0" w:color="auto"/>
        <w:left w:val="none" w:sz="0" w:space="0" w:color="auto"/>
        <w:bottom w:val="none" w:sz="0" w:space="0" w:color="auto"/>
        <w:right w:val="none" w:sz="0" w:space="0" w:color="auto"/>
      </w:divBdr>
    </w:div>
    <w:div w:id="585724562">
      <w:bodyDiv w:val="1"/>
      <w:marLeft w:val="0"/>
      <w:marRight w:val="0"/>
      <w:marTop w:val="0"/>
      <w:marBottom w:val="0"/>
      <w:divBdr>
        <w:top w:val="none" w:sz="0" w:space="0" w:color="auto"/>
        <w:left w:val="none" w:sz="0" w:space="0" w:color="auto"/>
        <w:bottom w:val="none" w:sz="0" w:space="0" w:color="auto"/>
        <w:right w:val="none" w:sz="0" w:space="0" w:color="auto"/>
      </w:divBdr>
    </w:div>
    <w:div w:id="616526519">
      <w:bodyDiv w:val="1"/>
      <w:marLeft w:val="0"/>
      <w:marRight w:val="0"/>
      <w:marTop w:val="0"/>
      <w:marBottom w:val="0"/>
      <w:divBdr>
        <w:top w:val="none" w:sz="0" w:space="0" w:color="auto"/>
        <w:left w:val="none" w:sz="0" w:space="0" w:color="auto"/>
        <w:bottom w:val="none" w:sz="0" w:space="0" w:color="auto"/>
        <w:right w:val="none" w:sz="0" w:space="0" w:color="auto"/>
      </w:divBdr>
    </w:div>
    <w:div w:id="637488909">
      <w:bodyDiv w:val="1"/>
      <w:marLeft w:val="0"/>
      <w:marRight w:val="0"/>
      <w:marTop w:val="0"/>
      <w:marBottom w:val="0"/>
      <w:divBdr>
        <w:top w:val="none" w:sz="0" w:space="0" w:color="auto"/>
        <w:left w:val="none" w:sz="0" w:space="0" w:color="auto"/>
        <w:bottom w:val="none" w:sz="0" w:space="0" w:color="auto"/>
        <w:right w:val="none" w:sz="0" w:space="0" w:color="auto"/>
      </w:divBdr>
    </w:div>
    <w:div w:id="648948338">
      <w:bodyDiv w:val="1"/>
      <w:marLeft w:val="0"/>
      <w:marRight w:val="0"/>
      <w:marTop w:val="0"/>
      <w:marBottom w:val="0"/>
      <w:divBdr>
        <w:top w:val="none" w:sz="0" w:space="0" w:color="auto"/>
        <w:left w:val="none" w:sz="0" w:space="0" w:color="auto"/>
        <w:bottom w:val="none" w:sz="0" w:space="0" w:color="auto"/>
        <w:right w:val="none" w:sz="0" w:space="0" w:color="auto"/>
      </w:divBdr>
    </w:div>
    <w:div w:id="662585269">
      <w:bodyDiv w:val="1"/>
      <w:marLeft w:val="0"/>
      <w:marRight w:val="0"/>
      <w:marTop w:val="0"/>
      <w:marBottom w:val="0"/>
      <w:divBdr>
        <w:top w:val="none" w:sz="0" w:space="0" w:color="auto"/>
        <w:left w:val="none" w:sz="0" w:space="0" w:color="auto"/>
        <w:bottom w:val="none" w:sz="0" w:space="0" w:color="auto"/>
        <w:right w:val="none" w:sz="0" w:space="0" w:color="auto"/>
      </w:divBdr>
    </w:div>
    <w:div w:id="724834654">
      <w:bodyDiv w:val="1"/>
      <w:marLeft w:val="0"/>
      <w:marRight w:val="0"/>
      <w:marTop w:val="0"/>
      <w:marBottom w:val="0"/>
      <w:divBdr>
        <w:top w:val="none" w:sz="0" w:space="0" w:color="auto"/>
        <w:left w:val="none" w:sz="0" w:space="0" w:color="auto"/>
        <w:bottom w:val="none" w:sz="0" w:space="0" w:color="auto"/>
        <w:right w:val="none" w:sz="0" w:space="0" w:color="auto"/>
      </w:divBdr>
    </w:div>
    <w:div w:id="737479302">
      <w:bodyDiv w:val="1"/>
      <w:marLeft w:val="0"/>
      <w:marRight w:val="0"/>
      <w:marTop w:val="0"/>
      <w:marBottom w:val="0"/>
      <w:divBdr>
        <w:top w:val="none" w:sz="0" w:space="0" w:color="auto"/>
        <w:left w:val="none" w:sz="0" w:space="0" w:color="auto"/>
        <w:bottom w:val="none" w:sz="0" w:space="0" w:color="auto"/>
        <w:right w:val="none" w:sz="0" w:space="0" w:color="auto"/>
      </w:divBdr>
    </w:div>
    <w:div w:id="748579317">
      <w:bodyDiv w:val="1"/>
      <w:marLeft w:val="0"/>
      <w:marRight w:val="0"/>
      <w:marTop w:val="0"/>
      <w:marBottom w:val="0"/>
      <w:divBdr>
        <w:top w:val="none" w:sz="0" w:space="0" w:color="auto"/>
        <w:left w:val="none" w:sz="0" w:space="0" w:color="auto"/>
        <w:bottom w:val="none" w:sz="0" w:space="0" w:color="auto"/>
        <w:right w:val="none" w:sz="0" w:space="0" w:color="auto"/>
      </w:divBdr>
    </w:div>
    <w:div w:id="797576184">
      <w:bodyDiv w:val="1"/>
      <w:marLeft w:val="0"/>
      <w:marRight w:val="0"/>
      <w:marTop w:val="0"/>
      <w:marBottom w:val="0"/>
      <w:divBdr>
        <w:top w:val="none" w:sz="0" w:space="0" w:color="auto"/>
        <w:left w:val="none" w:sz="0" w:space="0" w:color="auto"/>
        <w:bottom w:val="none" w:sz="0" w:space="0" w:color="auto"/>
        <w:right w:val="none" w:sz="0" w:space="0" w:color="auto"/>
      </w:divBdr>
    </w:div>
    <w:div w:id="818032245">
      <w:bodyDiv w:val="1"/>
      <w:marLeft w:val="0"/>
      <w:marRight w:val="0"/>
      <w:marTop w:val="0"/>
      <w:marBottom w:val="0"/>
      <w:divBdr>
        <w:top w:val="none" w:sz="0" w:space="0" w:color="auto"/>
        <w:left w:val="none" w:sz="0" w:space="0" w:color="auto"/>
        <w:bottom w:val="none" w:sz="0" w:space="0" w:color="auto"/>
        <w:right w:val="none" w:sz="0" w:space="0" w:color="auto"/>
      </w:divBdr>
    </w:div>
    <w:div w:id="840437675">
      <w:bodyDiv w:val="1"/>
      <w:marLeft w:val="0"/>
      <w:marRight w:val="0"/>
      <w:marTop w:val="0"/>
      <w:marBottom w:val="0"/>
      <w:divBdr>
        <w:top w:val="none" w:sz="0" w:space="0" w:color="auto"/>
        <w:left w:val="none" w:sz="0" w:space="0" w:color="auto"/>
        <w:bottom w:val="none" w:sz="0" w:space="0" w:color="auto"/>
        <w:right w:val="none" w:sz="0" w:space="0" w:color="auto"/>
      </w:divBdr>
    </w:div>
    <w:div w:id="841630886">
      <w:bodyDiv w:val="1"/>
      <w:marLeft w:val="0"/>
      <w:marRight w:val="0"/>
      <w:marTop w:val="0"/>
      <w:marBottom w:val="0"/>
      <w:divBdr>
        <w:top w:val="none" w:sz="0" w:space="0" w:color="auto"/>
        <w:left w:val="none" w:sz="0" w:space="0" w:color="auto"/>
        <w:bottom w:val="none" w:sz="0" w:space="0" w:color="auto"/>
        <w:right w:val="none" w:sz="0" w:space="0" w:color="auto"/>
      </w:divBdr>
    </w:div>
    <w:div w:id="869536097">
      <w:bodyDiv w:val="1"/>
      <w:marLeft w:val="0"/>
      <w:marRight w:val="0"/>
      <w:marTop w:val="0"/>
      <w:marBottom w:val="0"/>
      <w:divBdr>
        <w:top w:val="none" w:sz="0" w:space="0" w:color="auto"/>
        <w:left w:val="none" w:sz="0" w:space="0" w:color="auto"/>
        <w:bottom w:val="none" w:sz="0" w:space="0" w:color="auto"/>
        <w:right w:val="none" w:sz="0" w:space="0" w:color="auto"/>
      </w:divBdr>
    </w:div>
    <w:div w:id="869805097">
      <w:bodyDiv w:val="1"/>
      <w:marLeft w:val="0"/>
      <w:marRight w:val="0"/>
      <w:marTop w:val="0"/>
      <w:marBottom w:val="0"/>
      <w:divBdr>
        <w:top w:val="none" w:sz="0" w:space="0" w:color="auto"/>
        <w:left w:val="none" w:sz="0" w:space="0" w:color="auto"/>
        <w:bottom w:val="none" w:sz="0" w:space="0" w:color="auto"/>
        <w:right w:val="none" w:sz="0" w:space="0" w:color="auto"/>
      </w:divBdr>
    </w:div>
    <w:div w:id="876046072">
      <w:bodyDiv w:val="1"/>
      <w:marLeft w:val="0"/>
      <w:marRight w:val="0"/>
      <w:marTop w:val="0"/>
      <w:marBottom w:val="0"/>
      <w:divBdr>
        <w:top w:val="none" w:sz="0" w:space="0" w:color="auto"/>
        <w:left w:val="none" w:sz="0" w:space="0" w:color="auto"/>
        <w:bottom w:val="none" w:sz="0" w:space="0" w:color="auto"/>
        <w:right w:val="none" w:sz="0" w:space="0" w:color="auto"/>
      </w:divBdr>
    </w:div>
    <w:div w:id="909192627">
      <w:bodyDiv w:val="1"/>
      <w:marLeft w:val="0"/>
      <w:marRight w:val="0"/>
      <w:marTop w:val="0"/>
      <w:marBottom w:val="0"/>
      <w:divBdr>
        <w:top w:val="none" w:sz="0" w:space="0" w:color="auto"/>
        <w:left w:val="none" w:sz="0" w:space="0" w:color="auto"/>
        <w:bottom w:val="none" w:sz="0" w:space="0" w:color="auto"/>
        <w:right w:val="none" w:sz="0" w:space="0" w:color="auto"/>
      </w:divBdr>
    </w:div>
    <w:div w:id="927228189">
      <w:bodyDiv w:val="1"/>
      <w:marLeft w:val="0"/>
      <w:marRight w:val="0"/>
      <w:marTop w:val="0"/>
      <w:marBottom w:val="0"/>
      <w:divBdr>
        <w:top w:val="none" w:sz="0" w:space="0" w:color="auto"/>
        <w:left w:val="none" w:sz="0" w:space="0" w:color="auto"/>
        <w:bottom w:val="none" w:sz="0" w:space="0" w:color="auto"/>
        <w:right w:val="none" w:sz="0" w:space="0" w:color="auto"/>
      </w:divBdr>
    </w:div>
    <w:div w:id="928779923">
      <w:bodyDiv w:val="1"/>
      <w:marLeft w:val="0"/>
      <w:marRight w:val="0"/>
      <w:marTop w:val="0"/>
      <w:marBottom w:val="0"/>
      <w:divBdr>
        <w:top w:val="none" w:sz="0" w:space="0" w:color="auto"/>
        <w:left w:val="none" w:sz="0" w:space="0" w:color="auto"/>
        <w:bottom w:val="none" w:sz="0" w:space="0" w:color="auto"/>
        <w:right w:val="none" w:sz="0" w:space="0" w:color="auto"/>
      </w:divBdr>
    </w:div>
    <w:div w:id="944772328">
      <w:bodyDiv w:val="1"/>
      <w:marLeft w:val="0"/>
      <w:marRight w:val="0"/>
      <w:marTop w:val="0"/>
      <w:marBottom w:val="0"/>
      <w:divBdr>
        <w:top w:val="none" w:sz="0" w:space="0" w:color="auto"/>
        <w:left w:val="none" w:sz="0" w:space="0" w:color="auto"/>
        <w:bottom w:val="none" w:sz="0" w:space="0" w:color="auto"/>
        <w:right w:val="none" w:sz="0" w:space="0" w:color="auto"/>
      </w:divBdr>
    </w:div>
    <w:div w:id="983120025">
      <w:bodyDiv w:val="1"/>
      <w:marLeft w:val="0"/>
      <w:marRight w:val="0"/>
      <w:marTop w:val="0"/>
      <w:marBottom w:val="0"/>
      <w:divBdr>
        <w:top w:val="none" w:sz="0" w:space="0" w:color="auto"/>
        <w:left w:val="none" w:sz="0" w:space="0" w:color="auto"/>
        <w:bottom w:val="none" w:sz="0" w:space="0" w:color="auto"/>
        <w:right w:val="none" w:sz="0" w:space="0" w:color="auto"/>
      </w:divBdr>
    </w:div>
    <w:div w:id="983923211">
      <w:bodyDiv w:val="1"/>
      <w:marLeft w:val="0"/>
      <w:marRight w:val="0"/>
      <w:marTop w:val="0"/>
      <w:marBottom w:val="0"/>
      <w:divBdr>
        <w:top w:val="none" w:sz="0" w:space="0" w:color="auto"/>
        <w:left w:val="none" w:sz="0" w:space="0" w:color="auto"/>
        <w:bottom w:val="none" w:sz="0" w:space="0" w:color="auto"/>
        <w:right w:val="none" w:sz="0" w:space="0" w:color="auto"/>
      </w:divBdr>
    </w:div>
    <w:div w:id="992442857">
      <w:bodyDiv w:val="1"/>
      <w:marLeft w:val="0"/>
      <w:marRight w:val="0"/>
      <w:marTop w:val="0"/>
      <w:marBottom w:val="0"/>
      <w:divBdr>
        <w:top w:val="none" w:sz="0" w:space="0" w:color="auto"/>
        <w:left w:val="none" w:sz="0" w:space="0" w:color="auto"/>
        <w:bottom w:val="none" w:sz="0" w:space="0" w:color="auto"/>
        <w:right w:val="none" w:sz="0" w:space="0" w:color="auto"/>
      </w:divBdr>
    </w:div>
    <w:div w:id="1034428985">
      <w:bodyDiv w:val="1"/>
      <w:marLeft w:val="0"/>
      <w:marRight w:val="0"/>
      <w:marTop w:val="0"/>
      <w:marBottom w:val="0"/>
      <w:divBdr>
        <w:top w:val="none" w:sz="0" w:space="0" w:color="auto"/>
        <w:left w:val="none" w:sz="0" w:space="0" w:color="auto"/>
        <w:bottom w:val="none" w:sz="0" w:space="0" w:color="auto"/>
        <w:right w:val="none" w:sz="0" w:space="0" w:color="auto"/>
      </w:divBdr>
    </w:div>
    <w:div w:id="1050227556">
      <w:bodyDiv w:val="1"/>
      <w:marLeft w:val="0"/>
      <w:marRight w:val="0"/>
      <w:marTop w:val="0"/>
      <w:marBottom w:val="0"/>
      <w:divBdr>
        <w:top w:val="none" w:sz="0" w:space="0" w:color="auto"/>
        <w:left w:val="none" w:sz="0" w:space="0" w:color="auto"/>
        <w:bottom w:val="none" w:sz="0" w:space="0" w:color="auto"/>
        <w:right w:val="none" w:sz="0" w:space="0" w:color="auto"/>
      </w:divBdr>
    </w:div>
    <w:div w:id="1070694313">
      <w:bodyDiv w:val="1"/>
      <w:marLeft w:val="0"/>
      <w:marRight w:val="0"/>
      <w:marTop w:val="0"/>
      <w:marBottom w:val="0"/>
      <w:divBdr>
        <w:top w:val="none" w:sz="0" w:space="0" w:color="auto"/>
        <w:left w:val="none" w:sz="0" w:space="0" w:color="auto"/>
        <w:bottom w:val="none" w:sz="0" w:space="0" w:color="auto"/>
        <w:right w:val="none" w:sz="0" w:space="0" w:color="auto"/>
      </w:divBdr>
    </w:div>
    <w:div w:id="1082870230">
      <w:bodyDiv w:val="1"/>
      <w:marLeft w:val="0"/>
      <w:marRight w:val="0"/>
      <w:marTop w:val="0"/>
      <w:marBottom w:val="0"/>
      <w:divBdr>
        <w:top w:val="none" w:sz="0" w:space="0" w:color="auto"/>
        <w:left w:val="none" w:sz="0" w:space="0" w:color="auto"/>
        <w:bottom w:val="none" w:sz="0" w:space="0" w:color="auto"/>
        <w:right w:val="none" w:sz="0" w:space="0" w:color="auto"/>
      </w:divBdr>
    </w:div>
    <w:div w:id="1090613811">
      <w:bodyDiv w:val="1"/>
      <w:marLeft w:val="0"/>
      <w:marRight w:val="0"/>
      <w:marTop w:val="0"/>
      <w:marBottom w:val="0"/>
      <w:divBdr>
        <w:top w:val="none" w:sz="0" w:space="0" w:color="auto"/>
        <w:left w:val="none" w:sz="0" w:space="0" w:color="auto"/>
        <w:bottom w:val="none" w:sz="0" w:space="0" w:color="auto"/>
        <w:right w:val="none" w:sz="0" w:space="0" w:color="auto"/>
      </w:divBdr>
    </w:div>
    <w:div w:id="1094283940">
      <w:bodyDiv w:val="1"/>
      <w:marLeft w:val="0"/>
      <w:marRight w:val="0"/>
      <w:marTop w:val="0"/>
      <w:marBottom w:val="0"/>
      <w:divBdr>
        <w:top w:val="none" w:sz="0" w:space="0" w:color="auto"/>
        <w:left w:val="none" w:sz="0" w:space="0" w:color="auto"/>
        <w:bottom w:val="none" w:sz="0" w:space="0" w:color="auto"/>
        <w:right w:val="none" w:sz="0" w:space="0" w:color="auto"/>
      </w:divBdr>
    </w:div>
    <w:div w:id="1124349792">
      <w:bodyDiv w:val="1"/>
      <w:marLeft w:val="0"/>
      <w:marRight w:val="0"/>
      <w:marTop w:val="0"/>
      <w:marBottom w:val="0"/>
      <w:divBdr>
        <w:top w:val="none" w:sz="0" w:space="0" w:color="auto"/>
        <w:left w:val="none" w:sz="0" w:space="0" w:color="auto"/>
        <w:bottom w:val="none" w:sz="0" w:space="0" w:color="auto"/>
        <w:right w:val="none" w:sz="0" w:space="0" w:color="auto"/>
      </w:divBdr>
    </w:div>
    <w:div w:id="1227374022">
      <w:bodyDiv w:val="1"/>
      <w:marLeft w:val="0"/>
      <w:marRight w:val="0"/>
      <w:marTop w:val="0"/>
      <w:marBottom w:val="0"/>
      <w:divBdr>
        <w:top w:val="none" w:sz="0" w:space="0" w:color="auto"/>
        <w:left w:val="none" w:sz="0" w:space="0" w:color="auto"/>
        <w:bottom w:val="none" w:sz="0" w:space="0" w:color="auto"/>
        <w:right w:val="none" w:sz="0" w:space="0" w:color="auto"/>
      </w:divBdr>
    </w:div>
    <w:div w:id="1313606741">
      <w:bodyDiv w:val="1"/>
      <w:marLeft w:val="0"/>
      <w:marRight w:val="0"/>
      <w:marTop w:val="0"/>
      <w:marBottom w:val="0"/>
      <w:divBdr>
        <w:top w:val="none" w:sz="0" w:space="0" w:color="auto"/>
        <w:left w:val="none" w:sz="0" w:space="0" w:color="auto"/>
        <w:bottom w:val="none" w:sz="0" w:space="0" w:color="auto"/>
        <w:right w:val="none" w:sz="0" w:space="0" w:color="auto"/>
      </w:divBdr>
    </w:div>
    <w:div w:id="1321544637">
      <w:bodyDiv w:val="1"/>
      <w:marLeft w:val="0"/>
      <w:marRight w:val="0"/>
      <w:marTop w:val="0"/>
      <w:marBottom w:val="0"/>
      <w:divBdr>
        <w:top w:val="none" w:sz="0" w:space="0" w:color="auto"/>
        <w:left w:val="none" w:sz="0" w:space="0" w:color="auto"/>
        <w:bottom w:val="none" w:sz="0" w:space="0" w:color="auto"/>
        <w:right w:val="none" w:sz="0" w:space="0" w:color="auto"/>
      </w:divBdr>
    </w:div>
    <w:div w:id="1336299496">
      <w:bodyDiv w:val="1"/>
      <w:marLeft w:val="0"/>
      <w:marRight w:val="0"/>
      <w:marTop w:val="0"/>
      <w:marBottom w:val="0"/>
      <w:divBdr>
        <w:top w:val="none" w:sz="0" w:space="0" w:color="auto"/>
        <w:left w:val="none" w:sz="0" w:space="0" w:color="auto"/>
        <w:bottom w:val="none" w:sz="0" w:space="0" w:color="auto"/>
        <w:right w:val="none" w:sz="0" w:space="0" w:color="auto"/>
      </w:divBdr>
    </w:div>
    <w:div w:id="1471173710">
      <w:bodyDiv w:val="1"/>
      <w:marLeft w:val="0"/>
      <w:marRight w:val="0"/>
      <w:marTop w:val="0"/>
      <w:marBottom w:val="0"/>
      <w:divBdr>
        <w:top w:val="none" w:sz="0" w:space="0" w:color="auto"/>
        <w:left w:val="none" w:sz="0" w:space="0" w:color="auto"/>
        <w:bottom w:val="none" w:sz="0" w:space="0" w:color="auto"/>
        <w:right w:val="none" w:sz="0" w:space="0" w:color="auto"/>
      </w:divBdr>
    </w:div>
    <w:div w:id="1476869387">
      <w:bodyDiv w:val="1"/>
      <w:marLeft w:val="0"/>
      <w:marRight w:val="0"/>
      <w:marTop w:val="0"/>
      <w:marBottom w:val="0"/>
      <w:divBdr>
        <w:top w:val="none" w:sz="0" w:space="0" w:color="auto"/>
        <w:left w:val="none" w:sz="0" w:space="0" w:color="auto"/>
        <w:bottom w:val="none" w:sz="0" w:space="0" w:color="auto"/>
        <w:right w:val="none" w:sz="0" w:space="0" w:color="auto"/>
      </w:divBdr>
    </w:div>
    <w:div w:id="1505053231">
      <w:bodyDiv w:val="1"/>
      <w:marLeft w:val="0"/>
      <w:marRight w:val="0"/>
      <w:marTop w:val="0"/>
      <w:marBottom w:val="0"/>
      <w:divBdr>
        <w:top w:val="none" w:sz="0" w:space="0" w:color="auto"/>
        <w:left w:val="none" w:sz="0" w:space="0" w:color="auto"/>
        <w:bottom w:val="none" w:sz="0" w:space="0" w:color="auto"/>
        <w:right w:val="none" w:sz="0" w:space="0" w:color="auto"/>
      </w:divBdr>
    </w:div>
    <w:div w:id="1532298241">
      <w:bodyDiv w:val="1"/>
      <w:marLeft w:val="0"/>
      <w:marRight w:val="0"/>
      <w:marTop w:val="0"/>
      <w:marBottom w:val="0"/>
      <w:divBdr>
        <w:top w:val="none" w:sz="0" w:space="0" w:color="auto"/>
        <w:left w:val="none" w:sz="0" w:space="0" w:color="auto"/>
        <w:bottom w:val="none" w:sz="0" w:space="0" w:color="auto"/>
        <w:right w:val="none" w:sz="0" w:space="0" w:color="auto"/>
      </w:divBdr>
    </w:div>
    <w:div w:id="1540974415">
      <w:bodyDiv w:val="1"/>
      <w:marLeft w:val="0"/>
      <w:marRight w:val="0"/>
      <w:marTop w:val="0"/>
      <w:marBottom w:val="0"/>
      <w:divBdr>
        <w:top w:val="none" w:sz="0" w:space="0" w:color="auto"/>
        <w:left w:val="none" w:sz="0" w:space="0" w:color="auto"/>
        <w:bottom w:val="none" w:sz="0" w:space="0" w:color="auto"/>
        <w:right w:val="none" w:sz="0" w:space="0" w:color="auto"/>
      </w:divBdr>
    </w:div>
    <w:div w:id="1574663728">
      <w:bodyDiv w:val="1"/>
      <w:marLeft w:val="0"/>
      <w:marRight w:val="0"/>
      <w:marTop w:val="0"/>
      <w:marBottom w:val="0"/>
      <w:divBdr>
        <w:top w:val="none" w:sz="0" w:space="0" w:color="auto"/>
        <w:left w:val="none" w:sz="0" w:space="0" w:color="auto"/>
        <w:bottom w:val="none" w:sz="0" w:space="0" w:color="auto"/>
        <w:right w:val="none" w:sz="0" w:space="0" w:color="auto"/>
      </w:divBdr>
    </w:div>
    <w:div w:id="1582520872">
      <w:bodyDiv w:val="1"/>
      <w:marLeft w:val="0"/>
      <w:marRight w:val="0"/>
      <w:marTop w:val="0"/>
      <w:marBottom w:val="0"/>
      <w:divBdr>
        <w:top w:val="none" w:sz="0" w:space="0" w:color="auto"/>
        <w:left w:val="none" w:sz="0" w:space="0" w:color="auto"/>
        <w:bottom w:val="none" w:sz="0" w:space="0" w:color="auto"/>
        <w:right w:val="none" w:sz="0" w:space="0" w:color="auto"/>
      </w:divBdr>
    </w:div>
    <w:div w:id="1674263028">
      <w:bodyDiv w:val="1"/>
      <w:marLeft w:val="0"/>
      <w:marRight w:val="0"/>
      <w:marTop w:val="0"/>
      <w:marBottom w:val="0"/>
      <w:divBdr>
        <w:top w:val="none" w:sz="0" w:space="0" w:color="auto"/>
        <w:left w:val="none" w:sz="0" w:space="0" w:color="auto"/>
        <w:bottom w:val="none" w:sz="0" w:space="0" w:color="auto"/>
        <w:right w:val="none" w:sz="0" w:space="0" w:color="auto"/>
      </w:divBdr>
    </w:div>
    <w:div w:id="1698004881">
      <w:bodyDiv w:val="1"/>
      <w:marLeft w:val="0"/>
      <w:marRight w:val="0"/>
      <w:marTop w:val="0"/>
      <w:marBottom w:val="0"/>
      <w:divBdr>
        <w:top w:val="none" w:sz="0" w:space="0" w:color="auto"/>
        <w:left w:val="none" w:sz="0" w:space="0" w:color="auto"/>
        <w:bottom w:val="none" w:sz="0" w:space="0" w:color="auto"/>
        <w:right w:val="none" w:sz="0" w:space="0" w:color="auto"/>
      </w:divBdr>
    </w:div>
    <w:div w:id="1739398156">
      <w:bodyDiv w:val="1"/>
      <w:marLeft w:val="0"/>
      <w:marRight w:val="0"/>
      <w:marTop w:val="0"/>
      <w:marBottom w:val="0"/>
      <w:divBdr>
        <w:top w:val="none" w:sz="0" w:space="0" w:color="auto"/>
        <w:left w:val="none" w:sz="0" w:space="0" w:color="auto"/>
        <w:bottom w:val="none" w:sz="0" w:space="0" w:color="auto"/>
        <w:right w:val="none" w:sz="0" w:space="0" w:color="auto"/>
      </w:divBdr>
    </w:div>
    <w:div w:id="1747721375">
      <w:bodyDiv w:val="1"/>
      <w:marLeft w:val="0"/>
      <w:marRight w:val="0"/>
      <w:marTop w:val="0"/>
      <w:marBottom w:val="0"/>
      <w:divBdr>
        <w:top w:val="none" w:sz="0" w:space="0" w:color="auto"/>
        <w:left w:val="none" w:sz="0" w:space="0" w:color="auto"/>
        <w:bottom w:val="none" w:sz="0" w:space="0" w:color="auto"/>
        <w:right w:val="none" w:sz="0" w:space="0" w:color="auto"/>
      </w:divBdr>
    </w:div>
    <w:div w:id="1781140230">
      <w:bodyDiv w:val="1"/>
      <w:marLeft w:val="0"/>
      <w:marRight w:val="0"/>
      <w:marTop w:val="0"/>
      <w:marBottom w:val="0"/>
      <w:divBdr>
        <w:top w:val="none" w:sz="0" w:space="0" w:color="auto"/>
        <w:left w:val="none" w:sz="0" w:space="0" w:color="auto"/>
        <w:bottom w:val="none" w:sz="0" w:space="0" w:color="auto"/>
        <w:right w:val="none" w:sz="0" w:space="0" w:color="auto"/>
      </w:divBdr>
    </w:div>
    <w:div w:id="1835100076">
      <w:bodyDiv w:val="1"/>
      <w:marLeft w:val="0"/>
      <w:marRight w:val="0"/>
      <w:marTop w:val="0"/>
      <w:marBottom w:val="0"/>
      <w:divBdr>
        <w:top w:val="none" w:sz="0" w:space="0" w:color="auto"/>
        <w:left w:val="none" w:sz="0" w:space="0" w:color="auto"/>
        <w:bottom w:val="none" w:sz="0" w:space="0" w:color="auto"/>
        <w:right w:val="none" w:sz="0" w:space="0" w:color="auto"/>
      </w:divBdr>
    </w:div>
    <w:div w:id="1836679127">
      <w:bodyDiv w:val="1"/>
      <w:marLeft w:val="0"/>
      <w:marRight w:val="0"/>
      <w:marTop w:val="0"/>
      <w:marBottom w:val="0"/>
      <w:divBdr>
        <w:top w:val="none" w:sz="0" w:space="0" w:color="auto"/>
        <w:left w:val="none" w:sz="0" w:space="0" w:color="auto"/>
        <w:bottom w:val="none" w:sz="0" w:space="0" w:color="auto"/>
        <w:right w:val="none" w:sz="0" w:space="0" w:color="auto"/>
      </w:divBdr>
    </w:div>
    <w:div w:id="1914898756">
      <w:bodyDiv w:val="1"/>
      <w:marLeft w:val="0"/>
      <w:marRight w:val="0"/>
      <w:marTop w:val="0"/>
      <w:marBottom w:val="0"/>
      <w:divBdr>
        <w:top w:val="none" w:sz="0" w:space="0" w:color="auto"/>
        <w:left w:val="none" w:sz="0" w:space="0" w:color="auto"/>
        <w:bottom w:val="none" w:sz="0" w:space="0" w:color="auto"/>
        <w:right w:val="none" w:sz="0" w:space="0" w:color="auto"/>
      </w:divBdr>
    </w:div>
    <w:div w:id="1968924257">
      <w:bodyDiv w:val="1"/>
      <w:marLeft w:val="0"/>
      <w:marRight w:val="0"/>
      <w:marTop w:val="0"/>
      <w:marBottom w:val="0"/>
      <w:divBdr>
        <w:top w:val="none" w:sz="0" w:space="0" w:color="auto"/>
        <w:left w:val="none" w:sz="0" w:space="0" w:color="auto"/>
        <w:bottom w:val="none" w:sz="0" w:space="0" w:color="auto"/>
        <w:right w:val="none" w:sz="0" w:space="0" w:color="auto"/>
      </w:divBdr>
    </w:div>
    <w:div w:id="1976446281">
      <w:bodyDiv w:val="1"/>
      <w:marLeft w:val="0"/>
      <w:marRight w:val="0"/>
      <w:marTop w:val="0"/>
      <w:marBottom w:val="0"/>
      <w:divBdr>
        <w:top w:val="none" w:sz="0" w:space="0" w:color="auto"/>
        <w:left w:val="none" w:sz="0" w:space="0" w:color="auto"/>
        <w:bottom w:val="none" w:sz="0" w:space="0" w:color="auto"/>
        <w:right w:val="none" w:sz="0" w:space="0" w:color="auto"/>
      </w:divBdr>
    </w:div>
    <w:div w:id="1993676195">
      <w:bodyDiv w:val="1"/>
      <w:marLeft w:val="0"/>
      <w:marRight w:val="0"/>
      <w:marTop w:val="0"/>
      <w:marBottom w:val="0"/>
      <w:divBdr>
        <w:top w:val="none" w:sz="0" w:space="0" w:color="auto"/>
        <w:left w:val="none" w:sz="0" w:space="0" w:color="auto"/>
        <w:bottom w:val="none" w:sz="0" w:space="0" w:color="auto"/>
        <w:right w:val="none" w:sz="0" w:space="0" w:color="auto"/>
      </w:divBdr>
    </w:div>
    <w:div w:id="2005738919">
      <w:bodyDiv w:val="1"/>
      <w:marLeft w:val="0"/>
      <w:marRight w:val="0"/>
      <w:marTop w:val="0"/>
      <w:marBottom w:val="0"/>
      <w:divBdr>
        <w:top w:val="none" w:sz="0" w:space="0" w:color="auto"/>
        <w:left w:val="none" w:sz="0" w:space="0" w:color="auto"/>
        <w:bottom w:val="none" w:sz="0" w:space="0" w:color="auto"/>
        <w:right w:val="none" w:sz="0" w:space="0" w:color="auto"/>
      </w:divBdr>
    </w:div>
    <w:div w:id="2009089971">
      <w:bodyDiv w:val="1"/>
      <w:marLeft w:val="0"/>
      <w:marRight w:val="0"/>
      <w:marTop w:val="0"/>
      <w:marBottom w:val="0"/>
      <w:divBdr>
        <w:top w:val="none" w:sz="0" w:space="0" w:color="auto"/>
        <w:left w:val="none" w:sz="0" w:space="0" w:color="auto"/>
        <w:bottom w:val="none" w:sz="0" w:space="0" w:color="auto"/>
        <w:right w:val="none" w:sz="0" w:space="0" w:color="auto"/>
      </w:divBdr>
    </w:div>
    <w:div w:id="2013414432">
      <w:bodyDiv w:val="1"/>
      <w:marLeft w:val="0"/>
      <w:marRight w:val="0"/>
      <w:marTop w:val="0"/>
      <w:marBottom w:val="0"/>
      <w:divBdr>
        <w:top w:val="none" w:sz="0" w:space="0" w:color="auto"/>
        <w:left w:val="none" w:sz="0" w:space="0" w:color="auto"/>
        <w:bottom w:val="none" w:sz="0" w:space="0" w:color="auto"/>
        <w:right w:val="none" w:sz="0" w:space="0" w:color="auto"/>
      </w:divBdr>
    </w:div>
    <w:div w:id="2023511166">
      <w:bodyDiv w:val="1"/>
      <w:marLeft w:val="0"/>
      <w:marRight w:val="0"/>
      <w:marTop w:val="0"/>
      <w:marBottom w:val="0"/>
      <w:divBdr>
        <w:top w:val="none" w:sz="0" w:space="0" w:color="auto"/>
        <w:left w:val="none" w:sz="0" w:space="0" w:color="auto"/>
        <w:bottom w:val="none" w:sz="0" w:space="0" w:color="auto"/>
        <w:right w:val="none" w:sz="0" w:space="0" w:color="auto"/>
      </w:divBdr>
    </w:div>
    <w:div w:id="2041861011">
      <w:bodyDiv w:val="1"/>
      <w:marLeft w:val="0"/>
      <w:marRight w:val="0"/>
      <w:marTop w:val="0"/>
      <w:marBottom w:val="0"/>
      <w:divBdr>
        <w:top w:val="none" w:sz="0" w:space="0" w:color="auto"/>
        <w:left w:val="none" w:sz="0" w:space="0" w:color="auto"/>
        <w:bottom w:val="none" w:sz="0" w:space="0" w:color="auto"/>
        <w:right w:val="none" w:sz="0" w:space="0" w:color="auto"/>
      </w:divBdr>
    </w:div>
    <w:div w:id="2065057649">
      <w:bodyDiv w:val="1"/>
      <w:marLeft w:val="0"/>
      <w:marRight w:val="0"/>
      <w:marTop w:val="0"/>
      <w:marBottom w:val="0"/>
      <w:divBdr>
        <w:top w:val="none" w:sz="0" w:space="0" w:color="auto"/>
        <w:left w:val="none" w:sz="0" w:space="0" w:color="auto"/>
        <w:bottom w:val="none" w:sz="0" w:space="0" w:color="auto"/>
        <w:right w:val="none" w:sz="0" w:space="0" w:color="auto"/>
      </w:divBdr>
    </w:div>
    <w:div w:id="2094157839">
      <w:bodyDiv w:val="1"/>
      <w:marLeft w:val="0"/>
      <w:marRight w:val="0"/>
      <w:marTop w:val="0"/>
      <w:marBottom w:val="0"/>
      <w:divBdr>
        <w:top w:val="none" w:sz="0" w:space="0" w:color="auto"/>
        <w:left w:val="none" w:sz="0" w:space="0" w:color="auto"/>
        <w:bottom w:val="none" w:sz="0" w:space="0" w:color="auto"/>
        <w:right w:val="none" w:sz="0" w:space="0" w:color="auto"/>
      </w:divBdr>
    </w:div>
    <w:div w:id="2109814014">
      <w:bodyDiv w:val="1"/>
      <w:marLeft w:val="0"/>
      <w:marRight w:val="0"/>
      <w:marTop w:val="0"/>
      <w:marBottom w:val="0"/>
      <w:divBdr>
        <w:top w:val="none" w:sz="0" w:space="0" w:color="auto"/>
        <w:left w:val="none" w:sz="0" w:space="0" w:color="auto"/>
        <w:bottom w:val="none" w:sz="0" w:space="0" w:color="auto"/>
        <w:right w:val="none" w:sz="0" w:space="0" w:color="auto"/>
      </w:divBdr>
    </w:div>
    <w:div w:id="2110468423">
      <w:bodyDiv w:val="1"/>
      <w:marLeft w:val="0"/>
      <w:marRight w:val="0"/>
      <w:marTop w:val="0"/>
      <w:marBottom w:val="0"/>
      <w:divBdr>
        <w:top w:val="none" w:sz="0" w:space="0" w:color="auto"/>
        <w:left w:val="none" w:sz="0" w:space="0" w:color="auto"/>
        <w:bottom w:val="none" w:sz="0" w:space="0" w:color="auto"/>
        <w:right w:val="none" w:sz="0" w:space="0" w:color="auto"/>
      </w:divBdr>
    </w:div>
    <w:div w:id="21258068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abs.gov.au/statistics/health/mental-health/national-study-mental-health-and-wellbeing/latest-release" TargetMode="External"/><Relationship Id="rId18" Type="http://schemas.openxmlformats.org/officeDocument/2006/relationships/hyperlink" Target="https://www.safetyandquality.gov.au/standards/national-safety-and-quality-digital-mental-health-standards" TargetMode="External"/><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yperlink" Target="http://www.mbsonline.gov.au/internet/mbsonline/publishing.nsf/Content/Factsheet-Mental-Health-Aged-Care" TargetMode="Externa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s://iar-dst.online/" TargetMode="External"/><Relationship Id="rId25" Type="http://schemas.openxmlformats.org/officeDocument/2006/relationships/hyperlink" Target="https://www.amhocn.org/" TargetMode="External"/><Relationship Id="rId2" Type="http://schemas.openxmlformats.org/officeDocument/2006/relationships/customXml" Target="../customXml/item2.xml"/><Relationship Id="rId16" Type="http://schemas.openxmlformats.org/officeDocument/2006/relationships/hyperlink" Target="https://www.health.gov.au/committees-and-groups/national-mental-health-workforce-strategy-taskforce" TargetMode="External"/><Relationship Id="rId20" Type="http://schemas.openxmlformats.org/officeDocument/2006/relationships/hyperlink" Target="https://www.health.gov.au/initiatives-and-programs/medicare-benefits-schedule-better-access-initiative-mental-health-support-for-aged-care-residents-during-the-covid-19-pandemic"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pmhc-mds.net/" TargetMode="External"/><Relationship Id="rId5" Type="http://schemas.openxmlformats.org/officeDocument/2006/relationships/numbering" Target="numbering.xml"/><Relationship Id="rId15" Type="http://schemas.openxmlformats.org/officeDocument/2006/relationships/hyperlink" Target="https://psychology.org.au/for-members/news-and-updates/news/2022/australians-need-psychological-help-more-than-ever" TargetMode="External"/><Relationship Id="rId23" Type="http://schemas.openxmlformats.org/officeDocument/2006/relationships/hyperlink" Target="https://www.england.nhs.uk/mental-health/adults/iapt/" TargetMode="External"/><Relationship Id="rId28"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health.gov.au/committees-and-groups/strengthening-medicare-taskforce"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health.gov.au/initiatives-and-programs/better-access-initiative" TargetMode="External"/><Relationship Id="rId22" Type="http://schemas.openxmlformats.org/officeDocument/2006/relationships/hyperlink" Target="https://iaptus.co.uk/"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_activity xmlns="c702889a-9ce2-4fdf-905e-eb524ce25d24"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C3789517EA023145A43B5DA401F79A3C" ma:contentTypeVersion="15" ma:contentTypeDescription="Create a new document." ma:contentTypeScope="" ma:versionID="0778eec91652441650f0b2f7f1ff6982">
  <xsd:schema xmlns:xsd="http://www.w3.org/2001/XMLSchema" xmlns:xs="http://www.w3.org/2001/XMLSchema" xmlns:p="http://schemas.microsoft.com/office/2006/metadata/properties" xmlns:ns3="c702889a-9ce2-4fdf-905e-eb524ce25d24" xmlns:ns4="196d3b79-9ce5-41d6-a44f-09f0f52120e8" targetNamespace="http://schemas.microsoft.com/office/2006/metadata/properties" ma:root="true" ma:fieldsID="9c9c2408c5216719629007aaa2f10462" ns3:_="" ns4:_="">
    <xsd:import namespace="c702889a-9ce2-4fdf-905e-eb524ce25d24"/>
    <xsd:import namespace="196d3b79-9ce5-41d6-a44f-09f0f52120e8"/>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element ref="ns3:MediaServiceEventHashCode" minOccurs="0"/>
                <xsd:element ref="ns3:MediaServiceGenerationTime" minOccurs="0"/>
                <xsd:element ref="ns4:SharedWithUsers" minOccurs="0"/>
                <xsd:element ref="ns4:SharedWithDetails" minOccurs="0"/>
                <xsd:element ref="ns4:SharingHintHash" minOccurs="0"/>
                <xsd:element ref="ns3:MediaServiceAutoKeyPoints" minOccurs="0"/>
                <xsd:element ref="ns3:MediaServiceKeyPoints" minOccurs="0"/>
                <xsd:element ref="ns3:MediaLengthInSeconds" minOccurs="0"/>
                <xsd:element ref="ns3:_activit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702889a-9ce2-4fdf-905e-eb524ce25d24"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0" nillable="true" ma:displayName="MediaServiceAutoTags" ma:internalName="MediaServiceAutoTags" ma:readOnly="true">
      <xsd:simpleType>
        <xsd:restriction base="dms:Text"/>
      </xsd:simpleType>
    </xsd:element>
    <xsd:element name="MediaServiceOCR" ma:index="11" nillable="true" ma:displayName="MediaServiceOCR"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MediaServiceLocation" ma:internalName="MediaServiceLocation"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96d3b79-9ce5-41d6-a44f-09f0f52120e8"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28F35D3-602F-4A3A-B8A1-3E0F6CA491A4}">
  <ds:schemaRefs>
    <ds:schemaRef ds:uri="http://schemas.openxmlformats.org/officeDocument/2006/bibliography"/>
  </ds:schemaRefs>
</ds:datastoreItem>
</file>

<file path=customXml/itemProps2.xml><?xml version="1.0" encoding="utf-8"?>
<ds:datastoreItem xmlns:ds="http://schemas.openxmlformats.org/officeDocument/2006/customXml" ds:itemID="{3E0157B6-BA4B-41F6-A89D-A5141E9FDBAD}">
  <ds:schemaRefs>
    <ds:schemaRef ds:uri="http://purl.org/dc/dcmitype/"/>
    <ds:schemaRef ds:uri="http://schemas.microsoft.com/office/infopath/2007/PartnerControls"/>
    <ds:schemaRef ds:uri="c702889a-9ce2-4fdf-905e-eb524ce25d24"/>
    <ds:schemaRef ds:uri="http://purl.org/dc/elements/1.1/"/>
    <ds:schemaRef ds:uri="http://schemas.microsoft.com/office/2006/metadata/properties"/>
    <ds:schemaRef ds:uri="http://schemas.microsoft.com/office/2006/documentManagement/types"/>
    <ds:schemaRef ds:uri="http://purl.org/dc/terms/"/>
    <ds:schemaRef ds:uri="196d3b79-9ce5-41d6-a44f-09f0f52120e8"/>
    <ds:schemaRef ds:uri="http://schemas.openxmlformats.org/package/2006/metadata/core-properties"/>
    <ds:schemaRef ds:uri="http://www.w3.org/XML/1998/namespace"/>
  </ds:schemaRefs>
</ds:datastoreItem>
</file>

<file path=customXml/itemProps3.xml><?xml version="1.0" encoding="utf-8"?>
<ds:datastoreItem xmlns:ds="http://schemas.openxmlformats.org/officeDocument/2006/customXml" ds:itemID="{23AD1BA3-C762-42A6-A10C-9F8AC0C6AC27}">
  <ds:schemaRefs>
    <ds:schemaRef ds:uri="http://schemas.microsoft.com/sharepoint/v3/contenttype/forms"/>
  </ds:schemaRefs>
</ds:datastoreItem>
</file>

<file path=customXml/itemProps4.xml><?xml version="1.0" encoding="utf-8"?>
<ds:datastoreItem xmlns:ds="http://schemas.openxmlformats.org/officeDocument/2006/customXml" ds:itemID="{43A5AE54-835E-468D-9726-B4504AFAC4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702889a-9ce2-4fdf-905e-eb524ce25d24"/>
    <ds:schemaRef ds:uri="196d3b79-9ce5-41d6-a44f-09f0f52120e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13</Pages>
  <Words>11615</Words>
  <Characters>66206</Characters>
  <Application>Microsoft Office Word</Application>
  <DocSecurity>4</DocSecurity>
  <Lines>551</Lines>
  <Paragraphs>155</Paragraphs>
  <ScaleCrop>false</ScaleCrop>
  <HeadingPairs>
    <vt:vector size="2" baseType="variant">
      <vt:variant>
        <vt:lpstr>Title</vt:lpstr>
      </vt:variant>
      <vt:variant>
        <vt:i4>1</vt:i4>
      </vt:variant>
    </vt:vector>
  </HeadingPairs>
  <TitlesOfParts>
    <vt:vector size="1" baseType="lpstr">
      <vt:lpstr>Conclusions and Recommendations - Evaluation of Better Access  8 December 2022</vt:lpstr>
    </vt:vector>
  </TitlesOfParts>
  <Company/>
  <LinksUpToDate>false</LinksUpToDate>
  <CharactersWithSpaces>77666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Conclusions and Recommendations - Evaluation of Better Access  8 December 2022</dc:title>
  <dc:subject>Mental health and suicide prevention</dc:subject>
  <dc:creator>Australian Government Department of Health and Aged Care</dc:creator>
  <cp:keywords>Mental Health;Better Access; Mental health and suicide prevention</cp:keywords>
  <dc:description/>
  <cp:lastModifiedBy>Department of Health and Aged Care</cp:lastModifiedBy>
  <cp:revision>2</cp:revision>
  <cp:lastPrinted>2022-12-06T04:09:00Z</cp:lastPrinted>
  <dcterms:created xsi:type="dcterms:W3CDTF">2023-04-10T23:03:00Z</dcterms:created>
  <dcterms:modified xsi:type="dcterms:W3CDTF">2023-04-10T23:03:00Z</dcterms:modified>
</cp:coreProperties>
</file>