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ABA1E" w14:textId="08BC6BFA" w:rsidR="007B1B31" w:rsidRPr="00F617B1" w:rsidRDefault="003E6A80" w:rsidP="05674626">
      <w:pPr>
        <w:pStyle w:val="Covertitle"/>
        <w:rPr>
          <w:rFonts w:cs="Segoe UI"/>
          <w:b/>
          <w:bCs/>
          <w:color w:val="FFFFFF" w:themeColor="background1"/>
          <w:sz w:val="64"/>
          <w:szCs w:val="64"/>
        </w:rPr>
      </w:pPr>
      <w:bookmarkStart w:id="0" w:name="_Ref82624824"/>
      <w:bookmarkEnd w:id="0"/>
      <w:r w:rsidRPr="00ED0134">
        <w:rPr>
          <w:rFonts w:cs="Segoe UI"/>
          <w:b/>
          <w:noProof/>
          <w:color w:val="FFFFFF" w:themeColor="background1"/>
          <w:sz w:val="64"/>
          <w:szCs w:val="64"/>
        </w:rPr>
        <w:drawing>
          <wp:anchor distT="0" distB="0" distL="114300" distR="114300" simplePos="0" relativeHeight="251658240" behindDoc="1" locked="0" layoutInCell="1" allowOverlap="1" wp14:anchorId="1ACF380A" wp14:editId="1F54A12B">
            <wp:simplePos x="0" y="0"/>
            <wp:positionH relativeFrom="page">
              <wp:posOffset>8890</wp:posOffset>
            </wp:positionH>
            <wp:positionV relativeFrom="page">
              <wp:posOffset>0</wp:posOffset>
            </wp:positionV>
            <wp:extent cx="7559998" cy="10693741"/>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9998" cy="10693741"/>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Segoe UI"/>
            <w:b/>
            <w:bCs/>
            <w:color w:val="FFFFFF" w:themeColor="background1"/>
            <w:sz w:val="64"/>
            <w:szCs w:val="64"/>
          </w:rPr>
          <w:id w:val="803730555"/>
          <w:placeholder>
            <w:docPart w:val="DefaultPlaceholder_1081868574"/>
          </w:placeholder>
          <w:docPartObj>
            <w:docPartGallery w:val="Cover Pages"/>
            <w:docPartUnique/>
          </w:docPartObj>
        </w:sdtPr>
        <w:sdtEndPr>
          <w:rPr>
            <w:sz w:val="36"/>
            <w:szCs w:val="36"/>
          </w:rPr>
        </w:sdtEndPr>
        <w:sdtContent>
          <w:sdt>
            <w:sdtPr>
              <w:rPr>
                <w:rFonts w:cs="Segoe UI"/>
                <w:b/>
                <w:bCs/>
                <w:color w:val="FFFFFF" w:themeColor="background1"/>
                <w:sz w:val="64"/>
                <w:szCs w:val="64"/>
              </w:rPr>
              <w:alias w:val="Title"/>
              <w:tag w:val=""/>
              <w:id w:val="-1850469689"/>
              <w:placeholder>
                <w:docPart w:val="DefaultPlaceholder_1081868574"/>
              </w:placeholder>
              <w:dataBinding w:prefixMappings="xmlns:ns0='http://purl.org/dc/elements/1.1/' xmlns:ns1='http://schemas.openxmlformats.org/package/2006/metadata/core-properties' " w:xpath="/ns1:coreProperties[1]/ns0:title[1]" w:storeItemID="{6C3C8BC8-F283-45AE-878A-BAB7291924A1}"/>
              <w:text/>
            </w:sdtPr>
            <w:sdtEndPr/>
            <w:sdtContent>
              <w:r w:rsidR="00A04CE6">
                <w:rPr>
                  <w:rFonts w:cs="Segoe UI"/>
                  <w:b/>
                  <w:bCs/>
                  <w:color w:val="FFFFFF" w:themeColor="background1"/>
                  <w:sz w:val="64"/>
                  <w:szCs w:val="64"/>
                </w:rPr>
                <w:t xml:space="preserve">The Way Back Support Services Evaluation | </w:t>
              </w:r>
              <w:r w:rsidR="00813602">
                <w:rPr>
                  <w:rFonts w:cs="Segoe UI"/>
                  <w:b/>
                  <w:bCs/>
                  <w:color w:val="FFFFFF" w:themeColor="background1"/>
                  <w:sz w:val="64"/>
                  <w:szCs w:val="64"/>
                </w:rPr>
                <w:t xml:space="preserve">Final </w:t>
              </w:r>
              <w:r w:rsidR="00A04CE6">
                <w:rPr>
                  <w:rFonts w:cs="Segoe UI"/>
                  <w:b/>
                  <w:bCs/>
                  <w:color w:val="FFFFFF" w:themeColor="background1"/>
                  <w:sz w:val="64"/>
                  <w:szCs w:val="64"/>
                </w:rPr>
                <w:t>Evaluation</w:t>
              </w:r>
              <w:r w:rsidR="00813602">
                <w:rPr>
                  <w:rFonts w:cs="Segoe UI"/>
                  <w:b/>
                  <w:bCs/>
                  <w:color w:val="FFFFFF" w:themeColor="background1"/>
                  <w:sz w:val="64"/>
                  <w:szCs w:val="64"/>
                </w:rPr>
                <w:t xml:space="preserve"> Report</w:t>
              </w:r>
            </w:sdtContent>
          </w:sdt>
        </w:sdtContent>
      </w:sdt>
    </w:p>
    <w:p w14:paraId="6DB307E2" w14:textId="42B6F71E" w:rsidR="007B1B31" w:rsidRPr="00775486" w:rsidRDefault="00775486" w:rsidP="00775486">
      <w:pPr>
        <w:pStyle w:val="CoverPage-Client"/>
      </w:pPr>
      <w:r w:rsidRPr="00775486">
        <w:t xml:space="preserve">Beyond </w:t>
      </w:r>
      <w:r>
        <w:t>B</w:t>
      </w:r>
      <w:r w:rsidRPr="00775486">
        <w:t>lue</w:t>
      </w:r>
    </w:p>
    <w:p w14:paraId="739E4BCF" w14:textId="0DD428FC" w:rsidR="003E6A80" w:rsidRPr="00C30495" w:rsidRDefault="002658F9" w:rsidP="00C30495">
      <w:pPr>
        <w:pStyle w:val="CoverPage-Date"/>
        <w:tabs>
          <w:tab w:val="left" w:pos="993"/>
        </w:tabs>
        <w:spacing w:before="240"/>
        <w:rPr>
          <w:color w:val="FFFFFF" w:themeColor="background1"/>
        </w:rPr>
        <w:sectPr w:rsidR="003E6A80" w:rsidRPr="00C30495" w:rsidSect="00855715">
          <w:headerReference w:type="default" r:id="rId13"/>
          <w:footerReference w:type="default" r:id="rId14"/>
          <w:headerReference w:type="first" r:id="rId15"/>
          <w:pgSz w:w="11907" w:h="16839" w:code="9"/>
          <w:pgMar w:top="4820" w:right="1418" w:bottom="1701" w:left="1559" w:header="737" w:footer="567" w:gutter="0"/>
          <w:pgNumType w:start="0"/>
          <w:cols w:space="720"/>
          <w:titlePg/>
          <w:docGrid w:linePitch="360"/>
        </w:sectPr>
      </w:pPr>
      <w:sdt>
        <w:sdtPr>
          <w:rPr>
            <w:rStyle w:val="CoverPage-DateChar"/>
            <w:rFonts w:cs="Segoe UI"/>
            <w:b/>
            <w:bCs/>
            <w:color w:val="FFFFFF" w:themeColor="background1"/>
            <w:sz w:val="20"/>
            <w:szCs w:val="20"/>
          </w:rPr>
          <w:alias w:val="Publish Date"/>
          <w:tag w:val=""/>
          <w:id w:val="-443608997"/>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rPr>
            <w:rStyle w:val="DefaultParagraphFont"/>
            <w:rFonts w:cs="Times New Roman"/>
            <w:sz w:val="24"/>
            <w:szCs w:val="19"/>
          </w:rPr>
        </w:sdtEndPr>
        <w:sdtContent>
          <w:r w:rsidR="00C30495" w:rsidRPr="009B6EFF">
            <w:rPr>
              <w:rStyle w:val="CoverPage-DateChar"/>
              <w:rFonts w:cs="Segoe UI"/>
              <w:b/>
              <w:bCs/>
              <w:color w:val="FFFFFF" w:themeColor="background1"/>
              <w:sz w:val="20"/>
              <w:szCs w:val="20"/>
            </w:rPr>
            <w:t>21 December 2022</w:t>
          </w:r>
        </w:sdtContent>
      </w:sdt>
    </w:p>
    <w:p w14:paraId="0DD83318" w14:textId="09FE76D6" w:rsidR="003E6A80" w:rsidRPr="006C6932" w:rsidRDefault="000500EF" w:rsidP="003723D2">
      <w:r>
        <w:rPr>
          <w:noProof/>
        </w:rPr>
        <w:lastRenderedPageBreak/>
        <w:drawing>
          <wp:anchor distT="0" distB="0" distL="114300" distR="114300" simplePos="0" relativeHeight="251667489" behindDoc="1" locked="0" layoutInCell="1" allowOverlap="1" wp14:anchorId="02219330" wp14:editId="08390BB4">
            <wp:simplePos x="0" y="0"/>
            <wp:positionH relativeFrom="page">
              <wp:posOffset>-635</wp:posOffset>
            </wp:positionH>
            <wp:positionV relativeFrom="paragraph">
              <wp:posOffset>-7258685</wp:posOffset>
            </wp:positionV>
            <wp:extent cx="7655442" cy="10653950"/>
            <wp:effectExtent l="0" t="0" r="3175" b="0"/>
            <wp:wrapNone/>
            <wp:docPr id="27882" name="Picture 278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2" name="Picture 27882">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55442" cy="10653950"/>
                    </a:xfrm>
                    <a:prstGeom prst="rect">
                      <a:avLst/>
                    </a:prstGeom>
                  </pic:spPr>
                </pic:pic>
              </a:graphicData>
            </a:graphic>
            <wp14:sizeRelH relativeFrom="margin">
              <wp14:pctWidth>0</wp14:pctWidth>
            </wp14:sizeRelH>
            <wp14:sizeRelV relativeFrom="margin">
              <wp14:pctHeight>0</wp14:pctHeight>
            </wp14:sizeRelV>
          </wp:anchor>
        </w:drawing>
      </w:r>
      <w:r w:rsidR="003E6A80" w:rsidRPr="006C6932">
        <w:t>Disclaimer:</w:t>
      </w:r>
    </w:p>
    <w:p w14:paraId="3A2CC63C" w14:textId="4ED4EF4C" w:rsidR="003E6A80" w:rsidRPr="00130FFF" w:rsidRDefault="003E6A80" w:rsidP="003723D2">
      <w:r w:rsidRPr="00130FFF">
        <w:t>Nous Group (</w:t>
      </w:r>
      <w:r w:rsidRPr="00130FFF">
        <w:rPr>
          <w:b/>
        </w:rPr>
        <w:t>Nous</w:t>
      </w:r>
      <w:r w:rsidRPr="00130FFF">
        <w:t xml:space="preserve">) has prepared this report for the benefit of </w:t>
      </w:r>
      <w:r>
        <w:t xml:space="preserve">the Beyond Blue </w:t>
      </w:r>
      <w:r w:rsidRPr="00130FFF">
        <w:t xml:space="preserve">(the </w:t>
      </w:r>
      <w:r w:rsidR="00FF44B5">
        <w:rPr>
          <w:b/>
        </w:rPr>
        <w:t>Client</w:t>
      </w:r>
      <w:r w:rsidRPr="00130FFF">
        <w:t>).</w:t>
      </w:r>
    </w:p>
    <w:p w14:paraId="62BDAD35" w14:textId="7F16D5C6" w:rsidR="007B1B31" w:rsidRDefault="007B1B31" w:rsidP="003723D2">
      <w:r w:rsidRPr="000970F6">
        <w:t xml:space="preserve">The report should not be used or relied upon for any purpose other than as an expression of the conclusions and recommendations of Nous to the </w:t>
      </w:r>
      <w:r w:rsidR="00FF44B5">
        <w:t xml:space="preserve">Client </w:t>
      </w:r>
      <w:r w:rsidRPr="000970F6">
        <w:t xml:space="preserve">as to the matters within the scope of the report. Nous and its officers and employees expressly disclaim any liability to any person other than the </w:t>
      </w:r>
      <w:r w:rsidR="00FF44B5">
        <w:t>Client</w:t>
      </w:r>
      <w:r w:rsidRPr="000970F6">
        <w:t xml:space="preserve"> who relies or purports to rely on the report for any other purpose.</w:t>
      </w:r>
      <w:r w:rsidR="004777E6">
        <w:t xml:space="preserve"> </w:t>
      </w:r>
      <w:r w:rsidRPr="000970F6">
        <w:t xml:space="preserve">Nous has prepared the report with care and diligence. The conclusions and recommendations given by Nous in the report are given in good faith and in the reasonable belief that they are correct and not misleading. The report has been prepared by Nous based on information provided by the </w:t>
      </w:r>
      <w:r w:rsidR="00FF44B5">
        <w:t>Client</w:t>
      </w:r>
      <w:r w:rsidRPr="000970F6">
        <w:t xml:space="preserve"> and by other persons. Nous has relied on that information and has not independently verified or audited that information.</w:t>
      </w:r>
    </w:p>
    <w:p w14:paraId="37ECF0C6" w14:textId="154DD50D" w:rsidR="00DF00F2" w:rsidRDefault="005951FD" w:rsidP="003723D2">
      <w:r w:rsidRPr="0058743C">
        <w:rPr>
          <w:iCs/>
          <w:sz w:val="18"/>
          <w:szCs w:val="18"/>
        </w:rPr>
        <w:t>©</w:t>
      </w:r>
      <w:r w:rsidRPr="0058743C">
        <w:rPr>
          <w:sz w:val="18"/>
          <w:szCs w:val="18"/>
        </w:rPr>
        <w:t xml:space="preserve"> Nous</w:t>
      </w:r>
      <w:r>
        <w:rPr>
          <w:sz w:val="18"/>
          <w:szCs w:val="18"/>
        </w:rPr>
        <w:t xml:space="preserve"> Group</w:t>
      </w:r>
    </w:p>
    <w:p w14:paraId="246A45BA" w14:textId="1402EB6E" w:rsidR="007B1B31" w:rsidRPr="0058743C" w:rsidRDefault="007B1B31" w:rsidP="007B1B31">
      <w:pPr>
        <w:rPr>
          <w:sz w:val="18"/>
          <w:szCs w:val="18"/>
        </w:rPr>
        <w:sectPr w:rsidR="007B1B31" w:rsidRPr="0058743C" w:rsidSect="00922A47">
          <w:headerReference w:type="default" r:id="rId17"/>
          <w:footerReference w:type="default" r:id="rId18"/>
          <w:footerReference w:type="first" r:id="rId19"/>
          <w:pgSz w:w="11907" w:h="16839" w:code="9"/>
          <w:pgMar w:top="11624" w:right="1418" w:bottom="1701" w:left="1559" w:header="737" w:footer="720" w:gutter="0"/>
          <w:pgNumType w:start="1"/>
          <w:cols w:space="720"/>
          <w:docGrid w:linePitch="360"/>
        </w:sectPr>
      </w:pPr>
    </w:p>
    <w:p w14:paraId="1C01C7B7" w14:textId="0D670118" w:rsidR="007B1B31" w:rsidRPr="00760DDA" w:rsidRDefault="007B1B31" w:rsidP="007B1B31">
      <w:pPr>
        <w:pStyle w:val="ContentsHeading"/>
      </w:pPr>
      <w:r w:rsidRPr="00760DDA">
        <w:lastRenderedPageBreak/>
        <w:t>Contents</w:t>
      </w:r>
    </w:p>
    <w:p w14:paraId="48E944A7" w14:textId="740714CC" w:rsidR="00892DE5" w:rsidRDefault="00496A92">
      <w:pPr>
        <w:pStyle w:val="TOC1"/>
        <w:rPr>
          <w:rFonts w:asciiTheme="minorHAnsi" w:eastAsiaTheme="minorEastAsia" w:hAnsiTheme="minorHAnsi"/>
          <w:sz w:val="22"/>
          <w:lang w:val="en-AU" w:eastAsia="en-AU"/>
        </w:rPr>
      </w:pPr>
      <w:r>
        <w:rPr>
          <w:lang w:eastAsia="en-AU"/>
        </w:rPr>
        <w:fldChar w:fldCharType="begin"/>
      </w:r>
      <w:r>
        <w:rPr>
          <w:lang w:val="en-AU" w:eastAsia="en-AU"/>
        </w:rPr>
        <w:instrText xml:space="preserve"> TOC \o "1-2" \h \z \u </w:instrText>
      </w:r>
      <w:r>
        <w:rPr>
          <w:lang w:eastAsia="en-AU"/>
        </w:rPr>
        <w:fldChar w:fldCharType="separate"/>
      </w:r>
      <w:hyperlink w:anchor="_Toc121320671" w:history="1">
        <w:r w:rsidR="00892DE5" w:rsidRPr="00E30382">
          <w:rPr>
            <w:rStyle w:val="Hyperlink"/>
          </w:rPr>
          <w:t>Glossary</w:t>
        </w:r>
        <w:r w:rsidR="00892DE5">
          <w:rPr>
            <w:rStyle w:val="Hyperlink"/>
          </w:rPr>
          <w:t>……….</w:t>
        </w:r>
        <w:r w:rsidR="00892DE5">
          <w:rPr>
            <w:webHidden/>
          </w:rPr>
          <w:tab/>
        </w:r>
        <w:r w:rsidR="00892DE5">
          <w:rPr>
            <w:webHidden/>
          </w:rPr>
          <w:fldChar w:fldCharType="begin"/>
        </w:r>
        <w:r w:rsidR="00892DE5">
          <w:rPr>
            <w:webHidden/>
          </w:rPr>
          <w:instrText xml:space="preserve"> PAGEREF _Toc121320671 \h </w:instrText>
        </w:r>
        <w:r w:rsidR="00892DE5">
          <w:rPr>
            <w:webHidden/>
          </w:rPr>
        </w:r>
        <w:r w:rsidR="00892DE5">
          <w:rPr>
            <w:webHidden/>
          </w:rPr>
          <w:fldChar w:fldCharType="separate"/>
        </w:r>
        <w:r w:rsidR="00402362">
          <w:rPr>
            <w:webHidden/>
          </w:rPr>
          <w:t>2</w:t>
        </w:r>
        <w:r w:rsidR="00892DE5">
          <w:rPr>
            <w:webHidden/>
          </w:rPr>
          <w:fldChar w:fldCharType="end"/>
        </w:r>
      </w:hyperlink>
    </w:p>
    <w:p w14:paraId="37FBA36B" w14:textId="54BAEBF3" w:rsidR="00892DE5" w:rsidRDefault="002658F9">
      <w:pPr>
        <w:pStyle w:val="TOC1"/>
        <w:rPr>
          <w:rFonts w:asciiTheme="minorHAnsi" w:eastAsiaTheme="minorEastAsia" w:hAnsiTheme="minorHAnsi"/>
          <w:sz w:val="22"/>
          <w:lang w:val="en-AU" w:eastAsia="en-AU"/>
        </w:rPr>
      </w:pPr>
      <w:hyperlink w:anchor="_Toc121320672" w:history="1">
        <w:r w:rsidR="00892DE5" w:rsidRPr="00E30382">
          <w:rPr>
            <w:rStyle w:val="Hyperlink"/>
          </w:rPr>
          <w:t>1</w:t>
        </w:r>
        <w:r w:rsidR="00892DE5">
          <w:rPr>
            <w:rFonts w:asciiTheme="minorHAnsi" w:eastAsiaTheme="minorEastAsia" w:hAnsiTheme="minorHAnsi"/>
            <w:sz w:val="22"/>
            <w:lang w:val="en-AU" w:eastAsia="en-AU"/>
          </w:rPr>
          <w:tab/>
        </w:r>
        <w:r w:rsidR="00892DE5" w:rsidRPr="00E30382">
          <w:rPr>
            <w:rStyle w:val="Hyperlink"/>
          </w:rPr>
          <w:t>Summary</w:t>
        </w:r>
        <w:r w:rsidR="00892DE5">
          <w:rPr>
            <w:webHidden/>
          </w:rPr>
          <w:tab/>
        </w:r>
        <w:r w:rsidR="00892DE5">
          <w:rPr>
            <w:webHidden/>
          </w:rPr>
          <w:fldChar w:fldCharType="begin"/>
        </w:r>
        <w:r w:rsidR="00892DE5">
          <w:rPr>
            <w:webHidden/>
          </w:rPr>
          <w:instrText xml:space="preserve"> PAGEREF _Toc121320672 \h </w:instrText>
        </w:r>
        <w:r w:rsidR="00892DE5">
          <w:rPr>
            <w:webHidden/>
          </w:rPr>
        </w:r>
        <w:r w:rsidR="00892DE5">
          <w:rPr>
            <w:webHidden/>
          </w:rPr>
          <w:fldChar w:fldCharType="separate"/>
        </w:r>
        <w:r w:rsidR="00402362">
          <w:rPr>
            <w:webHidden/>
          </w:rPr>
          <w:t>5</w:t>
        </w:r>
        <w:r w:rsidR="00892DE5">
          <w:rPr>
            <w:webHidden/>
          </w:rPr>
          <w:fldChar w:fldCharType="end"/>
        </w:r>
      </w:hyperlink>
    </w:p>
    <w:p w14:paraId="4BB9172A" w14:textId="2736A8BC" w:rsidR="00892DE5" w:rsidRDefault="002658F9">
      <w:pPr>
        <w:pStyle w:val="TOC1"/>
        <w:rPr>
          <w:rFonts w:asciiTheme="minorHAnsi" w:eastAsiaTheme="minorEastAsia" w:hAnsiTheme="minorHAnsi"/>
          <w:sz w:val="22"/>
          <w:lang w:val="en-AU" w:eastAsia="en-AU"/>
        </w:rPr>
      </w:pPr>
      <w:hyperlink w:anchor="_Toc121320673" w:history="1">
        <w:r w:rsidR="00892DE5" w:rsidRPr="00E30382">
          <w:rPr>
            <w:rStyle w:val="Hyperlink"/>
          </w:rPr>
          <w:t>2</w:t>
        </w:r>
        <w:r w:rsidR="00892DE5">
          <w:rPr>
            <w:rFonts w:asciiTheme="minorHAnsi" w:eastAsiaTheme="minorEastAsia" w:hAnsiTheme="minorHAnsi"/>
            <w:sz w:val="22"/>
            <w:lang w:val="en-AU" w:eastAsia="en-AU"/>
          </w:rPr>
          <w:tab/>
        </w:r>
        <w:r w:rsidR="00892DE5" w:rsidRPr="00E30382">
          <w:rPr>
            <w:rStyle w:val="Hyperlink"/>
          </w:rPr>
          <w:t>Introduction</w:t>
        </w:r>
        <w:r w:rsidR="00892DE5">
          <w:rPr>
            <w:webHidden/>
          </w:rPr>
          <w:tab/>
        </w:r>
        <w:r w:rsidR="00892DE5">
          <w:rPr>
            <w:webHidden/>
          </w:rPr>
          <w:fldChar w:fldCharType="begin"/>
        </w:r>
        <w:r w:rsidR="00892DE5">
          <w:rPr>
            <w:webHidden/>
          </w:rPr>
          <w:instrText xml:space="preserve"> PAGEREF _Toc121320673 \h </w:instrText>
        </w:r>
        <w:r w:rsidR="00892DE5">
          <w:rPr>
            <w:webHidden/>
          </w:rPr>
        </w:r>
        <w:r w:rsidR="00892DE5">
          <w:rPr>
            <w:webHidden/>
          </w:rPr>
          <w:fldChar w:fldCharType="separate"/>
        </w:r>
        <w:r w:rsidR="00402362">
          <w:rPr>
            <w:webHidden/>
          </w:rPr>
          <w:t>7</w:t>
        </w:r>
        <w:r w:rsidR="00892DE5">
          <w:rPr>
            <w:webHidden/>
          </w:rPr>
          <w:fldChar w:fldCharType="end"/>
        </w:r>
      </w:hyperlink>
    </w:p>
    <w:p w14:paraId="16BA7130" w14:textId="0B8D095D" w:rsidR="00892DE5" w:rsidRDefault="002658F9">
      <w:pPr>
        <w:pStyle w:val="TOC2"/>
        <w:rPr>
          <w:rFonts w:asciiTheme="minorHAnsi" w:eastAsiaTheme="minorEastAsia" w:hAnsiTheme="minorHAnsi"/>
          <w:noProof/>
          <w:sz w:val="22"/>
          <w:lang w:val="en-AU" w:eastAsia="en-AU"/>
        </w:rPr>
      </w:pPr>
      <w:hyperlink w:anchor="_Toc121320674" w:history="1">
        <w:r w:rsidR="00892DE5" w:rsidRPr="00E30382">
          <w:rPr>
            <w:rStyle w:val="Hyperlink"/>
            <w:bCs/>
            <w:noProof/>
          </w:rPr>
          <w:t>2.1</w:t>
        </w:r>
        <w:r w:rsidR="00892DE5">
          <w:rPr>
            <w:rFonts w:asciiTheme="minorHAnsi" w:eastAsiaTheme="minorEastAsia" w:hAnsiTheme="minorHAnsi"/>
            <w:noProof/>
            <w:sz w:val="22"/>
            <w:lang w:val="en-AU" w:eastAsia="en-AU"/>
          </w:rPr>
          <w:tab/>
        </w:r>
        <w:r w:rsidR="00892DE5" w:rsidRPr="00E30382">
          <w:rPr>
            <w:rStyle w:val="Hyperlink"/>
            <w:noProof/>
          </w:rPr>
          <w:t>Overview of The Way Back</w:t>
        </w:r>
        <w:r w:rsidR="00892DE5">
          <w:rPr>
            <w:noProof/>
            <w:webHidden/>
          </w:rPr>
          <w:tab/>
        </w:r>
        <w:r w:rsidR="00892DE5">
          <w:rPr>
            <w:noProof/>
            <w:webHidden/>
          </w:rPr>
          <w:fldChar w:fldCharType="begin"/>
        </w:r>
        <w:r w:rsidR="00892DE5">
          <w:rPr>
            <w:noProof/>
            <w:webHidden/>
          </w:rPr>
          <w:instrText xml:space="preserve"> PAGEREF _Toc121320674 \h </w:instrText>
        </w:r>
        <w:r w:rsidR="00892DE5">
          <w:rPr>
            <w:noProof/>
            <w:webHidden/>
          </w:rPr>
        </w:r>
        <w:r w:rsidR="00892DE5">
          <w:rPr>
            <w:noProof/>
            <w:webHidden/>
          </w:rPr>
          <w:fldChar w:fldCharType="separate"/>
        </w:r>
        <w:r w:rsidR="00402362">
          <w:rPr>
            <w:noProof/>
            <w:webHidden/>
          </w:rPr>
          <w:t>7</w:t>
        </w:r>
        <w:r w:rsidR="00892DE5">
          <w:rPr>
            <w:noProof/>
            <w:webHidden/>
          </w:rPr>
          <w:fldChar w:fldCharType="end"/>
        </w:r>
      </w:hyperlink>
    </w:p>
    <w:p w14:paraId="09950A7E" w14:textId="52FD857D" w:rsidR="00892DE5" w:rsidRDefault="002658F9">
      <w:pPr>
        <w:pStyle w:val="TOC2"/>
        <w:rPr>
          <w:rFonts w:asciiTheme="minorHAnsi" w:eastAsiaTheme="minorEastAsia" w:hAnsiTheme="minorHAnsi"/>
          <w:noProof/>
          <w:sz w:val="22"/>
          <w:lang w:val="en-AU" w:eastAsia="en-AU"/>
        </w:rPr>
      </w:pPr>
      <w:hyperlink w:anchor="_Toc121320675" w:history="1">
        <w:r w:rsidR="00892DE5" w:rsidRPr="00E30382">
          <w:rPr>
            <w:rStyle w:val="Hyperlink"/>
            <w:bCs/>
            <w:noProof/>
          </w:rPr>
          <w:t>2.2</w:t>
        </w:r>
        <w:r w:rsidR="00892DE5">
          <w:rPr>
            <w:rFonts w:asciiTheme="minorHAnsi" w:eastAsiaTheme="minorEastAsia" w:hAnsiTheme="minorHAnsi"/>
            <w:noProof/>
            <w:sz w:val="22"/>
            <w:lang w:val="en-AU" w:eastAsia="en-AU"/>
          </w:rPr>
          <w:tab/>
        </w:r>
        <w:r w:rsidR="00892DE5" w:rsidRPr="00E30382">
          <w:rPr>
            <w:rStyle w:val="Hyperlink"/>
            <w:noProof/>
          </w:rPr>
          <w:t>Purpose of the evaluation and this report</w:t>
        </w:r>
        <w:r w:rsidR="00892DE5">
          <w:rPr>
            <w:noProof/>
            <w:webHidden/>
          </w:rPr>
          <w:tab/>
        </w:r>
        <w:r w:rsidR="00892DE5">
          <w:rPr>
            <w:noProof/>
            <w:webHidden/>
          </w:rPr>
          <w:fldChar w:fldCharType="begin"/>
        </w:r>
        <w:r w:rsidR="00892DE5">
          <w:rPr>
            <w:noProof/>
            <w:webHidden/>
          </w:rPr>
          <w:instrText xml:space="preserve"> PAGEREF _Toc121320675 \h </w:instrText>
        </w:r>
        <w:r w:rsidR="00892DE5">
          <w:rPr>
            <w:noProof/>
            <w:webHidden/>
          </w:rPr>
        </w:r>
        <w:r w:rsidR="00892DE5">
          <w:rPr>
            <w:noProof/>
            <w:webHidden/>
          </w:rPr>
          <w:fldChar w:fldCharType="separate"/>
        </w:r>
        <w:r w:rsidR="00402362">
          <w:rPr>
            <w:noProof/>
            <w:webHidden/>
          </w:rPr>
          <w:t>8</w:t>
        </w:r>
        <w:r w:rsidR="00892DE5">
          <w:rPr>
            <w:noProof/>
            <w:webHidden/>
          </w:rPr>
          <w:fldChar w:fldCharType="end"/>
        </w:r>
      </w:hyperlink>
    </w:p>
    <w:p w14:paraId="35C04543" w14:textId="38950CC3" w:rsidR="00892DE5" w:rsidRDefault="002658F9">
      <w:pPr>
        <w:pStyle w:val="TOC2"/>
        <w:rPr>
          <w:rFonts w:asciiTheme="minorHAnsi" w:eastAsiaTheme="minorEastAsia" w:hAnsiTheme="minorHAnsi"/>
          <w:noProof/>
          <w:sz w:val="22"/>
          <w:lang w:val="en-AU" w:eastAsia="en-AU"/>
        </w:rPr>
      </w:pPr>
      <w:hyperlink w:anchor="_Toc121320676" w:history="1">
        <w:r w:rsidR="00892DE5" w:rsidRPr="00E30382">
          <w:rPr>
            <w:rStyle w:val="Hyperlink"/>
            <w:bCs/>
            <w:noProof/>
          </w:rPr>
          <w:t>2.3</w:t>
        </w:r>
        <w:r w:rsidR="00892DE5">
          <w:rPr>
            <w:rFonts w:asciiTheme="minorHAnsi" w:eastAsiaTheme="minorEastAsia" w:hAnsiTheme="minorHAnsi"/>
            <w:noProof/>
            <w:sz w:val="22"/>
            <w:lang w:val="en-AU" w:eastAsia="en-AU"/>
          </w:rPr>
          <w:tab/>
        </w:r>
        <w:r w:rsidR="00892DE5" w:rsidRPr="00E30382">
          <w:rPr>
            <w:rStyle w:val="Hyperlink"/>
            <w:noProof/>
          </w:rPr>
          <w:t>Evaluation methodology</w:t>
        </w:r>
        <w:r w:rsidR="00892DE5">
          <w:rPr>
            <w:noProof/>
            <w:webHidden/>
          </w:rPr>
          <w:tab/>
        </w:r>
        <w:r w:rsidR="00892DE5">
          <w:rPr>
            <w:noProof/>
            <w:webHidden/>
          </w:rPr>
          <w:fldChar w:fldCharType="begin"/>
        </w:r>
        <w:r w:rsidR="00892DE5">
          <w:rPr>
            <w:noProof/>
            <w:webHidden/>
          </w:rPr>
          <w:instrText xml:space="preserve"> PAGEREF _Toc121320676 \h </w:instrText>
        </w:r>
        <w:r w:rsidR="00892DE5">
          <w:rPr>
            <w:noProof/>
            <w:webHidden/>
          </w:rPr>
        </w:r>
        <w:r w:rsidR="00892DE5">
          <w:rPr>
            <w:noProof/>
            <w:webHidden/>
          </w:rPr>
          <w:fldChar w:fldCharType="separate"/>
        </w:r>
        <w:r w:rsidR="00402362">
          <w:rPr>
            <w:noProof/>
            <w:webHidden/>
          </w:rPr>
          <w:t>9</w:t>
        </w:r>
        <w:r w:rsidR="00892DE5">
          <w:rPr>
            <w:noProof/>
            <w:webHidden/>
          </w:rPr>
          <w:fldChar w:fldCharType="end"/>
        </w:r>
      </w:hyperlink>
    </w:p>
    <w:p w14:paraId="2C2DEBBD" w14:textId="22CFDCF4" w:rsidR="00892DE5" w:rsidRDefault="002658F9">
      <w:pPr>
        <w:pStyle w:val="TOC2"/>
        <w:rPr>
          <w:rFonts w:asciiTheme="minorHAnsi" w:eastAsiaTheme="minorEastAsia" w:hAnsiTheme="minorHAnsi"/>
          <w:noProof/>
          <w:sz w:val="22"/>
          <w:lang w:val="en-AU" w:eastAsia="en-AU"/>
        </w:rPr>
      </w:pPr>
      <w:hyperlink w:anchor="_Toc121320677" w:history="1">
        <w:r w:rsidR="00892DE5" w:rsidRPr="00E30382">
          <w:rPr>
            <w:rStyle w:val="Hyperlink"/>
            <w:bCs/>
            <w:noProof/>
          </w:rPr>
          <w:t>2.4</w:t>
        </w:r>
        <w:r w:rsidR="00892DE5">
          <w:rPr>
            <w:rFonts w:asciiTheme="minorHAnsi" w:eastAsiaTheme="minorEastAsia" w:hAnsiTheme="minorHAnsi"/>
            <w:noProof/>
            <w:sz w:val="22"/>
            <w:lang w:val="en-AU" w:eastAsia="en-AU"/>
          </w:rPr>
          <w:tab/>
        </w:r>
        <w:r w:rsidR="00892DE5" w:rsidRPr="00E30382">
          <w:rPr>
            <w:rStyle w:val="Hyperlink"/>
            <w:noProof/>
          </w:rPr>
          <w:t xml:space="preserve">Evaluation limitations </w:t>
        </w:r>
        <w:r w:rsidR="00892DE5">
          <w:rPr>
            <w:noProof/>
            <w:webHidden/>
          </w:rPr>
          <w:tab/>
        </w:r>
        <w:r w:rsidR="00892DE5">
          <w:rPr>
            <w:noProof/>
            <w:webHidden/>
          </w:rPr>
          <w:fldChar w:fldCharType="begin"/>
        </w:r>
        <w:r w:rsidR="00892DE5">
          <w:rPr>
            <w:noProof/>
            <w:webHidden/>
          </w:rPr>
          <w:instrText xml:space="preserve"> PAGEREF _Toc121320677 \h </w:instrText>
        </w:r>
        <w:r w:rsidR="00892DE5">
          <w:rPr>
            <w:noProof/>
            <w:webHidden/>
          </w:rPr>
        </w:r>
        <w:r w:rsidR="00892DE5">
          <w:rPr>
            <w:noProof/>
            <w:webHidden/>
          </w:rPr>
          <w:fldChar w:fldCharType="separate"/>
        </w:r>
        <w:r w:rsidR="00402362">
          <w:rPr>
            <w:noProof/>
            <w:webHidden/>
          </w:rPr>
          <w:t>11</w:t>
        </w:r>
        <w:r w:rsidR="00892DE5">
          <w:rPr>
            <w:noProof/>
            <w:webHidden/>
          </w:rPr>
          <w:fldChar w:fldCharType="end"/>
        </w:r>
      </w:hyperlink>
    </w:p>
    <w:p w14:paraId="78B987AD" w14:textId="3EBF51C1" w:rsidR="00892DE5" w:rsidRDefault="002658F9">
      <w:pPr>
        <w:pStyle w:val="TOC1"/>
        <w:rPr>
          <w:rFonts w:asciiTheme="minorHAnsi" w:eastAsiaTheme="minorEastAsia" w:hAnsiTheme="minorHAnsi"/>
          <w:sz w:val="22"/>
          <w:lang w:val="en-AU" w:eastAsia="en-AU"/>
        </w:rPr>
      </w:pPr>
      <w:hyperlink w:anchor="_Toc121320678" w:history="1">
        <w:r w:rsidR="00892DE5" w:rsidRPr="00E30382">
          <w:rPr>
            <w:rStyle w:val="Hyperlink"/>
          </w:rPr>
          <w:t>3</w:t>
        </w:r>
        <w:r w:rsidR="00892DE5">
          <w:rPr>
            <w:rFonts w:asciiTheme="minorHAnsi" w:eastAsiaTheme="minorEastAsia" w:hAnsiTheme="minorHAnsi"/>
            <w:sz w:val="22"/>
            <w:lang w:val="en-AU" w:eastAsia="en-AU"/>
          </w:rPr>
          <w:tab/>
        </w:r>
        <w:r w:rsidR="00892DE5" w:rsidRPr="00E30382">
          <w:rPr>
            <w:rStyle w:val="Hyperlink"/>
          </w:rPr>
          <w:t>Policy and operating context</w:t>
        </w:r>
        <w:r w:rsidR="00892DE5">
          <w:rPr>
            <w:webHidden/>
          </w:rPr>
          <w:tab/>
        </w:r>
        <w:r w:rsidR="00892DE5">
          <w:rPr>
            <w:webHidden/>
          </w:rPr>
          <w:fldChar w:fldCharType="begin"/>
        </w:r>
        <w:r w:rsidR="00892DE5">
          <w:rPr>
            <w:webHidden/>
          </w:rPr>
          <w:instrText xml:space="preserve"> PAGEREF _Toc121320678 \h </w:instrText>
        </w:r>
        <w:r w:rsidR="00892DE5">
          <w:rPr>
            <w:webHidden/>
          </w:rPr>
        </w:r>
        <w:r w:rsidR="00892DE5">
          <w:rPr>
            <w:webHidden/>
          </w:rPr>
          <w:fldChar w:fldCharType="separate"/>
        </w:r>
        <w:r w:rsidR="00402362">
          <w:rPr>
            <w:webHidden/>
          </w:rPr>
          <w:t>13</w:t>
        </w:r>
        <w:r w:rsidR="00892DE5">
          <w:rPr>
            <w:webHidden/>
          </w:rPr>
          <w:fldChar w:fldCharType="end"/>
        </w:r>
      </w:hyperlink>
    </w:p>
    <w:p w14:paraId="0096E5C6" w14:textId="1F350597" w:rsidR="00892DE5" w:rsidRDefault="002658F9">
      <w:pPr>
        <w:pStyle w:val="TOC1"/>
        <w:rPr>
          <w:rFonts w:asciiTheme="minorHAnsi" w:eastAsiaTheme="minorEastAsia" w:hAnsiTheme="minorHAnsi"/>
          <w:sz w:val="22"/>
          <w:lang w:val="en-AU" w:eastAsia="en-AU"/>
        </w:rPr>
      </w:pPr>
      <w:hyperlink w:anchor="_Toc121320679" w:history="1">
        <w:r w:rsidR="00892DE5" w:rsidRPr="00E30382">
          <w:rPr>
            <w:rStyle w:val="Hyperlink"/>
          </w:rPr>
          <w:t>4</w:t>
        </w:r>
        <w:r w:rsidR="00892DE5">
          <w:rPr>
            <w:rFonts w:asciiTheme="minorHAnsi" w:eastAsiaTheme="minorEastAsia" w:hAnsiTheme="minorHAnsi"/>
            <w:sz w:val="22"/>
            <w:lang w:val="en-AU" w:eastAsia="en-AU"/>
          </w:rPr>
          <w:tab/>
        </w:r>
        <w:r w:rsidR="00892DE5" w:rsidRPr="00E30382">
          <w:rPr>
            <w:rStyle w:val="Hyperlink"/>
          </w:rPr>
          <w:t>The Way Back service model and variations</w:t>
        </w:r>
        <w:r w:rsidR="00892DE5">
          <w:rPr>
            <w:webHidden/>
          </w:rPr>
          <w:tab/>
        </w:r>
        <w:r w:rsidR="00892DE5">
          <w:rPr>
            <w:webHidden/>
          </w:rPr>
          <w:fldChar w:fldCharType="begin"/>
        </w:r>
        <w:r w:rsidR="00892DE5">
          <w:rPr>
            <w:webHidden/>
          </w:rPr>
          <w:instrText xml:space="preserve"> PAGEREF _Toc121320679 \h </w:instrText>
        </w:r>
        <w:r w:rsidR="00892DE5">
          <w:rPr>
            <w:webHidden/>
          </w:rPr>
        </w:r>
        <w:r w:rsidR="00892DE5">
          <w:rPr>
            <w:webHidden/>
          </w:rPr>
          <w:fldChar w:fldCharType="separate"/>
        </w:r>
        <w:r w:rsidR="00402362">
          <w:rPr>
            <w:webHidden/>
          </w:rPr>
          <w:t>15</w:t>
        </w:r>
        <w:r w:rsidR="00892DE5">
          <w:rPr>
            <w:webHidden/>
          </w:rPr>
          <w:fldChar w:fldCharType="end"/>
        </w:r>
      </w:hyperlink>
    </w:p>
    <w:p w14:paraId="37F97C07" w14:textId="180924EA" w:rsidR="00892DE5" w:rsidRDefault="002658F9">
      <w:pPr>
        <w:pStyle w:val="TOC1"/>
        <w:rPr>
          <w:rFonts w:asciiTheme="minorHAnsi" w:eastAsiaTheme="minorEastAsia" w:hAnsiTheme="minorHAnsi"/>
          <w:sz w:val="22"/>
          <w:lang w:val="en-AU" w:eastAsia="en-AU"/>
        </w:rPr>
      </w:pPr>
      <w:hyperlink w:anchor="_Toc121320680" w:history="1">
        <w:r w:rsidR="00892DE5" w:rsidRPr="00E30382">
          <w:rPr>
            <w:rStyle w:val="Hyperlink"/>
          </w:rPr>
          <w:t>5</w:t>
        </w:r>
        <w:r w:rsidR="00892DE5">
          <w:rPr>
            <w:rFonts w:asciiTheme="minorHAnsi" w:eastAsiaTheme="minorEastAsia" w:hAnsiTheme="minorHAnsi"/>
            <w:sz w:val="22"/>
            <w:lang w:val="en-AU" w:eastAsia="en-AU"/>
          </w:rPr>
          <w:tab/>
        </w:r>
        <w:r w:rsidR="00892DE5" w:rsidRPr="00E30382">
          <w:rPr>
            <w:rStyle w:val="Hyperlink"/>
          </w:rPr>
          <w:t>Service reach</w:t>
        </w:r>
        <w:r w:rsidR="00892DE5">
          <w:rPr>
            <w:webHidden/>
          </w:rPr>
          <w:tab/>
        </w:r>
        <w:r w:rsidR="00892DE5">
          <w:rPr>
            <w:webHidden/>
          </w:rPr>
          <w:fldChar w:fldCharType="begin"/>
        </w:r>
        <w:r w:rsidR="00892DE5">
          <w:rPr>
            <w:webHidden/>
          </w:rPr>
          <w:instrText xml:space="preserve"> PAGEREF _Toc121320680 \h </w:instrText>
        </w:r>
        <w:r w:rsidR="00892DE5">
          <w:rPr>
            <w:webHidden/>
          </w:rPr>
        </w:r>
        <w:r w:rsidR="00892DE5">
          <w:rPr>
            <w:webHidden/>
          </w:rPr>
          <w:fldChar w:fldCharType="separate"/>
        </w:r>
        <w:r w:rsidR="00402362">
          <w:rPr>
            <w:webHidden/>
          </w:rPr>
          <w:t>20</w:t>
        </w:r>
        <w:r w:rsidR="00892DE5">
          <w:rPr>
            <w:webHidden/>
          </w:rPr>
          <w:fldChar w:fldCharType="end"/>
        </w:r>
      </w:hyperlink>
    </w:p>
    <w:p w14:paraId="7917DAA1" w14:textId="0C83E809" w:rsidR="00892DE5" w:rsidRDefault="002658F9">
      <w:pPr>
        <w:pStyle w:val="TOC2"/>
        <w:rPr>
          <w:rFonts w:asciiTheme="minorHAnsi" w:eastAsiaTheme="minorEastAsia" w:hAnsiTheme="minorHAnsi"/>
          <w:noProof/>
          <w:sz w:val="22"/>
          <w:lang w:val="en-AU" w:eastAsia="en-AU"/>
        </w:rPr>
      </w:pPr>
      <w:hyperlink w:anchor="_Toc121320681" w:history="1">
        <w:r w:rsidR="00892DE5" w:rsidRPr="00E30382">
          <w:rPr>
            <w:rStyle w:val="Hyperlink"/>
            <w:bCs/>
            <w:noProof/>
          </w:rPr>
          <w:t>5.1</w:t>
        </w:r>
        <w:r w:rsidR="00892DE5">
          <w:rPr>
            <w:rFonts w:asciiTheme="minorHAnsi" w:eastAsiaTheme="minorEastAsia" w:hAnsiTheme="minorHAnsi"/>
            <w:noProof/>
            <w:sz w:val="22"/>
            <w:lang w:val="en-AU" w:eastAsia="en-AU"/>
          </w:rPr>
          <w:tab/>
        </w:r>
        <w:r w:rsidR="00892DE5" w:rsidRPr="00E30382">
          <w:rPr>
            <w:rStyle w:val="Hyperlink"/>
            <w:noProof/>
          </w:rPr>
          <w:t>Key activities and outputs 2018-22</w:t>
        </w:r>
        <w:r w:rsidR="00892DE5">
          <w:rPr>
            <w:noProof/>
            <w:webHidden/>
          </w:rPr>
          <w:tab/>
        </w:r>
        <w:r w:rsidR="00892DE5">
          <w:rPr>
            <w:noProof/>
            <w:webHidden/>
          </w:rPr>
          <w:fldChar w:fldCharType="begin"/>
        </w:r>
        <w:r w:rsidR="00892DE5">
          <w:rPr>
            <w:noProof/>
            <w:webHidden/>
          </w:rPr>
          <w:instrText xml:space="preserve"> PAGEREF _Toc121320681 \h </w:instrText>
        </w:r>
        <w:r w:rsidR="00892DE5">
          <w:rPr>
            <w:noProof/>
            <w:webHidden/>
          </w:rPr>
        </w:r>
        <w:r w:rsidR="00892DE5">
          <w:rPr>
            <w:noProof/>
            <w:webHidden/>
          </w:rPr>
          <w:fldChar w:fldCharType="separate"/>
        </w:r>
        <w:r w:rsidR="00402362">
          <w:rPr>
            <w:noProof/>
            <w:webHidden/>
          </w:rPr>
          <w:t>21</w:t>
        </w:r>
        <w:r w:rsidR="00892DE5">
          <w:rPr>
            <w:noProof/>
            <w:webHidden/>
          </w:rPr>
          <w:fldChar w:fldCharType="end"/>
        </w:r>
      </w:hyperlink>
    </w:p>
    <w:p w14:paraId="232B3FBC" w14:textId="514CC76C" w:rsidR="00892DE5" w:rsidRDefault="002658F9">
      <w:pPr>
        <w:pStyle w:val="TOC2"/>
        <w:rPr>
          <w:rFonts w:asciiTheme="minorHAnsi" w:eastAsiaTheme="minorEastAsia" w:hAnsiTheme="minorHAnsi"/>
          <w:noProof/>
          <w:sz w:val="22"/>
          <w:lang w:val="en-AU" w:eastAsia="en-AU"/>
        </w:rPr>
      </w:pPr>
      <w:hyperlink w:anchor="_Toc121320682" w:history="1">
        <w:r w:rsidR="00892DE5" w:rsidRPr="00E30382">
          <w:rPr>
            <w:rStyle w:val="Hyperlink"/>
            <w:bCs/>
            <w:noProof/>
          </w:rPr>
          <w:t>5.2</w:t>
        </w:r>
        <w:r w:rsidR="00892DE5">
          <w:rPr>
            <w:rFonts w:asciiTheme="minorHAnsi" w:eastAsiaTheme="minorEastAsia" w:hAnsiTheme="minorHAnsi"/>
            <w:noProof/>
            <w:sz w:val="22"/>
            <w:lang w:val="en-AU" w:eastAsia="en-AU"/>
          </w:rPr>
          <w:tab/>
        </w:r>
        <w:r w:rsidR="00892DE5" w:rsidRPr="00E30382">
          <w:rPr>
            <w:rStyle w:val="Hyperlink"/>
            <w:noProof/>
          </w:rPr>
          <w:t xml:space="preserve">Volume of referrals </w:t>
        </w:r>
        <w:r w:rsidR="00892DE5">
          <w:rPr>
            <w:noProof/>
            <w:webHidden/>
          </w:rPr>
          <w:tab/>
        </w:r>
        <w:r w:rsidR="00892DE5">
          <w:rPr>
            <w:noProof/>
            <w:webHidden/>
          </w:rPr>
          <w:fldChar w:fldCharType="begin"/>
        </w:r>
        <w:r w:rsidR="00892DE5">
          <w:rPr>
            <w:noProof/>
            <w:webHidden/>
          </w:rPr>
          <w:instrText xml:space="preserve"> PAGEREF _Toc121320682 \h </w:instrText>
        </w:r>
        <w:r w:rsidR="00892DE5">
          <w:rPr>
            <w:noProof/>
            <w:webHidden/>
          </w:rPr>
        </w:r>
        <w:r w:rsidR="00892DE5">
          <w:rPr>
            <w:noProof/>
            <w:webHidden/>
          </w:rPr>
          <w:fldChar w:fldCharType="separate"/>
        </w:r>
        <w:r w:rsidR="00402362">
          <w:rPr>
            <w:noProof/>
            <w:webHidden/>
          </w:rPr>
          <w:t>22</w:t>
        </w:r>
        <w:r w:rsidR="00892DE5">
          <w:rPr>
            <w:noProof/>
            <w:webHidden/>
          </w:rPr>
          <w:fldChar w:fldCharType="end"/>
        </w:r>
      </w:hyperlink>
    </w:p>
    <w:p w14:paraId="4D38E2D7" w14:textId="42899E8A" w:rsidR="00892DE5" w:rsidRDefault="002658F9">
      <w:pPr>
        <w:pStyle w:val="TOC2"/>
        <w:rPr>
          <w:rFonts w:asciiTheme="minorHAnsi" w:eastAsiaTheme="minorEastAsia" w:hAnsiTheme="minorHAnsi"/>
          <w:noProof/>
          <w:sz w:val="22"/>
          <w:lang w:val="en-AU" w:eastAsia="en-AU"/>
        </w:rPr>
      </w:pPr>
      <w:hyperlink w:anchor="_Toc121320683" w:history="1">
        <w:r w:rsidR="00892DE5" w:rsidRPr="00E30382">
          <w:rPr>
            <w:rStyle w:val="Hyperlink"/>
            <w:bCs/>
            <w:noProof/>
          </w:rPr>
          <w:t>5.3</w:t>
        </w:r>
        <w:r w:rsidR="00892DE5">
          <w:rPr>
            <w:rFonts w:asciiTheme="minorHAnsi" w:eastAsiaTheme="minorEastAsia" w:hAnsiTheme="minorHAnsi"/>
            <w:noProof/>
            <w:sz w:val="22"/>
            <w:lang w:val="en-AU" w:eastAsia="en-AU"/>
          </w:rPr>
          <w:tab/>
        </w:r>
        <w:r w:rsidR="00892DE5" w:rsidRPr="00E30382">
          <w:rPr>
            <w:rStyle w:val="Hyperlink"/>
            <w:noProof/>
          </w:rPr>
          <w:t>Participants who access The Way Back</w:t>
        </w:r>
        <w:r w:rsidR="00892DE5">
          <w:rPr>
            <w:noProof/>
            <w:webHidden/>
          </w:rPr>
          <w:tab/>
        </w:r>
        <w:r w:rsidR="00892DE5">
          <w:rPr>
            <w:noProof/>
            <w:webHidden/>
          </w:rPr>
          <w:fldChar w:fldCharType="begin"/>
        </w:r>
        <w:r w:rsidR="00892DE5">
          <w:rPr>
            <w:noProof/>
            <w:webHidden/>
          </w:rPr>
          <w:instrText xml:space="preserve"> PAGEREF _Toc121320683 \h </w:instrText>
        </w:r>
        <w:r w:rsidR="00892DE5">
          <w:rPr>
            <w:noProof/>
            <w:webHidden/>
          </w:rPr>
        </w:r>
        <w:r w:rsidR="00892DE5">
          <w:rPr>
            <w:noProof/>
            <w:webHidden/>
          </w:rPr>
          <w:fldChar w:fldCharType="separate"/>
        </w:r>
        <w:r w:rsidR="00402362">
          <w:rPr>
            <w:noProof/>
            <w:webHidden/>
          </w:rPr>
          <w:t>25</w:t>
        </w:r>
        <w:r w:rsidR="00892DE5">
          <w:rPr>
            <w:noProof/>
            <w:webHidden/>
          </w:rPr>
          <w:fldChar w:fldCharType="end"/>
        </w:r>
      </w:hyperlink>
    </w:p>
    <w:p w14:paraId="1A634041" w14:textId="2834911E" w:rsidR="00892DE5" w:rsidRDefault="002658F9">
      <w:pPr>
        <w:pStyle w:val="TOC1"/>
        <w:rPr>
          <w:rFonts w:asciiTheme="minorHAnsi" w:eastAsiaTheme="minorEastAsia" w:hAnsiTheme="minorHAnsi"/>
          <w:sz w:val="22"/>
          <w:lang w:val="en-AU" w:eastAsia="en-AU"/>
        </w:rPr>
      </w:pPr>
      <w:hyperlink w:anchor="_Toc121320684" w:history="1">
        <w:r w:rsidR="00892DE5" w:rsidRPr="00E30382">
          <w:rPr>
            <w:rStyle w:val="Hyperlink"/>
          </w:rPr>
          <w:t>6</w:t>
        </w:r>
        <w:r w:rsidR="00892DE5">
          <w:rPr>
            <w:rFonts w:asciiTheme="minorHAnsi" w:eastAsiaTheme="minorEastAsia" w:hAnsiTheme="minorHAnsi"/>
            <w:sz w:val="22"/>
            <w:lang w:val="en-AU" w:eastAsia="en-AU"/>
          </w:rPr>
          <w:tab/>
        </w:r>
        <w:r w:rsidR="00892DE5" w:rsidRPr="00E30382">
          <w:rPr>
            <w:rStyle w:val="Hyperlink"/>
          </w:rPr>
          <w:t>Participant journeys</w:t>
        </w:r>
        <w:r w:rsidR="00892DE5">
          <w:rPr>
            <w:webHidden/>
          </w:rPr>
          <w:tab/>
        </w:r>
        <w:r w:rsidR="00892DE5">
          <w:rPr>
            <w:webHidden/>
          </w:rPr>
          <w:fldChar w:fldCharType="begin"/>
        </w:r>
        <w:r w:rsidR="00892DE5">
          <w:rPr>
            <w:webHidden/>
          </w:rPr>
          <w:instrText xml:space="preserve"> PAGEREF _Toc121320684 \h </w:instrText>
        </w:r>
        <w:r w:rsidR="00892DE5">
          <w:rPr>
            <w:webHidden/>
          </w:rPr>
        </w:r>
        <w:r w:rsidR="00892DE5">
          <w:rPr>
            <w:webHidden/>
          </w:rPr>
          <w:fldChar w:fldCharType="separate"/>
        </w:r>
        <w:r w:rsidR="00402362">
          <w:rPr>
            <w:webHidden/>
          </w:rPr>
          <w:t>29</w:t>
        </w:r>
        <w:r w:rsidR="00892DE5">
          <w:rPr>
            <w:webHidden/>
          </w:rPr>
          <w:fldChar w:fldCharType="end"/>
        </w:r>
      </w:hyperlink>
    </w:p>
    <w:p w14:paraId="6CA4B189" w14:textId="0E8926FF" w:rsidR="00892DE5" w:rsidRDefault="002658F9">
      <w:pPr>
        <w:pStyle w:val="TOC2"/>
        <w:rPr>
          <w:rFonts w:asciiTheme="minorHAnsi" w:eastAsiaTheme="minorEastAsia" w:hAnsiTheme="minorHAnsi"/>
          <w:noProof/>
          <w:sz w:val="22"/>
          <w:lang w:val="en-AU" w:eastAsia="en-AU"/>
        </w:rPr>
      </w:pPr>
      <w:hyperlink w:anchor="_Toc121320685" w:history="1">
        <w:r w:rsidR="00892DE5" w:rsidRPr="00E30382">
          <w:rPr>
            <w:rStyle w:val="Hyperlink"/>
            <w:bCs/>
            <w:noProof/>
          </w:rPr>
          <w:t>6.1</w:t>
        </w:r>
        <w:r w:rsidR="00892DE5">
          <w:rPr>
            <w:rFonts w:asciiTheme="minorHAnsi" w:eastAsiaTheme="minorEastAsia" w:hAnsiTheme="minorHAnsi"/>
            <w:noProof/>
            <w:sz w:val="22"/>
            <w:lang w:val="en-AU" w:eastAsia="en-AU"/>
          </w:rPr>
          <w:tab/>
        </w:r>
        <w:r w:rsidR="00892DE5" w:rsidRPr="00E30382">
          <w:rPr>
            <w:rStyle w:val="Hyperlink"/>
            <w:noProof/>
          </w:rPr>
          <w:t>Inbound referrals</w:t>
        </w:r>
        <w:r w:rsidR="00892DE5">
          <w:rPr>
            <w:noProof/>
            <w:webHidden/>
          </w:rPr>
          <w:tab/>
        </w:r>
        <w:r w:rsidR="00892DE5">
          <w:rPr>
            <w:noProof/>
            <w:webHidden/>
          </w:rPr>
          <w:fldChar w:fldCharType="begin"/>
        </w:r>
        <w:r w:rsidR="00892DE5">
          <w:rPr>
            <w:noProof/>
            <w:webHidden/>
          </w:rPr>
          <w:instrText xml:space="preserve"> PAGEREF _Toc121320685 \h </w:instrText>
        </w:r>
        <w:r w:rsidR="00892DE5">
          <w:rPr>
            <w:noProof/>
            <w:webHidden/>
          </w:rPr>
        </w:r>
        <w:r w:rsidR="00892DE5">
          <w:rPr>
            <w:noProof/>
            <w:webHidden/>
          </w:rPr>
          <w:fldChar w:fldCharType="separate"/>
        </w:r>
        <w:r w:rsidR="00402362">
          <w:rPr>
            <w:noProof/>
            <w:webHidden/>
          </w:rPr>
          <w:t>32</w:t>
        </w:r>
        <w:r w:rsidR="00892DE5">
          <w:rPr>
            <w:noProof/>
            <w:webHidden/>
          </w:rPr>
          <w:fldChar w:fldCharType="end"/>
        </w:r>
      </w:hyperlink>
    </w:p>
    <w:p w14:paraId="053BD041" w14:textId="1167B26F" w:rsidR="00892DE5" w:rsidRDefault="002658F9">
      <w:pPr>
        <w:pStyle w:val="TOC2"/>
        <w:rPr>
          <w:rFonts w:asciiTheme="minorHAnsi" w:eastAsiaTheme="minorEastAsia" w:hAnsiTheme="minorHAnsi"/>
          <w:noProof/>
          <w:sz w:val="22"/>
          <w:lang w:val="en-AU" w:eastAsia="en-AU"/>
        </w:rPr>
      </w:pPr>
      <w:hyperlink w:anchor="_Toc121320686" w:history="1">
        <w:r w:rsidR="00892DE5" w:rsidRPr="00E30382">
          <w:rPr>
            <w:rStyle w:val="Hyperlink"/>
            <w:bCs/>
            <w:noProof/>
          </w:rPr>
          <w:t>6.2</w:t>
        </w:r>
        <w:r w:rsidR="00892DE5">
          <w:rPr>
            <w:rFonts w:asciiTheme="minorHAnsi" w:eastAsiaTheme="minorEastAsia" w:hAnsiTheme="minorHAnsi"/>
            <w:noProof/>
            <w:sz w:val="22"/>
            <w:lang w:val="en-AU" w:eastAsia="en-AU"/>
          </w:rPr>
          <w:tab/>
        </w:r>
        <w:r w:rsidR="00892DE5" w:rsidRPr="00E30382">
          <w:rPr>
            <w:rStyle w:val="Hyperlink"/>
            <w:noProof/>
          </w:rPr>
          <w:t>Service uptake</w:t>
        </w:r>
        <w:r w:rsidR="00892DE5">
          <w:rPr>
            <w:noProof/>
            <w:webHidden/>
          </w:rPr>
          <w:tab/>
        </w:r>
        <w:r w:rsidR="00892DE5">
          <w:rPr>
            <w:noProof/>
            <w:webHidden/>
          </w:rPr>
          <w:fldChar w:fldCharType="begin"/>
        </w:r>
        <w:r w:rsidR="00892DE5">
          <w:rPr>
            <w:noProof/>
            <w:webHidden/>
          </w:rPr>
          <w:instrText xml:space="preserve"> PAGEREF _Toc121320686 \h </w:instrText>
        </w:r>
        <w:r w:rsidR="00892DE5">
          <w:rPr>
            <w:noProof/>
            <w:webHidden/>
          </w:rPr>
        </w:r>
        <w:r w:rsidR="00892DE5">
          <w:rPr>
            <w:noProof/>
            <w:webHidden/>
          </w:rPr>
          <w:fldChar w:fldCharType="separate"/>
        </w:r>
        <w:r w:rsidR="00402362">
          <w:rPr>
            <w:noProof/>
            <w:webHidden/>
          </w:rPr>
          <w:t>33</w:t>
        </w:r>
        <w:r w:rsidR="00892DE5">
          <w:rPr>
            <w:noProof/>
            <w:webHidden/>
          </w:rPr>
          <w:fldChar w:fldCharType="end"/>
        </w:r>
      </w:hyperlink>
    </w:p>
    <w:p w14:paraId="62B10E46" w14:textId="5599B4E7" w:rsidR="00892DE5" w:rsidRDefault="002658F9">
      <w:pPr>
        <w:pStyle w:val="TOC2"/>
        <w:rPr>
          <w:rFonts w:asciiTheme="minorHAnsi" w:eastAsiaTheme="minorEastAsia" w:hAnsiTheme="minorHAnsi"/>
          <w:noProof/>
          <w:sz w:val="22"/>
          <w:lang w:val="en-AU" w:eastAsia="en-AU"/>
        </w:rPr>
      </w:pPr>
      <w:hyperlink w:anchor="_Toc121320687" w:history="1">
        <w:r w:rsidR="00892DE5" w:rsidRPr="00E30382">
          <w:rPr>
            <w:rStyle w:val="Hyperlink"/>
            <w:bCs/>
            <w:noProof/>
          </w:rPr>
          <w:t>6.3</w:t>
        </w:r>
        <w:r w:rsidR="00892DE5">
          <w:rPr>
            <w:rFonts w:asciiTheme="minorHAnsi" w:eastAsiaTheme="minorEastAsia" w:hAnsiTheme="minorHAnsi"/>
            <w:noProof/>
            <w:sz w:val="22"/>
            <w:lang w:val="en-AU" w:eastAsia="en-AU"/>
          </w:rPr>
          <w:tab/>
        </w:r>
        <w:r w:rsidR="00892DE5" w:rsidRPr="00E30382">
          <w:rPr>
            <w:rStyle w:val="Hyperlink"/>
            <w:noProof/>
          </w:rPr>
          <w:t>Service delivery</w:t>
        </w:r>
        <w:r w:rsidR="00892DE5">
          <w:rPr>
            <w:noProof/>
            <w:webHidden/>
          </w:rPr>
          <w:tab/>
        </w:r>
        <w:r w:rsidR="00892DE5">
          <w:rPr>
            <w:noProof/>
            <w:webHidden/>
          </w:rPr>
          <w:fldChar w:fldCharType="begin"/>
        </w:r>
        <w:r w:rsidR="00892DE5">
          <w:rPr>
            <w:noProof/>
            <w:webHidden/>
          </w:rPr>
          <w:instrText xml:space="preserve"> PAGEREF _Toc121320687 \h </w:instrText>
        </w:r>
        <w:r w:rsidR="00892DE5">
          <w:rPr>
            <w:noProof/>
            <w:webHidden/>
          </w:rPr>
        </w:r>
        <w:r w:rsidR="00892DE5">
          <w:rPr>
            <w:noProof/>
            <w:webHidden/>
          </w:rPr>
          <w:fldChar w:fldCharType="separate"/>
        </w:r>
        <w:r w:rsidR="00402362">
          <w:rPr>
            <w:noProof/>
            <w:webHidden/>
          </w:rPr>
          <w:t>34</w:t>
        </w:r>
        <w:r w:rsidR="00892DE5">
          <w:rPr>
            <w:noProof/>
            <w:webHidden/>
          </w:rPr>
          <w:fldChar w:fldCharType="end"/>
        </w:r>
      </w:hyperlink>
    </w:p>
    <w:p w14:paraId="3D7D8A44" w14:textId="05229671" w:rsidR="00892DE5" w:rsidRDefault="002658F9">
      <w:pPr>
        <w:pStyle w:val="TOC1"/>
        <w:rPr>
          <w:rFonts w:asciiTheme="minorHAnsi" w:eastAsiaTheme="minorEastAsia" w:hAnsiTheme="minorHAnsi"/>
          <w:sz w:val="22"/>
          <w:lang w:val="en-AU" w:eastAsia="en-AU"/>
        </w:rPr>
      </w:pPr>
      <w:hyperlink w:anchor="_Toc121320688" w:history="1">
        <w:r w:rsidR="00892DE5" w:rsidRPr="00E30382">
          <w:rPr>
            <w:rStyle w:val="Hyperlink"/>
          </w:rPr>
          <w:t>7</w:t>
        </w:r>
        <w:r w:rsidR="00892DE5">
          <w:rPr>
            <w:rFonts w:asciiTheme="minorHAnsi" w:eastAsiaTheme="minorEastAsia" w:hAnsiTheme="minorHAnsi"/>
            <w:sz w:val="22"/>
            <w:lang w:val="en-AU" w:eastAsia="en-AU"/>
          </w:rPr>
          <w:tab/>
        </w:r>
        <w:r w:rsidR="00892DE5" w:rsidRPr="00E30382">
          <w:rPr>
            <w:rStyle w:val="Hyperlink"/>
          </w:rPr>
          <w:t>Participant outcomes</w:t>
        </w:r>
        <w:r w:rsidR="00892DE5">
          <w:rPr>
            <w:webHidden/>
          </w:rPr>
          <w:tab/>
        </w:r>
        <w:r w:rsidR="00892DE5">
          <w:rPr>
            <w:webHidden/>
          </w:rPr>
          <w:fldChar w:fldCharType="begin"/>
        </w:r>
        <w:r w:rsidR="00892DE5">
          <w:rPr>
            <w:webHidden/>
          </w:rPr>
          <w:instrText xml:space="preserve"> PAGEREF _Toc121320688 \h </w:instrText>
        </w:r>
        <w:r w:rsidR="00892DE5">
          <w:rPr>
            <w:webHidden/>
          </w:rPr>
        </w:r>
        <w:r w:rsidR="00892DE5">
          <w:rPr>
            <w:webHidden/>
          </w:rPr>
          <w:fldChar w:fldCharType="separate"/>
        </w:r>
        <w:r w:rsidR="00402362">
          <w:rPr>
            <w:webHidden/>
          </w:rPr>
          <w:t>41</w:t>
        </w:r>
        <w:r w:rsidR="00892DE5">
          <w:rPr>
            <w:webHidden/>
          </w:rPr>
          <w:fldChar w:fldCharType="end"/>
        </w:r>
      </w:hyperlink>
    </w:p>
    <w:p w14:paraId="142E2FB1" w14:textId="56A5A367" w:rsidR="00892DE5" w:rsidRDefault="002658F9">
      <w:pPr>
        <w:pStyle w:val="TOC2"/>
        <w:rPr>
          <w:rFonts w:asciiTheme="minorHAnsi" w:eastAsiaTheme="minorEastAsia" w:hAnsiTheme="minorHAnsi"/>
          <w:noProof/>
          <w:sz w:val="22"/>
          <w:lang w:val="en-AU" w:eastAsia="en-AU"/>
        </w:rPr>
      </w:pPr>
      <w:hyperlink w:anchor="_Toc121320689" w:history="1">
        <w:r w:rsidR="00892DE5" w:rsidRPr="00E30382">
          <w:rPr>
            <w:rStyle w:val="Hyperlink"/>
            <w:bCs/>
            <w:noProof/>
          </w:rPr>
          <w:t>7.1</w:t>
        </w:r>
        <w:r w:rsidR="00892DE5">
          <w:rPr>
            <w:rFonts w:asciiTheme="minorHAnsi" w:eastAsiaTheme="minorEastAsia" w:hAnsiTheme="minorHAnsi"/>
            <w:noProof/>
            <w:sz w:val="22"/>
            <w:lang w:val="en-AU" w:eastAsia="en-AU"/>
          </w:rPr>
          <w:tab/>
        </w:r>
        <w:r w:rsidR="00892DE5" w:rsidRPr="00E30382">
          <w:rPr>
            <w:rStyle w:val="Hyperlink"/>
            <w:noProof/>
          </w:rPr>
          <w:t>Overall participant outcomes</w:t>
        </w:r>
        <w:r w:rsidR="00892DE5">
          <w:rPr>
            <w:noProof/>
            <w:webHidden/>
          </w:rPr>
          <w:tab/>
        </w:r>
        <w:r w:rsidR="00892DE5">
          <w:rPr>
            <w:noProof/>
            <w:webHidden/>
          </w:rPr>
          <w:fldChar w:fldCharType="begin"/>
        </w:r>
        <w:r w:rsidR="00892DE5">
          <w:rPr>
            <w:noProof/>
            <w:webHidden/>
          </w:rPr>
          <w:instrText xml:space="preserve"> PAGEREF _Toc121320689 \h </w:instrText>
        </w:r>
        <w:r w:rsidR="00892DE5">
          <w:rPr>
            <w:noProof/>
            <w:webHidden/>
          </w:rPr>
        </w:r>
        <w:r w:rsidR="00892DE5">
          <w:rPr>
            <w:noProof/>
            <w:webHidden/>
          </w:rPr>
          <w:fldChar w:fldCharType="separate"/>
        </w:r>
        <w:r w:rsidR="00402362">
          <w:rPr>
            <w:noProof/>
            <w:webHidden/>
          </w:rPr>
          <w:t>43</w:t>
        </w:r>
        <w:r w:rsidR="00892DE5">
          <w:rPr>
            <w:noProof/>
            <w:webHidden/>
          </w:rPr>
          <w:fldChar w:fldCharType="end"/>
        </w:r>
      </w:hyperlink>
    </w:p>
    <w:p w14:paraId="4AE85CBC" w14:textId="170CE4D7" w:rsidR="00892DE5" w:rsidRDefault="002658F9">
      <w:pPr>
        <w:pStyle w:val="TOC2"/>
        <w:rPr>
          <w:rFonts w:asciiTheme="minorHAnsi" w:eastAsiaTheme="minorEastAsia" w:hAnsiTheme="minorHAnsi"/>
          <w:noProof/>
          <w:sz w:val="22"/>
          <w:lang w:val="en-AU" w:eastAsia="en-AU"/>
        </w:rPr>
      </w:pPr>
      <w:hyperlink w:anchor="_Toc121320690" w:history="1">
        <w:r w:rsidR="00892DE5" w:rsidRPr="00E30382">
          <w:rPr>
            <w:rStyle w:val="Hyperlink"/>
            <w:rFonts w:eastAsia="Segoe UI Semibold"/>
            <w:bCs/>
            <w:noProof/>
          </w:rPr>
          <w:t>7.2</w:t>
        </w:r>
        <w:r w:rsidR="00892DE5">
          <w:rPr>
            <w:rFonts w:asciiTheme="minorHAnsi" w:eastAsiaTheme="minorEastAsia" w:hAnsiTheme="minorHAnsi"/>
            <w:noProof/>
            <w:sz w:val="22"/>
            <w:lang w:val="en-AU" w:eastAsia="en-AU"/>
          </w:rPr>
          <w:tab/>
        </w:r>
        <w:r w:rsidR="00892DE5" w:rsidRPr="00E30382">
          <w:rPr>
            <w:rStyle w:val="Hyperlink"/>
            <w:rFonts w:eastAsia="Segoe UI Semibold"/>
            <w:noProof/>
          </w:rPr>
          <w:t>Participant outcomes by cohort</w:t>
        </w:r>
        <w:r w:rsidR="00892DE5">
          <w:rPr>
            <w:noProof/>
            <w:webHidden/>
          </w:rPr>
          <w:tab/>
        </w:r>
        <w:r w:rsidR="00892DE5">
          <w:rPr>
            <w:noProof/>
            <w:webHidden/>
          </w:rPr>
          <w:fldChar w:fldCharType="begin"/>
        </w:r>
        <w:r w:rsidR="00892DE5">
          <w:rPr>
            <w:noProof/>
            <w:webHidden/>
          </w:rPr>
          <w:instrText xml:space="preserve"> PAGEREF _Toc121320690 \h </w:instrText>
        </w:r>
        <w:r w:rsidR="00892DE5">
          <w:rPr>
            <w:noProof/>
            <w:webHidden/>
          </w:rPr>
        </w:r>
        <w:r w:rsidR="00892DE5">
          <w:rPr>
            <w:noProof/>
            <w:webHidden/>
          </w:rPr>
          <w:fldChar w:fldCharType="separate"/>
        </w:r>
        <w:r w:rsidR="00402362">
          <w:rPr>
            <w:noProof/>
            <w:webHidden/>
          </w:rPr>
          <w:t>49</w:t>
        </w:r>
        <w:r w:rsidR="00892DE5">
          <w:rPr>
            <w:noProof/>
            <w:webHidden/>
          </w:rPr>
          <w:fldChar w:fldCharType="end"/>
        </w:r>
      </w:hyperlink>
    </w:p>
    <w:p w14:paraId="4F3A846B" w14:textId="5EEC073F" w:rsidR="00892DE5" w:rsidRDefault="002658F9">
      <w:pPr>
        <w:pStyle w:val="TOC2"/>
        <w:rPr>
          <w:rFonts w:asciiTheme="minorHAnsi" w:eastAsiaTheme="minorEastAsia" w:hAnsiTheme="minorHAnsi"/>
          <w:noProof/>
          <w:sz w:val="22"/>
          <w:lang w:val="en-AU" w:eastAsia="en-AU"/>
        </w:rPr>
      </w:pPr>
      <w:hyperlink w:anchor="_Toc121320691" w:history="1">
        <w:r w:rsidR="00892DE5" w:rsidRPr="00E30382">
          <w:rPr>
            <w:rStyle w:val="Hyperlink"/>
            <w:bCs/>
            <w:noProof/>
          </w:rPr>
          <w:t>7.3</w:t>
        </w:r>
        <w:r w:rsidR="00892DE5">
          <w:rPr>
            <w:rFonts w:asciiTheme="minorHAnsi" w:eastAsiaTheme="minorEastAsia" w:hAnsiTheme="minorHAnsi"/>
            <w:noProof/>
            <w:sz w:val="22"/>
            <w:lang w:val="en-AU" w:eastAsia="en-AU"/>
          </w:rPr>
          <w:tab/>
        </w:r>
        <w:r w:rsidR="00892DE5" w:rsidRPr="00E30382">
          <w:rPr>
            <w:rStyle w:val="Hyperlink"/>
            <w:noProof/>
          </w:rPr>
          <w:t>Participant outcomes by site</w:t>
        </w:r>
        <w:r w:rsidR="00892DE5">
          <w:rPr>
            <w:noProof/>
            <w:webHidden/>
          </w:rPr>
          <w:tab/>
        </w:r>
        <w:r w:rsidR="00892DE5">
          <w:rPr>
            <w:noProof/>
            <w:webHidden/>
          </w:rPr>
          <w:fldChar w:fldCharType="begin"/>
        </w:r>
        <w:r w:rsidR="00892DE5">
          <w:rPr>
            <w:noProof/>
            <w:webHidden/>
          </w:rPr>
          <w:instrText xml:space="preserve"> PAGEREF _Toc121320691 \h </w:instrText>
        </w:r>
        <w:r w:rsidR="00892DE5">
          <w:rPr>
            <w:noProof/>
            <w:webHidden/>
          </w:rPr>
        </w:r>
        <w:r w:rsidR="00892DE5">
          <w:rPr>
            <w:noProof/>
            <w:webHidden/>
          </w:rPr>
          <w:fldChar w:fldCharType="separate"/>
        </w:r>
        <w:r w:rsidR="00402362">
          <w:rPr>
            <w:noProof/>
            <w:webHidden/>
          </w:rPr>
          <w:t>52</w:t>
        </w:r>
        <w:r w:rsidR="00892DE5">
          <w:rPr>
            <w:noProof/>
            <w:webHidden/>
          </w:rPr>
          <w:fldChar w:fldCharType="end"/>
        </w:r>
      </w:hyperlink>
    </w:p>
    <w:p w14:paraId="12F6DAD6" w14:textId="46BF23F2" w:rsidR="00892DE5" w:rsidRDefault="002658F9">
      <w:pPr>
        <w:pStyle w:val="TOC2"/>
        <w:rPr>
          <w:rFonts w:asciiTheme="minorHAnsi" w:eastAsiaTheme="minorEastAsia" w:hAnsiTheme="minorHAnsi"/>
          <w:noProof/>
          <w:sz w:val="22"/>
          <w:lang w:val="en-AU" w:eastAsia="en-AU"/>
        </w:rPr>
      </w:pPr>
      <w:hyperlink w:anchor="_Toc121320692" w:history="1">
        <w:r w:rsidR="00892DE5" w:rsidRPr="00E30382">
          <w:rPr>
            <w:rStyle w:val="Hyperlink"/>
            <w:bCs/>
            <w:noProof/>
          </w:rPr>
          <w:t>7.4</w:t>
        </w:r>
        <w:r w:rsidR="00892DE5">
          <w:rPr>
            <w:rFonts w:asciiTheme="minorHAnsi" w:eastAsiaTheme="minorEastAsia" w:hAnsiTheme="minorHAnsi"/>
            <w:noProof/>
            <w:sz w:val="22"/>
            <w:lang w:val="en-AU" w:eastAsia="en-AU"/>
          </w:rPr>
          <w:tab/>
        </w:r>
        <w:r w:rsidR="00892DE5" w:rsidRPr="00E30382">
          <w:rPr>
            <w:rStyle w:val="Hyperlink"/>
            <w:noProof/>
          </w:rPr>
          <w:t>Contribution of The Way Back to participant outcomes</w:t>
        </w:r>
        <w:r w:rsidR="00892DE5">
          <w:rPr>
            <w:noProof/>
            <w:webHidden/>
          </w:rPr>
          <w:tab/>
        </w:r>
        <w:r w:rsidR="00892DE5">
          <w:rPr>
            <w:noProof/>
            <w:webHidden/>
          </w:rPr>
          <w:fldChar w:fldCharType="begin"/>
        </w:r>
        <w:r w:rsidR="00892DE5">
          <w:rPr>
            <w:noProof/>
            <w:webHidden/>
          </w:rPr>
          <w:instrText xml:space="preserve"> PAGEREF _Toc121320692 \h </w:instrText>
        </w:r>
        <w:r w:rsidR="00892DE5">
          <w:rPr>
            <w:noProof/>
            <w:webHidden/>
          </w:rPr>
        </w:r>
        <w:r w:rsidR="00892DE5">
          <w:rPr>
            <w:noProof/>
            <w:webHidden/>
          </w:rPr>
          <w:fldChar w:fldCharType="separate"/>
        </w:r>
        <w:r w:rsidR="00402362">
          <w:rPr>
            <w:noProof/>
            <w:webHidden/>
          </w:rPr>
          <w:t>53</w:t>
        </w:r>
        <w:r w:rsidR="00892DE5">
          <w:rPr>
            <w:noProof/>
            <w:webHidden/>
          </w:rPr>
          <w:fldChar w:fldCharType="end"/>
        </w:r>
      </w:hyperlink>
    </w:p>
    <w:p w14:paraId="2335EEAE" w14:textId="0986E0D4" w:rsidR="00892DE5" w:rsidRDefault="002658F9">
      <w:pPr>
        <w:pStyle w:val="TOC1"/>
        <w:rPr>
          <w:rFonts w:asciiTheme="minorHAnsi" w:eastAsiaTheme="minorEastAsia" w:hAnsiTheme="minorHAnsi"/>
          <w:sz w:val="22"/>
          <w:lang w:val="en-AU" w:eastAsia="en-AU"/>
        </w:rPr>
      </w:pPr>
      <w:hyperlink w:anchor="_Toc121320693" w:history="1">
        <w:r w:rsidR="00892DE5" w:rsidRPr="00E30382">
          <w:rPr>
            <w:rStyle w:val="Hyperlink"/>
          </w:rPr>
          <w:t>8</w:t>
        </w:r>
        <w:r w:rsidR="00892DE5">
          <w:rPr>
            <w:rFonts w:asciiTheme="minorHAnsi" w:eastAsiaTheme="minorEastAsia" w:hAnsiTheme="minorHAnsi"/>
            <w:sz w:val="22"/>
            <w:lang w:val="en-AU" w:eastAsia="en-AU"/>
          </w:rPr>
          <w:tab/>
        </w:r>
        <w:r w:rsidR="00892DE5" w:rsidRPr="00E30382">
          <w:rPr>
            <w:rStyle w:val="Hyperlink"/>
          </w:rPr>
          <w:t>Mechanisms that help contribute to outcomes</w:t>
        </w:r>
        <w:r w:rsidR="00892DE5">
          <w:rPr>
            <w:webHidden/>
          </w:rPr>
          <w:tab/>
        </w:r>
        <w:r w:rsidR="00892DE5">
          <w:rPr>
            <w:webHidden/>
          </w:rPr>
          <w:fldChar w:fldCharType="begin"/>
        </w:r>
        <w:r w:rsidR="00892DE5">
          <w:rPr>
            <w:webHidden/>
          </w:rPr>
          <w:instrText xml:space="preserve"> PAGEREF _Toc121320693 \h </w:instrText>
        </w:r>
        <w:r w:rsidR="00892DE5">
          <w:rPr>
            <w:webHidden/>
          </w:rPr>
        </w:r>
        <w:r w:rsidR="00892DE5">
          <w:rPr>
            <w:webHidden/>
          </w:rPr>
          <w:fldChar w:fldCharType="separate"/>
        </w:r>
        <w:r w:rsidR="00402362">
          <w:rPr>
            <w:webHidden/>
          </w:rPr>
          <w:t>55</w:t>
        </w:r>
        <w:r w:rsidR="00892DE5">
          <w:rPr>
            <w:webHidden/>
          </w:rPr>
          <w:fldChar w:fldCharType="end"/>
        </w:r>
      </w:hyperlink>
    </w:p>
    <w:p w14:paraId="67123FC2" w14:textId="4109FAB5" w:rsidR="00892DE5" w:rsidRDefault="002658F9">
      <w:pPr>
        <w:pStyle w:val="TOC2"/>
        <w:rPr>
          <w:rFonts w:asciiTheme="minorHAnsi" w:eastAsiaTheme="minorEastAsia" w:hAnsiTheme="minorHAnsi"/>
          <w:noProof/>
          <w:sz w:val="22"/>
          <w:lang w:val="en-AU" w:eastAsia="en-AU"/>
        </w:rPr>
      </w:pPr>
      <w:hyperlink w:anchor="_Toc121320694" w:history="1">
        <w:r w:rsidR="00892DE5" w:rsidRPr="00E30382">
          <w:rPr>
            <w:rStyle w:val="Hyperlink"/>
            <w:bCs/>
            <w:noProof/>
          </w:rPr>
          <w:t>8.1</w:t>
        </w:r>
        <w:r w:rsidR="00892DE5">
          <w:rPr>
            <w:rFonts w:asciiTheme="minorHAnsi" w:eastAsiaTheme="minorEastAsia" w:hAnsiTheme="minorHAnsi"/>
            <w:noProof/>
            <w:sz w:val="22"/>
            <w:lang w:val="en-AU" w:eastAsia="en-AU"/>
          </w:rPr>
          <w:tab/>
        </w:r>
        <w:r w:rsidR="00892DE5" w:rsidRPr="00E30382">
          <w:rPr>
            <w:rStyle w:val="Hyperlink"/>
            <w:noProof/>
          </w:rPr>
          <w:t>Common mechanisms that contribute to recovery</w:t>
        </w:r>
        <w:r w:rsidR="00892DE5">
          <w:rPr>
            <w:noProof/>
            <w:webHidden/>
          </w:rPr>
          <w:tab/>
        </w:r>
        <w:r w:rsidR="00892DE5">
          <w:rPr>
            <w:noProof/>
            <w:webHidden/>
          </w:rPr>
          <w:fldChar w:fldCharType="begin"/>
        </w:r>
        <w:r w:rsidR="00892DE5">
          <w:rPr>
            <w:noProof/>
            <w:webHidden/>
          </w:rPr>
          <w:instrText xml:space="preserve"> PAGEREF _Toc121320694 \h </w:instrText>
        </w:r>
        <w:r w:rsidR="00892DE5">
          <w:rPr>
            <w:noProof/>
            <w:webHidden/>
          </w:rPr>
        </w:r>
        <w:r w:rsidR="00892DE5">
          <w:rPr>
            <w:noProof/>
            <w:webHidden/>
          </w:rPr>
          <w:fldChar w:fldCharType="separate"/>
        </w:r>
        <w:r w:rsidR="00402362">
          <w:rPr>
            <w:noProof/>
            <w:webHidden/>
          </w:rPr>
          <w:t>55</w:t>
        </w:r>
        <w:r w:rsidR="00892DE5">
          <w:rPr>
            <w:noProof/>
            <w:webHidden/>
          </w:rPr>
          <w:fldChar w:fldCharType="end"/>
        </w:r>
      </w:hyperlink>
    </w:p>
    <w:p w14:paraId="4224D84F" w14:textId="5A17EE22" w:rsidR="00892DE5" w:rsidRDefault="002658F9">
      <w:pPr>
        <w:pStyle w:val="TOC1"/>
        <w:rPr>
          <w:rFonts w:asciiTheme="minorHAnsi" w:eastAsiaTheme="minorEastAsia" w:hAnsiTheme="minorHAnsi"/>
          <w:sz w:val="22"/>
          <w:lang w:val="en-AU" w:eastAsia="en-AU"/>
        </w:rPr>
      </w:pPr>
      <w:hyperlink w:anchor="_Toc121320695" w:history="1">
        <w:r w:rsidR="00892DE5" w:rsidRPr="00E30382">
          <w:rPr>
            <w:rStyle w:val="Hyperlink"/>
          </w:rPr>
          <w:t>9</w:t>
        </w:r>
        <w:r w:rsidR="00892DE5">
          <w:rPr>
            <w:rFonts w:asciiTheme="minorHAnsi" w:eastAsiaTheme="minorEastAsia" w:hAnsiTheme="minorHAnsi"/>
            <w:sz w:val="22"/>
            <w:lang w:val="en-AU" w:eastAsia="en-AU"/>
          </w:rPr>
          <w:tab/>
        </w:r>
        <w:r w:rsidR="00892DE5" w:rsidRPr="00E30382">
          <w:rPr>
            <w:rStyle w:val="Hyperlink"/>
          </w:rPr>
          <w:t>Service performance</w:t>
        </w:r>
        <w:r w:rsidR="00892DE5">
          <w:rPr>
            <w:webHidden/>
          </w:rPr>
          <w:tab/>
        </w:r>
        <w:r w:rsidR="00892DE5">
          <w:rPr>
            <w:webHidden/>
          </w:rPr>
          <w:fldChar w:fldCharType="begin"/>
        </w:r>
        <w:r w:rsidR="00892DE5">
          <w:rPr>
            <w:webHidden/>
          </w:rPr>
          <w:instrText xml:space="preserve"> PAGEREF _Toc121320695 \h </w:instrText>
        </w:r>
        <w:r w:rsidR="00892DE5">
          <w:rPr>
            <w:webHidden/>
          </w:rPr>
        </w:r>
        <w:r w:rsidR="00892DE5">
          <w:rPr>
            <w:webHidden/>
          </w:rPr>
          <w:fldChar w:fldCharType="separate"/>
        </w:r>
        <w:r w:rsidR="00402362">
          <w:rPr>
            <w:webHidden/>
          </w:rPr>
          <w:t>65</w:t>
        </w:r>
        <w:r w:rsidR="00892DE5">
          <w:rPr>
            <w:webHidden/>
          </w:rPr>
          <w:fldChar w:fldCharType="end"/>
        </w:r>
      </w:hyperlink>
    </w:p>
    <w:p w14:paraId="1A8B1895" w14:textId="16B112B2" w:rsidR="00892DE5" w:rsidRDefault="002658F9">
      <w:pPr>
        <w:pStyle w:val="TOC2"/>
        <w:rPr>
          <w:rFonts w:asciiTheme="minorHAnsi" w:eastAsiaTheme="minorEastAsia" w:hAnsiTheme="minorHAnsi"/>
          <w:noProof/>
          <w:sz w:val="22"/>
          <w:lang w:val="en-AU" w:eastAsia="en-AU"/>
        </w:rPr>
      </w:pPr>
      <w:hyperlink w:anchor="_Toc121320696" w:history="1">
        <w:r w:rsidR="00892DE5" w:rsidRPr="00E30382">
          <w:rPr>
            <w:rStyle w:val="Hyperlink"/>
            <w:bCs/>
            <w:noProof/>
          </w:rPr>
          <w:t>9.1</w:t>
        </w:r>
        <w:r w:rsidR="00892DE5">
          <w:rPr>
            <w:rFonts w:asciiTheme="minorHAnsi" w:eastAsiaTheme="minorEastAsia" w:hAnsiTheme="minorHAnsi"/>
            <w:noProof/>
            <w:sz w:val="22"/>
            <w:lang w:val="en-AU" w:eastAsia="en-AU"/>
          </w:rPr>
          <w:tab/>
        </w:r>
        <w:r w:rsidR="00892DE5" w:rsidRPr="00E30382">
          <w:rPr>
            <w:rStyle w:val="Hyperlink"/>
            <w:noProof/>
          </w:rPr>
          <w:t>Alignment of service delivery with service model</w:t>
        </w:r>
        <w:r w:rsidR="00892DE5">
          <w:rPr>
            <w:noProof/>
            <w:webHidden/>
          </w:rPr>
          <w:tab/>
        </w:r>
        <w:r w:rsidR="00892DE5">
          <w:rPr>
            <w:noProof/>
            <w:webHidden/>
          </w:rPr>
          <w:fldChar w:fldCharType="begin"/>
        </w:r>
        <w:r w:rsidR="00892DE5">
          <w:rPr>
            <w:noProof/>
            <w:webHidden/>
          </w:rPr>
          <w:instrText xml:space="preserve"> PAGEREF _Toc121320696 \h </w:instrText>
        </w:r>
        <w:r w:rsidR="00892DE5">
          <w:rPr>
            <w:noProof/>
            <w:webHidden/>
          </w:rPr>
        </w:r>
        <w:r w:rsidR="00892DE5">
          <w:rPr>
            <w:noProof/>
            <w:webHidden/>
          </w:rPr>
          <w:fldChar w:fldCharType="separate"/>
        </w:r>
        <w:r w:rsidR="00402362">
          <w:rPr>
            <w:noProof/>
            <w:webHidden/>
          </w:rPr>
          <w:t>66</w:t>
        </w:r>
        <w:r w:rsidR="00892DE5">
          <w:rPr>
            <w:noProof/>
            <w:webHidden/>
          </w:rPr>
          <w:fldChar w:fldCharType="end"/>
        </w:r>
      </w:hyperlink>
    </w:p>
    <w:p w14:paraId="653AC359" w14:textId="4C5E1CD1" w:rsidR="00892DE5" w:rsidRDefault="002658F9">
      <w:pPr>
        <w:pStyle w:val="TOC2"/>
        <w:rPr>
          <w:rFonts w:asciiTheme="minorHAnsi" w:eastAsiaTheme="minorEastAsia" w:hAnsiTheme="minorHAnsi"/>
          <w:noProof/>
          <w:sz w:val="22"/>
          <w:lang w:val="en-AU" w:eastAsia="en-AU"/>
        </w:rPr>
      </w:pPr>
      <w:hyperlink w:anchor="_Toc121320697" w:history="1">
        <w:r w:rsidR="00892DE5" w:rsidRPr="00E30382">
          <w:rPr>
            <w:rStyle w:val="Hyperlink"/>
            <w:bCs/>
            <w:noProof/>
          </w:rPr>
          <w:t>9.2</w:t>
        </w:r>
        <w:r w:rsidR="00892DE5">
          <w:rPr>
            <w:rFonts w:asciiTheme="minorHAnsi" w:eastAsiaTheme="minorEastAsia" w:hAnsiTheme="minorHAnsi"/>
            <w:noProof/>
            <w:sz w:val="22"/>
            <w:lang w:val="en-AU" w:eastAsia="en-AU"/>
          </w:rPr>
          <w:tab/>
        </w:r>
        <w:r w:rsidR="00892DE5" w:rsidRPr="00E30382">
          <w:rPr>
            <w:rStyle w:val="Hyperlink"/>
            <w:noProof/>
          </w:rPr>
          <w:t>Effectiveness of service delivery</w:t>
        </w:r>
        <w:r w:rsidR="00892DE5">
          <w:rPr>
            <w:noProof/>
            <w:webHidden/>
          </w:rPr>
          <w:tab/>
        </w:r>
        <w:r w:rsidR="00892DE5">
          <w:rPr>
            <w:noProof/>
            <w:webHidden/>
          </w:rPr>
          <w:fldChar w:fldCharType="begin"/>
        </w:r>
        <w:r w:rsidR="00892DE5">
          <w:rPr>
            <w:noProof/>
            <w:webHidden/>
          </w:rPr>
          <w:instrText xml:space="preserve"> PAGEREF _Toc121320697 \h </w:instrText>
        </w:r>
        <w:r w:rsidR="00892DE5">
          <w:rPr>
            <w:noProof/>
            <w:webHidden/>
          </w:rPr>
        </w:r>
        <w:r w:rsidR="00892DE5">
          <w:rPr>
            <w:noProof/>
            <w:webHidden/>
          </w:rPr>
          <w:fldChar w:fldCharType="separate"/>
        </w:r>
        <w:r w:rsidR="00402362">
          <w:rPr>
            <w:noProof/>
            <w:webHidden/>
          </w:rPr>
          <w:t>70</w:t>
        </w:r>
        <w:r w:rsidR="00892DE5">
          <w:rPr>
            <w:noProof/>
            <w:webHidden/>
          </w:rPr>
          <w:fldChar w:fldCharType="end"/>
        </w:r>
      </w:hyperlink>
    </w:p>
    <w:p w14:paraId="1A652884" w14:textId="5BEB9A19" w:rsidR="00892DE5" w:rsidRDefault="002658F9">
      <w:pPr>
        <w:pStyle w:val="TOC2"/>
        <w:rPr>
          <w:rFonts w:asciiTheme="minorHAnsi" w:eastAsiaTheme="minorEastAsia" w:hAnsiTheme="minorHAnsi"/>
          <w:noProof/>
          <w:sz w:val="22"/>
          <w:lang w:val="en-AU" w:eastAsia="en-AU"/>
        </w:rPr>
      </w:pPr>
      <w:hyperlink w:anchor="_Toc121320698" w:history="1">
        <w:r w:rsidR="00892DE5" w:rsidRPr="00E30382">
          <w:rPr>
            <w:rStyle w:val="Hyperlink"/>
            <w:bCs/>
            <w:noProof/>
          </w:rPr>
          <w:t>9.3</w:t>
        </w:r>
        <w:r w:rsidR="00892DE5">
          <w:rPr>
            <w:rFonts w:asciiTheme="minorHAnsi" w:eastAsiaTheme="minorEastAsia" w:hAnsiTheme="minorHAnsi"/>
            <w:noProof/>
            <w:sz w:val="22"/>
            <w:lang w:val="en-AU" w:eastAsia="en-AU"/>
          </w:rPr>
          <w:tab/>
        </w:r>
        <w:r w:rsidR="00892DE5" w:rsidRPr="00E30382">
          <w:rPr>
            <w:rStyle w:val="Hyperlink"/>
            <w:noProof/>
          </w:rPr>
          <w:t>Effectiveness of service enablers</w:t>
        </w:r>
        <w:r w:rsidR="00892DE5">
          <w:rPr>
            <w:noProof/>
            <w:webHidden/>
          </w:rPr>
          <w:tab/>
        </w:r>
        <w:r w:rsidR="00892DE5">
          <w:rPr>
            <w:noProof/>
            <w:webHidden/>
          </w:rPr>
          <w:fldChar w:fldCharType="begin"/>
        </w:r>
        <w:r w:rsidR="00892DE5">
          <w:rPr>
            <w:noProof/>
            <w:webHidden/>
          </w:rPr>
          <w:instrText xml:space="preserve"> PAGEREF _Toc121320698 \h </w:instrText>
        </w:r>
        <w:r w:rsidR="00892DE5">
          <w:rPr>
            <w:noProof/>
            <w:webHidden/>
          </w:rPr>
        </w:r>
        <w:r w:rsidR="00892DE5">
          <w:rPr>
            <w:noProof/>
            <w:webHidden/>
          </w:rPr>
          <w:fldChar w:fldCharType="separate"/>
        </w:r>
        <w:r w:rsidR="00402362">
          <w:rPr>
            <w:noProof/>
            <w:webHidden/>
          </w:rPr>
          <w:t>72</w:t>
        </w:r>
        <w:r w:rsidR="00892DE5">
          <w:rPr>
            <w:noProof/>
            <w:webHidden/>
          </w:rPr>
          <w:fldChar w:fldCharType="end"/>
        </w:r>
      </w:hyperlink>
    </w:p>
    <w:p w14:paraId="35D01B1B" w14:textId="6E159C1F" w:rsidR="00892DE5" w:rsidRDefault="002658F9">
      <w:pPr>
        <w:pStyle w:val="TOC1"/>
        <w:rPr>
          <w:rFonts w:asciiTheme="minorHAnsi" w:eastAsiaTheme="minorEastAsia" w:hAnsiTheme="minorHAnsi"/>
          <w:sz w:val="22"/>
          <w:lang w:val="en-AU" w:eastAsia="en-AU"/>
        </w:rPr>
      </w:pPr>
      <w:hyperlink w:anchor="_Toc121320699" w:history="1">
        <w:r w:rsidR="00892DE5" w:rsidRPr="00E30382">
          <w:rPr>
            <w:rStyle w:val="Hyperlink"/>
          </w:rPr>
          <w:t>10</w:t>
        </w:r>
        <w:r w:rsidR="00892DE5">
          <w:rPr>
            <w:rFonts w:asciiTheme="minorHAnsi" w:eastAsiaTheme="minorEastAsia" w:hAnsiTheme="minorHAnsi"/>
            <w:sz w:val="22"/>
            <w:lang w:val="en-AU" w:eastAsia="en-AU"/>
          </w:rPr>
          <w:tab/>
        </w:r>
        <w:r w:rsidR="00892DE5" w:rsidRPr="00E30382">
          <w:rPr>
            <w:rStyle w:val="Hyperlink"/>
          </w:rPr>
          <w:t>Recommendations</w:t>
        </w:r>
        <w:r w:rsidR="00892DE5">
          <w:rPr>
            <w:webHidden/>
          </w:rPr>
          <w:tab/>
        </w:r>
        <w:r w:rsidR="00892DE5">
          <w:rPr>
            <w:webHidden/>
          </w:rPr>
          <w:fldChar w:fldCharType="begin"/>
        </w:r>
        <w:r w:rsidR="00892DE5">
          <w:rPr>
            <w:webHidden/>
          </w:rPr>
          <w:instrText xml:space="preserve"> PAGEREF _Toc121320699 \h </w:instrText>
        </w:r>
        <w:r w:rsidR="00892DE5">
          <w:rPr>
            <w:webHidden/>
          </w:rPr>
        </w:r>
        <w:r w:rsidR="00892DE5">
          <w:rPr>
            <w:webHidden/>
          </w:rPr>
          <w:fldChar w:fldCharType="separate"/>
        </w:r>
        <w:r w:rsidR="00402362">
          <w:rPr>
            <w:webHidden/>
          </w:rPr>
          <w:t>79</w:t>
        </w:r>
        <w:r w:rsidR="00892DE5">
          <w:rPr>
            <w:webHidden/>
          </w:rPr>
          <w:fldChar w:fldCharType="end"/>
        </w:r>
      </w:hyperlink>
    </w:p>
    <w:p w14:paraId="0BACBBC5" w14:textId="54A22591" w:rsidR="00892DE5" w:rsidRDefault="002658F9">
      <w:pPr>
        <w:pStyle w:val="TOC2"/>
        <w:rPr>
          <w:rFonts w:asciiTheme="minorHAnsi" w:eastAsiaTheme="minorEastAsia" w:hAnsiTheme="minorHAnsi"/>
          <w:noProof/>
          <w:sz w:val="22"/>
          <w:lang w:val="en-AU" w:eastAsia="en-AU"/>
        </w:rPr>
      </w:pPr>
      <w:hyperlink w:anchor="_Toc121320700" w:history="1">
        <w:r w:rsidR="00892DE5" w:rsidRPr="00E30382">
          <w:rPr>
            <w:rStyle w:val="Hyperlink"/>
            <w:bCs/>
            <w:noProof/>
          </w:rPr>
          <w:t>10.1</w:t>
        </w:r>
        <w:r w:rsidR="00892DE5">
          <w:rPr>
            <w:rFonts w:asciiTheme="minorHAnsi" w:eastAsiaTheme="minorEastAsia" w:hAnsiTheme="minorHAnsi"/>
            <w:noProof/>
            <w:sz w:val="22"/>
            <w:lang w:val="en-AU" w:eastAsia="en-AU"/>
          </w:rPr>
          <w:tab/>
        </w:r>
        <w:r w:rsidR="00892DE5" w:rsidRPr="00E30382">
          <w:rPr>
            <w:rStyle w:val="Hyperlink"/>
            <w:noProof/>
          </w:rPr>
          <w:t>Recommendations for future aftercare services in Australia</w:t>
        </w:r>
        <w:r w:rsidR="00892DE5">
          <w:rPr>
            <w:noProof/>
            <w:webHidden/>
          </w:rPr>
          <w:tab/>
        </w:r>
        <w:r w:rsidR="00892DE5">
          <w:rPr>
            <w:noProof/>
            <w:webHidden/>
          </w:rPr>
          <w:fldChar w:fldCharType="begin"/>
        </w:r>
        <w:r w:rsidR="00892DE5">
          <w:rPr>
            <w:noProof/>
            <w:webHidden/>
          </w:rPr>
          <w:instrText xml:space="preserve"> PAGEREF _Toc121320700 \h </w:instrText>
        </w:r>
        <w:r w:rsidR="00892DE5">
          <w:rPr>
            <w:noProof/>
            <w:webHidden/>
          </w:rPr>
        </w:r>
        <w:r w:rsidR="00892DE5">
          <w:rPr>
            <w:noProof/>
            <w:webHidden/>
          </w:rPr>
          <w:fldChar w:fldCharType="separate"/>
        </w:r>
        <w:r w:rsidR="00402362">
          <w:rPr>
            <w:noProof/>
            <w:webHidden/>
          </w:rPr>
          <w:t>79</w:t>
        </w:r>
        <w:r w:rsidR="00892DE5">
          <w:rPr>
            <w:noProof/>
            <w:webHidden/>
          </w:rPr>
          <w:fldChar w:fldCharType="end"/>
        </w:r>
      </w:hyperlink>
    </w:p>
    <w:p w14:paraId="7CAC29B0" w14:textId="5B03993D" w:rsidR="00892DE5" w:rsidRDefault="002658F9">
      <w:pPr>
        <w:pStyle w:val="TOC2"/>
        <w:rPr>
          <w:rFonts w:asciiTheme="minorHAnsi" w:eastAsiaTheme="minorEastAsia" w:hAnsiTheme="minorHAnsi"/>
          <w:noProof/>
          <w:sz w:val="22"/>
          <w:lang w:val="en-AU" w:eastAsia="en-AU"/>
        </w:rPr>
      </w:pPr>
      <w:hyperlink w:anchor="_Toc121320701" w:history="1">
        <w:r w:rsidR="00892DE5" w:rsidRPr="00E30382">
          <w:rPr>
            <w:rStyle w:val="Hyperlink"/>
            <w:bCs/>
            <w:noProof/>
          </w:rPr>
          <w:t>10.2</w:t>
        </w:r>
        <w:r w:rsidR="00892DE5">
          <w:rPr>
            <w:rFonts w:asciiTheme="minorHAnsi" w:eastAsiaTheme="minorEastAsia" w:hAnsiTheme="minorHAnsi"/>
            <w:noProof/>
            <w:sz w:val="22"/>
            <w:lang w:val="en-AU" w:eastAsia="en-AU"/>
          </w:rPr>
          <w:tab/>
        </w:r>
        <w:r w:rsidR="00892DE5" w:rsidRPr="00E30382">
          <w:rPr>
            <w:rStyle w:val="Hyperlink"/>
            <w:noProof/>
          </w:rPr>
          <w:t>Recommendations for the handover of The Way Back</w:t>
        </w:r>
        <w:r w:rsidR="00892DE5">
          <w:rPr>
            <w:noProof/>
            <w:webHidden/>
          </w:rPr>
          <w:tab/>
        </w:r>
        <w:r w:rsidR="00892DE5">
          <w:rPr>
            <w:noProof/>
            <w:webHidden/>
          </w:rPr>
          <w:fldChar w:fldCharType="begin"/>
        </w:r>
        <w:r w:rsidR="00892DE5">
          <w:rPr>
            <w:noProof/>
            <w:webHidden/>
          </w:rPr>
          <w:instrText xml:space="preserve"> PAGEREF _Toc121320701 \h </w:instrText>
        </w:r>
        <w:r w:rsidR="00892DE5">
          <w:rPr>
            <w:noProof/>
            <w:webHidden/>
          </w:rPr>
        </w:r>
        <w:r w:rsidR="00892DE5">
          <w:rPr>
            <w:noProof/>
            <w:webHidden/>
          </w:rPr>
          <w:fldChar w:fldCharType="separate"/>
        </w:r>
        <w:r w:rsidR="00402362">
          <w:rPr>
            <w:noProof/>
            <w:webHidden/>
          </w:rPr>
          <w:t>90</w:t>
        </w:r>
        <w:r w:rsidR="00892DE5">
          <w:rPr>
            <w:noProof/>
            <w:webHidden/>
          </w:rPr>
          <w:fldChar w:fldCharType="end"/>
        </w:r>
      </w:hyperlink>
    </w:p>
    <w:p w14:paraId="73C83CD2" w14:textId="7B43F022" w:rsidR="00892DE5" w:rsidRDefault="002658F9">
      <w:pPr>
        <w:pStyle w:val="TOC1"/>
        <w:rPr>
          <w:rFonts w:asciiTheme="minorHAnsi" w:eastAsiaTheme="minorEastAsia" w:hAnsiTheme="minorHAnsi"/>
          <w:sz w:val="22"/>
          <w:lang w:val="en-AU" w:eastAsia="en-AU"/>
        </w:rPr>
      </w:pPr>
      <w:hyperlink w:anchor="_Toc121320702" w:history="1">
        <w:r w:rsidR="00892DE5" w:rsidRPr="00E30382">
          <w:rPr>
            <w:rStyle w:val="Hyperlink"/>
          </w:rPr>
          <w:t>11</w:t>
        </w:r>
        <w:r w:rsidR="00892DE5">
          <w:rPr>
            <w:rFonts w:asciiTheme="minorHAnsi" w:eastAsiaTheme="minorEastAsia" w:hAnsiTheme="minorHAnsi"/>
            <w:sz w:val="22"/>
            <w:lang w:val="en-AU" w:eastAsia="en-AU"/>
          </w:rPr>
          <w:tab/>
        </w:r>
        <w:r w:rsidR="00892DE5" w:rsidRPr="00E30382">
          <w:rPr>
            <w:rStyle w:val="Hyperlink"/>
          </w:rPr>
          <w:t>Conclusions</w:t>
        </w:r>
        <w:r w:rsidR="00892DE5">
          <w:rPr>
            <w:webHidden/>
          </w:rPr>
          <w:tab/>
        </w:r>
        <w:r w:rsidR="00892DE5">
          <w:rPr>
            <w:webHidden/>
          </w:rPr>
          <w:fldChar w:fldCharType="begin"/>
        </w:r>
        <w:r w:rsidR="00892DE5">
          <w:rPr>
            <w:webHidden/>
          </w:rPr>
          <w:instrText xml:space="preserve"> PAGEREF _Toc121320702 \h </w:instrText>
        </w:r>
        <w:r w:rsidR="00892DE5">
          <w:rPr>
            <w:webHidden/>
          </w:rPr>
        </w:r>
        <w:r w:rsidR="00892DE5">
          <w:rPr>
            <w:webHidden/>
          </w:rPr>
          <w:fldChar w:fldCharType="separate"/>
        </w:r>
        <w:r w:rsidR="00402362">
          <w:rPr>
            <w:webHidden/>
          </w:rPr>
          <w:t>92</w:t>
        </w:r>
        <w:r w:rsidR="00892DE5">
          <w:rPr>
            <w:webHidden/>
          </w:rPr>
          <w:fldChar w:fldCharType="end"/>
        </w:r>
      </w:hyperlink>
    </w:p>
    <w:p w14:paraId="58B153DB" w14:textId="49FBA416" w:rsidR="00013624" w:rsidRDefault="00496A92" w:rsidP="003723D2">
      <w:pPr>
        <w:pStyle w:val="Heading1nonumbered"/>
      </w:pPr>
      <w:r>
        <w:lastRenderedPageBreak/>
        <w:fldChar w:fldCharType="end"/>
      </w:r>
      <w:bookmarkStart w:id="1" w:name="_Toc121320671"/>
      <w:r w:rsidR="00013624">
        <w:t>Glossary</w:t>
      </w:r>
      <w:bookmarkEnd w:id="1"/>
    </w:p>
    <w:tbl>
      <w:tblPr>
        <w:tblStyle w:val="NOUS1"/>
        <w:tblW w:w="8921" w:type="dxa"/>
        <w:tblLook w:val="04A0" w:firstRow="1" w:lastRow="0" w:firstColumn="1" w:lastColumn="0" w:noHBand="0" w:noVBand="1"/>
      </w:tblPr>
      <w:tblGrid>
        <w:gridCol w:w="1895"/>
        <w:gridCol w:w="7026"/>
      </w:tblGrid>
      <w:tr w:rsidR="00CB0C9C" w:rsidRPr="00755B08" w14:paraId="2F2925B8" w14:textId="77777777" w:rsidTr="00CB0C9C">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95" w:type="dxa"/>
          </w:tcPr>
          <w:p w14:paraId="01E2E344" w14:textId="6AA05EF7" w:rsidR="00CB0C9C" w:rsidRPr="00CB0C9C" w:rsidRDefault="00CB0C9C" w:rsidP="00CB0C9C">
            <w:pPr>
              <w:pStyle w:val="TableNheader"/>
            </w:pPr>
            <w:r w:rsidRPr="00CB0C9C">
              <w:t>Glossary</w:t>
            </w:r>
          </w:p>
        </w:tc>
        <w:tc>
          <w:tcPr>
            <w:tcW w:w="7026" w:type="dxa"/>
          </w:tcPr>
          <w:p w14:paraId="78354872" w14:textId="27160C05" w:rsidR="00CB0C9C" w:rsidRDefault="00CB0C9C" w:rsidP="00CB0C9C">
            <w:pPr>
              <w:pStyle w:val="TableNheader"/>
              <w:cnfStyle w:val="100000000000" w:firstRow="1" w:lastRow="0" w:firstColumn="0" w:lastColumn="0" w:oddVBand="0" w:evenVBand="0" w:oddHBand="0" w:evenHBand="0" w:firstRowFirstColumn="0" w:firstRowLastColumn="0" w:lastRowFirstColumn="0" w:lastRowLastColumn="0"/>
            </w:pPr>
            <w:r>
              <w:t>Description</w:t>
            </w:r>
          </w:p>
        </w:tc>
      </w:tr>
      <w:tr w:rsidR="00321DCD" w:rsidRPr="00755B08" w14:paraId="34924757" w14:textId="77777777" w:rsidTr="00CB0C9C">
        <w:trPr>
          <w:trHeight w:val="726"/>
        </w:trPr>
        <w:tc>
          <w:tcPr>
            <w:cnfStyle w:val="001000000000" w:firstRow="0" w:lastRow="0" w:firstColumn="1" w:lastColumn="0" w:oddVBand="0" w:evenVBand="0" w:oddHBand="0" w:evenHBand="0" w:firstRowFirstColumn="0" w:firstRowLastColumn="0" w:lastRowFirstColumn="0" w:lastRowLastColumn="0"/>
            <w:tcW w:w="1895" w:type="dxa"/>
          </w:tcPr>
          <w:p w14:paraId="7BD4DA51"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Aboriginal Community Controlled Health Organisations (ACCHOs)</w:t>
            </w:r>
          </w:p>
        </w:tc>
        <w:tc>
          <w:tcPr>
            <w:tcW w:w="7026" w:type="dxa"/>
          </w:tcPr>
          <w:p w14:paraId="2FC85C86" w14:textId="77777777" w:rsidR="00013624" w:rsidRDefault="00013624">
            <w:pPr>
              <w:pStyle w:val="TableNText"/>
              <w:cnfStyle w:val="000000000000" w:firstRow="0" w:lastRow="0" w:firstColumn="0" w:lastColumn="0" w:oddVBand="0" w:evenVBand="0" w:oddHBand="0" w:evenHBand="0" w:firstRowFirstColumn="0" w:firstRowLastColumn="0" w:lastRowFirstColumn="0" w:lastRowLastColumn="0"/>
            </w:pPr>
            <w:r>
              <w:t>A</w:t>
            </w:r>
            <w:r w:rsidRPr="00443437">
              <w:t xml:space="preserve"> primary health care service initiated and operated by the local Aboriginal community to deliver holistic, comprehensive, and culturally appropriate health care to the community</w:t>
            </w:r>
            <w:r>
              <w:t xml:space="preserve">. </w:t>
            </w:r>
          </w:p>
        </w:tc>
      </w:tr>
      <w:tr w:rsidR="00321DCD" w:rsidRPr="00755B08" w14:paraId="3F0FB45D" w14:textId="77777777" w:rsidTr="00CB0C9C">
        <w:trPr>
          <w:trHeight w:val="726"/>
        </w:trPr>
        <w:tc>
          <w:tcPr>
            <w:cnfStyle w:val="001000000000" w:firstRow="0" w:lastRow="0" w:firstColumn="1" w:lastColumn="0" w:oddVBand="0" w:evenVBand="0" w:oddHBand="0" w:evenHBand="0" w:firstRowFirstColumn="0" w:firstRowLastColumn="0" w:lastRowFirstColumn="0" w:lastRowLastColumn="0"/>
            <w:tcW w:w="1895" w:type="dxa"/>
          </w:tcPr>
          <w:p w14:paraId="6AC79318" w14:textId="77777777" w:rsidR="00013624" w:rsidRPr="00AF1FA4" w:rsidRDefault="3ABDF539">
            <w:pPr>
              <w:pStyle w:val="TableNheader"/>
              <w:rPr>
                <w:color w:val="FFFFFF" w:themeColor="background1"/>
                <w:sz w:val="17"/>
                <w:szCs w:val="17"/>
              </w:rPr>
            </w:pPr>
            <w:r w:rsidRPr="74B83E5E">
              <w:rPr>
                <w:color w:val="FFFFFF" w:themeColor="background1"/>
                <w:sz w:val="17"/>
                <w:szCs w:val="17"/>
              </w:rPr>
              <w:t>Community mental health service</w:t>
            </w:r>
          </w:p>
        </w:tc>
        <w:tc>
          <w:tcPr>
            <w:tcW w:w="7026" w:type="dxa"/>
          </w:tcPr>
          <w:p w14:paraId="0562EC4B" w14:textId="77777777" w:rsidR="00013624" w:rsidRPr="00755B08"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Services that treat mental illness </w:t>
            </w:r>
            <w:r w:rsidRPr="006A37C6">
              <w:t>in community</w:t>
            </w:r>
            <w:r>
              <w:t xml:space="preserve">-based settings or </w:t>
            </w:r>
            <w:r w:rsidRPr="006A37C6">
              <w:t>hospital-based outpatient care</w:t>
            </w:r>
            <w:r>
              <w:t xml:space="preserve">. </w:t>
            </w:r>
          </w:p>
        </w:tc>
      </w:tr>
      <w:tr w:rsidR="00321DCD" w:rsidRPr="00583F4F" w14:paraId="294F17E6"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588739B0"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Core service model</w:t>
            </w:r>
          </w:p>
        </w:tc>
        <w:tc>
          <w:tcPr>
            <w:tcW w:w="7026" w:type="dxa"/>
          </w:tcPr>
          <w:p w14:paraId="56BCEFF9" w14:textId="3778B8A5"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rsidRPr="00583F4F">
              <w:t xml:space="preserve">The core service model is the key elements of </w:t>
            </w:r>
            <w:r>
              <w:t>The Way Back</w:t>
            </w:r>
            <w:r w:rsidRPr="00583F4F">
              <w:t xml:space="preserve"> that make it work. They are described in</w:t>
            </w:r>
            <w:r w:rsidR="00A0225A">
              <w:t xml:space="preserve"> Section </w:t>
            </w:r>
            <w:r w:rsidR="00A0225A">
              <w:fldChar w:fldCharType="begin"/>
            </w:r>
            <w:r w:rsidR="00A0225A">
              <w:instrText xml:space="preserve"> REF _Ref121304078 \n \h </w:instrText>
            </w:r>
            <w:r w:rsidR="00A0225A">
              <w:fldChar w:fldCharType="separate"/>
            </w:r>
            <w:r w:rsidR="00402362">
              <w:t>4</w:t>
            </w:r>
            <w:r w:rsidR="00A0225A">
              <w:fldChar w:fldCharType="end"/>
            </w:r>
            <w:r>
              <w:t>,</w:t>
            </w:r>
            <w:r w:rsidRPr="00583F4F">
              <w:t xml:space="preserve"> which draws from Beyond Blue’s </w:t>
            </w:r>
            <w:r>
              <w:t>The Way Back</w:t>
            </w:r>
            <w:r w:rsidRPr="00583F4F">
              <w:t xml:space="preserve"> service model documentation. </w:t>
            </w:r>
          </w:p>
        </w:tc>
      </w:tr>
      <w:tr w:rsidR="002619BA" w:rsidRPr="00583F4F" w14:paraId="4312C611"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5A54905F"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Cohorts of interest to The Way Back</w:t>
            </w:r>
          </w:p>
        </w:tc>
        <w:tc>
          <w:tcPr>
            <w:tcW w:w="7026" w:type="dxa"/>
          </w:tcPr>
          <w:p w14:paraId="793360BA" w14:textId="4FD9186D"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Cohorts of people over-represented in suicide statistics and/or those who face greater barriers to accessing support identified by The Way Back Support Service Implementation and </w:t>
            </w:r>
            <w:r w:rsidR="00F84415">
              <w:t>Procurement</w:t>
            </w:r>
            <w:r>
              <w:t xml:space="preserve"> Guide.</w:t>
            </w:r>
            <w:r>
              <w:rPr>
                <w:rStyle w:val="FootnoteReference"/>
              </w:rPr>
              <w:footnoteReference w:id="2"/>
            </w:r>
            <w:r>
              <w:t xml:space="preserve"> </w:t>
            </w:r>
            <w:r w:rsidRPr="00AB5700">
              <w:t>These were people who</w:t>
            </w:r>
            <w:r>
              <w:t>:</w:t>
            </w:r>
            <w:r w:rsidR="00F84415">
              <w:t xml:space="preserve"> </w:t>
            </w:r>
            <w:r w:rsidRPr="00AB5700">
              <w:t>identified as Aboriginal and Torres Strait Islander, identified as LGBTQIA+, men, aged 80+ years old, middle-aged men, youth, and people with a mental health condition.</w:t>
            </w:r>
          </w:p>
        </w:tc>
      </w:tr>
      <w:tr w:rsidR="002619BA" w:rsidRPr="00583F4F" w14:paraId="26E06564"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424555D0"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Cohorts of interest to the evaluation</w:t>
            </w:r>
          </w:p>
        </w:tc>
        <w:tc>
          <w:tcPr>
            <w:tcW w:w="7026" w:type="dxa"/>
          </w:tcPr>
          <w:p w14:paraId="78F9EC05" w14:textId="0352B568"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Additional cohorts of people of interest to the evaluation identified through analysis of </w:t>
            </w:r>
            <w:r w:rsidR="00F84415">
              <w:t>prevalence</w:t>
            </w:r>
            <w:r>
              <w:t xml:space="preserve"> data of suicide attempts and </w:t>
            </w:r>
            <w:r w:rsidR="00F84415">
              <w:t>deaths</w:t>
            </w:r>
            <w:r>
              <w:t xml:space="preserve"> across specific cohorts or through identification of cohorts through the available data to the evaluation. These cohorts included but were not limed to people who: </w:t>
            </w:r>
            <w:r>
              <w:rPr>
                <w:lang w:val="en-US"/>
              </w:rPr>
              <w:t>experienced a personality disorder, people with a culturally and linguistically diverse (CALD) background experience alcohol and/or other drug misuse, experienced homelessness, were unemployed.</w:t>
            </w:r>
            <w:r>
              <w:t xml:space="preserve"> </w:t>
            </w:r>
          </w:p>
        </w:tc>
      </w:tr>
      <w:tr w:rsidR="00321DCD" w:rsidRPr="00583F4F" w14:paraId="77D25C5A"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99E84A0"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 xml:space="preserve">Episode of care (referred to throughout this report as </w:t>
            </w:r>
            <w:r w:rsidRPr="00AF1FA4">
              <w:rPr>
                <w:i/>
                <w:iCs/>
                <w:color w:val="FFFFFF" w:themeColor="background1"/>
                <w:sz w:val="17"/>
                <w:szCs w:val="17"/>
              </w:rPr>
              <w:t>service episode</w:t>
            </w:r>
            <w:r w:rsidRPr="00AF1FA4">
              <w:rPr>
                <w:color w:val="FFFFFF" w:themeColor="background1"/>
                <w:sz w:val="17"/>
                <w:szCs w:val="17"/>
              </w:rPr>
              <w:t>)</w:t>
            </w:r>
          </w:p>
        </w:tc>
        <w:tc>
          <w:tcPr>
            <w:tcW w:w="7026" w:type="dxa"/>
          </w:tcPr>
          <w:p w14:paraId="215292B1" w14:textId="6F96C2DE" w:rsidR="00013624" w:rsidRPr="00583F4F" w:rsidRDefault="0DD75D77">
            <w:pPr>
              <w:pStyle w:val="TableNText"/>
              <w:cnfStyle w:val="000000000000" w:firstRow="0" w:lastRow="0" w:firstColumn="0" w:lastColumn="0" w:oddVBand="0" w:evenVBand="0" w:oddHBand="0" w:evenHBand="0" w:firstRowFirstColumn="0" w:firstRowLastColumn="0" w:lastRowFirstColumn="0" w:lastRowLastColumn="0"/>
            </w:pPr>
            <w:r w:rsidRPr="00D92BBA">
              <w:t xml:space="preserve">For the purposes of the PMHC MDS, an Episode of Care is defined as a </w:t>
            </w:r>
            <w:proofErr w:type="gramStart"/>
            <w:r w:rsidRPr="00D92BBA">
              <w:t>more or less continuous</w:t>
            </w:r>
            <w:proofErr w:type="gramEnd"/>
            <w:r w:rsidRPr="00D92BBA">
              <w:t xml:space="preserve"> period of contact between a </w:t>
            </w:r>
            <w:r w:rsidR="7E2140CC">
              <w:t>participant</w:t>
            </w:r>
            <w:r w:rsidRPr="00D92BBA">
              <w:t xml:space="preserve"> and a PHN-commissioned provider organisation/clinician that starts at the point of first contact and concludes at discharge</w:t>
            </w:r>
            <w:r w:rsidR="3ECB99CA">
              <w:t>.</w:t>
            </w:r>
            <w:r w:rsidR="00B60899">
              <w:rPr>
                <w:rStyle w:val="FootnoteReference"/>
              </w:rPr>
              <w:footnoteReference w:id="3"/>
            </w:r>
            <w:r w:rsidRPr="00583F4F">
              <w:t xml:space="preserve"> </w:t>
            </w:r>
          </w:p>
        </w:tc>
      </w:tr>
      <w:tr w:rsidR="00321DCD" w:rsidRPr="00583F4F" w14:paraId="5D0D88BC"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5C2DD08B" w14:textId="05BEB20B" w:rsidR="00013624" w:rsidRPr="00AF1FA4" w:rsidRDefault="00013624">
            <w:pPr>
              <w:pStyle w:val="TableNheader"/>
              <w:rPr>
                <w:color w:val="FFFFFF" w:themeColor="background1"/>
                <w:sz w:val="17"/>
                <w:szCs w:val="17"/>
              </w:rPr>
            </w:pPr>
            <w:r w:rsidRPr="00AF1FA4">
              <w:rPr>
                <w:color w:val="FFFFFF" w:themeColor="background1"/>
                <w:sz w:val="17"/>
                <w:szCs w:val="17"/>
              </w:rPr>
              <w:t>Completed service episode</w:t>
            </w:r>
          </w:p>
        </w:tc>
        <w:tc>
          <w:tcPr>
            <w:tcW w:w="7026" w:type="dxa"/>
          </w:tcPr>
          <w:p w14:paraId="64A65B68" w14:textId="5EDC32D4" w:rsidR="00013624" w:rsidRPr="00583F4F" w:rsidRDefault="3ABDF539">
            <w:pPr>
              <w:pStyle w:val="TableNText"/>
              <w:cnfStyle w:val="000000000000" w:firstRow="0" w:lastRow="0" w:firstColumn="0" w:lastColumn="0" w:oddVBand="0" w:evenVBand="0" w:oddHBand="0" w:evenHBand="0" w:firstRowFirstColumn="0" w:firstRowLastColumn="0" w:lastRowFirstColumn="0" w:lastRowLastColumn="0"/>
            </w:pPr>
            <w:r>
              <w:t xml:space="preserve">Participants with service episodes that indicate that they </w:t>
            </w:r>
            <w:r w:rsidR="003D2A99">
              <w:t xml:space="preserve">exited </w:t>
            </w:r>
            <w:r>
              <w:t>from The Way Back via a planned service discharge at the end of their service episode.</w:t>
            </w:r>
          </w:p>
        </w:tc>
      </w:tr>
      <w:tr w:rsidR="002619BA" w:rsidRPr="00583F4F" w14:paraId="40A83814"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6B4379F9" w14:textId="77777777" w:rsidR="00013624" w:rsidRPr="00AF1FA4" w:rsidDel="00CC3828" w:rsidRDefault="00013624">
            <w:pPr>
              <w:pStyle w:val="TableNheader"/>
              <w:rPr>
                <w:color w:val="FFFFFF" w:themeColor="background1"/>
                <w:sz w:val="17"/>
                <w:szCs w:val="17"/>
              </w:rPr>
            </w:pPr>
            <w:r w:rsidRPr="00AF1FA4">
              <w:rPr>
                <w:color w:val="FFFFFF" w:themeColor="background1"/>
                <w:sz w:val="17"/>
                <w:szCs w:val="17"/>
              </w:rPr>
              <w:t>Not completed service episode</w:t>
            </w:r>
          </w:p>
        </w:tc>
        <w:tc>
          <w:tcPr>
            <w:tcW w:w="7026" w:type="dxa"/>
          </w:tcPr>
          <w:p w14:paraId="16AB31F5" w14:textId="4DB94E0F" w:rsidR="00013624" w:rsidRPr="00AF1FA4" w:rsidRDefault="00013624">
            <w:pPr>
              <w:pStyle w:val="TableNText"/>
              <w:cnfStyle w:val="000000000000" w:firstRow="0" w:lastRow="0" w:firstColumn="0" w:lastColumn="0" w:oddVBand="0" w:evenVBand="0" w:oddHBand="0" w:evenHBand="0" w:firstRowFirstColumn="0" w:firstRowLastColumn="0" w:lastRowFirstColumn="0" w:lastRowLastColumn="0"/>
            </w:pPr>
            <w:r w:rsidRPr="009E789A">
              <w:t>Participants with a service episode that were close</w:t>
            </w:r>
            <w:r w:rsidR="00DB5BC4">
              <w:t>d</w:t>
            </w:r>
            <w:r w:rsidRPr="009E789A">
              <w:t xml:space="preserve"> for administrative reasons such as the being uncontactable or moving out of the area.</w:t>
            </w:r>
          </w:p>
        </w:tc>
      </w:tr>
      <w:tr w:rsidR="00321DCD" w:rsidRPr="001D240A" w14:paraId="1D91EAA1" w14:textId="77777777" w:rsidTr="00CB0C9C">
        <w:trPr>
          <w:trHeight w:val="484"/>
        </w:trPr>
        <w:tc>
          <w:tcPr>
            <w:cnfStyle w:val="001000000000" w:firstRow="0" w:lastRow="0" w:firstColumn="1" w:lastColumn="0" w:oddVBand="0" w:evenVBand="0" w:oddHBand="0" w:evenHBand="0" w:firstRowFirstColumn="0" w:firstRowLastColumn="0" w:lastRowFirstColumn="0" w:lastRowLastColumn="0"/>
            <w:tcW w:w="1895" w:type="dxa"/>
          </w:tcPr>
          <w:p w14:paraId="107C3A53" w14:textId="77777777" w:rsidR="00013624" w:rsidRPr="00AF1FA4" w:rsidRDefault="00013624">
            <w:pPr>
              <w:pStyle w:val="TableNheader"/>
              <w:rPr>
                <w:color w:val="FFFFFF" w:themeColor="background1"/>
                <w:sz w:val="17"/>
                <w:szCs w:val="17"/>
              </w:rPr>
            </w:pPr>
            <w:r w:rsidRPr="00AF1FA4">
              <w:rPr>
                <w:color w:val="FFFFFF" w:themeColor="background1"/>
                <w:sz w:val="17"/>
                <w:szCs w:val="17"/>
              </w:rPr>
              <w:t>Follow-up support</w:t>
            </w:r>
          </w:p>
        </w:tc>
        <w:tc>
          <w:tcPr>
            <w:tcW w:w="7026" w:type="dxa"/>
          </w:tcPr>
          <w:p w14:paraId="08D63A94" w14:textId="77777777" w:rsidR="00013624" w:rsidRPr="001D240A" w:rsidRDefault="00013624">
            <w:pPr>
              <w:pStyle w:val="TableNText"/>
              <w:cnfStyle w:val="000000000000" w:firstRow="0" w:lastRow="0" w:firstColumn="0" w:lastColumn="0" w:oddVBand="0" w:evenVBand="0" w:oddHBand="0" w:evenHBand="0" w:firstRowFirstColumn="0" w:firstRowLastColumn="0" w:lastRowFirstColumn="0" w:lastRowLastColumn="0"/>
            </w:pPr>
            <w:r w:rsidRPr="00583F4F">
              <w:t xml:space="preserve">Follow-up immediately after discharge to continue the provision of care and support to the individual, </w:t>
            </w:r>
            <w:proofErr w:type="gramStart"/>
            <w:r w:rsidRPr="00583F4F">
              <w:t>family</w:t>
            </w:r>
            <w:proofErr w:type="gramEnd"/>
            <w:r w:rsidRPr="00583F4F">
              <w:t xml:space="preserve"> and caregivers.</w:t>
            </w:r>
          </w:p>
        </w:tc>
      </w:tr>
      <w:tr w:rsidR="00321DCD" w:rsidRPr="00583F4F" w14:paraId="59D92DE2"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1E2D212" w14:textId="77777777" w:rsidR="00013624" w:rsidRPr="00AF18CB" w:rsidRDefault="00013624">
            <w:pPr>
              <w:pStyle w:val="TableNheader"/>
              <w:rPr>
                <w:color w:val="FFFFFF" w:themeColor="background1"/>
                <w:sz w:val="17"/>
                <w:szCs w:val="17"/>
              </w:rPr>
            </w:pPr>
            <w:r w:rsidRPr="00AF18CB">
              <w:rPr>
                <w:color w:val="FFFFFF" w:themeColor="background1"/>
                <w:sz w:val="17"/>
                <w:szCs w:val="17"/>
              </w:rPr>
              <w:t xml:space="preserve">Friends, </w:t>
            </w:r>
            <w:proofErr w:type="gramStart"/>
            <w:r w:rsidRPr="00AF18CB">
              <w:rPr>
                <w:color w:val="FFFFFF" w:themeColor="background1"/>
                <w:sz w:val="17"/>
                <w:szCs w:val="17"/>
              </w:rPr>
              <w:t>families</w:t>
            </w:r>
            <w:proofErr w:type="gramEnd"/>
            <w:r w:rsidRPr="00AF18CB">
              <w:rPr>
                <w:color w:val="FFFFFF" w:themeColor="background1"/>
                <w:sz w:val="17"/>
                <w:szCs w:val="17"/>
              </w:rPr>
              <w:t xml:space="preserve"> and other support people</w:t>
            </w:r>
          </w:p>
        </w:tc>
        <w:tc>
          <w:tcPr>
            <w:tcW w:w="7026" w:type="dxa"/>
          </w:tcPr>
          <w:p w14:paraId="75A1BD20" w14:textId="77777777" w:rsidR="00013624" w:rsidRPr="002445C2" w:rsidRDefault="00013624">
            <w:pPr>
              <w:pStyle w:val="TableNText"/>
              <w:cnfStyle w:val="000000000000" w:firstRow="0" w:lastRow="0" w:firstColumn="0" w:lastColumn="0" w:oddVBand="0" w:evenVBand="0" w:oddHBand="0" w:evenHBand="0" w:firstRowFirstColumn="0" w:firstRowLastColumn="0" w:lastRowFirstColumn="0" w:lastRowLastColumn="0"/>
            </w:pPr>
            <w:r>
              <w:t>Friends, families, kinship groups and all other support people who play a vital role in supporting people experiencing suicidality by providing practical and emotional support to the person and assisting them with building capacity and the tasks of daily living.</w:t>
            </w:r>
          </w:p>
          <w:p w14:paraId="58E1647E" w14:textId="77777777"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rsidRPr="002445C2">
              <w:t>For simplicity of language, on occasion we refer to all as ‘families’ or ‘family members’, in line with the idea of ‘chosen families’ as people with who strong supportive ties are formed.</w:t>
            </w:r>
            <w:r>
              <w:t xml:space="preserve"> </w:t>
            </w:r>
          </w:p>
        </w:tc>
      </w:tr>
      <w:tr w:rsidR="00321DCD" w:rsidRPr="00583F4F" w14:paraId="1A72C3A9"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7BC21775" w14:textId="77777777" w:rsidR="00013624" w:rsidRPr="00AF18CB" w:rsidRDefault="00013624">
            <w:pPr>
              <w:pStyle w:val="TableNheader"/>
              <w:rPr>
                <w:color w:val="FFFFFF" w:themeColor="background1"/>
                <w:sz w:val="17"/>
                <w:szCs w:val="17"/>
              </w:rPr>
            </w:pPr>
            <w:r w:rsidRPr="00AF18CB">
              <w:rPr>
                <w:color w:val="FFFFFF" w:themeColor="background1"/>
                <w:sz w:val="17"/>
                <w:szCs w:val="17"/>
              </w:rPr>
              <w:t>Key Evaluation Questions (KEQs)</w:t>
            </w:r>
          </w:p>
        </w:tc>
        <w:tc>
          <w:tcPr>
            <w:tcW w:w="7026" w:type="dxa"/>
          </w:tcPr>
          <w:p w14:paraId="600AD3F8" w14:textId="77777777"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rsidRPr="002445C2">
              <w:t xml:space="preserve">High-level research questions that guide the evaluation. The </w:t>
            </w:r>
            <w:r>
              <w:t>KEQs</w:t>
            </w:r>
            <w:r w:rsidRPr="002445C2">
              <w:t xml:space="preserve"> for this evaluation were determined from the scope of enquiry, theory of change and program </w:t>
            </w:r>
            <w:r>
              <w:t xml:space="preserve">logic. </w:t>
            </w:r>
          </w:p>
        </w:tc>
      </w:tr>
      <w:tr w:rsidR="00321DCD" w:rsidRPr="002445C2" w14:paraId="4751AD2E"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3FC8F9D2" w14:textId="77777777" w:rsidR="00013624" w:rsidRPr="00AF18CB" w:rsidRDefault="00013624">
            <w:pPr>
              <w:pStyle w:val="TableNheader"/>
              <w:rPr>
                <w:color w:val="FFFFFF" w:themeColor="background1"/>
                <w:sz w:val="17"/>
                <w:szCs w:val="17"/>
              </w:rPr>
            </w:pPr>
            <w:r w:rsidRPr="00AF18CB">
              <w:rPr>
                <w:color w:val="FFFFFF" w:themeColor="background1"/>
                <w:sz w:val="17"/>
                <w:szCs w:val="17"/>
              </w:rPr>
              <w:lastRenderedPageBreak/>
              <w:t>Local Health Network (LHN) or Local Health District (LHD) or Hospital and Health Service (HHS) (referred to in this report as ‘LHNs or equivalents’)</w:t>
            </w:r>
          </w:p>
        </w:tc>
        <w:tc>
          <w:tcPr>
            <w:tcW w:w="7026" w:type="dxa"/>
          </w:tcPr>
          <w:p w14:paraId="1C24B573" w14:textId="77777777" w:rsidR="00013624" w:rsidRPr="002445C2" w:rsidRDefault="00013624">
            <w:pPr>
              <w:pStyle w:val="TableNText"/>
              <w:cnfStyle w:val="000000000000" w:firstRow="0" w:lastRow="0" w:firstColumn="0" w:lastColumn="0" w:oddVBand="0" w:evenVBand="0" w:oddHBand="0" w:evenHBand="0" w:firstRowFirstColumn="0" w:firstRowLastColumn="0" w:lastRowFirstColumn="0" w:lastRowLastColumn="0"/>
            </w:pPr>
            <w:r w:rsidRPr="002445C2">
              <w:t xml:space="preserve">These entities manage the delivery of public hospital services and other community-based health services as determined by their state or territory government. </w:t>
            </w:r>
          </w:p>
        </w:tc>
      </w:tr>
      <w:tr w:rsidR="00321DCD" w:rsidRPr="002445C2" w14:paraId="56D29C8E"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236DA497" w14:textId="77777777" w:rsidR="00013624" w:rsidRPr="005136CA" w:rsidRDefault="00013624">
            <w:pPr>
              <w:pStyle w:val="TableNheader"/>
              <w:rPr>
                <w:color w:val="FFFFFF" w:themeColor="background1"/>
                <w:sz w:val="17"/>
                <w:szCs w:val="17"/>
              </w:rPr>
            </w:pPr>
            <w:r w:rsidRPr="005136CA">
              <w:rPr>
                <w:color w:val="FFFFFF" w:themeColor="background1"/>
                <w:sz w:val="17"/>
                <w:szCs w:val="17"/>
              </w:rPr>
              <w:t>Matched pair</w:t>
            </w:r>
          </w:p>
        </w:tc>
        <w:tc>
          <w:tcPr>
            <w:tcW w:w="7026" w:type="dxa"/>
          </w:tcPr>
          <w:p w14:paraId="404FF764" w14:textId="7B9FB80F" w:rsidR="00013624" w:rsidRPr="005136CA"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Recorded scores of an outcome measure at both the beginning </w:t>
            </w:r>
            <w:r w:rsidR="004F6BEF">
              <w:t xml:space="preserve">and </w:t>
            </w:r>
            <w:r>
              <w:t xml:space="preserve">at the completion of a participant service episode. </w:t>
            </w:r>
          </w:p>
        </w:tc>
      </w:tr>
      <w:tr w:rsidR="00321DCD" w:rsidRPr="002445C2" w14:paraId="29744843"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68CCDCA2" w14:textId="77777777" w:rsidR="00013624" w:rsidRPr="005136CA" w:rsidRDefault="00013624">
            <w:pPr>
              <w:pStyle w:val="TableNheader"/>
              <w:rPr>
                <w:color w:val="FFFFFF" w:themeColor="background1"/>
                <w:sz w:val="17"/>
                <w:szCs w:val="17"/>
              </w:rPr>
            </w:pPr>
            <w:r w:rsidRPr="005136CA">
              <w:rPr>
                <w:color w:val="FFFFFF" w:themeColor="background1"/>
                <w:sz w:val="17"/>
                <w:szCs w:val="17"/>
              </w:rPr>
              <w:t>Mechanisms of change</w:t>
            </w:r>
          </w:p>
        </w:tc>
        <w:tc>
          <w:tcPr>
            <w:tcW w:w="7026" w:type="dxa"/>
          </w:tcPr>
          <w:p w14:paraId="16392605" w14:textId="77777777" w:rsidR="00013624" w:rsidRPr="002445C2" w:rsidRDefault="00013624">
            <w:pPr>
              <w:pStyle w:val="TableNText"/>
              <w:cnfStyle w:val="000000000000" w:firstRow="0" w:lastRow="0" w:firstColumn="0" w:lastColumn="0" w:oddVBand="0" w:evenVBand="0" w:oddHBand="0" w:evenHBand="0" w:firstRowFirstColumn="0" w:firstRowLastColumn="0" w:lastRowFirstColumn="0" w:lastRowLastColumn="0"/>
            </w:pPr>
            <w:r>
              <w:t>In realist evaluation, the evaluator hypothesises in advance the likely mechanisms that cause change to occur and desired outcomes to be achieved. This also includes consideration of the context in which those changes occur.</w:t>
            </w:r>
            <w:r w:rsidRPr="000E44C9">
              <w:rPr>
                <w:vertAlign w:val="superscript"/>
              </w:rPr>
              <w:footnoteReference w:id="4"/>
            </w:r>
          </w:p>
        </w:tc>
      </w:tr>
      <w:tr w:rsidR="00321DCD" w:rsidRPr="00583F4F" w14:paraId="7FFF3D12"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6D04FFE3" w14:textId="77777777" w:rsidR="00013624" w:rsidRPr="005136CA" w:rsidRDefault="00013624">
            <w:pPr>
              <w:pStyle w:val="TableNheader"/>
              <w:rPr>
                <w:color w:val="FFFFFF" w:themeColor="background1"/>
                <w:sz w:val="17"/>
                <w:szCs w:val="17"/>
              </w:rPr>
            </w:pPr>
            <w:r w:rsidRPr="005136CA">
              <w:rPr>
                <w:color w:val="FFFFFF" w:themeColor="background1"/>
                <w:sz w:val="17"/>
                <w:szCs w:val="17"/>
              </w:rPr>
              <w:t>Primary eligibility criteria</w:t>
            </w:r>
          </w:p>
        </w:tc>
        <w:tc>
          <w:tcPr>
            <w:tcW w:w="7026" w:type="dxa"/>
          </w:tcPr>
          <w:p w14:paraId="73D9A797" w14:textId="291C9CBC" w:rsidR="00013624" w:rsidRPr="00583F4F" w:rsidRDefault="00013624">
            <w:pPr>
              <w:pStyle w:val="TableNText"/>
              <w:cnfStyle w:val="000000000000" w:firstRow="0" w:lastRow="0" w:firstColumn="0" w:lastColumn="0" w:oddVBand="0" w:evenVBand="0" w:oddHBand="0" w:evenHBand="0" w:firstRowFirstColumn="0" w:firstRowLastColumn="0" w:lastRowFirstColumn="0" w:lastRowLastColumn="0"/>
            </w:pPr>
            <w:r w:rsidRPr="00583F4F">
              <w:t>The primary eligibility criteria applie</w:t>
            </w:r>
            <w:r w:rsidR="00240390">
              <w:t>d</w:t>
            </w:r>
            <w:r w:rsidRPr="00583F4F">
              <w:t xml:space="preserve"> to </w:t>
            </w:r>
            <w:r w:rsidR="00DA3914">
              <w:t>participant</w:t>
            </w:r>
            <w:r w:rsidRPr="00583F4F">
              <w:t>s who have been hospitalised for a suicide attempt.</w:t>
            </w:r>
          </w:p>
        </w:tc>
      </w:tr>
      <w:tr w:rsidR="00321DCD" w14:paraId="4211AF11" w14:textId="77777777" w:rsidTr="00CB0C9C">
        <w:trPr>
          <w:trHeight w:val="1251"/>
        </w:trPr>
        <w:tc>
          <w:tcPr>
            <w:cnfStyle w:val="001000000000" w:firstRow="0" w:lastRow="0" w:firstColumn="1" w:lastColumn="0" w:oddVBand="0" w:evenVBand="0" w:oddHBand="0" w:evenHBand="0" w:firstRowFirstColumn="0" w:firstRowLastColumn="0" w:lastRowFirstColumn="0" w:lastRowLastColumn="0"/>
            <w:tcW w:w="1895" w:type="dxa"/>
          </w:tcPr>
          <w:p w14:paraId="7DD6C70F" w14:textId="77777777" w:rsidR="00013624" w:rsidRPr="005136CA" w:rsidRDefault="00013624">
            <w:pPr>
              <w:pStyle w:val="TableNheader"/>
              <w:rPr>
                <w:color w:val="FFFFFF" w:themeColor="background1"/>
                <w:sz w:val="17"/>
                <w:szCs w:val="17"/>
              </w:rPr>
            </w:pPr>
            <w:r w:rsidRPr="005136CA">
              <w:rPr>
                <w:color w:val="FFFFFF" w:themeColor="background1"/>
                <w:sz w:val="17"/>
                <w:szCs w:val="17"/>
              </w:rPr>
              <w:t xml:space="preserve">Primary Mental Health Care Minimum Data Set (PMHC MDS) or PMHC MDS and The Way Back extension </w:t>
            </w:r>
          </w:p>
        </w:tc>
        <w:tc>
          <w:tcPr>
            <w:tcW w:w="7026" w:type="dxa"/>
          </w:tcPr>
          <w:p w14:paraId="339F7D77" w14:textId="622FBEFA" w:rsidR="00013624"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Primary Mental Health Care Minimum Data Set (PMHC MDS) is a data set that provides the basis for PHNs and the </w:t>
            </w:r>
            <w:r w:rsidR="00672FC3">
              <w:t xml:space="preserve">Australian </w:t>
            </w:r>
            <w:r>
              <w:t xml:space="preserve">Department of Health </w:t>
            </w:r>
            <w:r w:rsidR="00672FC3">
              <w:t xml:space="preserve">and Aged Care </w:t>
            </w:r>
            <w:r>
              <w:t xml:space="preserve">to monitor and report on the quantity and quality of service delivery and to inform future improvements in the planning and funding of primary mental health care services funded by the </w:t>
            </w:r>
            <w:r w:rsidR="00672FC3">
              <w:t>Australian Department of Health and Aged Care</w:t>
            </w:r>
            <w:r>
              <w:t>.</w:t>
            </w:r>
            <w:r>
              <w:rPr>
                <w:rStyle w:val="FootnoteReference"/>
              </w:rPr>
              <w:footnoteReference w:id="5"/>
            </w:r>
            <w:r>
              <w:t xml:space="preserve"> </w:t>
            </w:r>
          </w:p>
          <w:p w14:paraId="089D112E" w14:textId="4855D44D" w:rsidR="00013624" w:rsidRDefault="00967674">
            <w:pPr>
              <w:pStyle w:val="TableNText"/>
              <w:cnfStyle w:val="000000000000" w:firstRow="0" w:lastRow="0" w:firstColumn="0" w:lastColumn="0" w:oddVBand="0" w:evenVBand="0" w:oddHBand="0" w:evenHBand="0" w:firstRowFirstColumn="0" w:firstRowLastColumn="0" w:lastRowFirstColumn="0" w:lastRowLastColumn="0"/>
            </w:pPr>
            <w:r>
              <w:t xml:space="preserve">The Way Back </w:t>
            </w:r>
            <w:r w:rsidR="00013624">
              <w:t>extension is a supplementary dataset linked to the PMHC MDS that collects information specific to the aims and activities of The Way Back.</w:t>
            </w:r>
          </w:p>
          <w:p w14:paraId="0CA8C81D" w14:textId="75024C69" w:rsidR="00013624" w:rsidRDefault="00013624">
            <w:pPr>
              <w:pStyle w:val="TableNText"/>
              <w:cnfStyle w:val="000000000000" w:firstRow="0" w:lastRow="0" w:firstColumn="0" w:lastColumn="0" w:oddVBand="0" w:evenVBand="0" w:oddHBand="0" w:evenHBand="0" w:firstRowFirstColumn="0" w:firstRowLastColumn="0" w:lastRowFirstColumn="0" w:lastRowLastColumn="0"/>
            </w:pPr>
            <w:r>
              <w:t xml:space="preserve">Both the PMHC MDS and </w:t>
            </w:r>
            <w:r w:rsidR="00AA13DC">
              <w:t xml:space="preserve">The Way Back </w:t>
            </w:r>
            <w:r w:rsidR="00F84415">
              <w:t>extension</w:t>
            </w:r>
            <w:r>
              <w:t xml:space="preserve"> </w:t>
            </w:r>
            <w:r w:rsidR="00921A4C">
              <w:t>were</w:t>
            </w:r>
            <w:r>
              <w:t xml:space="preserve"> used for this evaluation.</w:t>
            </w:r>
          </w:p>
        </w:tc>
      </w:tr>
      <w:tr w:rsidR="006B313E" w14:paraId="0B65711B" w14:textId="77777777" w:rsidTr="00CB0C9C">
        <w:trPr>
          <w:trHeight w:val="1251"/>
        </w:trPr>
        <w:tc>
          <w:tcPr>
            <w:cnfStyle w:val="001000000000" w:firstRow="0" w:lastRow="0" w:firstColumn="1" w:lastColumn="0" w:oddVBand="0" w:evenVBand="0" w:oddHBand="0" w:evenHBand="0" w:firstRowFirstColumn="0" w:firstRowLastColumn="0" w:lastRowFirstColumn="0" w:lastRowLastColumn="0"/>
            <w:tcW w:w="1895" w:type="dxa"/>
          </w:tcPr>
          <w:p w14:paraId="3B75F14C" w14:textId="77777777" w:rsidR="00013624" w:rsidRPr="003973A2" w:rsidRDefault="00013624">
            <w:pPr>
              <w:pStyle w:val="TableNheader"/>
              <w:rPr>
                <w:color w:val="FFFFFF" w:themeColor="background1"/>
                <w:sz w:val="17"/>
                <w:szCs w:val="17"/>
              </w:rPr>
            </w:pPr>
            <w:r w:rsidRPr="003973A2">
              <w:rPr>
                <w:color w:val="FFFFFF" w:themeColor="background1"/>
                <w:sz w:val="17"/>
                <w:szCs w:val="17"/>
              </w:rPr>
              <w:t>Priority cohort</w:t>
            </w:r>
          </w:p>
        </w:tc>
        <w:tc>
          <w:tcPr>
            <w:tcW w:w="7026" w:type="dxa"/>
          </w:tcPr>
          <w:p w14:paraId="36B6CD72" w14:textId="77777777" w:rsidR="00013624" w:rsidRPr="00623868" w:rsidRDefault="00013624" w:rsidP="00623868">
            <w:pPr>
              <w:cnfStyle w:val="000000000000" w:firstRow="0" w:lastRow="0" w:firstColumn="0" w:lastColumn="0" w:oddVBand="0" w:evenVBand="0" w:oddHBand="0" w:evenHBand="0" w:firstRowFirstColumn="0" w:firstRowLastColumn="0" w:lastRowFirstColumn="0" w:lastRowLastColumn="0"/>
            </w:pPr>
            <w:r w:rsidRPr="00623868">
              <w:t xml:space="preserve">People who identified as Aboriginal/and or Torres Strait </w:t>
            </w:r>
            <w:proofErr w:type="gramStart"/>
            <w:r w:rsidRPr="00623868">
              <w:t>Islander, and</w:t>
            </w:r>
            <w:proofErr w:type="gramEnd"/>
            <w:r w:rsidRPr="00623868">
              <w:t xml:space="preserve"> identified as LGBTIQA+. These cohorts were prioritised through: </w:t>
            </w:r>
          </w:p>
          <w:p w14:paraId="1DF46A47" w14:textId="77777777" w:rsidR="00013624" w:rsidRPr="00623868" w:rsidRDefault="00013624" w:rsidP="00623868">
            <w:pPr>
              <w:cnfStyle w:val="000000000000" w:firstRow="0" w:lastRow="0" w:firstColumn="0" w:lastColumn="0" w:oddVBand="0" w:evenVBand="0" w:oddHBand="0" w:evenHBand="0" w:firstRowFirstColumn="0" w:firstRowLastColumn="0" w:lastRowFirstColumn="0" w:lastRowLastColumn="0"/>
            </w:pPr>
            <w:r w:rsidRPr="00623868">
              <w:t xml:space="preserve">Active data collection on service access, </w:t>
            </w:r>
          </w:p>
          <w:p w14:paraId="449DF3CB" w14:textId="5F6B9586" w:rsidR="00013624" w:rsidRPr="00623868" w:rsidRDefault="00013624" w:rsidP="00623868">
            <w:pPr>
              <w:cnfStyle w:val="000000000000" w:firstRow="0" w:lastRow="0" w:firstColumn="0" w:lastColumn="0" w:oddVBand="0" w:evenVBand="0" w:oddHBand="0" w:evenHBand="0" w:firstRowFirstColumn="0" w:firstRowLastColumn="0" w:lastRowFirstColumn="0" w:lastRowLastColumn="0"/>
            </w:pPr>
            <w:r w:rsidRPr="00623868">
              <w:t>Service model adaptations in sites to include priority pathways for Aboriginal and Torres Strait Islander people</w:t>
            </w:r>
            <w:r w:rsidR="003634EF" w:rsidRPr="00623868">
              <w:t>.</w:t>
            </w:r>
          </w:p>
          <w:p w14:paraId="7A9E8FF4" w14:textId="77777777" w:rsidR="00013624" w:rsidRPr="00623868" w:rsidRDefault="00013624" w:rsidP="00623868">
            <w:pPr>
              <w:cnfStyle w:val="000000000000" w:firstRow="0" w:lastRow="0" w:firstColumn="0" w:lastColumn="0" w:oddVBand="0" w:evenVBand="0" w:oddHBand="0" w:evenHBand="0" w:firstRowFirstColumn="0" w:firstRowLastColumn="0" w:lastRowFirstColumn="0" w:lastRowLastColumn="0"/>
            </w:pPr>
            <w:r w:rsidRPr="00623868">
              <w:t>Active recruitment of those who identified as Aboriginal and Torres Strait Islander people, and/or identified as LGBTQIA+.</w:t>
            </w:r>
            <w:r w:rsidRPr="00623868">
              <w:footnoteReference w:id="6"/>
            </w:r>
            <w:r w:rsidRPr="00623868">
              <w:t xml:space="preserve"> </w:t>
            </w:r>
          </w:p>
        </w:tc>
      </w:tr>
      <w:tr w:rsidR="00672FC3" w14:paraId="3BF959B0" w14:textId="77777777" w:rsidTr="00CB0C9C">
        <w:trPr>
          <w:trHeight w:val="1251"/>
        </w:trPr>
        <w:tc>
          <w:tcPr>
            <w:cnfStyle w:val="001000000000" w:firstRow="0" w:lastRow="0" w:firstColumn="1" w:lastColumn="0" w:oddVBand="0" w:evenVBand="0" w:oddHBand="0" w:evenHBand="0" w:firstRowFirstColumn="0" w:firstRowLastColumn="0" w:lastRowFirstColumn="0" w:lastRowLastColumn="0"/>
            <w:tcW w:w="1895" w:type="dxa"/>
          </w:tcPr>
          <w:p w14:paraId="5AB896F3" w14:textId="5942A020" w:rsidR="00672FC3" w:rsidRPr="003973A2" w:rsidRDefault="00672FC3" w:rsidP="00672FC3">
            <w:pPr>
              <w:pStyle w:val="TableNheader"/>
              <w:rPr>
                <w:color w:val="FFFFFF" w:themeColor="background1"/>
                <w:sz w:val="17"/>
                <w:szCs w:val="17"/>
              </w:rPr>
            </w:pPr>
            <w:r w:rsidRPr="00AF1FA4">
              <w:rPr>
                <w:color w:val="FFFFFF" w:themeColor="background1"/>
                <w:sz w:val="17"/>
                <w:szCs w:val="17"/>
              </w:rPr>
              <w:t>Proactive aftercare</w:t>
            </w:r>
          </w:p>
        </w:tc>
        <w:tc>
          <w:tcPr>
            <w:tcW w:w="7026" w:type="dxa"/>
          </w:tcPr>
          <w:p w14:paraId="7683DE70" w14:textId="6C05D8F1" w:rsidR="00672FC3" w:rsidRPr="00623868" w:rsidRDefault="00672FC3" w:rsidP="00623868">
            <w:pPr>
              <w:cnfStyle w:val="000000000000" w:firstRow="0" w:lastRow="0" w:firstColumn="0" w:lastColumn="0" w:oddVBand="0" w:evenVBand="0" w:oddHBand="0" w:evenHBand="0" w:firstRowFirstColumn="0" w:firstRowLastColumn="0" w:lastRowFirstColumn="0" w:lastRowLastColumn="0"/>
            </w:pPr>
            <w:r w:rsidRPr="00623868">
              <w:t xml:space="preserve">Proactive aftercare is proactive and rapid follow-up, case management and motivational support to remain engaged in a service. ‘Proactive’ means the care provider is responsible for maintaining contact with the participant. </w:t>
            </w:r>
          </w:p>
        </w:tc>
      </w:tr>
      <w:tr w:rsidR="00672FC3" w:rsidRPr="002445C2" w14:paraId="253F891E"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36CA2583" w14:textId="6DDD1BF6" w:rsidR="00672FC3" w:rsidRPr="000D1770" w:rsidRDefault="00672FC3" w:rsidP="00672FC3">
            <w:pPr>
              <w:pStyle w:val="TableNheader"/>
              <w:rPr>
                <w:color w:val="FFFFFF" w:themeColor="background1"/>
                <w:sz w:val="17"/>
                <w:szCs w:val="17"/>
              </w:rPr>
            </w:pPr>
            <w:r>
              <w:rPr>
                <w:color w:val="FFFFFF" w:themeColor="background1"/>
                <w:sz w:val="17"/>
                <w:szCs w:val="17"/>
              </w:rPr>
              <w:t>Psychoeducation</w:t>
            </w:r>
          </w:p>
        </w:tc>
        <w:tc>
          <w:tcPr>
            <w:tcW w:w="7026" w:type="dxa"/>
          </w:tcPr>
          <w:p w14:paraId="040DECBC" w14:textId="56E9357D" w:rsidR="00672FC3"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Educative counselling tailored to people, carers, family members, or other treating professions to help them understand facts about mental illness and to access or learn strategies to deal with illness.</w:t>
            </w:r>
            <w:r>
              <w:rPr>
                <w:rStyle w:val="FootnoteReference"/>
              </w:rPr>
              <w:footnoteReference w:id="7"/>
            </w:r>
          </w:p>
        </w:tc>
      </w:tr>
      <w:tr w:rsidR="00672FC3" w:rsidRPr="002445C2" w14:paraId="0CA1B4A8"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5E6649CD" w14:textId="61F0DAD1" w:rsidR="00672FC3" w:rsidRPr="003973A2" w:rsidRDefault="00672FC3" w:rsidP="00672FC3">
            <w:pPr>
              <w:pStyle w:val="TableNheader"/>
              <w:rPr>
                <w:color w:val="FFFFFF" w:themeColor="background1"/>
                <w:sz w:val="17"/>
                <w:szCs w:val="17"/>
              </w:rPr>
            </w:pPr>
            <w:r w:rsidRPr="003973A2">
              <w:rPr>
                <w:color w:val="FFFFFF" w:themeColor="background1"/>
                <w:sz w:val="17"/>
                <w:szCs w:val="17"/>
              </w:rPr>
              <w:lastRenderedPageBreak/>
              <w:t xml:space="preserve">Psychosocial </w:t>
            </w:r>
            <w:r>
              <w:rPr>
                <w:color w:val="FFFFFF" w:themeColor="background1"/>
                <w:sz w:val="17"/>
                <w:szCs w:val="17"/>
              </w:rPr>
              <w:t>supports/</w:t>
            </w:r>
            <w:r w:rsidRPr="003973A2">
              <w:rPr>
                <w:color w:val="FFFFFF" w:themeColor="background1"/>
                <w:sz w:val="17"/>
                <w:szCs w:val="17"/>
              </w:rPr>
              <w:t>services</w:t>
            </w:r>
          </w:p>
        </w:tc>
        <w:tc>
          <w:tcPr>
            <w:tcW w:w="7026" w:type="dxa"/>
          </w:tcPr>
          <w:p w14:paraId="152A2387" w14:textId="163F3C5E" w:rsidR="00672FC3" w:rsidRPr="002445C2"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 xml:space="preserve">Psychosocial support services which aim to address the ongoing psychological and social needs of individuals and include (but are not limited to) individual or </w:t>
            </w:r>
            <w:proofErr w:type="gramStart"/>
            <w:r>
              <w:t>group based</w:t>
            </w:r>
            <w:proofErr w:type="gramEnd"/>
            <w:r>
              <w:t xml:space="preserve"> education, counselling, peer support, and other community services.</w:t>
            </w:r>
            <w:r>
              <w:rPr>
                <w:rStyle w:val="FootnoteReference"/>
              </w:rPr>
              <w:footnoteReference w:id="8"/>
            </w:r>
          </w:p>
        </w:tc>
      </w:tr>
      <w:tr w:rsidR="00672FC3" w:rsidRPr="00583F4F" w14:paraId="217BA829"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329C56DE"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Recovery</w:t>
            </w:r>
          </w:p>
        </w:tc>
        <w:tc>
          <w:tcPr>
            <w:tcW w:w="7026" w:type="dxa"/>
          </w:tcPr>
          <w:p w14:paraId="32BD4137" w14:textId="77777777"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 xml:space="preserve">Recovery is used throughout this document to refer to a person’s personal recovery following a suicide attempt. This recovery journey will be different for each person, but will often include emotional aspects, physical </w:t>
            </w:r>
            <w:proofErr w:type="gramStart"/>
            <w:r w:rsidRPr="00583F4F">
              <w:t>safety</w:t>
            </w:r>
            <w:proofErr w:type="gramEnd"/>
            <w:r w:rsidRPr="00583F4F">
              <w:t xml:space="preserve"> and other factors. </w:t>
            </w:r>
          </w:p>
        </w:tc>
      </w:tr>
      <w:tr w:rsidR="00672FC3" w:rsidRPr="00583F4F" w14:paraId="5690E16F"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1FEEE3D2"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 xml:space="preserve">Secondary eligibility criteria </w:t>
            </w:r>
          </w:p>
        </w:tc>
        <w:tc>
          <w:tcPr>
            <w:tcW w:w="7026" w:type="dxa"/>
          </w:tcPr>
          <w:p w14:paraId="2AA6A83C" w14:textId="7AB5C8E9"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 xml:space="preserve">The secondary eligibility criteria applied to participants who have presented to a hospital, emergency department, or a community health service following a suicidal crisis, or whose risk of suicide is identified as imminent. </w:t>
            </w:r>
          </w:p>
        </w:tc>
      </w:tr>
      <w:tr w:rsidR="00672FC3" w:rsidRPr="00583F4F" w14:paraId="735132BD"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F253EC9"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Service contact</w:t>
            </w:r>
          </w:p>
        </w:tc>
        <w:tc>
          <w:tcPr>
            <w:tcW w:w="7026" w:type="dxa"/>
          </w:tcPr>
          <w:p w14:paraId="22E6683B" w14:textId="74CF964C"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 xml:space="preserve">For the purposes of the PMHC MDS, a service contact is defined the provision of a service by a PHN commissioned mental health service provider for a </w:t>
            </w:r>
            <w:r>
              <w:t>participant</w:t>
            </w:r>
            <w:r w:rsidRPr="00583F4F">
              <w:t xml:space="preserve"> where the nature of the service would normally warrant a dated entry in the clinical record of the </w:t>
            </w:r>
            <w:r>
              <w:t>participant</w:t>
            </w:r>
            <w:r w:rsidRPr="00583F4F">
              <w:t>. A service contact must involve at least two persons, one of whom must be a mental health service provider.</w:t>
            </w:r>
            <w:r>
              <w:t xml:space="preserve"> </w:t>
            </w:r>
          </w:p>
          <w:p w14:paraId="7C3976A6" w14:textId="5AC5CAE2"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 xml:space="preserve">Service contacts can be either with the </w:t>
            </w:r>
            <w:r>
              <w:t>participant</w:t>
            </w:r>
            <w:r w:rsidRPr="00583F4F">
              <w:t xml:space="preserve"> or with a third party, such as a carer or family member and/or other professional or mental health worker, or other service provider.</w:t>
            </w:r>
          </w:p>
          <w:p w14:paraId="4389A8A1" w14:textId="77777777"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Service contacts are not restricted to face‑to‑face communication but can include telephone, internet, video link or other forms of direct communication.</w:t>
            </w:r>
          </w:p>
          <w:p w14:paraId="1316F8BD" w14:textId="710521E1"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 xml:space="preserve">Service provision is only regarded as a service contact if it is relevant to the clinical condition of the </w:t>
            </w:r>
            <w:r>
              <w:t>participant</w:t>
            </w:r>
            <w:r w:rsidRPr="00583F4F">
              <w:t>. This means that it does not include services of an administrative nature (</w:t>
            </w:r>
            <w:r>
              <w:t>for example,</w:t>
            </w:r>
            <w:r w:rsidRPr="00583F4F">
              <w:t xml:space="preserve"> telephone contact to schedule an appointment).</w:t>
            </w:r>
            <w:r>
              <w:rPr>
                <w:rStyle w:val="FootnoteReference"/>
              </w:rPr>
              <w:footnoteReference w:id="9"/>
            </w:r>
            <w:r>
              <w:t xml:space="preserve"> </w:t>
            </w:r>
          </w:p>
        </w:tc>
      </w:tr>
      <w:tr w:rsidR="00672FC3" w:rsidRPr="00583F4F" w14:paraId="7C2431E9"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D1472D3"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 xml:space="preserve">Service episode </w:t>
            </w:r>
          </w:p>
        </w:tc>
        <w:tc>
          <w:tcPr>
            <w:tcW w:w="7026" w:type="dxa"/>
          </w:tcPr>
          <w:p w14:paraId="6485CD5C" w14:textId="6CF1B683"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See Episode of Care above; a continuous period of contact between a participant and a PHN-commissioned provider that starts at the point of first contact, has a series of one or more Service Contacts and concludes at discharge.</w:t>
            </w:r>
          </w:p>
        </w:tc>
      </w:tr>
      <w:tr w:rsidR="00672FC3" w:rsidRPr="00583F4F" w14:paraId="21588B62"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139BC2A4"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 xml:space="preserve">Service model variations </w:t>
            </w:r>
          </w:p>
        </w:tc>
        <w:tc>
          <w:tcPr>
            <w:tcW w:w="7026" w:type="dxa"/>
          </w:tcPr>
          <w:p w14:paraId="5986BEF4" w14:textId="001E7686" w:rsidR="00672FC3" w:rsidRPr="00583F4F"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583F4F">
              <w:t>These are the site and context specific variations to the core service model, as articulated in</w:t>
            </w:r>
            <w:r>
              <w:t xml:space="preserve"> section </w:t>
            </w:r>
            <w:r>
              <w:fldChar w:fldCharType="begin"/>
            </w:r>
            <w:r>
              <w:instrText xml:space="preserve"> REF _Ref121304078 \n \h </w:instrText>
            </w:r>
            <w:r>
              <w:fldChar w:fldCharType="separate"/>
            </w:r>
            <w:r w:rsidR="00402362">
              <w:t>4</w:t>
            </w:r>
            <w:r>
              <w:fldChar w:fldCharType="end"/>
            </w:r>
            <w:r>
              <w:t xml:space="preserve"> of this report.</w:t>
            </w:r>
            <w:r w:rsidRPr="00583F4F">
              <w:t xml:space="preserve"> They build on the core model to deliver a service that is suited to the needs of the local population and service provider.</w:t>
            </w:r>
          </w:p>
        </w:tc>
      </w:tr>
      <w:tr w:rsidR="00672FC3" w:rsidRPr="002445C2" w14:paraId="2E2CFECC"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5CE7E1ED"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Severe mental illness</w:t>
            </w:r>
          </w:p>
        </w:tc>
        <w:tc>
          <w:tcPr>
            <w:tcW w:w="7026" w:type="dxa"/>
          </w:tcPr>
          <w:p w14:paraId="46D32B32" w14:textId="798E1317" w:rsidR="00672FC3" w:rsidRPr="002445C2"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2445C2">
              <w:t xml:space="preserve">Severe mental illness refers to mental illness characterised by a severe level of clinical symptoms and degree of </w:t>
            </w:r>
            <w:r>
              <w:t>impact of functioning</w:t>
            </w:r>
            <w:r w:rsidRPr="002445C2">
              <w:t xml:space="preserve"> to social, personal, </w:t>
            </w:r>
            <w:proofErr w:type="gramStart"/>
            <w:r w:rsidRPr="002445C2">
              <w:t>family</w:t>
            </w:r>
            <w:proofErr w:type="gramEnd"/>
            <w:r w:rsidRPr="002445C2">
              <w:t xml:space="preserve"> and occupational functioning. </w:t>
            </w:r>
          </w:p>
        </w:tc>
      </w:tr>
      <w:tr w:rsidR="00672FC3" w:rsidRPr="002445C2" w14:paraId="56DA6BB5"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F37A597"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State health service staff</w:t>
            </w:r>
          </w:p>
        </w:tc>
        <w:tc>
          <w:tcPr>
            <w:tcW w:w="7026" w:type="dxa"/>
          </w:tcPr>
          <w:p w14:paraId="64D83E49" w14:textId="3E879FE5" w:rsidR="00672FC3" w:rsidRPr="002445C2"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 xml:space="preserve">The staff operating in state or territory operated health services (for example, hospitals) that collaborate to deliver The Way Back. </w:t>
            </w:r>
          </w:p>
        </w:tc>
      </w:tr>
      <w:tr w:rsidR="00672FC3" w14:paraId="56DB0768" w14:textId="77777777" w:rsidTr="00CB0C9C">
        <w:trPr>
          <w:trHeight w:val="545"/>
        </w:trPr>
        <w:tc>
          <w:tcPr>
            <w:cnfStyle w:val="001000000000" w:firstRow="0" w:lastRow="0" w:firstColumn="1" w:lastColumn="0" w:oddVBand="0" w:evenVBand="0" w:oddHBand="0" w:evenHBand="0" w:firstRowFirstColumn="0" w:firstRowLastColumn="0" w:lastRowFirstColumn="0" w:lastRowLastColumn="0"/>
            <w:tcW w:w="1895" w:type="dxa"/>
          </w:tcPr>
          <w:p w14:paraId="1462DBE5" w14:textId="77777777" w:rsidR="00672FC3" w:rsidRPr="003973A2" w:rsidRDefault="00672FC3" w:rsidP="00672FC3">
            <w:pPr>
              <w:pStyle w:val="TableNheader"/>
              <w:rPr>
                <w:color w:val="FFFFFF" w:themeColor="background1"/>
                <w:sz w:val="17"/>
                <w:szCs w:val="17"/>
              </w:rPr>
            </w:pPr>
            <w:r w:rsidRPr="003973A2">
              <w:rPr>
                <w:color w:val="FFFFFF" w:themeColor="background1"/>
                <w:sz w:val="17"/>
                <w:szCs w:val="17"/>
              </w:rPr>
              <w:t>Suicidal crisis</w:t>
            </w:r>
          </w:p>
        </w:tc>
        <w:tc>
          <w:tcPr>
            <w:tcW w:w="7026" w:type="dxa"/>
          </w:tcPr>
          <w:p w14:paraId="2F9A8B34" w14:textId="77777777" w:rsidR="00672FC3"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755B08">
              <w:t xml:space="preserve">When a person is experiencing distress, suicidal thoughts and articulating an intent to die. A suicidal crisis may or may not result in </w:t>
            </w:r>
            <w:r>
              <w:t>an ED attendance or</w:t>
            </w:r>
            <w:r w:rsidRPr="00755B08">
              <w:t xml:space="preserve"> a hospital admission</w:t>
            </w:r>
            <w:r>
              <w:t>.</w:t>
            </w:r>
          </w:p>
        </w:tc>
      </w:tr>
      <w:tr w:rsidR="00672FC3" w14:paraId="14D1999C" w14:textId="77777777" w:rsidTr="00CB0C9C">
        <w:trPr>
          <w:trHeight w:val="404"/>
        </w:trPr>
        <w:tc>
          <w:tcPr>
            <w:cnfStyle w:val="001000000000" w:firstRow="0" w:lastRow="0" w:firstColumn="1" w:lastColumn="0" w:oddVBand="0" w:evenVBand="0" w:oddHBand="0" w:evenHBand="0" w:firstRowFirstColumn="0" w:firstRowLastColumn="0" w:lastRowFirstColumn="0" w:lastRowLastColumn="0"/>
            <w:tcW w:w="1895" w:type="dxa"/>
          </w:tcPr>
          <w:p w14:paraId="2BB7FF7E" w14:textId="77777777" w:rsidR="00672FC3" w:rsidRPr="00C43906" w:rsidRDefault="00672FC3" w:rsidP="00672FC3">
            <w:pPr>
              <w:pStyle w:val="TableNheader"/>
              <w:rPr>
                <w:color w:val="FFFFFF" w:themeColor="background1"/>
                <w:sz w:val="17"/>
                <w:szCs w:val="17"/>
              </w:rPr>
            </w:pPr>
            <w:r w:rsidRPr="00C43906">
              <w:rPr>
                <w:color w:val="FFFFFF" w:themeColor="background1"/>
                <w:sz w:val="17"/>
                <w:szCs w:val="17"/>
              </w:rPr>
              <w:t>Suicidal ideation</w:t>
            </w:r>
          </w:p>
        </w:tc>
        <w:tc>
          <w:tcPr>
            <w:tcW w:w="7026" w:type="dxa"/>
          </w:tcPr>
          <w:p w14:paraId="4CD14F07" w14:textId="0C3AB267" w:rsidR="00672FC3"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 xml:space="preserve">Suicidal ideation is thinking out, </w:t>
            </w:r>
            <w:proofErr w:type="gramStart"/>
            <w:r>
              <w:t>considering</w:t>
            </w:r>
            <w:proofErr w:type="gramEnd"/>
            <w:r>
              <w:t xml:space="preserve"> or planning suicide. It can range from fleeting thoughts to active plans for suicide. </w:t>
            </w:r>
          </w:p>
        </w:tc>
      </w:tr>
      <w:tr w:rsidR="00672FC3" w14:paraId="0BC4BB20" w14:textId="77777777" w:rsidTr="00CB0C9C">
        <w:trPr>
          <w:trHeight w:val="243"/>
        </w:trPr>
        <w:tc>
          <w:tcPr>
            <w:cnfStyle w:val="001000000000" w:firstRow="0" w:lastRow="0" w:firstColumn="1" w:lastColumn="0" w:oddVBand="0" w:evenVBand="0" w:oddHBand="0" w:evenHBand="0" w:firstRowFirstColumn="0" w:firstRowLastColumn="0" w:lastRowFirstColumn="0" w:lastRowLastColumn="0"/>
            <w:tcW w:w="1895" w:type="dxa"/>
          </w:tcPr>
          <w:p w14:paraId="47FEB5E3" w14:textId="77777777" w:rsidR="00672FC3" w:rsidRPr="00C43906" w:rsidRDefault="00672FC3" w:rsidP="00672FC3">
            <w:pPr>
              <w:pStyle w:val="TableNheader"/>
              <w:rPr>
                <w:color w:val="FFFFFF" w:themeColor="background1"/>
                <w:sz w:val="17"/>
                <w:szCs w:val="17"/>
              </w:rPr>
            </w:pPr>
            <w:r w:rsidRPr="00C43906">
              <w:rPr>
                <w:color w:val="FFFFFF" w:themeColor="background1"/>
                <w:sz w:val="17"/>
                <w:szCs w:val="17"/>
              </w:rPr>
              <w:t xml:space="preserve">Suicidality </w:t>
            </w:r>
          </w:p>
        </w:tc>
        <w:tc>
          <w:tcPr>
            <w:tcW w:w="7026" w:type="dxa"/>
          </w:tcPr>
          <w:p w14:paraId="1194927F" w14:textId="5A7F415B" w:rsidR="00672FC3"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t xml:space="preserve">The collective term for suicidal ideation, suicide plans and suicide attempts. </w:t>
            </w:r>
            <w:r>
              <w:rPr>
                <w:rStyle w:val="FootnoteReference"/>
              </w:rPr>
              <w:footnoteReference w:id="10"/>
            </w:r>
          </w:p>
        </w:tc>
      </w:tr>
      <w:tr w:rsidR="00672FC3" w14:paraId="3A12E348" w14:textId="77777777" w:rsidTr="00CB0C9C">
        <w:trPr>
          <w:trHeight w:val="532"/>
        </w:trPr>
        <w:tc>
          <w:tcPr>
            <w:cnfStyle w:val="001000000000" w:firstRow="0" w:lastRow="0" w:firstColumn="1" w:lastColumn="0" w:oddVBand="0" w:evenVBand="0" w:oddHBand="0" w:evenHBand="0" w:firstRowFirstColumn="0" w:firstRowLastColumn="0" w:lastRowFirstColumn="0" w:lastRowLastColumn="0"/>
            <w:tcW w:w="1895" w:type="dxa"/>
          </w:tcPr>
          <w:p w14:paraId="154B7BD1" w14:textId="77777777" w:rsidR="00672FC3" w:rsidRPr="00C43906" w:rsidRDefault="00672FC3" w:rsidP="00672FC3">
            <w:pPr>
              <w:pStyle w:val="TableNheader"/>
              <w:rPr>
                <w:color w:val="FFFFFF" w:themeColor="background1"/>
                <w:sz w:val="17"/>
                <w:szCs w:val="17"/>
              </w:rPr>
            </w:pPr>
            <w:r w:rsidRPr="00C43906">
              <w:rPr>
                <w:color w:val="FFFFFF" w:themeColor="background1"/>
                <w:sz w:val="17"/>
                <w:szCs w:val="17"/>
              </w:rPr>
              <w:lastRenderedPageBreak/>
              <w:t>Suicide attempt</w:t>
            </w:r>
          </w:p>
        </w:tc>
        <w:tc>
          <w:tcPr>
            <w:tcW w:w="7026" w:type="dxa"/>
          </w:tcPr>
          <w:p w14:paraId="0BD9B574" w14:textId="77777777" w:rsidR="00672FC3" w:rsidRDefault="00672FC3" w:rsidP="00672FC3">
            <w:pPr>
              <w:pStyle w:val="TableNText"/>
              <w:cnfStyle w:val="000000000000" w:firstRow="0" w:lastRow="0" w:firstColumn="0" w:lastColumn="0" w:oddVBand="0" w:evenVBand="0" w:oddHBand="0" w:evenHBand="0" w:firstRowFirstColumn="0" w:firstRowLastColumn="0" w:lastRowFirstColumn="0" w:lastRowLastColumn="0"/>
            </w:pPr>
            <w:r w:rsidRPr="00755B08">
              <w:t xml:space="preserve">A non-fatal, self-directed, potentially injurious behaviour with any intent to die </w:t>
            </w:r>
            <w:proofErr w:type="gramStart"/>
            <w:r w:rsidRPr="00755B08">
              <w:t>as a result of</w:t>
            </w:r>
            <w:proofErr w:type="gramEnd"/>
            <w:r w:rsidRPr="00755B08">
              <w:t xml:space="preserve"> the behaviour. A suicide attempt may or may not result in physical injury and may or may not result in </w:t>
            </w:r>
            <w:r>
              <w:t xml:space="preserve">an ED attendance or </w:t>
            </w:r>
            <w:r w:rsidRPr="00755B08">
              <w:t>a hospital admission.</w:t>
            </w:r>
            <w:r>
              <w:t xml:space="preserve"> </w:t>
            </w:r>
          </w:p>
        </w:tc>
      </w:tr>
      <w:tr w:rsidR="00672FC3" w:rsidRPr="002445C2" w14:paraId="29D1CEF5" w14:textId="77777777" w:rsidTr="00CB0C9C">
        <w:trPr>
          <w:trHeight w:val="324"/>
        </w:trPr>
        <w:tc>
          <w:tcPr>
            <w:cnfStyle w:val="001000000000" w:firstRow="0" w:lastRow="0" w:firstColumn="1" w:lastColumn="0" w:oddVBand="0" w:evenVBand="0" w:oddHBand="0" w:evenHBand="0" w:firstRowFirstColumn="0" w:firstRowLastColumn="0" w:lastRowFirstColumn="0" w:lastRowLastColumn="0"/>
            <w:tcW w:w="1895" w:type="dxa"/>
          </w:tcPr>
          <w:p w14:paraId="01A60738" w14:textId="5EFB2CC7" w:rsidR="00672FC3" w:rsidRPr="00C43906" w:rsidRDefault="00672FC3" w:rsidP="00672FC3">
            <w:pPr>
              <w:pStyle w:val="TableNheader"/>
              <w:rPr>
                <w:color w:val="FFFFFF" w:themeColor="background1"/>
                <w:sz w:val="17"/>
                <w:szCs w:val="17"/>
              </w:rPr>
            </w:pPr>
            <w:r w:rsidRPr="00C43906">
              <w:rPr>
                <w:color w:val="FFFFFF" w:themeColor="background1"/>
                <w:sz w:val="17"/>
                <w:szCs w:val="17"/>
              </w:rPr>
              <w:t xml:space="preserve">Unique </w:t>
            </w:r>
            <w:r>
              <w:rPr>
                <w:color w:val="FFFFFF" w:themeColor="background1"/>
                <w:sz w:val="17"/>
                <w:szCs w:val="17"/>
              </w:rPr>
              <w:t>participant</w:t>
            </w:r>
            <w:r w:rsidRPr="00C43906">
              <w:rPr>
                <w:color w:val="FFFFFF" w:themeColor="background1"/>
                <w:sz w:val="17"/>
                <w:szCs w:val="17"/>
              </w:rPr>
              <w:t xml:space="preserve"> </w:t>
            </w:r>
          </w:p>
        </w:tc>
        <w:tc>
          <w:tcPr>
            <w:tcW w:w="7026" w:type="dxa"/>
          </w:tcPr>
          <w:p w14:paraId="596F9C73" w14:textId="2904ECE9" w:rsidR="00672FC3" w:rsidRPr="002445C2" w:rsidRDefault="00672FC3" w:rsidP="00672FC3">
            <w:pPr>
              <w:spacing w:before="40" w:after="40"/>
              <w:cnfStyle w:val="000000000000" w:firstRow="0" w:lastRow="0" w:firstColumn="0" w:lastColumn="0" w:oddVBand="0" w:evenVBand="0" w:oddHBand="0" w:evenHBand="0" w:firstRowFirstColumn="0" w:firstRowLastColumn="0" w:lastRowFirstColumn="0" w:lastRowLastColumn="0"/>
              <w:rPr>
                <w:sz w:val="17"/>
              </w:rPr>
            </w:pPr>
            <w:r>
              <w:rPr>
                <w:sz w:val="17"/>
              </w:rPr>
              <w:t xml:space="preserve">A participant who accessed The Way Back service regardless of how many occasions they may have accessed the service. A unique participant may record multiple episodes of care. </w:t>
            </w:r>
          </w:p>
        </w:tc>
      </w:tr>
    </w:tbl>
    <w:p w14:paraId="73F46139" w14:textId="78F498B9" w:rsidR="00036679" w:rsidRDefault="00AA13DC" w:rsidP="008E0267">
      <w:pPr>
        <w:pStyle w:val="Heading1"/>
        <w:rPr>
          <w:color w:val="FFFFFF" w:themeColor="background1"/>
        </w:rPr>
      </w:pPr>
      <w:bookmarkStart w:id="2" w:name="_Toc121320672"/>
      <w:r w:rsidRPr="00AA13DC">
        <w:rPr>
          <w:noProof/>
        </w:rPr>
        <w:lastRenderedPageBreak/>
        <w:drawing>
          <wp:anchor distT="0" distB="0" distL="114300" distR="114300" simplePos="0" relativeHeight="251658271" behindDoc="0" locked="0" layoutInCell="1" allowOverlap="1" wp14:anchorId="5732D43A" wp14:editId="0F829FBC">
            <wp:simplePos x="0" y="0"/>
            <wp:positionH relativeFrom="column">
              <wp:posOffset>-989965</wp:posOffset>
            </wp:positionH>
            <wp:positionV relativeFrom="paragraph">
              <wp:posOffset>497469</wp:posOffset>
            </wp:positionV>
            <wp:extent cx="7559675" cy="9393298"/>
            <wp:effectExtent l="0" t="0" r="3175" b="0"/>
            <wp:wrapNone/>
            <wp:docPr id="466" name="Graphic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phic 466">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7559675" cy="9393298"/>
                    </a:xfrm>
                    <a:prstGeom prst="rect">
                      <a:avLst/>
                    </a:prstGeom>
                  </pic:spPr>
                </pic:pic>
              </a:graphicData>
            </a:graphic>
            <wp14:sizeRelH relativeFrom="margin">
              <wp14:pctWidth>0</wp14:pctWidth>
            </wp14:sizeRelH>
            <wp14:sizeRelV relativeFrom="margin">
              <wp14:pctHeight>0</wp14:pctHeight>
            </wp14:sizeRelV>
          </wp:anchor>
        </w:drawing>
      </w:r>
      <w:r w:rsidR="0003309E" w:rsidRPr="008E0267">
        <w:rPr>
          <w:noProof/>
          <w:color w:val="FFFFFF" w:themeColor="background1"/>
        </w:rPr>
        <w:drawing>
          <wp:anchor distT="0" distB="0" distL="114300" distR="114300" simplePos="0" relativeHeight="251658245" behindDoc="1" locked="0" layoutInCell="1" allowOverlap="1" wp14:anchorId="2F470034" wp14:editId="4313FB10">
            <wp:simplePos x="0" y="0"/>
            <wp:positionH relativeFrom="page">
              <wp:posOffset>-1905</wp:posOffset>
            </wp:positionH>
            <wp:positionV relativeFrom="paragraph">
              <wp:posOffset>-662940</wp:posOffset>
            </wp:positionV>
            <wp:extent cx="7559675" cy="1371600"/>
            <wp:effectExtent l="0" t="0" r="317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610E2A31" w:rsidRPr="008E0267">
        <w:rPr>
          <w:color w:val="FFFFFF" w:themeColor="background1"/>
        </w:rPr>
        <w:t>Summary</w:t>
      </w:r>
      <w:bookmarkEnd w:id="2"/>
    </w:p>
    <w:p w14:paraId="0201A76E" w14:textId="17B3C3A2" w:rsidR="00763CA0" w:rsidRDefault="00AA13DC" w:rsidP="00C15AE8">
      <w:r w:rsidRPr="00AA13DC">
        <w:t xml:space="preserve"> </w:t>
      </w:r>
      <w:r w:rsidR="00763CA0">
        <w:br w:type="page"/>
      </w:r>
    </w:p>
    <w:p w14:paraId="1A875A0C" w14:textId="5A93F23B" w:rsidR="00FF44B5" w:rsidRPr="00FF44B5" w:rsidRDefault="00DC4DD8" w:rsidP="00FF44B5">
      <w:pPr>
        <w:rPr>
          <w:lang w:eastAsia="en-AU"/>
        </w:rPr>
      </w:pPr>
      <w:r w:rsidRPr="006058C2">
        <w:rPr>
          <w:noProof/>
        </w:rPr>
        <w:lastRenderedPageBreak/>
        <w:drawing>
          <wp:anchor distT="0" distB="0" distL="114300" distR="114300" simplePos="0" relativeHeight="251658273" behindDoc="0" locked="0" layoutInCell="1" allowOverlap="1" wp14:anchorId="2C33BB3F" wp14:editId="213695C6">
            <wp:simplePos x="0" y="0"/>
            <wp:positionH relativeFrom="column">
              <wp:posOffset>-989806</wp:posOffset>
            </wp:positionH>
            <wp:positionV relativeFrom="paragraph">
              <wp:posOffset>-810260</wp:posOffset>
            </wp:positionV>
            <wp:extent cx="7572375" cy="5749925"/>
            <wp:effectExtent l="0" t="0" r="9525" b="3175"/>
            <wp:wrapNone/>
            <wp:docPr id="16"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7572375" cy="5749925"/>
                    </a:xfrm>
                    <a:prstGeom prst="rect">
                      <a:avLst/>
                    </a:prstGeom>
                  </pic:spPr>
                </pic:pic>
              </a:graphicData>
            </a:graphic>
            <wp14:sizeRelH relativeFrom="margin">
              <wp14:pctWidth>0</wp14:pctWidth>
            </wp14:sizeRelH>
            <wp14:sizeRelV relativeFrom="margin">
              <wp14:pctHeight>0</wp14:pctHeight>
            </wp14:sizeRelV>
          </wp:anchor>
        </w:drawing>
      </w:r>
      <w:r w:rsidR="009B094F" w:rsidRPr="009B094F">
        <w:rPr>
          <w:noProof/>
        </w:rPr>
        <w:t xml:space="preserve"> </w:t>
      </w:r>
      <w:r w:rsidR="24000552">
        <w:rPr>
          <w:lang w:eastAsia="en-AU"/>
        </w:rPr>
        <w:t xml:space="preserve"> </w:t>
      </w:r>
    </w:p>
    <w:p w14:paraId="2FD2B9E6" w14:textId="7F870BAE" w:rsidR="009E4729" w:rsidRPr="00871A27" w:rsidRDefault="00036679" w:rsidP="00E34FBE">
      <w:pPr>
        <w:pStyle w:val="Heading1"/>
      </w:pPr>
      <w:bookmarkStart w:id="3" w:name="_Toc121320673"/>
      <w:r w:rsidRPr="00871A27">
        <w:rPr>
          <w:noProof/>
          <w:color w:val="FFFFFF" w:themeColor="background1"/>
        </w:rPr>
        <w:lastRenderedPageBreak/>
        <w:drawing>
          <wp:anchor distT="0" distB="0" distL="114300" distR="114300" simplePos="0" relativeHeight="251658246" behindDoc="1" locked="0" layoutInCell="1" allowOverlap="1" wp14:anchorId="65CA1487" wp14:editId="6567530D">
            <wp:simplePos x="0" y="0"/>
            <wp:positionH relativeFrom="page">
              <wp:align>right</wp:align>
            </wp:positionH>
            <wp:positionV relativeFrom="paragraph">
              <wp:posOffset>-669290</wp:posOffset>
            </wp:positionV>
            <wp:extent cx="7559675" cy="1371600"/>
            <wp:effectExtent l="0" t="0" r="317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1D7720AF" w:rsidRPr="00325F4F">
        <w:rPr>
          <w:color w:val="FFFFFF" w:themeColor="background1"/>
        </w:rPr>
        <w:t>Introduction</w:t>
      </w:r>
      <w:bookmarkEnd w:id="3"/>
    </w:p>
    <w:p w14:paraId="063B2FEF" w14:textId="5909FB05" w:rsidR="00B729F5" w:rsidRPr="00B729F5" w:rsidRDefault="00B729F5" w:rsidP="007D7202">
      <w:pPr>
        <w:pStyle w:val="NoteHeading"/>
        <w:spacing w:before="720"/>
      </w:pPr>
      <w:bookmarkStart w:id="4" w:name="_Ref118280871"/>
      <w:bookmarkStart w:id="5" w:name="_Toc121320674"/>
      <w:bookmarkStart w:id="6" w:name="_Ref82584966"/>
      <w:bookmarkStart w:id="7" w:name="_Ref82608949"/>
      <w:r w:rsidRPr="00B729F5">
        <w:t>This section provides an overview of The Way Back and outlines the evaluation purpose, methodology and limitations.</w:t>
      </w:r>
    </w:p>
    <w:p w14:paraId="61235363" w14:textId="38649880" w:rsidR="008A3B7E" w:rsidRDefault="008A3B7E" w:rsidP="008A3B7E">
      <w:pPr>
        <w:pStyle w:val="Heading2"/>
      </w:pPr>
      <w:r>
        <w:t>Overview of The Way Back</w:t>
      </w:r>
      <w:bookmarkEnd w:id="4"/>
      <w:bookmarkEnd w:id="5"/>
    </w:p>
    <w:p w14:paraId="2342D994" w14:textId="43992C9D" w:rsidR="008A3B7E" w:rsidRDefault="008A3B7E" w:rsidP="00623868">
      <w:pPr>
        <w:pStyle w:val="Heading3"/>
      </w:pPr>
      <w:r>
        <w:t>The Way Back</w:t>
      </w:r>
      <w:r w:rsidRPr="00970F47">
        <w:t xml:space="preserve"> is a non-clinical service</w:t>
      </w:r>
      <w:r>
        <w:t xml:space="preserve"> providing</w:t>
      </w:r>
      <w:r w:rsidRPr="00970F47">
        <w:t xml:space="preserve"> </w:t>
      </w:r>
      <w:r w:rsidR="00763CA0">
        <w:t>proactive</w:t>
      </w:r>
      <w:r w:rsidRPr="00970F47">
        <w:t xml:space="preserve"> outreach and psychosocial support</w:t>
      </w:r>
      <w:r>
        <w:t xml:space="preserve">. </w:t>
      </w:r>
    </w:p>
    <w:p w14:paraId="56A1C9B9" w14:textId="033177CE" w:rsidR="008A3B7E" w:rsidRPr="0094237E" w:rsidRDefault="329CE9F9" w:rsidP="008A3B7E">
      <w:r>
        <w:t xml:space="preserve">The Way </w:t>
      </w:r>
      <w:r w:rsidR="3A45ECCE">
        <w:t>Back Support Service (The Way Back)</w:t>
      </w:r>
      <w:r w:rsidR="6C431C0A">
        <w:t xml:space="preserve"> seeks to assist people to recover from a suicide attempt or crisis by supporting them to improve their emotional state, wellbeing </w:t>
      </w:r>
      <w:r w:rsidR="6DFA434F">
        <w:t>r</w:t>
      </w:r>
      <w:r w:rsidR="6C431C0A">
        <w:t>esilience and protective factors. The service aims to contribute to a reduction in the rate, severity and duration of a person’s suicidality and prevent death by suicide.</w:t>
      </w:r>
      <w:r w:rsidR="008A3B7E">
        <w:rPr>
          <w:rStyle w:val="FootnoteReference"/>
        </w:rPr>
        <w:footnoteReference w:id="11"/>
      </w:r>
      <w:r w:rsidR="6C431C0A">
        <w:t xml:space="preserve"> It operates in a complex mental health an</w:t>
      </w:r>
      <w:r w:rsidR="58EE207A">
        <w:t>d</w:t>
      </w:r>
      <w:r w:rsidR="6C431C0A">
        <w:t xml:space="preserve"> suicide prevention system</w:t>
      </w:r>
      <w:r w:rsidR="4D33DB77">
        <w:t>,</w:t>
      </w:r>
      <w:r w:rsidR="6C431C0A" w:rsidDel="00825CB3">
        <w:t xml:space="preserve"> </w:t>
      </w:r>
      <w:r w:rsidR="6C431C0A">
        <w:t xml:space="preserve">and seeks to </w:t>
      </w:r>
      <w:r w:rsidR="6C431C0A" w:rsidRPr="0094237E">
        <w:t>integra</w:t>
      </w:r>
      <w:r w:rsidR="6C431C0A">
        <w:t>te</w:t>
      </w:r>
      <w:r w:rsidR="6C431C0A" w:rsidRPr="0094237E">
        <w:t xml:space="preserve"> service</w:t>
      </w:r>
      <w:r w:rsidR="6C431C0A">
        <w:t>s</w:t>
      </w:r>
      <w:r w:rsidR="6C431C0A" w:rsidRPr="0094237E">
        <w:t xml:space="preserve"> for </w:t>
      </w:r>
      <w:r w:rsidR="06A7F48B">
        <w:t>participants</w:t>
      </w:r>
      <w:r w:rsidR="6C431C0A" w:rsidRPr="0094237E">
        <w:t xml:space="preserve"> </w:t>
      </w:r>
      <w:r w:rsidR="54F6D055">
        <w:t>between</w:t>
      </w:r>
      <w:r w:rsidR="0863B8E5">
        <w:t xml:space="preserve"> </w:t>
      </w:r>
      <w:r w:rsidR="6C431C0A" w:rsidRPr="0094237E">
        <w:t xml:space="preserve">the </w:t>
      </w:r>
      <w:r w:rsidR="0667F9E1">
        <w:t xml:space="preserve">public </w:t>
      </w:r>
      <w:r w:rsidR="6C431C0A" w:rsidRPr="0094237E">
        <w:t xml:space="preserve">acute health </w:t>
      </w:r>
      <w:r w:rsidR="0667F9E1">
        <w:t>and psychiatric hospital services</w:t>
      </w:r>
      <w:r w:rsidR="529372A7">
        <w:t xml:space="preserve"> </w:t>
      </w:r>
      <w:r w:rsidR="4458D937">
        <w:t>(</w:t>
      </w:r>
      <w:r w:rsidR="58C2CF9E">
        <w:t>for example,</w:t>
      </w:r>
      <w:r w:rsidR="4458D937">
        <w:t xml:space="preserve"> emergency department</w:t>
      </w:r>
      <w:r w:rsidR="529372A7">
        <w:t>s and non-specialised admitted units</w:t>
      </w:r>
      <w:r w:rsidR="4458D937">
        <w:t>)</w:t>
      </w:r>
      <w:r w:rsidR="6C431C0A" w:rsidRPr="0094237E">
        <w:t xml:space="preserve"> and psychosocial </w:t>
      </w:r>
      <w:r w:rsidR="11AD3E72" w:rsidRPr="0094237E">
        <w:t>s</w:t>
      </w:r>
      <w:r w:rsidR="11AD3E72">
        <w:t>ervices</w:t>
      </w:r>
      <w:r w:rsidR="19A6BB48">
        <w:t xml:space="preserve"> </w:t>
      </w:r>
      <w:r w:rsidR="4458D937">
        <w:t>(</w:t>
      </w:r>
      <w:r w:rsidR="58C2CF9E">
        <w:t>for example,</w:t>
      </w:r>
      <w:r w:rsidR="213F2C82">
        <w:t xml:space="preserve"> individual or group based counselling and education relating to psycholog</w:t>
      </w:r>
      <w:r w:rsidR="11AD3E72">
        <w:t>ical and social needs, domiciliary care</w:t>
      </w:r>
      <w:r w:rsidR="1E8E3443">
        <w:t>)</w:t>
      </w:r>
      <w:r w:rsidR="4458D937">
        <w:t xml:space="preserve"> </w:t>
      </w:r>
      <w:r w:rsidR="6C431C0A" w:rsidRPr="0094237E">
        <w:t>.</w:t>
      </w:r>
    </w:p>
    <w:p w14:paraId="17C49893" w14:textId="3FD0192C" w:rsidR="008A3B7E" w:rsidRDefault="008A3B7E" w:rsidP="008A3B7E">
      <w:r>
        <w:t xml:space="preserve">The Way Back’s vision and objectives are shown in </w:t>
      </w:r>
      <w:r w:rsidR="00B91A1E" w:rsidRPr="00B91A1E">
        <w:fldChar w:fldCharType="begin"/>
      </w:r>
      <w:r w:rsidR="00B91A1E" w:rsidRPr="00B91A1E">
        <w:instrText xml:space="preserve"> REF _Ref105054094 \h </w:instrText>
      </w:r>
      <w:r w:rsidR="00B91A1E">
        <w:instrText xml:space="preserve"> \* MERGEFORMAT </w:instrText>
      </w:r>
      <w:r w:rsidR="00B91A1E" w:rsidRPr="00B91A1E">
        <w:fldChar w:fldCharType="separate"/>
      </w:r>
      <w:r w:rsidR="00402362">
        <w:t xml:space="preserve">Figure </w:t>
      </w:r>
      <w:r w:rsidR="00402362">
        <w:rPr>
          <w:noProof/>
        </w:rPr>
        <w:t>1</w:t>
      </w:r>
      <w:r w:rsidR="00B91A1E" w:rsidRPr="00B91A1E">
        <w:fldChar w:fldCharType="end"/>
      </w:r>
      <w:r w:rsidR="00CF4F0D" w:rsidRPr="0046632D">
        <w:t>.</w:t>
      </w:r>
      <w:r w:rsidR="00CF4F0D">
        <w:t xml:space="preserve"> </w:t>
      </w:r>
      <w:r w:rsidR="00CF4F0D" w:rsidRPr="0046632D">
        <w:t xml:space="preserve">Appendix </w:t>
      </w:r>
      <w:r w:rsidR="00750134" w:rsidRPr="0046632D">
        <w:t>B</w:t>
      </w:r>
      <w:r w:rsidR="00CF4F0D">
        <w:t xml:space="preserve"> provides detail on the rationale and </w:t>
      </w:r>
      <w:r w:rsidR="00381653">
        <w:t xml:space="preserve">existing </w:t>
      </w:r>
      <w:r w:rsidR="00CF4F0D">
        <w:t xml:space="preserve">evidence base for </w:t>
      </w:r>
      <w:r w:rsidR="00763CA0">
        <w:t>proactive</w:t>
      </w:r>
      <w:r w:rsidR="00CF4F0D">
        <w:t xml:space="preserve"> suicide aftercare.</w:t>
      </w:r>
      <w:r>
        <w:t xml:space="preserve"> </w:t>
      </w:r>
    </w:p>
    <w:p w14:paraId="6C1DF520" w14:textId="134FDBF4" w:rsidR="008A3B7E" w:rsidRPr="00D6212B" w:rsidRDefault="008A3B7E" w:rsidP="00D6212B">
      <w:pPr>
        <w:pStyle w:val="Caption"/>
      </w:pPr>
      <w:bookmarkStart w:id="8" w:name="_Ref105054094"/>
      <w:r>
        <w:t xml:space="preserve">Figure </w:t>
      </w:r>
      <w:r w:rsidR="00085D02">
        <w:fldChar w:fldCharType="begin"/>
      </w:r>
      <w:r w:rsidR="00085D02">
        <w:instrText xml:space="preserve"> SEQ Figure \* ARABIC </w:instrText>
      </w:r>
      <w:r w:rsidR="00085D02">
        <w:fldChar w:fldCharType="separate"/>
      </w:r>
      <w:r w:rsidR="00402362">
        <w:rPr>
          <w:noProof/>
        </w:rPr>
        <w:t>1</w:t>
      </w:r>
      <w:r w:rsidR="00085D02">
        <w:fldChar w:fldCharType="end"/>
      </w:r>
      <w:bookmarkEnd w:id="8"/>
      <w:r>
        <w:t xml:space="preserve"> | Vision and objectives of The Way Back</w:t>
      </w:r>
    </w:p>
    <w:p w14:paraId="1A0393FF" w14:textId="28E3BFD6" w:rsidR="000C4969" w:rsidRPr="000C4969" w:rsidRDefault="00873B17" w:rsidP="00F50B5E">
      <w:pPr>
        <w:spacing w:line="480" w:lineRule="auto"/>
      </w:pPr>
      <w:r w:rsidRPr="00873B17">
        <w:rPr>
          <w:noProof/>
        </w:rPr>
        <w:drawing>
          <wp:inline distT="0" distB="0" distL="0" distR="0" wp14:anchorId="444343DE" wp14:editId="524441F1">
            <wp:extent cx="5670550" cy="2983230"/>
            <wp:effectExtent l="0" t="0" r="6350" b="7620"/>
            <wp:docPr id="1038753006" name="Graphic 1038753006" descr="Figure 1 is an infographic on The Way Back Vision of reduced rates of suicide attempt and death in Australia and the Way Back Objectives. &#10;Objectives are;&#10; improve access to high-quality aftercare to support at risk individual to stay safe;&#10;build capacity of individuals to self-manage distress and improve mental wellbeing;&#10;improve links with clinical and community-based services to meet individual needs and circumstances;&#10;increase social connectedness and links to supportive networks (families, friends, peers and carers0;&#10;improve the capacity and capability of The Way Back workforce to support at risk individua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06" name="Graphic 1038753006" descr="Figure 1 is an infographic on The Way Back Vision of reduced rates of suicide attempt and death in Australia and the Way Back Objectives. &#10;Objectives are;&#10; improve access to high-quality aftercare to support at risk individual to stay safe;&#10;build capacity of individuals to self-manage distress and improve mental wellbeing;&#10;improve links with clinical and community-based services to meet individual needs and circumstances;&#10;increase social connectedness and links to supportive networks (families, friends, peers and carers0;&#10;improve the capacity and capability of The Way Back workforce to support at risk individuals.&#10;&#10;"/>
                    <pic:cNvPicPr/>
                  </pic:nvPicPr>
                  <pic:blipFill>
                    <a:blip r:embed="rId25">
                      <a:extLst>
                        <a:ext uri="{96DAC541-7B7A-43D3-8B79-37D633B846F1}">
                          <asvg:svgBlip xmlns:asvg="http://schemas.microsoft.com/office/drawing/2016/SVG/main" r:embed="rId26"/>
                        </a:ext>
                      </a:extLst>
                    </a:blip>
                    <a:stretch>
                      <a:fillRect/>
                    </a:stretch>
                  </pic:blipFill>
                  <pic:spPr>
                    <a:xfrm>
                      <a:off x="0" y="0"/>
                      <a:ext cx="5670550" cy="2983230"/>
                    </a:xfrm>
                    <a:prstGeom prst="rect">
                      <a:avLst/>
                    </a:prstGeom>
                  </pic:spPr>
                </pic:pic>
              </a:graphicData>
            </a:graphic>
          </wp:inline>
        </w:drawing>
      </w:r>
    </w:p>
    <w:p w14:paraId="24386BD4" w14:textId="428C4FB9" w:rsidR="00E34FBE" w:rsidRDefault="640A577D" w:rsidP="00E34FBE">
      <w:pPr>
        <w:pStyle w:val="Bullet"/>
        <w:numPr>
          <w:ilvl w:val="0"/>
          <w:numId w:val="0"/>
        </w:numPr>
      </w:pPr>
      <w:r>
        <w:t xml:space="preserve">Beyond Blue developed The Way Back </w:t>
      </w:r>
      <w:r w:rsidR="68FB90E3">
        <w:t xml:space="preserve">as a pilot program </w:t>
      </w:r>
      <w:r>
        <w:t xml:space="preserve">in 2014 and </w:t>
      </w:r>
      <w:r w:rsidR="003F6B76">
        <w:t xml:space="preserve">in partnership with the </w:t>
      </w:r>
      <w:proofErr w:type="spellStart"/>
      <w:r w:rsidR="003F6B76">
        <w:t>Movember</w:t>
      </w:r>
      <w:proofErr w:type="spellEnd"/>
      <w:r w:rsidR="003F6B76">
        <w:t xml:space="preserve"> Foundation </w:t>
      </w:r>
      <w:r w:rsidR="00074507">
        <w:t xml:space="preserve">and provided </w:t>
      </w:r>
      <w:r w:rsidR="00EB49DD">
        <w:t>$4 million</w:t>
      </w:r>
      <w:r w:rsidR="00E4399A">
        <w:t xml:space="preserve"> </w:t>
      </w:r>
      <w:r w:rsidR="00E42AD3">
        <w:t xml:space="preserve">in funding </w:t>
      </w:r>
      <w:r w:rsidR="00EB49DD">
        <w:t>(</w:t>
      </w:r>
      <w:r w:rsidR="00E42AD3">
        <w:t xml:space="preserve">$1.9 million from Beyond Blue and </w:t>
      </w:r>
      <w:r w:rsidR="00C33C9B">
        <w:t xml:space="preserve">$2.1 million from the  </w:t>
      </w:r>
      <w:proofErr w:type="spellStart"/>
      <w:r w:rsidR="00C33C9B">
        <w:t>Movember</w:t>
      </w:r>
      <w:proofErr w:type="spellEnd"/>
      <w:r w:rsidR="00C33C9B">
        <w:t xml:space="preserve"> Foundation)</w:t>
      </w:r>
      <w:r w:rsidR="00EB49DD">
        <w:t xml:space="preserve"> to</w:t>
      </w:r>
      <w:r w:rsidR="00E4399A">
        <w:t xml:space="preserve"> trial </w:t>
      </w:r>
      <w:r w:rsidR="004001D1">
        <w:t xml:space="preserve">the program </w:t>
      </w:r>
      <w:r>
        <w:t xml:space="preserve">in the </w:t>
      </w:r>
      <w:r w:rsidR="5A99FD0D">
        <w:t>Northern Territory (</w:t>
      </w:r>
      <w:r>
        <w:t>NT</w:t>
      </w:r>
      <w:r w:rsidR="5A99FD0D">
        <w:t>), Australian Capital Territory (</w:t>
      </w:r>
      <w:r>
        <w:t>ACT</w:t>
      </w:r>
      <w:r w:rsidR="5A99FD0D">
        <w:t>)</w:t>
      </w:r>
      <w:r>
        <w:t xml:space="preserve"> and </w:t>
      </w:r>
      <w:r w:rsidR="5A99FD0D">
        <w:t>New South Wales (</w:t>
      </w:r>
      <w:r>
        <w:t>NSW</w:t>
      </w:r>
      <w:r w:rsidR="5A99FD0D">
        <w:t>).</w:t>
      </w:r>
      <w:r w:rsidR="008E2254">
        <w:rPr>
          <w:rStyle w:val="FootnoteReference"/>
        </w:rPr>
        <w:footnoteReference w:id="12"/>
      </w:r>
      <w:r>
        <w:t xml:space="preserve"> </w:t>
      </w:r>
      <w:r w:rsidR="68FB90E3">
        <w:t xml:space="preserve">The </w:t>
      </w:r>
      <w:r w:rsidR="00672FC3">
        <w:t>Australian Department of Health and Aged Care</w:t>
      </w:r>
      <w:r w:rsidR="68FB90E3">
        <w:t xml:space="preserve"> subsequently </w:t>
      </w:r>
      <w:r w:rsidR="68FB90E3">
        <w:lastRenderedPageBreak/>
        <w:t>f</w:t>
      </w:r>
      <w:r w:rsidR="59A13365">
        <w:t>u</w:t>
      </w:r>
      <w:r w:rsidR="68FB90E3">
        <w:t xml:space="preserve">nded the </w:t>
      </w:r>
      <w:r w:rsidR="59A13365">
        <w:t>roll-out of The Way Back and at the</w:t>
      </w:r>
      <w:r>
        <w:t xml:space="preserve"> </w:t>
      </w:r>
      <w:r w:rsidR="13CAFB8F">
        <w:t>release</w:t>
      </w:r>
      <w:r>
        <w:t xml:space="preserve"> of this report, 3</w:t>
      </w:r>
      <w:r w:rsidR="3FD97EB2">
        <w:t>8</w:t>
      </w:r>
      <w:r>
        <w:t xml:space="preserve"> sites </w:t>
      </w:r>
      <w:r w:rsidR="3AC73D6B">
        <w:t xml:space="preserve">were </w:t>
      </w:r>
      <w:r>
        <w:t xml:space="preserve">operating (see Appendix </w:t>
      </w:r>
      <w:r w:rsidR="369D7512">
        <w:t>C</w:t>
      </w:r>
      <w:r>
        <w:t xml:space="preserve">). </w:t>
      </w:r>
    </w:p>
    <w:p w14:paraId="6B4CF637" w14:textId="77777777" w:rsidR="00237F33" w:rsidRDefault="77C802BB" w:rsidP="00237F33">
      <w:pPr>
        <w:pStyle w:val="Heading2"/>
      </w:pPr>
      <w:bookmarkStart w:id="9" w:name="_Ref121312802"/>
      <w:bookmarkStart w:id="10" w:name="_Toc121320675"/>
      <w:r>
        <w:t>Purpose of the evaluation and this report</w:t>
      </w:r>
      <w:bookmarkEnd w:id="9"/>
      <w:bookmarkEnd w:id="10"/>
    </w:p>
    <w:p w14:paraId="028E8A34" w14:textId="5FAED5B9" w:rsidR="008A3B7E" w:rsidRDefault="00237F33" w:rsidP="00623868">
      <w:pPr>
        <w:pStyle w:val="Heading3"/>
      </w:pPr>
      <w:r>
        <w:t xml:space="preserve">Nous Group </w:t>
      </w:r>
      <w:r w:rsidR="008A3B7E">
        <w:t>delivered a process and outcomes evaluation of The Way Back</w:t>
      </w:r>
      <w:r>
        <w:t xml:space="preserve"> from 2020-2</w:t>
      </w:r>
      <w:r w:rsidR="00744BE0">
        <w:t>02</w:t>
      </w:r>
      <w:r>
        <w:t>2.</w:t>
      </w:r>
    </w:p>
    <w:p w14:paraId="3158A7DC" w14:textId="4FB96241" w:rsidR="008A3B7E" w:rsidRPr="00CA64C2" w:rsidRDefault="008A3B7E" w:rsidP="008A3B7E">
      <w:pPr>
        <w:rPr>
          <w:rFonts w:asciiTheme="minorHAnsi" w:hAnsiTheme="minorHAnsi" w:cstheme="minorHAnsi"/>
        </w:rPr>
      </w:pPr>
      <w:bookmarkStart w:id="11" w:name="_Hlk106100672"/>
      <w:r>
        <w:rPr>
          <w:lang w:eastAsia="en-AU"/>
        </w:rPr>
        <w:t xml:space="preserve">Beyond Blue commissioned Nous Group (Nous) to </w:t>
      </w:r>
      <w:r w:rsidR="00237F33">
        <w:rPr>
          <w:lang w:eastAsia="en-AU"/>
        </w:rPr>
        <w:t>independent</w:t>
      </w:r>
      <w:r w:rsidR="00CA064B">
        <w:rPr>
          <w:lang w:eastAsia="en-AU"/>
        </w:rPr>
        <w:t>ly</w:t>
      </w:r>
      <w:r w:rsidR="00237F33">
        <w:rPr>
          <w:lang w:eastAsia="en-AU"/>
        </w:rPr>
        <w:t xml:space="preserve"> </w:t>
      </w:r>
      <w:r w:rsidR="00CA064B">
        <w:rPr>
          <w:lang w:eastAsia="en-AU"/>
        </w:rPr>
        <w:t>evaluate</w:t>
      </w:r>
      <w:r>
        <w:rPr>
          <w:lang w:eastAsia="en-AU"/>
        </w:rPr>
        <w:t xml:space="preserve"> The Way Back under the </w:t>
      </w:r>
      <w:r w:rsidR="00672FC3">
        <w:rPr>
          <w:lang w:eastAsia="en-AU"/>
        </w:rPr>
        <w:t>Australian Department of Health and Aged Care</w:t>
      </w:r>
      <w:r>
        <w:rPr>
          <w:lang w:eastAsia="en-AU"/>
        </w:rPr>
        <w:t xml:space="preserve"> Agreement from June 2020 to November 2022. </w:t>
      </w:r>
      <w:bookmarkEnd w:id="11"/>
      <w:r w:rsidRPr="00970F47">
        <w:t xml:space="preserve">The </w:t>
      </w:r>
      <w:r w:rsidRPr="00CA64C2">
        <w:rPr>
          <w:rFonts w:asciiTheme="minorHAnsi" w:hAnsiTheme="minorHAnsi" w:cstheme="minorHAnsi"/>
        </w:rPr>
        <w:t xml:space="preserve">objectives are to assist Beyond Blue and providers to: </w:t>
      </w:r>
    </w:p>
    <w:p w14:paraId="312C7AE4" w14:textId="77777777" w:rsidR="008A3B7E" w:rsidRPr="00D6212B" w:rsidRDefault="008A3B7E" w:rsidP="00D6212B">
      <w:pPr>
        <w:pStyle w:val="Bullet"/>
      </w:pPr>
      <w:r w:rsidRPr="00CA64C2">
        <w:t xml:space="preserve">be accountable for implementation </w:t>
      </w:r>
      <w:r w:rsidRPr="00D6212B">
        <w:t>progress and quality</w:t>
      </w:r>
    </w:p>
    <w:p w14:paraId="127350C0" w14:textId="751B17E9" w:rsidR="008A3B7E" w:rsidRPr="00D6212B" w:rsidRDefault="33A6447B" w:rsidP="00D6212B">
      <w:pPr>
        <w:pStyle w:val="Bullet"/>
      </w:pPr>
      <w:r w:rsidRPr="00D6212B">
        <w:t xml:space="preserve">understand the outcomes emerging for </w:t>
      </w:r>
      <w:r w:rsidR="36BD31E0" w:rsidRPr="00D6212B">
        <w:t>participants</w:t>
      </w:r>
    </w:p>
    <w:p w14:paraId="6CED9A02" w14:textId="6896C570" w:rsidR="008A3B7E" w:rsidRPr="00D6212B" w:rsidRDefault="008A3B7E" w:rsidP="00D6212B">
      <w:pPr>
        <w:pStyle w:val="Bullet"/>
      </w:pPr>
      <w:r w:rsidRPr="00D6212B">
        <w:t>influence evidence-based policy and service design</w:t>
      </w:r>
    </w:p>
    <w:p w14:paraId="6181EF7A" w14:textId="5B8CFA58" w:rsidR="00BC7E6F" w:rsidRDefault="68EB775B" w:rsidP="00237F33">
      <w:pPr>
        <w:rPr>
          <w:lang w:eastAsia="en-AU"/>
        </w:rPr>
      </w:pPr>
      <w:bookmarkStart w:id="12" w:name="_Hlk106101030"/>
      <w:r w:rsidRPr="5F0B1C35">
        <w:rPr>
          <w:lang w:eastAsia="en-AU"/>
        </w:rPr>
        <w:t xml:space="preserve">This final report </w:t>
      </w:r>
      <w:r w:rsidR="7E415DC7" w:rsidRPr="5F0B1C35">
        <w:rPr>
          <w:lang w:eastAsia="en-AU"/>
        </w:rPr>
        <w:t>details</w:t>
      </w:r>
      <w:r w:rsidRPr="5F0B1C35">
        <w:rPr>
          <w:lang w:eastAsia="en-AU"/>
        </w:rPr>
        <w:t xml:space="preserve"> how well The Way Back </w:t>
      </w:r>
      <w:r w:rsidR="7E415DC7" w:rsidRPr="5F0B1C35">
        <w:rPr>
          <w:lang w:eastAsia="en-AU"/>
        </w:rPr>
        <w:t>was</w:t>
      </w:r>
      <w:r w:rsidRPr="5F0B1C35">
        <w:rPr>
          <w:lang w:eastAsia="en-AU"/>
        </w:rPr>
        <w:t xml:space="preserve"> being delivered, </w:t>
      </w:r>
      <w:r w:rsidR="3860B196" w:rsidRPr="5F0B1C35">
        <w:rPr>
          <w:lang w:eastAsia="en-AU"/>
        </w:rPr>
        <w:t>participant</w:t>
      </w:r>
      <w:r w:rsidRPr="5F0B1C35">
        <w:rPr>
          <w:lang w:eastAsia="en-AU"/>
        </w:rPr>
        <w:t xml:space="preserve"> experiences and outcomes</w:t>
      </w:r>
      <w:r w:rsidR="00CF6F3A">
        <w:rPr>
          <w:lang w:eastAsia="en-AU"/>
        </w:rPr>
        <w:t>,</w:t>
      </w:r>
      <w:r w:rsidRPr="5F0B1C35">
        <w:rPr>
          <w:lang w:eastAsia="en-AU"/>
        </w:rPr>
        <w:t xml:space="preserve"> and what contributes to recovery after a suicide attempt or crisis, for whom and how. </w:t>
      </w:r>
      <w:r w:rsidR="004E385F">
        <w:rPr>
          <w:lang w:eastAsia="en-AU"/>
        </w:rPr>
        <w:t>The evaluation approach:</w:t>
      </w:r>
    </w:p>
    <w:p w14:paraId="693BD9F6" w14:textId="7BCE28E2" w:rsidR="004E385F" w:rsidRDefault="004E385F" w:rsidP="004E385F">
      <w:pPr>
        <w:pStyle w:val="Bullet"/>
      </w:pPr>
      <w:r>
        <w:rPr>
          <w:rFonts w:asciiTheme="majorHAnsi" w:hAnsiTheme="majorHAnsi" w:cstheme="majorBidi"/>
        </w:rPr>
        <w:t>Was g</w:t>
      </w:r>
      <w:r w:rsidRPr="38E66651">
        <w:rPr>
          <w:rFonts w:asciiTheme="majorHAnsi" w:hAnsiTheme="majorHAnsi" w:cstheme="majorBidi"/>
        </w:rPr>
        <w:t xml:space="preserve">uided by a program theory: </w:t>
      </w:r>
      <w:r>
        <w:t>The</w:t>
      </w:r>
      <w:r w:rsidRPr="0066626B">
        <w:t xml:space="preserve"> program theory outline</w:t>
      </w:r>
      <w:r>
        <w:t>d</w:t>
      </w:r>
      <w:r w:rsidRPr="0066626B">
        <w:t xml:space="preserve"> the ways in whic</w:t>
      </w:r>
      <w:r>
        <w:t>h The Way Back</w:t>
      </w:r>
      <w:r w:rsidRPr="0066626B">
        <w:t xml:space="preserve"> </w:t>
      </w:r>
      <w:r>
        <w:t>was</w:t>
      </w:r>
      <w:r w:rsidRPr="0066626B">
        <w:t xml:space="preserve"> expected to support recovery, considering personal and community circumstances and operational and policy contexts.</w:t>
      </w:r>
      <w:r>
        <w:t xml:space="preserve"> </w:t>
      </w:r>
      <w:r w:rsidR="00971DBC">
        <w:t xml:space="preserve">The program theory enabled the evaluation to test </w:t>
      </w:r>
      <w:r w:rsidR="00971DBC">
        <w:rPr>
          <w:i/>
          <w:iCs/>
        </w:rPr>
        <w:t>what happened compared to what was thought to happen for whom, and why.</w:t>
      </w:r>
      <w:r w:rsidR="00971DBC">
        <w:t xml:space="preserve"> The evaluation was not informed </w:t>
      </w:r>
      <w:r w:rsidR="00B74697">
        <w:t>by</w:t>
      </w:r>
      <w:r w:rsidR="00971DBC">
        <w:t xml:space="preserve"> experimental research (</w:t>
      </w:r>
      <w:r w:rsidR="00875B05">
        <w:t>i.e.,</w:t>
      </w:r>
      <w:r w:rsidR="00971DBC">
        <w:t xml:space="preserve"> </w:t>
      </w:r>
      <w:r w:rsidR="00971DBC">
        <w:rPr>
          <w:i/>
          <w:iCs/>
        </w:rPr>
        <w:t xml:space="preserve">what happened in a program compared to another program). </w:t>
      </w:r>
      <w:r w:rsidRPr="001A1CFA">
        <w:t xml:space="preserve">Appendix </w:t>
      </w:r>
      <w:r w:rsidR="001A1D37">
        <w:t>B</w:t>
      </w:r>
      <w:r>
        <w:t xml:space="preserve"> provides the theory of change and program theory for The Way Back. </w:t>
      </w:r>
    </w:p>
    <w:p w14:paraId="3825A7EE" w14:textId="7F96BA5C" w:rsidR="004E385F" w:rsidRDefault="004E385F" w:rsidP="004E385F">
      <w:pPr>
        <w:pStyle w:val="Bullet"/>
      </w:pPr>
      <w:r>
        <w:rPr>
          <w:rFonts w:asciiTheme="majorHAnsi" w:hAnsiTheme="majorHAnsi" w:cstheme="majorBidi"/>
        </w:rPr>
        <w:t>Had a f</w:t>
      </w:r>
      <w:r w:rsidRPr="38E66651">
        <w:rPr>
          <w:rFonts w:asciiTheme="majorHAnsi" w:hAnsiTheme="majorHAnsi" w:cstheme="majorBidi"/>
        </w:rPr>
        <w:t>ormative focus:</w:t>
      </w:r>
      <w:r>
        <w:t xml:space="preserve"> </w:t>
      </w:r>
      <w:r w:rsidR="008F0C0D">
        <w:t xml:space="preserve">The </w:t>
      </w:r>
      <w:r>
        <w:t>evaluation examined</w:t>
      </w:r>
      <w:r w:rsidRPr="00831A92">
        <w:t xml:space="preserve"> </w:t>
      </w:r>
      <w:r w:rsidR="00F410EB">
        <w:t xml:space="preserve">The Way Back’s </w:t>
      </w:r>
      <w:r w:rsidRPr="00831A92">
        <w:t>implementation service model</w:t>
      </w:r>
      <w:r>
        <w:t xml:space="preserve"> design</w:t>
      </w:r>
      <w:r w:rsidRPr="00831A92">
        <w:t xml:space="preserve">, service quality and </w:t>
      </w:r>
      <w:r>
        <w:t>participant</w:t>
      </w:r>
      <w:r w:rsidRPr="00831A92">
        <w:t xml:space="preserve"> outcomes</w:t>
      </w:r>
      <w:r w:rsidR="004C1E77">
        <w:t xml:space="preserve"> over time</w:t>
      </w:r>
      <w:r w:rsidRPr="00831A92">
        <w:t xml:space="preserve">. Nous </w:t>
      </w:r>
      <w:r>
        <w:t>examined</w:t>
      </w:r>
      <w:r w:rsidRPr="00831A92">
        <w:t xml:space="preserve"> factors that shape</w:t>
      </w:r>
      <w:r>
        <w:t>d</w:t>
      </w:r>
      <w:r w:rsidRPr="00831A92">
        <w:t xml:space="preserve"> outcomes, to inform continuous improvement and provide </w:t>
      </w:r>
      <w:r>
        <w:t>recommendations</w:t>
      </w:r>
      <w:r w:rsidRPr="00831A92">
        <w:t xml:space="preserve"> </w:t>
      </w:r>
      <w:r>
        <w:t>to inform</w:t>
      </w:r>
      <w:r w:rsidRPr="00831A92">
        <w:t xml:space="preserve"> </w:t>
      </w:r>
      <w:r w:rsidR="00B36B7C">
        <w:t xml:space="preserve">improvements to </w:t>
      </w:r>
      <w:r w:rsidR="00BA4C6A">
        <w:t xml:space="preserve">future </w:t>
      </w:r>
      <w:r w:rsidR="006D6812">
        <w:t>aftercare service models in Australia.</w:t>
      </w:r>
      <w:r w:rsidR="00E97354">
        <w:t xml:space="preserve"> </w:t>
      </w:r>
      <w:r w:rsidR="00B36B7C">
        <w:t xml:space="preserve">The evaluation did not have a </w:t>
      </w:r>
      <w:r w:rsidR="00240ACC">
        <w:t>summative focus</w:t>
      </w:r>
      <w:r w:rsidR="00E31D78">
        <w:t xml:space="preserve">; it did </w:t>
      </w:r>
      <w:r w:rsidR="007E22B4">
        <w:t xml:space="preserve">not </w:t>
      </w:r>
      <w:r w:rsidR="00FF40C9">
        <w:t xml:space="preserve">closely examine </w:t>
      </w:r>
      <w:r w:rsidR="00E31D78">
        <w:t xml:space="preserve">the </w:t>
      </w:r>
      <w:r w:rsidR="0037207D">
        <w:t>extent to which the program achieved its intended outcomes, or the impact of those outcomes.</w:t>
      </w:r>
    </w:p>
    <w:p w14:paraId="7ACFE29E" w14:textId="4EAE56F5" w:rsidR="004E385F" w:rsidRDefault="004E385F" w:rsidP="00971DBC">
      <w:pPr>
        <w:pStyle w:val="Bullet"/>
      </w:pPr>
      <w:r w:rsidRPr="5F0B1C35">
        <w:rPr>
          <w:rFonts w:asciiTheme="majorHAnsi" w:hAnsiTheme="majorHAnsi" w:cstheme="majorBidi"/>
        </w:rPr>
        <w:t xml:space="preserve">Used a realist </w:t>
      </w:r>
      <w:r w:rsidR="00A0798B">
        <w:rPr>
          <w:rFonts w:asciiTheme="majorHAnsi" w:hAnsiTheme="majorHAnsi" w:cstheme="majorBidi"/>
        </w:rPr>
        <w:t>perspective</w:t>
      </w:r>
      <w:r w:rsidRPr="5F0B1C35">
        <w:rPr>
          <w:rFonts w:asciiTheme="majorHAnsi" w:hAnsiTheme="majorHAnsi" w:cstheme="majorBidi"/>
        </w:rPr>
        <w:t>:</w:t>
      </w:r>
      <w:r>
        <w:t xml:space="preserve"> The evaluation sought to understand what works, for which participants, in what circumstances and why. Key to this enquiry was the identification of specific mechanisms or aspects of The Way Back service model that create the changes in people that contribute to their recovery (see Section </w:t>
      </w:r>
      <w:r>
        <w:fldChar w:fldCharType="begin"/>
      </w:r>
      <w:r>
        <w:instrText xml:space="preserve"> REF _Ref118290603 \r \h </w:instrText>
      </w:r>
      <w:r>
        <w:fldChar w:fldCharType="separate"/>
      </w:r>
      <w:r w:rsidR="00402362">
        <w:t>8.1</w:t>
      </w:r>
      <w:r>
        <w:fldChar w:fldCharType="end"/>
      </w:r>
      <w:r>
        <w:fldChar w:fldCharType="begin"/>
      </w:r>
      <w:r>
        <w:instrText xml:space="preserve"> REF _Ref118277897 \n \h </w:instrText>
      </w:r>
      <w:r>
        <w:fldChar w:fldCharType="separate"/>
      </w:r>
      <w:r w:rsidR="00402362">
        <w:t>1</w:t>
      </w:r>
      <w:r>
        <w:fldChar w:fldCharType="end"/>
      </w:r>
      <w:r>
        <w:t>).</w:t>
      </w:r>
    </w:p>
    <w:p w14:paraId="5EEEB622" w14:textId="1CE6CA88" w:rsidR="00E025B2" w:rsidRPr="00971DBC" w:rsidRDefault="00E025B2" w:rsidP="00E025B2">
      <w:pPr>
        <w:pStyle w:val="Bullet"/>
      </w:pPr>
      <w:r>
        <w:rPr>
          <w:rFonts w:asciiTheme="majorHAnsi" w:hAnsiTheme="majorHAnsi" w:cstheme="majorBidi"/>
        </w:rPr>
        <w:t>Had</w:t>
      </w:r>
      <w:r w:rsidRPr="38E66651">
        <w:rPr>
          <w:rFonts w:asciiTheme="majorHAnsi" w:hAnsiTheme="majorHAnsi" w:cstheme="majorBidi"/>
        </w:rPr>
        <w:t xml:space="preserve"> a developmental intent:</w:t>
      </w:r>
      <w:r>
        <w:t xml:space="preserve"> </w:t>
      </w:r>
      <w:r w:rsidRPr="00201E70">
        <w:t xml:space="preserve">Nous </w:t>
      </w:r>
      <w:r>
        <w:t xml:space="preserve">iteratively shared findings </w:t>
      </w:r>
      <w:r w:rsidRPr="00201E70">
        <w:t xml:space="preserve">with Beyond Blue and </w:t>
      </w:r>
      <w:r>
        <w:t>The Way Back</w:t>
      </w:r>
      <w:r w:rsidRPr="00201E70">
        <w:t xml:space="preserve"> service network</w:t>
      </w:r>
      <w:r>
        <w:t xml:space="preserve"> to support learning and adaptation during service implementation. </w:t>
      </w:r>
      <w:r w:rsidR="00227E53">
        <w:t>It should be noted that the evaluation was conducted during the COVID-19 pandemic</w:t>
      </w:r>
      <w:r w:rsidR="00E37C5E">
        <w:t>. T</w:t>
      </w:r>
      <w:r w:rsidR="00037445">
        <w:t xml:space="preserve">his </w:t>
      </w:r>
      <w:r w:rsidR="00227E53">
        <w:t xml:space="preserve">impacted on </w:t>
      </w:r>
      <w:r w:rsidR="00037445">
        <w:t xml:space="preserve">sites’ ability to enact changes </w:t>
      </w:r>
      <w:r w:rsidR="00E37C5E">
        <w:t xml:space="preserve">to service delivery </w:t>
      </w:r>
      <w:r w:rsidR="00037445">
        <w:t xml:space="preserve">due to significant disruptions to normal operations. </w:t>
      </w:r>
    </w:p>
    <w:p w14:paraId="5CF4899D" w14:textId="77777777" w:rsidR="00515280" w:rsidRDefault="00515280">
      <w:pPr>
        <w:spacing w:after="165" w:line="259" w:lineRule="auto"/>
        <w:rPr>
          <w:rFonts w:eastAsia="Times New Roman" w:cs="Times New Roman"/>
          <w:szCs w:val="19"/>
          <w:lang w:eastAsia="en-AU"/>
        </w:rPr>
      </w:pPr>
      <w:r>
        <w:br w:type="page"/>
      </w:r>
    </w:p>
    <w:p w14:paraId="199B92FE" w14:textId="1928B671" w:rsidR="00541ADA" w:rsidRDefault="184CA80B" w:rsidP="00541ADA">
      <w:pPr>
        <w:pStyle w:val="Heading2"/>
      </w:pPr>
      <w:bookmarkStart w:id="13" w:name="_Toc121320676"/>
      <w:bookmarkEnd w:id="12"/>
      <w:r>
        <w:lastRenderedPageBreak/>
        <w:t xml:space="preserve">Evaluation </w:t>
      </w:r>
      <w:r w:rsidR="3E3BAC69">
        <w:t>methodology</w:t>
      </w:r>
      <w:bookmarkEnd w:id="13"/>
    </w:p>
    <w:p w14:paraId="4FB9203A" w14:textId="0321BBD4" w:rsidR="00143E82" w:rsidRPr="00AA48FE" w:rsidRDefault="00541ADA" w:rsidP="00623868">
      <w:pPr>
        <w:pStyle w:val="Heading3"/>
      </w:pPr>
      <w:r>
        <w:t xml:space="preserve">The evaluation intended to </w:t>
      </w:r>
      <w:r w:rsidR="002905BF">
        <w:t xml:space="preserve">understand </w:t>
      </w:r>
      <w:r>
        <w:t xml:space="preserve">what works, for whom, </w:t>
      </w:r>
      <w:r w:rsidR="002905BF">
        <w:t>why and how</w:t>
      </w:r>
      <w:r>
        <w:t>.</w:t>
      </w:r>
      <w:bookmarkStart w:id="14" w:name="_Ref82675260"/>
      <w:bookmarkEnd w:id="6"/>
      <w:bookmarkEnd w:id="7"/>
    </w:p>
    <w:p w14:paraId="6C78AE05" w14:textId="402F6279" w:rsidR="00143E82" w:rsidRPr="00AA48FE" w:rsidRDefault="007D5689" w:rsidP="00623868">
      <w:pPr>
        <w:pStyle w:val="Bullet"/>
        <w:numPr>
          <w:ilvl w:val="0"/>
          <w:numId w:val="0"/>
        </w:numPr>
        <w:rPr>
          <w:color w:val="000000" w:themeColor="text1"/>
        </w:rPr>
      </w:pPr>
      <w:r>
        <w:rPr>
          <w:color w:val="000000" w:themeColor="text1"/>
        </w:rPr>
        <w:t xml:space="preserve">Reflecting the evaluation purpose, five </w:t>
      </w:r>
      <w:r w:rsidR="001222F8">
        <w:rPr>
          <w:color w:val="000000" w:themeColor="text1"/>
        </w:rPr>
        <w:t>Key Evaluation Questions (</w:t>
      </w:r>
      <w:r>
        <w:rPr>
          <w:color w:val="000000" w:themeColor="text1"/>
        </w:rPr>
        <w:t>KEQs</w:t>
      </w:r>
      <w:r w:rsidR="001222F8">
        <w:rPr>
          <w:color w:val="000000" w:themeColor="text1"/>
        </w:rPr>
        <w:t>)</w:t>
      </w:r>
      <w:r>
        <w:rPr>
          <w:color w:val="000000" w:themeColor="text1"/>
        </w:rPr>
        <w:t xml:space="preserve"> guided data collection and analysis:</w:t>
      </w:r>
    </w:p>
    <w:p w14:paraId="6CB8DF8A" w14:textId="0E27C5CB" w:rsidR="00541ADA" w:rsidRDefault="002D0BBC" w:rsidP="00623868">
      <w:r w:rsidRPr="002D0BBC">
        <w:rPr>
          <w:noProof/>
        </w:rPr>
        <w:drawing>
          <wp:inline distT="0" distB="0" distL="0" distR="0" wp14:anchorId="6025DB47" wp14:editId="19958C01">
            <wp:extent cx="5670550" cy="2143760"/>
            <wp:effectExtent l="0" t="0" r="6350" b="8890"/>
            <wp:docPr id="493" name="Graphic 493" descr="The 5 key evaluation questions are&#10;1. What is being delivered under The Way Back, where, how, and why?&#10;2. How well is The Way Back being delivered?&#10;3. What is changing, for whom, in The Way Back?&#10;4. Why and how does change occur  in The Way Back, in which circumstances?&#10;5.What can be done to improve the contribution of The Way Back and similar services to service outcomes an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phic 493" descr="The 5 key evaluation questions are&#10;1. What is being delivered under The Way Back, where, how, and why?&#10;2. How well is The Way Back being delivered?&#10;3. What is changing, for whom, in The Way Back?&#10;4. Why and how does change occur  in The Way Back, in which circumstances?&#10;5.What can be done to improve the contribution of The Way Back and similar services to service outcomes an goals?"/>
                    <pic:cNvPicPr/>
                  </pic:nvPicPr>
                  <pic:blipFill>
                    <a:blip r:embed="rId27">
                      <a:extLst>
                        <a:ext uri="{96DAC541-7B7A-43D3-8B79-37D633B846F1}">
                          <asvg:svgBlip xmlns:asvg="http://schemas.microsoft.com/office/drawing/2016/SVG/main" r:embed="rId28"/>
                        </a:ext>
                      </a:extLst>
                    </a:blip>
                    <a:stretch>
                      <a:fillRect/>
                    </a:stretch>
                  </pic:blipFill>
                  <pic:spPr>
                    <a:xfrm>
                      <a:off x="0" y="0"/>
                      <a:ext cx="5670550" cy="2143760"/>
                    </a:xfrm>
                    <a:prstGeom prst="rect">
                      <a:avLst/>
                    </a:prstGeom>
                  </pic:spPr>
                </pic:pic>
              </a:graphicData>
            </a:graphic>
          </wp:inline>
        </w:drawing>
      </w:r>
    </w:p>
    <w:p w14:paraId="2FC3AA1B" w14:textId="10346D5F" w:rsidR="00541ADA" w:rsidRDefault="356ACC64" w:rsidP="00623868">
      <w:pPr>
        <w:pStyle w:val="Bullet"/>
        <w:numPr>
          <w:ilvl w:val="0"/>
          <w:numId w:val="0"/>
        </w:numPr>
      </w:pPr>
      <w:bookmarkStart w:id="15" w:name="_Hlk106100738"/>
      <w:r>
        <w:t>Twenty-seven</w:t>
      </w:r>
      <w:r w:rsidR="777061EB" w:rsidRPr="0064537C">
        <w:t xml:space="preserve"> </w:t>
      </w:r>
      <w:r w:rsidR="6733E501">
        <w:t>(</w:t>
      </w:r>
      <w:r w:rsidR="777061EB" w:rsidRPr="0064537C">
        <w:t>of 3</w:t>
      </w:r>
      <w:r w:rsidR="00D76172">
        <w:t>8</w:t>
      </w:r>
      <w:r w:rsidR="777061EB" w:rsidRPr="0064537C">
        <w:t xml:space="preserve"> sites</w:t>
      </w:r>
      <w:r w:rsidR="6733E501">
        <w:t xml:space="preserve">) </w:t>
      </w:r>
      <w:r>
        <w:t>were</w:t>
      </w:r>
      <w:r w:rsidR="777061EB">
        <w:t xml:space="preserve"> in-scope for this evaluation</w:t>
      </w:r>
      <w:r w:rsidR="000D470F">
        <w:t xml:space="preserve">. All HOPE sites (six) were excluded as they were covered by a different evaluation. The remaining four sites were </w:t>
      </w:r>
      <w:r w:rsidR="002B050D">
        <w:t>excluded as they were not included in the ethics application due to either declining to participant in the evaluation or becoming operational after the ethics application was submitted and approved</w:t>
      </w:r>
      <w:r w:rsidR="007B0425">
        <w:t xml:space="preserve"> </w:t>
      </w:r>
      <w:r w:rsidR="777061EB" w:rsidRPr="001A1CFA">
        <w:t xml:space="preserve">(see Appendix </w:t>
      </w:r>
      <w:r w:rsidR="001A1D37">
        <w:t>A</w:t>
      </w:r>
      <w:r w:rsidR="002B050D">
        <w:t xml:space="preserve"> for full list of sites included in this evaluation</w:t>
      </w:r>
      <w:r w:rsidR="777061EB" w:rsidRPr="00191746">
        <w:t>).</w:t>
      </w:r>
      <w:r w:rsidR="000D470F">
        <w:t xml:space="preserve"> </w:t>
      </w:r>
      <w:bookmarkEnd w:id="15"/>
      <w:r w:rsidR="777061EB" w:rsidRPr="007C0448">
        <w:t xml:space="preserve">Nous </w:t>
      </w:r>
      <w:r w:rsidR="777061EB">
        <w:t>conducted</w:t>
      </w:r>
      <w:r w:rsidR="777061EB" w:rsidRPr="007C0448">
        <w:t xml:space="preserve"> primary research in eight of those site</w:t>
      </w:r>
      <w:r w:rsidR="777061EB">
        <w:t>s (referred to as ‘deep dive sites’)</w:t>
      </w:r>
      <w:r w:rsidR="777061EB" w:rsidRPr="007C0448">
        <w:t xml:space="preserve">. </w:t>
      </w:r>
    </w:p>
    <w:p w14:paraId="6F25A191" w14:textId="076A3824" w:rsidR="00541ADA" w:rsidRDefault="777061EB" w:rsidP="00623868">
      <w:pPr>
        <w:pStyle w:val="Bullet"/>
        <w:numPr>
          <w:ilvl w:val="0"/>
          <w:numId w:val="0"/>
        </w:numPr>
      </w:pPr>
      <w:bookmarkStart w:id="16" w:name="_Hlk106100786"/>
      <w:bookmarkStart w:id="17" w:name="_Ref83039118"/>
      <w:bookmarkStart w:id="18" w:name="_Ref86306995"/>
      <w:bookmarkStart w:id="19" w:name="_Ref86307051"/>
      <w:bookmarkStart w:id="20" w:name="_Ref86307337"/>
      <w:bookmarkStart w:id="21" w:name="_Ref86311035"/>
      <w:bookmarkStart w:id="22" w:name="_Ref86311107"/>
      <w:bookmarkStart w:id="23" w:name="_Ref86047971"/>
      <w:bookmarkEnd w:id="14"/>
      <w:r>
        <w:t xml:space="preserve">Nous received approval from </w:t>
      </w:r>
      <w:proofErr w:type="spellStart"/>
      <w:r>
        <w:t>Bellberry</w:t>
      </w:r>
      <w:proofErr w:type="spellEnd"/>
      <w:r>
        <w:t xml:space="preserve"> Human Research Ethics Committee (HREC) (in 2021</w:t>
      </w:r>
      <w:r w:rsidR="00E9743E">
        <w:t xml:space="preserve"> and 2022</w:t>
      </w:r>
      <w:r>
        <w:t>) and the Australian Institute of Aboriginal and Torres Strait Islander Studies (AIATSIS) HREC (in 2022).</w:t>
      </w:r>
    </w:p>
    <w:bookmarkEnd w:id="16"/>
    <w:p w14:paraId="45BA338F" w14:textId="74E1871C" w:rsidR="00541ADA" w:rsidRDefault="00541ADA" w:rsidP="00623868">
      <w:pPr>
        <w:pStyle w:val="Heading3"/>
      </w:pPr>
      <w:r>
        <w:t>The Way Back was evaluated using a mixed-methods methodology.</w:t>
      </w:r>
    </w:p>
    <w:p w14:paraId="52917B14" w14:textId="705F5E21" w:rsidR="00541ADA" w:rsidRDefault="00103C11" w:rsidP="003508F3">
      <w:r>
        <w:rPr>
          <w:lang w:eastAsia="en-AU"/>
        </w:rPr>
        <w:t>Nous delivered the</w:t>
      </w:r>
      <w:r w:rsidR="00541ADA">
        <w:rPr>
          <w:lang w:eastAsia="en-AU"/>
        </w:rPr>
        <w:t xml:space="preserve"> mixed-methods evaluation between </w:t>
      </w:r>
      <w:r w:rsidR="004947B3">
        <w:rPr>
          <w:lang w:eastAsia="en-AU"/>
        </w:rPr>
        <w:t>June</w:t>
      </w:r>
      <w:r w:rsidR="00E67C47">
        <w:rPr>
          <w:lang w:eastAsia="en-AU"/>
        </w:rPr>
        <w:t xml:space="preserve"> 202</w:t>
      </w:r>
      <w:r w:rsidR="004947B3">
        <w:rPr>
          <w:lang w:eastAsia="en-AU"/>
        </w:rPr>
        <w:t>0</w:t>
      </w:r>
      <w:r w:rsidR="00E67C47">
        <w:rPr>
          <w:lang w:eastAsia="en-AU"/>
        </w:rPr>
        <w:t xml:space="preserve"> </w:t>
      </w:r>
      <w:r w:rsidR="00541ADA">
        <w:rPr>
          <w:lang w:eastAsia="en-AU"/>
        </w:rPr>
        <w:t xml:space="preserve">and November 2022. </w:t>
      </w:r>
      <w:r w:rsidR="007804E9">
        <w:fldChar w:fldCharType="begin"/>
      </w:r>
      <w:r w:rsidR="007804E9">
        <w:rPr>
          <w:lang w:eastAsia="en-AU"/>
        </w:rPr>
        <w:instrText xml:space="preserve"> REF _Ref122512838 \h </w:instrText>
      </w:r>
      <w:r w:rsidR="007804E9">
        <w:fldChar w:fldCharType="separate"/>
      </w:r>
      <w:r w:rsidR="00402362">
        <w:t xml:space="preserve">Figure </w:t>
      </w:r>
      <w:r w:rsidR="00402362">
        <w:rPr>
          <w:noProof/>
        </w:rPr>
        <w:t>2</w:t>
      </w:r>
      <w:r w:rsidR="007804E9">
        <w:fldChar w:fldCharType="end"/>
      </w:r>
      <w:r w:rsidR="00541ADA">
        <w:t xml:space="preserve"> </w:t>
      </w:r>
      <w:r w:rsidR="003508F3">
        <w:t>summarises data sources</w:t>
      </w:r>
      <w:r w:rsidR="00541ADA">
        <w:t xml:space="preserve"> that informed the evaluation. </w:t>
      </w:r>
      <w:r w:rsidR="00541ADA" w:rsidRPr="001A1CFA">
        <w:t xml:space="preserve">Appendix </w:t>
      </w:r>
      <w:r w:rsidR="001A1D37">
        <w:t>B</w:t>
      </w:r>
      <w:r w:rsidR="00541ADA" w:rsidRPr="002C3A21">
        <w:t xml:space="preserve"> provides</w:t>
      </w:r>
      <w:r w:rsidR="00541ADA">
        <w:t xml:space="preserve"> the detailed methodology</w:t>
      </w:r>
      <w:r w:rsidR="003508F3">
        <w:t>.</w:t>
      </w:r>
    </w:p>
    <w:p w14:paraId="1B5B5E90" w14:textId="0B093523" w:rsidR="00E524F0" w:rsidRDefault="00E524F0" w:rsidP="00707DCB">
      <w:pPr>
        <w:pStyle w:val="Caption"/>
      </w:pPr>
      <w:bookmarkStart w:id="24" w:name="_Ref122512838"/>
      <w:r>
        <w:lastRenderedPageBreak/>
        <w:t xml:space="preserve">Figure </w:t>
      </w:r>
      <w:r>
        <w:fldChar w:fldCharType="begin"/>
      </w:r>
      <w:r>
        <w:instrText xml:space="preserve"> SEQ Figure \* ARABIC </w:instrText>
      </w:r>
      <w:r>
        <w:fldChar w:fldCharType="separate"/>
      </w:r>
      <w:r w:rsidR="00402362">
        <w:rPr>
          <w:noProof/>
        </w:rPr>
        <w:t>2</w:t>
      </w:r>
      <w:r>
        <w:fldChar w:fldCharType="end"/>
      </w:r>
      <w:bookmarkEnd w:id="24"/>
      <w:r>
        <w:t xml:space="preserve"> | Data sources that inform the evaluation</w:t>
      </w:r>
    </w:p>
    <w:p w14:paraId="2916B12E" w14:textId="6697F48C" w:rsidR="00707DCB" w:rsidRPr="00707DCB" w:rsidRDefault="00707DCB" w:rsidP="00707DCB">
      <w:r w:rsidRPr="00707DCB">
        <w:rPr>
          <w:noProof/>
        </w:rPr>
        <w:drawing>
          <wp:inline distT="0" distB="0" distL="0" distR="0" wp14:anchorId="6E8D7998" wp14:editId="60D66228">
            <wp:extent cx="5670550" cy="8058785"/>
            <wp:effectExtent l="0" t="0" r="6350" b="0"/>
            <wp:docPr id="56" name="Graphic 56" descr="Figure 2 is an infographic showing the data sources that informed the evaluation.&#10;57 interviews with participants&#10;15 interviews with referring health service staff&#10;2 PHN focus groups&#10;2 interviews with project steering committee members &#10;35 interviews with provider staff&#10;4 collective analysis workshops with providers and PHNs&#10;2 interviews with Beyond Blue staff&#10;2 interviews with Beyond Blue CEO, Chief Strategy officer and Chief Services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Figure 2 is an infographic showing the data sources that informed the evaluation.&#10;57 interviews with participants&#10;15 interviews with referring health service staff&#10;2 PHN focus groups&#10;2 interviews with project steering committee members &#10;35 interviews with provider staff&#10;4 collective analysis workshops with providers and PHNs&#10;2 interviews with Beyond Blue staff&#10;2 interviews with Beyond Blue CEO, Chief Strategy officer and Chief Services officer"/>
                    <pic:cNvPicPr/>
                  </pic:nvPicPr>
                  <pic:blipFill>
                    <a:blip r:embed="rId29">
                      <a:extLst>
                        <a:ext uri="{96DAC541-7B7A-43D3-8B79-37D633B846F1}">
                          <asvg:svgBlip xmlns:asvg="http://schemas.microsoft.com/office/drawing/2016/SVG/main" r:embed="rId30"/>
                        </a:ext>
                      </a:extLst>
                    </a:blip>
                    <a:stretch>
                      <a:fillRect/>
                    </a:stretch>
                  </pic:blipFill>
                  <pic:spPr>
                    <a:xfrm>
                      <a:off x="0" y="0"/>
                      <a:ext cx="5670550" cy="8058785"/>
                    </a:xfrm>
                    <a:prstGeom prst="rect">
                      <a:avLst/>
                    </a:prstGeom>
                  </pic:spPr>
                </pic:pic>
              </a:graphicData>
            </a:graphic>
          </wp:inline>
        </w:drawing>
      </w:r>
    </w:p>
    <w:p w14:paraId="588F3E28" w14:textId="7B482BD8" w:rsidR="00541ADA" w:rsidRDefault="00237F33" w:rsidP="00D6212B">
      <w:pPr>
        <w:pStyle w:val="Heading2"/>
      </w:pPr>
      <w:bookmarkStart w:id="25" w:name="_Ref121306457"/>
      <w:bookmarkStart w:id="26" w:name="_Toc121320677"/>
      <w:r>
        <w:lastRenderedPageBreak/>
        <w:t>Evaluation</w:t>
      </w:r>
      <w:r w:rsidR="00541ADA">
        <w:t xml:space="preserve"> limitations</w:t>
      </w:r>
      <w:bookmarkEnd w:id="25"/>
      <w:bookmarkEnd w:id="26"/>
    </w:p>
    <w:bookmarkEnd w:id="17"/>
    <w:bookmarkEnd w:id="18"/>
    <w:bookmarkEnd w:id="19"/>
    <w:bookmarkEnd w:id="20"/>
    <w:bookmarkEnd w:id="21"/>
    <w:bookmarkEnd w:id="22"/>
    <w:bookmarkEnd w:id="23"/>
    <w:p w14:paraId="0A507141" w14:textId="5B168A48" w:rsidR="006F5320" w:rsidRDefault="00F4353C" w:rsidP="00623868">
      <w:pPr>
        <w:pStyle w:val="Heading3"/>
      </w:pPr>
      <w:r>
        <w:t>There are limitations to the evaluation data that</w:t>
      </w:r>
      <w:r w:rsidR="006F5320">
        <w:t xml:space="preserve"> are important to understand when reviewing </w:t>
      </w:r>
      <w:r w:rsidR="00D73CC5">
        <w:t>the information in this report.</w:t>
      </w:r>
    </w:p>
    <w:p w14:paraId="4B159398" w14:textId="66BE8351" w:rsidR="00D73CC5" w:rsidRDefault="00E351D0" w:rsidP="00623868">
      <w:pPr>
        <w:rPr>
          <w:lang w:eastAsia="en-AU"/>
        </w:rPr>
      </w:pPr>
      <w:r>
        <w:rPr>
          <w:lang w:eastAsia="en-AU"/>
        </w:rPr>
        <w:t xml:space="preserve">Four </w:t>
      </w:r>
      <w:r w:rsidR="00D73CC5">
        <w:rPr>
          <w:lang w:eastAsia="en-AU"/>
        </w:rPr>
        <w:t xml:space="preserve">limitations </w:t>
      </w:r>
      <w:r w:rsidR="00F92C00">
        <w:rPr>
          <w:lang w:eastAsia="en-AU"/>
        </w:rPr>
        <w:t>were</w:t>
      </w:r>
      <w:r w:rsidR="00F07A06">
        <w:rPr>
          <w:lang w:eastAsia="en-AU"/>
        </w:rPr>
        <w:t xml:space="preserve"> important to understand when considering the findings in this report</w:t>
      </w:r>
      <w:r w:rsidR="00EA2998">
        <w:rPr>
          <w:lang w:eastAsia="en-AU"/>
        </w:rPr>
        <w:t>.</w:t>
      </w:r>
      <w:r w:rsidR="00972C76">
        <w:rPr>
          <w:lang w:eastAsia="en-AU"/>
        </w:rPr>
        <w:t xml:space="preserve"> </w:t>
      </w:r>
      <w:r w:rsidR="00EA2998">
        <w:rPr>
          <w:lang w:eastAsia="en-AU"/>
        </w:rPr>
        <w:t xml:space="preserve">These </w:t>
      </w:r>
      <w:r w:rsidR="00F92C00">
        <w:rPr>
          <w:lang w:eastAsia="en-AU"/>
        </w:rPr>
        <w:t>were</w:t>
      </w:r>
      <w:r w:rsidR="00497394">
        <w:rPr>
          <w:lang w:eastAsia="en-AU"/>
        </w:rPr>
        <w:t xml:space="preserve">: </w:t>
      </w:r>
    </w:p>
    <w:p w14:paraId="15CC04EA" w14:textId="0ACDB820" w:rsidR="00497394" w:rsidRDefault="00A62903" w:rsidP="00623868">
      <w:pPr>
        <w:pStyle w:val="Bullet"/>
      </w:pPr>
      <w:r>
        <w:t>V</w:t>
      </w:r>
      <w:r w:rsidR="00FA1B62">
        <w:t>ariability</w:t>
      </w:r>
      <w:r w:rsidR="00497394">
        <w:t xml:space="preserve"> in the completeness and quality of quantitative data</w:t>
      </w:r>
      <w:r w:rsidR="00C54042">
        <w:t xml:space="preserve"> from service sites</w:t>
      </w:r>
    </w:p>
    <w:p w14:paraId="4EE53E8D" w14:textId="111D5D2C" w:rsidR="00497394" w:rsidRDefault="007D7447" w:rsidP="00623868">
      <w:pPr>
        <w:pStyle w:val="Bullet"/>
      </w:pPr>
      <w:r>
        <w:t xml:space="preserve">Potential positive bias in the </w:t>
      </w:r>
      <w:r w:rsidR="00DF7555">
        <w:t>qualitative</w:t>
      </w:r>
      <w:r w:rsidR="00E67C47">
        <w:t xml:space="preserve"> </w:t>
      </w:r>
      <w:r>
        <w:t xml:space="preserve">data on </w:t>
      </w:r>
      <w:r w:rsidR="002F6D7A">
        <w:t>participant</w:t>
      </w:r>
      <w:r>
        <w:t xml:space="preserve"> experiences and outcomes</w:t>
      </w:r>
    </w:p>
    <w:p w14:paraId="27D000C2" w14:textId="71B9C8DF" w:rsidR="00906FA3" w:rsidRPr="00906FA3" w:rsidRDefault="003A49DB" w:rsidP="00623868">
      <w:pPr>
        <w:pStyle w:val="Bullet"/>
      </w:pPr>
      <w:r>
        <w:t>Low</w:t>
      </w:r>
      <w:r w:rsidR="00787236">
        <w:t xml:space="preserve"> numbers</w:t>
      </w:r>
      <w:r w:rsidR="00FD6E7F" w:rsidDel="003404D3">
        <w:t xml:space="preserve"> of</w:t>
      </w:r>
      <w:r w:rsidR="00FD6E7F">
        <w:t xml:space="preserve"> participants</w:t>
      </w:r>
      <w:r>
        <w:t xml:space="preserve"> in the </w:t>
      </w:r>
      <w:r w:rsidR="00A7368E">
        <w:t xml:space="preserve">survey and </w:t>
      </w:r>
      <w:r w:rsidR="004C1A55">
        <w:t xml:space="preserve">interviews, and </w:t>
      </w:r>
      <w:r w:rsidR="007B3CC9">
        <w:t xml:space="preserve">very low numbers of interviews/survey responses from </w:t>
      </w:r>
      <w:r w:rsidR="00492A4E">
        <w:t>carers and participants receiving peer support</w:t>
      </w:r>
      <w:r w:rsidR="00073897">
        <w:t>, and some specific population cohorts.</w:t>
      </w:r>
      <w:r w:rsidR="00AB616A" w:rsidRPr="00AB616A">
        <w:rPr>
          <w:rFonts w:eastAsiaTheme="minorHAnsi" w:cstheme="minorBidi"/>
          <w:noProof/>
          <w:szCs w:val="22"/>
          <w:lang w:eastAsia="en-US"/>
        </w:rPr>
        <w:t xml:space="preserve"> </w:t>
      </w:r>
    </w:p>
    <w:p w14:paraId="68FC8415" w14:textId="6855E19A" w:rsidR="007523CA" w:rsidRDefault="00E524F0" w:rsidP="00623868">
      <w:r>
        <w:t xml:space="preserve">Each of these limitations are explained below. The overall impact was minimised by drawing on the most appropriate data source for each evaluation question being answered. This ensured that the limitations’ impact on the robustness of findings was low. The methodology addressed limitations by triangulating data to validate findings where possible.  The report identifies specific findings that should be interpreted with caution. </w:t>
      </w:r>
    </w:p>
    <w:p w14:paraId="5E219672" w14:textId="77777777" w:rsidR="00554D3A" w:rsidRPr="00D01D0E" w:rsidRDefault="00A62903" w:rsidP="00623868">
      <w:pPr>
        <w:pStyle w:val="Heading3"/>
        <w:rPr>
          <w:iCs/>
        </w:rPr>
      </w:pPr>
      <w:r w:rsidRPr="00D01D0E">
        <w:rPr>
          <w:iCs/>
        </w:rPr>
        <w:t>V</w:t>
      </w:r>
      <w:r w:rsidR="00FA1B62" w:rsidRPr="00D01D0E">
        <w:rPr>
          <w:iCs/>
        </w:rPr>
        <w:t xml:space="preserve">ariability in the completeness and quality of </w:t>
      </w:r>
      <w:r w:rsidR="00472E88" w:rsidRPr="00D01D0E">
        <w:rPr>
          <w:iCs/>
        </w:rPr>
        <w:t xml:space="preserve">quantitative </w:t>
      </w:r>
      <w:r w:rsidR="00461BA5" w:rsidRPr="00D01D0E">
        <w:rPr>
          <w:iCs/>
        </w:rPr>
        <w:t>data</w:t>
      </w:r>
      <w:r w:rsidR="00DA459B" w:rsidRPr="00D01D0E">
        <w:rPr>
          <w:iCs/>
        </w:rPr>
        <w:t>.</w:t>
      </w:r>
    </w:p>
    <w:p w14:paraId="499574E5" w14:textId="0AC3DCED" w:rsidR="00694F4B" w:rsidRDefault="007F4B92" w:rsidP="00623868">
      <w:pPr>
        <w:pStyle w:val="Bullet"/>
        <w:numPr>
          <w:ilvl w:val="0"/>
          <w:numId w:val="0"/>
        </w:numPr>
      </w:pPr>
      <w:r>
        <w:t>Variability in the completeness an</w:t>
      </w:r>
      <w:r w:rsidR="00E75FAB">
        <w:t>d</w:t>
      </w:r>
      <w:r>
        <w:t xml:space="preserve"> quality of </w:t>
      </w:r>
      <w:r w:rsidR="006D1816">
        <w:t xml:space="preserve">quantitative </w:t>
      </w:r>
      <w:r>
        <w:t xml:space="preserve">data </w:t>
      </w:r>
      <w:r w:rsidR="00694F4B">
        <w:t xml:space="preserve">sources </w:t>
      </w:r>
      <w:r w:rsidR="00CB78B3">
        <w:t xml:space="preserve">were </w:t>
      </w:r>
      <w:r w:rsidR="00694F4B">
        <w:t>likely due to:</w:t>
      </w:r>
    </w:p>
    <w:p w14:paraId="05B25B19" w14:textId="22295E26" w:rsidR="00694F4B" w:rsidRDefault="00AE4E35" w:rsidP="00623868">
      <w:pPr>
        <w:pStyle w:val="Bullet"/>
      </w:pPr>
      <w:r>
        <w:t>Different</w:t>
      </w:r>
      <w:r w:rsidR="00864CDC">
        <w:t xml:space="preserve"> </w:t>
      </w:r>
      <w:r>
        <w:t>c</w:t>
      </w:r>
      <w:r w:rsidR="006D1816">
        <w:t>ommencement</w:t>
      </w:r>
      <w:r w:rsidR="00694F4B">
        <w:t xml:space="preserve"> </w:t>
      </w:r>
      <w:r>
        <w:t>times</w:t>
      </w:r>
      <w:r w:rsidR="00694F4B">
        <w:t xml:space="preserve"> of </w:t>
      </w:r>
      <w:r w:rsidR="002B10A9">
        <w:t>providers</w:t>
      </w:r>
      <w:r w:rsidR="00276EC5">
        <w:t xml:space="preserve">, and therefore </w:t>
      </w:r>
      <w:r w:rsidR="00E368EB">
        <w:t xml:space="preserve">staggered </w:t>
      </w:r>
      <w:r w:rsidR="00AB4CED">
        <w:t>data</w:t>
      </w:r>
      <w:r w:rsidR="00276EC5">
        <w:t xml:space="preserve"> collection and </w:t>
      </w:r>
      <w:r w:rsidR="00B728F8">
        <w:t xml:space="preserve">reporting </w:t>
      </w:r>
      <w:r w:rsidR="00276EC5">
        <w:t xml:space="preserve">of data </w:t>
      </w:r>
      <w:r w:rsidR="0001382A">
        <w:t>by providers</w:t>
      </w:r>
      <w:r w:rsidR="00B728F8">
        <w:t xml:space="preserve"> into </w:t>
      </w:r>
      <w:r w:rsidR="00694F4B">
        <w:t xml:space="preserve">the </w:t>
      </w:r>
      <w:r w:rsidR="006F4069">
        <w:t>Primary Mental Health Care Minimum Data Set (PMHC MDS)</w:t>
      </w:r>
      <w:r w:rsidR="00AB4CED">
        <w:t xml:space="preserve"> over time</w:t>
      </w:r>
      <w:r w:rsidR="00276EC5">
        <w:t xml:space="preserve">. </w:t>
      </w:r>
      <w:r w:rsidR="004B6E7A">
        <w:t xml:space="preserve">This </w:t>
      </w:r>
      <w:r w:rsidR="00302DA2">
        <w:t xml:space="preserve">variability in </w:t>
      </w:r>
      <w:r w:rsidR="0033168C">
        <w:t>the volume of data from</w:t>
      </w:r>
      <w:r w:rsidR="00031FEF">
        <w:t xml:space="preserve"> different </w:t>
      </w:r>
      <w:r w:rsidR="0033168C">
        <w:t>sites</w:t>
      </w:r>
      <w:r w:rsidR="004B6E7A">
        <w:t xml:space="preserve"> </w:t>
      </w:r>
      <w:r w:rsidR="00BE259C">
        <w:t xml:space="preserve">limited the </w:t>
      </w:r>
      <w:r w:rsidR="003C608B">
        <w:t>evaluations’</w:t>
      </w:r>
      <w:r w:rsidR="00BE259C">
        <w:t xml:space="preserve"> ability to draw comparisons across sites</w:t>
      </w:r>
      <w:r w:rsidR="002B1688">
        <w:t>.</w:t>
      </w:r>
    </w:p>
    <w:p w14:paraId="265D82C2" w14:textId="790763FB" w:rsidR="0023086C" w:rsidRPr="0023086C" w:rsidRDefault="006418EB" w:rsidP="00623868">
      <w:pPr>
        <w:pStyle w:val="Bullet"/>
      </w:pPr>
      <w:r>
        <w:t>Differen</w:t>
      </w:r>
      <w:r w:rsidR="00FE435D">
        <w:t>t</w:t>
      </w:r>
      <w:r w:rsidR="01646D15">
        <w:t xml:space="preserve"> </w:t>
      </w:r>
      <w:r w:rsidR="541ED86D">
        <w:t>client</w:t>
      </w:r>
      <w:r w:rsidR="01646D15">
        <w:t xml:space="preserve"> management systems (CMS</w:t>
      </w:r>
      <w:r w:rsidR="005D27DA">
        <w:t>s</w:t>
      </w:r>
      <w:r w:rsidR="01646D15">
        <w:t xml:space="preserve">) </w:t>
      </w:r>
      <w:r w:rsidR="0061665C">
        <w:t>w</w:t>
      </w:r>
      <w:r>
        <w:t xml:space="preserve">ere </w:t>
      </w:r>
      <w:r w:rsidR="4773392B">
        <w:t xml:space="preserve">used </w:t>
      </w:r>
      <w:r w:rsidR="01646D15">
        <w:t>across sites</w:t>
      </w:r>
      <w:r w:rsidR="0F191579">
        <w:t xml:space="preserve"> </w:t>
      </w:r>
      <w:r w:rsidR="20D9DE56">
        <w:t>to report</w:t>
      </w:r>
      <w:r w:rsidR="0F191579">
        <w:t xml:space="preserve"> into the PMHC</w:t>
      </w:r>
      <w:r w:rsidR="541ED86D">
        <w:t> </w:t>
      </w:r>
      <w:r w:rsidR="0F191579">
        <w:t>MDS</w:t>
      </w:r>
      <w:r w:rsidR="1F543E49">
        <w:t>.</w:t>
      </w:r>
      <w:r w:rsidR="01646D15">
        <w:t xml:space="preserve"> </w:t>
      </w:r>
      <w:r w:rsidR="00C740AC">
        <w:t xml:space="preserve"> </w:t>
      </w:r>
      <w:bookmarkStart w:id="27" w:name="_Hlk121150142"/>
      <w:r w:rsidR="00D2201C">
        <w:t xml:space="preserve">This meant that sites had </w:t>
      </w:r>
      <w:r w:rsidR="0038749A">
        <w:t>varied</w:t>
      </w:r>
      <w:r w:rsidR="00D2201C">
        <w:t xml:space="preserve"> issues </w:t>
      </w:r>
      <w:r w:rsidR="0038749A">
        <w:t>with how and what data was uploaded</w:t>
      </w:r>
      <w:r w:rsidR="00D2201C">
        <w:t xml:space="preserve"> </w:t>
      </w:r>
      <w:r w:rsidR="00A24134">
        <w:t xml:space="preserve">into the </w:t>
      </w:r>
      <w:r w:rsidR="00AA3BC0">
        <w:t>PMHC MDS</w:t>
      </w:r>
      <w:r w:rsidR="00CD6CA2">
        <w:t xml:space="preserve">. </w:t>
      </w:r>
      <w:bookmarkEnd w:id="27"/>
      <w:r w:rsidR="01646D15">
        <w:t xml:space="preserve">For example, one site indicated that </w:t>
      </w:r>
      <w:r w:rsidR="4FB5ECE4">
        <w:t xml:space="preserve">their system </w:t>
      </w:r>
      <w:r w:rsidR="4DECDBF4">
        <w:t xml:space="preserve">had a </w:t>
      </w:r>
      <w:r w:rsidR="4C636136">
        <w:t xml:space="preserve">mandatory requirement to </w:t>
      </w:r>
      <w:r w:rsidR="293C5A10">
        <w:t xml:space="preserve">complete </w:t>
      </w:r>
      <w:r w:rsidR="17EB5F51">
        <w:t xml:space="preserve">fields </w:t>
      </w:r>
      <w:r w:rsidR="4DECDBF4">
        <w:t>on outcomes measures</w:t>
      </w:r>
      <w:r w:rsidR="120E1ACF">
        <w:t xml:space="preserve"> which meant they were unable to continue inputting any data until the field </w:t>
      </w:r>
      <w:r w:rsidR="5FE7E6A6">
        <w:t>was</w:t>
      </w:r>
      <w:r w:rsidR="120E1ACF">
        <w:t xml:space="preserve"> filled. This resulted</w:t>
      </w:r>
      <w:r w:rsidR="01646D15">
        <w:t xml:space="preserve"> in a period of incorrect data</w:t>
      </w:r>
      <w:r w:rsidR="5B0C74DE">
        <w:t xml:space="preserve"> </w:t>
      </w:r>
      <w:r w:rsidR="00CD6CA2">
        <w:t xml:space="preserve">within the PMHC MDS </w:t>
      </w:r>
      <w:r w:rsidR="5B0C74DE">
        <w:t>for this site</w:t>
      </w:r>
      <w:r w:rsidR="4BAB2D14">
        <w:t xml:space="preserve">. This data was identified and </w:t>
      </w:r>
      <w:r w:rsidR="01646D15">
        <w:t xml:space="preserve">has been excluded from analysis. </w:t>
      </w:r>
      <w:r w:rsidR="006852A4">
        <w:t xml:space="preserve"> </w:t>
      </w:r>
      <w:bookmarkStart w:id="28" w:name="_Hlk121150166"/>
      <w:r w:rsidR="0012067C">
        <w:t xml:space="preserve">Another site reported issues with the upload process itself between the CMS </w:t>
      </w:r>
      <w:r w:rsidR="00575739">
        <w:t>and the PMHC MDS</w:t>
      </w:r>
      <w:r w:rsidR="0038749A">
        <w:t xml:space="preserve"> (</w:t>
      </w:r>
      <w:r w:rsidR="00875B05">
        <w:t>i.e.,</w:t>
      </w:r>
      <w:r w:rsidR="0038749A">
        <w:t xml:space="preserve"> the PMHC MDS did not accurately reflect what was captured </w:t>
      </w:r>
      <w:r w:rsidR="00D76172">
        <w:t>into</w:t>
      </w:r>
      <w:r w:rsidR="0038749A">
        <w:t xml:space="preserve"> the CMS).</w:t>
      </w:r>
      <w:r w:rsidR="00575739">
        <w:t xml:space="preserve"> </w:t>
      </w:r>
      <w:bookmarkEnd w:id="28"/>
    </w:p>
    <w:p w14:paraId="6C6E1A8D" w14:textId="2700FCC5" w:rsidR="00694F4B" w:rsidRDefault="7B826AFB" w:rsidP="00623868">
      <w:pPr>
        <w:pStyle w:val="Bullet"/>
      </w:pPr>
      <w:r>
        <w:t xml:space="preserve">Different </w:t>
      </w:r>
      <w:r w:rsidR="38F035DB">
        <w:t>approaches in how sites collected data for</w:t>
      </w:r>
      <w:r w:rsidR="4858A73D">
        <w:t xml:space="preserve"> quarterly reports. Some </w:t>
      </w:r>
      <w:r w:rsidR="38F035DB">
        <w:t xml:space="preserve">sites </w:t>
      </w:r>
      <w:r w:rsidR="4FFA8CAF">
        <w:t xml:space="preserve">inputted data manually </w:t>
      </w:r>
      <w:r w:rsidR="438ACC2A">
        <w:t xml:space="preserve">into </w:t>
      </w:r>
      <w:r w:rsidR="00B271C0">
        <w:t>regula</w:t>
      </w:r>
      <w:r w:rsidR="000644EC">
        <w:t>r quarterly</w:t>
      </w:r>
      <w:r w:rsidR="438ACC2A">
        <w:t xml:space="preserve"> reports</w:t>
      </w:r>
      <w:r w:rsidR="4FFA8CAF">
        <w:t xml:space="preserve">, </w:t>
      </w:r>
      <w:r w:rsidR="00EC263B">
        <w:t xml:space="preserve">while </w:t>
      </w:r>
      <w:r w:rsidR="4FFA8CAF">
        <w:t xml:space="preserve">others </w:t>
      </w:r>
      <w:r w:rsidR="6FD82899">
        <w:t>upl</w:t>
      </w:r>
      <w:r w:rsidR="303C0F6C">
        <w:t xml:space="preserve">oaded data </w:t>
      </w:r>
      <w:r w:rsidR="438ACC2A">
        <w:t xml:space="preserve">from </w:t>
      </w:r>
      <w:r w:rsidR="690473B5">
        <w:t>the</w:t>
      </w:r>
      <w:r w:rsidR="438ACC2A">
        <w:t xml:space="preserve"> PMHC MDS data portal</w:t>
      </w:r>
      <w:r w:rsidR="17FE3EA2">
        <w:t xml:space="preserve"> </w:t>
      </w:r>
      <w:r w:rsidR="303C0F6C">
        <w:t>directly into the quarterly reports</w:t>
      </w:r>
      <w:r w:rsidR="001F3203">
        <w:rPr>
          <w:rStyle w:val="FootnoteReference"/>
        </w:rPr>
        <w:footnoteReference w:id="13"/>
      </w:r>
      <w:r w:rsidR="777061EB">
        <w:t>.</w:t>
      </w:r>
      <w:r w:rsidR="16E91430">
        <w:t xml:space="preserve"> This impacted the </w:t>
      </w:r>
      <w:r w:rsidR="0D9DB9EB">
        <w:t>consistency of data across sources</w:t>
      </w:r>
      <w:r w:rsidR="5AD8F84F">
        <w:t xml:space="preserve"> </w:t>
      </w:r>
      <w:proofErr w:type="gramStart"/>
      <w:r w:rsidR="5AD8F84F">
        <w:t>and also</w:t>
      </w:r>
      <w:proofErr w:type="gramEnd"/>
      <w:r w:rsidR="5AD8F84F">
        <w:t xml:space="preserve"> </w:t>
      </w:r>
      <w:r w:rsidR="125B736A">
        <w:t>introduced the potential for human error</w:t>
      </w:r>
      <w:r w:rsidR="0D9DB9EB">
        <w:t xml:space="preserve">. The evaluation </w:t>
      </w:r>
      <w:r w:rsidR="0EC787A3">
        <w:t>drew on the most appropriate data</w:t>
      </w:r>
      <w:r w:rsidR="0FEBD7AA">
        <w:t xml:space="preserve"> source </w:t>
      </w:r>
      <w:r w:rsidR="62B42B90">
        <w:t>for the</w:t>
      </w:r>
      <w:r w:rsidR="0DA7288E">
        <w:t xml:space="preserve"> evaluation question being answered. </w:t>
      </w:r>
      <w:r w:rsidR="0086056C">
        <w:t>The data source used was based on the quality and consistency of data reported across sites. The data source with the least amount of variation across sites (</w:t>
      </w:r>
      <w:proofErr w:type="gramStart"/>
      <w:r w:rsidR="0086056C">
        <w:t>i.e.</w:t>
      </w:r>
      <w:proofErr w:type="gramEnd"/>
      <w:r w:rsidR="0086056C">
        <w:t xml:space="preserve"> the quality and completeness of the data was consistent across sites) was chosen for analysis. </w:t>
      </w:r>
      <w:r w:rsidR="406D41BD">
        <w:t xml:space="preserve">The </w:t>
      </w:r>
      <w:r w:rsidR="0DA7288E">
        <w:t>report identifi</w:t>
      </w:r>
      <w:r w:rsidR="406D41BD">
        <w:t>es</w:t>
      </w:r>
      <w:r w:rsidR="0DA7288E">
        <w:t xml:space="preserve"> where different datasets were used and the </w:t>
      </w:r>
      <w:r w:rsidR="62B42B90">
        <w:t>rationale for this.</w:t>
      </w:r>
      <w:r w:rsidR="00E96C81">
        <w:rPr>
          <w:rStyle w:val="FootnoteReference"/>
        </w:rPr>
        <w:footnoteReference w:id="14"/>
      </w:r>
    </w:p>
    <w:p w14:paraId="54DA7EB6" w14:textId="3DC8CAD7" w:rsidR="00B3340A" w:rsidRPr="00D01D0E" w:rsidRDefault="007D7447" w:rsidP="00623868">
      <w:pPr>
        <w:pStyle w:val="Heading3"/>
      </w:pPr>
      <w:r w:rsidRPr="00D01D0E">
        <w:t>Potential positive bias</w:t>
      </w:r>
      <w:r w:rsidR="00B3340A" w:rsidRPr="00D01D0E">
        <w:t xml:space="preserve"> in </w:t>
      </w:r>
      <w:r w:rsidRPr="00D01D0E">
        <w:t xml:space="preserve">the data on </w:t>
      </w:r>
      <w:r w:rsidR="002F6D7A">
        <w:t>participant</w:t>
      </w:r>
      <w:r w:rsidRPr="00D01D0E">
        <w:t xml:space="preserve"> experiences and outcomes</w:t>
      </w:r>
      <w:r w:rsidR="00BE34EC" w:rsidRPr="00D01D0E">
        <w:t>.</w:t>
      </w:r>
    </w:p>
    <w:p w14:paraId="5D3BF338" w14:textId="14ED9D1B" w:rsidR="00E363E5" w:rsidRPr="00623868" w:rsidRDefault="0487F40F" w:rsidP="00875B05">
      <w:r w:rsidRPr="00623868">
        <w:t xml:space="preserve">Participants </w:t>
      </w:r>
      <w:r w:rsidR="3D683EEE" w:rsidRPr="00623868">
        <w:t xml:space="preserve">who </w:t>
      </w:r>
      <w:r w:rsidR="37FD0331" w:rsidRPr="00623868">
        <w:t xml:space="preserve">engaged </w:t>
      </w:r>
      <w:r w:rsidR="3D683EEE" w:rsidRPr="00623868">
        <w:t xml:space="preserve">in interviews for this evaluation were self-selected </w:t>
      </w:r>
      <w:r w:rsidR="100FA750" w:rsidRPr="00623868">
        <w:t xml:space="preserve">which may have created </w:t>
      </w:r>
      <w:r w:rsidR="55AD125B" w:rsidRPr="00623868">
        <w:t xml:space="preserve">a </w:t>
      </w:r>
      <w:r w:rsidR="100FA750" w:rsidRPr="00623868">
        <w:t>sample biased towards those who have had positive experiences</w:t>
      </w:r>
      <w:r w:rsidR="7CC6101F" w:rsidRPr="00623868">
        <w:t xml:space="preserve"> and outcomes</w:t>
      </w:r>
      <w:r w:rsidR="100FA750" w:rsidRPr="00623868">
        <w:t xml:space="preserve"> with the service. </w:t>
      </w:r>
      <w:r w:rsidR="005A12D2" w:rsidRPr="00623868">
        <w:t xml:space="preserve">We are unable assess the extent to which this occurred, however there is evidence that those who did take part </w:t>
      </w:r>
      <w:r w:rsidR="005A12D2" w:rsidRPr="00623868">
        <w:lastRenderedPageBreak/>
        <w:t>felt able to provide open and honest feedback, as some participants discussed mixed or negative experiences.</w:t>
      </w:r>
      <w:r w:rsidR="006F4768" w:rsidRPr="00623868">
        <w:t xml:space="preserve"> </w:t>
      </w:r>
    </w:p>
    <w:p w14:paraId="1A69A2B9" w14:textId="6A78B646" w:rsidR="004201F1" w:rsidRPr="00101521" w:rsidRDefault="00FA6473" w:rsidP="00623868">
      <w:pPr>
        <w:pStyle w:val="Heading3"/>
      </w:pPr>
      <w:r>
        <w:t xml:space="preserve">Limited data on </w:t>
      </w:r>
      <w:r w:rsidR="007C4AF3">
        <w:t xml:space="preserve">participants who </w:t>
      </w:r>
      <w:r w:rsidR="00846A2F">
        <w:t>did not take up a referral to The Way Back</w:t>
      </w:r>
      <w:r w:rsidR="00AC64A3">
        <w:t>.</w:t>
      </w:r>
    </w:p>
    <w:p w14:paraId="21A590CE" w14:textId="0E8A4CC1" w:rsidR="008F362C" w:rsidRPr="00E363E5" w:rsidRDefault="321F9621" w:rsidP="00623868">
      <w:pPr>
        <w:pStyle w:val="Bullet"/>
        <w:numPr>
          <w:ilvl w:val="0"/>
          <w:numId w:val="0"/>
        </w:numPr>
      </w:pPr>
      <w:r>
        <w:t xml:space="preserve">PMHC MDS </w:t>
      </w:r>
      <w:r w:rsidR="0C739ED5">
        <w:t xml:space="preserve">does not record </w:t>
      </w:r>
      <w:r w:rsidR="20DBBFF2">
        <w:t xml:space="preserve">demographic data </w:t>
      </w:r>
      <w:r>
        <w:t>for participants who did not take up their referral to The Way Back</w:t>
      </w:r>
      <w:r w:rsidR="20DBBFF2">
        <w:t xml:space="preserve">. </w:t>
      </w:r>
      <w:r w:rsidR="50D7E6FE">
        <w:t xml:space="preserve"> </w:t>
      </w:r>
      <w:r w:rsidR="00180C19">
        <w:t>As such, t</w:t>
      </w:r>
      <w:r w:rsidR="00846A2F">
        <w:t xml:space="preserve">here is very limited data on </w:t>
      </w:r>
      <w:r w:rsidR="6E07BE24">
        <w:t xml:space="preserve">who does not take up the service, and why they decline to participate. </w:t>
      </w:r>
    </w:p>
    <w:p w14:paraId="74EEC148" w14:textId="2C716AC3" w:rsidR="00ED0622" w:rsidRDefault="00ED0622" w:rsidP="00623868">
      <w:pPr>
        <w:pStyle w:val="Heading3"/>
        <w:rPr>
          <w:iCs/>
        </w:rPr>
      </w:pPr>
      <w:r>
        <w:rPr>
          <w:iCs/>
        </w:rPr>
        <w:t xml:space="preserve">Lower than expected </w:t>
      </w:r>
      <w:r w:rsidR="00441835">
        <w:rPr>
          <w:iCs/>
        </w:rPr>
        <w:t>participant engagement</w:t>
      </w:r>
      <w:r>
        <w:rPr>
          <w:iCs/>
        </w:rPr>
        <w:t xml:space="preserve"> </w:t>
      </w:r>
      <w:r w:rsidR="00441835">
        <w:rPr>
          <w:iCs/>
        </w:rPr>
        <w:t xml:space="preserve">in the </w:t>
      </w:r>
      <w:r w:rsidR="003A49DB">
        <w:rPr>
          <w:iCs/>
        </w:rPr>
        <w:t>evaluation</w:t>
      </w:r>
      <w:r w:rsidR="00AC5D2C">
        <w:rPr>
          <w:iCs/>
        </w:rPr>
        <w:t xml:space="preserve"> </w:t>
      </w:r>
      <w:r w:rsidR="00FD7F6C">
        <w:rPr>
          <w:iCs/>
        </w:rPr>
        <w:t xml:space="preserve">may limit adequate representation </w:t>
      </w:r>
      <w:r w:rsidR="000B18D6">
        <w:rPr>
          <w:iCs/>
        </w:rPr>
        <w:t xml:space="preserve">of </w:t>
      </w:r>
      <w:r w:rsidR="00793B1C">
        <w:rPr>
          <w:iCs/>
        </w:rPr>
        <w:t xml:space="preserve">all </w:t>
      </w:r>
      <w:r w:rsidR="007575E8">
        <w:rPr>
          <w:iCs/>
        </w:rPr>
        <w:t>participants’ experiences of The Way Back</w:t>
      </w:r>
      <w:r w:rsidR="002E3DA6">
        <w:rPr>
          <w:iCs/>
        </w:rPr>
        <w:t>.</w:t>
      </w:r>
    </w:p>
    <w:p w14:paraId="0401BB59" w14:textId="61087D88" w:rsidR="00AC5D2C" w:rsidRPr="00510204" w:rsidRDefault="00BD6F0B" w:rsidP="00623868">
      <w:r>
        <w:rPr>
          <w:lang w:eastAsia="en-AU"/>
        </w:rPr>
        <w:t xml:space="preserve">The evaluation had lower than expected participation in participant interviews </w:t>
      </w:r>
      <w:r w:rsidR="00441835">
        <w:rPr>
          <w:lang w:eastAsia="en-AU"/>
        </w:rPr>
        <w:t xml:space="preserve">and in responses to the participant survey. The evaluation </w:t>
      </w:r>
      <w:r w:rsidR="00993DC2">
        <w:rPr>
          <w:lang w:eastAsia="en-AU"/>
        </w:rPr>
        <w:t xml:space="preserve">conducted 57 interviews with participants, though it was expected that </w:t>
      </w:r>
      <w:r w:rsidR="001F1F17">
        <w:rPr>
          <w:lang w:eastAsia="en-AU"/>
        </w:rPr>
        <w:t xml:space="preserve">the evaluation </w:t>
      </w:r>
      <w:r w:rsidR="00532833">
        <w:rPr>
          <w:lang w:eastAsia="en-AU"/>
        </w:rPr>
        <w:t>would conduct</w:t>
      </w:r>
      <w:r w:rsidR="001F1F17">
        <w:rPr>
          <w:lang w:eastAsia="en-AU"/>
        </w:rPr>
        <w:t xml:space="preserve"> </w:t>
      </w:r>
      <w:r w:rsidR="00993DC2">
        <w:rPr>
          <w:lang w:eastAsia="en-AU"/>
        </w:rPr>
        <w:t>80 interviews (ten per deep dive site)</w:t>
      </w:r>
      <w:r w:rsidR="001F1F17">
        <w:rPr>
          <w:lang w:eastAsia="en-AU"/>
        </w:rPr>
        <w:t xml:space="preserve">. </w:t>
      </w:r>
      <w:r w:rsidR="000B18D6">
        <w:rPr>
          <w:lang w:eastAsia="en-AU"/>
        </w:rPr>
        <w:t>The evaluation also had lower than expected respondents to the participant survey (n =79). It was expected that the evaluation would receive</w:t>
      </w:r>
      <w:r w:rsidR="009B3448">
        <w:rPr>
          <w:lang w:eastAsia="en-AU"/>
        </w:rPr>
        <w:t xml:space="preserve"> a minimum of 580 responses. </w:t>
      </w:r>
      <w:r w:rsidR="00532833">
        <w:rPr>
          <w:lang w:eastAsia="en-AU"/>
        </w:rPr>
        <w:t xml:space="preserve">It is likely that many participants did not want to engage with the evaluation as it would require them to reflect on a very difficult time of their life.  </w:t>
      </w:r>
      <w:r w:rsidR="002B5CD3">
        <w:rPr>
          <w:lang w:eastAsia="en-AU"/>
        </w:rPr>
        <w:t xml:space="preserve">The </w:t>
      </w:r>
      <w:r w:rsidR="000F1BCE">
        <w:rPr>
          <w:lang w:eastAsia="en-AU"/>
        </w:rPr>
        <w:t>findings</w:t>
      </w:r>
      <w:r w:rsidR="007575E8">
        <w:rPr>
          <w:lang w:eastAsia="en-AU"/>
        </w:rPr>
        <w:t xml:space="preserve"> may not adequately represent the views of all participants that accessed The Way Back.</w:t>
      </w:r>
    </w:p>
    <w:p w14:paraId="5FEE82C9" w14:textId="16197A62" w:rsidR="00E42D6F" w:rsidRPr="00D01D0E" w:rsidRDefault="00A62903" w:rsidP="00623868">
      <w:pPr>
        <w:pStyle w:val="Heading3"/>
        <w:rPr>
          <w:iCs/>
        </w:rPr>
      </w:pPr>
      <w:r w:rsidRPr="00D01D0E">
        <w:rPr>
          <w:iCs/>
        </w:rPr>
        <w:t>L</w:t>
      </w:r>
      <w:r w:rsidR="00BE34EC" w:rsidRPr="00D01D0E">
        <w:rPr>
          <w:iCs/>
        </w:rPr>
        <w:t xml:space="preserve">imited ability to report on the experiences of </w:t>
      </w:r>
      <w:r w:rsidR="002B7E83" w:rsidRPr="00D01D0E">
        <w:rPr>
          <w:iCs/>
        </w:rPr>
        <w:t>some</w:t>
      </w:r>
      <w:r w:rsidR="00BE34EC" w:rsidRPr="00D01D0E">
        <w:rPr>
          <w:iCs/>
        </w:rPr>
        <w:t xml:space="preserve"> cohorts and support persons</w:t>
      </w:r>
      <w:r w:rsidR="00553F46">
        <w:rPr>
          <w:iCs/>
        </w:rPr>
        <w:t xml:space="preserve"> in interviews</w:t>
      </w:r>
      <w:r w:rsidR="00BE34EC" w:rsidRPr="00D01D0E">
        <w:rPr>
          <w:iCs/>
        </w:rPr>
        <w:t>.</w:t>
      </w:r>
    </w:p>
    <w:p w14:paraId="5C1C31E2" w14:textId="4E232F74" w:rsidR="00891945" w:rsidRDefault="77896550" w:rsidP="00E34456">
      <w:r>
        <w:t>The evaluation</w:t>
      </w:r>
      <w:r w:rsidR="41660468" w:rsidRPr="00D64DD2" w:rsidDel="00F75923">
        <w:t xml:space="preserve"> </w:t>
      </w:r>
      <w:r w:rsidR="4E6FA754">
        <w:t>sought</w:t>
      </w:r>
      <w:r w:rsidR="4E6FA754" w:rsidRPr="00D64DD2" w:rsidDel="00ED1DE9">
        <w:t xml:space="preserve"> </w:t>
      </w:r>
      <w:r w:rsidR="41660468" w:rsidRPr="00D64DD2">
        <w:t xml:space="preserve">to recruit </w:t>
      </w:r>
      <w:r w:rsidR="00332130">
        <w:t xml:space="preserve">and engage in interviews with </w:t>
      </w:r>
      <w:r w:rsidR="00665152">
        <w:t>participant support persons, priority cohorts and priority cohorts of interest to The Way Back and the evaluation</w:t>
      </w:r>
      <w:r w:rsidR="55B0CDAF">
        <w:t>,</w:t>
      </w:r>
      <w:r w:rsidR="41660468">
        <w:t xml:space="preserve"> including Aboriginal and Torres Strait Islander people, people who identify as LGBTIQA+, people from </w:t>
      </w:r>
      <w:r w:rsidR="3FD4A5FF">
        <w:t>c</w:t>
      </w:r>
      <w:r w:rsidR="00E7412D">
        <w:t xml:space="preserve">ulturally and linguistically </w:t>
      </w:r>
      <w:r w:rsidR="64BDB8BF">
        <w:t>diverse backgrounds</w:t>
      </w:r>
      <w:r w:rsidR="41660468">
        <w:t xml:space="preserve"> </w:t>
      </w:r>
      <w:r w:rsidR="64BDB8BF">
        <w:t>(</w:t>
      </w:r>
      <w:r w:rsidR="41660468">
        <w:t>CALD</w:t>
      </w:r>
      <w:r w:rsidR="4CF8B72C">
        <w:t>)</w:t>
      </w:r>
      <w:r w:rsidR="41660468">
        <w:t xml:space="preserve"> backgrounds, </w:t>
      </w:r>
      <w:proofErr w:type="gramStart"/>
      <w:r w:rsidR="41660468">
        <w:t>veterans</w:t>
      </w:r>
      <w:proofErr w:type="gramEnd"/>
      <w:r w:rsidR="41660468">
        <w:t xml:space="preserve"> and older persons. </w:t>
      </w:r>
      <w:r w:rsidR="7C2A1F04" w:rsidDel="009745EF">
        <w:t>I</w:t>
      </w:r>
      <w:r w:rsidR="647A8584">
        <w:t>t was</w:t>
      </w:r>
      <w:r w:rsidR="7C2A1F04">
        <w:t xml:space="preserve"> </w:t>
      </w:r>
      <w:r w:rsidR="647A8584">
        <w:t>difficult to recruit</w:t>
      </w:r>
      <w:r w:rsidR="41660468">
        <w:t xml:space="preserve"> a sample size</w:t>
      </w:r>
      <w:r w:rsidR="4CE39232">
        <w:t xml:space="preserve"> </w:t>
      </w:r>
      <w:r w:rsidR="1D8C6D48">
        <w:t>from</w:t>
      </w:r>
      <w:r w:rsidR="647A8584">
        <w:t xml:space="preserve"> </w:t>
      </w:r>
      <w:r w:rsidR="1D8C6D48">
        <w:t>which</w:t>
      </w:r>
      <w:r w:rsidR="647A8584">
        <w:t xml:space="preserve"> </w:t>
      </w:r>
      <w:r w:rsidR="4CE39232">
        <w:t>the evaluation</w:t>
      </w:r>
      <w:r w:rsidR="0EF9450D">
        <w:t xml:space="preserve"> </w:t>
      </w:r>
      <w:r w:rsidR="647A8584">
        <w:t>could</w:t>
      </w:r>
      <w:r w:rsidR="41660468">
        <w:t xml:space="preserve"> draw </w:t>
      </w:r>
      <w:r w:rsidR="4E6FA754">
        <w:t xml:space="preserve">reliable </w:t>
      </w:r>
      <w:r w:rsidR="41660468">
        <w:t xml:space="preserve">conclusions </w:t>
      </w:r>
      <w:r w:rsidR="1D8C6D48">
        <w:t>about</w:t>
      </w:r>
      <w:r w:rsidR="41660468">
        <w:t xml:space="preserve"> the effectiveness of The Way Back </w:t>
      </w:r>
      <w:r w:rsidR="4CE39232">
        <w:t xml:space="preserve">for </w:t>
      </w:r>
      <w:r w:rsidR="3B00626A">
        <w:t>these</w:t>
      </w:r>
      <w:r w:rsidR="41660468">
        <w:t xml:space="preserve"> cohorts.</w:t>
      </w:r>
      <w:r w:rsidR="094C2520">
        <w:t xml:space="preserve"> T</w:t>
      </w:r>
      <w:r w:rsidR="41660468">
        <w:t>here was</w:t>
      </w:r>
      <w:r w:rsidR="094C2520">
        <w:t xml:space="preserve"> also</w:t>
      </w:r>
      <w:r w:rsidR="41660468">
        <w:t xml:space="preserve"> limited input from support persons</w:t>
      </w:r>
      <w:r w:rsidR="02E0E874">
        <w:t xml:space="preserve"> (family, friends and/or carers who provide support to someone who is </w:t>
      </w:r>
      <w:r w:rsidR="702A7F14">
        <w:t>accessing The Way Back due to a suicidal crisis)</w:t>
      </w:r>
      <w:r w:rsidR="41660468" w:rsidRPr="002A6150">
        <w:t>.</w:t>
      </w:r>
      <w:r w:rsidR="00891945" w:rsidRPr="74B83E5E">
        <w:rPr>
          <w:rStyle w:val="FootnoteReference"/>
          <w:rFonts w:asciiTheme="minorHAnsi" w:hAnsiTheme="minorHAnsi"/>
        </w:rPr>
        <w:footnoteReference w:id="15"/>
      </w:r>
    </w:p>
    <w:p w14:paraId="6F8B26D9" w14:textId="3D6CFE94" w:rsidR="00554D3A" w:rsidRDefault="00FC67FD" w:rsidP="00FF4B72">
      <w:pPr>
        <w:pStyle w:val="Bullet"/>
        <w:numPr>
          <w:ilvl w:val="0"/>
          <w:numId w:val="0"/>
        </w:numPr>
        <w:rPr>
          <w:color w:val="FFFFFF" w:themeColor="background1"/>
        </w:rPr>
      </w:pPr>
      <w:r>
        <w:t xml:space="preserve">Detailed limitations associated with each data source are at </w:t>
      </w:r>
      <w:r w:rsidRPr="007A14B1">
        <w:t xml:space="preserve">Appendix </w:t>
      </w:r>
      <w:r w:rsidR="001A1D37">
        <w:t>B</w:t>
      </w:r>
      <w:r w:rsidRPr="007A14B1">
        <w:t>.</w:t>
      </w:r>
      <w:r>
        <w:t xml:space="preserve"> </w:t>
      </w:r>
    </w:p>
    <w:p w14:paraId="2D1AF8F3" w14:textId="461AAC00" w:rsidR="00AF3F50" w:rsidRDefault="00135529" w:rsidP="00C93098">
      <w:pPr>
        <w:pStyle w:val="Heading1"/>
        <w:rPr>
          <w:color w:val="FFFFFF" w:themeColor="background1"/>
        </w:rPr>
      </w:pPr>
      <w:bookmarkStart w:id="29" w:name="_Ref121306324"/>
      <w:bookmarkStart w:id="30" w:name="_Toc121320678"/>
      <w:r w:rsidRPr="00325F4F">
        <w:rPr>
          <w:noProof/>
          <w:color w:val="FFFFFF" w:themeColor="background1"/>
        </w:rPr>
        <w:lastRenderedPageBreak/>
        <w:drawing>
          <wp:anchor distT="0" distB="0" distL="114300" distR="114300" simplePos="0" relativeHeight="251658247" behindDoc="1" locked="0" layoutInCell="1" allowOverlap="1" wp14:anchorId="03A4D02C" wp14:editId="07DE1C50">
            <wp:simplePos x="0" y="0"/>
            <wp:positionH relativeFrom="page">
              <wp:align>right</wp:align>
            </wp:positionH>
            <wp:positionV relativeFrom="paragraph">
              <wp:posOffset>-666750</wp:posOffset>
            </wp:positionV>
            <wp:extent cx="7559675" cy="1371600"/>
            <wp:effectExtent l="0" t="0" r="3175" b="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00AF3F50">
        <w:rPr>
          <w:color w:val="FFFFFF" w:themeColor="background1"/>
        </w:rPr>
        <w:t>Policy and operating context</w:t>
      </w:r>
      <w:bookmarkEnd w:id="29"/>
      <w:bookmarkEnd w:id="30"/>
    </w:p>
    <w:p w14:paraId="7AC85637" w14:textId="77777777" w:rsidR="00244F7E" w:rsidRDefault="00244F7E" w:rsidP="00D6212B">
      <w:pPr>
        <w:pStyle w:val="NoteHeading"/>
        <w:spacing w:before="720"/>
      </w:pPr>
      <w:r>
        <w:t xml:space="preserve">This section contributes to answering KEQ 1 | What is being delivered under The Way Back, </w:t>
      </w:r>
      <w:proofErr w:type="gramStart"/>
      <w:r>
        <w:t>where,</w:t>
      </w:r>
      <w:proofErr w:type="gramEnd"/>
      <w:r>
        <w:t xml:space="preserve"> how and why?</w:t>
      </w:r>
    </w:p>
    <w:p w14:paraId="72A06DCB" w14:textId="77777777" w:rsidR="00244F7E" w:rsidRDefault="00244F7E" w:rsidP="00244F7E">
      <w:pPr>
        <w:pStyle w:val="NoteHeading"/>
      </w:pPr>
      <w:r>
        <w:t>The delivery of The Way Back was influenced by the complex mental health system it sits within.  The Way Back operated at the interface of Australian and state or territory governments’ suicide prevention and mental health policy and service delivery, where there is shared responsibility for funding and delivering services. The varied ways in which state and territories delivered health and psychosocial services means that the local context of the delivery of The Way Back can vary substantially across sites.</w:t>
      </w:r>
    </w:p>
    <w:p w14:paraId="6E9D1BD3" w14:textId="0FA101A8" w:rsidR="00244F7E" w:rsidRPr="00244F7E" w:rsidRDefault="00244F7E" w:rsidP="00244F7E">
      <w:pPr>
        <w:pStyle w:val="NoteHeading"/>
      </w:pPr>
      <w:r>
        <w:t>KEQ 1 is further answered in section 4 and section 5.</w:t>
      </w:r>
    </w:p>
    <w:p w14:paraId="3B73DB6F" w14:textId="33F58FDF" w:rsidR="00AF3F50" w:rsidRDefault="77C47471" w:rsidP="00C16408">
      <w:pPr>
        <w:pStyle w:val="Heading2"/>
      </w:pPr>
      <w:r>
        <w:t>Australian</w:t>
      </w:r>
      <w:r w:rsidR="67C9EF22">
        <w:t xml:space="preserve"> </w:t>
      </w:r>
      <w:r w:rsidR="0039088B">
        <w:t>Government’s</w:t>
      </w:r>
      <w:r w:rsidR="2DBFD868">
        <w:t xml:space="preserve"> commitment to improving suicide aftercare</w:t>
      </w:r>
      <w:r>
        <w:t xml:space="preserve"> provides the </w:t>
      </w:r>
      <w:r w:rsidR="6DA2E174">
        <w:t>setting for The Way Back</w:t>
      </w:r>
      <w:r w:rsidR="34FFEB4B">
        <w:t>, albeit</w:t>
      </w:r>
      <w:r w:rsidR="58A0DCA0">
        <w:t xml:space="preserve"> </w:t>
      </w:r>
      <w:r w:rsidR="005A04DF">
        <w:t xml:space="preserve">the setting is a </w:t>
      </w:r>
      <w:r w:rsidR="58A0DCA0">
        <w:t>complex one</w:t>
      </w:r>
      <w:r w:rsidR="0EC5879F">
        <w:t>.</w:t>
      </w:r>
    </w:p>
    <w:p w14:paraId="24D8DB4A" w14:textId="03281E8B" w:rsidR="00A11C6B" w:rsidRPr="00623868" w:rsidRDefault="267AF13F" w:rsidP="00623868">
      <w:r>
        <w:t xml:space="preserve">There is a </w:t>
      </w:r>
      <w:r w:rsidR="2C699D58">
        <w:t>strong</w:t>
      </w:r>
      <w:r>
        <w:t xml:space="preserve"> policy </w:t>
      </w:r>
      <w:r w:rsidR="333305E4">
        <w:t xml:space="preserve">impetus </w:t>
      </w:r>
      <w:r>
        <w:t>for</w:t>
      </w:r>
      <w:r w:rsidR="314C2CCD">
        <w:t xml:space="preserve"> investment </w:t>
      </w:r>
      <w:r w:rsidR="35B4CC0E">
        <w:t xml:space="preserve">in </w:t>
      </w:r>
      <w:r w:rsidR="54885E69" w:rsidRPr="00004F7F">
        <w:t>suicide prevention</w:t>
      </w:r>
      <w:r w:rsidR="54885E69">
        <w:t xml:space="preserve">. </w:t>
      </w:r>
      <w:r w:rsidR="008E2254">
        <w:t xml:space="preserve">In </w:t>
      </w:r>
      <w:r w:rsidR="00E31A90">
        <w:t xml:space="preserve">January </w:t>
      </w:r>
      <w:r w:rsidR="008E2254">
        <w:t xml:space="preserve">2020, </w:t>
      </w:r>
      <w:r w:rsidR="008E2254" w:rsidRPr="00623868">
        <w:t>t</w:t>
      </w:r>
      <w:r w:rsidR="48833180" w:rsidRPr="00623868">
        <w:t xml:space="preserve">he </w:t>
      </w:r>
      <w:r w:rsidR="6D567C9D" w:rsidRPr="00623868">
        <w:t>Australian</w:t>
      </w:r>
      <w:r w:rsidR="48833180" w:rsidRPr="00623868">
        <w:t xml:space="preserve"> Government made suicide prevention and mental health a national priority, and appointed a National Suicide Prevention Adviser to rethink Australia’s approach to suicide prevention.</w:t>
      </w:r>
      <w:r w:rsidR="00CC46E4" w:rsidRPr="74B83E5E">
        <w:rPr>
          <w:rStyle w:val="FootnoteReference"/>
          <w:rFonts w:cs="Segoe UI"/>
        </w:rPr>
        <w:footnoteReference w:id="16"/>
      </w:r>
      <w:r w:rsidR="48833180" w:rsidRPr="00623868">
        <w:t xml:space="preserve"> </w:t>
      </w:r>
      <w:r w:rsidR="001E1EB4" w:rsidRPr="00623868">
        <w:t>In November 20</w:t>
      </w:r>
      <w:r w:rsidR="00A3734C" w:rsidRPr="00623868">
        <w:t xml:space="preserve">20, the Productivity Commission released its Inquiry into Mental Health Final Report (the Inquiry), which recommended ‘effective aftercare to anyone who presents to a hospital, </w:t>
      </w:r>
      <w:r w:rsidR="005E4A1F" w:rsidRPr="00623868">
        <w:t>general practitioner (</w:t>
      </w:r>
      <w:r w:rsidR="00A3734C" w:rsidRPr="00623868">
        <w:t>GP</w:t>
      </w:r>
      <w:r w:rsidR="005E4A1F" w:rsidRPr="00623868">
        <w:t>)</w:t>
      </w:r>
      <w:r w:rsidR="00A3734C" w:rsidRPr="00623868">
        <w:t xml:space="preserve"> or community mental health service following a suicide attempt’ (Action 9.1).</w:t>
      </w:r>
      <w:r w:rsidR="00A3734C" w:rsidRPr="74B83E5E">
        <w:rPr>
          <w:rStyle w:val="FootnoteReference"/>
          <w:rFonts w:cs="Segoe UI"/>
        </w:rPr>
        <w:footnoteReference w:id="17"/>
      </w:r>
      <w:r w:rsidR="00A3734C" w:rsidRPr="00623868">
        <w:t xml:space="preserve">  </w:t>
      </w:r>
      <w:r w:rsidR="48833180" w:rsidRPr="00623868">
        <w:t>This culminated in the release of the National Suicide Prevention Adviser’s Final Advice to the Prime Minister</w:t>
      </w:r>
      <w:r w:rsidR="6787F8F2" w:rsidRPr="00623868">
        <w:t xml:space="preserve"> (Final Advice)</w:t>
      </w:r>
      <w:r w:rsidR="00E31A90" w:rsidRPr="00623868">
        <w:t xml:space="preserve"> </w:t>
      </w:r>
      <w:r w:rsidR="00BF7A3D" w:rsidRPr="00623868">
        <w:t xml:space="preserve">in </w:t>
      </w:r>
      <w:r w:rsidR="00E31A90" w:rsidRPr="00623868">
        <w:t>December 2020</w:t>
      </w:r>
      <w:r w:rsidR="004D69FC" w:rsidRPr="00623868">
        <w:t xml:space="preserve"> which recommended that all governments ‘work together to progress service reform for people experiencing suicidal distress, people who have attempted suicide as well as caregivers and people impacted by suicidal behaviour ’</w:t>
      </w:r>
      <w:r w:rsidR="00F75EA0" w:rsidRPr="00623868">
        <w:t>.</w:t>
      </w:r>
      <w:r w:rsidR="00126711">
        <w:rPr>
          <w:rStyle w:val="FootnoteReference"/>
          <w:rFonts w:cs="Segoe UI"/>
        </w:rPr>
        <w:footnoteReference w:id="18"/>
      </w:r>
      <w:r w:rsidR="48833180" w:rsidRPr="00623868">
        <w:t xml:space="preserve"> </w:t>
      </w:r>
    </w:p>
    <w:p w14:paraId="67F874A4" w14:textId="00A08C3A" w:rsidR="00BA54EE" w:rsidRPr="000C3764" w:rsidRDefault="61396A4D" w:rsidP="00623868">
      <w:pPr>
        <w:rPr>
          <w:rFonts w:asciiTheme="minorHAnsi" w:hAnsiTheme="minorHAnsi"/>
        </w:rPr>
      </w:pPr>
      <w:r w:rsidRPr="00623868">
        <w:t xml:space="preserve">The </w:t>
      </w:r>
      <w:r w:rsidR="50473A09" w:rsidRPr="00623868">
        <w:t>Australian Government</w:t>
      </w:r>
      <w:r w:rsidRPr="00623868">
        <w:t xml:space="preserve"> committed to passing all recommendations from the Inquiry and the Final Advice, either in part, in full, or in principle.</w:t>
      </w:r>
      <w:r w:rsidR="006C263E">
        <w:rPr>
          <w:rStyle w:val="FootnoteReference"/>
          <w:rFonts w:cs="Segoe UI"/>
        </w:rPr>
        <w:footnoteReference w:id="19"/>
      </w:r>
      <w:r w:rsidRPr="00623868">
        <w:t xml:space="preserve"> In 2021, the </w:t>
      </w:r>
      <w:r w:rsidR="50473A09" w:rsidRPr="00623868">
        <w:t>Australian Government</w:t>
      </w:r>
      <w:r w:rsidRPr="00623868">
        <w:t xml:space="preserve"> announced </w:t>
      </w:r>
      <w:r w:rsidR="005E4A1F" w:rsidRPr="00623868">
        <w:t xml:space="preserve">a </w:t>
      </w:r>
      <w:r w:rsidR="00671CA2" w:rsidRPr="00623868">
        <w:t xml:space="preserve">$158.6 million </w:t>
      </w:r>
      <w:r w:rsidRPr="00623868">
        <w:t xml:space="preserve">funding commitment </w:t>
      </w:r>
      <w:r w:rsidR="00B65A4C" w:rsidRPr="00623868">
        <w:t xml:space="preserve">for </w:t>
      </w:r>
      <w:r w:rsidRPr="00623868">
        <w:t>universal aftercare</w:t>
      </w:r>
      <w:r w:rsidR="00B65A4C" w:rsidRPr="00623868">
        <w:t xml:space="preserve"> services for every Australian discharged from hospital following a suicide attempt</w:t>
      </w:r>
      <w:r w:rsidRPr="00623868">
        <w:t>.</w:t>
      </w:r>
      <w:r w:rsidR="00B65A4C">
        <w:rPr>
          <w:rStyle w:val="FootnoteReference"/>
          <w:rFonts w:cs="Segoe UI"/>
        </w:rPr>
        <w:footnoteReference w:id="20"/>
      </w:r>
      <w:r w:rsidRPr="00623868">
        <w:t xml:space="preserve"> As part of the National Agreement for Mental Health and Suicide Prevention, </w:t>
      </w:r>
      <w:r w:rsidR="4B3713F3" w:rsidRPr="00623868">
        <w:t xml:space="preserve">and associated bilateral agreements, </w:t>
      </w:r>
      <w:r w:rsidRPr="00623868">
        <w:t>most jurisdictions</w:t>
      </w:r>
      <w:r>
        <w:t xml:space="preserve"> </w:t>
      </w:r>
      <w:r w:rsidRPr="00845E5E">
        <w:t xml:space="preserve">have </w:t>
      </w:r>
      <w:r>
        <w:t xml:space="preserve">now </w:t>
      </w:r>
      <w:r w:rsidRPr="00845E5E">
        <w:t>committed to</w:t>
      </w:r>
      <w:r>
        <w:t xml:space="preserve"> universal aftercare</w:t>
      </w:r>
      <w:r w:rsidRPr="00845E5E">
        <w:t xml:space="preserve">, where </w:t>
      </w:r>
      <w:r w:rsidRPr="00623868">
        <w:t>every Australian discharged from hospital following a suicide attempt can receive follow-up care in the immediate months.</w:t>
      </w:r>
      <w:r w:rsidR="00BA54EE" w:rsidRPr="2375EFE3">
        <w:rPr>
          <w:rStyle w:val="FootnoteReference"/>
          <w:rFonts w:cs="Segoe UI"/>
        </w:rPr>
        <w:footnoteReference w:id="21"/>
      </w:r>
      <w:r w:rsidRPr="00623868">
        <w:t xml:space="preserve"> </w:t>
      </w:r>
      <w:r>
        <w:t xml:space="preserve">States and territories also have strategies and priorities for suicide prevention which are considered or incorporated together with bilateral agreements with the </w:t>
      </w:r>
      <w:r w:rsidR="00672FC3">
        <w:t>Australian Department of Health and Aged Care</w:t>
      </w:r>
      <w:r>
        <w:t xml:space="preserve">.  </w:t>
      </w:r>
      <w:r w:rsidRPr="74B83E5E">
        <w:rPr>
          <w:rFonts w:asciiTheme="minorHAnsi" w:hAnsiTheme="minorHAnsi"/>
        </w:rPr>
        <w:t xml:space="preserve">The </w:t>
      </w:r>
      <w:r w:rsidRPr="00623868">
        <w:t xml:space="preserve">announcement of the roll-out of universal aftercare impacted on the developmental intent of the evaluation by making it difficult to adapt the service during the evaluation period knowing that the service will not continue in the same form under universal aftercare arrangements, and the associated ambiguity. </w:t>
      </w:r>
    </w:p>
    <w:p w14:paraId="1F420995" w14:textId="0E30EE37" w:rsidR="00AF3F50" w:rsidRDefault="00BA54EE" w:rsidP="00623868">
      <w:pPr>
        <w:pStyle w:val="Bullet"/>
        <w:numPr>
          <w:ilvl w:val="0"/>
          <w:numId w:val="0"/>
        </w:numPr>
      </w:pPr>
      <w:r>
        <w:lastRenderedPageBreak/>
        <w:t>T</w:t>
      </w:r>
      <w:r w:rsidR="7ACB49AF">
        <w:t xml:space="preserve">he Way Back sits at the interface of </w:t>
      </w:r>
      <w:r w:rsidR="00672FC3">
        <w:t>Australian Government</w:t>
      </w:r>
      <w:r w:rsidR="00A41E06">
        <w:t>,</w:t>
      </w:r>
      <w:r w:rsidR="7ACB49AF">
        <w:t xml:space="preserve"> and state</w:t>
      </w:r>
      <w:r w:rsidR="00A41E06">
        <w:t xml:space="preserve"> or</w:t>
      </w:r>
      <w:r w:rsidR="000C24BE">
        <w:t xml:space="preserve"> </w:t>
      </w:r>
      <w:r w:rsidR="7ACB49AF">
        <w:t>territory mental health policy and service delivery</w:t>
      </w:r>
      <w:r w:rsidR="29EA147E">
        <w:t>, with shared r</w:t>
      </w:r>
      <w:r w:rsidR="3284751C" w:rsidRPr="009A5FCC">
        <w:t xml:space="preserve">esponsibility for funding and </w:t>
      </w:r>
      <w:r w:rsidR="0817F081">
        <w:t>deliver</w:t>
      </w:r>
      <w:r w:rsidR="0817F081" w:rsidRPr="009A5FCC">
        <w:t xml:space="preserve">ing </w:t>
      </w:r>
      <w:r w:rsidR="3284751C" w:rsidRPr="009A5FCC">
        <w:t>services.</w:t>
      </w:r>
      <w:r w:rsidR="29EA147E">
        <w:t xml:space="preserve"> Roles</w:t>
      </w:r>
      <w:r w:rsidR="3284751C" w:rsidRPr="009A5FCC">
        <w:t xml:space="preserve"> </w:t>
      </w:r>
      <w:r w:rsidR="592F5000">
        <w:t>and responsibilities</w:t>
      </w:r>
      <w:r w:rsidR="3284751C" w:rsidRPr="009A5FCC">
        <w:t xml:space="preserve"> are not always clear.</w:t>
      </w:r>
      <w:r w:rsidR="00AF3F50">
        <w:rPr>
          <w:rStyle w:val="FootnoteReference"/>
        </w:rPr>
        <w:footnoteReference w:id="22"/>
      </w:r>
      <w:r w:rsidR="3284751C" w:rsidRPr="009A5FCC">
        <w:t xml:space="preserve"> </w:t>
      </w:r>
      <w:r w:rsidR="3284751C">
        <w:t xml:space="preserve">The </w:t>
      </w:r>
      <w:r w:rsidR="00365844">
        <w:t>Australian Department of Health and Aged Care</w:t>
      </w:r>
      <w:r w:rsidR="3284751C" w:rsidRPr="00FC5215">
        <w:t xml:space="preserve"> funds consultations with specialist</w:t>
      </w:r>
      <w:r w:rsidR="3284751C">
        <w:t>s</w:t>
      </w:r>
      <w:r w:rsidR="3284751C" w:rsidRPr="00FC5215">
        <w:t xml:space="preserve">, </w:t>
      </w:r>
      <w:proofErr w:type="gramStart"/>
      <w:r w:rsidR="005E4A1F">
        <w:t>GPs</w:t>
      </w:r>
      <w:proofErr w:type="gramEnd"/>
      <w:r w:rsidR="005E4A1F">
        <w:t xml:space="preserve"> </w:t>
      </w:r>
      <w:r w:rsidR="3284751C">
        <w:t xml:space="preserve">and </w:t>
      </w:r>
      <w:r w:rsidR="3284751C" w:rsidRPr="00FC5215">
        <w:t xml:space="preserve">psychologists through the </w:t>
      </w:r>
      <w:r w:rsidR="3284751C">
        <w:t>Medicare Benefits Scheme (MBS)</w:t>
      </w:r>
      <w:r w:rsidR="3284751C" w:rsidRPr="00FC5215">
        <w:t xml:space="preserve"> and other primary mental health services through the </w:t>
      </w:r>
      <w:r w:rsidR="715A09A6">
        <w:t>Primary Health Networks (</w:t>
      </w:r>
      <w:r w:rsidR="3284751C">
        <w:t>PHN</w:t>
      </w:r>
      <w:r w:rsidR="715A09A6">
        <w:t>)</w:t>
      </w:r>
      <w:r w:rsidR="3284751C" w:rsidRPr="00FC5215">
        <w:t xml:space="preserve">. </w:t>
      </w:r>
      <w:r w:rsidR="00985784">
        <w:t>S</w:t>
      </w:r>
      <w:r w:rsidR="373CDC91">
        <w:t xml:space="preserve">tate and </w:t>
      </w:r>
      <w:r w:rsidR="00712DFC">
        <w:t>t</w:t>
      </w:r>
      <w:r w:rsidR="349704B1">
        <w:t>erritory</w:t>
      </w:r>
      <w:r w:rsidR="3284751C" w:rsidRPr="00FC5215">
        <w:t xml:space="preserve"> </w:t>
      </w:r>
      <w:r w:rsidR="00A41E06">
        <w:t>g</w:t>
      </w:r>
      <w:r w:rsidR="3284751C" w:rsidRPr="00FC5215">
        <w:t xml:space="preserve">overnments </w:t>
      </w:r>
      <w:r w:rsidR="3284751C">
        <w:t>deliver</w:t>
      </w:r>
      <w:r w:rsidR="3284751C" w:rsidRPr="00FC5215">
        <w:t xml:space="preserve"> mental health services through public hospitals, including </w:t>
      </w:r>
      <w:r w:rsidR="2F2983AA">
        <w:t>emergency departments (</w:t>
      </w:r>
      <w:r w:rsidR="3284751C">
        <w:t>E</w:t>
      </w:r>
      <w:r w:rsidR="00ED776A">
        <w:t>D</w:t>
      </w:r>
      <w:r w:rsidR="3284751C">
        <w:t>s</w:t>
      </w:r>
      <w:r w:rsidR="2F2983AA">
        <w:t>)</w:t>
      </w:r>
      <w:r w:rsidR="3284751C">
        <w:t xml:space="preserve"> and </w:t>
      </w:r>
      <w:r w:rsidR="3284751C" w:rsidRPr="00FC5215">
        <w:t>residential and community mental health services</w:t>
      </w:r>
      <w:r w:rsidR="3284751C">
        <w:t xml:space="preserve">. </w:t>
      </w:r>
      <w:r w:rsidR="00555996">
        <w:t>N</w:t>
      </w:r>
      <w:r w:rsidR="00E2388C">
        <w:t>on-</w:t>
      </w:r>
      <w:r w:rsidR="00555996">
        <w:t>G</w:t>
      </w:r>
      <w:r w:rsidR="00E2388C">
        <w:t>overnment</w:t>
      </w:r>
      <w:r w:rsidR="00555996">
        <w:t>al</w:t>
      </w:r>
      <w:r w:rsidR="00E2388C">
        <w:t xml:space="preserve"> </w:t>
      </w:r>
      <w:r w:rsidR="00555996">
        <w:t>O</w:t>
      </w:r>
      <w:r w:rsidR="00E2388C">
        <w:t xml:space="preserve">rganisations (NGOs) </w:t>
      </w:r>
      <w:r w:rsidR="005C697B">
        <w:t xml:space="preserve">are also funded to </w:t>
      </w:r>
      <w:r w:rsidR="00E2388C">
        <w:t xml:space="preserve">deliver psychological </w:t>
      </w:r>
      <w:r w:rsidR="00B90B81">
        <w:t xml:space="preserve">support </w:t>
      </w:r>
      <w:r w:rsidR="005C697B">
        <w:t>services</w:t>
      </w:r>
      <w:r w:rsidR="00587F79">
        <w:t xml:space="preserve">, funded by both </w:t>
      </w:r>
      <w:r w:rsidR="00712DFC">
        <w:t>states</w:t>
      </w:r>
      <w:r w:rsidR="00587F79">
        <w:t xml:space="preserve"> and </w:t>
      </w:r>
      <w:r w:rsidR="00712DFC">
        <w:t>territory</w:t>
      </w:r>
      <w:r w:rsidR="00257313">
        <w:t xml:space="preserve"> </w:t>
      </w:r>
      <w:r w:rsidR="00A41E06">
        <w:t>g</w:t>
      </w:r>
      <w:r w:rsidR="00257313">
        <w:t>overnment</w:t>
      </w:r>
      <w:r w:rsidR="00587F79">
        <w:t xml:space="preserve">s and the </w:t>
      </w:r>
      <w:r w:rsidR="00365844">
        <w:t>Australian Department of Health and Aged Care</w:t>
      </w:r>
      <w:r w:rsidR="00672FC3">
        <w:t xml:space="preserve"> </w:t>
      </w:r>
      <w:r w:rsidR="00587F79">
        <w:t>via PHNs</w:t>
      </w:r>
      <w:r w:rsidR="3284751C" w:rsidDel="00E2388C">
        <w:t>.</w:t>
      </w:r>
      <w:r w:rsidR="3284751C">
        <w:t xml:space="preserve"> </w:t>
      </w:r>
      <w:r w:rsidR="3284751C" w:rsidRPr="00FC5215">
        <w:t>Mental health care is also provided in private hospitals.</w:t>
      </w:r>
      <w:r w:rsidR="3284751C">
        <w:t xml:space="preserve"> </w:t>
      </w:r>
      <w:r w:rsidR="418A567C">
        <w:t>Both the</w:t>
      </w:r>
      <w:r w:rsidR="418A567C" w:rsidDel="0026289F">
        <w:t xml:space="preserve"> </w:t>
      </w:r>
      <w:r w:rsidR="00365844">
        <w:t>Australian Department of Health and Aged Care</w:t>
      </w:r>
      <w:r w:rsidR="652B56AE">
        <w:t>,</w:t>
      </w:r>
      <w:r w:rsidR="418A567C">
        <w:t xml:space="preserve"> and </w:t>
      </w:r>
      <w:r w:rsidR="00712DFC">
        <w:t>s</w:t>
      </w:r>
      <w:r w:rsidR="418A567C">
        <w:t xml:space="preserve">tate and </w:t>
      </w:r>
      <w:r w:rsidR="00712DFC">
        <w:t>t</w:t>
      </w:r>
      <w:r w:rsidR="418A567C">
        <w:t>erritor</w:t>
      </w:r>
      <w:r w:rsidR="033DFA4F">
        <w:t>y</w:t>
      </w:r>
      <w:r w:rsidR="652B56AE">
        <w:t xml:space="preserve"> </w:t>
      </w:r>
      <w:r w:rsidR="00A41E06">
        <w:t>g</w:t>
      </w:r>
      <w:r w:rsidR="652B56AE">
        <w:t>overnments</w:t>
      </w:r>
      <w:r w:rsidR="033DFA4F">
        <w:t xml:space="preserve"> assume </w:t>
      </w:r>
      <w:r w:rsidR="418A567C">
        <w:t xml:space="preserve">responsibilities </w:t>
      </w:r>
      <w:r w:rsidR="6346E298">
        <w:t>in</w:t>
      </w:r>
      <w:r w:rsidR="418A567C">
        <w:t xml:space="preserve"> suicide prevention and aftercare.</w:t>
      </w:r>
      <w:r w:rsidR="3284751C">
        <w:t xml:space="preserve"> The Way Back’s governance arrangements and funding streams reflect this complexity (see </w:t>
      </w:r>
      <w:r w:rsidR="6EAEDEF4">
        <w:t>Section</w:t>
      </w:r>
      <w:r w:rsidR="00B1443D">
        <w:t xml:space="preserve"> </w:t>
      </w:r>
      <w:r w:rsidR="007C65AD">
        <w:fldChar w:fldCharType="begin"/>
      </w:r>
      <w:r w:rsidR="007C65AD">
        <w:instrText xml:space="preserve"> REF _Ref118127577 \n \h </w:instrText>
      </w:r>
      <w:r w:rsidR="007C65AD">
        <w:fldChar w:fldCharType="separate"/>
      </w:r>
      <w:r w:rsidR="00402362">
        <w:t>9.3</w:t>
      </w:r>
      <w:r w:rsidR="007C65AD">
        <w:fldChar w:fldCharType="end"/>
      </w:r>
      <w:r w:rsidR="3284751C" w:rsidRPr="008C149F">
        <w:t>).</w:t>
      </w:r>
      <w:r w:rsidR="3284751C">
        <w:t xml:space="preserve"> </w:t>
      </w:r>
    </w:p>
    <w:p w14:paraId="43765466" w14:textId="6A892475" w:rsidR="00AF3F50" w:rsidRPr="00D6212B" w:rsidRDefault="00AF3F50" w:rsidP="00D6212B">
      <w:pPr>
        <w:pStyle w:val="Heading2"/>
      </w:pPr>
      <w:r>
        <w:t>Differences in health and community service</w:t>
      </w:r>
      <w:r w:rsidR="00D77AEB">
        <w:t xml:space="preserve"> delivery</w:t>
      </w:r>
      <w:r>
        <w:t xml:space="preserve"> nationally </w:t>
      </w:r>
      <w:r w:rsidR="00F93CF0">
        <w:t>affect</w:t>
      </w:r>
      <w:r>
        <w:t xml:space="preserve"> how The Way Back operates</w:t>
      </w:r>
      <w:r w:rsidR="00BF6DB7">
        <w:t xml:space="preserve"> in different sites</w:t>
      </w:r>
      <w:r>
        <w:t>.</w:t>
      </w:r>
    </w:p>
    <w:p w14:paraId="2D909A88" w14:textId="7CBE855F" w:rsidR="00AF3F50" w:rsidRPr="0038280C" w:rsidRDefault="3284751C" w:rsidP="5F0B1C35">
      <w:pPr>
        <w:pStyle w:val="Bullet"/>
        <w:numPr>
          <w:ilvl w:val="0"/>
          <w:numId w:val="0"/>
        </w:numPr>
        <w:rPr>
          <w:rFonts w:asciiTheme="minorHAnsi" w:hAnsiTheme="minorHAnsi" w:cstheme="minorBidi"/>
        </w:rPr>
      </w:pPr>
      <w:r w:rsidRPr="5F0B1C35">
        <w:rPr>
          <w:rFonts w:asciiTheme="minorHAnsi" w:hAnsiTheme="minorHAnsi" w:cstheme="minorBidi"/>
        </w:rPr>
        <w:t xml:space="preserve">Each jurisdiction has control over how acute, community health, mental health and </w:t>
      </w:r>
      <w:r w:rsidR="00D76172">
        <w:rPr>
          <w:rFonts w:asciiTheme="minorHAnsi" w:hAnsiTheme="minorHAnsi" w:cstheme="minorBidi"/>
        </w:rPr>
        <w:t>psychosocial</w:t>
      </w:r>
      <w:r w:rsidRPr="5F0B1C35">
        <w:rPr>
          <w:rFonts w:asciiTheme="minorHAnsi" w:hAnsiTheme="minorHAnsi" w:cstheme="minorBidi"/>
        </w:rPr>
        <w:t xml:space="preserve"> services are governed and delivered</w:t>
      </w:r>
      <w:r w:rsidR="2D08D4E1" w:rsidRPr="5F0B1C35">
        <w:rPr>
          <w:rFonts w:asciiTheme="minorHAnsi" w:hAnsiTheme="minorHAnsi" w:cstheme="minorBidi"/>
        </w:rPr>
        <w:t>, with consequent variations</w:t>
      </w:r>
      <w:r w:rsidR="2AFDC301" w:rsidRPr="5F0B1C35">
        <w:rPr>
          <w:rFonts w:asciiTheme="minorHAnsi" w:hAnsiTheme="minorHAnsi" w:cstheme="minorBidi"/>
        </w:rPr>
        <w:t xml:space="preserve"> in</w:t>
      </w:r>
      <w:r w:rsidR="060EC701" w:rsidRPr="5F0B1C35">
        <w:rPr>
          <w:rFonts w:asciiTheme="minorHAnsi" w:hAnsiTheme="minorHAnsi" w:cstheme="minorBidi"/>
        </w:rPr>
        <w:t xml:space="preserve"> what is made available to </w:t>
      </w:r>
      <w:r w:rsidR="0E818120" w:rsidRPr="5F0B1C35">
        <w:rPr>
          <w:rFonts w:asciiTheme="minorHAnsi" w:hAnsiTheme="minorHAnsi" w:cstheme="minorBidi"/>
        </w:rPr>
        <w:t>people who need support</w:t>
      </w:r>
      <w:r w:rsidRPr="5F0B1C35">
        <w:rPr>
          <w:rFonts w:asciiTheme="minorHAnsi" w:hAnsiTheme="minorHAnsi" w:cstheme="minorBidi"/>
        </w:rPr>
        <w:t xml:space="preserve">. The Way Back </w:t>
      </w:r>
      <w:r w:rsidR="4E7F7736" w:rsidRPr="5F0B1C35">
        <w:rPr>
          <w:rFonts w:asciiTheme="minorHAnsi" w:hAnsiTheme="minorHAnsi" w:cstheme="minorBidi"/>
        </w:rPr>
        <w:t xml:space="preserve">sites must </w:t>
      </w:r>
      <w:r w:rsidR="2E14D6B4" w:rsidRPr="5F0B1C35">
        <w:rPr>
          <w:rFonts w:asciiTheme="minorHAnsi" w:hAnsiTheme="minorHAnsi" w:cstheme="minorBidi"/>
        </w:rPr>
        <w:t>respond</w:t>
      </w:r>
      <w:r w:rsidR="3A58BE85" w:rsidRPr="5F0B1C35">
        <w:rPr>
          <w:rFonts w:asciiTheme="minorHAnsi" w:hAnsiTheme="minorHAnsi" w:cstheme="minorBidi"/>
        </w:rPr>
        <w:t xml:space="preserve"> </w:t>
      </w:r>
      <w:r w:rsidR="4E7F7736" w:rsidRPr="5F0B1C35">
        <w:rPr>
          <w:rFonts w:asciiTheme="minorHAnsi" w:hAnsiTheme="minorHAnsi" w:cstheme="minorBidi"/>
        </w:rPr>
        <w:t>to variations in service availability and community context</w:t>
      </w:r>
      <w:r w:rsidRPr="5F0B1C35">
        <w:rPr>
          <w:rFonts w:asciiTheme="minorHAnsi" w:hAnsiTheme="minorHAnsi" w:cstheme="minorBidi"/>
        </w:rPr>
        <w:t xml:space="preserve">, resulting in differences in </w:t>
      </w:r>
      <w:r w:rsidR="4E7F7736" w:rsidRPr="5F0B1C35">
        <w:rPr>
          <w:rFonts w:asciiTheme="minorHAnsi" w:hAnsiTheme="minorHAnsi" w:cstheme="minorBidi"/>
        </w:rPr>
        <w:t xml:space="preserve">service model </w:t>
      </w:r>
      <w:r w:rsidRPr="5F0B1C35">
        <w:rPr>
          <w:rFonts w:asciiTheme="minorHAnsi" w:hAnsiTheme="minorHAnsi" w:cstheme="minorBidi"/>
        </w:rPr>
        <w:t xml:space="preserve">design (which the service model allows for). </w:t>
      </w:r>
      <w:r w:rsidR="7308215E" w:rsidRPr="5F0B1C35">
        <w:rPr>
          <w:rFonts w:asciiTheme="minorHAnsi" w:hAnsiTheme="minorHAnsi" w:cstheme="minorBidi"/>
        </w:rPr>
        <w:t>Disparity</w:t>
      </w:r>
      <w:r w:rsidR="28829BF4" w:rsidRPr="5F0B1C35">
        <w:rPr>
          <w:rFonts w:asciiTheme="minorHAnsi" w:hAnsiTheme="minorHAnsi" w:cstheme="minorBidi"/>
        </w:rPr>
        <w:t xml:space="preserve"> in </w:t>
      </w:r>
      <w:r w:rsidR="4C976C3B" w:rsidRPr="5F0B1C35">
        <w:rPr>
          <w:rFonts w:asciiTheme="minorHAnsi" w:hAnsiTheme="minorHAnsi" w:cstheme="minorBidi"/>
        </w:rPr>
        <w:t>health provision</w:t>
      </w:r>
      <w:r w:rsidR="49E5DE6D" w:rsidRPr="5F0B1C35">
        <w:rPr>
          <w:rFonts w:asciiTheme="minorHAnsi" w:hAnsiTheme="minorHAnsi" w:cstheme="minorBidi"/>
        </w:rPr>
        <w:t xml:space="preserve">, </w:t>
      </w:r>
      <w:r w:rsidR="001A180B">
        <w:rPr>
          <w:rFonts w:asciiTheme="minorHAnsi" w:hAnsiTheme="minorHAnsi" w:cstheme="minorBidi"/>
        </w:rPr>
        <w:t>capacity</w:t>
      </w:r>
      <w:r w:rsidR="00C803DA">
        <w:rPr>
          <w:rFonts w:asciiTheme="minorHAnsi" w:hAnsiTheme="minorHAnsi" w:cstheme="minorBidi"/>
        </w:rPr>
        <w:t xml:space="preserve"> of services</w:t>
      </w:r>
      <w:r w:rsidR="001A180B">
        <w:rPr>
          <w:rFonts w:asciiTheme="minorHAnsi" w:hAnsiTheme="minorHAnsi" w:cstheme="minorBidi"/>
        </w:rPr>
        <w:t xml:space="preserve">, </w:t>
      </w:r>
      <w:r w:rsidR="00E73047">
        <w:rPr>
          <w:rFonts w:asciiTheme="minorHAnsi" w:hAnsiTheme="minorHAnsi" w:cstheme="minorBidi"/>
        </w:rPr>
        <w:t>referral pathways</w:t>
      </w:r>
      <w:r w:rsidR="49E5DE6D" w:rsidRPr="5F0B1C35">
        <w:rPr>
          <w:rFonts w:asciiTheme="minorHAnsi" w:hAnsiTheme="minorHAnsi" w:cstheme="minorBidi"/>
        </w:rPr>
        <w:t xml:space="preserve">, and the ways in which these variations have affected The Way Back’s </w:t>
      </w:r>
      <w:r w:rsidR="22B66C78" w:rsidRPr="5F0B1C35">
        <w:rPr>
          <w:rFonts w:asciiTheme="minorHAnsi" w:hAnsiTheme="minorHAnsi" w:cstheme="minorBidi"/>
        </w:rPr>
        <w:t xml:space="preserve">site </w:t>
      </w:r>
      <w:r w:rsidR="24CE0EF5" w:rsidRPr="5F0B1C35">
        <w:rPr>
          <w:rFonts w:asciiTheme="minorHAnsi" w:hAnsiTheme="minorHAnsi" w:cstheme="minorBidi"/>
        </w:rPr>
        <w:t>design and</w:t>
      </w:r>
      <w:r w:rsidR="207FC109" w:rsidRPr="5F0B1C35">
        <w:rPr>
          <w:rFonts w:asciiTheme="minorHAnsi" w:hAnsiTheme="minorHAnsi" w:cstheme="minorBidi"/>
        </w:rPr>
        <w:t xml:space="preserve"> operations include</w:t>
      </w:r>
      <w:r w:rsidRPr="5F0B1C35">
        <w:rPr>
          <w:rFonts w:asciiTheme="minorHAnsi" w:hAnsiTheme="minorHAnsi" w:cstheme="minorBidi"/>
        </w:rPr>
        <w:t>:</w:t>
      </w:r>
      <w:r w:rsidR="7C1C4B9E" w:rsidRPr="5F0B1C35">
        <w:rPr>
          <w:rFonts w:asciiTheme="minorHAnsi" w:hAnsiTheme="minorHAnsi" w:cstheme="minorBidi"/>
        </w:rPr>
        <w:t xml:space="preserve"> </w:t>
      </w:r>
    </w:p>
    <w:p w14:paraId="1F852634" w14:textId="475CD9C3" w:rsidR="00AF3F50" w:rsidRDefault="00740F24" w:rsidP="00AF3F50">
      <w:pPr>
        <w:pStyle w:val="Bullet"/>
      </w:pPr>
      <w:r>
        <w:rPr>
          <w:rFonts w:asciiTheme="majorHAnsi" w:hAnsiTheme="majorHAnsi" w:cstheme="majorBidi"/>
        </w:rPr>
        <w:t>P</w:t>
      </w:r>
      <w:r w:rsidR="00AF3F50" w:rsidRPr="26F149EF">
        <w:rPr>
          <w:rFonts w:asciiTheme="majorHAnsi" w:hAnsiTheme="majorHAnsi" w:cstheme="majorBidi"/>
        </w:rPr>
        <w:t xml:space="preserve">resence of other aftercare </w:t>
      </w:r>
      <w:r w:rsidR="00047FE3">
        <w:rPr>
          <w:rFonts w:asciiTheme="majorHAnsi" w:hAnsiTheme="majorHAnsi" w:cstheme="majorBidi"/>
        </w:rPr>
        <w:t xml:space="preserve">and suicide prevention </w:t>
      </w:r>
      <w:r w:rsidR="00AF3F50" w:rsidRPr="26F149EF">
        <w:rPr>
          <w:rFonts w:asciiTheme="majorHAnsi" w:hAnsiTheme="majorHAnsi" w:cstheme="majorBidi"/>
        </w:rPr>
        <w:t>services.</w:t>
      </w:r>
      <w:r w:rsidR="00AF3F50">
        <w:t xml:space="preserve"> </w:t>
      </w:r>
      <w:r w:rsidR="00F164F0">
        <w:t xml:space="preserve">This enables consumers to choose which service best meets their needs, though this can impact </w:t>
      </w:r>
      <w:r w:rsidR="00AF3F50">
        <w:t>The Way Back</w:t>
      </w:r>
      <w:r w:rsidR="00A93ABB">
        <w:t>’s</w:t>
      </w:r>
      <w:r w:rsidR="00AF3F50">
        <w:t xml:space="preserve"> referral numbers</w:t>
      </w:r>
      <w:r w:rsidR="00F164F0">
        <w:t>.</w:t>
      </w:r>
      <w:r w:rsidR="00A26C0F">
        <w:t xml:space="preserve"> </w:t>
      </w:r>
      <w:r w:rsidR="001A180B">
        <w:t>For example</w:t>
      </w:r>
      <w:r w:rsidR="002C353D">
        <w:t xml:space="preserve">, </w:t>
      </w:r>
      <w:r w:rsidR="001B6788">
        <w:t>South Australia is also delivering an</w:t>
      </w:r>
      <w:r w:rsidR="000F3DAB">
        <w:t xml:space="preserve"> </w:t>
      </w:r>
      <w:r w:rsidR="00031968">
        <w:t xml:space="preserve">Aboriginal-led </w:t>
      </w:r>
      <w:r w:rsidR="000F3DAB">
        <w:t>aftercare service delivered by Country SA PHN</w:t>
      </w:r>
      <w:r w:rsidR="00031968">
        <w:t>.</w:t>
      </w:r>
      <w:r w:rsidR="00031968">
        <w:rPr>
          <w:rStyle w:val="FootnoteReference"/>
        </w:rPr>
        <w:footnoteReference w:id="23"/>
      </w:r>
    </w:p>
    <w:p w14:paraId="521767B7" w14:textId="35287863" w:rsidR="00AF3F50" w:rsidRDefault="51AAA210" w:rsidP="00AF3F50">
      <w:pPr>
        <w:pStyle w:val="Bullet"/>
      </w:pPr>
      <w:r w:rsidRPr="74B83E5E">
        <w:rPr>
          <w:rFonts w:asciiTheme="majorHAnsi" w:hAnsiTheme="majorHAnsi" w:cstheme="majorBidi"/>
        </w:rPr>
        <w:t>E</w:t>
      </w:r>
      <w:r w:rsidR="505CFA17" w:rsidRPr="74B83E5E">
        <w:rPr>
          <w:rFonts w:asciiTheme="majorHAnsi" w:hAnsiTheme="majorHAnsi" w:cstheme="majorBidi"/>
        </w:rPr>
        <w:t>ffectiveness and capacity of surrounding service systems.</w:t>
      </w:r>
      <w:r w:rsidR="505CFA17">
        <w:t xml:space="preserve"> </w:t>
      </w:r>
      <w:r w:rsidR="7A04E274">
        <w:t>The Way Back relies on</w:t>
      </w:r>
      <w:r w:rsidR="1B4F28EB">
        <w:t xml:space="preserve"> </w:t>
      </w:r>
      <w:r w:rsidR="505CFA17">
        <w:t>acute health services</w:t>
      </w:r>
      <w:r w:rsidR="1AC5570E">
        <w:t xml:space="preserve"> </w:t>
      </w:r>
      <w:r w:rsidR="009F4214">
        <w:t xml:space="preserve">being </w:t>
      </w:r>
      <w:r w:rsidR="58B9F238">
        <w:t xml:space="preserve">available and </w:t>
      </w:r>
      <w:r w:rsidR="009F4214">
        <w:t>referring</w:t>
      </w:r>
      <w:r w:rsidR="1AC5570E">
        <w:t xml:space="preserve"> </w:t>
      </w:r>
      <w:r w:rsidR="2F0D42CF">
        <w:t xml:space="preserve">participants </w:t>
      </w:r>
      <w:r w:rsidR="1AC5570E">
        <w:t xml:space="preserve">o </w:t>
      </w:r>
      <w:r w:rsidR="009F4214">
        <w:t>T</w:t>
      </w:r>
      <w:r w:rsidR="1AC5570E">
        <w:t xml:space="preserve">he </w:t>
      </w:r>
      <w:r w:rsidR="009F4214">
        <w:t>Way Back</w:t>
      </w:r>
      <w:r w:rsidR="009C4E62">
        <w:t>. It also relies on</w:t>
      </w:r>
      <w:r w:rsidR="72E0C785">
        <w:t xml:space="preserve"> </w:t>
      </w:r>
      <w:r w:rsidR="009C4E62">
        <w:t xml:space="preserve">the ability to </w:t>
      </w:r>
      <w:r w:rsidR="009546FC">
        <w:t xml:space="preserve">provide outbound referrals to </w:t>
      </w:r>
      <w:r w:rsidR="51A8A779">
        <w:t>relevant</w:t>
      </w:r>
      <w:r w:rsidR="009546FC">
        <w:t xml:space="preserve"> and access</w:t>
      </w:r>
      <w:r w:rsidR="00C802A6">
        <w:t>i</w:t>
      </w:r>
      <w:r w:rsidR="009546FC">
        <w:t>ble</w:t>
      </w:r>
      <w:r w:rsidR="54A24F77">
        <w:t xml:space="preserve"> </w:t>
      </w:r>
      <w:r w:rsidR="505CFA17">
        <w:t>clinical and psychosocial services</w:t>
      </w:r>
      <w:r w:rsidR="11E27AE5">
        <w:t xml:space="preserve">. </w:t>
      </w:r>
    </w:p>
    <w:p w14:paraId="66F2B49D" w14:textId="673902E1" w:rsidR="00AF3F50" w:rsidRDefault="00740F24" w:rsidP="00AF3F50">
      <w:pPr>
        <w:pStyle w:val="Bullet"/>
      </w:pPr>
      <w:r>
        <w:rPr>
          <w:rFonts w:asciiTheme="majorHAnsi" w:hAnsiTheme="majorHAnsi" w:cstheme="majorBidi"/>
        </w:rPr>
        <w:t>E</w:t>
      </w:r>
      <w:r w:rsidR="00AF3F50" w:rsidRPr="26F149EF">
        <w:rPr>
          <w:rFonts w:asciiTheme="majorHAnsi" w:hAnsiTheme="majorHAnsi" w:cstheme="majorBidi"/>
        </w:rPr>
        <w:t xml:space="preserve">xisting level of integration </w:t>
      </w:r>
      <w:r w:rsidR="008C46A2">
        <w:rPr>
          <w:rFonts w:asciiTheme="majorHAnsi" w:hAnsiTheme="majorHAnsi" w:cstheme="majorBidi"/>
        </w:rPr>
        <w:t>at sites</w:t>
      </w:r>
      <w:r w:rsidR="00AF3F50" w:rsidRPr="26F149EF">
        <w:rPr>
          <w:rFonts w:asciiTheme="majorHAnsi" w:hAnsiTheme="majorHAnsi" w:cstheme="majorBidi"/>
        </w:rPr>
        <w:t>.</w:t>
      </w:r>
      <w:r w:rsidR="00AF3F50">
        <w:t xml:space="preserve"> The Way Back’s ability to coordinate with acute health and/or </w:t>
      </w:r>
      <w:r w:rsidR="004A79C5">
        <w:t>psychosocial</w:t>
      </w:r>
      <w:r w:rsidR="00AF3F50">
        <w:t xml:space="preserve"> services is more effective when a site already has some form of integration</w:t>
      </w:r>
      <w:r w:rsidR="00A80586">
        <w:t xml:space="preserve"> </w:t>
      </w:r>
      <w:r w:rsidR="00B34815">
        <w:t>(</w:t>
      </w:r>
      <w:r w:rsidR="00D76172">
        <w:t>for example,</w:t>
      </w:r>
      <w:r w:rsidR="00B34815">
        <w:t xml:space="preserve"> formalised referral pathway agreements, </w:t>
      </w:r>
      <w:r w:rsidR="00A67CB4">
        <w:t>strong relationships and partnerships</w:t>
      </w:r>
      <w:r w:rsidR="00A80586">
        <w:t xml:space="preserve"> b</w:t>
      </w:r>
      <w:r w:rsidR="00190C67">
        <w:t xml:space="preserve">etween </w:t>
      </w:r>
      <w:r w:rsidR="00A67CB4">
        <w:t>sites</w:t>
      </w:r>
      <w:r w:rsidR="00190C67">
        <w:t xml:space="preserve"> and </w:t>
      </w:r>
      <w:r w:rsidR="00F164F0">
        <w:t>referring services</w:t>
      </w:r>
      <w:r w:rsidR="00A67CB4">
        <w:t>)</w:t>
      </w:r>
      <w:r w:rsidR="00E2164C">
        <w:t>.</w:t>
      </w:r>
    </w:p>
    <w:p w14:paraId="7C2DD540" w14:textId="0A898AF4" w:rsidR="0002267A" w:rsidRPr="005D1BCE" w:rsidRDefault="15D78494" w:rsidP="0002267A">
      <w:pPr>
        <w:pStyle w:val="Bullet"/>
      </w:pPr>
      <w:r w:rsidRPr="74B83E5E">
        <w:rPr>
          <w:rFonts w:asciiTheme="majorHAnsi" w:hAnsiTheme="majorHAnsi" w:cstheme="majorBidi"/>
        </w:rPr>
        <w:t>D</w:t>
      </w:r>
      <w:r w:rsidR="54885E69" w:rsidRPr="74B83E5E">
        <w:rPr>
          <w:rFonts w:asciiTheme="majorHAnsi" w:hAnsiTheme="majorHAnsi" w:cstheme="majorBidi"/>
        </w:rPr>
        <w:t>isparities between metropolitan and regional</w:t>
      </w:r>
      <w:r w:rsidR="0C6CD837" w:rsidRPr="74B83E5E">
        <w:rPr>
          <w:rFonts w:asciiTheme="majorHAnsi" w:hAnsiTheme="majorHAnsi" w:cstheme="majorBidi"/>
        </w:rPr>
        <w:t xml:space="preserve">, </w:t>
      </w:r>
      <w:r w:rsidR="6B26D5B0" w:rsidRPr="74B83E5E">
        <w:rPr>
          <w:rFonts w:asciiTheme="majorHAnsi" w:hAnsiTheme="majorHAnsi" w:cstheme="majorBidi"/>
        </w:rPr>
        <w:t xml:space="preserve">and </w:t>
      </w:r>
      <w:r w:rsidR="075EE63C" w:rsidRPr="74B83E5E">
        <w:rPr>
          <w:rFonts w:asciiTheme="majorHAnsi" w:hAnsiTheme="majorHAnsi" w:cstheme="majorBidi"/>
        </w:rPr>
        <w:t xml:space="preserve">remote </w:t>
      </w:r>
      <w:r w:rsidR="54885E69" w:rsidRPr="74B83E5E">
        <w:rPr>
          <w:rFonts w:asciiTheme="majorHAnsi" w:hAnsiTheme="majorHAnsi" w:cstheme="majorBidi"/>
        </w:rPr>
        <w:t>areas</w:t>
      </w:r>
      <w:r w:rsidR="54885E69">
        <w:t xml:space="preserve">. </w:t>
      </w:r>
      <w:r w:rsidR="686A4DD4">
        <w:t xml:space="preserve">People have </w:t>
      </w:r>
      <w:r w:rsidR="27F4B615">
        <w:t xml:space="preserve">less </w:t>
      </w:r>
      <w:r w:rsidR="686A4DD4">
        <w:t>access to</w:t>
      </w:r>
      <w:r w:rsidR="54885E69">
        <w:t xml:space="preserve"> health, </w:t>
      </w:r>
      <w:hyperlink r:id="rId31">
        <w:r w:rsidR="54885E69" w:rsidRPr="74B83E5E">
          <w:rPr>
            <w:rStyle w:val="Hyperlink"/>
            <w:color w:val="auto"/>
            <w:u w:val="none"/>
          </w:rPr>
          <w:t>mental</w:t>
        </w:r>
      </w:hyperlink>
      <w:r w:rsidR="54885E69">
        <w:t xml:space="preserve"> health and </w:t>
      </w:r>
      <w:r w:rsidR="58C2CF9E">
        <w:t>psychosocial</w:t>
      </w:r>
      <w:r w:rsidR="54885E69">
        <w:t xml:space="preserve"> services in </w:t>
      </w:r>
      <w:r w:rsidR="27F4B615">
        <w:t>regional and remote areas. This</w:t>
      </w:r>
      <w:r w:rsidR="0E89A074">
        <w:t xml:space="preserve"> affects </w:t>
      </w:r>
      <w:r w:rsidR="19B08C4E">
        <w:t>the</w:t>
      </w:r>
      <w:r w:rsidR="54885E69">
        <w:t xml:space="preserve"> ability of The Way Back to refer </w:t>
      </w:r>
      <w:r w:rsidR="0C6CD837">
        <w:t xml:space="preserve">regional, </w:t>
      </w:r>
      <w:proofErr w:type="gramStart"/>
      <w:r w:rsidR="0C6CD837">
        <w:t>rural</w:t>
      </w:r>
      <w:proofErr w:type="gramEnd"/>
      <w:r w:rsidR="0C6CD837">
        <w:t xml:space="preserve"> and remote </w:t>
      </w:r>
      <w:r w:rsidR="06A7F48B">
        <w:t>participants</w:t>
      </w:r>
      <w:r w:rsidR="54885E69">
        <w:t xml:space="preserve"> to services to meet their needs and/or </w:t>
      </w:r>
      <w:r w:rsidR="2464A0E2">
        <w:t xml:space="preserve">have </w:t>
      </w:r>
      <w:r w:rsidR="00C802A6">
        <w:t>short</w:t>
      </w:r>
      <w:r w:rsidR="007733E5">
        <w:t xml:space="preserve"> </w:t>
      </w:r>
      <w:r w:rsidR="54885E69">
        <w:t>wait times.</w:t>
      </w:r>
      <w:r w:rsidR="3450A8FA">
        <w:t xml:space="preserve"> </w:t>
      </w:r>
      <w:r w:rsidR="7924098E">
        <w:t>P</w:t>
      </w:r>
      <w:r w:rsidR="7751747E">
        <w:t xml:space="preserve">eople </w:t>
      </w:r>
      <w:r w:rsidR="195F483A">
        <w:t xml:space="preserve">from </w:t>
      </w:r>
      <w:r w:rsidR="007733E5">
        <w:t xml:space="preserve">regional and remote </w:t>
      </w:r>
      <w:r w:rsidR="195F483A">
        <w:t>communities</w:t>
      </w:r>
      <w:r w:rsidR="54885E69">
        <w:t xml:space="preserve"> engage with aftercare </w:t>
      </w:r>
      <w:r w:rsidR="195F483A">
        <w:t>in different ways</w:t>
      </w:r>
      <w:r w:rsidR="2F2DA5DD">
        <w:t>, which</w:t>
      </w:r>
      <w:r w:rsidR="101E41DC">
        <w:t xml:space="preserve"> affect</w:t>
      </w:r>
      <w:r w:rsidR="12CD7ADF">
        <w:t>s</w:t>
      </w:r>
      <w:r w:rsidR="101E41DC">
        <w:t xml:space="preserve"> </w:t>
      </w:r>
      <w:r w:rsidR="00C1BB4D">
        <w:t xml:space="preserve">what adaptations are made in </w:t>
      </w:r>
      <w:r w:rsidR="2BE2E4FB">
        <w:t xml:space="preserve">The Way Back </w:t>
      </w:r>
      <w:r w:rsidR="19437191">
        <w:t xml:space="preserve">sites </w:t>
      </w:r>
      <w:r w:rsidR="00C1BB4D">
        <w:t xml:space="preserve">to meet local community </w:t>
      </w:r>
      <w:r w:rsidR="19437191">
        <w:t>needs</w:t>
      </w:r>
      <w:r w:rsidR="37407E92">
        <w:t>.</w:t>
      </w:r>
      <w:r w:rsidR="54885E69">
        <w:t xml:space="preserve"> </w:t>
      </w:r>
    </w:p>
    <w:p w14:paraId="7B96BA73" w14:textId="6469FC1F" w:rsidR="00A7417E" w:rsidRDefault="5FB9E519" w:rsidP="005D1BCE">
      <w:pPr>
        <w:pStyle w:val="Bullet"/>
      </w:pPr>
      <w:r w:rsidRPr="005D1BCE">
        <w:rPr>
          <w:rFonts w:asciiTheme="majorHAnsi" w:hAnsiTheme="majorHAnsi" w:cstheme="majorHAnsi"/>
        </w:rPr>
        <w:t xml:space="preserve">The </w:t>
      </w:r>
      <w:r w:rsidR="006C4B50">
        <w:rPr>
          <w:rFonts w:asciiTheme="majorHAnsi" w:hAnsiTheme="majorHAnsi" w:cstheme="majorHAnsi"/>
        </w:rPr>
        <w:t>social determinants</w:t>
      </w:r>
      <w:r w:rsidRPr="005D1BCE">
        <w:rPr>
          <w:rFonts w:asciiTheme="majorHAnsi" w:hAnsiTheme="majorHAnsi" w:cstheme="majorHAnsi"/>
        </w:rPr>
        <w:t xml:space="preserve"> </w:t>
      </w:r>
      <w:r w:rsidR="0C97E3C5" w:rsidRPr="005D1BCE">
        <w:rPr>
          <w:rFonts w:asciiTheme="majorHAnsi" w:hAnsiTheme="majorHAnsi" w:cstheme="majorHAnsi"/>
        </w:rPr>
        <w:t xml:space="preserve">affect </w:t>
      </w:r>
      <w:r w:rsidRPr="005D1BCE">
        <w:rPr>
          <w:rFonts w:asciiTheme="majorHAnsi" w:hAnsiTheme="majorHAnsi" w:cstheme="majorHAnsi"/>
        </w:rPr>
        <w:t xml:space="preserve">how and </w:t>
      </w:r>
      <w:r w:rsidRPr="004B37EF">
        <w:rPr>
          <w:rFonts w:asciiTheme="majorHAnsi" w:hAnsiTheme="majorHAnsi" w:cstheme="majorHAnsi"/>
        </w:rPr>
        <w:t>whether</w:t>
      </w:r>
      <w:r w:rsidRPr="005D1BCE">
        <w:rPr>
          <w:rFonts w:asciiTheme="majorHAnsi" w:hAnsiTheme="majorHAnsi" w:cstheme="majorHAnsi"/>
        </w:rPr>
        <w:t xml:space="preserve"> people seek out and </w:t>
      </w:r>
      <w:r w:rsidR="62879795" w:rsidRPr="005D1BCE">
        <w:rPr>
          <w:rFonts w:asciiTheme="majorHAnsi" w:hAnsiTheme="majorHAnsi" w:cstheme="majorHAnsi"/>
        </w:rPr>
        <w:t xml:space="preserve">access </w:t>
      </w:r>
      <w:r w:rsidRPr="005D1BCE">
        <w:rPr>
          <w:rFonts w:asciiTheme="majorHAnsi" w:hAnsiTheme="majorHAnsi" w:cstheme="majorHAnsi"/>
        </w:rPr>
        <w:t>aftercare</w:t>
      </w:r>
      <w:r w:rsidRPr="005D1BCE">
        <w:t xml:space="preserve">. </w:t>
      </w:r>
      <w:r w:rsidR="000C24BE">
        <w:t>Social determinants</w:t>
      </w:r>
      <w:r w:rsidR="00D93E9E">
        <w:t xml:space="preserve"> </w:t>
      </w:r>
      <w:r w:rsidR="003B6175">
        <w:t>impact</w:t>
      </w:r>
      <w:r w:rsidR="4EA39D2E" w:rsidRPr="005D1BCE">
        <w:t xml:space="preserve"> access, </w:t>
      </w:r>
      <w:r w:rsidR="3860B196" w:rsidRPr="005D1BCE">
        <w:t>participant</w:t>
      </w:r>
      <w:r w:rsidR="4EA39D2E" w:rsidRPr="005D1BCE">
        <w:t xml:space="preserve"> needs and outcomes. </w:t>
      </w:r>
      <w:r w:rsidR="387AB912" w:rsidRPr="005D1BCE">
        <w:t>As such, the</w:t>
      </w:r>
      <w:r w:rsidRPr="005D1BCE">
        <w:t xml:space="preserve"> ability of providers to adapt The Way Back to local needs and contexts is important</w:t>
      </w:r>
      <w:r w:rsidR="387AB912" w:rsidRPr="005D1BCE">
        <w:t xml:space="preserve">. </w:t>
      </w:r>
      <w:r w:rsidR="56C49A84">
        <w:t>Adaptations to The Way Back service model across sites are detailed further in section</w:t>
      </w:r>
      <w:r w:rsidR="000E045A">
        <w:t xml:space="preserve"> </w:t>
      </w:r>
      <w:r w:rsidR="00E31C80">
        <w:fldChar w:fldCharType="begin"/>
      </w:r>
      <w:r w:rsidR="00E31C80">
        <w:instrText xml:space="preserve"> REF _Ref121305544 \n \h </w:instrText>
      </w:r>
      <w:r w:rsidR="00E31C80">
        <w:fldChar w:fldCharType="separate"/>
      </w:r>
      <w:r w:rsidR="00402362">
        <w:t>4</w:t>
      </w:r>
      <w:r w:rsidR="00E31C80">
        <w:fldChar w:fldCharType="end"/>
      </w:r>
      <w:r w:rsidR="00E31C80">
        <w:t xml:space="preserve">. </w:t>
      </w:r>
    </w:p>
    <w:p w14:paraId="52B5CE23" w14:textId="4ED9F5A9" w:rsidR="00A00AC7" w:rsidRPr="00CA549F" w:rsidRDefault="0011021E" w:rsidP="00CA549F">
      <w:pPr>
        <w:pStyle w:val="Bullet"/>
        <w:rPr>
          <w:rFonts w:asciiTheme="majorHAnsi" w:hAnsiTheme="majorHAnsi" w:cstheme="majorHAnsi"/>
        </w:rPr>
      </w:pPr>
      <w:r>
        <w:rPr>
          <w:rFonts w:asciiTheme="majorHAnsi" w:hAnsiTheme="majorHAnsi" w:cstheme="majorHAnsi"/>
        </w:rPr>
        <w:t xml:space="preserve">The </w:t>
      </w:r>
      <w:r w:rsidRPr="00AB5700">
        <w:rPr>
          <w:rFonts w:asciiTheme="majorHAnsi" w:hAnsiTheme="majorHAnsi" w:cstheme="majorHAnsi"/>
        </w:rPr>
        <w:t xml:space="preserve">COVID-19 pandemic. </w:t>
      </w:r>
      <w:r w:rsidR="00AB5700" w:rsidRPr="00AB5700">
        <w:rPr>
          <w:rFonts w:asciiTheme="minorHAnsi" w:hAnsiTheme="minorHAnsi" w:cstheme="minorHAnsi"/>
        </w:rPr>
        <w:t>These</w:t>
      </w:r>
      <w:r>
        <w:rPr>
          <w:rFonts w:asciiTheme="minorHAnsi" w:hAnsiTheme="minorHAnsi" w:cstheme="minorHAnsi"/>
        </w:rPr>
        <w:t xml:space="preserve"> </w:t>
      </w:r>
      <w:r w:rsidR="00C5014E">
        <w:rPr>
          <w:rFonts w:asciiTheme="minorHAnsi" w:hAnsiTheme="minorHAnsi" w:cstheme="minorHAnsi"/>
        </w:rPr>
        <w:t xml:space="preserve">associated restrictions </w:t>
      </w:r>
      <w:r w:rsidR="00B51121">
        <w:rPr>
          <w:rFonts w:asciiTheme="minorHAnsi" w:hAnsiTheme="minorHAnsi" w:cstheme="minorHAnsi"/>
        </w:rPr>
        <w:t xml:space="preserve">implemented across Australia </w:t>
      </w:r>
      <w:r w:rsidR="00C5014E">
        <w:rPr>
          <w:rFonts w:asciiTheme="minorHAnsi" w:hAnsiTheme="minorHAnsi" w:cstheme="minorHAnsi"/>
        </w:rPr>
        <w:t xml:space="preserve">due to COVID-19 </w:t>
      </w:r>
      <w:r>
        <w:rPr>
          <w:rFonts w:asciiTheme="minorHAnsi" w:hAnsiTheme="minorHAnsi" w:cstheme="minorHAnsi"/>
        </w:rPr>
        <w:t xml:space="preserve">had a significant impact </w:t>
      </w:r>
      <w:r w:rsidR="00C5014E">
        <w:rPr>
          <w:rFonts w:asciiTheme="minorHAnsi" w:hAnsiTheme="minorHAnsi" w:cstheme="minorHAnsi"/>
        </w:rPr>
        <w:t xml:space="preserve">on </w:t>
      </w:r>
      <w:r w:rsidR="00702065">
        <w:rPr>
          <w:rFonts w:asciiTheme="minorHAnsi" w:hAnsiTheme="minorHAnsi" w:cstheme="minorHAnsi"/>
        </w:rPr>
        <w:t xml:space="preserve">the way in which services were delivered across Australia. </w:t>
      </w:r>
    </w:p>
    <w:p w14:paraId="11A95B32" w14:textId="2AB5831F" w:rsidR="003B42A7" w:rsidRDefault="00D6212B" w:rsidP="00D6212B">
      <w:pPr>
        <w:pStyle w:val="Heading1"/>
      </w:pPr>
      <w:bookmarkStart w:id="31" w:name="_Ref118278848"/>
      <w:bookmarkStart w:id="32" w:name="_Ref118280057"/>
      <w:bookmarkStart w:id="33" w:name="_Ref117768468"/>
      <w:bookmarkStart w:id="34" w:name="_Ref117865433"/>
      <w:bookmarkStart w:id="35" w:name="_Ref121304078"/>
      <w:bookmarkStart w:id="36" w:name="_Ref121305544"/>
      <w:bookmarkStart w:id="37" w:name="_Ref121305651"/>
      <w:bookmarkStart w:id="38" w:name="_Ref121306344"/>
      <w:bookmarkStart w:id="39" w:name="_Ref121308018"/>
      <w:bookmarkStart w:id="40" w:name="_Ref121311927"/>
      <w:bookmarkStart w:id="41" w:name="_Toc121320679"/>
      <w:r w:rsidRPr="008200F7">
        <w:rPr>
          <w:noProof/>
        </w:rPr>
        <w:lastRenderedPageBreak/>
        <w:drawing>
          <wp:anchor distT="0" distB="0" distL="114300" distR="114300" simplePos="0" relativeHeight="251663393" behindDoc="1" locked="0" layoutInCell="1" allowOverlap="1" wp14:anchorId="0D70AB4D" wp14:editId="1135E8F6">
            <wp:simplePos x="0" y="0"/>
            <wp:positionH relativeFrom="page">
              <wp:align>left</wp:align>
            </wp:positionH>
            <wp:positionV relativeFrom="paragraph">
              <wp:posOffset>-657225</wp:posOffset>
            </wp:positionV>
            <wp:extent cx="7559675" cy="1371600"/>
            <wp:effectExtent l="0" t="0" r="3175" b="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00B309CD">
        <w:t>The Way Back service model</w:t>
      </w:r>
      <w:bookmarkEnd w:id="31"/>
      <w:bookmarkEnd w:id="32"/>
      <w:bookmarkEnd w:id="33"/>
      <w:bookmarkEnd w:id="34"/>
      <w:r w:rsidR="00D30FCA">
        <w:t xml:space="preserve"> and variations</w:t>
      </w:r>
      <w:bookmarkEnd w:id="35"/>
      <w:bookmarkEnd w:id="36"/>
      <w:bookmarkEnd w:id="37"/>
      <w:bookmarkEnd w:id="38"/>
      <w:bookmarkEnd w:id="39"/>
      <w:bookmarkEnd w:id="40"/>
      <w:bookmarkEnd w:id="41"/>
    </w:p>
    <w:p w14:paraId="76269112" w14:textId="77777777" w:rsidR="008200F7" w:rsidRPr="00D6212B" w:rsidRDefault="008200F7" w:rsidP="00D6212B"/>
    <w:p w14:paraId="076A5692" w14:textId="77777777" w:rsidR="00244F7E" w:rsidRPr="00D1753E" w:rsidRDefault="00244F7E" w:rsidP="00D6212B">
      <w:pPr>
        <w:pStyle w:val="NoteHeading"/>
        <w:spacing w:before="360"/>
        <w:rPr>
          <w:lang w:eastAsia="en-AU"/>
        </w:rPr>
      </w:pPr>
      <w:bookmarkStart w:id="42" w:name="_Ref86411889"/>
      <w:bookmarkStart w:id="43" w:name="_Ref82171229"/>
      <w:bookmarkStart w:id="44" w:name="_Ref82609329"/>
      <w:r w:rsidRPr="00D1753E">
        <w:rPr>
          <w:lang w:eastAsia="en-AU"/>
        </w:rPr>
        <w:t>This section</w:t>
      </w:r>
      <w:r w:rsidRPr="00D1753E" w:rsidDel="00DE7AA1">
        <w:rPr>
          <w:lang w:eastAsia="en-AU"/>
        </w:rPr>
        <w:t xml:space="preserve"> </w:t>
      </w:r>
      <w:r w:rsidRPr="00D1753E">
        <w:rPr>
          <w:lang w:eastAsia="en-AU"/>
        </w:rPr>
        <w:t>contributes to answering KEQ 1 | What is being delivered under The Way Back, where, how, and why?</w:t>
      </w:r>
    </w:p>
    <w:p w14:paraId="1587E207" w14:textId="77777777" w:rsidR="00244F7E" w:rsidRPr="00D1753E" w:rsidRDefault="00244F7E" w:rsidP="00244F7E">
      <w:pPr>
        <w:pStyle w:val="NoteHeading"/>
        <w:rPr>
          <w:lang w:eastAsia="en-AU"/>
        </w:rPr>
      </w:pPr>
      <w:r w:rsidRPr="00D1753E">
        <w:rPr>
          <w:lang w:eastAsia="en-AU"/>
        </w:rPr>
        <w:t xml:space="preserve">The Way Back was designed to deliver an immediate and proactive aftercare service for people who have experienced a suicide attempt or crisis. </w:t>
      </w:r>
      <w:r w:rsidRPr="00D1753E">
        <w:t>A key feature of The Way Back was the scope for service design to enable variations that respond to local needs and circumstances, most commonly through peer and family support.</w:t>
      </w:r>
    </w:p>
    <w:p w14:paraId="18F6E8DB" w14:textId="77777777" w:rsidR="00244F7E" w:rsidRPr="00D1753E" w:rsidRDefault="00244F7E" w:rsidP="00244F7E">
      <w:pPr>
        <w:pStyle w:val="NoteHeading"/>
        <w:rPr>
          <w:lang w:eastAsia="en-AU"/>
        </w:rPr>
      </w:pPr>
      <w:r w:rsidRPr="00D1753E">
        <w:rPr>
          <w:lang w:eastAsia="en-AU"/>
        </w:rPr>
        <w:t xml:space="preserve">There were two priority cohorts identified in The Way Back; those who </w:t>
      </w:r>
      <w:r w:rsidRPr="00D1753E">
        <w:t xml:space="preserve">identified as Aboriginal and/or Torres Strait Islander; and identified as LGBTIQA+. </w:t>
      </w:r>
    </w:p>
    <w:p w14:paraId="534FE9E2" w14:textId="77777777" w:rsidR="00244F7E" w:rsidRPr="00D1753E" w:rsidRDefault="00244F7E" w:rsidP="00244F7E">
      <w:pPr>
        <w:pStyle w:val="NoteHeading"/>
      </w:pPr>
      <w:r w:rsidRPr="00D1753E">
        <w:t xml:space="preserve">Workforce, governance and funding arrangements, </w:t>
      </w:r>
      <w:proofErr w:type="gramStart"/>
      <w:r w:rsidRPr="00D1753E">
        <w:t>partnerships</w:t>
      </w:r>
      <w:proofErr w:type="gramEnd"/>
      <w:r w:rsidRPr="00D1753E">
        <w:t xml:space="preserve"> and engagements (particularly through the relationships between providers and referring health services), and monitoring and continuous improvement activities enabled the delivery of The Way back.</w:t>
      </w:r>
    </w:p>
    <w:p w14:paraId="64CC578F" w14:textId="0C150D03" w:rsidR="00244F7E" w:rsidRPr="00244F7E" w:rsidRDefault="00244F7E" w:rsidP="00244F7E">
      <w:pPr>
        <w:pStyle w:val="NoteHeading"/>
      </w:pPr>
      <w:r w:rsidRPr="00D1753E">
        <w:t xml:space="preserve">KEQ 1 is further answered in section </w:t>
      </w:r>
      <w:r w:rsidRPr="00D1753E">
        <w:fldChar w:fldCharType="begin"/>
      </w:r>
      <w:r w:rsidRPr="00D1753E">
        <w:instrText xml:space="preserve"> REF _Ref121305651 \n \h </w:instrText>
      </w:r>
      <w:r>
        <w:instrText xml:space="preserve"> \* MERGEFORMAT </w:instrText>
      </w:r>
      <w:r w:rsidRPr="00D1753E">
        <w:fldChar w:fldCharType="separate"/>
      </w:r>
      <w:r>
        <w:t>4</w:t>
      </w:r>
      <w:r w:rsidRPr="00D1753E">
        <w:fldChar w:fldCharType="end"/>
      </w:r>
      <w:r w:rsidRPr="00D1753E">
        <w:t xml:space="preserve"> and section </w:t>
      </w:r>
      <w:r w:rsidRPr="00D1753E">
        <w:fldChar w:fldCharType="begin"/>
      </w:r>
      <w:r w:rsidRPr="00D1753E">
        <w:instrText xml:space="preserve"> REF _Ref118278482 \n \h </w:instrText>
      </w:r>
      <w:r>
        <w:instrText xml:space="preserve"> \* MERGEFORMAT </w:instrText>
      </w:r>
      <w:r w:rsidRPr="00D1753E">
        <w:fldChar w:fldCharType="separate"/>
      </w:r>
      <w:r>
        <w:t>5</w:t>
      </w:r>
      <w:r w:rsidRPr="00D1753E">
        <w:fldChar w:fldCharType="end"/>
      </w:r>
      <w:r w:rsidRPr="00D1753E">
        <w:t>.</w:t>
      </w:r>
      <w:r>
        <w:t xml:space="preserve"> </w:t>
      </w:r>
      <w:r w:rsidRPr="006C24E8">
        <w:fldChar w:fldCharType="begin"/>
      </w:r>
      <w:r w:rsidRPr="006C24E8">
        <w:instrText xml:space="preserve"> REF _Ref118278891 \n \h </w:instrText>
      </w:r>
      <w:r>
        <w:instrText xml:space="preserve"> \* MERGEFORMAT </w:instrText>
      </w:r>
      <w:r w:rsidRPr="006C24E8">
        <w:fldChar w:fldCharType="separate"/>
      </w:r>
      <w:r>
        <w:t>3</w:t>
      </w:r>
      <w:r w:rsidRPr="006C24E8">
        <w:fldChar w:fldCharType="end"/>
      </w:r>
    </w:p>
    <w:p w14:paraId="772AADB2" w14:textId="740D2AAA" w:rsidR="0021064F" w:rsidRDefault="68708AD0" w:rsidP="00623868">
      <w:pPr>
        <w:pStyle w:val="Heading2"/>
        <w:rPr>
          <w:lang w:val="en-US"/>
        </w:rPr>
      </w:pPr>
      <w:r w:rsidRPr="5F0B1C35">
        <w:rPr>
          <w:lang w:val="en-US"/>
        </w:rPr>
        <w:t xml:space="preserve">The Way Back </w:t>
      </w:r>
      <w:r w:rsidR="721CFEBC" w:rsidRPr="5F0B1C35">
        <w:rPr>
          <w:lang w:val="en-US"/>
        </w:rPr>
        <w:t>was</w:t>
      </w:r>
      <w:r w:rsidRPr="5F0B1C35">
        <w:rPr>
          <w:lang w:val="en-US"/>
        </w:rPr>
        <w:t xml:space="preserve"> designed to provide immediate and </w:t>
      </w:r>
      <w:r w:rsidR="00763CA0">
        <w:rPr>
          <w:lang w:val="en-US"/>
        </w:rPr>
        <w:t>proactive</w:t>
      </w:r>
      <w:r w:rsidRPr="5F0B1C35">
        <w:rPr>
          <w:lang w:val="en-US"/>
        </w:rPr>
        <w:t xml:space="preserve"> aftercare for people who </w:t>
      </w:r>
      <w:r w:rsidR="00BC1019">
        <w:rPr>
          <w:lang w:val="en-US"/>
        </w:rPr>
        <w:t>are</w:t>
      </w:r>
      <w:r w:rsidR="00BC1019" w:rsidRPr="5F0B1C35">
        <w:rPr>
          <w:lang w:val="en-US"/>
        </w:rPr>
        <w:t xml:space="preserve"> </w:t>
      </w:r>
      <w:r w:rsidRPr="5F0B1C35">
        <w:rPr>
          <w:lang w:val="en-US"/>
        </w:rPr>
        <w:t>experienc</w:t>
      </w:r>
      <w:r w:rsidR="65CE1B50" w:rsidRPr="5F0B1C35">
        <w:rPr>
          <w:lang w:val="en-US"/>
        </w:rPr>
        <w:t>ing</w:t>
      </w:r>
      <w:r w:rsidRPr="5F0B1C35">
        <w:rPr>
          <w:lang w:val="en-US"/>
        </w:rPr>
        <w:t xml:space="preserve"> a suicide attempt or crisis.</w:t>
      </w:r>
    </w:p>
    <w:p w14:paraId="62FDB35E" w14:textId="0CCB6BB9" w:rsidR="00D56BFF" w:rsidRPr="00AB5700" w:rsidRDefault="68708AD0" w:rsidP="0021064F">
      <w:pPr>
        <w:pStyle w:val="Bullet"/>
        <w:numPr>
          <w:ilvl w:val="0"/>
          <w:numId w:val="0"/>
        </w:numPr>
      </w:pPr>
      <w:r w:rsidRPr="001568CF">
        <w:t xml:space="preserve">The Way Back </w:t>
      </w:r>
      <w:r w:rsidR="1D132C71" w:rsidRPr="001568CF">
        <w:t xml:space="preserve">is </w:t>
      </w:r>
      <w:r w:rsidRPr="001568CF">
        <w:t xml:space="preserve">available to people who have experienced a suicide attempt (primary eligibility criteria) or a suicidal crisis (secondary eligibility criteria). People are ineligible if they engaged with another </w:t>
      </w:r>
      <w:r w:rsidR="00763CA0">
        <w:t>proactive</w:t>
      </w:r>
      <w:r w:rsidRPr="001568CF">
        <w:t xml:space="preserve"> </w:t>
      </w:r>
      <w:r w:rsidRPr="00C63A70">
        <w:t>outreach service that includes mental health support.</w:t>
      </w:r>
      <w:r w:rsidR="0021064F" w:rsidRPr="00C63A70">
        <w:rPr>
          <w:rStyle w:val="FootnoteReference"/>
        </w:rPr>
        <w:footnoteReference w:id="24"/>
      </w:r>
      <w:r w:rsidRPr="00C63A70">
        <w:t xml:space="preserve"> </w:t>
      </w:r>
      <w:r w:rsidR="002068CD" w:rsidRPr="00AB5700">
        <w:t xml:space="preserve">Identified </w:t>
      </w:r>
      <w:r w:rsidR="00B95EA3" w:rsidRPr="00AB5700">
        <w:t xml:space="preserve">cohorts </w:t>
      </w:r>
      <w:r w:rsidR="009028DA" w:rsidRPr="00AB5700">
        <w:t xml:space="preserve">of interest to The Way Back </w:t>
      </w:r>
      <w:r w:rsidR="00B95EA3" w:rsidRPr="00AB5700">
        <w:t>were those who were overrepresented in suicide statistics and/or those who face</w:t>
      </w:r>
      <w:r w:rsidR="00DA57EC" w:rsidRPr="00AB5700">
        <w:t>d</w:t>
      </w:r>
      <w:r w:rsidR="00B95EA3" w:rsidRPr="00AB5700">
        <w:t xml:space="preserve"> greater barriers to accessing support.</w:t>
      </w:r>
      <w:r w:rsidR="00A01F06" w:rsidRPr="00AB5700">
        <w:t xml:space="preserve"> </w:t>
      </w:r>
      <w:r w:rsidR="00DF3811" w:rsidRPr="00C63A70">
        <w:t xml:space="preserve"> </w:t>
      </w:r>
      <w:r w:rsidR="00A01F06" w:rsidRPr="00AB5700">
        <w:t xml:space="preserve">These were </w:t>
      </w:r>
      <w:r w:rsidR="001A4832" w:rsidRPr="00AB5700">
        <w:t>people who</w:t>
      </w:r>
      <w:r w:rsidR="006072DB">
        <w:t>:</w:t>
      </w:r>
      <w:r w:rsidR="006B3CAB" w:rsidRPr="00AB5700">
        <w:t xml:space="preserve"> </w:t>
      </w:r>
      <w:r w:rsidR="001A4832" w:rsidRPr="00AB5700">
        <w:t xml:space="preserve">identified as </w:t>
      </w:r>
      <w:r w:rsidR="003A3444" w:rsidRPr="00AB5700">
        <w:t xml:space="preserve">Aboriginal and Torres Strait Islander, </w:t>
      </w:r>
      <w:r w:rsidR="006B3CAB" w:rsidRPr="00AB5700">
        <w:t xml:space="preserve">identified as LGBTQIA+, </w:t>
      </w:r>
      <w:r w:rsidR="00790FDA" w:rsidRPr="00AB5700">
        <w:t>men, aged 80+ years old, middle-aged men, youth, and people with a mental health condition.</w:t>
      </w:r>
      <w:r w:rsidR="009D71BF">
        <w:rPr>
          <w:rStyle w:val="FootnoteReference"/>
        </w:rPr>
        <w:footnoteReference w:id="25"/>
      </w:r>
      <w:r w:rsidR="00790FDA" w:rsidRPr="00AB5700">
        <w:t xml:space="preserve"> </w:t>
      </w:r>
      <w:r w:rsidR="00DA7BDA" w:rsidRPr="00AB5700">
        <w:t xml:space="preserve">The Way Back </w:t>
      </w:r>
      <w:r w:rsidR="00795196" w:rsidRPr="00AB5700">
        <w:t xml:space="preserve">also had two priority cohorts. These </w:t>
      </w:r>
      <w:r w:rsidR="00F84761" w:rsidRPr="00AB5700">
        <w:t>were</w:t>
      </w:r>
      <w:r w:rsidR="00213BBF" w:rsidRPr="00C63A70">
        <w:t xml:space="preserve"> people who identified </w:t>
      </w:r>
      <w:r w:rsidR="00A65ADF" w:rsidRPr="00C63A70">
        <w:t xml:space="preserve">as Aboriginal/and or Torres Strait </w:t>
      </w:r>
      <w:r w:rsidR="000C24BE" w:rsidRPr="00C63A70">
        <w:t>Islander and</w:t>
      </w:r>
      <w:r w:rsidR="00A65ADF" w:rsidRPr="00C63A70">
        <w:t xml:space="preserve"> identif</w:t>
      </w:r>
      <w:r w:rsidR="00C63A70">
        <w:t xml:space="preserve">ied </w:t>
      </w:r>
      <w:r w:rsidR="00A65ADF" w:rsidRPr="00C63A70">
        <w:t>as LGBTIQA+.</w:t>
      </w:r>
      <w:r w:rsidR="001D51B4" w:rsidRPr="00C63A70">
        <w:t xml:space="preserve"> These </w:t>
      </w:r>
      <w:r w:rsidR="00AA0DBA" w:rsidRPr="00C63A70">
        <w:t>cohorts</w:t>
      </w:r>
      <w:r w:rsidR="00A65ADF" w:rsidRPr="00C63A70">
        <w:t xml:space="preserve"> </w:t>
      </w:r>
      <w:r w:rsidR="00AA0DBA" w:rsidRPr="00C63A70">
        <w:t xml:space="preserve">were prioritised </w:t>
      </w:r>
      <w:r w:rsidR="00D56BFF" w:rsidRPr="00AB5700">
        <w:t xml:space="preserve">through: </w:t>
      </w:r>
    </w:p>
    <w:p w14:paraId="17262B38" w14:textId="775EFFA9" w:rsidR="001447E8" w:rsidRPr="002421D7" w:rsidRDefault="003E3A97" w:rsidP="00431B59">
      <w:pPr>
        <w:pStyle w:val="Bullet"/>
      </w:pPr>
      <w:r>
        <w:t>D</w:t>
      </w:r>
      <w:r w:rsidR="001447E8" w:rsidRPr="00AB5700">
        <w:t>ata collection on service access</w:t>
      </w:r>
      <w:r w:rsidR="00475A33" w:rsidRPr="00AB5700">
        <w:t xml:space="preserve">, </w:t>
      </w:r>
    </w:p>
    <w:p w14:paraId="7FDE12EB" w14:textId="2B971490" w:rsidR="00475A33" w:rsidRPr="002421D7" w:rsidRDefault="00475A33" w:rsidP="00431B59">
      <w:pPr>
        <w:pStyle w:val="Bullet"/>
      </w:pPr>
      <w:r w:rsidRPr="002421D7">
        <w:t xml:space="preserve">Service model adaptations in sites to include priority pathways for Aboriginal and Torres Strait </w:t>
      </w:r>
      <w:r w:rsidR="00C63A70" w:rsidRPr="00C63A70">
        <w:t>Islander</w:t>
      </w:r>
      <w:r w:rsidRPr="002421D7">
        <w:t xml:space="preserve"> people</w:t>
      </w:r>
      <w:r w:rsidR="008D1E44">
        <w:t xml:space="preserve">. </w:t>
      </w:r>
    </w:p>
    <w:p w14:paraId="48237D6B" w14:textId="04E62AD7" w:rsidR="00C63A70" w:rsidRPr="00C63A70" w:rsidRDefault="3D4EA2FC" w:rsidP="00F84761">
      <w:pPr>
        <w:pStyle w:val="Bullet"/>
      </w:pPr>
      <w:r w:rsidRPr="002421D7">
        <w:t xml:space="preserve">Active recruitment of </w:t>
      </w:r>
      <w:r w:rsidR="00FF68EF">
        <w:t>The Way Back</w:t>
      </w:r>
      <w:r w:rsidR="005E4A1F">
        <w:t xml:space="preserve"> staff</w:t>
      </w:r>
      <w:r w:rsidR="00FF68EF">
        <w:t xml:space="preserve"> </w:t>
      </w:r>
      <w:r w:rsidRPr="002421D7">
        <w:t xml:space="preserve">who identified as Aboriginal and </w:t>
      </w:r>
      <w:r w:rsidR="6AA36852" w:rsidRPr="00C63A70">
        <w:t>Torres</w:t>
      </w:r>
      <w:r w:rsidRPr="002421D7">
        <w:t xml:space="preserve"> Strait </w:t>
      </w:r>
      <w:r w:rsidR="6AA36852" w:rsidRPr="00C63A70">
        <w:t>Islander</w:t>
      </w:r>
      <w:r w:rsidRPr="00F84761">
        <w:t xml:space="preserve"> people, and/or identified as LGBTQIA+</w:t>
      </w:r>
      <w:r w:rsidR="6AA36852" w:rsidRPr="74B83E5E">
        <w:rPr>
          <w:rFonts w:eastAsiaTheme="minorEastAsia"/>
        </w:rPr>
        <w:t>.</w:t>
      </w:r>
      <w:r w:rsidR="00087D5E" w:rsidRPr="00F84761">
        <w:rPr>
          <w:rStyle w:val="FootnoteReference"/>
        </w:rPr>
        <w:footnoteReference w:id="26"/>
      </w:r>
      <w:r w:rsidR="0F4742AB" w:rsidRPr="00F84761">
        <w:t xml:space="preserve"> </w:t>
      </w:r>
    </w:p>
    <w:p w14:paraId="088E3164" w14:textId="470055C0" w:rsidR="005309D7" w:rsidRDefault="00CB0D1D" w:rsidP="00C63A70">
      <w:pPr>
        <w:rPr>
          <w:lang w:val="en-US"/>
        </w:rPr>
      </w:pPr>
      <w:r>
        <w:rPr>
          <w:lang w:val="en-US"/>
        </w:rPr>
        <w:t>T</w:t>
      </w:r>
      <w:r w:rsidR="001A0B7E">
        <w:rPr>
          <w:lang w:val="en-US"/>
        </w:rPr>
        <w:t xml:space="preserve">he evaluation also identified additional cohorts of interest that were important to investigate </w:t>
      </w:r>
      <w:r w:rsidR="006B102E">
        <w:rPr>
          <w:lang w:val="en-US"/>
        </w:rPr>
        <w:t>through analysis of prevalence data of suicide attempts and deaths across specific cohorts or through identification of cohorts through the available data to the evaluation.</w:t>
      </w:r>
      <w:r w:rsidR="00A111EA">
        <w:rPr>
          <w:lang w:val="en-US"/>
        </w:rPr>
        <w:t xml:space="preserve"> </w:t>
      </w:r>
      <w:r w:rsidR="001A0B7E">
        <w:rPr>
          <w:lang w:val="en-US"/>
        </w:rPr>
        <w:t xml:space="preserve">These cohorts </w:t>
      </w:r>
      <w:r w:rsidR="001A0B7E" w:rsidDel="00257666">
        <w:rPr>
          <w:lang w:val="en-US"/>
        </w:rPr>
        <w:t>included</w:t>
      </w:r>
      <w:r w:rsidR="00257666">
        <w:rPr>
          <w:lang w:val="en-US"/>
        </w:rPr>
        <w:t xml:space="preserve"> but</w:t>
      </w:r>
      <w:r w:rsidR="00673F3D">
        <w:rPr>
          <w:lang w:val="en-US"/>
        </w:rPr>
        <w:t xml:space="preserve"> were not limited to</w:t>
      </w:r>
      <w:r w:rsidR="0000251F">
        <w:rPr>
          <w:lang w:val="en-US"/>
        </w:rPr>
        <w:t xml:space="preserve"> </w:t>
      </w:r>
      <w:r w:rsidR="00673F3D">
        <w:rPr>
          <w:lang w:val="en-US"/>
        </w:rPr>
        <w:t>people who</w:t>
      </w:r>
      <w:r w:rsidR="0000251F">
        <w:rPr>
          <w:lang w:val="en-US"/>
        </w:rPr>
        <w:t xml:space="preserve"> experienced a </w:t>
      </w:r>
      <w:r w:rsidR="00673F3D">
        <w:rPr>
          <w:lang w:val="en-US"/>
        </w:rPr>
        <w:t>personality disorder</w:t>
      </w:r>
      <w:r w:rsidR="004633C2">
        <w:rPr>
          <w:lang w:val="en-US"/>
        </w:rPr>
        <w:t>,</w:t>
      </w:r>
      <w:r w:rsidR="00766300">
        <w:rPr>
          <w:lang w:val="en-US"/>
        </w:rPr>
        <w:t xml:space="preserve"> people </w:t>
      </w:r>
      <w:r w:rsidR="003E5704">
        <w:rPr>
          <w:lang w:val="en-US"/>
        </w:rPr>
        <w:t xml:space="preserve">from </w:t>
      </w:r>
      <w:r w:rsidR="00766300">
        <w:rPr>
          <w:lang w:val="en-US"/>
        </w:rPr>
        <w:t>a culturally and linguistically diverse (CALD) background</w:t>
      </w:r>
      <w:r w:rsidR="003E5704">
        <w:rPr>
          <w:lang w:val="en-US"/>
        </w:rPr>
        <w:t xml:space="preserve">, people </w:t>
      </w:r>
      <w:r w:rsidR="008663C4">
        <w:rPr>
          <w:lang w:val="en-US"/>
        </w:rPr>
        <w:t>who use</w:t>
      </w:r>
      <w:r w:rsidR="00766300">
        <w:rPr>
          <w:lang w:val="en-US"/>
        </w:rPr>
        <w:t xml:space="preserve"> </w:t>
      </w:r>
      <w:r w:rsidR="00163FF6">
        <w:rPr>
          <w:lang w:val="en-US"/>
        </w:rPr>
        <w:t>alcohol and/or other drug</w:t>
      </w:r>
      <w:r w:rsidR="008A7925">
        <w:rPr>
          <w:lang w:val="en-US"/>
        </w:rPr>
        <w:t>s</w:t>
      </w:r>
      <w:r w:rsidR="00163FF6">
        <w:rPr>
          <w:lang w:val="en-US"/>
        </w:rPr>
        <w:t xml:space="preserve">, </w:t>
      </w:r>
      <w:r w:rsidR="00B17080">
        <w:rPr>
          <w:lang w:val="en-US"/>
        </w:rPr>
        <w:t xml:space="preserve">people who </w:t>
      </w:r>
      <w:r w:rsidR="00771DE7">
        <w:rPr>
          <w:lang w:val="en-US"/>
        </w:rPr>
        <w:t xml:space="preserve">were </w:t>
      </w:r>
      <w:r w:rsidR="001C6899">
        <w:rPr>
          <w:lang w:val="en-US"/>
        </w:rPr>
        <w:t>experienc</w:t>
      </w:r>
      <w:r w:rsidR="00771DE7">
        <w:rPr>
          <w:lang w:val="en-US"/>
        </w:rPr>
        <w:t>ing</w:t>
      </w:r>
      <w:r w:rsidR="001C6899">
        <w:rPr>
          <w:lang w:val="en-US"/>
        </w:rPr>
        <w:t xml:space="preserve"> homelessness, </w:t>
      </w:r>
      <w:r w:rsidR="00771DE7">
        <w:rPr>
          <w:lang w:val="en-US"/>
        </w:rPr>
        <w:t xml:space="preserve">people who </w:t>
      </w:r>
      <w:r w:rsidR="001C6899">
        <w:rPr>
          <w:lang w:val="en-US"/>
        </w:rPr>
        <w:t>were unemployed.</w:t>
      </w:r>
    </w:p>
    <w:p w14:paraId="5176E415" w14:textId="63D4AB4B" w:rsidR="0021064F" w:rsidRDefault="004D15D8" w:rsidP="00EA5C71">
      <w:pPr>
        <w:rPr>
          <w:lang w:val="en-US"/>
        </w:rPr>
      </w:pPr>
      <w:r>
        <w:rPr>
          <w:lang w:val="en-US"/>
        </w:rPr>
        <w:t>Core</w:t>
      </w:r>
      <w:r w:rsidRPr="5F0B1C35">
        <w:rPr>
          <w:lang w:val="en-US"/>
        </w:rPr>
        <w:t xml:space="preserve"> </w:t>
      </w:r>
      <w:r w:rsidR="41266986" w:rsidRPr="5F0B1C35">
        <w:rPr>
          <w:lang w:val="en-US"/>
        </w:rPr>
        <w:t>features of The Way Back service model include:</w:t>
      </w:r>
    </w:p>
    <w:p w14:paraId="5918E00E" w14:textId="3EF4C601" w:rsidR="0021064F" w:rsidRPr="00844B08" w:rsidRDefault="68708AD0" w:rsidP="0004363E">
      <w:pPr>
        <w:pStyle w:val="Bullet"/>
        <w:spacing w:after="60"/>
      </w:pPr>
      <w:r>
        <w:lastRenderedPageBreak/>
        <w:t xml:space="preserve">The Way Back </w:t>
      </w:r>
      <w:r w:rsidR="7BC47683">
        <w:t xml:space="preserve">is </w:t>
      </w:r>
      <w:r>
        <w:t>free of charge</w:t>
      </w:r>
      <w:r w:rsidR="7BC47683">
        <w:t xml:space="preserve"> </w:t>
      </w:r>
      <w:r w:rsidR="00B057D9">
        <w:t xml:space="preserve">for </w:t>
      </w:r>
      <w:r w:rsidR="00B534B1">
        <w:t>anyone</w:t>
      </w:r>
      <w:r w:rsidR="00B40257">
        <w:t xml:space="preserve"> </w:t>
      </w:r>
      <w:r w:rsidR="00B057D9">
        <w:t xml:space="preserve">living in Australia </w:t>
      </w:r>
    </w:p>
    <w:p w14:paraId="2A585E8A" w14:textId="29E9899B" w:rsidR="0021064F" w:rsidRPr="00844B08" w:rsidRDefault="36BD31E0" w:rsidP="0004363E">
      <w:pPr>
        <w:pStyle w:val="Bullet"/>
        <w:spacing w:after="60"/>
      </w:pPr>
      <w:r>
        <w:t>Participants</w:t>
      </w:r>
      <w:r w:rsidR="41266986">
        <w:t xml:space="preserve"> are contacted within one business day of being referred to The Way Back</w:t>
      </w:r>
    </w:p>
    <w:p w14:paraId="1B2FABBA" w14:textId="2E9D2263" w:rsidR="0021064F" w:rsidRDefault="41266986" w:rsidP="0004363E">
      <w:pPr>
        <w:pStyle w:val="Bullet"/>
        <w:spacing w:after="60"/>
      </w:pPr>
      <w:r>
        <w:t xml:space="preserve">The service provides </w:t>
      </w:r>
      <w:r w:rsidR="00763CA0">
        <w:t>proactive</w:t>
      </w:r>
      <w:r>
        <w:t xml:space="preserve"> psychosocial follow-up and support for up to three months</w:t>
      </w:r>
    </w:p>
    <w:p w14:paraId="0EDBBF03" w14:textId="4F5CE237" w:rsidR="0021064F" w:rsidRPr="00844B08" w:rsidRDefault="41266986" w:rsidP="0004363E">
      <w:pPr>
        <w:pStyle w:val="Bullet"/>
        <w:spacing w:after="60"/>
      </w:pPr>
      <w:r>
        <w:t xml:space="preserve">The </w:t>
      </w:r>
      <w:r w:rsidR="36BD31E0">
        <w:t>participant</w:t>
      </w:r>
      <w:r>
        <w:t xml:space="preserve"> </w:t>
      </w:r>
      <w:r w:rsidR="00A57F1D">
        <w:t xml:space="preserve">is provided with a </w:t>
      </w:r>
      <w:r>
        <w:t>support coordinator</w:t>
      </w:r>
      <w:r w:rsidR="00A57F1D">
        <w:t xml:space="preserve"> </w:t>
      </w:r>
      <w:r w:rsidR="0022291C">
        <w:t xml:space="preserve">who </w:t>
      </w:r>
      <w:r w:rsidR="00AF06D9">
        <w:t xml:space="preserve">connects them with the tools, </w:t>
      </w:r>
      <w:r w:rsidR="0027473C">
        <w:t xml:space="preserve">services and supports needed to </w:t>
      </w:r>
      <w:r w:rsidR="00AF06D9">
        <w:t xml:space="preserve">support </w:t>
      </w:r>
      <w:r w:rsidR="0022291C">
        <w:t>recovery</w:t>
      </w:r>
    </w:p>
    <w:p w14:paraId="76C280D2" w14:textId="520A954A" w:rsidR="001311A7" w:rsidRDefault="0021064F" w:rsidP="0004363E">
      <w:pPr>
        <w:pStyle w:val="Bullet"/>
        <w:spacing w:after="60"/>
      </w:pPr>
      <w:r>
        <w:t xml:space="preserve">The service aims to ensure continuity of care by supporting the </w:t>
      </w:r>
      <w:r w:rsidR="002F6D7A">
        <w:t>participant</w:t>
      </w:r>
      <w:r>
        <w:t xml:space="preserve"> to access </w:t>
      </w:r>
      <w:r w:rsidR="00FC5E1D">
        <w:t>further</w:t>
      </w:r>
      <w:r w:rsidDel="00FC5E1D">
        <w:t xml:space="preserve"> </w:t>
      </w:r>
      <w:r>
        <w:t>supports to address the issues contributing to their suicidality</w:t>
      </w:r>
      <w:r w:rsidR="00042F7A">
        <w:t>.</w:t>
      </w:r>
      <w:r>
        <w:rPr>
          <w:rStyle w:val="FootnoteReference"/>
        </w:rPr>
        <w:footnoteReference w:id="27"/>
      </w:r>
    </w:p>
    <w:p w14:paraId="4B4FC361" w14:textId="382ABCB6" w:rsidR="0021064F" w:rsidRPr="00244F7E" w:rsidRDefault="6791BF88" w:rsidP="00244F7E">
      <w:pPr>
        <w:pStyle w:val="Caption"/>
      </w:pPr>
      <w:bookmarkStart w:id="45" w:name="_Ref83301777"/>
      <w:r w:rsidRPr="00244F7E">
        <w:t xml:space="preserve">Figure </w:t>
      </w:r>
      <w:r w:rsidR="00085D02">
        <w:rPr>
          <w:rStyle w:val="CaptionChar"/>
        </w:rPr>
        <w:fldChar w:fldCharType="begin"/>
      </w:r>
      <w:r w:rsidR="00085D02">
        <w:rPr>
          <w:rStyle w:val="CaptionChar"/>
        </w:rPr>
        <w:instrText xml:space="preserve"> SEQ Figure \* ARABIC </w:instrText>
      </w:r>
      <w:r w:rsidR="00085D02">
        <w:rPr>
          <w:rStyle w:val="CaptionChar"/>
        </w:rPr>
        <w:fldChar w:fldCharType="separate"/>
      </w:r>
      <w:r w:rsidR="00402362">
        <w:rPr>
          <w:rStyle w:val="CaptionChar"/>
          <w:noProof/>
        </w:rPr>
        <w:t>3</w:t>
      </w:r>
      <w:r w:rsidR="00085D02">
        <w:rPr>
          <w:rStyle w:val="CaptionChar"/>
        </w:rPr>
        <w:fldChar w:fldCharType="end"/>
      </w:r>
      <w:bookmarkEnd w:id="45"/>
      <w:r w:rsidRPr="00244F7E">
        <w:t xml:space="preserve"> | The Way Back service model</w:t>
      </w:r>
      <w:r w:rsidR="0021064F" w:rsidRPr="74B83E5E">
        <w:rPr>
          <w:rStyle w:val="FootnoteReference"/>
          <w:rFonts w:eastAsiaTheme="majorEastAsia"/>
        </w:rPr>
        <w:footnoteReference w:id="28"/>
      </w:r>
    </w:p>
    <w:p w14:paraId="4E0748EA" w14:textId="36DA2CEA" w:rsidR="0021064F" w:rsidRPr="00710649" w:rsidRDefault="00667B03" w:rsidP="00600DA7">
      <w:pPr>
        <w:pStyle w:val="Bullet"/>
        <w:numPr>
          <w:ilvl w:val="0"/>
          <w:numId w:val="0"/>
        </w:numPr>
        <w:rPr>
          <w:lang w:val="en-US"/>
        </w:rPr>
      </w:pPr>
      <w:r w:rsidRPr="00667B03">
        <w:rPr>
          <w:noProof/>
        </w:rPr>
        <w:drawing>
          <wp:inline distT="0" distB="0" distL="0" distR="0" wp14:anchorId="6AF9E3C6" wp14:editId="552EED4C">
            <wp:extent cx="5670550" cy="4714240"/>
            <wp:effectExtent l="0" t="0" r="6350" b="0"/>
            <wp:docPr id="1038753011" name="Graphic 1038753011" descr="Figure 3 is an infographic showing The Way Back service model. Figure 3 is discussed in detail under chapter 4.4 4.4 Four key enablers supported delivery of The Way B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11" name="Graphic 1038753011" descr="Figure 3 is an infographic showing The Way Back service model. Figure 3 is discussed in detail under chapter 4.4 4.4 Four key enablers supported delivery of The Way Back. "/>
                    <pic:cNvPicPr/>
                  </pic:nvPicPr>
                  <pic:blipFill>
                    <a:blip r:embed="rId32">
                      <a:extLst>
                        <a:ext uri="{96DAC541-7B7A-43D3-8B79-37D633B846F1}">
                          <asvg:svgBlip xmlns:asvg="http://schemas.microsoft.com/office/drawing/2016/SVG/main" r:embed="rId33"/>
                        </a:ext>
                      </a:extLst>
                    </a:blip>
                    <a:stretch>
                      <a:fillRect/>
                    </a:stretch>
                  </pic:blipFill>
                  <pic:spPr>
                    <a:xfrm>
                      <a:off x="0" y="0"/>
                      <a:ext cx="5670550" cy="4714240"/>
                    </a:xfrm>
                    <a:prstGeom prst="rect">
                      <a:avLst/>
                    </a:prstGeom>
                  </pic:spPr>
                </pic:pic>
              </a:graphicData>
            </a:graphic>
          </wp:inline>
        </w:drawing>
      </w:r>
    </w:p>
    <w:p w14:paraId="08850956" w14:textId="5C2595CB" w:rsidR="0021064F" w:rsidRDefault="0021064F" w:rsidP="0021064F">
      <w:pPr>
        <w:pStyle w:val="Bullet"/>
        <w:numPr>
          <w:ilvl w:val="0"/>
          <w:numId w:val="0"/>
        </w:numPr>
      </w:pPr>
      <w:r>
        <w:t xml:space="preserve">The key service features </w:t>
      </w:r>
      <w:r w:rsidR="008752F9" w:rsidDel="00B91A3A">
        <w:t>were</w:t>
      </w:r>
      <w:r w:rsidR="00D25E9F">
        <w:t xml:space="preserve"> developed </w:t>
      </w:r>
      <w:r w:rsidR="006F3A99">
        <w:t>by Beyond Blue</w:t>
      </w:r>
      <w:r w:rsidR="00B91A3A">
        <w:t xml:space="preserve"> </w:t>
      </w:r>
      <w:r w:rsidR="00D25E9F">
        <w:t>based on</w:t>
      </w:r>
      <w:r>
        <w:t xml:space="preserve"> the </w:t>
      </w:r>
      <w:r w:rsidR="00B91A3A">
        <w:t>available</w:t>
      </w:r>
      <w:r>
        <w:t xml:space="preserve"> evidence on aftercare and suicide prevention. For example, evidence demonstrate</w:t>
      </w:r>
      <w:r w:rsidR="005C512F">
        <w:t>d</w:t>
      </w:r>
      <w:r>
        <w:t xml:space="preserve"> </w:t>
      </w:r>
      <w:r w:rsidR="00796228">
        <w:t>that</w:t>
      </w:r>
      <w:r>
        <w:t xml:space="preserve"> effective models of aftercare address the psychosocial needs of </w:t>
      </w:r>
      <w:r w:rsidR="002F6D7A">
        <w:t>participants</w:t>
      </w:r>
      <w:r>
        <w:t xml:space="preserve">, provide continuity of </w:t>
      </w:r>
      <w:proofErr w:type="gramStart"/>
      <w:r>
        <w:t>care</w:t>
      </w:r>
      <w:proofErr w:type="gramEnd"/>
      <w:r>
        <w:t xml:space="preserve"> and involve a strong therapeutic alliance between the support coordinator and the </w:t>
      </w:r>
      <w:r w:rsidR="002F6D7A">
        <w:t>participant</w:t>
      </w:r>
      <w:r>
        <w:t>.</w:t>
      </w:r>
      <w:r>
        <w:rPr>
          <w:rStyle w:val="FootnoteReference"/>
        </w:rPr>
        <w:footnoteReference w:id="29"/>
      </w:r>
      <w:r>
        <w:t xml:space="preserve"> The service model also aim</w:t>
      </w:r>
      <w:r w:rsidR="00FD0CB4">
        <w:t>ed</w:t>
      </w:r>
      <w:r>
        <w:t xml:space="preserve"> to engage </w:t>
      </w:r>
      <w:r w:rsidR="002F6D7A">
        <w:t>participants</w:t>
      </w:r>
      <w:r>
        <w:t xml:space="preserve"> at their highest period of risk, which is within </w:t>
      </w:r>
      <w:r w:rsidR="00643EF1">
        <w:t>three</w:t>
      </w:r>
      <w:r>
        <w:t xml:space="preserve"> months of discharge from hospital following a suicide attempt.</w:t>
      </w:r>
      <w:r>
        <w:rPr>
          <w:rStyle w:val="FootnoteReference"/>
        </w:rPr>
        <w:footnoteReference w:id="30"/>
      </w:r>
      <w:r>
        <w:t xml:space="preserve"> </w:t>
      </w:r>
    </w:p>
    <w:p w14:paraId="7C94C9F0" w14:textId="5A965CD2" w:rsidR="009D223D" w:rsidRDefault="009D223D" w:rsidP="00623868">
      <w:pPr>
        <w:pStyle w:val="Heading2"/>
      </w:pPr>
      <w:r>
        <w:lastRenderedPageBreak/>
        <w:t>PHNs determined the feasibility of implementing The Way Back in their local area.</w:t>
      </w:r>
    </w:p>
    <w:p w14:paraId="7313E71B" w14:textId="5CF9556F" w:rsidR="009D223D" w:rsidRDefault="009D223D" w:rsidP="009D223D">
      <w:pPr>
        <w:rPr>
          <w:lang w:eastAsia="en-AU"/>
        </w:rPr>
      </w:pPr>
      <w:r>
        <w:rPr>
          <w:lang w:eastAsia="en-AU"/>
        </w:rPr>
        <w:t>Suggested site locations were outlined in the 2018 bilateral funding agreement (</w:t>
      </w:r>
      <w:r w:rsidRPr="009F7A50">
        <w:rPr>
          <w:lang w:eastAsia="en-AU"/>
        </w:rPr>
        <w:t xml:space="preserve">see </w:t>
      </w:r>
      <w:r w:rsidR="0022384E">
        <w:rPr>
          <w:lang w:eastAsia="en-AU"/>
        </w:rPr>
        <w:t>s</w:t>
      </w:r>
      <w:r w:rsidRPr="009F7A50">
        <w:rPr>
          <w:lang w:eastAsia="en-AU"/>
        </w:rPr>
        <w:t>ection</w:t>
      </w:r>
      <w:r w:rsidR="000E045A">
        <w:rPr>
          <w:lang w:eastAsia="en-AU"/>
        </w:rPr>
        <w:t xml:space="preserve"> </w:t>
      </w:r>
      <w:r w:rsidR="0022384E">
        <w:rPr>
          <w:lang w:eastAsia="en-AU"/>
        </w:rPr>
        <w:fldChar w:fldCharType="begin"/>
      </w:r>
      <w:r w:rsidR="0022384E">
        <w:rPr>
          <w:lang w:eastAsia="en-AU"/>
        </w:rPr>
        <w:instrText xml:space="preserve"> REF _Ref118127577 \n \h </w:instrText>
      </w:r>
      <w:r w:rsidR="0022384E">
        <w:rPr>
          <w:lang w:eastAsia="en-AU"/>
        </w:rPr>
      </w:r>
      <w:r w:rsidR="0022384E">
        <w:rPr>
          <w:lang w:eastAsia="en-AU"/>
        </w:rPr>
        <w:fldChar w:fldCharType="separate"/>
      </w:r>
      <w:r w:rsidR="00402362">
        <w:rPr>
          <w:lang w:eastAsia="en-AU"/>
        </w:rPr>
        <w:t>9.3</w:t>
      </w:r>
      <w:r w:rsidR="0022384E">
        <w:rPr>
          <w:lang w:eastAsia="en-AU"/>
        </w:rPr>
        <w:fldChar w:fldCharType="end"/>
      </w:r>
      <w:r w:rsidRPr="009F7A50">
        <w:rPr>
          <w:lang w:eastAsia="en-AU"/>
        </w:rPr>
        <w:t>).</w:t>
      </w:r>
      <w:r>
        <w:rPr>
          <w:lang w:eastAsia="en-AU"/>
        </w:rPr>
        <w:t xml:space="preserve"> Beyond Blue sought expressions of interest to determine which PHNs would be interested in establishing The Way Back. PHNs were requested to also consider how The Way Back would complement their existing mental health system. This included considerations such as: </w:t>
      </w:r>
    </w:p>
    <w:p w14:paraId="5D95FECD" w14:textId="784E4530" w:rsidR="009D223D" w:rsidRDefault="009D223D" w:rsidP="009D223D">
      <w:pPr>
        <w:pStyle w:val="Bullet"/>
      </w:pPr>
      <w:r>
        <w:t>locations of hospitals</w:t>
      </w:r>
      <w:r w:rsidR="0029488F">
        <w:t>.</w:t>
      </w:r>
    </w:p>
    <w:p w14:paraId="5E5CF263" w14:textId="6BB0CA50" w:rsidR="009D223D" w:rsidRDefault="009D223D" w:rsidP="009D223D">
      <w:pPr>
        <w:pStyle w:val="Bullet"/>
      </w:pPr>
      <w:r>
        <w:t>existing funding arrangements for other suicide prevention programs</w:t>
      </w:r>
      <w:r w:rsidR="0029488F">
        <w:t>.</w:t>
      </w:r>
    </w:p>
    <w:p w14:paraId="3F678868" w14:textId="1BE55C0B" w:rsidR="006E139B" w:rsidRPr="00FC5B42" w:rsidRDefault="009D223D" w:rsidP="002506ED">
      <w:pPr>
        <w:pStyle w:val="Bullet"/>
      </w:pPr>
      <w:r>
        <w:t>the availability of other mental health programs and how these respond to suicidality</w:t>
      </w:r>
      <w:r w:rsidR="00E36BAD">
        <w:t>.</w:t>
      </w:r>
    </w:p>
    <w:p w14:paraId="53D565A3" w14:textId="7C7B7DDF" w:rsidR="009D223D" w:rsidRDefault="55652806" w:rsidP="00623868">
      <w:pPr>
        <w:pStyle w:val="Heading2"/>
      </w:pPr>
      <w:r>
        <w:t>Beyond Blue</w:t>
      </w:r>
      <w:r w:rsidR="0041C45B">
        <w:t>,</w:t>
      </w:r>
      <w:r>
        <w:t xml:space="preserve"> </w:t>
      </w:r>
      <w:r w:rsidR="00A80D42">
        <w:t xml:space="preserve">states and territories, </w:t>
      </w:r>
      <w:r w:rsidR="776DAE6F">
        <w:t>PHNs</w:t>
      </w:r>
      <w:r w:rsidR="3988D5D2">
        <w:t xml:space="preserve">, and providers supported implementation </w:t>
      </w:r>
      <w:r w:rsidR="618A5E6A">
        <w:t>of The Way Back</w:t>
      </w:r>
      <w:r w:rsidR="5CA9DD55">
        <w:t>.</w:t>
      </w:r>
    </w:p>
    <w:p w14:paraId="625C9A22" w14:textId="42C18616" w:rsidR="00F24E71" w:rsidRDefault="006263F0" w:rsidP="009D223D">
      <w:pPr>
        <w:rPr>
          <w:lang w:eastAsia="en-AU"/>
        </w:rPr>
      </w:pPr>
      <w:r>
        <w:rPr>
          <w:lang w:eastAsia="en-AU"/>
        </w:rPr>
        <w:t>If t</w:t>
      </w:r>
      <w:r w:rsidR="007212DF">
        <w:rPr>
          <w:lang w:eastAsia="en-AU"/>
        </w:rPr>
        <w:t xml:space="preserve">he </w:t>
      </w:r>
      <w:r w:rsidR="002F660A">
        <w:rPr>
          <w:lang w:eastAsia="en-AU"/>
        </w:rPr>
        <w:t>Australian</w:t>
      </w:r>
      <w:r w:rsidR="00671A94">
        <w:rPr>
          <w:lang w:eastAsia="en-AU"/>
        </w:rPr>
        <w:t>,</w:t>
      </w:r>
      <w:r w:rsidR="007212DF">
        <w:rPr>
          <w:lang w:eastAsia="en-AU"/>
        </w:rPr>
        <w:t xml:space="preserve"> and </w:t>
      </w:r>
      <w:r w:rsidR="00465519">
        <w:rPr>
          <w:lang w:eastAsia="en-AU"/>
        </w:rPr>
        <w:t>s</w:t>
      </w:r>
      <w:r w:rsidR="007212DF">
        <w:rPr>
          <w:lang w:eastAsia="en-AU"/>
        </w:rPr>
        <w:t xml:space="preserve">tates and </w:t>
      </w:r>
      <w:r w:rsidR="00F33F61">
        <w:rPr>
          <w:lang w:eastAsia="en-AU"/>
        </w:rPr>
        <w:t>t</w:t>
      </w:r>
      <w:r w:rsidR="007212DF">
        <w:rPr>
          <w:lang w:eastAsia="en-AU"/>
        </w:rPr>
        <w:t>erritor</w:t>
      </w:r>
      <w:r w:rsidR="00A41E06">
        <w:rPr>
          <w:lang w:eastAsia="en-AU"/>
        </w:rPr>
        <w:t>y</w:t>
      </w:r>
      <w:r w:rsidR="00C93CAB">
        <w:rPr>
          <w:lang w:eastAsia="en-AU"/>
        </w:rPr>
        <w:t xml:space="preserve"> </w:t>
      </w:r>
      <w:r w:rsidR="00A41E06">
        <w:rPr>
          <w:lang w:eastAsia="en-AU"/>
        </w:rPr>
        <w:t>g</w:t>
      </w:r>
      <w:r w:rsidR="00C93CAB">
        <w:rPr>
          <w:lang w:eastAsia="en-AU"/>
        </w:rPr>
        <w:t>overnments</w:t>
      </w:r>
      <w:r w:rsidR="009D223D" w:rsidRPr="5F0B1C35">
        <w:rPr>
          <w:lang w:eastAsia="en-AU"/>
        </w:rPr>
        <w:t xml:space="preserve"> </w:t>
      </w:r>
      <w:r>
        <w:rPr>
          <w:lang w:eastAsia="en-AU"/>
        </w:rPr>
        <w:t>chose</w:t>
      </w:r>
      <w:r w:rsidR="009D223D" w:rsidRPr="5F0B1C35">
        <w:rPr>
          <w:lang w:eastAsia="en-AU"/>
        </w:rPr>
        <w:t xml:space="preserve"> to establish a new site, the PHN in the local area received funding to commission a provider to deliver The Way Back. </w:t>
      </w:r>
      <w:r w:rsidR="009964CC">
        <w:rPr>
          <w:lang w:eastAsia="en-AU"/>
        </w:rPr>
        <w:t xml:space="preserve"> </w:t>
      </w:r>
      <w:r w:rsidR="009D223D">
        <w:rPr>
          <w:lang w:eastAsia="en-AU"/>
        </w:rPr>
        <w:t>Beyond Blue</w:t>
      </w:r>
      <w:r w:rsidR="009964CC">
        <w:rPr>
          <w:lang w:eastAsia="en-AU"/>
        </w:rPr>
        <w:t xml:space="preserve">, PHNs and providers all </w:t>
      </w:r>
      <w:r w:rsidR="00F24E71">
        <w:rPr>
          <w:lang w:eastAsia="en-AU"/>
        </w:rPr>
        <w:t xml:space="preserve">contributed to </w:t>
      </w:r>
      <w:r w:rsidR="009964CC">
        <w:rPr>
          <w:lang w:eastAsia="en-AU"/>
        </w:rPr>
        <w:t>implementing The Way Back.</w:t>
      </w:r>
    </w:p>
    <w:p w14:paraId="41A4C5F0" w14:textId="12B1BFCE" w:rsidR="00F24E71" w:rsidRDefault="00F24E71" w:rsidP="009D223D">
      <w:pPr>
        <w:rPr>
          <w:lang w:eastAsia="en-AU"/>
        </w:rPr>
      </w:pPr>
      <w:r>
        <w:rPr>
          <w:lang w:eastAsia="en-AU"/>
        </w:rPr>
        <w:t xml:space="preserve">Beyond Blue </w:t>
      </w:r>
      <w:r w:rsidR="003021E7">
        <w:rPr>
          <w:lang w:eastAsia="en-AU"/>
        </w:rPr>
        <w:t xml:space="preserve">provided </w:t>
      </w:r>
      <w:r w:rsidR="00955459">
        <w:rPr>
          <w:lang w:eastAsia="en-AU"/>
        </w:rPr>
        <w:t xml:space="preserve">The Way Back license to PHNs so </w:t>
      </w:r>
      <w:r w:rsidR="003C214D">
        <w:rPr>
          <w:lang w:eastAsia="en-AU"/>
        </w:rPr>
        <w:t>they</w:t>
      </w:r>
      <w:r w:rsidR="00955459">
        <w:rPr>
          <w:lang w:eastAsia="en-AU"/>
        </w:rPr>
        <w:t xml:space="preserve"> could commission a provider to deliver The Way Back. Beyond Blue also provided </w:t>
      </w:r>
      <w:r w:rsidR="003021E7">
        <w:rPr>
          <w:lang w:eastAsia="en-AU"/>
        </w:rPr>
        <w:t>ongoing and support and guidance to PHN</w:t>
      </w:r>
      <w:r w:rsidR="00955459">
        <w:rPr>
          <w:lang w:eastAsia="en-AU"/>
        </w:rPr>
        <w:t xml:space="preserve">s </w:t>
      </w:r>
      <w:r w:rsidR="003021E7">
        <w:rPr>
          <w:lang w:eastAsia="en-AU"/>
        </w:rPr>
        <w:t>regarding commissioning,</w:t>
      </w:r>
      <w:r w:rsidR="00955459">
        <w:rPr>
          <w:lang w:eastAsia="en-AU"/>
        </w:rPr>
        <w:t xml:space="preserve"> </w:t>
      </w:r>
      <w:r w:rsidR="00451660">
        <w:rPr>
          <w:lang w:eastAsia="en-AU"/>
        </w:rPr>
        <w:t xml:space="preserve">collaboration with </w:t>
      </w:r>
      <w:r w:rsidR="00C20FE4">
        <w:rPr>
          <w:lang w:eastAsia="en-AU"/>
        </w:rPr>
        <w:t>referring partners</w:t>
      </w:r>
      <w:r w:rsidR="003C214D">
        <w:rPr>
          <w:lang w:eastAsia="en-AU"/>
        </w:rPr>
        <w:t>, governance, data compliance, reporting, training, and marketing</w:t>
      </w:r>
      <w:r w:rsidR="00955459">
        <w:rPr>
          <w:lang w:eastAsia="en-AU"/>
        </w:rPr>
        <w:t>.</w:t>
      </w:r>
    </w:p>
    <w:p w14:paraId="3A98EE2C" w14:textId="7FCC312A" w:rsidR="007D4A21" w:rsidRDefault="007D4A21" w:rsidP="009D223D">
      <w:pPr>
        <w:rPr>
          <w:lang w:eastAsia="en-AU"/>
        </w:rPr>
      </w:pPr>
      <w:r>
        <w:rPr>
          <w:lang w:eastAsia="en-AU"/>
        </w:rPr>
        <w:t>States and territories</w:t>
      </w:r>
      <w:r w:rsidR="00A67FFB">
        <w:rPr>
          <w:lang w:eastAsia="en-AU"/>
        </w:rPr>
        <w:t xml:space="preserve"> </w:t>
      </w:r>
      <w:r w:rsidR="0018114C">
        <w:rPr>
          <w:lang w:eastAsia="en-AU"/>
        </w:rPr>
        <w:t xml:space="preserve">also </w:t>
      </w:r>
      <w:r w:rsidR="007E530A">
        <w:rPr>
          <w:lang w:eastAsia="en-AU"/>
        </w:rPr>
        <w:t xml:space="preserve">contributed to the safe and effective delivery of </w:t>
      </w:r>
      <w:r w:rsidR="00B53FA1">
        <w:rPr>
          <w:lang w:eastAsia="en-AU"/>
        </w:rPr>
        <w:t xml:space="preserve">services </w:t>
      </w:r>
      <w:r w:rsidR="002A0CF1">
        <w:rPr>
          <w:lang w:eastAsia="en-AU"/>
        </w:rPr>
        <w:t xml:space="preserve">through their attendance at site steering groups and </w:t>
      </w:r>
      <w:r w:rsidR="00B53FA1">
        <w:rPr>
          <w:lang w:eastAsia="en-AU"/>
        </w:rPr>
        <w:t xml:space="preserve">ensuring </w:t>
      </w:r>
      <w:r w:rsidR="0078030C">
        <w:rPr>
          <w:lang w:eastAsia="en-AU"/>
        </w:rPr>
        <w:t xml:space="preserve">local needs were </w:t>
      </w:r>
      <w:r w:rsidR="00967354">
        <w:rPr>
          <w:lang w:eastAsia="en-AU"/>
        </w:rPr>
        <w:t xml:space="preserve">considered at a national level through </w:t>
      </w:r>
      <w:r w:rsidR="0018114C">
        <w:rPr>
          <w:lang w:eastAsia="en-AU"/>
        </w:rPr>
        <w:t>attendance on the National Advisory Committee and Data Management and Evaluation Sub Committee.</w:t>
      </w:r>
    </w:p>
    <w:p w14:paraId="12B83589" w14:textId="242606BF" w:rsidR="00F24E71" w:rsidRDefault="1A5FDBAA" w:rsidP="74B83E5E">
      <w:pPr>
        <w:rPr>
          <w:lang w:eastAsia="en-AU"/>
        </w:rPr>
      </w:pPr>
      <w:r w:rsidRPr="003D255B">
        <w:rPr>
          <w:rFonts w:eastAsiaTheme="minorEastAsia"/>
          <w:szCs w:val="19"/>
          <w:lang w:eastAsia="en-AU"/>
        </w:rPr>
        <w:t xml:space="preserve">The </w:t>
      </w:r>
      <w:r w:rsidR="06E34DCD" w:rsidRPr="003D255B">
        <w:rPr>
          <w:rFonts w:eastAsiaTheme="minorEastAsia"/>
          <w:szCs w:val="19"/>
          <w:lang w:eastAsia="en-AU"/>
        </w:rPr>
        <w:t>PHN</w:t>
      </w:r>
      <w:r w:rsidR="599BFFF3" w:rsidRPr="003D255B">
        <w:rPr>
          <w:rFonts w:eastAsiaTheme="minorEastAsia"/>
          <w:szCs w:val="19"/>
          <w:lang w:eastAsia="en-AU"/>
        </w:rPr>
        <w:t>s</w:t>
      </w:r>
      <w:r w:rsidRPr="003D255B">
        <w:rPr>
          <w:rFonts w:eastAsiaTheme="minorEastAsia"/>
          <w:szCs w:val="19"/>
          <w:lang w:eastAsia="en-AU"/>
        </w:rPr>
        <w:t xml:space="preserve"> </w:t>
      </w:r>
      <w:r w:rsidR="06E34DCD" w:rsidRPr="003D255B">
        <w:rPr>
          <w:rFonts w:eastAsiaTheme="minorEastAsia"/>
          <w:szCs w:val="19"/>
          <w:lang w:eastAsia="en-AU"/>
        </w:rPr>
        <w:t>provided</w:t>
      </w:r>
      <w:r w:rsidR="55A57E0D" w:rsidRPr="003D255B">
        <w:rPr>
          <w:rFonts w:eastAsiaTheme="minorEastAsia"/>
          <w:szCs w:val="19"/>
          <w:lang w:eastAsia="en-AU"/>
        </w:rPr>
        <w:t xml:space="preserve"> expert local knowledge of sites, and established stakeholder relationships (for example, </w:t>
      </w:r>
      <w:r w:rsidR="1FB88E4E" w:rsidRPr="003D255B">
        <w:rPr>
          <w:rFonts w:eastAsiaTheme="minorEastAsia"/>
          <w:szCs w:val="19"/>
          <w:lang w:eastAsia="en-AU"/>
        </w:rPr>
        <w:t>between Beyond Blue and providers)</w:t>
      </w:r>
      <w:r w:rsidR="306D9D19" w:rsidRPr="003D255B">
        <w:rPr>
          <w:rFonts w:eastAsiaTheme="minorEastAsia"/>
          <w:szCs w:val="19"/>
          <w:lang w:eastAsia="en-AU"/>
        </w:rPr>
        <w:t xml:space="preserve"> and reporting and governance processes</w:t>
      </w:r>
      <w:r w:rsidRPr="003D255B">
        <w:rPr>
          <w:rFonts w:eastAsiaTheme="minorEastAsia"/>
          <w:szCs w:val="19"/>
          <w:lang w:eastAsia="en-AU"/>
        </w:rPr>
        <w:t xml:space="preserve"> for their site.</w:t>
      </w:r>
    </w:p>
    <w:p w14:paraId="3CA8FBBA" w14:textId="12F12073" w:rsidR="009D223D" w:rsidRDefault="007922B1" w:rsidP="003D255B">
      <w:r>
        <w:t xml:space="preserve">Some </w:t>
      </w:r>
      <w:r w:rsidR="009D223D">
        <w:t>provider</w:t>
      </w:r>
      <w:r w:rsidR="00B93A88">
        <w:t>s</w:t>
      </w:r>
      <w:r w:rsidR="009D223D">
        <w:t>:</w:t>
      </w:r>
    </w:p>
    <w:p w14:paraId="39CDDC6C" w14:textId="77777777" w:rsidR="009D223D" w:rsidRDefault="009D223D" w:rsidP="009D223D">
      <w:pPr>
        <w:pStyle w:val="Bullet"/>
      </w:pPr>
      <w:r>
        <w:t>Adapted the service model to suit the site’s local context, while maintaining the core elements of the model to ensure service model fidelity and quality.</w:t>
      </w:r>
    </w:p>
    <w:p w14:paraId="298DEA83" w14:textId="1F4FE0D1" w:rsidR="009D223D" w:rsidRDefault="55652806" w:rsidP="009D223D">
      <w:pPr>
        <w:pStyle w:val="Bullet"/>
      </w:pPr>
      <w:r>
        <w:t>Used project management software to monitor progress made to implement the service model at a new site.</w:t>
      </w:r>
    </w:p>
    <w:p w14:paraId="446A5DCF" w14:textId="77777777" w:rsidR="009D223D" w:rsidRDefault="009D223D" w:rsidP="009D223D">
      <w:pPr>
        <w:pStyle w:val="Bullet"/>
      </w:pPr>
      <w:r>
        <w:t xml:space="preserve">Recruited and trained staff to deliver The Way Back (supported by the Beyond Blue training program). </w:t>
      </w:r>
    </w:p>
    <w:p w14:paraId="3F9DAD35" w14:textId="754E9BC6" w:rsidR="009D223D" w:rsidRDefault="009D223D" w:rsidP="009D223D">
      <w:pPr>
        <w:pStyle w:val="Bullet"/>
      </w:pPr>
      <w:r>
        <w:t>Reviewed the service from a clinical governance perspective to ensure appropriate clinical risk management processes were put in place.</w:t>
      </w:r>
    </w:p>
    <w:p w14:paraId="63BADF42" w14:textId="24CE06A3" w:rsidR="0072049E" w:rsidRDefault="003D7603" w:rsidP="008B32DE">
      <w:pPr>
        <w:pStyle w:val="Bullet"/>
      </w:pPr>
      <w:r w:rsidRPr="008B32DE">
        <w:t>Worked with</w:t>
      </w:r>
      <w:r w:rsidR="00984EF6" w:rsidRPr="008B32DE">
        <w:t xml:space="preserve"> their commissioning PH</w:t>
      </w:r>
      <w:r w:rsidR="00223E76" w:rsidRPr="008B32DE">
        <w:t>Ns</w:t>
      </w:r>
      <w:r w:rsidR="00984EF6" w:rsidRPr="008B32DE">
        <w:t xml:space="preserve"> to establish reporting and governance </w:t>
      </w:r>
      <w:r w:rsidR="00223E76" w:rsidRPr="008B32DE">
        <w:t xml:space="preserve">processes. </w:t>
      </w:r>
    </w:p>
    <w:p w14:paraId="0EE155AA" w14:textId="20F1EF88" w:rsidR="00C14AA7" w:rsidRDefault="00C14AA7" w:rsidP="00C14AA7">
      <w:pPr>
        <w:pStyle w:val="Bullet"/>
        <w:numPr>
          <w:ilvl w:val="0"/>
          <w:numId w:val="0"/>
        </w:numPr>
        <w:ind w:left="340" w:hanging="340"/>
      </w:pPr>
      <w:r>
        <w:t xml:space="preserve">Appendix </w:t>
      </w:r>
      <w:r w:rsidR="001A1D37">
        <w:t xml:space="preserve">A </w:t>
      </w:r>
      <w:r>
        <w:t>provides a list of operational sites and commencement dates.</w:t>
      </w:r>
    </w:p>
    <w:p w14:paraId="265667E9" w14:textId="5573C1CC" w:rsidR="003A715F" w:rsidRDefault="003A715F" w:rsidP="00623868">
      <w:pPr>
        <w:pStyle w:val="Heading2"/>
      </w:pPr>
      <w:r>
        <w:t>Four key enablers support</w:t>
      </w:r>
      <w:r w:rsidR="00BD2339">
        <w:t xml:space="preserve">ed </w:t>
      </w:r>
      <w:r>
        <w:t>delivery of The Way Back.</w:t>
      </w:r>
    </w:p>
    <w:p w14:paraId="3987FB5D" w14:textId="213DAA2F" w:rsidR="009D223D" w:rsidRPr="001568CF" w:rsidRDefault="0084586E" w:rsidP="008B32DE">
      <w:r>
        <w:rPr>
          <w:rFonts w:asciiTheme="minorHAnsi" w:hAnsiTheme="minorHAnsi" w:cstheme="minorHAnsi"/>
        </w:rPr>
        <w:t xml:space="preserve">As outlined in </w:t>
      </w:r>
      <w:r w:rsidRPr="00091132">
        <w:rPr>
          <w:rFonts w:asciiTheme="minorHAnsi" w:hAnsiTheme="minorHAnsi" w:cstheme="minorHAnsi"/>
        </w:rPr>
        <w:fldChar w:fldCharType="begin"/>
      </w:r>
      <w:r w:rsidRPr="00091132">
        <w:rPr>
          <w:rFonts w:asciiTheme="minorHAnsi" w:hAnsiTheme="minorHAnsi" w:cstheme="minorHAnsi"/>
        </w:rPr>
        <w:instrText xml:space="preserve"> REF _Ref83301777 \h </w:instrText>
      </w:r>
      <w:r>
        <w:rPr>
          <w:rFonts w:asciiTheme="minorHAnsi" w:hAnsiTheme="minorHAnsi" w:cstheme="minorHAnsi"/>
        </w:rPr>
        <w:instrText xml:space="preserve"> \* MERGEFORMAT </w:instrText>
      </w:r>
      <w:r w:rsidRPr="00091132">
        <w:rPr>
          <w:rFonts w:asciiTheme="minorHAnsi" w:hAnsiTheme="minorHAnsi" w:cstheme="minorHAnsi"/>
        </w:rPr>
      </w:r>
      <w:r w:rsidRPr="00091132">
        <w:rPr>
          <w:rFonts w:asciiTheme="minorHAnsi" w:hAnsiTheme="minorHAnsi" w:cstheme="minorHAnsi"/>
        </w:rPr>
        <w:fldChar w:fldCharType="separate"/>
      </w:r>
      <w:r w:rsidR="00402362" w:rsidRPr="00402362">
        <w:rPr>
          <w:rStyle w:val="CaptionChar"/>
          <w:rFonts w:asciiTheme="minorHAnsi" w:hAnsiTheme="minorHAnsi" w:cstheme="minorHAnsi"/>
        </w:rPr>
        <w:t xml:space="preserve">Figure </w:t>
      </w:r>
      <w:r w:rsidR="00402362" w:rsidRPr="00402362">
        <w:rPr>
          <w:rStyle w:val="CaptionChar"/>
          <w:rFonts w:asciiTheme="minorHAnsi" w:hAnsiTheme="minorHAnsi" w:cstheme="minorHAnsi"/>
          <w:noProof/>
        </w:rPr>
        <w:t>3</w:t>
      </w:r>
      <w:r w:rsidRPr="00091132">
        <w:rPr>
          <w:rFonts w:asciiTheme="minorHAnsi" w:hAnsiTheme="minorHAnsi" w:cstheme="minorHAnsi"/>
        </w:rPr>
        <w:fldChar w:fldCharType="end"/>
      </w:r>
      <w:r>
        <w:rPr>
          <w:rFonts w:asciiTheme="minorHAnsi" w:hAnsiTheme="minorHAnsi" w:cstheme="minorHAnsi"/>
        </w:rPr>
        <w:t xml:space="preserve"> </w:t>
      </w:r>
      <w:r w:rsidR="00D76550">
        <w:rPr>
          <w:rFonts w:asciiTheme="minorHAnsi" w:hAnsiTheme="minorHAnsi" w:cstheme="minorHAnsi"/>
        </w:rPr>
        <w:t>t</w:t>
      </w:r>
      <w:r>
        <w:rPr>
          <w:rFonts w:asciiTheme="minorHAnsi" w:hAnsiTheme="minorHAnsi" w:cstheme="minorHAnsi"/>
        </w:rPr>
        <w:t>h</w:t>
      </w:r>
      <w:r w:rsidR="000313BE" w:rsidRPr="008B32DE">
        <w:rPr>
          <w:rFonts w:asciiTheme="minorHAnsi" w:hAnsiTheme="minorHAnsi" w:cstheme="minorHAnsi"/>
        </w:rPr>
        <w:t xml:space="preserve">e </w:t>
      </w:r>
      <w:r w:rsidR="003A715F" w:rsidRPr="008B32DE">
        <w:rPr>
          <w:rFonts w:asciiTheme="minorHAnsi" w:hAnsiTheme="minorHAnsi" w:cstheme="minorHAnsi"/>
        </w:rPr>
        <w:t>evaluation identified four key enablers</w:t>
      </w:r>
      <w:r w:rsidR="00845140" w:rsidRPr="008B32DE">
        <w:rPr>
          <w:rFonts w:asciiTheme="minorHAnsi" w:hAnsiTheme="minorHAnsi" w:cstheme="minorHAnsi"/>
        </w:rPr>
        <w:t xml:space="preserve"> that supported delivery of The Way Back</w:t>
      </w:r>
      <w:r>
        <w:rPr>
          <w:rFonts w:asciiTheme="minorHAnsi" w:hAnsiTheme="minorHAnsi" w:cstheme="minorHAnsi"/>
        </w:rPr>
        <w:t>. T</w:t>
      </w:r>
      <w:r w:rsidR="00845140">
        <w:t>hese were:</w:t>
      </w:r>
    </w:p>
    <w:p w14:paraId="7A930143" w14:textId="0C2A6592" w:rsidR="00845140" w:rsidRPr="003B2AAB" w:rsidRDefault="00845140" w:rsidP="00845140">
      <w:pPr>
        <w:pStyle w:val="Bullet"/>
        <w:rPr>
          <w:rFonts w:asciiTheme="majorHAnsi" w:hAnsiTheme="majorHAnsi" w:cstheme="majorHAnsi"/>
        </w:rPr>
      </w:pPr>
      <w:r w:rsidRPr="003B2AAB">
        <w:rPr>
          <w:rFonts w:asciiTheme="majorHAnsi" w:hAnsiTheme="majorHAnsi" w:cstheme="majorHAnsi"/>
        </w:rPr>
        <w:t>Governance and funding</w:t>
      </w:r>
      <w:r w:rsidR="005D7485" w:rsidRPr="003B2AAB">
        <w:rPr>
          <w:rFonts w:asciiTheme="majorHAnsi" w:hAnsiTheme="majorHAnsi" w:cstheme="majorHAnsi"/>
        </w:rPr>
        <w:t>.</w:t>
      </w:r>
      <w:r w:rsidR="005D7485">
        <w:rPr>
          <w:rFonts w:asciiTheme="majorHAnsi" w:hAnsiTheme="majorHAnsi" w:cstheme="majorHAnsi"/>
          <w:b/>
          <w:bCs/>
        </w:rPr>
        <w:t xml:space="preserve"> </w:t>
      </w:r>
      <w:r w:rsidR="001F0FBC">
        <w:rPr>
          <w:rFonts w:asciiTheme="minorHAnsi" w:hAnsiTheme="minorHAnsi" w:cstheme="minorHAnsi"/>
        </w:rPr>
        <w:t xml:space="preserve">These </w:t>
      </w:r>
      <w:r w:rsidR="004278D4">
        <w:rPr>
          <w:rFonts w:asciiTheme="minorHAnsi" w:hAnsiTheme="minorHAnsi" w:cstheme="minorHAnsi"/>
        </w:rPr>
        <w:t xml:space="preserve">were the </w:t>
      </w:r>
      <w:r w:rsidR="00C565BC">
        <w:rPr>
          <w:rFonts w:asciiTheme="minorHAnsi" w:hAnsiTheme="minorHAnsi" w:cstheme="minorHAnsi"/>
        </w:rPr>
        <w:t>accountabilities</w:t>
      </w:r>
      <w:r w:rsidR="00994325">
        <w:rPr>
          <w:rFonts w:asciiTheme="minorHAnsi" w:hAnsiTheme="minorHAnsi" w:cstheme="minorHAnsi"/>
        </w:rPr>
        <w:t xml:space="preserve"> of key stakeholders such as the </w:t>
      </w:r>
      <w:r w:rsidR="00365844">
        <w:rPr>
          <w:rFonts w:asciiTheme="minorHAnsi" w:hAnsiTheme="minorHAnsi" w:cstheme="minorHAnsi"/>
        </w:rPr>
        <w:t>Australian Department of Health and Aged Care</w:t>
      </w:r>
      <w:r w:rsidR="00994325">
        <w:rPr>
          <w:rFonts w:asciiTheme="minorHAnsi" w:hAnsiTheme="minorHAnsi" w:cstheme="minorHAnsi"/>
        </w:rPr>
        <w:t xml:space="preserve">, </w:t>
      </w:r>
      <w:proofErr w:type="gramStart"/>
      <w:r w:rsidR="00A41E06">
        <w:rPr>
          <w:rFonts w:asciiTheme="minorHAnsi" w:hAnsiTheme="minorHAnsi" w:cstheme="minorHAnsi"/>
        </w:rPr>
        <w:t>s</w:t>
      </w:r>
      <w:r w:rsidR="00994325">
        <w:rPr>
          <w:rFonts w:asciiTheme="minorHAnsi" w:hAnsiTheme="minorHAnsi" w:cstheme="minorHAnsi"/>
        </w:rPr>
        <w:t>tate</w:t>
      </w:r>
      <w:proofErr w:type="gramEnd"/>
      <w:r w:rsidR="00994325">
        <w:rPr>
          <w:rFonts w:asciiTheme="minorHAnsi" w:hAnsiTheme="minorHAnsi" w:cstheme="minorHAnsi"/>
        </w:rPr>
        <w:t xml:space="preserve"> and </w:t>
      </w:r>
      <w:r w:rsidR="00A41E06">
        <w:rPr>
          <w:rFonts w:asciiTheme="minorHAnsi" w:hAnsiTheme="minorHAnsi" w:cstheme="minorHAnsi"/>
        </w:rPr>
        <w:t>t</w:t>
      </w:r>
      <w:r w:rsidR="00994325">
        <w:rPr>
          <w:rFonts w:asciiTheme="minorHAnsi" w:hAnsiTheme="minorHAnsi" w:cstheme="minorHAnsi"/>
        </w:rPr>
        <w:t>erritory governments and Beyond Blue</w:t>
      </w:r>
      <w:r w:rsidR="00C565BC">
        <w:rPr>
          <w:rFonts w:asciiTheme="minorHAnsi" w:hAnsiTheme="minorHAnsi" w:cstheme="minorHAnsi"/>
        </w:rPr>
        <w:t xml:space="preserve"> </w:t>
      </w:r>
      <w:r w:rsidR="00994325">
        <w:rPr>
          <w:rFonts w:asciiTheme="minorHAnsi" w:hAnsiTheme="minorHAnsi" w:cstheme="minorHAnsi"/>
        </w:rPr>
        <w:t>to oversee delivery of The Way Back</w:t>
      </w:r>
      <w:r w:rsidR="004278D4">
        <w:rPr>
          <w:rFonts w:asciiTheme="minorHAnsi" w:hAnsiTheme="minorHAnsi" w:cstheme="minorHAnsi"/>
        </w:rPr>
        <w:t xml:space="preserve">, and the </w:t>
      </w:r>
      <w:r w:rsidR="003D26D3">
        <w:rPr>
          <w:rFonts w:asciiTheme="minorHAnsi" w:hAnsiTheme="minorHAnsi" w:cstheme="minorHAnsi"/>
        </w:rPr>
        <w:t xml:space="preserve">funding arrangements in place to </w:t>
      </w:r>
      <w:r w:rsidR="0078404A">
        <w:rPr>
          <w:rFonts w:asciiTheme="minorHAnsi" w:hAnsiTheme="minorHAnsi" w:cstheme="minorHAnsi"/>
        </w:rPr>
        <w:t>deliver The Way Back across multiple sites in different jurisdictions.</w:t>
      </w:r>
    </w:p>
    <w:p w14:paraId="22D90F00" w14:textId="7C3D6342" w:rsidR="00845140" w:rsidRPr="003B2AAB" w:rsidRDefault="6B2A4561" w:rsidP="74B83E5E">
      <w:pPr>
        <w:pStyle w:val="Bullet"/>
        <w:rPr>
          <w:rFonts w:asciiTheme="majorHAnsi" w:hAnsiTheme="majorHAnsi" w:cstheme="majorBidi"/>
          <w:b/>
          <w:bCs/>
        </w:rPr>
      </w:pPr>
      <w:r w:rsidRPr="74B83E5E">
        <w:rPr>
          <w:rFonts w:asciiTheme="majorHAnsi" w:hAnsiTheme="majorHAnsi" w:cstheme="majorBidi"/>
        </w:rPr>
        <w:lastRenderedPageBreak/>
        <w:t>Partnership</w:t>
      </w:r>
      <w:r w:rsidR="59DA8411" w:rsidRPr="74B83E5E">
        <w:rPr>
          <w:rFonts w:asciiTheme="majorHAnsi" w:hAnsiTheme="majorHAnsi" w:cstheme="majorBidi"/>
        </w:rPr>
        <w:t>s</w:t>
      </w:r>
      <w:r w:rsidRPr="74B83E5E">
        <w:rPr>
          <w:rFonts w:asciiTheme="majorHAnsi" w:hAnsiTheme="majorHAnsi" w:cstheme="majorBidi"/>
        </w:rPr>
        <w:t xml:space="preserve"> and engagement</w:t>
      </w:r>
      <w:r w:rsidR="67DCEC34" w:rsidRPr="74B83E5E">
        <w:rPr>
          <w:rFonts w:asciiTheme="majorHAnsi" w:hAnsiTheme="majorHAnsi" w:cstheme="majorBidi"/>
        </w:rPr>
        <w:t>.</w:t>
      </w:r>
      <w:r w:rsidR="23425DDE" w:rsidRPr="74B83E5E">
        <w:rPr>
          <w:rFonts w:asciiTheme="majorHAnsi" w:hAnsiTheme="majorHAnsi" w:cstheme="majorBidi"/>
        </w:rPr>
        <w:t xml:space="preserve"> </w:t>
      </w:r>
      <w:r w:rsidR="23425DDE" w:rsidRPr="74B83E5E">
        <w:rPr>
          <w:rFonts w:asciiTheme="minorHAnsi" w:hAnsiTheme="minorHAnsi" w:cstheme="minorBidi"/>
        </w:rPr>
        <w:t xml:space="preserve">These were </w:t>
      </w:r>
      <w:r w:rsidR="57C24E41" w:rsidRPr="74B83E5E">
        <w:rPr>
          <w:rFonts w:asciiTheme="minorHAnsi" w:hAnsiTheme="minorHAnsi" w:cstheme="minorBidi"/>
        </w:rPr>
        <w:t xml:space="preserve">relationships established between key </w:t>
      </w:r>
      <w:r w:rsidR="23425DDE" w:rsidRPr="74B83E5E">
        <w:rPr>
          <w:rFonts w:asciiTheme="minorHAnsi" w:hAnsiTheme="minorHAnsi" w:cstheme="minorBidi"/>
        </w:rPr>
        <w:t xml:space="preserve">stakeholders, including </w:t>
      </w:r>
      <w:r w:rsidR="6D567C9D" w:rsidRPr="74B83E5E">
        <w:rPr>
          <w:rFonts w:asciiTheme="minorHAnsi" w:hAnsiTheme="minorHAnsi" w:cstheme="minorBidi"/>
        </w:rPr>
        <w:t>g</w:t>
      </w:r>
      <w:r w:rsidR="23425DDE" w:rsidRPr="74B83E5E">
        <w:rPr>
          <w:rFonts w:asciiTheme="minorHAnsi" w:hAnsiTheme="minorHAnsi" w:cstheme="minorBidi"/>
        </w:rPr>
        <w:t xml:space="preserve">overnments, </w:t>
      </w:r>
      <w:r w:rsidR="37FA15C2" w:rsidRPr="74B83E5E">
        <w:rPr>
          <w:rFonts w:asciiTheme="minorHAnsi" w:hAnsiTheme="minorHAnsi" w:cstheme="minorBidi"/>
        </w:rPr>
        <w:t xml:space="preserve">PHNs, </w:t>
      </w:r>
      <w:r w:rsidR="2BF85935" w:rsidRPr="74B83E5E">
        <w:rPr>
          <w:rFonts w:asciiTheme="minorHAnsi" w:hAnsiTheme="minorHAnsi" w:cstheme="minorBidi"/>
        </w:rPr>
        <w:t xml:space="preserve">LHD/HHS </w:t>
      </w:r>
      <w:r w:rsidR="37FA15C2" w:rsidRPr="74B83E5E">
        <w:rPr>
          <w:rFonts w:asciiTheme="minorHAnsi" w:hAnsiTheme="minorHAnsi" w:cstheme="minorBidi"/>
        </w:rPr>
        <w:t>and service provider</w:t>
      </w:r>
      <w:r w:rsidR="57C24E41" w:rsidRPr="74B83E5E">
        <w:rPr>
          <w:rFonts w:asciiTheme="minorHAnsi" w:hAnsiTheme="minorHAnsi" w:cstheme="minorBidi"/>
        </w:rPr>
        <w:t>s to deliver The Way Back.</w:t>
      </w:r>
    </w:p>
    <w:p w14:paraId="479BAB25" w14:textId="38D700F0" w:rsidR="00845140" w:rsidRPr="003B2AAB" w:rsidRDefault="00845140" w:rsidP="00845140">
      <w:pPr>
        <w:pStyle w:val="Bullet"/>
        <w:rPr>
          <w:rFonts w:asciiTheme="majorHAnsi" w:hAnsiTheme="majorHAnsi" w:cstheme="majorHAnsi"/>
        </w:rPr>
      </w:pPr>
      <w:r w:rsidRPr="003B2AAB">
        <w:rPr>
          <w:rFonts w:asciiTheme="majorHAnsi" w:hAnsiTheme="majorHAnsi" w:cstheme="majorHAnsi"/>
        </w:rPr>
        <w:t>Workforce</w:t>
      </w:r>
      <w:r w:rsidR="00AB0067">
        <w:rPr>
          <w:rFonts w:asciiTheme="majorHAnsi" w:hAnsiTheme="majorHAnsi" w:cstheme="majorHAnsi"/>
        </w:rPr>
        <w:t>.</w:t>
      </w:r>
      <w:r w:rsidR="005B2F77">
        <w:rPr>
          <w:rFonts w:asciiTheme="majorHAnsi" w:hAnsiTheme="majorHAnsi" w:cstheme="majorHAnsi"/>
        </w:rPr>
        <w:t xml:space="preserve"> </w:t>
      </w:r>
      <w:r w:rsidR="00791B99">
        <w:rPr>
          <w:rFonts w:asciiTheme="minorHAnsi" w:hAnsiTheme="minorHAnsi" w:cstheme="minorHAnsi"/>
        </w:rPr>
        <w:t xml:space="preserve">These were the staffing arrangements </w:t>
      </w:r>
      <w:r w:rsidR="000313BE">
        <w:rPr>
          <w:rFonts w:asciiTheme="minorHAnsi" w:hAnsiTheme="minorHAnsi" w:cstheme="minorHAnsi"/>
        </w:rPr>
        <w:t xml:space="preserve">and corresponding expertise </w:t>
      </w:r>
      <w:r w:rsidR="00791B99">
        <w:rPr>
          <w:rFonts w:asciiTheme="minorHAnsi" w:hAnsiTheme="minorHAnsi" w:cstheme="minorHAnsi"/>
        </w:rPr>
        <w:t xml:space="preserve">required to deliver The Way Back service. </w:t>
      </w:r>
    </w:p>
    <w:p w14:paraId="206578D1" w14:textId="4DE23166" w:rsidR="00845140" w:rsidRPr="003B2AAB" w:rsidRDefault="00845140" w:rsidP="00845140">
      <w:pPr>
        <w:pStyle w:val="Bullet"/>
        <w:rPr>
          <w:rFonts w:asciiTheme="majorHAnsi" w:hAnsiTheme="majorHAnsi" w:cstheme="majorHAnsi"/>
        </w:rPr>
      </w:pPr>
      <w:r w:rsidRPr="003B2AAB">
        <w:rPr>
          <w:rFonts w:asciiTheme="majorHAnsi" w:hAnsiTheme="majorHAnsi" w:cstheme="majorHAnsi"/>
        </w:rPr>
        <w:t>Monitoring and continuous improvement</w:t>
      </w:r>
      <w:r w:rsidR="00791B99">
        <w:rPr>
          <w:rFonts w:asciiTheme="majorHAnsi" w:hAnsiTheme="majorHAnsi" w:cstheme="majorHAnsi"/>
        </w:rPr>
        <w:t xml:space="preserve">. </w:t>
      </w:r>
      <w:r w:rsidR="005758BD">
        <w:rPr>
          <w:rFonts w:asciiTheme="minorHAnsi" w:hAnsiTheme="minorHAnsi" w:cstheme="minorHAnsi"/>
        </w:rPr>
        <w:t xml:space="preserve">These were </w:t>
      </w:r>
      <w:r w:rsidR="00C459F6">
        <w:rPr>
          <w:rFonts w:asciiTheme="minorHAnsi" w:hAnsiTheme="minorHAnsi" w:cstheme="minorHAnsi"/>
        </w:rPr>
        <w:t xml:space="preserve">data collection initiatives in place to monitor </w:t>
      </w:r>
      <w:r w:rsidR="005758BD">
        <w:rPr>
          <w:rFonts w:asciiTheme="minorHAnsi" w:hAnsiTheme="minorHAnsi" w:cstheme="minorHAnsi"/>
        </w:rPr>
        <w:t xml:space="preserve">delivery of The Way Back and </w:t>
      </w:r>
      <w:r w:rsidR="000313BE">
        <w:rPr>
          <w:rFonts w:asciiTheme="minorHAnsi" w:hAnsiTheme="minorHAnsi" w:cstheme="minorHAnsi"/>
        </w:rPr>
        <w:t xml:space="preserve">to </w:t>
      </w:r>
      <w:r w:rsidR="005758BD">
        <w:rPr>
          <w:rFonts w:asciiTheme="minorHAnsi" w:hAnsiTheme="minorHAnsi" w:cstheme="minorHAnsi"/>
        </w:rPr>
        <w:t>identify opportunities and initiatives to improve delivery</w:t>
      </w:r>
      <w:r w:rsidR="00DF1B38">
        <w:rPr>
          <w:rFonts w:asciiTheme="minorHAnsi" w:hAnsiTheme="minorHAnsi" w:cstheme="minorHAnsi"/>
        </w:rPr>
        <w:t xml:space="preserve"> of the service</w:t>
      </w:r>
      <w:r w:rsidR="005758BD">
        <w:rPr>
          <w:rFonts w:asciiTheme="minorHAnsi" w:hAnsiTheme="minorHAnsi" w:cstheme="minorHAnsi"/>
        </w:rPr>
        <w:t xml:space="preserve">. </w:t>
      </w:r>
    </w:p>
    <w:p w14:paraId="4CA35F7D" w14:textId="57A79949" w:rsidR="00DF1B38" w:rsidRPr="00DF1B38" w:rsidRDefault="00DF1B38" w:rsidP="003B2AAB">
      <w:r>
        <w:t>Further detail of these enablers and their effectiveness is outlined in section</w:t>
      </w:r>
      <w:r w:rsidR="005D70F7">
        <w:t xml:space="preserve"> </w:t>
      </w:r>
      <w:r w:rsidR="005D70F7">
        <w:fldChar w:fldCharType="begin"/>
      </w:r>
      <w:r w:rsidR="005D70F7">
        <w:instrText xml:space="preserve"> REF _Ref118127577 \r \h </w:instrText>
      </w:r>
      <w:r w:rsidR="005D70F7">
        <w:fldChar w:fldCharType="separate"/>
      </w:r>
      <w:r w:rsidR="00402362">
        <w:t>9.3</w:t>
      </w:r>
      <w:r w:rsidR="005D70F7">
        <w:fldChar w:fldCharType="end"/>
      </w:r>
      <w:r w:rsidR="005D70F7">
        <w:t>.</w:t>
      </w:r>
    </w:p>
    <w:p w14:paraId="32BE61C2" w14:textId="54DEA352" w:rsidR="00B30721" w:rsidRDefault="00D652C0" w:rsidP="00623868">
      <w:pPr>
        <w:pStyle w:val="Heading2"/>
        <w:rPr>
          <w:lang w:val="en-US"/>
        </w:rPr>
      </w:pPr>
      <w:r>
        <w:rPr>
          <w:lang w:val="en-US"/>
        </w:rPr>
        <w:t>Service model variations allow</w:t>
      </w:r>
      <w:r w:rsidR="005C512F">
        <w:rPr>
          <w:lang w:val="en-US"/>
        </w:rPr>
        <w:t>ed</w:t>
      </w:r>
      <w:r>
        <w:rPr>
          <w:lang w:val="en-US"/>
        </w:rPr>
        <w:t xml:space="preserve"> for flexibility to respond to local needs and contexts.</w:t>
      </w:r>
      <w:bookmarkEnd w:id="42"/>
    </w:p>
    <w:p w14:paraId="19B72001" w14:textId="585CCECA" w:rsidR="00EE704E" w:rsidRDefault="006054AB" w:rsidP="006054AB">
      <w:pPr>
        <w:rPr>
          <w:lang w:val="en-US" w:eastAsia="en-AU"/>
        </w:rPr>
      </w:pPr>
      <w:r>
        <w:rPr>
          <w:lang w:val="en-US" w:eastAsia="en-AU"/>
        </w:rPr>
        <w:t xml:space="preserve">A key feature of The Way Back </w:t>
      </w:r>
      <w:r w:rsidR="005C512F">
        <w:rPr>
          <w:lang w:val="en-US" w:eastAsia="en-AU"/>
        </w:rPr>
        <w:t>was</w:t>
      </w:r>
      <w:r>
        <w:rPr>
          <w:lang w:val="en-US" w:eastAsia="en-AU"/>
        </w:rPr>
        <w:t xml:space="preserve"> the scope for </w:t>
      </w:r>
      <w:r w:rsidR="00BF7FFA">
        <w:rPr>
          <w:lang w:val="en-US" w:eastAsia="en-AU"/>
        </w:rPr>
        <w:t xml:space="preserve">service design and delivery </w:t>
      </w:r>
      <w:r>
        <w:rPr>
          <w:lang w:val="en-US" w:eastAsia="en-AU"/>
        </w:rPr>
        <w:t xml:space="preserve">variations that respond to local needs and </w:t>
      </w:r>
      <w:r w:rsidR="00310526">
        <w:rPr>
          <w:lang w:val="en-US" w:eastAsia="en-AU"/>
        </w:rPr>
        <w:t>circumstances</w:t>
      </w:r>
      <w:r>
        <w:rPr>
          <w:lang w:val="en-US" w:eastAsia="en-AU"/>
        </w:rPr>
        <w:t>.</w:t>
      </w:r>
      <w:r w:rsidR="00B005E3">
        <w:rPr>
          <w:rStyle w:val="FootnoteReference"/>
          <w:lang w:val="en-US"/>
        </w:rPr>
        <w:footnoteReference w:id="31"/>
      </w:r>
      <w:r>
        <w:rPr>
          <w:lang w:val="en-US" w:eastAsia="en-AU"/>
        </w:rPr>
        <w:t xml:space="preserve"> </w:t>
      </w:r>
      <w:r w:rsidR="00EE704E">
        <w:rPr>
          <w:lang w:val="en-US" w:eastAsia="en-AU"/>
        </w:rPr>
        <w:t>Th</w:t>
      </w:r>
      <w:r w:rsidR="001B6FC7">
        <w:rPr>
          <w:lang w:val="en-US" w:eastAsia="en-AU"/>
        </w:rPr>
        <w:t xml:space="preserve">rough </w:t>
      </w:r>
      <w:r w:rsidR="0016093F">
        <w:rPr>
          <w:lang w:val="en-US" w:eastAsia="en-AU"/>
        </w:rPr>
        <w:t>interviews</w:t>
      </w:r>
      <w:r w:rsidR="001B6FC7">
        <w:rPr>
          <w:lang w:val="en-US" w:eastAsia="en-AU"/>
        </w:rPr>
        <w:t xml:space="preserve"> with providers and The Way Back </w:t>
      </w:r>
      <w:r w:rsidR="007935CE">
        <w:rPr>
          <w:lang w:val="en-US" w:eastAsia="en-AU"/>
        </w:rPr>
        <w:t>documentation, evaluation</w:t>
      </w:r>
      <w:r w:rsidR="00EE704E">
        <w:rPr>
          <w:lang w:val="en-US" w:eastAsia="en-AU"/>
        </w:rPr>
        <w:t xml:space="preserve"> identified two variation categories that existed across sites, these were: </w:t>
      </w:r>
    </w:p>
    <w:p w14:paraId="1981C343" w14:textId="14FED498" w:rsidR="00EE704E" w:rsidRDefault="00B106A7" w:rsidP="00EE704E">
      <w:pPr>
        <w:pStyle w:val="Bullet"/>
        <w:rPr>
          <w:lang w:val="en-US"/>
        </w:rPr>
      </w:pPr>
      <w:r>
        <w:rPr>
          <w:rFonts w:asciiTheme="majorHAnsi" w:hAnsiTheme="majorHAnsi" w:cstheme="majorHAnsi"/>
          <w:lang w:val="en-US"/>
        </w:rPr>
        <w:t xml:space="preserve">Contracted </w:t>
      </w:r>
      <w:r w:rsidR="006054AB" w:rsidRPr="007935CE">
        <w:rPr>
          <w:rFonts w:asciiTheme="majorHAnsi" w:hAnsiTheme="majorHAnsi" w:cstheme="majorHAnsi"/>
          <w:lang w:val="en-US"/>
        </w:rPr>
        <w:t>variations</w:t>
      </w:r>
      <w:r w:rsidR="00EE704E" w:rsidRPr="007935CE">
        <w:rPr>
          <w:rFonts w:asciiTheme="majorHAnsi" w:hAnsiTheme="majorHAnsi" w:cstheme="majorHAnsi"/>
          <w:lang w:val="en-US"/>
        </w:rPr>
        <w:t xml:space="preserve">. </w:t>
      </w:r>
      <w:r w:rsidR="00EE704E">
        <w:rPr>
          <w:lang w:val="en-US"/>
        </w:rPr>
        <w:t xml:space="preserve">These were service model variations stipulated in </w:t>
      </w:r>
      <w:r w:rsidR="00366EC3">
        <w:rPr>
          <w:lang w:val="en-US"/>
        </w:rPr>
        <w:t xml:space="preserve">a site’s </w:t>
      </w:r>
      <w:r w:rsidR="00EE704E">
        <w:rPr>
          <w:lang w:val="en-US"/>
        </w:rPr>
        <w:t>contract</w:t>
      </w:r>
      <w:r w:rsidR="00366EC3">
        <w:rPr>
          <w:lang w:val="en-US"/>
        </w:rPr>
        <w:t xml:space="preserve"> and developed</w:t>
      </w:r>
      <w:r w:rsidR="00B005E3">
        <w:rPr>
          <w:lang w:val="en-US"/>
        </w:rPr>
        <w:t xml:space="preserve"> </w:t>
      </w:r>
      <w:r w:rsidR="00592A55">
        <w:rPr>
          <w:lang w:val="en-US"/>
        </w:rPr>
        <w:t>prior to implementation of</w:t>
      </w:r>
      <w:r w:rsidR="00B005E3">
        <w:rPr>
          <w:lang w:val="en-US"/>
        </w:rPr>
        <w:t xml:space="preserve"> </w:t>
      </w:r>
      <w:r w:rsidR="006D6184">
        <w:rPr>
          <w:lang w:val="en-US"/>
        </w:rPr>
        <w:t>The Way Back</w:t>
      </w:r>
      <w:r w:rsidR="00FE1310">
        <w:rPr>
          <w:lang w:val="en-US"/>
        </w:rPr>
        <w:t xml:space="preserve">. </w:t>
      </w:r>
    </w:p>
    <w:p w14:paraId="222CA813" w14:textId="11679213" w:rsidR="00EE704E" w:rsidRDefault="00A60557" w:rsidP="00EE704E">
      <w:pPr>
        <w:pStyle w:val="Bullet"/>
        <w:rPr>
          <w:lang w:val="en-US"/>
        </w:rPr>
      </w:pPr>
      <w:r>
        <w:rPr>
          <w:rFonts w:asciiTheme="majorHAnsi" w:hAnsiTheme="majorHAnsi" w:cstheme="majorHAnsi"/>
          <w:lang w:val="en-US"/>
        </w:rPr>
        <w:t>S</w:t>
      </w:r>
      <w:r w:rsidR="00B106A7">
        <w:rPr>
          <w:rFonts w:asciiTheme="majorHAnsi" w:hAnsiTheme="majorHAnsi" w:cstheme="majorHAnsi"/>
          <w:lang w:val="en-US"/>
        </w:rPr>
        <w:t>ervice enhancement</w:t>
      </w:r>
      <w:r w:rsidR="00FC30D1">
        <w:rPr>
          <w:rFonts w:asciiTheme="majorHAnsi" w:hAnsiTheme="majorHAnsi" w:cstheme="majorHAnsi"/>
          <w:lang w:val="en-US"/>
        </w:rPr>
        <w:t xml:space="preserve"> variations</w:t>
      </w:r>
      <w:r w:rsidR="00EE704E" w:rsidRPr="007935CE">
        <w:rPr>
          <w:rFonts w:asciiTheme="majorHAnsi" w:hAnsiTheme="majorHAnsi" w:cstheme="majorHAnsi"/>
          <w:lang w:val="en-US"/>
        </w:rPr>
        <w:t>.</w:t>
      </w:r>
      <w:r w:rsidR="00EE704E">
        <w:rPr>
          <w:lang w:val="en-US"/>
        </w:rPr>
        <w:t xml:space="preserve"> These were variations </w:t>
      </w:r>
      <w:r w:rsidR="002B57CF">
        <w:rPr>
          <w:lang w:val="en-US"/>
        </w:rPr>
        <w:t xml:space="preserve">that </w:t>
      </w:r>
      <w:r w:rsidR="00DF14ED">
        <w:rPr>
          <w:lang w:val="en-US"/>
        </w:rPr>
        <w:t xml:space="preserve">were not stipulated in a site’s contract and </w:t>
      </w:r>
      <w:r w:rsidR="00B005E3">
        <w:rPr>
          <w:lang w:val="en-US"/>
        </w:rPr>
        <w:t>were</w:t>
      </w:r>
      <w:r w:rsidR="00AD1A07">
        <w:rPr>
          <w:lang w:val="en-US"/>
        </w:rPr>
        <w:t xml:space="preserve"> </w:t>
      </w:r>
      <w:r w:rsidR="00797910">
        <w:rPr>
          <w:lang w:val="en-US"/>
        </w:rPr>
        <w:t>implemented in response</w:t>
      </w:r>
      <w:r w:rsidR="006054AB">
        <w:rPr>
          <w:lang w:val="en-US"/>
        </w:rPr>
        <w:t xml:space="preserve"> to needs identified during implementation</w:t>
      </w:r>
      <w:r w:rsidR="00864069">
        <w:rPr>
          <w:lang w:val="en-US"/>
        </w:rPr>
        <w:t>.</w:t>
      </w:r>
      <w:r w:rsidR="006054AB">
        <w:rPr>
          <w:lang w:val="en-US"/>
        </w:rPr>
        <w:t xml:space="preserve"> </w:t>
      </w:r>
    </w:p>
    <w:p w14:paraId="3869C1C1" w14:textId="69C5739F" w:rsidR="006054AB" w:rsidRDefault="009920E2" w:rsidP="006054AB">
      <w:pPr>
        <w:rPr>
          <w:lang w:val="en-US" w:eastAsia="en-AU"/>
        </w:rPr>
      </w:pPr>
      <w:r w:rsidRPr="00797910">
        <w:rPr>
          <w:lang w:val="en-US" w:eastAsia="en-AU"/>
        </w:rPr>
        <w:fldChar w:fldCharType="begin"/>
      </w:r>
      <w:r w:rsidRPr="003E7909">
        <w:rPr>
          <w:highlight w:val="yellow"/>
          <w:lang w:val="en-US" w:eastAsia="en-AU"/>
        </w:rPr>
        <w:instrText xml:space="preserve"> REF _Ref103333847 \h </w:instrText>
      </w:r>
      <w:r w:rsidR="005B675B" w:rsidRPr="003E7909">
        <w:rPr>
          <w:highlight w:val="yellow"/>
          <w:lang w:val="en-US" w:eastAsia="en-AU"/>
        </w:rPr>
        <w:instrText xml:space="preserve"> \* MERGEFORMAT </w:instrText>
      </w:r>
      <w:r w:rsidRPr="00797910">
        <w:rPr>
          <w:lang w:val="en-US" w:eastAsia="en-AU"/>
        </w:rPr>
      </w:r>
      <w:r w:rsidRPr="00797910">
        <w:rPr>
          <w:lang w:val="en-US" w:eastAsia="en-AU"/>
        </w:rPr>
        <w:fldChar w:fldCharType="separate"/>
      </w:r>
      <w:r w:rsidR="00402362">
        <w:t>Figure 4</w:t>
      </w:r>
      <w:r w:rsidRPr="00797910">
        <w:rPr>
          <w:lang w:val="en-US" w:eastAsia="en-AU"/>
        </w:rPr>
        <w:fldChar w:fldCharType="end"/>
      </w:r>
      <w:r w:rsidR="0024285B">
        <w:rPr>
          <w:lang w:val="en-US" w:eastAsia="en-AU"/>
        </w:rPr>
        <w:t xml:space="preserve"> </w:t>
      </w:r>
      <w:r w:rsidR="00603D5F">
        <w:rPr>
          <w:lang w:val="en-US" w:eastAsia="en-AU"/>
        </w:rPr>
        <w:t xml:space="preserve">shows the </w:t>
      </w:r>
      <w:r w:rsidR="0024285B">
        <w:rPr>
          <w:lang w:val="en-US" w:eastAsia="en-AU"/>
        </w:rPr>
        <w:t xml:space="preserve">variations that were implemented across the eight deep dive </w:t>
      </w:r>
      <w:r w:rsidR="009877FC">
        <w:rPr>
          <w:lang w:val="en-US" w:eastAsia="en-AU"/>
        </w:rPr>
        <w:t>sites.</w:t>
      </w:r>
      <w:r w:rsidR="008D66E7">
        <w:rPr>
          <w:lang w:val="en-US" w:eastAsia="en-AU"/>
        </w:rPr>
        <w:t xml:space="preserve"> </w:t>
      </w:r>
      <w:r w:rsidR="006054AB">
        <w:rPr>
          <w:lang w:val="en-US" w:eastAsia="en-AU"/>
        </w:rPr>
        <w:t xml:space="preserve">In summary: </w:t>
      </w:r>
    </w:p>
    <w:p w14:paraId="409197AC" w14:textId="5E9CD9B1" w:rsidR="00F701F3" w:rsidRDefault="00821BC2" w:rsidP="00AF75B7">
      <w:pPr>
        <w:pStyle w:val="Bullet"/>
        <w:spacing w:line="254" w:lineRule="auto"/>
        <w:rPr>
          <w:lang w:val="en-US"/>
        </w:rPr>
      </w:pPr>
      <w:r>
        <w:rPr>
          <w:lang w:val="en-US"/>
        </w:rPr>
        <w:t>Most</w:t>
      </w:r>
      <w:r w:rsidR="006054AB">
        <w:rPr>
          <w:lang w:val="en-US"/>
        </w:rPr>
        <w:t xml:space="preserve"> </w:t>
      </w:r>
      <w:r w:rsidR="00FC30D1">
        <w:rPr>
          <w:lang w:val="en-US"/>
        </w:rPr>
        <w:t xml:space="preserve">contracted variations </w:t>
      </w:r>
      <w:r w:rsidR="00B752F7">
        <w:rPr>
          <w:lang w:val="en-US"/>
        </w:rPr>
        <w:t xml:space="preserve">in the service delivered to </w:t>
      </w:r>
      <w:r w:rsidR="003B580F">
        <w:rPr>
          <w:lang w:val="en-US"/>
        </w:rPr>
        <w:t xml:space="preserve">participants </w:t>
      </w:r>
      <w:r w:rsidR="006054AB">
        <w:rPr>
          <w:lang w:val="en-US"/>
        </w:rPr>
        <w:t>were implemented</w:t>
      </w:r>
      <w:r w:rsidR="00F701F3">
        <w:rPr>
          <w:lang w:val="en-US"/>
        </w:rPr>
        <w:t>.</w:t>
      </w:r>
      <w:r>
        <w:rPr>
          <w:lang w:val="en-US"/>
        </w:rPr>
        <w:t xml:space="preserve"> There were two </w:t>
      </w:r>
      <w:r w:rsidR="00B518CC">
        <w:rPr>
          <w:lang w:val="en-US"/>
        </w:rPr>
        <w:t>contract</w:t>
      </w:r>
      <w:r w:rsidR="008E3EBD">
        <w:rPr>
          <w:lang w:val="en-US"/>
        </w:rPr>
        <w:t>ed</w:t>
      </w:r>
      <w:r w:rsidR="00B518CC">
        <w:rPr>
          <w:lang w:val="en-US"/>
        </w:rPr>
        <w:t xml:space="preserve"> </w:t>
      </w:r>
      <w:r>
        <w:rPr>
          <w:lang w:val="en-US"/>
        </w:rPr>
        <w:t xml:space="preserve">variations that were not implemented. There is no information </w:t>
      </w:r>
      <w:r w:rsidR="00393CED">
        <w:rPr>
          <w:lang w:val="en-US"/>
        </w:rPr>
        <w:t xml:space="preserve">available for </w:t>
      </w:r>
      <w:r w:rsidR="001B6FC7">
        <w:rPr>
          <w:lang w:val="en-US"/>
        </w:rPr>
        <w:t xml:space="preserve">the evaluation </w:t>
      </w:r>
      <w:r w:rsidR="00393CED">
        <w:rPr>
          <w:lang w:val="en-US"/>
        </w:rPr>
        <w:t xml:space="preserve">on </w:t>
      </w:r>
      <w:r w:rsidR="001B6FC7">
        <w:rPr>
          <w:lang w:val="en-US"/>
        </w:rPr>
        <w:t xml:space="preserve">why these were not implemented. </w:t>
      </w:r>
    </w:p>
    <w:p w14:paraId="5CBFD9EB" w14:textId="763583BF" w:rsidR="00F701F3" w:rsidRDefault="00BD5486" w:rsidP="00CE2DF3">
      <w:pPr>
        <w:pStyle w:val="Bullet"/>
        <w:rPr>
          <w:lang w:val="en-US"/>
        </w:rPr>
      </w:pPr>
      <w:r>
        <w:rPr>
          <w:lang w:val="en-US"/>
        </w:rPr>
        <w:t>Model variations for</w:t>
      </w:r>
      <w:r w:rsidR="00D05CA1">
        <w:rPr>
          <w:lang w:val="en-US"/>
        </w:rPr>
        <w:t xml:space="preserve"> </w:t>
      </w:r>
      <w:r w:rsidR="7424C913" w:rsidRPr="0C58547B">
        <w:rPr>
          <w:lang w:val="en-US"/>
        </w:rPr>
        <w:t>peer and family support</w:t>
      </w:r>
      <w:r>
        <w:rPr>
          <w:lang w:val="en-US"/>
        </w:rPr>
        <w:t xml:space="preserve"> existed across three deep dive sites</w:t>
      </w:r>
      <w:r w:rsidR="7424C913" w:rsidRPr="0C58547B">
        <w:rPr>
          <w:lang w:val="en-US"/>
        </w:rPr>
        <w:t xml:space="preserve">. </w:t>
      </w:r>
    </w:p>
    <w:p w14:paraId="4C3AD46A" w14:textId="603DCF9B" w:rsidR="006054AB" w:rsidRDefault="00BD5486" w:rsidP="00CE2DF3">
      <w:pPr>
        <w:pStyle w:val="Bullet"/>
        <w:rPr>
          <w:lang w:val="en-US"/>
        </w:rPr>
      </w:pPr>
      <w:r>
        <w:rPr>
          <w:lang w:val="en-US"/>
        </w:rPr>
        <w:t>Model variations for</w:t>
      </w:r>
      <w:r w:rsidR="01DDAF90" w:rsidRPr="5F0B1C35">
        <w:rPr>
          <w:lang w:val="en-US"/>
        </w:rPr>
        <w:t xml:space="preserve"> </w:t>
      </w:r>
      <w:r w:rsidR="11EA4603" w:rsidRPr="5F0B1C35">
        <w:rPr>
          <w:lang w:val="en-US"/>
        </w:rPr>
        <w:t xml:space="preserve">expanded </w:t>
      </w:r>
      <w:r w:rsidR="0DAE5E3F" w:rsidRPr="5F0B1C35">
        <w:rPr>
          <w:lang w:val="en-US"/>
        </w:rPr>
        <w:t xml:space="preserve">referral </w:t>
      </w:r>
      <w:r w:rsidR="3503E38F" w:rsidRPr="5F0B1C35">
        <w:rPr>
          <w:lang w:val="en-US"/>
        </w:rPr>
        <w:t>pathways</w:t>
      </w:r>
      <w:r w:rsidR="11EA4603" w:rsidRPr="5F0B1C35">
        <w:rPr>
          <w:lang w:val="en-US"/>
        </w:rPr>
        <w:t xml:space="preserve"> between The Way Back and under </w:t>
      </w:r>
      <w:r w:rsidR="77D7E951" w:rsidRPr="5F0B1C35">
        <w:rPr>
          <w:lang w:val="en-US"/>
        </w:rPr>
        <w:t xml:space="preserve">other </w:t>
      </w:r>
      <w:r w:rsidR="11EA4603" w:rsidRPr="5F0B1C35">
        <w:rPr>
          <w:lang w:val="en-US"/>
        </w:rPr>
        <w:t>organisations (</w:t>
      </w:r>
      <w:r w:rsidR="006853A7">
        <w:rPr>
          <w:lang w:val="en-US"/>
        </w:rPr>
        <w:t>for example,</w:t>
      </w:r>
      <w:r w:rsidR="11EA4603" w:rsidRPr="5F0B1C35">
        <w:rPr>
          <w:lang w:val="en-US"/>
        </w:rPr>
        <w:t xml:space="preserve"> community mental health organisations)</w:t>
      </w:r>
      <w:r>
        <w:rPr>
          <w:lang w:val="en-US"/>
        </w:rPr>
        <w:t xml:space="preserve"> existed for one site</w:t>
      </w:r>
      <w:r w:rsidR="3503E38F" w:rsidRPr="5F0B1C35">
        <w:rPr>
          <w:lang w:val="en-US"/>
        </w:rPr>
        <w:t>. Stakeholders reported that this was due to infancy of partnerships with referral organisations (</w:t>
      </w:r>
      <w:r w:rsidR="678CDCDF" w:rsidRPr="5F0B1C35">
        <w:rPr>
          <w:lang w:val="en-US"/>
        </w:rPr>
        <w:t>such as with</w:t>
      </w:r>
      <w:r w:rsidR="3503E38F" w:rsidRPr="5F0B1C35">
        <w:rPr>
          <w:lang w:val="en-US"/>
        </w:rPr>
        <w:t xml:space="preserve"> </w:t>
      </w:r>
      <w:r w:rsidR="63814722" w:rsidRPr="5F0B1C35">
        <w:rPr>
          <w:lang w:val="en-US"/>
        </w:rPr>
        <w:t>A</w:t>
      </w:r>
      <w:r w:rsidR="02D42A65" w:rsidRPr="5F0B1C35">
        <w:rPr>
          <w:lang w:val="en-US"/>
        </w:rPr>
        <w:t>boriginal Community Controlled Health Organisations (</w:t>
      </w:r>
      <w:r w:rsidR="3503E38F" w:rsidRPr="5F0B1C35">
        <w:rPr>
          <w:lang w:val="en-US"/>
        </w:rPr>
        <w:t xml:space="preserve">ACCHOs). </w:t>
      </w:r>
    </w:p>
    <w:p w14:paraId="69B48363" w14:textId="2A6B5C08" w:rsidR="00AF0569" w:rsidRPr="003B0AC6" w:rsidRDefault="3503E38F" w:rsidP="00F83B28">
      <w:pPr>
        <w:pStyle w:val="Bullet"/>
        <w:rPr>
          <w:lang w:val="en-US"/>
        </w:rPr>
      </w:pPr>
      <w:r w:rsidRPr="5F0B1C35">
        <w:rPr>
          <w:lang w:val="en-US"/>
        </w:rPr>
        <w:t xml:space="preserve">Several providers indicated there </w:t>
      </w:r>
      <w:r w:rsidR="4753CF43" w:rsidRPr="5F0B1C35">
        <w:rPr>
          <w:lang w:val="en-US"/>
        </w:rPr>
        <w:t xml:space="preserve">were variations </w:t>
      </w:r>
      <w:r w:rsidRPr="5F0B1C35">
        <w:rPr>
          <w:lang w:val="en-US"/>
        </w:rPr>
        <w:t xml:space="preserve">suitable </w:t>
      </w:r>
      <w:r w:rsidR="4753CF43" w:rsidRPr="5F0B1C35">
        <w:rPr>
          <w:lang w:val="en-US"/>
        </w:rPr>
        <w:t xml:space="preserve">for </w:t>
      </w:r>
      <w:r w:rsidR="4138CED8" w:rsidRPr="5F0B1C35">
        <w:rPr>
          <w:lang w:val="en-US"/>
        </w:rPr>
        <w:t>their site</w:t>
      </w:r>
      <w:r w:rsidRPr="5F0B1C35">
        <w:rPr>
          <w:lang w:val="en-US"/>
        </w:rPr>
        <w:t>, particularly an Aboriginal and Torres Strait Islander referral pathway</w:t>
      </w:r>
      <w:r w:rsidR="003414A2">
        <w:rPr>
          <w:lang w:val="en-US"/>
        </w:rPr>
        <w:t xml:space="preserve">, that they had not </w:t>
      </w:r>
      <w:r w:rsidR="00B2213F">
        <w:rPr>
          <w:lang w:val="en-US"/>
        </w:rPr>
        <w:t xml:space="preserve">yet </w:t>
      </w:r>
      <w:r w:rsidR="003414A2">
        <w:rPr>
          <w:lang w:val="en-US"/>
        </w:rPr>
        <w:t>implemented</w:t>
      </w:r>
      <w:r w:rsidRPr="5F0B1C35">
        <w:rPr>
          <w:lang w:val="en-US"/>
        </w:rPr>
        <w:t xml:space="preserve">. </w:t>
      </w:r>
    </w:p>
    <w:p w14:paraId="73623B04" w14:textId="50275B13" w:rsidR="00B752F7" w:rsidRDefault="2561F2B6" w:rsidP="00B752F7">
      <w:pPr>
        <w:pStyle w:val="Bullet"/>
        <w:spacing w:line="254" w:lineRule="auto"/>
        <w:rPr>
          <w:lang w:val="en-US"/>
        </w:rPr>
      </w:pPr>
      <w:r w:rsidRPr="5F0B1C35">
        <w:rPr>
          <w:lang w:val="en-US"/>
        </w:rPr>
        <w:t xml:space="preserve">Two variations for data enhancement emerged </w:t>
      </w:r>
      <w:r w:rsidR="005E73AD">
        <w:rPr>
          <w:lang w:val="en-US"/>
        </w:rPr>
        <w:t>in consultations with providers</w:t>
      </w:r>
      <w:r w:rsidRPr="5F0B1C35">
        <w:rPr>
          <w:lang w:val="en-US"/>
        </w:rPr>
        <w:t xml:space="preserve"> at Gold Coast and Brisbane North sites to better integrate Queensland mental health and The Way Back datasets. </w:t>
      </w:r>
    </w:p>
    <w:p w14:paraId="1F092B91" w14:textId="3A9B1803" w:rsidR="003B0AC6" w:rsidRDefault="7424C913" w:rsidP="006B24CB">
      <w:pPr>
        <w:pStyle w:val="Bullet"/>
        <w:spacing w:line="254" w:lineRule="auto"/>
        <w:rPr>
          <w:lang w:val="en-US"/>
        </w:rPr>
      </w:pPr>
      <w:r w:rsidRPr="0C58547B">
        <w:rPr>
          <w:lang w:val="en-US"/>
        </w:rPr>
        <w:t xml:space="preserve">Some providers </w:t>
      </w:r>
      <w:r w:rsidR="735A054C" w:rsidRPr="0C58547B">
        <w:rPr>
          <w:lang w:val="en-US"/>
        </w:rPr>
        <w:t xml:space="preserve">in interviews </w:t>
      </w:r>
      <w:r w:rsidRPr="0C58547B">
        <w:rPr>
          <w:lang w:val="en-US"/>
        </w:rPr>
        <w:t xml:space="preserve">noted the rigidity of contracts limited their ability to </w:t>
      </w:r>
      <w:r w:rsidR="2734717F" w:rsidRPr="0C58547B">
        <w:rPr>
          <w:lang w:val="en-US"/>
        </w:rPr>
        <w:t xml:space="preserve">implement </w:t>
      </w:r>
      <w:r w:rsidR="00750AFC">
        <w:rPr>
          <w:lang w:val="en-US"/>
        </w:rPr>
        <w:t xml:space="preserve">service enhancement </w:t>
      </w:r>
      <w:r w:rsidR="1ECEC867" w:rsidRPr="0C58547B">
        <w:rPr>
          <w:lang w:val="en-US"/>
        </w:rPr>
        <w:t>variations</w:t>
      </w:r>
      <w:r w:rsidRPr="0C58547B">
        <w:rPr>
          <w:lang w:val="en-US"/>
        </w:rPr>
        <w:t xml:space="preserve"> upon delivery. </w:t>
      </w:r>
      <w:r w:rsidR="07D52C7B" w:rsidRPr="0C58547B">
        <w:rPr>
          <w:lang w:val="en-US"/>
        </w:rPr>
        <w:t xml:space="preserve">Provider contracts often </w:t>
      </w:r>
      <w:r w:rsidR="55C59F14" w:rsidRPr="0C58547B">
        <w:rPr>
          <w:lang w:val="en-US"/>
        </w:rPr>
        <w:t>only provided scope to establish referral pathways with</w:t>
      </w:r>
      <w:r w:rsidR="5D636A4C" w:rsidRPr="0C58547B">
        <w:rPr>
          <w:lang w:val="en-US"/>
        </w:rPr>
        <w:t xml:space="preserve">in </w:t>
      </w:r>
      <w:r w:rsidR="5E624FF7" w:rsidRPr="0C58547B">
        <w:rPr>
          <w:lang w:val="en-US"/>
        </w:rPr>
        <w:t>emergency departments or in-patient units</w:t>
      </w:r>
      <w:r w:rsidR="07D52C7B" w:rsidRPr="0C58547B">
        <w:rPr>
          <w:lang w:val="en-US"/>
        </w:rPr>
        <w:t xml:space="preserve">. </w:t>
      </w:r>
      <w:r w:rsidR="2461AF51" w:rsidRPr="0C58547B">
        <w:rPr>
          <w:lang w:val="en-US"/>
        </w:rPr>
        <w:t>Additionally</w:t>
      </w:r>
      <w:r w:rsidR="735A054C" w:rsidRPr="0C58547B">
        <w:rPr>
          <w:lang w:val="en-US"/>
        </w:rPr>
        <w:t xml:space="preserve">, one site indicated that there was little scope in their current contract to </w:t>
      </w:r>
      <w:r w:rsidR="14AB7763" w:rsidRPr="0C58547B">
        <w:rPr>
          <w:lang w:val="en-US"/>
        </w:rPr>
        <w:t>implement family and carer support.</w:t>
      </w:r>
      <w:r w:rsidR="00C11885">
        <w:rPr>
          <w:lang w:val="en-US"/>
        </w:rPr>
        <w:t xml:space="preserve"> </w:t>
      </w:r>
    </w:p>
    <w:p w14:paraId="4AFC7173" w14:textId="6AF4FF75" w:rsidR="00135A22" w:rsidRDefault="00293BF2" w:rsidP="006B24CB">
      <w:pPr>
        <w:pStyle w:val="Bullet"/>
        <w:spacing w:line="254" w:lineRule="auto"/>
        <w:rPr>
          <w:lang w:val="en-US"/>
        </w:rPr>
      </w:pPr>
      <w:r w:rsidRPr="003B0AC6">
        <w:rPr>
          <w:lang w:val="en-US"/>
        </w:rPr>
        <w:t xml:space="preserve">Other </w:t>
      </w:r>
      <w:r w:rsidR="00750AFC">
        <w:rPr>
          <w:lang w:val="en-US"/>
        </w:rPr>
        <w:t xml:space="preserve">contracted </w:t>
      </w:r>
      <w:r w:rsidR="00395848" w:rsidRPr="003B0AC6">
        <w:rPr>
          <w:lang w:val="en-US"/>
        </w:rPr>
        <w:t xml:space="preserve">variations </w:t>
      </w:r>
      <w:r w:rsidR="00C40830" w:rsidRPr="003B0AC6">
        <w:rPr>
          <w:lang w:val="en-US"/>
        </w:rPr>
        <w:t xml:space="preserve">implemented </w:t>
      </w:r>
      <w:r w:rsidR="007B05FA">
        <w:rPr>
          <w:lang w:val="en-US"/>
        </w:rPr>
        <w:t>in some sites</w:t>
      </w:r>
      <w:r w:rsidR="00135A22">
        <w:rPr>
          <w:lang w:val="en-US"/>
        </w:rPr>
        <w:t xml:space="preserve"> include:</w:t>
      </w:r>
      <w:r w:rsidR="00135A22" w:rsidRPr="00135A22">
        <w:rPr>
          <w:rStyle w:val="FootnoteReference"/>
          <w:lang w:val="en-US"/>
        </w:rPr>
        <w:t xml:space="preserve"> </w:t>
      </w:r>
    </w:p>
    <w:p w14:paraId="0DBE5284" w14:textId="1379DF7A" w:rsidR="00135A22" w:rsidRPr="00B33127" w:rsidRDefault="187519F1" w:rsidP="00B729F5">
      <w:pPr>
        <w:pStyle w:val="Bullet"/>
        <w:numPr>
          <w:ilvl w:val="1"/>
          <w:numId w:val="2"/>
        </w:numPr>
        <w:spacing w:line="254" w:lineRule="auto"/>
        <w:rPr>
          <w:lang w:val="en-US"/>
        </w:rPr>
      </w:pPr>
      <w:r w:rsidRPr="5F0B1C35">
        <w:rPr>
          <w:rFonts w:asciiTheme="majorHAnsi" w:hAnsiTheme="majorHAnsi" w:cstheme="majorBidi"/>
          <w:lang w:val="en-US"/>
        </w:rPr>
        <w:t>GP</w:t>
      </w:r>
      <w:r w:rsidR="2FFA6BE7" w:rsidRPr="5F0B1C35">
        <w:rPr>
          <w:rFonts w:asciiTheme="majorHAnsi" w:hAnsiTheme="majorHAnsi" w:cstheme="majorBidi"/>
          <w:lang w:val="en-US"/>
        </w:rPr>
        <w:t xml:space="preserve"> </w:t>
      </w:r>
      <w:r w:rsidR="135EDCFA" w:rsidRPr="5F0B1C35">
        <w:rPr>
          <w:rFonts w:asciiTheme="majorHAnsi" w:hAnsiTheme="majorHAnsi" w:cstheme="majorBidi"/>
          <w:lang w:val="en-US"/>
        </w:rPr>
        <w:t>referral pathways</w:t>
      </w:r>
      <w:r w:rsidR="06C34976" w:rsidRPr="5F0B1C35">
        <w:rPr>
          <w:rFonts w:asciiTheme="majorHAnsi" w:hAnsiTheme="majorHAnsi" w:cstheme="majorBidi"/>
          <w:i/>
          <w:iCs/>
          <w:lang w:val="en-US"/>
        </w:rPr>
        <w:t xml:space="preserve">. </w:t>
      </w:r>
      <w:r w:rsidR="00AE47D3">
        <w:rPr>
          <w:rFonts w:asciiTheme="minorHAnsi" w:hAnsiTheme="minorHAnsi" w:cstheme="minorBidi"/>
          <w:lang w:val="en-US"/>
        </w:rPr>
        <w:t>A small number of</w:t>
      </w:r>
      <w:r w:rsidR="5BE25084" w:rsidRPr="5F0B1C35">
        <w:rPr>
          <w:rFonts w:asciiTheme="minorHAnsi" w:hAnsiTheme="minorHAnsi" w:cstheme="minorBidi"/>
          <w:lang w:val="en-US"/>
        </w:rPr>
        <w:t xml:space="preserve"> sites </w:t>
      </w:r>
      <w:r w:rsidR="00AE47D3" w:rsidRPr="5F0B1C35">
        <w:rPr>
          <w:rFonts w:asciiTheme="minorHAnsi" w:hAnsiTheme="minorHAnsi" w:cstheme="minorBidi"/>
          <w:lang w:val="en-US"/>
        </w:rPr>
        <w:t>establish</w:t>
      </w:r>
      <w:r w:rsidR="00AE47D3">
        <w:rPr>
          <w:rFonts w:asciiTheme="minorHAnsi" w:hAnsiTheme="minorHAnsi" w:cstheme="minorBidi"/>
          <w:lang w:val="en-US"/>
        </w:rPr>
        <w:t>ed</w:t>
      </w:r>
      <w:r w:rsidR="00AE47D3" w:rsidRPr="5F0B1C35">
        <w:rPr>
          <w:rFonts w:asciiTheme="minorHAnsi" w:hAnsiTheme="minorHAnsi" w:cstheme="minorBidi"/>
          <w:lang w:val="en-US"/>
        </w:rPr>
        <w:t xml:space="preserve"> </w:t>
      </w:r>
      <w:r w:rsidR="5BE25084" w:rsidRPr="5F0B1C35">
        <w:rPr>
          <w:rFonts w:asciiTheme="minorHAnsi" w:hAnsiTheme="minorHAnsi" w:cstheme="minorBidi"/>
          <w:lang w:val="en-US"/>
        </w:rPr>
        <w:t>referral pathways with local</w:t>
      </w:r>
      <w:r w:rsidR="5012F7A5" w:rsidRPr="5F0B1C35">
        <w:rPr>
          <w:rFonts w:asciiTheme="minorHAnsi" w:hAnsiTheme="minorHAnsi" w:cstheme="minorBidi"/>
          <w:lang w:val="en-US"/>
        </w:rPr>
        <w:t xml:space="preserve"> GPs</w:t>
      </w:r>
      <w:r w:rsidR="5BE25084" w:rsidRPr="5F0B1C35">
        <w:rPr>
          <w:rFonts w:asciiTheme="minorHAnsi" w:hAnsiTheme="minorHAnsi" w:cstheme="minorBidi"/>
          <w:lang w:val="en-US"/>
        </w:rPr>
        <w:t xml:space="preserve">. </w:t>
      </w:r>
    </w:p>
    <w:p w14:paraId="17CB293F" w14:textId="550F8D21" w:rsidR="00F70125" w:rsidRPr="00135A22" w:rsidRDefault="00F70125" w:rsidP="00B729F5">
      <w:pPr>
        <w:pStyle w:val="Bullet"/>
        <w:numPr>
          <w:ilvl w:val="1"/>
          <w:numId w:val="2"/>
        </w:numPr>
        <w:spacing w:line="254" w:lineRule="auto"/>
        <w:rPr>
          <w:lang w:val="en-US"/>
        </w:rPr>
      </w:pPr>
      <w:r>
        <w:rPr>
          <w:rFonts w:asciiTheme="majorHAnsi" w:hAnsiTheme="majorHAnsi" w:cstheme="majorBidi"/>
          <w:lang w:val="en-US"/>
        </w:rPr>
        <w:t xml:space="preserve">Referrals from a </w:t>
      </w:r>
      <w:r w:rsidRPr="5F0B1C35">
        <w:rPr>
          <w:rFonts w:asciiTheme="majorHAnsi" w:hAnsiTheme="majorHAnsi" w:cstheme="majorBidi"/>
          <w:lang w:val="en-US"/>
        </w:rPr>
        <w:t>toxicology</w:t>
      </w:r>
      <w:r>
        <w:rPr>
          <w:rFonts w:asciiTheme="majorHAnsi" w:hAnsiTheme="majorHAnsi" w:cstheme="majorBidi"/>
          <w:lang w:val="en-US"/>
        </w:rPr>
        <w:t xml:space="preserve"> unit </w:t>
      </w:r>
      <w:r w:rsidR="00AE47D3" w:rsidRPr="00B33127">
        <w:rPr>
          <w:rFonts w:asciiTheme="minorHAnsi" w:hAnsiTheme="minorHAnsi" w:cstheme="minorHAnsi"/>
          <w:lang w:val="en-US"/>
        </w:rPr>
        <w:t>were accepted by o</w:t>
      </w:r>
      <w:r w:rsidRPr="00B33127">
        <w:rPr>
          <w:rFonts w:asciiTheme="minorHAnsi" w:hAnsiTheme="minorHAnsi" w:cstheme="minorHAnsi"/>
          <w:lang w:val="en-US"/>
        </w:rPr>
        <w:t xml:space="preserve">ne </w:t>
      </w:r>
      <w:r w:rsidR="00AE47D3" w:rsidRPr="00AE47D3">
        <w:rPr>
          <w:rFonts w:asciiTheme="minorHAnsi" w:hAnsiTheme="minorHAnsi" w:cstheme="minorHAnsi"/>
          <w:lang w:val="en-US"/>
        </w:rPr>
        <w:t>site.</w:t>
      </w:r>
    </w:p>
    <w:p w14:paraId="0BB48D3D" w14:textId="425852A9" w:rsidR="00EB5104" w:rsidRPr="00897315" w:rsidRDefault="46816D00" w:rsidP="00B729F5">
      <w:pPr>
        <w:pStyle w:val="Bullet"/>
        <w:numPr>
          <w:ilvl w:val="1"/>
          <w:numId w:val="2"/>
        </w:numPr>
        <w:spacing w:line="254" w:lineRule="auto"/>
        <w:rPr>
          <w:lang w:val="en-US"/>
        </w:rPr>
        <w:sectPr w:rsidR="00EB5104" w:rsidRPr="00897315" w:rsidSect="008D65DB">
          <w:headerReference w:type="default" r:id="rId34"/>
          <w:footerReference w:type="default" r:id="rId35"/>
          <w:headerReference w:type="first" r:id="rId36"/>
          <w:footerReference w:type="first" r:id="rId37"/>
          <w:pgSz w:w="11907" w:h="16839" w:code="9"/>
          <w:pgMar w:top="1276" w:right="1418" w:bottom="1134" w:left="1559" w:header="720" w:footer="720" w:gutter="0"/>
          <w:pgNumType w:start="1"/>
          <w:cols w:space="720"/>
          <w:titlePg/>
          <w:docGrid w:linePitch="360"/>
        </w:sectPr>
      </w:pPr>
      <w:r w:rsidRPr="5F0B1C35">
        <w:rPr>
          <w:rFonts w:asciiTheme="majorHAnsi" w:hAnsiTheme="majorHAnsi" w:cstheme="majorBidi"/>
          <w:lang w:val="en-US"/>
        </w:rPr>
        <w:t>One team allocated over multiple locations</w:t>
      </w:r>
      <w:r w:rsidR="5BE25084" w:rsidRPr="5F0B1C35">
        <w:rPr>
          <w:rFonts w:asciiTheme="majorHAnsi" w:hAnsiTheme="majorHAnsi" w:cstheme="majorBidi"/>
          <w:i/>
          <w:iCs/>
          <w:lang w:val="en-US"/>
        </w:rPr>
        <w:t xml:space="preserve">. </w:t>
      </w:r>
      <w:r w:rsidR="5BE25084" w:rsidRPr="5F0B1C35">
        <w:rPr>
          <w:rFonts w:asciiTheme="minorHAnsi" w:hAnsiTheme="minorHAnsi" w:cstheme="minorBidi"/>
          <w:lang w:val="en-US"/>
        </w:rPr>
        <w:t xml:space="preserve">This involves </w:t>
      </w:r>
      <w:r w:rsidR="6633125D" w:rsidRPr="5F0B1C35">
        <w:rPr>
          <w:rFonts w:asciiTheme="minorHAnsi" w:hAnsiTheme="minorHAnsi" w:cstheme="minorBidi"/>
          <w:lang w:val="en-US"/>
        </w:rPr>
        <w:t xml:space="preserve">a site </w:t>
      </w:r>
      <w:r w:rsidR="00907CD4">
        <w:rPr>
          <w:rFonts w:asciiTheme="minorHAnsi" w:hAnsiTheme="minorHAnsi" w:cstheme="minorBidi"/>
          <w:lang w:val="en-US"/>
        </w:rPr>
        <w:t xml:space="preserve">located in a regional/remote location </w:t>
      </w:r>
      <w:r w:rsidR="6633125D" w:rsidRPr="5F0B1C35">
        <w:rPr>
          <w:rFonts w:asciiTheme="minorHAnsi" w:hAnsiTheme="minorHAnsi" w:cstheme="minorBidi"/>
          <w:lang w:val="en-US"/>
        </w:rPr>
        <w:t xml:space="preserve">allocating its team over multiple locations to </w:t>
      </w:r>
      <w:r w:rsidR="2051CEDF" w:rsidRPr="5F0B1C35">
        <w:rPr>
          <w:rFonts w:asciiTheme="minorHAnsi" w:hAnsiTheme="minorHAnsi" w:cstheme="minorBidi"/>
          <w:lang w:val="en-US"/>
        </w:rPr>
        <w:t>cover a large geographical area.</w:t>
      </w:r>
      <w:r w:rsidR="00907CD4">
        <w:rPr>
          <w:rStyle w:val="FootnoteReference"/>
          <w:lang w:val="en-US"/>
        </w:rPr>
        <w:footnoteReference w:id="32"/>
      </w:r>
      <w:r w:rsidR="00833F90" w:rsidRPr="00821BC2">
        <w:rPr>
          <w:lang w:val="en-US"/>
        </w:rPr>
        <w:t xml:space="preserve"> </w:t>
      </w:r>
    </w:p>
    <w:p w14:paraId="289B24A5" w14:textId="7C2C766C" w:rsidR="001B101C" w:rsidRDefault="52AC9DC1" w:rsidP="001B101C">
      <w:pPr>
        <w:pStyle w:val="Caption"/>
      </w:pPr>
      <w:bookmarkStart w:id="46" w:name="_Ref103333847"/>
      <w:r>
        <w:lastRenderedPageBreak/>
        <w:t xml:space="preserve">Figure </w:t>
      </w:r>
      <w:r w:rsidR="3FCB448F">
        <w:rPr>
          <w:bCs w:val="0"/>
        </w:rPr>
        <w:fldChar w:fldCharType="begin"/>
      </w:r>
      <w:r w:rsidR="3FCB448F">
        <w:instrText xml:space="preserve"> SEQ Figure \* ARABIC </w:instrText>
      </w:r>
      <w:r w:rsidR="3FCB448F">
        <w:rPr>
          <w:bCs w:val="0"/>
        </w:rPr>
        <w:fldChar w:fldCharType="separate"/>
      </w:r>
      <w:r w:rsidR="00402362">
        <w:rPr>
          <w:noProof/>
        </w:rPr>
        <w:t>4</w:t>
      </w:r>
      <w:r w:rsidR="3FCB448F">
        <w:rPr>
          <w:bCs w:val="0"/>
        </w:rPr>
        <w:fldChar w:fldCharType="end"/>
      </w:r>
      <w:bookmarkEnd w:id="46"/>
      <w:r w:rsidR="2A95A2E8">
        <w:t xml:space="preserve"> | Variations to The Way Back delivery model for the eight deep dive sites</w:t>
      </w:r>
    </w:p>
    <w:p w14:paraId="13FFA94F" w14:textId="3085FBE7" w:rsidR="008142CE" w:rsidRPr="008142CE" w:rsidRDefault="00427347" w:rsidP="008142CE">
      <w:pPr>
        <w:sectPr w:rsidR="008142CE" w:rsidRPr="008142CE" w:rsidSect="001661C2">
          <w:headerReference w:type="first" r:id="rId38"/>
          <w:footerReference w:type="first" r:id="rId39"/>
          <w:pgSz w:w="16839" w:h="11907" w:orient="landscape" w:code="9"/>
          <w:pgMar w:top="1134" w:right="1134" w:bottom="1134" w:left="1134" w:header="720" w:footer="720" w:gutter="0"/>
          <w:cols w:space="720"/>
          <w:titlePg/>
          <w:docGrid w:linePitch="360"/>
        </w:sectPr>
      </w:pPr>
      <w:r w:rsidRPr="00427347">
        <w:rPr>
          <w:noProof/>
        </w:rPr>
        <w:drawing>
          <wp:inline distT="0" distB="0" distL="0" distR="0" wp14:anchorId="1F1DAA81" wp14:editId="71FD4A97">
            <wp:extent cx="9252585" cy="5245100"/>
            <wp:effectExtent l="0" t="0" r="5715" b="0"/>
            <wp:docPr id="30" name="Graphic 30" descr="Figure 4 is a table showing the variations to The Way Back delivery model for the eight deep dive sites. Further details on this figure can be read under chapter 4.5 Service model variations allowed for flexibility to respond to local needs and contex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Figure 4 is a table showing the variations to The Way Back delivery model for the eight deep dive sites. Further details on this figure can be read under chapter 4.5 Service model variations allowed for flexibility to respond to local needs and contexts. "/>
                    <pic:cNvPicPr/>
                  </pic:nvPicPr>
                  <pic:blipFill>
                    <a:blip r:embed="rId40">
                      <a:extLst>
                        <a:ext uri="{96DAC541-7B7A-43D3-8B79-37D633B846F1}">
                          <asvg:svgBlip xmlns:asvg="http://schemas.microsoft.com/office/drawing/2016/SVG/main" r:embed="rId41"/>
                        </a:ext>
                      </a:extLst>
                    </a:blip>
                    <a:stretch>
                      <a:fillRect/>
                    </a:stretch>
                  </pic:blipFill>
                  <pic:spPr>
                    <a:xfrm>
                      <a:off x="0" y="0"/>
                      <a:ext cx="9252585" cy="5245100"/>
                    </a:xfrm>
                    <a:prstGeom prst="rect">
                      <a:avLst/>
                    </a:prstGeom>
                  </pic:spPr>
                </pic:pic>
              </a:graphicData>
            </a:graphic>
          </wp:inline>
        </w:drawing>
      </w:r>
    </w:p>
    <w:p w14:paraId="59C6A200" w14:textId="4892ABA0" w:rsidR="00B15198" w:rsidRDefault="00B15198" w:rsidP="00B15198">
      <w:pPr>
        <w:pStyle w:val="Heading1"/>
        <w:rPr>
          <w:color w:val="FFFFFF" w:themeColor="background1"/>
        </w:rPr>
      </w:pPr>
      <w:bookmarkStart w:id="47" w:name="_Ref118278482"/>
      <w:bookmarkStart w:id="48" w:name="_Ref118285968"/>
      <w:bookmarkStart w:id="49" w:name="_Toc121320680"/>
      <w:r w:rsidRPr="00325F4F">
        <w:rPr>
          <w:noProof/>
          <w:color w:val="FFFFFF" w:themeColor="background1"/>
        </w:rPr>
        <w:lastRenderedPageBreak/>
        <w:drawing>
          <wp:anchor distT="0" distB="0" distL="114300" distR="114300" simplePos="0" relativeHeight="251658253" behindDoc="1" locked="0" layoutInCell="1" allowOverlap="1" wp14:anchorId="05ED7CCB" wp14:editId="770ED783">
            <wp:simplePos x="0" y="0"/>
            <wp:positionH relativeFrom="page">
              <wp:posOffset>-1905</wp:posOffset>
            </wp:positionH>
            <wp:positionV relativeFrom="paragraph">
              <wp:posOffset>-671033</wp:posOffset>
            </wp:positionV>
            <wp:extent cx="7559675" cy="1371600"/>
            <wp:effectExtent l="0" t="0" r="3175" b="0"/>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0048612C">
        <w:rPr>
          <w:color w:val="FFFFFF" w:themeColor="background1"/>
        </w:rPr>
        <w:t>Service reach</w:t>
      </w:r>
      <w:bookmarkEnd w:id="47"/>
      <w:bookmarkEnd w:id="48"/>
      <w:bookmarkEnd w:id="49"/>
      <w:r w:rsidR="0048612C">
        <w:rPr>
          <w:color w:val="FFFFFF" w:themeColor="background1"/>
        </w:rPr>
        <w:t xml:space="preserve"> </w:t>
      </w:r>
    </w:p>
    <w:p w14:paraId="0AD1AE08" w14:textId="77777777" w:rsidR="007929C4" w:rsidRPr="00D1753E" w:rsidRDefault="007929C4" w:rsidP="007A7B9F">
      <w:pPr>
        <w:pStyle w:val="NoteHeading"/>
        <w:spacing w:before="600"/>
        <w:rPr>
          <w:lang w:eastAsia="en-AU"/>
        </w:rPr>
      </w:pPr>
      <w:r w:rsidRPr="00D1753E">
        <w:rPr>
          <w:lang w:eastAsia="en-AU"/>
        </w:rPr>
        <w:t xml:space="preserve">This section contributes to answering the following KEQs: </w:t>
      </w:r>
    </w:p>
    <w:p w14:paraId="290E163D" w14:textId="77777777" w:rsidR="007929C4" w:rsidRPr="00D1753E" w:rsidRDefault="007929C4" w:rsidP="007929C4">
      <w:pPr>
        <w:pStyle w:val="NoteHeading"/>
        <w:rPr>
          <w:lang w:eastAsia="en-AU"/>
        </w:rPr>
      </w:pPr>
      <w:r w:rsidRPr="00D1753E">
        <w:rPr>
          <w:lang w:eastAsia="en-AU"/>
        </w:rPr>
        <w:t xml:space="preserve">KEQ 1 | What is being delivered under The Way Back, where, how, and why </w:t>
      </w:r>
    </w:p>
    <w:p w14:paraId="1C77F7E1" w14:textId="77777777" w:rsidR="007929C4" w:rsidRPr="00D1753E" w:rsidRDefault="007929C4" w:rsidP="007929C4">
      <w:pPr>
        <w:pStyle w:val="NoteHeading"/>
        <w:rPr>
          <w:lang w:eastAsia="en-AU"/>
        </w:rPr>
      </w:pPr>
      <w:r w:rsidRPr="00D1753E">
        <w:rPr>
          <w:lang w:eastAsia="en-AU"/>
        </w:rPr>
        <w:t>Between July 2018 and September 2022, The Way Back was established across 38 sites in seven states and territories, 27 of these sites were in-scope for this evaluation.</w:t>
      </w:r>
      <w:r w:rsidRPr="00D1753E">
        <w:rPr>
          <w:color w:val="FFFFFF" w:themeColor="background1"/>
          <w:kern w:val="24"/>
        </w:rPr>
        <w:t xml:space="preserve"> </w:t>
      </w:r>
      <w:r w:rsidRPr="00D1753E">
        <w:rPr>
          <w:lang w:eastAsia="en-AU"/>
        </w:rPr>
        <w:t xml:space="preserve">Across the 27 in-scope sites, 8,734 participants were reached. 79 per cent of referrals to The Way Back were taken up, 65 per cent of participants had recorded safety plans, 55 percent of participants had recorded support plans, and there were 5,685 </w:t>
      </w:r>
      <w:r>
        <w:rPr>
          <w:lang w:eastAsia="en-AU"/>
        </w:rPr>
        <w:t xml:space="preserve">outward </w:t>
      </w:r>
      <w:r w:rsidRPr="00D1753E">
        <w:rPr>
          <w:lang w:eastAsia="en-AU"/>
        </w:rPr>
        <w:t>referrals made to other psychosocial or clinical services.</w:t>
      </w:r>
    </w:p>
    <w:p w14:paraId="416D44C9" w14:textId="77777777" w:rsidR="007929C4" w:rsidRPr="00D1753E" w:rsidRDefault="007929C4" w:rsidP="007929C4">
      <w:pPr>
        <w:pStyle w:val="NoteHeading"/>
      </w:pPr>
      <w:r w:rsidRPr="00D1753E">
        <w:t xml:space="preserve">KEQ 1 is further answered in section </w:t>
      </w:r>
      <w:r w:rsidRPr="00D1753E">
        <w:fldChar w:fldCharType="begin"/>
      </w:r>
      <w:r w:rsidRPr="00D1753E">
        <w:instrText xml:space="preserve"> REF _Ref121306324 \n \h </w:instrText>
      </w:r>
      <w:r>
        <w:instrText xml:space="preserve"> \* MERGEFORMAT </w:instrText>
      </w:r>
      <w:r w:rsidRPr="00D1753E">
        <w:fldChar w:fldCharType="separate"/>
      </w:r>
      <w:r>
        <w:t>3</w:t>
      </w:r>
      <w:r w:rsidRPr="00D1753E">
        <w:fldChar w:fldCharType="end"/>
      </w:r>
      <w:r w:rsidRPr="00D1753E">
        <w:t xml:space="preserve">, and section </w:t>
      </w:r>
      <w:r w:rsidRPr="00D1753E">
        <w:fldChar w:fldCharType="begin"/>
      </w:r>
      <w:r w:rsidRPr="00D1753E">
        <w:instrText xml:space="preserve"> REF _Ref121306344 \n \h </w:instrText>
      </w:r>
      <w:r>
        <w:instrText xml:space="preserve"> \* MERGEFORMAT </w:instrText>
      </w:r>
      <w:r w:rsidRPr="00D1753E">
        <w:fldChar w:fldCharType="separate"/>
      </w:r>
      <w:r>
        <w:t>4</w:t>
      </w:r>
      <w:r w:rsidRPr="00D1753E">
        <w:fldChar w:fldCharType="end"/>
      </w:r>
      <w:r w:rsidRPr="00D1753E">
        <w:t>.</w:t>
      </w:r>
    </w:p>
    <w:p w14:paraId="17F4A8E4" w14:textId="77777777" w:rsidR="007929C4" w:rsidRPr="00D1753E" w:rsidRDefault="007929C4" w:rsidP="007929C4">
      <w:pPr>
        <w:pStyle w:val="NoteHeading"/>
        <w:rPr>
          <w:lang w:eastAsia="en-AU"/>
        </w:rPr>
      </w:pPr>
      <w:r w:rsidRPr="00D1753E">
        <w:rPr>
          <w:lang w:eastAsia="en-AU"/>
        </w:rPr>
        <w:t>KEQ 2 | How well is The Way Back being delivered?</w:t>
      </w:r>
    </w:p>
    <w:p w14:paraId="1FFFEC73" w14:textId="77777777" w:rsidR="007929C4" w:rsidRPr="00D1753E" w:rsidRDefault="007929C4" w:rsidP="007929C4">
      <w:pPr>
        <w:pStyle w:val="NoteHeading"/>
        <w:rPr>
          <w:lang w:eastAsia="en-AU"/>
        </w:rPr>
      </w:pPr>
      <w:r w:rsidRPr="00D1753E">
        <w:rPr>
          <w:lang w:eastAsia="en-AU"/>
        </w:rPr>
        <w:t xml:space="preserve">Across Australia, referrals to The Way Back exceeded projected targets. In line with the service model, sites engaged in strategies to better manage higher than expected demand by prioritising those at higher risk, including those with primary eligibility criteria, and priority cohorts for The Way Back (including </w:t>
      </w:r>
      <w:r w:rsidRPr="00D1753E">
        <w:t xml:space="preserve">Aboriginal and Torres Strait Islander people, people who identify as LGBTIQA+). </w:t>
      </w:r>
    </w:p>
    <w:p w14:paraId="381EC567" w14:textId="790DFF02" w:rsidR="007929C4" w:rsidRPr="00D1753E" w:rsidRDefault="007929C4" w:rsidP="007929C4">
      <w:pPr>
        <w:pStyle w:val="NoteHeading"/>
        <w:rPr>
          <w:lang w:eastAsia="en-AU"/>
        </w:rPr>
      </w:pPr>
      <w:r w:rsidRPr="00D1753E">
        <w:rPr>
          <w:lang w:eastAsia="en-AU"/>
        </w:rPr>
        <w:t>The characteristics of people accessing the service were broadly in line with who was expected to access the service in that most people had a reported mental health diagnosis (79 per cent), and/or had made a pervious suicide attempt (37 per cent). The other most common characteristics of The Way Back participants were born in Australia (85 per cent</w:t>
      </w:r>
      <w:r w:rsidR="00875B05" w:rsidRPr="00D1753E">
        <w:rPr>
          <w:lang w:eastAsia="en-AU"/>
        </w:rPr>
        <w:t>) and</w:t>
      </w:r>
      <w:r w:rsidRPr="00D1753E">
        <w:rPr>
          <w:lang w:eastAsia="en-AU"/>
        </w:rPr>
        <w:t xml:space="preserve"> identified as a heterosexual female (58 per cent).</w:t>
      </w:r>
    </w:p>
    <w:p w14:paraId="251C79A2" w14:textId="0F87E127" w:rsidR="00B618E8" w:rsidRPr="00007DD3" w:rsidRDefault="007929C4" w:rsidP="007929C4">
      <w:pPr>
        <w:pStyle w:val="NoteHeading"/>
        <w:rPr>
          <w:lang w:eastAsia="en-AU"/>
        </w:rPr>
      </w:pPr>
      <w:r w:rsidRPr="001F59B8">
        <w:rPr>
          <w:lang w:eastAsia="en-AU"/>
        </w:rPr>
        <w:t xml:space="preserve">The Way Back appeared to be meeting the needs of Aboriginal and Torres Strait Islander people, though there was limited publicly available data for </w:t>
      </w:r>
      <w:r>
        <w:rPr>
          <w:lang w:eastAsia="en-AU"/>
        </w:rPr>
        <w:t xml:space="preserve">some </w:t>
      </w:r>
      <w:r w:rsidRPr="001F59B8">
        <w:rPr>
          <w:lang w:eastAsia="en-AU"/>
        </w:rPr>
        <w:t xml:space="preserve">other priority cohorts </w:t>
      </w:r>
      <w:r>
        <w:rPr>
          <w:lang w:eastAsia="en-AU"/>
        </w:rPr>
        <w:t xml:space="preserve">(for example, people who identify as LGBTQIA+, people with CALD backgrounds, and people who were experiencing a borderline personality disorder) </w:t>
      </w:r>
      <w:r w:rsidRPr="001F59B8">
        <w:rPr>
          <w:lang w:eastAsia="en-AU"/>
        </w:rPr>
        <w:t>to establish whether The Way Back was adequately meeting their needs.</w:t>
      </w:r>
      <w:r>
        <w:rPr>
          <w:lang w:eastAsia="en-AU"/>
        </w:rPr>
        <w:t xml:space="preserve"> </w:t>
      </w:r>
      <w:r w:rsidRPr="00D1753E">
        <w:t xml:space="preserve">KEQ 2 is further answered in section </w:t>
      </w:r>
      <w:r w:rsidRPr="00D1753E">
        <w:fldChar w:fldCharType="begin"/>
      </w:r>
      <w:r w:rsidRPr="00D1753E">
        <w:instrText xml:space="preserve"> REF _Ref118285978 \n \h </w:instrText>
      </w:r>
      <w:r>
        <w:instrText xml:space="preserve"> \* MERGEFORMAT </w:instrText>
      </w:r>
      <w:r w:rsidRPr="00D1753E">
        <w:fldChar w:fldCharType="separate"/>
      </w:r>
      <w:r>
        <w:t>6</w:t>
      </w:r>
      <w:r w:rsidRPr="00D1753E">
        <w:fldChar w:fldCharType="end"/>
      </w:r>
      <w:r w:rsidRPr="00D1753E">
        <w:t xml:space="preserve"> and section </w:t>
      </w:r>
      <w:r w:rsidRPr="00D1753E">
        <w:fldChar w:fldCharType="begin"/>
      </w:r>
      <w:r w:rsidRPr="00D1753E">
        <w:instrText xml:space="preserve"> REF _Ref121306434 \n \h </w:instrText>
      </w:r>
      <w:r>
        <w:instrText xml:space="preserve"> \* MERGEFORMAT </w:instrText>
      </w:r>
      <w:r w:rsidRPr="00D1753E">
        <w:fldChar w:fldCharType="separate"/>
      </w:r>
      <w:r>
        <w:t>9</w:t>
      </w:r>
      <w:r w:rsidRPr="00D1753E">
        <w:fldChar w:fldCharType="end"/>
      </w:r>
      <w:r w:rsidRPr="00D1753E">
        <w:t>.</w:t>
      </w:r>
    </w:p>
    <w:tbl>
      <w:tblPr>
        <w:tblW w:w="4950" w:type="pct"/>
        <w:tblLook w:val="04A0" w:firstRow="1" w:lastRow="0" w:firstColumn="1" w:lastColumn="0" w:noHBand="0" w:noVBand="1"/>
        <w:tblDescription w:val="Chapter 4 overview of the data quality and limitations in this section. "/>
      </w:tblPr>
      <w:tblGrid>
        <w:gridCol w:w="993"/>
        <w:gridCol w:w="7848"/>
      </w:tblGrid>
      <w:tr w:rsidR="005C5411" w14:paraId="50231FB9" w14:textId="77777777" w:rsidTr="007A7B9F">
        <w:trPr>
          <w:trHeight w:val="794"/>
        </w:trPr>
        <w:tc>
          <w:tcPr>
            <w:tcW w:w="993" w:type="dxa"/>
            <w:shd w:val="clear" w:color="auto" w:fill="00264D" w:themeFill="background2"/>
            <w:vAlign w:val="center"/>
          </w:tcPr>
          <w:p w14:paraId="259770B2" w14:textId="2E5EB327" w:rsidR="005C5411" w:rsidRPr="000A167E" w:rsidRDefault="00151029" w:rsidP="007A7B9F">
            <w:pPr>
              <w:jc w:val="center"/>
              <w:rPr>
                <w:noProof/>
              </w:rPr>
            </w:pPr>
            <w:r>
              <w:rPr>
                <w:noProof/>
              </w:rPr>
              <w:drawing>
                <wp:inline distT="0" distB="0" distL="0" distR="0" wp14:anchorId="020BB0EB" wp14:editId="54ABB70F">
                  <wp:extent cx="371475" cy="371475"/>
                  <wp:effectExtent l="0" t="0" r="9525" b="9525"/>
                  <wp:docPr id="1038753017" name="Graphic 10387530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17" name="Graphic 1038753017">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371475" cy="371475"/>
                          </a:xfrm>
                          <a:prstGeom prst="rect">
                            <a:avLst/>
                          </a:prstGeom>
                        </pic:spPr>
                      </pic:pic>
                    </a:graphicData>
                  </a:graphic>
                </wp:inline>
              </w:drawing>
            </w:r>
          </w:p>
        </w:tc>
        <w:tc>
          <w:tcPr>
            <w:tcW w:w="7848" w:type="dxa"/>
            <w:shd w:val="clear" w:color="auto" w:fill="F2F2F2" w:themeFill="background1" w:themeFillShade="F2"/>
            <w:vAlign w:val="center"/>
          </w:tcPr>
          <w:p w14:paraId="3DCB311C" w14:textId="7A02DB3C" w:rsidR="005C5411" w:rsidRDefault="005C5411" w:rsidP="007A7B9F">
            <w:pPr>
              <w:rPr>
                <w:rFonts w:asciiTheme="majorHAnsi" w:hAnsiTheme="majorHAnsi" w:cstheme="majorHAnsi"/>
                <w:color w:val="00264D" w:themeColor="background2"/>
              </w:rPr>
            </w:pPr>
            <w:r w:rsidRPr="003C6AF6">
              <w:rPr>
                <w:rFonts w:asciiTheme="majorHAnsi" w:hAnsiTheme="majorHAnsi" w:cstheme="majorHAnsi"/>
                <w:color w:val="00264D" w:themeColor="background2"/>
              </w:rPr>
              <w:t>DATA QUALITY AND LIMITATIONS IN THIS SECTION</w:t>
            </w:r>
          </w:p>
          <w:p w14:paraId="6BF8C5F0" w14:textId="77777777" w:rsidR="005C5411" w:rsidRDefault="005C5411" w:rsidP="007A7B9F">
            <w:pPr>
              <w:pStyle w:val="TableNText"/>
            </w:pPr>
            <w:bookmarkStart w:id="50" w:name="_Hlk128466234"/>
            <w:r w:rsidRPr="006D14BB">
              <w:t xml:space="preserve">This section </w:t>
            </w:r>
            <w:r>
              <w:t xml:space="preserve">draws on three key data sources: </w:t>
            </w:r>
          </w:p>
          <w:p w14:paraId="41CE6DCA" w14:textId="77777777" w:rsidR="005C5411" w:rsidRPr="00203581" w:rsidRDefault="005C5411" w:rsidP="007A7B9F">
            <w:pPr>
              <w:pStyle w:val="TableNBullet"/>
              <w:rPr>
                <w:rFonts w:cstheme="minorBidi"/>
              </w:rPr>
            </w:pPr>
            <w:r>
              <w:t xml:space="preserve">PMHC MDS data for twenty-seven in-scope sites between July 2018 and September 2022, </w:t>
            </w:r>
          </w:p>
          <w:p w14:paraId="2756C3EA" w14:textId="79C8B6E6" w:rsidR="005C5411" w:rsidRPr="00203581" w:rsidRDefault="005C5411" w:rsidP="007A7B9F">
            <w:pPr>
              <w:pStyle w:val="TableNBullet"/>
              <w:rPr>
                <w:rFonts w:cstheme="minorBidi"/>
              </w:rPr>
            </w:pPr>
            <w:r>
              <w:t xml:space="preserve">quarterly reports for twenty-seven sites between April 2021 and June 2022 and </w:t>
            </w:r>
          </w:p>
          <w:p w14:paraId="46A6A034" w14:textId="6AE28FDE" w:rsidR="005C5411" w:rsidRPr="00203581" w:rsidRDefault="1EB1C2BE" w:rsidP="007A7B9F">
            <w:pPr>
              <w:pStyle w:val="TableNBullet"/>
              <w:rPr>
                <w:rFonts w:cstheme="minorBidi"/>
              </w:rPr>
            </w:pPr>
            <w:r>
              <w:t>referral data for all operational sites since commencement of The Way Back</w:t>
            </w:r>
          </w:p>
          <w:p w14:paraId="53ABD047" w14:textId="20E0C44F" w:rsidR="00947FB9" w:rsidRPr="00203581" w:rsidRDefault="00297856" w:rsidP="007A7B9F">
            <w:pPr>
              <w:pStyle w:val="TableNBullet"/>
              <w:rPr>
                <w:rFonts w:cstheme="minorBidi"/>
              </w:rPr>
            </w:pPr>
            <w:r w:rsidRPr="00297856">
              <w:rPr>
                <w:rFonts w:cstheme="minorBidi"/>
              </w:rPr>
              <w:t>interviews with provider staff between June 2021 and April 202</w:t>
            </w:r>
            <w:r w:rsidR="00A47E3F">
              <w:rPr>
                <w:rFonts w:cstheme="minorBidi"/>
              </w:rPr>
              <w:t>2</w:t>
            </w:r>
          </w:p>
          <w:p w14:paraId="3E6F552B" w14:textId="2BFE4723" w:rsidR="005C5411" w:rsidRPr="00B17D0C" w:rsidRDefault="438E2496" w:rsidP="007A7B9F">
            <w:pPr>
              <w:pStyle w:val="TableNBullet"/>
              <w:rPr>
                <w:rFonts w:asciiTheme="majorHAnsi" w:hAnsiTheme="majorHAnsi" w:cstheme="majorBidi"/>
                <w:color w:val="00264D" w:themeColor="background2"/>
              </w:rPr>
            </w:pPr>
            <w:r>
              <w:t xml:space="preserve">This section only reports on the twenty-seven in-scope sites of the </w:t>
            </w:r>
            <w:r w:rsidR="28A29211">
              <w:t xml:space="preserve">38 </w:t>
            </w:r>
            <w:r>
              <w:t xml:space="preserve">operational sites. Variability in the completeness and quality of quantitative data across sites has impacted the consistency of data across sources. Refer to </w:t>
            </w:r>
            <w:r w:rsidR="00F42919">
              <w:t>s</w:t>
            </w:r>
            <w:r>
              <w:t xml:space="preserve">ection </w:t>
            </w:r>
            <w:r w:rsidR="00D514CB">
              <w:fldChar w:fldCharType="begin"/>
            </w:r>
            <w:r w:rsidR="00D514CB">
              <w:instrText xml:space="preserve"> REF _Ref121306457 \n \h </w:instrText>
            </w:r>
            <w:r w:rsidR="00D514CB">
              <w:fldChar w:fldCharType="separate"/>
            </w:r>
            <w:r w:rsidR="00402362">
              <w:t>2.4</w:t>
            </w:r>
            <w:r w:rsidR="00D514CB">
              <w:fldChar w:fldCharType="end"/>
            </w:r>
            <w:r w:rsidR="00D514CB">
              <w:t xml:space="preserve"> </w:t>
            </w:r>
            <w:r>
              <w:t xml:space="preserve">and Appendix </w:t>
            </w:r>
            <w:r w:rsidR="001A1D37">
              <w:t>B</w:t>
            </w:r>
            <w:r>
              <w:t xml:space="preserve"> for detailed limitations.</w:t>
            </w:r>
            <w:bookmarkEnd w:id="50"/>
          </w:p>
        </w:tc>
      </w:tr>
    </w:tbl>
    <w:p w14:paraId="437AE401" w14:textId="348C7D8D" w:rsidR="000B1CFB" w:rsidRPr="000B1CFB" w:rsidRDefault="007207AA" w:rsidP="0048612C">
      <w:pPr>
        <w:pStyle w:val="Heading2"/>
      </w:pPr>
      <w:bookmarkStart w:id="51" w:name="_Ref118285637"/>
      <w:bookmarkStart w:id="52" w:name="_Toc121320681"/>
      <w:r>
        <w:t>Key activities and outputs 2018-22</w:t>
      </w:r>
      <w:bookmarkEnd w:id="51"/>
      <w:bookmarkEnd w:id="52"/>
    </w:p>
    <w:p w14:paraId="30152201" w14:textId="2CDC997D" w:rsidR="002E3DFB" w:rsidRDefault="5493D7E8" w:rsidP="00623868">
      <w:pPr>
        <w:pStyle w:val="Heading3"/>
      </w:pPr>
      <w:r>
        <w:t xml:space="preserve">The Way Back was delivered </w:t>
      </w:r>
      <w:r w:rsidR="2B341C41">
        <w:t>in 3</w:t>
      </w:r>
      <w:r w:rsidR="3FD97EB2">
        <w:t>8</w:t>
      </w:r>
      <w:r w:rsidR="2B341C41">
        <w:t xml:space="preserve"> sites</w:t>
      </w:r>
      <w:r w:rsidR="7D25958B">
        <w:t>,</w:t>
      </w:r>
      <w:r w:rsidR="03951628">
        <w:t xml:space="preserve"> </w:t>
      </w:r>
      <w:r w:rsidR="31F9BE35">
        <w:t>27</w:t>
      </w:r>
      <w:r>
        <w:t xml:space="preserve"> </w:t>
      </w:r>
      <w:r w:rsidR="68288979">
        <w:t xml:space="preserve">of which were </w:t>
      </w:r>
      <w:r w:rsidR="03951628">
        <w:t>in</w:t>
      </w:r>
      <w:r w:rsidR="003B0E2B">
        <w:t>-</w:t>
      </w:r>
      <w:r w:rsidR="03951628">
        <w:t>scope for this evaluation</w:t>
      </w:r>
      <w:r w:rsidR="68288979">
        <w:t>. Across those 27</w:t>
      </w:r>
      <w:r w:rsidR="308707A5">
        <w:t xml:space="preserve"> sites</w:t>
      </w:r>
      <w:r w:rsidR="68288979">
        <w:t>,</w:t>
      </w:r>
      <w:r w:rsidR="03951628">
        <w:t xml:space="preserve"> </w:t>
      </w:r>
      <w:r w:rsidR="5500CAA1">
        <w:t>8</w:t>
      </w:r>
      <w:r w:rsidR="38262DE3">
        <w:t>,</w:t>
      </w:r>
      <w:r w:rsidR="47BAC38C">
        <w:t>734</w:t>
      </w:r>
      <w:r w:rsidR="38262DE3">
        <w:t xml:space="preserve"> </w:t>
      </w:r>
      <w:r w:rsidR="3AF33DCC">
        <w:t>participants</w:t>
      </w:r>
      <w:r w:rsidR="38262DE3">
        <w:t xml:space="preserve"> </w:t>
      </w:r>
      <w:r w:rsidR="2B341C41" w:rsidRPr="00B53F6D">
        <w:t>were</w:t>
      </w:r>
      <w:r w:rsidR="19F0CD50" w:rsidRPr="00B53F6D">
        <w:t xml:space="preserve"> </w:t>
      </w:r>
      <w:r w:rsidR="2B341C41" w:rsidRPr="00820269">
        <w:t>supported</w:t>
      </w:r>
      <w:r w:rsidR="2B341C41" w:rsidRPr="00B53F6D">
        <w:t xml:space="preserve"> acro</w:t>
      </w:r>
      <w:r w:rsidR="2B341C41">
        <w:t xml:space="preserve">ss seven states and territories </w:t>
      </w:r>
      <w:r w:rsidR="38262DE3">
        <w:t>b</w:t>
      </w:r>
      <w:r w:rsidR="7240BBC1">
        <w:t>etween</w:t>
      </w:r>
      <w:r w:rsidR="1DB5748B">
        <w:t xml:space="preserve"> </w:t>
      </w:r>
      <w:r w:rsidR="5500CAA1">
        <w:t>July</w:t>
      </w:r>
      <w:r w:rsidR="1DB5748B">
        <w:t xml:space="preserve"> 2018</w:t>
      </w:r>
      <w:r w:rsidR="7240BBC1">
        <w:t xml:space="preserve"> and </w:t>
      </w:r>
      <w:r w:rsidR="43B9CA2C">
        <w:t>September</w:t>
      </w:r>
      <w:r w:rsidR="7240BBC1">
        <w:t xml:space="preserve"> 2022</w:t>
      </w:r>
      <w:r w:rsidR="1DB5748B">
        <w:t>.</w:t>
      </w:r>
    </w:p>
    <w:bookmarkStart w:id="53" w:name="_Hlk106097867"/>
    <w:p w14:paraId="5858C3D4" w14:textId="65873CEB" w:rsidR="00674C6B" w:rsidRPr="003A5C32" w:rsidRDefault="00B55A67" w:rsidP="00674C6B">
      <w:r>
        <w:fldChar w:fldCharType="begin"/>
      </w:r>
      <w:r>
        <w:instrText xml:space="preserve"> REF _Ref122446006 \h </w:instrText>
      </w:r>
      <w:r>
        <w:fldChar w:fldCharType="separate"/>
      </w:r>
      <w:r w:rsidR="00402362">
        <w:t xml:space="preserve">Figure </w:t>
      </w:r>
      <w:r w:rsidR="00402362">
        <w:rPr>
          <w:noProof/>
        </w:rPr>
        <w:t>5</w:t>
      </w:r>
      <w:r>
        <w:fldChar w:fldCharType="end"/>
      </w:r>
      <w:r>
        <w:t xml:space="preserve"> </w:t>
      </w:r>
      <w:r w:rsidR="00BE28E3">
        <w:t xml:space="preserve">provides a timeline of when the 27 in-scope sites were implemented. It shows that all in-scope sites were implemented between April 2016 and December 2021, with majority of sites implemented </w:t>
      </w:r>
      <w:r w:rsidR="00BE28E3">
        <w:lastRenderedPageBreak/>
        <w:t>throughout 2021.</w:t>
      </w:r>
      <w:r w:rsidR="00427347">
        <w:t xml:space="preserve"> </w:t>
      </w:r>
      <w:r w:rsidR="00A63424">
        <w:rPr>
          <w:lang w:eastAsia="en-AU"/>
        </w:rPr>
        <w:t xml:space="preserve">In its </w:t>
      </w:r>
      <w:r w:rsidR="00A63424" w:rsidRPr="00014BA6">
        <w:rPr>
          <w:lang w:eastAsia="en-AU"/>
        </w:rPr>
        <w:t>first year of operation in 2018</w:t>
      </w:r>
      <w:r w:rsidR="00A63424">
        <w:rPr>
          <w:lang w:eastAsia="en-AU"/>
        </w:rPr>
        <w:t xml:space="preserve"> and 20</w:t>
      </w:r>
      <w:r w:rsidR="00A63424" w:rsidRPr="00014BA6">
        <w:rPr>
          <w:lang w:eastAsia="en-AU"/>
        </w:rPr>
        <w:t>19</w:t>
      </w:r>
      <w:r w:rsidR="00427347">
        <w:rPr>
          <w:lang w:eastAsia="en-AU"/>
        </w:rPr>
        <w:t>,</w:t>
      </w:r>
      <w:r w:rsidR="00427347">
        <w:rPr>
          <w:rStyle w:val="FootnoteReference"/>
          <w:lang w:eastAsia="en-AU"/>
        </w:rPr>
        <w:footnoteReference w:id="33"/>
      </w:r>
      <w:bookmarkStart w:id="54" w:name="_Hlk122450477"/>
      <w:r w:rsidR="00427347">
        <w:rPr>
          <w:lang w:eastAsia="en-AU"/>
        </w:rPr>
        <w:t xml:space="preserve"> </w:t>
      </w:r>
      <w:r w:rsidR="00A63424" w:rsidRPr="00014BA6">
        <w:rPr>
          <w:lang w:eastAsia="en-AU"/>
        </w:rPr>
        <w:t xml:space="preserve">The Way Back </w:t>
      </w:r>
      <w:r w:rsidR="00A63424" w:rsidRPr="2375EFE3">
        <w:rPr>
          <w:lang w:eastAsia="en-AU"/>
        </w:rPr>
        <w:t>supported</w:t>
      </w:r>
      <w:r w:rsidR="00A63424" w:rsidRPr="00014BA6">
        <w:rPr>
          <w:lang w:eastAsia="en-AU"/>
        </w:rPr>
        <w:t xml:space="preserve"> </w:t>
      </w:r>
      <w:r w:rsidR="00A63424">
        <w:rPr>
          <w:lang w:eastAsia="en-AU"/>
        </w:rPr>
        <w:t>60</w:t>
      </w:r>
      <w:r w:rsidR="00A63424" w:rsidRPr="00014BA6">
        <w:rPr>
          <w:lang w:eastAsia="en-AU"/>
        </w:rPr>
        <w:t xml:space="preserve"> </w:t>
      </w:r>
      <w:r w:rsidR="00A63424">
        <w:rPr>
          <w:lang w:eastAsia="en-AU"/>
        </w:rPr>
        <w:t>participants</w:t>
      </w:r>
      <w:r w:rsidR="00A63424" w:rsidRPr="00014BA6">
        <w:rPr>
          <w:lang w:eastAsia="en-AU"/>
        </w:rPr>
        <w:t xml:space="preserve"> </w:t>
      </w:r>
      <w:r w:rsidR="00A63424">
        <w:rPr>
          <w:lang w:eastAsia="en-AU"/>
        </w:rPr>
        <w:t>across</w:t>
      </w:r>
      <w:r w:rsidR="00A63424" w:rsidRPr="00014BA6">
        <w:rPr>
          <w:lang w:eastAsia="en-AU"/>
        </w:rPr>
        <w:t xml:space="preserve"> two sites</w:t>
      </w:r>
      <w:r w:rsidR="00A63424">
        <w:rPr>
          <w:rStyle w:val="FootnoteReference"/>
          <w:lang w:eastAsia="en-AU"/>
        </w:rPr>
        <w:footnoteReference w:id="34"/>
      </w:r>
      <w:r w:rsidR="00A63424" w:rsidRPr="00014BA6">
        <w:rPr>
          <w:lang w:eastAsia="en-AU"/>
        </w:rPr>
        <w:t xml:space="preserve">, this </w:t>
      </w:r>
      <w:r w:rsidR="00A63424">
        <w:rPr>
          <w:lang w:eastAsia="en-AU"/>
        </w:rPr>
        <w:t>grew</w:t>
      </w:r>
      <w:r w:rsidR="00A63424" w:rsidRPr="00014BA6">
        <w:rPr>
          <w:lang w:eastAsia="en-AU"/>
        </w:rPr>
        <w:t xml:space="preserve"> to </w:t>
      </w:r>
      <w:r w:rsidR="00A63424">
        <w:rPr>
          <w:lang w:eastAsia="en-AU"/>
        </w:rPr>
        <w:t>5,824</w:t>
      </w:r>
      <w:r w:rsidR="00A63424" w:rsidRPr="00014BA6">
        <w:rPr>
          <w:lang w:eastAsia="en-AU"/>
        </w:rPr>
        <w:t xml:space="preserve"> </w:t>
      </w:r>
      <w:r w:rsidR="00A63424">
        <w:rPr>
          <w:lang w:eastAsia="en-AU"/>
        </w:rPr>
        <w:t>participants in 2021 and 2022 across t</w:t>
      </w:r>
      <w:r w:rsidR="00A63424" w:rsidRPr="00A63424">
        <w:rPr>
          <w:lang w:eastAsia="en-AU"/>
        </w:rPr>
        <w:t>he 27 site</w:t>
      </w:r>
      <w:bookmarkEnd w:id="54"/>
      <w:r w:rsidR="00A63424" w:rsidRPr="00A63424">
        <w:rPr>
          <w:lang w:eastAsia="en-AU"/>
        </w:rPr>
        <w:t>s</w:t>
      </w:r>
      <w:r w:rsidR="00A63424">
        <w:rPr>
          <w:rStyle w:val="FootnoteReference"/>
          <w:lang w:eastAsia="en-AU"/>
        </w:rPr>
        <w:footnoteReference w:id="35"/>
      </w:r>
      <w:r w:rsidR="00A63424">
        <w:rPr>
          <w:lang w:eastAsia="en-AU"/>
        </w:rPr>
        <w:t xml:space="preserve">. To support the growth in the number of participants supported, the workforce has grown from </w:t>
      </w:r>
      <w:r w:rsidR="00A63424" w:rsidRPr="00BD7866">
        <w:rPr>
          <w:lang w:eastAsia="en-AU"/>
        </w:rPr>
        <w:t xml:space="preserve">approximately 107 FTE in Q4 </w:t>
      </w:r>
      <w:r w:rsidR="00A63424">
        <w:rPr>
          <w:lang w:eastAsia="en-AU"/>
        </w:rPr>
        <w:t>2021</w:t>
      </w:r>
      <w:r w:rsidR="00A63424" w:rsidRPr="00BD7866">
        <w:rPr>
          <w:lang w:eastAsia="en-AU"/>
        </w:rPr>
        <w:t xml:space="preserve"> to approximately 150 FTE as of</w:t>
      </w:r>
      <w:r w:rsidR="00A63424">
        <w:rPr>
          <w:lang w:eastAsia="en-AU"/>
        </w:rPr>
        <w:t xml:space="preserve"> Q4 2022.</w:t>
      </w:r>
      <w:r w:rsidR="00A63424">
        <w:rPr>
          <w:rStyle w:val="FootnoteReference"/>
          <w:lang w:eastAsia="en-AU"/>
        </w:rPr>
        <w:footnoteReference w:id="36"/>
      </w:r>
      <w:bookmarkEnd w:id="53"/>
    </w:p>
    <w:p w14:paraId="492FE510" w14:textId="40961AD9" w:rsidR="006E059F" w:rsidRDefault="006E059F" w:rsidP="006E059F">
      <w:pPr>
        <w:pStyle w:val="Caption"/>
      </w:pPr>
      <w:bookmarkStart w:id="55" w:name="_Ref122446006"/>
      <w:r>
        <w:t xml:space="preserve">Figure </w:t>
      </w:r>
      <w:r>
        <w:fldChar w:fldCharType="begin"/>
      </w:r>
      <w:r>
        <w:instrText xml:space="preserve"> SEQ Figure \* ARABIC </w:instrText>
      </w:r>
      <w:r>
        <w:fldChar w:fldCharType="separate"/>
      </w:r>
      <w:r w:rsidR="00402362">
        <w:rPr>
          <w:noProof/>
        </w:rPr>
        <w:t>5</w:t>
      </w:r>
      <w:r>
        <w:fldChar w:fldCharType="end"/>
      </w:r>
      <w:bookmarkEnd w:id="55"/>
      <w:r>
        <w:t xml:space="preserve"> | </w:t>
      </w:r>
      <w:r w:rsidR="00FE0A07">
        <w:t xml:space="preserve">Implementation timeline of </w:t>
      </w:r>
      <w:r w:rsidR="00BE28E3">
        <w:t xml:space="preserve">the </w:t>
      </w:r>
      <w:r w:rsidR="00B55A67">
        <w:t xml:space="preserve">27 </w:t>
      </w:r>
      <w:r w:rsidR="00FE0A07">
        <w:t>in-</w:t>
      </w:r>
      <w:r w:rsidR="00B775A9">
        <w:t>scope</w:t>
      </w:r>
      <w:r w:rsidR="00B55A67">
        <w:t xml:space="preserve"> The Way Back</w:t>
      </w:r>
      <w:r w:rsidR="00B775A9">
        <w:t xml:space="preserve"> sites</w:t>
      </w:r>
      <w:r w:rsidR="00101174">
        <w:rPr>
          <w:rStyle w:val="FootnoteReference"/>
        </w:rPr>
        <w:footnoteReference w:id="37"/>
      </w:r>
    </w:p>
    <w:p w14:paraId="2E43B058" w14:textId="532555E1" w:rsidR="00B775A9" w:rsidRPr="004821E4" w:rsidRDefault="00B55A67" w:rsidP="00B775A9">
      <w:r w:rsidRPr="00B55A67">
        <w:rPr>
          <w:noProof/>
        </w:rPr>
        <w:drawing>
          <wp:inline distT="0" distB="0" distL="0" distR="0" wp14:anchorId="5A5C6CA8" wp14:editId="581D41E4">
            <wp:extent cx="5670550" cy="3978910"/>
            <wp:effectExtent l="0" t="0" r="6350" b="2540"/>
            <wp:docPr id="1" name="Graphic 1" descr="Figure 5 is an gant chart showing the data quality and limitation in thi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Figure 5 is an gant chart showing the data quality and limitation in this section. "/>
                    <pic:cNvPicPr/>
                  </pic:nvPicPr>
                  <pic:blipFill>
                    <a:blip r:embed="rId44">
                      <a:extLst>
                        <a:ext uri="{96DAC541-7B7A-43D3-8B79-37D633B846F1}">
                          <asvg:svgBlip xmlns:asvg="http://schemas.microsoft.com/office/drawing/2016/SVG/main" r:embed="rId45"/>
                        </a:ext>
                      </a:extLst>
                    </a:blip>
                    <a:stretch>
                      <a:fillRect/>
                    </a:stretch>
                  </pic:blipFill>
                  <pic:spPr>
                    <a:xfrm>
                      <a:off x="0" y="0"/>
                      <a:ext cx="5670550" cy="3978910"/>
                    </a:xfrm>
                    <a:prstGeom prst="rect">
                      <a:avLst/>
                    </a:prstGeom>
                  </pic:spPr>
                </pic:pic>
              </a:graphicData>
            </a:graphic>
          </wp:inline>
        </w:drawing>
      </w:r>
    </w:p>
    <w:p w14:paraId="085986FE" w14:textId="1038E874" w:rsidR="00AE5F5D" w:rsidRDefault="00AE5F5D" w:rsidP="0088155C">
      <w:pPr>
        <w:spacing w:after="165" w:line="259" w:lineRule="auto"/>
        <w:rPr>
          <w:lang w:eastAsia="en-AU"/>
        </w:rPr>
      </w:pPr>
      <w:r>
        <w:rPr>
          <w:lang w:eastAsia="en-AU"/>
        </w:rPr>
        <w:t xml:space="preserve">An overview of key outputs </w:t>
      </w:r>
      <w:r w:rsidRPr="00ED569E">
        <w:rPr>
          <w:lang w:eastAsia="en-AU"/>
        </w:rPr>
        <w:t xml:space="preserve">delivered between </w:t>
      </w:r>
      <w:r w:rsidR="00CD6AFC" w:rsidRPr="00CD6AFC">
        <w:rPr>
          <w:lang w:eastAsia="en-AU"/>
        </w:rPr>
        <w:t>July</w:t>
      </w:r>
      <w:r w:rsidRPr="00CD6AFC">
        <w:rPr>
          <w:lang w:eastAsia="en-AU"/>
        </w:rPr>
        <w:t xml:space="preserve"> 2018</w:t>
      </w:r>
      <w:r w:rsidRPr="00ED569E">
        <w:rPr>
          <w:lang w:eastAsia="en-AU"/>
        </w:rPr>
        <w:t xml:space="preserve"> and </w:t>
      </w:r>
      <w:r w:rsidR="00FF442A">
        <w:rPr>
          <w:lang w:eastAsia="en-AU"/>
        </w:rPr>
        <w:t>September</w:t>
      </w:r>
      <w:r w:rsidR="00D1116A" w:rsidRPr="00ED569E">
        <w:rPr>
          <w:lang w:eastAsia="en-AU"/>
        </w:rPr>
        <w:t xml:space="preserve"> </w:t>
      </w:r>
      <w:r w:rsidRPr="00ED569E">
        <w:rPr>
          <w:lang w:eastAsia="en-AU"/>
        </w:rPr>
        <w:t>2022 nationally and in each state</w:t>
      </w:r>
      <w:r w:rsidR="00A41E06">
        <w:rPr>
          <w:lang w:eastAsia="en-AU"/>
        </w:rPr>
        <w:t xml:space="preserve"> or </w:t>
      </w:r>
      <w:r w:rsidRPr="00ED569E">
        <w:rPr>
          <w:lang w:eastAsia="en-AU"/>
        </w:rPr>
        <w:t>territory is provided in</w:t>
      </w:r>
      <w:r w:rsidR="0088155C">
        <w:rPr>
          <w:lang w:eastAsia="en-AU"/>
        </w:rPr>
        <w:t xml:space="preserve"> </w:t>
      </w:r>
      <w:r w:rsidR="005E42FD">
        <w:rPr>
          <w:lang w:eastAsia="en-AU"/>
        </w:rPr>
        <w:fldChar w:fldCharType="begin"/>
      </w:r>
      <w:r w:rsidR="005E42FD">
        <w:rPr>
          <w:lang w:eastAsia="en-AU"/>
        </w:rPr>
        <w:instrText xml:space="preserve"> REF _Ref122536218 \h </w:instrText>
      </w:r>
      <w:r w:rsidR="005E42FD">
        <w:rPr>
          <w:lang w:eastAsia="en-AU"/>
        </w:rPr>
      </w:r>
      <w:r w:rsidR="005E42FD">
        <w:rPr>
          <w:lang w:eastAsia="en-AU"/>
        </w:rPr>
        <w:fldChar w:fldCharType="separate"/>
      </w:r>
      <w:r w:rsidR="00402362">
        <w:t xml:space="preserve">Figure </w:t>
      </w:r>
      <w:r w:rsidR="00402362">
        <w:rPr>
          <w:noProof/>
        </w:rPr>
        <w:t>6</w:t>
      </w:r>
      <w:r w:rsidR="005E42FD">
        <w:rPr>
          <w:lang w:eastAsia="en-AU"/>
        </w:rPr>
        <w:fldChar w:fldCharType="end"/>
      </w:r>
      <w:r w:rsidR="000A0B48">
        <w:rPr>
          <w:lang w:eastAsia="en-AU"/>
        </w:rPr>
        <w:t>.</w:t>
      </w:r>
      <w:r w:rsidRPr="00ED569E">
        <w:rPr>
          <w:rStyle w:val="FootnoteReference"/>
          <w:lang w:eastAsia="en-AU"/>
        </w:rPr>
        <w:footnoteReference w:id="38"/>
      </w:r>
      <w:r>
        <w:rPr>
          <w:lang w:eastAsia="en-AU"/>
        </w:rPr>
        <w:t xml:space="preserve"> </w:t>
      </w:r>
      <w:r w:rsidR="00481E65">
        <w:rPr>
          <w:lang w:eastAsia="en-AU"/>
        </w:rPr>
        <w:t xml:space="preserve">A complete list of expected activities and outputs delivered by The Way Back are outlined in </w:t>
      </w:r>
      <w:r w:rsidR="00481E65" w:rsidRPr="007C64A6">
        <w:rPr>
          <w:lang w:eastAsia="en-AU"/>
        </w:rPr>
        <w:t xml:space="preserve">Appendix </w:t>
      </w:r>
      <w:r w:rsidR="001A1D37">
        <w:rPr>
          <w:lang w:eastAsia="en-AU"/>
        </w:rPr>
        <w:t>B</w:t>
      </w:r>
      <w:r w:rsidR="00481E65" w:rsidRPr="007C64A6">
        <w:rPr>
          <w:lang w:eastAsia="en-AU"/>
        </w:rPr>
        <w:t>.</w:t>
      </w:r>
    </w:p>
    <w:p w14:paraId="171C77E3" w14:textId="41D74370" w:rsidR="00C70366" w:rsidRDefault="0088155C" w:rsidP="0088155C">
      <w:pPr>
        <w:pStyle w:val="Caption"/>
      </w:pPr>
      <w:bookmarkStart w:id="56" w:name="_Ref122536218"/>
      <w:bookmarkStart w:id="57" w:name="_Ref121307733"/>
      <w:r>
        <w:lastRenderedPageBreak/>
        <w:t xml:space="preserve">Figure </w:t>
      </w:r>
      <w:r>
        <w:fldChar w:fldCharType="begin"/>
      </w:r>
      <w:r>
        <w:instrText xml:space="preserve"> SEQ Figure \* ARABIC </w:instrText>
      </w:r>
      <w:r>
        <w:fldChar w:fldCharType="separate"/>
      </w:r>
      <w:r w:rsidR="00402362">
        <w:rPr>
          <w:noProof/>
        </w:rPr>
        <w:t>6</w:t>
      </w:r>
      <w:r>
        <w:fldChar w:fldCharType="end"/>
      </w:r>
      <w:bookmarkEnd w:id="56"/>
      <w:r>
        <w:t xml:space="preserve"> </w:t>
      </w:r>
      <w:r w:rsidR="706A8562">
        <w:t xml:space="preserve">| </w:t>
      </w:r>
      <w:r w:rsidR="706A8562" w:rsidRPr="00D9266C">
        <w:t xml:space="preserve">Key </w:t>
      </w:r>
      <w:r w:rsidR="1737F71D" w:rsidRPr="00D9266C">
        <w:t>evalu</w:t>
      </w:r>
      <w:r w:rsidR="2CF95CEF" w:rsidRPr="00D9266C">
        <w:t>a</w:t>
      </w:r>
      <w:r w:rsidR="1737F71D" w:rsidRPr="00D9266C">
        <w:t xml:space="preserve">tion </w:t>
      </w:r>
      <w:r w:rsidR="706A8562" w:rsidRPr="00D9266C">
        <w:t xml:space="preserve">outputs nationally and </w:t>
      </w:r>
      <w:r w:rsidR="706A8562">
        <w:t>across</w:t>
      </w:r>
      <w:r w:rsidR="706A8562" w:rsidRPr="00D9266C">
        <w:t xml:space="preserve"> state and territories </w:t>
      </w:r>
      <w:r w:rsidR="706A8562">
        <w:t>for the 27 in-scope sites</w:t>
      </w:r>
      <w:r w:rsidR="00C36386">
        <w:rPr>
          <w:rStyle w:val="FootnoteReference"/>
        </w:rPr>
        <w:footnoteReference w:id="39"/>
      </w:r>
      <w:bookmarkEnd w:id="57"/>
    </w:p>
    <w:p w14:paraId="19381A09" w14:textId="70DB908B" w:rsidR="00254B59" w:rsidRPr="007A7B9F" w:rsidRDefault="00DE16C5" w:rsidP="007A7B9F">
      <w:r w:rsidRPr="00DE16C5">
        <w:rPr>
          <w:noProof/>
        </w:rPr>
        <w:drawing>
          <wp:inline distT="0" distB="0" distL="0" distR="0" wp14:anchorId="32450561" wp14:editId="37CCA92C">
            <wp:extent cx="5670550" cy="4234815"/>
            <wp:effectExtent l="0" t="0" r="6350" b="0"/>
            <wp:docPr id="460" name="Graphic 460" descr="Figure 6 is an infographic showing the key evaluation outputs nationally and across state and territories for the 27 in scop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phic 460" descr="Figure 6 is an infographic showing the key evaluation outputs nationally and across state and territories for the 27 in scope sites"/>
                    <pic:cNvPicPr/>
                  </pic:nvPicPr>
                  <pic:blipFill>
                    <a:blip r:embed="rId46">
                      <a:extLst>
                        <a:ext uri="{96DAC541-7B7A-43D3-8B79-37D633B846F1}">
                          <asvg:svgBlip xmlns:asvg="http://schemas.microsoft.com/office/drawing/2016/SVG/main" r:embed="rId47"/>
                        </a:ext>
                      </a:extLst>
                    </a:blip>
                    <a:stretch>
                      <a:fillRect/>
                    </a:stretch>
                  </pic:blipFill>
                  <pic:spPr>
                    <a:xfrm>
                      <a:off x="0" y="0"/>
                      <a:ext cx="5670550" cy="4234815"/>
                    </a:xfrm>
                    <a:prstGeom prst="rect">
                      <a:avLst/>
                    </a:prstGeom>
                  </pic:spPr>
                </pic:pic>
              </a:graphicData>
            </a:graphic>
          </wp:inline>
        </w:drawing>
      </w:r>
    </w:p>
    <w:p w14:paraId="4FF40A3A" w14:textId="73F9880E" w:rsidR="00B434E4" w:rsidRPr="008D5BC7" w:rsidRDefault="00A627C2" w:rsidP="00A627C2">
      <w:pPr>
        <w:pStyle w:val="Heading2"/>
      </w:pPr>
      <w:bookmarkStart w:id="58" w:name="_Ref118279242"/>
      <w:bookmarkStart w:id="59" w:name="_Ref118285189"/>
      <w:bookmarkStart w:id="60" w:name="_Ref121307639"/>
      <w:bookmarkStart w:id="61" w:name="_Ref121308971"/>
      <w:bookmarkStart w:id="62" w:name="_Ref121314128"/>
      <w:bookmarkStart w:id="63" w:name="_Toc121320682"/>
      <w:bookmarkStart w:id="64" w:name="_Ref82632923"/>
      <w:bookmarkEnd w:id="43"/>
      <w:bookmarkEnd w:id="44"/>
      <w:r>
        <w:t>Volume of referrals</w:t>
      </w:r>
      <w:bookmarkEnd w:id="58"/>
      <w:bookmarkEnd w:id="59"/>
      <w:bookmarkEnd w:id="60"/>
      <w:bookmarkEnd w:id="61"/>
      <w:bookmarkEnd w:id="62"/>
      <w:bookmarkEnd w:id="63"/>
    </w:p>
    <w:p w14:paraId="3687212E" w14:textId="1930CE19" w:rsidR="00B5524F" w:rsidRPr="00B5524F" w:rsidRDefault="00B5524F" w:rsidP="00623868">
      <w:pPr>
        <w:pStyle w:val="Heading3"/>
      </w:pPr>
      <w:r w:rsidRPr="00B5524F">
        <w:t xml:space="preserve">Referrals to The Way Back exceeded </w:t>
      </w:r>
      <w:r w:rsidR="00600A14">
        <w:t>the contracted referral target</w:t>
      </w:r>
      <w:r w:rsidRPr="00B5524F">
        <w:t>.</w:t>
      </w:r>
    </w:p>
    <w:p w14:paraId="3F31C1DD" w14:textId="07FE6BAA" w:rsidR="00BD0724" w:rsidRPr="008C78A1" w:rsidRDefault="00DF3881" w:rsidP="00A066B6">
      <w:r>
        <w:t xml:space="preserve">The </w:t>
      </w:r>
      <w:r w:rsidR="00365844">
        <w:t>Australian Department of Health and Aged Care</w:t>
      </w:r>
      <w:r w:rsidR="00FD66EC">
        <w:t xml:space="preserve"> Funding Agreement</w:t>
      </w:r>
      <w:r>
        <w:t xml:space="preserve"> set out a</w:t>
      </w:r>
      <w:r w:rsidR="0072736E">
        <w:t xml:space="preserve"> </w:t>
      </w:r>
      <w:r w:rsidR="0072736E">
        <w:rPr>
          <w:i/>
          <w:iCs/>
        </w:rPr>
        <w:t xml:space="preserve">participant referral target </w:t>
      </w:r>
      <w:r w:rsidR="0072736E">
        <w:t xml:space="preserve">of </w:t>
      </w:r>
      <w:r w:rsidR="003406FF">
        <w:t xml:space="preserve">24,300 </w:t>
      </w:r>
      <w:r w:rsidR="00150848">
        <w:t xml:space="preserve">referrals </w:t>
      </w:r>
      <w:r w:rsidR="00843743">
        <w:t>by 30 June 2022.</w:t>
      </w:r>
      <w:r w:rsidR="0072736E">
        <w:rPr>
          <w:rStyle w:val="FootnoteReference"/>
        </w:rPr>
        <w:footnoteReference w:id="40"/>
      </w:r>
      <w:r w:rsidR="00843743">
        <w:t xml:space="preserve"> </w:t>
      </w:r>
      <w:r w:rsidR="005A300E">
        <w:t xml:space="preserve">This </w:t>
      </w:r>
      <w:r w:rsidR="00BD0724">
        <w:t>was subsequently</w:t>
      </w:r>
      <w:r w:rsidR="006442EB">
        <w:t xml:space="preserve"> revised </w:t>
      </w:r>
      <w:r w:rsidR="00FD66EC">
        <w:t xml:space="preserve">to </w:t>
      </w:r>
      <w:r w:rsidR="009F07BC">
        <w:t xml:space="preserve">19,000 referrals </w:t>
      </w:r>
      <w:r w:rsidR="001B23C5">
        <w:t xml:space="preserve">for all 38 sites </w:t>
      </w:r>
      <w:r w:rsidR="009F07BC">
        <w:t>by 30 June 2022</w:t>
      </w:r>
      <w:r w:rsidR="007A2507">
        <w:t xml:space="preserve"> </w:t>
      </w:r>
      <w:r w:rsidR="00FD66EC">
        <w:t>in a</w:t>
      </w:r>
      <w:r w:rsidR="009C5B35">
        <w:t xml:space="preserve"> variation to the Funding Agreement</w:t>
      </w:r>
      <w:r w:rsidR="00A52808">
        <w:rPr>
          <w:rStyle w:val="FootnoteReference"/>
        </w:rPr>
        <w:footnoteReference w:id="41"/>
      </w:r>
      <w:r w:rsidR="009C5B35">
        <w:t xml:space="preserve"> </w:t>
      </w:r>
      <w:r w:rsidR="007A2507">
        <w:t xml:space="preserve">which took into </w:t>
      </w:r>
      <w:r w:rsidR="006442EB">
        <w:t>a</w:t>
      </w:r>
      <w:r w:rsidR="00BD0724">
        <w:t xml:space="preserve"> consideration the delays to execution of </w:t>
      </w:r>
      <w:r w:rsidR="009E40D7">
        <w:t xml:space="preserve">the </w:t>
      </w:r>
      <w:r w:rsidR="00365844">
        <w:t>Australian Department of Health and Aged Care</w:t>
      </w:r>
      <w:r w:rsidR="007A2507">
        <w:t xml:space="preserve"> and </w:t>
      </w:r>
      <w:r w:rsidR="00BD0724">
        <w:t>state</w:t>
      </w:r>
      <w:r w:rsidR="007A2507">
        <w:t>/</w:t>
      </w:r>
      <w:r w:rsidR="00BD0724">
        <w:t>territory government bilateral agreements</w:t>
      </w:r>
      <w:r w:rsidR="009C5B35">
        <w:t xml:space="preserve">, </w:t>
      </w:r>
      <w:r w:rsidR="00BD0724">
        <w:t>associated delays in the commencement of new service</w:t>
      </w:r>
      <w:r w:rsidR="008F5C6E">
        <w:t>s</w:t>
      </w:r>
      <w:r w:rsidR="0027608E">
        <w:t xml:space="preserve">, </w:t>
      </w:r>
      <w:r w:rsidR="009C5B35">
        <w:t xml:space="preserve">and </w:t>
      </w:r>
      <w:r w:rsidR="00BD0724">
        <w:t>to reflect a more realistic timeframe</w:t>
      </w:r>
      <w:r w:rsidR="00BD0724" w:rsidDel="00FD500B">
        <w:t xml:space="preserve"> </w:t>
      </w:r>
      <w:r w:rsidR="00BD0724">
        <w:t xml:space="preserve">(see section </w:t>
      </w:r>
      <w:r w:rsidR="00BD0724">
        <w:fldChar w:fldCharType="begin"/>
      </w:r>
      <w:r w:rsidR="00BD0724">
        <w:instrText xml:space="preserve"> REF _Ref121307639 \n \h </w:instrText>
      </w:r>
      <w:r w:rsidR="00BD0724">
        <w:fldChar w:fldCharType="separate"/>
      </w:r>
      <w:r w:rsidR="00402362">
        <w:t>5.2</w:t>
      </w:r>
      <w:r w:rsidR="00BD0724">
        <w:fldChar w:fldCharType="end"/>
      </w:r>
      <w:r w:rsidR="00BD0724">
        <w:t>).</w:t>
      </w:r>
    </w:p>
    <w:p w14:paraId="3E3CF661" w14:textId="74DA220D" w:rsidR="00753FB5" w:rsidRDefault="009E40D7" w:rsidP="2375EFE3">
      <w:r>
        <w:rPr>
          <w:lang w:eastAsia="en-AU"/>
        </w:rPr>
        <w:t xml:space="preserve">For the purposes of this evaluation, the projected referral target </w:t>
      </w:r>
      <w:r w:rsidR="0072769F">
        <w:rPr>
          <w:lang w:eastAsia="en-AU"/>
        </w:rPr>
        <w:t xml:space="preserve">of </w:t>
      </w:r>
      <w:r w:rsidR="6C890D23" w:rsidRPr="00C843A0">
        <w:rPr>
          <w:lang w:eastAsia="en-AU"/>
        </w:rPr>
        <w:t>19,000</w:t>
      </w:r>
      <w:r w:rsidR="0072769F">
        <w:rPr>
          <w:lang w:eastAsia="en-AU"/>
        </w:rPr>
        <w:t xml:space="preserve"> for the 38 sites was revised down to </w:t>
      </w:r>
      <w:r w:rsidR="6C890D23" w:rsidRPr="00C843A0">
        <w:rPr>
          <w:lang w:eastAsia="en-AU"/>
        </w:rPr>
        <w:t>16,200</w:t>
      </w:r>
      <w:r w:rsidR="1FBF0D00" w:rsidRPr="00C843A0">
        <w:rPr>
          <w:lang w:eastAsia="en-AU"/>
        </w:rPr>
        <w:t xml:space="preserve"> </w:t>
      </w:r>
      <w:r w:rsidR="6F02FD0E">
        <w:rPr>
          <w:lang w:eastAsia="en-AU"/>
        </w:rPr>
        <w:t xml:space="preserve">referrals </w:t>
      </w:r>
      <w:r w:rsidR="00BC2EB1">
        <w:rPr>
          <w:lang w:eastAsia="en-AU"/>
        </w:rPr>
        <w:t xml:space="preserve">to account for the </w:t>
      </w:r>
      <w:r w:rsidR="6F02FD0E">
        <w:rPr>
          <w:lang w:eastAsia="en-AU"/>
        </w:rPr>
        <w:t>27 in-scope sites</w:t>
      </w:r>
      <w:r w:rsidR="3E2E75FB" w:rsidRPr="00C843A0">
        <w:rPr>
          <w:lang w:eastAsia="en-AU"/>
        </w:rPr>
        <w:t>.</w:t>
      </w:r>
      <w:bookmarkStart w:id="65" w:name="_Hlk110587144"/>
      <w:r w:rsidR="000F3A13" w:rsidRPr="00C843A0">
        <w:rPr>
          <w:rStyle w:val="FootnoteReference"/>
          <w:lang w:eastAsia="en-AU"/>
        </w:rPr>
        <w:footnoteReference w:id="42"/>
      </w:r>
      <w:r w:rsidR="1AF0A582">
        <w:rPr>
          <w:lang w:eastAsia="en-AU"/>
        </w:rPr>
        <w:t xml:space="preserve"> </w:t>
      </w:r>
      <w:bookmarkEnd w:id="65"/>
      <w:r w:rsidR="035170B4" w:rsidRPr="00167A21">
        <w:rPr>
          <w:lang w:eastAsia="en-AU"/>
        </w:rPr>
        <w:t xml:space="preserve">As </w:t>
      </w:r>
      <w:r w:rsidR="4DEC361B" w:rsidRPr="00167A21">
        <w:rPr>
          <w:lang w:eastAsia="en-AU"/>
        </w:rPr>
        <w:t>of</w:t>
      </w:r>
      <w:r w:rsidR="035170B4" w:rsidRPr="00167A21">
        <w:rPr>
          <w:lang w:eastAsia="en-AU"/>
        </w:rPr>
        <w:t xml:space="preserve"> </w:t>
      </w:r>
      <w:r w:rsidR="24EDD850" w:rsidRPr="00167A21">
        <w:rPr>
          <w:lang w:eastAsia="en-AU"/>
        </w:rPr>
        <w:t>30 June</w:t>
      </w:r>
      <w:r w:rsidR="035170B4" w:rsidRPr="00167A21">
        <w:rPr>
          <w:lang w:eastAsia="en-AU"/>
        </w:rPr>
        <w:t xml:space="preserve"> 2022, The Way Back received </w:t>
      </w:r>
      <w:r w:rsidR="578079FD">
        <w:rPr>
          <w:lang w:eastAsia="en-AU"/>
        </w:rPr>
        <w:t>17,</w:t>
      </w:r>
      <w:r w:rsidR="0C1E6C3A">
        <w:rPr>
          <w:lang w:eastAsia="en-AU"/>
        </w:rPr>
        <w:t>477</w:t>
      </w:r>
      <w:r w:rsidR="035170B4" w:rsidRPr="00167A21">
        <w:rPr>
          <w:lang w:eastAsia="en-AU"/>
        </w:rPr>
        <w:t xml:space="preserve"> referrals </w:t>
      </w:r>
      <w:r w:rsidR="4BB0DD5E" w:rsidRPr="00167A21">
        <w:rPr>
          <w:lang w:eastAsia="en-AU"/>
        </w:rPr>
        <w:t>a</w:t>
      </w:r>
      <w:r w:rsidR="1FD019F6" w:rsidRPr="00167A21">
        <w:rPr>
          <w:lang w:eastAsia="en-AU"/>
        </w:rPr>
        <w:t>c</w:t>
      </w:r>
      <w:r w:rsidR="4BB0DD5E" w:rsidRPr="00167A21">
        <w:rPr>
          <w:lang w:eastAsia="en-AU"/>
        </w:rPr>
        <w:t>ross</w:t>
      </w:r>
      <w:r w:rsidR="035170B4" w:rsidRPr="00167A21">
        <w:rPr>
          <w:lang w:eastAsia="en-AU"/>
        </w:rPr>
        <w:t xml:space="preserve"> </w:t>
      </w:r>
      <w:r w:rsidR="2FB64899">
        <w:rPr>
          <w:lang w:eastAsia="en-AU"/>
        </w:rPr>
        <w:t>27</w:t>
      </w:r>
      <w:r w:rsidR="035170B4" w:rsidRPr="00167A21">
        <w:rPr>
          <w:lang w:eastAsia="en-AU"/>
        </w:rPr>
        <w:t xml:space="preserve"> in-scope sites, thus</w:t>
      </w:r>
      <w:r w:rsidR="035170B4" w:rsidRPr="00167A21">
        <w:t xml:space="preserve"> exceeding the expected number of referrals for these sites by </w:t>
      </w:r>
      <w:r w:rsidR="2FB64899">
        <w:t>8</w:t>
      </w:r>
      <w:r w:rsidR="035170B4" w:rsidRPr="00210604">
        <w:t xml:space="preserve"> per cent (</w:t>
      </w:r>
      <w:r w:rsidR="24E1E387" w:rsidRPr="00210604">
        <w:t>1,</w:t>
      </w:r>
      <w:r w:rsidR="60D911A5">
        <w:t>277</w:t>
      </w:r>
      <w:r w:rsidR="035170B4" w:rsidRPr="00167A21">
        <w:t>)</w:t>
      </w:r>
      <w:r w:rsidR="4C0F3154" w:rsidRPr="00167A21">
        <w:t xml:space="preserve"> based on The Way Back referral dashboard data</w:t>
      </w:r>
      <w:r w:rsidR="035170B4" w:rsidRPr="00167A21">
        <w:t>.</w:t>
      </w:r>
      <w:r w:rsidR="001471FD" w:rsidRPr="00167A21">
        <w:rPr>
          <w:rStyle w:val="FootnoteReference"/>
        </w:rPr>
        <w:footnoteReference w:id="43"/>
      </w:r>
      <w:r w:rsidR="035170B4" w:rsidRPr="00167A21">
        <w:t xml:space="preserve"> </w:t>
      </w:r>
    </w:p>
    <w:p w14:paraId="07D97E9C" w14:textId="3F9124C9" w:rsidR="00C66BE4" w:rsidRDefault="6B55477B" w:rsidP="2375EFE3">
      <w:pPr>
        <w:rPr>
          <w:lang w:eastAsia="en-AU"/>
        </w:rPr>
      </w:pPr>
      <w:r w:rsidRPr="00167A21">
        <w:t xml:space="preserve">As </w:t>
      </w:r>
      <w:r w:rsidR="58A2C818" w:rsidRPr="00167A21">
        <w:t>of</w:t>
      </w:r>
      <w:r w:rsidRPr="00167A21">
        <w:t xml:space="preserve"> </w:t>
      </w:r>
      <w:r w:rsidR="3FEBE810" w:rsidRPr="00167A21">
        <w:t>September</w:t>
      </w:r>
      <w:r w:rsidRPr="00167A21">
        <w:t xml:space="preserve"> 2022,</w:t>
      </w:r>
      <w:r w:rsidR="24EDD850" w:rsidRPr="00167A21">
        <w:t xml:space="preserve"> The Way Back</w:t>
      </w:r>
      <w:r w:rsidRPr="00167A21">
        <w:t xml:space="preserve"> </w:t>
      </w:r>
      <w:r w:rsidR="24EDD850" w:rsidRPr="00167A21">
        <w:t xml:space="preserve">received </w:t>
      </w:r>
      <w:r w:rsidR="269084E6">
        <w:t>19</w:t>
      </w:r>
      <w:r w:rsidR="0B0F627E">
        <w:t>,759</w:t>
      </w:r>
      <w:r w:rsidR="24EDD850" w:rsidRPr="00167A21">
        <w:t xml:space="preserve"> referrals</w:t>
      </w:r>
      <w:r w:rsidR="10AE9359" w:rsidRPr="00167A21">
        <w:t xml:space="preserve"> (</w:t>
      </w:r>
      <w:r w:rsidRPr="00167A21">
        <w:t xml:space="preserve">a </w:t>
      </w:r>
      <w:r w:rsidR="10AE9359" w:rsidRPr="00167A21">
        <w:t xml:space="preserve">growth of </w:t>
      </w:r>
      <w:r w:rsidR="0C79C5B0" w:rsidRPr="00167A21">
        <w:t>13</w:t>
      </w:r>
      <w:r w:rsidR="4DFBCA41" w:rsidRPr="00167A21">
        <w:t xml:space="preserve"> per cent</w:t>
      </w:r>
      <w:r w:rsidR="30876998">
        <w:t xml:space="preserve"> from June 2022</w:t>
      </w:r>
      <w:r w:rsidR="10AE9359" w:rsidRPr="00167A21">
        <w:t>)</w:t>
      </w:r>
      <w:r w:rsidR="24EDD850" w:rsidRPr="00167A21">
        <w:t>.</w:t>
      </w:r>
      <w:r w:rsidR="06AF2A11" w:rsidRPr="00167A21">
        <w:t xml:space="preserve"> </w:t>
      </w:r>
      <w:r w:rsidR="5DFE3D0C">
        <w:t xml:space="preserve">Referral </w:t>
      </w:r>
      <w:r w:rsidR="3B6BF859">
        <w:t xml:space="preserve">targets and </w:t>
      </w:r>
      <w:r w:rsidR="5DFE3D0C">
        <w:t>numbers</w:t>
      </w:r>
      <w:r w:rsidR="3B6BF859">
        <w:t xml:space="preserve"> </w:t>
      </w:r>
      <w:r w:rsidR="5DFE3D0C">
        <w:t>differ</w:t>
      </w:r>
      <w:r w:rsidR="1EA9F207">
        <w:t>ed</w:t>
      </w:r>
      <w:r w:rsidR="7BE48D9E">
        <w:t xml:space="preserve"> </w:t>
      </w:r>
      <w:r w:rsidR="356F945C">
        <w:t>across</w:t>
      </w:r>
      <w:r w:rsidR="2B7989DF" w:rsidRPr="00DC6867">
        <w:rPr>
          <w:lang w:eastAsia="en-AU"/>
        </w:rPr>
        <w:t xml:space="preserve"> </w:t>
      </w:r>
      <w:r w:rsidR="2B7989DF">
        <w:rPr>
          <w:lang w:eastAsia="en-AU"/>
        </w:rPr>
        <w:t>jurisdictions as each site’s projected referral numbers were based on their geographical catchment, population health profile, and predicted rates of suicide.</w:t>
      </w:r>
      <w:r w:rsidR="2B7989DF" w:rsidRPr="00114A01">
        <w:rPr>
          <w:rStyle w:val="FootnoteReference"/>
          <w:lang w:eastAsia="en-AU"/>
        </w:rPr>
        <w:t xml:space="preserve"> </w:t>
      </w:r>
      <w:r w:rsidR="00DC6867">
        <w:rPr>
          <w:rStyle w:val="FootnoteReference"/>
          <w:lang w:eastAsia="en-AU"/>
        </w:rPr>
        <w:footnoteReference w:id="44"/>
      </w:r>
      <w:r w:rsidR="2B7989DF">
        <w:rPr>
          <w:lang w:eastAsia="en-AU"/>
        </w:rPr>
        <w:t xml:space="preserve"> </w:t>
      </w:r>
      <w:r w:rsidR="2B7989DF" w:rsidRPr="00C843A0">
        <w:rPr>
          <w:lang w:eastAsia="en-AU"/>
        </w:rPr>
        <w:t xml:space="preserve"> </w:t>
      </w:r>
      <w:r w:rsidR="2B7989DF">
        <w:rPr>
          <w:lang w:eastAsia="en-AU"/>
        </w:rPr>
        <w:t xml:space="preserve"> </w:t>
      </w:r>
    </w:p>
    <w:p w14:paraId="27DA98C1" w14:textId="67A7B1CA" w:rsidR="008E2CB6" w:rsidRDefault="00D469E3" w:rsidP="00623868">
      <w:pPr>
        <w:pStyle w:val="Heading3"/>
      </w:pPr>
      <w:r>
        <w:lastRenderedPageBreak/>
        <w:t xml:space="preserve">Referrals to </w:t>
      </w:r>
      <w:r w:rsidR="008E2CB6">
        <w:t xml:space="preserve">The Way Back </w:t>
      </w:r>
      <w:r w:rsidR="00517EAF">
        <w:t xml:space="preserve">suggest that the service </w:t>
      </w:r>
      <w:r>
        <w:t>was</w:t>
      </w:r>
      <w:r w:rsidR="00517EAF">
        <w:t xml:space="preserve"> </w:t>
      </w:r>
      <w:r w:rsidR="006414F6">
        <w:t>reaching those who require</w:t>
      </w:r>
      <w:r w:rsidR="009761C7">
        <w:t>d</w:t>
      </w:r>
      <w:r w:rsidR="006414F6">
        <w:t xml:space="preserve"> </w:t>
      </w:r>
      <w:r w:rsidR="008E2CB6">
        <w:t xml:space="preserve">aftercare </w:t>
      </w:r>
      <w:r w:rsidR="003033FC">
        <w:t>support</w:t>
      </w:r>
      <w:r w:rsidR="008E2CB6">
        <w:t>.</w:t>
      </w:r>
    </w:p>
    <w:p w14:paraId="2525014A" w14:textId="125AE4A6" w:rsidR="009114F3" w:rsidRDefault="009114F3" w:rsidP="00D973F7">
      <w:pPr>
        <w:rPr>
          <w:lang w:eastAsia="en-AU"/>
        </w:rPr>
      </w:pPr>
      <w:r>
        <w:rPr>
          <w:lang w:eastAsia="en-AU"/>
        </w:rPr>
        <w:t>There was variation</w:t>
      </w:r>
      <w:r w:rsidR="00AD7FF3">
        <w:rPr>
          <w:lang w:eastAsia="en-AU"/>
        </w:rPr>
        <w:t xml:space="preserve"> in meeting referral targets</w:t>
      </w:r>
      <w:r>
        <w:rPr>
          <w:lang w:eastAsia="en-AU"/>
        </w:rPr>
        <w:t xml:space="preserve"> across sites</w:t>
      </w:r>
      <w:r w:rsidR="001D4D8D">
        <w:rPr>
          <w:lang w:eastAsia="en-AU"/>
        </w:rPr>
        <w:t>, though m</w:t>
      </w:r>
      <w:r>
        <w:rPr>
          <w:lang w:eastAsia="en-AU"/>
        </w:rPr>
        <w:t xml:space="preserve">ore than half of the states and territories delivering The Way Back exceeded their referral targets. </w:t>
      </w:r>
      <w:r>
        <w:rPr>
          <w:lang w:eastAsia="en-AU"/>
        </w:rPr>
        <w:fldChar w:fldCharType="begin"/>
      </w:r>
      <w:r>
        <w:rPr>
          <w:lang w:eastAsia="en-AU"/>
        </w:rPr>
        <w:instrText xml:space="preserve"> REF _Ref103856675 \h </w:instrText>
      </w:r>
      <w:r>
        <w:rPr>
          <w:lang w:eastAsia="en-AU"/>
        </w:rPr>
      </w:r>
      <w:r>
        <w:rPr>
          <w:lang w:eastAsia="en-AU"/>
        </w:rPr>
        <w:fldChar w:fldCharType="separate"/>
      </w:r>
      <w:r w:rsidR="00402362">
        <w:t xml:space="preserve">Figure </w:t>
      </w:r>
      <w:r w:rsidR="00402362">
        <w:rPr>
          <w:noProof/>
        </w:rPr>
        <w:t>7</w:t>
      </w:r>
      <w:r>
        <w:rPr>
          <w:lang w:eastAsia="en-AU"/>
        </w:rPr>
        <w:fldChar w:fldCharType="end"/>
      </w:r>
      <w:r>
        <w:rPr>
          <w:lang w:eastAsia="en-AU"/>
        </w:rPr>
        <w:t xml:space="preserve"> highlights the number of actual referrals against referral targets for each jurisdiction from </w:t>
      </w:r>
      <w:r w:rsidRPr="00511ED5">
        <w:rPr>
          <w:lang w:eastAsia="en-AU"/>
        </w:rPr>
        <w:t>January 2019 to June 2022.</w:t>
      </w:r>
      <w:r w:rsidRPr="00511ED5">
        <w:rPr>
          <w:rStyle w:val="FootnoteReference"/>
          <w:lang w:eastAsia="en-AU"/>
        </w:rPr>
        <w:footnoteReference w:id="45"/>
      </w:r>
      <w:r>
        <w:rPr>
          <w:lang w:eastAsia="en-AU"/>
        </w:rPr>
        <w:t xml:space="preserve"> It should be noted that the referral targets have not been updated post 30 June 2022, as this was the end of the referral target period.</w:t>
      </w:r>
    </w:p>
    <w:p w14:paraId="316D1B94" w14:textId="6404EE9D" w:rsidR="00186BE4" w:rsidRDefault="00186BE4" w:rsidP="00186BE4">
      <w:pPr>
        <w:pStyle w:val="Caption"/>
      </w:pPr>
      <w:bookmarkStart w:id="66" w:name="_Ref103856675"/>
      <w:bookmarkStart w:id="67" w:name="_Ref120513781"/>
      <w:r>
        <w:t xml:space="preserve">Figure </w:t>
      </w:r>
      <w:r>
        <w:fldChar w:fldCharType="begin"/>
      </w:r>
      <w:r>
        <w:instrText xml:space="preserve"> SEQ Figure \* ARABIC </w:instrText>
      </w:r>
      <w:r>
        <w:fldChar w:fldCharType="separate"/>
      </w:r>
      <w:r w:rsidR="00402362">
        <w:rPr>
          <w:noProof/>
        </w:rPr>
        <w:t>7</w:t>
      </w:r>
      <w:r>
        <w:fldChar w:fldCharType="end"/>
      </w:r>
      <w:bookmarkEnd w:id="66"/>
      <w:r>
        <w:t xml:space="preserve"> | Total referrals by jurisdiction, January 2019 to June 2022 (17,477 referrals for 27 sites)</w:t>
      </w:r>
      <w:r>
        <w:rPr>
          <w:rStyle w:val="FootnoteReference"/>
        </w:rPr>
        <w:footnoteReference w:id="46"/>
      </w:r>
      <w:bookmarkEnd w:id="67"/>
    </w:p>
    <w:p w14:paraId="04CD7F64" w14:textId="533CAB24" w:rsidR="00186BE4" w:rsidRDefault="00C838D2" w:rsidP="00D973F7">
      <w:r>
        <w:rPr>
          <w:noProof/>
        </w:rPr>
        <w:drawing>
          <wp:inline distT="0" distB="0" distL="0" distR="0" wp14:anchorId="597E6256" wp14:editId="5C96426B">
            <wp:extent cx="5670550" cy="2959100"/>
            <wp:effectExtent l="0" t="0" r="6350" b="0"/>
            <wp:docPr id="34" name="Graphic 34" descr="Figure 6 is a vertical bar graph showing the total referrals by jurisdictions from January 2019 to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Figure 6 is a vertical bar graph showing the total referrals by jurisdictions from January 2019 to June 2022"/>
                    <pic:cNvPicPr/>
                  </pic:nvPicPr>
                  <pic:blipFill>
                    <a:blip r:embed="rId48">
                      <a:extLst>
                        <a:ext uri="{96DAC541-7B7A-43D3-8B79-37D633B846F1}">
                          <asvg:svgBlip xmlns:asvg="http://schemas.microsoft.com/office/drawing/2016/SVG/main" r:embed="rId49"/>
                        </a:ext>
                      </a:extLst>
                    </a:blip>
                    <a:stretch>
                      <a:fillRect/>
                    </a:stretch>
                  </pic:blipFill>
                  <pic:spPr>
                    <a:xfrm>
                      <a:off x="0" y="0"/>
                      <a:ext cx="5670550" cy="2959100"/>
                    </a:xfrm>
                    <a:prstGeom prst="rect">
                      <a:avLst/>
                    </a:prstGeom>
                  </pic:spPr>
                </pic:pic>
              </a:graphicData>
            </a:graphic>
          </wp:inline>
        </w:drawing>
      </w:r>
    </w:p>
    <w:p w14:paraId="234A08DB" w14:textId="50518D22" w:rsidR="00030D50" w:rsidRDefault="2C689D35" w:rsidP="00D973F7">
      <w:r>
        <w:t xml:space="preserve">The </w:t>
      </w:r>
      <w:r w:rsidR="400E0643">
        <w:t>greater number of</w:t>
      </w:r>
      <w:r>
        <w:t xml:space="preserve"> referrals </w:t>
      </w:r>
      <w:r w:rsidR="400E0643">
        <w:t xml:space="preserve">than what was projected </w:t>
      </w:r>
      <w:r>
        <w:t>suggest that The Way Back was</w:t>
      </w:r>
      <w:r w:rsidR="400E0643">
        <w:t xml:space="preserve"> adequately</w:t>
      </w:r>
      <w:r>
        <w:t xml:space="preserve"> </w:t>
      </w:r>
      <w:r w:rsidR="7F06715E">
        <w:t>reaching those who</w:t>
      </w:r>
      <w:r>
        <w:t xml:space="preserve"> </w:t>
      </w:r>
      <w:r w:rsidR="007500AD">
        <w:t xml:space="preserve">experienced </w:t>
      </w:r>
      <w:r w:rsidR="400E0643">
        <w:t>a</w:t>
      </w:r>
      <w:r w:rsidR="4451960B">
        <w:t>n</w:t>
      </w:r>
      <w:r w:rsidR="400E0643">
        <w:t xml:space="preserve"> </w:t>
      </w:r>
      <w:r>
        <w:t xml:space="preserve">attempted suicide / a suicidal crisis and required aftercare support. In some sites, this also corresponded with </w:t>
      </w:r>
      <w:proofErr w:type="gramStart"/>
      <w:r>
        <w:t>higher than expected</w:t>
      </w:r>
      <w:proofErr w:type="gramEnd"/>
      <w:r>
        <w:t xml:space="preserve"> demand for the service</w:t>
      </w:r>
      <w:r w:rsidR="7F06715E">
        <w:t xml:space="preserve"> (see p</w:t>
      </w:r>
      <w:r w:rsidR="00C838D2">
        <w:t>.</w:t>
      </w:r>
      <w:r w:rsidR="00B431B2">
        <w:t xml:space="preserve"> </w:t>
      </w:r>
      <w:r w:rsidR="000B7B2C">
        <w:t>2</w:t>
      </w:r>
      <w:r w:rsidR="00B431B2">
        <w:t>5</w:t>
      </w:r>
      <w:r w:rsidR="7F06715E">
        <w:t xml:space="preserve"> below)</w:t>
      </w:r>
      <w:r>
        <w:t>.</w:t>
      </w:r>
      <w:r w:rsidR="7F06715E">
        <w:t xml:space="preserve"> </w:t>
      </w:r>
      <w:r w:rsidR="0345BD7A">
        <w:t>In interviews,</w:t>
      </w:r>
      <w:r w:rsidR="5CBCACB0">
        <w:t xml:space="preserve"> p</w:t>
      </w:r>
      <w:r w:rsidR="0580A55B">
        <w:t xml:space="preserve">roviders and referring health </w:t>
      </w:r>
      <w:r w:rsidR="00AD7195">
        <w:t xml:space="preserve">services </w:t>
      </w:r>
      <w:r w:rsidR="5A6D7974">
        <w:t xml:space="preserve">across states and territories </w:t>
      </w:r>
      <w:r w:rsidR="0580A55B">
        <w:t xml:space="preserve">identified several factors which </w:t>
      </w:r>
      <w:r w:rsidR="1DCF9D06">
        <w:t>influenced the increase in</w:t>
      </w:r>
      <w:r w:rsidR="157C3C92">
        <w:t xml:space="preserve"> referrals compared to</w:t>
      </w:r>
      <w:r w:rsidR="1DCF9D06">
        <w:t xml:space="preserve"> </w:t>
      </w:r>
      <w:r w:rsidR="157C3C92">
        <w:t>the</w:t>
      </w:r>
      <w:r w:rsidR="0580A55B">
        <w:t xml:space="preserve"> targets. </w:t>
      </w:r>
      <w:r w:rsidR="2C32D773">
        <w:t>These factors ar</w:t>
      </w:r>
      <w:r w:rsidR="0580A55B">
        <w:t>e outlined</w:t>
      </w:r>
      <w:r w:rsidR="45463A8A">
        <w:t xml:space="preserve"> below: </w:t>
      </w:r>
    </w:p>
    <w:p w14:paraId="72C18CAD" w14:textId="2AEF66B4" w:rsidR="0050202B" w:rsidRDefault="00F43C00" w:rsidP="0050202B">
      <w:pPr>
        <w:pStyle w:val="Bullet"/>
      </w:pPr>
      <w:r>
        <w:rPr>
          <w:rFonts w:asciiTheme="majorHAnsi" w:hAnsiTheme="majorHAnsi" w:cstheme="majorHAnsi"/>
        </w:rPr>
        <w:t>O</w:t>
      </w:r>
      <w:r w:rsidR="001F3980" w:rsidRPr="00661AD7">
        <w:rPr>
          <w:rFonts w:asciiTheme="majorHAnsi" w:hAnsiTheme="majorHAnsi" w:cstheme="majorHAnsi"/>
        </w:rPr>
        <w:t>perational maturity</w:t>
      </w:r>
      <w:r>
        <w:rPr>
          <w:rFonts w:asciiTheme="majorHAnsi" w:hAnsiTheme="majorHAnsi" w:cstheme="majorHAnsi"/>
        </w:rPr>
        <w:t xml:space="preserve"> of sites</w:t>
      </w:r>
      <w:r w:rsidR="001F3980">
        <w:t xml:space="preserve">. </w:t>
      </w:r>
      <w:r w:rsidR="004F44E1">
        <w:t xml:space="preserve">Sites that </w:t>
      </w:r>
      <w:r w:rsidR="00C41124">
        <w:t>were</w:t>
      </w:r>
      <w:r w:rsidR="004F44E1">
        <w:t xml:space="preserve"> operation</w:t>
      </w:r>
      <w:r w:rsidR="005E57CE">
        <w:t>al</w:t>
      </w:r>
      <w:r w:rsidR="004F44E1">
        <w:t xml:space="preserve"> for more than </w:t>
      </w:r>
      <w:r w:rsidR="00385176">
        <w:t>12</w:t>
      </w:r>
      <w:r w:rsidR="004F44E1">
        <w:t xml:space="preserve"> months </w:t>
      </w:r>
      <w:r w:rsidR="00661AD7">
        <w:t>were more likely to meet or exceed referral targets.</w:t>
      </w:r>
      <w:r w:rsidR="002278D4">
        <w:t xml:space="preserve"> S</w:t>
      </w:r>
      <w:r w:rsidR="006E342D">
        <w:t xml:space="preserve">ervices </w:t>
      </w:r>
      <w:r w:rsidR="002278D4">
        <w:t xml:space="preserve">that </w:t>
      </w:r>
      <w:r w:rsidR="00C41124">
        <w:t>were</w:t>
      </w:r>
      <w:r w:rsidR="006E342D">
        <w:t xml:space="preserve"> operational for longer </w:t>
      </w:r>
      <w:r w:rsidR="002278D4">
        <w:t xml:space="preserve">periods of time reported </w:t>
      </w:r>
      <w:r w:rsidR="0050202B">
        <w:t xml:space="preserve">stronger partnerships and established referral </w:t>
      </w:r>
      <w:r w:rsidR="00AB625B">
        <w:t>pathways with health services</w:t>
      </w:r>
      <w:r w:rsidR="0050202B">
        <w:t xml:space="preserve">. </w:t>
      </w:r>
    </w:p>
    <w:p w14:paraId="0D7B78E1" w14:textId="1D439608" w:rsidR="0050202B" w:rsidRDefault="755AF4D0" w:rsidP="0050202B">
      <w:pPr>
        <w:pStyle w:val="Bullet"/>
      </w:pPr>
      <w:r w:rsidRPr="5F0B1C35">
        <w:rPr>
          <w:rFonts w:asciiTheme="majorHAnsi" w:hAnsiTheme="majorHAnsi" w:cstheme="majorBidi"/>
        </w:rPr>
        <w:t>Presence of a hospital liaison officer</w:t>
      </w:r>
      <w:r>
        <w:t xml:space="preserve">. </w:t>
      </w:r>
      <w:r w:rsidR="5D68AD7E">
        <w:t xml:space="preserve">The presence of the funded hospital liaison officer was crucial for connecting </w:t>
      </w:r>
      <w:r w:rsidR="5CF0A471">
        <w:t xml:space="preserve">The Way Back with health services, promoting the service with clinicians and </w:t>
      </w:r>
      <w:r w:rsidR="3B13CB2B">
        <w:t xml:space="preserve">establishing referral pathways. </w:t>
      </w:r>
    </w:p>
    <w:p w14:paraId="1C39292C" w14:textId="6CCF1F34" w:rsidR="00661AD7" w:rsidRDefault="00447373" w:rsidP="00030D50">
      <w:pPr>
        <w:pStyle w:val="Bullet"/>
      </w:pPr>
      <w:r w:rsidRPr="006E1DA8">
        <w:rPr>
          <w:rFonts w:asciiTheme="majorHAnsi" w:hAnsiTheme="majorHAnsi" w:cstheme="majorHAnsi"/>
        </w:rPr>
        <w:t>Co-location with referring health services.</w:t>
      </w:r>
      <w:r>
        <w:t xml:space="preserve"> </w:t>
      </w:r>
      <w:r w:rsidR="00DD0BBE">
        <w:t>Co-location</w:t>
      </w:r>
      <w:r w:rsidR="00213D29">
        <w:t xml:space="preserve"> with referring health organisations</w:t>
      </w:r>
      <w:r w:rsidR="00DD0BBE">
        <w:t xml:space="preserve"> supported strong relationships which </w:t>
      </w:r>
      <w:r w:rsidR="006F6950">
        <w:t xml:space="preserve">meant </w:t>
      </w:r>
      <w:r w:rsidR="00C4531C">
        <w:t xml:space="preserve">health staff were more aware of </w:t>
      </w:r>
      <w:r w:rsidR="00ED5E4E">
        <w:t xml:space="preserve">The Way </w:t>
      </w:r>
      <w:r w:rsidR="00C4531C">
        <w:t>B</w:t>
      </w:r>
      <w:r w:rsidR="00ED5E4E">
        <w:t>ack</w:t>
      </w:r>
      <w:r w:rsidR="00C4531C">
        <w:t xml:space="preserve"> and more likely to refer </w:t>
      </w:r>
      <w:r w:rsidR="006803EE">
        <w:t>participants</w:t>
      </w:r>
      <w:r w:rsidR="00C4531C">
        <w:t xml:space="preserve"> to </w:t>
      </w:r>
      <w:r w:rsidR="0078596E">
        <w:t>the service</w:t>
      </w:r>
      <w:r w:rsidR="00DD0BBE">
        <w:t xml:space="preserve">. </w:t>
      </w:r>
      <w:r w:rsidR="00213D29">
        <w:t xml:space="preserve"> </w:t>
      </w:r>
    </w:p>
    <w:p w14:paraId="23D844A9" w14:textId="6747E091" w:rsidR="00D973F7" w:rsidRDefault="0058390C" w:rsidP="00030D50">
      <w:pPr>
        <w:pStyle w:val="Bullet"/>
      </w:pPr>
      <w:r w:rsidRPr="00031F65">
        <w:rPr>
          <w:rFonts w:asciiTheme="majorHAnsi" w:hAnsiTheme="majorHAnsi" w:cstheme="majorHAnsi"/>
        </w:rPr>
        <w:t>Collaboration agreements between The Way Back and health services.</w:t>
      </w:r>
      <w:r>
        <w:t xml:space="preserve"> Collaboration agreements provided structure and clearly defi</w:t>
      </w:r>
      <w:r w:rsidR="00031F65">
        <w:t>n</w:t>
      </w:r>
      <w:r>
        <w:t xml:space="preserve">ed the working relationship between </w:t>
      </w:r>
      <w:r w:rsidR="00031F65">
        <w:t xml:space="preserve">The Way Back and health services. </w:t>
      </w:r>
    </w:p>
    <w:p w14:paraId="2422D6BE" w14:textId="1DA7D1B7" w:rsidR="00C5710E" w:rsidRDefault="00092D75" w:rsidP="00236BDA">
      <w:r>
        <w:t xml:space="preserve">Providers and referring health organisations </w:t>
      </w:r>
      <w:r w:rsidR="00B331C2">
        <w:t xml:space="preserve">in interviews </w:t>
      </w:r>
      <w:r>
        <w:t>also</w:t>
      </w:r>
      <w:r w:rsidR="0077577C">
        <w:t xml:space="preserve"> indicated that there were opportunities to improve the quality and timeliness of referrals received from referring health organisations. For example</w:t>
      </w:r>
      <w:r w:rsidR="009C754D">
        <w:t xml:space="preserve">, </w:t>
      </w:r>
      <w:r w:rsidR="009C754D">
        <w:lastRenderedPageBreak/>
        <w:t>s</w:t>
      </w:r>
      <w:r w:rsidR="67B91C2C">
        <w:t>ome providers noted that it was a challenge</w:t>
      </w:r>
      <w:r w:rsidR="48F11436">
        <w:t xml:space="preserve"> to contact </w:t>
      </w:r>
      <w:r w:rsidR="5AEC1FAD">
        <w:t>participants in a timely manner</w:t>
      </w:r>
      <w:r w:rsidR="67B91C2C">
        <w:t xml:space="preserve"> when referrals were incomplete and/or did not provide correct details. Some referring health services noted that </w:t>
      </w:r>
      <w:r w:rsidR="3A637C80">
        <w:t xml:space="preserve">their organisation </w:t>
      </w:r>
      <w:r w:rsidR="433EFC8E">
        <w:t xml:space="preserve">had </w:t>
      </w:r>
      <w:r w:rsidR="00DF2007">
        <w:t>onerous</w:t>
      </w:r>
      <w:r w:rsidR="47F23816">
        <w:t xml:space="preserve"> </w:t>
      </w:r>
      <w:r w:rsidR="67B91C2C">
        <w:t xml:space="preserve">processes </w:t>
      </w:r>
      <w:r w:rsidR="47F23816">
        <w:t>and practices</w:t>
      </w:r>
      <w:r w:rsidR="67B91C2C">
        <w:t xml:space="preserve"> in place</w:t>
      </w:r>
      <w:r w:rsidR="47F23816">
        <w:t>,</w:t>
      </w:r>
      <w:r w:rsidR="67B91C2C">
        <w:t xml:space="preserve"> which meant that referrals could become </w:t>
      </w:r>
      <w:r w:rsidR="1335E77B">
        <w:t>‘</w:t>
      </w:r>
      <w:r w:rsidR="67B91C2C">
        <w:t>bottle necked</w:t>
      </w:r>
      <w:r w:rsidR="1335E77B">
        <w:t>’</w:t>
      </w:r>
      <w:r w:rsidR="67B91C2C">
        <w:t xml:space="preserve"> with the hospital liaison role</w:t>
      </w:r>
      <w:r w:rsidR="076F9421">
        <w:t>. This was</w:t>
      </w:r>
      <w:r w:rsidR="67B91C2C">
        <w:t xml:space="preserve"> </w:t>
      </w:r>
      <w:r w:rsidR="4E7568C8">
        <w:t>despite</w:t>
      </w:r>
      <w:r w:rsidR="2543FC96">
        <w:t xml:space="preserve"> </w:t>
      </w:r>
      <w:r w:rsidR="0B565DED">
        <w:t xml:space="preserve">referrers assessing </w:t>
      </w:r>
      <w:r w:rsidR="0B71091A">
        <w:t xml:space="preserve">potential risk </w:t>
      </w:r>
      <w:r w:rsidR="52B23979">
        <w:t>for referrals as very low.</w:t>
      </w:r>
    </w:p>
    <w:p w14:paraId="23571F92" w14:textId="476DA1E7" w:rsidR="009114F3" w:rsidRDefault="009114F3" w:rsidP="00623868">
      <w:pPr>
        <w:pStyle w:val="Heading3"/>
      </w:pPr>
      <w:r>
        <w:t xml:space="preserve">The number of referrals </w:t>
      </w:r>
      <w:r w:rsidR="00A111EA">
        <w:t>has</w:t>
      </w:r>
      <w:r>
        <w:t xml:space="preserve"> accelerated over time as sites matured and additional sites were commissioned.</w:t>
      </w:r>
    </w:p>
    <w:p w14:paraId="6062DAC6" w14:textId="77777777" w:rsidR="00BF7F96" w:rsidDel="00766FC1" w:rsidRDefault="00BF7F96" w:rsidP="00BF7F96">
      <w:r w:rsidRPr="00236E0B" w:rsidDel="00766FC1">
        <w:t xml:space="preserve">The number of referrals </w:t>
      </w:r>
      <w:r w:rsidR="0027590A" w:rsidDel="00766FC1">
        <w:t xml:space="preserve">reported </w:t>
      </w:r>
      <w:r w:rsidR="005F070A" w:rsidDel="00766FC1">
        <w:t xml:space="preserve">nationally </w:t>
      </w:r>
      <w:r w:rsidR="00F31A49" w:rsidDel="00766FC1">
        <w:t xml:space="preserve">increased </w:t>
      </w:r>
      <w:r w:rsidR="00CE570A" w:rsidDel="00766FC1">
        <w:t>by over four</w:t>
      </w:r>
      <w:r w:rsidR="00D200A0" w:rsidDel="00766FC1">
        <w:t xml:space="preserve"> times </w:t>
      </w:r>
      <w:r w:rsidR="001A2E50" w:rsidDel="00766FC1">
        <w:t xml:space="preserve">from </w:t>
      </w:r>
      <w:r w:rsidR="00B430D4" w:rsidDel="00766FC1">
        <w:t>June 2020 (</w:t>
      </w:r>
      <w:r w:rsidR="00AD4685" w:rsidDel="00766FC1">
        <w:t>4,168</w:t>
      </w:r>
      <w:r w:rsidR="00B430D4" w:rsidDel="00766FC1">
        <w:t xml:space="preserve">) </w:t>
      </w:r>
      <w:r w:rsidR="00CE570A" w:rsidDel="00766FC1">
        <w:t xml:space="preserve">to </w:t>
      </w:r>
      <w:r w:rsidR="00B430D4" w:rsidDel="00766FC1">
        <w:t>June 2022 (</w:t>
      </w:r>
      <w:r w:rsidR="003D3BF5" w:rsidDel="00766FC1">
        <w:t>17,477</w:t>
      </w:r>
      <w:r w:rsidR="00B430D4" w:rsidDel="00766FC1">
        <w:t>).</w:t>
      </w:r>
      <w:r w:rsidR="00581EC5" w:rsidDel="00766FC1">
        <w:t xml:space="preserve"> </w:t>
      </w:r>
      <w:r w:rsidDel="00766FC1">
        <w:t xml:space="preserve">Several factors contributed to </w:t>
      </w:r>
      <w:r w:rsidR="00584752" w:rsidDel="00766FC1">
        <w:t>this significant increase</w:t>
      </w:r>
      <w:r w:rsidDel="00766FC1">
        <w:t xml:space="preserve"> </w:t>
      </w:r>
      <w:r w:rsidR="00B61E77" w:rsidDel="00766FC1">
        <w:t xml:space="preserve">over the past </w:t>
      </w:r>
      <w:r w:rsidR="00B5525C" w:rsidDel="00766FC1">
        <w:t>24</w:t>
      </w:r>
      <w:r w:rsidR="00B61E77" w:rsidDel="00766FC1">
        <w:t xml:space="preserve"> months</w:t>
      </w:r>
      <w:r w:rsidDel="00766FC1">
        <w:t xml:space="preserve"> including:</w:t>
      </w:r>
      <w:r w:rsidR="00AE59A6" w:rsidDel="00766FC1">
        <w:t xml:space="preserve"> </w:t>
      </w:r>
    </w:p>
    <w:p w14:paraId="4B6FBF00" w14:textId="77777777" w:rsidR="00BF7F96" w:rsidDel="00766FC1" w:rsidRDefault="07CD10F0" w:rsidP="00E675CB">
      <w:pPr>
        <w:pStyle w:val="Bullet"/>
      </w:pPr>
      <w:r w:rsidDel="00766FC1">
        <w:t>T</w:t>
      </w:r>
      <w:r w:rsidR="4AE83CEC" w:rsidDel="00766FC1">
        <w:t xml:space="preserve">he </w:t>
      </w:r>
      <w:r w:rsidR="66DCCEB5" w:rsidDel="00766FC1">
        <w:t xml:space="preserve">maturing </w:t>
      </w:r>
      <w:r w:rsidR="4AE83CEC" w:rsidDel="00766FC1">
        <w:t xml:space="preserve">of sites that became operational in early 2021 including Cairns, Mt Isa, Central </w:t>
      </w:r>
      <w:proofErr w:type="gramStart"/>
      <w:r w:rsidR="4AE83CEC" w:rsidDel="00766FC1">
        <w:t>Queensland</w:t>
      </w:r>
      <w:proofErr w:type="gramEnd"/>
      <w:r w:rsidR="4AE83CEC" w:rsidDel="00766FC1">
        <w:t xml:space="preserve"> and </w:t>
      </w:r>
      <w:r w:rsidR="4791809E" w:rsidDel="00766FC1">
        <w:t>Southwest</w:t>
      </w:r>
      <w:r w:rsidR="4AE83CEC" w:rsidDel="00766FC1">
        <w:t xml:space="preserve"> Sydney</w:t>
      </w:r>
      <w:r w:rsidR="4791809E" w:rsidDel="00766FC1">
        <w:t>.</w:t>
      </w:r>
    </w:p>
    <w:p w14:paraId="18FF35B9" w14:textId="6702BBC1" w:rsidR="00BF7F96" w:rsidDel="00766FC1" w:rsidRDefault="7F9340D6" w:rsidP="00E675CB">
      <w:pPr>
        <w:pStyle w:val="Bullet"/>
      </w:pPr>
      <w:r w:rsidDel="00766FC1">
        <w:t>T</w:t>
      </w:r>
      <w:r w:rsidR="182F30DC" w:rsidDel="00766FC1">
        <w:t>he addition of four new sites since August 2021 (</w:t>
      </w:r>
      <w:r w:rsidR="1E6FCA3C" w:rsidDel="00766FC1">
        <w:t xml:space="preserve">i.e., </w:t>
      </w:r>
      <w:r w:rsidR="182F30DC" w:rsidDel="00766FC1">
        <w:t>Broken Hill, Hobart</w:t>
      </w:r>
      <w:r w:rsidR="7A865B8B" w:rsidDel="00766FC1">
        <w:t>,</w:t>
      </w:r>
      <w:r w:rsidR="182F30DC" w:rsidDel="00766FC1">
        <w:t xml:space="preserve"> Launceston</w:t>
      </w:r>
      <w:r w:rsidR="47A6268F">
        <w:t>/</w:t>
      </w:r>
      <w:proofErr w:type="gramStart"/>
      <w:r w:rsidR="182F30DC" w:rsidDel="00766FC1">
        <w:t>Burnie</w:t>
      </w:r>
      <w:proofErr w:type="gramEnd"/>
      <w:r w:rsidR="182F30DC" w:rsidDel="00766FC1">
        <w:t xml:space="preserve"> and Inner-City Brisbane)</w:t>
      </w:r>
      <w:r w:rsidR="0B1CB76E" w:rsidDel="00766FC1">
        <w:t>.</w:t>
      </w:r>
    </w:p>
    <w:p w14:paraId="11BCC211" w14:textId="0789A36B" w:rsidR="002B7199" w:rsidDel="00766FC1" w:rsidRDefault="07238C1B" w:rsidP="00E675CB">
      <w:pPr>
        <w:pStyle w:val="Bullet"/>
      </w:pPr>
      <w:r w:rsidDel="00766FC1">
        <w:t xml:space="preserve">The impact of </w:t>
      </w:r>
      <w:r w:rsidR="53B46F41" w:rsidDel="00766FC1">
        <w:t xml:space="preserve">contextual </w:t>
      </w:r>
      <w:r w:rsidR="0B773AB3" w:rsidDel="00766FC1">
        <w:t xml:space="preserve">factors </w:t>
      </w:r>
      <w:r w:rsidR="5BCFEC3B" w:rsidDel="00766FC1">
        <w:t xml:space="preserve">on mental health </w:t>
      </w:r>
      <w:r w:rsidR="0B773AB3" w:rsidDel="00766FC1">
        <w:t xml:space="preserve">including </w:t>
      </w:r>
      <w:r w:rsidR="7F81BD9E" w:rsidDel="00766FC1">
        <w:t>the global pandemic</w:t>
      </w:r>
      <w:r w:rsidR="14212369" w:rsidDel="00766FC1">
        <w:t xml:space="preserve"> and associated lockdowns</w:t>
      </w:r>
      <w:r w:rsidR="49CCCA4F" w:rsidDel="00766FC1">
        <w:t>,</w:t>
      </w:r>
      <w:r w:rsidR="31D25B76" w:rsidDel="00766FC1">
        <w:t xml:space="preserve"> and </w:t>
      </w:r>
      <w:r w:rsidR="07FB64E9" w:rsidDel="00766FC1">
        <w:t>psychosocial stressors including</w:t>
      </w:r>
      <w:r w:rsidR="7FB57B31" w:rsidDel="00766FC1">
        <w:t xml:space="preserve"> housing</w:t>
      </w:r>
      <w:r w:rsidR="2966B93E" w:rsidDel="00766FC1">
        <w:t xml:space="preserve"> </w:t>
      </w:r>
      <w:r w:rsidR="49CCCA4F" w:rsidDel="00766FC1">
        <w:t xml:space="preserve">stress </w:t>
      </w:r>
      <w:r w:rsidR="2966B93E" w:rsidDel="00766FC1">
        <w:t>and</w:t>
      </w:r>
      <w:r w:rsidR="7FB57B31" w:rsidDel="00766FC1">
        <w:t xml:space="preserve"> increasing cost of livin</w:t>
      </w:r>
      <w:r w:rsidR="31D25B76" w:rsidDel="00766FC1">
        <w:t xml:space="preserve">g. </w:t>
      </w:r>
      <w:r w:rsidR="009114F3">
        <w:rPr>
          <w:rStyle w:val="FootnoteReference"/>
        </w:rPr>
        <w:footnoteReference w:id="47"/>
      </w:r>
    </w:p>
    <w:p w14:paraId="4FD2947F" w14:textId="15AEB4EF" w:rsidR="009114F3" w:rsidRDefault="009114F3" w:rsidP="00722FDF">
      <w:pPr>
        <w:pStyle w:val="Bullet"/>
      </w:pPr>
      <w:r>
        <w:t xml:space="preserve">Newer sites </w:t>
      </w:r>
      <w:r w:rsidR="00C3653A">
        <w:t xml:space="preserve">may have used </w:t>
      </w:r>
      <w:r>
        <w:t>learnings from other sites</w:t>
      </w:r>
      <w:r w:rsidR="00BB0E3F">
        <w:t xml:space="preserve"> to </w:t>
      </w:r>
      <w:r>
        <w:t xml:space="preserve">establish </w:t>
      </w:r>
      <w:r w:rsidR="00A748E6">
        <w:t xml:space="preserve">more effective </w:t>
      </w:r>
      <w:r>
        <w:t>referral pathways</w:t>
      </w:r>
      <w:r w:rsidRPr="0C58547B">
        <w:rPr>
          <w:rStyle w:val="CommentReference"/>
          <w:rFonts w:eastAsiaTheme="minorEastAsia" w:cstheme="minorBidi"/>
          <w:lang w:eastAsia="en-US"/>
        </w:rPr>
        <w:t xml:space="preserve">. </w:t>
      </w:r>
      <w:r>
        <w:t xml:space="preserve"> </w:t>
      </w:r>
    </w:p>
    <w:p w14:paraId="4D496E84" w14:textId="094EEFC4" w:rsidR="00A13160" w:rsidRDefault="5290BEF0" w:rsidP="00623868">
      <w:pPr>
        <w:pStyle w:val="Heading3"/>
      </w:pPr>
      <w:r>
        <w:t>Some providers reported challenges managing demand</w:t>
      </w:r>
      <w:r w:rsidR="187ABA62">
        <w:t>.</w:t>
      </w:r>
    </w:p>
    <w:p w14:paraId="58FD58B8" w14:textId="7BB971D2" w:rsidR="00643967" w:rsidRDefault="72E1D4C1" w:rsidP="00643967">
      <w:r>
        <w:t>I</w:t>
      </w:r>
      <w:r w:rsidR="54C3B650">
        <w:t>n consultations, providers reported challenges in meeting the demand for The Way Back with current resources.</w:t>
      </w:r>
      <w:r w:rsidR="02559696">
        <w:t xml:space="preserve"> </w:t>
      </w:r>
      <w:r w:rsidR="00A53786">
        <w:fldChar w:fldCharType="begin"/>
      </w:r>
      <w:r w:rsidR="00A53786">
        <w:instrText xml:space="preserve"> REF _Ref103856675 \h </w:instrText>
      </w:r>
      <w:r w:rsidR="00A53786">
        <w:fldChar w:fldCharType="separate"/>
      </w:r>
      <w:r w:rsidR="00402362">
        <w:t xml:space="preserve">Figure </w:t>
      </w:r>
      <w:r w:rsidR="00402362">
        <w:rPr>
          <w:noProof/>
        </w:rPr>
        <w:t>7</w:t>
      </w:r>
      <w:r w:rsidR="00A53786">
        <w:fldChar w:fldCharType="end"/>
      </w:r>
      <w:r w:rsidR="00A53786">
        <w:t xml:space="preserve"> </w:t>
      </w:r>
      <w:r w:rsidR="53F63FB4">
        <w:t xml:space="preserve">reflects this challenge, with more than half of states and territories </w:t>
      </w:r>
      <w:r w:rsidR="766E65E7">
        <w:t xml:space="preserve">that delivered </w:t>
      </w:r>
      <w:r w:rsidR="53F63FB4">
        <w:t xml:space="preserve">The Way Back </w:t>
      </w:r>
      <w:r w:rsidR="766E65E7">
        <w:t>record</w:t>
      </w:r>
      <w:r w:rsidR="6B19AC3E">
        <w:t>ing</w:t>
      </w:r>
      <w:r w:rsidR="766E65E7">
        <w:t xml:space="preserve"> </w:t>
      </w:r>
      <w:r w:rsidR="6B3614D4">
        <w:t xml:space="preserve">referral numbers </w:t>
      </w:r>
      <w:r w:rsidR="3D16DEDE">
        <w:t xml:space="preserve">well above targets. </w:t>
      </w:r>
      <w:r w:rsidR="637A56A3">
        <w:t>The</w:t>
      </w:r>
      <w:r w:rsidR="1C09F814">
        <w:t>re</w:t>
      </w:r>
      <w:r w:rsidR="637A56A3">
        <w:t xml:space="preserve"> was insufficient </w:t>
      </w:r>
      <w:r w:rsidR="356D7FBE">
        <w:t xml:space="preserve">quantitative </w:t>
      </w:r>
      <w:r w:rsidR="6602EC4D">
        <w:t>data</w:t>
      </w:r>
      <w:r w:rsidR="356D7FBE">
        <w:t xml:space="preserve"> to </w:t>
      </w:r>
      <w:r w:rsidR="36A5B09F">
        <w:t xml:space="preserve">further </w:t>
      </w:r>
      <w:r w:rsidR="4FA424A4">
        <w:t>verify</w:t>
      </w:r>
      <w:r w:rsidR="7F70E17E">
        <w:t xml:space="preserve"> </w:t>
      </w:r>
      <w:r w:rsidR="715D703D">
        <w:t xml:space="preserve">challenges to meeting </w:t>
      </w:r>
      <w:r w:rsidR="685A3DBB">
        <w:t xml:space="preserve">demand. </w:t>
      </w:r>
      <w:r w:rsidR="00643967" w:rsidDel="006B6665">
        <w:t>S</w:t>
      </w:r>
      <w:r w:rsidR="00643967">
        <w:t>ites</w:t>
      </w:r>
      <w:r w:rsidR="006B6665">
        <w:t xml:space="preserve"> anecdotally</w:t>
      </w:r>
      <w:r w:rsidR="00643967">
        <w:t xml:space="preserve"> reported </w:t>
      </w:r>
      <w:r w:rsidR="00EE3605">
        <w:t xml:space="preserve">taking </w:t>
      </w:r>
      <w:r w:rsidR="00643967">
        <w:t>differ</w:t>
      </w:r>
      <w:r w:rsidR="00EE3605">
        <w:t>ent</w:t>
      </w:r>
      <w:r w:rsidR="00643967">
        <w:t xml:space="preserve"> approaches to manage </w:t>
      </w:r>
      <w:r w:rsidR="00BF17BE">
        <w:t xml:space="preserve">challenges with meeting </w:t>
      </w:r>
      <w:r w:rsidR="00643967">
        <w:t>demand</w:t>
      </w:r>
      <w:r w:rsidR="00EE3605">
        <w:t xml:space="preserve">. These </w:t>
      </w:r>
      <w:r w:rsidR="00216BBC">
        <w:t>included</w:t>
      </w:r>
      <w:r w:rsidR="00643967">
        <w:t xml:space="preserve">: </w:t>
      </w:r>
    </w:p>
    <w:p w14:paraId="0A416D27" w14:textId="7F6DAB6E" w:rsidR="00F707DF" w:rsidRDefault="00E71C6C" w:rsidP="00643967">
      <w:pPr>
        <w:pStyle w:val="Bullet"/>
      </w:pPr>
      <w:r>
        <w:t xml:space="preserve">Prioritising referrals for primary criteria over secondary criteria </w:t>
      </w:r>
      <w:r w:rsidR="006B5D87">
        <w:t>where</w:t>
      </w:r>
      <w:r w:rsidR="00643967">
        <w:t xml:space="preserve"> required</w:t>
      </w:r>
      <w:r w:rsidR="00637F8F">
        <w:t>.</w:t>
      </w:r>
      <w:r w:rsidR="006B5D87">
        <w:t xml:space="preserve"> One site reported only </w:t>
      </w:r>
      <w:r w:rsidR="00637F8F">
        <w:t xml:space="preserve">having the capacity to accept </w:t>
      </w:r>
      <w:r w:rsidR="006B5D87">
        <w:t xml:space="preserve">referrals </w:t>
      </w:r>
      <w:r w:rsidR="00637F8F">
        <w:t xml:space="preserve">based on primary criteria </w:t>
      </w:r>
      <w:r w:rsidR="006B5D87">
        <w:t>since commencemen</w:t>
      </w:r>
      <w:r w:rsidR="00363879">
        <w:t xml:space="preserve">t of the service. </w:t>
      </w:r>
    </w:p>
    <w:p w14:paraId="0B0530A3" w14:textId="79E7D3B3" w:rsidR="00363879" w:rsidRDefault="00363879" w:rsidP="00643967">
      <w:pPr>
        <w:pStyle w:val="Bullet"/>
      </w:pPr>
      <w:r>
        <w:t xml:space="preserve">Increasing </w:t>
      </w:r>
      <w:r w:rsidR="00694AC4">
        <w:t xml:space="preserve">emphasis on ensuring the appropriateness of referrals for The Way Back including where people </w:t>
      </w:r>
      <w:r w:rsidR="00331920">
        <w:t>were</w:t>
      </w:r>
      <w:r w:rsidR="00694AC4">
        <w:t xml:space="preserve"> already linked in with other supports or </w:t>
      </w:r>
      <w:r w:rsidR="00365932">
        <w:t>required</w:t>
      </w:r>
      <w:r w:rsidR="00694AC4">
        <w:t xml:space="preserve"> additional clinical care. </w:t>
      </w:r>
    </w:p>
    <w:p w14:paraId="7F9D8638" w14:textId="2F1AE96F" w:rsidR="00447D29" w:rsidRDefault="5872F39D" w:rsidP="00447D29">
      <w:pPr>
        <w:pStyle w:val="Bullet"/>
      </w:pPr>
      <w:r>
        <w:t>Making initial contact following the referral but p</w:t>
      </w:r>
      <w:r w:rsidR="39C26011">
        <w:t xml:space="preserve">lacing </w:t>
      </w:r>
      <w:r w:rsidR="3EAB0F1D">
        <w:t>participants</w:t>
      </w:r>
      <w:r w:rsidR="39C26011">
        <w:t xml:space="preserve"> on a waitlist </w:t>
      </w:r>
      <w:r w:rsidR="00F85660">
        <w:t xml:space="preserve">and ensuring the HHS provided support </w:t>
      </w:r>
      <w:r w:rsidR="39C26011">
        <w:t xml:space="preserve">until there </w:t>
      </w:r>
      <w:r w:rsidR="04870927">
        <w:t>was</w:t>
      </w:r>
      <w:r w:rsidR="39C26011">
        <w:t xml:space="preserve"> a support coordinator available (</w:t>
      </w:r>
      <w:r w:rsidR="6A5CEBCB">
        <w:t xml:space="preserve">for </w:t>
      </w:r>
      <w:r w:rsidR="254C1B47">
        <w:t>example,</w:t>
      </w:r>
      <w:r>
        <w:t xml:space="preserve"> </w:t>
      </w:r>
      <w:r w:rsidR="39C26011">
        <w:t>Gold Coast)</w:t>
      </w:r>
      <w:r>
        <w:t>.</w:t>
      </w:r>
      <w:r w:rsidR="001600D9">
        <w:rPr>
          <w:rStyle w:val="FootnoteReference"/>
        </w:rPr>
        <w:footnoteReference w:id="48"/>
      </w:r>
    </w:p>
    <w:p w14:paraId="409E152D" w14:textId="6CB14C0A" w:rsidR="00D3737D" w:rsidRDefault="6DED5C6E" w:rsidP="00D3737D">
      <w:r>
        <w:t xml:space="preserve">In </w:t>
      </w:r>
      <w:r w:rsidR="1A7DFC47">
        <w:t xml:space="preserve">almost all </w:t>
      </w:r>
      <w:r w:rsidR="05C88533">
        <w:t>c</w:t>
      </w:r>
      <w:r w:rsidR="2024E0F1">
        <w:t>onsultations</w:t>
      </w:r>
      <w:r w:rsidR="0022315B">
        <w:t>,</w:t>
      </w:r>
      <w:r w:rsidR="2024E0F1">
        <w:t xml:space="preserve"> p</w:t>
      </w:r>
      <w:r w:rsidR="72E1D4C1">
        <w:t xml:space="preserve">roviders, referring health organisations and </w:t>
      </w:r>
      <w:r w:rsidR="14629A63">
        <w:t>participants</w:t>
      </w:r>
      <w:r w:rsidR="72E1D4C1">
        <w:t xml:space="preserve"> consistently highlighted the importance of </w:t>
      </w:r>
      <w:r w:rsidR="235FAFED">
        <w:t xml:space="preserve">not having to wait too long to </w:t>
      </w:r>
      <w:r w:rsidR="319127DB">
        <w:t>be allocated a</w:t>
      </w:r>
      <w:r w:rsidR="235FAFED">
        <w:t xml:space="preserve"> support coordinator once accessing the service</w:t>
      </w:r>
      <w:r w:rsidR="0E727FE3">
        <w:t xml:space="preserve"> and </w:t>
      </w:r>
      <w:r w:rsidR="2A3157D8">
        <w:t>having</w:t>
      </w:r>
      <w:r w:rsidR="72E1D4C1">
        <w:t xml:space="preserve"> dedicated time with their support coordinator </w:t>
      </w:r>
      <w:r w:rsidR="2A3157D8">
        <w:t>on a regular basis</w:t>
      </w:r>
      <w:r w:rsidR="0E727FE3">
        <w:t xml:space="preserve">. </w:t>
      </w:r>
      <w:r w:rsidR="69734EDF">
        <w:t>The wait tim</w:t>
      </w:r>
      <w:r w:rsidR="0DE01B51">
        <w:t xml:space="preserve">es </w:t>
      </w:r>
      <w:r w:rsidR="00E92D8C">
        <w:t xml:space="preserve">for new participants </w:t>
      </w:r>
      <w:r w:rsidR="0DE01B51">
        <w:t>to be allocated a support coordinator could not be verified using the quantitative data currently available</w:t>
      </w:r>
      <w:r w:rsidR="005D607D">
        <w:rPr>
          <w:rStyle w:val="FootnoteReference"/>
        </w:rPr>
        <w:footnoteReference w:id="49"/>
      </w:r>
      <w:r w:rsidR="0DE01B51">
        <w:t>.</w:t>
      </w:r>
      <w:r w:rsidR="77143120">
        <w:t xml:space="preserve"> It is recommended that this information is collected in the future</w:t>
      </w:r>
      <w:r w:rsidR="421C428A">
        <w:t xml:space="preserve"> (see section </w:t>
      </w:r>
      <w:r w:rsidR="00DD32B2">
        <w:fldChar w:fldCharType="begin"/>
      </w:r>
      <w:r w:rsidR="00DD32B2">
        <w:instrText xml:space="preserve"> REF _Ref118129052 \n \h </w:instrText>
      </w:r>
      <w:r w:rsidR="00DD32B2">
        <w:fldChar w:fldCharType="separate"/>
      </w:r>
      <w:r w:rsidR="00402362">
        <w:t>10.1</w:t>
      </w:r>
      <w:r w:rsidR="00DD32B2">
        <w:fldChar w:fldCharType="end"/>
      </w:r>
      <w:r w:rsidR="680A4AEB">
        <w:t xml:space="preserve">, </w:t>
      </w:r>
      <w:r w:rsidR="659FC62F">
        <w:t>r</w:t>
      </w:r>
      <w:r w:rsidR="40E965F8">
        <w:t xml:space="preserve">ecommendation </w:t>
      </w:r>
      <w:r w:rsidR="73FBF861">
        <w:t>1</w:t>
      </w:r>
      <w:r w:rsidR="006F204D">
        <w:t>6</w:t>
      </w:r>
      <w:r w:rsidR="1CC78193">
        <w:t>)</w:t>
      </w:r>
      <w:r w:rsidR="77143120">
        <w:t>.</w:t>
      </w:r>
      <w:r w:rsidR="00DA131A">
        <w:t xml:space="preserve"> </w:t>
      </w:r>
    </w:p>
    <w:p w14:paraId="08DE6715" w14:textId="7A381AED" w:rsidR="00F719E7" w:rsidRDefault="002F6D7A" w:rsidP="009B39F2">
      <w:pPr>
        <w:pStyle w:val="Heading2"/>
      </w:pPr>
      <w:bookmarkStart w:id="68" w:name="_Ref121313044"/>
      <w:bookmarkStart w:id="69" w:name="_Toc121320683"/>
      <w:r>
        <w:lastRenderedPageBreak/>
        <w:t>Participants</w:t>
      </w:r>
      <w:r w:rsidR="00F719E7">
        <w:t xml:space="preserve"> who access The Way Back</w:t>
      </w:r>
      <w:bookmarkEnd w:id="68"/>
      <w:bookmarkEnd w:id="69"/>
    </w:p>
    <w:p w14:paraId="7A098392" w14:textId="47DBE105" w:rsidR="0089105B" w:rsidRDefault="00F37AB6" w:rsidP="00623868">
      <w:pPr>
        <w:pStyle w:val="Heading3"/>
      </w:pPr>
      <w:r w:rsidRPr="00623868">
        <w:t>A</w:t>
      </w:r>
      <w:r w:rsidRPr="00936517">
        <w:t xml:space="preserve"> third of participants had made a previous suicide attempt, 58</w:t>
      </w:r>
      <w:r w:rsidR="00EC3F05" w:rsidRPr="00936517">
        <w:t xml:space="preserve"> per cent</w:t>
      </w:r>
      <w:r w:rsidRPr="00936517">
        <w:t xml:space="preserve"> were female and 85</w:t>
      </w:r>
      <w:r w:rsidR="00EC3F05" w:rsidRPr="00936517">
        <w:t xml:space="preserve"> per cent</w:t>
      </w:r>
      <w:r w:rsidRPr="00936517">
        <w:t xml:space="preserve"> were born in Australia.</w:t>
      </w:r>
    </w:p>
    <w:p w14:paraId="00D5907A" w14:textId="175B76E7" w:rsidR="0008549B" w:rsidRDefault="00FB5A04" w:rsidP="00BF7696">
      <w:r>
        <w:fldChar w:fldCharType="begin"/>
      </w:r>
      <w:r>
        <w:instrText xml:space="preserve"> REF _Ref117771048 \h </w:instrText>
      </w:r>
      <w:r>
        <w:fldChar w:fldCharType="separate"/>
      </w:r>
      <w:r w:rsidR="00402362">
        <w:t xml:space="preserve">Figure </w:t>
      </w:r>
      <w:r w:rsidR="00402362">
        <w:rPr>
          <w:noProof/>
        </w:rPr>
        <w:t>8</w:t>
      </w:r>
      <w:r>
        <w:fldChar w:fldCharType="end"/>
      </w:r>
      <w:r w:rsidR="628379CA" w:rsidRPr="00EB15ED">
        <w:t xml:space="preserve"> </w:t>
      </w:r>
      <w:r w:rsidR="628379CA">
        <w:t>shows</w:t>
      </w:r>
      <w:r w:rsidR="628379CA" w:rsidRPr="00EB15ED">
        <w:t xml:space="preserve"> </w:t>
      </w:r>
      <w:r w:rsidR="628379CA">
        <w:t xml:space="preserve">a sample of demographic and other characteristics for </w:t>
      </w:r>
      <w:r w:rsidR="628379CA" w:rsidRPr="0008460B">
        <w:t xml:space="preserve">the </w:t>
      </w:r>
      <w:r w:rsidR="27DC0749">
        <w:t>8,734</w:t>
      </w:r>
      <w:r w:rsidR="628379CA" w:rsidRPr="00576DF0">
        <w:t xml:space="preserve"> </w:t>
      </w:r>
      <w:r w:rsidR="7F492931" w:rsidRPr="00576DF0">
        <w:t>participants</w:t>
      </w:r>
      <w:r w:rsidR="628379CA" w:rsidRPr="00576DF0">
        <w:t xml:space="preserve"> for which there </w:t>
      </w:r>
      <w:r w:rsidR="3560B828" w:rsidRPr="00576DF0">
        <w:t xml:space="preserve">was </w:t>
      </w:r>
      <w:r w:rsidR="628379CA" w:rsidRPr="00576DF0">
        <w:t>data in the PMHC MDS.</w:t>
      </w:r>
      <w:r w:rsidR="07A6C15E" w:rsidRPr="0024410E">
        <w:rPr>
          <w:rStyle w:val="FootnoteReference"/>
        </w:rPr>
        <w:t xml:space="preserve"> </w:t>
      </w:r>
      <w:r w:rsidR="0024410E">
        <w:rPr>
          <w:rStyle w:val="FootnoteReference"/>
        </w:rPr>
        <w:footnoteReference w:id="50"/>
      </w:r>
    </w:p>
    <w:p w14:paraId="1184FEC3" w14:textId="2F8CDEB6" w:rsidR="00FC6171" w:rsidRDefault="559097AF" w:rsidP="00D956A2">
      <w:pPr>
        <w:pStyle w:val="Caption"/>
      </w:pPr>
      <w:bookmarkStart w:id="70" w:name="_Ref117771048"/>
      <w:r>
        <w:t xml:space="preserve">Figure </w:t>
      </w:r>
      <w:r w:rsidR="00085D02">
        <w:fldChar w:fldCharType="begin"/>
      </w:r>
      <w:r w:rsidR="00085D02">
        <w:instrText xml:space="preserve"> SEQ Figure \* ARABIC </w:instrText>
      </w:r>
      <w:r w:rsidR="00085D02">
        <w:fldChar w:fldCharType="separate"/>
      </w:r>
      <w:r w:rsidR="00402362">
        <w:rPr>
          <w:noProof/>
        </w:rPr>
        <w:t>8</w:t>
      </w:r>
      <w:r w:rsidR="00085D02">
        <w:fldChar w:fldCharType="end"/>
      </w:r>
      <w:bookmarkEnd w:id="70"/>
      <w:r>
        <w:t xml:space="preserve"> | </w:t>
      </w:r>
      <w:r w:rsidR="404B84AC">
        <w:t xml:space="preserve">Proportions of The Way Back </w:t>
      </w:r>
      <w:r w:rsidR="36BD31E0">
        <w:t>participants</w:t>
      </w:r>
      <w:r w:rsidR="404B84AC">
        <w:t xml:space="preserve"> by key </w:t>
      </w:r>
      <w:r w:rsidR="00E36B13">
        <w:t>characteristics</w:t>
      </w:r>
      <w:r w:rsidR="404B84AC">
        <w:t xml:space="preserve"> (based on a sample of </w:t>
      </w:r>
      <w:r w:rsidR="7E711032">
        <w:t>8,</w:t>
      </w:r>
      <w:r w:rsidR="18EE402F">
        <w:t>734</w:t>
      </w:r>
      <w:r w:rsidR="404B84AC">
        <w:t xml:space="preserve"> </w:t>
      </w:r>
      <w:r w:rsidR="36BD31E0">
        <w:t>participants</w:t>
      </w:r>
      <w:r w:rsidR="404B84AC">
        <w:t>)</w:t>
      </w:r>
      <w:r w:rsidR="00194E32">
        <w:rPr>
          <w:rStyle w:val="FootnoteReference"/>
        </w:rPr>
        <w:footnoteReference w:id="51"/>
      </w:r>
    </w:p>
    <w:p w14:paraId="11856152" w14:textId="34C786B5" w:rsidR="000E2372" w:rsidRPr="000E2372" w:rsidRDefault="00101174" w:rsidP="000E2372">
      <w:r w:rsidRPr="00101174">
        <w:rPr>
          <w:noProof/>
        </w:rPr>
        <w:drawing>
          <wp:inline distT="0" distB="0" distL="0" distR="0" wp14:anchorId="6587A33F" wp14:editId="05410707">
            <wp:extent cx="5670550" cy="3791585"/>
            <wp:effectExtent l="0" t="0" r="6350" b="0"/>
            <wp:docPr id="548" name="Graphic 548" descr="Figure 8 is a infographic on the proportions of The Way Back participants and key characteristics based on a sample of 8,734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Graphic 548" descr="Figure 8 is a infographic on the proportions of The Way Back participants and key characteristics based on a sample of 8,734 participants"/>
                    <pic:cNvPicPr/>
                  </pic:nvPicPr>
                  <pic:blipFill>
                    <a:blip r:embed="rId50">
                      <a:extLst>
                        <a:ext uri="{96DAC541-7B7A-43D3-8B79-37D633B846F1}">
                          <asvg:svgBlip xmlns:asvg="http://schemas.microsoft.com/office/drawing/2016/SVG/main" r:embed="rId51"/>
                        </a:ext>
                      </a:extLst>
                    </a:blip>
                    <a:stretch>
                      <a:fillRect/>
                    </a:stretch>
                  </pic:blipFill>
                  <pic:spPr>
                    <a:xfrm>
                      <a:off x="0" y="0"/>
                      <a:ext cx="5670550" cy="3791585"/>
                    </a:xfrm>
                    <a:prstGeom prst="rect">
                      <a:avLst/>
                    </a:prstGeom>
                  </pic:spPr>
                </pic:pic>
              </a:graphicData>
            </a:graphic>
          </wp:inline>
        </w:drawing>
      </w:r>
    </w:p>
    <w:p w14:paraId="2BF516AF" w14:textId="72262532" w:rsidR="003F36B0" w:rsidRDefault="4ACCA681" w:rsidP="003F36B0">
      <w:pPr>
        <w:pStyle w:val="Bullet"/>
        <w:numPr>
          <w:ilvl w:val="0"/>
          <w:numId w:val="0"/>
        </w:numPr>
      </w:pPr>
      <w:bookmarkStart w:id="71" w:name="_Hlk110595464"/>
      <w:r>
        <w:t xml:space="preserve">The </w:t>
      </w:r>
      <w:r w:rsidR="00923966">
        <w:t>characteristics</w:t>
      </w:r>
      <w:r>
        <w:t xml:space="preserve"> of </w:t>
      </w:r>
      <w:r w:rsidR="14629A63">
        <w:t>participants</w:t>
      </w:r>
      <w:r>
        <w:t xml:space="preserve"> in the PMHC MDS </w:t>
      </w:r>
      <w:r w:rsidR="0C1B73C4">
        <w:t>largely reflect</w:t>
      </w:r>
      <w:r w:rsidR="66D659E1">
        <w:t>ed</w:t>
      </w:r>
      <w:r>
        <w:t xml:space="preserve"> the </w:t>
      </w:r>
      <w:r w:rsidR="00A7200F">
        <w:t>characteristics</w:t>
      </w:r>
      <w:r>
        <w:t xml:space="preserve"> of those represented in suicide attempt statistics.</w:t>
      </w:r>
      <w:r w:rsidR="004116F2">
        <w:rPr>
          <w:rStyle w:val="FootnoteReference"/>
        </w:rPr>
        <w:footnoteReference w:id="52"/>
      </w:r>
      <w:r>
        <w:t xml:space="preserve"> </w:t>
      </w:r>
      <w:bookmarkEnd w:id="71"/>
      <w:r>
        <w:t xml:space="preserve">For example, the </w:t>
      </w:r>
      <w:r w:rsidR="00E01554">
        <w:t xml:space="preserve">slightly </w:t>
      </w:r>
      <w:r>
        <w:t>high</w:t>
      </w:r>
      <w:r w:rsidR="00F73F1D">
        <w:t>er</w:t>
      </w:r>
      <w:r>
        <w:t xml:space="preserve"> proportion of </w:t>
      </w:r>
      <w:r w:rsidR="14629A63">
        <w:t>participants</w:t>
      </w:r>
      <w:r>
        <w:t xml:space="preserve"> who </w:t>
      </w:r>
      <w:r w:rsidR="66D659E1">
        <w:t>identified</w:t>
      </w:r>
      <w:r>
        <w:t xml:space="preserve"> as female </w:t>
      </w:r>
      <w:r w:rsidR="66D659E1">
        <w:t>was</w:t>
      </w:r>
      <w:r>
        <w:t xml:space="preserve"> to be expected (women are more likely than men to </w:t>
      </w:r>
      <w:r w:rsidR="01C96176">
        <w:t xml:space="preserve">be hospitalised for self-harm, </w:t>
      </w:r>
      <w:r w:rsidR="002C592E">
        <w:t xml:space="preserve">and suicide </w:t>
      </w:r>
      <w:r w:rsidR="00F258A1">
        <w:t xml:space="preserve">attempts </w:t>
      </w:r>
      <w:r w:rsidR="67D79A4E">
        <w:t>al</w:t>
      </w:r>
      <w:r w:rsidR="01C96176">
        <w:t>though men are more likely to</w:t>
      </w:r>
      <w:r w:rsidR="4E2DBA81">
        <w:t xml:space="preserve"> die </w:t>
      </w:r>
      <w:proofErr w:type="gramStart"/>
      <w:r w:rsidR="4E2DBA81">
        <w:t>as a result of</w:t>
      </w:r>
      <w:proofErr w:type="gramEnd"/>
      <w:r w:rsidR="4E2DBA81">
        <w:t xml:space="preserve"> a suicide </w:t>
      </w:r>
      <w:r>
        <w:t xml:space="preserve">attempt). </w:t>
      </w:r>
      <w:r w:rsidR="564984F6">
        <w:t>Similar</w:t>
      </w:r>
      <w:r w:rsidR="47B9FC51">
        <w:t>ly</w:t>
      </w:r>
      <w:r w:rsidR="564984F6">
        <w:t>,</w:t>
      </w:r>
      <w:r>
        <w:t xml:space="preserve"> the </w:t>
      </w:r>
      <w:r w:rsidR="39A4ECF9">
        <w:t xml:space="preserve">higher </w:t>
      </w:r>
      <w:r>
        <w:t xml:space="preserve">proportion of </w:t>
      </w:r>
      <w:r w:rsidR="14629A63">
        <w:t>participants</w:t>
      </w:r>
      <w:r>
        <w:t xml:space="preserve"> with a prior suicide attempt</w:t>
      </w:r>
      <w:r w:rsidR="39A4ECF9">
        <w:t xml:space="preserve"> was expected</w:t>
      </w:r>
      <w:r>
        <w:t>, given it is the most significant predictor of death by suicide</w:t>
      </w:r>
      <w:r w:rsidR="2EA45EFB">
        <w:t xml:space="preserve"> </w:t>
      </w:r>
      <w:r w:rsidR="00EC2B48">
        <w:t xml:space="preserve">and suicidal behaviour, </w:t>
      </w:r>
      <w:r w:rsidR="2EA45EFB">
        <w:t xml:space="preserve">and </w:t>
      </w:r>
      <w:r w:rsidR="3948FECB">
        <w:t>is the primary criteria for referral to The Way Back</w:t>
      </w:r>
      <w:r>
        <w:t xml:space="preserve">. </w:t>
      </w:r>
    </w:p>
    <w:p w14:paraId="0D7145EB" w14:textId="72D9A3E1" w:rsidR="00E71FF2" w:rsidRDefault="572E2440" w:rsidP="003F36B0">
      <w:pPr>
        <w:pStyle w:val="Bullet"/>
        <w:numPr>
          <w:ilvl w:val="0"/>
          <w:numId w:val="0"/>
        </w:numPr>
      </w:pPr>
      <w:r>
        <w:t xml:space="preserve">It should be noted </w:t>
      </w:r>
      <w:r w:rsidR="6BDEA26D">
        <w:t xml:space="preserve">that the </w:t>
      </w:r>
      <w:r w:rsidR="49835D68">
        <w:t>PMHC</w:t>
      </w:r>
      <w:r w:rsidR="5835A389">
        <w:t xml:space="preserve"> </w:t>
      </w:r>
      <w:r w:rsidR="49835D68">
        <w:t xml:space="preserve">MDS </w:t>
      </w:r>
      <w:r w:rsidR="1B23B98F">
        <w:t xml:space="preserve">dataset </w:t>
      </w:r>
      <w:r w:rsidR="6BDEA26D">
        <w:t xml:space="preserve">may under-represent </w:t>
      </w:r>
      <w:r w:rsidR="1B23B98F">
        <w:t xml:space="preserve">the </w:t>
      </w:r>
      <w:r w:rsidR="35215E2D">
        <w:t xml:space="preserve">characteristics of </w:t>
      </w:r>
      <w:r w:rsidR="49835D68">
        <w:t xml:space="preserve">participants who access </w:t>
      </w:r>
      <w:r w:rsidR="610F2DEA">
        <w:t>The Way Back</w:t>
      </w:r>
      <w:r w:rsidR="5835A389">
        <w:t xml:space="preserve">. Analysis of PMHC MDS showed </w:t>
      </w:r>
      <w:r w:rsidR="0550E5F8">
        <w:t>that across some demographic data, there was a greater</w:t>
      </w:r>
      <w:r w:rsidR="22349101">
        <w:t xml:space="preserve"> count </w:t>
      </w:r>
      <w:r w:rsidR="0C4D7EC0">
        <w:t xml:space="preserve">of participants that had missing </w:t>
      </w:r>
      <w:r w:rsidR="31A9AC3A">
        <w:t>data,</w:t>
      </w:r>
      <w:r w:rsidR="0C4D7EC0">
        <w:t xml:space="preserve"> or their status was not stated</w:t>
      </w:r>
      <w:r w:rsidR="0550E5F8">
        <w:t xml:space="preserve">. These included </w:t>
      </w:r>
      <w:r w:rsidR="7D0B2B8F">
        <w:t>Aboriginal and/or Torres Strait Islander</w:t>
      </w:r>
      <w:r w:rsidR="344D49D9">
        <w:t xml:space="preserve"> status (17 per cent)</w:t>
      </w:r>
      <w:r w:rsidR="2DDD00AB">
        <w:t>; s</w:t>
      </w:r>
      <w:r w:rsidR="344D49D9">
        <w:t>exual orientation (4</w:t>
      </w:r>
      <w:r w:rsidR="00E34456">
        <w:t>2</w:t>
      </w:r>
      <w:r w:rsidR="344D49D9">
        <w:t xml:space="preserve"> per cent)</w:t>
      </w:r>
      <w:r w:rsidR="2DDD00AB">
        <w:t>; t</w:t>
      </w:r>
      <w:r w:rsidR="18674108">
        <w:t>ransgender status (31 per cent)</w:t>
      </w:r>
      <w:r w:rsidR="2DDD00AB">
        <w:t xml:space="preserve">, intersex status (34 per cent); veteran (27 per cent); </w:t>
      </w:r>
      <w:r w:rsidR="5906558A">
        <w:t>homelessness status (15 per cent)</w:t>
      </w:r>
      <w:r w:rsidR="4E60F456">
        <w:t>.</w:t>
      </w:r>
      <w:r w:rsidR="6813B622">
        <w:t xml:space="preserve"> </w:t>
      </w:r>
      <w:r w:rsidR="75DFD139">
        <w:t>In c</w:t>
      </w:r>
      <w:r w:rsidR="69F28BDC">
        <w:t>onsultations</w:t>
      </w:r>
      <w:r w:rsidR="6813B622">
        <w:t xml:space="preserve"> with providers and Beyond Blue</w:t>
      </w:r>
      <w:r w:rsidR="75DFD139">
        <w:t xml:space="preserve">, it was highlighted that </w:t>
      </w:r>
      <w:r w:rsidR="00B47FD5">
        <w:t xml:space="preserve">missing </w:t>
      </w:r>
      <w:r w:rsidR="75DFD139">
        <w:t xml:space="preserve">demographic </w:t>
      </w:r>
      <w:r w:rsidR="00B47FD5">
        <w:t xml:space="preserve">data </w:t>
      </w:r>
      <w:r w:rsidR="5402ABD3">
        <w:t xml:space="preserve">may </w:t>
      </w:r>
      <w:r w:rsidR="5402ABD3">
        <w:lastRenderedPageBreak/>
        <w:t xml:space="preserve">be the result of </w:t>
      </w:r>
      <w:r w:rsidR="6813B622">
        <w:t xml:space="preserve">participants </w:t>
      </w:r>
      <w:r w:rsidR="5402ABD3">
        <w:t xml:space="preserve">not </w:t>
      </w:r>
      <w:r w:rsidR="0550E5F8">
        <w:t xml:space="preserve">feeling </w:t>
      </w:r>
      <w:r w:rsidR="6813B622">
        <w:t xml:space="preserve">comfortable </w:t>
      </w:r>
      <w:r w:rsidR="69F28BDC">
        <w:t xml:space="preserve">sharing </w:t>
      </w:r>
      <w:r w:rsidR="7677BF0A">
        <w:t>specific details about themselves</w:t>
      </w:r>
      <w:r w:rsidR="75DFD139">
        <w:t xml:space="preserve"> and/or data not being captured </w:t>
      </w:r>
      <w:r w:rsidR="07ECF605">
        <w:t xml:space="preserve">within the PMHC MDS when participants disclose this information </w:t>
      </w:r>
      <w:proofErr w:type="gramStart"/>
      <w:r w:rsidR="07ECF605">
        <w:t>at a later date</w:t>
      </w:r>
      <w:proofErr w:type="gramEnd"/>
      <w:r w:rsidR="07ECF605">
        <w:t xml:space="preserve">. </w:t>
      </w:r>
    </w:p>
    <w:p w14:paraId="7ED71583" w14:textId="67973CA8" w:rsidR="0043216D" w:rsidRDefault="03C5D40A" w:rsidP="00623868">
      <w:pPr>
        <w:pStyle w:val="Heading3"/>
      </w:pPr>
      <w:r>
        <w:t>Most</w:t>
      </w:r>
      <w:r w:rsidR="3AEEA8D6">
        <w:t xml:space="preserve"> </w:t>
      </w:r>
      <w:r w:rsidR="3860B196">
        <w:t>participants</w:t>
      </w:r>
      <w:r w:rsidR="3AEEA8D6">
        <w:t xml:space="preserve"> </w:t>
      </w:r>
      <w:r w:rsidR="26ABA2BC">
        <w:t xml:space="preserve">referred to The Way Back </w:t>
      </w:r>
      <w:r w:rsidR="00646AE1">
        <w:t>self-</w:t>
      </w:r>
      <w:r w:rsidR="006764E2">
        <w:t>reported</w:t>
      </w:r>
      <w:r w:rsidR="00646AE1">
        <w:t xml:space="preserve"> </w:t>
      </w:r>
      <w:r w:rsidR="6527B56E">
        <w:t xml:space="preserve">a </w:t>
      </w:r>
      <w:r w:rsidR="66EF6580">
        <w:t xml:space="preserve">diagnosed </w:t>
      </w:r>
      <w:r w:rsidR="6527B56E">
        <w:t>mental</w:t>
      </w:r>
      <w:r w:rsidR="26ABA2BC">
        <w:t xml:space="preserve"> </w:t>
      </w:r>
      <w:r w:rsidR="5F250774">
        <w:t>health condition</w:t>
      </w:r>
      <w:r>
        <w:t xml:space="preserve">, </w:t>
      </w:r>
      <w:r w:rsidR="7ED62BA7">
        <w:t xml:space="preserve">and many </w:t>
      </w:r>
      <w:r w:rsidR="0F461B4F">
        <w:t xml:space="preserve">were experiencing a </w:t>
      </w:r>
      <w:r w:rsidR="266DFD24">
        <w:t>situational</w:t>
      </w:r>
      <w:r w:rsidR="0AB56A2E">
        <w:t xml:space="preserve"> </w:t>
      </w:r>
      <w:r w:rsidR="245C1C18">
        <w:t>crisis</w:t>
      </w:r>
      <w:r w:rsidR="266DFD24">
        <w:t>.</w:t>
      </w:r>
    </w:p>
    <w:p w14:paraId="7F9D672C" w14:textId="2FFEF616" w:rsidR="00660B3D" w:rsidRDefault="07E23106" w:rsidP="00660B3D">
      <w:r>
        <w:t xml:space="preserve">Analysis of the PMHC MDS data between </w:t>
      </w:r>
      <w:r w:rsidR="74A60109">
        <w:t xml:space="preserve">September 2019 and September 2022 found that </w:t>
      </w:r>
      <w:r w:rsidR="7BD8B260">
        <w:t>79</w:t>
      </w:r>
      <w:r w:rsidR="3399FDDE">
        <w:t xml:space="preserve"> </w:t>
      </w:r>
      <w:r w:rsidR="0B8079C3">
        <w:t xml:space="preserve">per cent </w:t>
      </w:r>
      <w:r w:rsidR="74C26F8F">
        <w:t xml:space="preserve">of </w:t>
      </w:r>
      <w:r w:rsidR="30E5BDE6">
        <w:t>participants</w:t>
      </w:r>
      <w:r w:rsidR="74C26F8F">
        <w:t xml:space="preserve"> </w:t>
      </w:r>
      <w:r w:rsidR="427813B2">
        <w:t xml:space="preserve">referred to The Way Back </w:t>
      </w:r>
      <w:r w:rsidR="095E48F7">
        <w:t>self-</w:t>
      </w:r>
      <w:r w:rsidR="096B332C">
        <w:t>reported a mental illness diagnos</w:t>
      </w:r>
      <w:r w:rsidR="720281E5">
        <w:t>i</w:t>
      </w:r>
      <w:r w:rsidR="096B332C">
        <w:t>s</w:t>
      </w:r>
      <w:r w:rsidR="427813B2">
        <w:t xml:space="preserve">. </w:t>
      </w:r>
      <w:bookmarkStart w:id="72" w:name="_Hlk110595502"/>
      <w:r w:rsidR="427813B2">
        <w:t xml:space="preserve">Of </w:t>
      </w:r>
      <w:r w:rsidR="30E5BDE6">
        <w:t>participants</w:t>
      </w:r>
      <w:r w:rsidR="427813B2">
        <w:t xml:space="preserve"> who had a diagnosis listed, the top </w:t>
      </w:r>
      <w:r w:rsidR="549724C1">
        <w:t>3</w:t>
      </w:r>
      <w:r w:rsidR="427813B2">
        <w:t xml:space="preserve"> principal diagnoses included:</w:t>
      </w:r>
    </w:p>
    <w:p w14:paraId="3D18B992" w14:textId="2ACDD142" w:rsidR="00876FD5" w:rsidRDefault="5A00FDEF" w:rsidP="00B729F5">
      <w:pPr>
        <w:pStyle w:val="Listnumbered"/>
        <w:numPr>
          <w:ilvl w:val="0"/>
          <w:numId w:val="16"/>
        </w:numPr>
      </w:pPr>
      <w:r w:rsidRPr="0073025E">
        <w:t>depressive symptoms</w:t>
      </w:r>
      <w:r>
        <w:t xml:space="preserve"> (10 per cent or </w:t>
      </w:r>
      <w:r w:rsidRPr="0073025E">
        <w:t>8</w:t>
      </w:r>
      <w:r>
        <w:t>43 participants).</w:t>
      </w:r>
      <w:r w:rsidR="00876FD5">
        <w:rPr>
          <w:rStyle w:val="FootnoteReference"/>
        </w:rPr>
        <w:footnoteReference w:id="53"/>
      </w:r>
    </w:p>
    <w:p w14:paraId="548C0030" w14:textId="24FA9AFE" w:rsidR="00660B3D" w:rsidRDefault="0E16769F" w:rsidP="00B729F5">
      <w:pPr>
        <w:pStyle w:val="Listnumbered"/>
        <w:numPr>
          <w:ilvl w:val="0"/>
          <w:numId w:val="16"/>
        </w:numPr>
      </w:pPr>
      <w:r>
        <w:t xml:space="preserve">mixed anxiety and </w:t>
      </w:r>
      <w:r w:rsidRPr="0073025E">
        <w:t>depressive symptoms</w:t>
      </w:r>
      <w:r>
        <w:t xml:space="preserve"> (</w:t>
      </w:r>
      <w:r w:rsidR="06CBBE85">
        <w:t>9</w:t>
      </w:r>
      <w:r w:rsidR="6CA57A20">
        <w:t xml:space="preserve"> per cent</w:t>
      </w:r>
      <w:r>
        <w:t xml:space="preserve"> or </w:t>
      </w:r>
      <w:r w:rsidR="2ADF8717" w:rsidRPr="0073025E">
        <w:t>7</w:t>
      </w:r>
      <w:r w:rsidR="7F5B00DB" w:rsidRPr="0073025E">
        <w:t>7</w:t>
      </w:r>
      <w:r w:rsidR="2ADF8717" w:rsidRPr="0073025E">
        <w:t>8</w:t>
      </w:r>
      <w:r>
        <w:t xml:space="preserve"> </w:t>
      </w:r>
      <w:r w:rsidR="14629A63">
        <w:t>participants</w:t>
      </w:r>
      <w:r>
        <w:t>)</w:t>
      </w:r>
      <w:r w:rsidR="00E3187A">
        <w:rPr>
          <w:rStyle w:val="FootnoteReference"/>
        </w:rPr>
        <w:footnoteReference w:id="54"/>
      </w:r>
    </w:p>
    <w:p w14:paraId="19F01F5C" w14:textId="7C24AE26" w:rsidR="00660B3D" w:rsidRDefault="605D2A6B" w:rsidP="00B729F5">
      <w:pPr>
        <w:pStyle w:val="Listnumbered"/>
        <w:numPr>
          <w:ilvl w:val="0"/>
          <w:numId w:val="16"/>
        </w:numPr>
      </w:pPr>
      <w:bookmarkStart w:id="73" w:name="_Ref118278891"/>
      <w:r>
        <w:t>personality disorder (9</w:t>
      </w:r>
      <w:r w:rsidR="422A8D21">
        <w:t xml:space="preserve"> per cent</w:t>
      </w:r>
      <w:r>
        <w:t xml:space="preserve"> or </w:t>
      </w:r>
      <w:r w:rsidR="4D3F2FAB">
        <w:t>78</w:t>
      </w:r>
      <w:r w:rsidR="048D6D03">
        <w:t>2</w:t>
      </w:r>
      <w:r>
        <w:t xml:space="preserve"> </w:t>
      </w:r>
      <w:r w:rsidR="580AE92F">
        <w:t>participants</w:t>
      </w:r>
      <w:r>
        <w:t>)</w:t>
      </w:r>
      <w:r w:rsidR="00660B3D">
        <w:rPr>
          <w:rStyle w:val="FootnoteReference"/>
        </w:rPr>
        <w:footnoteReference w:id="55"/>
      </w:r>
      <w:bookmarkEnd w:id="73"/>
    </w:p>
    <w:bookmarkEnd w:id="72"/>
    <w:p w14:paraId="45541810" w14:textId="621371AD" w:rsidR="000E5D3D" w:rsidRDefault="000E5D3D" w:rsidP="000E5D3D">
      <w:r>
        <w:t>Some providers</w:t>
      </w:r>
      <w:r w:rsidR="000131F9">
        <w:t xml:space="preserve"> in interviews</w:t>
      </w:r>
      <w:r>
        <w:t xml:space="preserve"> indicated that The Way Back can be beneficial for </w:t>
      </w:r>
      <w:r w:rsidR="002F6D7A">
        <w:t>participants</w:t>
      </w:r>
      <w:r>
        <w:t xml:space="preserve"> with complex needs – who may ‘fall through the cracks’ due to exclusionary eligibility criteria across other services. Other providers indicated that </w:t>
      </w:r>
      <w:r w:rsidR="002F6D7A">
        <w:t>participants</w:t>
      </w:r>
      <w:r>
        <w:t xml:space="preserve"> with greater complexity may be better supported by clinical services (though noted that these services often have long waitlists or high costs to access).</w:t>
      </w:r>
    </w:p>
    <w:p w14:paraId="27EC1A5B" w14:textId="4C5788AE" w:rsidR="00113A9F" w:rsidRDefault="2822F339" w:rsidP="00F54877">
      <w:r w:rsidRPr="005201D0">
        <w:t>Twenty-one</w:t>
      </w:r>
      <w:r w:rsidR="42849F47" w:rsidRPr="005201D0">
        <w:t xml:space="preserve"> </w:t>
      </w:r>
      <w:r w:rsidR="29F621AE" w:rsidRPr="005201D0">
        <w:t xml:space="preserve">per cent </w:t>
      </w:r>
      <w:r w:rsidR="42849F47" w:rsidRPr="005201D0">
        <w:t>(</w:t>
      </w:r>
      <w:r w:rsidR="4082A3D4" w:rsidRPr="005201D0">
        <w:t>1,8</w:t>
      </w:r>
      <w:r w:rsidR="56C4C74F">
        <w:t>77</w:t>
      </w:r>
      <w:r w:rsidR="42849F47" w:rsidRPr="005201D0">
        <w:t>)</w:t>
      </w:r>
      <w:r w:rsidR="29F621AE" w:rsidRPr="005201D0">
        <w:t xml:space="preserve"> </w:t>
      </w:r>
      <w:r w:rsidR="7B3BDA28">
        <w:t xml:space="preserve">of </w:t>
      </w:r>
      <w:r w:rsidR="3AF33DCC" w:rsidRPr="005201D0">
        <w:t>participants</w:t>
      </w:r>
      <w:r w:rsidR="29F621AE" w:rsidRPr="005201D0">
        <w:t xml:space="preserve"> had no recorded</w:t>
      </w:r>
      <w:r w:rsidR="42849F47" w:rsidRPr="005201D0">
        <w:t xml:space="preserve"> diagnosed mental </w:t>
      </w:r>
      <w:r w:rsidRPr="005201D0">
        <w:t>health condition</w:t>
      </w:r>
      <w:r w:rsidR="29F621AE" w:rsidRPr="005201D0">
        <w:t>.</w:t>
      </w:r>
      <w:r w:rsidR="004B733C">
        <w:rPr>
          <w:rStyle w:val="FootnoteReference"/>
        </w:rPr>
        <w:footnoteReference w:id="56"/>
      </w:r>
      <w:r w:rsidR="29F621AE" w:rsidRPr="005201D0">
        <w:t xml:space="preserve"> </w:t>
      </w:r>
      <w:r w:rsidR="2336326F">
        <w:t>Some p</w:t>
      </w:r>
      <w:r w:rsidR="2E9AEBC4" w:rsidRPr="005201D0">
        <w:t>roviders</w:t>
      </w:r>
      <w:r w:rsidR="2336326F">
        <w:t xml:space="preserve"> in interviews</w:t>
      </w:r>
      <w:r w:rsidR="2E9AEBC4">
        <w:t xml:space="preserve"> </w:t>
      </w:r>
      <w:r w:rsidR="42849F47">
        <w:t xml:space="preserve">also </w:t>
      </w:r>
      <w:r w:rsidR="2E9AEBC4">
        <w:t xml:space="preserve">emphasised that not all </w:t>
      </w:r>
      <w:r w:rsidR="3AF33DCC">
        <w:t>participants</w:t>
      </w:r>
      <w:r w:rsidR="2E9AEBC4">
        <w:t xml:space="preserve"> who experience</w:t>
      </w:r>
      <w:r w:rsidR="5CFA3581">
        <w:t>d</w:t>
      </w:r>
      <w:r w:rsidR="2E9AEBC4">
        <w:t xml:space="preserve"> a suicidal crisis </w:t>
      </w:r>
      <w:r w:rsidR="34B3C16A">
        <w:t>or attempt</w:t>
      </w:r>
      <w:r w:rsidR="2E9AEBC4">
        <w:t xml:space="preserve"> </w:t>
      </w:r>
      <w:r w:rsidR="23615371">
        <w:t>had</w:t>
      </w:r>
      <w:r w:rsidR="2E9AEBC4">
        <w:t xml:space="preserve"> a diagnosed mental illness. </w:t>
      </w:r>
      <w:r w:rsidR="31A11049">
        <w:t>The evaluation found t</w:t>
      </w:r>
      <w:r w:rsidR="55ADB5D2">
        <w:t xml:space="preserve">hese </w:t>
      </w:r>
      <w:r w:rsidR="3AF33DCC">
        <w:t>participants</w:t>
      </w:r>
      <w:r w:rsidR="55ADB5D2">
        <w:t xml:space="preserve"> were more likely to be experiencing situational</w:t>
      </w:r>
      <w:r w:rsidR="002BBDD2">
        <w:t>/psychosocial</w:t>
      </w:r>
      <w:r w:rsidR="55ADB5D2">
        <w:t xml:space="preserve"> crisis</w:t>
      </w:r>
      <w:r w:rsidR="2D7ADFA7">
        <w:t xml:space="preserve"> and/or distress</w:t>
      </w:r>
      <w:r w:rsidR="55B27786">
        <w:t xml:space="preserve"> due to </w:t>
      </w:r>
      <w:r w:rsidR="55ADB5D2">
        <w:t>unemploy</w:t>
      </w:r>
      <w:r w:rsidR="55B27786">
        <w:t>ment</w:t>
      </w:r>
      <w:r w:rsidR="35448D7A">
        <w:t xml:space="preserve">, </w:t>
      </w:r>
      <w:r w:rsidR="55ADB5D2">
        <w:t>homelessness</w:t>
      </w:r>
      <w:r w:rsidR="35448D7A">
        <w:t xml:space="preserve">, workplace injury (physical or psychological) and/or relationship breakdowns </w:t>
      </w:r>
      <w:r w:rsidR="2D7ADFA7">
        <w:t>than</w:t>
      </w:r>
      <w:r w:rsidR="55ADB5D2">
        <w:t xml:space="preserve"> the general Australian population at the time of first engaging with The Way Back.</w:t>
      </w:r>
      <w:r w:rsidR="5719FE67">
        <w:t xml:space="preserve"> </w:t>
      </w:r>
      <w:r w:rsidR="3297940C">
        <w:t>Research on the top r</w:t>
      </w:r>
      <w:r w:rsidR="639268EB">
        <w:t xml:space="preserve">isk factors </w:t>
      </w:r>
      <w:r w:rsidR="3297940C">
        <w:t xml:space="preserve">for suicide in Australia also </w:t>
      </w:r>
      <w:r w:rsidR="639268EB">
        <w:t xml:space="preserve">highlight </w:t>
      </w:r>
      <w:r w:rsidR="28C2126E">
        <w:t xml:space="preserve">the impact of situational crises on suicidality. </w:t>
      </w:r>
      <w:r w:rsidR="1D156F5F">
        <w:t xml:space="preserve">Spousal relationship problems, legal problems, relationship </w:t>
      </w:r>
      <w:r w:rsidR="42C09626">
        <w:t>problems with friends and family, and employment problems were common risk factors</w:t>
      </w:r>
      <w:r w:rsidR="15F2CD30">
        <w:t xml:space="preserve"> for suicide.</w:t>
      </w:r>
      <w:r w:rsidR="00586354">
        <w:rPr>
          <w:rStyle w:val="FootnoteReference"/>
        </w:rPr>
        <w:footnoteReference w:id="57"/>
      </w:r>
      <w:r w:rsidR="032B786D">
        <w:t xml:space="preserve"> </w:t>
      </w:r>
      <w:r w:rsidR="7566E362">
        <w:t xml:space="preserve">Providers and </w:t>
      </w:r>
      <w:r w:rsidR="3AF33DCC">
        <w:t>participants</w:t>
      </w:r>
      <w:r w:rsidR="41966763">
        <w:t xml:space="preserve"> also indicated that many </w:t>
      </w:r>
      <w:r w:rsidR="3AF33DCC">
        <w:t>participants</w:t>
      </w:r>
      <w:r w:rsidR="41966763">
        <w:t xml:space="preserve"> were likely to have experienced trauma</w:t>
      </w:r>
      <w:r w:rsidR="7E34A599">
        <w:t xml:space="preserve"> including but not limited to </w:t>
      </w:r>
      <w:r w:rsidR="3AC68F23">
        <w:t xml:space="preserve">sexual abuse, </w:t>
      </w:r>
      <w:r w:rsidR="7E34A599">
        <w:t xml:space="preserve">domestic and family violence (DFV), </w:t>
      </w:r>
      <w:r w:rsidR="2D7ADFA7">
        <w:t>loss</w:t>
      </w:r>
      <w:r w:rsidR="7E34A599">
        <w:t xml:space="preserve"> of a loved one and t</w:t>
      </w:r>
      <w:r w:rsidR="41966763">
        <w:t xml:space="preserve">rauma resulting from the </w:t>
      </w:r>
      <w:r w:rsidR="2D7ADFA7">
        <w:t xml:space="preserve">suicide </w:t>
      </w:r>
      <w:r w:rsidR="41966763">
        <w:t>attempt or crisis itself.</w:t>
      </w:r>
    </w:p>
    <w:p w14:paraId="30986163" w14:textId="2086F07D" w:rsidR="00703388" w:rsidRPr="00242BCF" w:rsidRDefault="00F85660" w:rsidP="00623868">
      <w:pPr>
        <w:pStyle w:val="Heading3"/>
      </w:pPr>
      <w:r>
        <w:t>The Way Back appeared to be meeting the needs of Aboriginal and Torres Strait Islander people, though t</w:t>
      </w:r>
      <w:r w:rsidR="13CFFE3F">
        <w:t>here was limited publicly available data</w:t>
      </w:r>
      <w:r w:rsidR="00C378F5">
        <w:t xml:space="preserve"> for some </w:t>
      </w:r>
      <w:r>
        <w:t xml:space="preserve">other </w:t>
      </w:r>
      <w:r w:rsidR="00C378F5">
        <w:t>priority cohorts</w:t>
      </w:r>
      <w:r w:rsidR="13CFFE3F">
        <w:t xml:space="preserve"> to</w:t>
      </w:r>
      <w:r w:rsidR="4A29A7D1">
        <w:t xml:space="preserve"> establish </w:t>
      </w:r>
      <w:r w:rsidR="642A8B86">
        <w:t xml:space="preserve">whether The Way Back </w:t>
      </w:r>
      <w:r w:rsidR="13CFFE3F">
        <w:t>was</w:t>
      </w:r>
      <w:r w:rsidR="4A29A7D1">
        <w:t xml:space="preserve"> adequately </w:t>
      </w:r>
      <w:r w:rsidR="6F250CF2">
        <w:t>meeting the</w:t>
      </w:r>
      <w:r w:rsidR="00C378F5">
        <w:t>ir</w:t>
      </w:r>
      <w:r w:rsidR="6F250CF2">
        <w:t xml:space="preserve"> needs</w:t>
      </w:r>
      <w:r w:rsidR="73CAA604">
        <w:t>.</w:t>
      </w:r>
    </w:p>
    <w:p w14:paraId="7DDC926C" w14:textId="29E28026" w:rsidR="00740CDD" w:rsidRDefault="00740CDD" w:rsidP="00740CDD">
      <w:r>
        <w:t xml:space="preserve">The </w:t>
      </w:r>
      <w:r w:rsidR="0085413E">
        <w:t xml:space="preserve">PMHC MDS data </w:t>
      </w:r>
      <w:r w:rsidR="00D95FFA">
        <w:t>indicat</w:t>
      </w:r>
      <w:r w:rsidR="0085413E">
        <w:t xml:space="preserve">ed that 9 per cent of The Way Back participants identified as being </w:t>
      </w:r>
      <w:r w:rsidR="00D95FFA">
        <w:t xml:space="preserve">Aboriginal and/or Torres Strait Islander, </w:t>
      </w:r>
      <w:r w:rsidR="00436562">
        <w:t xml:space="preserve">relative to them representing approximately </w:t>
      </w:r>
      <w:r w:rsidR="00F81C0E">
        <w:t xml:space="preserve">four per cent </w:t>
      </w:r>
      <w:r w:rsidR="0085413E">
        <w:t xml:space="preserve"> </w:t>
      </w:r>
      <w:r>
        <w:t>of the Australian population</w:t>
      </w:r>
      <w:r w:rsidR="00531E0C">
        <w:t>.</w:t>
      </w:r>
      <w:r>
        <w:rPr>
          <w:rStyle w:val="FootnoteReference"/>
        </w:rPr>
        <w:footnoteReference w:id="58"/>
      </w:r>
      <w:r>
        <w:t xml:space="preserve"> This </w:t>
      </w:r>
      <w:r w:rsidR="000B40F1">
        <w:t>higher representation in The Way Back</w:t>
      </w:r>
      <w:r w:rsidR="004C075B">
        <w:t xml:space="preserve"> is</w:t>
      </w:r>
      <w:r>
        <w:t xml:space="preserve">  </w:t>
      </w:r>
      <w:r w:rsidR="00F7369A">
        <w:t>consistent with the</w:t>
      </w:r>
      <w:r>
        <w:t xml:space="preserve"> higher </w:t>
      </w:r>
      <w:r w:rsidR="00C433CC">
        <w:t>rates</w:t>
      </w:r>
      <w:r>
        <w:t xml:space="preserve"> of </w:t>
      </w:r>
      <w:r w:rsidR="00C433CC">
        <w:t>death by</w:t>
      </w:r>
      <w:r>
        <w:t xml:space="preserve"> suicide in Aboriginal and Torres Strait Islander </w:t>
      </w:r>
      <w:r w:rsidR="00A32F60">
        <w:t>people</w:t>
      </w:r>
      <w:r>
        <w:t xml:space="preserve"> compared to the broader Australian population.</w:t>
      </w:r>
      <w:r>
        <w:rPr>
          <w:rStyle w:val="FootnoteReference"/>
        </w:rPr>
        <w:footnoteReference w:id="59"/>
      </w:r>
      <w:r>
        <w:t xml:space="preserve"> </w:t>
      </w:r>
      <w:r w:rsidRPr="001824B4">
        <w:t xml:space="preserve">The Aboriginal Advisory Group </w:t>
      </w:r>
      <w:r>
        <w:t>also suggested that the</w:t>
      </w:r>
      <w:r w:rsidRPr="001824B4">
        <w:t xml:space="preserve"> proportion of </w:t>
      </w:r>
      <w:r>
        <w:t xml:space="preserve">identified </w:t>
      </w:r>
      <w:r w:rsidRPr="001824B4">
        <w:t xml:space="preserve">Aboriginal and Torres Strait Islander people </w:t>
      </w:r>
      <w:r>
        <w:t xml:space="preserve">accessing The Way Back </w:t>
      </w:r>
      <w:r w:rsidRPr="001824B4">
        <w:t>(9 per cent) was a good indication that The Way Back was meeting the needs of this cohort.</w:t>
      </w:r>
      <w:r>
        <w:t xml:space="preserve"> </w:t>
      </w:r>
    </w:p>
    <w:p w14:paraId="2045D258" w14:textId="3A76959C" w:rsidR="00E60905" w:rsidRDefault="5718395B" w:rsidP="00F304DE">
      <w:r>
        <w:lastRenderedPageBreak/>
        <w:t xml:space="preserve">There </w:t>
      </w:r>
      <w:r w:rsidR="1D2B66DF">
        <w:t>was</w:t>
      </w:r>
      <w:r w:rsidR="676EE514">
        <w:t xml:space="preserve"> limited </w:t>
      </w:r>
      <w:r w:rsidR="2B2AC1E7">
        <w:t xml:space="preserve">publicly available </w:t>
      </w:r>
      <w:r>
        <w:t xml:space="preserve">prevalence data </w:t>
      </w:r>
      <w:r w:rsidR="3978CA5E">
        <w:t xml:space="preserve">available to the evaluation to </w:t>
      </w:r>
      <w:r>
        <w:t xml:space="preserve">establish whether </w:t>
      </w:r>
      <w:r w:rsidR="2B2AC1E7">
        <w:t>The Way Back</w:t>
      </w:r>
      <w:r w:rsidR="72F6D10B">
        <w:t xml:space="preserve"> was adequately meeting the needs of</w:t>
      </w:r>
      <w:r w:rsidR="2B2AC1E7">
        <w:t xml:space="preserve"> </w:t>
      </w:r>
      <w:r w:rsidR="18E59BB8">
        <w:t xml:space="preserve">priority cohorts </w:t>
      </w:r>
      <w:r w:rsidR="353ECA72">
        <w:t>(</w:t>
      </w:r>
      <w:proofErr w:type="gramStart"/>
      <w:r w:rsidR="353ECA72">
        <w:t>i.e.</w:t>
      </w:r>
      <w:proofErr w:type="gramEnd"/>
      <w:r w:rsidR="353ECA72">
        <w:t xml:space="preserve"> </w:t>
      </w:r>
      <w:r w:rsidR="22619B8A">
        <w:t>people who identified as LGBTIQA+)</w:t>
      </w:r>
      <w:r w:rsidR="2B2AC1E7">
        <w:t xml:space="preserve"> and </w:t>
      </w:r>
      <w:r w:rsidR="18E59BB8">
        <w:t xml:space="preserve">cohorts </w:t>
      </w:r>
      <w:r w:rsidR="2B2AC1E7">
        <w:t xml:space="preserve">of interest </w:t>
      </w:r>
      <w:r w:rsidR="22619B8A">
        <w:t xml:space="preserve">to The Way Back and evaluation </w:t>
      </w:r>
      <w:r w:rsidR="353ECA72">
        <w:t>(</w:t>
      </w:r>
      <w:r w:rsidR="20CA0938">
        <w:t>particularly</w:t>
      </w:r>
      <w:r w:rsidR="353ECA72">
        <w:t xml:space="preserve">, people from CALD backgrounds, </w:t>
      </w:r>
      <w:r w:rsidR="00F85660">
        <w:t xml:space="preserve">and </w:t>
      </w:r>
      <w:r w:rsidR="353ECA72">
        <w:t>people who were experiencing personality disorder</w:t>
      </w:r>
      <w:r w:rsidR="3978CA5E">
        <w:t>s</w:t>
      </w:r>
      <w:r w:rsidR="353ECA72">
        <w:t>)</w:t>
      </w:r>
      <w:r w:rsidR="676EE514">
        <w:t>.</w:t>
      </w:r>
      <w:r w:rsidR="07C13833">
        <w:t xml:space="preserve"> </w:t>
      </w:r>
      <w:r w:rsidR="2C861E48">
        <w:t xml:space="preserve">The analysis </w:t>
      </w:r>
      <w:r w:rsidR="0AAAB2E5">
        <w:t xml:space="preserve">undertaken in this evaluation was limited by the </w:t>
      </w:r>
      <w:r w:rsidR="0CE5FFA7">
        <w:t>extent to which</w:t>
      </w:r>
      <w:r w:rsidR="0AAAB2E5">
        <w:t xml:space="preserve"> comprehensive </w:t>
      </w:r>
      <w:r w:rsidR="76253143">
        <w:t xml:space="preserve">demographic and </w:t>
      </w:r>
      <w:r w:rsidR="51F5D8F6">
        <w:t xml:space="preserve">prevalence </w:t>
      </w:r>
      <w:r w:rsidR="74788043">
        <w:t>on suicide</w:t>
      </w:r>
      <w:r w:rsidR="7F60E0CA">
        <w:t xml:space="preserve"> rates</w:t>
      </w:r>
      <w:r w:rsidR="256F2FE8">
        <w:t xml:space="preserve">, suicidal ideation, and suicidal crises </w:t>
      </w:r>
      <w:r w:rsidR="0CE5FFA7">
        <w:t>was available</w:t>
      </w:r>
      <w:r w:rsidR="00661C48" w:rsidRPr="00661C48">
        <w:t xml:space="preserve"> </w:t>
      </w:r>
      <w:r w:rsidR="00661C48">
        <w:t xml:space="preserve">for some of the priority cohorts. </w:t>
      </w:r>
      <w:r w:rsidR="00424520" w:rsidDel="00424520">
        <w:t xml:space="preserve"> </w:t>
      </w:r>
    </w:p>
    <w:p w14:paraId="100D1EFF" w14:textId="2AB7489F" w:rsidR="0075234C" w:rsidRDefault="67776877" w:rsidP="00F304DE">
      <w:r>
        <w:t>In consultations, p</w:t>
      </w:r>
      <w:r w:rsidR="1106B0DF">
        <w:t>roviders and Beyond Blue</w:t>
      </w:r>
      <w:r w:rsidR="71832A4B">
        <w:t xml:space="preserve"> </w:t>
      </w:r>
      <w:r w:rsidR="5A65D5C5">
        <w:t xml:space="preserve">staff </w:t>
      </w:r>
      <w:r w:rsidR="61E7D181">
        <w:t xml:space="preserve">suggested </w:t>
      </w:r>
      <w:r w:rsidR="71832A4B">
        <w:t xml:space="preserve">that </w:t>
      </w:r>
      <w:r w:rsidR="5E2C541E">
        <w:t xml:space="preserve">some </w:t>
      </w:r>
      <w:r w:rsidR="39EE9788">
        <w:t xml:space="preserve">cohorts </w:t>
      </w:r>
      <w:r w:rsidR="5E2C541E">
        <w:t xml:space="preserve">of </w:t>
      </w:r>
      <w:r w:rsidR="229DDA7C">
        <w:t>interest</w:t>
      </w:r>
      <w:r w:rsidR="39EE9788">
        <w:t xml:space="preserve"> </w:t>
      </w:r>
      <w:r w:rsidR="5E2C541E">
        <w:t xml:space="preserve">were </w:t>
      </w:r>
      <w:r w:rsidR="4B28AEF7">
        <w:t xml:space="preserve">underrepresented in The Way Back </w:t>
      </w:r>
      <w:r w:rsidR="3867A704">
        <w:t xml:space="preserve">because they </w:t>
      </w:r>
      <w:r w:rsidR="6F49480F">
        <w:t>were</w:t>
      </w:r>
      <w:r w:rsidR="3867A704">
        <w:t xml:space="preserve"> more likely to face barriers to access</w:t>
      </w:r>
      <w:r w:rsidR="042FD3A7">
        <w:t>ing</w:t>
      </w:r>
      <w:r w:rsidR="3867A704">
        <w:t xml:space="preserve"> mental health services </w:t>
      </w:r>
      <w:r w:rsidR="00622D0C">
        <w:fldChar w:fldCharType="begin"/>
      </w:r>
      <w:r w:rsidR="00622D0C">
        <w:instrText xml:space="preserve"> REF _Ref105595465 \h </w:instrText>
      </w:r>
      <w:r w:rsidR="00622D0C">
        <w:fldChar w:fldCharType="separate"/>
      </w:r>
      <w:r w:rsidR="00402362">
        <w:t xml:space="preserve">Figure </w:t>
      </w:r>
      <w:r w:rsidR="00402362">
        <w:rPr>
          <w:noProof/>
        </w:rPr>
        <w:t>9</w:t>
      </w:r>
      <w:r w:rsidR="00622D0C">
        <w:fldChar w:fldCharType="end"/>
      </w:r>
      <w:r w:rsidR="60C9DCE2">
        <w:t xml:space="preserve"> </w:t>
      </w:r>
      <w:r w:rsidR="3867A704">
        <w:t xml:space="preserve">details the reasons commonly cited by </w:t>
      </w:r>
      <w:r w:rsidR="0D81CBB4">
        <w:t xml:space="preserve">Beyond Blue, </w:t>
      </w:r>
      <w:r w:rsidR="3867A704">
        <w:t xml:space="preserve">providers and referring health services as to why these cohorts may </w:t>
      </w:r>
      <w:r w:rsidR="549CDA2A">
        <w:t xml:space="preserve">face </w:t>
      </w:r>
      <w:r w:rsidR="3867A704">
        <w:t xml:space="preserve">greater barriers to accessing The Way Back. </w:t>
      </w:r>
      <w:r w:rsidR="39D52F30">
        <w:t>F</w:t>
      </w:r>
      <w:r w:rsidR="51AE8751">
        <w:t xml:space="preserve">urther </w:t>
      </w:r>
      <w:r w:rsidR="301BDC3E">
        <w:t>investigation</w:t>
      </w:r>
      <w:r w:rsidR="51AE8751">
        <w:t xml:space="preserve"> is required to understand </w:t>
      </w:r>
      <w:r w:rsidR="6610D164">
        <w:t>how well The Way Back is adequately support</w:t>
      </w:r>
      <w:r w:rsidR="1DAACCFB">
        <w:t>ing</w:t>
      </w:r>
      <w:r w:rsidR="6610D164">
        <w:t xml:space="preserve"> priority cohorts</w:t>
      </w:r>
      <w:r w:rsidR="2ECD9FFE">
        <w:t xml:space="preserve"> and barriers to access</w:t>
      </w:r>
      <w:r w:rsidR="55B1278D">
        <w:t>ing it</w:t>
      </w:r>
      <w:r w:rsidR="6610D164">
        <w:t xml:space="preserve">. </w:t>
      </w:r>
      <w:r w:rsidR="61E7D181">
        <w:t xml:space="preserve"> </w:t>
      </w:r>
    </w:p>
    <w:p w14:paraId="65315923" w14:textId="20D6F52F" w:rsidR="00FB5B20" w:rsidRDefault="64C9AABB" w:rsidP="00FB5B20">
      <w:pPr>
        <w:pStyle w:val="Caption"/>
      </w:pPr>
      <w:bookmarkStart w:id="74" w:name="_Ref105595465"/>
      <w:bookmarkStart w:id="75" w:name="_Ref106368541"/>
      <w:r>
        <w:t xml:space="preserve">Figure </w:t>
      </w:r>
      <w:r w:rsidR="00FB5B20">
        <w:fldChar w:fldCharType="begin"/>
      </w:r>
      <w:r w:rsidR="00FB5B20">
        <w:instrText xml:space="preserve"> SEQ Figure \* ARABIC </w:instrText>
      </w:r>
      <w:r w:rsidR="00FB5B20">
        <w:fldChar w:fldCharType="separate"/>
      </w:r>
      <w:r w:rsidR="00402362">
        <w:rPr>
          <w:noProof/>
        </w:rPr>
        <w:t>9</w:t>
      </w:r>
      <w:r w:rsidR="00FB5B20">
        <w:fldChar w:fldCharType="end"/>
      </w:r>
      <w:bookmarkEnd w:id="74"/>
      <w:r>
        <w:t xml:space="preserve"> | Barriers to cohorts </w:t>
      </w:r>
      <w:r w:rsidR="6BDF7E59">
        <w:t>of interest</w:t>
      </w:r>
      <w:r>
        <w:t xml:space="preserve"> </w:t>
      </w:r>
      <w:r w:rsidR="00D1753E">
        <w:t xml:space="preserve">engagement </w:t>
      </w:r>
      <w:r>
        <w:t>with The Way Back</w:t>
      </w:r>
      <w:bookmarkEnd w:id="75"/>
    </w:p>
    <w:tbl>
      <w:tblPr>
        <w:tblStyle w:val="NousTableSide"/>
        <w:tblW w:w="4997" w:type="pct"/>
        <w:tblLook w:val="04A0" w:firstRow="1" w:lastRow="0" w:firstColumn="1" w:lastColumn="0" w:noHBand="0" w:noVBand="1"/>
        <w:tblDescription w:val="Figure 9 is a table listing listing the reasons commonly cited by Beyond Blue, providers and referring health services as to why these cohorts may face greater barriers to accessing The Way Back"/>
      </w:tblPr>
      <w:tblGrid>
        <w:gridCol w:w="1689"/>
        <w:gridCol w:w="7236"/>
      </w:tblGrid>
      <w:tr w:rsidR="00966641" w:rsidRPr="005825BD" w14:paraId="791BBC4C" w14:textId="77777777" w:rsidTr="004576CE">
        <w:trPr>
          <w:gridBefore w:val="1"/>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pct"/>
          </w:tcPr>
          <w:p w14:paraId="7998B11A" w14:textId="59544C2A" w:rsidR="00EA66BD" w:rsidRPr="00090F13" w:rsidRDefault="00EA66BD" w:rsidP="001F30A0">
            <w:pPr>
              <w:pStyle w:val="TableNheader"/>
              <w:rPr>
                <w:color w:val="FFFFFF" w:themeColor="background1"/>
              </w:rPr>
            </w:pPr>
            <w:r w:rsidRPr="00090F13">
              <w:rPr>
                <w:color w:val="FFFFFF" w:themeColor="background1"/>
              </w:rPr>
              <w:t>BARRIERS</w:t>
            </w:r>
            <w:r w:rsidR="00D1753E">
              <w:rPr>
                <w:color w:val="FFFFFF" w:themeColor="background1"/>
              </w:rPr>
              <w:t xml:space="preserve"> TO COHORTS OF INTEREST</w:t>
            </w:r>
            <w:r w:rsidRPr="00090F13">
              <w:rPr>
                <w:color w:val="FFFFFF" w:themeColor="background1"/>
              </w:rPr>
              <w:t xml:space="preserve"> ENGAGE</w:t>
            </w:r>
            <w:r w:rsidR="00D1753E">
              <w:rPr>
                <w:color w:val="FFFFFF" w:themeColor="background1"/>
              </w:rPr>
              <w:t xml:space="preserve">MENT </w:t>
            </w:r>
            <w:r w:rsidRPr="00090F13">
              <w:rPr>
                <w:color w:val="FFFFFF" w:themeColor="background1"/>
              </w:rPr>
              <w:t>WITH THE WAY BACK</w:t>
            </w:r>
            <w:r w:rsidR="00D1753E">
              <w:rPr>
                <w:rStyle w:val="FootnoteReference"/>
                <w:color w:val="FFFFFF" w:themeColor="background1"/>
              </w:rPr>
              <w:footnoteReference w:id="60"/>
            </w:r>
          </w:p>
        </w:tc>
      </w:tr>
      <w:tr w:rsidR="00293CE9" w:rsidRPr="005825BD" w14:paraId="7A884EFD" w14:textId="77777777" w:rsidTr="00A452B6">
        <w:tc>
          <w:tcPr>
            <w:cnfStyle w:val="001000000000" w:firstRow="0" w:lastRow="0" w:firstColumn="1" w:lastColumn="0" w:oddVBand="0" w:evenVBand="0" w:oddHBand="0" w:evenHBand="0" w:firstRowFirstColumn="0" w:firstRowLastColumn="0" w:lastRowFirstColumn="0" w:lastRowLastColumn="0"/>
            <w:tcW w:w="946" w:type="pct"/>
          </w:tcPr>
          <w:p w14:paraId="27A18022" w14:textId="77777777" w:rsidR="00CB0C9C" w:rsidRDefault="007678DD" w:rsidP="009222D9">
            <w:pPr>
              <w:pStyle w:val="TableNText"/>
              <w:spacing w:before="0" w:after="0" w:line="240" w:lineRule="auto"/>
              <w:jc w:val="center"/>
              <w:rPr>
                <w:color w:val="FFFFFF" w:themeColor="background1"/>
                <w:sz w:val="16"/>
                <w:szCs w:val="16"/>
              </w:rPr>
            </w:pPr>
            <w:r w:rsidRPr="005825BD">
              <w:rPr>
                <w:noProof/>
                <w:color w:val="FFFFFF" w:themeColor="background1"/>
                <w:sz w:val="16"/>
                <w:szCs w:val="16"/>
              </w:rPr>
              <mc:AlternateContent>
                <mc:Choice Requires="wpg">
                  <w:drawing>
                    <wp:inline distT="0" distB="0" distL="0" distR="0" wp14:anchorId="00239E38" wp14:editId="62FB0417">
                      <wp:extent cx="344787" cy="514768"/>
                      <wp:effectExtent l="0" t="0" r="0" b="0"/>
                      <wp:docPr id="36"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44787" cy="514768"/>
                                <a:chOff x="0" y="0"/>
                                <a:chExt cx="310310" cy="463295"/>
                              </a:xfrm>
                              <a:solidFill>
                                <a:schemeClr val="accent6"/>
                              </a:solidFill>
                            </wpg:grpSpPr>
                            <wps:wsp>
                              <wps:cNvPr id="37" name="Freeform 6"/>
                              <wps:cNvSpPr>
                                <a:spLocks noChangeAspect="1" noEditPoints="1"/>
                              </wps:cNvSpPr>
                              <wps:spPr bwMode="auto">
                                <a:xfrm>
                                  <a:off x="1981" y="0"/>
                                  <a:ext cx="308329" cy="216687"/>
                                </a:xfrm>
                                <a:custGeom>
                                  <a:avLst/>
                                  <a:gdLst>
                                    <a:gd name="T0" fmla="*/ 175 w 176"/>
                                    <a:gd name="T1" fmla="*/ 62 h 123"/>
                                    <a:gd name="T2" fmla="*/ 176 w 176"/>
                                    <a:gd name="T3" fmla="*/ 61 h 123"/>
                                    <a:gd name="T4" fmla="*/ 175 w 176"/>
                                    <a:gd name="T5" fmla="*/ 60 h 123"/>
                                    <a:gd name="T6" fmla="*/ 176 w 176"/>
                                    <a:gd name="T7" fmla="*/ 6 h 123"/>
                                    <a:gd name="T8" fmla="*/ 170 w 176"/>
                                    <a:gd name="T9" fmla="*/ 0 h 123"/>
                                    <a:gd name="T10" fmla="*/ 5 w 176"/>
                                    <a:gd name="T11" fmla="*/ 0 h 123"/>
                                    <a:gd name="T12" fmla="*/ 0 w 176"/>
                                    <a:gd name="T13" fmla="*/ 6 h 123"/>
                                    <a:gd name="T14" fmla="*/ 0 w 176"/>
                                    <a:gd name="T15" fmla="*/ 67 h 123"/>
                                    <a:gd name="T16" fmla="*/ 0 w 176"/>
                                    <a:gd name="T17" fmla="*/ 68 h 123"/>
                                    <a:gd name="T18" fmla="*/ 0 w 176"/>
                                    <a:gd name="T19" fmla="*/ 117 h 123"/>
                                    <a:gd name="T20" fmla="*/ 5 w 176"/>
                                    <a:gd name="T21" fmla="*/ 123 h 123"/>
                                    <a:gd name="T22" fmla="*/ 170 w 176"/>
                                    <a:gd name="T23" fmla="*/ 123 h 123"/>
                                    <a:gd name="T24" fmla="*/ 176 w 176"/>
                                    <a:gd name="T25" fmla="*/ 117 h 123"/>
                                    <a:gd name="T26" fmla="*/ 176 w 176"/>
                                    <a:gd name="T27" fmla="*/ 68 h 123"/>
                                    <a:gd name="T28" fmla="*/ 175 w 176"/>
                                    <a:gd name="T29" fmla="*/ 67 h 123"/>
                                    <a:gd name="T30" fmla="*/ 175 w 176"/>
                                    <a:gd name="T31" fmla="*/ 62 h 123"/>
                                    <a:gd name="T32" fmla="*/ 170 w 176"/>
                                    <a:gd name="T33" fmla="*/ 6 h 123"/>
                                    <a:gd name="T34" fmla="*/ 169 w 176"/>
                                    <a:gd name="T35" fmla="*/ 58 h 123"/>
                                    <a:gd name="T36" fmla="*/ 120 w 176"/>
                                    <a:gd name="T37" fmla="*/ 58 h 123"/>
                                    <a:gd name="T38" fmla="*/ 88 w 176"/>
                                    <a:gd name="T39" fmla="*/ 29 h 123"/>
                                    <a:gd name="T40" fmla="*/ 55 w 176"/>
                                    <a:gd name="T41" fmla="*/ 58 h 123"/>
                                    <a:gd name="T42" fmla="*/ 6 w 176"/>
                                    <a:gd name="T43" fmla="*/ 58 h 123"/>
                                    <a:gd name="T44" fmla="*/ 6 w 176"/>
                                    <a:gd name="T45" fmla="*/ 6 h 123"/>
                                    <a:gd name="T46" fmla="*/ 170 w 176"/>
                                    <a:gd name="T47" fmla="*/ 6 h 123"/>
                                    <a:gd name="T48" fmla="*/ 114 w 176"/>
                                    <a:gd name="T49" fmla="*/ 61 h 123"/>
                                    <a:gd name="T50" fmla="*/ 88 w 176"/>
                                    <a:gd name="T51" fmla="*/ 88 h 123"/>
                                    <a:gd name="T52" fmla="*/ 61 w 176"/>
                                    <a:gd name="T53" fmla="*/ 61 h 123"/>
                                    <a:gd name="T54" fmla="*/ 88 w 176"/>
                                    <a:gd name="T55" fmla="*/ 35 h 123"/>
                                    <a:gd name="T56" fmla="*/ 114 w 176"/>
                                    <a:gd name="T57" fmla="*/ 61 h 123"/>
                                    <a:gd name="T58" fmla="*/ 170 w 176"/>
                                    <a:gd name="T59" fmla="*/ 117 h 123"/>
                                    <a:gd name="T60" fmla="*/ 6 w 176"/>
                                    <a:gd name="T61" fmla="*/ 117 h 123"/>
                                    <a:gd name="T62" fmla="*/ 6 w 176"/>
                                    <a:gd name="T63" fmla="*/ 68 h 123"/>
                                    <a:gd name="T64" fmla="*/ 6 w 176"/>
                                    <a:gd name="T65" fmla="*/ 68 h 123"/>
                                    <a:gd name="T66" fmla="*/ 6 w 176"/>
                                    <a:gd name="T67" fmla="*/ 68 h 123"/>
                                    <a:gd name="T68" fmla="*/ 6 w 176"/>
                                    <a:gd name="T69" fmla="*/ 64 h 123"/>
                                    <a:gd name="T70" fmla="*/ 55 w 176"/>
                                    <a:gd name="T71" fmla="*/ 64 h 123"/>
                                    <a:gd name="T72" fmla="*/ 88 w 176"/>
                                    <a:gd name="T73" fmla="*/ 94 h 123"/>
                                    <a:gd name="T74" fmla="*/ 120 w 176"/>
                                    <a:gd name="T75" fmla="*/ 64 h 123"/>
                                    <a:gd name="T76" fmla="*/ 169 w 176"/>
                                    <a:gd name="T77" fmla="*/ 64 h 123"/>
                                    <a:gd name="T78" fmla="*/ 169 w 176"/>
                                    <a:gd name="T79" fmla="*/ 68 h 123"/>
                                    <a:gd name="T80" fmla="*/ 170 w 176"/>
                                    <a:gd name="T81" fmla="*/ 68 h 123"/>
                                    <a:gd name="T82" fmla="*/ 170 w 176"/>
                                    <a:gd name="T83" fmla="*/ 117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76" h="123">
                                      <a:moveTo>
                                        <a:pt x="175" y="62"/>
                                      </a:moveTo>
                                      <a:cubicBezTo>
                                        <a:pt x="176" y="62"/>
                                        <a:pt x="176" y="62"/>
                                        <a:pt x="176" y="61"/>
                                      </a:cubicBezTo>
                                      <a:cubicBezTo>
                                        <a:pt x="176" y="61"/>
                                        <a:pt x="176" y="61"/>
                                        <a:pt x="175" y="60"/>
                                      </a:cubicBezTo>
                                      <a:cubicBezTo>
                                        <a:pt x="176" y="6"/>
                                        <a:pt x="176" y="6"/>
                                        <a:pt x="176" y="6"/>
                                      </a:cubicBezTo>
                                      <a:cubicBezTo>
                                        <a:pt x="176" y="3"/>
                                        <a:pt x="173" y="0"/>
                                        <a:pt x="170" y="0"/>
                                      </a:cubicBezTo>
                                      <a:cubicBezTo>
                                        <a:pt x="5" y="0"/>
                                        <a:pt x="5" y="0"/>
                                        <a:pt x="5" y="0"/>
                                      </a:cubicBezTo>
                                      <a:cubicBezTo>
                                        <a:pt x="2" y="0"/>
                                        <a:pt x="0" y="3"/>
                                        <a:pt x="0" y="6"/>
                                      </a:cubicBezTo>
                                      <a:cubicBezTo>
                                        <a:pt x="0" y="67"/>
                                        <a:pt x="0" y="67"/>
                                        <a:pt x="0" y="67"/>
                                      </a:cubicBezTo>
                                      <a:cubicBezTo>
                                        <a:pt x="0" y="68"/>
                                        <a:pt x="0" y="68"/>
                                        <a:pt x="0" y="68"/>
                                      </a:cubicBezTo>
                                      <a:cubicBezTo>
                                        <a:pt x="0" y="117"/>
                                        <a:pt x="0" y="117"/>
                                        <a:pt x="0" y="117"/>
                                      </a:cubicBezTo>
                                      <a:cubicBezTo>
                                        <a:pt x="0" y="120"/>
                                        <a:pt x="2" y="123"/>
                                        <a:pt x="5" y="123"/>
                                      </a:cubicBezTo>
                                      <a:cubicBezTo>
                                        <a:pt x="170" y="123"/>
                                        <a:pt x="170" y="123"/>
                                        <a:pt x="170" y="123"/>
                                      </a:cubicBezTo>
                                      <a:cubicBezTo>
                                        <a:pt x="173" y="123"/>
                                        <a:pt x="176" y="120"/>
                                        <a:pt x="176" y="117"/>
                                      </a:cubicBezTo>
                                      <a:cubicBezTo>
                                        <a:pt x="176" y="68"/>
                                        <a:pt x="176" y="68"/>
                                        <a:pt x="176" y="68"/>
                                      </a:cubicBezTo>
                                      <a:cubicBezTo>
                                        <a:pt x="176" y="68"/>
                                        <a:pt x="175" y="68"/>
                                        <a:pt x="175" y="67"/>
                                      </a:cubicBezTo>
                                      <a:lnTo>
                                        <a:pt x="175" y="62"/>
                                      </a:lnTo>
                                      <a:close/>
                                      <a:moveTo>
                                        <a:pt x="170" y="6"/>
                                      </a:moveTo>
                                      <a:cubicBezTo>
                                        <a:pt x="169" y="58"/>
                                        <a:pt x="169" y="58"/>
                                        <a:pt x="169" y="58"/>
                                      </a:cubicBezTo>
                                      <a:cubicBezTo>
                                        <a:pt x="120" y="58"/>
                                        <a:pt x="120" y="58"/>
                                        <a:pt x="120" y="58"/>
                                      </a:cubicBezTo>
                                      <a:cubicBezTo>
                                        <a:pt x="118" y="42"/>
                                        <a:pt x="104" y="29"/>
                                        <a:pt x="88" y="29"/>
                                      </a:cubicBezTo>
                                      <a:cubicBezTo>
                                        <a:pt x="71" y="29"/>
                                        <a:pt x="57" y="42"/>
                                        <a:pt x="55" y="58"/>
                                      </a:cubicBezTo>
                                      <a:cubicBezTo>
                                        <a:pt x="6" y="58"/>
                                        <a:pt x="6" y="58"/>
                                        <a:pt x="6" y="58"/>
                                      </a:cubicBezTo>
                                      <a:cubicBezTo>
                                        <a:pt x="6" y="6"/>
                                        <a:pt x="6" y="6"/>
                                        <a:pt x="6" y="6"/>
                                      </a:cubicBezTo>
                                      <a:lnTo>
                                        <a:pt x="170" y="6"/>
                                      </a:lnTo>
                                      <a:close/>
                                      <a:moveTo>
                                        <a:pt x="114" y="61"/>
                                      </a:moveTo>
                                      <a:cubicBezTo>
                                        <a:pt x="114" y="76"/>
                                        <a:pt x="102" y="88"/>
                                        <a:pt x="88" y="88"/>
                                      </a:cubicBezTo>
                                      <a:cubicBezTo>
                                        <a:pt x="73" y="88"/>
                                        <a:pt x="61" y="76"/>
                                        <a:pt x="61" y="61"/>
                                      </a:cubicBezTo>
                                      <a:cubicBezTo>
                                        <a:pt x="61" y="47"/>
                                        <a:pt x="73" y="35"/>
                                        <a:pt x="88" y="35"/>
                                      </a:cubicBezTo>
                                      <a:cubicBezTo>
                                        <a:pt x="102" y="35"/>
                                        <a:pt x="114" y="47"/>
                                        <a:pt x="114" y="61"/>
                                      </a:cubicBezTo>
                                      <a:close/>
                                      <a:moveTo>
                                        <a:pt x="170" y="117"/>
                                      </a:moveTo>
                                      <a:cubicBezTo>
                                        <a:pt x="6" y="117"/>
                                        <a:pt x="6" y="117"/>
                                        <a:pt x="6" y="117"/>
                                      </a:cubicBezTo>
                                      <a:cubicBezTo>
                                        <a:pt x="6" y="68"/>
                                        <a:pt x="6" y="68"/>
                                        <a:pt x="6" y="68"/>
                                      </a:cubicBezTo>
                                      <a:cubicBezTo>
                                        <a:pt x="6" y="68"/>
                                        <a:pt x="6" y="68"/>
                                        <a:pt x="6" y="68"/>
                                      </a:cubicBezTo>
                                      <a:cubicBezTo>
                                        <a:pt x="6" y="68"/>
                                        <a:pt x="6" y="68"/>
                                        <a:pt x="6" y="68"/>
                                      </a:cubicBezTo>
                                      <a:cubicBezTo>
                                        <a:pt x="6" y="64"/>
                                        <a:pt x="6" y="64"/>
                                        <a:pt x="6" y="64"/>
                                      </a:cubicBezTo>
                                      <a:cubicBezTo>
                                        <a:pt x="55" y="64"/>
                                        <a:pt x="55" y="64"/>
                                        <a:pt x="55" y="64"/>
                                      </a:cubicBezTo>
                                      <a:cubicBezTo>
                                        <a:pt x="57" y="81"/>
                                        <a:pt x="71" y="94"/>
                                        <a:pt x="88" y="94"/>
                                      </a:cubicBezTo>
                                      <a:cubicBezTo>
                                        <a:pt x="104" y="94"/>
                                        <a:pt x="118" y="81"/>
                                        <a:pt x="120" y="64"/>
                                      </a:cubicBezTo>
                                      <a:cubicBezTo>
                                        <a:pt x="169" y="64"/>
                                        <a:pt x="169" y="64"/>
                                        <a:pt x="169" y="64"/>
                                      </a:cubicBezTo>
                                      <a:cubicBezTo>
                                        <a:pt x="169" y="68"/>
                                        <a:pt x="169" y="68"/>
                                        <a:pt x="169" y="68"/>
                                      </a:cubicBezTo>
                                      <a:cubicBezTo>
                                        <a:pt x="169" y="68"/>
                                        <a:pt x="169" y="68"/>
                                        <a:pt x="170" y="68"/>
                                      </a:cubicBezTo>
                                      <a:lnTo>
                                        <a:pt x="170" y="117"/>
                                      </a:lnTo>
                                      <a:close/>
                                    </a:path>
                                  </a:pathLst>
                                </a:custGeom>
                                <a:grpFill/>
                                <a:ln>
                                  <a:noFill/>
                                </a:ln>
                              </wps:spPr>
                              <wps:bodyPr vert="horz" wrap="square" lIns="91440" tIns="45720" rIns="91440" bIns="45720" numCol="1" anchor="t" anchorCtr="0" compatLnSpc="1">
                                <a:prstTxWarp prst="textNoShape">
                                  <a:avLst/>
                                </a:prstTxWarp>
                              </wps:bodyPr>
                            </wps:wsp>
                            <wpg:grpSp>
                              <wpg:cNvPr id="40" name="Group 40"/>
                              <wpg:cNvGrpSpPr>
                                <a:grpSpLocks noChangeAspect="1"/>
                              </wpg:cNvGrpSpPr>
                              <wpg:grpSpPr>
                                <a:xfrm>
                                  <a:off x="0" y="246740"/>
                                  <a:ext cx="308329" cy="216555"/>
                                  <a:chOff x="0" y="246740"/>
                                  <a:chExt cx="608013" cy="427038"/>
                                </a:xfrm>
                                <a:grpFill/>
                              </wpg:grpSpPr>
                              <wps:wsp>
                                <wps:cNvPr id="41" name="Freeform 5"/>
                                <wps:cNvSpPr>
                                  <a:spLocks noEditPoints="1"/>
                                </wps:cNvSpPr>
                                <wps:spPr bwMode="auto">
                                  <a:xfrm>
                                    <a:off x="0" y="246740"/>
                                    <a:ext cx="608013" cy="427038"/>
                                  </a:xfrm>
                                  <a:custGeom>
                                    <a:avLst/>
                                    <a:gdLst>
                                      <a:gd name="T0" fmla="*/ 176 w 176"/>
                                      <a:gd name="T1" fmla="*/ 63 h 123"/>
                                      <a:gd name="T2" fmla="*/ 176 w 176"/>
                                      <a:gd name="T3" fmla="*/ 62 h 123"/>
                                      <a:gd name="T4" fmla="*/ 176 w 176"/>
                                      <a:gd name="T5" fmla="*/ 61 h 123"/>
                                      <a:gd name="T6" fmla="*/ 176 w 176"/>
                                      <a:gd name="T7" fmla="*/ 6 h 123"/>
                                      <a:gd name="T8" fmla="*/ 170 w 176"/>
                                      <a:gd name="T9" fmla="*/ 0 h 123"/>
                                      <a:gd name="T10" fmla="*/ 5 w 176"/>
                                      <a:gd name="T11" fmla="*/ 0 h 123"/>
                                      <a:gd name="T12" fmla="*/ 0 w 176"/>
                                      <a:gd name="T13" fmla="*/ 6 h 123"/>
                                      <a:gd name="T14" fmla="*/ 0 w 176"/>
                                      <a:gd name="T15" fmla="*/ 68 h 123"/>
                                      <a:gd name="T16" fmla="*/ 0 w 176"/>
                                      <a:gd name="T17" fmla="*/ 68 h 123"/>
                                      <a:gd name="T18" fmla="*/ 0 w 176"/>
                                      <a:gd name="T19" fmla="*/ 117 h 123"/>
                                      <a:gd name="T20" fmla="*/ 5 w 176"/>
                                      <a:gd name="T21" fmla="*/ 123 h 123"/>
                                      <a:gd name="T22" fmla="*/ 170 w 176"/>
                                      <a:gd name="T23" fmla="*/ 123 h 123"/>
                                      <a:gd name="T24" fmla="*/ 176 w 176"/>
                                      <a:gd name="T25" fmla="*/ 117 h 123"/>
                                      <a:gd name="T26" fmla="*/ 176 w 176"/>
                                      <a:gd name="T27" fmla="*/ 68 h 123"/>
                                      <a:gd name="T28" fmla="*/ 176 w 176"/>
                                      <a:gd name="T29" fmla="*/ 68 h 123"/>
                                      <a:gd name="T30" fmla="*/ 176 w 176"/>
                                      <a:gd name="T31" fmla="*/ 63 h 123"/>
                                      <a:gd name="T32" fmla="*/ 6 w 176"/>
                                      <a:gd name="T33" fmla="*/ 68 h 123"/>
                                      <a:gd name="T34" fmla="*/ 6 w 176"/>
                                      <a:gd name="T35" fmla="*/ 68 h 123"/>
                                      <a:gd name="T36" fmla="*/ 6 w 176"/>
                                      <a:gd name="T37" fmla="*/ 68 h 123"/>
                                      <a:gd name="T38" fmla="*/ 6 w 176"/>
                                      <a:gd name="T39" fmla="*/ 65 h 123"/>
                                      <a:gd name="T40" fmla="*/ 6 w 176"/>
                                      <a:gd name="T41" fmla="*/ 59 h 123"/>
                                      <a:gd name="T42" fmla="*/ 6 w 176"/>
                                      <a:gd name="T43" fmla="*/ 28 h 123"/>
                                      <a:gd name="T44" fmla="*/ 170 w 176"/>
                                      <a:gd name="T45" fmla="*/ 28 h 123"/>
                                      <a:gd name="T46" fmla="*/ 170 w 176"/>
                                      <a:gd name="T47" fmla="*/ 59 h 123"/>
                                      <a:gd name="T48" fmla="*/ 170 w 176"/>
                                      <a:gd name="T49" fmla="*/ 65 h 123"/>
                                      <a:gd name="T50" fmla="*/ 170 w 176"/>
                                      <a:gd name="T51" fmla="*/ 66 h 123"/>
                                      <a:gd name="T52" fmla="*/ 170 w 176"/>
                                      <a:gd name="T53" fmla="*/ 68 h 123"/>
                                      <a:gd name="T54" fmla="*/ 170 w 176"/>
                                      <a:gd name="T55" fmla="*/ 68 h 123"/>
                                      <a:gd name="T56" fmla="*/ 170 w 176"/>
                                      <a:gd name="T57" fmla="*/ 94 h 123"/>
                                      <a:gd name="T58" fmla="*/ 6 w 176"/>
                                      <a:gd name="T59" fmla="*/ 94 h 123"/>
                                      <a:gd name="T60" fmla="*/ 6 w 176"/>
                                      <a:gd name="T61" fmla="*/ 68 h 123"/>
                                      <a:gd name="T62" fmla="*/ 170 w 176"/>
                                      <a:gd name="T63" fmla="*/ 6 h 123"/>
                                      <a:gd name="T64" fmla="*/ 170 w 176"/>
                                      <a:gd name="T65" fmla="*/ 22 h 123"/>
                                      <a:gd name="T66" fmla="*/ 6 w 176"/>
                                      <a:gd name="T67" fmla="*/ 22 h 123"/>
                                      <a:gd name="T68" fmla="*/ 6 w 176"/>
                                      <a:gd name="T69" fmla="*/ 6 h 123"/>
                                      <a:gd name="T70" fmla="*/ 170 w 176"/>
                                      <a:gd name="T71" fmla="*/ 6 h 123"/>
                                      <a:gd name="T72" fmla="*/ 6 w 176"/>
                                      <a:gd name="T73" fmla="*/ 117 h 123"/>
                                      <a:gd name="T74" fmla="*/ 6 w 176"/>
                                      <a:gd name="T75" fmla="*/ 100 h 123"/>
                                      <a:gd name="T76" fmla="*/ 170 w 176"/>
                                      <a:gd name="T77" fmla="*/ 100 h 123"/>
                                      <a:gd name="T78" fmla="*/ 170 w 176"/>
                                      <a:gd name="T79" fmla="*/ 117 h 123"/>
                                      <a:gd name="T80" fmla="*/ 6 w 176"/>
                                      <a:gd name="T81" fmla="*/ 117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6" h="123">
                                        <a:moveTo>
                                          <a:pt x="176" y="63"/>
                                        </a:moveTo>
                                        <a:cubicBezTo>
                                          <a:pt x="176" y="62"/>
                                          <a:pt x="176" y="62"/>
                                          <a:pt x="176" y="62"/>
                                        </a:cubicBezTo>
                                        <a:cubicBezTo>
                                          <a:pt x="176" y="61"/>
                                          <a:pt x="176" y="61"/>
                                          <a:pt x="176" y="61"/>
                                        </a:cubicBezTo>
                                        <a:cubicBezTo>
                                          <a:pt x="176" y="6"/>
                                          <a:pt x="176" y="6"/>
                                          <a:pt x="176" y="6"/>
                                        </a:cubicBezTo>
                                        <a:cubicBezTo>
                                          <a:pt x="176" y="3"/>
                                          <a:pt x="173" y="0"/>
                                          <a:pt x="170" y="0"/>
                                        </a:cubicBezTo>
                                        <a:cubicBezTo>
                                          <a:pt x="5" y="0"/>
                                          <a:pt x="5" y="0"/>
                                          <a:pt x="5" y="0"/>
                                        </a:cubicBezTo>
                                        <a:cubicBezTo>
                                          <a:pt x="2" y="0"/>
                                          <a:pt x="0" y="3"/>
                                          <a:pt x="0" y="6"/>
                                        </a:cubicBezTo>
                                        <a:cubicBezTo>
                                          <a:pt x="0" y="68"/>
                                          <a:pt x="0" y="68"/>
                                          <a:pt x="0" y="68"/>
                                        </a:cubicBezTo>
                                        <a:cubicBezTo>
                                          <a:pt x="0" y="68"/>
                                          <a:pt x="0" y="68"/>
                                          <a:pt x="0" y="68"/>
                                        </a:cubicBezTo>
                                        <a:cubicBezTo>
                                          <a:pt x="0" y="117"/>
                                          <a:pt x="0" y="117"/>
                                          <a:pt x="0" y="117"/>
                                        </a:cubicBezTo>
                                        <a:cubicBezTo>
                                          <a:pt x="0" y="120"/>
                                          <a:pt x="2" y="123"/>
                                          <a:pt x="5" y="123"/>
                                        </a:cubicBezTo>
                                        <a:cubicBezTo>
                                          <a:pt x="170" y="123"/>
                                          <a:pt x="170" y="123"/>
                                          <a:pt x="170" y="123"/>
                                        </a:cubicBezTo>
                                        <a:cubicBezTo>
                                          <a:pt x="173" y="123"/>
                                          <a:pt x="176" y="120"/>
                                          <a:pt x="176" y="117"/>
                                        </a:cubicBezTo>
                                        <a:cubicBezTo>
                                          <a:pt x="176" y="68"/>
                                          <a:pt x="176" y="68"/>
                                          <a:pt x="176" y="68"/>
                                        </a:cubicBezTo>
                                        <a:cubicBezTo>
                                          <a:pt x="176" y="68"/>
                                          <a:pt x="176" y="68"/>
                                          <a:pt x="176" y="68"/>
                                        </a:cubicBezTo>
                                        <a:lnTo>
                                          <a:pt x="176" y="63"/>
                                        </a:lnTo>
                                        <a:close/>
                                        <a:moveTo>
                                          <a:pt x="6" y="68"/>
                                        </a:moveTo>
                                        <a:cubicBezTo>
                                          <a:pt x="6" y="68"/>
                                          <a:pt x="6" y="68"/>
                                          <a:pt x="6" y="68"/>
                                        </a:cubicBezTo>
                                        <a:cubicBezTo>
                                          <a:pt x="6" y="68"/>
                                          <a:pt x="6" y="68"/>
                                          <a:pt x="6" y="68"/>
                                        </a:cubicBezTo>
                                        <a:cubicBezTo>
                                          <a:pt x="6" y="65"/>
                                          <a:pt x="6" y="65"/>
                                          <a:pt x="6" y="65"/>
                                        </a:cubicBezTo>
                                        <a:cubicBezTo>
                                          <a:pt x="6" y="59"/>
                                          <a:pt x="6" y="59"/>
                                          <a:pt x="6" y="59"/>
                                        </a:cubicBezTo>
                                        <a:cubicBezTo>
                                          <a:pt x="6" y="28"/>
                                          <a:pt x="6" y="28"/>
                                          <a:pt x="6" y="28"/>
                                        </a:cubicBezTo>
                                        <a:cubicBezTo>
                                          <a:pt x="170" y="28"/>
                                          <a:pt x="170" y="28"/>
                                          <a:pt x="170" y="28"/>
                                        </a:cubicBezTo>
                                        <a:cubicBezTo>
                                          <a:pt x="170" y="59"/>
                                          <a:pt x="170" y="59"/>
                                          <a:pt x="170" y="59"/>
                                        </a:cubicBezTo>
                                        <a:cubicBezTo>
                                          <a:pt x="170" y="65"/>
                                          <a:pt x="170" y="65"/>
                                          <a:pt x="170" y="65"/>
                                        </a:cubicBezTo>
                                        <a:cubicBezTo>
                                          <a:pt x="170" y="66"/>
                                          <a:pt x="170" y="66"/>
                                          <a:pt x="170" y="66"/>
                                        </a:cubicBezTo>
                                        <a:cubicBezTo>
                                          <a:pt x="170" y="68"/>
                                          <a:pt x="170" y="68"/>
                                          <a:pt x="170" y="68"/>
                                        </a:cubicBezTo>
                                        <a:cubicBezTo>
                                          <a:pt x="170" y="68"/>
                                          <a:pt x="170" y="68"/>
                                          <a:pt x="170" y="68"/>
                                        </a:cubicBezTo>
                                        <a:cubicBezTo>
                                          <a:pt x="170" y="94"/>
                                          <a:pt x="170" y="94"/>
                                          <a:pt x="170" y="94"/>
                                        </a:cubicBezTo>
                                        <a:cubicBezTo>
                                          <a:pt x="6" y="94"/>
                                          <a:pt x="6" y="94"/>
                                          <a:pt x="6" y="94"/>
                                        </a:cubicBezTo>
                                        <a:lnTo>
                                          <a:pt x="6" y="68"/>
                                        </a:lnTo>
                                        <a:close/>
                                        <a:moveTo>
                                          <a:pt x="170" y="6"/>
                                        </a:moveTo>
                                        <a:cubicBezTo>
                                          <a:pt x="170" y="22"/>
                                          <a:pt x="170" y="22"/>
                                          <a:pt x="170" y="22"/>
                                        </a:cubicBezTo>
                                        <a:cubicBezTo>
                                          <a:pt x="6" y="22"/>
                                          <a:pt x="6" y="22"/>
                                          <a:pt x="6" y="22"/>
                                        </a:cubicBezTo>
                                        <a:cubicBezTo>
                                          <a:pt x="6" y="6"/>
                                          <a:pt x="6" y="6"/>
                                          <a:pt x="6" y="6"/>
                                        </a:cubicBezTo>
                                        <a:lnTo>
                                          <a:pt x="170" y="6"/>
                                        </a:lnTo>
                                        <a:close/>
                                        <a:moveTo>
                                          <a:pt x="6" y="117"/>
                                        </a:moveTo>
                                        <a:cubicBezTo>
                                          <a:pt x="6" y="100"/>
                                          <a:pt x="6" y="100"/>
                                          <a:pt x="6" y="100"/>
                                        </a:cubicBezTo>
                                        <a:cubicBezTo>
                                          <a:pt x="170" y="100"/>
                                          <a:pt x="170" y="100"/>
                                          <a:pt x="170" y="100"/>
                                        </a:cubicBezTo>
                                        <a:cubicBezTo>
                                          <a:pt x="170" y="117"/>
                                          <a:pt x="170" y="117"/>
                                          <a:pt x="170" y="117"/>
                                        </a:cubicBezTo>
                                        <a:lnTo>
                                          <a:pt x="6" y="11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5" name="Freeform 6"/>
                                <wps:cNvSpPr>
                                  <a:spLocks noEditPoints="1"/>
                                </wps:cNvSpPr>
                                <wps:spPr bwMode="auto">
                                  <a:xfrm>
                                    <a:off x="190500" y="354690"/>
                                    <a:ext cx="223838" cy="214313"/>
                                  </a:xfrm>
                                  <a:custGeom>
                                    <a:avLst/>
                                    <a:gdLst>
                                      <a:gd name="T0" fmla="*/ 55 w 65"/>
                                      <a:gd name="T1" fmla="*/ 50 h 62"/>
                                      <a:gd name="T2" fmla="*/ 60 w 65"/>
                                      <a:gd name="T3" fmla="*/ 26 h 62"/>
                                      <a:gd name="T4" fmla="*/ 38 w 65"/>
                                      <a:gd name="T5" fmla="*/ 1 h 62"/>
                                      <a:gd name="T6" fmla="*/ 33 w 65"/>
                                      <a:gd name="T7" fmla="*/ 12 h 62"/>
                                      <a:gd name="T8" fmla="*/ 30 w 65"/>
                                      <a:gd name="T9" fmla="*/ 0 h 62"/>
                                      <a:gd name="T10" fmla="*/ 17 w 65"/>
                                      <a:gd name="T11" fmla="*/ 5 h 62"/>
                                      <a:gd name="T12" fmla="*/ 6 w 65"/>
                                      <a:gd name="T13" fmla="*/ 36 h 62"/>
                                      <a:gd name="T14" fmla="*/ 11 w 65"/>
                                      <a:gd name="T15" fmla="*/ 52 h 62"/>
                                      <a:gd name="T16" fmla="*/ 0 w 65"/>
                                      <a:gd name="T17" fmla="*/ 62 h 62"/>
                                      <a:gd name="T18" fmla="*/ 1 w 65"/>
                                      <a:gd name="T19" fmla="*/ 61 h 62"/>
                                      <a:gd name="T20" fmla="*/ 20 w 65"/>
                                      <a:gd name="T21" fmla="*/ 54 h 62"/>
                                      <a:gd name="T22" fmla="*/ 23 w 65"/>
                                      <a:gd name="T23" fmla="*/ 24 h 62"/>
                                      <a:gd name="T24" fmla="*/ 33 w 65"/>
                                      <a:gd name="T25" fmla="*/ 20 h 62"/>
                                      <a:gd name="T26" fmla="*/ 45 w 65"/>
                                      <a:gd name="T27" fmla="*/ 26 h 62"/>
                                      <a:gd name="T28" fmla="*/ 45 w 65"/>
                                      <a:gd name="T29" fmla="*/ 53 h 62"/>
                                      <a:gd name="T30" fmla="*/ 54 w 65"/>
                                      <a:gd name="T31" fmla="*/ 57 h 62"/>
                                      <a:gd name="T32" fmla="*/ 65 w 65"/>
                                      <a:gd name="T33" fmla="*/ 61 h 62"/>
                                      <a:gd name="T34" fmla="*/ 55 w 65"/>
                                      <a:gd name="T35" fmla="*/ 52 h 62"/>
                                      <a:gd name="T36" fmla="*/ 20 w 65"/>
                                      <a:gd name="T37" fmla="*/ 21 h 62"/>
                                      <a:gd name="T38" fmla="*/ 16 w 65"/>
                                      <a:gd name="T39" fmla="*/ 30 h 62"/>
                                      <a:gd name="T40" fmla="*/ 16 w 65"/>
                                      <a:gd name="T41" fmla="*/ 52 h 62"/>
                                      <a:gd name="T42" fmla="*/ 15 w 65"/>
                                      <a:gd name="T43" fmla="*/ 49 h 62"/>
                                      <a:gd name="T44" fmla="*/ 10 w 65"/>
                                      <a:gd name="T45" fmla="*/ 20 h 62"/>
                                      <a:gd name="T46" fmla="*/ 27 w 65"/>
                                      <a:gd name="T47" fmla="*/ 5 h 62"/>
                                      <a:gd name="T48" fmla="*/ 30 w 65"/>
                                      <a:gd name="T49" fmla="*/ 16 h 62"/>
                                      <a:gd name="T50" fmla="*/ 20 w 65"/>
                                      <a:gd name="T51" fmla="*/ 21 h 62"/>
                                      <a:gd name="T52" fmla="*/ 51 w 65"/>
                                      <a:gd name="T53" fmla="*/ 48 h 62"/>
                                      <a:gd name="T54" fmla="*/ 51 w 65"/>
                                      <a:gd name="T55" fmla="*/ 52 h 62"/>
                                      <a:gd name="T56" fmla="*/ 49 w 65"/>
                                      <a:gd name="T57" fmla="*/ 39 h 62"/>
                                      <a:gd name="T58" fmla="*/ 48 w 65"/>
                                      <a:gd name="T59" fmla="*/ 24 h 62"/>
                                      <a:gd name="T60" fmla="*/ 36 w 65"/>
                                      <a:gd name="T61" fmla="*/ 16 h 62"/>
                                      <a:gd name="T62" fmla="*/ 37 w 65"/>
                                      <a:gd name="T63" fmla="*/ 10 h 62"/>
                                      <a:gd name="T64" fmla="*/ 49 w 65"/>
                                      <a:gd name="T65" fmla="*/ 11 h 62"/>
                                      <a:gd name="T66" fmla="*/ 53 w 65"/>
                                      <a:gd name="T67" fmla="*/ 43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 h="62">
                                        <a:moveTo>
                                          <a:pt x="55" y="52"/>
                                        </a:moveTo>
                                        <a:cubicBezTo>
                                          <a:pt x="54" y="51"/>
                                          <a:pt x="54" y="51"/>
                                          <a:pt x="55" y="50"/>
                                        </a:cubicBezTo>
                                        <a:cubicBezTo>
                                          <a:pt x="55" y="48"/>
                                          <a:pt x="56" y="46"/>
                                          <a:pt x="57" y="44"/>
                                        </a:cubicBezTo>
                                        <a:cubicBezTo>
                                          <a:pt x="59" y="38"/>
                                          <a:pt x="61" y="32"/>
                                          <a:pt x="60" y="26"/>
                                        </a:cubicBezTo>
                                        <a:cubicBezTo>
                                          <a:pt x="60" y="19"/>
                                          <a:pt x="57" y="13"/>
                                          <a:pt x="52" y="8"/>
                                        </a:cubicBezTo>
                                        <a:cubicBezTo>
                                          <a:pt x="48" y="5"/>
                                          <a:pt x="43" y="2"/>
                                          <a:pt x="38" y="1"/>
                                        </a:cubicBezTo>
                                        <a:cubicBezTo>
                                          <a:pt x="37" y="0"/>
                                          <a:pt x="37" y="0"/>
                                          <a:pt x="36" y="0"/>
                                        </a:cubicBezTo>
                                        <a:cubicBezTo>
                                          <a:pt x="35" y="4"/>
                                          <a:pt x="34" y="8"/>
                                          <a:pt x="33" y="12"/>
                                        </a:cubicBezTo>
                                        <a:cubicBezTo>
                                          <a:pt x="33" y="12"/>
                                          <a:pt x="33" y="12"/>
                                          <a:pt x="33" y="12"/>
                                        </a:cubicBezTo>
                                        <a:cubicBezTo>
                                          <a:pt x="32" y="8"/>
                                          <a:pt x="31" y="4"/>
                                          <a:pt x="30" y="0"/>
                                        </a:cubicBezTo>
                                        <a:cubicBezTo>
                                          <a:pt x="30" y="0"/>
                                          <a:pt x="30" y="0"/>
                                          <a:pt x="29" y="0"/>
                                        </a:cubicBezTo>
                                        <a:cubicBezTo>
                                          <a:pt x="25" y="1"/>
                                          <a:pt x="21" y="3"/>
                                          <a:pt x="17" y="5"/>
                                        </a:cubicBezTo>
                                        <a:cubicBezTo>
                                          <a:pt x="12" y="9"/>
                                          <a:pt x="8" y="13"/>
                                          <a:pt x="7" y="19"/>
                                        </a:cubicBezTo>
                                        <a:cubicBezTo>
                                          <a:pt x="5" y="24"/>
                                          <a:pt x="5" y="30"/>
                                          <a:pt x="6" y="36"/>
                                        </a:cubicBezTo>
                                        <a:cubicBezTo>
                                          <a:pt x="7" y="41"/>
                                          <a:pt x="9" y="46"/>
                                          <a:pt x="11" y="50"/>
                                        </a:cubicBezTo>
                                        <a:cubicBezTo>
                                          <a:pt x="11" y="51"/>
                                          <a:pt x="11" y="51"/>
                                          <a:pt x="11" y="52"/>
                                        </a:cubicBezTo>
                                        <a:cubicBezTo>
                                          <a:pt x="8" y="54"/>
                                          <a:pt x="6" y="56"/>
                                          <a:pt x="3" y="59"/>
                                        </a:cubicBezTo>
                                        <a:cubicBezTo>
                                          <a:pt x="2" y="60"/>
                                          <a:pt x="1" y="61"/>
                                          <a:pt x="0" y="62"/>
                                        </a:cubicBezTo>
                                        <a:cubicBezTo>
                                          <a:pt x="0" y="62"/>
                                          <a:pt x="0" y="62"/>
                                          <a:pt x="0" y="62"/>
                                        </a:cubicBezTo>
                                        <a:cubicBezTo>
                                          <a:pt x="1" y="62"/>
                                          <a:pt x="1" y="61"/>
                                          <a:pt x="1" y="61"/>
                                        </a:cubicBezTo>
                                        <a:cubicBezTo>
                                          <a:pt x="7" y="59"/>
                                          <a:pt x="13" y="57"/>
                                          <a:pt x="20" y="55"/>
                                        </a:cubicBezTo>
                                        <a:cubicBezTo>
                                          <a:pt x="20" y="54"/>
                                          <a:pt x="20" y="54"/>
                                          <a:pt x="20" y="54"/>
                                        </a:cubicBezTo>
                                        <a:cubicBezTo>
                                          <a:pt x="20" y="46"/>
                                          <a:pt x="20" y="38"/>
                                          <a:pt x="20" y="30"/>
                                        </a:cubicBezTo>
                                        <a:cubicBezTo>
                                          <a:pt x="20" y="27"/>
                                          <a:pt x="20" y="27"/>
                                          <a:pt x="23" y="24"/>
                                        </a:cubicBezTo>
                                        <a:cubicBezTo>
                                          <a:pt x="23" y="24"/>
                                          <a:pt x="23" y="24"/>
                                          <a:pt x="23" y="24"/>
                                        </a:cubicBezTo>
                                        <a:cubicBezTo>
                                          <a:pt x="26" y="22"/>
                                          <a:pt x="29" y="20"/>
                                          <a:pt x="33" y="20"/>
                                        </a:cubicBezTo>
                                        <a:cubicBezTo>
                                          <a:pt x="33" y="20"/>
                                          <a:pt x="34" y="20"/>
                                          <a:pt x="35" y="20"/>
                                        </a:cubicBezTo>
                                        <a:cubicBezTo>
                                          <a:pt x="39" y="21"/>
                                          <a:pt x="42" y="23"/>
                                          <a:pt x="45" y="26"/>
                                        </a:cubicBezTo>
                                        <a:cubicBezTo>
                                          <a:pt x="45" y="27"/>
                                          <a:pt x="45" y="27"/>
                                          <a:pt x="45" y="28"/>
                                        </a:cubicBezTo>
                                        <a:cubicBezTo>
                                          <a:pt x="45" y="37"/>
                                          <a:pt x="45" y="45"/>
                                          <a:pt x="45" y="53"/>
                                        </a:cubicBezTo>
                                        <a:cubicBezTo>
                                          <a:pt x="45" y="54"/>
                                          <a:pt x="45" y="54"/>
                                          <a:pt x="46" y="55"/>
                                        </a:cubicBezTo>
                                        <a:cubicBezTo>
                                          <a:pt x="49" y="56"/>
                                          <a:pt x="51" y="57"/>
                                          <a:pt x="54" y="57"/>
                                        </a:cubicBezTo>
                                        <a:cubicBezTo>
                                          <a:pt x="58" y="59"/>
                                          <a:pt x="61" y="60"/>
                                          <a:pt x="65" y="62"/>
                                        </a:cubicBezTo>
                                        <a:cubicBezTo>
                                          <a:pt x="65" y="62"/>
                                          <a:pt x="65" y="62"/>
                                          <a:pt x="65" y="61"/>
                                        </a:cubicBezTo>
                                        <a:cubicBezTo>
                                          <a:pt x="65" y="61"/>
                                          <a:pt x="65" y="61"/>
                                          <a:pt x="65" y="61"/>
                                        </a:cubicBezTo>
                                        <a:cubicBezTo>
                                          <a:pt x="61" y="58"/>
                                          <a:pt x="58" y="55"/>
                                          <a:pt x="55" y="52"/>
                                        </a:cubicBezTo>
                                        <a:close/>
                                        <a:moveTo>
                                          <a:pt x="20" y="21"/>
                                        </a:moveTo>
                                        <a:cubicBezTo>
                                          <a:pt x="20" y="21"/>
                                          <a:pt x="20" y="21"/>
                                          <a:pt x="20" y="21"/>
                                        </a:cubicBezTo>
                                        <a:cubicBezTo>
                                          <a:pt x="20" y="21"/>
                                          <a:pt x="20" y="21"/>
                                          <a:pt x="20" y="21"/>
                                        </a:cubicBezTo>
                                        <a:cubicBezTo>
                                          <a:pt x="17" y="25"/>
                                          <a:pt x="16" y="26"/>
                                          <a:pt x="16" y="30"/>
                                        </a:cubicBezTo>
                                        <a:cubicBezTo>
                                          <a:pt x="16" y="35"/>
                                          <a:pt x="16" y="35"/>
                                          <a:pt x="16" y="35"/>
                                        </a:cubicBezTo>
                                        <a:cubicBezTo>
                                          <a:pt x="16" y="41"/>
                                          <a:pt x="16" y="46"/>
                                          <a:pt x="16" y="52"/>
                                        </a:cubicBezTo>
                                        <a:cubicBezTo>
                                          <a:pt x="16" y="52"/>
                                          <a:pt x="15" y="52"/>
                                          <a:pt x="15" y="52"/>
                                        </a:cubicBezTo>
                                        <a:cubicBezTo>
                                          <a:pt x="15" y="51"/>
                                          <a:pt x="15" y="50"/>
                                          <a:pt x="15" y="49"/>
                                        </a:cubicBezTo>
                                        <a:cubicBezTo>
                                          <a:pt x="12" y="44"/>
                                          <a:pt x="11" y="39"/>
                                          <a:pt x="10" y="35"/>
                                        </a:cubicBezTo>
                                        <a:cubicBezTo>
                                          <a:pt x="9" y="29"/>
                                          <a:pt x="9" y="25"/>
                                          <a:pt x="10" y="20"/>
                                        </a:cubicBezTo>
                                        <a:cubicBezTo>
                                          <a:pt x="12" y="16"/>
                                          <a:pt x="15" y="12"/>
                                          <a:pt x="19" y="9"/>
                                        </a:cubicBezTo>
                                        <a:cubicBezTo>
                                          <a:pt x="22" y="7"/>
                                          <a:pt x="24" y="6"/>
                                          <a:pt x="27" y="5"/>
                                        </a:cubicBezTo>
                                        <a:cubicBezTo>
                                          <a:pt x="29" y="13"/>
                                          <a:pt x="29" y="13"/>
                                          <a:pt x="29" y="13"/>
                                        </a:cubicBezTo>
                                        <a:cubicBezTo>
                                          <a:pt x="30" y="16"/>
                                          <a:pt x="30" y="16"/>
                                          <a:pt x="30" y="16"/>
                                        </a:cubicBezTo>
                                        <a:cubicBezTo>
                                          <a:pt x="31" y="16"/>
                                          <a:pt x="31" y="16"/>
                                          <a:pt x="31" y="16"/>
                                        </a:cubicBezTo>
                                        <a:cubicBezTo>
                                          <a:pt x="27" y="16"/>
                                          <a:pt x="23" y="18"/>
                                          <a:pt x="20" y="21"/>
                                        </a:cubicBezTo>
                                        <a:close/>
                                        <a:moveTo>
                                          <a:pt x="53" y="43"/>
                                        </a:moveTo>
                                        <a:cubicBezTo>
                                          <a:pt x="53" y="45"/>
                                          <a:pt x="52" y="46"/>
                                          <a:pt x="51" y="48"/>
                                        </a:cubicBezTo>
                                        <a:cubicBezTo>
                                          <a:pt x="51" y="49"/>
                                          <a:pt x="51" y="49"/>
                                          <a:pt x="51" y="49"/>
                                        </a:cubicBezTo>
                                        <a:cubicBezTo>
                                          <a:pt x="50" y="50"/>
                                          <a:pt x="50" y="51"/>
                                          <a:pt x="51" y="52"/>
                                        </a:cubicBezTo>
                                        <a:cubicBezTo>
                                          <a:pt x="50" y="52"/>
                                          <a:pt x="50" y="52"/>
                                          <a:pt x="49" y="52"/>
                                        </a:cubicBezTo>
                                        <a:cubicBezTo>
                                          <a:pt x="49" y="47"/>
                                          <a:pt x="49" y="43"/>
                                          <a:pt x="49" y="39"/>
                                        </a:cubicBezTo>
                                        <a:cubicBezTo>
                                          <a:pt x="49" y="36"/>
                                          <a:pt x="49" y="32"/>
                                          <a:pt x="49" y="28"/>
                                        </a:cubicBezTo>
                                        <a:cubicBezTo>
                                          <a:pt x="49" y="27"/>
                                          <a:pt x="49" y="25"/>
                                          <a:pt x="48" y="24"/>
                                        </a:cubicBezTo>
                                        <a:cubicBezTo>
                                          <a:pt x="44" y="20"/>
                                          <a:pt x="40" y="17"/>
                                          <a:pt x="36" y="16"/>
                                        </a:cubicBezTo>
                                        <a:cubicBezTo>
                                          <a:pt x="36" y="16"/>
                                          <a:pt x="36" y="16"/>
                                          <a:pt x="36" y="16"/>
                                        </a:cubicBezTo>
                                        <a:cubicBezTo>
                                          <a:pt x="37" y="13"/>
                                          <a:pt x="37" y="13"/>
                                          <a:pt x="37" y="13"/>
                                        </a:cubicBezTo>
                                        <a:cubicBezTo>
                                          <a:pt x="37" y="10"/>
                                          <a:pt x="37" y="10"/>
                                          <a:pt x="37" y="10"/>
                                        </a:cubicBezTo>
                                        <a:cubicBezTo>
                                          <a:pt x="39" y="5"/>
                                          <a:pt x="39" y="5"/>
                                          <a:pt x="39" y="5"/>
                                        </a:cubicBezTo>
                                        <a:cubicBezTo>
                                          <a:pt x="43" y="7"/>
                                          <a:pt x="46" y="9"/>
                                          <a:pt x="49" y="11"/>
                                        </a:cubicBezTo>
                                        <a:cubicBezTo>
                                          <a:pt x="53" y="15"/>
                                          <a:pt x="56" y="20"/>
                                          <a:pt x="56" y="26"/>
                                        </a:cubicBezTo>
                                        <a:cubicBezTo>
                                          <a:pt x="57" y="31"/>
                                          <a:pt x="56" y="36"/>
                                          <a:pt x="53" y="4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 name="Freeform 7"/>
                                <wps:cNvSpPr>
                                  <a:spLocks noEditPoints="1"/>
                                </wps:cNvSpPr>
                                <wps:spPr bwMode="auto">
                                  <a:xfrm>
                                    <a:off x="265113" y="427715"/>
                                    <a:ext cx="76200" cy="79375"/>
                                  </a:xfrm>
                                  <a:custGeom>
                                    <a:avLst/>
                                    <a:gdLst>
                                      <a:gd name="T0" fmla="*/ 16 w 22"/>
                                      <a:gd name="T1" fmla="*/ 9 h 23"/>
                                      <a:gd name="T2" fmla="*/ 14 w 22"/>
                                      <a:gd name="T3" fmla="*/ 9 h 23"/>
                                      <a:gd name="T4" fmla="*/ 14 w 22"/>
                                      <a:gd name="T5" fmla="*/ 9 h 23"/>
                                      <a:gd name="T6" fmla="*/ 13 w 22"/>
                                      <a:gd name="T7" fmla="*/ 8 h 23"/>
                                      <a:gd name="T8" fmla="*/ 12 w 22"/>
                                      <a:gd name="T9" fmla="*/ 4 h 23"/>
                                      <a:gd name="T10" fmla="*/ 11 w 22"/>
                                      <a:gd name="T11" fmla="*/ 0 h 23"/>
                                      <a:gd name="T12" fmla="*/ 10 w 22"/>
                                      <a:gd name="T13" fmla="*/ 1 h 23"/>
                                      <a:gd name="T14" fmla="*/ 8 w 22"/>
                                      <a:gd name="T15" fmla="*/ 8 h 23"/>
                                      <a:gd name="T16" fmla="*/ 7 w 22"/>
                                      <a:gd name="T17" fmla="*/ 9 h 23"/>
                                      <a:gd name="T18" fmla="*/ 7 w 22"/>
                                      <a:gd name="T19" fmla="*/ 9 h 23"/>
                                      <a:gd name="T20" fmla="*/ 5 w 22"/>
                                      <a:gd name="T21" fmla="*/ 9 h 23"/>
                                      <a:gd name="T22" fmla="*/ 0 w 22"/>
                                      <a:gd name="T23" fmla="*/ 9 h 23"/>
                                      <a:gd name="T24" fmla="*/ 0 w 22"/>
                                      <a:gd name="T25" fmla="*/ 9 h 23"/>
                                      <a:gd name="T26" fmla="*/ 0 w 22"/>
                                      <a:gd name="T27" fmla="*/ 9 h 23"/>
                                      <a:gd name="T28" fmla="*/ 0 w 22"/>
                                      <a:gd name="T29" fmla="*/ 9 h 23"/>
                                      <a:gd name="T30" fmla="*/ 6 w 22"/>
                                      <a:gd name="T31" fmla="*/ 14 h 23"/>
                                      <a:gd name="T32" fmla="*/ 6 w 22"/>
                                      <a:gd name="T33" fmla="*/ 15 h 23"/>
                                      <a:gd name="T34" fmla="*/ 4 w 22"/>
                                      <a:gd name="T35" fmla="*/ 22 h 23"/>
                                      <a:gd name="T36" fmla="*/ 4 w 22"/>
                                      <a:gd name="T37" fmla="*/ 23 h 23"/>
                                      <a:gd name="T38" fmla="*/ 11 w 22"/>
                                      <a:gd name="T39" fmla="*/ 18 h 23"/>
                                      <a:gd name="T40" fmla="*/ 18 w 22"/>
                                      <a:gd name="T41" fmla="*/ 23 h 23"/>
                                      <a:gd name="T42" fmla="*/ 17 w 22"/>
                                      <a:gd name="T43" fmla="*/ 22 h 23"/>
                                      <a:gd name="T44" fmla="*/ 15 w 22"/>
                                      <a:gd name="T45" fmla="*/ 15 h 23"/>
                                      <a:gd name="T46" fmla="*/ 16 w 22"/>
                                      <a:gd name="T47" fmla="*/ 14 h 23"/>
                                      <a:gd name="T48" fmla="*/ 21 w 22"/>
                                      <a:gd name="T49" fmla="*/ 9 h 23"/>
                                      <a:gd name="T50" fmla="*/ 22 w 22"/>
                                      <a:gd name="T51" fmla="*/ 9 h 23"/>
                                      <a:gd name="T52" fmla="*/ 21 w 22"/>
                                      <a:gd name="T53" fmla="*/ 9 h 23"/>
                                      <a:gd name="T54" fmla="*/ 16 w 22"/>
                                      <a:gd name="T55" fmla="*/ 9 h 23"/>
                                      <a:gd name="T56" fmla="*/ 14 w 22"/>
                                      <a:gd name="T57" fmla="*/ 12 h 23"/>
                                      <a:gd name="T58" fmla="*/ 13 w 22"/>
                                      <a:gd name="T59" fmla="*/ 15 h 23"/>
                                      <a:gd name="T60" fmla="*/ 14 w 22"/>
                                      <a:gd name="T61" fmla="*/ 17 h 23"/>
                                      <a:gd name="T62" fmla="*/ 12 w 22"/>
                                      <a:gd name="T63" fmla="*/ 16 h 23"/>
                                      <a:gd name="T64" fmla="*/ 11 w 22"/>
                                      <a:gd name="T65" fmla="*/ 15 h 23"/>
                                      <a:gd name="T66" fmla="*/ 10 w 22"/>
                                      <a:gd name="T67" fmla="*/ 16 h 23"/>
                                      <a:gd name="T68" fmla="*/ 7 w 22"/>
                                      <a:gd name="T69" fmla="*/ 17 h 23"/>
                                      <a:gd name="T70" fmla="*/ 8 w 22"/>
                                      <a:gd name="T71" fmla="*/ 16 h 23"/>
                                      <a:gd name="T72" fmla="*/ 7 w 22"/>
                                      <a:gd name="T73" fmla="*/ 12 h 23"/>
                                      <a:gd name="T74" fmla="*/ 5 w 22"/>
                                      <a:gd name="T75" fmla="*/ 11 h 23"/>
                                      <a:gd name="T76" fmla="*/ 7 w 22"/>
                                      <a:gd name="T77" fmla="*/ 11 h 23"/>
                                      <a:gd name="T78" fmla="*/ 10 w 22"/>
                                      <a:gd name="T79" fmla="*/ 9 h 23"/>
                                      <a:gd name="T80" fmla="*/ 11 w 22"/>
                                      <a:gd name="T81" fmla="*/ 7 h 23"/>
                                      <a:gd name="T82" fmla="*/ 11 w 22"/>
                                      <a:gd name="T83" fmla="*/ 9 h 23"/>
                                      <a:gd name="T84" fmla="*/ 14 w 22"/>
                                      <a:gd name="T85" fmla="*/ 11 h 23"/>
                                      <a:gd name="T86" fmla="*/ 14 w 22"/>
                                      <a:gd name="T87" fmla="*/ 11 h 23"/>
                                      <a:gd name="T88" fmla="*/ 16 w 22"/>
                                      <a:gd name="T89" fmla="*/ 11 h 23"/>
                                      <a:gd name="T90" fmla="*/ 16 w 22"/>
                                      <a:gd name="T91" fmla="*/ 11 h 23"/>
                                      <a:gd name="T92" fmla="*/ 14 w 22"/>
                                      <a:gd name="T93" fmla="*/ 1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2" h="23">
                                        <a:moveTo>
                                          <a:pt x="16" y="9"/>
                                        </a:moveTo>
                                        <a:cubicBezTo>
                                          <a:pt x="15" y="9"/>
                                          <a:pt x="15" y="9"/>
                                          <a:pt x="14" y="9"/>
                                        </a:cubicBezTo>
                                        <a:cubicBezTo>
                                          <a:pt x="14" y="9"/>
                                          <a:pt x="14" y="9"/>
                                          <a:pt x="14" y="9"/>
                                        </a:cubicBezTo>
                                        <a:cubicBezTo>
                                          <a:pt x="14" y="9"/>
                                          <a:pt x="13" y="9"/>
                                          <a:pt x="13" y="8"/>
                                        </a:cubicBezTo>
                                        <a:cubicBezTo>
                                          <a:pt x="13" y="7"/>
                                          <a:pt x="12" y="5"/>
                                          <a:pt x="12" y="4"/>
                                        </a:cubicBezTo>
                                        <a:cubicBezTo>
                                          <a:pt x="12" y="3"/>
                                          <a:pt x="11" y="2"/>
                                          <a:pt x="11" y="0"/>
                                        </a:cubicBezTo>
                                        <a:cubicBezTo>
                                          <a:pt x="11" y="1"/>
                                          <a:pt x="11" y="1"/>
                                          <a:pt x="10" y="1"/>
                                        </a:cubicBezTo>
                                        <a:cubicBezTo>
                                          <a:pt x="10" y="3"/>
                                          <a:pt x="9" y="6"/>
                                          <a:pt x="8" y="8"/>
                                        </a:cubicBezTo>
                                        <a:cubicBezTo>
                                          <a:pt x="8" y="9"/>
                                          <a:pt x="8" y="9"/>
                                          <a:pt x="7" y="9"/>
                                        </a:cubicBezTo>
                                        <a:cubicBezTo>
                                          <a:pt x="7" y="9"/>
                                          <a:pt x="7" y="9"/>
                                          <a:pt x="7" y="9"/>
                                        </a:cubicBezTo>
                                        <a:cubicBezTo>
                                          <a:pt x="6" y="9"/>
                                          <a:pt x="6" y="9"/>
                                          <a:pt x="5" y="9"/>
                                        </a:cubicBezTo>
                                        <a:cubicBezTo>
                                          <a:pt x="3" y="9"/>
                                          <a:pt x="2" y="9"/>
                                          <a:pt x="0" y="9"/>
                                        </a:cubicBezTo>
                                        <a:cubicBezTo>
                                          <a:pt x="0" y="9"/>
                                          <a:pt x="0" y="9"/>
                                          <a:pt x="0" y="9"/>
                                        </a:cubicBezTo>
                                        <a:cubicBezTo>
                                          <a:pt x="0" y="9"/>
                                          <a:pt x="0" y="9"/>
                                          <a:pt x="0" y="9"/>
                                        </a:cubicBezTo>
                                        <a:cubicBezTo>
                                          <a:pt x="0" y="9"/>
                                          <a:pt x="0" y="9"/>
                                          <a:pt x="0" y="9"/>
                                        </a:cubicBezTo>
                                        <a:cubicBezTo>
                                          <a:pt x="2" y="11"/>
                                          <a:pt x="4" y="12"/>
                                          <a:pt x="6" y="14"/>
                                        </a:cubicBezTo>
                                        <a:cubicBezTo>
                                          <a:pt x="6" y="14"/>
                                          <a:pt x="6" y="14"/>
                                          <a:pt x="6" y="15"/>
                                        </a:cubicBezTo>
                                        <a:cubicBezTo>
                                          <a:pt x="5" y="17"/>
                                          <a:pt x="5" y="20"/>
                                          <a:pt x="4" y="22"/>
                                        </a:cubicBezTo>
                                        <a:cubicBezTo>
                                          <a:pt x="4" y="23"/>
                                          <a:pt x="4" y="23"/>
                                          <a:pt x="4" y="23"/>
                                        </a:cubicBezTo>
                                        <a:cubicBezTo>
                                          <a:pt x="6" y="21"/>
                                          <a:pt x="8" y="19"/>
                                          <a:pt x="11" y="18"/>
                                        </a:cubicBezTo>
                                        <a:cubicBezTo>
                                          <a:pt x="13" y="19"/>
                                          <a:pt x="15" y="21"/>
                                          <a:pt x="18" y="23"/>
                                        </a:cubicBezTo>
                                        <a:cubicBezTo>
                                          <a:pt x="18" y="22"/>
                                          <a:pt x="17" y="22"/>
                                          <a:pt x="17" y="22"/>
                                        </a:cubicBezTo>
                                        <a:cubicBezTo>
                                          <a:pt x="17" y="19"/>
                                          <a:pt x="16" y="17"/>
                                          <a:pt x="15" y="15"/>
                                        </a:cubicBezTo>
                                        <a:cubicBezTo>
                                          <a:pt x="15" y="14"/>
                                          <a:pt x="15" y="14"/>
                                          <a:pt x="16" y="14"/>
                                        </a:cubicBezTo>
                                        <a:cubicBezTo>
                                          <a:pt x="17" y="12"/>
                                          <a:pt x="19" y="11"/>
                                          <a:pt x="21" y="9"/>
                                        </a:cubicBezTo>
                                        <a:cubicBezTo>
                                          <a:pt x="21" y="9"/>
                                          <a:pt x="22" y="9"/>
                                          <a:pt x="22" y="9"/>
                                        </a:cubicBezTo>
                                        <a:cubicBezTo>
                                          <a:pt x="21" y="9"/>
                                          <a:pt x="21" y="9"/>
                                          <a:pt x="21" y="9"/>
                                        </a:cubicBezTo>
                                        <a:cubicBezTo>
                                          <a:pt x="19" y="9"/>
                                          <a:pt x="18" y="9"/>
                                          <a:pt x="16" y="9"/>
                                        </a:cubicBezTo>
                                        <a:close/>
                                        <a:moveTo>
                                          <a:pt x="14" y="12"/>
                                        </a:moveTo>
                                        <a:cubicBezTo>
                                          <a:pt x="14" y="13"/>
                                          <a:pt x="13" y="14"/>
                                          <a:pt x="13" y="15"/>
                                        </a:cubicBezTo>
                                        <a:cubicBezTo>
                                          <a:pt x="14" y="16"/>
                                          <a:pt x="14" y="17"/>
                                          <a:pt x="14" y="17"/>
                                        </a:cubicBezTo>
                                        <a:cubicBezTo>
                                          <a:pt x="12" y="16"/>
                                          <a:pt x="12" y="16"/>
                                          <a:pt x="12" y="16"/>
                                        </a:cubicBezTo>
                                        <a:cubicBezTo>
                                          <a:pt x="11" y="15"/>
                                          <a:pt x="11" y="15"/>
                                          <a:pt x="11" y="15"/>
                                        </a:cubicBezTo>
                                        <a:cubicBezTo>
                                          <a:pt x="10" y="16"/>
                                          <a:pt x="10" y="16"/>
                                          <a:pt x="10" y="16"/>
                                        </a:cubicBezTo>
                                        <a:cubicBezTo>
                                          <a:pt x="7" y="17"/>
                                          <a:pt x="7" y="17"/>
                                          <a:pt x="7" y="17"/>
                                        </a:cubicBezTo>
                                        <a:cubicBezTo>
                                          <a:pt x="8" y="17"/>
                                          <a:pt x="8" y="16"/>
                                          <a:pt x="8" y="16"/>
                                        </a:cubicBezTo>
                                        <a:cubicBezTo>
                                          <a:pt x="9" y="14"/>
                                          <a:pt x="8" y="13"/>
                                          <a:pt x="7" y="12"/>
                                        </a:cubicBezTo>
                                        <a:cubicBezTo>
                                          <a:pt x="6" y="12"/>
                                          <a:pt x="6" y="11"/>
                                          <a:pt x="5" y="11"/>
                                        </a:cubicBezTo>
                                        <a:cubicBezTo>
                                          <a:pt x="6" y="11"/>
                                          <a:pt x="7" y="11"/>
                                          <a:pt x="7" y="11"/>
                                        </a:cubicBezTo>
                                        <a:cubicBezTo>
                                          <a:pt x="9" y="11"/>
                                          <a:pt x="10" y="10"/>
                                          <a:pt x="10" y="9"/>
                                        </a:cubicBezTo>
                                        <a:cubicBezTo>
                                          <a:pt x="10" y="8"/>
                                          <a:pt x="11" y="8"/>
                                          <a:pt x="11" y="7"/>
                                        </a:cubicBezTo>
                                        <a:cubicBezTo>
                                          <a:pt x="11" y="8"/>
                                          <a:pt x="11" y="8"/>
                                          <a:pt x="11" y="9"/>
                                        </a:cubicBezTo>
                                        <a:cubicBezTo>
                                          <a:pt x="12" y="10"/>
                                          <a:pt x="13" y="11"/>
                                          <a:pt x="14" y="11"/>
                                        </a:cubicBezTo>
                                        <a:cubicBezTo>
                                          <a:pt x="14" y="11"/>
                                          <a:pt x="14" y="11"/>
                                          <a:pt x="14" y="11"/>
                                        </a:cubicBezTo>
                                        <a:cubicBezTo>
                                          <a:pt x="15" y="11"/>
                                          <a:pt x="15" y="11"/>
                                          <a:pt x="16" y="11"/>
                                        </a:cubicBezTo>
                                        <a:cubicBezTo>
                                          <a:pt x="16" y="11"/>
                                          <a:pt x="16" y="11"/>
                                          <a:pt x="16" y="11"/>
                                        </a:cubicBezTo>
                                        <a:cubicBezTo>
                                          <a:pt x="16" y="11"/>
                                          <a:pt x="15" y="12"/>
                                          <a:pt x="14" y="1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inline>
                  </w:drawing>
                </mc:Choice>
                <mc:Fallback>
                  <w:pict>
                    <v:group w14:anchorId="6EDA930C" id="Group 218" o:spid="_x0000_s1026" alt="&quot;&quot;" style="width:27.15pt;height:40.55pt;mso-position-horizontal-relative:char;mso-position-vertical-relative:line" coordsize="310310,4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">
                      <v:shape id="Freeform 6" o:spid="_x0000_s1027" style="position:absolute;left:1981;width:308329;height:216687;visibility:visible;mso-wrap-style:square;v-text-anchor:top" coordsize="17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" path="m175,62v1,,1,,1,-1c176,61,176,61,175,60,176,6,176,6,176,6,176,3,173,,170,,5,,5,,5,,2,,,3,,6,,67,,67,,67v,1,,1,,1c,117,,117,,117v,3,2,6,5,6c170,123,170,123,170,123v3,,6,-3,6,-6c176,68,176,68,176,68v,,-1,,-1,-1l175,62xm170,6v-1,52,-1,52,-1,52c120,58,120,58,120,58,118,42,104,29,88,29,71,29,57,42,55,58,6,58,6,58,6,58,6,6,6,6,6,6r164,xm114,61v,15,-12,27,-26,27c73,88,61,76,61,61,61,47,73,35,88,35v14,,26,12,26,26xm170,117c6,117,6,117,6,117,6,68,6,68,6,68v,,,,,c6,68,6,68,6,68v,-4,,-4,,-4c55,64,55,64,55,64v2,17,16,30,33,30c104,94,118,81,120,64v49,,49,,49,c169,68,169,68,169,68v,,,,1,l170,117xe" filled="f" stroked="f">
                        <v:path arrowok="t" o:connecttype="custom" o:connectlocs="306577,109224;308329,107463;306577,105701;308329,10570;297818,0;8759,0;0,10570;0,118033;0,119794;0,206117;8759,216687;297818,216687;308329,206117;308329,119794;306577,118033;306577,109224;297818,10570;296066,102178;210224,102178;154165,51089;96353,102178;10511,102178;10511,10570;297818,10570;199713,107463;154165,155028;106864,107463;154165,61659;199713,107463;297818,206117;10511,206117;10511,119794;10511,119794;10511,119794;10511,112748;96353,112748;154165,165598;210224,112748;296066,112748;296066,119794;297818,119794;297818,206117" o:connectangles="0,0,0,0,0,0,0,0,0,0,0,0,0,0,0,0,0,0,0,0,0,0,0,0,0,0,0,0,0,0,0,0,0,0,0,0,0,0,0,0,0,0"/>
                        <o:lock v:ext="edit" aspectratio="t" verticies="t"/>
                      </v:shape>
                      <v:group id="Group 40" o:spid="_x0000_s1028" style="position:absolute;top:246740;width:308329;height:216555" coordorigin=",2467" coordsize="6080,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o:lock v:ext="edit" aspectratio="t"/>
                        <v:shape id="Freeform 5" o:spid="_x0000_s1029" style="position:absolute;top:2467;width:6080;height:4270;visibility:visible;mso-wrap-style:square;v-text-anchor:top" coordsize="17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" path="m176,63v,-1,,-1,,-1c176,61,176,61,176,61v,-55,,-55,,-55c176,3,173,,170,,5,,5,,5,,2,,,3,,6,,68,,68,,68v,,,,,c,117,,117,,117v,3,2,6,5,6c170,123,170,123,170,123v3,,6,-3,6,-6c176,68,176,68,176,68v,,,,,l176,63xm6,68v,,,,,c6,68,6,68,6,68v,-3,,-3,,-3c6,59,6,59,6,59,6,28,6,28,6,28v164,,164,,164,c170,59,170,59,170,59v,6,,6,,6c170,66,170,66,170,66v,2,,2,,2c170,68,170,68,170,68v,26,,26,,26c6,94,6,94,6,94l6,68xm170,6v,16,,16,,16c6,22,6,22,6,22,6,6,6,6,6,6r164,xm6,117v,-17,,-17,,-17c170,100,170,100,170,100v,17,,17,,17l6,117xe" filled="f" stroked="f">
                          <v:path arrowok="t" o:connecttype="custom" o:connectlocs="608013,218727;608013,215255;608013,211783;608013,20831;587285,0;17273,0;0,20831;0,236086;0,236086;0,406207;17273,427038;587285,427038;608013,406207;608013,236086;608013,236086;608013,218727;20728,236086;20728,236086;20728,236086;20728,225670;20728,204839;20728,97212;587285,97212;587285,204839;587285,225670;587285,229142;587285,236086;587285,236086;587285,326354;20728,326354;20728,236086;587285,20831;587285,76381;20728,76381;20728,20831;587285,20831;20728,406207;20728,347185;587285,347185;587285,406207;20728,406207" o:connectangles="0,0,0,0,0,0,0,0,0,0,0,0,0,0,0,0,0,0,0,0,0,0,0,0,0,0,0,0,0,0,0,0,0,0,0,0,0,0,0,0,0"/>
                          <o:lock v:ext="edit" verticies="t"/>
                        </v:shape>
                        <v:shape id="Freeform 6" o:spid="_x0000_s1030" style="position:absolute;left:1905;top:3546;width:2238;height:2144;visibility:visible;mso-wrap-style:square;v-text-anchor:top" coordsize="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" path="m55,52v-1,-1,-1,-1,,-2c55,48,56,46,57,44v2,-6,4,-12,3,-18c60,19,57,13,52,8,48,5,43,2,38,1,37,,37,,36,,35,4,34,8,33,12v,,,,,c32,8,31,4,30,v,,,,-1,c25,1,21,3,17,5,12,9,8,13,7,19,5,24,5,30,6,36v1,5,3,10,5,14c11,51,11,51,11,52,8,54,6,56,3,59,2,60,1,61,,62v,,,,,c1,62,1,61,1,61,7,59,13,57,20,55v,-1,,-1,,-1c20,46,20,38,20,30v,-3,,-3,3,-6c23,24,23,24,23,24v3,-2,6,-4,10,-4c33,20,34,20,35,20v4,1,7,3,10,6c45,27,45,27,45,28v,9,,17,,25c45,54,45,54,46,55v3,1,5,2,8,2c58,59,61,60,65,62v,,,,,-1c65,61,65,61,65,61,61,58,58,55,55,52xm20,21v,,,,,c20,21,20,21,20,21v-3,4,-4,5,-4,9c16,35,16,35,16,35v,6,,11,,17c16,52,15,52,15,52v,-1,,-2,,-3c12,44,11,39,10,35,9,29,9,25,10,20v2,-4,5,-8,9,-11c22,7,24,6,27,5v2,8,2,8,2,8c30,16,30,16,30,16v1,,1,,1,c27,16,23,18,20,21xm53,43v,2,-1,3,-2,5c51,49,51,49,51,49v-1,1,-1,2,,3c50,52,50,52,49,52v,-5,,-9,,-13c49,36,49,32,49,28v,-1,,-3,-1,-4c44,20,40,17,36,16v,,,,,c37,13,37,13,37,13v,-3,,-3,,-3c39,5,39,5,39,5v4,2,7,4,10,6c53,15,56,20,56,26v1,5,,10,-3,17xe" filled="f" stroked="f">
                          <v:path arrowok="t" o:connecttype="custom" o:connectlocs="189401,172833;206620,89873;130859,3457;113641,41480;103310,0;58542,17283;20662,124440;37880,179746;0,214313;3444,210856;68873,186660;79204,82960;113641,69133;154965,89873;154965,183203;185958,197030;223838,210856;189401,179746;68873,72590;55099,103700;55099,179746;51655,169376;34437,69133;92979,17283;103310,55307;68873,72590;175627,165920;175627,179746;168739,134810;165296,82960;123972,55307;127415,34567;168739,38023;182514,148636" o:connectangles="0,0,0,0,0,0,0,0,0,0,0,0,0,0,0,0,0,0,0,0,0,0,0,0,0,0,0,0,0,0,0,0,0,0"/>
                          <o:lock v:ext="edit" verticies="t"/>
                        </v:shape>
                        <v:shape id="Freeform 7" o:spid="_x0000_s1031" style="position:absolute;left:2651;top:4277;width:762;height:79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" path="m16,9v-1,,-1,,-2,c14,9,14,9,14,9v,,-1,,-1,-1c13,7,12,5,12,4,12,3,11,2,11,v,1,,1,-1,1c10,3,9,6,8,8v,1,,1,-1,1c7,9,7,9,7,9,6,9,6,9,5,9,3,9,2,9,,9v,,,,,c,9,,9,,9v,,,,,c2,11,4,12,6,14v,,,,,1c5,17,5,20,4,22v,1,,1,,1c6,21,8,19,11,18v2,1,4,3,7,5c18,22,17,22,17,22v,-3,-1,-5,-2,-7c15,14,15,14,16,14v1,-2,3,-3,5,-5c21,9,22,9,22,9v-1,,-1,,-1,c19,9,18,9,16,9xm14,12v,1,-1,2,-1,3c14,16,14,17,14,17,12,16,12,16,12,16,11,15,11,15,11,15v-1,1,-1,1,-1,1c7,17,7,17,7,17v1,,1,-1,1,-1c9,14,8,13,7,12,6,12,6,11,5,11v1,,2,,2,c9,11,10,10,10,9v,-1,1,-1,1,-2c11,8,11,8,11,9v1,1,2,2,3,2c14,11,14,11,14,11v1,,1,,2,c16,11,16,11,16,11v,,-1,1,-2,1xe" filled="f" stroked="f">
                          <v:path arrowok="t" o:connecttype="custom" o:connectlocs="55418,31060;48491,31060;48491,31060;45027,27609;41564,13804;38100,0;34636,3451;27709,27609;24245,31060;24245,31060;17318,31060;0,31060;0,31060;0,31060;0,31060;20782,48315;20782,51766;13855,75924;13855,79375;38100,62120;62345,79375;58882,75924;51955,51766;55418,48315;72736,31060;76200,31060;72736,31060;55418,31060;48491,41413;45027,51766;48491,58668;41564,55217;38100,51766;34636,55217;24245,58668;27709,55217;24245,41413;17318,37962;24245,37962;34636,31060;38100,24158;38100,31060;48491,37962;48491,37962;55418,37962;55418,37962;48491,41413" o:connectangles="0,0,0,0,0,0,0,0,0,0,0,0,0,0,0,0,0,0,0,0,0,0,0,0,0,0,0,0,0,0,0,0,0,0,0,0,0,0,0,0,0,0,0,0,0,0,0"/>
                          <o:lock v:ext="edit" verticies="t"/>
                        </v:shape>
                      </v:group>
                      <w10:anchorlock/>
                    </v:group>
                  </w:pict>
                </mc:Fallback>
              </mc:AlternateContent>
            </w:r>
          </w:p>
          <w:p w14:paraId="5FA26481" w14:textId="72D9C683" w:rsidR="007678DD" w:rsidRPr="005825BD" w:rsidRDefault="007678DD" w:rsidP="009222D9">
            <w:pPr>
              <w:pStyle w:val="TableNText"/>
              <w:spacing w:before="0" w:after="0" w:line="240" w:lineRule="auto"/>
              <w:jc w:val="center"/>
              <w:rPr>
                <w:noProof/>
                <w:sz w:val="16"/>
                <w:szCs w:val="16"/>
              </w:rPr>
            </w:pPr>
            <w:r w:rsidRPr="005825BD">
              <w:rPr>
                <w:color w:val="FFFFFF" w:themeColor="background1"/>
                <w:sz w:val="16"/>
                <w:szCs w:val="16"/>
              </w:rPr>
              <w:t>People who identify as Aboriginal and/or Torres Strait Islander</w:t>
            </w:r>
          </w:p>
        </w:tc>
        <w:tc>
          <w:tcPr>
            <w:tcW w:w="4054" w:type="pct"/>
          </w:tcPr>
          <w:p w14:paraId="1715C8A0" w14:textId="375E79DE" w:rsidR="007678DD" w:rsidRPr="008C5949" w:rsidRDefault="007678DD" w:rsidP="008C5949">
            <w:pPr>
              <w:pStyle w:val="TableNBullet"/>
              <w:cnfStyle w:val="000000000000" w:firstRow="0" w:lastRow="0" w:firstColumn="0" w:lastColumn="0" w:oddVBand="0" w:evenVBand="0" w:oddHBand="0" w:evenHBand="0" w:firstRowFirstColumn="0" w:firstRowLastColumn="0" w:lastRowFirstColumn="0" w:lastRowLastColumn="0"/>
              <w:rPr>
                <w:szCs w:val="16"/>
              </w:rPr>
            </w:pPr>
            <w:r w:rsidRPr="008C5949">
              <w:rPr>
                <w:szCs w:val="16"/>
              </w:rPr>
              <w:t xml:space="preserve">The availability of other more culturally appropriate and targeted services within the same area with </w:t>
            </w:r>
            <w:r>
              <w:rPr>
                <w:szCs w:val="16"/>
              </w:rPr>
              <w:t>a</w:t>
            </w:r>
            <w:r w:rsidRPr="008C5949">
              <w:rPr>
                <w:szCs w:val="16"/>
              </w:rPr>
              <w:t xml:space="preserve"> more diverse workforce. </w:t>
            </w:r>
          </w:p>
          <w:p w14:paraId="39BE50BB" w14:textId="080A323D" w:rsidR="007678DD" w:rsidRPr="008C5949" w:rsidRDefault="007678DD" w:rsidP="008C5949">
            <w:pPr>
              <w:pStyle w:val="TableNBullet"/>
              <w:cnfStyle w:val="000000000000" w:firstRow="0" w:lastRow="0" w:firstColumn="0" w:lastColumn="0" w:oddVBand="0" w:evenVBand="0" w:oddHBand="0" w:evenHBand="0" w:firstRowFirstColumn="0" w:firstRowLastColumn="0" w:lastRowFirstColumn="0" w:lastRowLastColumn="0"/>
              <w:rPr>
                <w:szCs w:val="16"/>
              </w:rPr>
            </w:pPr>
            <w:r w:rsidRPr="008C5949">
              <w:rPr>
                <w:szCs w:val="16"/>
              </w:rPr>
              <w:t>Lack of co-design and partnerships with local Aboriginal and Torres Strait Islander communities, ACCHOs and AMSs and consideration of the Social and Emotional Wellbeing Model</w:t>
            </w:r>
            <w:r>
              <w:rPr>
                <w:rStyle w:val="FootnoteReference"/>
                <w:szCs w:val="16"/>
              </w:rPr>
              <w:footnoteReference w:id="61"/>
            </w:r>
            <w:r w:rsidRPr="008C5949">
              <w:rPr>
                <w:szCs w:val="16"/>
              </w:rPr>
              <w:t xml:space="preserve"> in the design of the service.</w:t>
            </w:r>
            <w:r>
              <w:rPr>
                <w:szCs w:val="16"/>
              </w:rPr>
              <w:t xml:space="preserve"> </w:t>
            </w:r>
          </w:p>
          <w:p w14:paraId="552BEF06" w14:textId="7770AE37" w:rsidR="007678DD" w:rsidRPr="008C5949" w:rsidRDefault="007678DD" w:rsidP="008C5949">
            <w:pPr>
              <w:pStyle w:val="TableNBullet"/>
              <w:cnfStyle w:val="000000000000" w:firstRow="0" w:lastRow="0" w:firstColumn="0" w:lastColumn="0" w:oddVBand="0" w:evenVBand="0" w:oddHBand="0" w:evenHBand="0" w:firstRowFirstColumn="0" w:firstRowLastColumn="0" w:lastRowFirstColumn="0" w:lastRowLastColumn="0"/>
              <w:rPr>
                <w:szCs w:val="16"/>
              </w:rPr>
            </w:pPr>
            <w:r w:rsidRPr="008C5949">
              <w:rPr>
                <w:szCs w:val="16"/>
              </w:rPr>
              <w:t xml:space="preserve">Historical trauma experienced by Aboriginal and Torres Strait Islander people related to the health system. This meant that ED referral pathways did not meet the needs of </w:t>
            </w:r>
            <w:r w:rsidR="00482D0D">
              <w:rPr>
                <w:szCs w:val="16"/>
              </w:rPr>
              <w:t>some</w:t>
            </w:r>
            <w:r w:rsidRPr="008C5949">
              <w:rPr>
                <w:szCs w:val="16"/>
              </w:rPr>
              <w:t xml:space="preserve"> Aboriginal and Torres Strait Islander people. </w:t>
            </w:r>
          </w:p>
          <w:p w14:paraId="552EABF9" w14:textId="50EDBA6B" w:rsidR="007678DD" w:rsidRPr="005825BD" w:rsidRDefault="007678DD" w:rsidP="008C5949">
            <w:pPr>
              <w:pStyle w:val="TableNBullet"/>
              <w:cnfStyle w:val="000000000000" w:firstRow="0" w:lastRow="0" w:firstColumn="0" w:lastColumn="0" w:oddVBand="0" w:evenVBand="0" w:oddHBand="0" w:evenHBand="0" w:firstRowFirstColumn="0" w:firstRowLastColumn="0" w:lastRowFirstColumn="0" w:lastRowLastColumn="0"/>
              <w:rPr>
                <w:szCs w:val="16"/>
              </w:rPr>
            </w:pPr>
            <w:r w:rsidRPr="008C5949">
              <w:rPr>
                <w:szCs w:val="16"/>
              </w:rPr>
              <w:t>The stigma associated with mental illness within Aboriginal and Torres Strait Islander communities. Some providers shared that in their experience Aboriginal and Torres Strait Islander people were reluctant to engage with The Way Back as they were worried about what other people and their community would think of them. Providers also mentioned this was particularly true in smaller regional and remote areas.</w:t>
            </w:r>
          </w:p>
        </w:tc>
      </w:tr>
      <w:tr w:rsidR="00293CE9" w:rsidRPr="005825BD" w14:paraId="1A96AB26" w14:textId="77777777" w:rsidTr="00A452B6">
        <w:trPr>
          <w:trHeight w:val="1620"/>
        </w:trPr>
        <w:tc>
          <w:tcPr>
            <w:cnfStyle w:val="001000000000" w:firstRow="0" w:lastRow="0" w:firstColumn="1" w:lastColumn="0" w:oddVBand="0" w:evenVBand="0" w:oddHBand="0" w:evenHBand="0" w:firstRowFirstColumn="0" w:firstRowLastColumn="0" w:lastRowFirstColumn="0" w:lastRowLastColumn="0"/>
            <w:tcW w:w="946" w:type="pct"/>
          </w:tcPr>
          <w:p w14:paraId="72D59EDA" w14:textId="77777777" w:rsidR="00CB0C9C" w:rsidRDefault="007678DD" w:rsidP="009222D9">
            <w:pPr>
              <w:pStyle w:val="TableNText"/>
              <w:spacing w:before="0" w:after="0" w:line="240" w:lineRule="auto"/>
              <w:jc w:val="center"/>
              <w:rPr>
                <w:noProof/>
                <w:color w:val="FFFFFF" w:themeColor="background1"/>
                <w:sz w:val="16"/>
                <w:szCs w:val="16"/>
              </w:rPr>
            </w:pPr>
            <w:r w:rsidRPr="00990A46">
              <w:rPr>
                <w:noProof/>
                <w:color w:val="FFFFFF" w:themeColor="background1"/>
                <w:sz w:val="16"/>
                <w:szCs w:val="16"/>
              </w:rPr>
              <mc:AlternateContent>
                <mc:Choice Requires="wpg">
                  <w:drawing>
                    <wp:inline distT="0" distB="0" distL="0" distR="0" wp14:anchorId="07879915" wp14:editId="52D8CA62">
                      <wp:extent cx="389640" cy="336653"/>
                      <wp:effectExtent l="0" t="0" r="0" b="6350"/>
                      <wp:docPr id="27791" name="Group 16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9640" cy="336653"/>
                                <a:chOff x="0" y="0"/>
                                <a:chExt cx="606426" cy="523875"/>
                              </a:xfrm>
                              <a:solidFill>
                                <a:schemeClr val="accent6"/>
                              </a:solidFill>
                            </wpg:grpSpPr>
                            <wps:wsp>
                              <wps:cNvPr id="27792" name="Freeform 13"/>
                              <wps:cNvSpPr>
                                <a:spLocks noEditPoints="1"/>
                              </wps:cNvSpPr>
                              <wps:spPr bwMode="auto">
                                <a:xfrm>
                                  <a:off x="182563" y="241300"/>
                                  <a:ext cx="238125" cy="282575"/>
                                </a:xfrm>
                                <a:custGeom>
                                  <a:avLst/>
                                  <a:gdLst>
                                    <a:gd name="T0" fmla="*/ 60 w 78"/>
                                    <a:gd name="T1" fmla="*/ 70 h 93"/>
                                    <a:gd name="T2" fmla="*/ 60 w 78"/>
                                    <a:gd name="T3" fmla="*/ 71 h 93"/>
                                    <a:gd name="T4" fmla="*/ 60 w 78"/>
                                    <a:gd name="T5" fmla="*/ 70 h 93"/>
                                    <a:gd name="T6" fmla="*/ 60 w 78"/>
                                    <a:gd name="T7" fmla="*/ 70 h 93"/>
                                    <a:gd name="T8" fmla="*/ 55 w 78"/>
                                    <a:gd name="T9" fmla="*/ 68 h 93"/>
                                    <a:gd name="T10" fmla="*/ 56 w 78"/>
                                    <a:gd name="T11" fmla="*/ 58 h 93"/>
                                    <a:gd name="T12" fmla="*/ 59 w 78"/>
                                    <a:gd name="T13" fmla="*/ 49 h 93"/>
                                    <a:gd name="T14" fmla="*/ 66 w 78"/>
                                    <a:gd name="T15" fmla="*/ 39 h 93"/>
                                    <a:gd name="T16" fmla="*/ 65 w 78"/>
                                    <a:gd name="T17" fmla="*/ 30 h 93"/>
                                    <a:gd name="T18" fmla="*/ 64 w 78"/>
                                    <a:gd name="T19" fmla="*/ 29 h 93"/>
                                    <a:gd name="T20" fmla="*/ 60 w 78"/>
                                    <a:gd name="T21" fmla="*/ 11 h 93"/>
                                    <a:gd name="T22" fmla="*/ 39 w 78"/>
                                    <a:gd name="T23" fmla="*/ 0 h 93"/>
                                    <a:gd name="T24" fmla="*/ 17 w 78"/>
                                    <a:gd name="T25" fmla="*/ 11 h 93"/>
                                    <a:gd name="T26" fmla="*/ 14 w 78"/>
                                    <a:gd name="T27" fmla="*/ 29 h 93"/>
                                    <a:gd name="T28" fmla="*/ 13 w 78"/>
                                    <a:gd name="T29" fmla="*/ 30 h 93"/>
                                    <a:gd name="T30" fmla="*/ 12 w 78"/>
                                    <a:gd name="T31" fmla="*/ 39 h 93"/>
                                    <a:gd name="T32" fmla="*/ 18 w 78"/>
                                    <a:gd name="T33" fmla="*/ 49 h 93"/>
                                    <a:gd name="T34" fmla="*/ 22 w 78"/>
                                    <a:gd name="T35" fmla="*/ 58 h 93"/>
                                    <a:gd name="T36" fmla="*/ 22 w 78"/>
                                    <a:gd name="T37" fmla="*/ 68 h 93"/>
                                    <a:gd name="T38" fmla="*/ 16 w 78"/>
                                    <a:gd name="T39" fmla="*/ 71 h 93"/>
                                    <a:gd name="T40" fmla="*/ 0 w 78"/>
                                    <a:gd name="T41" fmla="*/ 90 h 93"/>
                                    <a:gd name="T42" fmla="*/ 3 w 78"/>
                                    <a:gd name="T43" fmla="*/ 93 h 93"/>
                                    <a:gd name="T44" fmla="*/ 75 w 78"/>
                                    <a:gd name="T45" fmla="*/ 93 h 93"/>
                                    <a:gd name="T46" fmla="*/ 78 w 78"/>
                                    <a:gd name="T47" fmla="*/ 90 h 93"/>
                                    <a:gd name="T48" fmla="*/ 60 w 78"/>
                                    <a:gd name="T49" fmla="*/ 70 h 93"/>
                                    <a:gd name="T50" fmla="*/ 6 w 78"/>
                                    <a:gd name="T51" fmla="*/ 87 h 93"/>
                                    <a:gd name="T52" fmla="*/ 19 w 78"/>
                                    <a:gd name="T53" fmla="*/ 76 h 93"/>
                                    <a:gd name="T54" fmla="*/ 27 w 78"/>
                                    <a:gd name="T55" fmla="*/ 70 h 93"/>
                                    <a:gd name="T56" fmla="*/ 28 w 78"/>
                                    <a:gd name="T57" fmla="*/ 56 h 93"/>
                                    <a:gd name="T58" fmla="*/ 27 w 78"/>
                                    <a:gd name="T59" fmla="*/ 55 h 93"/>
                                    <a:gd name="T60" fmla="*/ 23 w 78"/>
                                    <a:gd name="T61" fmla="*/ 46 h 93"/>
                                    <a:gd name="T62" fmla="*/ 20 w 78"/>
                                    <a:gd name="T63" fmla="*/ 44 h 93"/>
                                    <a:gd name="T64" fmla="*/ 17 w 78"/>
                                    <a:gd name="T65" fmla="*/ 38 h 93"/>
                                    <a:gd name="T66" fmla="*/ 17 w 78"/>
                                    <a:gd name="T67" fmla="*/ 34 h 93"/>
                                    <a:gd name="T68" fmla="*/ 19 w 78"/>
                                    <a:gd name="T69" fmla="*/ 32 h 93"/>
                                    <a:gd name="T70" fmla="*/ 20 w 78"/>
                                    <a:gd name="T71" fmla="*/ 30 h 93"/>
                                    <a:gd name="T72" fmla="*/ 22 w 78"/>
                                    <a:gd name="T73" fmla="*/ 14 h 93"/>
                                    <a:gd name="T74" fmla="*/ 39 w 78"/>
                                    <a:gd name="T75" fmla="*/ 6 h 93"/>
                                    <a:gd name="T76" fmla="*/ 56 w 78"/>
                                    <a:gd name="T77" fmla="*/ 14 h 93"/>
                                    <a:gd name="T78" fmla="*/ 58 w 78"/>
                                    <a:gd name="T79" fmla="*/ 30 h 93"/>
                                    <a:gd name="T80" fmla="*/ 58 w 78"/>
                                    <a:gd name="T81" fmla="*/ 32 h 93"/>
                                    <a:gd name="T82" fmla="*/ 60 w 78"/>
                                    <a:gd name="T83" fmla="*/ 34 h 93"/>
                                    <a:gd name="T84" fmla="*/ 60 w 78"/>
                                    <a:gd name="T85" fmla="*/ 38 h 93"/>
                                    <a:gd name="T86" fmla="*/ 57 w 78"/>
                                    <a:gd name="T87" fmla="*/ 44 h 93"/>
                                    <a:gd name="T88" fmla="*/ 54 w 78"/>
                                    <a:gd name="T89" fmla="*/ 46 h 93"/>
                                    <a:gd name="T90" fmla="*/ 50 w 78"/>
                                    <a:gd name="T91" fmla="*/ 55 h 93"/>
                                    <a:gd name="T92" fmla="*/ 50 w 78"/>
                                    <a:gd name="T93" fmla="*/ 56 h 93"/>
                                    <a:gd name="T94" fmla="*/ 50 w 78"/>
                                    <a:gd name="T95" fmla="*/ 70 h 93"/>
                                    <a:gd name="T96" fmla="*/ 58 w 78"/>
                                    <a:gd name="T97" fmla="*/ 75 h 93"/>
                                    <a:gd name="T98" fmla="*/ 72 w 78"/>
                                    <a:gd name="T99" fmla="*/ 87 h 93"/>
                                    <a:gd name="T100" fmla="*/ 6 w 78"/>
                                    <a:gd name="T101" fmla="*/ 87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8" h="93">
                                      <a:moveTo>
                                        <a:pt x="60" y="70"/>
                                      </a:moveTo>
                                      <a:cubicBezTo>
                                        <a:pt x="60" y="71"/>
                                        <a:pt x="60" y="71"/>
                                        <a:pt x="60" y="71"/>
                                      </a:cubicBezTo>
                                      <a:cubicBezTo>
                                        <a:pt x="60" y="70"/>
                                        <a:pt x="60" y="70"/>
                                        <a:pt x="60" y="70"/>
                                      </a:cubicBezTo>
                                      <a:cubicBezTo>
                                        <a:pt x="60" y="70"/>
                                        <a:pt x="60" y="70"/>
                                        <a:pt x="60" y="70"/>
                                      </a:cubicBezTo>
                                      <a:cubicBezTo>
                                        <a:pt x="57" y="69"/>
                                        <a:pt x="56" y="68"/>
                                        <a:pt x="55" y="68"/>
                                      </a:cubicBezTo>
                                      <a:cubicBezTo>
                                        <a:pt x="55" y="66"/>
                                        <a:pt x="55" y="61"/>
                                        <a:pt x="56" y="58"/>
                                      </a:cubicBezTo>
                                      <a:cubicBezTo>
                                        <a:pt x="57" y="55"/>
                                        <a:pt x="58" y="52"/>
                                        <a:pt x="59" y="49"/>
                                      </a:cubicBezTo>
                                      <a:cubicBezTo>
                                        <a:pt x="63" y="48"/>
                                        <a:pt x="65" y="43"/>
                                        <a:pt x="66" y="39"/>
                                      </a:cubicBezTo>
                                      <a:cubicBezTo>
                                        <a:pt x="67" y="35"/>
                                        <a:pt x="66" y="32"/>
                                        <a:pt x="65" y="30"/>
                                      </a:cubicBezTo>
                                      <a:cubicBezTo>
                                        <a:pt x="65" y="30"/>
                                        <a:pt x="64" y="29"/>
                                        <a:pt x="64" y="29"/>
                                      </a:cubicBezTo>
                                      <a:cubicBezTo>
                                        <a:pt x="65" y="23"/>
                                        <a:pt x="64" y="16"/>
                                        <a:pt x="60" y="11"/>
                                      </a:cubicBezTo>
                                      <a:cubicBezTo>
                                        <a:pt x="56" y="4"/>
                                        <a:pt x="48" y="0"/>
                                        <a:pt x="39" y="0"/>
                                      </a:cubicBezTo>
                                      <a:cubicBezTo>
                                        <a:pt x="30" y="0"/>
                                        <a:pt x="22" y="4"/>
                                        <a:pt x="17" y="11"/>
                                      </a:cubicBezTo>
                                      <a:cubicBezTo>
                                        <a:pt x="14" y="16"/>
                                        <a:pt x="12" y="22"/>
                                        <a:pt x="14" y="29"/>
                                      </a:cubicBezTo>
                                      <a:cubicBezTo>
                                        <a:pt x="13" y="29"/>
                                        <a:pt x="13" y="29"/>
                                        <a:pt x="13" y="30"/>
                                      </a:cubicBezTo>
                                      <a:cubicBezTo>
                                        <a:pt x="11" y="32"/>
                                        <a:pt x="11" y="35"/>
                                        <a:pt x="12" y="39"/>
                                      </a:cubicBezTo>
                                      <a:cubicBezTo>
                                        <a:pt x="12" y="43"/>
                                        <a:pt x="14" y="48"/>
                                        <a:pt x="18" y="49"/>
                                      </a:cubicBezTo>
                                      <a:cubicBezTo>
                                        <a:pt x="19" y="52"/>
                                        <a:pt x="21" y="55"/>
                                        <a:pt x="22" y="58"/>
                                      </a:cubicBezTo>
                                      <a:cubicBezTo>
                                        <a:pt x="23" y="61"/>
                                        <a:pt x="23" y="66"/>
                                        <a:pt x="22" y="68"/>
                                      </a:cubicBezTo>
                                      <a:cubicBezTo>
                                        <a:pt x="22" y="69"/>
                                        <a:pt x="18" y="70"/>
                                        <a:pt x="16" y="71"/>
                                      </a:cubicBezTo>
                                      <a:cubicBezTo>
                                        <a:pt x="5" y="75"/>
                                        <a:pt x="0" y="81"/>
                                        <a:pt x="0" y="90"/>
                                      </a:cubicBezTo>
                                      <a:cubicBezTo>
                                        <a:pt x="0" y="91"/>
                                        <a:pt x="1" y="93"/>
                                        <a:pt x="3" y="93"/>
                                      </a:cubicBezTo>
                                      <a:cubicBezTo>
                                        <a:pt x="75" y="93"/>
                                        <a:pt x="75" y="93"/>
                                        <a:pt x="75" y="93"/>
                                      </a:cubicBezTo>
                                      <a:cubicBezTo>
                                        <a:pt x="77" y="93"/>
                                        <a:pt x="78" y="91"/>
                                        <a:pt x="78" y="90"/>
                                      </a:cubicBezTo>
                                      <a:cubicBezTo>
                                        <a:pt x="78" y="77"/>
                                        <a:pt x="66" y="73"/>
                                        <a:pt x="60" y="70"/>
                                      </a:cubicBezTo>
                                      <a:close/>
                                      <a:moveTo>
                                        <a:pt x="6" y="87"/>
                                      </a:moveTo>
                                      <a:cubicBezTo>
                                        <a:pt x="7" y="83"/>
                                        <a:pt x="11" y="79"/>
                                        <a:pt x="19" y="76"/>
                                      </a:cubicBezTo>
                                      <a:cubicBezTo>
                                        <a:pt x="23" y="74"/>
                                        <a:pt x="26" y="73"/>
                                        <a:pt x="27" y="70"/>
                                      </a:cubicBezTo>
                                      <a:cubicBezTo>
                                        <a:pt x="29" y="66"/>
                                        <a:pt x="28" y="58"/>
                                        <a:pt x="28" y="56"/>
                                      </a:cubicBezTo>
                                      <a:cubicBezTo>
                                        <a:pt x="27" y="56"/>
                                        <a:pt x="27" y="56"/>
                                        <a:pt x="27" y="55"/>
                                      </a:cubicBezTo>
                                      <a:cubicBezTo>
                                        <a:pt x="26" y="53"/>
                                        <a:pt x="24" y="49"/>
                                        <a:pt x="23" y="46"/>
                                      </a:cubicBezTo>
                                      <a:cubicBezTo>
                                        <a:pt x="23" y="45"/>
                                        <a:pt x="22" y="44"/>
                                        <a:pt x="20" y="44"/>
                                      </a:cubicBezTo>
                                      <a:cubicBezTo>
                                        <a:pt x="20" y="44"/>
                                        <a:pt x="18" y="42"/>
                                        <a:pt x="17" y="38"/>
                                      </a:cubicBezTo>
                                      <a:cubicBezTo>
                                        <a:pt x="17" y="35"/>
                                        <a:pt x="17" y="34"/>
                                        <a:pt x="17" y="34"/>
                                      </a:cubicBezTo>
                                      <a:cubicBezTo>
                                        <a:pt x="18" y="34"/>
                                        <a:pt x="19" y="33"/>
                                        <a:pt x="19" y="32"/>
                                      </a:cubicBezTo>
                                      <a:cubicBezTo>
                                        <a:pt x="20" y="32"/>
                                        <a:pt x="20" y="31"/>
                                        <a:pt x="20" y="30"/>
                                      </a:cubicBezTo>
                                      <a:cubicBezTo>
                                        <a:pt x="18" y="24"/>
                                        <a:pt x="19" y="18"/>
                                        <a:pt x="22" y="14"/>
                                      </a:cubicBezTo>
                                      <a:cubicBezTo>
                                        <a:pt x="26" y="9"/>
                                        <a:pt x="31" y="6"/>
                                        <a:pt x="39" y="6"/>
                                      </a:cubicBezTo>
                                      <a:cubicBezTo>
                                        <a:pt x="46" y="6"/>
                                        <a:pt x="52" y="9"/>
                                        <a:pt x="56" y="14"/>
                                      </a:cubicBezTo>
                                      <a:cubicBezTo>
                                        <a:pt x="59" y="18"/>
                                        <a:pt x="60" y="24"/>
                                        <a:pt x="58" y="30"/>
                                      </a:cubicBezTo>
                                      <a:cubicBezTo>
                                        <a:pt x="58" y="31"/>
                                        <a:pt x="58" y="32"/>
                                        <a:pt x="58" y="32"/>
                                      </a:cubicBezTo>
                                      <a:cubicBezTo>
                                        <a:pt x="59" y="33"/>
                                        <a:pt x="60" y="34"/>
                                        <a:pt x="60" y="34"/>
                                      </a:cubicBezTo>
                                      <a:cubicBezTo>
                                        <a:pt x="61" y="34"/>
                                        <a:pt x="61" y="35"/>
                                        <a:pt x="60" y="38"/>
                                      </a:cubicBezTo>
                                      <a:cubicBezTo>
                                        <a:pt x="60" y="42"/>
                                        <a:pt x="58" y="44"/>
                                        <a:pt x="57" y="44"/>
                                      </a:cubicBezTo>
                                      <a:cubicBezTo>
                                        <a:pt x="56" y="44"/>
                                        <a:pt x="55" y="45"/>
                                        <a:pt x="54" y="46"/>
                                      </a:cubicBezTo>
                                      <a:cubicBezTo>
                                        <a:pt x="53" y="49"/>
                                        <a:pt x="52" y="53"/>
                                        <a:pt x="50" y="55"/>
                                      </a:cubicBezTo>
                                      <a:cubicBezTo>
                                        <a:pt x="50" y="56"/>
                                        <a:pt x="50" y="56"/>
                                        <a:pt x="50" y="56"/>
                                      </a:cubicBezTo>
                                      <a:cubicBezTo>
                                        <a:pt x="50" y="58"/>
                                        <a:pt x="48" y="66"/>
                                        <a:pt x="50" y="70"/>
                                      </a:cubicBezTo>
                                      <a:cubicBezTo>
                                        <a:pt x="51" y="73"/>
                                        <a:pt x="54" y="74"/>
                                        <a:pt x="58" y="75"/>
                                      </a:cubicBezTo>
                                      <a:cubicBezTo>
                                        <a:pt x="66" y="78"/>
                                        <a:pt x="70" y="82"/>
                                        <a:pt x="72" y="87"/>
                                      </a:cubicBezTo>
                                      <a:lnTo>
                                        <a:pt x="6" y="8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794" name="Freeform 14"/>
                              <wps:cNvSpPr>
                                <a:spLocks/>
                              </wps:cNvSpPr>
                              <wps:spPr bwMode="auto">
                                <a:xfrm>
                                  <a:off x="182563" y="0"/>
                                  <a:ext cx="238125" cy="284163"/>
                                </a:xfrm>
                                <a:custGeom>
                                  <a:avLst/>
                                  <a:gdLst>
                                    <a:gd name="T0" fmla="*/ 18 w 78"/>
                                    <a:gd name="T1" fmla="*/ 49 h 93"/>
                                    <a:gd name="T2" fmla="*/ 22 w 78"/>
                                    <a:gd name="T3" fmla="*/ 58 h 93"/>
                                    <a:gd name="T4" fmla="*/ 22 w 78"/>
                                    <a:gd name="T5" fmla="*/ 68 h 93"/>
                                    <a:gd name="T6" fmla="*/ 16 w 78"/>
                                    <a:gd name="T7" fmla="*/ 70 h 93"/>
                                    <a:gd name="T8" fmla="*/ 0 w 78"/>
                                    <a:gd name="T9" fmla="*/ 90 h 93"/>
                                    <a:gd name="T10" fmla="*/ 3 w 78"/>
                                    <a:gd name="T11" fmla="*/ 93 h 93"/>
                                    <a:gd name="T12" fmla="*/ 10 w 78"/>
                                    <a:gd name="T13" fmla="*/ 93 h 93"/>
                                    <a:gd name="T14" fmla="*/ 14 w 78"/>
                                    <a:gd name="T15" fmla="*/ 87 h 93"/>
                                    <a:gd name="T16" fmla="*/ 6 w 78"/>
                                    <a:gd name="T17" fmla="*/ 87 h 93"/>
                                    <a:gd name="T18" fmla="*/ 19 w 78"/>
                                    <a:gd name="T19" fmla="*/ 76 h 93"/>
                                    <a:gd name="T20" fmla="*/ 27 w 78"/>
                                    <a:gd name="T21" fmla="*/ 70 h 93"/>
                                    <a:gd name="T22" fmla="*/ 28 w 78"/>
                                    <a:gd name="T23" fmla="*/ 56 h 93"/>
                                    <a:gd name="T24" fmla="*/ 27 w 78"/>
                                    <a:gd name="T25" fmla="*/ 55 h 93"/>
                                    <a:gd name="T26" fmla="*/ 23 w 78"/>
                                    <a:gd name="T27" fmla="*/ 46 h 93"/>
                                    <a:gd name="T28" fmla="*/ 20 w 78"/>
                                    <a:gd name="T29" fmla="*/ 44 h 93"/>
                                    <a:gd name="T30" fmla="*/ 17 w 78"/>
                                    <a:gd name="T31" fmla="*/ 38 h 93"/>
                                    <a:gd name="T32" fmla="*/ 17 w 78"/>
                                    <a:gd name="T33" fmla="*/ 33 h 93"/>
                                    <a:gd name="T34" fmla="*/ 19 w 78"/>
                                    <a:gd name="T35" fmla="*/ 32 h 93"/>
                                    <a:gd name="T36" fmla="*/ 20 w 78"/>
                                    <a:gd name="T37" fmla="*/ 30 h 93"/>
                                    <a:gd name="T38" fmla="*/ 22 w 78"/>
                                    <a:gd name="T39" fmla="*/ 14 h 93"/>
                                    <a:gd name="T40" fmla="*/ 39 w 78"/>
                                    <a:gd name="T41" fmla="*/ 6 h 93"/>
                                    <a:gd name="T42" fmla="*/ 56 w 78"/>
                                    <a:gd name="T43" fmla="*/ 14 h 93"/>
                                    <a:gd name="T44" fmla="*/ 58 w 78"/>
                                    <a:gd name="T45" fmla="*/ 30 h 93"/>
                                    <a:gd name="T46" fmla="*/ 58 w 78"/>
                                    <a:gd name="T47" fmla="*/ 32 h 93"/>
                                    <a:gd name="T48" fmla="*/ 60 w 78"/>
                                    <a:gd name="T49" fmla="*/ 33 h 93"/>
                                    <a:gd name="T50" fmla="*/ 60 w 78"/>
                                    <a:gd name="T51" fmla="*/ 38 h 93"/>
                                    <a:gd name="T52" fmla="*/ 57 w 78"/>
                                    <a:gd name="T53" fmla="*/ 44 h 93"/>
                                    <a:gd name="T54" fmla="*/ 54 w 78"/>
                                    <a:gd name="T55" fmla="*/ 46 h 93"/>
                                    <a:gd name="T56" fmla="*/ 50 w 78"/>
                                    <a:gd name="T57" fmla="*/ 55 h 93"/>
                                    <a:gd name="T58" fmla="*/ 50 w 78"/>
                                    <a:gd name="T59" fmla="*/ 56 h 93"/>
                                    <a:gd name="T60" fmla="*/ 50 w 78"/>
                                    <a:gd name="T61" fmla="*/ 70 h 93"/>
                                    <a:gd name="T62" fmla="*/ 58 w 78"/>
                                    <a:gd name="T63" fmla="*/ 75 h 93"/>
                                    <a:gd name="T64" fmla="*/ 72 w 78"/>
                                    <a:gd name="T65" fmla="*/ 87 h 93"/>
                                    <a:gd name="T66" fmla="*/ 64 w 78"/>
                                    <a:gd name="T67" fmla="*/ 87 h 93"/>
                                    <a:gd name="T68" fmla="*/ 67 w 78"/>
                                    <a:gd name="T69" fmla="*/ 93 h 93"/>
                                    <a:gd name="T70" fmla="*/ 75 w 78"/>
                                    <a:gd name="T71" fmla="*/ 93 h 93"/>
                                    <a:gd name="T72" fmla="*/ 78 w 78"/>
                                    <a:gd name="T73" fmla="*/ 90 h 93"/>
                                    <a:gd name="T74" fmla="*/ 60 w 78"/>
                                    <a:gd name="T75" fmla="*/ 70 h 93"/>
                                    <a:gd name="T76" fmla="*/ 60 w 78"/>
                                    <a:gd name="T77" fmla="*/ 71 h 93"/>
                                    <a:gd name="T78" fmla="*/ 60 w 78"/>
                                    <a:gd name="T79" fmla="*/ 70 h 93"/>
                                    <a:gd name="T80" fmla="*/ 60 w 78"/>
                                    <a:gd name="T81" fmla="*/ 70 h 93"/>
                                    <a:gd name="T82" fmla="*/ 55 w 78"/>
                                    <a:gd name="T83" fmla="*/ 68 h 93"/>
                                    <a:gd name="T84" fmla="*/ 56 w 78"/>
                                    <a:gd name="T85" fmla="*/ 58 h 93"/>
                                    <a:gd name="T86" fmla="*/ 59 w 78"/>
                                    <a:gd name="T87" fmla="*/ 49 h 93"/>
                                    <a:gd name="T88" fmla="*/ 66 w 78"/>
                                    <a:gd name="T89" fmla="*/ 39 h 93"/>
                                    <a:gd name="T90" fmla="*/ 65 w 78"/>
                                    <a:gd name="T91" fmla="*/ 30 h 93"/>
                                    <a:gd name="T92" fmla="*/ 64 w 78"/>
                                    <a:gd name="T93" fmla="*/ 29 h 93"/>
                                    <a:gd name="T94" fmla="*/ 60 w 78"/>
                                    <a:gd name="T95" fmla="*/ 10 h 93"/>
                                    <a:gd name="T96" fmla="*/ 39 w 78"/>
                                    <a:gd name="T97" fmla="*/ 0 h 93"/>
                                    <a:gd name="T98" fmla="*/ 17 w 78"/>
                                    <a:gd name="T99" fmla="*/ 10 h 93"/>
                                    <a:gd name="T100" fmla="*/ 14 w 78"/>
                                    <a:gd name="T101" fmla="*/ 29 h 93"/>
                                    <a:gd name="T102" fmla="*/ 13 w 78"/>
                                    <a:gd name="T103" fmla="*/ 30 h 93"/>
                                    <a:gd name="T104" fmla="*/ 12 w 78"/>
                                    <a:gd name="T105" fmla="*/ 39 h 93"/>
                                    <a:gd name="T106" fmla="*/ 18 w 78"/>
                                    <a:gd name="T107" fmla="*/ 49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78" h="93">
                                      <a:moveTo>
                                        <a:pt x="18" y="49"/>
                                      </a:moveTo>
                                      <a:cubicBezTo>
                                        <a:pt x="19" y="52"/>
                                        <a:pt x="21" y="55"/>
                                        <a:pt x="22" y="58"/>
                                      </a:cubicBezTo>
                                      <a:cubicBezTo>
                                        <a:pt x="23" y="61"/>
                                        <a:pt x="23" y="66"/>
                                        <a:pt x="22" y="68"/>
                                      </a:cubicBezTo>
                                      <a:cubicBezTo>
                                        <a:pt x="22" y="69"/>
                                        <a:pt x="18" y="70"/>
                                        <a:pt x="16" y="70"/>
                                      </a:cubicBezTo>
                                      <a:cubicBezTo>
                                        <a:pt x="5" y="75"/>
                                        <a:pt x="0" y="81"/>
                                        <a:pt x="0" y="90"/>
                                      </a:cubicBezTo>
                                      <a:cubicBezTo>
                                        <a:pt x="0" y="91"/>
                                        <a:pt x="1" y="93"/>
                                        <a:pt x="3" y="93"/>
                                      </a:cubicBezTo>
                                      <a:cubicBezTo>
                                        <a:pt x="10" y="93"/>
                                        <a:pt x="10" y="93"/>
                                        <a:pt x="10" y="93"/>
                                      </a:cubicBezTo>
                                      <a:cubicBezTo>
                                        <a:pt x="14" y="87"/>
                                        <a:pt x="14" y="87"/>
                                        <a:pt x="14" y="87"/>
                                      </a:cubicBezTo>
                                      <a:cubicBezTo>
                                        <a:pt x="6" y="87"/>
                                        <a:pt x="6" y="87"/>
                                        <a:pt x="6" y="87"/>
                                      </a:cubicBezTo>
                                      <a:cubicBezTo>
                                        <a:pt x="7" y="83"/>
                                        <a:pt x="11" y="79"/>
                                        <a:pt x="19" y="76"/>
                                      </a:cubicBezTo>
                                      <a:cubicBezTo>
                                        <a:pt x="23" y="74"/>
                                        <a:pt x="26" y="73"/>
                                        <a:pt x="27" y="70"/>
                                      </a:cubicBezTo>
                                      <a:cubicBezTo>
                                        <a:pt x="29" y="66"/>
                                        <a:pt x="28" y="58"/>
                                        <a:pt x="28" y="56"/>
                                      </a:cubicBezTo>
                                      <a:cubicBezTo>
                                        <a:pt x="27" y="56"/>
                                        <a:pt x="27" y="55"/>
                                        <a:pt x="27" y="55"/>
                                      </a:cubicBezTo>
                                      <a:cubicBezTo>
                                        <a:pt x="26" y="52"/>
                                        <a:pt x="24" y="49"/>
                                        <a:pt x="23" y="46"/>
                                      </a:cubicBezTo>
                                      <a:cubicBezTo>
                                        <a:pt x="23" y="44"/>
                                        <a:pt x="22" y="44"/>
                                        <a:pt x="20" y="44"/>
                                      </a:cubicBezTo>
                                      <a:cubicBezTo>
                                        <a:pt x="20" y="44"/>
                                        <a:pt x="18" y="41"/>
                                        <a:pt x="17" y="38"/>
                                      </a:cubicBezTo>
                                      <a:cubicBezTo>
                                        <a:pt x="17" y="35"/>
                                        <a:pt x="17" y="34"/>
                                        <a:pt x="17" y="33"/>
                                      </a:cubicBezTo>
                                      <a:cubicBezTo>
                                        <a:pt x="18" y="33"/>
                                        <a:pt x="19" y="33"/>
                                        <a:pt x="19" y="32"/>
                                      </a:cubicBezTo>
                                      <a:cubicBezTo>
                                        <a:pt x="20" y="32"/>
                                        <a:pt x="20" y="31"/>
                                        <a:pt x="20" y="30"/>
                                      </a:cubicBezTo>
                                      <a:cubicBezTo>
                                        <a:pt x="18" y="24"/>
                                        <a:pt x="19" y="18"/>
                                        <a:pt x="22" y="14"/>
                                      </a:cubicBezTo>
                                      <a:cubicBezTo>
                                        <a:pt x="26" y="9"/>
                                        <a:pt x="31" y="6"/>
                                        <a:pt x="39" y="6"/>
                                      </a:cubicBezTo>
                                      <a:cubicBezTo>
                                        <a:pt x="46" y="6"/>
                                        <a:pt x="52" y="9"/>
                                        <a:pt x="56" y="14"/>
                                      </a:cubicBezTo>
                                      <a:cubicBezTo>
                                        <a:pt x="59" y="18"/>
                                        <a:pt x="60" y="24"/>
                                        <a:pt x="58" y="30"/>
                                      </a:cubicBezTo>
                                      <a:cubicBezTo>
                                        <a:pt x="58" y="31"/>
                                        <a:pt x="58" y="32"/>
                                        <a:pt x="58" y="32"/>
                                      </a:cubicBezTo>
                                      <a:cubicBezTo>
                                        <a:pt x="59" y="33"/>
                                        <a:pt x="60" y="33"/>
                                        <a:pt x="60" y="33"/>
                                      </a:cubicBezTo>
                                      <a:cubicBezTo>
                                        <a:pt x="61" y="34"/>
                                        <a:pt x="61" y="35"/>
                                        <a:pt x="60" y="38"/>
                                      </a:cubicBezTo>
                                      <a:cubicBezTo>
                                        <a:pt x="60" y="41"/>
                                        <a:pt x="58" y="44"/>
                                        <a:pt x="57" y="44"/>
                                      </a:cubicBezTo>
                                      <a:cubicBezTo>
                                        <a:pt x="56" y="44"/>
                                        <a:pt x="55" y="44"/>
                                        <a:pt x="54" y="46"/>
                                      </a:cubicBezTo>
                                      <a:cubicBezTo>
                                        <a:pt x="53" y="49"/>
                                        <a:pt x="52" y="52"/>
                                        <a:pt x="50" y="55"/>
                                      </a:cubicBezTo>
                                      <a:cubicBezTo>
                                        <a:pt x="50" y="55"/>
                                        <a:pt x="50" y="56"/>
                                        <a:pt x="50" y="56"/>
                                      </a:cubicBezTo>
                                      <a:cubicBezTo>
                                        <a:pt x="50" y="58"/>
                                        <a:pt x="48" y="65"/>
                                        <a:pt x="50" y="70"/>
                                      </a:cubicBezTo>
                                      <a:cubicBezTo>
                                        <a:pt x="51" y="72"/>
                                        <a:pt x="54" y="74"/>
                                        <a:pt x="58" y="75"/>
                                      </a:cubicBezTo>
                                      <a:cubicBezTo>
                                        <a:pt x="66" y="78"/>
                                        <a:pt x="70" y="82"/>
                                        <a:pt x="72" y="87"/>
                                      </a:cubicBezTo>
                                      <a:cubicBezTo>
                                        <a:pt x="64" y="87"/>
                                        <a:pt x="64" y="87"/>
                                        <a:pt x="64" y="87"/>
                                      </a:cubicBezTo>
                                      <a:cubicBezTo>
                                        <a:pt x="67" y="93"/>
                                        <a:pt x="67" y="93"/>
                                        <a:pt x="67" y="93"/>
                                      </a:cubicBezTo>
                                      <a:cubicBezTo>
                                        <a:pt x="75" y="93"/>
                                        <a:pt x="75" y="93"/>
                                        <a:pt x="75" y="93"/>
                                      </a:cubicBezTo>
                                      <a:cubicBezTo>
                                        <a:pt x="77" y="93"/>
                                        <a:pt x="78" y="91"/>
                                        <a:pt x="78" y="90"/>
                                      </a:cubicBezTo>
                                      <a:cubicBezTo>
                                        <a:pt x="78" y="77"/>
                                        <a:pt x="66" y="72"/>
                                        <a:pt x="60" y="70"/>
                                      </a:cubicBezTo>
                                      <a:cubicBezTo>
                                        <a:pt x="60" y="71"/>
                                        <a:pt x="60" y="71"/>
                                        <a:pt x="60" y="71"/>
                                      </a:cubicBezTo>
                                      <a:cubicBezTo>
                                        <a:pt x="60" y="70"/>
                                        <a:pt x="60" y="70"/>
                                        <a:pt x="60" y="70"/>
                                      </a:cubicBezTo>
                                      <a:cubicBezTo>
                                        <a:pt x="60" y="70"/>
                                        <a:pt x="60" y="70"/>
                                        <a:pt x="60" y="70"/>
                                      </a:cubicBezTo>
                                      <a:cubicBezTo>
                                        <a:pt x="57" y="69"/>
                                        <a:pt x="56" y="68"/>
                                        <a:pt x="55" y="68"/>
                                      </a:cubicBezTo>
                                      <a:cubicBezTo>
                                        <a:pt x="55" y="65"/>
                                        <a:pt x="55" y="60"/>
                                        <a:pt x="56" y="58"/>
                                      </a:cubicBezTo>
                                      <a:cubicBezTo>
                                        <a:pt x="57" y="55"/>
                                        <a:pt x="58" y="52"/>
                                        <a:pt x="59" y="49"/>
                                      </a:cubicBezTo>
                                      <a:cubicBezTo>
                                        <a:pt x="63" y="47"/>
                                        <a:pt x="65" y="43"/>
                                        <a:pt x="66" y="39"/>
                                      </a:cubicBezTo>
                                      <a:cubicBezTo>
                                        <a:pt x="67" y="34"/>
                                        <a:pt x="66" y="31"/>
                                        <a:pt x="65" y="30"/>
                                      </a:cubicBezTo>
                                      <a:cubicBezTo>
                                        <a:pt x="65" y="29"/>
                                        <a:pt x="64" y="29"/>
                                        <a:pt x="64" y="29"/>
                                      </a:cubicBezTo>
                                      <a:cubicBezTo>
                                        <a:pt x="65" y="22"/>
                                        <a:pt x="64" y="16"/>
                                        <a:pt x="60" y="10"/>
                                      </a:cubicBezTo>
                                      <a:cubicBezTo>
                                        <a:pt x="56" y="4"/>
                                        <a:pt x="48" y="0"/>
                                        <a:pt x="39" y="0"/>
                                      </a:cubicBezTo>
                                      <a:cubicBezTo>
                                        <a:pt x="30" y="0"/>
                                        <a:pt x="22" y="4"/>
                                        <a:pt x="17" y="10"/>
                                      </a:cubicBezTo>
                                      <a:cubicBezTo>
                                        <a:pt x="14" y="16"/>
                                        <a:pt x="12" y="22"/>
                                        <a:pt x="14" y="29"/>
                                      </a:cubicBezTo>
                                      <a:cubicBezTo>
                                        <a:pt x="13" y="29"/>
                                        <a:pt x="13" y="29"/>
                                        <a:pt x="13" y="30"/>
                                      </a:cubicBezTo>
                                      <a:cubicBezTo>
                                        <a:pt x="11" y="31"/>
                                        <a:pt x="11" y="34"/>
                                        <a:pt x="12" y="39"/>
                                      </a:cubicBezTo>
                                      <a:cubicBezTo>
                                        <a:pt x="12" y="43"/>
                                        <a:pt x="14" y="47"/>
                                        <a:pt x="18" y="4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795" name="Freeform 15"/>
                              <wps:cNvSpPr>
                                <a:spLocks/>
                              </wps:cNvSpPr>
                              <wps:spPr bwMode="auto">
                                <a:xfrm>
                                  <a:off x="0" y="79375"/>
                                  <a:ext cx="209550" cy="282575"/>
                                </a:xfrm>
                                <a:custGeom>
                                  <a:avLst/>
                                  <a:gdLst>
                                    <a:gd name="T0" fmla="*/ 67 w 69"/>
                                    <a:gd name="T1" fmla="*/ 87 h 93"/>
                                    <a:gd name="T2" fmla="*/ 6 w 69"/>
                                    <a:gd name="T3" fmla="*/ 87 h 93"/>
                                    <a:gd name="T4" fmla="*/ 19 w 69"/>
                                    <a:gd name="T5" fmla="*/ 76 h 93"/>
                                    <a:gd name="T6" fmla="*/ 27 w 69"/>
                                    <a:gd name="T7" fmla="*/ 70 h 93"/>
                                    <a:gd name="T8" fmla="*/ 27 w 69"/>
                                    <a:gd name="T9" fmla="*/ 56 h 93"/>
                                    <a:gd name="T10" fmla="*/ 27 w 69"/>
                                    <a:gd name="T11" fmla="*/ 55 h 93"/>
                                    <a:gd name="T12" fmla="*/ 23 w 69"/>
                                    <a:gd name="T13" fmla="*/ 46 h 93"/>
                                    <a:gd name="T14" fmla="*/ 20 w 69"/>
                                    <a:gd name="T15" fmla="*/ 44 h 93"/>
                                    <a:gd name="T16" fmla="*/ 17 w 69"/>
                                    <a:gd name="T17" fmla="*/ 38 h 93"/>
                                    <a:gd name="T18" fmla="*/ 17 w 69"/>
                                    <a:gd name="T19" fmla="*/ 33 h 93"/>
                                    <a:gd name="T20" fmla="*/ 19 w 69"/>
                                    <a:gd name="T21" fmla="*/ 32 h 93"/>
                                    <a:gd name="T22" fmla="*/ 19 w 69"/>
                                    <a:gd name="T23" fmla="*/ 30 h 93"/>
                                    <a:gd name="T24" fmla="*/ 22 w 69"/>
                                    <a:gd name="T25" fmla="*/ 14 h 93"/>
                                    <a:gd name="T26" fmla="*/ 39 w 69"/>
                                    <a:gd name="T27" fmla="*/ 6 h 93"/>
                                    <a:gd name="T28" fmla="*/ 55 w 69"/>
                                    <a:gd name="T29" fmla="*/ 14 h 93"/>
                                    <a:gd name="T30" fmla="*/ 58 w 69"/>
                                    <a:gd name="T31" fmla="*/ 30 h 93"/>
                                    <a:gd name="T32" fmla="*/ 58 w 69"/>
                                    <a:gd name="T33" fmla="*/ 32 h 93"/>
                                    <a:gd name="T34" fmla="*/ 60 w 69"/>
                                    <a:gd name="T35" fmla="*/ 33 h 93"/>
                                    <a:gd name="T36" fmla="*/ 60 w 69"/>
                                    <a:gd name="T37" fmla="*/ 38 h 93"/>
                                    <a:gd name="T38" fmla="*/ 57 w 69"/>
                                    <a:gd name="T39" fmla="*/ 44 h 93"/>
                                    <a:gd name="T40" fmla="*/ 54 w 69"/>
                                    <a:gd name="T41" fmla="*/ 46 h 93"/>
                                    <a:gd name="T42" fmla="*/ 50 w 69"/>
                                    <a:gd name="T43" fmla="*/ 55 h 93"/>
                                    <a:gd name="T44" fmla="*/ 50 w 69"/>
                                    <a:gd name="T45" fmla="*/ 56 h 93"/>
                                    <a:gd name="T46" fmla="*/ 50 w 69"/>
                                    <a:gd name="T47" fmla="*/ 70 h 93"/>
                                    <a:gd name="T48" fmla="*/ 57 w 69"/>
                                    <a:gd name="T49" fmla="*/ 75 h 93"/>
                                    <a:gd name="T50" fmla="*/ 68 w 69"/>
                                    <a:gd name="T51" fmla="*/ 81 h 93"/>
                                    <a:gd name="T52" fmla="*/ 69 w 69"/>
                                    <a:gd name="T53" fmla="*/ 74 h 93"/>
                                    <a:gd name="T54" fmla="*/ 60 w 69"/>
                                    <a:gd name="T55" fmla="*/ 70 h 93"/>
                                    <a:gd name="T56" fmla="*/ 59 w 69"/>
                                    <a:gd name="T57" fmla="*/ 70 h 93"/>
                                    <a:gd name="T58" fmla="*/ 55 w 69"/>
                                    <a:gd name="T59" fmla="*/ 67 h 93"/>
                                    <a:gd name="T60" fmla="*/ 55 w 69"/>
                                    <a:gd name="T61" fmla="*/ 57 h 93"/>
                                    <a:gd name="T62" fmla="*/ 59 w 69"/>
                                    <a:gd name="T63" fmla="*/ 49 h 93"/>
                                    <a:gd name="T64" fmla="*/ 66 w 69"/>
                                    <a:gd name="T65" fmla="*/ 39 h 93"/>
                                    <a:gd name="T66" fmla="*/ 65 w 69"/>
                                    <a:gd name="T67" fmla="*/ 29 h 93"/>
                                    <a:gd name="T68" fmla="*/ 64 w 69"/>
                                    <a:gd name="T69" fmla="*/ 29 h 93"/>
                                    <a:gd name="T70" fmla="*/ 60 w 69"/>
                                    <a:gd name="T71" fmla="*/ 10 h 93"/>
                                    <a:gd name="T72" fmla="*/ 39 w 69"/>
                                    <a:gd name="T73" fmla="*/ 0 h 93"/>
                                    <a:gd name="T74" fmla="*/ 17 w 69"/>
                                    <a:gd name="T75" fmla="*/ 10 h 93"/>
                                    <a:gd name="T76" fmla="*/ 13 w 69"/>
                                    <a:gd name="T77" fmla="*/ 29 h 93"/>
                                    <a:gd name="T78" fmla="*/ 13 w 69"/>
                                    <a:gd name="T79" fmla="*/ 29 h 93"/>
                                    <a:gd name="T80" fmla="*/ 11 w 69"/>
                                    <a:gd name="T81" fmla="*/ 39 h 93"/>
                                    <a:gd name="T82" fmla="*/ 18 w 69"/>
                                    <a:gd name="T83" fmla="*/ 49 h 93"/>
                                    <a:gd name="T84" fmla="*/ 22 w 69"/>
                                    <a:gd name="T85" fmla="*/ 57 h 93"/>
                                    <a:gd name="T86" fmla="*/ 22 w 69"/>
                                    <a:gd name="T87" fmla="*/ 67 h 93"/>
                                    <a:gd name="T88" fmla="*/ 16 w 69"/>
                                    <a:gd name="T89" fmla="*/ 70 h 93"/>
                                    <a:gd name="T90" fmla="*/ 0 w 69"/>
                                    <a:gd name="T91" fmla="*/ 90 h 93"/>
                                    <a:gd name="T92" fmla="*/ 3 w 69"/>
                                    <a:gd name="T93" fmla="*/ 93 h 93"/>
                                    <a:gd name="T94" fmla="*/ 67 w 69"/>
                                    <a:gd name="T95" fmla="*/ 93 h 93"/>
                                    <a:gd name="T96" fmla="*/ 67 w 69"/>
                                    <a:gd name="T97" fmla="*/ 87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9" h="93">
                                      <a:moveTo>
                                        <a:pt x="67" y="87"/>
                                      </a:moveTo>
                                      <a:cubicBezTo>
                                        <a:pt x="6" y="87"/>
                                        <a:pt x="6" y="87"/>
                                        <a:pt x="6" y="87"/>
                                      </a:cubicBezTo>
                                      <a:cubicBezTo>
                                        <a:pt x="7" y="83"/>
                                        <a:pt x="11" y="79"/>
                                        <a:pt x="19" y="76"/>
                                      </a:cubicBezTo>
                                      <a:cubicBezTo>
                                        <a:pt x="23" y="74"/>
                                        <a:pt x="26" y="73"/>
                                        <a:pt x="27" y="70"/>
                                      </a:cubicBezTo>
                                      <a:cubicBezTo>
                                        <a:pt x="29" y="65"/>
                                        <a:pt x="28" y="57"/>
                                        <a:pt x="27" y="56"/>
                                      </a:cubicBezTo>
                                      <a:cubicBezTo>
                                        <a:pt x="27" y="56"/>
                                        <a:pt x="27" y="55"/>
                                        <a:pt x="27" y="55"/>
                                      </a:cubicBezTo>
                                      <a:cubicBezTo>
                                        <a:pt x="25" y="52"/>
                                        <a:pt x="24" y="49"/>
                                        <a:pt x="23" y="46"/>
                                      </a:cubicBezTo>
                                      <a:cubicBezTo>
                                        <a:pt x="23" y="44"/>
                                        <a:pt x="21" y="44"/>
                                        <a:pt x="20" y="44"/>
                                      </a:cubicBezTo>
                                      <a:cubicBezTo>
                                        <a:pt x="20" y="44"/>
                                        <a:pt x="18" y="41"/>
                                        <a:pt x="17" y="38"/>
                                      </a:cubicBezTo>
                                      <a:cubicBezTo>
                                        <a:pt x="17" y="35"/>
                                        <a:pt x="17" y="34"/>
                                        <a:pt x="17" y="33"/>
                                      </a:cubicBezTo>
                                      <a:cubicBezTo>
                                        <a:pt x="18" y="33"/>
                                        <a:pt x="19" y="33"/>
                                        <a:pt x="19" y="32"/>
                                      </a:cubicBezTo>
                                      <a:cubicBezTo>
                                        <a:pt x="20" y="31"/>
                                        <a:pt x="20" y="30"/>
                                        <a:pt x="19" y="30"/>
                                      </a:cubicBezTo>
                                      <a:cubicBezTo>
                                        <a:pt x="18" y="24"/>
                                        <a:pt x="19" y="18"/>
                                        <a:pt x="22" y="14"/>
                                      </a:cubicBezTo>
                                      <a:cubicBezTo>
                                        <a:pt x="25" y="9"/>
                                        <a:pt x="31" y="6"/>
                                        <a:pt x="39" y="6"/>
                                      </a:cubicBezTo>
                                      <a:cubicBezTo>
                                        <a:pt x="46" y="6"/>
                                        <a:pt x="52" y="9"/>
                                        <a:pt x="55" y="14"/>
                                      </a:cubicBezTo>
                                      <a:cubicBezTo>
                                        <a:pt x="59" y="18"/>
                                        <a:pt x="59" y="24"/>
                                        <a:pt x="58" y="30"/>
                                      </a:cubicBezTo>
                                      <a:cubicBezTo>
                                        <a:pt x="57" y="30"/>
                                        <a:pt x="58" y="31"/>
                                        <a:pt x="58" y="32"/>
                                      </a:cubicBezTo>
                                      <a:cubicBezTo>
                                        <a:pt x="59" y="33"/>
                                        <a:pt x="59" y="33"/>
                                        <a:pt x="60" y="33"/>
                                      </a:cubicBezTo>
                                      <a:cubicBezTo>
                                        <a:pt x="60" y="34"/>
                                        <a:pt x="61" y="35"/>
                                        <a:pt x="60" y="38"/>
                                      </a:cubicBezTo>
                                      <a:cubicBezTo>
                                        <a:pt x="60" y="41"/>
                                        <a:pt x="58" y="44"/>
                                        <a:pt x="57" y="44"/>
                                      </a:cubicBezTo>
                                      <a:cubicBezTo>
                                        <a:pt x="56" y="44"/>
                                        <a:pt x="55" y="44"/>
                                        <a:pt x="54" y="46"/>
                                      </a:cubicBezTo>
                                      <a:cubicBezTo>
                                        <a:pt x="53" y="49"/>
                                        <a:pt x="52" y="52"/>
                                        <a:pt x="50" y="55"/>
                                      </a:cubicBezTo>
                                      <a:cubicBezTo>
                                        <a:pt x="50" y="55"/>
                                        <a:pt x="50" y="56"/>
                                        <a:pt x="50" y="56"/>
                                      </a:cubicBezTo>
                                      <a:cubicBezTo>
                                        <a:pt x="49" y="58"/>
                                        <a:pt x="48" y="65"/>
                                        <a:pt x="50" y="70"/>
                                      </a:cubicBezTo>
                                      <a:cubicBezTo>
                                        <a:pt x="51" y="72"/>
                                        <a:pt x="54" y="74"/>
                                        <a:pt x="57" y="75"/>
                                      </a:cubicBezTo>
                                      <a:cubicBezTo>
                                        <a:pt x="62" y="77"/>
                                        <a:pt x="66" y="79"/>
                                        <a:pt x="68" y="81"/>
                                      </a:cubicBezTo>
                                      <a:cubicBezTo>
                                        <a:pt x="69" y="74"/>
                                        <a:pt x="69" y="74"/>
                                        <a:pt x="69" y="74"/>
                                      </a:cubicBezTo>
                                      <a:cubicBezTo>
                                        <a:pt x="66" y="72"/>
                                        <a:pt x="62" y="71"/>
                                        <a:pt x="60" y="70"/>
                                      </a:cubicBezTo>
                                      <a:cubicBezTo>
                                        <a:pt x="59" y="70"/>
                                        <a:pt x="59" y="70"/>
                                        <a:pt x="59" y="70"/>
                                      </a:cubicBezTo>
                                      <a:cubicBezTo>
                                        <a:pt x="57" y="69"/>
                                        <a:pt x="55" y="68"/>
                                        <a:pt x="55" y="67"/>
                                      </a:cubicBezTo>
                                      <a:cubicBezTo>
                                        <a:pt x="54" y="65"/>
                                        <a:pt x="55" y="60"/>
                                        <a:pt x="55" y="57"/>
                                      </a:cubicBezTo>
                                      <a:cubicBezTo>
                                        <a:pt x="57" y="55"/>
                                        <a:pt x="58" y="52"/>
                                        <a:pt x="59" y="49"/>
                                      </a:cubicBezTo>
                                      <a:cubicBezTo>
                                        <a:pt x="63" y="47"/>
                                        <a:pt x="65" y="43"/>
                                        <a:pt x="66" y="39"/>
                                      </a:cubicBezTo>
                                      <a:cubicBezTo>
                                        <a:pt x="67" y="34"/>
                                        <a:pt x="66" y="31"/>
                                        <a:pt x="65" y="29"/>
                                      </a:cubicBezTo>
                                      <a:cubicBezTo>
                                        <a:pt x="64" y="29"/>
                                        <a:pt x="64" y="29"/>
                                        <a:pt x="64" y="29"/>
                                      </a:cubicBezTo>
                                      <a:cubicBezTo>
                                        <a:pt x="65" y="22"/>
                                        <a:pt x="64" y="16"/>
                                        <a:pt x="60" y="10"/>
                                      </a:cubicBezTo>
                                      <a:cubicBezTo>
                                        <a:pt x="55" y="4"/>
                                        <a:pt x="48" y="0"/>
                                        <a:pt x="39" y="0"/>
                                      </a:cubicBezTo>
                                      <a:cubicBezTo>
                                        <a:pt x="29" y="0"/>
                                        <a:pt x="22" y="4"/>
                                        <a:pt x="17" y="10"/>
                                      </a:cubicBezTo>
                                      <a:cubicBezTo>
                                        <a:pt x="13" y="16"/>
                                        <a:pt x="12" y="22"/>
                                        <a:pt x="13" y="29"/>
                                      </a:cubicBezTo>
                                      <a:cubicBezTo>
                                        <a:pt x="13" y="29"/>
                                        <a:pt x="13" y="29"/>
                                        <a:pt x="13" y="29"/>
                                      </a:cubicBezTo>
                                      <a:cubicBezTo>
                                        <a:pt x="11" y="31"/>
                                        <a:pt x="11" y="34"/>
                                        <a:pt x="11" y="39"/>
                                      </a:cubicBezTo>
                                      <a:cubicBezTo>
                                        <a:pt x="12" y="43"/>
                                        <a:pt x="14" y="47"/>
                                        <a:pt x="18" y="49"/>
                                      </a:cubicBezTo>
                                      <a:cubicBezTo>
                                        <a:pt x="19" y="52"/>
                                        <a:pt x="20" y="55"/>
                                        <a:pt x="22" y="57"/>
                                      </a:cubicBezTo>
                                      <a:cubicBezTo>
                                        <a:pt x="22" y="61"/>
                                        <a:pt x="23" y="66"/>
                                        <a:pt x="22" y="67"/>
                                      </a:cubicBezTo>
                                      <a:cubicBezTo>
                                        <a:pt x="22" y="68"/>
                                        <a:pt x="18" y="70"/>
                                        <a:pt x="16" y="70"/>
                                      </a:cubicBezTo>
                                      <a:cubicBezTo>
                                        <a:pt x="5" y="75"/>
                                        <a:pt x="0" y="81"/>
                                        <a:pt x="0" y="90"/>
                                      </a:cubicBezTo>
                                      <a:cubicBezTo>
                                        <a:pt x="0" y="91"/>
                                        <a:pt x="1" y="93"/>
                                        <a:pt x="3" y="93"/>
                                      </a:cubicBezTo>
                                      <a:cubicBezTo>
                                        <a:pt x="67" y="93"/>
                                        <a:pt x="67" y="93"/>
                                        <a:pt x="67" y="93"/>
                                      </a:cubicBezTo>
                                      <a:lnTo>
                                        <a:pt x="67" y="8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796" name="Freeform 16"/>
                              <wps:cNvSpPr>
                                <a:spLocks/>
                              </wps:cNvSpPr>
                              <wps:spPr bwMode="auto">
                                <a:xfrm>
                                  <a:off x="395288" y="79375"/>
                                  <a:ext cx="211138" cy="282575"/>
                                </a:xfrm>
                                <a:custGeom>
                                  <a:avLst/>
                                  <a:gdLst>
                                    <a:gd name="T0" fmla="*/ 52 w 69"/>
                                    <a:gd name="T1" fmla="*/ 70 h 93"/>
                                    <a:gd name="T2" fmla="*/ 46 w 69"/>
                                    <a:gd name="T3" fmla="*/ 67 h 93"/>
                                    <a:gd name="T4" fmla="*/ 46 w 69"/>
                                    <a:gd name="T5" fmla="*/ 57 h 93"/>
                                    <a:gd name="T6" fmla="*/ 50 w 69"/>
                                    <a:gd name="T7" fmla="*/ 49 h 93"/>
                                    <a:gd name="T8" fmla="*/ 57 w 69"/>
                                    <a:gd name="T9" fmla="*/ 39 h 93"/>
                                    <a:gd name="T10" fmla="*/ 56 w 69"/>
                                    <a:gd name="T11" fmla="*/ 29 h 93"/>
                                    <a:gd name="T12" fmla="*/ 55 w 69"/>
                                    <a:gd name="T13" fmla="*/ 29 h 93"/>
                                    <a:gd name="T14" fmla="*/ 51 w 69"/>
                                    <a:gd name="T15" fmla="*/ 10 h 93"/>
                                    <a:gd name="T16" fmla="*/ 30 w 69"/>
                                    <a:gd name="T17" fmla="*/ 0 h 93"/>
                                    <a:gd name="T18" fmla="*/ 8 w 69"/>
                                    <a:gd name="T19" fmla="*/ 10 h 93"/>
                                    <a:gd name="T20" fmla="*/ 4 w 69"/>
                                    <a:gd name="T21" fmla="*/ 29 h 93"/>
                                    <a:gd name="T22" fmla="*/ 4 w 69"/>
                                    <a:gd name="T23" fmla="*/ 29 h 93"/>
                                    <a:gd name="T24" fmla="*/ 3 w 69"/>
                                    <a:gd name="T25" fmla="*/ 39 h 93"/>
                                    <a:gd name="T26" fmla="*/ 9 w 69"/>
                                    <a:gd name="T27" fmla="*/ 49 h 93"/>
                                    <a:gd name="T28" fmla="*/ 13 w 69"/>
                                    <a:gd name="T29" fmla="*/ 57 h 93"/>
                                    <a:gd name="T30" fmla="*/ 13 w 69"/>
                                    <a:gd name="T31" fmla="*/ 67 h 93"/>
                                    <a:gd name="T32" fmla="*/ 9 w 69"/>
                                    <a:gd name="T33" fmla="*/ 70 h 93"/>
                                    <a:gd name="T34" fmla="*/ 8 w 69"/>
                                    <a:gd name="T35" fmla="*/ 70 h 93"/>
                                    <a:gd name="T36" fmla="*/ 0 w 69"/>
                                    <a:gd name="T37" fmla="*/ 74 h 93"/>
                                    <a:gd name="T38" fmla="*/ 0 w 69"/>
                                    <a:gd name="T39" fmla="*/ 81 h 93"/>
                                    <a:gd name="T40" fmla="*/ 11 w 69"/>
                                    <a:gd name="T41" fmla="*/ 75 h 93"/>
                                    <a:gd name="T42" fmla="*/ 18 w 69"/>
                                    <a:gd name="T43" fmla="*/ 70 h 93"/>
                                    <a:gd name="T44" fmla="*/ 18 w 69"/>
                                    <a:gd name="T45" fmla="*/ 56 h 93"/>
                                    <a:gd name="T46" fmla="*/ 18 w 69"/>
                                    <a:gd name="T47" fmla="*/ 55 h 93"/>
                                    <a:gd name="T48" fmla="*/ 14 w 69"/>
                                    <a:gd name="T49" fmla="*/ 46 h 93"/>
                                    <a:gd name="T50" fmla="*/ 11 w 69"/>
                                    <a:gd name="T51" fmla="*/ 44 h 93"/>
                                    <a:gd name="T52" fmla="*/ 8 w 69"/>
                                    <a:gd name="T53" fmla="*/ 38 h 93"/>
                                    <a:gd name="T54" fmla="*/ 8 w 69"/>
                                    <a:gd name="T55" fmla="*/ 33 h 93"/>
                                    <a:gd name="T56" fmla="*/ 10 w 69"/>
                                    <a:gd name="T57" fmla="*/ 32 h 93"/>
                                    <a:gd name="T58" fmla="*/ 11 w 69"/>
                                    <a:gd name="T59" fmla="*/ 30 h 93"/>
                                    <a:gd name="T60" fmla="*/ 13 w 69"/>
                                    <a:gd name="T61" fmla="*/ 14 h 93"/>
                                    <a:gd name="T62" fmla="*/ 30 w 69"/>
                                    <a:gd name="T63" fmla="*/ 6 h 93"/>
                                    <a:gd name="T64" fmla="*/ 47 w 69"/>
                                    <a:gd name="T65" fmla="*/ 14 h 93"/>
                                    <a:gd name="T66" fmla="*/ 49 w 69"/>
                                    <a:gd name="T67" fmla="*/ 30 h 93"/>
                                    <a:gd name="T68" fmla="*/ 49 w 69"/>
                                    <a:gd name="T69" fmla="*/ 32 h 93"/>
                                    <a:gd name="T70" fmla="*/ 51 w 69"/>
                                    <a:gd name="T71" fmla="*/ 33 h 93"/>
                                    <a:gd name="T72" fmla="*/ 51 w 69"/>
                                    <a:gd name="T73" fmla="*/ 38 h 93"/>
                                    <a:gd name="T74" fmla="*/ 48 w 69"/>
                                    <a:gd name="T75" fmla="*/ 44 h 93"/>
                                    <a:gd name="T76" fmla="*/ 45 w 69"/>
                                    <a:gd name="T77" fmla="*/ 46 h 93"/>
                                    <a:gd name="T78" fmla="*/ 41 w 69"/>
                                    <a:gd name="T79" fmla="*/ 55 h 93"/>
                                    <a:gd name="T80" fmla="*/ 41 w 69"/>
                                    <a:gd name="T81" fmla="*/ 56 h 93"/>
                                    <a:gd name="T82" fmla="*/ 41 w 69"/>
                                    <a:gd name="T83" fmla="*/ 70 h 93"/>
                                    <a:gd name="T84" fmla="*/ 50 w 69"/>
                                    <a:gd name="T85" fmla="*/ 76 h 93"/>
                                    <a:gd name="T86" fmla="*/ 62 w 69"/>
                                    <a:gd name="T87" fmla="*/ 87 h 93"/>
                                    <a:gd name="T88" fmla="*/ 1 w 69"/>
                                    <a:gd name="T89" fmla="*/ 87 h 93"/>
                                    <a:gd name="T90" fmla="*/ 2 w 69"/>
                                    <a:gd name="T91" fmla="*/ 93 h 93"/>
                                    <a:gd name="T92" fmla="*/ 65 w 69"/>
                                    <a:gd name="T93" fmla="*/ 93 h 93"/>
                                    <a:gd name="T94" fmla="*/ 69 w 69"/>
                                    <a:gd name="T95" fmla="*/ 90 h 93"/>
                                    <a:gd name="T96" fmla="*/ 52 w 69"/>
                                    <a:gd name="T97" fmla="*/ 70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9" h="93">
                                      <a:moveTo>
                                        <a:pt x="52" y="70"/>
                                      </a:moveTo>
                                      <a:cubicBezTo>
                                        <a:pt x="50" y="70"/>
                                        <a:pt x="47" y="68"/>
                                        <a:pt x="46" y="67"/>
                                      </a:cubicBezTo>
                                      <a:cubicBezTo>
                                        <a:pt x="46" y="66"/>
                                        <a:pt x="46" y="61"/>
                                        <a:pt x="46" y="57"/>
                                      </a:cubicBezTo>
                                      <a:cubicBezTo>
                                        <a:pt x="48" y="55"/>
                                        <a:pt x="49" y="52"/>
                                        <a:pt x="50" y="49"/>
                                      </a:cubicBezTo>
                                      <a:cubicBezTo>
                                        <a:pt x="54" y="47"/>
                                        <a:pt x="56" y="43"/>
                                        <a:pt x="57" y="39"/>
                                      </a:cubicBezTo>
                                      <a:cubicBezTo>
                                        <a:pt x="58" y="34"/>
                                        <a:pt x="57" y="31"/>
                                        <a:pt x="56" y="29"/>
                                      </a:cubicBezTo>
                                      <a:cubicBezTo>
                                        <a:pt x="55" y="29"/>
                                        <a:pt x="55" y="29"/>
                                        <a:pt x="55" y="29"/>
                                      </a:cubicBezTo>
                                      <a:cubicBezTo>
                                        <a:pt x="56" y="22"/>
                                        <a:pt x="55" y="16"/>
                                        <a:pt x="51" y="10"/>
                                      </a:cubicBezTo>
                                      <a:cubicBezTo>
                                        <a:pt x="47" y="4"/>
                                        <a:pt x="39" y="0"/>
                                        <a:pt x="30" y="0"/>
                                      </a:cubicBezTo>
                                      <a:cubicBezTo>
                                        <a:pt x="21" y="0"/>
                                        <a:pt x="13" y="4"/>
                                        <a:pt x="8" y="10"/>
                                      </a:cubicBezTo>
                                      <a:cubicBezTo>
                                        <a:pt x="5" y="16"/>
                                        <a:pt x="3" y="22"/>
                                        <a:pt x="4" y="29"/>
                                      </a:cubicBezTo>
                                      <a:cubicBezTo>
                                        <a:pt x="4" y="29"/>
                                        <a:pt x="4" y="29"/>
                                        <a:pt x="4" y="29"/>
                                      </a:cubicBezTo>
                                      <a:cubicBezTo>
                                        <a:pt x="2" y="31"/>
                                        <a:pt x="2" y="34"/>
                                        <a:pt x="3" y="39"/>
                                      </a:cubicBezTo>
                                      <a:cubicBezTo>
                                        <a:pt x="3" y="43"/>
                                        <a:pt x="5" y="47"/>
                                        <a:pt x="9" y="49"/>
                                      </a:cubicBezTo>
                                      <a:cubicBezTo>
                                        <a:pt x="10" y="52"/>
                                        <a:pt x="12" y="55"/>
                                        <a:pt x="13" y="57"/>
                                      </a:cubicBezTo>
                                      <a:cubicBezTo>
                                        <a:pt x="13" y="60"/>
                                        <a:pt x="14" y="65"/>
                                        <a:pt x="13" y="67"/>
                                      </a:cubicBezTo>
                                      <a:cubicBezTo>
                                        <a:pt x="13" y="68"/>
                                        <a:pt x="11" y="69"/>
                                        <a:pt x="9" y="70"/>
                                      </a:cubicBezTo>
                                      <a:cubicBezTo>
                                        <a:pt x="8" y="70"/>
                                        <a:pt x="8" y="70"/>
                                        <a:pt x="8" y="70"/>
                                      </a:cubicBezTo>
                                      <a:cubicBezTo>
                                        <a:pt x="6" y="71"/>
                                        <a:pt x="3" y="72"/>
                                        <a:pt x="0" y="74"/>
                                      </a:cubicBezTo>
                                      <a:cubicBezTo>
                                        <a:pt x="0" y="81"/>
                                        <a:pt x="0" y="81"/>
                                        <a:pt x="0" y="81"/>
                                      </a:cubicBezTo>
                                      <a:cubicBezTo>
                                        <a:pt x="2" y="79"/>
                                        <a:pt x="6" y="77"/>
                                        <a:pt x="11" y="75"/>
                                      </a:cubicBezTo>
                                      <a:cubicBezTo>
                                        <a:pt x="15" y="74"/>
                                        <a:pt x="17" y="72"/>
                                        <a:pt x="18" y="70"/>
                                      </a:cubicBezTo>
                                      <a:cubicBezTo>
                                        <a:pt x="20" y="65"/>
                                        <a:pt x="19" y="58"/>
                                        <a:pt x="18" y="56"/>
                                      </a:cubicBezTo>
                                      <a:cubicBezTo>
                                        <a:pt x="18" y="56"/>
                                        <a:pt x="18" y="55"/>
                                        <a:pt x="18" y="55"/>
                                      </a:cubicBezTo>
                                      <a:cubicBezTo>
                                        <a:pt x="17" y="52"/>
                                        <a:pt x="15" y="49"/>
                                        <a:pt x="14" y="46"/>
                                      </a:cubicBezTo>
                                      <a:cubicBezTo>
                                        <a:pt x="14" y="44"/>
                                        <a:pt x="13" y="44"/>
                                        <a:pt x="11" y="44"/>
                                      </a:cubicBezTo>
                                      <a:cubicBezTo>
                                        <a:pt x="11" y="44"/>
                                        <a:pt x="9" y="41"/>
                                        <a:pt x="8" y="38"/>
                                      </a:cubicBezTo>
                                      <a:cubicBezTo>
                                        <a:pt x="8" y="35"/>
                                        <a:pt x="8" y="34"/>
                                        <a:pt x="8" y="33"/>
                                      </a:cubicBezTo>
                                      <a:cubicBezTo>
                                        <a:pt x="9" y="33"/>
                                        <a:pt x="10" y="33"/>
                                        <a:pt x="10" y="32"/>
                                      </a:cubicBezTo>
                                      <a:cubicBezTo>
                                        <a:pt x="11" y="31"/>
                                        <a:pt x="11" y="30"/>
                                        <a:pt x="11" y="30"/>
                                      </a:cubicBezTo>
                                      <a:cubicBezTo>
                                        <a:pt x="9" y="24"/>
                                        <a:pt x="10" y="18"/>
                                        <a:pt x="13" y="14"/>
                                      </a:cubicBezTo>
                                      <a:cubicBezTo>
                                        <a:pt x="16" y="9"/>
                                        <a:pt x="22" y="6"/>
                                        <a:pt x="30" y="6"/>
                                      </a:cubicBezTo>
                                      <a:cubicBezTo>
                                        <a:pt x="37" y="6"/>
                                        <a:pt x="43" y="9"/>
                                        <a:pt x="47" y="14"/>
                                      </a:cubicBezTo>
                                      <a:cubicBezTo>
                                        <a:pt x="50" y="18"/>
                                        <a:pt x="51" y="24"/>
                                        <a:pt x="49" y="30"/>
                                      </a:cubicBezTo>
                                      <a:cubicBezTo>
                                        <a:pt x="49" y="30"/>
                                        <a:pt x="49" y="31"/>
                                        <a:pt x="49" y="32"/>
                                      </a:cubicBezTo>
                                      <a:cubicBezTo>
                                        <a:pt x="50" y="33"/>
                                        <a:pt x="51" y="33"/>
                                        <a:pt x="51" y="33"/>
                                      </a:cubicBezTo>
                                      <a:cubicBezTo>
                                        <a:pt x="52" y="34"/>
                                        <a:pt x="52" y="35"/>
                                        <a:pt x="51" y="38"/>
                                      </a:cubicBezTo>
                                      <a:cubicBezTo>
                                        <a:pt x="51" y="41"/>
                                        <a:pt x="49" y="44"/>
                                        <a:pt x="48" y="44"/>
                                      </a:cubicBezTo>
                                      <a:cubicBezTo>
                                        <a:pt x="47" y="44"/>
                                        <a:pt x="46" y="44"/>
                                        <a:pt x="45" y="46"/>
                                      </a:cubicBezTo>
                                      <a:cubicBezTo>
                                        <a:pt x="44" y="49"/>
                                        <a:pt x="43" y="52"/>
                                        <a:pt x="41" y="55"/>
                                      </a:cubicBezTo>
                                      <a:cubicBezTo>
                                        <a:pt x="41" y="55"/>
                                        <a:pt x="41" y="56"/>
                                        <a:pt x="41" y="56"/>
                                      </a:cubicBezTo>
                                      <a:cubicBezTo>
                                        <a:pt x="41" y="57"/>
                                        <a:pt x="39" y="65"/>
                                        <a:pt x="41" y="70"/>
                                      </a:cubicBezTo>
                                      <a:cubicBezTo>
                                        <a:pt x="42" y="73"/>
                                        <a:pt x="46" y="74"/>
                                        <a:pt x="50" y="76"/>
                                      </a:cubicBezTo>
                                      <a:cubicBezTo>
                                        <a:pt x="58" y="79"/>
                                        <a:pt x="62" y="83"/>
                                        <a:pt x="62" y="87"/>
                                      </a:cubicBezTo>
                                      <a:cubicBezTo>
                                        <a:pt x="1" y="87"/>
                                        <a:pt x="1" y="87"/>
                                        <a:pt x="1" y="87"/>
                                      </a:cubicBezTo>
                                      <a:cubicBezTo>
                                        <a:pt x="2" y="93"/>
                                        <a:pt x="2" y="93"/>
                                        <a:pt x="2" y="93"/>
                                      </a:cubicBezTo>
                                      <a:cubicBezTo>
                                        <a:pt x="65" y="93"/>
                                        <a:pt x="65" y="93"/>
                                        <a:pt x="65" y="93"/>
                                      </a:cubicBezTo>
                                      <a:cubicBezTo>
                                        <a:pt x="68" y="93"/>
                                        <a:pt x="69" y="91"/>
                                        <a:pt x="69" y="90"/>
                                      </a:cubicBezTo>
                                      <a:cubicBezTo>
                                        <a:pt x="69" y="81"/>
                                        <a:pt x="63" y="75"/>
                                        <a:pt x="52" y="7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inline>
                  </w:drawing>
                </mc:Choice>
                <mc:Fallback>
                  <w:pict>
                    <v:group w14:anchorId="4348C093" id="Group 16396" o:spid="_x0000_s1026" alt="&quot;&quot;" style="width:30.7pt;height:26.5pt;mso-position-horizontal-relative:char;mso-position-vertical-relative:line" coordsize="6064,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">
                      <v:shape id="Freeform 13" o:spid="_x0000_s1027" style="position:absolute;left:1825;top:2413;width:2381;height:2825;visibility:visible;mso-wrap-style:square;v-text-anchor:top" coordsize="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" path="m60,70v,1,,1,,1c60,70,60,70,60,70v,,,,,c57,69,56,68,55,68v,-2,,-7,1,-10c57,55,58,52,59,49v4,-1,6,-6,7,-10c67,35,66,32,65,30v,,-1,-1,-1,-1c65,23,64,16,60,11,56,4,48,,39,,30,,22,4,17,11v-3,5,-5,11,-3,18c13,29,13,29,13,30v-2,2,-2,5,-1,9c12,43,14,48,18,49v1,3,3,6,4,9c23,61,23,66,22,68v,1,-4,2,-6,3c5,75,,81,,90v,1,1,3,3,3c75,93,75,93,75,93v2,,3,-2,3,-3c78,77,66,73,60,70xm6,87c7,83,11,79,19,76v4,-2,7,-3,8,-6c29,66,28,58,28,56v-1,,-1,,-1,-1c26,53,24,49,23,46v,-1,-1,-2,-3,-2c20,44,18,42,17,38v,-3,,-4,,-4c18,34,19,33,19,32v1,,1,-1,1,-2c18,24,19,18,22,14,26,9,31,6,39,6v7,,13,3,17,8c59,18,60,24,58,30v,1,,2,,2c59,33,60,34,60,34v1,,1,1,,4c60,42,58,44,57,44v-1,,-2,1,-3,2c53,49,52,53,50,55v,1,,1,,1c50,58,48,66,50,70v1,3,4,4,8,5c66,78,70,82,72,87l6,87xe" filled="f" stroked="f">
                        <v:path arrowok="t" o:connecttype="custom" o:connectlocs="183173,212691;183173,215729;183173,212691;183173,212691;167909,206614;170962,176230;180120,148884;201490,118499;198438,91153;195385,88115;183173,33423;119063,0;51899,33423;42740,88115;39688,91153;36635,118499;54952,148884;67163,176230;67163,206614;48846,215729;0,273460;9159,282575;228966,282575;238125,273460;183173,212691;18317,264344;58005,230922;82428,212691;85481,170153;82428,167114;70216,139768;61058,133691;51899,115461;51899,103307;58005,97230;61058,91153;67163,42538;119063,18231;170962,42538;177067,91153;177067,97230;183173,103307;183173,115461;174014,133691;164856,139768;152644,167114;152644,170153;152644,212691;177067,227883;219808,264344;18317,264344" o:connectangles="0,0,0,0,0,0,0,0,0,0,0,0,0,0,0,0,0,0,0,0,0,0,0,0,0,0,0,0,0,0,0,0,0,0,0,0,0,0,0,0,0,0,0,0,0,0,0,0,0,0,0"/>
                        <o:lock v:ext="edit" verticies="t"/>
                      </v:shape>
                      <v:shape id="Freeform 14" o:spid="_x0000_s1028" style="position:absolute;left:1825;width:2381;height:2841;visibility:visible;mso-wrap-style:square;v-text-anchor:top" coordsize="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" path="m18,49v1,3,3,6,4,9c23,61,23,66,22,68v,1,-4,2,-6,2c5,75,,81,,90v,1,1,3,3,3c10,93,10,93,10,93v4,-6,4,-6,4,-6c6,87,6,87,6,87,7,83,11,79,19,76v4,-2,7,-3,8,-6c29,66,28,58,28,56v-1,,-1,-1,-1,-1c26,52,24,49,23,46v,-2,-1,-2,-3,-2c20,44,18,41,17,38v,-3,,-4,,-5c18,33,19,33,19,32v1,,1,-1,1,-2c18,24,19,18,22,14,26,9,31,6,39,6v7,,13,3,17,8c59,18,60,24,58,30v,1,,2,,2c59,33,60,33,60,33v1,1,1,2,,5c60,41,58,44,57,44v-1,,-2,,-3,2c53,49,52,52,50,55v,,,1,,1c50,58,48,65,50,70v1,2,4,4,8,5c66,78,70,82,72,87v-8,,-8,,-8,c67,93,67,93,67,93v8,,8,,8,c77,93,78,91,78,90,78,77,66,72,60,70v,1,,1,,1c60,70,60,70,60,70v,,,,,c57,69,56,68,55,68v,-3,,-8,1,-10c57,55,58,52,59,49v4,-2,6,-6,7,-10c67,34,66,31,65,30v,-1,-1,-1,-1,-1c65,22,64,16,60,10,56,4,48,,39,,30,,22,4,17,10v-3,6,-5,12,-3,19c13,29,13,29,13,30v-2,1,-2,4,-1,9c12,43,14,47,18,49xe" filled="f" stroked="f">
                        <v:path arrowok="t" o:connecttype="custom" o:connectlocs="54952,149720;67163,177220;67163,207775;48846,213886;0,274996;9159,284163;30529,284163;42740,265830;18317,265830;58005,232219;82428,213886;85481,171109;82428,168053;70216,140554;61058,134443;51899,116110;51899,100832;58005,97777;61058,91665;67163,42777;119063,18333;170962,42777;177067,91665;177067,97777;183173,100832;183173,116110;174014,134443;164856,140554;152644,168053;152644,171109;152644,213886;177067,229164;219808,265830;195385,265830;204543,284163;228966,284163;238125,274996;183173,213886;183173,216942;183173,213886;183173,213886;167909,207775;170962,177220;180120,149720;201490,119165;198438,91665;195385,88610;183173,30555;119063,0;51899,30555;42740,88610;39688,91665;36635,119165;54952,149720" o:connectangles="0,0,0,0,0,0,0,0,0,0,0,0,0,0,0,0,0,0,0,0,0,0,0,0,0,0,0,0,0,0,0,0,0,0,0,0,0,0,0,0,0,0,0,0,0,0,0,0,0,0,0,0,0,0"/>
                      </v:shape>
                      <v:shape id="Freeform 15" o:spid="_x0000_s1029" style="position:absolute;top:793;width:2095;height:2826;visibility:visible;mso-wrap-style:square;v-text-anchor:top" coordsize="6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" path="m67,87c6,87,6,87,6,87,7,83,11,79,19,76v4,-2,7,-3,8,-6c29,65,28,57,27,56v,,,-1,,-1c25,52,24,49,23,46v,-2,-2,-2,-3,-2c20,44,18,41,17,38v,-3,,-4,,-5c18,33,19,33,19,32v1,-1,1,-2,,-2c18,24,19,18,22,14,25,9,31,6,39,6v7,,13,3,16,8c59,18,59,24,58,30v-1,,,1,,2c59,33,59,33,60,33v,1,1,2,,5c60,41,58,44,57,44v-1,,-2,,-3,2c53,49,52,52,50,55v,,,1,,1c49,58,48,65,50,70v1,2,4,4,7,5c62,77,66,79,68,81v1,-7,1,-7,1,-7c66,72,62,71,60,70v-1,,-1,,-1,c57,69,55,68,55,67v-1,-2,,-7,,-10c57,55,58,52,59,49v4,-2,6,-6,7,-10c67,34,66,31,65,29v-1,,-1,,-1,c65,22,64,16,60,10,55,4,48,,39,,29,,22,4,17,10v-4,6,-5,12,-4,19c13,29,13,29,13,29v-2,2,-2,5,-2,10c12,43,14,47,18,49v1,3,2,6,4,8c22,61,23,66,22,67v,1,-4,3,-6,3c5,75,,81,,90v,1,1,3,3,3c67,93,67,93,67,93r,-6xe" filled="f" stroked="f">
                        <v:path arrowok="t" o:connecttype="custom" o:connectlocs="203476,264344;18222,264344;57702,230922;81998,212691;81998,170153;81998,167114;69850,139768;60739,133691;51628,115461;51628,100269;57702,97230;57702,91153;66813,42538;118441,18231;167033,42538;176143,91153;176143,97230;182217,100269;182217,115461;173107,133691;163996,139768;151848,167114;151848,170153;151848,212691;173107,227883;206513,246114;209550,224845;182217,212691;179180,212691;167033,203576;167033,173191;179180,148884;200439,118499;197402,88115;194365,88115;182217,30384;118441,0;51628,30384;39480,88115;39480,88115;33407,118499;54665,148884;66813,173191;66813,203576;48591,212691;0,273460;9111,282575;203476,282575;203476,264344" o:connectangles="0,0,0,0,0,0,0,0,0,0,0,0,0,0,0,0,0,0,0,0,0,0,0,0,0,0,0,0,0,0,0,0,0,0,0,0,0,0,0,0,0,0,0,0,0,0,0,0,0"/>
                      </v:shape>
                      <v:shape id="Freeform 16" o:spid="_x0000_s1030" style="position:absolute;left:3952;top:793;width:2112;height:2826;visibility:visible;mso-wrap-style:square;v-text-anchor:top" coordsize="6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" path="m52,70v-2,,-5,-2,-6,-3c46,66,46,61,46,57v2,-2,3,-5,4,-8c54,47,56,43,57,39v1,-5,,-8,-1,-10c55,29,55,29,55,29v1,-7,,-13,-4,-19c47,4,39,,30,,21,,13,4,8,10,5,16,3,22,4,29v,,,,,c2,31,2,34,3,39v,4,2,8,6,10c10,52,12,55,13,57v,3,1,8,,10c13,68,11,69,9,70v-1,,-1,,-1,c6,71,3,72,,74v,7,,7,,7c2,79,6,77,11,75v4,-1,6,-3,7,-5c20,65,19,58,18,56v,,,-1,,-1c17,52,15,49,14,46v,-2,-1,-2,-3,-2c11,44,9,41,8,38v,-3,,-4,,-5c9,33,10,33,10,32v1,-1,1,-2,1,-2c9,24,10,18,13,14,16,9,22,6,30,6v7,,13,3,17,8c50,18,51,24,49,30v,,,1,,2c50,33,51,33,51,33v1,1,1,2,,5c51,41,49,44,48,44v-1,,-2,,-3,2c44,49,43,52,41,55v,,,1,,1c41,57,39,65,41,70v1,3,5,4,9,6c58,79,62,83,62,87,1,87,1,87,1,87v1,6,1,6,1,6c65,93,65,93,65,93v3,,4,-2,4,-3c69,81,63,75,52,70xe" filled="f" stroked="f">
                        <v:path arrowok="t" o:connecttype="custom" o:connectlocs="159118,212691;140759,203576;140759,173191;152999,148884;174418,118499;171358,88115;168298,88115;156059,30384;91799,0;24480,30384;12240,88115;12240,88115;9180,118499;27540,148884;39780,173191;39780,203576;27540,212691;24480,212691;0,224845;0,246114;33660,227883;55079,212691;55079,170153;55079,167114;42840,139768;33660,133691;24480,115461;24480,100269;30600,97230;33660,91153;39780,42538;91799,18231;143819,42538;149939,91153;149939,97230;156059,100269;156059,115461;146879,133691;137699,139768;125459,167114;125459,170153;125459,212691;152999,230922;189718,264344;3060,264344;6120,282575;198898,282575;211138,273460;159118,212691" o:connectangles="0,0,0,0,0,0,0,0,0,0,0,0,0,0,0,0,0,0,0,0,0,0,0,0,0,0,0,0,0,0,0,0,0,0,0,0,0,0,0,0,0,0,0,0,0,0,0,0,0"/>
                      </v:shape>
                      <w10:anchorlock/>
                    </v:group>
                  </w:pict>
                </mc:Fallback>
              </mc:AlternateContent>
            </w:r>
          </w:p>
          <w:p w14:paraId="286B993D" w14:textId="79BD6B98" w:rsidR="007678DD" w:rsidRPr="005825BD" w:rsidRDefault="007678DD" w:rsidP="009222D9">
            <w:pPr>
              <w:pStyle w:val="TableNText"/>
              <w:spacing w:before="0" w:after="0" w:line="240" w:lineRule="auto"/>
              <w:jc w:val="center"/>
              <w:rPr>
                <w:noProof/>
                <w:color w:val="FFFFFF" w:themeColor="background1"/>
                <w:sz w:val="16"/>
                <w:szCs w:val="16"/>
              </w:rPr>
            </w:pPr>
            <w:r w:rsidRPr="005825BD">
              <w:rPr>
                <w:noProof/>
                <w:color w:val="FFFFFF" w:themeColor="background1"/>
                <w:sz w:val="16"/>
                <w:szCs w:val="16"/>
              </w:rPr>
              <w:t>People who are</w:t>
            </w:r>
            <w:r>
              <w:rPr>
                <w:noProof/>
                <w:color w:val="FFFFFF" w:themeColor="background1"/>
                <w:sz w:val="16"/>
                <w:szCs w:val="16"/>
              </w:rPr>
              <w:t xml:space="preserve"> from CALD backgrounds</w:t>
            </w:r>
            <w:r w:rsidRPr="005825BD">
              <w:rPr>
                <w:noProof/>
                <w:color w:val="FFFFFF" w:themeColor="background1"/>
                <w:sz w:val="16"/>
                <w:szCs w:val="16"/>
              </w:rPr>
              <w:t xml:space="preserve"> </w:t>
            </w:r>
          </w:p>
        </w:tc>
        <w:tc>
          <w:tcPr>
            <w:tcW w:w="4054" w:type="pct"/>
          </w:tcPr>
          <w:p w14:paraId="05F81DAA" w14:textId="0CFB8AAF" w:rsidR="007678DD" w:rsidRPr="008C5949" w:rsidRDefault="007678DD" w:rsidP="007A7B9F">
            <w:pPr>
              <w:pStyle w:val="TableNBulle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t xml:space="preserve">Language barriers or </w:t>
            </w:r>
            <w:r w:rsidRPr="00242BCF">
              <w:t>stigma</w:t>
            </w:r>
            <w:r>
              <w:t xml:space="preserve"> within their communities due to religious and cultural beliefs about mental health. Some participants who were not Australian residents reported challenges accessing the mental health system and other services such as Medicare.</w:t>
            </w:r>
          </w:p>
        </w:tc>
      </w:tr>
      <w:tr w:rsidR="00EB243A" w:rsidRPr="00A13FF8" w14:paraId="415F888A" w14:textId="77777777" w:rsidTr="00A452B6">
        <w:trPr>
          <w:trHeight w:val="1620"/>
        </w:trPr>
        <w:tc>
          <w:tcPr>
            <w:cnfStyle w:val="001000000000" w:firstRow="0" w:lastRow="0" w:firstColumn="1" w:lastColumn="0" w:oddVBand="0" w:evenVBand="0" w:oddHBand="0" w:evenHBand="0" w:firstRowFirstColumn="0" w:firstRowLastColumn="0" w:lastRowFirstColumn="0" w:lastRowLastColumn="0"/>
            <w:tcW w:w="946" w:type="pct"/>
          </w:tcPr>
          <w:p w14:paraId="66600C65" w14:textId="77777777" w:rsidR="007678DD" w:rsidRPr="005825BD" w:rsidRDefault="007678DD" w:rsidP="009222D9">
            <w:pPr>
              <w:pStyle w:val="TableNText"/>
              <w:spacing w:before="0" w:after="0" w:line="240" w:lineRule="auto"/>
              <w:jc w:val="center"/>
              <w:rPr>
                <w:color w:val="FFFFFF" w:themeColor="background1"/>
                <w:sz w:val="16"/>
                <w:szCs w:val="16"/>
              </w:rPr>
            </w:pPr>
            <w:r w:rsidRPr="005825BD">
              <w:rPr>
                <w:noProof/>
                <w:color w:val="FFFFFF" w:themeColor="background1"/>
                <w:sz w:val="16"/>
                <w:szCs w:val="16"/>
              </w:rPr>
              <mc:AlternateContent>
                <mc:Choice Requires="wpg">
                  <w:drawing>
                    <wp:inline distT="0" distB="0" distL="0" distR="0" wp14:anchorId="1AAED988" wp14:editId="61D8FE3F">
                      <wp:extent cx="370356" cy="355941"/>
                      <wp:effectExtent l="95250" t="0" r="67945" b="25400"/>
                      <wp:docPr id="50" name="Group 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0356" cy="355941"/>
                                <a:chOff x="0" y="0"/>
                                <a:chExt cx="541098" cy="541098"/>
                              </a:xfrm>
                              <a:solidFill>
                                <a:schemeClr val="accent6"/>
                              </a:solidFill>
                            </wpg:grpSpPr>
                            <wps:wsp>
                              <wps:cNvPr id="54" name="Freeform 16"/>
                              <wps:cNvSpPr>
                                <a:spLocks/>
                              </wps:cNvSpPr>
                              <wps:spPr bwMode="auto">
                                <a:xfrm>
                                  <a:off x="2699" y="330597"/>
                                  <a:ext cx="2699" cy="4048"/>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1"/>
                                        <a:pt x="0" y="0"/>
                                      </a:cubicBezTo>
                                      <a:cubicBezTo>
                                        <a:pt x="0" y="1"/>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55" name="Freeform 17"/>
                              <wps:cNvSpPr>
                                <a:spLocks/>
                              </wps:cNvSpPr>
                              <wps:spPr bwMode="auto">
                                <a:xfrm>
                                  <a:off x="12145"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57" name="Freeform 18"/>
                              <wps:cNvSpPr>
                                <a:spLocks/>
                              </wps:cNvSpPr>
                              <wps:spPr bwMode="auto">
                                <a:xfrm>
                                  <a:off x="519509" y="327898"/>
                                  <a:ext cx="2699"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0"/>
                                        <a:pt x="0" y="0"/>
                                        <a:pt x="0" y="1"/>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58" name="Freeform 19"/>
                              <wps:cNvSpPr>
                                <a:spLocks/>
                              </wps:cNvSpPr>
                              <wps:spPr bwMode="auto">
                                <a:xfrm>
                                  <a:off x="12145" y="340042"/>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59" name="Freeform 20"/>
                              <wps:cNvSpPr>
                                <a:spLocks/>
                              </wps:cNvSpPr>
                              <wps:spPr bwMode="auto">
                                <a:xfrm>
                                  <a:off x="168672" y="273923"/>
                                  <a:ext cx="25638" cy="16192"/>
                                </a:xfrm>
                                <a:custGeom>
                                  <a:avLst/>
                                  <a:gdLst>
                                    <a:gd name="T0" fmla="*/ 0 w 8"/>
                                    <a:gd name="T1" fmla="*/ 5 h 5"/>
                                    <a:gd name="T2" fmla="*/ 8 w 8"/>
                                    <a:gd name="T3" fmla="*/ 0 h 5"/>
                                    <a:gd name="T4" fmla="*/ 0 w 8"/>
                                    <a:gd name="T5" fmla="*/ 5 h 5"/>
                                  </a:gdLst>
                                  <a:ahLst/>
                                  <a:cxnLst>
                                    <a:cxn ang="0">
                                      <a:pos x="T0" y="T1"/>
                                    </a:cxn>
                                    <a:cxn ang="0">
                                      <a:pos x="T2" y="T3"/>
                                    </a:cxn>
                                    <a:cxn ang="0">
                                      <a:pos x="T4" y="T5"/>
                                    </a:cxn>
                                  </a:cxnLst>
                                  <a:rect l="0" t="0" r="r" b="b"/>
                                  <a:pathLst>
                                    <a:path w="8" h="5">
                                      <a:moveTo>
                                        <a:pt x="0" y="5"/>
                                      </a:moveTo>
                                      <a:cubicBezTo>
                                        <a:pt x="3" y="3"/>
                                        <a:pt x="5" y="2"/>
                                        <a:pt x="8" y="0"/>
                                      </a:cubicBezTo>
                                      <a:cubicBezTo>
                                        <a:pt x="5" y="2"/>
                                        <a:pt x="3" y="3"/>
                                        <a:pt x="0" y="5"/>
                                      </a:cubicBezTo>
                                      <a:close/>
                                    </a:path>
                                  </a:pathLst>
                                </a:custGeom>
                                <a:grpFill/>
                                <a:ln>
                                  <a:noFill/>
                                </a:ln>
                              </wps:spPr>
                              <wps:bodyPr vert="horz" wrap="square" lIns="91440" tIns="45720" rIns="91440" bIns="45720" numCol="1" anchor="t" anchorCtr="0" compatLnSpc="1">
                                <a:prstTxWarp prst="textNoShape">
                                  <a:avLst/>
                                </a:prstTxWarp>
                              </wps:bodyPr>
                            </wps:wsp>
                            <wps:wsp>
                              <wps:cNvPr id="1038752960" name="Freeform 21"/>
                              <wps:cNvSpPr>
                                <a:spLocks/>
                              </wps:cNvSpPr>
                              <wps:spPr bwMode="auto">
                                <a:xfrm>
                                  <a:off x="9446" y="337343"/>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1"/>
                                        <a:pt x="0" y="0"/>
                                      </a:cubicBezTo>
                                      <a:cubicBezTo>
                                        <a:pt x="0" y="1"/>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61" name="Freeform 22"/>
                              <wps:cNvSpPr>
                                <a:spLocks/>
                              </wps:cNvSpPr>
                              <wps:spPr bwMode="auto">
                                <a:xfrm>
                                  <a:off x="5398" y="337343"/>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2" name="Freeform 23"/>
                              <wps:cNvSpPr>
                                <a:spLocks/>
                              </wps:cNvSpPr>
                              <wps:spPr bwMode="auto">
                                <a:xfrm>
                                  <a:off x="194310"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3" name="Freeform 24"/>
                              <wps:cNvSpPr>
                                <a:spLocks/>
                              </wps:cNvSpPr>
                              <wps:spPr bwMode="auto">
                                <a:xfrm>
                                  <a:off x="9446"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4" name="Freeform 25"/>
                              <wps:cNvSpPr>
                                <a:spLocks/>
                              </wps:cNvSpPr>
                              <wps:spPr bwMode="auto">
                                <a:xfrm>
                                  <a:off x="516810" y="330597"/>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5" name="Freeform 26"/>
                              <wps:cNvSpPr>
                                <a:spLocks/>
                              </wps:cNvSpPr>
                              <wps:spPr bwMode="auto">
                                <a:xfrm>
                                  <a:off x="512762" y="330597"/>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6" name="Freeform 27"/>
                              <wps:cNvSpPr>
                                <a:spLocks/>
                              </wps:cNvSpPr>
                              <wps:spPr bwMode="auto">
                                <a:xfrm>
                                  <a:off x="9446" y="279320"/>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7" name="Freeform 28"/>
                              <wps:cNvSpPr>
                                <a:spLocks/>
                              </wps:cNvSpPr>
                              <wps:spPr bwMode="auto">
                                <a:xfrm>
                                  <a:off x="201057" y="264477"/>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1"/>
                                        <a:pt x="0" y="0"/>
                                      </a:cubicBezTo>
                                      <a:cubicBezTo>
                                        <a:pt x="0" y="1"/>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68" name="Freeform 29"/>
                              <wps:cNvSpPr>
                                <a:spLocks/>
                              </wps:cNvSpPr>
                              <wps:spPr bwMode="auto">
                                <a:xfrm>
                                  <a:off x="433149" y="435848"/>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69" name="Freeform 30"/>
                              <wps:cNvSpPr>
                                <a:spLocks/>
                              </wps:cNvSpPr>
                              <wps:spPr bwMode="auto">
                                <a:xfrm>
                                  <a:off x="232092" y="496569"/>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0" name="Freeform 31"/>
                              <wps:cNvSpPr>
                                <a:spLocks/>
                              </wps:cNvSpPr>
                              <wps:spPr bwMode="auto">
                                <a:xfrm>
                                  <a:off x="232092" y="500618"/>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1" name="Freeform 32"/>
                              <wps:cNvSpPr>
                                <a:spLocks/>
                              </wps:cNvSpPr>
                              <wps:spPr bwMode="auto">
                                <a:xfrm>
                                  <a:off x="426402" y="439896"/>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2" name="Freeform 33"/>
                              <wps:cNvSpPr>
                                <a:spLocks/>
                              </wps:cNvSpPr>
                              <wps:spPr bwMode="auto">
                                <a:xfrm>
                                  <a:off x="356235" y="487124"/>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3" name="Freeform 34"/>
                              <wps:cNvSpPr>
                                <a:spLocks/>
                              </wps:cNvSpPr>
                              <wps:spPr bwMode="auto">
                                <a:xfrm>
                                  <a:off x="430450" y="439896"/>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4" name="Freeform 35"/>
                              <wps:cNvSpPr>
                                <a:spLocks/>
                              </wps:cNvSpPr>
                              <wps:spPr bwMode="auto">
                                <a:xfrm>
                                  <a:off x="353536" y="487124"/>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6" name="Freeform 36"/>
                              <wps:cNvSpPr>
                                <a:spLocks/>
                              </wps:cNvSpPr>
                              <wps:spPr bwMode="auto">
                                <a:xfrm>
                                  <a:off x="14843" y="340042"/>
                                  <a:ext cx="6747" cy="0"/>
                                </a:xfrm>
                                <a:custGeom>
                                  <a:avLst/>
                                  <a:gdLst>
                                    <a:gd name="T0" fmla="*/ 2 w 2"/>
                                    <a:gd name="T1" fmla="*/ 0 w 2"/>
                                    <a:gd name="T2" fmla="*/ 2 w 2"/>
                                  </a:gdLst>
                                  <a:ahLst/>
                                  <a:cxnLst>
                                    <a:cxn ang="0">
                                      <a:pos x="T0" y="0"/>
                                    </a:cxn>
                                    <a:cxn ang="0">
                                      <a:pos x="T1" y="0"/>
                                    </a:cxn>
                                    <a:cxn ang="0">
                                      <a:pos x="T2" y="0"/>
                                    </a:cxn>
                                  </a:cxnLst>
                                  <a:rect l="0" t="0" r="r" b="b"/>
                                  <a:pathLst>
                                    <a:path w="2">
                                      <a:moveTo>
                                        <a:pt x="2" y="0"/>
                                      </a:moveTo>
                                      <a:cubicBezTo>
                                        <a:pt x="1" y="0"/>
                                        <a:pt x="1" y="0"/>
                                        <a:pt x="0" y="0"/>
                                      </a:cubicBezTo>
                                      <a:cubicBezTo>
                                        <a:pt x="1" y="0"/>
                                        <a:pt x="1" y="0"/>
                                        <a:pt x="2"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7" name="Freeform 37"/>
                              <wps:cNvSpPr>
                                <a:spLocks/>
                              </wps:cNvSpPr>
                              <wps:spPr bwMode="auto">
                                <a:xfrm>
                                  <a:off x="360283" y="487124"/>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78" name="Freeform 38"/>
                              <wps:cNvSpPr>
                                <a:spLocks/>
                              </wps:cNvSpPr>
                              <wps:spPr bwMode="auto">
                                <a:xfrm>
                                  <a:off x="40481" y="388620"/>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0"/>
                                        <a:pt x="0" y="0"/>
                                      </a:cubicBezTo>
                                      <a:cubicBezTo>
                                        <a:pt x="0" y="0"/>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79" name="Freeform 39"/>
                              <wps:cNvSpPr>
                                <a:spLocks/>
                              </wps:cNvSpPr>
                              <wps:spPr bwMode="auto">
                                <a:xfrm>
                                  <a:off x="49927" y="395366"/>
                                  <a:ext cx="4048"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1"/>
                                        <a:pt x="1" y="1"/>
                                        <a:pt x="0" y="1"/>
                                      </a:cubicBezTo>
                                      <a:cubicBezTo>
                                        <a:pt x="1" y="1"/>
                                        <a:pt x="1" y="1"/>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0" name="Freeform 40"/>
                              <wps:cNvSpPr>
                                <a:spLocks/>
                              </wps:cNvSpPr>
                              <wps:spPr bwMode="auto">
                                <a:xfrm>
                                  <a:off x="44530" y="395366"/>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1" name="Freeform 41"/>
                              <wps:cNvSpPr>
                                <a:spLocks/>
                              </wps:cNvSpPr>
                              <wps:spPr bwMode="auto">
                                <a:xfrm>
                                  <a:off x="47228" y="395366"/>
                                  <a:ext cx="2699"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1"/>
                                        <a:pt x="0" y="0"/>
                                      </a:cubicBezTo>
                                      <a:cubicBezTo>
                                        <a:pt x="0" y="1"/>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82" name="Freeform 42"/>
                              <wps:cNvSpPr>
                                <a:spLocks/>
                              </wps:cNvSpPr>
                              <wps:spPr bwMode="auto">
                                <a:xfrm>
                                  <a:off x="5398" y="276622"/>
                                  <a:ext cx="4048"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0" y="0"/>
                                        <a:pt x="0" y="0"/>
                                        <a:pt x="0" y="0"/>
                                      </a:cubicBezTo>
                                      <a:cubicBezTo>
                                        <a:pt x="0" y="0"/>
                                        <a:pt x="0" y="0"/>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83" name="Freeform 43"/>
                              <wps:cNvSpPr>
                                <a:spLocks/>
                              </wps:cNvSpPr>
                              <wps:spPr bwMode="auto">
                                <a:xfrm>
                                  <a:off x="40481" y="391318"/>
                                  <a:ext cx="4048" cy="4048"/>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1" y="0"/>
                                        <a:pt x="0" y="0"/>
                                      </a:cubicBezTo>
                                      <a:cubicBezTo>
                                        <a:pt x="1" y="0"/>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84" name="Freeform 44"/>
                              <wps:cNvSpPr>
                                <a:spLocks/>
                              </wps:cNvSpPr>
                              <wps:spPr bwMode="auto">
                                <a:xfrm>
                                  <a:off x="353536" y="330597"/>
                                  <a:ext cx="18891" cy="32385"/>
                                </a:xfrm>
                                <a:custGeom>
                                  <a:avLst/>
                                  <a:gdLst>
                                    <a:gd name="T0" fmla="*/ 0 w 6"/>
                                    <a:gd name="T1" fmla="*/ 10 h 10"/>
                                    <a:gd name="T2" fmla="*/ 6 w 6"/>
                                    <a:gd name="T3" fmla="*/ 0 h 10"/>
                                    <a:gd name="T4" fmla="*/ 6 w 6"/>
                                    <a:gd name="T5" fmla="*/ 0 h 10"/>
                                    <a:gd name="T6" fmla="*/ 6 w 6"/>
                                    <a:gd name="T7" fmla="*/ 0 h 10"/>
                                    <a:gd name="T8" fmla="*/ 0 w 6"/>
                                    <a:gd name="T9" fmla="*/ 10 h 10"/>
                                  </a:gdLst>
                                  <a:ahLst/>
                                  <a:cxnLst>
                                    <a:cxn ang="0">
                                      <a:pos x="T0" y="T1"/>
                                    </a:cxn>
                                    <a:cxn ang="0">
                                      <a:pos x="T2" y="T3"/>
                                    </a:cxn>
                                    <a:cxn ang="0">
                                      <a:pos x="T4" y="T5"/>
                                    </a:cxn>
                                    <a:cxn ang="0">
                                      <a:pos x="T6" y="T7"/>
                                    </a:cxn>
                                    <a:cxn ang="0">
                                      <a:pos x="T8" y="T9"/>
                                    </a:cxn>
                                  </a:cxnLst>
                                  <a:rect l="0" t="0" r="r" b="b"/>
                                  <a:pathLst>
                                    <a:path w="6" h="10">
                                      <a:moveTo>
                                        <a:pt x="0" y="10"/>
                                      </a:moveTo>
                                      <a:cubicBezTo>
                                        <a:pt x="2" y="7"/>
                                        <a:pt x="4" y="4"/>
                                        <a:pt x="6" y="0"/>
                                      </a:cubicBezTo>
                                      <a:cubicBezTo>
                                        <a:pt x="6" y="0"/>
                                        <a:pt x="6" y="0"/>
                                        <a:pt x="6" y="0"/>
                                      </a:cubicBezTo>
                                      <a:cubicBezTo>
                                        <a:pt x="6" y="0"/>
                                        <a:pt x="6" y="0"/>
                                        <a:pt x="6" y="0"/>
                                      </a:cubicBezTo>
                                      <a:cubicBezTo>
                                        <a:pt x="4" y="4"/>
                                        <a:pt x="2" y="7"/>
                                        <a:pt x="0" y="1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5" name="Freeform 45"/>
                              <wps:cNvSpPr>
                                <a:spLocks/>
                              </wps:cNvSpPr>
                              <wps:spPr bwMode="auto">
                                <a:xfrm>
                                  <a:off x="267176" y="395366"/>
                                  <a:ext cx="60722" cy="21590"/>
                                </a:xfrm>
                                <a:custGeom>
                                  <a:avLst/>
                                  <a:gdLst>
                                    <a:gd name="T0" fmla="*/ 0 w 19"/>
                                    <a:gd name="T1" fmla="*/ 7 h 7"/>
                                    <a:gd name="T2" fmla="*/ 18 w 19"/>
                                    <a:gd name="T3" fmla="*/ 0 h 7"/>
                                    <a:gd name="T4" fmla="*/ 19 w 19"/>
                                    <a:gd name="T5" fmla="*/ 0 h 7"/>
                                    <a:gd name="T6" fmla="*/ 18 w 19"/>
                                    <a:gd name="T7" fmla="*/ 0 h 7"/>
                                    <a:gd name="T8" fmla="*/ 0 w 19"/>
                                    <a:gd name="T9" fmla="*/ 7 h 7"/>
                                  </a:gdLst>
                                  <a:ahLst/>
                                  <a:cxnLst>
                                    <a:cxn ang="0">
                                      <a:pos x="T0" y="T1"/>
                                    </a:cxn>
                                    <a:cxn ang="0">
                                      <a:pos x="T2" y="T3"/>
                                    </a:cxn>
                                    <a:cxn ang="0">
                                      <a:pos x="T4" y="T5"/>
                                    </a:cxn>
                                    <a:cxn ang="0">
                                      <a:pos x="T6" y="T7"/>
                                    </a:cxn>
                                    <a:cxn ang="0">
                                      <a:pos x="T8" y="T9"/>
                                    </a:cxn>
                                  </a:cxnLst>
                                  <a:rect l="0" t="0" r="r" b="b"/>
                                  <a:pathLst>
                                    <a:path w="19" h="7">
                                      <a:moveTo>
                                        <a:pt x="0" y="7"/>
                                      </a:moveTo>
                                      <a:cubicBezTo>
                                        <a:pt x="6" y="4"/>
                                        <a:pt x="12" y="3"/>
                                        <a:pt x="18" y="0"/>
                                      </a:cubicBezTo>
                                      <a:cubicBezTo>
                                        <a:pt x="18" y="0"/>
                                        <a:pt x="19" y="0"/>
                                        <a:pt x="19" y="0"/>
                                      </a:cubicBezTo>
                                      <a:cubicBezTo>
                                        <a:pt x="19" y="0"/>
                                        <a:pt x="18" y="0"/>
                                        <a:pt x="18" y="0"/>
                                      </a:cubicBezTo>
                                      <a:cubicBezTo>
                                        <a:pt x="12" y="3"/>
                                        <a:pt x="6" y="4"/>
                                        <a:pt x="0" y="7"/>
                                      </a:cubicBezTo>
                                      <a:close/>
                                    </a:path>
                                  </a:pathLst>
                                </a:custGeom>
                                <a:grpFill/>
                                <a:ln>
                                  <a:noFill/>
                                </a:ln>
                              </wps:spPr>
                              <wps:bodyPr vert="horz" wrap="square" lIns="91440" tIns="45720" rIns="91440" bIns="45720" numCol="1" anchor="t" anchorCtr="0" compatLnSpc="1">
                                <a:prstTxWarp prst="textNoShape">
                                  <a:avLst/>
                                </a:prstTxWarp>
                              </wps:bodyPr>
                            </wps:wsp>
                            <wps:wsp>
                              <wps:cNvPr id="1038752986" name="Freeform 46"/>
                              <wps:cNvSpPr>
                                <a:spLocks/>
                              </wps:cNvSpPr>
                              <wps:spPr bwMode="auto">
                                <a:xfrm>
                                  <a:off x="404812"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7" name="Freeform 47"/>
                              <wps:cNvSpPr>
                                <a:spLocks/>
                              </wps:cNvSpPr>
                              <wps:spPr bwMode="auto">
                                <a:xfrm>
                                  <a:off x="407511" y="260429"/>
                                  <a:ext cx="4048" cy="0"/>
                                </a:xfrm>
                                <a:custGeom>
                                  <a:avLst/>
                                  <a:gdLst>
                                    <a:gd name="T0" fmla="*/ 0 w 1"/>
                                    <a:gd name="T1" fmla="*/ 1 w 1"/>
                                    <a:gd name="T2" fmla="*/ 0 w 1"/>
                                    <a:gd name="T3" fmla="*/ 0 w 1"/>
                                  </a:gdLst>
                                  <a:ahLst/>
                                  <a:cxnLst>
                                    <a:cxn ang="0">
                                      <a:pos x="T0" y="0"/>
                                    </a:cxn>
                                    <a:cxn ang="0">
                                      <a:pos x="T1" y="0"/>
                                    </a:cxn>
                                    <a:cxn ang="0">
                                      <a:pos x="T2" y="0"/>
                                    </a:cxn>
                                    <a:cxn ang="0">
                                      <a:pos x="T3" y="0"/>
                                    </a:cxn>
                                  </a:cxnLst>
                                  <a:rect l="0" t="0" r="r" b="b"/>
                                  <a:pathLst>
                                    <a:path w="1">
                                      <a:moveTo>
                                        <a:pt x="0" y="0"/>
                                      </a:moveTo>
                                      <a:cubicBezTo>
                                        <a:pt x="0" y="0"/>
                                        <a:pt x="0" y="0"/>
                                        <a:pt x="1" y="0"/>
                                      </a:cubicBezTo>
                                      <a:cubicBezTo>
                                        <a:pt x="1" y="0"/>
                                        <a:pt x="1"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8" name="Freeform 48"/>
                              <wps:cNvSpPr>
                                <a:spLocks/>
                              </wps:cNvSpPr>
                              <wps:spPr bwMode="auto">
                                <a:xfrm>
                                  <a:off x="496569" y="276622"/>
                                  <a:ext cx="32385" cy="2699"/>
                                </a:xfrm>
                                <a:custGeom>
                                  <a:avLst/>
                                  <a:gdLst>
                                    <a:gd name="T0" fmla="*/ 0 w 10"/>
                                    <a:gd name="T1" fmla="*/ 0 h 1"/>
                                    <a:gd name="T2" fmla="*/ 9 w 10"/>
                                    <a:gd name="T3" fmla="*/ 1 h 1"/>
                                    <a:gd name="T4" fmla="*/ 10 w 10"/>
                                    <a:gd name="T5" fmla="*/ 1 h 1"/>
                                    <a:gd name="T6" fmla="*/ 9 w 10"/>
                                    <a:gd name="T7" fmla="*/ 1 h 1"/>
                                    <a:gd name="T8" fmla="*/ 0 w 10"/>
                                    <a:gd name="T9" fmla="*/ 0 h 1"/>
                                  </a:gdLst>
                                  <a:ahLst/>
                                  <a:cxnLst>
                                    <a:cxn ang="0">
                                      <a:pos x="T0" y="T1"/>
                                    </a:cxn>
                                    <a:cxn ang="0">
                                      <a:pos x="T2" y="T3"/>
                                    </a:cxn>
                                    <a:cxn ang="0">
                                      <a:pos x="T4" y="T5"/>
                                    </a:cxn>
                                    <a:cxn ang="0">
                                      <a:pos x="T6" y="T7"/>
                                    </a:cxn>
                                    <a:cxn ang="0">
                                      <a:pos x="T8" y="T9"/>
                                    </a:cxn>
                                  </a:cxnLst>
                                  <a:rect l="0" t="0" r="r" b="b"/>
                                  <a:pathLst>
                                    <a:path w="10" h="1">
                                      <a:moveTo>
                                        <a:pt x="0" y="0"/>
                                      </a:moveTo>
                                      <a:cubicBezTo>
                                        <a:pt x="3" y="1"/>
                                        <a:pt x="6" y="1"/>
                                        <a:pt x="9" y="1"/>
                                      </a:cubicBezTo>
                                      <a:cubicBezTo>
                                        <a:pt x="10" y="1"/>
                                        <a:pt x="10" y="1"/>
                                        <a:pt x="10" y="1"/>
                                      </a:cubicBezTo>
                                      <a:cubicBezTo>
                                        <a:pt x="10" y="1"/>
                                        <a:pt x="10" y="1"/>
                                        <a:pt x="9" y="1"/>
                                      </a:cubicBezTo>
                                      <a:cubicBezTo>
                                        <a:pt x="6" y="1"/>
                                        <a:pt x="3" y="1"/>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89" name="Freeform 49"/>
                              <wps:cNvSpPr>
                                <a:spLocks/>
                              </wps:cNvSpPr>
                              <wps:spPr bwMode="auto">
                                <a:xfrm>
                                  <a:off x="528954"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0" name="Freeform 50"/>
                              <wps:cNvSpPr>
                                <a:spLocks/>
                              </wps:cNvSpPr>
                              <wps:spPr bwMode="auto">
                                <a:xfrm>
                                  <a:off x="535701" y="276622"/>
                                  <a:ext cx="2699"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0"/>
                                        <a:pt x="1" y="0"/>
                                        <a:pt x="0" y="1"/>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1" name="Freeform 51"/>
                              <wps:cNvSpPr>
                                <a:spLocks/>
                              </wps:cNvSpPr>
                              <wps:spPr bwMode="auto">
                                <a:xfrm>
                                  <a:off x="369728" y="304959"/>
                                  <a:ext cx="9446" cy="0"/>
                                </a:xfrm>
                                <a:custGeom>
                                  <a:avLst/>
                                  <a:gdLst>
                                    <a:gd name="T0" fmla="*/ 3 w 3"/>
                                    <a:gd name="T1" fmla="*/ 0 w 3"/>
                                    <a:gd name="T2" fmla="*/ 3 w 3"/>
                                  </a:gdLst>
                                  <a:ahLst/>
                                  <a:cxnLst>
                                    <a:cxn ang="0">
                                      <a:pos x="T0" y="0"/>
                                    </a:cxn>
                                    <a:cxn ang="0">
                                      <a:pos x="T1" y="0"/>
                                    </a:cxn>
                                    <a:cxn ang="0">
                                      <a:pos x="T2" y="0"/>
                                    </a:cxn>
                                  </a:cxnLst>
                                  <a:rect l="0" t="0" r="r" b="b"/>
                                  <a:pathLst>
                                    <a:path w="3">
                                      <a:moveTo>
                                        <a:pt x="3" y="0"/>
                                      </a:moveTo>
                                      <a:cubicBezTo>
                                        <a:pt x="2" y="0"/>
                                        <a:pt x="1" y="0"/>
                                        <a:pt x="0" y="0"/>
                                      </a:cubicBezTo>
                                      <a:cubicBezTo>
                                        <a:pt x="1" y="0"/>
                                        <a:pt x="2" y="0"/>
                                        <a:pt x="3"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2" name="Freeform 52"/>
                              <wps:cNvSpPr>
                                <a:spLocks noEditPoints="1"/>
                              </wps:cNvSpPr>
                              <wps:spPr bwMode="auto">
                                <a:xfrm>
                                  <a:off x="5398" y="238839"/>
                                  <a:ext cx="533002" cy="257730"/>
                                </a:xfrm>
                                <a:custGeom>
                                  <a:avLst/>
                                  <a:gdLst>
                                    <a:gd name="T0" fmla="*/ 145 w 167"/>
                                    <a:gd name="T1" fmla="*/ 4 h 81"/>
                                    <a:gd name="T2" fmla="*/ 115 w 167"/>
                                    <a:gd name="T3" fmla="*/ 6 h 81"/>
                                    <a:gd name="T4" fmla="*/ 60 w 167"/>
                                    <a:gd name="T5" fmla="*/ 0 h 81"/>
                                    <a:gd name="T6" fmla="*/ 0 w 167"/>
                                    <a:gd name="T7" fmla="*/ 11 h 81"/>
                                    <a:gd name="T8" fmla="*/ 3 w 167"/>
                                    <a:gd name="T9" fmla="*/ 12 h 81"/>
                                    <a:gd name="T10" fmla="*/ 59 w 167"/>
                                    <a:gd name="T11" fmla="*/ 6 h 81"/>
                                    <a:gd name="T12" fmla="*/ 55 w 167"/>
                                    <a:gd name="T13" fmla="*/ 14 h 81"/>
                                    <a:gd name="T14" fmla="*/ 4 w 167"/>
                                    <a:gd name="T15" fmla="*/ 26 h 81"/>
                                    <a:gd name="T16" fmla="*/ 16 w 167"/>
                                    <a:gd name="T17" fmla="*/ 29 h 81"/>
                                    <a:gd name="T18" fmla="*/ 35 w 167"/>
                                    <a:gd name="T19" fmla="*/ 31 h 81"/>
                                    <a:gd name="T20" fmla="*/ 32 w 167"/>
                                    <a:gd name="T21" fmla="*/ 39 h 81"/>
                                    <a:gd name="T22" fmla="*/ 14 w 167"/>
                                    <a:gd name="T23" fmla="*/ 44 h 81"/>
                                    <a:gd name="T24" fmla="*/ 14 w 167"/>
                                    <a:gd name="T25" fmla="*/ 49 h 81"/>
                                    <a:gd name="T26" fmla="*/ 16 w 167"/>
                                    <a:gd name="T27" fmla="*/ 49 h 81"/>
                                    <a:gd name="T28" fmla="*/ 46 w 167"/>
                                    <a:gd name="T29" fmla="*/ 41 h 81"/>
                                    <a:gd name="T30" fmla="*/ 54 w 167"/>
                                    <a:gd name="T31" fmla="*/ 49 h 81"/>
                                    <a:gd name="T32" fmla="*/ 34 w 167"/>
                                    <a:gd name="T33" fmla="*/ 65 h 81"/>
                                    <a:gd name="T34" fmla="*/ 68 w 167"/>
                                    <a:gd name="T35" fmla="*/ 81 h 81"/>
                                    <a:gd name="T36" fmla="*/ 72 w 167"/>
                                    <a:gd name="T37" fmla="*/ 79 h 81"/>
                                    <a:gd name="T38" fmla="*/ 80 w 167"/>
                                    <a:gd name="T39" fmla="*/ 64 h 81"/>
                                    <a:gd name="T40" fmla="*/ 93 w 167"/>
                                    <a:gd name="T41" fmla="*/ 69 h 81"/>
                                    <a:gd name="T42" fmla="*/ 108 w 167"/>
                                    <a:gd name="T43" fmla="*/ 77 h 81"/>
                                    <a:gd name="T44" fmla="*/ 112 w 167"/>
                                    <a:gd name="T45" fmla="*/ 75 h 81"/>
                                    <a:gd name="T46" fmla="*/ 93 w 167"/>
                                    <a:gd name="T47" fmla="*/ 64 h 81"/>
                                    <a:gd name="T48" fmla="*/ 103 w 167"/>
                                    <a:gd name="T49" fmla="*/ 55 h 81"/>
                                    <a:gd name="T50" fmla="*/ 106 w 167"/>
                                    <a:gd name="T51" fmla="*/ 55 h 81"/>
                                    <a:gd name="T52" fmla="*/ 134 w 167"/>
                                    <a:gd name="T53" fmla="*/ 61 h 81"/>
                                    <a:gd name="T54" fmla="*/ 156 w 167"/>
                                    <a:gd name="T55" fmla="*/ 43 h 81"/>
                                    <a:gd name="T56" fmla="*/ 134 w 167"/>
                                    <a:gd name="T57" fmla="*/ 55 h 81"/>
                                    <a:gd name="T58" fmla="*/ 120 w 167"/>
                                    <a:gd name="T59" fmla="*/ 54 h 81"/>
                                    <a:gd name="T60" fmla="*/ 109 w 167"/>
                                    <a:gd name="T61" fmla="*/ 50 h 81"/>
                                    <a:gd name="T62" fmla="*/ 135 w 167"/>
                                    <a:gd name="T63" fmla="*/ 27 h 81"/>
                                    <a:gd name="T64" fmla="*/ 160 w 167"/>
                                    <a:gd name="T65" fmla="*/ 28 h 81"/>
                                    <a:gd name="T66" fmla="*/ 156 w 167"/>
                                    <a:gd name="T67" fmla="*/ 23 h 81"/>
                                    <a:gd name="T68" fmla="*/ 123 w 167"/>
                                    <a:gd name="T69" fmla="*/ 21 h 81"/>
                                    <a:gd name="T70" fmla="*/ 118 w 167"/>
                                    <a:gd name="T71" fmla="*/ 10 h 81"/>
                                    <a:gd name="T72" fmla="*/ 125 w 167"/>
                                    <a:gd name="T73" fmla="*/ 6 h 81"/>
                                    <a:gd name="T74" fmla="*/ 137 w 167"/>
                                    <a:gd name="T75" fmla="*/ 8 h 81"/>
                                    <a:gd name="T76" fmla="*/ 166 w 167"/>
                                    <a:gd name="T77" fmla="*/ 11 h 81"/>
                                    <a:gd name="T78" fmla="*/ 36 w 167"/>
                                    <a:gd name="T79" fmla="*/ 26 h 81"/>
                                    <a:gd name="T80" fmla="*/ 51 w 167"/>
                                    <a:gd name="T81" fmla="*/ 22 h 81"/>
                                    <a:gd name="T82" fmla="*/ 53 w 167"/>
                                    <a:gd name="T83" fmla="*/ 22 h 81"/>
                                    <a:gd name="T84" fmla="*/ 78 w 167"/>
                                    <a:gd name="T85" fmla="*/ 30 h 81"/>
                                    <a:gd name="T86" fmla="*/ 58 w 167"/>
                                    <a:gd name="T87" fmla="*/ 45 h 81"/>
                                    <a:gd name="T88" fmla="*/ 69 w 167"/>
                                    <a:gd name="T89" fmla="*/ 74 h 81"/>
                                    <a:gd name="T90" fmla="*/ 41 w 167"/>
                                    <a:gd name="T91" fmla="*/ 63 h 81"/>
                                    <a:gd name="T92" fmla="*/ 51 w 167"/>
                                    <a:gd name="T93" fmla="*/ 56 h 81"/>
                                    <a:gd name="T94" fmla="*/ 59 w 167"/>
                                    <a:gd name="T95" fmla="*/ 52 h 81"/>
                                    <a:gd name="T96" fmla="*/ 76 w 167"/>
                                    <a:gd name="T97" fmla="*/ 60 h 81"/>
                                    <a:gd name="T98" fmla="*/ 115 w 167"/>
                                    <a:gd name="T99" fmla="*/ 30 h 81"/>
                                    <a:gd name="T100" fmla="*/ 103 w 167"/>
                                    <a:gd name="T101" fmla="*/ 48 h 81"/>
                                    <a:gd name="T102" fmla="*/ 82 w 167"/>
                                    <a:gd name="T103" fmla="*/ 56 h 81"/>
                                    <a:gd name="T104" fmla="*/ 80 w 167"/>
                                    <a:gd name="T105" fmla="*/ 56 h 81"/>
                                    <a:gd name="T106" fmla="*/ 64 w 167"/>
                                    <a:gd name="T107" fmla="*/ 48 h 81"/>
                                    <a:gd name="T108" fmla="*/ 103 w 167"/>
                                    <a:gd name="T109" fmla="*/ 28 h 81"/>
                                    <a:gd name="T110" fmla="*/ 116 w 167"/>
                                    <a:gd name="T111" fmla="*/ 28 h 81"/>
                                    <a:gd name="T112" fmla="*/ 111 w 167"/>
                                    <a:gd name="T113" fmla="*/ 23 h 81"/>
                                    <a:gd name="T114" fmla="*/ 83 w 167"/>
                                    <a:gd name="T115" fmla="*/ 25 h 81"/>
                                    <a:gd name="T116" fmla="*/ 60 w 167"/>
                                    <a:gd name="T117" fmla="*/ 19 h 81"/>
                                    <a:gd name="T118" fmla="*/ 70 w 167"/>
                                    <a:gd name="T119" fmla="*/ 12 h 81"/>
                                    <a:gd name="T120" fmla="*/ 115 w 167"/>
                                    <a:gd name="T121" fmla="*/ 15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67" h="81">
                                      <a:moveTo>
                                        <a:pt x="166" y="9"/>
                                      </a:moveTo>
                                      <a:cubicBezTo>
                                        <a:pt x="166" y="9"/>
                                        <a:pt x="165" y="8"/>
                                        <a:pt x="164" y="8"/>
                                      </a:cubicBezTo>
                                      <a:cubicBezTo>
                                        <a:pt x="163" y="8"/>
                                        <a:pt x="163" y="8"/>
                                        <a:pt x="163" y="8"/>
                                      </a:cubicBezTo>
                                      <a:cubicBezTo>
                                        <a:pt x="157" y="7"/>
                                        <a:pt x="151" y="5"/>
                                        <a:pt x="145" y="4"/>
                                      </a:cubicBezTo>
                                      <a:cubicBezTo>
                                        <a:pt x="138" y="3"/>
                                        <a:pt x="132" y="1"/>
                                        <a:pt x="126" y="0"/>
                                      </a:cubicBezTo>
                                      <a:cubicBezTo>
                                        <a:pt x="126" y="0"/>
                                        <a:pt x="124" y="1"/>
                                        <a:pt x="123" y="2"/>
                                      </a:cubicBezTo>
                                      <a:cubicBezTo>
                                        <a:pt x="122" y="2"/>
                                        <a:pt x="120" y="3"/>
                                        <a:pt x="119" y="4"/>
                                      </a:cubicBezTo>
                                      <a:cubicBezTo>
                                        <a:pt x="118" y="5"/>
                                        <a:pt x="116" y="6"/>
                                        <a:pt x="115" y="6"/>
                                      </a:cubicBezTo>
                                      <a:cubicBezTo>
                                        <a:pt x="114" y="7"/>
                                        <a:pt x="113" y="8"/>
                                        <a:pt x="111" y="8"/>
                                      </a:cubicBezTo>
                                      <a:cubicBezTo>
                                        <a:pt x="73" y="8"/>
                                        <a:pt x="73" y="8"/>
                                        <a:pt x="73" y="8"/>
                                      </a:cubicBezTo>
                                      <a:cubicBezTo>
                                        <a:pt x="68" y="8"/>
                                        <a:pt x="66" y="7"/>
                                        <a:pt x="65" y="3"/>
                                      </a:cubicBezTo>
                                      <a:cubicBezTo>
                                        <a:pt x="63" y="1"/>
                                        <a:pt x="62" y="0"/>
                                        <a:pt x="60" y="0"/>
                                      </a:cubicBezTo>
                                      <a:cubicBezTo>
                                        <a:pt x="47" y="3"/>
                                        <a:pt x="34" y="4"/>
                                        <a:pt x="21" y="6"/>
                                      </a:cubicBezTo>
                                      <a:cubicBezTo>
                                        <a:pt x="12" y="7"/>
                                        <a:pt x="12" y="7"/>
                                        <a:pt x="12" y="7"/>
                                      </a:cubicBezTo>
                                      <a:cubicBezTo>
                                        <a:pt x="2" y="8"/>
                                        <a:pt x="2" y="8"/>
                                        <a:pt x="2" y="8"/>
                                      </a:cubicBezTo>
                                      <a:cubicBezTo>
                                        <a:pt x="2" y="8"/>
                                        <a:pt x="0" y="10"/>
                                        <a:pt x="0" y="11"/>
                                      </a:cubicBezTo>
                                      <a:cubicBezTo>
                                        <a:pt x="1" y="12"/>
                                        <a:pt x="2" y="13"/>
                                        <a:pt x="2" y="13"/>
                                      </a:cubicBezTo>
                                      <a:cubicBezTo>
                                        <a:pt x="2" y="13"/>
                                        <a:pt x="3" y="13"/>
                                        <a:pt x="3" y="13"/>
                                      </a:cubicBezTo>
                                      <a:cubicBezTo>
                                        <a:pt x="3" y="12"/>
                                        <a:pt x="3" y="12"/>
                                        <a:pt x="3" y="12"/>
                                      </a:cubicBezTo>
                                      <a:cubicBezTo>
                                        <a:pt x="3" y="12"/>
                                        <a:pt x="3" y="12"/>
                                        <a:pt x="3" y="12"/>
                                      </a:cubicBezTo>
                                      <a:cubicBezTo>
                                        <a:pt x="8" y="12"/>
                                        <a:pt x="8" y="12"/>
                                        <a:pt x="8" y="12"/>
                                      </a:cubicBezTo>
                                      <a:cubicBezTo>
                                        <a:pt x="14" y="12"/>
                                        <a:pt x="14" y="12"/>
                                        <a:pt x="14" y="12"/>
                                      </a:cubicBezTo>
                                      <a:cubicBezTo>
                                        <a:pt x="29" y="10"/>
                                        <a:pt x="43" y="8"/>
                                        <a:pt x="57" y="6"/>
                                      </a:cubicBezTo>
                                      <a:cubicBezTo>
                                        <a:pt x="57" y="6"/>
                                        <a:pt x="58" y="6"/>
                                        <a:pt x="59" y="6"/>
                                      </a:cubicBezTo>
                                      <a:cubicBezTo>
                                        <a:pt x="60" y="6"/>
                                        <a:pt x="62" y="7"/>
                                        <a:pt x="62" y="9"/>
                                      </a:cubicBezTo>
                                      <a:cubicBezTo>
                                        <a:pt x="62" y="10"/>
                                        <a:pt x="62" y="10"/>
                                        <a:pt x="62" y="10"/>
                                      </a:cubicBezTo>
                                      <a:cubicBezTo>
                                        <a:pt x="61" y="10"/>
                                        <a:pt x="61" y="10"/>
                                        <a:pt x="61" y="10"/>
                                      </a:cubicBezTo>
                                      <a:cubicBezTo>
                                        <a:pt x="59" y="12"/>
                                        <a:pt x="57" y="13"/>
                                        <a:pt x="55" y="14"/>
                                      </a:cubicBezTo>
                                      <a:cubicBezTo>
                                        <a:pt x="54" y="15"/>
                                        <a:pt x="53" y="16"/>
                                        <a:pt x="52" y="16"/>
                                      </a:cubicBezTo>
                                      <a:cubicBezTo>
                                        <a:pt x="51" y="17"/>
                                        <a:pt x="50" y="17"/>
                                        <a:pt x="49" y="17"/>
                                      </a:cubicBezTo>
                                      <a:cubicBezTo>
                                        <a:pt x="42" y="19"/>
                                        <a:pt x="34" y="20"/>
                                        <a:pt x="27" y="22"/>
                                      </a:cubicBezTo>
                                      <a:cubicBezTo>
                                        <a:pt x="19" y="23"/>
                                        <a:pt x="12" y="25"/>
                                        <a:pt x="4" y="26"/>
                                      </a:cubicBezTo>
                                      <a:cubicBezTo>
                                        <a:pt x="1" y="27"/>
                                        <a:pt x="0" y="28"/>
                                        <a:pt x="0" y="29"/>
                                      </a:cubicBezTo>
                                      <a:cubicBezTo>
                                        <a:pt x="1" y="31"/>
                                        <a:pt x="1" y="31"/>
                                        <a:pt x="3" y="31"/>
                                      </a:cubicBezTo>
                                      <a:cubicBezTo>
                                        <a:pt x="4" y="31"/>
                                        <a:pt x="4" y="31"/>
                                        <a:pt x="5" y="31"/>
                                      </a:cubicBezTo>
                                      <a:cubicBezTo>
                                        <a:pt x="9" y="30"/>
                                        <a:pt x="13" y="29"/>
                                        <a:pt x="16" y="29"/>
                                      </a:cubicBezTo>
                                      <a:cubicBezTo>
                                        <a:pt x="20" y="28"/>
                                        <a:pt x="24" y="27"/>
                                        <a:pt x="28" y="26"/>
                                      </a:cubicBezTo>
                                      <a:cubicBezTo>
                                        <a:pt x="28" y="26"/>
                                        <a:pt x="28" y="26"/>
                                        <a:pt x="28" y="26"/>
                                      </a:cubicBezTo>
                                      <a:cubicBezTo>
                                        <a:pt x="29" y="26"/>
                                        <a:pt x="30" y="26"/>
                                        <a:pt x="31" y="27"/>
                                      </a:cubicBezTo>
                                      <a:cubicBezTo>
                                        <a:pt x="32" y="28"/>
                                        <a:pt x="34" y="30"/>
                                        <a:pt x="35" y="31"/>
                                      </a:cubicBezTo>
                                      <a:cubicBezTo>
                                        <a:pt x="36" y="33"/>
                                        <a:pt x="38" y="34"/>
                                        <a:pt x="40" y="36"/>
                                      </a:cubicBezTo>
                                      <a:cubicBezTo>
                                        <a:pt x="41" y="37"/>
                                        <a:pt x="41" y="37"/>
                                        <a:pt x="41" y="37"/>
                                      </a:cubicBezTo>
                                      <a:cubicBezTo>
                                        <a:pt x="39" y="37"/>
                                        <a:pt x="39" y="37"/>
                                        <a:pt x="39" y="37"/>
                                      </a:cubicBezTo>
                                      <a:cubicBezTo>
                                        <a:pt x="37" y="38"/>
                                        <a:pt x="35" y="38"/>
                                        <a:pt x="32" y="39"/>
                                      </a:cubicBezTo>
                                      <a:cubicBezTo>
                                        <a:pt x="31" y="39"/>
                                        <a:pt x="29" y="40"/>
                                        <a:pt x="27" y="40"/>
                                      </a:cubicBezTo>
                                      <a:cubicBezTo>
                                        <a:pt x="25" y="41"/>
                                        <a:pt x="23" y="41"/>
                                        <a:pt x="21" y="42"/>
                                      </a:cubicBezTo>
                                      <a:cubicBezTo>
                                        <a:pt x="19" y="43"/>
                                        <a:pt x="16" y="43"/>
                                        <a:pt x="14" y="44"/>
                                      </a:cubicBezTo>
                                      <a:cubicBezTo>
                                        <a:pt x="14" y="44"/>
                                        <a:pt x="14" y="44"/>
                                        <a:pt x="14" y="44"/>
                                      </a:cubicBezTo>
                                      <a:cubicBezTo>
                                        <a:pt x="14" y="44"/>
                                        <a:pt x="14" y="44"/>
                                        <a:pt x="14" y="44"/>
                                      </a:cubicBezTo>
                                      <a:cubicBezTo>
                                        <a:pt x="13" y="44"/>
                                        <a:pt x="12" y="45"/>
                                        <a:pt x="12" y="45"/>
                                      </a:cubicBezTo>
                                      <a:cubicBezTo>
                                        <a:pt x="11" y="46"/>
                                        <a:pt x="11" y="46"/>
                                        <a:pt x="12" y="47"/>
                                      </a:cubicBezTo>
                                      <a:cubicBezTo>
                                        <a:pt x="12" y="47"/>
                                        <a:pt x="13" y="49"/>
                                        <a:pt x="14" y="49"/>
                                      </a:cubicBezTo>
                                      <a:cubicBezTo>
                                        <a:pt x="15" y="49"/>
                                        <a:pt x="15" y="49"/>
                                        <a:pt x="15" y="49"/>
                                      </a:cubicBezTo>
                                      <a:cubicBezTo>
                                        <a:pt x="15" y="49"/>
                                        <a:pt x="15" y="49"/>
                                        <a:pt x="15" y="49"/>
                                      </a:cubicBezTo>
                                      <a:cubicBezTo>
                                        <a:pt x="15" y="49"/>
                                        <a:pt x="15" y="49"/>
                                        <a:pt x="15" y="49"/>
                                      </a:cubicBezTo>
                                      <a:cubicBezTo>
                                        <a:pt x="16" y="49"/>
                                        <a:pt x="16" y="49"/>
                                        <a:pt x="16" y="49"/>
                                      </a:cubicBezTo>
                                      <a:cubicBezTo>
                                        <a:pt x="21" y="47"/>
                                        <a:pt x="25" y="46"/>
                                        <a:pt x="29" y="45"/>
                                      </a:cubicBezTo>
                                      <a:cubicBezTo>
                                        <a:pt x="34" y="44"/>
                                        <a:pt x="38" y="43"/>
                                        <a:pt x="43" y="42"/>
                                      </a:cubicBezTo>
                                      <a:cubicBezTo>
                                        <a:pt x="44" y="41"/>
                                        <a:pt x="45" y="41"/>
                                        <a:pt x="45" y="41"/>
                                      </a:cubicBezTo>
                                      <a:cubicBezTo>
                                        <a:pt x="46" y="41"/>
                                        <a:pt x="46" y="41"/>
                                        <a:pt x="46" y="41"/>
                                      </a:cubicBezTo>
                                      <a:cubicBezTo>
                                        <a:pt x="46" y="41"/>
                                        <a:pt x="46" y="41"/>
                                        <a:pt x="46" y="41"/>
                                      </a:cubicBezTo>
                                      <a:cubicBezTo>
                                        <a:pt x="48" y="43"/>
                                        <a:pt x="51" y="46"/>
                                        <a:pt x="54" y="48"/>
                                      </a:cubicBezTo>
                                      <a:cubicBezTo>
                                        <a:pt x="55" y="49"/>
                                        <a:pt x="55" y="49"/>
                                        <a:pt x="55" y="49"/>
                                      </a:cubicBezTo>
                                      <a:cubicBezTo>
                                        <a:pt x="54" y="49"/>
                                        <a:pt x="54" y="49"/>
                                        <a:pt x="54" y="49"/>
                                      </a:cubicBezTo>
                                      <a:cubicBezTo>
                                        <a:pt x="50" y="51"/>
                                        <a:pt x="47" y="53"/>
                                        <a:pt x="44" y="55"/>
                                      </a:cubicBezTo>
                                      <a:cubicBezTo>
                                        <a:pt x="40" y="57"/>
                                        <a:pt x="37" y="59"/>
                                        <a:pt x="34" y="61"/>
                                      </a:cubicBezTo>
                                      <a:cubicBezTo>
                                        <a:pt x="32" y="62"/>
                                        <a:pt x="32" y="62"/>
                                        <a:pt x="32" y="63"/>
                                      </a:cubicBezTo>
                                      <a:cubicBezTo>
                                        <a:pt x="32" y="65"/>
                                        <a:pt x="33" y="65"/>
                                        <a:pt x="34" y="65"/>
                                      </a:cubicBezTo>
                                      <a:cubicBezTo>
                                        <a:pt x="34" y="65"/>
                                        <a:pt x="34" y="65"/>
                                        <a:pt x="34" y="65"/>
                                      </a:cubicBezTo>
                                      <a:cubicBezTo>
                                        <a:pt x="34" y="66"/>
                                        <a:pt x="34" y="66"/>
                                        <a:pt x="34" y="66"/>
                                      </a:cubicBezTo>
                                      <a:cubicBezTo>
                                        <a:pt x="41" y="69"/>
                                        <a:pt x="47" y="72"/>
                                        <a:pt x="54" y="75"/>
                                      </a:cubicBezTo>
                                      <a:cubicBezTo>
                                        <a:pt x="59" y="77"/>
                                        <a:pt x="63" y="79"/>
                                        <a:pt x="68" y="81"/>
                                      </a:cubicBezTo>
                                      <a:cubicBezTo>
                                        <a:pt x="69" y="81"/>
                                        <a:pt x="69" y="81"/>
                                        <a:pt x="69" y="81"/>
                                      </a:cubicBezTo>
                                      <a:cubicBezTo>
                                        <a:pt x="70" y="81"/>
                                        <a:pt x="71" y="81"/>
                                        <a:pt x="72" y="79"/>
                                      </a:cubicBezTo>
                                      <a:cubicBezTo>
                                        <a:pt x="72" y="79"/>
                                        <a:pt x="72" y="79"/>
                                        <a:pt x="72" y="79"/>
                                      </a:cubicBezTo>
                                      <a:cubicBezTo>
                                        <a:pt x="72" y="79"/>
                                        <a:pt x="72" y="79"/>
                                        <a:pt x="72" y="79"/>
                                      </a:cubicBezTo>
                                      <a:cubicBezTo>
                                        <a:pt x="75" y="74"/>
                                        <a:pt x="77" y="70"/>
                                        <a:pt x="79" y="65"/>
                                      </a:cubicBezTo>
                                      <a:cubicBezTo>
                                        <a:pt x="80" y="65"/>
                                        <a:pt x="80" y="65"/>
                                        <a:pt x="80" y="65"/>
                                      </a:cubicBezTo>
                                      <a:cubicBezTo>
                                        <a:pt x="80" y="65"/>
                                        <a:pt x="80" y="65"/>
                                        <a:pt x="80" y="65"/>
                                      </a:cubicBezTo>
                                      <a:cubicBezTo>
                                        <a:pt x="80" y="65"/>
                                        <a:pt x="80" y="65"/>
                                        <a:pt x="80" y="64"/>
                                      </a:cubicBezTo>
                                      <a:cubicBezTo>
                                        <a:pt x="80" y="64"/>
                                        <a:pt x="81" y="64"/>
                                        <a:pt x="81" y="63"/>
                                      </a:cubicBezTo>
                                      <a:cubicBezTo>
                                        <a:pt x="81" y="63"/>
                                        <a:pt x="81" y="63"/>
                                        <a:pt x="81" y="63"/>
                                      </a:cubicBezTo>
                                      <a:cubicBezTo>
                                        <a:pt x="82" y="63"/>
                                        <a:pt x="82" y="63"/>
                                        <a:pt x="82" y="63"/>
                                      </a:cubicBezTo>
                                      <a:cubicBezTo>
                                        <a:pt x="86" y="66"/>
                                        <a:pt x="89" y="67"/>
                                        <a:pt x="93" y="69"/>
                                      </a:cubicBezTo>
                                      <a:cubicBezTo>
                                        <a:pt x="94" y="69"/>
                                        <a:pt x="96" y="70"/>
                                        <a:pt x="97" y="71"/>
                                      </a:cubicBezTo>
                                      <a:cubicBezTo>
                                        <a:pt x="101" y="73"/>
                                        <a:pt x="104" y="75"/>
                                        <a:pt x="108" y="77"/>
                                      </a:cubicBezTo>
                                      <a:cubicBezTo>
                                        <a:pt x="108" y="77"/>
                                        <a:pt x="108" y="77"/>
                                        <a:pt x="108" y="77"/>
                                      </a:cubicBezTo>
                                      <a:cubicBezTo>
                                        <a:pt x="108" y="77"/>
                                        <a:pt x="108" y="77"/>
                                        <a:pt x="108" y="77"/>
                                      </a:cubicBezTo>
                                      <a:cubicBezTo>
                                        <a:pt x="108" y="77"/>
                                        <a:pt x="108" y="77"/>
                                        <a:pt x="109" y="77"/>
                                      </a:cubicBezTo>
                                      <a:cubicBezTo>
                                        <a:pt x="109" y="77"/>
                                        <a:pt x="110" y="77"/>
                                        <a:pt x="111" y="77"/>
                                      </a:cubicBezTo>
                                      <a:cubicBezTo>
                                        <a:pt x="111" y="77"/>
                                        <a:pt x="111" y="77"/>
                                        <a:pt x="111" y="77"/>
                                      </a:cubicBezTo>
                                      <a:cubicBezTo>
                                        <a:pt x="112" y="76"/>
                                        <a:pt x="112" y="76"/>
                                        <a:pt x="112" y="75"/>
                                      </a:cubicBezTo>
                                      <a:cubicBezTo>
                                        <a:pt x="112" y="75"/>
                                        <a:pt x="112" y="74"/>
                                        <a:pt x="111" y="74"/>
                                      </a:cubicBezTo>
                                      <a:cubicBezTo>
                                        <a:pt x="111" y="73"/>
                                        <a:pt x="111" y="73"/>
                                        <a:pt x="110" y="72"/>
                                      </a:cubicBezTo>
                                      <a:cubicBezTo>
                                        <a:pt x="108" y="71"/>
                                        <a:pt x="105" y="70"/>
                                        <a:pt x="102" y="68"/>
                                      </a:cubicBezTo>
                                      <a:cubicBezTo>
                                        <a:pt x="99" y="67"/>
                                        <a:pt x="96" y="66"/>
                                        <a:pt x="93" y="64"/>
                                      </a:cubicBezTo>
                                      <a:cubicBezTo>
                                        <a:pt x="92" y="63"/>
                                        <a:pt x="90" y="62"/>
                                        <a:pt x="88" y="61"/>
                                      </a:cubicBezTo>
                                      <a:cubicBezTo>
                                        <a:pt x="87" y="60"/>
                                        <a:pt x="87" y="60"/>
                                        <a:pt x="87" y="60"/>
                                      </a:cubicBezTo>
                                      <a:cubicBezTo>
                                        <a:pt x="88" y="59"/>
                                        <a:pt x="88" y="59"/>
                                        <a:pt x="88" y="59"/>
                                      </a:cubicBezTo>
                                      <a:cubicBezTo>
                                        <a:pt x="94" y="58"/>
                                        <a:pt x="98" y="56"/>
                                        <a:pt x="103" y="55"/>
                                      </a:cubicBezTo>
                                      <a:cubicBezTo>
                                        <a:pt x="103" y="55"/>
                                        <a:pt x="103" y="55"/>
                                        <a:pt x="103" y="55"/>
                                      </a:cubicBezTo>
                                      <a:cubicBezTo>
                                        <a:pt x="103" y="55"/>
                                        <a:pt x="103" y="55"/>
                                        <a:pt x="103" y="55"/>
                                      </a:cubicBezTo>
                                      <a:cubicBezTo>
                                        <a:pt x="105" y="55"/>
                                        <a:pt x="105" y="55"/>
                                        <a:pt x="105" y="55"/>
                                      </a:cubicBezTo>
                                      <a:cubicBezTo>
                                        <a:pt x="106" y="55"/>
                                        <a:pt x="106" y="55"/>
                                        <a:pt x="106" y="55"/>
                                      </a:cubicBezTo>
                                      <a:cubicBezTo>
                                        <a:pt x="106" y="55"/>
                                        <a:pt x="106" y="55"/>
                                        <a:pt x="106" y="55"/>
                                      </a:cubicBezTo>
                                      <a:cubicBezTo>
                                        <a:pt x="131" y="62"/>
                                        <a:pt x="131" y="62"/>
                                        <a:pt x="131" y="62"/>
                                      </a:cubicBezTo>
                                      <a:cubicBezTo>
                                        <a:pt x="132" y="62"/>
                                        <a:pt x="132" y="62"/>
                                        <a:pt x="132" y="62"/>
                                      </a:cubicBezTo>
                                      <a:cubicBezTo>
                                        <a:pt x="133" y="62"/>
                                        <a:pt x="134" y="62"/>
                                        <a:pt x="134" y="61"/>
                                      </a:cubicBezTo>
                                      <a:cubicBezTo>
                                        <a:pt x="137" y="59"/>
                                        <a:pt x="139" y="57"/>
                                        <a:pt x="142" y="55"/>
                                      </a:cubicBezTo>
                                      <a:cubicBezTo>
                                        <a:pt x="144" y="53"/>
                                        <a:pt x="147" y="51"/>
                                        <a:pt x="150" y="49"/>
                                      </a:cubicBezTo>
                                      <a:cubicBezTo>
                                        <a:pt x="151" y="48"/>
                                        <a:pt x="152" y="46"/>
                                        <a:pt x="153" y="46"/>
                                      </a:cubicBezTo>
                                      <a:cubicBezTo>
                                        <a:pt x="154" y="45"/>
                                        <a:pt x="155" y="44"/>
                                        <a:pt x="156" y="43"/>
                                      </a:cubicBezTo>
                                      <a:cubicBezTo>
                                        <a:pt x="156" y="43"/>
                                        <a:pt x="157" y="41"/>
                                        <a:pt x="157" y="41"/>
                                      </a:cubicBezTo>
                                      <a:cubicBezTo>
                                        <a:pt x="155" y="39"/>
                                        <a:pt x="155" y="39"/>
                                        <a:pt x="155" y="39"/>
                                      </a:cubicBezTo>
                                      <a:cubicBezTo>
                                        <a:pt x="154" y="39"/>
                                        <a:pt x="153" y="39"/>
                                        <a:pt x="152" y="40"/>
                                      </a:cubicBezTo>
                                      <a:cubicBezTo>
                                        <a:pt x="146" y="45"/>
                                        <a:pt x="140" y="50"/>
                                        <a:pt x="134" y="55"/>
                                      </a:cubicBezTo>
                                      <a:cubicBezTo>
                                        <a:pt x="133" y="56"/>
                                        <a:pt x="131" y="56"/>
                                        <a:pt x="129" y="56"/>
                                      </a:cubicBezTo>
                                      <a:cubicBezTo>
                                        <a:pt x="129" y="56"/>
                                        <a:pt x="129" y="56"/>
                                        <a:pt x="129" y="56"/>
                                      </a:cubicBezTo>
                                      <a:cubicBezTo>
                                        <a:pt x="129" y="56"/>
                                        <a:pt x="129" y="56"/>
                                        <a:pt x="129" y="56"/>
                                      </a:cubicBezTo>
                                      <a:cubicBezTo>
                                        <a:pt x="126" y="56"/>
                                        <a:pt x="123" y="55"/>
                                        <a:pt x="120" y="54"/>
                                      </a:cubicBezTo>
                                      <a:cubicBezTo>
                                        <a:pt x="117" y="53"/>
                                        <a:pt x="114" y="52"/>
                                        <a:pt x="111" y="51"/>
                                      </a:cubicBezTo>
                                      <a:cubicBezTo>
                                        <a:pt x="109" y="51"/>
                                        <a:pt x="109" y="51"/>
                                        <a:pt x="109" y="51"/>
                                      </a:cubicBezTo>
                                      <a:cubicBezTo>
                                        <a:pt x="108" y="51"/>
                                        <a:pt x="108" y="51"/>
                                        <a:pt x="108" y="51"/>
                                      </a:cubicBezTo>
                                      <a:cubicBezTo>
                                        <a:pt x="109" y="50"/>
                                        <a:pt x="109" y="50"/>
                                        <a:pt x="109" y="50"/>
                                      </a:cubicBezTo>
                                      <a:cubicBezTo>
                                        <a:pt x="112" y="44"/>
                                        <a:pt x="116" y="38"/>
                                        <a:pt x="120" y="33"/>
                                      </a:cubicBezTo>
                                      <a:cubicBezTo>
                                        <a:pt x="121" y="31"/>
                                        <a:pt x="122" y="29"/>
                                        <a:pt x="123" y="28"/>
                                      </a:cubicBezTo>
                                      <a:cubicBezTo>
                                        <a:pt x="123" y="27"/>
                                        <a:pt x="124" y="26"/>
                                        <a:pt x="125" y="26"/>
                                      </a:cubicBezTo>
                                      <a:cubicBezTo>
                                        <a:pt x="129" y="26"/>
                                        <a:pt x="132" y="26"/>
                                        <a:pt x="135" y="27"/>
                                      </a:cubicBezTo>
                                      <a:cubicBezTo>
                                        <a:pt x="138" y="27"/>
                                        <a:pt x="141" y="27"/>
                                        <a:pt x="144" y="27"/>
                                      </a:cubicBezTo>
                                      <a:cubicBezTo>
                                        <a:pt x="149" y="28"/>
                                        <a:pt x="154" y="28"/>
                                        <a:pt x="159" y="28"/>
                                      </a:cubicBezTo>
                                      <a:cubicBezTo>
                                        <a:pt x="160" y="28"/>
                                        <a:pt x="160" y="28"/>
                                        <a:pt x="160" y="28"/>
                                      </a:cubicBezTo>
                                      <a:cubicBezTo>
                                        <a:pt x="160" y="28"/>
                                        <a:pt x="160" y="28"/>
                                        <a:pt x="160" y="28"/>
                                      </a:cubicBezTo>
                                      <a:cubicBezTo>
                                        <a:pt x="160" y="28"/>
                                        <a:pt x="160" y="28"/>
                                        <a:pt x="160" y="28"/>
                                      </a:cubicBezTo>
                                      <a:cubicBezTo>
                                        <a:pt x="161" y="28"/>
                                        <a:pt x="162" y="27"/>
                                        <a:pt x="162" y="25"/>
                                      </a:cubicBezTo>
                                      <a:cubicBezTo>
                                        <a:pt x="162" y="24"/>
                                        <a:pt x="161" y="23"/>
                                        <a:pt x="160" y="23"/>
                                      </a:cubicBezTo>
                                      <a:cubicBezTo>
                                        <a:pt x="159" y="23"/>
                                        <a:pt x="158" y="23"/>
                                        <a:pt x="156" y="23"/>
                                      </a:cubicBezTo>
                                      <a:cubicBezTo>
                                        <a:pt x="147" y="23"/>
                                        <a:pt x="137" y="22"/>
                                        <a:pt x="128" y="21"/>
                                      </a:cubicBezTo>
                                      <a:cubicBezTo>
                                        <a:pt x="125" y="21"/>
                                        <a:pt x="125" y="21"/>
                                        <a:pt x="125" y="21"/>
                                      </a:cubicBezTo>
                                      <a:cubicBezTo>
                                        <a:pt x="124" y="21"/>
                                        <a:pt x="124" y="21"/>
                                        <a:pt x="124" y="21"/>
                                      </a:cubicBezTo>
                                      <a:cubicBezTo>
                                        <a:pt x="123" y="21"/>
                                        <a:pt x="123" y="21"/>
                                        <a:pt x="123" y="21"/>
                                      </a:cubicBezTo>
                                      <a:cubicBezTo>
                                        <a:pt x="123" y="21"/>
                                        <a:pt x="123" y="21"/>
                                        <a:pt x="123" y="21"/>
                                      </a:cubicBezTo>
                                      <a:cubicBezTo>
                                        <a:pt x="122" y="18"/>
                                        <a:pt x="120" y="15"/>
                                        <a:pt x="118" y="11"/>
                                      </a:cubicBezTo>
                                      <a:cubicBezTo>
                                        <a:pt x="117" y="11"/>
                                        <a:pt x="117" y="11"/>
                                        <a:pt x="117" y="11"/>
                                      </a:cubicBezTo>
                                      <a:cubicBezTo>
                                        <a:pt x="118" y="10"/>
                                        <a:pt x="118" y="10"/>
                                        <a:pt x="118" y="10"/>
                                      </a:cubicBezTo>
                                      <a:cubicBezTo>
                                        <a:pt x="120" y="10"/>
                                        <a:pt x="121" y="9"/>
                                        <a:pt x="122" y="8"/>
                                      </a:cubicBezTo>
                                      <a:cubicBezTo>
                                        <a:pt x="123" y="7"/>
                                        <a:pt x="124" y="7"/>
                                        <a:pt x="124" y="6"/>
                                      </a:cubicBezTo>
                                      <a:cubicBezTo>
                                        <a:pt x="124" y="6"/>
                                        <a:pt x="124" y="6"/>
                                        <a:pt x="124" y="6"/>
                                      </a:cubicBezTo>
                                      <a:cubicBezTo>
                                        <a:pt x="125" y="6"/>
                                        <a:pt x="125" y="6"/>
                                        <a:pt x="125" y="6"/>
                                      </a:cubicBezTo>
                                      <a:cubicBezTo>
                                        <a:pt x="125" y="6"/>
                                        <a:pt x="125" y="6"/>
                                        <a:pt x="125" y="6"/>
                                      </a:cubicBezTo>
                                      <a:cubicBezTo>
                                        <a:pt x="126" y="6"/>
                                        <a:pt x="126" y="6"/>
                                        <a:pt x="126" y="6"/>
                                      </a:cubicBezTo>
                                      <a:cubicBezTo>
                                        <a:pt x="127" y="6"/>
                                        <a:pt x="127" y="6"/>
                                        <a:pt x="128" y="6"/>
                                      </a:cubicBezTo>
                                      <a:cubicBezTo>
                                        <a:pt x="131" y="7"/>
                                        <a:pt x="134" y="7"/>
                                        <a:pt x="137" y="8"/>
                                      </a:cubicBezTo>
                                      <a:cubicBezTo>
                                        <a:pt x="140" y="8"/>
                                        <a:pt x="143" y="9"/>
                                        <a:pt x="146" y="9"/>
                                      </a:cubicBezTo>
                                      <a:cubicBezTo>
                                        <a:pt x="152" y="11"/>
                                        <a:pt x="158" y="12"/>
                                        <a:pt x="163" y="12"/>
                                      </a:cubicBezTo>
                                      <a:cubicBezTo>
                                        <a:pt x="164" y="13"/>
                                        <a:pt x="164" y="13"/>
                                        <a:pt x="164" y="13"/>
                                      </a:cubicBezTo>
                                      <a:cubicBezTo>
                                        <a:pt x="165" y="13"/>
                                        <a:pt x="166" y="12"/>
                                        <a:pt x="166" y="11"/>
                                      </a:cubicBezTo>
                                      <a:cubicBezTo>
                                        <a:pt x="166" y="11"/>
                                        <a:pt x="166" y="11"/>
                                        <a:pt x="166" y="11"/>
                                      </a:cubicBezTo>
                                      <a:cubicBezTo>
                                        <a:pt x="166" y="11"/>
                                        <a:pt x="166" y="11"/>
                                        <a:pt x="166" y="11"/>
                                      </a:cubicBezTo>
                                      <a:cubicBezTo>
                                        <a:pt x="166" y="10"/>
                                        <a:pt x="167" y="10"/>
                                        <a:pt x="166" y="9"/>
                                      </a:cubicBezTo>
                                      <a:close/>
                                      <a:moveTo>
                                        <a:pt x="36" y="26"/>
                                      </a:moveTo>
                                      <a:cubicBezTo>
                                        <a:pt x="35" y="25"/>
                                        <a:pt x="35" y="25"/>
                                        <a:pt x="35" y="25"/>
                                      </a:cubicBezTo>
                                      <a:cubicBezTo>
                                        <a:pt x="37" y="25"/>
                                        <a:pt x="37" y="25"/>
                                        <a:pt x="37" y="25"/>
                                      </a:cubicBezTo>
                                      <a:cubicBezTo>
                                        <a:pt x="42" y="24"/>
                                        <a:pt x="47" y="23"/>
                                        <a:pt x="51" y="22"/>
                                      </a:cubicBezTo>
                                      <a:cubicBezTo>
                                        <a:pt x="51" y="22"/>
                                        <a:pt x="51" y="22"/>
                                        <a:pt x="51" y="22"/>
                                      </a:cubicBezTo>
                                      <a:cubicBezTo>
                                        <a:pt x="51" y="22"/>
                                        <a:pt x="51" y="22"/>
                                        <a:pt x="51" y="22"/>
                                      </a:cubicBezTo>
                                      <a:cubicBezTo>
                                        <a:pt x="52" y="22"/>
                                        <a:pt x="52" y="22"/>
                                        <a:pt x="52" y="22"/>
                                      </a:cubicBezTo>
                                      <a:cubicBezTo>
                                        <a:pt x="52" y="22"/>
                                        <a:pt x="52" y="22"/>
                                        <a:pt x="52" y="22"/>
                                      </a:cubicBezTo>
                                      <a:cubicBezTo>
                                        <a:pt x="53" y="22"/>
                                        <a:pt x="53" y="22"/>
                                        <a:pt x="53" y="22"/>
                                      </a:cubicBezTo>
                                      <a:cubicBezTo>
                                        <a:pt x="57" y="23"/>
                                        <a:pt x="61" y="24"/>
                                        <a:pt x="65" y="25"/>
                                      </a:cubicBezTo>
                                      <a:cubicBezTo>
                                        <a:pt x="69" y="26"/>
                                        <a:pt x="73" y="27"/>
                                        <a:pt x="77" y="29"/>
                                      </a:cubicBezTo>
                                      <a:cubicBezTo>
                                        <a:pt x="79" y="29"/>
                                        <a:pt x="79" y="29"/>
                                        <a:pt x="79" y="29"/>
                                      </a:cubicBezTo>
                                      <a:cubicBezTo>
                                        <a:pt x="78" y="30"/>
                                        <a:pt x="78" y="30"/>
                                        <a:pt x="78" y="30"/>
                                      </a:cubicBezTo>
                                      <a:cubicBezTo>
                                        <a:pt x="74" y="33"/>
                                        <a:pt x="71" y="35"/>
                                        <a:pt x="68" y="38"/>
                                      </a:cubicBezTo>
                                      <a:cubicBezTo>
                                        <a:pt x="65" y="40"/>
                                        <a:pt x="62" y="43"/>
                                        <a:pt x="59" y="45"/>
                                      </a:cubicBezTo>
                                      <a:cubicBezTo>
                                        <a:pt x="59" y="46"/>
                                        <a:pt x="59" y="46"/>
                                        <a:pt x="59" y="46"/>
                                      </a:cubicBezTo>
                                      <a:cubicBezTo>
                                        <a:pt x="58" y="45"/>
                                        <a:pt x="58" y="45"/>
                                        <a:pt x="58" y="45"/>
                                      </a:cubicBezTo>
                                      <a:cubicBezTo>
                                        <a:pt x="51" y="39"/>
                                        <a:pt x="44" y="33"/>
                                        <a:pt x="36" y="26"/>
                                      </a:cubicBezTo>
                                      <a:close/>
                                      <a:moveTo>
                                        <a:pt x="76" y="61"/>
                                      </a:moveTo>
                                      <a:cubicBezTo>
                                        <a:pt x="75" y="64"/>
                                        <a:pt x="74" y="66"/>
                                        <a:pt x="72" y="68"/>
                                      </a:cubicBezTo>
                                      <a:cubicBezTo>
                                        <a:pt x="71" y="70"/>
                                        <a:pt x="70" y="72"/>
                                        <a:pt x="69" y="74"/>
                                      </a:cubicBezTo>
                                      <a:cubicBezTo>
                                        <a:pt x="68" y="75"/>
                                        <a:pt x="68" y="75"/>
                                        <a:pt x="68" y="75"/>
                                      </a:cubicBezTo>
                                      <a:cubicBezTo>
                                        <a:pt x="67" y="75"/>
                                        <a:pt x="67" y="75"/>
                                        <a:pt x="67" y="75"/>
                                      </a:cubicBezTo>
                                      <a:cubicBezTo>
                                        <a:pt x="64" y="73"/>
                                        <a:pt x="61" y="72"/>
                                        <a:pt x="58" y="71"/>
                                      </a:cubicBezTo>
                                      <a:cubicBezTo>
                                        <a:pt x="52" y="68"/>
                                        <a:pt x="47" y="66"/>
                                        <a:pt x="41" y="63"/>
                                      </a:cubicBezTo>
                                      <a:cubicBezTo>
                                        <a:pt x="40" y="62"/>
                                        <a:pt x="40" y="62"/>
                                        <a:pt x="40" y="62"/>
                                      </a:cubicBezTo>
                                      <a:cubicBezTo>
                                        <a:pt x="41" y="62"/>
                                        <a:pt x="41" y="62"/>
                                        <a:pt x="41" y="62"/>
                                      </a:cubicBezTo>
                                      <a:cubicBezTo>
                                        <a:pt x="46" y="60"/>
                                        <a:pt x="48" y="58"/>
                                        <a:pt x="51" y="56"/>
                                      </a:cubicBezTo>
                                      <a:cubicBezTo>
                                        <a:pt x="51" y="56"/>
                                        <a:pt x="51" y="56"/>
                                        <a:pt x="51" y="56"/>
                                      </a:cubicBezTo>
                                      <a:cubicBezTo>
                                        <a:pt x="51" y="56"/>
                                        <a:pt x="51" y="56"/>
                                        <a:pt x="51" y="56"/>
                                      </a:cubicBezTo>
                                      <a:cubicBezTo>
                                        <a:pt x="52" y="56"/>
                                        <a:pt x="53" y="55"/>
                                        <a:pt x="54" y="55"/>
                                      </a:cubicBezTo>
                                      <a:cubicBezTo>
                                        <a:pt x="56" y="54"/>
                                        <a:pt x="57" y="53"/>
                                        <a:pt x="59" y="52"/>
                                      </a:cubicBezTo>
                                      <a:cubicBezTo>
                                        <a:pt x="59" y="52"/>
                                        <a:pt x="59" y="52"/>
                                        <a:pt x="59" y="52"/>
                                      </a:cubicBezTo>
                                      <a:cubicBezTo>
                                        <a:pt x="59" y="52"/>
                                        <a:pt x="59" y="52"/>
                                        <a:pt x="59" y="52"/>
                                      </a:cubicBezTo>
                                      <a:cubicBezTo>
                                        <a:pt x="61" y="52"/>
                                        <a:pt x="63" y="53"/>
                                        <a:pt x="64" y="55"/>
                                      </a:cubicBezTo>
                                      <a:cubicBezTo>
                                        <a:pt x="65" y="55"/>
                                        <a:pt x="66" y="56"/>
                                        <a:pt x="67" y="56"/>
                                      </a:cubicBezTo>
                                      <a:cubicBezTo>
                                        <a:pt x="70" y="57"/>
                                        <a:pt x="73" y="59"/>
                                        <a:pt x="76" y="60"/>
                                      </a:cubicBezTo>
                                      <a:cubicBezTo>
                                        <a:pt x="77" y="61"/>
                                        <a:pt x="77" y="61"/>
                                        <a:pt x="77" y="61"/>
                                      </a:cubicBezTo>
                                      <a:lnTo>
                                        <a:pt x="76" y="61"/>
                                      </a:lnTo>
                                      <a:close/>
                                      <a:moveTo>
                                        <a:pt x="116" y="28"/>
                                      </a:moveTo>
                                      <a:cubicBezTo>
                                        <a:pt x="116" y="29"/>
                                        <a:pt x="116" y="30"/>
                                        <a:pt x="115" y="30"/>
                                      </a:cubicBezTo>
                                      <a:cubicBezTo>
                                        <a:pt x="113" y="33"/>
                                        <a:pt x="111" y="36"/>
                                        <a:pt x="109" y="39"/>
                                      </a:cubicBezTo>
                                      <a:cubicBezTo>
                                        <a:pt x="107" y="42"/>
                                        <a:pt x="105" y="45"/>
                                        <a:pt x="103" y="48"/>
                                      </a:cubicBezTo>
                                      <a:cubicBezTo>
                                        <a:pt x="103" y="48"/>
                                        <a:pt x="103" y="48"/>
                                        <a:pt x="103" y="48"/>
                                      </a:cubicBezTo>
                                      <a:cubicBezTo>
                                        <a:pt x="103" y="48"/>
                                        <a:pt x="103" y="48"/>
                                        <a:pt x="103" y="48"/>
                                      </a:cubicBezTo>
                                      <a:cubicBezTo>
                                        <a:pt x="102" y="49"/>
                                        <a:pt x="101" y="50"/>
                                        <a:pt x="100" y="50"/>
                                      </a:cubicBezTo>
                                      <a:cubicBezTo>
                                        <a:pt x="97" y="51"/>
                                        <a:pt x="94" y="52"/>
                                        <a:pt x="91" y="53"/>
                                      </a:cubicBezTo>
                                      <a:cubicBezTo>
                                        <a:pt x="88" y="54"/>
                                        <a:pt x="85" y="55"/>
                                        <a:pt x="82" y="56"/>
                                      </a:cubicBezTo>
                                      <a:cubicBezTo>
                                        <a:pt x="82" y="56"/>
                                        <a:pt x="82" y="56"/>
                                        <a:pt x="82" y="56"/>
                                      </a:cubicBezTo>
                                      <a:cubicBezTo>
                                        <a:pt x="82" y="56"/>
                                        <a:pt x="82" y="56"/>
                                        <a:pt x="82" y="56"/>
                                      </a:cubicBezTo>
                                      <a:cubicBezTo>
                                        <a:pt x="80" y="56"/>
                                        <a:pt x="80" y="56"/>
                                        <a:pt x="80" y="56"/>
                                      </a:cubicBezTo>
                                      <a:cubicBezTo>
                                        <a:pt x="80" y="56"/>
                                        <a:pt x="80" y="56"/>
                                        <a:pt x="80" y="56"/>
                                      </a:cubicBezTo>
                                      <a:cubicBezTo>
                                        <a:pt x="80" y="56"/>
                                        <a:pt x="80" y="56"/>
                                        <a:pt x="80" y="56"/>
                                      </a:cubicBezTo>
                                      <a:cubicBezTo>
                                        <a:pt x="77" y="55"/>
                                        <a:pt x="74" y="54"/>
                                        <a:pt x="72" y="53"/>
                                      </a:cubicBezTo>
                                      <a:cubicBezTo>
                                        <a:pt x="70" y="52"/>
                                        <a:pt x="67" y="51"/>
                                        <a:pt x="64" y="49"/>
                                      </a:cubicBezTo>
                                      <a:cubicBezTo>
                                        <a:pt x="63" y="49"/>
                                        <a:pt x="63" y="49"/>
                                        <a:pt x="63" y="49"/>
                                      </a:cubicBezTo>
                                      <a:cubicBezTo>
                                        <a:pt x="64" y="48"/>
                                        <a:pt x="64" y="48"/>
                                        <a:pt x="64" y="48"/>
                                      </a:cubicBezTo>
                                      <a:cubicBezTo>
                                        <a:pt x="66" y="46"/>
                                        <a:pt x="68" y="45"/>
                                        <a:pt x="70" y="43"/>
                                      </a:cubicBezTo>
                                      <a:cubicBezTo>
                                        <a:pt x="73" y="41"/>
                                        <a:pt x="77" y="38"/>
                                        <a:pt x="79" y="35"/>
                                      </a:cubicBezTo>
                                      <a:cubicBezTo>
                                        <a:pt x="84" y="32"/>
                                        <a:pt x="87" y="29"/>
                                        <a:pt x="92" y="29"/>
                                      </a:cubicBezTo>
                                      <a:cubicBezTo>
                                        <a:pt x="95" y="29"/>
                                        <a:pt x="99" y="29"/>
                                        <a:pt x="103" y="28"/>
                                      </a:cubicBezTo>
                                      <a:cubicBezTo>
                                        <a:pt x="106" y="28"/>
                                        <a:pt x="110" y="27"/>
                                        <a:pt x="114" y="27"/>
                                      </a:cubicBezTo>
                                      <a:cubicBezTo>
                                        <a:pt x="115" y="27"/>
                                        <a:pt x="115" y="27"/>
                                        <a:pt x="115" y="27"/>
                                      </a:cubicBezTo>
                                      <a:cubicBezTo>
                                        <a:pt x="116" y="27"/>
                                        <a:pt x="116" y="27"/>
                                        <a:pt x="116" y="27"/>
                                      </a:cubicBezTo>
                                      <a:lnTo>
                                        <a:pt x="116" y="28"/>
                                      </a:lnTo>
                                      <a:close/>
                                      <a:moveTo>
                                        <a:pt x="118" y="21"/>
                                      </a:moveTo>
                                      <a:cubicBezTo>
                                        <a:pt x="119" y="22"/>
                                        <a:pt x="119" y="22"/>
                                        <a:pt x="119" y="22"/>
                                      </a:cubicBezTo>
                                      <a:cubicBezTo>
                                        <a:pt x="117" y="22"/>
                                        <a:pt x="117" y="22"/>
                                        <a:pt x="117" y="22"/>
                                      </a:cubicBezTo>
                                      <a:cubicBezTo>
                                        <a:pt x="115" y="22"/>
                                        <a:pt x="113" y="22"/>
                                        <a:pt x="111" y="23"/>
                                      </a:cubicBezTo>
                                      <a:cubicBezTo>
                                        <a:pt x="111" y="23"/>
                                        <a:pt x="111" y="23"/>
                                        <a:pt x="111" y="23"/>
                                      </a:cubicBezTo>
                                      <a:cubicBezTo>
                                        <a:pt x="111" y="23"/>
                                        <a:pt x="111" y="23"/>
                                        <a:pt x="111" y="23"/>
                                      </a:cubicBezTo>
                                      <a:cubicBezTo>
                                        <a:pt x="102" y="23"/>
                                        <a:pt x="95" y="24"/>
                                        <a:pt x="87" y="25"/>
                                      </a:cubicBezTo>
                                      <a:cubicBezTo>
                                        <a:pt x="83" y="25"/>
                                        <a:pt x="83" y="25"/>
                                        <a:pt x="83" y="25"/>
                                      </a:cubicBezTo>
                                      <a:cubicBezTo>
                                        <a:pt x="83" y="25"/>
                                        <a:pt x="83" y="25"/>
                                        <a:pt x="83" y="25"/>
                                      </a:cubicBezTo>
                                      <a:cubicBezTo>
                                        <a:pt x="83" y="25"/>
                                        <a:pt x="83" y="25"/>
                                        <a:pt x="83" y="25"/>
                                      </a:cubicBezTo>
                                      <a:cubicBezTo>
                                        <a:pt x="78" y="23"/>
                                        <a:pt x="74" y="22"/>
                                        <a:pt x="69" y="21"/>
                                      </a:cubicBezTo>
                                      <a:cubicBezTo>
                                        <a:pt x="66" y="20"/>
                                        <a:pt x="63" y="20"/>
                                        <a:pt x="60" y="19"/>
                                      </a:cubicBezTo>
                                      <a:cubicBezTo>
                                        <a:pt x="58" y="18"/>
                                        <a:pt x="58" y="18"/>
                                        <a:pt x="58" y="18"/>
                                      </a:cubicBezTo>
                                      <a:cubicBezTo>
                                        <a:pt x="60" y="17"/>
                                        <a:pt x="60" y="17"/>
                                        <a:pt x="60" y="17"/>
                                      </a:cubicBezTo>
                                      <a:cubicBezTo>
                                        <a:pt x="61" y="17"/>
                                        <a:pt x="61" y="16"/>
                                        <a:pt x="62" y="16"/>
                                      </a:cubicBezTo>
                                      <a:cubicBezTo>
                                        <a:pt x="65" y="14"/>
                                        <a:pt x="67" y="12"/>
                                        <a:pt x="70" y="12"/>
                                      </a:cubicBezTo>
                                      <a:cubicBezTo>
                                        <a:pt x="83" y="13"/>
                                        <a:pt x="97" y="13"/>
                                        <a:pt x="110" y="13"/>
                                      </a:cubicBezTo>
                                      <a:cubicBezTo>
                                        <a:pt x="112" y="13"/>
                                        <a:pt x="113" y="13"/>
                                        <a:pt x="115" y="15"/>
                                      </a:cubicBezTo>
                                      <a:cubicBezTo>
                                        <a:pt x="115" y="15"/>
                                        <a:pt x="115" y="15"/>
                                        <a:pt x="115" y="15"/>
                                      </a:cubicBezTo>
                                      <a:cubicBezTo>
                                        <a:pt x="115" y="15"/>
                                        <a:pt x="115" y="15"/>
                                        <a:pt x="115" y="15"/>
                                      </a:cubicBezTo>
                                      <a:cubicBezTo>
                                        <a:pt x="115" y="17"/>
                                        <a:pt x="116" y="18"/>
                                        <a:pt x="118" y="21"/>
                                      </a:cubicBezTo>
                                      <a:close/>
                                    </a:path>
                                  </a:pathLst>
                                </a:custGeom>
                                <a:grpFill/>
                                <a:ln>
                                  <a:noFill/>
                                </a:ln>
                              </wps:spPr>
                              <wps:bodyPr vert="horz" wrap="square" lIns="91440" tIns="45720" rIns="91440" bIns="45720" numCol="1" anchor="t" anchorCtr="0" compatLnSpc="1">
                                <a:prstTxWarp prst="textNoShape">
                                  <a:avLst/>
                                </a:prstTxWarp>
                              </wps:bodyPr>
                            </wps:wsp>
                            <wps:wsp>
                              <wps:cNvPr id="1038752993" name="Freeform 53"/>
                              <wps:cNvSpPr>
                                <a:spLocks/>
                              </wps:cNvSpPr>
                              <wps:spPr bwMode="auto">
                                <a:xfrm>
                                  <a:off x="535701" y="279320"/>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4" name="Freeform 54"/>
                              <wps:cNvSpPr>
                                <a:spLocks/>
                              </wps:cNvSpPr>
                              <wps:spPr bwMode="auto">
                                <a:xfrm>
                                  <a:off x="369728" y="290115"/>
                                  <a:ext cx="2699" cy="5397"/>
                                </a:xfrm>
                                <a:custGeom>
                                  <a:avLst/>
                                  <a:gdLst>
                                    <a:gd name="T0" fmla="*/ 1 w 1"/>
                                    <a:gd name="T1" fmla="*/ 2 h 2"/>
                                    <a:gd name="T2" fmla="*/ 0 w 1"/>
                                    <a:gd name="T3" fmla="*/ 0 h 2"/>
                                    <a:gd name="T4" fmla="*/ 1 w 1"/>
                                    <a:gd name="T5" fmla="*/ 2 h 2"/>
                                  </a:gdLst>
                                  <a:ahLst/>
                                  <a:cxnLst>
                                    <a:cxn ang="0">
                                      <a:pos x="T0" y="T1"/>
                                    </a:cxn>
                                    <a:cxn ang="0">
                                      <a:pos x="T2" y="T3"/>
                                    </a:cxn>
                                    <a:cxn ang="0">
                                      <a:pos x="T4" y="T5"/>
                                    </a:cxn>
                                  </a:cxnLst>
                                  <a:rect l="0" t="0" r="r" b="b"/>
                                  <a:pathLst>
                                    <a:path w="1" h="2">
                                      <a:moveTo>
                                        <a:pt x="1" y="2"/>
                                      </a:moveTo>
                                      <a:cubicBezTo>
                                        <a:pt x="1" y="1"/>
                                        <a:pt x="0" y="0"/>
                                        <a:pt x="0" y="0"/>
                                      </a:cubicBezTo>
                                      <a:cubicBezTo>
                                        <a:pt x="0" y="0"/>
                                        <a:pt x="1" y="1"/>
                                        <a:pt x="1" y="2"/>
                                      </a:cubicBezTo>
                                      <a:close/>
                                    </a:path>
                                  </a:pathLst>
                                </a:custGeom>
                                <a:grpFill/>
                                <a:ln>
                                  <a:noFill/>
                                </a:ln>
                              </wps:spPr>
                              <wps:bodyPr vert="horz" wrap="square" lIns="91440" tIns="45720" rIns="91440" bIns="45720" numCol="1" anchor="t" anchorCtr="0" compatLnSpc="1">
                                <a:prstTxWarp prst="textNoShape">
                                  <a:avLst/>
                                </a:prstTxWarp>
                              </wps:bodyPr>
                            </wps:wsp>
                            <wps:wsp>
                              <wps:cNvPr id="1038752995" name="Freeform 55"/>
                              <wps:cNvSpPr>
                                <a:spLocks/>
                              </wps:cNvSpPr>
                              <wps:spPr bwMode="auto">
                                <a:xfrm>
                                  <a:off x="411559"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6" name="Freeform 56"/>
                              <wps:cNvSpPr>
                                <a:spLocks/>
                              </wps:cNvSpPr>
                              <wps:spPr bwMode="auto">
                                <a:xfrm>
                                  <a:off x="395366" y="238839"/>
                                  <a:ext cx="9446" cy="2699"/>
                                </a:xfrm>
                                <a:custGeom>
                                  <a:avLst/>
                                  <a:gdLst>
                                    <a:gd name="T0" fmla="*/ 0 w 3"/>
                                    <a:gd name="T1" fmla="*/ 1 h 1"/>
                                    <a:gd name="T2" fmla="*/ 3 w 3"/>
                                    <a:gd name="T3" fmla="*/ 0 h 1"/>
                                    <a:gd name="T4" fmla="*/ 0 w 3"/>
                                    <a:gd name="T5" fmla="*/ 1 h 1"/>
                                  </a:gdLst>
                                  <a:ahLst/>
                                  <a:cxnLst>
                                    <a:cxn ang="0">
                                      <a:pos x="T0" y="T1"/>
                                    </a:cxn>
                                    <a:cxn ang="0">
                                      <a:pos x="T2" y="T3"/>
                                    </a:cxn>
                                    <a:cxn ang="0">
                                      <a:pos x="T4" y="T5"/>
                                    </a:cxn>
                                  </a:cxnLst>
                                  <a:rect l="0" t="0" r="r" b="b"/>
                                  <a:pathLst>
                                    <a:path w="3" h="1">
                                      <a:moveTo>
                                        <a:pt x="0" y="1"/>
                                      </a:moveTo>
                                      <a:cubicBezTo>
                                        <a:pt x="1" y="1"/>
                                        <a:pt x="2" y="0"/>
                                        <a:pt x="3" y="0"/>
                                      </a:cubicBezTo>
                                      <a:cubicBezTo>
                                        <a:pt x="2" y="0"/>
                                        <a:pt x="1"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1038752997" name="Freeform 57"/>
                              <wps:cNvSpPr>
                                <a:spLocks/>
                              </wps:cNvSpPr>
                              <wps:spPr bwMode="auto">
                                <a:xfrm>
                                  <a:off x="538400" y="273923"/>
                                  <a:ext cx="0" cy="2699"/>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1"/>
                                        <a:pt x="0" y="1"/>
                                      </a:cubicBezTo>
                                      <a:cubicBezTo>
                                        <a:pt x="0" y="1"/>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8" name="Freeform 58"/>
                              <wps:cNvSpPr>
                                <a:spLocks/>
                              </wps:cNvSpPr>
                              <wps:spPr bwMode="auto">
                                <a:xfrm>
                                  <a:off x="369728" y="250984"/>
                                  <a:ext cx="9446" cy="6747"/>
                                </a:xfrm>
                                <a:custGeom>
                                  <a:avLst/>
                                  <a:gdLst>
                                    <a:gd name="T0" fmla="*/ 3 w 3"/>
                                    <a:gd name="T1" fmla="*/ 0 h 2"/>
                                    <a:gd name="T2" fmla="*/ 1 w 3"/>
                                    <a:gd name="T3" fmla="*/ 2 h 2"/>
                                    <a:gd name="T4" fmla="*/ 0 w 3"/>
                                    <a:gd name="T5" fmla="*/ 2 h 2"/>
                                    <a:gd name="T6" fmla="*/ 1 w 3"/>
                                    <a:gd name="T7" fmla="*/ 2 h 2"/>
                                    <a:gd name="T8" fmla="*/ 3 w 3"/>
                                    <a:gd name="T9" fmla="*/ 0 h 2"/>
                                  </a:gdLst>
                                  <a:ahLst/>
                                  <a:cxnLst>
                                    <a:cxn ang="0">
                                      <a:pos x="T0" y="T1"/>
                                    </a:cxn>
                                    <a:cxn ang="0">
                                      <a:pos x="T2" y="T3"/>
                                    </a:cxn>
                                    <a:cxn ang="0">
                                      <a:pos x="T4" y="T5"/>
                                    </a:cxn>
                                    <a:cxn ang="0">
                                      <a:pos x="T6" y="T7"/>
                                    </a:cxn>
                                    <a:cxn ang="0">
                                      <a:pos x="T8" y="T9"/>
                                    </a:cxn>
                                  </a:cxnLst>
                                  <a:rect l="0" t="0" r="r" b="b"/>
                                  <a:pathLst>
                                    <a:path w="3" h="2">
                                      <a:moveTo>
                                        <a:pt x="3" y="0"/>
                                      </a:moveTo>
                                      <a:cubicBezTo>
                                        <a:pt x="2" y="1"/>
                                        <a:pt x="1" y="1"/>
                                        <a:pt x="1" y="2"/>
                                      </a:cubicBezTo>
                                      <a:cubicBezTo>
                                        <a:pt x="0" y="2"/>
                                        <a:pt x="0" y="2"/>
                                        <a:pt x="0" y="2"/>
                                      </a:cubicBezTo>
                                      <a:cubicBezTo>
                                        <a:pt x="0" y="2"/>
                                        <a:pt x="0" y="2"/>
                                        <a:pt x="1" y="2"/>
                                      </a:cubicBezTo>
                                      <a:cubicBezTo>
                                        <a:pt x="1" y="1"/>
                                        <a:pt x="2" y="1"/>
                                        <a:pt x="3" y="0"/>
                                      </a:cubicBezTo>
                                      <a:close/>
                                    </a:path>
                                  </a:pathLst>
                                </a:custGeom>
                                <a:grpFill/>
                                <a:ln>
                                  <a:noFill/>
                                </a:ln>
                              </wps:spPr>
                              <wps:bodyPr vert="horz" wrap="square" lIns="91440" tIns="45720" rIns="91440" bIns="45720" numCol="1" anchor="t" anchorCtr="0" compatLnSpc="1">
                                <a:prstTxWarp prst="textNoShape">
                                  <a:avLst/>
                                </a:prstTxWarp>
                              </wps:bodyPr>
                            </wps:wsp>
                            <wps:wsp>
                              <wps:cNvPr id="1038752999" name="Freeform 59"/>
                              <wps:cNvSpPr>
                                <a:spLocks/>
                              </wps:cNvSpPr>
                              <wps:spPr bwMode="auto">
                                <a:xfrm>
                                  <a:off x="379174" y="244237"/>
                                  <a:ext cx="12144" cy="6747"/>
                                </a:xfrm>
                                <a:custGeom>
                                  <a:avLst/>
                                  <a:gdLst>
                                    <a:gd name="T0" fmla="*/ 0 w 4"/>
                                    <a:gd name="T1" fmla="*/ 2 h 2"/>
                                    <a:gd name="T2" fmla="*/ 4 w 4"/>
                                    <a:gd name="T3" fmla="*/ 0 h 2"/>
                                    <a:gd name="T4" fmla="*/ 0 w 4"/>
                                    <a:gd name="T5" fmla="*/ 2 h 2"/>
                                  </a:gdLst>
                                  <a:ahLst/>
                                  <a:cxnLst>
                                    <a:cxn ang="0">
                                      <a:pos x="T0" y="T1"/>
                                    </a:cxn>
                                    <a:cxn ang="0">
                                      <a:pos x="T2" y="T3"/>
                                    </a:cxn>
                                    <a:cxn ang="0">
                                      <a:pos x="T4" y="T5"/>
                                    </a:cxn>
                                  </a:cxnLst>
                                  <a:rect l="0" t="0" r="r" b="b"/>
                                  <a:pathLst>
                                    <a:path w="4" h="2">
                                      <a:moveTo>
                                        <a:pt x="0" y="2"/>
                                      </a:moveTo>
                                      <a:cubicBezTo>
                                        <a:pt x="1" y="2"/>
                                        <a:pt x="2" y="1"/>
                                        <a:pt x="4" y="0"/>
                                      </a:cubicBezTo>
                                      <a:cubicBezTo>
                                        <a:pt x="2" y="1"/>
                                        <a:pt x="1" y="2"/>
                                        <a:pt x="0" y="2"/>
                                      </a:cubicBezTo>
                                      <a:close/>
                                    </a:path>
                                  </a:pathLst>
                                </a:custGeom>
                                <a:grpFill/>
                                <a:ln>
                                  <a:noFill/>
                                </a:ln>
                              </wps:spPr>
                              <wps:bodyPr vert="horz" wrap="square" lIns="91440" tIns="45720" rIns="91440" bIns="45720" numCol="1" anchor="t" anchorCtr="0" compatLnSpc="1">
                                <a:prstTxWarp prst="textNoShape">
                                  <a:avLst/>
                                </a:prstTxWarp>
                              </wps:bodyPr>
                            </wps:wsp>
                            <wps:wsp>
                              <wps:cNvPr id="1038753000" name="Freeform 60"/>
                              <wps:cNvSpPr>
                                <a:spLocks/>
                              </wps:cNvSpPr>
                              <wps:spPr bwMode="auto">
                                <a:xfrm>
                                  <a:off x="522208" y="325199"/>
                                  <a:ext cx="4048"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0" y="0"/>
                                        <a:pt x="0" y="1"/>
                                        <a:pt x="0" y="1"/>
                                      </a:cubicBezTo>
                                      <a:cubicBezTo>
                                        <a:pt x="0" y="1"/>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1038753001" name="Freeform 61"/>
                              <wps:cNvSpPr>
                                <a:spLocks/>
                              </wps:cNvSpPr>
                              <wps:spPr bwMode="auto">
                                <a:xfrm>
                                  <a:off x="2699" y="273923"/>
                                  <a:ext cx="2699"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0"/>
                                        <a:pt x="0" y="0"/>
                                      </a:cubicBezTo>
                                      <a:cubicBezTo>
                                        <a:pt x="0" y="0"/>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1038753002" name="Freeform 62"/>
                              <wps:cNvSpPr>
                                <a:spLocks/>
                              </wps:cNvSpPr>
                              <wps:spPr bwMode="auto">
                                <a:xfrm>
                                  <a:off x="197009" y="260429"/>
                                  <a:ext cx="0" cy="4048"/>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1"/>
                                        <a:pt x="0" y="1"/>
                                      </a:cubicBezTo>
                                      <a:cubicBezTo>
                                        <a:pt x="0" y="1"/>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3003" name="Freeform 63"/>
                              <wps:cNvSpPr>
                                <a:spLocks/>
                              </wps:cNvSpPr>
                              <wps:spPr bwMode="auto">
                                <a:xfrm>
                                  <a:off x="526256" y="321151"/>
                                  <a:ext cx="0" cy="4048"/>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0"/>
                                        <a:pt x="0" y="1"/>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3004" name="Freeform 64"/>
                              <wps:cNvSpPr>
                                <a:spLocks/>
                              </wps:cNvSpPr>
                              <wps:spPr bwMode="auto">
                                <a:xfrm>
                                  <a:off x="124143" y="2699"/>
                                  <a:ext cx="292814" cy="161925"/>
                                </a:xfrm>
                                <a:custGeom>
                                  <a:avLst/>
                                  <a:gdLst>
                                    <a:gd name="T0" fmla="*/ 90 w 92"/>
                                    <a:gd name="T1" fmla="*/ 0 h 51"/>
                                    <a:gd name="T2" fmla="*/ 74 w 92"/>
                                    <a:gd name="T3" fmla="*/ 0 h 51"/>
                                    <a:gd name="T4" fmla="*/ 72 w 92"/>
                                    <a:gd name="T5" fmla="*/ 2 h 51"/>
                                    <a:gd name="T6" fmla="*/ 72 w 92"/>
                                    <a:gd name="T7" fmla="*/ 3 h 51"/>
                                    <a:gd name="T8" fmla="*/ 72 w 92"/>
                                    <a:gd name="T9" fmla="*/ 3 h 51"/>
                                    <a:gd name="T10" fmla="*/ 72 w 92"/>
                                    <a:gd name="T11" fmla="*/ 3 h 51"/>
                                    <a:gd name="T12" fmla="*/ 72 w 92"/>
                                    <a:gd name="T13" fmla="*/ 3 h 51"/>
                                    <a:gd name="T14" fmla="*/ 46 w 92"/>
                                    <a:gd name="T15" fmla="*/ 30 h 51"/>
                                    <a:gd name="T16" fmla="*/ 20 w 92"/>
                                    <a:gd name="T17" fmla="*/ 3 h 51"/>
                                    <a:gd name="T18" fmla="*/ 20 w 92"/>
                                    <a:gd name="T19" fmla="*/ 2 h 51"/>
                                    <a:gd name="T20" fmla="*/ 20 w 92"/>
                                    <a:gd name="T21" fmla="*/ 2 h 51"/>
                                    <a:gd name="T22" fmla="*/ 18 w 92"/>
                                    <a:gd name="T23" fmla="*/ 0 h 51"/>
                                    <a:gd name="T24" fmla="*/ 3 w 92"/>
                                    <a:gd name="T25" fmla="*/ 0 h 51"/>
                                    <a:gd name="T26" fmla="*/ 0 w 92"/>
                                    <a:gd name="T27" fmla="*/ 2 h 51"/>
                                    <a:gd name="T28" fmla="*/ 3 w 92"/>
                                    <a:gd name="T29" fmla="*/ 4 h 51"/>
                                    <a:gd name="T30" fmla="*/ 16 w 92"/>
                                    <a:gd name="T31" fmla="*/ 4 h 51"/>
                                    <a:gd name="T32" fmla="*/ 16 w 92"/>
                                    <a:gd name="T33" fmla="*/ 5 h 51"/>
                                    <a:gd name="T34" fmla="*/ 20 w 92"/>
                                    <a:gd name="T35" fmla="*/ 20 h 51"/>
                                    <a:gd name="T36" fmla="*/ 21 w 92"/>
                                    <a:gd name="T37" fmla="*/ 20 h 51"/>
                                    <a:gd name="T38" fmla="*/ 9 w 92"/>
                                    <a:gd name="T39" fmla="*/ 30 h 51"/>
                                    <a:gd name="T40" fmla="*/ 8 w 92"/>
                                    <a:gd name="T41" fmla="*/ 34 h 51"/>
                                    <a:gd name="T42" fmla="*/ 10 w 92"/>
                                    <a:gd name="T43" fmla="*/ 35 h 51"/>
                                    <a:gd name="T44" fmla="*/ 12 w 92"/>
                                    <a:gd name="T45" fmla="*/ 34 h 51"/>
                                    <a:gd name="T46" fmla="*/ 23 w 92"/>
                                    <a:gd name="T47" fmla="*/ 24 h 51"/>
                                    <a:gd name="T48" fmla="*/ 24 w 92"/>
                                    <a:gd name="T49" fmla="*/ 24 h 51"/>
                                    <a:gd name="T50" fmla="*/ 24 w 92"/>
                                    <a:gd name="T51" fmla="*/ 24 h 51"/>
                                    <a:gd name="T52" fmla="*/ 42 w 92"/>
                                    <a:gd name="T53" fmla="*/ 34 h 51"/>
                                    <a:gd name="T54" fmla="*/ 43 w 92"/>
                                    <a:gd name="T55" fmla="*/ 34 h 51"/>
                                    <a:gd name="T56" fmla="*/ 43 w 92"/>
                                    <a:gd name="T57" fmla="*/ 49 h 51"/>
                                    <a:gd name="T58" fmla="*/ 45 w 92"/>
                                    <a:gd name="T59" fmla="*/ 51 h 51"/>
                                    <a:gd name="T60" fmla="*/ 48 w 92"/>
                                    <a:gd name="T61" fmla="*/ 49 h 51"/>
                                    <a:gd name="T62" fmla="*/ 48 w 92"/>
                                    <a:gd name="T63" fmla="*/ 34 h 51"/>
                                    <a:gd name="T64" fmla="*/ 49 w 92"/>
                                    <a:gd name="T65" fmla="*/ 34 h 51"/>
                                    <a:gd name="T66" fmla="*/ 69 w 92"/>
                                    <a:gd name="T67" fmla="*/ 24 h 51"/>
                                    <a:gd name="T68" fmla="*/ 70 w 92"/>
                                    <a:gd name="T69" fmla="*/ 24 h 51"/>
                                    <a:gd name="T70" fmla="*/ 72 w 92"/>
                                    <a:gd name="T71" fmla="*/ 26 h 51"/>
                                    <a:gd name="T72" fmla="*/ 81 w 92"/>
                                    <a:gd name="T73" fmla="*/ 34 h 51"/>
                                    <a:gd name="T74" fmla="*/ 82 w 92"/>
                                    <a:gd name="T75" fmla="*/ 35 h 51"/>
                                    <a:gd name="T76" fmla="*/ 84 w 92"/>
                                    <a:gd name="T77" fmla="*/ 34 h 51"/>
                                    <a:gd name="T78" fmla="*/ 84 w 92"/>
                                    <a:gd name="T79" fmla="*/ 34 h 51"/>
                                    <a:gd name="T80" fmla="*/ 85 w 92"/>
                                    <a:gd name="T81" fmla="*/ 34 h 51"/>
                                    <a:gd name="T82" fmla="*/ 86 w 92"/>
                                    <a:gd name="T83" fmla="*/ 32 h 51"/>
                                    <a:gd name="T84" fmla="*/ 85 w 92"/>
                                    <a:gd name="T85" fmla="*/ 30 h 51"/>
                                    <a:gd name="T86" fmla="*/ 73 w 92"/>
                                    <a:gd name="T87" fmla="*/ 20 h 51"/>
                                    <a:gd name="T88" fmla="*/ 73 w 92"/>
                                    <a:gd name="T89" fmla="*/ 20 h 51"/>
                                    <a:gd name="T90" fmla="*/ 78 w 92"/>
                                    <a:gd name="T91" fmla="*/ 5 h 51"/>
                                    <a:gd name="T92" fmla="*/ 78 w 92"/>
                                    <a:gd name="T93" fmla="*/ 4 h 51"/>
                                    <a:gd name="T94" fmla="*/ 90 w 92"/>
                                    <a:gd name="T95" fmla="*/ 4 h 51"/>
                                    <a:gd name="T96" fmla="*/ 92 w 92"/>
                                    <a:gd name="T97" fmla="*/ 2 h 51"/>
                                    <a:gd name="T98" fmla="*/ 90 w 92"/>
                                    <a:gd name="T99"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2" h="51">
                                      <a:moveTo>
                                        <a:pt x="90" y="0"/>
                                      </a:moveTo>
                                      <a:cubicBezTo>
                                        <a:pt x="74" y="0"/>
                                        <a:pt x="74" y="0"/>
                                        <a:pt x="74" y="0"/>
                                      </a:cubicBezTo>
                                      <a:cubicBezTo>
                                        <a:pt x="73" y="0"/>
                                        <a:pt x="72" y="0"/>
                                        <a:pt x="72" y="2"/>
                                      </a:cubicBezTo>
                                      <a:cubicBezTo>
                                        <a:pt x="72" y="2"/>
                                        <a:pt x="72" y="3"/>
                                        <a:pt x="72" y="3"/>
                                      </a:cubicBezTo>
                                      <a:cubicBezTo>
                                        <a:pt x="72" y="3"/>
                                        <a:pt x="72" y="3"/>
                                        <a:pt x="72" y="3"/>
                                      </a:cubicBezTo>
                                      <a:cubicBezTo>
                                        <a:pt x="72" y="3"/>
                                        <a:pt x="72" y="3"/>
                                        <a:pt x="72" y="3"/>
                                      </a:cubicBezTo>
                                      <a:cubicBezTo>
                                        <a:pt x="72" y="3"/>
                                        <a:pt x="72" y="3"/>
                                        <a:pt x="72" y="3"/>
                                      </a:cubicBezTo>
                                      <a:cubicBezTo>
                                        <a:pt x="72" y="18"/>
                                        <a:pt x="61" y="30"/>
                                        <a:pt x="46" y="30"/>
                                      </a:cubicBezTo>
                                      <a:cubicBezTo>
                                        <a:pt x="32" y="30"/>
                                        <a:pt x="20" y="18"/>
                                        <a:pt x="20" y="3"/>
                                      </a:cubicBezTo>
                                      <a:cubicBezTo>
                                        <a:pt x="20" y="3"/>
                                        <a:pt x="20" y="2"/>
                                        <a:pt x="20" y="2"/>
                                      </a:cubicBezTo>
                                      <a:cubicBezTo>
                                        <a:pt x="20" y="2"/>
                                        <a:pt x="20" y="2"/>
                                        <a:pt x="20" y="2"/>
                                      </a:cubicBezTo>
                                      <a:cubicBezTo>
                                        <a:pt x="20" y="0"/>
                                        <a:pt x="19" y="0"/>
                                        <a:pt x="18" y="0"/>
                                      </a:cubicBezTo>
                                      <a:cubicBezTo>
                                        <a:pt x="3" y="0"/>
                                        <a:pt x="3" y="0"/>
                                        <a:pt x="3" y="0"/>
                                      </a:cubicBezTo>
                                      <a:cubicBezTo>
                                        <a:pt x="2" y="0"/>
                                        <a:pt x="0" y="0"/>
                                        <a:pt x="0" y="2"/>
                                      </a:cubicBezTo>
                                      <a:cubicBezTo>
                                        <a:pt x="0" y="4"/>
                                        <a:pt x="1" y="4"/>
                                        <a:pt x="3" y="4"/>
                                      </a:cubicBezTo>
                                      <a:cubicBezTo>
                                        <a:pt x="16" y="4"/>
                                        <a:pt x="16" y="4"/>
                                        <a:pt x="16" y="4"/>
                                      </a:cubicBezTo>
                                      <a:cubicBezTo>
                                        <a:pt x="16" y="5"/>
                                        <a:pt x="16" y="5"/>
                                        <a:pt x="16" y="5"/>
                                      </a:cubicBezTo>
                                      <a:cubicBezTo>
                                        <a:pt x="16" y="10"/>
                                        <a:pt x="18" y="15"/>
                                        <a:pt x="20" y="20"/>
                                      </a:cubicBezTo>
                                      <a:cubicBezTo>
                                        <a:pt x="21" y="20"/>
                                        <a:pt x="21" y="20"/>
                                        <a:pt x="21" y="20"/>
                                      </a:cubicBezTo>
                                      <a:cubicBezTo>
                                        <a:pt x="9" y="30"/>
                                        <a:pt x="9" y="30"/>
                                        <a:pt x="9" y="30"/>
                                      </a:cubicBezTo>
                                      <a:cubicBezTo>
                                        <a:pt x="8" y="31"/>
                                        <a:pt x="7" y="33"/>
                                        <a:pt x="8" y="34"/>
                                      </a:cubicBezTo>
                                      <a:cubicBezTo>
                                        <a:pt x="9" y="35"/>
                                        <a:pt x="9" y="35"/>
                                        <a:pt x="10" y="35"/>
                                      </a:cubicBezTo>
                                      <a:cubicBezTo>
                                        <a:pt x="11" y="35"/>
                                        <a:pt x="12" y="35"/>
                                        <a:pt x="12" y="34"/>
                                      </a:cubicBezTo>
                                      <a:cubicBezTo>
                                        <a:pt x="12" y="34"/>
                                        <a:pt x="13" y="34"/>
                                        <a:pt x="23" y="24"/>
                                      </a:cubicBezTo>
                                      <a:cubicBezTo>
                                        <a:pt x="24" y="24"/>
                                        <a:pt x="24" y="24"/>
                                        <a:pt x="24" y="24"/>
                                      </a:cubicBezTo>
                                      <a:cubicBezTo>
                                        <a:pt x="24" y="24"/>
                                        <a:pt x="24" y="24"/>
                                        <a:pt x="24" y="24"/>
                                      </a:cubicBezTo>
                                      <a:cubicBezTo>
                                        <a:pt x="29" y="30"/>
                                        <a:pt x="35" y="33"/>
                                        <a:pt x="42" y="34"/>
                                      </a:cubicBezTo>
                                      <a:cubicBezTo>
                                        <a:pt x="43" y="34"/>
                                        <a:pt x="43" y="34"/>
                                        <a:pt x="43" y="34"/>
                                      </a:cubicBezTo>
                                      <a:cubicBezTo>
                                        <a:pt x="43" y="49"/>
                                        <a:pt x="43" y="49"/>
                                        <a:pt x="43" y="49"/>
                                      </a:cubicBezTo>
                                      <a:cubicBezTo>
                                        <a:pt x="43" y="51"/>
                                        <a:pt x="44" y="51"/>
                                        <a:pt x="45" y="51"/>
                                      </a:cubicBezTo>
                                      <a:cubicBezTo>
                                        <a:pt x="46" y="51"/>
                                        <a:pt x="48" y="51"/>
                                        <a:pt x="48" y="49"/>
                                      </a:cubicBezTo>
                                      <a:cubicBezTo>
                                        <a:pt x="48" y="34"/>
                                        <a:pt x="48" y="34"/>
                                        <a:pt x="48" y="34"/>
                                      </a:cubicBezTo>
                                      <a:cubicBezTo>
                                        <a:pt x="49" y="34"/>
                                        <a:pt x="49" y="34"/>
                                        <a:pt x="49" y="34"/>
                                      </a:cubicBezTo>
                                      <a:cubicBezTo>
                                        <a:pt x="57" y="34"/>
                                        <a:pt x="64" y="30"/>
                                        <a:pt x="69" y="24"/>
                                      </a:cubicBezTo>
                                      <a:cubicBezTo>
                                        <a:pt x="70" y="24"/>
                                        <a:pt x="70" y="24"/>
                                        <a:pt x="70" y="24"/>
                                      </a:cubicBezTo>
                                      <a:cubicBezTo>
                                        <a:pt x="72" y="26"/>
                                        <a:pt x="72" y="26"/>
                                        <a:pt x="72" y="26"/>
                                      </a:cubicBezTo>
                                      <a:cubicBezTo>
                                        <a:pt x="81" y="34"/>
                                        <a:pt x="81" y="34"/>
                                        <a:pt x="81" y="34"/>
                                      </a:cubicBezTo>
                                      <a:cubicBezTo>
                                        <a:pt x="82" y="35"/>
                                        <a:pt x="82" y="35"/>
                                        <a:pt x="82" y="35"/>
                                      </a:cubicBezTo>
                                      <a:cubicBezTo>
                                        <a:pt x="84" y="35"/>
                                        <a:pt x="84" y="35"/>
                                        <a:pt x="84" y="34"/>
                                      </a:cubicBezTo>
                                      <a:cubicBezTo>
                                        <a:pt x="84" y="34"/>
                                        <a:pt x="84" y="34"/>
                                        <a:pt x="84" y="34"/>
                                      </a:cubicBezTo>
                                      <a:cubicBezTo>
                                        <a:pt x="85" y="34"/>
                                        <a:pt x="85" y="34"/>
                                        <a:pt x="85" y="34"/>
                                      </a:cubicBezTo>
                                      <a:cubicBezTo>
                                        <a:pt x="85" y="33"/>
                                        <a:pt x="86" y="33"/>
                                        <a:pt x="86" y="32"/>
                                      </a:cubicBezTo>
                                      <a:cubicBezTo>
                                        <a:pt x="86" y="31"/>
                                        <a:pt x="85" y="31"/>
                                        <a:pt x="85" y="30"/>
                                      </a:cubicBezTo>
                                      <a:cubicBezTo>
                                        <a:pt x="73" y="20"/>
                                        <a:pt x="73" y="20"/>
                                        <a:pt x="73" y="20"/>
                                      </a:cubicBezTo>
                                      <a:cubicBezTo>
                                        <a:pt x="73" y="20"/>
                                        <a:pt x="73" y="20"/>
                                        <a:pt x="73" y="20"/>
                                      </a:cubicBezTo>
                                      <a:cubicBezTo>
                                        <a:pt x="76" y="15"/>
                                        <a:pt x="77" y="10"/>
                                        <a:pt x="78" y="5"/>
                                      </a:cubicBezTo>
                                      <a:cubicBezTo>
                                        <a:pt x="78" y="4"/>
                                        <a:pt x="78" y="4"/>
                                        <a:pt x="78" y="4"/>
                                      </a:cubicBezTo>
                                      <a:cubicBezTo>
                                        <a:pt x="90" y="4"/>
                                        <a:pt x="90" y="4"/>
                                        <a:pt x="90" y="4"/>
                                      </a:cubicBezTo>
                                      <a:cubicBezTo>
                                        <a:pt x="91" y="4"/>
                                        <a:pt x="92" y="4"/>
                                        <a:pt x="92" y="2"/>
                                      </a:cubicBezTo>
                                      <a:cubicBezTo>
                                        <a:pt x="92" y="0"/>
                                        <a:pt x="91" y="0"/>
                                        <a:pt x="90" y="0"/>
                                      </a:cubicBezTo>
                                      <a:close/>
                                    </a:path>
                                  </a:pathLst>
                                </a:custGeom>
                                <a:grpFill/>
                                <a:ln>
                                  <a:noFill/>
                                </a:ln>
                              </wps:spPr>
                              <wps:bodyPr vert="horz" wrap="square" lIns="91440" tIns="45720" rIns="91440" bIns="45720" numCol="1" anchor="t" anchorCtr="0" compatLnSpc="1">
                                <a:prstTxWarp prst="textNoShape">
                                  <a:avLst/>
                                </a:prstTxWarp>
                              </wps:bodyPr>
                            </wps:wsp>
                            <wps:wsp>
                              <wps:cNvPr id="1038753005" name="Freeform 65"/>
                              <wps:cNvSpPr>
                                <a:spLocks noEditPoints="1"/>
                              </wps:cNvSpPr>
                              <wps:spPr bwMode="auto">
                                <a:xfrm>
                                  <a:off x="0" y="0"/>
                                  <a:ext cx="541098" cy="541098"/>
                                </a:xfrm>
                                <a:custGeom>
                                  <a:avLst/>
                                  <a:gdLst>
                                    <a:gd name="T0" fmla="*/ 152 w 170"/>
                                    <a:gd name="T1" fmla="*/ 170 h 170"/>
                                    <a:gd name="T2" fmla="*/ 18 w 170"/>
                                    <a:gd name="T3" fmla="*/ 170 h 170"/>
                                    <a:gd name="T4" fmla="*/ 0 w 170"/>
                                    <a:gd name="T5" fmla="*/ 152 h 170"/>
                                    <a:gd name="T6" fmla="*/ 0 w 170"/>
                                    <a:gd name="T7" fmla="*/ 18 h 170"/>
                                    <a:gd name="T8" fmla="*/ 18 w 170"/>
                                    <a:gd name="T9" fmla="*/ 0 h 170"/>
                                    <a:gd name="T10" fmla="*/ 152 w 170"/>
                                    <a:gd name="T11" fmla="*/ 0 h 170"/>
                                    <a:gd name="T12" fmla="*/ 170 w 170"/>
                                    <a:gd name="T13" fmla="*/ 18 h 170"/>
                                    <a:gd name="T14" fmla="*/ 170 w 170"/>
                                    <a:gd name="T15" fmla="*/ 152 h 170"/>
                                    <a:gd name="T16" fmla="*/ 152 w 170"/>
                                    <a:gd name="T17" fmla="*/ 170 h 170"/>
                                    <a:gd name="T18" fmla="*/ 18 w 170"/>
                                    <a:gd name="T19" fmla="*/ 6 h 170"/>
                                    <a:gd name="T20" fmla="*/ 6 w 170"/>
                                    <a:gd name="T21" fmla="*/ 18 h 170"/>
                                    <a:gd name="T22" fmla="*/ 6 w 170"/>
                                    <a:gd name="T23" fmla="*/ 152 h 170"/>
                                    <a:gd name="T24" fmla="*/ 18 w 170"/>
                                    <a:gd name="T25" fmla="*/ 164 h 170"/>
                                    <a:gd name="T26" fmla="*/ 152 w 170"/>
                                    <a:gd name="T27" fmla="*/ 164 h 170"/>
                                    <a:gd name="T28" fmla="*/ 164 w 170"/>
                                    <a:gd name="T29" fmla="*/ 152 h 170"/>
                                    <a:gd name="T30" fmla="*/ 164 w 170"/>
                                    <a:gd name="T31" fmla="*/ 18 h 170"/>
                                    <a:gd name="T32" fmla="*/ 152 w 170"/>
                                    <a:gd name="T33" fmla="*/ 6 h 170"/>
                                    <a:gd name="T34" fmla="*/ 18 w 170"/>
                                    <a:gd name="T35" fmla="*/ 6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0" h="170">
                                      <a:moveTo>
                                        <a:pt x="152" y="170"/>
                                      </a:moveTo>
                                      <a:cubicBezTo>
                                        <a:pt x="18" y="170"/>
                                        <a:pt x="18" y="170"/>
                                        <a:pt x="18" y="170"/>
                                      </a:cubicBezTo>
                                      <a:cubicBezTo>
                                        <a:pt x="8" y="170"/>
                                        <a:pt x="0" y="162"/>
                                        <a:pt x="0" y="152"/>
                                      </a:cubicBezTo>
                                      <a:cubicBezTo>
                                        <a:pt x="0" y="18"/>
                                        <a:pt x="0" y="18"/>
                                        <a:pt x="0" y="18"/>
                                      </a:cubicBezTo>
                                      <a:cubicBezTo>
                                        <a:pt x="0" y="8"/>
                                        <a:pt x="8" y="0"/>
                                        <a:pt x="18" y="0"/>
                                      </a:cubicBezTo>
                                      <a:cubicBezTo>
                                        <a:pt x="152" y="0"/>
                                        <a:pt x="152" y="0"/>
                                        <a:pt x="152" y="0"/>
                                      </a:cubicBezTo>
                                      <a:cubicBezTo>
                                        <a:pt x="162" y="0"/>
                                        <a:pt x="170" y="8"/>
                                        <a:pt x="170" y="18"/>
                                      </a:cubicBezTo>
                                      <a:cubicBezTo>
                                        <a:pt x="170" y="152"/>
                                        <a:pt x="170" y="152"/>
                                        <a:pt x="170" y="152"/>
                                      </a:cubicBezTo>
                                      <a:cubicBezTo>
                                        <a:pt x="170" y="162"/>
                                        <a:pt x="162" y="170"/>
                                        <a:pt x="152" y="170"/>
                                      </a:cubicBezTo>
                                      <a:close/>
                                      <a:moveTo>
                                        <a:pt x="18" y="6"/>
                                      </a:moveTo>
                                      <a:cubicBezTo>
                                        <a:pt x="11" y="6"/>
                                        <a:pt x="6" y="11"/>
                                        <a:pt x="6" y="18"/>
                                      </a:cubicBezTo>
                                      <a:cubicBezTo>
                                        <a:pt x="6" y="152"/>
                                        <a:pt x="6" y="152"/>
                                        <a:pt x="6" y="152"/>
                                      </a:cubicBezTo>
                                      <a:cubicBezTo>
                                        <a:pt x="6" y="159"/>
                                        <a:pt x="11" y="164"/>
                                        <a:pt x="18" y="164"/>
                                      </a:cubicBezTo>
                                      <a:cubicBezTo>
                                        <a:pt x="152" y="164"/>
                                        <a:pt x="152" y="164"/>
                                        <a:pt x="152" y="164"/>
                                      </a:cubicBezTo>
                                      <a:cubicBezTo>
                                        <a:pt x="159" y="164"/>
                                        <a:pt x="164" y="159"/>
                                        <a:pt x="164" y="152"/>
                                      </a:cubicBezTo>
                                      <a:cubicBezTo>
                                        <a:pt x="164" y="18"/>
                                        <a:pt x="164" y="18"/>
                                        <a:pt x="164" y="18"/>
                                      </a:cubicBezTo>
                                      <a:cubicBezTo>
                                        <a:pt x="164" y="11"/>
                                        <a:pt x="159" y="6"/>
                                        <a:pt x="152" y="6"/>
                                      </a:cubicBezTo>
                                      <a:lnTo>
                                        <a:pt x="18" y="6"/>
                                      </a:lnTo>
                                      <a:close/>
                                    </a:path>
                                  </a:pathLst>
                                </a:custGeom>
                                <a:grpFill/>
                                <a:ln>
                                  <a:noFill/>
                                </a:ln>
                              </wps:spPr>
                              <wps:bodyPr vert="horz" wrap="square" lIns="91440" tIns="45720" rIns="91440" bIns="45720" numCol="1" anchor="t" anchorCtr="0" compatLnSpc="1">
                                <a:prstTxWarp prst="textNoShape">
                                  <a:avLst/>
                                </a:prstTxWarp>
                              </wps:bodyPr>
                            </wps:wsp>
                          </wpg:wgp>
                        </a:graphicData>
                      </a:graphic>
                    </wp:inline>
                  </w:drawing>
                </mc:Choice>
                <mc:Fallback>
                  <w:pict>
                    <v:group w14:anchorId="2370F1DD" id="Group 159" o:spid="_x0000_s1026" alt="&quot;&quot;" style="width:29.15pt;height:28.05pt;mso-position-horizontal-relative:char;mso-position-vertical-relative:line" coordsize="54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">
                      <v:shape id="Freeform 16" o:spid="_x0000_s1027" style="position:absolute;left:26;top:3305;width:27;height:4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" path="m1,1c1,1,,1,,,,1,1,1,1,1xe" filled="f" stroked="f">
                        <v:path arrowok="t" o:connecttype="custom" o:connectlocs="2699,4048;0,0;2699,4048" o:connectangles="0,0,0"/>
                      </v:shape>
                      <v:shape id="Freeform 17" o:spid="_x0000_s1028" style="position:absolute;left:121;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" path="m1,c1,,1,,,,1,,1,,1,xe" filled="f" stroked="f">
                        <v:path arrowok="t" o:connecttype="custom" o:connectlocs="2699,0;0,0;2699,0" o:connectangles="0,0,0"/>
                      </v:shape>
                      <v:shape id="Freeform 18" o:spid="_x0000_s1029" style="position:absolute;left:5195;top:3278;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" path="m1,c1,,,,,1,,,1,,1,xe" filled="f" stroked="f">
                        <v:path arrowok="t" o:connecttype="custom" o:connectlocs="2699,0;0,2699;2699,0" o:connectangles="0,0,0"/>
                      </v:shape>
                      <v:shape id="Freeform 19" o:spid="_x0000_s1030" style="position:absolute;left:121;top:3400;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" path="m1,c1,,,,,,,,1,,1,xe" filled="f" stroked="f">
                        <v:path arrowok="t" o:connecttype="custom" o:connectlocs="2699,0;0,0;2699,0" o:connectangles="0,0,0"/>
                      </v:shape>
                      <v:shape id="Freeform 20" o:spid="_x0000_s1031" style="position:absolute;left:1686;top:2739;width:257;height:162;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" path="m,5c3,3,5,2,8,,5,2,3,3,,5xe" filled="f" stroked="f">
                        <v:path arrowok="t" o:connecttype="custom" o:connectlocs="0,16192;25638,0;0,16192" o:connectangles="0,0,0"/>
                      </v:shape>
                      <v:shape id="Freeform 21" o:spid="_x0000_s1032" style="position:absolute;left:94;top:3373;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" path="m,1c,1,,1,,,,1,,1,,1xe" filled="f" stroked="f">
                        <v:path arrowok="t" o:connecttype="custom" o:connectlocs="0,2699;0,0;0,2699" o:connectangles="0,0,0"/>
                      </v:shape>
                      <v:shape id="Freeform 22" o:spid="_x0000_s1033" style="position:absolute;left:53;top:3373;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" path="m1,c,,,,,,,,,,1,xe" filled="f" stroked="f">
                        <v:path arrowok="t" o:connecttype="custom" o:connectlocs="4048,0;0,0;4048,0" o:connectangles="0,0,0"/>
                      </v:shape>
                      <v:shape id="Freeform 23" o:spid="_x0000_s1034" style="position:absolute;left:1943;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" path="m1,c,,,,,,,,,,1,xe" filled="f" stroked="f">
                        <v:path arrowok="t" o:connecttype="custom" o:connectlocs="2699,0;0,0;2699,0" o:connectangles="0,0,0"/>
                      </v:shape>
                      <v:shape id="Freeform 24" o:spid="_x0000_s1035" style="position:absolute;left:94;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" path="m1,c1,,1,,,,1,,1,,1,xe" filled="f" stroked="f">
                        <v:path arrowok="t" o:connecttype="custom" o:connectlocs="2699,0;0,0;2699,0" o:connectangles="0,0,0"/>
                      </v:shape>
                      <v:shape id="Freeform 25" o:spid="_x0000_s1036" style="position:absolute;left:5168;top:3305;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" path="m1,c1,,,,,,,,1,,1,xe" filled="f" stroked="f">
                        <v:path arrowok="t" o:connecttype="custom" o:connectlocs="2699,0;0,0;2699,0" o:connectangles="0,0,0"/>
                      </v:shape>
                      <v:shape id="Freeform 26" o:spid="_x0000_s1037" style="position:absolute;left:5127;top:3305;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" path="m1,c1,,1,,,,1,,1,,1,xe" filled="f" stroked="f">
                        <v:path arrowok="t" o:connecttype="custom" o:connectlocs="4048,0;0,0;4048,0" o:connectangles="0,0,0"/>
                      </v:shape>
                      <v:shape id="Freeform 27" o:spid="_x0000_s1038" style="position:absolute;left:94;top:27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" path="m,c,,,,,,,,,,,xe" filled="f" stroked="f">
                        <v:path arrowok="t" o:connecttype="custom" o:connectlocs="0,0;0,0;0,0" o:connectangles="0,0,0"/>
                      </v:shape>
                      <v:shape id="Freeform 28" o:spid="_x0000_s1039" style="position:absolute;left:2010;top:2644;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" path="m,1c,1,,1,,,,1,,1,,1xe" filled="f" stroked="f">
                        <v:path arrowok="t" o:connecttype="custom" o:connectlocs="0,2699;0,0;0,2699" o:connectangles="0,0,0"/>
                      </v:shape>
                      <v:shape id="Freeform 29" o:spid="_x0000_s1040" style="position:absolute;left:4331;top:435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" path="m,c,,,,,,,,,,,xe" filled="f" stroked="f">
                        <v:path arrowok="t" o:connecttype="custom" o:connectlocs="0,0;0,0;0,0" o:connectangles="0,0,0"/>
                      </v:shape>
                      <v:shape id="Freeform 30" o:spid="_x0000_s1041" style="position:absolute;left:2320;top:4965;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" path="m1,c1,,1,,,,1,,1,,1,xe" filled="f" stroked="f">
                        <v:path arrowok="t" o:connecttype="custom" o:connectlocs="4048,0;0,0;4048,0" o:connectangles="0,0,0"/>
                      </v:shape>
                      <v:shape id="Freeform 31" o:spid="_x0000_s1042" style="position:absolute;left:2320;top:500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" path="m,c,,,,,,,,,,,xe" filled="f" stroked="f">
                        <v:path arrowok="t" o:connecttype="custom" o:connectlocs="0,0;0,0;0,0" o:connectangles="0,0,0"/>
                      </v:shape>
                      <v:shape id="Freeform 32" o:spid="_x0000_s1043" style="position:absolute;left:4264;top:439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" path="m,c,,,,,,,,,,,xe" filled="f" stroked="f">
                        <v:path arrowok="t" o:connecttype="custom" o:connectlocs="0,0;0,0;0,0" o:connectangles="0,0,0"/>
                      </v:shape>
                      <v:shape id="Freeform 33" o:spid="_x0000_s1044" style="position:absolute;left:3562;top:487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" path="m,c,,,,,,,,,,,xe" filled="f" stroked="f">
                        <v:path arrowok="t" o:connecttype="custom" o:connectlocs="0,0;0,0;0,0" o:connectangles="0,0,0"/>
                      </v:shape>
                      <v:shape id="Freeform 34" o:spid="_x0000_s1045" style="position:absolute;left:4304;top:439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" path="m,c,,,,,,,,,,,xe" filled="f" stroked="f">
                        <v:path arrowok="t" o:connecttype="custom" o:connectlocs="0,0;0,0;0,0" o:connectangles="0,0,0"/>
                      </v:shape>
                      <v:shape id="Freeform 35" o:spid="_x0000_s1046" style="position:absolute;left:3535;top:487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" path="m,c,,,,,,,,,,,xe" filled="f" stroked="f">
                        <v:path arrowok="t" o:connecttype="custom" o:connectlocs="0,0;0,0;0,0" o:connectangles="0,0,0"/>
                      </v:shape>
                      <v:shape id="Freeform 36" o:spid="_x0000_s1047" style="position:absolute;left:148;top:3400;width:67;height:0;visibility:visible;mso-wrap-style:square;v-text-anchor:top" coordsize="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" path="m2,c1,,1,,,,1,,1,,2,xe" filled="f" stroked="f">
                        <v:path arrowok="t" o:connecttype="custom" o:connectlocs="6747,0;0,0;6747,0" o:connectangles="0,0,0"/>
                      </v:shape>
                      <v:shape id="Freeform 37" o:spid="_x0000_s1048" style="position:absolute;left:3602;top:4871;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" path="m1,c,,,,,,,,,,1,xe" filled="f" stroked="f">
                        <v:path arrowok="t" o:connecttype="custom" o:connectlocs="2699,0;0,0;2699,0" o:connectangles="0,0,0"/>
                      </v:shape>
                      <v:shape id="Freeform 38" o:spid="_x0000_s1049" style="position:absolute;left:404;top:3886;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" path="m,1c,1,,,,,,,,1,,1xe" filled="f" stroked="f">
                        <v:path arrowok="t" o:connecttype="custom" o:connectlocs="0,2699;0,0;0,2699" o:connectangles="0,0,0"/>
                      </v:shape>
                      <v:shape id="Freeform 39" o:spid="_x0000_s1050" style="position:absolute;left:499;top:3953;width:40;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" path="m1,c1,1,1,1,,1,1,1,1,1,1,xe" filled="f" stroked="f">
                        <v:path arrowok="t" o:connecttype="custom" o:connectlocs="4048,0;0,2699;4048,0" o:connectangles="0,0,0"/>
                      </v:shape>
                      <v:shape id="Freeform 40" o:spid="_x0000_s1051" style="position:absolute;left:445;top:395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" path="m1,c1,,,,,,,,1,,1,xe" filled="f" stroked="f">
                        <v:path arrowok="t" o:connecttype="custom" o:connectlocs="2699,0;0,0;2699,0" o:connectangles="0,0,0"/>
                      </v:shape>
                      <v:shape id="Freeform 41" o:spid="_x0000_s1052" style="position:absolute;left:472;top:3953;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" path="m1,1c1,1,,1,,,,1,1,1,1,1xe" filled="f" stroked="f">
                        <v:path arrowok="t" o:connecttype="custom" o:connectlocs="2699,2699;0,0;2699,2699" o:connectangles="0,0,0"/>
                      </v:shape>
                      <v:shape id="Freeform 42" o:spid="_x0000_s1053" style="position:absolute;left:53;top:2766;width:41;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" path="m1,1c,,,,,,,,,,1,1xe" filled="f" stroked="f">
                        <v:path arrowok="t" o:connecttype="custom" o:connectlocs="4048,2699;0,0;4048,2699" o:connectangles="0,0,0"/>
                      </v:shape>
                      <v:shape id="Freeform 43" o:spid="_x0000_s1054" style="position:absolute;left:404;top:3913;width:41;height:40;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" path="m1,1c1,1,1,,,,1,,1,1,1,1xe" filled="f" stroked="f">
                        <v:path arrowok="t" o:connecttype="custom" o:connectlocs="4048,4048;0,0;4048,4048" o:connectangles="0,0,0"/>
                      </v:shape>
                      <v:shape id="Freeform 44" o:spid="_x0000_s1055" style="position:absolute;left:3535;top:3305;width:189;height:324;visibility:visible;mso-wrap-style:square;v-text-anchor:top" coordsize="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" path="m,10c2,7,4,4,6,v,,,,,c6,,6,,6,,4,4,2,7,,10xe" filled="f" stroked="f">
                        <v:path arrowok="t" o:connecttype="custom" o:connectlocs="0,32385;18891,0;18891,0;18891,0;0,32385" o:connectangles="0,0,0,0,0"/>
                      </v:shape>
                      <v:shape id="Freeform 45" o:spid="_x0000_s1056" style="position:absolute;left:2671;top:3953;width:607;height:216;visibility:visible;mso-wrap-style:square;v-text-anchor:top" coordsize="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" path="m,7c6,4,12,3,18,v,,1,,1,c19,,18,,18,,12,3,6,4,,7xe" filled="f" stroked="f">
                        <v:path arrowok="t" o:connecttype="custom" o:connectlocs="0,21590;57526,0;60722,0;57526,0;0,21590" o:connectangles="0,0,0,0,0"/>
                      </v:shape>
                      <v:shape id="Freeform 46" o:spid="_x0000_s1057" style="position:absolute;left:4048;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" path="m1,c,,,,,,,,,,1,xe" filled="f" stroked="f">
                        <v:path arrowok="t" o:connecttype="custom" o:connectlocs="2699,0;0,0;2699,0" o:connectangles="0,0,0"/>
                      </v:shape>
                      <v:shape id="Freeform 47" o:spid="_x0000_s1058" style="position:absolute;left:4075;top:2604;width:40;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" path="m,c,,,,1,,1,,1,,,,,,,,,xe" filled="f" stroked="f">
                        <v:path arrowok="t" o:connecttype="custom" o:connectlocs="0,0;4048,0;0,0;0,0" o:connectangles="0,0,0,0"/>
                      </v:shape>
                      <v:shape id="Freeform 48" o:spid="_x0000_s1059" style="position:absolute;left:4965;top:2766;width:324;height:27;visibility:visible;mso-wrap-style:square;v-text-anchor:top" coordsize="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" path="m,c3,1,6,1,9,1v1,,1,,1,c10,1,10,1,9,1,6,1,3,1,,xe" filled="f" stroked="f">
                        <v:path arrowok="t" o:connecttype="custom" o:connectlocs="0,0;29147,2699;32385,2699;29147,2699;0,0" o:connectangles="0,0,0,0,0"/>
                      </v:shape>
                      <v:shape id="Freeform 49" o:spid="_x0000_s1060" style="position:absolute;left:5289;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" path="m1,c1,,1,,,,1,,1,,1,xe" filled="f" stroked="f">
                        <v:path arrowok="t" o:connecttype="custom" o:connectlocs="2699,0;0,0;2699,0" o:connectangles="0,0,0"/>
                      </v:shape>
                      <v:shape id="Freeform 50" o:spid="_x0000_s1061" style="position:absolute;left:5357;top:2766;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" path="m1,c1,,1,,,1,1,,1,,1,xe" filled="f" stroked="f">
                        <v:path arrowok="t" o:connecttype="custom" o:connectlocs="2699,0;0,2699;2699,0" o:connectangles="0,0,0"/>
                      </v:shape>
                      <v:shape id="Freeform 51" o:spid="_x0000_s1062" style="position:absolute;left:3697;top:3049;width:94;height:0;visibility:visible;mso-wrap-style:square;v-text-anchor:top" coordsize="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" path="m3,c2,,1,,,,1,,2,,3,xe" filled="f" stroked="f">
                        <v:path arrowok="t" o:connecttype="custom" o:connectlocs="9446,0;0,0;9446,0" o:connectangles="0,0,0"/>
                      </v:shape>
                      <v:shape id="Freeform 52" o:spid="_x0000_s1063" style="position:absolute;left:53;top:2388;width:5331;height:2577;visibility:visible;mso-wrap-style:square;v-text-anchor:top" coordsize="16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" path="m166,9v,,-1,-1,-2,-1c163,8,163,8,163,8,157,7,151,5,145,4,138,3,132,1,126,v,,-2,1,-3,2c122,2,120,3,119,4v-1,1,-3,2,-4,2c114,7,113,8,111,8,73,8,73,8,73,8,68,8,66,7,65,3,63,1,62,,60,,47,3,34,4,21,6,12,7,12,7,12,7,2,8,2,8,2,8,2,8,,10,,11v1,1,2,2,2,2c2,13,3,13,3,13v,-1,,-1,,-1c3,12,3,12,3,12v5,,5,,5,c14,12,14,12,14,12,29,10,43,8,57,6v,,1,,2,c60,6,62,7,62,9v,1,,1,,1c61,10,61,10,61,10v-2,2,-4,3,-6,4c54,15,53,16,52,16v-1,1,-2,1,-3,1c42,19,34,20,27,22,19,23,12,25,4,26,1,27,,28,,29v1,2,1,2,3,2c4,31,4,31,5,31v4,-1,8,-2,11,-2c20,28,24,27,28,26v,,,,,c29,26,30,26,31,27v1,1,3,3,4,4c36,33,38,34,40,36v1,1,1,1,1,1c39,37,39,37,39,37v-2,1,-4,1,-7,2c31,39,29,40,27,40v-2,1,-4,1,-6,2c19,43,16,43,14,44v,,,,,c14,44,14,44,14,44v-1,,-2,1,-2,1c11,46,11,46,12,47v,,1,2,2,2c15,49,15,49,15,49v,,,,,c15,49,15,49,15,49v1,,1,,1,c21,47,25,46,29,45v5,-1,9,-2,14,-3c44,41,45,41,45,41v1,,1,,1,c46,41,46,41,46,41v2,2,5,5,8,7c55,49,55,49,55,49v-1,,-1,,-1,c50,51,47,53,44,55v-4,2,-7,4,-10,6c32,62,32,62,32,63v,2,1,2,2,2c34,65,34,65,34,65v,1,,1,,1c41,69,47,72,54,75v5,2,9,4,14,6c69,81,69,81,69,81v1,,2,,3,-2c72,79,72,79,72,79v,,,,,c75,74,77,70,79,65v1,,1,,1,c80,65,80,65,80,65v,,,,,-1c80,64,81,64,81,63v,,,,,c82,63,82,63,82,63v4,3,7,4,11,6c94,69,96,70,97,71v4,2,7,4,11,6c108,77,108,77,108,77v,,,,,c108,77,108,77,109,77v,,1,,2,c111,77,111,77,111,77v1,-1,1,-1,1,-2c112,75,112,74,111,74v,-1,,-1,-1,-2c108,71,105,70,102,68,99,67,96,66,93,64,92,63,90,62,88,61,87,60,87,60,87,60v1,-1,1,-1,1,-1c94,58,98,56,103,55v,,,,,c103,55,103,55,103,55v2,,2,,2,c106,55,106,55,106,55v,,,,,c131,62,131,62,131,62v1,,1,,1,c133,62,134,62,134,61v3,-2,5,-4,8,-6c144,53,147,51,150,49v1,-1,2,-3,3,-3c154,45,155,44,156,43v,,1,-2,1,-2c155,39,155,39,155,39v-1,,-2,,-3,1c146,45,140,50,134,55v-1,1,-3,1,-5,1c129,56,129,56,129,56v,,,,,c126,56,123,55,120,54v-3,-1,-6,-2,-9,-3c109,51,109,51,109,51v-1,,-1,,-1,c109,50,109,50,109,50v3,-6,7,-12,11,-17c121,31,122,29,123,28v,-1,1,-2,2,-2c129,26,132,26,135,27v3,,6,,9,c149,28,154,28,159,28v1,,1,,1,c160,28,160,28,160,28v,,,,,c161,28,162,27,162,25v,-1,-1,-2,-2,-2c159,23,158,23,156,23v-9,,-19,-1,-28,-2c125,21,125,21,125,21v-1,,-1,,-1,c123,21,123,21,123,21v,,,,,c122,18,120,15,118,11v-1,,-1,,-1,c118,10,118,10,118,10v2,,3,-1,4,-2c123,7,124,7,124,6v,,,,,c125,6,125,6,125,6v,,,,,c126,6,126,6,126,6v1,,1,,2,c131,7,134,7,137,8v3,,6,1,9,1c152,11,158,12,163,12v1,1,1,1,1,1c165,13,166,12,166,11v,,,,,c166,11,166,11,166,11v,-1,1,-1,,-2xm36,26c35,25,35,25,35,25v2,,2,,2,c42,24,47,23,51,22v,,,,,c51,22,51,22,51,22v1,,1,,1,c52,22,52,22,52,22v1,,1,,1,c57,23,61,24,65,25v4,1,8,2,12,4c79,29,79,29,79,29v-1,1,-1,1,-1,1c74,33,71,35,68,38v-3,2,-6,5,-9,7c59,46,59,46,59,46,58,45,58,45,58,45,51,39,44,33,36,26xm76,61v-1,3,-2,5,-4,7c71,70,70,72,69,74v-1,1,-1,1,-1,1c67,75,67,75,67,75,64,73,61,72,58,71,52,68,47,66,41,63,40,62,40,62,40,62v1,,1,,1,c46,60,48,58,51,56v,,,,,c51,56,51,56,51,56v1,,2,-1,3,-1c56,54,57,53,59,52v,,,,,c59,52,59,52,59,52v2,,4,1,5,3c65,55,66,56,67,56v3,1,6,3,9,4c77,61,77,61,77,61r-1,xm116,28v,1,,2,-1,2c113,33,111,36,109,39v-2,3,-4,6,-6,9c103,48,103,48,103,48v,,,,,c102,49,101,50,100,50v-3,1,-6,2,-9,3c88,54,85,55,82,56v,,,,,c82,56,82,56,82,56v-2,,-2,,-2,c80,56,80,56,80,56v,,,,,c77,55,74,54,72,53,70,52,67,51,64,49v-1,,-1,,-1,c64,48,64,48,64,48v2,-2,4,-3,6,-5c73,41,77,38,79,35v5,-3,8,-6,13,-6c95,29,99,29,103,28v3,,7,-1,11,-1c115,27,115,27,115,27v1,,1,,1,l116,28xm118,21v1,1,1,1,1,1c117,22,117,22,117,22v-2,,-4,,-6,1c111,23,111,23,111,23v,,,,,c102,23,95,24,87,25v-4,,-4,,-4,c83,25,83,25,83,25v,,,,,c78,23,74,22,69,21,66,20,63,20,60,19,58,18,58,18,58,18v2,-1,2,-1,2,-1c61,17,61,16,62,16v3,-2,5,-4,8,-4c83,13,97,13,110,13v2,,3,,5,2c115,15,115,15,115,15v,,,,,c115,17,116,18,118,21xe" filled="f" stroked="f">
                        <v:path arrowok="t" o:connecttype="custom" o:connectlocs="462786,12727;367037,19091;191498,0;0,35000;9575,38182;188306,19091;175540,44546;12767,82728;51066,92274;111707,98637;102132,124092;44683,140001;44683,155911;51066,155911;146815,130456;172348,155911;108515,206820;217031,257730;229797,251366;255330,203639;296821,219548;344696,245003;357462,238639;296821,203639;328738,175002;338313,175002;427678,194093;497894,136820;427678,175002;382995,171820;347888,159093;430870,85910;510661,89092;497894,73183;392570,66819;376612,31819;398954,19091;437253,25455;529810,35000;114899,82728;162773,70001;169156,70001;248947,95456;185114,143183;220222,235457;130857,200457;162773,178184;188306,165456;242564,190911;367037,95456;328738,152729;261714,178184;255330,178184;204264,152729;328738,89092;370229,89092;354271,73183;264905,79546;191498,60455;223414,38182;367037,47728" o:connectangles="0,0,0,0,0,0,0,0,0,0,0,0,0,0,0,0,0,0,0,0,0,0,0,0,0,0,0,0,0,0,0,0,0,0,0,0,0,0,0,0,0,0,0,0,0,0,0,0,0,0,0,0,0,0,0,0,0,0,0,0,0"/>
                        <o:lock v:ext="edit" verticies="t"/>
                      </v:shape>
                      <v:shape id="Freeform 53" o:spid="_x0000_s1064" style="position:absolute;left:5357;top:27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" path="m,c,,,,,,,,,,,xe" filled="f" stroked="f">
                        <v:path arrowok="t" o:connecttype="custom" o:connectlocs="0,0;0,0;0,0" o:connectangles="0,0,0"/>
                      </v:shape>
                      <v:shape id="Freeform 54" o:spid="_x0000_s1065" style="position:absolute;left:3697;top:2901;width:27;height:54;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" path="m1,2c1,1,,,,,,,1,1,1,2xe" filled="f" stroked="f">
                        <v:path arrowok="t" o:connecttype="custom" o:connectlocs="2699,5397;0,0;2699,5397" o:connectangles="0,0,0"/>
                      </v:shape>
                      <v:shape id="Freeform 55" o:spid="_x0000_s1066" style="position:absolute;left:4115;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" path="m1,c,,,,,,,,,,1,xe" filled="f" stroked="f">
                        <v:path arrowok="t" o:connecttype="custom" o:connectlocs="2699,0;0,0;2699,0" o:connectangles="0,0,0"/>
                      </v:shape>
                      <v:shape id="Freeform 56" o:spid="_x0000_s1067" style="position:absolute;left:3953;top:2388;width:95;height:27;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" path="m,1c1,1,2,,3,,2,,1,1,,1xe" filled="f" stroked="f">
                        <v:path arrowok="t" o:connecttype="custom" o:connectlocs="0,2699;9446,0;0,2699" o:connectangles="0,0,0"/>
                      </v:shape>
                      <v:shape id="Freeform 57" o:spid="_x0000_s1068" style="position:absolute;left:5384;top:2739;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" path="m,c,,,1,,1,,1,,,,xe" filled="f" stroked="f">
                        <v:path arrowok="t" o:connecttype="custom" o:connectlocs="0,0;0,2699;0,0" o:connectangles="0,0,0"/>
                      </v:shape>
                      <v:shape id="Freeform 58" o:spid="_x0000_s1069" style="position:absolute;left:3697;top:2509;width:94;height:68;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" path="m3,c2,1,1,1,1,2,,2,,2,,2v,,,,1,c1,1,2,1,3,xe" filled="f" stroked="f">
                        <v:path arrowok="t" o:connecttype="custom" o:connectlocs="9446,0;3149,6747;0,6747;3149,6747;9446,0" o:connectangles="0,0,0,0,0"/>
                      </v:shape>
                      <v:shape id="Freeform 59" o:spid="_x0000_s1070" style="position:absolute;left:3791;top:2442;width:122;height:67;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" path="m,2c1,2,2,1,4,,2,1,1,2,,2xe" filled="f" stroked="f">
                        <v:path arrowok="t" o:connecttype="custom" o:connectlocs="0,6747;12144,0;0,6747" o:connectangles="0,0,0"/>
                      </v:shape>
                      <v:shape id="Freeform 60" o:spid="_x0000_s1071" style="position:absolute;left:5222;top:3251;width:40;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" path="m1,c,,,1,,1,,1,,,1,xe" filled="f" stroked="f">
                        <v:path arrowok="t" o:connecttype="custom" o:connectlocs="4048,0;0,2699;4048,0" o:connectangles="0,0,0"/>
                      </v:shape>
                      <v:shape id="Freeform 61" o:spid="_x0000_s1072" style="position:absolute;left:26;top:2739;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" path="m1,1c1,1,,,,,,,1,1,1,1xe" filled="f" stroked="f">
                        <v:path arrowok="t" o:connecttype="custom" o:connectlocs="2699,2699;0,0;2699,2699" o:connectangles="0,0,0"/>
                      </v:shape>
                      <v:shape id="Freeform 62" o:spid="_x0000_s1073" style="position:absolute;left:1970;top:2604;width:0;height:40;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" path="m,c,,,1,,1,,1,,,,xe" filled="f" stroked="f">
                        <v:path arrowok="t" o:connecttype="custom" o:connectlocs="0,0;0,4048;0,0" o:connectangles="0,0,0"/>
                      </v:shape>
                      <v:shape id="Freeform 63" o:spid="_x0000_s1074" style="position:absolute;left:5262;top:3211;width:0;height:40;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" path="m,c,,,,,1,,,,,,xe" filled="f" stroked="f">
                        <v:path arrowok="t" o:connecttype="custom" o:connectlocs="0,0;0,4048;0,0" o:connectangles="0,0,0"/>
                      </v:shape>
                      <v:shape id="Freeform 64" o:spid="_x0000_s1075" style="position:absolute;left:1241;top:26;width:2928;height:1620;visibility:visible;mso-wrap-style:square;v-text-anchor:top" coordsize="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" path="m90,c74,,74,,74,,73,,72,,72,2v,,,1,,1c72,3,72,3,72,3v,,,,,c72,3,72,3,72,3,72,18,61,30,46,30,32,30,20,18,20,3v,,,-1,,-1c20,2,20,2,20,2,20,,19,,18,,3,,3,,3,,2,,,,,2,,4,1,4,3,4v13,,13,,13,c16,5,16,5,16,5v,5,2,10,4,15c21,20,21,20,21,20,9,30,9,30,9,30,8,31,7,33,8,34v1,1,1,1,2,1c11,35,12,35,12,34v,,1,,11,-10c24,24,24,24,24,24v,,,,,c29,30,35,33,42,34v1,,1,,1,c43,49,43,49,43,49v,2,1,2,2,2c46,51,48,51,48,49v,-15,,-15,,-15c49,34,49,34,49,34v8,,15,-4,20,-10c70,24,70,24,70,24v2,2,2,2,2,2c81,34,81,34,81,34v1,1,1,1,1,1c84,35,84,35,84,34v,,,,,c85,34,85,34,85,34v,-1,1,-1,1,-2c86,31,85,31,85,30,73,20,73,20,73,20v,,,,,c76,15,77,10,78,5v,-1,,-1,,-1c90,4,90,4,90,4v1,,2,,2,-2c92,,91,,90,xe" filled="f" stroked="f">
                        <v:path arrowok="t" o:connecttype="custom" o:connectlocs="286448,0;235524,0;229159,6350;229159,9525;229159,9525;229159,9525;229159,9525;146407,95250;63655,9525;63655,6350;63655,6350;57290,0;9548,0;0,6350;9548,12700;50924,12700;50924,15875;63655,63500;66838,63500;28645,95250;25462,107950;31828,111125;38193,107950;73204,76200;76386,76200;76386,76200;133676,107950;136859,107950;136859,155575;143224,161925;152773,155575;152773,107950;155955,107950;219611,76200;222793,76200;229159,82550;257804,107950;260986,111125;267352,107950;267352,107950;270535,107950;273717,101600;270535,95250;232342,63500;232342,63500;248255,15875;248255,12700;286448,12700;292814,6350;286448,0" o:connectangles="0,0,0,0,0,0,0,0,0,0,0,0,0,0,0,0,0,0,0,0,0,0,0,0,0,0,0,0,0,0,0,0,0,0,0,0,0,0,0,0,0,0,0,0,0,0,0,0,0,0"/>
                      </v:shape>
                      <v:shape id="Freeform 65" o:spid="_x0000_s1076" style="position:absolute;width:5410;height:541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" path="m152,170v-134,,-134,,-134,c8,170,,162,,152,,18,,18,,18,,8,8,,18,,152,,152,,152,v10,,18,8,18,18c170,152,170,152,170,152v,10,-8,18,-18,18xm18,6c11,6,6,11,6,18v,134,,134,,134c6,159,11,164,18,164v134,,134,,134,c159,164,164,159,164,152v,-134,,-134,,-134c164,11,159,6,152,6l18,6xe" filled="f" stroked="f">
                        <v:path arrowok="t" o:connecttype="custom" o:connectlocs="483805,541098;57293,541098;0,483805;0,57293;57293,0;483805,0;541098,57293;541098,483805;483805,541098;57293,19098;19098,57293;19098,483805;57293,522000;483805,522000;522000,483805;522000,57293;483805,19098;57293,19098" o:connectangles="0,0,0,0,0,0,0,0,0,0,0,0,0,0,0,0,0,0"/>
                        <o:lock v:ext="edit" verticies="t"/>
                      </v:shape>
                      <w10:anchorlock/>
                    </v:group>
                  </w:pict>
                </mc:Fallback>
              </mc:AlternateContent>
            </w:r>
          </w:p>
          <w:p w14:paraId="0DC87D40" w14:textId="77777777" w:rsidR="007678DD" w:rsidRPr="005825BD" w:rsidRDefault="007678DD" w:rsidP="009222D9">
            <w:pPr>
              <w:pStyle w:val="TableNText"/>
              <w:spacing w:before="0" w:after="0" w:line="240" w:lineRule="auto"/>
              <w:jc w:val="center"/>
              <w:rPr>
                <w:color w:val="FFFFFF" w:themeColor="background1"/>
                <w:sz w:val="16"/>
                <w:szCs w:val="16"/>
              </w:rPr>
            </w:pPr>
            <w:r w:rsidRPr="005825BD">
              <w:rPr>
                <w:color w:val="FFFFFF" w:themeColor="background1"/>
                <w:sz w:val="16"/>
                <w:szCs w:val="16"/>
              </w:rPr>
              <w:t>People living in regional and / or remote areas</w:t>
            </w:r>
          </w:p>
        </w:tc>
        <w:tc>
          <w:tcPr>
            <w:tcW w:w="4054" w:type="pct"/>
          </w:tcPr>
          <w:p w14:paraId="486AB99D" w14:textId="63D43C19" w:rsidR="007678DD" w:rsidRPr="00A13FF8" w:rsidRDefault="007678DD" w:rsidP="008C5949">
            <w:pPr>
              <w:pStyle w:val="TableNBullet"/>
              <w:cnfStyle w:val="000000000000" w:firstRow="0" w:lastRow="0" w:firstColumn="0" w:lastColumn="0" w:oddVBand="0" w:evenVBand="0" w:oddHBand="0" w:evenHBand="0" w:firstRowFirstColumn="0" w:firstRowLastColumn="0" w:lastRowFirstColumn="0" w:lastRowLastColumn="0"/>
              <w:rPr>
                <w:szCs w:val="16"/>
              </w:rPr>
            </w:pPr>
            <w:r>
              <w:rPr>
                <w:szCs w:val="16"/>
              </w:rPr>
              <w:t>The stigma associated with mental illness and privacy</w:t>
            </w:r>
            <w:r w:rsidRPr="008C5949">
              <w:rPr>
                <w:szCs w:val="16"/>
              </w:rPr>
              <w:t xml:space="preserve"> and confidentiality </w:t>
            </w:r>
            <w:r>
              <w:rPr>
                <w:szCs w:val="16"/>
              </w:rPr>
              <w:t>concerns.</w:t>
            </w:r>
            <w:r w:rsidRPr="008C5949">
              <w:rPr>
                <w:szCs w:val="16"/>
              </w:rPr>
              <w:t xml:space="preserve"> </w:t>
            </w:r>
            <w:r>
              <w:rPr>
                <w:szCs w:val="16"/>
              </w:rPr>
              <w:t>Some participants and providers alluded to the ongoing challenge of accessing and providing services in smaller communities whilst maintaining privacy and confidentiality of participants. Providers noted that this can be a significant barrier which prevents participants engaging with the service particularly in a public context (</w:t>
            </w:r>
            <w:r w:rsidR="00D76172">
              <w:rPr>
                <w:szCs w:val="16"/>
              </w:rPr>
              <w:t>for example</w:t>
            </w:r>
            <w:r>
              <w:rPr>
                <w:szCs w:val="16"/>
              </w:rPr>
              <w:t xml:space="preserve">, meeting in a library, park, café).  </w:t>
            </w:r>
          </w:p>
        </w:tc>
      </w:tr>
      <w:tr w:rsidR="00EB243A" w:rsidRPr="005825BD" w14:paraId="585E1388" w14:textId="77777777" w:rsidTr="00A452B6">
        <w:trPr>
          <w:trHeight w:val="1620"/>
        </w:trPr>
        <w:tc>
          <w:tcPr>
            <w:cnfStyle w:val="001000000000" w:firstRow="0" w:lastRow="0" w:firstColumn="1" w:lastColumn="0" w:oddVBand="0" w:evenVBand="0" w:oddHBand="0" w:evenHBand="0" w:firstRowFirstColumn="0" w:firstRowLastColumn="0" w:lastRowFirstColumn="0" w:lastRowLastColumn="0"/>
            <w:tcW w:w="946" w:type="pct"/>
          </w:tcPr>
          <w:p w14:paraId="55215C8B" w14:textId="77777777" w:rsidR="007678DD" w:rsidRPr="005825BD" w:rsidRDefault="007678DD" w:rsidP="009222D9">
            <w:pPr>
              <w:pStyle w:val="TableNText"/>
              <w:spacing w:before="0" w:after="0" w:line="240" w:lineRule="auto"/>
              <w:jc w:val="center"/>
              <w:rPr>
                <w:color w:val="FFFFFF" w:themeColor="background1"/>
                <w:sz w:val="16"/>
                <w:szCs w:val="16"/>
              </w:rPr>
            </w:pPr>
            <w:r w:rsidRPr="005825BD">
              <w:rPr>
                <w:noProof/>
                <w:color w:val="FFFFFF" w:themeColor="background1"/>
                <w:sz w:val="16"/>
                <w:szCs w:val="16"/>
              </w:rPr>
              <w:lastRenderedPageBreak/>
              <mc:AlternateContent>
                <mc:Choice Requires="wpg">
                  <w:drawing>
                    <wp:inline distT="0" distB="0" distL="0" distR="0" wp14:anchorId="16B41909" wp14:editId="5C9E9F43">
                      <wp:extent cx="478494" cy="403230"/>
                      <wp:effectExtent l="0" t="0" r="0" b="0"/>
                      <wp:docPr id="1038753007" name="Group 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8494" cy="403230"/>
                                <a:chOff x="0" y="0"/>
                                <a:chExt cx="518671" cy="437087"/>
                              </a:xfrm>
                              <a:solidFill>
                                <a:schemeClr val="accent6"/>
                              </a:solidFill>
                            </wpg:grpSpPr>
                            <wps:wsp>
                              <wps:cNvPr id="1038753008" name="Freeform: Shape 1038753008"/>
                              <wps:cNvSpPr/>
                              <wps:spPr>
                                <a:xfrm>
                                  <a:off x="0" y="0"/>
                                  <a:ext cx="353174" cy="430762"/>
                                </a:xfrm>
                                <a:custGeom>
                                  <a:avLst/>
                                  <a:gdLst>
                                    <a:gd name="connsiteX0" fmla="*/ 200094 w 443996"/>
                                    <a:gd name="connsiteY0" fmla="*/ 541538 h 541537"/>
                                    <a:gd name="connsiteX1" fmla="*/ 196909 w 443996"/>
                                    <a:gd name="connsiteY1" fmla="*/ 541538 h 541537"/>
                                    <a:gd name="connsiteX2" fmla="*/ 190540 w 443996"/>
                                    <a:gd name="connsiteY2" fmla="*/ 528800 h 541537"/>
                                    <a:gd name="connsiteX3" fmla="*/ 193724 w 443996"/>
                                    <a:gd name="connsiteY3" fmla="*/ 484076 h 541537"/>
                                    <a:gd name="connsiteX4" fmla="*/ 171709 w 443996"/>
                                    <a:gd name="connsiteY4" fmla="*/ 468153 h 541537"/>
                                    <a:gd name="connsiteX5" fmla="*/ 159109 w 443996"/>
                                    <a:gd name="connsiteY5" fmla="*/ 468153 h 541537"/>
                                    <a:gd name="connsiteX6" fmla="*/ 96109 w 443996"/>
                                    <a:gd name="connsiteY6" fmla="*/ 474523 h 541537"/>
                                    <a:gd name="connsiteX7" fmla="*/ 58310 w 443996"/>
                                    <a:gd name="connsiteY7" fmla="*/ 464969 h 541537"/>
                                    <a:gd name="connsiteX8" fmla="*/ 42525 w 443996"/>
                                    <a:gd name="connsiteY8" fmla="*/ 426615 h 541537"/>
                                    <a:gd name="connsiteX9" fmla="*/ 39340 w 443996"/>
                                    <a:gd name="connsiteY9" fmla="*/ 410692 h 541537"/>
                                    <a:gd name="connsiteX10" fmla="*/ 39340 w 443996"/>
                                    <a:gd name="connsiteY10" fmla="*/ 404323 h 541537"/>
                                    <a:gd name="connsiteX11" fmla="*/ 39340 w 443996"/>
                                    <a:gd name="connsiteY11" fmla="*/ 404323 h 541537"/>
                                    <a:gd name="connsiteX12" fmla="*/ 36156 w 443996"/>
                                    <a:gd name="connsiteY12" fmla="*/ 388400 h 541537"/>
                                    <a:gd name="connsiteX13" fmla="*/ 32971 w 443996"/>
                                    <a:gd name="connsiteY13" fmla="*/ 375661 h 541537"/>
                                    <a:gd name="connsiteX14" fmla="*/ 26602 w 443996"/>
                                    <a:gd name="connsiteY14" fmla="*/ 366107 h 541537"/>
                                    <a:gd name="connsiteX15" fmla="*/ 26602 w 443996"/>
                                    <a:gd name="connsiteY15" fmla="*/ 359738 h 541537"/>
                                    <a:gd name="connsiteX16" fmla="*/ 29787 w 443996"/>
                                    <a:gd name="connsiteY16" fmla="*/ 356553 h 541537"/>
                                    <a:gd name="connsiteX17" fmla="*/ 36156 w 443996"/>
                                    <a:gd name="connsiteY17" fmla="*/ 347000 h 541537"/>
                                    <a:gd name="connsiteX18" fmla="*/ 26740 w 443996"/>
                                    <a:gd name="connsiteY18" fmla="*/ 340630 h 541537"/>
                                    <a:gd name="connsiteX19" fmla="*/ 4725 w 443996"/>
                                    <a:gd name="connsiteY19" fmla="*/ 324707 h 541537"/>
                                    <a:gd name="connsiteX20" fmla="*/ 4725 w 443996"/>
                                    <a:gd name="connsiteY20" fmla="*/ 299092 h 541537"/>
                                    <a:gd name="connsiteX21" fmla="*/ 42525 w 443996"/>
                                    <a:gd name="connsiteY21" fmla="*/ 235261 h 541537"/>
                                    <a:gd name="connsiteX22" fmla="*/ 45710 w 443996"/>
                                    <a:gd name="connsiteY22" fmla="*/ 222523 h 541537"/>
                                    <a:gd name="connsiteX23" fmla="*/ 36294 w 443996"/>
                                    <a:gd name="connsiteY23" fmla="*/ 149000 h 541537"/>
                                    <a:gd name="connsiteX24" fmla="*/ 102479 w 443996"/>
                                    <a:gd name="connsiteY24" fmla="*/ 37261 h 541537"/>
                                    <a:gd name="connsiteX25" fmla="*/ 174894 w 443996"/>
                                    <a:gd name="connsiteY25" fmla="*/ 5276 h 541537"/>
                                    <a:gd name="connsiteX26" fmla="*/ 269462 w 443996"/>
                                    <a:gd name="connsiteY26" fmla="*/ 2092 h 541537"/>
                                    <a:gd name="connsiteX27" fmla="*/ 404877 w 443996"/>
                                    <a:gd name="connsiteY27" fmla="*/ 91538 h 541537"/>
                                    <a:gd name="connsiteX28" fmla="*/ 426893 w 443996"/>
                                    <a:gd name="connsiteY28" fmla="*/ 244815 h 541537"/>
                                    <a:gd name="connsiteX29" fmla="*/ 392277 w 443996"/>
                                    <a:gd name="connsiteY29" fmla="*/ 350184 h 541537"/>
                                    <a:gd name="connsiteX30" fmla="*/ 382862 w 443996"/>
                                    <a:gd name="connsiteY30" fmla="*/ 369292 h 541537"/>
                                    <a:gd name="connsiteX31" fmla="*/ 370262 w 443996"/>
                                    <a:gd name="connsiteY31" fmla="*/ 401276 h 541537"/>
                                    <a:gd name="connsiteX32" fmla="*/ 420662 w 443996"/>
                                    <a:gd name="connsiteY32" fmla="*/ 481169 h 541537"/>
                                    <a:gd name="connsiteX33" fmla="*/ 442677 w 443996"/>
                                    <a:gd name="connsiteY33" fmla="*/ 509969 h 541537"/>
                                    <a:gd name="connsiteX34" fmla="*/ 439492 w 443996"/>
                                    <a:gd name="connsiteY34" fmla="*/ 522707 h 541537"/>
                                    <a:gd name="connsiteX35" fmla="*/ 423708 w 443996"/>
                                    <a:gd name="connsiteY35" fmla="*/ 519523 h 541537"/>
                                    <a:gd name="connsiteX36" fmla="*/ 404739 w 443996"/>
                                    <a:gd name="connsiteY36" fmla="*/ 493907 h 541537"/>
                                    <a:gd name="connsiteX37" fmla="*/ 351154 w 443996"/>
                                    <a:gd name="connsiteY37" fmla="*/ 401276 h 541537"/>
                                    <a:gd name="connsiteX38" fmla="*/ 366939 w 443996"/>
                                    <a:gd name="connsiteY38" fmla="*/ 359738 h 541537"/>
                                    <a:gd name="connsiteX39" fmla="*/ 373308 w 443996"/>
                                    <a:gd name="connsiteY39" fmla="*/ 340630 h 541537"/>
                                    <a:gd name="connsiteX40" fmla="*/ 404877 w 443996"/>
                                    <a:gd name="connsiteY40" fmla="*/ 241630 h 541537"/>
                                    <a:gd name="connsiteX41" fmla="*/ 385908 w 443996"/>
                                    <a:gd name="connsiteY41" fmla="*/ 101092 h 541537"/>
                                    <a:gd name="connsiteX42" fmla="*/ 269324 w 443996"/>
                                    <a:gd name="connsiteY42" fmla="*/ 20923 h 541537"/>
                                    <a:gd name="connsiteX43" fmla="*/ 177940 w 443996"/>
                                    <a:gd name="connsiteY43" fmla="*/ 27292 h 541537"/>
                                    <a:gd name="connsiteX44" fmla="*/ 114940 w 443996"/>
                                    <a:gd name="connsiteY44" fmla="*/ 52769 h 541537"/>
                                    <a:gd name="connsiteX45" fmla="*/ 55125 w 443996"/>
                                    <a:gd name="connsiteY45" fmla="*/ 151769 h 541537"/>
                                    <a:gd name="connsiteX46" fmla="*/ 61494 w 443996"/>
                                    <a:gd name="connsiteY46" fmla="*/ 209230 h 541537"/>
                                    <a:gd name="connsiteX47" fmla="*/ 61494 w 443996"/>
                                    <a:gd name="connsiteY47" fmla="*/ 244400 h 541537"/>
                                    <a:gd name="connsiteX48" fmla="*/ 20510 w 443996"/>
                                    <a:gd name="connsiteY48" fmla="*/ 308230 h 541537"/>
                                    <a:gd name="connsiteX49" fmla="*/ 20510 w 443996"/>
                                    <a:gd name="connsiteY49" fmla="*/ 311415 h 541537"/>
                                    <a:gd name="connsiteX50" fmla="*/ 39479 w 443996"/>
                                    <a:gd name="connsiteY50" fmla="*/ 324153 h 541537"/>
                                    <a:gd name="connsiteX51" fmla="*/ 52079 w 443996"/>
                                    <a:gd name="connsiteY51" fmla="*/ 330523 h 541537"/>
                                    <a:gd name="connsiteX52" fmla="*/ 55263 w 443996"/>
                                    <a:gd name="connsiteY52" fmla="*/ 343261 h 541537"/>
                                    <a:gd name="connsiteX53" fmla="*/ 52079 w 443996"/>
                                    <a:gd name="connsiteY53" fmla="*/ 362369 h 541537"/>
                                    <a:gd name="connsiteX54" fmla="*/ 58448 w 443996"/>
                                    <a:gd name="connsiteY54" fmla="*/ 394353 h 541537"/>
                                    <a:gd name="connsiteX55" fmla="*/ 58448 w 443996"/>
                                    <a:gd name="connsiteY55" fmla="*/ 400723 h 541537"/>
                                    <a:gd name="connsiteX56" fmla="*/ 61633 w 443996"/>
                                    <a:gd name="connsiteY56" fmla="*/ 407092 h 541537"/>
                                    <a:gd name="connsiteX57" fmla="*/ 61633 w 443996"/>
                                    <a:gd name="connsiteY57" fmla="*/ 426200 h 541537"/>
                                    <a:gd name="connsiteX58" fmla="*/ 71048 w 443996"/>
                                    <a:gd name="connsiteY58" fmla="*/ 448492 h 541537"/>
                                    <a:gd name="connsiteX59" fmla="*/ 93063 w 443996"/>
                                    <a:gd name="connsiteY59" fmla="*/ 451676 h 541537"/>
                                    <a:gd name="connsiteX60" fmla="*/ 159248 w 443996"/>
                                    <a:gd name="connsiteY60" fmla="*/ 448492 h 541537"/>
                                    <a:gd name="connsiteX61" fmla="*/ 171847 w 443996"/>
                                    <a:gd name="connsiteY61" fmla="*/ 445307 h 541537"/>
                                    <a:gd name="connsiteX62" fmla="*/ 212832 w 443996"/>
                                    <a:gd name="connsiteY62" fmla="*/ 477292 h 541537"/>
                                    <a:gd name="connsiteX63" fmla="*/ 209647 w 443996"/>
                                    <a:gd name="connsiteY63" fmla="*/ 534753 h 541537"/>
                                    <a:gd name="connsiteX64" fmla="*/ 200094 w 443996"/>
                                    <a:gd name="connsiteY64" fmla="*/ 541538 h 541537"/>
                                    <a:gd name="connsiteX65" fmla="*/ 200094 w 443996"/>
                                    <a:gd name="connsiteY65" fmla="*/ 541538 h 541537"/>
                                    <a:gd name="connsiteX66" fmla="*/ 55125 w 443996"/>
                                    <a:gd name="connsiteY66" fmla="*/ 394630 h 541537"/>
                                    <a:gd name="connsiteX67" fmla="*/ 55125 w 443996"/>
                                    <a:gd name="connsiteY67" fmla="*/ 394630 h 541537"/>
                                    <a:gd name="connsiteX68" fmla="*/ 55125 w 443996"/>
                                    <a:gd name="connsiteY68" fmla="*/ 394630 h 541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43996" h="541537">
                                      <a:moveTo>
                                        <a:pt x="200094" y="541538"/>
                                      </a:moveTo>
                                      <a:cubicBezTo>
                                        <a:pt x="196909" y="541538"/>
                                        <a:pt x="196909" y="541538"/>
                                        <a:pt x="196909" y="541538"/>
                                      </a:cubicBezTo>
                                      <a:cubicBezTo>
                                        <a:pt x="190540" y="538353"/>
                                        <a:pt x="187494" y="535169"/>
                                        <a:pt x="190540" y="528800"/>
                                      </a:cubicBezTo>
                                      <a:cubicBezTo>
                                        <a:pt x="196909" y="509692"/>
                                        <a:pt x="199955" y="496815"/>
                                        <a:pt x="193724" y="484076"/>
                                      </a:cubicBezTo>
                                      <a:cubicBezTo>
                                        <a:pt x="190540" y="471338"/>
                                        <a:pt x="184309" y="468153"/>
                                        <a:pt x="171709" y="468153"/>
                                      </a:cubicBezTo>
                                      <a:cubicBezTo>
                                        <a:pt x="159109" y="468153"/>
                                        <a:pt x="159109" y="468153"/>
                                        <a:pt x="159109" y="468153"/>
                                      </a:cubicBezTo>
                                      <a:cubicBezTo>
                                        <a:pt x="140140" y="468153"/>
                                        <a:pt x="114940" y="468153"/>
                                        <a:pt x="96109" y="474523"/>
                                      </a:cubicBezTo>
                                      <a:cubicBezTo>
                                        <a:pt x="80325" y="474523"/>
                                        <a:pt x="67725" y="471338"/>
                                        <a:pt x="58310" y="464969"/>
                                      </a:cubicBezTo>
                                      <a:cubicBezTo>
                                        <a:pt x="48894" y="458600"/>
                                        <a:pt x="42525" y="445861"/>
                                        <a:pt x="42525" y="426615"/>
                                      </a:cubicBezTo>
                                      <a:cubicBezTo>
                                        <a:pt x="42525" y="420246"/>
                                        <a:pt x="42525" y="417061"/>
                                        <a:pt x="39340" y="410692"/>
                                      </a:cubicBezTo>
                                      <a:cubicBezTo>
                                        <a:pt x="39340" y="410692"/>
                                        <a:pt x="39340" y="407507"/>
                                        <a:pt x="39340" y="404323"/>
                                      </a:cubicBezTo>
                                      <a:lnTo>
                                        <a:pt x="39340" y="404323"/>
                                      </a:lnTo>
                                      <a:cubicBezTo>
                                        <a:pt x="36156" y="401138"/>
                                        <a:pt x="36156" y="394769"/>
                                        <a:pt x="36156" y="388400"/>
                                      </a:cubicBezTo>
                                      <a:cubicBezTo>
                                        <a:pt x="42525" y="382030"/>
                                        <a:pt x="39340" y="378846"/>
                                        <a:pt x="32971" y="375661"/>
                                      </a:cubicBezTo>
                                      <a:cubicBezTo>
                                        <a:pt x="29787" y="375661"/>
                                        <a:pt x="26602" y="372476"/>
                                        <a:pt x="26602" y="366107"/>
                                      </a:cubicBezTo>
                                      <a:cubicBezTo>
                                        <a:pt x="26602" y="359738"/>
                                        <a:pt x="26602" y="359738"/>
                                        <a:pt x="26602" y="359738"/>
                                      </a:cubicBezTo>
                                      <a:cubicBezTo>
                                        <a:pt x="29787" y="356553"/>
                                        <a:pt x="29787" y="356553"/>
                                        <a:pt x="29787" y="356553"/>
                                      </a:cubicBezTo>
                                      <a:cubicBezTo>
                                        <a:pt x="32971" y="356553"/>
                                        <a:pt x="32971" y="350184"/>
                                        <a:pt x="36156" y="347000"/>
                                      </a:cubicBezTo>
                                      <a:cubicBezTo>
                                        <a:pt x="32971" y="343815"/>
                                        <a:pt x="29787" y="343815"/>
                                        <a:pt x="26740" y="340630"/>
                                      </a:cubicBezTo>
                                      <a:cubicBezTo>
                                        <a:pt x="20371" y="337446"/>
                                        <a:pt x="10956" y="331076"/>
                                        <a:pt x="4725" y="324707"/>
                                      </a:cubicBezTo>
                                      <a:cubicBezTo>
                                        <a:pt x="-1506" y="318338"/>
                                        <a:pt x="-1644" y="305600"/>
                                        <a:pt x="4725" y="299092"/>
                                      </a:cubicBezTo>
                                      <a:cubicBezTo>
                                        <a:pt x="14140" y="276800"/>
                                        <a:pt x="29925" y="254369"/>
                                        <a:pt x="42525" y="235261"/>
                                      </a:cubicBezTo>
                                      <a:cubicBezTo>
                                        <a:pt x="48894" y="225707"/>
                                        <a:pt x="45710" y="222523"/>
                                        <a:pt x="45710" y="222523"/>
                                      </a:cubicBezTo>
                                      <a:cubicBezTo>
                                        <a:pt x="26740" y="196907"/>
                                        <a:pt x="29925" y="171430"/>
                                        <a:pt x="36294" y="149000"/>
                                      </a:cubicBezTo>
                                      <a:cubicBezTo>
                                        <a:pt x="48894" y="97907"/>
                                        <a:pt x="70909" y="59553"/>
                                        <a:pt x="102479" y="37261"/>
                                      </a:cubicBezTo>
                                      <a:cubicBezTo>
                                        <a:pt x="124494" y="21338"/>
                                        <a:pt x="149694" y="11646"/>
                                        <a:pt x="174894" y="5276"/>
                                      </a:cubicBezTo>
                                      <a:cubicBezTo>
                                        <a:pt x="203278" y="-1093"/>
                                        <a:pt x="234709" y="-1093"/>
                                        <a:pt x="269462" y="2092"/>
                                      </a:cubicBezTo>
                                      <a:cubicBezTo>
                                        <a:pt x="329278" y="8461"/>
                                        <a:pt x="373447" y="37261"/>
                                        <a:pt x="404877" y="91538"/>
                                      </a:cubicBezTo>
                                      <a:cubicBezTo>
                                        <a:pt x="436308" y="145815"/>
                                        <a:pt x="433262" y="196907"/>
                                        <a:pt x="426893" y="244815"/>
                                      </a:cubicBezTo>
                                      <a:cubicBezTo>
                                        <a:pt x="420523" y="283169"/>
                                        <a:pt x="407923" y="318338"/>
                                        <a:pt x="392277" y="350184"/>
                                      </a:cubicBezTo>
                                      <a:cubicBezTo>
                                        <a:pt x="389093" y="356553"/>
                                        <a:pt x="385908" y="362923"/>
                                        <a:pt x="382862" y="369292"/>
                                      </a:cubicBezTo>
                                      <a:cubicBezTo>
                                        <a:pt x="376493" y="378846"/>
                                        <a:pt x="370262" y="388400"/>
                                        <a:pt x="370262" y="401276"/>
                                      </a:cubicBezTo>
                                      <a:cubicBezTo>
                                        <a:pt x="370262" y="423569"/>
                                        <a:pt x="401831" y="458738"/>
                                        <a:pt x="420662" y="481169"/>
                                      </a:cubicBezTo>
                                      <a:cubicBezTo>
                                        <a:pt x="430077" y="490723"/>
                                        <a:pt x="436446" y="500276"/>
                                        <a:pt x="442677" y="509969"/>
                                      </a:cubicBezTo>
                                      <a:cubicBezTo>
                                        <a:pt x="445862" y="513153"/>
                                        <a:pt x="442677" y="519523"/>
                                        <a:pt x="439492" y="522707"/>
                                      </a:cubicBezTo>
                                      <a:cubicBezTo>
                                        <a:pt x="433123" y="525892"/>
                                        <a:pt x="426893" y="522707"/>
                                        <a:pt x="423708" y="519523"/>
                                      </a:cubicBezTo>
                                      <a:cubicBezTo>
                                        <a:pt x="420523" y="513153"/>
                                        <a:pt x="414293" y="503600"/>
                                        <a:pt x="404739" y="493907"/>
                                      </a:cubicBezTo>
                                      <a:cubicBezTo>
                                        <a:pt x="379539" y="468292"/>
                                        <a:pt x="351154" y="433261"/>
                                        <a:pt x="351154" y="401276"/>
                                      </a:cubicBezTo>
                                      <a:cubicBezTo>
                                        <a:pt x="351154" y="385353"/>
                                        <a:pt x="357524" y="369292"/>
                                        <a:pt x="366939" y="359738"/>
                                      </a:cubicBezTo>
                                      <a:cubicBezTo>
                                        <a:pt x="370124" y="353369"/>
                                        <a:pt x="373308" y="347000"/>
                                        <a:pt x="373308" y="340630"/>
                                      </a:cubicBezTo>
                                      <a:cubicBezTo>
                                        <a:pt x="385908" y="311830"/>
                                        <a:pt x="401693" y="276800"/>
                                        <a:pt x="404877" y="241630"/>
                                      </a:cubicBezTo>
                                      <a:cubicBezTo>
                                        <a:pt x="414293" y="187353"/>
                                        <a:pt x="414293" y="145815"/>
                                        <a:pt x="385908" y="101092"/>
                                      </a:cubicBezTo>
                                      <a:cubicBezTo>
                                        <a:pt x="357524" y="52769"/>
                                        <a:pt x="319724" y="27292"/>
                                        <a:pt x="269324" y="20923"/>
                                      </a:cubicBezTo>
                                      <a:cubicBezTo>
                                        <a:pt x="234709" y="17738"/>
                                        <a:pt x="206324" y="20923"/>
                                        <a:pt x="177940" y="27292"/>
                                      </a:cubicBezTo>
                                      <a:cubicBezTo>
                                        <a:pt x="155924" y="30476"/>
                                        <a:pt x="133909" y="40030"/>
                                        <a:pt x="114940" y="52769"/>
                                      </a:cubicBezTo>
                                      <a:cubicBezTo>
                                        <a:pt x="86556" y="75061"/>
                                        <a:pt x="64540" y="107046"/>
                                        <a:pt x="55125" y="151769"/>
                                      </a:cubicBezTo>
                                      <a:cubicBezTo>
                                        <a:pt x="48756" y="177384"/>
                                        <a:pt x="48756" y="193307"/>
                                        <a:pt x="61494" y="209230"/>
                                      </a:cubicBezTo>
                                      <a:cubicBezTo>
                                        <a:pt x="64679" y="215600"/>
                                        <a:pt x="70909" y="228338"/>
                                        <a:pt x="61494" y="244400"/>
                                      </a:cubicBezTo>
                                      <a:cubicBezTo>
                                        <a:pt x="45710" y="266692"/>
                                        <a:pt x="33110" y="285938"/>
                                        <a:pt x="20510" y="308230"/>
                                      </a:cubicBezTo>
                                      <a:cubicBezTo>
                                        <a:pt x="20510" y="308230"/>
                                        <a:pt x="20510" y="308230"/>
                                        <a:pt x="20510" y="311415"/>
                                      </a:cubicBezTo>
                                      <a:cubicBezTo>
                                        <a:pt x="26879" y="314600"/>
                                        <a:pt x="33110" y="320969"/>
                                        <a:pt x="39479" y="324153"/>
                                      </a:cubicBezTo>
                                      <a:cubicBezTo>
                                        <a:pt x="42663" y="327338"/>
                                        <a:pt x="45848" y="330523"/>
                                        <a:pt x="52079" y="330523"/>
                                      </a:cubicBezTo>
                                      <a:cubicBezTo>
                                        <a:pt x="55263" y="333707"/>
                                        <a:pt x="55263" y="336892"/>
                                        <a:pt x="55263" y="343261"/>
                                      </a:cubicBezTo>
                                      <a:cubicBezTo>
                                        <a:pt x="58448" y="349630"/>
                                        <a:pt x="55263" y="356000"/>
                                        <a:pt x="52079" y="362369"/>
                                      </a:cubicBezTo>
                                      <a:cubicBezTo>
                                        <a:pt x="61494" y="371923"/>
                                        <a:pt x="61494" y="381476"/>
                                        <a:pt x="58448" y="394353"/>
                                      </a:cubicBezTo>
                                      <a:cubicBezTo>
                                        <a:pt x="58448" y="397538"/>
                                        <a:pt x="58448" y="397538"/>
                                        <a:pt x="58448" y="400723"/>
                                      </a:cubicBezTo>
                                      <a:cubicBezTo>
                                        <a:pt x="58448" y="400723"/>
                                        <a:pt x="58448" y="403907"/>
                                        <a:pt x="61633" y="407092"/>
                                      </a:cubicBezTo>
                                      <a:cubicBezTo>
                                        <a:pt x="61633" y="413461"/>
                                        <a:pt x="64817" y="419830"/>
                                        <a:pt x="61633" y="426200"/>
                                      </a:cubicBezTo>
                                      <a:cubicBezTo>
                                        <a:pt x="61633" y="432569"/>
                                        <a:pt x="64817" y="442123"/>
                                        <a:pt x="71048" y="448492"/>
                                      </a:cubicBezTo>
                                      <a:cubicBezTo>
                                        <a:pt x="74233" y="451676"/>
                                        <a:pt x="83648" y="454861"/>
                                        <a:pt x="93063" y="451676"/>
                                      </a:cubicBezTo>
                                      <a:cubicBezTo>
                                        <a:pt x="115078" y="448492"/>
                                        <a:pt x="137232" y="448492"/>
                                        <a:pt x="159248" y="448492"/>
                                      </a:cubicBezTo>
                                      <a:cubicBezTo>
                                        <a:pt x="171847" y="445307"/>
                                        <a:pt x="171847" y="445307"/>
                                        <a:pt x="171847" y="445307"/>
                                      </a:cubicBezTo>
                                      <a:cubicBezTo>
                                        <a:pt x="193863" y="445307"/>
                                        <a:pt x="206463" y="454861"/>
                                        <a:pt x="212832" y="477292"/>
                                      </a:cubicBezTo>
                                      <a:cubicBezTo>
                                        <a:pt x="222247" y="496400"/>
                                        <a:pt x="216017" y="518830"/>
                                        <a:pt x="209647" y="534753"/>
                                      </a:cubicBezTo>
                                      <a:cubicBezTo>
                                        <a:pt x="206324" y="541538"/>
                                        <a:pt x="203140" y="541538"/>
                                        <a:pt x="200094" y="541538"/>
                                      </a:cubicBezTo>
                                      <a:lnTo>
                                        <a:pt x="200094" y="541538"/>
                                      </a:lnTo>
                                      <a:close/>
                                      <a:moveTo>
                                        <a:pt x="55125" y="394630"/>
                                      </a:moveTo>
                                      <a:lnTo>
                                        <a:pt x="55125" y="394630"/>
                                      </a:lnTo>
                                      <a:lnTo>
                                        <a:pt x="55125" y="394630"/>
                                      </a:lnTo>
                                      <a:close/>
                                    </a:path>
                                  </a:pathLst>
                                </a:custGeom>
                                <a:grpFill/>
                                <a:ln w="13692" cap="flat">
                                  <a:noFill/>
                                  <a:prstDash val="solid"/>
                                  <a:miter/>
                                </a:ln>
                              </wps:spPr>
                              <wps:bodyPr rtlCol="0" anchor="ctr"/>
                            </wps:wsp>
                            <wps:wsp>
                              <wps:cNvPr id="1038753009" name="Freeform: Shape 1038753009"/>
                              <wps:cNvSpPr/>
                              <wps:spPr>
                                <a:xfrm flipH="1">
                                  <a:off x="165497" y="6325"/>
                                  <a:ext cx="353174" cy="430762"/>
                                </a:xfrm>
                                <a:custGeom>
                                  <a:avLst/>
                                  <a:gdLst>
                                    <a:gd name="connsiteX0" fmla="*/ 200094 w 443996"/>
                                    <a:gd name="connsiteY0" fmla="*/ 541538 h 541537"/>
                                    <a:gd name="connsiteX1" fmla="*/ 196909 w 443996"/>
                                    <a:gd name="connsiteY1" fmla="*/ 541538 h 541537"/>
                                    <a:gd name="connsiteX2" fmla="*/ 190540 w 443996"/>
                                    <a:gd name="connsiteY2" fmla="*/ 528800 h 541537"/>
                                    <a:gd name="connsiteX3" fmla="*/ 193724 w 443996"/>
                                    <a:gd name="connsiteY3" fmla="*/ 484076 h 541537"/>
                                    <a:gd name="connsiteX4" fmla="*/ 171709 w 443996"/>
                                    <a:gd name="connsiteY4" fmla="*/ 468153 h 541537"/>
                                    <a:gd name="connsiteX5" fmla="*/ 159109 w 443996"/>
                                    <a:gd name="connsiteY5" fmla="*/ 468153 h 541537"/>
                                    <a:gd name="connsiteX6" fmla="*/ 96109 w 443996"/>
                                    <a:gd name="connsiteY6" fmla="*/ 474523 h 541537"/>
                                    <a:gd name="connsiteX7" fmla="*/ 58310 w 443996"/>
                                    <a:gd name="connsiteY7" fmla="*/ 464969 h 541537"/>
                                    <a:gd name="connsiteX8" fmla="*/ 42525 w 443996"/>
                                    <a:gd name="connsiteY8" fmla="*/ 426615 h 541537"/>
                                    <a:gd name="connsiteX9" fmla="*/ 39340 w 443996"/>
                                    <a:gd name="connsiteY9" fmla="*/ 410692 h 541537"/>
                                    <a:gd name="connsiteX10" fmla="*/ 39340 w 443996"/>
                                    <a:gd name="connsiteY10" fmla="*/ 404323 h 541537"/>
                                    <a:gd name="connsiteX11" fmla="*/ 39340 w 443996"/>
                                    <a:gd name="connsiteY11" fmla="*/ 404323 h 541537"/>
                                    <a:gd name="connsiteX12" fmla="*/ 36156 w 443996"/>
                                    <a:gd name="connsiteY12" fmla="*/ 388400 h 541537"/>
                                    <a:gd name="connsiteX13" fmla="*/ 32971 w 443996"/>
                                    <a:gd name="connsiteY13" fmla="*/ 375661 h 541537"/>
                                    <a:gd name="connsiteX14" fmla="*/ 26602 w 443996"/>
                                    <a:gd name="connsiteY14" fmla="*/ 366107 h 541537"/>
                                    <a:gd name="connsiteX15" fmla="*/ 26602 w 443996"/>
                                    <a:gd name="connsiteY15" fmla="*/ 359738 h 541537"/>
                                    <a:gd name="connsiteX16" fmla="*/ 29787 w 443996"/>
                                    <a:gd name="connsiteY16" fmla="*/ 356553 h 541537"/>
                                    <a:gd name="connsiteX17" fmla="*/ 36156 w 443996"/>
                                    <a:gd name="connsiteY17" fmla="*/ 347000 h 541537"/>
                                    <a:gd name="connsiteX18" fmla="*/ 26740 w 443996"/>
                                    <a:gd name="connsiteY18" fmla="*/ 340630 h 541537"/>
                                    <a:gd name="connsiteX19" fmla="*/ 4725 w 443996"/>
                                    <a:gd name="connsiteY19" fmla="*/ 324707 h 541537"/>
                                    <a:gd name="connsiteX20" fmla="*/ 4725 w 443996"/>
                                    <a:gd name="connsiteY20" fmla="*/ 299092 h 541537"/>
                                    <a:gd name="connsiteX21" fmla="*/ 42525 w 443996"/>
                                    <a:gd name="connsiteY21" fmla="*/ 235261 h 541537"/>
                                    <a:gd name="connsiteX22" fmla="*/ 45710 w 443996"/>
                                    <a:gd name="connsiteY22" fmla="*/ 222523 h 541537"/>
                                    <a:gd name="connsiteX23" fmla="*/ 36294 w 443996"/>
                                    <a:gd name="connsiteY23" fmla="*/ 149000 h 541537"/>
                                    <a:gd name="connsiteX24" fmla="*/ 102479 w 443996"/>
                                    <a:gd name="connsiteY24" fmla="*/ 37261 h 541537"/>
                                    <a:gd name="connsiteX25" fmla="*/ 174894 w 443996"/>
                                    <a:gd name="connsiteY25" fmla="*/ 5276 h 541537"/>
                                    <a:gd name="connsiteX26" fmla="*/ 269462 w 443996"/>
                                    <a:gd name="connsiteY26" fmla="*/ 2092 h 541537"/>
                                    <a:gd name="connsiteX27" fmla="*/ 404877 w 443996"/>
                                    <a:gd name="connsiteY27" fmla="*/ 91538 h 541537"/>
                                    <a:gd name="connsiteX28" fmla="*/ 426893 w 443996"/>
                                    <a:gd name="connsiteY28" fmla="*/ 244815 h 541537"/>
                                    <a:gd name="connsiteX29" fmla="*/ 392277 w 443996"/>
                                    <a:gd name="connsiteY29" fmla="*/ 350184 h 541537"/>
                                    <a:gd name="connsiteX30" fmla="*/ 382862 w 443996"/>
                                    <a:gd name="connsiteY30" fmla="*/ 369292 h 541537"/>
                                    <a:gd name="connsiteX31" fmla="*/ 370262 w 443996"/>
                                    <a:gd name="connsiteY31" fmla="*/ 401276 h 541537"/>
                                    <a:gd name="connsiteX32" fmla="*/ 420662 w 443996"/>
                                    <a:gd name="connsiteY32" fmla="*/ 481169 h 541537"/>
                                    <a:gd name="connsiteX33" fmla="*/ 442677 w 443996"/>
                                    <a:gd name="connsiteY33" fmla="*/ 509969 h 541537"/>
                                    <a:gd name="connsiteX34" fmla="*/ 439492 w 443996"/>
                                    <a:gd name="connsiteY34" fmla="*/ 522707 h 541537"/>
                                    <a:gd name="connsiteX35" fmla="*/ 423708 w 443996"/>
                                    <a:gd name="connsiteY35" fmla="*/ 519523 h 541537"/>
                                    <a:gd name="connsiteX36" fmla="*/ 404739 w 443996"/>
                                    <a:gd name="connsiteY36" fmla="*/ 493907 h 541537"/>
                                    <a:gd name="connsiteX37" fmla="*/ 351154 w 443996"/>
                                    <a:gd name="connsiteY37" fmla="*/ 401276 h 541537"/>
                                    <a:gd name="connsiteX38" fmla="*/ 366939 w 443996"/>
                                    <a:gd name="connsiteY38" fmla="*/ 359738 h 541537"/>
                                    <a:gd name="connsiteX39" fmla="*/ 373308 w 443996"/>
                                    <a:gd name="connsiteY39" fmla="*/ 340630 h 541537"/>
                                    <a:gd name="connsiteX40" fmla="*/ 404877 w 443996"/>
                                    <a:gd name="connsiteY40" fmla="*/ 241630 h 541537"/>
                                    <a:gd name="connsiteX41" fmla="*/ 385908 w 443996"/>
                                    <a:gd name="connsiteY41" fmla="*/ 101092 h 541537"/>
                                    <a:gd name="connsiteX42" fmla="*/ 269324 w 443996"/>
                                    <a:gd name="connsiteY42" fmla="*/ 20923 h 541537"/>
                                    <a:gd name="connsiteX43" fmla="*/ 177940 w 443996"/>
                                    <a:gd name="connsiteY43" fmla="*/ 27292 h 541537"/>
                                    <a:gd name="connsiteX44" fmla="*/ 114940 w 443996"/>
                                    <a:gd name="connsiteY44" fmla="*/ 52769 h 541537"/>
                                    <a:gd name="connsiteX45" fmla="*/ 55125 w 443996"/>
                                    <a:gd name="connsiteY45" fmla="*/ 151769 h 541537"/>
                                    <a:gd name="connsiteX46" fmla="*/ 61494 w 443996"/>
                                    <a:gd name="connsiteY46" fmla="*/ 209230 h 541537"/>
                                    <a:gd name="connsiteX47" fmla="*/ 61494 w 443996"/>
                                    <a:gd name="connsiteY47" fmla="*/ 244400 h 541537"/>
                                    <a:gd name="connsiteX48" fmla="*/ 20510 w 443996"/>
                                    <a:gd name="connsiteY48" fmla="*/ 308230 h 541537"/>
                                    <a:gd name="connsiteX49" fmla="*/ 20510 w 443996"/>
                                    <a:gd name="connsiteY49" fmla="*/ 311415 h 541537"/>
                                    <a:gd name="connsiteX50" fmla="*/ 39479 w 443996"/>
                                    <a:gd name="connsiteY50" fmla="*/ 324153 h 541537"/>
                                    <a:gd name="connsiteX51" fmla="*/ 52079 w 443996"/>
                                    <a:gd name="connsiteY51" fmla="*/ 330523 h 541537"/>
                                    <a:gd name="connsiteX52" fmla="*/ 55263 w 443996"/>
                                    <a:gd name="connsiteY52" fmla="*/ 343261 h 541537"/>
                                    <a:gd name="connsiteX53" fmla="*/ 52079 w 443996"/>
                                    <a:gd name="connsiteY53" fmla="*/ 362369 h 541537"/>
                                    <a:gd name="connsiteX54" fmla="*/ 58448 w 443996"/>
                                    <a:gd name="connsiteY54" fmla="*/ 394353 h 541537"/>
                                    <a:gd name="connsiteX55" fmla="*/ 58448 w 443996"/>
                                    <a:gd name="connsiteY55" fmla="*/ 400723 h 541537"/>
                                    <a:gd name="connsiteX56" fmla="*/ 61633 w 443996"/>
                                    <a:gd name="connsiteY56" fmla="*/ 407092 h 541537"/>
                                    <a:gd name="connsiteX57" fmla="*/ 61633 w 443996"/>
                                    <a:gd name="connsiteY57" fmla="*/ 426200 h 541537"/>
                                    <a:gd name="connsiteX58" fmla="*/ 71048 w 443996"/>
                                    <a:gd name="connsiteY58" fmla="*/ 448492 h 541537"/>
                                    <a:gd name="connsiteX59" fmla="*/ 93063 w 443996"/>
                                    <a:gd name="connsiteY59" fmla="*/ 451676 h 541537"/>
                                    <a:gd name="connsiteX60" fmla="*/ 159248 w 443996"/>
                                    <a:gd name="connsiteY60" fmla="*/ 448492 h 541537"/>
                                    <a:gd name="connsiteX61" fmla="*/ 171847 w 443996"/>
                                    <a:gd name="connsiteY61" fmla="*/ 445307 h 541537"/>
                                    <a:gd name="connsiteX62" fmla="*/ 212832 w 443996"/>
                                    <a:gd name="connsiteY62" fmla="*/ 477292 h 541537"/>
                                    <a:gd name="connsiteX63" fmla="*/ 209647 w 443996"/>
                                    <a:gd name="connsiteY63" fmla="*/ 534753 h 541537"/>
                                    <a:gd name="connsiteX64" fmla="*/ 200094 w 443996"/>
                                    <a:gd name="connsiteY64" fmla="*/ 541538 h 541537"/>
                                    <a:gd name="connsiteX65" fmla="*/ 200094 w 443996"/>
                                    <a:gd name="connsiteY65" fmla="*/ 541538 h 541537"/>
                                    <a:gd name="connsiteX66" fmla="*/ 55125 w 443996"/>
                                    <a:gd name="connsiteY66" fmla="*/ 394630 h 541537"/>
                                    <a:gd name="connsiteX67" fmla="*/ 55125 w 443996"/>
                                    <a:gd name="connsiteY67" fmla="*/ 394630 h 541537"/>
                                    <a:gd name="connsiteX68" fmla="*/ 55125 w 443996"/>
                                    <a:gd name="connsiteY68" fmla="*/ 394630 h 541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43996" h="541537">
                                      <a:moveTo>
                                        <a:pt x="200094" y="541538"/>
                                      </a:moveTo>
                                      <a:cubicBezTo>
                                        <a:pt x="196909" y="541538"/>
                                        <a:pt x="196909" y="541538"/>
                                        <a:pt x="196909" y="541538"/>
                                      </a:cubicBezTo>
                                      <a:cubicBezTo>
                                        <a:pt x="190540" y="538353"/>
                                        <a:pt x="187494" y="535169"/>
                                        <a:pt x="190540" y="528800"/>
                                      </a:cubicBezTo>
                                      <a:cubicBezTo>
                                        <a:pt x="196909" y="509692"/>
                                        <a:pt x="199955" y="496815"/>
                                        <a:pt x="193724" y="484076"/>
                                      </a:cubicBezTo>
                                      <a:cubicBezTo>
                                        <a:pt x="190540" y="471338"/>
                                        <a:pt x="184309" y="468153"/>
                                        <a:pt x="171709" y="468153"/>
                                      </a:cubicBezTo>
                                      <a:cubicBezTo>
                                        <a:pt x="159109" y="468153"/>
                                        <a:pt x="159109" y="468153"/>
                                        <a:pt x="159109" y="468153"/>
                                      </a:cubicBezTo>
                                      <a:cubicBezTo>
                                        <a:pt x="140140" y="468153"/>
                                        <a:pt x="114940" y="468153"/>
                                        <a:pt x="96109" y="474523"/>
                                      </a:cubicBezTo>
                                      <a:cubicBezTo>
                                        <a:pt x="80325" y="474523"/>
                                        <a:pt x="67725" y="471338"/>
                                        <a:pt x="58310" y="464969"/>
                                      </a:cubicBezTo>
                                      <a:cubicBezTo>
                                        <a:pt x="48894" y="458600"/>
                                        <a:pt x="42525" y="445861"/>
                                        <a:pt x="42525" y="426615"/>
                                      </a:cubicBezTo>
                                      <a:cubicBezTo>
                                        <a:pt x="42525" y="420246"/>
                                        <a:pt x="42525" y="417061"/>
                                        <a:pt x="39340" y="410692"/>
                                      </a:cubicBezTo>
                                      <a:cubicBezTo>
                                        <a:pt x="39340" y="410692"/>
                                        <a:pt x="39340" y="407507"/>
                                        <a:pt x="39340" y="404323"/>
                                      </a:cubicBezTo>
                                      <a:lnTo>
                                        <a:pt x="39340" y="404323"/>
                                      </a:lnTo>
                                      <a:cubicBezTo>
                                        <a:pt x="36156" y="401138"/>
                                        <a:pt x="36156" y="394769"/>
                                        <a:pt x="36156" y="388400"/>
                                      </a:cubicBezTo>
                                      <a:cubicBezTo>
                                        <a:pt x="42525" y="382030"/>
                                        <a:pt x="39340" y="378846"/>
                                        <a:pt x="32971" y="375661"/>
                                      </a:cubicBezTo>
                                      <a:cubicBezTo>
                                        <a:pt x="29787" y="375661"/>
                                        <a:pt x="26602" y="372476"/>
                                        <a:pt x="26602" y="366107"/>
                                      </a:cubicBezTo>
                                      <a:cubicBezTo>
                                        <a:pt x="26602" y="359738"/>
                                        <a:pt x="26602" y="359738"/>
                                        <a:pt x="26602" y="359738"/>
                                      </a:cubicBezTo>
                                      <a:cubicBezTo>
                                        <a:pt x="29787" y="356553"/>
                                        <a:pt x="29787" y="356553"/>
                                        <a:pt x="29787" y="356553"/>
                                      </a:cubicBezTo>
                                      <a:cubicBezTo>
                                        <a:pt x="32971" y="356553"/>
                                        <a:pt x="32971" y="350184"/>
                                        <a:pt x="36156" y="347000"/>
                                      </a:cubicBezTo>
                                      <a:cubicBezTo>
                                        <a:pt x="32971" y="343815"/>
                                        <a:pt x="29787" y="343815"/>
                                        <a:pt x="26740" y="340630"/>
                                      </a:cubicBezTo>
                                      <a:cubicBezTo>
                                        <a:pt x="20371" y="337446"/>
                                        <a:pt x="10956" y="331076"/>
                                        <a:pt x="4725" y="324707"/>
                                      </a:cubicBezTo>
                                      <a:cubicBezTo>
                                        <a:pt x="-1506" y="318338"/>
                                        <a:pt x="-1644" y="305600"/>
                                        <a:pt x="4725" y="299092"/>
                                      </a:cubicBezTo>
                                      <a:cubicBezTo>
                                        <a:pt x="14140" y="276800"/>
                                        <a:pt x="29925" y="254369"/>
                                        <a:pt x="42525" y="235261"/>
                                      </a:cubicBezTo>
                                      <a:cubicBezTo>
                                        <a:pt x="48894" y="225707"/>
                                        <a:pt x="45710" y="222523"/>
                                        <a:pt x="45710" y="222523"/>
                                      </a:cubicBezTo>
                                      <a:cubicBezTo>
                                        <a:pt x="26740" y="196907"/>
                                        <a:pt x="29925" y="171430"/>
                                        <a:pt x="36294" y="149000"/>
                                      </a:cubicBezTo>
                                      <a:cubicBezTo>
                                        <a:pt x="48894" y="97907"/>
                                        <a:pt x="70909" y="59553"/>
                                        <a:pt x="102479" y="37261"/>
                                      </a:cubicBezTo>
                                      <a:cubicBezTo>
                                        <a:pt x="124494" y="21338"/>
                                        <a:pt x="149694" y="11646"/>
                                        <a:pt x="174894" y="5276"/>
                                      </a:cubicBezTo>
                                      <a:cubicBezTo>
                                        <a:pt x="203278" y="-1093"/>
                                        <a:pt x="234709" y="-1093"/>
                                        <a:pt x="269462" y="2092"/>
                                      </a:cubicBezTo>
                                      <a:cubicBezTo>
                                        <a:pt x="329278" y="8461"/>
                                        <a:pt x="373447" y="37261"/>
                                        <a:pt x="404877" y="91538"/>
                                      </a:cubicBezTo>
                                      <a:cubicBezTo>
                                        <a:pt x="436308" y="145815"/>
                                        <a:pt x="433262" y="196907"/>
                                        <a:pt x="426893" y="244815"/>
                                      </a:cubicBezTo>
                                      <a:cubicBezTo>
                                        <a:pt x="420523" y="283169"/>
                                        <a:pt x="407923" y="318338"/>
                                        <a:pt x="392277" y="350184"/>
                                      </a:cubicBezTo>
                                      <a:cubicBezTo>
                                        <a:pt x="389093" y="356553"/>
                                        <a:pt x="385908" y="362923"/>
                                        <a:pt x="382862" y="369292"/>
                                      </a:cubicBezTo>
                                      <a:cubicBezTo>
                                        <a:pt x="376493" y="378846"/>
                                        <a:pt x="370262" y="388400"/>
                                        <a:pt x="370262" y="401276"/>
                                      </a:cubicBezTo>
                                      <a:cubicBezTo>
                                        <a:pt x="370262" y="423569"/>
                                        <a:pt x="401831" y="458738"/>
                                        <a:pt x="420662" y="481169"/>
                                      </a:cubicBezTo>
                                      <a:cubicBezTo>
                                        <a:pt x="430077" y="490723"/>
                                        <a:pt x="436446" y="500276"/>
                                        <a:pt x="442677" y="509969"/>
                                      </a:cubicBezTo>
                                      <a:cubicBezTo>
                                        <a:pt x="445862" y="513153"/>
                                        <a:pt x="442677" y="519523"/>
                                        <a:pt x="439492" y="522707"/>
                                      </a:cubicBezTo>
                                      <a:cubicBezTo>
                                        <a:pt x="433123" y="525892"/>
                                        <a:pt x="426893" y="522707"/>
                                        <a:pt x="423708" y="519523"/>
                                      </a:cubicBezTo>
                                      <a:cubicBezTo>
                                        <a:pt x="420523" y="513153"/>
                                        <a:pt x="414293" y="503600"/>
                                        <a:pt x="404739" y="493907"/>
                                      </a:cubicBezTo>
                                      <a:cubicBezTo>
                                        <a:pt x="379539" y="468292"/>
                                        <a:pt x="351154" y="433261"/>
                                        <a:pt x="351154" y="401276"/>
                                      </a:cubicBezTo>
                                      <a:cubicBezTo>
                                        <a:pt x="351154" y="385353"/>
                                        <a:pt x="357524" y="369292"/>
                                        <a:pt x="366939" y="359738"/>
                                      </a:cubicBezTo>
                                      <a:cubicBezTo>
                                        <a:pt x="370124" y="353369"/>
                                        <a:pt x="373308" y="347000"/>
                                        <a:pt x="373308" y="340630"/>
                                      </a:cubicBezTo>
                                      <a:cubicBezTo>
                                        <a:pt x="385908" y="311830"/>
                                        <a:pt x="401693" y="276800"/>
                                        <a:pt x="404877" y="241630"/>
                                      </a:cubicBezTo>
                                      <a:cubicBezTo>
                                        <a:pt x="414293" y="187353"/>
                                        <a:pt x="414293" y="145815"/>
                                        <a:pt x="385908" y="101092"/>
                                      </a:cubicBezTo>
                                      <a:cubicBezTo>
                                        <a:pt x="357524" y="52769"/>
                                        <a:pt x="319724" y="27292"/>
                                        <a:pt x="269324" y="20923"/>
                                      </a:cubicBezTo>
                                      <a:cubicBezTo>
                                        <a:pt x="234709" y="17738"/>
                                        <a:pt x="206324" y="20923"/>
                                        <a:pt x="177940" y="27292"/>
                                      </a:cubicBezTo>
                                      <a:cubicBezTo>
                                        <a:pt x="155924" y="30476"/>
                                        <a:pt x="133909" y="40030"/>
                                        <a:pt x="114940" y="52769"/>
                                      </a:cubicBezTo>
                                      <a:cubicBezTo>
                                        <a:pt x="86556" y="75061"/>
                                        <a:pt x="64540" y="107046"/>
                                        <a:pt x="55125" y="151769"/>
                                      </a:cubicBezTo>
                                      <a:cubicBezTo>
                                        <a:pt x="48756" y="177384"/>
                                        <a:pt x="48756" y="193307"/>
                                        <a:pt x="61494" y="209230"/>
                                      </a:cubicBezTo>
                                      <a:cubicBezTo>
                                        <a:pt x="64679" y="215600"/>
                                        <a:pt x="70909" y="228338"/>
                                        <a:pt x="61494" y="244400"/>
                                      </a:cubicBezTo>
                                      <a:cubicBezTo>
                                        <a:pt x="45710" y="266692"/>
                                        <a:pt x="33110" y="285938"/>
                                        <a:pt x="20510" y="308230"/>
                                      </a:cubicBezTo>
                                      <a:cubicBezTo>
                                        <a:pt x="20510" y="308230"/>
                                        <a:pt x="20510" y="308230"/>
                                        <a:pt x="20510" y="311415"/>
                                      </a:cubicBezTo>
                                      <a:cubicBezTo>
                                        <a:pt x="26879" y="314600"/>
                                        <a:pt x="33110" y="320969"/>
                                        <a:pt x="39479" y="324153"/>
                                      </a:cubicBezTo>
                                      <a:cubicBezTo>
                                        <a:pt x="42663" y="327338"/>
                                        <a:pt x="45848" y="330523"/>
                                        <a:pt x="52079" y="330523"/>
                                      </a:cubicBezTo>
                                      <a:cubicBezTo>
                                        <a:pt x="55263" y="333707"/>
                                        <a:pt x="55263" y="336892"/>
                                        <a:pt x="55263" y="343261"/>
                                      </a:cubicBezTo>
                                      <a:cubicBezTo>
                                        <a:pt x="58448" y="349630"/>
                                        <a:pt x="55263" y="356000"/>
                                        <a:pt x="52079" y="362369"/>
                                      </a:cubicBezTo>
                                      <a:cubicBezTo>
                                        <a:pt x="61494" y="371923"/>
                                        <a:pt x="61494" y="381476"/>
                                        <a:pt x="58448" y="394353"/>
                                      </a:cubicBezTo>
                                      <a:cubicBezTo>
                                        <a:pt x="58448" y="397538"/>
                                        <a:pt x="58448" y="397538"/>
                                        <a:pt x="58448" y="400723"/>
                                      </a:cubicBezTo>
                                      <a:cubicBezTo>
                                        <a:pt x="58448" y="400723"/>
                                        <a:pt x="58448" y="403907"/>
                                        <a:pt x="61633" y="407092"/>
                                      </a:cubicBezTo>
                                      <a:cubicBezTo>
                                        <a:pt x="61633" y="413461"/>
                                        <a:pt x="64817" y="419830"/>
                                        <a:pt x="61633" y="426200"/>
                                      </a:cubicBezTo>
                                      <a:cubicBezTo>
                                        <a:pt x="61633" y="432569"/>
                                        <a:pt x="64817" y="442123"/>
                                        <a:pt x="71048" y="448492"/>
                                      </a:cubicBezTo>
                                      <a:cubicBezTo>
                                        <a:pt x="74233" y="451676"/>
                                        <a:pt x="83648" y="454861"/>
                                        <a:pt x="93063" y="451676"/>
                                      </a:cubicBezTo>
                                      <a:cubicBezTo>
                                        <a:pt x="115078" y="448492"/>
                                        <a:pt x="137232" y="448492"/>
                                        <a:pt x="159248" y="448492"/>
                                      </a:cubicBezTo>
                                      <a:cubicBezTo>
                                        <a:pt x="171847" y="445307"/>
                                        <a:pt x="171847" y="445307"/>
                                        <a:pt x="171847" y="445307"/>
                                      </a:cubicBezTo>
                                      <a:cubicBezTo>
                                        <a:pt x="193863" y="445307"/>
                                        <a:pt x="206463" y="454861"/>
                                        <a:pt x="212832" y="477292"/>
                                      </a:cubicBezTo>
                                      <a:cubicBezTo>
                                        <a:pt x="222247" y="496400"/>
                                        <a:pt x="216017" y="518830"/>
                                        <a:pt x="209647" y="534753"/>
                                      </a:cubicBezTo>
                                      <a:cubicBezTo>
                                        <a:pt x="206324" y="541538"/>
                                        <a:pt x="203140" y="541538"/>
                                        <a:pt x="200094" y="541538"/>
                                      </a:cubicBezTo>
                                      <a:lnTo>
                                        <a:pt x="200094" y="541538"/>
                                      </a:lnTo>
                                      <a:close/>
                                      <a:moveTo>
                                        <a:pt x="55125" y="394630"/>
                                      </a:moveTo>
                                      <a:lnTo>
                                        <a:pt x="55125" y="394630"/>
                                      </a:lnTo>
                                      <a:lnTo>
                                        <a:pt x="55125" y="394630"/>
                                      </a:lnTo>
                                      <a:close/>
                                    </a:path>
                                  </a:pathLst>
                                </a:custGeom>
                                <a:grpFill/>
                                <a:ln w="13692" cap="flat">
                                  <a:noFill/>
                                  <a:prstDash val="solid"/>
                                  <a:miter/>
                                </a:ln>
                              </wps:spPr>
                              <wps:bodyPr rtlCol="0" anchor="ctr"/>
                            </wps:wsp>
                          </wpg:wgp>
                        </a:graphicData>
                      </a:graphic>
                    </wp:inline>
                  </w:drawing>
                </mc:Choice>
                <mc:Fallback>
                  <w:pict>
                    <v:group w14:anchorId="3B3B05FA" id="Group 210" o:spid="_x0000_s1026" alt="&quot;&quot;" style="width:37.7pt;height:31.75pt;mso-position-horizontal-relative:char;mso-position-vertical-relative:line" coordsize="518671,437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">
                      <v:shape id="Freeform: Shape 1038753008" o:spid="_x0000_s1027" style="position:absolute;width:353174;height:430762;visibility:visible;mso-wrap-style:square;v-text-anchor:middle" coordsize="443996,54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" path="m200094,541538v-3185,,-3185,,-3185,c190540,538353,187494,535169,190540,528800v6369,-19108,9415,-31985,3184,-44724c190540,471338,184309,468153,171709,468153v-12600,,-12600,,-12600,c140140,468153,114940,468153,96109,474523v-15784,,-28384,-3185,-37799,-9554c48894,458600,42525,445861,42525,426615v,-6369,,-9554,-3185,-15923c39340,410692,39340,407507,39340,404323r,c36156,401138,36156,394769,36156,388400v6369,-6370,3184,-9554,-3185,-12739c29787,375661,26602,372476,26602,366107v,-6369,,-6369,,-6369c29787,356553,29787,356553,29787,356553v3184,,3184,-6369,6369,-9553c32971,343815,29787,343815,26740,340630,20371,337446,10956,331076,4725,324707v-6231,-6369,-6369,-19107,,-25615c14140,276800,29925,254369,42525,235261v6369,-9554,3185,-12738,3185,-12738c26740,196907,29925,171430,36294,149000,48894,97907,70909,59553,102479,37261,124494,21338,149694,11646,174894,5276v28384,-6369,59815,-6369,94568,-3184c329278,8461,373447,37261,404877,91538v31431,54277,28385,105369,22016,153277c420523,283169,407923,318338,392277,350184v-3184,6369,-6369,12739,-9415,19108c376493,378846,370262,388400,370262,401276v,22293,31569,57462,50400,79893c430077,490723,436446,500276,442677,509969v3185,3184,,9554,-3185,12738c433123,525892,426893,522707,423708,519523v-3185,-6370,-9415,-15923,-18969,-25616c379539,468292,351154,433261,351154,401276v,-15923,6370,-31984,15785,-41538c370124,353369,373308,347000,373308,340630v12600,-28800,28385,-63830,31569,-99000c414293,187353,414293,145815,385908,101092,357524,52769,319724,27292,269324,20923v-34615,-3185,-63000,,-91384,6369c155924,30476,133909,40030,114940,52769,86556,75061,64540,107046,55125,151769v-6369,25615,-6369,41538,6369,57461c64679,215600,70909,228338,61494,244400,45710,266692,33110,285938,20510,308230v,,,,,3185c26879,314600,33110,320969,39479,324153v3184,3185,6369,6370,12600,6370c55263,333707,55263,336892,55263,343261v3185,6369,,12739,-3184,19108c61494,371923,61494,381476,58448,394353v,3185,,3185,,6370c58448,400723,58448,403907,61633,407092v,6369,3184,12738,,19108c61633,432569,64817,442123,71048,448492v3185,3184,12600,6369,22015,3184c115078,448492,137232,448492,159248,448492v12599,-3185,12599,-3185,12599,-3185c193863,445307,206463,454861,212832,477292v9415,19108,3185,41538,-3185,57461c206324,541538,203140,541538,200094,541538r,xm55125,394630r,l55125,394630xe" filled="f" stroked="f" strokeweight=".38033mm">
                        <v:stroke joinstyle="miter"/>
                        <v:path arrowok="t" o:connecttype="custom" o:connectlocs="159164,430763;156630,430763;151564,420630;154097,385055;136585,372389;126562,372389;76449,377456;46382,369856;33826,339348;31293,326682;31293,321616;31293,321616;28760,308950;26227,298817;21160,291217;21160,286151;23694,283618;28760,276019;21270,270952;3758,258286;3758,237911;33826,187137;36360,177004;28870,118521;81516,29639;139118,4197;214342,1664;322057,72813;339570,194736;312034,278552;304545,293751;294523,319192;334613,382743;352125,405651;349591,415784;337036,413251;321947,392875;279323,319192;291879,286151;296946,270952;322057,192203;306968,80413;214232,16643;141541,21709;91428,41975;43849,120724;48915,166431;48915,194406;16315,245180;16315,247713;31403,257845;41426,262912;43959,273045;41426,288244;46492,313685;46492,318752;49026,323819;49026,339018;56515,356750;74026,359283;126673,356750;136695,354216;169296,379659;166762,425366;159164,430763;159164,430763;43849,313906;43849,313906;43849,313906" o:connectangles="0,0,0,0,0,0,0,0,0,0,0,0,0,0,0,0,0,0,0,0,0,0,0,0,0,0,0,0,0,0,0,0,0,0,0,0,0,0,0,0,0,0,0,0,0,0,0,0,0,0,0,0,0,0,0,0,0,0,0,0,0,0,0,0,0,0,0,0,0"/>
                      </v:shape>
                      <v:shape id="Freeform: Shape 1038753009" o:spid="_x0000_s1028" style="position:absolute;left:165497;top:6325;width:353174;height:430762;flip:x;visibility:visible;mso-wrap-style:square;v-text-anchor:middle" coordsize="443996,54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" path="m200094,541538v-3185,,-3185,,-3185,c190540,538353,187494,535169,190540,528800v6369,-19108,9415,-31985,3184,-44724c190540,471338,184309,468153,171709,468153v-12600,,-12600,,-12600,c140140,468153,114940,468153,96109,474523v-15784,,-28384,-3185,-37799,-9554c48894,458600,42525,445861,42525,426615v,-6369,,-9554,-3185,-15923c39340,410692,39340,407507,39340,404323r,c36156,401138,36156,394769,36156,388400v6369,-6370,3184,-9554,-3185,-12739c29787,375661,26602,372476,26602,366107v,-6369,,-6369,,-6369c29787,356553,29787,356553,29787,356553v3184,,3184,-6369,6369,-9553c32971,343815,29787,343815,26740,340630,20371,337446,10956,331076,4725,324707v-6231,-6369,-6369,-19107,,-25615c14140,276800,29925,254369,42525,235261v6369,-9554,3185,-12738,3185,-12738c26740,196907,29925,171430,36294,149000,48894,97907,70909,59553,102479,37261,124494,21338,149694,11646,174894,5276v28384,-6369,59815,-6369,94568,-3184c329278,8461,373447,37261,404877,91538v31431,54277,28385,105369,22016,153277c420523,283169,407923,318338,392277,350184v-3184,6369,-6369,12739,-9415,19108c376493,378846,370262,388400,370262,401276v,22293,31569,57462,50400,79893c430077,490723,436446,500276,442677,509969v3185,3184,,9554,-3185,12738c433123,525892,426893,522707,423708,519523v-3185,-6370,-9415,-15923,-18969,-25616c379539,468292,351154,433261,351154,401276v,-15923,6370,-31984,15785,-41538c370124,353369,373308,347000,373308,340630v12600,-28800,28385,-63830,31569,-99000c414293,187353,414293,145815,385908,101092,357524,52769,319724,27292,269324,20923v-34615,-3185,-63000,,-91384,6369c155924,30476,133909,40030,114940,52769,86556,75061,64540,107046,55125,151769v-6369,25615,-6369,41538,6369,57461c64679,215600,70909,228338,61494,244400,45710,266692,33110,285938,20510,308230v,,,,,3185c26879,314600,33110,320969,39479,324153v3184,3185,6369,6370,12600,6370c55263,333707,55263,336892,55263,343261v3185,6369,,12739,-3184,19108c61494,371923,61494,381476,58448,394353v,3185,,3185,,6370c58448,400723,58448,403907,61633,407092v,6369,3184,12738,,19108c61633,432569,64817,442123,71048,448492v3185,3184,12600,6369,22015,3184c115078,448492,137232,448492,159248,448492v12599,-3185,12599,-3185,12599,-3185c193863,445307,206463,454861,212832,477292v9415,19108,3185,41538,-3185,57461c206324,541538,203140,541538,200094,541538r,xm55125,394630r,l55125,394630xe" filled="f" stroked="f" strokeweight=".38033mm">
                        <v:stroke joinstyle="miter"/>
                        <v:path arrowok="t" o:connecttype="custom" o:connectlocs="159164,430763;156630,430763;151564,420630;154097,385055;136585,372389;126562,372389;76449,377456;46382,369856;33826,339348;31293,326682;31293,321616;31293,321616;28760,308950;26227,298817;21160,291217;21160,286151;23694,283618;28760,276019;21270,270952;3758,258286;3758,237911;33826,187137;36360,177004;28870,118521;81516,29639;139118,4197;214342,1664;322057,72813;339570,194736;312034,278552;304545,293751;294523,319192;334613,382743;352125,405651;349591,415784;337036,413251;321947,392875;279323,319192;291879,286151;296946,270952;322057,192203;306968,80413;214232,16643;141541,21709;91428,41975;43849,120724;48915,166431;48915,194406;16315,245180;16315,247713;31403,257845;41426,262912;43959,273045;41426,288244;46492,313685;46492,318752;49026,323819;49026,339018;56515,356750;74026,359283;126673,356750;136695,354216;169296,379659;166762,425366;159164,430763;159164,430763;43849,313906;43849,313906;43849,313906" o:connectangles="0,0,0,0,0,0,0,0,0,0,0,0,0,0,0,0,0,0,0,0,0,0,0,0,0,0,0,0,0,0,0,0,0,0,0,0,0,0,0,0,0,0,0,0,0,0,0,0,0,0,0,0,0,0,0,0,0,0,0,0,0,0,0,0,0,0,0,0,0"/>
                      </v:shape>
                      <w10:anchorlock/>
                    </v:group>
                  </w:pict>
                </mc:Fallback>
              </mc:AlternateContent>
            </w:r>
          </w:p>
          <w:p w14:paraId="7BE81E27" w14:textId="77777777" w:rsidR="007678DD" w:rsidRPr="005825BD" w:rsidRDefault="007678DD" w:rsidP="009222D9">
            <w:pPr>
              <w:pStyle w:val="TableNText"/>
              <w:spacing w:before="0" w:after="0" w:line="240" w:lineRule="auto"/>
              <w:jc w:val="center"/>
              <w:rPr>
                <w:color w:val="FFFFFF" w:themeColor="background1"/>
                <w:sz w:val="16"/>
                <w:szCs w:val="16"/>
              </w:rPr>
            </w:pPr>
            <w:r w:rsidRPr="005825BD">
              <w:rPr>
                <w:color w:val="FFFFFF" w:themeColor="background1"/>
                <w:sz w:val="16"/>
                <w:szCs w:val="16"/>
              </w:rPr>
              <w:t>People who experience personality disorders and/or chronic suicidality</w:t>
            </w:r>
          </w:p>
        </w:tc>
        <w:tc>
          <w:tcPr>
            <w:tcW w:w="4054" w:type="pct"/>
          </w:tcPr>
          <w:p w14:paraId="6379F2A2" w14:textId="6D3D75E7" w:rsidR="007678DD" w:rsidRPr="005825BD" w:rsidRDefault="007678DD" w:rsidP="009222D9">
            <w:pPr>
              <w:pStyle w:val="TableNBullet"/>
              <w:cnfStyle w:val="000000000000" w:firstRow="0" w:lastRow="0" w:firstColumn="0" w:lastColumn="0" w:oddVBand="0" w:evenVBand="0" w:oddHBand="0" w:evenHBand="0" w:firstRowFirstColumn="0" w:firstRowLastColumn="0" w:lastRowFirstColumn="0" w:lastRowLastColumn="0"/>
              <w:rPr>
                <w:szCs w:val="16"/>
              </w:rPr>
            </w:pPr>
            <w:r>
              <w:t>People with personality disorders are at risk of suicidality. People with personality disorders are estimated to represent 7 per cent of the population,</w:t>
            </w:r>
            <w:r>
              <w:rPr>
                <w:rStyle w:val="Heading4Char"/>
              </w:rPr>
              <w:t xml:space="preserve"> </w:t>
            </w:r>
            <w:r>
              <w:rPr>
                <w:rStyle w:val="FootnoteReference"/>
              </w:rPr>
              <w:footnoteReference w:id="62"/>
            </w:r>
            <w:r>
              <w:t xml:space="preserve"> though represent 9 per cent of participants accessing The Way Back.</w:t>
            </w:r>
            <w:r w:rsidRPr="005825BD">
              <w:rPr>
                <w:szCs w:val="16"/>
              </w:rPr>
              <w:t xml:space="preserve"> </w:t>
            </w:r>
            <w:r>
              <w:rPr>
                <w:szCs w:val="16"/>
              </w:rPr>
              <w:t xml:space="preserve"> Interviews with participants experiencing a personality disorder highlighted that therapeutic treatment alongside psycho-social support through The Way Back is needed as part of their </w:t>
            </w:r>
            <w:r w:rsidDel="00103215">
              <w:rPr>
                <w:szCs w:val="16"/>
              </w:rPr>
              <w:t>recovery</w:t>
            </w:r>
            <w:r w:rsidRPr="004F5235">
              <w:rPr>
                <w:szCs w:val="16"/>
              </w:rPr>
              <w:t xml:space="preserve"> (see </w:t>
            </w:r>
            <w:r w:rsidR="00E431FB">
              <w:rPr>
                <w:szCs w:val="16"/>
              </w:rPr>
              <w:t xml:space="preserve">section </w:t>
            </w:r>
            <w:r w:rsidR="00183151">
              <w:rPr>
                <w:szCs w:val="16"/>
              </w:rPr>
              <w:fldChar w:fldCharType="begin"/>
            </w:r>
            <w:r w:rsidR="00183151">
              <w:rPr>
                <w:szCs w:val="16"/>
              </w:rPr>
              <w:instrText xml:space="preserve"> REF _Ref118290603 \n \h </w:instrText>
            </w:r>
            <w:r w:rsidR="007929C4">
              <w:rPr>
                <w:szCs w:val="16"/>
              </w:rPr>
              <w:instrText xml:space="preserve"> \* MERGEFORMAT </w:instrText>
            </w:r>
            <w:r w:rsidR="00183151">
              <w:rPr>
                <w:szCs w:val="16"/>
              </w:rPr>
            </w:r>
            <w:r w:rsidR="00183151">
              <w:rPr>
                <w:szCs w:val="16"/>
              </w:rPr>
              <w:fldChar w:fldCharType="separate"/>
            </w:r>
            <w:r w:rsidR="00402362">
              <w:rPr>
                <w:szCs w:val="16"/>
              </w:rPr>
              <w:t>8.1</w:t>
            </w:r>
            <w:r w:rsidR="00183151">
              <w:rPr>
                <w:szCs w:val="16"/>
              </w:rPr>
              <w:fldChar w:fldCharType="end"/>
            </w:r>
            <w:r w:rsidRPr="00A636C4">
              <w:rPr>
                <w:szCs w:val="16"/>
              </w:rPr>
              <w:t>)</w:t>
            </w:r>
            <w:r>
              <w:rPr>
                <w:szCs w:val="16"/>
              </w:rPr>
              <w:t>.</w:t>
            </w:r>
          </w:p>
        </w:tc>
      </w:tr>
      <w:tr w:rsidR="00293CE9" w:rsidRPr="005825BD" w14:paraId="20232A89" w14:textId="77777777" w:rsidTr="00A452B6">
        <w:trPr>
          <w:trHeight w:val="1620"/>
        </w:trPr>
        <w:tc>
          <w:tcPr>
            <w:cnfStyle w:val="001000000000" w:firstRow="0" w:lastRow="0" w:firstColumn="1" w:lastColumn="0" w:oddVBand="0" w:evenVBand="0" w:oddHBand="0" w:evenHBand="0" w:firstRowFirstColumn="0" w:firstRowLastColumn="0" w:lastRowFirstColumn="0" w:lastRowLastColumn="0"/>
            <w:tcW w:w="946" w:type="pct"/>
          </w:tcPr>
          <w:p w14:paraId="237537FA" w14:textId="77777777" w:rsidR="007678DD" w:rsidRPr="005825BD" w:rsidRDefault="007678DD" w:rsidP="009222D9">
            <w:pPr>
              <w:pStyle w:val="TableNText"/>
              <w:spacing w:before="0" w:after="0" w:line="240" w:lineRule="auto"/>
              <w:jc w:val="center"/>
              <w:rPr>
                <w:noProof/>
                <w:sz w:val="16"/>
                <w:szCs w:val="16"/>
              </w:rPr>
            </w:pPr>
            <w:r w:rsidRPr="005825BD">
              <w:rPr>
                <w:noProof/>
                <w:sz w:val="16"/>
                <w:szCs w:val="16"/>
              </w:rPr>
              <mc:AlternateContent>
                <mc:Choice Requires="wpg">
                  <w:drawing>
                    <wp:inline distT="0" distB="0" distL="0" distR="0" wp14:anchorId="1DDA6570" wp14:editId="4C50A827">
                      <wp:extent cx="368300" cy="461010"/>
                      <wp:effectExtent l="0" t="0" r="0" b="0"/>
                      <wp:docPr id="1038753020"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300" cy="461010"/>
                                <a:chOff x="0" y="0"/>
                                <a:chExt cx="505500" cy="632998"/>
                              </a:xfrm>
                            </wpg:grpSpPr>
                            <wps:wsp>
                              <wps:cNvPr id="27778" name="Freeform 10"/>
                              <wps:cNvSpPr>
                                <a:spLocks noChangeAspect="1" noEditPoints="1"/>
                              </wps:cNvSpPr>
                              <wps:spPr bwMode="auto">
                                <a:xfrm>
                                  <a:off x="52031" y="54592"/>
                                  <a:ext cx="401717" cy="578406"/>
                                </a:xfrm>
                                <a:custGeom>
                                  <a:avLst/>
                                  <a:gdLst>
                                    <a:gd name="T0" fmla="*/ 119 w 119"/>
                                    <a:gd name="T1" fmla="*/ 60 h 170"/>
                                    <a:gd name="T2" fmla="*/ 103 w 119"/>
                                    <a:gd name="T3" fmla="*/ 18 h 170"/>
                                    <a:gd name="T4" fmla="*/ 99 w 119"/>
                                    <a:gd name="T5" fmla="*/ 14 h 170"/>
                                    <a:gd name="T6" fmla="*/ 59 w 119"/>
                                    <a:gd name="T7" fmla="*/ 0 h 170"/>
                                    <a:gd name="T8" fmla="*/ 0 w 119"/>
                                    <a:gd name="T9" fmla="*/ 60 h 170"/>
                                    <a:gd name="T10" fmla="*/ 56 w 119"/>
                                    <a:gd name="T11" fmla="*/ 120 h 170"/>
                                    <a:gd name="T12" fmla="*/ 56 w 119"/>
                                    <a:gd name="T13" fmla="*/ 145 h 170"/>
                                    <a:gd name="T14" fmla="*/ 42 w 119"/>
                                    <a:gd name="T15" fmla="*/ 145 h 170"/>
                                    <a:gd name="T16" fmla="*/ 39 w 119"/>
                                    <a:gd name="T17" fmla="*/ 148 h 170"/>
                                    <a:gd name="T18" fmla="*/ 42 w 119"/>
                                    <a:gd name="T19" fmla="*/ 151 h 170"/>
                                    <a:gd name="T20" fmla="*/ 56 w 119"/>
                                    <a:gd name="T21" fmla="*/ 151 h 170"/>
                                    <a:gd name="T22" fmla="*/ 56 w 119"/>
                                    <a:gd name="T23" fmla="*/ 166 h 170"/>
                                    <a:gd name="T24" fmla="*/ 59 w 119"/>
                                    <a:gd name="T25" fmla="*/ 170 h 170"/>
                                    <a:gd name="T26" fmla="*/ 63 w 119"/>
                                    <a:gd name="T27" fmla="*/ 166 h 170"/>
                                    <a:gd name="T28" fmla="*/ 63 w 119"/>
                                    <a:gd name="T29" fmla="*/ 151 h 170"/>
                                    <a:gd name="T30" fmla="*/ 77 w 119"/>
                                    <a:gd name="T31" fmla="*/ 151 h 170"/>
                                    <a:gd name="T32" fmla="*/ 80 w 119"/>
                                    <a:gd name="T33" fmla="*/ 148 h 170"/>
                                    <a:gd name="T34" fmla="*/ 77 w 119"/>
                                    <a:gd name="T35" fmla="*/ 145 h 170"/>
                                    <a:gd name="T36" fmla="*/ 63 w 119"/>
                                    <a:gd name="T37" fmla="*/ 145 h 170"/>
                                    <a:gd name="T38" fmla="*/ 63 w 119"/>
                                    <a:gd name="T39" fmla="*/ 120 h 170"/>
                                    <a:gd name="T40" fmla="*/ 119 w 119"/>
                                    <a:gd name="T41" fmla="*/ 60 h 170"/>
                                    <a:gd name="T42" fmla="*/ 59 w 119"/>
                                    <a:gd name="T43" fmla="*/ 113 h 170"/>
                                    <a:gd name="T44" fmla="*/ 6 w 119"/>
                                    <a:gd name="T45" fmla="*/ 60 h 170"/>
                                    <a:gd name="T46" fmla="*/ 59 w 119"/>
                                    <a:gd name="T47" fmla="*/ 6 h 170"/>
                                    <a:gd name="T48" fmla="*/ 113 w 119"/>
                                    <a:gd name="T49" fmla="*/ 60 h 170"/>
                                    <a:gd name="T50" fmla="*/ 59 w 119"/>
                                    <a:gd name="T51" fmla="*/ 113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19" h="170">
                                      <a:moveTo>
                                        <a:pt x="119" y="60"/>
                                      </a:moveTo>
                                      <a:cubicBezTo>
                                        <a:pt x="119" y="43"/>
                                        <a:pt x="113" y="29"/>
                                        <a:pt x="103" y="18"/>
                                      </a:cubicBezTo>
                                      <a:cubicBezTo>
                                        <a:pt x="99" y="14"/>
                                        <a:pt x="99" y="14"/>
                                        <a:pt x="99" y="14"/>
                                      </a:cubicBezTo>
                                      <a:cubicBezTo>
                                        <a:pt x="88" y="5"/>
                                        <a:pt x="75" y="0"/>
                                        <a:pt x="59" y="0"/>
                                      </a:cubicBezTo>
                                      <a:cubicBezTo>
                                        <a:pt x="27" y="0"/>
                                        <a:pt x="0" y="26"/>
                                        <a:pt x="0" y="60"/>
                                      </a:cubicBezTo>
                                      <a:cubicBezTo>
                                        <a:pt x="0" y="91"/>
                                        <a:pt x="25" y="117"/>
                                        <a:pt x="56" y="120"/>
                                      </a:cubicBezTo>
                                      <a:cubicBezTo>
                                        <a:pt x="56" y="145"/>
                                        <a:pt x="56" y="145"/>
                                        <a:pt x="56" y="145"/>
                                      </a:cubicBezTo>
                                      <a:cubicBezTo>
                                        <a:pt x="42" y="145"/>
                                        <a:pt x="42" y="145"/>
                                        <a:pt x="42" y="145"/>
                                      </a:cubicBezTo>
                                      <a:cubicBezTo>
                                        <a:pt x="41" y="145"/>
                                        <a:pt x="39" y="146"/>
                                        <a:pt x="39" y="148"/>
                                      </a:cubicBezTo>
                                      <a:cubicBezTo>
                                        <a:pt x="39" y="150"/>
                                        <a:pt x="41" y="151"/>
                                        <a:pt x="42" y="151"/>
                                      </a:cubicBezTo>
                                      <a:cubicBezTo>
                                        <a:pt x="56" y="151"/>
                                        <a:pt x="56" y="151"/>
                                        <a:pt x="56" y="151"/>
                                      </a:cubicBezTo>
                                      <a:cubicBezTo>
                                        <a:pt x="56" y="166"/>
                                        <a:pt x="56" y="166"/>
                                        <a:pt x="56" y="166"/>
                                      </a:cubicBezTo>
                                      <a:cubicBezTo>
                                        <a:pt x="56" y="169"/>
                                        <a:pt x="57" y="170"/>
                                        <a:pt x="59" y="170"/>
                                      </a:cubicBezTo>
                                      <a:cubicBezTo>
                                        <a:pt x="62" y="170"/>
                                        <a:pt x="63" y="169"/>
                                        <a:pt x="63" y="166"/>
                                      </a:cubicBezTo>
                                      <a:cubicBezTo>
                                        <a:pt x="63" y="151"/>
                                        <a:pt x="63" y="151"/>
                                        <a:pt x="63" y="151"/>
                                      </a:cubicBezTo>
                                      <a:cubicBezTo>
                                        <a:pt x="77" y="151"/>
                                        <a:pt x="77" y="151"/>
                                        <a:pt x="77" y="151"/>
                                      </a:cubicBezTo>
                                      <a:cubicBezTo>
                                        <a:pt x="78" y="151"/>
                                        <a:pt x="80" y="150"/>
                                        <a:pt x="80" y="148"/>
                                      </a:cubicBezTo>
                                      <a:cubicBezTo>
                                        <a:pt x="80" y="146"/>
                                        <a:pt x="78" y="145"/>
                                        <a:pt x="77" y="145"/>
                                      </a:cubicBezTo>
                                      <a:cubicBezTo>
                                        <a:pt x="63" y="145"/>
                                        <a:pt x="63" y="145"/>
                                        <a:pt x="63" y="145"/>
                                      </a:cubicBezTo>
                                      <a:cubicBezTo>
                                        <a:pt x="63" y="120"/>
                                        <a:pt x="63" y="120"/>
                                        <a:pt x="63" y="120"/>
                                      </a:cubicBezTo>
                                      <a:cubicBezTo>
                                        <a:pt x="94" y="117"/>
                                        <a:pt x="119" y="91"/>
                                        <a:pt x="119" y="60"/>
                                      </a:cubicBezTo>
                                      <a:close/>
                                      <a:moveTo>
                                        <a:pt x="59" y="113"/>
                                      </a:moveTo>
                                      <a:cubicBezTo>
                                        <a:pt x="30" y="113"/>
                                        <a:pt x="6" y="89"/>
                                        <a:pt x="6" y="60"/>
                                      </a:cubicBezTo>
                                      <a:cubicBezTo>
                                        <a:pt x="6" y="30"/>
                                        <a:pt x="30" y="6"/>
                                        <a:pt x="59" y="6"/>
                                      </a:cubicBezTo>
                                      <a:cubicBezTo>
                                        <a:pt x="89" y="6"/>
                                        <a:pt x="113" y="30"/>
                                        <a:pt x="113" y="60"/>
                                      </a:cubicBezTo>
                                      <a:cubicBezTo>
                                        <a:pt x="113" y="89"/>
                                        <a:pt x="89" y="113"/>
                                        <a:pt x="59" y="113"/>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wps:wsp>
                              <wps:cNvPr id="27779" name="Freeform 11"/>
                              <wps:cNvSpPr>
                                <a:spLocks noChangeAspect="1" noEditPoints="1"/>
                              </wps:cNvSpPr>
                              <wps:spPr bwMode="auto">
                                <a:xfrm>
                                  <a:off x="53776" y="0"/>
                                  <a:ext cx="451724" cy="458391"/>
                                </a:xfrm>
                                <a:custGeom>
                                  <a:avLst/>
                                  <a:gdLst>
                                    <a:gd name="T0" fmla="*/ 130 w 134"/>
                                    <a:gd name="T1" fmla="*/ 0 h 135"/>
                                    <a:gd name="T2" fmla="*/ 105 w 134"/>
                                    <a:gd name="T3" fmla="*/ 0 h 135"/>
                                    <a:gd name="T4" fmla="*/ 102 w 134"/>
                                    <a:gd name="T5" fmla="*/ 3 h 135"/>
                                    <a:gd name="T6" fmla="*/ 105 w 134"/>
                                    <a:gd name="T7" fmla="*/ 6 h 135"/>
                                    <a:gd name="T8" fmla="*/ 123 w 134"/>
                                    <a:gd name="T9" fmla="*/ 6 h 135"/>
                                    <a:gd name="T10" fmla="*/ 99 w 134"/>
                                    <a:gd name="T11" fmla="*/ 29 h 135"/>
                                    <a:gd name="T12" fmla="*/ 60 w 134"/>
                                    <a:gd name="T13" fmla="*/ 15 h 135"/>
                                    <a:gd name="T14" fmla="*/ 0 w 134"/>
                                    <a:gd name="T15" fmla="*/ 75 h 135"/>
                                    <a:gd name="T16" fmla="*/ 56 w 134"/>
                                    <a:gd name="T17" fmla="*/ 135 h 135"/>
                                    <a:gd name="T18" fmla="*/ 63 w 134"/>
                                    <a:gd name="T19" fmla="*/ 135 h 135"/>
                                    <a:gd name="T20" fmla="*/ 119 w 134"/>
                                    <a:gd name="T21" fmla="*/ 75 h 135"/>
                                    <a:gd name="T22" fmla="*/ 103 w 134"/>
                                    <a:gd name="T23" fmla="*/ 33 h 135"/>
                                    <a:gd name="T24" fmla="*/ 127 w 134"/>
                                    <a:gd name="T25" fmla="*/ 11 h 135"/>
                                    <a:gd name="T26" fmla="*/ 127 w 134"/>
                                    <a:gd name="T27" fmla="*/ 28 h 135"/>
                                    <a:gd name="T28" fmla="*/ 130 w 134"/>
                                    <a:gd name="T29" fmla="*/ 31 h 135"/>
                                    <a:gd name="T30" fmla="*/ 134 w 134"/>
                                    <a:gd name="T31" fmla="*/ 28 h 135"/>
                                    <a:gd name="T32" fmla="*/ 134 w 134"/>
                                    <a:gd name="T33" fmla="*/ 3 h 135"/>
                                    <a:gd name="T34" fmla="*/ 130 w 134"/>
                                    <a:gd name="T35" fmla="*/ 0 h 135"/>
                                    <a:gd name="T36" fmla="*/ 113 w 134"/>
                                    <a:gd name="T37" fmla="*/ 75 h 135"/>
                                    <a:gd name="T38" fmla="*/ 60 w 134"/>
                                    <a:gd name="T39" fmla="*/ 128 h 135"/>
                                    <a:gd name="T40" fmla="*/ 6 w 134"/>
                                    <a:gd name="T41" fmla="*/ 75 h 135"/>
                                    <a:gd name="T42" fmla="*/ 60 w 134"/>
                                    <a:gd name="T43" fmla="*/ 21 h 135"/>
                                    <a:gd name="T44" fmla="*/ 113 w 134"/>
                                    <a:gd name="T45" fmla="*/ 7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135">
                                      <a:moveTo>
                                        <a:pt x="130" y="0"/>
                                      </a:moveTo>
                                      <a:cubicBezTo>
                                        <a:pt x="105" y="0"/>
                                        <a:pt x="105" y="0"/>
                                        <a:pt x="105" y="0"/>
                                      </a:cubicBezTo>
                                      <a:cubicBezTo>
                                        <a:pt x="104" y="0"/>
                                        <a:pt x="102" y="2"/>
                                        <a:pt x="102" y="3"/>
                                      </a:cubicBezTo>
                                      <a:cubicBezTo>
                                        <a:pt x="102" y="5"/>
                                        <a:pt x="104" y="6"/>
                                        <a:pt x="105" y="6"/>
                                      </a:cubicBezTo>
                                      <a:cubicBezTo>
                                        <a:pt x="123" y="6"/>
                                        <a:pt x="123" y="6"/>
                                        <a:pt x="123" y="6"/>
                                      </a:cubicBezTo>
                                      <a:cubicBezTo>
                                        <a:pt x="99" y="29"/>
                                        <a:pt x="99" y="29"/>
                                        <a:pt x="99" y="29"/>
                                      </a:cubicBezTo>
                                      <a:cubicBezTo>
                                        <a:pt x="88" y="20"/>
                                        <a:pt x="75" y="15"/>
                                        <a:pt x="60" y="15"/>
                                      </a:cubicBezTo>
                                      <a:cubicBezTo>
                                        <a:pt x="27" y="15"/>
                                        <a:pt x="0" y="41"/>
                                        <a:pt x="0" y="75"/>
                                      </a:cubicBezTo>
                                      <a:cubicBezTo>
                                        <a:pt x="0" y="106"/>
                                        <a:pt x="25" y="133"/>
                                        <a:pt x="56" y="135"/>
                                      </a:cubicBezTo>
                                      <a:cubicBezTo>
                                        <a:pt x="63" y="135"/>
                                        <a:pt x="63" y="135"/>
                                        <a:pt x="63" y="135"/>
                                      </a:cubicBezTo>
                                      <a:cubicBezTo>
                                        <a:pt x="94" y="133"/>
                                        <a:pt x="119" y="106"/>
                                        <a:pt x="119" y="75"/>
                                      </a:cubicBezTo>
                                      <a:cubicBezTo>
                                        <a:pt x="119" y="58"/>
                                        <a:pt x="113" y="44"/>
                                        <a:pt x="103" y="33"/>
                                      </a:cubicBezTo>
                                      <a:cubicBezTo>
                                        <a:pt x="127" y="11"/>
                                        <a:pt x="127" y="11"/>
                                        <a:pt x="127" y="11"/>
                                      </a:cubicBezTo>
                                      <a:cubicBezTo>
                                        <a:pt x="127" y="28"/>
                                        <a:pt x="127" y="28"/>
                                        <a:pt x="127" y="28"/>
                                      </a:cubicBezTo>
                                      <a:cubicBezTo>
                                        <a:pt x="127" y="30"/>
                                        <a:pt x="129" y="31"/>
                                        <a:pt x="130" y="31"/>
                                      </a:cubicBezTo>
                                      <a:cubicBezTo>
                                        <a:pt x="132" y="31"/>
                                        <a:pt x="134" y="30"/>
                                        <a:pt x="134" y="28"/>
                                      </a:cubicBezTo>
                                      <a:cubicBezTo>
                                        <a:pt x="134" y="3"/>
                                        <a:pt x="134" y="3"/>
                                        <a:pt x="134" y="3"/>
                                      </a:cubicBezTo>
                                      <a:cubicBezTo>
                                        <a:pt x="134" y="2"/>
                                        <a:pt x="132" y="0"/>
                                        <a:pt x="130" y="0"/>
                                      </a:cubicBezTo>
                                      <a:close/>
                                      <a:moveTo>
                                        <a:pt x="113" y="75"/>
                                      </a:moveTo>
                                      <a:cubicBezTo>
                                        <a:pt x="113" y="104"/>
                                        <a:pt x="89" y="128"/>
                                        <a:pt x="60" y="128"/>
                                      </a:cubicBezTo>
                                      <a:cubicBezTo>
                                        <a:pt x="30" y="128"/>
                                        <a:pt x="6" y="104"/>
                                        <a:pt x="6" y="75"/>
                                      </a:cubicBezTo>
                                      <a:cubicBezTo>
                                        <a:pt x="6" y="45"/>
                                        <a:pt x="30" y="21"/>
                                        <a:pt x="60" y="21"/>
                                      </a:cubicBezTo>
                                      <a:cubicBezTo>
                                        <a:pt x="89" y="21"/>
                                        <a:pt x="113" y="45"/>
                                        <a:pt x="113" y="75"/>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wpg:grpSp>
                              <wpg:cNvPr id="27780" name="Group 27780"/>
                              <wpg:cNvGrpSpPr/>
                              <wpg:grpSpPr>
                                <a:xfrm rot="20743897">
                                  <a:off x="0" y="4243"/>
                                  <a:ext cx="458391" cy="451724"/>
                                  <a:chOff x="0" y="4243"/>
                                  <a:chExt cx="458391" cy="451724"/>
                                </a:xfrm>
                                <a:solidFill>
                                  <a:schemeClr val="accent6"/>
                                </a:solidFill>
                              </wpg:grpSpPr>
                              <wps:wsp>
                                <wps:cNvPr id="27784" name="Freeform 11"/>
                                <wps:cNvSpPr>
                                  <a:spLocks noChangeAspect="1" noEditPoints="1"/>
                                </wps:cNvSpPr>
                                <wps:spPr bwMode="auto">
                                  <a:xfrm rot="17100000">
                                    <a:off x="3334" y="909"/>
                                    <a:ext cx="451724" cy="458391"/>
                                  </a:xfrm>
                                  <a:custGeom>
                                    <a:avLst/>
                                    <a:gdLst>
                                      <a:gd name="T0" fmla="*/ 130 w 134"/>
                                      <a:gd name="T1" fmla="*/ 0 h 135"/>
                                      <a:gd name="T2" fmla="*/ 105 w 134"/>
                                      <a:gd name="T3" fmla="*/ 0 h 135"/>
                                      <a:gd name="T4" fmla="*/ 102 w 134"/>
                                      <a:gd name="T5" fmla="*/ 3 h 135"/>
                                      <a:gd name="T6" fmla="*/ 105 w 134"/>
                                      <a:gd name="T7" fmla="*/ 6 h 135"/>
                                      <a:gd name="T8" fmla="*/ 123 w 134"/>
                                      <a:gd name="T9" fmla="*/ 6 h 135"/>
                                      <a:gd name="T10" fmla="*/ 99 w 134"/>
                                      <a:gd name="T11" fmla="*/ 29 h 135"/>
                                      <a:gd name="T12" fmla="*/ 60 w 134"/>
                                      <a:gd name="T13" fmla="*/ 15 h 135"/>
                                      <a:gd name="T14" fmla="*/ 0 w 134"/>
                                      <a:gd name="T15" fmla="*/ 75 h 135"/>
                                      <a:gd name="T16" fmla="*/ 56 w 134"/>
                                      <a:gd name="T17" fmla="*/ 135 h 135"/>
                                      <a:gd name="T18" fmla="*/ 63 w 134"/>
                                      <a:gd name="T19" fmla="*/ 135 h 135"/>
                                      <a:gd name="T20" fmla="*/ 119 w 134"/>
                                      <a:gd name="T21" fmla="*/ 75 h 135"/>
                                      <a:gd name="T22" fmla="*/ 103 w 134"/>
                                      <a:gd name="T23" fmla="*/ 33 h 135"/>
                                      <a:gd name="T24" fmla="*/ 127 w 134"/>
                                      <a:gd name="T25" fmla="*/ 11 h 135"/>
                                      <a:gd name="T26" fmla="*/ 127 w 134"/>
                                      <a:gd name="T27" fmla="*/ 28 h 135"/>
                                      <a:gd name="T28" fmla="*/ 130 w 134"/>
                                      <a:gd name="T29" fmla="*/ 31 h 135"/>
                                      <a:gd name="T30" fmla="*/ 134 w 134"/>
                                      <a:gd name="T31" fmla="*/ 28 h 135"/>
                                      <a:gd name="T32" fmla="*/ 134 w 134"/>
                                      <a:gd name="T33" fmla="*/ 3 h 135"/>
                                      <a:gd name="T34" fmla="*/ 130 w 134"/>
                                      <a:gd name="T35" fmla="*/ 0 h 135"/>
                                      <a:gd name="T36" fmla="*/ 113 w 134"/>
                                      <a:gd name="T37" fmla="*/ 75 h 135"/>
                                      <a:gd name="T38" fmla="*/ 60 w 134"/>
                                      <a:gd name="T39" fmla="*/ 128 h 135"/>
                                      <a:gd name="T40" fmla="*/ 6 w 134"/>
                                      <a:gd name="T41" fmla="*/ 75 h 135"/>
                                      <a:gd name="T42" fmla="*/ 60 w 134"/>
                                      <a:gd name="T43" fmla="*/ 21 h 135"/>
                                      <a:gd name="T44" fmla="*/ 113 w 134"/>
                                      <a:gd name="T45" fmla="*/ 7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135">
                                        <a:moveTo>
                                          <a:pt x="130" y="0"/>
                                        </a:moveTo>
                                        <a:cubicBezTo>
                                          <a:pt x="105" y="0"/>
                                          <a:pt x="105" y="0"/>
                                          <a:pt x="105" y="0"/>
                                        </a:cubicBezTo>
                                        <a:cubicBezTo>
                                          <a:pt x="104" y="0"/>
                                          <a:pt x="102" y="2"/>
                                          <a:pt x="102" y="3"/>
                                        </a:cubicBezTo>
                                        <a:cubicBezTo>
                                          <a:pt x="102" y="5"/>
                                          <a:pt x="104" y="6"/>
                                          <a:pt x="105" y="6"/>
                                        </a:cubicBezTo>
                                        <a:cubicBezTo>
                                          <a:pt x="123" y="6"/>
                                          <a:pt x="123" y="6"/>
                                          <a:pt x="123" y="6"/>
                                        </a:cubicBezTo>
                                        <a:cubicBezTo>
                                          <a:pt x="99" y="29"/>
                                          <a:pt x="99" y="29"/>
                                          <a:pt x="99" y="29"/>
                                        </a:cubicBezTo>
                                        <a:cubicBezTo>
                                          <a:pt x="88" y="20"/>
                                          <a:pt x="75" y="15"/>
                                          <a:pt x="60" y="15"/>
                                        </a:cubicBezTo>
                                        <a:cubicBezTo>
                                          <a:pt x="27" y="15"/>
                                          <a:pt x="0" y="41"/>
                                          <a:pt x="0" y="75"/>
                                        </a:cubicBezTo>
                                        <a:cubicBezTo>
                                          <a:pt x="0" y="106"/>
                                          <a:pt x="25" y="133"/>
                                          <a:pt x="56" y="135"/>
                                        </a:cubicBezTo>
                                        <a:cubicBezTo>
                                          <a:pt x="63" y="135"/>
                                          <a:pt x="63" y="135"/>
                                          <a:pt x="63" y="135"/>
                                        </a:cubicBezTo>
                                        <a:cubicBezTo>
                                          <a:pt x="94" y="133"/>
                                          <a:pt x="119" y="106"/>
                                          <a:pt x="119" y="75"/>
                                        </a:cubicBezTo>
                                        <a:cubicBezTo>
                                          <a:pt x="119" y="58"/>
                                          <a:pt x="113" y="44"/>
                                          <a:pt x="103" y="33"/>
                                        </a:cubicBezTo>
                                        <a:cubicBezTo>
                                          <a:pt x="127" y="11"/>
                                          <a:pt x="127" y="11"/>
                                          <a:pt x="127" y="11"/>
                                        </a:cubicBezTo>
                                        <a:cubicBezTo>
                                          <a:pt x="127" y="28"/>
                                          <a:pt x="127" y="28"/>
                                          <a:pt x="127" y="28"/>
                                        </a:cubicBezTo>
                                        <a:cubicBezTo>
                                          <a:pt x="127" y="30"/>
                                          <a:pt x="129" y="31"/>
                                          <a:pt x="130" y="31"/>
                                        </a:cubicBezTo>
                                        <a:cubicBezTo>
                                          <a:pt x="132" y="31"/>
                                          <a:pt x="134" y="30"/>
                                          <a:pt x="134" y="28"/>
                                        </a:cubicBezTo>
                                        <a:cubicBezTo>
                                          <a:pt x="134" y="3"/>
                                          <a:pt x="134" y="3"/>
                                          <a:pt x="134" y="3"/>
                                        </a:cubicBezTo>
                                        <a:cubicBezTo>
                                          <a:pt x="134" y="2"/>
                                          <a:pt x="132" y="0"/>
                                          <a:pt x="130" y="0"/>
                                        </a:cubicBezTo>
                                        <a:close/>
                                        <a:moveTo>
                                          <a:pt x="113" y="75"/>
                                        </a:moveTo>
                                        <a:cubicBezTo>
                                          <a:pt x="113" y="104"/>
                                          <a:pt x="89" y="128"/>
                                          <a:pt x="60" y="128"/>
                                        </a:cubicBezTo>
                                        <a:cubicBezTo>
                                          <a:pt x="30" y="128"/>
                                          <a:pt x="6" y="104"/>
                                          <a:pt x="6" y="75"/>
                                        </a:cubicBezTo>
                                        <a:cubicBezTo>
                                          <a:pt x="6" y="45"/>
                                          <a:pt x="30" y="21"/>
                                          <a:pt x="60" y="21"/>
                                        </a:cubicBezTo>
                                        <a:cubicBezTo>
                                          <a:pt x="89" y="21"/>
                                          <a:pt x="113" y="45"/>
                                          <a:pt x="113" y="75"/>
                                        </a:cubicBezTo>
                                        <a:close/>
                                      </a:path>
                                    </a:pathLst>
                                  </a:custGeom>
                                  <a:grpFill/>
                                  <a:ln>
                                    <a:noFill/>
                                  </a:ln>
                                </wps:spPr>
                                <wps:bodyPr vert="horz" wrap="square" lIns="91440" tIns="45720" rIns="91440" bIns="45720" numCol="1" anchor="t" anchorCtr="0" compatLnSpc="1">
                                  <a:prstTxWarp prst="textNoShape">
                                    <a:avLst/>
                                  </a:prstTxWarp>
                                </wps:bodyPr>
                              </wps:wsp>
                              <wps:wsp>
                                <wps:cNvPr id="27785" name="Straight Connector 27785"/>
                                <wps:cNvCnPr>
                                  <a:cxnSpLocks/>
                                </wps:cNvCnPr>
                                <wps:spPr>
                                  <a:xfrm flipV="1">
                                    <a:off x="83562" y="26275"/>
                                    <a:ext cx="67881" cy="40189"/>
                                  </a:xfrm>
                                  <a:prstGeom prst="line">
                                    <a:avLst/>
                                  </a:prstGeom>
                                  <a:grpFill/>
                                  <a:ln w="15875" cap="rnd">
                                    <a:solidFill>
                                      <a:schemeClr val="accent6"/>
                                    </a:solidFill>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5D6E7C12" id="Group 12" o:spid="_x0000_s1026" alt="&quot;&quot;" style="width:29pt;height:36.3pt;mso-position-horizontal-relative:char;mso-position-vertical-relative:line" coordsize="5055,6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">
                      <v:shape id="Freeform 10" o:spid="_x0000_s1027" style="position:absolute;left:520;top:545;width:4017;height:5784;visibility:visible;mso-wrap-style:square;v-text-anchor:top" coordsize="11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" path="m119,60v,-17,-6,-31,-16,-42c99,14,99,14,99,14,88,5,75,,59,,27,,,26,,60v,31,25,57,56,60c56,145,56,145,56,145v-14,,-14,,-14,c41,145,39,146,39,148v,2,2,3,3,3c56,151,56,151,56,151v,15,,15,,15c56,169,57,170,59,170v3,,4,-1,4,-4c63,151,63,151,63,151v14,,14,,14,c78,151,80,150,80,148v,-2,-2,-3,-3,-3c63,145,63,145,63,145v,-25,,-25,,-25c94,117,119,91,119,60xm59,113c30,113,6,89,6,60,6,30,30,6,59,6v30,,54,24,54,54c113,89,89,113,59,113xe" fillcolor="#25b3e0 [3209]" stroked="f">
                        <v:path arrowok="t" o:connecttype="custom" o:connectlocs="401717,204143;347705,61243;334202,47633;199171,0;0,204143;189043,408287;189043,493346;141782,493346;131655,503553;141782,513761;189043,513761;189043,564796;199171,578406;212674,564796;212674,513761;259935,513761;270062,503553;259935,493346;212674,493346;212674,408287;401717,204143;199171,384470;20255,204143;199171,20414;381462,204143;199171,384470" o:connectangles="0,0,0,0,0,0,0,0,0,0,0,0,0,0,0,0,0,0,0,0,0,0,0,0,0,0"/>
                        <o:lock v:ext="edit" aspectratio="t" verticies="t"/>
                      </v:shape>
                      <v:shape id="Freeform 11" o:spid="_x0000_s1028" style="position:absolute;left:537;width:4518;height:4583;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" path="m130,c105,,105,,105,v-1,,-3,2,-3,3c102,5,104,6,105,6v18,,18,,18,c99,29,99,29,99,29,88,20,75,15,60,15,27,15,,41,,75v,31,25,58,56,60c63,135,63,135,63,135v31,-2,56,-29,56,-60c119,58,113,44,103,33,127,11,127,11,127,11v,17,,17,,17c127,30,129,31,130,31v2,,4,-1,4,-3c134,3,134,3,134,3,134,2,132,,130,xm113,75v,29,-24,53,-53,53c30,128,6,104,6,75,6,45,30,21,60,21v29,,53,24,53,54xe" fillcolor="#25b3e0 [3209]" stroked="f">
                        <v:path arrowok="t" o:connecttype="custom" o:connectlocs="438240,0;353963,0;343850,10186;353963,20373;414642,20373;333736,98469;202264,50932;0,254662;188780,458391;212378,458391;401158,254662;347221,112051;428126,37350;428126,95074;438240,105260;451724,95074;451724,10186;438240,0;380931,254662;202264,434623;20226,254662;202264,71305;380931,254662" o:connectangles="0,0,0,0,0,0,0,0,0,0,0,0,0,0,0,0,0,0,0,0,0,0,0"/>
                        <o:lock v:ext="edit" aspectratio="t" verticies="t"/>
                      </v:shape>
                      <v:group id="Group 27780" o:spid="_x0000_s1029" style="position:absolute;top:42;width:4583;height:4517;rotation:-935093fd" coordorigin=",4243" coordsize="458391,45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">
                        <v:shape id="Freeform 11" o:spid="_x0000_s1030" style="position:absolute;left:3334;top:909;width:451724;height:458391;rotation:-75;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" path="m130,c105,,105,,105,v-1,,-3,2,-3,3c102,5,104,6,105,6v18,,18,,18,c99,29,99,29,99,29,88,20,75,15,60,15,27,15,,41,,75v,31,25,58,56,60c63,135,63,135,63,135v31,-2,56,-29,56,-60c119,58,113,44,103,33,127,11,127,11,127,11v,17,,17,,17c127,30,129,31,130,31v2,,4,-1,4,-3c134,3,134,3,134,3,134,2,132,,130,xm113,75v,29,-24,53,-53,53c30,128,6,104,6,75,6,45,30,21,60,21v29,,53,24,53,54xe" filled="f" stroked="f">
                          <v:path arrowok="t" o:connecttype="custom" o:connectlocs="438240,0;353963,0;343850,10186;353963,20373;414642,20373;333736,98469;202264,50932;0,254662;188780,458391;212378,458391;401158,254662;347221,112051;428126,37350;428126,95074;438240,105260;451724,95074;451724,10186;438240,0;380931,254662;202264,434623;20226,254662;202264,71305;380931,254662" o:connectangles="0,0,0,0,0,0,0,0,0,0,0,0,0,0,0,0,0,0,0,0,0,0,0"/>
                          <o:lock v:ext="edit" aspectratio="t" verticies="t"/>
                        </v:shape>
                        <v:line id="Straight Connector 27785" o:spid="_x0000_s1031" style="position:absolute;flip:y;visibility:visible;mso-wrap-style:square" from="83562,26275" to="151443,6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" strokecolor="#25b3e0 [3209]" strokeweight="1.25pt">
                          <v:stroke endcap="round"/>
                          <o:lock v:ext="edit" shapetype="f"/>
                        </v:line>
                      </v:group>
                      <w10:anchorlock/>
                    </v:group>
                  </w:pict>
                </mc:Fallback>
              </mc:AlternateContent>
            </w:r>
          </w:p>
          <w:p w14:paraId="62F12E36" w14:textId="68C3BE01" w:rsidR="007678DD" w:rsidRPr="007D7202" w:rsidRDefault="007678DD" w:rsidP="007D7202">
            <w:pPr>
              <w:pStyle w:val="TableNText"/>
              <w:jc w:val="center"/>
            </w:pPr>
            <w:r w:rsidRPr="007D7202">
              <w:rPr>
                <w:color w:val="FFFFFF" w:themeColor="background1"/>
              </w:rPr>
              <w:t>LGBTIQA+</w:t>
            </w:r>
          </w:p>
        </w:tc>
        <w:tc>
          <w:tcPr>
            <w:tcW w:w="4054" w:type="pct"/>
          </w:tcPr>
          <w:p w14:paraId="64445F3D" w14:textId="5F279767" w:rsidR="007678DD" w:rsidRDefault="007678DD" w:rsidP="00FF5C3E">
            <w:pPr>
              <w:pStyle w:val="TableNBullet"/>
              <w:cnfStyle w:val="000000000000" w:firstRow="0" w:lastRow="0" w:firstColumn="0" w:lastColumn="0" w:oddVBand="0" w:evenVBand="0" w:oddHBand="0" w:evenHBand="0" w:firstRowFirstColumn="0" w:firstRowLastColumn="0" w:lastRowFirstColumn="0" w:lastRowLastColumn="0"/>
              <w:rPr>
                <w:szCs w:val="16"/>
              </w:rPr>
            </w:pPr>
            <w:r>
              <w:rPr>
                <w:szCs w:val="16"/>
              </w:rPr>
              <w:t xml:space="preserve">Some participants and providers hypothesised that individual’s may not </w:t>
            </w:r>
            <w:r w:rsidRPr="008C5949">
              <w:rPr>
                <w:szCs w:val="16"/>
              </w:rPr>
              <w:t>feel it is relevant to identify their gender or sexuality to their support coordinator explicitly</w:t>
            </w:r>
            <w:r>
              <w:rPr>
                <w:szCs w:val="16"/>
              </w:rPr>
              <w:t>, and therefore the proportion of participants who identify as LGBTIQA+ is not well understood</w:t>
            </w:r>
            <w:r w:rsidR="00821AEA">
              <w:rPr>
                <w:szCs w:val="16"/>
              </w:rPr>
              <w:t xml:space="preserve"> (</w:t>
            </w:r>
            <w:r w:rsidR="007D7202">
              <w:rPr>
                <w:szCs w:val="16"/>
              </w:rPr>
              <w:t>i.e.,</w:t>
            </w:r>
            <w:r w:rsidR="00821AEA">
              <w:rPr>
                <w:szCs w:val="16"/>
              </w:rPr>
              <w:t xml:space="preserve"> </w:t>
            </w:r>
            <w:r w:rsidR="00A1649C">
              <w:rPr>
                <w:szCs w:val="16"/>
              </w:rPr>
              <w:t>42 per cent of participants in the PMHC MDS did not state their sexual orientation)</w:t>
            </w:r>
            <w:r>
              <w:rPr>
                <w:szCs w:val="16"/>
              </w:rPr>
              <w:t xml:space="preserve">. </w:t>
            </w:r>
          </w:p>
          <w:p w14:paraId="5986B6E4" w14:textId="1CE68C33" w:rsidR="007678DD" w:rsidRPr="005825BD" w:rsidRDefault="0BAB0291" w:rsidP="008C5949">
            <w:pPr>
              <w:pStyle w:val="TableNBullet"/>
              <w:cnfStyle w:val="000000000000" w:firstRow="0" w:lastRow="0" w:firstColumn="0" w:lastColumn="0" w:oddVBand="0" w:evenVBand="0" w:oddHBand="0" w:evenHBand="0" w:firstRowFirstColumn="0" w:firstRowLastColumn="0" w:lastRowFirstColumn="0" w:lastRowLastColumn="0"/>
            </w:pPr>
            <w:r>
              <w:t xml:space="preserve">The availability of other more appropriate and targeted services within the same area with a more diverse workforce. </w:t>
            </w:r>
          </w:p>
        </w:tc>
      </w:tr>
    </w:tbl>
    <w:p w14:paraId="083BFC1F" w14:textId="77777777" w:rsidR="00CB0C9C" w:rsidRPr="007A7B9F" w:rsidRDefault="00CB0C9C" w:rsidP="007A7B9F"/>
    <w:p w14:paraId="3B6ECE1A" w14:textId="261BE5BE" w:rsidR="00573B76" w:rsidRDefault="00573B76" w:rsidP="00573B76">
      <w:pPr>
        <w:pStyle w:val="Heading1"/>
        <w:rPr>
          <w:color w:val="FFFFFF" w:themeColor="background1"/>
        </w:rPr>
      </w:pPr>
      <w:bookmarkStart w:id="76" w:name="_Ref118285978"/>
      <w:bookmarkStart w:id="77" w:name="_Toc121320684"/>
      <w:r w:rsidRPr="00325F4F">
        <w:rPr>
          <w:noProof/>
          <w:color w:val="FFFFFF" w:themeColor="background1"/>
        </w:rPr>
        <w:lastRenderedPageBreak/>
        <w:drawing>
          <wp:anchor distT="0" distB="0" distL="114300" distR="114300" simplePos="0" relativeHeight="251658254" behindDoc="1" locked="0" layoutInCell="1" allowOverlap="1" wp14:anchorId="4E25BE30" wp14:editId="0CB7B13C">
            <wp:simplePos x="0" y="0"/>
            <wp:positionH relativeFrom="page">
              <wp:posOffset>-1905</wp:posOffset>
            </wp:positionH>
            <wp:positionV relativeFrom="paragraph">
              <wp:posOffset>-675478</wp:posOffset>
            </wp:positionV>
            <wp:extent cx="7559675" cy="1371600"/>
            <wp:effectExtent l="0" t="0" r="3175" b="0"/>
            <wp:wrapNone/>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002F6D7A">
        <w:rPr>
          <w:color w:val="FFFFFF" w:themeColor="background1"/>
        </w:rPr>
        <w:t>Participant</w:t>
      </w:r>
      <w:r w:rsidR="003A757A">
        <w:rPr>
          <w:color w:val="FFFFFF" w:themeColor="background1"/>
        </w:rPr>
        <w:t xml:space="preserve"> journeys</w:t>
      </w:r>
      <w:bookmarkEnd w:id="76"/>
      <w:bookmarkEnd w:id="77"/>
    </w:p>
    <w:bookmarkEnd w:id="64"/>
    <w:p w14:paraId="05073133" w14:textId="77777777" w:rsidR="00573B76" w:rsidRPr="00007DD3" w:rsidRDefault="00573B76" w:rsidP="00573B76">
      <w:pPr>
        <w:rPr>
          <w:lang w:eastAsia="en-AU"/>
        </w:rPr>
      </w:pPr>
    </w:p>
    <w:p w14:paraId="4C8D85EE" w14:textId="77777777" w:rsidR="007929C4" w:rsidRPr="00D1753E" w:rsidRDefault="007929C4" w:rsidP="007A7B9F">
      <w:pPr>
        <w:pStyle w:val="NoteHeading"/>
        <w:spacing w:before="600"/>
        <w:rPr>
          <w:lang w:eastAsia="en-AU"/>
        </w:rPr>
      </w:pPr>
      <w:r w:rsidRPr="00D1753E">
        <w:rPr>
          <w:lang w:eastAsia="en-AU"/>
        </w:rPr>
        <w:t xml:space="preserve">This section aims to answer the following KEQs:  </w:t>
      </w:r>
    </w:p>
    <w:p w14:paraId="6C57D5D2" w14:textId="77777777" w:rsidR="007929C4" w:rsidRPr="004B0951" w:rsidRDefault="007929C4" w:rsidP="007929C4">
      <w:pPr>
        <w:pStyle w:val="NoteHeading"/>
        <w:rPr>
          <w:rStyle w:val="Strong"/>
        </w:rPr>
      </w:pPr>
      <w:r w:rsidRPr="004B0951">
        <w:rPr>
          <w:rStyle w:val="Strong"/>
        </w:rPr>
        <w:t xml:space="preserve">KEQ 2 | How well is The Way Back being delivered? </w:t>
      </w:r>
    </w:p>
    <w:p w14:paraId="00B2DBBE" w14:textId="77777777" w:rsidR="007929C4" w:rsidRPr="00D1753E" w:rsidRDefault="007929C4" w:rsidP="007929C4">
      <w:pPr>
        <w:pStyle w:val="NoteHeading"/>
      </w:pPr>
      <w:r w:rsidRPr="00D1753E">
        <w:t xml:space="preserve">Overall, The Way Back was delivered in line with its intended design. The delivery of The Way Back was understood across the participant journey from entry to exit of The Way Back. This occurred across three stages: </w:t>
      </w:r>
    </w:p>
    <w:p w14:paraId="68A4C4A3" w14:textId="77777777" w:rsidR="007929C4" w:rsidRPr="00D1753E" w:rsidRDefault="007929C4" w:rsidP="007929C4">
      <w:pPr>
        <w:pStyle w:val="NoteHeading"/>
      </w:pPr>
      <w:r w:rsidRPr="00D1753E">
        <w:rPr>
          <w:b/>
        </w:rPr>
        <w:t>Inbound referrals</w:t>
      </w:r>
      <w:r w:rsidRPr="00D1753E">
        <w:rPr>
          <w:b/>
          <w:bCs/>
        </w:rPr>
        <w:t>.</w:t>
      </w:r>
      <w:r w:rsidRPr="00D1753E">
        <w:t xml:space="preserve"> Participants and providers highlighted that there is an opportunity for The Way Back to expand referral pathways to improve access to priority cohorts that are less likely to present at hospital or emergency departments (for example, Aboriginal and Torres Strait Islander people).</w:t>
      </w:r>
    </w:p>
    <w:p w14:paraId="14189F66" w14:textId="32384AF9" w:rsidR="007929C4" w:rsidRPr="00D1753E" w:rsidRDefault="007929C4" w:rsidP="007929C4">
      <w:pPr>
        <w:pStyle w:val="NoteHeading"/>
      </w:pPr>
      <w:r w:rsidRPr="00D1753E">
        <w:rPr>
          <w:b/>
        </w:rPr>
        <w:t>Referral uptake</w:t>
      </w:r>
      <w:r w:rsidRPr="00D1753E">
        <w:rPr>
          <w:b/>
          <w:bCs/>
        </w:rPr>
        <w:t>.</w:t>
      </w:r>
      <w:r w:rsidRPr="00D1753E">
        <w:t xml:space="preserve"> Uptake rates for The Way Back (</w:t>
      </w:r>
      <w:r w:rsidR="007A7B9F" w:rsidRPr="00D1753E">
        <w:t>i.e.,</w:t>
      </w:r>
      <w:r w:rsidRPr="00D1753E">
        <w:t xml:space="preserve"> 79 per cent of those referred into The Way Back engaged with the service) were as expected for an aftercare service, suggesting the mechanisms in place to support an effective and timely referral were working well. </w:t>
      </w:r>
    </w:p>
    <w:p w14:paraId="0FA7C681" w14:textId="77777777" w:rsidR="007929C4" w:rsidRPr="00D1753E" w:rsidRDefault="007929C4" w:rsidP="007929C4">
      <w:pPr>
        <w:pStyle w:val="NoteHeading"/>
        <w:rPr>
          <w:b/>
          <w:bCs/>
        </w:rPr>
      </w:pPr>
      <w:r w:rsidRPr="00D1753E">
        <w:rPr>
          <w:b/>
        </w:rPr>
        <w:t>Service delivery</w:t>
      </w:r>
      <w:r w:rsidRPr="00D1753E">
        <w:rPr>
          <w:b/>
          <w:bCs/>
        </w:rPr>
        <w:t xml:space="preserve">. </w:t>
      </w:r>
      <w:r w:rsidRPr="00D1753E">
        <w:t>Service delivery was understood across the following components:</w:t>
      </w:r>
    </w:p>
    <w:p w14:paraId="3276EA0D" w14:textId="77777777" w:rsidR="007929C4" w:rsidRPr="00D1753E" w:rsidRDefault="007929C4" w:rsidP="007929C4">
      <w:pPr>
        <w:pStyle w:val="NoteHeading"/>
      </w:pPr>
      <w:r w:rsidRPr="00813EF9">
        <w:rPr>
          <w:rStyle w:val="Emphasis"/>
        </w:rPr>
        <w:t>Service completion</w:t>
      </w:r>
      <w:r w:rsidRPr="00D1753E">
        <w:rPr>
          <w:i/>
          <w:iCs/>
        </w:rPr>
        <w:t xml:space="preserve">. </w:t>
      </w:r>
      <w:r w:rsidRPr="00D1753E">
        <w:t>On average, participants stayed in the service for 12 to 13 weeks, in line with the intended service model. However, completion rates of The Way Back could be improved. While most participants (59 per cent) completed their service episode, 41 per cent of participants did not complete their service episode (this was above the completion rates outlined in the literature which references approximately a 30 per cent non completion rate). Further, there is an opportunity to better understand why non-completion rates were higher across certain cohorts (</w:t>
      </w:r>
      <w:proofErr w:type="gramStart"/>
      <w:r w:rsidRPr="00D1753E">
        <w:t>i.e.</w:t>
      </w:r>
      <w:proofErr w:type="gramEnd"/>
      <w:r w:rsidRPr="00D1753E">
        <w:t xml:space="preserve"> males, people with alcohol and other drugs support needs, and people under 25 years of age). In contrast, participants were more likely to complete their service episode and engage with the service longer for 12 weeks if they had peer support and/or safety/support plans in place. This indicates that access to peer support as part of the core model is an important component to effectively engaging with participants in The Way Back.</w:t>
      </w:r>
    </w:p>
    <w:p w14:paraId="16FDCE7D" w14:textId="77777777" w:rsidR="007929C4" w:rsidRPr="00D1753E" w:rsidRDefault="007929C4" w:rsidP="007929C4">
      <w:pPr>
        <w:pStyle w:val="NoteHeading"/>
      </w:pPr>
      <w:r>
        <w:rPr>
          <w:i/>
          <w:iCs/>
        </w:rPr>
        <w:t>Referrals out to services and supports</w:t>
      </w:r>
      <w:r w:rsidRPr="00D1753E">
        <w:rPr>
          <w:i/>
          <w:iCs/>
        </w:rPr>
        <w:t>.</w:t>
      </w:r>
      <w:r w:rsidRPr="00D1753E">
        <w:t xml:space="preserve"> Importantly, the effectiveness of The Way Back to connect participants with services that met their needs was constrained by the quality and capacity of the service system in which it operated in some areas (more so in regional than metropolitan areas). The variety of outbound referrals from The Way Back reflected the service objective to connect participants to relevant services based on their assessed needs. </w:t>
      </w:r>
    </w:p>
    <w:p w14:paraId="21E75C1E" w14:textId="1D623F53" w:rsidR="007929C4" w:rsidRPr="00D1753E" w:rsidRDefault="007929C4" w:rsidP="007929C4">
      <w:pPr>
        <w:pStyle w:val="NoteHeading"/>
      </w:pPr>
      <w:r w:rsidRPr="00813EF9">
        <w:rPr>
          <w:rStyle w:val="Emphasis"/>
        </w:rPr>
        <w:t>Participant satisfaction</w:t>
      </w:r>
      <w:r w:rsidRPr="00D1753E">
        <w:rPr>
          <w:i/>
          <w:iCs/>
        </w:rPr>
        <w:t xml:space="preserve">. </w:t>
      </w:r>
      <w:r w:rsidRPr="00D1753E">
        <w:t>The Way Back is positive experience for participants with almost all respondents (93 per cent) from a participant survey indicating that they were either satisfied or very satisfied with the service. Suggested improvements to The Way Back were often related to expanding the scope of the service’s original purpose significantly beyond that of an aftercare service - namely providing some participants with the option to stay in the service longer than 12 weeks.</w:t>
      </w:r>
    </w:p>
    <w:p w14:paraId="3542FF76" w14:textId="0FE67437" w:rsidR="00C9327F" w:rsidRPr="006C3AFC" w:rsidRDefault="007929C4" w:rsidP="007929C4">
      <w:pPr>
        <w:pStyle w:val="NoteHeading"/>
        <w:rPr>
          <w:u w:val="single"/>
          <w:lang w:eastAsia="en-AU"/>
        </w:rPr>
      </w:pPr>
      <w:r w:rsidRPr="00D1753E">
        <w:t xml:space="preserve">KEQ 2 is further answered in section </w:t>
      </w:r>
      <w:r w:rsidRPr="00D1753E">
        <w:fldChar w:fldCharType="begin"/>
      </w:r>
      <w:r w:rsidRPr="00D1753E">
        <w:instrText xml:space="preserve"> REF _Ref118278482 \n \h  \* MERGEFORMAT </w:instrText>
      </w:r>
      <w:r w:rsidRPr="00D1753E">
        <w:fldChar w:fldCharType="separate"/>
      </w:r>
      <w:r>
        <w:t>5</w:t>
      </w:r>
      <w:r w:rsidRPr="00D1753E">
        <w:fldChar w:fldCharType="end"/>
      </w:r>
      <w:r w:rsidRPr="00D1753E">
        <w:t xml:space="preserve"> and section </w:t>
      </w:r>
      <w:r w:rsidRPr="00D1753E">
        <w:fldChar w:fldCharType="begin"/>
      </w:r>
      <w:r w:rsidRPr="00D1753E">
        <w:instrText xml:space="preserve"> REF _Ref121308721 \n \h  \* MERGEFORMAT </w:instrText>
      </w:r>
      <w:r w:rsidRPr="00D1753E">
        <w:fldChar w:fldCharType="separate"/>
      </w:r>
      <w:r>
        <w:t>9</w:t>
      </w:r>
      <w:r w:rsidRPr="00D1753E">
        <w:fldChar w:fldCharType="end"/>
      </w:r>
      <w:r w:rsidRPr="00D1753E">
        <w:t>.</w:t>
      </w:r>
    </w:p>
    <w:tbl>
      <w:tblPr>
        <w:tblW w:w="4950" w:type="pct"/>
        <w:tblLook w:val="04A0" w:firstRow="1" w:lastRow="0" w:firstColumn="1" w:lastColumn="0" w:noHBand="0" w:noVBand="1"/>
        <w:tblDescription w:val="Chapter 6 overview of data source, quality and limitations in this section draws on PMHC MDS data, referral dashboard data, quarterly report data and supplementary referral data. &#10;Refer to Appendix B for detailed limitations.&#10;"/>
      </w:tblPr>
      <w:tblGrid>
        <w:gridCol w:w="993"/>
        <w:gridCol w:w="7848"/>
      </w:tblGrid>
      <w:tr w:rsidR="0008236A" w14:paraId="29A4F254" w14:textId="77777777" w:rsidTr="007A7B9F">
        <w:trPr>
          <w:trHeight w:val="794"/>
        </w:trPr>
        <w:tc>
          <w:tcPr>
            <w:tcW w:w="993" w:type="dxa"/>
            <w:shd w:val="clear" w:color="auto" w:fill="00264D" w:themeFill="background2"/>
            <w:vAlign w:val="center"/>
          </w:tcPr>
          <w:p w14:paraId="0F565C04" w14:textId="2EDF2567" w:rsidR="0008236A" w:rsidRPr="000A167E" w:rsidRDefault="006C3AFC" w:rsidP="007A7B9F">
            <w:pPr>
              <w:keepNext/>
              <w:pageBreakBefore/>
              <w:spacing w:line="257" w:lineRule="auto"/>
              <w:jc w:val="center"/>
              <w:rPr>
                <w:noProof/>
              </w:rPr>
            </w:pPr>
            <w:r>
              <w:rPr>
                <w:noProof/>
              </w:rPr>
              <w:lastRenderedPageBreak/>
              <w:drawing>
                <wp:inline distT="0" distB="0" distL="0" distR="0" wp14:anchorId="41AAAE45" wp14:editId="4D4FBFB3">
                  <wp:extent cx="371475" cy="371475"/>
                  <wp:effectExtent l="0" t="0" r="9525" b="9525"/>
                  <wp:docPr id="1038753016" name="Graphic 10387530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16" name="Graphic 1038753016">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371475" cy="371475"/>
                          </a:xfrm>
                          <a:prstGeom prst="rect">
                            <a:avLst/>
                          </a:prstGeom>
                        </pic:spPr>
                      </pic:pic>
                    </a:graphicData>
                  </a:graphic>
                </wp:inline>
              </w:drawing>
            </w:r>
          </w:p>
        </w:tc>
        <w:tc>
          <w:tcPr>
            <w:tcW w:w="7848" w:type="dxa"/>
            <w:shd w:val="clear" w:color="auto" w:fill="F2F2F2" w:themeFill="background1" w:themeFillShade="F2"/>
            <w:vAlign w:val="center"/>
          </w:tcPr>
          <w:p w14:paraId="6DB1F11A" w14:textId="5E9A1E40" w:rsidR="006950FA" w:rsidRDefault="0008236A" w:rsidP="007A7B9F">
            <w:pPr>
              <w:keepNext/>
              <w:pageBreakBefore/>
              <w:spacing w:line="257" w:lineRule="auto"/>
            </w:pPr>
            <w:r w:rsidRPr="003C6AF6">
              <w:rPr>
                <w:rFonts w:asciiTheme="majorHAnsi" w:hAnsiTheme="majorHAnsi" w:cstheme="majorHAnsi"/>
                <w:color w:val="00264D" w:themeColor="background2"/>
              </w:rPr>
              <w:t xml:space="preserve">DATA </w:t>
            </w:r>
            <w:r w:rsidR="001C6546">
              <w:rPr>
                <w:rFonts w:asciiTheme="majorHAnsi" w:hAnsiTheme="majorHAnsi" w:cstheme="majorHAnsi"/>
                <w:color w:val="00264D" w:themeColor="background2"/>
              </w:rPr>
              <w:t>SOURCES,</w:t>
            </w:r>
            <w:r w:rsidRPr="003C6AF6">
              <w:rPr>
                <w:rFonts w:asciiTheme="majorHAnsi" w:hAnsiTheme="majorHAnsi" w:cstheme="majorHAnsi"/>
                <w:color w:val="00264D" w:themeColor="background2"/>
              </w:rPr>
              <w:t xml:space="preserve"> QUALITY AND LIMITATIONS </w:t>
            </w:r>
            <w:r w:rsidR="12F0E9D3" w:rsidRPr="5F0B1C35">
              <w:rPr>
                <w:rFonts w:asciiTheme="minorHAnsi" w:hAnsiTheme="minorHAnsi"/>
              </w:rPr>
              <w:t xml:space="preserve">This section draws on PMHC MDS data, </w:t>
            </w:r>
            <w:r w:rsidR="12F0E9D3">
              <w:t>referral dashboard data</w:t>
            </w:r>
            <w:r w:rsidR="00A924D5">
              <w:t>, q</w:t>
            </w:r>
            <w:r w:rsidR="00A924D5" w:rsidRPr="00A924D5">
              <w:t xml:space="preserve">uarterly report data </w:t>
            </w:r>
            <w:r w:rsidR="12F0E9D3">
              <w:t xml:space="preserve">and supplementary referral data.  </w:t>
            </w:r>
          </w:p>
          <w:p w14:paraId="333583BF" w14:textId="46E0893E" w:rsidR="00BE53F3" w:rsidRDefault="00D81937" w:rsidP="007A7B9F">
            <w:pPr>
              <w:pStyle w:val="TableNText"/>
              <w:keepNext/>
              <w:pageBreakBefore/>
              <w:spacing w:line="257" w:lineRule="auto"/>
              <w:rPr>
                <w:rFonts w:asciiTheme="minorHAnsi" w:hAnsiTheme="minorHAnsi" w:cstheme="minorHAnsi"/>
              </w:rPr>
            </w:pPr>
            <w:r w:rsidRPr="0049174F">
              <w:rPr>
                <w:rFonts w:asciiTheme="minorHAnsi" w:hAnsiTheme="minorHAnsi" w:cstheme="minorHAnsi"/>
              </w:rPr>
              <w:t>Analysis of inbound referrals</w:t>
            </w:r>
            <w:r w:rsidR="004171BB" w:rsidRPr="0049174F">
              <w:rPr>
                <w:rFonts w:asciiTheme="minorHAnsi" w:hAnsiTheme="minorHAnsi" w:cstheme="minorHAnsi"/>
              </w:rPr>
              <w:t xml:space="preserve">, </w:t>
            </w:r>
            <w:r w:rsidRPr="0049174F">
              <w:rPr>
                <w:rFonts w:asciiTheme="minorHAnsi" w:hAnsiTheme="minorHAnsi" w:cstheme="minorHAnsi"/>
              </w:rPr>
              <w:t xml:space="preserve">service uptake </w:t>
            </w:r>
            <w:r w:rsidR="004171BB" w:rsidRPr="0049174F">
              <w:rPr>
                <w:rFonts w:asciiTheme="minorHAnsi" w:hAnsiTheme="minorHAnsi" w:cstheme="minorHAnsi"/>
              </w:rPr>
              <w:t xml:space="preserve">and service </w:t>
            </w:r>
            <w:r w:rsidR="00491B04">
              <w:rPr>
                <w:rFonts w:asciiTheme="minorHAnsi" w:hAnsiTheme="minorHAnsi" w:cstheme="minorHAnsi"/>
              </w:rPr>
              <w:t xml:space="preserve">delivery </w:t>
            </w:r>
            <w:r w:rsidRPr="001610E8">
              <w:rPr>
                <w:rFonts w:asciiTheme="minorHAnsi" w:hAnsiTheme="minorHAnsi" w:cstheme="minorHAnsi"/>
              </w:rPr>
              <w:t>cannot be directly compared</w:t>
            </w:r>
            <w:r w:rsidR="004171BB" w:rsidRPr="001610E8">
              <w:rPr>
                <w:rFonts w:asciiTheme="minorHAnsi" w:hAnsiTheme="minorHAnsi" w:cstheme="minorHAnsi"/>
              </w:rPr>
              <w:t xml:space="preserve"> against one another</w:t>
            </w:r>
            <w:r w:rsidR="00745050">
              <w:rPr>
                <w:rFonts w:asciiTheme="minorHAnsi" w:hAnsiTheme="minorHAnsi" w:cstheme="minorHAnsi"/>
              </w:rPr>
              <w:t xml:space="preserve"> as they relate to different time periods and data collection methods</w:t>
            </w:r>
            <w:r w:rsidR="00085A3D">
              <w:rPr>
                <w:rFonts w:asciiTheme="minorHAnsi" w:hAnsiTheme="minorHAnsi" w:cstheme="minorHAnsi"/>
              </w:rPr>
              <w:t xml:space="preserve"> as outlined below:</w:t>
            </w:r>
          </w:p>
          <w:p w14:paraId="396D9571" w14:textId="0B0F4ED9" w:rsidR="00491B04" w:rsidRDefault="00491B04" w:rsidP="007A7B9F">
            <w:pPr>
              <w:pStyle w:val="TableNBullet"/>
              <w:keepNext/>
              <w:pageBreakBefore/>
              <w:spacing w:line="257" w:lineRule="auto"/>
            </w:pPr>
            <w:r w:rsidRPr="001610E8">
              <w:rPr>
                <w:rFonts w:asciiTheme="majorHAnsi" w:hAnsiTheme="majorHAnsi" w:cstheme="majorHAnsi"/>
              </w:rPr>
              <w:t>Inbound referrals.</w:t>
            </w:r>
            <w:r>
              <w:t xml:space="preserve"> Quarterly report data was used </w:t>
            </w:r>
            <w:r w:rsidR="006B557A">
              <w:t xml:space="preserve">and covers the period from March 2021 to June 2022. </w:t>
            </w:r>
          </w:p>
          <w:p w14:paraId="2E3CFC75" w14:textId="78B72F91" w:rsidR="00491B04" w:rsidRDefault="00491B04" w:rsidP="007A7B9F">
            <w:pPr>
              <w:pStyle w:val="TableNBullet"/>
              <w:keepNext/>
              <w:pageBreakBefore/>
              <w:spacing w:line="257" w:lineRule="auto"/>
            </w:pPr>
            <w:r w:rsidRPr="001610E8">
              <w:rPr>
                <w:rFonts w:asciiTheme="majorHAnsi" w:hAnsiTheme="majorHAnsi" w:cstheme="majorHAnsi"/>
              </w:rPr>
              <w:t>Service uptake.</w:t>
            </w:r>
            <w:r w:rsidR="006B557A" w:rsidRPr="001610E8">
              <w:rPr>
                <w:rFonts w:asciiTheme="majorHAnsi" w:hAnsiTheme="majorHAnsi" w:cstheme="majorHAnsi"/>
              </w:rPr>
              <w:t xml:space="preserve"> </w:t>
            </w:r>
            <w:r w:rsidR="006B557A">
              <w:t xml:space="preserve">Supplementary data was used and covers dates between July 2021 and June 2022. It did not cover each in-scope site in each quarter. </w:t>
            </w:r>
          </w:p>
          <w:p w14:paraId="00059029" w14:textId="2DE7535E" w:rsidR="00E108F2" w:rsidRDefault="00491B04" w:rsidP="007A7B9F">
            <w:pPr>
              <w:pStyle w:val="TableNBullet"/>
              <w:keepNext/>
              <w:pageBreakBefore/>
              <w:spacing w:line="257" w:lineRule="auto"/>
            </w:pPr>
            <w:r w:rsidRPr="001610E8">
              <w:rPr>
                <w:rFonts w:asciiTheme="majorHAnsi" w:hAnsiTheme="majorHAnsi" w:cstheme="majorHAnsi"/>
              </w:rPr>
              <w:t>Service delivery.</w:t>
            </w:r>
            <w:r w:rsidR="006B557A">
              <w:rPr>
                <w:rFonts w:asciiTheme="majorHAnsi" w:hAnsiTheme="majorHAnsi" w:cstheme="majorHAnsi"/>
              </w:rPr>
              <w:t xml:space="preserve"> </w:t>
            </w:r>
            <w:r w:rsidR="006B557A" w:rsidRPr="001610E8">
              <w:t>PMHC</w:t>
            </w:r>
            <w:r w:rsidR="006B557A">
              <w:t xml:space="preserve"> MDS data was used to understand </w:t>
            </w:r>
            <w:r w:rsidR="000C49C9">
              <w:t xml:space="preserve">outbound referrals from The Way Back, episode length, and episode completion rates. </w:t>
            </w:r>
            <w:r w:rsidR="00A36F0F">
              <w:t>This section also refers to res</w:t>
            </w:r>
            <w:r w:rsidR="00042363">
              <w:t>ponses</w:t>
            </w:r>
            <w:r w:rsidR="00A36F0F">
              <w:t xml:space="preserve"> </w:t>
            </w:r>
            <w:r w:rsidR="00E108F2" w:rsidRPr="00E108F2">
              <w:t xml:space="preserve">(n=59) </w:t>
            </w:r>
            <w:r w:rsidR="004466C3">
              <w:t>of</w:t>
            </w:r>
            <w:r w:rsidR="00042363">
              <w:t xml:space="preserve"> a survey </w:t>
            </w:r>
            <w:r w:rsidR="00A36F0F">
              <w:t>of</w:t>
            </w:r>
            <w:r w:rsidR="00E108F2" w:rsidRPr="00E108F2">
              <w:t xml:space="preserve"> members of Blue Voices and/or Roses Ocean </w:t>
            </w:r>
            <w:r w:rsidR="00750A87">
              <w:t xml:space="preserve">(BVRITO) </w:t>
            </w:r>
            <w:r w:rsidR="00E108F2" w:rsidRPr="00E108F2">
              <w:t xml:space="preserve">who have lived experience of suicide. 88 per cent of respondents had no previous engagement with The Way Back. </w:t>
            </w:r>
            <w:r w:rsidR="00457804" w:rsidRPr="00457804">
              <w:t xml:space="preserve">The </w:t>
            </w:r>
            <w:r w:rsidR="00284C3B">
              <w:t>survey respondents</w:t>
            </w:r>
            <w:r w:rsidR="00457804" w:rsidRPr="00457804">
              <w:t xml:space="preserve"> may not be representative of The Way Back participants</w:t>
            </w:r>
            <w:r w:rsidR="00750A87">
              <w:t xml:space="preserve">. </w:t>
            </w:r>
            <w:r w:rsidR="008D1BD2">
              <w:t>Responses from a participant survey (n=79) was also used t</w:t>
            </w:r>
            <w:r w:rsidR="009244F6">
              <w:t>o</w:t>
            </w:r>
            <w:r w:rsidR="009F0D15">
              <w:t xml:space="preserve"> </w:t>
            </w:r>
            <w:r w:rsidR="00A25BA6">
              <w:t>understand participant experiences of The Way Back</w:t>
            </w:r>
            <w:r w:rsidR="00156879">
              <w:t xml:space="preserve">. This may not be representative of all experiences of participants who accessed The Way Back. </w:t>
            </w:r>
            <w:r w:rsidR="00A25BA6">
              <w:t xml:space="preserve"> </w:t>
            </w:r>
            <w:r w:rsidR="009244F6">
              <w:t xml:space="preserve"> </w:t>
            </w:r>
          </w:p>
          <w:p w14:paraId="4F8DED8B" w14:textId="30940B09" w:rsidR="00E179DF" w:rsidRDefault="00731045" w:rsidP="007A7B9F">
            <w:pPr>
              <w:pStyle w:val="TableNText"/>
              <w:keepNext/>
              <w:pageBreakBefore/>
              <w:spacing w:line="257" w:lineRule="auto"/>
            </w:pPr>
            <w:r>
              <w:t xml:space="preserve">The quantitative data </w:t>
            </w:r>
            <w:r w:rsidR="00A25BA6">
              <w:t>was</w:t>
            </w:r>
            <w:r>
              <w:t xml:space="preserve"> supplemented with q</w:t>
            </w:r>
            <w:r w:rsidR="00E43255">
              <w:t>ualitative data from interviews with participants</w:t>
            </w:r>
            <w:r w:rsidR="0098636B">
              <w:t>, referring health providers</w:t>
            </w:r>
            <w:r>
              <w:t xml:space="preserve"> and</w:t>
            </w:r>
            <w:r w:rsidR="0098636B">
              <w:t xml:space="preserve"> service provider staff</w:t>
            </w:r>
            <w:r>
              <w:t>.</w:t>
            </w:r>
          </w:p>
          <w:p w14:paraId="2E951DCC" w14:textId="1C105E10" w:rsidR="0008236A" w:rsidRPr="00B17D0C" w:rsidRDefault="0008236A" w:rsidP="007A7B9F">
            <w:pPr>
              <w:pStyle w:val="TableNText"/>
              <w:keepNext/>
              <w:pageBreakBefore/>
              <w:spacing w:line="257" w:lineRule="auto"/>
              <w:rPr>
                <w:rFonts w:asciiTheme="majorHAnsi" w:hAnsiTheme="majorHAnsi" w:cstheme="majorHAnsi"/>
                <w:bCs/>
                <w:color w:val="00264D" w:themeColor="background2"/>
              </w:rPr>
            </w:pPr>
            <w:r w:rsidRPr="00683FD8">
              <w:t>Refer to</w:t>
            </w:r>
            <w:r>
              <w:t xml:space="preserve"> </w:t>
            </w:r>
            <w:r w:rsidRPr="00C3605C">
              <w:t xml:space="preserve">Appendix </w:t>
            </w:r>
            <w:r w:rsidR="001A1D37">
              <w:t>B</w:t>
            </w:r>
            <w:r>
              <w:t xml:space="preserve"> </w:t>
            </w:r>
            <w:r w:rsidRPr="00683FD8">
              <w:t>for detailed limitations.</w:t>
            </w:r>
          </w:p>
        </w:tc>
      </w:tr>
    </w:tbl>
    <w:p w14:paraId="285A2C67" w14:textId="34A0F19F" w:rsidR="00674D35" w:rsidRPr="00C16408" w:rsidRDefault="00C354C7" w:rsidP="00C16408">
      <w:pPr>
        <w:rPr>
          <w:rStyle w:val="Strong"/>
        </w:rPr>
      </w:pPr>
      <w:r w:rsidRPr="00C16408">
        <w:rPr>
          <w:rStyle w:val="Strong"/>
        </w:rPr>
        <w:t>The participant journey from entry to exit of The Way Back was understood across referral, uptake, and service delivery.</w:t>
      </w:r>
    </w:p>
    <w:p w14:paraId="04996F31" w14:textId="755A5D9A" w:rsidR="00CD671B" w:rsidRDefault="00E650CD" w:rsidP="00674D35">
      <w:proofErr w:type="gramStart"/>
      <w:r>
        <w:t>For the purpose of</w:t>
      </w:r>
      <w:proofErr w:type="gramEnd"/>
      <w:r>
        <w:t xml:space="preserve"> this report, </w:t>
      </w:r>
      <w:r w:rsidR="00674D35">
        <w:t xml:space="preserve">the evaluation has </w:t>
      </w:r>
      <w:r>
        <w:t xml:space="preserve">defined </w:t>
      </w:r>
      <w:r w:rsidR="00AB312F">
        <w:t xml:space="preserve">the participant journey </w:t>
      </w:r>
      <w:r w:rsidR="00A70B60">
        <w:t xml:space="preserve">across </w:t>
      </w:r>
      <w:r w:rsidR="00674D35">
        <w:t xml:space="preserve">three </w:t>
      </w:r>
      <w:r>
        <w:t>stages at which r</w:t>
      </w:r>
      <w:r w:rsidR="00CD671B">
        <w:t xml:space="preserve">eferred persons </w:t>
      </w:r>
      <w:r w:rsidR="00A43FA9">
        <w:t xml:space="preserve">engaged </w:t>
      </w:r>
      <w:r w:rsidR="00CD671B">
        <w:t>(or not)</w:t>
      </w:r>
      <w:r w:rsidR="00586842">
        <w:t xml:space="preserve"> </w:t>
      </w:r>
      <w:r w:rsidR="00CD671B">
        <w:t>with The Way Back:</w:t>
      </w:r>
    </w:p>
    <w:p w14:paraId="5185109C" w14:textId="0BC622E2" w:rsidR="00CD671B" w:rsidRDefault="00EF1AD5" w:rsidP="00CD671B">
      <w:pPr>
        <w:pStyle w:val="Bullet"/>
      </w:pPr>
      <w:r>
        <w:t xml:space="preserve">Inbound referrals - </w:t>
      </w:r>
      <w:r w:rsidR="004B4638">
        <w:t>receiving a referral into the service</w:t>
      </w:r>
      <w:r>
        <w:t xml:space="preserve"> </w:t>
      </w:r>
    </w:p>
    <w:p w14:paraId="6DED852B" w14:textId="6E5145D1" w:rsidR="00CD671B" w:rsidRDefault="00EF1AD5" w:rsidP="00CD671B">
      <w:pPr>
        <w:pStyle w:val="Bullet"/>
      </w:pPr>
      <w:r>
        <w:t xml:space="preserve">Referral uptake - </w:t>
      </w:r>
      <w:r w:rsidR="00693546">
        <w:t xml:space="preserve">accepting a referral </w:t>
      </w:r>
      <w:r w:rsidR="00CD671B">
        <w:t>(or not)</w:t>
      </w:r>
    </w:p>
    <w:p w14:paraId="245EACE2" w14:textId="2D54441F" w:rsidR="00CD671B" w:rsidRDefault="00EF1AD5" w:rsidP="00CD671B">
      <w:pPr>
        <w:pStyle w:val="Bullet"/>
      </w:pPr>
      <w:r>
        <w:t xml:space="preserve">Service delivery – </w:t>
      </w:r>
      <w:r w:rsidR="00693546">
        <w:t>engaging</w:t>
      </w:r>
      <w:r>
        <w:t xml:space="preserve"> </w:t>
      </w:r>
      <w:r w:rsidR="00693546">
        <w:t>with the service</w:t>
      </w:r>
      <w:r w:rsidR="00CD671B">
        <w:t xml:space="preserve"> (if they accept the referral)</w:t>
      </w:r>
      <w:r w:rsidR="00693546">
        <w:t>.</w:t>
      </w:r>
    </w:p>
    <w:p w14:paraId="2CE8ACD1" w14:textId="18D09132" w:rsidR="00603D91" w:rsidRDefault="00FB2F18" w:rsidP="008436B2">
      <w:pPr>
        <w:sectPr w:rsidR="00603D91" w:rsidSect="00F44E1A">
          <w:headerReference w:type="first" r:id="rId52"/>
          <w:footerReference w:type="first" r:id="rId53"/>
          <w:pgSz w:w="11907" w:h="16839" w:code="9"/>
          <w:pgMar w:top="1276" w:right="1418" w:bottom="1134" w:left="1559" w:header="720" w:footer="720" w:gutter="0"/>
          <w:cols w:space="720"/>
          <w:titlePg/>
          <w:docGrid w:linePitch="360"/>
        </w:sectPr>
      </w:pPr>
      <w:r w:rsidRPr="00FB2F18">
        <w:rPr>
          <w:rFonts w:asciiTheme="minorHAnsi" w:hAnsiTheme="minorHAnsi" w:cstheme="minorHAnsi"/>
        </w:rPr>
        <w:fldChar w:fldCharType="begin"/>
      </w:r>
      <w:r w:rsidRPr="00FB2F18">
        <w:rPr>
          <w:rFonts w:asciiTheme="minorHAnsi" w:hAnsiTheme="minorHAnsi" w:cstheme="minorHAnsi"/>
        </w:rPr>
        <w:instrText xml:space="preserve"> REF _Ref106372979 \h </w:instrText>
      </w:r>
      <w:r>
        <w:rPr>
          <w:rFonts w:asciiTheme="minorHAnsi" w:hAnsiTheme="minorHAnsi" w:cstheme="minorHAnsi"/>
        </w:rPr>
        <w:instrText xml:space="preserve"> \* MERGEFORMAT </w:instrText>
      </w:r>
      <w:r w:rsidRPr="00FB2F18">
        <w:rPr>
          <w:rFonts w:asciiTheme="minorHAnsi" w:hAnsiTheme="minorHAnsi" w:cstheme="minorHAnsi"/>
        </w:rPr>
      </w:r>
      <w:r w:rsidRPr="00FB2F18">
        <w:rPr>
          <w:rFonts w:asciiTheme="minorHAnsi" w:hAnsiTheme="minorHAnsi" w:cstheme="minorHAnsi"/>
        </w:rPr>
        <w:fldChar w:fldCharType="separate"/>
      </w:r>
      <w:r w:rsidR="00402362" w:rsidRPr="00402362">
        <w:rPr>
          <w:rStyle w:val="CaptionChar"/>
          <w:rFonts w:asciiTheme="minorHAnsi" w:hAnsiTheme="minorHAnsi" w:cstheme="minorHAnsi"/>
          <w:color w:val="auto"/>
        </w:rPr>
        <w:t xml:space="preserve">Figure </w:t>
      </w:r>
      <w:r w:rsidR="00402362" w:rsidRPr="00402362">
        <w:rPr>
          <w:rFonts w:asciiTheme="minorHAnsi" w:hAnsiTheme="minorHAnsi" w:cstheme="minorHAnsi"/>
          <w:noProof/>
        </w:rPr>
        <w:t>10</w:t>
      </w:r>
      <w:r w:rsidRPr="00FB2F18">
        <w:rPr>
          <w:rFonts w:asciiTheme="minorHAnsi" w:hAnsiTheme="minorHAnsi" w:cstheme="minorHAnsi"/>
        </w:rPr>
        <w:fldChar w:fldCharType="end"/>
      </w:r>
      <w:r w:rsidR="00725846" w:rsidRPr="00725846">
        <w:t xml:space="preserve"> </w:t>
      </w:r>
      <w:r w:rsidR="00CD671B">
        <w:t xml:space="preserve">overleaf provides insights on service use across these three stages. </w:t>
      </w:r>
      <w:r w:rsidR="000100F7">
        <w:t xml:space="preserve">Each </w:t>
      </w:r>
      <w:r w:rsidR="00CD671B">
        <w:t xml:space="preserve">is then </w:t>
      </w:r>
      <w:r w:rsidR="000100F7">
        <w:t xml:space="preserve">explored </w:t>
      </w:r>
      <w:r w:rsidR="00CD671B">
        <w:t xml:space="preserve">in more detail in </w:t>
      </w:r>
      <w:r w:rsidR="00A43FA9">
        <w:t>follow</w:t>
      </w:r>
      <w:r w:rsidR="00A43FA9" w:rsidRPr="00A214D3">
        <w:t>ing sections</w:t>
      </w:r>
      <w:r w:rsidR="000100F7" w:rsidRPr="00A214D3">
        <w:t>.</w:t>
      </w:r>
      <w:r w:rsidR="000100F7">
        <w:t xml:space="preserve"> </w:t>
      </w:r>
    </w:p>
    <w:p w14:paraId="5F4AE73B" w14:textId="18880CC3" w:rsidR="00875565" w:rsidRDefault="43B88062" w:rsidP="74B83E5E">
      <w:pPr>
        <w:rPr>
          <w:noProof/>
        </w:rPr>
      </w:pPr>
      <w:bookmarkStart w:id="78" w:name="_Ref106372979"/>
      <w:r w:rsidRPr="74B83E5E">
        <w:rPr>
          <w:rStyle w:val="CaptionChar"/>
        </w:rPr>
        <w:lastRenderedPageBreak/>
        <w:t>Figure</w:t>
      </w:r>
      <w:r w:rsidRPr="74B83E5E">
        <w:rPr>
          <w:rStyle w:val="CaptionChar"/>
          <w:rFonts w:asciiTheme="majorHAnsi" w:hAnsiTheme="majorHAnsi" w:cstheme="majorBidi"/>
        </w:rPr>
        <w:t xml:space="preserve"> </w:t>
      </w:r>
      <w:r w:rsidR="6A9A9BE0" w:rsidRPr="74B83E5E">
        <w:rPr>
          <w:rStyle w:val="CaptionChar"/>
          <w:rFonts w:asciiTheme="majorHAnsi" w:hAnsiTheme="majorHAnsi" w:cstheme="majorBidi"/>
        </w:rPr>
        <w:fldChar w:fldCharType="begin"/>
      </w:r>
      <w:r w:rsidR="6A9A9BE0" w:rsidRPr="74B83E5E">
        <w:rPr>
          <w:rFonts w:asciiTheme="majorHAnsi" w:hAnsiTheme="majorHAnsi" w:cstheme="majorBidi"/>
          <w:color w:val="00264D" w:themeColor="background2"/>
        </w:rPr>
        <w:instrText xml:space="preserve"> SEQ Figure \* ARABIC </w:instrText>
      </w:r>
      <w:r w:rsidR="6A9A9BE0" w:rsidRPr="74B83E5E">
        <w:rPr>
          <w:rStyle w:val="CaptionChar"/>
          <w:rFonts w:asciiTheme="majorHAnsi" w:hAnsiTheme="majorHAnsi" w:cstheme="majorBidi"/>
        </w:rPr>
        <w:fldChar w:fldCharType="separate"/>
      </w:r>
      <w:r w:rsidR="00402362">
        <w:rPr>
          <w:rFonts w:asciiTheme="majorHAnsi" w:hAnsiTheme="majorHAnsi" w:cstheme="majorBidi"/>
          <w:noProof/>
          <w:color w:val="00264D" w:themeColor="background2"/>
        </w:rPr>
        <w:t>10</w:t>
      </w:r>
      <w:r w:rsidR="6A9A9BE0" w:rsidRPr="74B83E5E">
        <w:rPr>
          <w:rStyle w:val="CaptionChar"/>
          <w:rFonts w:asciiTheme="majorHAnsi" w:hAnsiTheme="majorHAnsi" w:cstheme="majorBidi"/>
        </w:rPr>
        <w:fldChar w:fldCharType="end"/>
      </w:r>
      <w:bookmarkEnd w:id="78"/>
      <w:r w:rsidRPr="74B83E5E">
        <w:rPr>
          <w:rStyle w:val="CaptionChar"/>
        </w:rPr>
        <w:t xml:space="preserve"> | Snapshot of </w:t>
      </w:r>
      <w:r w:rsidR="03F29311" w:rsidRPr="74B83E5E">
        <w:rPr>
          <w:rStyle w:val="CaptionChar"/>
        </w:rPr>
        <w:t xml:space="preserve">service use </w:t>
      </w:r>
      <w:r w:rsidRPr="74B83E5E">
        <w:rPr>
          <w:rStyle w:val="CaptionChar"/>
        </w:rPr>
        <w:t>from referral to exit</w:t>
      </w:r>
    </w:p>
    <w:p w14:paraId="0F0FA4B1" w14:textId="1CA6DA10" w:rsidR="00875565" w:rsidRPr="003D6876" w:rsidRDefault="00875565" w:rsidP="74B83E5E">
      <w:pPr>
        <w:rPr>
          <w:rStyle w:val="CaptionChar"/>
        </w:rPr>
        <w:sectPr w:rsidR="00875565" w:rsidRPr="003D6876" w:rsidSect="006368B6">
          <w:pgSz w:w="16839" w:h="11907" w:orient="landscape" w:code="9"/>
          <w:pgMar w:top="1134" w:right="1134" w:bottom="1134" w:left="1134" w:header="720" w:footer="720" w:gutter="0"/>
          <w:cols w:space="720"/>
          <w:titlePg/>
          <w:docGrid w:linePitch="360"/>
        </w:sectPr>
      </w:pPr>
      <w:r w:rsidRPr="00875565">
        <w:rPr>
          <w:rFonts w:ascii="Segoe UI Semibold" w:hAnsi="Segoe UI Semibold"/>
          <w:bCs/>
          <w:noProof/>
          <w:color w:val="00264D" w:themeColor="background2"/>
          <w:szCs w:val="18"/>
        </w:rPr>
        <w:drawing>
          <wp:inline distT="0" distB="0" distL="0" distR="0" wp14:anchorId="48086B18" wp14:editId="115C88E0">
            <wp:extent cx="9252585" cy="5587365"/>
            <wp:effectExtent l="0" t="0" r="5715" b="0"/>
            <wp:docPr id="458" name="Graphic 458" descr="Figure 10 is an infographic on a snapshot of service use from referral to exit. &#10;It looks at 3 stages:&#10;1. Inbound referrals - receiving a referral into the service &#10;2. Referral uptake - accepting a referral (or not)&#10;3. Service delivery – engaging with the service (if they accept the referral).&#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Graphic 458" descr="Figure 10 is an infographic on a snapshot of service use from referral to exit. &#10;It looks at 3 stages:&#10;1. Inbound referrals - receiving a referral into the service &#10;2. Referral uptake - accepting a referral (or not)&#10;3. Service delivery – engaging with the service (if they accept the referral).&#10;">
                      <a:extLst>
                        <a:ext uri="{C183D7F6-B498-43B3-948B-1728B52AA6E4}">
                          <adec:decorative xmlns:adec="http://schemas.microsoft.com/office/drawing/2017/decorative" val="0"/>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9252585" cy="5587365"/>
                    </a:xfrm>
                    <a:prstGeom prst="rect">
                      <a:avLst/>
                    </a:prstGeom>
                  </pic:spPr>
                </pic:pic>
              </a:graphicData>
            </a:graphic>
          </wp:inline>
        </w:drawing>
      </w:r>
    </w:p>
    <w:p w14:paraId="1C23B88B" w14:textId="7067BD69" w:rsidR="00A42116" w:rsidRPr="00A42116" w:rsidRDefault="006C7B7A" w:rsidP="00B729F5">
      <w:pPr>
        <w:pStyle w:val="Heading2"/>
        <w:numPr>
          <w:ilvl w:val="1"/>
          <w:numId w:val="20"/>
        </w:numPr>
      </w:pPr>
      <w:bookmarkStart w:id="79" w:name="_Ref118207952"/>
      <w:bookmarkStart w:id="80" w:name="_Toc121320685"/>
      <w:r w:rsidRPr="006C7B7A">
        <w:rPr>
          <w:noProof/>
        </w:rPr>
        <w:lastRenderedPageBreak/>
        <w:drawing>
          <wp:anchor distT="0" distB="0" distL="114300" distR="114300" simplePos="0" relativeHeight="251658256" behindDoc="0" locked="0" layoutInCell="1" allowOverlap="1" wp14:anchorId="0467FBE5" wp14:editId="395E66EE">
            <wp:simplePos x="0" y="0"/>
            <wp:positionH relativeFrom="column">
              <wp:posOffset>-608330</wp:posOffset>
            </wp:positionH>
            <wp:positionV relativeFrom="paragraph">
              <wp:posOffset>164769</wp:posOffset>
            </wp:positionV>
            <wp:extent cx="532765" cy="405765"/>
            <wp:effectExtent l="0" t="0" r="635" b="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276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116">
        <w:t>Inbound referrals</w:t>
      </w:r>
      <w:bookmarkEnd w:id="79"/>
      <w:bookmarkEnd w:id="80"/>
      <w:r w:rsidR="00A42116">
        <w:t xml:space="preserve"> </w:t>
      </w:r>
    </w:p>
    <w:p w14:paraId="1BC925E4" w14:textId="06BCB7AF" w:rsidR="00457026" w:rsidRDefault="7CED4578" w:rsidP="00623868">
      <w:pPr>
        <w:pStyle w:val="Heading3"/>
      </w:pPr>
      <w:r>
        <w:t>M</w:t>
      </w:r>
      <w:r w:rsidR="048E512C">
        <w:t xml:space="preserve">ost </w:t>
      </w:r>
      <w:r w:rsidR="14629A63">
        <w:t>participants</w:t>
      </w:r>
      <w:r w:rsidR="048E512C">
        <w:t xml:space="preserve"> </w:t>
      </w:r>
      <w:r w:rsidR="18CBFAAF">
        <w:t>(</w:t>
      </w:r>
      <w:r w:rsidR="68EECAB4">
        <w:t>91</w:t>
      </w:r>
      <w:r w:rsidR="18CBFAAF">
        <w:t xml:space="preserve"> per cent) </w:t>
      </w:r>
      <w:r w:rsidR="68D90D7B">
        <w:t xml:space="preserve">were </w:t>
      </w:r>
      <w:r w:rsidR="048E512C">
        <w:t>referred via a public hospital or mental health service</w:t>
      </w:r>
      <w:r>
        <w:t xml:space="preserve"> – </w:t>
      </w:r>
      <w:r w:rsidR="70AE0479">
        <w:t xml:space="preserve">this </w:t>
      </w:r>
      <w:r w:rsidR="1081A70C">
        <w:t>aligns</w:t>
      </w:r>
      <w:r w:rsidR="70AE0479">
        <w:t xml:space="preserve"> </w:t>
      </w:r>
      <w:r w:rsidR="517A5D69">
        <w:t>with the service</w:t>
      </w:r>
      <w:r w:rsidR="00604225">
        <w:t xml:space="preserve"> model</w:t>
      </w:r>
      <w:r w:rsidR="048E512C">
        <w:t>.</w:t>
      </w:r>
    </w:p>
    <w:p w14:paraId="050D52FC" w14:textId="25FD173A" w:rsidR="003D4662" w:rsidRDefault="0DAE1913" w:rsidP="0006539B">
      <w:r>
        <w:rPr>
          <w:lang w:eastAsia="en-AU"/>
        </w:rPr>
        <w:t xml:space="preserve">Most </w:t>
      </w:r>
      <w:r w:rsidR="3860B196">
        <w:rPr>
          <w:lang w:eastAsia="en-AU"/>
        </w:rPr>
        <w:t>participants</w:t>
      </w:r>
      <w:r>
        <w:rPr>
          <w:lang w:eastAsia="en-AU"/>
        </w:rPr>
        <w:t xml:space="preserve"> who</w:t>
      </w:r>
      <w:r w:rsidDel="00E549C9">
        <w:rPr>
          <w:lang w:eastAsia="en-AU"/>
        </w:rPr>
        <w:t xml:space="preserve"> </w:t>
      </w:r>
      <w:r>
        <w:rPr>
          <w:lang w:eastAsia="en-AU"/>
        </w:rPr>
        <w:t>consented to a referral were referred by a public hospital or public mental health service (7</w:t>
      </w:r>
      <w:r w:rsidR="0D94970D">
        <w:rPr>
          <w:lang w:eastAsia="en-AU"/>
        </w:rPr>
        <w:t>7</w:t>
      </w:r>
      <w:r>
        <w:rPr>
          <w:lang w:eastAsia="en-AU"/>
        </w:rPr>
        <w:t xml:space="preserve"> per cent or </w:t>
      </w:r>
      <w:r w:rsidR="45DFC019">
        <w:rPr>
          <w:lang w:eastAsia="en-AU"/>
        </w:rPr>
        <w:t>6,</w:t>
      </w:r>
      <w:r w:rsidR="46D1D48D">
        <w:rPr>
          <w:lang w:eastAsia="en-AU"/>
        </w:rPr>
        <w:t>793</w:t>
      </w:r>
      <w:r w:rsidR="0D3320C5">
        <w:rPr>
          <w:lang w:eastAsia="en-AU"/>
        </w:rPr>
        <w:t xml:space="preserve"> </w:t>
      </w:r>
      <w:r w:rsidR="3860B196">
        <w:rPr>
          <w:lang w:eastAsia="en-AU"/>
        </w:rPr>
        <w:t>participants</w:t>
      </w:r>
      <w:r>
        <w:rPr>
          <w:lang w:eastAsia="en-AU"/>
        </w:rPr>
        <w:t>).</w:t>
      </w:r>
      <w:r w:rsidR="00E650CD">
        <w:rPr>
          <w:rStyle w:val="FootnoteReference"/>
          <w:lang w:eastAsia="en-AU"/>
        </w:rPr>
        <w:footnoteReference w:id="63"/>
      </w:r>
      <w:r>
        <w:rPr>
          <w:lang w:eastAsia="en-AU"/>
        </w:rPr>
        <w:t xml:space="preserve"> A further </w:t>
      </w:r>
      <w:r w:rsidR="36538B9C">
        <w:rPr>
          <w:lang w:eastAsia="en-AU"/>
        </w:rPr>
        <w:t xml:space="preserve">13 </w:t>
      </w:r>
      <w:r>
        <w:rPr>
          <w:lang w:eastAsia="en-AU"/>
        </w:rPr>
        <w:t xml:space="preserve">per cent </w:t>
      </w:r>
      <w:r w:rsidR="4B1A9FB0">
        <w:rPr>
          <w:lang w:eastAsia="en-AU"/>
        </w:rPr>
        <w:t>we</w:t>
      </w:r>
      <w:r>
        <w:rPr>
          <w:lang w:eastAsia="en-AU"/>
        </w:rPr>
        <w:t>re referred through the emergency department</w:t>
      </w:r>
      <w:r w:rsidR="3ED3FB58">
        <w:rPr>
          <w:lang w:eastAsia="en-AU"/>
        </w:rPr>
        <w:t>.</w:t>
      </w:r>
      <w:r w:rsidR="004D1A34">
        <w:rPr>
          <w:rStyle w:val="FootnoteReference"/>
          <w:lang w:eastAsia="en-AU"/>
        </w:rPr>
        <w:footnoteReference w:id="64"/>
      </w:r>
      <w:r w:rsidR="36538B9C">
        <w:rPr>
          <w:lang w:eastAsia="en-AU"/>
        </w:rPr>
        <w:t xml:space="preserve"> </w:t>
      </w:r>
      <w:r w:rsidR="2F3F3162">
        <w:rPr>
          <w:lang w:eastAsia="en-AU"/>
        </w:rPr>
        <w:t xml:space="preserve">This </w:t>
      </w:r>
      <w:r w:rsidR="7EEBDA6C">
        <w:rPr>
          <w:lang w:eastAsia="en-AU"/>
        </w:rPr>
        <w:t xml:space="preserve">aligns </w:t>
      </w:r>
      <w:r w:rsidR="2F3F3162">
        <w:rPr>
          <w:lang w:eastAsia="en-AU"/>
        </w:rPr>
        <w:t xml:space="preserve">with The Way Back’s </w:t>
      </w:r>
      <w:r w:rsidR="277429F8">
        <w:rPr>
          <w:lang w:eastAsia="en-AU"/>
        </w:rPr>
        <w:t xml:space="preserve">service model to </w:t>
      </w:r>
      <w:r w:rsidR="41AE377D">
        <w:rPr>
          <w:lang w:eastAsia="en-AU"/>
        </w:rPr>
        <w:t xml:space="preserve">connect with those at most risk of suicide and require timely support </w:t>
      </w:r>
      <w:r w:rsidR="2F3F3162">
        <w:rPr>
          <w:lang w:eastAsia="en-AU"/>
        </w:rPr>
        <w:t>(</w:t>
      </w:r>
      <w:proofErr w:type="gramStart"/>
      <w:r w:rsidR="2F3F3162">
        <w:rPr>
          <w:lang w:eastAsia="en-AU"/>
        </w:rPr>
        <w:t>i.e.</w:t>
      </w:r>
      <w:proofErr w:type="gramEnd"/>
      <w:r w:rsidR="2F3F3162">
        <w:rPr>
          <w:lang w:eastAsia="en-AU"/>
        </w:rPr>
        <w:t xml:space="preserve"> </w:t>
      </w:r>
      <w:r w:rsidR="41AE377D">
        <w:rPr>
          <w:lang w:eastAsia="en-AU"/>
        </w:rPr>
        <w:t xml:space="preserve">typically those </w:t>
      </w:r>
      <w:r w:rsidR="2F3F3162">
        <w:rPr>
          <w:lang w:eastAsia="en-AU"/>
        </w:rPr>
        <w:t>presenting at a hospital</w:t>
      </w:r>
      <w:r w:rsidR="7EEBDA6C">
        <w:rPr>
          <w:lang w:eastAsia="en-AU"/>
        </w:rPr>
        <w:t xml:space="preserve">, </w:t>
      </w:r>
      <w:r w:rsidR="41AE377D">
        <w:rPr>
          <w:lang w:eastAsia="en-AU"/>
        </w:rPr>
        <w:t>or e</w:t>
      </w:r>
      <w:r w:rsidR="7EEBDA6C">
        <w:rPr>
          <w:lang w:eastAsia="en-AU"/>
        </w:rPr>
        <w:t xml:space="preserve">mergency department). </w:t>
      </w:r>
      <w:r w:rsidR="3F26D0B6">
        <w:rPr>
          <w:lang w:eastAsia="en-AU"/>
        </w:rPr>
        <w:t>The</w:t>
      </w:r>
      <w:r w:rsidR="7243EAC1">
        <w:rPr>
          <w:lang w:eastAsia="en-AU"/>
        </w:rPr>
        <w:t xml:space="preserve"> remaining </w:t>
      </w:r>
      <w:r w:rsidR="00AD4AB0">
        <w:rPr>
          <w:lang w:eastAsia="en-AU"/>
        </w:rPr>
        <w:t>9</w:t>
      </w:r>
      <w:r w:rsidR="0068394A">
        <w:rPr>
          <w:lang w:eastAsia="en-AU"/>
        </w:rPr>
        <w:t xml:space="preserve"> </w:t>
      </w:r>
      <w:r w:rsidR="7243EAC1">
        <w:rPr>
          <w:lang w:eastAsia="en-AU"/>
        </w:rPr>
        <w:t>per cent of</w:t>
      </w:r>
      <w:r>
        <w:rPr>
          <w:lang w:eastAsia="en-AU"/>
        </w:rPr>
        <w:t xml:space="preserve"> </w:t>
      </w:r>
      <w:r w:rsidR="3860B196">
        <w:rPr>
          <w:lang w:eastAsia="en-AU"/>
        </w:rPr>
        <w:t>participants</w:t>
      </w:r>
      <w:r>
        <w:rPr>
          <w:lang w:eastAsia="en-AU"/>
        </w:rPr>
        <w:t xml:space="preserve"> </w:t>
      </w:r>
      <w:r w:rsidR="4B1A9FB0">
        <w:rPr>
          <w:lang w:eastAsia="en-AU"/>
        </w:rPr>
        <w:t>we</w:t>
      </w:r>
      <w:r>
        <w:rPr>
          <w:lang w:eastAsia="en-AU"/>
        </w:rPr>
        <w:t>re</w:t>
      </w:r>
      <w:r w:rsidR="4ADF2583">
        <w:rPr>
          <w:lang w:eastAsia="en-AU"/>
        </w:rPr>
        <w:t xml:space="preserve"> referred from other sources, including</w:t>
      </w:r>
      <w:r>
        <w:rPr>
          <w:lang w:eastAsia="en-AU"/>
        </w:rPr>
        <w:t xml:space="preserve"> self-referred</w:t>
      </w:r>
      <w:r w:rsidR="7CD8869F">
        <w:rPr>
          <w:lang w:eastAsia="en-AU"/>
        </w:rPr>
        <w:t>,</w:t>
      </w:r>
      <w:r w:rsidR="561A634F">
        <w:rPr>
          <w:lang w:eastAsia="en-AU"/>
        </w:rPr>
        <w:t xml:space="preserve"> </w:t>
      </w:r>
      <w:r w:rsidR="561A634F" w:rsidDel="005744C5">
        <w:rPr>
          <w:lang w:eastAsia="en-AU"/>
        </w:rPr>
        <w:t>(</w:t>
      </w:r>
      <w:r w:rsidR="00AD4AB0">
        <w:rPr>
          <w:lang w:eastAsia="en-AU"/>
        </w:rPr>
        <w:t>4</w:t>
      </w:r>
      <w:r w:rsidR="0068394A">
        <w:rPr>
          <w:lang w:eastAsia="en-AU"/>
        </w:rPr>
        <w:t xml:space="preserve"> </w:t>
      </w:r>
      <w:r w:rsidR="312B59B8" w:rsidDel="005744C5">
        <w:rPr>
          <w:lang w:eastAsia="en-AU"/>
        </w:rPr>
        <w:t>per cent</w:t>
      </w:r>
      <w:r w:rsidR="73F08D91">
        <w:rPr>
          <w:lang w:eastAsia="en-AU"/>
        </w:rPr>
        <w:t>)</w:t>
      </w:r>
      <w:r w:rsidDel="005744C5">
        <w:rPr>
          <w:lang w:eastAsia="en-AU"/>
        </w:rPr>
        <w:t xml:space="preserve"> </w:t>
      </w:r>
      <w:r>
        <w:rPr>
          <w:lang w:eastAsia="en-AU"/>
        </w:rPr>
        <w:t xml:space="preserve">referred through a </w:t>
      </w:r>
      <w:r w:rsidRPr="002F7F78">
        <w:rPr>
          <w:lang w:eastAsia="en-AU"/>
        </w:rPr>
        <w:t>GP</w:t>
      </w:r>
      <w:r w:rsidR="007D0B27">
        <w:rPr>
          <w:lang w:eastAsia="en-AU"/>
        </w:rPr>
        <w:t>,</w:t>
      </w:r>
      <w:r w:rsidRPr="002F7F78">
        <w:rPr>
          <w:lang w:eastAsia="en-AU"/>
        </w:rPr>
        <w:t xml:space="preserve"> </w:t>
      </w:r>
      <w:r w:rsidR="561A634F" w:rsidRPr="002F7F78" w:rsidDel="00D4680D">
        <w:rPr>
          <w:lang w:eastAsia="en-AU"/>
        </w:rPr>
        <w:t>(</w:t>
      </w:r>
      <w:r w:rsidR="312B59B8" w:rsidRPr="002F7F78" w:rsidDel="00D4680D">
        <w:rPr>
          <w:lang w:eastAsia="en-AU"/>
        </w:rPr>
        <w:t xml:space="preserve">less than </w:t>
      </w:r>
      <w:r w:rsidR="00AD4AB0">
        <w:rPr>
          <w:lang w:eastAsia="en-AU"/>
        </w:rPr>
        <w:t xml:space="preserve">1 </w:t>
      </w:r>
      <w:r w:rsidR="312B59B8" w:rsidRPr="002F7F78" w:rsidDel="00D4680D">
        <w:rPr>
          <w:lang w:eastAsia="en-AU"/>
        </w:rPr>
        <w:t>per cent</w:t>
      </w:r>
      <w:r w:rsidR="561A634F" w:rsidRPr="002F7F78" w:rsidDel="00D4680D">
        <w:rPr>
          <w:lang w:eastAsia="en-AU"/>
        </w:rPr>
        <w:t xml:space="preserve">) </w:t>
      </w:r>
      <w:r w:rsidRPr="002F7F78">
        <w:rPr>
          <w:lang w:eastAsia="en-AU"/>
        </w:rPr>
        <w:t>or by</w:t>
      </w:r>
      <w:r>
        <w:rPr>
          <w:lang w:eastAsia="en-AU"/>
        </w:rPr>
        <w:t xml:space="preserve"> a community </w:t>
      </w:r>
      <w:r w:rsidRPr="003D4750">
        <w:rPr>
          <w:lang w:eastAsia="en-AU"/>
        </w:rPr>
        <w:t xml:space="preserve">organisation </w:t>
      </w:r>
      <w:r w:rsidRPr="003D4750" w:rsidDel="00A52E6A">
        <w:rPr>
          <w:lang w:eastAsia="en-AU"/>
        </w:rPr>
        <w:t>(</w:t>
      </w:r>
      <w:r w:rsidR="4F8712BF" w:rsidRPr="003D4750" w:rsidDel="00A52E6A">
        <w:rPr>
          <w:lang w:eastAsia="en-AU"/>
        </w:rPr>
        <w:t>1</w:t>
      </w:r>
      <w:r w:rsidR="1D0003F5">
        <w:rPr>
          <w:lang w:eastAsia="en-AU"/>
        </w:rPr>
        <w:t>.5</w:t>
      </w:r>
      <w:r w:rsidR="4F8712BF" w:rsidRPr="003D4750" w:rsidDel="00A52E6A">
        <w:rPr>
          <w:lang w:eastAsia="en-AU"/>
        </w:rPr>
        <w:t xml:space="preserve"> per cent</w:t>
      </w:r>
      <w:r w:rsidRPr="003D4750" w:rsidDel="00A52E6A">
        <w:rPr>
          <w:lang w:eastAsia="en-AU"/>
        </w:rPr>
        <w:t>).</w:t>
      </w:r>
      <w:r w:rsidR="0006539B" w:rsidRPr="003D4750" w:rsidDel="00A52E6A">
        <w:rPr>
          <w:rStyle w:val="FootnoteReference"/>
          <w:lang w:eastAsia="en-AU"/>
        </w:rPr>
        <w:footnoteReference w:id="65"/>
      </w:r>
      <w:r w:rsidRPr="003D4750" w:rsidDel="00A52E6A">
        <w:rPr>
          <w:lang w:eastAsia="en-AU"/>
        </w:rPr>
        <w:t xml:space="preserve"> </w:t>
      </w:r>
      <w:r w:rsidR="73F08D91">
        <w:t>I</w:t>
      </w:r>
      <w:r w:rsidR="42858805">
        <w:t>t should be noted that the core</w:t>
      </w:r>
      <w:r w:rsidR="5F625BE4">
        <w:t xml:space="preserve"> </w:t>
      </w:r>
      <w:r w:rsidR="42858805">
        <w:t>service model</w:t>
      </w:r>
      <w:r w:rsidR="6DD18224">
        <w:t xml:space="preserve"> </w:t>
      </w:r>
      <w:r w:rsidR="36538B9C">
        <w:t>did</w:t>
      </w:r>
      <w:r w:rsidR="6DD18224">
        <w:t xml:space="preserve"> not allow for participants to self-refer into The Way Back</w:t>
      </w:r>
      <w:r w:rsidR="0068394A">
        <w:t>.</w:t>
      </w:r>
      <w:r w:rsidR="00A33C1C">
        <w:rPr>
          <w:rStyle w:val="FootnoteReference"/>
        </w:rPr>
        <w:footnoteReference w:id="66"/>
      </w:r>
      <w:r w:rsidR="0068394A">
        <w:t xml:space="preserve"> </w:t>
      </w:r>
      <w:r w:rsidR="5F75820B">
        <w:t xml:space="preserve">There </w:t>
      </w:r>
      <w:r w:rsidR="36538B9C">
        <w:t>was</w:t>
      </w:r>
      <w:r w:rsidR="5F75820B">
        <w:t xml:space="preserve"> no information available to the </w:t>
      </w:r>
      <w:r w:rsidR="713230F4">
        <w:t xml:space="preserve">evaluation </w:t>
      </w:r>
      <w:r w:rsidR="5F75820B">
        <w:t>to understand</w:t>
      </w:r>
      <w:r w:rsidR="713230F4">
        <w:t xml:space="preserve"> </w:t>
      </w:r>
      <w:r w:rsidR="4DE55FC1">
        <w:t xml:space="preserve">under what circumstances or how </w:t>
      </w:r>
      <w:r w:rsidR="5348DB91">
        <w:t xml:space="preserve">self-referrals </w:t>
      </w:r>
      <w:r w:rsidR="4DE55FC1">
        <w:t>occurred</w:t>
      </w:r>
      <w:r w:rsidR="5F75820B">
        <w:t>. It</w:t>
      </w:r>
      <w:r w:rsidR="5348DB91">
        <w:t xml:space="preserve"> is hypothesised </w:t>
      </w:r>
      <w:r w:rsidR="48B637ED">
        <w:t xml:space="preserve">that </w:t>
      </w:r>
      <w:r w:rsidR="14F9AF73">
        <w:t>providers accepted</w:t>
      </w:r>
      <w:r w:rsidR="48B637ED">
        <w:t xml:space="preserve"> </w:t>
      </w:r>
      <w:r w:rsidR="4BE3920A">
        <w:t xml:space="preserve">participants </w:t>
      </w:r>
      <w:r w:rsidR="14F9AF73">
        <w:t>who requested support</w:t>
      </w:r>
      <w:r w:rsidR="1F85AF87">
        <w:t xml:space="preserve"> directly</w:t>
      </w:r>
      <w:r w:rsidR="14F9AF73">
        <w:t xml:space="preserve"> as </w:t>
      </w:r>
      <w:r w:rsidR="48D39799">
        <w:t xml:space="preserve">it would be inappropriate to turn away </w:t>
      </w:r>
      <w:r w:rsidR="48B637ED">
        <w:t xml:space="preserve">someone </w:t>
      </w:r>
      <w:r w:rsidR="48D39799">
        <w:t xml:space="preserve">who </w:t>
      </w:r>
      <w:r w:rsidR="48B637ED">
        <w:t xml:space="preserve">was </w:t>
      </w:r>
      <w:r w:rsidR="48D39799">
        <w:t>experiencing a suicidal crisis</w:t>
      </w:r>
      <w:r w:rsidR="14F9AF73">
        <w:t xml:space="preserve"> and was seeking support</w:t>
      </w:r>
      <w:r w:rsidR="32485D74">
        <w:t>.</w:t>
      </w:r>
    </w:p>
    <w:p w14:paraId="4BA942BB" w14:textId="787A7DFB" w:rsidR="009455B4" w:rsidRDefault="73D03A7D" w:rsidP="0006539B">
      <w:r w:rsidRPr="0015731C">
        <w:t xml:space="preserve">Overall, </w:t>
      </w:r>
      <w:r>
        <w:t>51</w:t>
      </w:r>
      <w:r w:rsidRPr="0015731C">
        <w:t xml:space="preserve"> per cent of</w:t>
      </w:r>
      <w:r>
        <w:t xml:space="preserve"> participants who </w:t>
      </w:r>
      <w:r w:rsidRPr="003E13CC">
        <w:t>accepted</w:t>
      </w:r>
      <w:r w:rsidRPr="00097705">
        <w:t xml:space="preserve"> a referral</w:t>
      </w:r>
      <w:r>
        <w:t xml:space="preserve"> (4,725</w:t>
      </w:r>
      <w:r w:rsidRPr="005230C4">
        <w:t xml:space="preserve"> </w:t>
      </w:r>
      <w:r>
        <w:t>participants</w:t>
      </w:r>
      <w:r w:rsidRPr="005230C4">
        <w:t xml:space="preserve">) were referred based on the primary eligibility criteria </w:t>
      </w:r>
      <w:r w:rsidRPr="00A4292A">
        <w:t xml:space="preserve">and </w:t>
      </w:r>
      <w:r>
        <w:t>49</w:t>
      </w:r>
      <w:r w:rsidRPr="00A4292A">
        <w:t xml:space="preserve"> per cent were</w:t>
      </w:r>
      <w:r w:rsidRPr="005230C4">
        <w:t xml:space="preserve"> referred based on the secondary </w:t>
      </w:r>
      <w:r w:rsidRPr="00A4292A">
        <w:t>criteria (</w:t>
      </w:r>
      <w:r>
        <w:t>4,503</w:t>
      </w:r>
      <w:r w:rsidRPr="00A4292A">
        <w:t xml:space="preserve"> </w:t>
      </w:r>
      <w:r>
        <w:t>participants</w:t>
      </w:r>
      <w:r w:rsidRPr="00A4292A">
        <w:t>).</w:t>
      </w:r>
      <w:r w:rsidR="009455B4" w:rsidRPr="00A4292A">
        <w:rPr>
          <w:rStyle w:val="FootnoteReference"/>
          <w:lang w:eastAsia="en-AU"/>
        </w:rPr>
        <w:footnoteReference w:id="67"/>
      </w:r>
      <w:r w:rsidRPr="00A4292A">
        <w:t xml:space="preserve"> This</w:t>
      </w:r>
      <w:r>
        <w:t xml:space="preserve"> varies significantly across sites; for example,</w:t>
      </w:r>
      <w:r w:rsidR="0CB97F90">
        <w:t xml:space="preserve"> </w:t>
      </w:r>
      <w:r>
        <w:t>97 per cent of people were referred based on the primary eligibility criteria in Cairns, compared to 29 per cent in Western Sydney.</w:t>
      </w:r>
      <w:r w:rsidR="002F75C5">
        <w:t xml:space="preserve"> Consultations with providers highlighted that this</w:t>
      </w:r>
      <w:r>
        <w:t xml:space="preserve"> </w:t>
      </w:r>
      <w:r w:rsidR="002F75C5">
        <w:t xml:space="preserve">likely </w:t>
      </w:r>
      <w:r>
        <w:t>reflect</w:t>
      </w:r>
      <w:r w:rsidR="002F75C5">
        <w:t>s</w:t>
      </w:r>
      <w:r w:rsidDel="002F75C5">
        <w:t xml:space="preserve"> </w:t>
      </w:r>
      <w:r>
        <w:t xml:space="preserve">the prioritisation of referrals based on eligibility criteria to manage demand (as outlined in </w:t>
      </w:r>
      <w:r w:rsidR="4750D3D4">
        <w:t>s</w:t>
      </w:r>
      <w:r>
        <w:t>ection</w:t>
      </w:r>
      <w:r w:rsidR="6E86576B">
        <w:t xml:space="preserve"> </w:t>
      </w:r>
      <w:r w:rsidR="002A54AA">
        <w:fldChar w:fldCharType="begin"/>
      </w:r>
      <w:r w:rsidR="002A54AA">
        <w:instrText xml:space="preserve"> REF _Ref121308971 \n \h </w:instrText>
      </w:r>
      <w:r w:rsidR="002A54AA">
        <w:fldChar w:fldCharType="separate"/>
      </w:r>
      <w:r w:rsidR="00402362">
        <w:t>5.2</w:t>
      </w:r>
      <w:r w:rsidR="002A54AA">
        <w:fldChar w:fldCharType="end"/>
      </w:r>
      <w:r w:rsidRPr="00471A45">
        <w:t>) t</w:t>
      </w:r>
      <w:r>
        <w:t xml:space="preserve">hough most sites did not identify a defined approach to prioritisation of entry criteria.   </w:t>
      </w:r>
    </w:p>
    <w:p w14:paraId="0AAE746E" w14:textId="2B2897BE" w:rsidR="0039125E" w:rsidRDefault="0039125E" w:rsidP="00623868">
      <w:pPr>
        <w:pStyle w:val="Heading3"/>
      </w:pPr>
      <w:r>
        <w:t xml:space="preserve">There is an opportunity to expand referral pathways to </w:t>
      </w:r>
      <w:r w:rsidR="00C7687C">
        <w:t xml:space="preserve">improve </w:t>
      </w:r>
      <w:r w:rsidR="00EF1B35">
        <w:t xml:space="preserve">people’s access to </w:t>
      </w:r>
      <w:r>
        <w:t>The Way Back</w:t>
      </w:r>
      <w:r w:rsidR="004710C1">
        <w:t>.</w:t>
      </w:r>
    </w:p>
    <w:p w14:paraId="1A4DCE87" w14:textId="4A027883" w:rsidR="0006539B" w:rsidRDefault="0BB0DAD3" w:rsidP="0006539B">
      <w:r w:rsidRPr="5F0B1C35">
        <w:rPr>
          <w:lang w:eastAsia="en-AU"/>
        </w:rPr>
        <w:t>While</w:t>
      </w:r>
      <w:r w:rsidR="4A961FB7" w:rsidRPr="5F0B1C35">
        <w:rPr>
          <w:lang w:eastAsia="en-AU"/>
        </w:rPr>
        <w:t xml:space="preserve"> the distribution of referral sources</w:t>
      </w:r>
      <w:r w:rsidRPr="5F0B1C35">
        <w:rPr>
          <w:lang w:eastAsia="en-AU"/>
        </w:rPr>
        <w:t xml:space="preserve"> was </w:t>
      </w:r>
      <w:r w:rsidR="004C50E6">
        <w:rPr>
          <w:lang w:eastAsia="en-AU"/>
        </w:rPr>
        <w:t xml:space="preserve">reasonably </w:t>
      </w:r>
      <w:r w:rsidRPr="5F0B1C35">
        <w:rPr>
          <w:lang w:eastAsia="en-AU"/>
        </w:rPr>
        <w:t xml:space="preserve">consistent across </w:t>
      </w:r>
      <w:r w:rsidR="004C50E6">
        <w:rPr>
          <w:lang w:eastAsia="en-AU"/>
        </w:rPr>
        <w:t>most</w:t>
      </w:r>
      <w:r w:rsidR="004C50E6" w:rsidRPr="5F0B1C35">
        <w:rPr>
          <w:lang w:eastAsia="en-AU"/>
        </w:rPr>
        <w:t xml:space="preserve"> </w:t>
      </w:r>
      <w:r w:rsidRPr="5F0B1C35">
        <w:rPr>
          <w:lang w:eastAsia="en-AU"/>
        </w:rPr>
        <w:t xml:space="preserve">sites, many </w:t>
      </w:r>
      <w:r w:rsidR="36BD31E0">
        <w:t>participants</w:t>
      </w:r>
      <w:r w:rsidR="7C668542">
        <w:t xml:space="preserve">, </w:t>
      </w:r>
      <w:r>
        <w:t xml:space="preserve">providers and referring health organisations </w:t>
      </w:r>
      <w:r w:rsidR="3F526307">
        <w:t xml:space="preserve">in consultations </w:t>
      </w:r>
      <w:r>
        <w:t>noted the</w:t>
      </w:r>
      <w:r w:rsidR="7C668542">
        <w:t>re may be</w:t>
      </w:r>
      <w:r>
        <w:t xml:space="preserve"> value </w:t>
      </w:r>
      <w:r w:rsidR="7C668542">
        <w:t>in</w:t>
      </w:r>
      <w:r>
        <w:t xml:space="preserve"> </w:t>
      </w:r>
      <w:r w:rsidR="7EFD9BAA">
        <w:t xml:space="preserve">having </w:t>
      </w:r>
      <w:r w:rsidR="6B4AA753">
        <w:t>other</w:t>
      </w:r>
      <w:r>
        <w:t xml:space="preserve"> referral pathways</w:t>
      </w:r>
      <w:r w:rsidR="2E21710A">
        <w:t>,</w:t>
      </w:r>
      <w:r>
        <w:t xml:space="preserve"> such as crisis hotlines</w:t>
      </w:r>
      <w:r w:rsidR="2E21710A">
        <w:t>,</w:t>
      </w:r>
      <w:r>
        <w:t xml:space="preserve"> to enable better access and reach to The Way Back.</w:t>
      </w:r>
      <w:r w:rsidR="53CA191C">
        <w:t xml:space="preserve"> </w:t>
      </w:r>
      <w:r w:rsidR="058D8AB9">
        <w:t>Providers and participants highlighted that this would improve accessibility of The Way Back for specific cohorts (</w:t>
      </w:r>
      <w:r w:rsidR="00D76172">
        <w:t>for example</w:t>
      </w:r>
      <w:r w:rsidR="058D8AB9">
        <w:t xml:space="preserve"> Aboriginal and Torres Strait Islander people) who would not typically </w:t>
      </w:r>
      <w:r w:rsidR="42153634">
        <w:t xml:space="preserve">access public hospitals or emergency departments </w:t>
      </w:r>
      <w:r w:rsidR="71BBF6B3">
        <w:t xml:space="preserve">during a suicidal crisis. </w:t>
      </w:r>
      <w:r w:rsidR="1FBB765D">
        <w:t xml:space="preserve">The evaluation </w:t>
      </w:r>
      <w:r w:rsidR="5D7E5D87">
        <w:t>recommends</w:t>
      </w:r>
      <w:r w:rsidR="1FBB765D">
        <w:t xml:space="preserve"> </w:t>
      </w:r>
      <w:r w:rsidR="298B8F3B">
        <w:t xml:space="preserve">that The Way Back expand </w:t>
      </w:r>
      <w:r w:rsidR="5D7E5D87">
        <w:t xml:space="preserve">inbound </w:t>
      </w:r>
      <w:r w:rsidR="298B8F3B">
        <w:t>referral pathways</w:t>
      </w:r>
      <w:r w:rsidR="00B92488">
        <w:t xml:space="preserve"> (</w:t>
      </w:r>
      <w:r w:rsidR="5C82BF5A">
        <w:t xml:space="preserve">see section </w:t>
      </w:r>
      <w:r w:rsidR="00BF6FE3">
        <w:fldChar w:fldCharType="begin"/>
      </w:r>
      <w:r w:rsidR="00BF6FE3">
        <w:instrText xml:space="preserve"> REF _Ref118285879 \n \h </w:instrText>
      </w:r>
      <w:r w:rsidR="00BF6FE3">
        <w:fldChar w:fldCharType="separate"/>
      </w:r>
      <w:r w:rsidR="00402362">
        <w:t>10.1</w:t>
      </w:r>
      <w:r w:rsidR="00BF6FE3">
        <w:fldChar w:fldCharType="end"/>
      </w:r>
      <w:r w:rsidR="5C82BF5A">
        <w:t>, recommendation 1</w:t>
      </w:r>
      <w:r w:rsidR="19A4097B">
        <w:t>).</w:t>
      </w:r>
      <w:r w:rsidR="298B8F3B">
        <w:t xml:space="preserve"> </w:t>
      </w:r>
    </w:p>
    <w:p w14:paraId="48D5EAE2" w14:textId="77777777" w:rsidR="00CB0C9C" w:rsidRDefault="00FB32AD">
      <w:pPr>
        <w:spacing w:after="165" w:line="259" w:lineRule="auto"/>
      </w:pPr>
      <w:r>
        <w:br w:type="page"/>
      </w:r>
    </w:p>
    <w:p w14:paraId="0BE5A04E" w14:textId="0043EC89" w:rsidR="00B20581" w:rsidRDefault="00C00DB8" w:rsidP="002B2990">
      <w:pPr>
        <w:pStyle w:val="Heading2"/>
      </w:pPr>
      <w:bookmarkStart w:id="81" w:name="_Ref118312012"/>
      <w:bookmarkStart w:id="82" w:name="_Toc121320686"/>
      <w:r w:rsidRPr="00C00DB8">
        <w:rPr>
          <w:noProof/>
        </w:rPr>
        <w:lastRenderedPageBreak/>
        <w:drawing>
          <wp:anchor distT="0" distB="0" distL="114300" distR="114300" simplePos="0" relativeHeight="251658257" behindDoc="0" locked="0" layoutInCell="1" allowOverlap="1" wp14:anchorId="07CC2995" wp14:editId="759F88B5">
            <wp:simplePos x="0" y="0"/>
            <wp:positionH relativeFrom="column">
              <wp:posOffset>-616309</wp:posOffset>
            </wp:positionH>
            <wp:positionV relativeFrom="paragraph">
              <wp:posOffset>180313</wp:posOffset>
            </wp:positionV>
            <wp:extent cx="532765" cy="405765"/>
            <wp:effectExtent l="0" t="0" r="635"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276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0581">
        <w:t>Service uptake</w:t>
      </w:r>
      <w:bookmarkEnd w:id="81"/>
      <w:bookmarkEnd w:id="82"/>
      <w:r w:rsidR="00B20581">
        <w:t xml:space="preserve"> </w:t>
      </w:r>
    </w:p>
    <w:p w14:paraId="0DBF799C" w14:textId="7FDB586D" w:rsidR="003A38E6" w:rsidRPr="003A38E6" w:rsidRDefault="00A80B6B" w:rsidP="00623868">
      <w:pPr>
        <w:pStyle w:val="Heading3"/>
        <w:rPr>
          <w:b/>
        </w:rPr>
      </w:pPr>
      <w:r w:rsidRPr="001C5575">
        <w:t xml:space="preserve">Uptake of referrals to The Way Back exceeded the </w:t>
      </w:r>
      <w:r w:rsidR="00D7579D">
        <w:t xml:space="preserve">uptake of aftercare </w:t>
      </w:r>
      <w:r>
        <w:t>rates identified</w:t>
      </w:r>
      <w:r w:rsidRPr="001C5575">
        <w:t xml:space="preserve"> by the Productivity Commission</w:t>
      </w:r>
      <w:r>
        <w:t xml:space="preserve"> </w:t>
      </w:r>
      <w:r w:rsidRPr="001C5575">
        <w:t xml:space="preserve">but were less than those reported in the Hunter </w:t>
      </w:r>
      <w:r w:rsidR="0024469D" w:rsidRPr="001C5575">
        <w:t>Evaluation</w:t>
      </w:r>
      <w:r w:rsidR="0024469D">
        <w:t>.</w:t>
      </w:r>
      <w:bookmarkStart w:id="83" w:name="_Hlk105657787"/>
    </w:p>
    <w:p w14:paraId="344DE341" w14:textId="73D1D697" w:rsidR="005D2B3F" w:rsidRDefault="16E1ADC8" w:rsidP="00513945">
      <w:bookmarkStart w:id="84" w:name="_Hlk110596088"/>
      <w:bookmarkEnd w:id="83"/>
      <w:r>
        <w:rPr>
          <w:lang w:eastAsia="en-AU"/>
        </w:rPr>
        <w:t>Seventy</w:t>
      </w:r>
      <w:r w:rsidR="202EDDCD">
        <w:rPr>
          <w:lang w:eastAsia="en-AU"/>
        </w:rPr>
        <w:t>-</w:t>
      </w:r>
      <w:r>
        <w:rPr>
          <w:lang w:eastAsia="en-AU"/>
        </w:rPr>
        <w:t>nine</w:t>
      </w:r>
      <w:r w:rsidRPr="00172D65">
        <w:rPr>
          <w:lang w:eastAsia="en-AU"/>
        </w:rPr>
        <w:t xml:space="preserve"> </w:t>
      </w:r>
      <w:r w:rsidR="6A19A098" w:rsidRPr="00172D65">
        <w:rPr>
          <w:lang w:eastAsia="en-AU"/>
        </w:rPr>
        <w:t>per cent of those referred to The Way Back consented to participate in the service (based on a sample</w:t>
      </w:r>
      <w:r w:rsidR="6A19A098">
        <w:rPr>
          <w:lang w:eastAsia="en-AU"/>
        </w:rPr>
        <w:t xml:space="preserve"> of supplementary data between </w:t>
      </w:r>
      <w:r w:rsidR="16D953FA" w:rsidRPr="006C3820">
        <w:rPr>
          <w:lang w:eastAsia="en-AU"/>
        </w:rPr>
        <w:t>June 2021</w:t>
      </w:r>
      <w:r w:rsidR="6A19A098" w:rsidRPr="006C3820">
        <w:rPr>
          <w:lang w:eastAsia="en-AU"/>
        </w:rPr>
        <w:t xml:space="preserve"> and </w:t>
      </w:r>
      <w:r w:rsidR="16D953FA" w:rsidRPr="006C3820">
        <w:rPr>
          <w:lang w:eastAsia="en-AU"/>
        </w:rPr>
        <w:t>July</w:t>
      </w:r>
      <w:r w:rsidR="6A19A098" w:rsidRPr="006C3820">
        <w:rPr>
          <w:lang w:eastAsia="en-AU"/>
        </w:rPr>
        <w:t xml:space="preserve"> </w:t>
      </w:r>
      <w:r w:rsidR="16D953FA" w:rsidRPr="006C3820">
        <w:rPr>
          <w:lang w:eastAsia="en-AU"/>
        </w:rPr>
        <w:t>2022</w:t>
      </w:r>
      <w:r w:rsidR="6A19A098" w:rsidRPr="006C3820">
        <w:rPr>
          <w:lang w:eastAsia="en-AU"/>
        </w:rPr>
        <w:t>.</w:t>
      </w:r>
      <w:r w:rsidR="008D012E" w:rsidRPr="006C3820">
        <w:rPr>
          <w:rStyle w:val="FootnoteReference"/>
          <w:lang w:eastAsia="en-AU"/>
        </w:rPr>
        <w:footnoteReference w:id="68"/>
      </w:r>
      <w:r w:rsidR="6A19A098">
        <w:rPr>
          <w:lang w:eastAsia="en-AU"/>
        </w:rPr>
        <w:t xml:space="preserve"> </w:t>
      </w:r>
      <w:r w:rsidR="7CBAC56A">
        <w:rPr>
          <w:lang w:eastAsia="en-AU"/>
        </w:rPr>
        <w:t xml:space="preserve">This </w:t>
      </w:r>
      <w:r w:rsidR="48770A1A">
        <w:rPr>
          <w:lang w:eastAsia="en-AU"/>
        </w:rPr>
        <w:t>was</w:t>
      </w:r>
      <w:r w:rsidR="7CBAC56A">
        <w:rPr>
          <w:lang w:eastAsia="en-AU"/>
        </w:rPr>
        <w:t xml:space="preserve"> </w:t>
      </w:r>
      <w:proofErr w:type="gramStart"/>
      <w:r w:rsidR="00515208">
        <w:rPr>
          <w:lang w:eastAsia="en-AU"/>
        </w:rPr>
        <w:t>similar to</w:t>
      </w:r>
      <w:proofErr w:type="gramEnd"/>
      <w:r w:rsidR="7CBAC56A">
        <w:rPr>
          <w:lang w:eastAsia="en-AU"/>
        </w:rPr>
        <w:t xml:space="preserve"> the uptake</w:t>
      </w:r>
      <w:r w:rsidR="7CBAC56A" w:rsidRPr="00A32150">
        <w:t xml:space="preserve"> rates reported for suicide aftercare services in the Hunter Evaluation (81 per cent)</w:t>
      </w:r>
      <w:r w:rsidR="00E05A46" w:rsidRPr="00DE71C1">
        <w:rPr>
          <w:vertAlign w:val="superscript"/>
        </w:rPr>
        <w:footnoteReference w:id="69"/>
      </w:r>
      <w:r w:rsidR="7CBAC56A">
        <w:t xml:space="preserve"> and higher than those stated by t</w:t>
      </w:r>
      <w:r w:rsidR="7CBAC56A" w:rsidRPr="00A32150">
        <w:t xml:space="preserve">he </w:t>
      </w:r>
      <w:r w:rsidR="7CBAC56A" w:rsidRPr="0C58547B">
        <w:rPr>
          <w:i/>
          <w:iCs/>
        </w:rPr>
        <w:t>Productivity Commission Inquiry</w:t>
      </w:r>
      <w:r w:rsidR="7CBAC56A">
        <w:t>, which reported that</w:t>
      </w:r>
      <w:r w:rsidR="7CBAC56A" w:rsidRPr="00A32150">
        <w:t xml:space="preserve"> half of </w:t>
      </w:r>
      <w:r w:rsidR="2029E859">
        <w:t xml:space="preserve">the </w:t>
      </w:r>
      <w:r w:rsidR="7CBAC56A" w:rsidRPr="00A32150">
        <w:t xml:space="preserve">people offered </w:t>
      </w:r>
      <w:r>
        <w:t>aftercare</w:t>
      </w:r>
      <w:r w:rsidR="7CBAC56A">
        <w:t xml:space="preserve"> take it up</w:t>
      </w:r>
      <w:r w:rsidR="7CBAC56A" w:rsidRPr="00A32150">
        <w:t>.</w:t>
      </w:r>
      <w:r w:rsidR="00E05A46" w:rsidRPr="00A32150">
        <w:rPr>
          <w:vertAlign w:val="superscript"/>
        </w:rPr>
        <w:footnoteReference w:id="70"/>
      </w:r>
      <w:r w:rsidR="7CBAC56A" w:rsidRPr="00A32150">
        <w:t xml:space="preserve"> </w:t>
      </w:r>
    </w:p>
    <w:bookmarkEnd w:id="84"/>
    <w:p w14:paraId="7AD0B45B" w14:textId="3EB37CC5" w:rsidR="000F7D2F" w:rsidRPr="006F635A" w:rsidRDefault="00F21281" w:rsidP="00BE7198">
      <w:pPr>
        <w:rPr>
          <w:rStyle w:val="Strong"/>
        </w:rPr>
      </w:pPr>
      <w:r w:rsidRPr="006F635A">
        <w:rPr>
          <w:rStyle w:val="Strong"/>
        </w:rPr>
        <w:t xml:space="preserve">Most people </w:t>
      </w:r>
      <w:r w:rsidR="00A80B6B" w:rsidRPr="006F635A">
        <w:rPr>
          <w:rStyle w:val="Strong"/>
        </w:rPr>
        <w:t xml:space="preserve">who </w:t>
      </w:r>
      <w:r w:rsidRPr="006F635A">
        <w:rPr>
          <w:rStyle w:val="Strong"/>
        </w:rPr>
        <w:t>declined the service did not provide a reason why or could not be contacted</w:t>
      </w:r>
      <w:r w:rsidR="00172771" w:rsidRPr="006F635A">
        <w:rPr>
          <w:rStyle w:val="Strong"/>
        </w:rPr>
        <w:t>.</w:t>
      </w:r>
    </w:p>
    <w:p w14:paraId="35AA1F11" w14:textId="17200CC7" w:rsidR="00DE370D" w:rsidRPr="00DD72F5" w:rsidRDefault="000D7F8F" w:rsidP="005D7112">
      <w:pPr>
        <w:rPr>
          <w:lang w:eastAsia="en-AU"/>
        </w:rPr>
      </w:pPr>
      <w:r>
        <w:t>Sixteen</w:t>
      </w:r>
      <w:r w:rsidR="00A80B6B" w:rsidRPr="00996A7B">
        <w:t xml:space="preserve"> </w:t>
      </w:r>
      <w:r w:rsidR="00A1777D" w:rsidRPr="00996A7B">
        <w:t>per cent</w:t>
      </w:r>
      <w:r w:rsidR="002F6F88" w:rsidRPr="00996A7B">
        <w:rPr>
          <w:lang w:eastAsia="en-AU"/>
        </w:rPr>
        <w:t xml:space="preserve"> of people</w:t>
      </w:r>
      <w:r w:rsidR="002F6F88">
        <w:rPr>
          <w:lang w:eastAsia="en-AU"/>
        </w:rPr>
        <w:t xml:space="preserve"> who were referred did not consent to participate in The Way Back despite being eligible.</w:t>
      </w:r>
      <w:r w:rsidR="002F6F88">
        <w:rPr>
          <w:rStyle w:val="FootnoteReference"/>
          <w:lang w:eastAsia="en-AU"/>
        </w:rPr>
        <w:footnoteReference w:id="71"/>
      </w:r>
      <w:r w:rsidR="002F6F88">
        <w:rPr>
          <w:lang w:eastAsia="en-AU"/>
        </w:rPr>
        <w:t xml:space="preserve"> </w:t>
      </w:r>
      <w:r w:rsidR="00444C27" w:rsidRPr="00DD72F5">
        <w:rPr>
          <w:lang w:eastAsia="en-AU"/>
        </w:rPr>
        <w:t>Of those who declined to participate</w:t>
      </w:r>
      <w:r w:rsidR="006D22FC">
        <w:rPr>
          <w:lang w:eastAsia="en-AU"/>
        </w:rPr>
        <w:t xml:space="preserve"> in The Way Back</w:t>
      </w:r>
      <w:r w:rsidR="00DE370D" w:rsidRPr="00DD72F5">
        <w:rPr>
          <w:lang w:eastAsia="en-AU"/>
        </w:rPr>
        <w:t>:</w:t>
      </w:r>
    </w:p>
    <w:p w14:paraId="780DA36D" w14:textId="1ABEA09C" w:rsidR="00DE370D" w:rsidRPr="00996A7B" w:rsidRDefault="00376B5E" w:rsidP="00DE370D">
      <w:pPr>
        <w:pStyle w:val="Bullet"/>
      </w:pPr>
      <w:r>
        <w:t>78</w:t>
      </w:r>
      <w:r w:rsidR="00BE7198" w:rsidRPr="00996A7B">
        <w:t xml:space="preserve"> per cent did not provide a reason for declining the referral or could not be contacted (n=</w:t>
      </w:r>
      <w:r w:rsidR="00CB6A0E" w:rsidRPr="00996A7B">
        <w:t>1,961</w:t>
      </w:r>
      <w:r w:rsidR="00BE7198" w:rsidRPr="00996A7B">
        <w:t>)</w:t>
      </w:r>
      <w:r w:rsidR="00444C27" w:rsidRPr="00996A7B">
        <w:t xml:space="preserve">. </w:t>
      </w:r>
    </w:p>
    <w:p w14:paraId="6502D416" w14:textId="3BDDD37F" w:rsidR="00BE7198" w:rsidRPr="00996A7B" w:rsidRDefault="00376B5E" w:rsidP="00BE7198">
      <w:pPr>
        <w:pStyle w:val="Bullet"/>
      </w:pPr>
      <w:r>
        <w:t>13</w:t>
      </w:r>
      <w:r w:rsidR="00BE7198" w:rsidRPr="00996A7B">
        <w:t xml:space="preserve"> per cent reported that they had sufficient support from family, </w:t>
      </w:r>
      <w:proofErr w:type="gramStart"/>
      <w:r w:rsidR="00BE7198" w:rsidRPr="00996A7B">
        <w:t>friends</w:t>
      </w:r>
      <w:proofErr w:type="gramEnd"/>
      <w:r w:rsidR="00BE7198" w:rsidRPr="00996A7B">
        <w:t xml:space="preserve"> or other services (n=</w:t>
      </w:r>
      <w:r w:rsidR="00C13C44" w:rsidRPr="00996A7B">
        <w:t>316</w:t>
      </w:r>
      <w:r w:rsidR="00BE7198" w:rsidRPr="00996A7B">
        <w:t>)</w:t>
      </w:r>
      <w:r w:rsidR="00AD4AB0">
        <w:t>.</w:t>
      </w:r>
    </w:p>
    <w:p w14:paraId="388F3B97" w14:textId="19A4EB6E" w:rsidR="00BE7198" w:rsidRPr="00783D80" w:rsidRDefault="00376B5E" w:rsidP="00BE7198">
      <w:pPr>
        <w:pStyle w:val="Bullet"/>
      </w:pPr>
      <w:r>
        <w:t>7</w:t>
      </w:r>
      <w:r w:rsidR="00BE7198" w:rsidRPr="00996A7B">
        <w:t xml:space="preserve"> per cent did not want support or thought the service was ‘not for right now’ (n=</w:t>
      </w:r>
      <w:r w:rsidR="00D60486">
        <w:t>178</w:t>
      </w:r>
      <w:r w:rsidR="00BE7198" w:rsidRPr="00783D80">
        <w:t>).</w:t>
      </w:r>
      <w:r w:rsidR="002F6F88">
        <w:rPr>
          <w:rStyle w:val="FootnoteReference"/>
        </w:rPr>
        <w:footnoteReference w:id="72"/>
      </w:r>
      <w:r w:rsidR="00BE7198" w:rsidRPr="00783D80">
        <w:t xml:space="preserve"> </w:t>
      </w:r>
    </w:p>
    <w:p w14:paraId="3BA4FBD7" w14:textId="26DB2C66" w:rsidR="0090359E" w:rsidRDefault="00BB030D" w:rsidP="00B70842">
      <w:r>
        <w:t xml:space="preserve">Providers and referring health organisations </w:t>
      </w:r>
      <w:r w:rsidR="002F6F88">
        <w:t>provided further hypotheses as to why some people may decline a referral. These included</w:t>
      </w:r>
      <w:r>
        <w:t xml:space="preserve"> </w:t>
      </w:r>
      <w:r w:rsidR="00BB29A4">
        <w:t>because</w:t>
      </w:r>
      <w:r>
        <w:t xml:space="preserve">: </w:t>
      </w:r>
    </w:p>
    <w:p w14:paraId="1E05FDCD" w14:textId="4988A9D8" w:rsidR="00BB030D" w:rsidRDefault="00BB29A4" w:rsidP="00293F6A">
      <w:pPr>
        <w:pStyle w:val="Bullet"/>
      </w:pPr>
      <w:r w:rsidRPr="00DD72F5">
        <w:t xml:space="preserve">They </w:t>
      </w:r>
      <w:r w:rsidR="00FA2A1C" w:rsidRPr="00DD72F5">
        <w:t xml:space="preserve">already </w:t>
      </w:r>
      <w:r w:rsidRPr="00DD72F5">
        <w:t>ha</w:t>
      </w:r>
      <w:r w:rsidR="003B01E8" w:rsidRPr="00DD72F5">
        <w:t>d</w:t>
      </w:r>
      <w:r w:rsidRPr="00DD72F5">
        <w:t xml:space="preserve"> trusted </w:t>
      </w:r>
      <w:r w:rsidR="006D5E3E" w:rsidRPr="00DD72F5">
        <w:t xml:space="preserve">or sufficient </w:t>
      </w:r>
      <w:r w:rsidRPr="00DD72F5">
        <w:t>supports within the community</w:t>
      </w:r>
      <w:r w:rsidR="00DA5717">
        <w:t>.</w:t>
      </w:r>
      <w:r w:rsidR="00FA2A1C" w:rsidRPr="00DD72F5">
        <w:t xml:space="preserve"> </w:t>
      </w:r>
    </w:p>
    <w:p w14:paraId="5E510C16" w14:textId="4B5CECD8" w:rsidR="00BB29A4" w:rsidRDefault="00294E54" w:rsidP="00293F6A">
      <w:pPr>
        <w:pStyle w:val="Bullet"/>
      </w:pPr>
      <w:r>
        <w:t xml:space="preserve">They </w:t>
      </w:r>
      <w:r w:rsidR="007411E8">
        <w:t>were</w:t>
      </w:r>
      <w:r>
        <w:t xml:space="preserve"> distressed at the time of assessment by the acute care team</w:t>
      </w:r>
      <w:r w:rsidR="00584217">
        <w:t xml:space="preserve"> or bec</w:t>
      </w:r>
      <w:r w:rsidR="0093344B">
        <w:t>a</w:t>
      </w:r>
      <w:r w:rsidR="00584217">
        <w:t>me ‘embarrassed’ and withdr</w:t>
      </w:r>
      <w:r w:rsidR="006D5E3E">
        <w:t>e</w:t>
      </w:r>
      <w:r w:rsidR="00584217">
        <w:t xml:space="preserve">w </w:t>
      </w:r>
      <w:r w:rsidR="0093344B">
        <w:t>from engaging with their referral to The Way Back</w:t>
      </w:r>
      <w:r w:rsidR="00584217">
        <w:t xml:space="preserve"> (for example, if an attempt was made while under the influence of drugs or alcohol)</w:t>
      </w:r>
      <w:r w:rsidR="00996B9C">
        <w:t>.</w:t>
      </w:r>
      <w:r w:rsidR="00584217">
        <w:t xml:space="preserve"> </w:t>
      </w:r>
    </w:p>
    <w:p w14:paraId="79B07E35" w14:textId="7C970DDC" w:rsidR="002E2D20" w:rsidRDefault="002E2D20" w:rsidP="00293F6A">
      <w:pPr>
        <w:pStyle w:val="Bullet"/>
      </w:pPr>
      <w:r>
        <w:t>They identif</w:t>
      </w:r>
      <w:r w:rsidR="00423C12">
        <w:t>ied</w:t>
      </w:r>
      <w:r>
        <w:t xml:space="preserve"> specific characteristics or needs that </w:t>
      </w:r>
      <w:r w:rsidR="00CC5284">
        <w:t xml:space="preserve">were </w:t>
      </w:r>
      <w:r>
        <w:t xml:space="preserve">better addressed through other services (such as </w:t>
      </w:r>
      <w:r w:rsidR="001B0951">
        <w:t>targeted programs for young people experiencing gender dysphoria</w:t>
      </w:r>
      <w:r w:rsidR="003644A3">
        <w:t>).</w:t>
      </w:r>
    </w:p>
    <w:p w14:paraId="5F261F06" w14:textId="65CCCB10" w:rsidR="003644A3" w:rsidRDefault="00DD72F5" w:rsidP="00293F6A">
      <w:pPr>
        <w:pStyle w:val="Bullet"/>
      </w:pPr>
      <w:r>
        <w:t>They experience</w:t>
      </w:r>
      <w:r w:rsidR="00423C12">
        <w:t>d</w:t>
      </w:r>
      <w:r>
        <w:t xml:space="preserve"> l</w:t>
      </w:r>
      <w:r w:rsidR="003644A3">
        <w:t>engthy or stigmatising referral and consent processes/forms/safety planning at the hospital</w:t>
      </w:r>
      <w:r>
        <w:t>, or stigma associated with referral through a</w:t>
      </w:r>
      <w:r w:rsidR="00B25EB8">
        <w:t>n involuntary treatment setting</w:t>
      </w:r>
      <w:r>
        <w:t>.</w:t>
      </w:r>
    </w:p>
    <w:p w14:paraId="6467FB9E" w14:textId="118E779D" w:rsidR="007A7B9F" w:rsidRDefault="00B70842" w:rsidP="003644A3">
      <w:pPr>
        <w:rPr>
          <w:lang w:val="en-US"/>
        </w:rPr>
      </w:pPr>
      <w:r w:rsidRPr="000E4C8A">
        <w:rPr>
          <w:lang w:val="en-US"/>
        </w:rPr>
        <w:t xml:space="preserve">Inbound referrals </w:t>
      </w:r>
      <w:r w:rsidR="00CC5284">
        <w:rPr>
          <w:lang w:val="en-US"/>
        </w:rPr>
        <w:t>were</w:t>
      </w:r>
      <w:r w:rsidR="00CC5284" w:rsidRPr="000E4C8A">
        <w:rPr>
          <w:lang w:val="en-US"/>
        </w:rPr>
        <w:t xml:space="preserve"> </w:t>
      </w:r>
      <w:r w:rsidRPr="000E4C8A">
        <w:rPr>
          <w:lang w:val="en-US"/>
        </w:rPr>
        <w:t>reportedly more successful (i.e</w:t>
      </w:r>
      <w:r w:rsidR="00DC396A" w:rsidRPr="000E4C8A">
        <w:rPr>
          <w:lang w:val="en-US"/>
        </w:rPr>
        <w:t>.,</w:t>
      </w:r>
      <w:r>
        <w:rPr>
          <w:lang w:val="en-US"/>
        </w:rPr>
        <w:t xml:space="preserve"> </w:t>
      </w:r>
      <w:r w:rsidRPr="000E4C8A">
        <w:rPr>
          <w:lang w:val="en-US"/>
        </w:rPr>
        <w:t xml:space="preserve">result in uptake) if </w:t>
      </w:r>
      <w:r w:rsidR="002F6D7A">
        <w:rPr>
          <w:lang w:val="en-US"/>
        </w:rPr>
        <w:t>participants</w:t>
      </w:r>
      <w:r w:rsidRPr="000E4C8A">
        <w:rPr>
          <w:lang w:val="en-US"/>
        </w:rPr>
        <w:t xml:space="preserve"> </w:t>
      </w:r>
      <w:r w:rsidR="00CC5284">
        <w:rPr>
          <w:lang w:val="en-US"/>
        </w:rPr>
        <w:t>understood</w:t>
      </w:r>
      <w:r w:rsidR="00CC5284" w:rsidRPr="000E4C8A">
        <w:rPr>
          <w:lang w:val="en-US"/>
        </w:rPr>
        <w:t xml:space="preserve"> </w:t>
      </w:r>
      <w:r w:rsidRPr="000E4C8A">
        <w:rPr>
          <w:lang w:val="en-US"/>
        </w:rPr>
        <w:t xml:space="preserve">how </w:t>
      </w:r>
      <w:r>
        <w:rPr>
          <w:lang w:val="en-US"/>
        </w:rPr>
        <w:t>The Way Back</w:t>
      </w:r>
      <w:r w:rsidRPr="000E4C8A">
        <w:rPr>
          <w:lang w:val="en-US"/>
        </w:rPr>
        <w:t xml:space="preserve"> </w:t>
      </w:r>
      <w:r w:rsidR="0073651B">
        <w:rPr>
          <w:lang w:val="en-US"/>
        </w:rPr>
        <w:t>could</w:t>
      </w:r>
      <w:r w:rsidRPr="000E4C8A">
        <w:rPr>
          <w:lang w:val="en-US"/>
        </w:rPr>
        <w:t xml:space="preserve"> benefit them, in consideration of their personal circumstances (based on provider and referral health service consultations).</w:t>
      </w:r>
    </w:p>
    <w:p w14:paraId="4B7639A6" w14:textId="1967DF92" w:rsidR="00B70842" w:rsidRDefault="007A7B9F" w:rsidP="007A7B9F">
      <w:pPr>
        <w:spacing w:after="165" w:line="259" w:lineRule="auto"/>
        <w:rPr>
          <w:lang w:val="en-US"/>
        </w:rPr>
      </w:pPr>
      <w:r>
        <w:rPr>
          <w:lang w:val="en-US"/>
        </w:rPr>
        <w:br w:type="page"/>
      </w:r>
    </w:p>
    <w:p w14:paraId="33C4EE21" w14:textId="3044BE54" w:rsidR="00B20581" w:rsidRDefault="00AC74F7" w:rsidP="001038D8">
      <w:pPr>
        <w:pStyle w:val="Heading2"/>
      </w:pPr>
      <w:bookmarkStart w:id="85" w:name="_Ref121311884"/>
      <w:bookmarkStart w:id="86" w:name="_Ref121312984"/>
      <w:bookmarkStart w:id="87" w:name="_Toc121320687"/>
      <w:r w:rsidRPr="00AC74F7">
        <w:rPr>
          <w:noProof/>
        </w:rPr>
        <w:lastRenderedPageBreak/>
        <w:drawing>
          <wp:anchor distT="0" distB="0" distL="114300" distR="114300" simplePos="0" relativeHeight="251658258" behindDoc="0" locked="0" layoutInCell="1" allowOverlap="1" wp14:anchorId="37633E5E" wp14:editId="044C7634">
            <wp:simplePos x="0" y="0"/>
            <wp:positionH relativeFrom="leftMargin">
              <wp:posOffset>431800</wp:posOffset>
            </wp:positionH>
            <wp:positionV relativeFrom="paragraph">
              <wp:posOffset>153366</wp:posOffset>
            </wp:positionV>
            <wp:extent cx="532765" cy="405765"/>
            <wp:effectExtent l="0" t="0" r="635"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76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0581">
        <w:t>Service delivery</w:t>
      </w:r>
      <w:bookmarkEnd w:id="85"/>
      <w:bookmarkEnd w:id="86"/>
      <w:bookmarkEnd w:id="87"/>
    </w:p>
    <w:p w14:paraId="31721149" w14:textId="6F31D657" w:rsidR="00A80B6B" w:rsidRDefault="16E1ADC8" w:rsidP="00623868">
      <w:pPr>
        <w:pStyle w:val="Heading3"/>
      </w:pPr>
      <w:r>
        <w:t xml:space="preserve">Most participants (59 per cent) completed their service episode (that is, they </w:t>
      </w:r>
      <w:r w:rsidR="003D2A99">
        <w:t xml:space="preserve">exited </w:t>
      </w:r>
      <w:r>
        <w:t xml:space="preserve">from The Way Back </w:t>
      </w:r>
      <w:r w:rsidR="00E15632">
        <w:t>via a</w:t>
      </w:r>
      <w:r>
        <w:t xml:space="preserve"> planned service discharge on completion)</w:t>
      </w:r>
      <w:r w:rsidR="514F7A6C">
        <w:t>, though these rates were lower than</w:t>
      </w:r>
      <w:r w:rsidR="00405D8C">
        <w:t xml:space="preserve"> non-completion rates identified in the literature (</w:t>
      </w:r>
      <w:r w:rsidR="00D36C4C">
        <w:t>70 per cent)</w:t>
      </w:r>
      <w:r w:rsidR="7B634C66">
        <w:t>.</w:t>
      </w:r>
    </w:p>
    <w:p w14:paraId="6B3D07E3" w14:textId="4BA947AD" w:rsidR="008F6B03" w:rsidRDefault="000C301C" w:rsidP="008F6B03">
      <w:pPr>
        <w:rPr>
          <w:rFonts w:eastAsia="Times New Roman" w:cs="Times New Roman"/>
          <w:b/>
          <w:color w:val="000000" w:themeColor="text1"/>
          <w:sz w:val="20"/>
          <w:szCs w:val="24"/>
          <w:lang w:eastAsia="en-AU"/>
        </w:rPr>
      </w:pPr>
      <w:r>
        <w:t xml:space="preserve">PMHC MDS data on the </w:t>
      </w:r>
      <w:r w:rsidR="006D6DEB">
        <w:t>27</w:t>
      </w:r>
      <w:r>
        <w:t xml:space="preserve"> </w:t>
      </w:r>
      <w:r w:rsidR="002F6F88">
        <w:t>in-scope</w:t>
      </w:r>
      <w:r>
        <w:t xml:space="preserve"> sites indicated that</w:t>
      </w:r>
      <w:r w:rsidR="008F6B03">
        <w:t xml:space="preserve"> most </w:t>
      </w:r>
      <w:r w:rsidR="002F6D7A">
        <w:t>participants</w:t>
      </w:r>
      <w:r>
        <w:t xml:space="preserve"> </w:t>
      </w:r>
      <w:r w:rsidR="008F6B03">
        <w:t>(</w:t>
      </w:r>
      <w:r w:rsidR="00A80B6B">
        <w:t>4,5</w:t>
      </w:r>
      <w:r w:rsidR="00D66049">
        <w:t>24</w:t>
      </w:r>
      <w:r w:rsidR="00A80B6B">
        <w:t xml:space="preserve"> or </w:t>
      </w:r>
      <w:r w:rsidR="00DB02D1">
        <w:t>59</w:t>
      </w:r>
      <w:r>
        <w:t xml:space="preserve"> per cent</w:t>
      </w:r>
      <w:r w:rsidR="00031F74">
        <w:t xml:space="preserve"> of </w:t>
      </w:r>
      <w:r w:rsidR="00471E64">
        <w:t>closed episodes</w:t>
      </w:r>
      <w:r w:rsidR="00EF6861">
        <w:t xml:space="preserve">) </w:t>
      </w:r>
      <w:r>
        <w:t>completed their service episode</w:t>
      </w:r>
      <w:r w:rsidR="00A80B6B">
        <w:t xml:space="preserve"> as planned</w:t>
      </w:r>
      <w:r>
        <w:t>.</w:t>
      </w:r>
      <w:r w:rsidDel="003362D1">
        <w:t xml:space="preserve"> </w:t>
      </w:r>
    </w:p>
    <w:p w14:paraId="2F1A3F63" w14:textId="3E905E2D" w:rsidR="00D62A76" w:rsidRPr="008F6B03" w:rsidRDefault="591D1670" w:rsidP="0C58547B">
      <w:pPr>
        <w:rPr>
          <w:rFonts w:eastAsia="Times New Roman" w:cs="Times New Roman"/>
          <w:b/>
          <w:bCs/>
          <w:color w:val="000000" w:themeColor="text1"/>
          <w:sz w:val="20"/>
          <w:szCs w:val="20"/>
          <w:lang w:eastAsia="en-AU"/>
        </w:rPr>
      </w:pPr>
      <w:r w:rsidRPr="00F44432">
        <w:t xml:space="preserve">Analysis </w:t>
      </w:r>
      <w:r w:rsidR="6B095139">
        <w:t xml:space="preserve">of </w:t>
      </w:r>
      <w:r w:rsidR="14AF1E38" w:rsidRPr="00F44432">
        <w:t xml:space="preserve">PMHC MDS data between January 2019 and </w:t>
      </w:r>
      <w:r w:rsidRPr="00F44432">
        <w:t>September</w:t>
      </w:r>
      <w:r w:rsidR="14AF1E38" w:rsidRPr="00F44432">
        <w:t xml:space="preserve"> 2022 found that</w:t>
      </w:r>
      <w:r w:rsidRPr="00F44432">
        <w:t xml:space="preserve"> 41 </w:t>
      </w:r>
      <w:r w:rsidR="14AF1E38" w:rsidRPr="00F44432">
        <w:t xml:space="preserve">per cent </w:t>
      </w:r>
      <w:r w:rsidRPr="00F44432">
        <w:t xml:space="preserve">(3,215) </w:t>
      </w:r>
      <w:r w:rsidR="14AF1E38" w:rsidRPr="00F44432">
        <w:t>of participants did not complete their service episode. ‘Did not complete’ refers to participants whose service episodes were closed for administrative reasons such as the participant being uncontactable or moving out of the area. This non-completion rate aligned with providers in consultations experience when working with participants.</w:t>
      </w:r>
      <w:r w:rsidR="00AE0EC8">
        <w:t xml:space="preserve"> </w:t>
      </w:r>
      <w:r w:rsidR="14AF1E38" w:rsidRPr="00F44432">
        <w:t xml:space="preserve">This non-completion rate is </w:t>
      </w:r>
      <w:r w:rsidR="5D97C152">
        <w:t xml:space="preserve">slightly </w:t>
      </w:r>
      <w:r w:rsidR="14AF1E38" w:rsidRPr="00F44432">
        <w:t>higher than the non-completion rates identified in the literature on suicide follow up services (which referenced approximately a 30 per cent non-completion rate).</w:t>
      </w:r>
      <w:r w:rsidR="009619F9">
        <w:rPr>
          <w:rStyle w:val="FootnoteReference"/>
        </w:rPr>
        <w:footnoteReference w:id="73"/>
      </w:r>
    </w:p>
    <w:p w14:paraId="3ECE4392" w14:textId="6200BF0D" w:rsidR="008D545C" w:rsidRDefault="10330B48" w:rsidP="008D545C">
      <w:r>
        <w:t xml:space="preserve">PMHC MDS data showed that there was no clear </w:t>
      </w:r>
      <w:r w:rsidR="61A66806">
        <w:t>‘</w:t>
      </w:r>
      <w:r w:rsidR="269DB8EC">
        <w:t>exit</w:t>
      </w:r>
      <w:r>
        <w:t xml:space="preserve"> point</w:t>
      </w:r>
      <w:r w:rsidR="61A66806">
        <w:t>’</w:t>
      </w:r>
      <w:r>
        <w:t xml:space="preserve"> </w:t>
      </w:r>
      <w:r w:rsidR="2D8D0EF5">
        <w:t xml:space="preserve">for </w:t>
      </w:r>
      <w:r w:rsidR="7316DAEE">
        <w:t>participants</w:t>
      </w:r>
      <w:r>
        <w:t xml:space="preserve"> </w:t>
      </w:r>
      <w:r w:rsidR="2D8D0EF5">
        <w:t xml:space="preserve">who </w:t>
      </w:r>
      <w:r>
        <w:t xml:space="preserve">did not complete their service episode. </w:t>
      </w:r>
      <w:r w:rsidR="3310BA7B">
        <w:t>P</w:t>
      </w:r>
      <w:r w:rsidR="1C15615D">
        <w:t xml:space="preserve">roviders and </w:t>
      </w:r>
      <w:r w:rsidR="7316DAEE">
        <w:t>participants</w:t>
      </w:r>
      <w:r w:rsidR="1C15615D">
        <w:t xml:space="preserve"> </w:t>
      </w:r>
      <w:r w:rsidR="29CE8EBA">
        <w:t xml:space="preserve">in interviews </w:t>
      </w:r>
      <w:r w:rsidR="3310BA7B">
        <w:t xml:space="preserve">reported </w:t>
      </w:r>
      <w:r w:rsidR="7316DAEE">
        <w:t>participants</w:t>
      </w:r>
      <w:r w:rsidR="61A66806">
        <w:t xml:space="preserve"> </w:t>
      </w:r>
      <w:r w:rsidR="005C3E0D">
        <w:t xml:space="preserve">that </w:t>
      </w:r>
      <w:r w:rsidR="003D2A99">
        <w:t xml:space="preserve">exited </w:t>
      </w:r>
      <w:r w:rsidR="61A66806">
        <w:t xml:space="preserve">early from the service </w:t>
      </w:r>
      <w:r w:rsidR="00F263D9">
        <w:t>typically</w:t>
      </w:r>
      <w:r w:rsidR="61A66806">
        <w:t xml:space="preserve"> may:</w:t>
      </w:r>
      <w:r w:rsidR="1C15615D">
        <w:t xml:space="preserve"> </w:t>
      </w:r>
    </w:p>
    <w:p w14:paraId="0A030DC3" w14:textId="0B6278DC" w:rsidR="008D545C" w:rsidRDefault="008D545C" w:rsidP="008D545C">
      <w:pPr>
        <w:pStyle w:val="Bullet"/>
      </w:pPr>
      <w:r>
        <w:t xml:space="preserve">not </w:t>
      </w:r>
      <w:r w:rsidR="003362D1">
        <w:t xml:space="preserve">have </w:t>
      </w:r>
      <w:r w:rsidR="006621A4">
        <w:t xml:space="preserve">fully </w:t>
      </w:r>
      <w:r w:rsidR="003362D1">
        <w:t xml:space="preserve">understood </w:t>
      </w:r>
      <w:r>
        <w:t>the purpose of the service until they have met with their support coordinator</w:t>
      </w:r>
    </w:p>
    <w:p w14:paraId="32339D86" w14:textId="37392C3A" w:rsidR="008D545C" w:rsidRDefault="000F1467" w:rsidP="008D545C">
      <w:pPr>
        <w:pStyle w:val="Bullet"/>
      </w:pPr>
      <w:r>
        <w:t>fe</w:t>
      </w:r>
      <w:r w:rsidR="003362D1">
        <w:t>lt</w:t>
      </w:r>
      <w:r w:rsidR="008D545C">
        <w:t xml:space="preserve"> like they did not need this service</w:t>
      </w:r>
    </w:p>
    <w:p w14:paraId="6DAE7524" w14:textId="669F7600" w:rsidR="001D40FF" w:rsidRDefault="000F1467" w:rsidP="005F00AF">
      <w:pPr>
        <w:pStyle w:val="Bullet"/>
      </w:pPr>
      <w:r>
        <w:t>fe</w:t>
      </w:r>
      <w:r w:rsidR="003362D1">
        <w:t>lt</w:t>
      </w:r>
      <w:r w:rsidR="008D545C">
        <w:t xml:space="preserve"> like they had not connected well and built trust with their support coordinator.</w:t>
      </w:r>
    </w:p>
    <w:p w14:paraId="04DE005C" w14:textId="5E079846" w:rsidR="002C2041" w:rsidRDefault="3DE63428" w:rsidP="00623868">
      <w:pPr>
        <w:pStyle w:val="Heading3"/>
      </w:pPr>
      <w:r>
        <w:t xml:space="preserve">For those who did complete their service episode, the average time in the service was between </w:t>
      </w:r>
      <w:r w:rsidR="0BD8E80D">
        <w:t xml:space="preserve">12 </w:t>
      </w:r>
      <w:r>
        <w:t xml:space="preserve">to </w:t>
      </w:r>
      <w:r w:rsidR="0BD8E80D">
        <w:t xml:space="preserve">13 </w:t>
      </w:r>
      <w:r>
        <w:t xml:space="preserve">weeks, </w:t>
      </w:r>
      <w:r w:rsidR="7B634C66">
        <w:t>in accordance with the specifics of the model of service</w:t>
      </w:r>
      <w:r w:rsidR="0BD8E80D">
        <w:t>.</w:t>
      </w:r>
    </w:p>
    <w:p w14:paraId="616EDF74" w14:textId="65F8B2C0" w:rsidR="00226802" w:rsidRDefault="70A23D73" w:rsidP="00226802">
      <w:r w:rsidRPr="004D221C">
        <w:t xml:space="preserve">For </w:t>
      </w:r>
      <w:r w:rsidR="38B48F2B" w:rsidRPr="004D221C">
        <w:t>participants</w:t>
      </w:r>
      <w:r w:rsidR="29C31B44" w:rsidRPr="004D221C">
        <w:t xml:space="preserve"> who completed a service episode, </w:t>
      </w:r>
      <w:r w:rsidR="29C31B44" w:rsidRPr="004D221C" w:rsidDel="00226802">
        <w:t>m</w:t>
      </w:r>
      <w:r w:rsidR="614C4BCD" w:rsidRPr="004D221C" w:rsidDel="00226802">
        <w:t xml:space="preserve">ost </w:t>
      </w:r>
      <w:r w:rsidRPr="004D221C">
        <w:t xml:space="preserve">were engaged with The Way Back for between </w:t>
      </w:r>
      <w:r w:rsidR="7D2E338D">
        <w:t>12</w:t>
      </w:r>
      <w:r w:rsidR="00FA632D">
        <w:t xml:space="preserve"> to</w:t>
      </w:r>
      <w:r w:rsidR="7D2E338D">
        <w:t>13</w:t>
      </w:r>
      <w:r w:rsidR="5AC7C11C">
        <w:t xml:space="preserve"> weeks</w:t>
      </w:r>
      <w:r w:rsidR="14A205AD" w:rsidRPr="004D221C">
        <w:t>.</w:t>
      </w:r>
      <w:r w:rsidR="00226802" w:rsidRPr="004D221C">
        <w:rPr>
          <w:rStyle w:val="FootnoteReference"/>
        </w:rPr>
        <w:footnoteReference w:id="74"/>
      </w:r>
      <w:r w:rsidR="14A205AD" w:rsidRPr="004D221C">
        <w:t xml:space="preserve"> This align</w:t>
      </w:r>
      <w:r w:rsidR="0D013766" w:rsidRPr="004D221C">
        <w:t>s</w:t>
      </w:r>
      <w:r w:rsidR="14A205AD" w:rsidRPr="004D221C">
        <w:t xml:space="preserve"> to the </w:t>
      </w:r>
      <w:r w:rsidR="2025F605" w:rsidRPr="004D221C">
        <w:t xml:space="preserve">intended service model of a </w:t>
      </w:r>
      <w:r w:rsidR="3BC31DE2">
        <w:t>12</w:t>
      </w:r>
      <w:r w:rsidR="317754EE" w:rsidRPr="004D221C">
        <w:t>-</w:t>
      </w:r>
      <w:r w:rsidR="73A4D735" w:rsidRPr="004D221C">
        <w:t xml:space="preserve">week service period. </w:t>
      </w:r>
      <w:r w:rsidR="38B48F2B" w:rsidRPr="004D221C">
        <w:t>Participants</w:t>
      </w:r>
      <w:r w:rsidRPr="004D221C">
        <w:t xml:space="preserve"> were more likely to stay in the</w:t>
      </w:r>
      <w:r>
        <w:t xml:space="preserve"> service for longer if a safety and support plan was completed, or where they had access to peer support</w:t>
      </w:r>
      <w:r w:rsidR="00085A2B">
        <w:rPr>
          <w:rStyle w:val="FootnoteReference"/>
        </w:rPr>
        <w:footnoteReference w:id="75"/>
      </w:r>
      <w:r>
        <w:t xml:space="preserve"> (based on </w:t>
      </w:r>
      <w:r w:rsidR="1E84CD96">
        <w:t>a representative sample of PMHC MDS data</w:t>
      </w:r>
      <w:r>
        <w:t>)</w:t>
      </w:r>
      <w:r w:rsidR="2A924AC3">
        <w:t>.</w:t>
      </w:r>
      <w:r w:rsidR="00040065">
        <w:rPr>
          <w:rStyle w:val="FootnoteReference"/>
        </w:rPr>
        <w:footnoteReference w:id="76"/>
      </w:r>
    </w:p>
    <w:p w14:paraId="488F07E4" w14:textId="190A6AEA" w:rsidR="008D545C" w:rsidRDefault="1715CD77" w:rsidP="004C489A">
      <w:pPr>
        <w:rPr>
          <w:lang w:val="en-US" w:eastAsia="en-AU"/>
        </w:rPr>
      </w:pPr>
      <w:r>
        <w:t>T</w:t>
      </w:r>
      <w:r w:rsidRPr="00C578C3">
        <w:t xml:space="preserve">he proportion of </w:t>
      </w:r>
      <w:r w:rsidR="14629A63">
        <w:t>participants</w:t>
      </w:r>
      <w:r w:rsidRPr="00C578C3">
        <w:t xml:space="preserve"> who exit</w:t>
      </w:r>
      <w:r>
        <w:t>ed</w:t>
      </w:r>
      <w:r w:rsidRPr="00C578C3">
        <w:t xml:space="preserve"> the service prior to </w:t>
      </w:r>
      <w:r w:rsidR="76C56F65">
        <w:t>twelve</w:t>
      </w:r>
      <w:r w:rsidR="76C56F65" w:rsidRPr="00C578C3">
        <w:t xml:space="preserve"> </w:t>
      </w:r>
      <w:r w:rsidRPr="00C578C3">
        <w:t xml:space="preserve">weeks </w:t>
      </w:r>
      <w:r w:rsidR="4BDF9A6C">
        <w:t xml:space="preserve">was </w:t>
      </w:r>
      <w:r w:rsidR="00C62602">
        <w:t>40</w:t>
      </w:r>
      <w:r w:rsidR="00C56174">
        <w:t xml:space="preserve"> per cent</w:t>
      </w:r>
      <w:r w:rsidR="4BDF9A6C">
        <w:t xml:space="preserve">, though this </w:t>
      </w:r>
      <w:r>
        <w:t>varied</w:t>
      </w:r>
      <w:r w:rsidRPr="00C578C3">
        <w:t xml:space="preserve"> substantially across sites ranging from </w:t>
      </w:r>
      <w:r w:rsidR="4FC19EB8" w:rsidRPr="0091435B">
        <w:t>11</w:t>
      </w:r>
      <w:r w:rsidR="76C56F65" w:rsidRPr="0091435B">
        <w:t xml:space="preserve"> </w:t>
      </w:r>
      <w:r w:rsidRPr="0091435B">
        <w:t xml:space="preserve">per cent to </w:t>
      </w:r>
      <w:r w:rsidR="4371F8C9" w:rsidRPr="0091435B">
        <w:t>63</w:t>
      </w:r>
      <w:r w:rsidR="76C56F65" w:rsidRPr="0091435B">
        <w:t xml:space="preserve"> </w:t>
      </w:r>
      <w:r w:rsidRPr="0091435B">
        <w:t>per cent</w:t>
      </w:r>
      <w:r w:rsidR="4BDF9A6C">
        <w:t>.</w:t>
      </w:r>
      <w:r w:rsidR="00991EF1" w:rsidRPr="0091435B">
        <w:rPr>
          <w:rStyle w:val="FootnoteReference"/>
        </w:rPr>
        <w:footnoteReference w:id="77"/>
      </w:r>
      <w:r w:rsidRPr="00C578C3">
        <w:t xml:space="preserve"> </w:t>
      </w:r>
      <w:r w:rsidR="62379A5E" w:rsidRPr="00B03A0E">
        <w:rPr>
          <w:lang w:val="en-US" w:eastAsia="en-AU"/>
        </w:rPr>
        <w:t>Consultations</w:t>
      </w:r>
      <w:r w:rsidR="62379A5E">
        <w:rPr>
          <w:lang w:val="en-US" w:eastAsia="en-AU"/>
        </w:rPr>
        <w:t xml:space="preserve"> </w:t>
      </w:r>
      <w:r w:rsidR="62379A5E">
        <w:t>with</w:t>
      </w:r>
      <w:r w:rsidR="0AC3FB86">
        <w:t xml:space="preserve"> providers indicated</w:t>
      </w:r>
      <w:r w:rsidR="7ABB7BD3">
        <w:t xml:space="preserve"> that</w:t>
      </w:r>
      <w:r w:rsidR="0AC3FB86">
        <w:t xml:space="preserve"> </w:t>
      </w:r>
      <w:r w:rsidR="14629A63">
        <w:t>participants</w:t>
      </w:r>
      <w:r w:rsidR="0AC3FB86" w:rsidRPr="00731CC3">
        <w:t xml:space="preserve"> who exit the service prior to </w:t>
      </w:r>
      <w:r w:rsidR="6B02B72E">
        <w:t>12</w:t>
      </w:r>
      <w:r w:rsidR="0AC3FB86" w:rsidRPr="00731CC3" w:rsidDel="003362D1">
        <w:t xml:space="preserve"> </w:t>
      </w:r>
      <w:r w:rsidR="0AC3FB86" w:rsidRPr="00731CC3">
        <w:t>weeks may not exit for ‘negative’ reasons.</w:t>
      </w:r>
      <w:r w:rsidR="0AC3FB86">
        <w:t xml:space="preserve"> </w:t>
      </w:r>
      <w:r w:rsidR="76C56F65">
        <w:rPr>
          <w:lang w:val="en-US" w:eastAsia="en-AU"/>
        </w:rPr>
        <w:t>Reported reasons</w:t>
      </w:r>
      <w:r w:rsidR="02E2E3AC">
        <w:rPr>
          <w:lang w:val="en-US" w:eastAsia="en-AU"/>
        </w:rPr>
        <w:t xml:space="preserve"> from consultations with participants included</w:t>
      </w:r>
      <w:r w:rsidR="76C56F65">
        <w:rPr>
          <w:lang w:val="en-US" w:eastAsia="en-AU"/>
        </w:rPr>
        <w:t xml:space="preserve">: </w:t>
      </w:r>
    </w:p>
    <w:p w14:paraId="350948AA" w14:textId="66B8EBDA" w:rsidR="008D3206" w:rsidRDefault="008D3206" w:rsidP="008D3206">
      <w:pPr>
        <w:pStyle w:val="Bullet"/>
      </w:pPr>
      <w:r>
        <w:rPr>
          <w:noProof/>
        </w:rPr>
        <w:lastRenderedPageBreak/>
        <mc:AlternateContent>
          <mc:Choice Requires="wps">
            <w:drawing>
              <wp:anchor distT="0" distB="0" distL="114300" distR="114300" simplePos="0" relativeHeight="251658252" behindDoc="0" locked="0" layoutInCell="1" allowOverlap="1" wp14:anchorId="526153B0" wp14:editId="461C9E0A">
                <wp:simplePos x="0" y="0"/>
                <wp:positionH relativeFrom="margin">
                  <wp:posOffset>3982085</wp:posOffset>
                </wp:positionH>
                <wp:positionV relativeFrom="paragraph">
                  <wp:posOffset>13970</wp:posOffset>
                </wp:positionV>
                <wp:extent cx="1685925" cy="1162050"/>
                <wp:effectExtent l="0" t="0" r="9525" b="0"/>
                <wp:wrapSquare wrapText="bothSides"/>
                <wp:docPr id="19" name="Text 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85925" cy="1162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D25A9F" w14:textId="77777777" w:rsidR="00CB0C9C" w:rsidRDefault="008D3206" w:rsidP="008D3206">
                            <w:pPr>
                              <w:pStyle w:val="Callout"/>
                            </w:pPr>
                            <w:r w:rsidRPr="00E25055">
                              <w:t xml:space="preserve">“I was involved for about 8 – 9 weeks. I exited the service early because I thought I was alright.” - The Way Back </w:t>
                            </w:r>
                            <w:r w:rsidR="002F6D7A">
                              <w:t>participant</w:t>
                            </w:r>
                          </w:p>
                          <w:p w14:paraId="0C6C6271" w14:textId="04B9893B" w:rsidR="008D3206" w:rsidRPr="00E25055" w:rsidRDefault="008D3206" w:rsidP="008D3206">
                            <w:pPr>
                              <w:rPr>
                                <w:color w:val="00264D" w:themeColor="background2"/>
                              </w:rPr>
                            </w:pP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6153B0" id="_x0000_t202" coordsize="21600,21600" o:spt="202" path="m,l,21600r21600,l21600,xe">
                <v:stroke joinstyle="miter"/>
                <v:path gradientshapeok="t" o:connecttype="rect"/>
              </v:shapetype>
              <v:shape id="Text Box 19" o:spid="_x0000_s1026" type="#_x0000_t202" alt="&quot;&quot;" style="position:absolute;left:0;text-align:left;margin-left:313.55pt;margin-top:1.1pt;width:132.75pt;height:91.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" fillcolor="white [3201]" stroked="f" strokeweight=".5pt">
                <v:textbox inset="0,,1mm">
                  <w:txbxContent>
                    <w:p w14:paraId="5CD25A9F" w14:textId="77777777" w:rsidR="00CB0C9C" w:rsidRDefault="008D3206" w:rsidP="008D3206">
                      <w:pPr>
                        <w:pStyle w:val="Callout"/>
                      </w:pPr>
                      <w:r w:rsidRPr="00E25055">
                        <w:t xml:space="preserve">“I was involved for about 8 – 9 weeks. I exited the service early because I thought I was alright.” - The Way Back </w:t>
                      </w:r>
                      <w:r w:rsidR="002F6D7A">
                        <w:t>participant</w:t>
                      </w:r>
                    </w:p>
                    <w:p w14:paraId="0C6C6271" w14:textId="04B9893B" w:rsidR="008D3206" w:rsidRPr="00E25055" w:rsidRDefault="008D3206" w:rsidP="008D3206">
                      <w:pPr>
                        <w:rPr>
                          <w:color w:val="00264D" w:themeColor="background2"/>
                        </w:rPr>
                      </w:pPr>
                    </w:p>
                  </w:txbxContent>
                </v:textbox>
                <w10:wrap type="square" anchorx="margin"/>
              </v:shape>
            </w:pict>
          </mc:Fallback>
        </mc:AlternateContent>
      </w:r>
      <w:r>
        <w:t xml:space="preserve">they were on track with their recovery and/or were well connected into supports and no longer required The Way Back. </w:t>
      </w:r>
    </w:p>
    <w:p w14:paraId="403583C4" w14:textId="488401BB" w:rsidR="008D3206" w:rsidRDefault="008D3206" w:rsidP="008D3206">
      <w:pPr>
        <w:pStyle w:val="Bullet"/>
      </w:pPr>
      <w:r>
        <w:t xml:space="preserve">they did not have time to continue accessing The Way Back due re-commencing full-time work, family and/or carer commitments or the travel time required, especially for </w:t>
      </w:r>
      <w:r w:rsidR="002F6D7A">
        <w:t>participants</w:t>
      </w:r>
      <w:r>
        <w:t xml:space="preserve"> in regional</w:t>
      </w:r>
      <w:r w:rsidR="005C4D97">
        <w:t>/</w:t>
      </w:r>
      <w:r>
        <w:t xml:space="preserve">remote areas. </w:t>
      </w:r>
    </w:p>
    <w:p w14:paraId="600CC028" w14:textId="1ECA1FA4" w:rsidR="008D3206" w:rsidRDefault="008D3206" w:rsidP="008D3206">
      <w:pPr>
        <w:pStyle w:val="Bullet"/>
      </w:pPr>
      <w:r>
        <w:t>the service was not right for them at that time (</w:t>
      </w:r>
      <w:r w:rsidR="00D76172">
        <w:t>for example</w:t>
      </w:r>
      <w:r>
        <w:t xml:space="preserve"> </w:t>
      </w:r>
      <w:r w:rsidR="00226802">
        <w:t xml:space="preserve">they </w:t>
      </w:r>
      <w:r>
        <w:t xml:space="preserve">needed to be in a </w:t>
      </w:r>
      <w:r w:rsidR="005C4D97">
        <w:t>‘</w:t>
      </w:r>
      <w:r>
        <w:t>recovery mindset</w:t>
      </w:r>
      <w:r w:rsidR="005C4D97">
        <w:t>’</w:t>
      </w:r>
      <w:r>
        <w:t>, other social factors impacting their ability to participate).</w:t>
      </w:r>
    </w:p>
    <w:p w14:paraId="3A4AE4E9" w14:textId="06724BAA" w:rsidR="00FC104F" w:rsidRDefault="00226802" w:rsidP="00FC104F">
      <w:pPr>
        <w:pStyle w:val="Bullet"/>
      </w:pPr>
      <w:r>
        <w:t>they</w:t>
      </w:r>
      <w:r w:rsidR="008D3206">
        <w:t xml:space="preserve"> did not</w:t>
      </w:r>
      <w:r w:rsidR="008D3206" w:rsidRPr="008639DE">
        <w:t xml:space="preserve"> </w:t>
      </w:r>
      <w:r w:rsidR="008D3206">
        <w:t>establish a therapeutic relationship with their support coordinator.</w:t>
      </w:r>
      <w:r w:rsidR="008D3206" w:rsidRPr="00277FD1">
        <w:rPr>
          <w:rStyle w:val="FootnoteReference"/>
        </w:rPr>
        <w:footnoteReference w:id="78"/>
      </w:r>
    </w:p>
    <w:p w14:paraId="27C13D1B" w14:textId="666B95D5" w:rsidR="008F6B03" w:rsidRDefault="009E6275" w:rsidP="004E0164">
      <w:pPr>
        <w:rPr>
          <w:lang w:eastAsia="en-AU"/>
        </w:rPr>
      </w:pPr>
      <w:r>
        <w:rPr>
          <w:lang w:eastAsia="en-AU"/>
        </w:rPr>
        <w:t xml:space="preserve">The proportion of participants who were engaged for longer than </w:t>
      </w:r>
      <w:r w:rsidR="001C089E">
        <w:rPr>
          <w:lang w:eastAsia="en-AU"/>
        </w:rPr>
        <w:t>12</w:t>
      </w:r>
      <w:r>
        <w:rPr>
          <w:lang w:eastAsia="en-AU"/>
        </w:rPr>
        <w:t xml:space="preserve"> </w:t>
      </w:r>
      <w:r w:rsidRPr="00B52523">
        <w:rPr>
          <w:lang w:eastAsia="en-AU"/>
        </w:rPr>
        <w:t>weeks was</w:t>
      </w:r>
      <w:r w:rsidR="00F52B76" w:rsidRPr="00B52523">
        <w:rPr>
          <w:lang w:eastAsia="en-AU"/>
        </w:rPr>
        <w:t xml:space="preserve"> </w:t>
      </w:r>
      <w:r w:rsidR="001C089E">
        <w:rPr>
          <w:lang w:eastAsia="en-AU"/>
        </w:rPr>
        <w:t>60</w:t>
      </w:r>
      <w:r w:rsidR="008F6B03" w:rsidRPr="00B52523">
        <w:rPr>
          <w:lang w:eastAsia="en-AU"/>
        </w:rPr>
        <w:t xml:space="preserve"> per cent (n=</w:t>
      </w:r>
      <w:r w:rsidR="00B50EFD" w:rsidRPr="00B52523">
        <w:rPr>
          <w:lang w:eastAsia="en-AU"/>
        </w:rPr>
        <w:t>2,7</w:t>
      </w:r>
      <w:r w:rsidR="00354A87">
        <w:rPr>
          <w:lang w:eastAsia="en-AU"/>
        </w:rPr>
        <w:t>02</w:t>
      </w:r>
      <w:r w:rsidR="008F6B03" w:rsidRPr="00B52523">
        <w:rPr>
          <w:lang w:eastAsia="en-AU"/>
        </w:rPr>
        <w:t>)</w:t>
      </w:r>
      <w:r w:rsidR="00C87B4C">
        <w:rPr>
          <w:lang w:eastAsia="en-AU"/>
        </w:rPr>
        <w:t>.</w:t>
      </w:r>
      <w:r w:rsidR="001C089E">
        <w:rPr>
          <w:lang w:eastAsia="en-AU"/>
        </w:rPr>
        <w:t xml:space="preserve"> </w:t>
      </w:r>
      <w:r w:rsidR="002F6D7A">
        <w:rPr>
          <w:lang w:eastAsia="en-AU"/>
        </w:rPr>
        <w:t>Participants</w:t>
      </w:r>
      <w:r w:rsidR="00F52657">
        <w:rPr>
          <w:lang w:eastAsia="en-AU"/>
        </w:rPr>
        <w:t xml:space="preserve"> and providers </w:t>
      </w:r>
      <w:r w:rsidR="0074151E">
        <w:rPr>
          <w:lang w:eastAsia="en-AU"/>
        </w:rPr>
        <w:t xml:space="preserve">in consultations reported that </w:t>
      </w:r>
      <w:r w:rsidR="005C4D97">
        <w:rPr>
          <w:lang w:eastAsia="en-AU"/>
        </w:rPr>
        <w:t xml:space="preserve">this may be because </w:t>
      </w:r>
      <w:r w:rsidR="0074151E">
        <w:rPr>
          <w:lang w:eastAsia="en-AU"/>
        </w:rPr>
        <w:t>the</w:t>
      </w:r>
      <w:r w:rsidR="003362D1">
        <w:rPr>
          <w:lang w:eastAsia="en-AU"/>
        </w:rPr>
        <w:t>y</w:t>
      </w:r>
      <w:r w:rsidR="001C089E">
        <w:rPr>
          <w:lang w:eastAsia="en-AU"/>
        </w:rPr>
        <w:t xml:space="preserve"> were</w:t>
      </w:r>
      <w:r w:rsidR="00411FB7">
        <w:rPr>
          <w:lang w:eastAsia="en-AU"/>
        </w:rPr>
        <w:t>:</w:t>
      </w:r>
    </w:p>
    <w:p w14:paraId="1A334567" w14:textId="5C25687C" w:rsidR="00D918CA" w:rsidRDefault="001C089E" w:rsidP="00D918CA">
      <w:pPr>
        <w:pStyle w:val="Bullet"/>
      </w:pPr>
      <w:r>
        <w:t>Not</w:t>
      </w:r>
      <w:r w:rsidR="00D918CA">
        <w:t xml:space="preserve"> connected </w:t>
      </w:r>
      <w:r w:rsidR="004F59D1">
        <w:t xml:space="preserve">with </w:t>
      </w:r>
      <w:r w:rsidR="005C4D97">
        <w:t xml:space="preserve">long term community </w:t>
      </w:r>
      <w:r w:rsidR="00352EAD">
        <w:t>support</w:t>
      </w:r>
      <w:r w:rsidR="005C4D97">
        <w:t>, so The Way Back ‘held’ them for longer</w:t>
      </w:r>
      <w:r>
        <w:t>.</w:t>
      </w:r>
    </w:p>
    <w:p w14:paraId="43A721B3" w14:textId="588FC048" w:rsidR="00D918CA" w:rsidRDefault="001C089E" w:rsidP="00D918CA">
      <w:pPr>
        <w:pStyle w:val="Bullet"/>
      </w:pPr>
      <w:r>
        <w:t>At</w:t>
      </w:r>
      <w:r w:rsidR="00561863">
        <w:t xml:space="preserve"> </w:t>
      </w:r>
      <w:r w:rsidR="00D918CA">
        <w:t>risk of</w:t>
      </w:r>
      <w:r w:rsidR="005D05AD">
        <w:t xml:space="preserve"> </w:t>
      </w:r>
      <w:r w:rsidR="00352EAD">
        <w:t>re-attempting</w:t>
      </w:r>
      <w:r w:rsidR="005D05AD">
        <w:t xml:space="preserve"> </w:t>
      </w:r>
      <w:r w:rsidR="00561863">
        <w:t xml:space="preserve">suicide </w:t>
      </w:r>
      <w:r w:rsidR="005F00AF">
        <w:t xml:space="preserve">at </w:t>
      </w:r>
      <w:r w:rsidR="00A21E85">
        <w:t>twelve</w:t>
      </w:r>
      <w:r w:rsidR="005F00AF">
        <w:t xml:space="preserve"> weeks</w:t>
      </w:r>
      <w:r w:rsidR="005D05AD">
        <w:t>.</w:t>
      </w:r>
      <w:r w:rsidR="00411FB7">
        <w:t xml:space="preserve"> </w:t>
      </w:r>
      <w:r w:rsidR="004F59D1">
        <w:t>Staying longer in the service minimised this risk</w:t>
      </w:r>
      <w:r w:rsidR="009E6275">
        <w:t>.</w:t>
      </w:r>
    </w:p>
    <w:p w14:paraId="0441C18F" w14:textId="398BC125" w:rsidR="00F341E7" w:rsidRDefault="129779DC" w:rsidP="00D31518">
      <w:r>
        <w:t xml:space="preserve">There was limited quantitative data to identify the average number of sessions per participant episode. Anecdotally, participants and providers reported </w:t>
      </w:r>
      <w:r w:rsidR="3DE63428">
        <w:t>that</w:t>
      </w:r>
      <w:r w:rsidR="50F97B21">
        <w:t xml:space="preserve"> participants were on average provided with one session per week across </w:t>
      </w:r>
      <w:r w:rsidR="78728EE3">
        <w:t>12</w:t>
      </w:r>
      <w:r w:rsidR="50F97B21">
        <w:t xml:space="preserve"> weeks. The number and length of sessions were adjusted depending on the participant’s needs. </w:t>
      </w:r>
    </w:p>
    <w:p w14:paraId="6F47D3D0" w14:textId="27036AFC" w:rsidR="00880350" w:rsidRDefault="5E85DA6F" w:rsidP="00623868">
      <w:pPr>
        <w:pStyle w:val="Heading3"/>
      </w:pPr>
      <w:r>
        <w:t>Participants who received peer support, and participants with a safety</w:t>
      </w:r>
      <w:r w:rsidR="5AEF02BC">
        <w:t>/</w:t>
      </w:r>
      <w:r>
        <w:t>support plan were more likely</w:t>
      </w:r>
      <w:r w:rsidR="007E7DD4">
        <w:t xml:space="preserve"> to</w:t>
      </w:r>
      <w:r>
        <w:t xml:space="preserve"> </w:t>
      </w:r>
      <w:r w:rsidR="634E2E1F">
        <w:t xml:space="preserve">complete their service </w:t>
      </w:r>
      <w:r w:rsidR="004C0A4D">
        <w:t>episode and</w:t>
      </w:r>
      <w:r w:rsidR="634E2E1F">
        <w:t xml:space="preserve"> stay </w:t>
      </w:r>
      <w:r>
        <w:t>in the service for longer than 12 weeks.</w:t>
      </w:r>
    </w:p>
    <w:p w14:paraId="3195D457" w14:textId="3A86A41D" w:rsidR="00880350" w:rsidRPr="007C7930" w:rsidRDefault="00880350" w:rsidP="00880350">
      <w:r>
        <w:rPr>
          <w:lang w:eastAsia="en-AU"/>
        </w:rPr>
        <w:t>Based on analysis of PMHC MDS data</w:t>
      </w:r>
      <w:r w:rsidR="004C0A4D">
        <w:rPr>
          <w:lang w:eastAsia="en-AU"/>
        </w:rPr>
        <w:t>,</w:t>
      </w:r>
      <w:r>
        <w:rPr>
          <w:rStyle w:val="FootnoteReference"/>
          <w:lang w:eastAsia="en-AU"/>
        </w:rPr>
        <w:footnoteReference w:id="79"/>
      </w:r>
      <w:r>
        <w:rPr>
          <w:lang w:eastAsia="en-AU"/>
        </w:rPr>
        <w:t xml:space="preserve"> participants were more likely to engage with The Way Back for longer than 12 weeks if</w:t>
      </w:r>
      <w:r w:rsidR="00165BAA">
        <w:rPr>
          <w:lang w:eastAsia="en-AU"/>
        </w:rPr>
        <w:t>:</w:t>
      </w:r>
    </w:p>
    <w:p w14:paraId="5BFFD828" w14:textId="0CF7DF09" w:rsidR="00880350" w:rsidRDefault="18AD0221" w:rsidP="00880350">
      <w:pPr>
        <w:pStyle w:val="Bullet"/>
      </w:pPr>
      <w:r>
        <w:t>They received peer support</w:t>
      </w:r>
      <w:r w:rsidR="5AAD69A5">
        <w:t>.</w:t>
      </w:r>
    </w:p>
    <w:p w14:paraId="17002ED9" w14:textId="77777777" w:rsidR="0026482E" w:rsidRDefault="00880350" w:rsidP="0026482E">
      <w:pPr>
        <w:pStyle w:val="Bullet"/>
      </w:pPr>
      <w:r>
        <w:t xml:space="preserve">They completed a safety and support plan. </w:t>
      </w:r>
    </w:p>
    <w:p w14:paraId="35CA6909" w14:textId="11FE7236" w:rsidR="0026482E" w:rsidRDefault="008A781C" w:rsidP="00FA0E0F">
      <w:r>
        <w:t>This aligns to findings from The Way Back Support Service Peer Support Trial</w:t>
      </w:r>
      <w:r w:rsidR="0050689D">
        <w:t>.</w:t>
      </w:r>
      <w:r w:rsidR="0050689D">
        <w:rPr>
          <w:rStyle w:val="FootnoteReference"/>
        </w:rPr>
        <w:footnoteReference w:id="80"/>
      </w:r>
      <w:r w:rsidR="00E5672D">
        <w:t xml:space="preserve"> </w:t>
      </w:r>
      <w:r w:rsidR="00B9706F">
        <w:t xml:space="preserve">Further detail in this trial is outlined below. </w:t>
      </w:r>
    </w:p>
    <w:tbl>
      <w:tblPr>
        <w:tblStyle w:val="NousLongformcallout"/>
        <w:tblW w:w="4950" w:type="pct"/>
        <w:shd w:val="clear" w:color="auto" w:fill="F2F2F2" w:themeFill="background1" w:themeFillShade="F2"/>
        <w:tblCellMar>
          <w:top w:w="85" w:type="dxa"/>
          <w:left w:w="85" w:type="dxa"/>
          <w:bottom w:w="0" w:type="dxa"/>
          <w:right w:w="85" w:type="dxa"/>
        </w:tblCellMar>
        <w:tblLook w:val="04A0" w:firstRow="1" w:lastRow="0" w:firstColumn="1" w:lastColumn="0" w:noHBand="0" w:noVBand="1"/>
        <w:tblDescription w:val="Key finding on the way back support service peer support trial evaluation are outlined in this table. &#10;&#10;"/>
      </w:tblPr>
      <w:tblGrid>
        <w:gridCol w:w="8821"/>
      </w:tblGrid>
      <w:tr w:rsidR="00F77C16" w14:paraId="5D20576F" w14:textId="77777777" w:rsidTr="006F635A">
        <w:trPr>
          <w:trHeight w:val="610"/>
          <w:tblHeader/>
        </w:trPr>
        <w:tc>
          <w:tcPr>
            <w:tcW w:w="8821" w:type="dxa"/>
            <w:tcBorders>
              <w:top w:val="nil"/>
              <w:left w:val="single" w:sz="8" w:space="0" w:color="FFFFFF" w:themeColor="background1"/>
              <w:bottom w:val="nil"/>
              <w:right w:val="single" w:sz="8" w:space="0" w:color="FFFFFF" w:themeColor="background1"/>
            </w:tcBorders>
          </w:tcPr>
          <w:p w14:paraId="5AA2130C" w14:textId="77777777" w:rsidR="00F77C16" w:rsidRDefault="00F77C16" w:rsidP="00B62F50">
            <w:pPr>
              <w:pStyle w:val="Longformcallout"/>
              <w:spacing w:after="0"/>
              <w:jc w:val="center"/>
              <w:rPr>
                <w:noProof/>
              </w:rPr>
            </w:pPr>
            <w:r w:rsidRPr="00EE2C4F">
              <w:rPr>
                <w:noProof/>
              </w:rPr>
              <w:drawing>
                <wp:inline distT="0" distB="0" distL="0" distR="0" wp14:anchorId="4C039BE5" wp14:editId="045F527B">
                  <wp:extent cx="389614" cy="419584"/>
                  <wp:effectExtent l="0" t="0" r="0" b="0"/>
                  <wp:docPr id="27887" name="Graphic 27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7" name="Graphic 27887">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392366" cy="422547"/>
                          </a:xfrm>
                          <a:prstGeom prst="rect">
                            <a:avLst/>
                          </a:prstGeom>
                        </pic:spPr>
                      </pic:pic>
                    </a:graphicData>
                  </a:graphic>
                </wp:inline>
              </w:drawing>
            </w:r>
          </w:p>
          <w:p w14:paraId="759B2D28" w14:textId="0A8CE7B7" w:rsidR="00F77C16" w:rsidRPr="00536D0E" w:rsidRDefault="00F77C16" w:rsidP="00B62F50">
            <w:pPr>
              <w:pStyle w:val="Longformcallout"/>
            </w:pPr>
            <w:r>
              <w:rPr>
                <w:rFonts w:asciiTheme="majorHAnsi" w:hAnsiTheme="majorHAnsi" w:cstheme="majorHAnsi"/>
                <w:bCs/>
              </w:rPr>
              <w:t>KEY FINDINGS FROM THE WAY BACK SUPPORT SERVICE PEER SUPPORT TRIAL EVALUATION</w:t>
            </w:r>
          </w:p>
        </w:tc>
      </w:tr>
      <w:tr w:rsidR="006F737B" w:rsidRPr="00897A8C" w14:paraId="178B09CC" w14:textId="77777777" w:rsidTr="004C6912">
        <w:tc>
          <w:tcPr>
            <w:tcW w:w="8821"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CC71990" w14:textId="77777777" w:rsidR="006F737B" w:rsidRDefault="006F737B" w:rsidP="00B62F50">
            <w:pPr>
              <w:pStyle w:val="TableNText"/>
            </w:pPr>
            <w:r>
              <w:t xml:space="preserve">Nous Group was engaged by Beyond Blue to evaluate the Peer Support trial at the Murrumbidgee site between September 2020 and October 2021. There was limited qualitative and quantitative data available for this to draw broad conclusions about the effectiveness of the peer support model. However, analysis of the PMHC MDS data from July 2018 to September 2022 found that participants with peer support: </w:t>
            </w:r>
          </w:p>
          <w:p w14:paraId="3D2C73CB" w14:textId="1D53560A" w:rsidR="006F737B" w:rsidRDefault="006F737B" w:rsidP="00B62F50">
            <w:pPr>
              <w:pStyle w:val="TableExpbullet"/>
            </w:pPr>
            <w:r>
              <w:t xml:space="preserve">complete their service episodes than those who did not have peer support. </w:t>
            </w:r>
          </w:p>
          <w:p w14:paraId="6D62FB59" w14:textId="77777777" w:rsidR="006F737B" w:rsidRDefault="006F737B" w:rsidP="00B62F50">
            <w:pPr>
              <w:pStyle w:val="TableExpbullet"/>
            </w:pPr>
            <w:r>
              <w:t xml:space="preserve">stayed in the service for longer than participants who do not have peer support. </w:t>
            </w:r>
          </w:p>
          <w:p w14:paraId="095185EA" w14:textId="77777777" w:rsidR="006F737B" w:rsidRPr="00897A8C" w:rsidRDefault="006F737B" w:rsidP="00B62F50">
            <w:pPr>
              <w:pStyle w:val="TableExpbullet"/>
              <w:numPr>
                <w:ilvl w:val="0"/>
                <w:numId w:val="0"/>
              </w:numPr>
            </w:pPr>
            <w:r>
              <w:t xml:space="preserve">Limited qualitative data from interviews highlighted that participant appeared to be satisfied with their peer support as an additional service to the core service model. </w:t>
            </w:r>
          </w:p>
        </w:tc>
      </w:tr>
    </w:tbl>
    <w:p w14:paraId="51B3DE57" w14:textId="3D586448" w:rsidR="00B9706F" w:rsidRDefault="2610F243" w:rsidP="00FA0E0F">
      <w:r>
        <w:t xml:space="preserve">One possible reason for </w:t>
      </w:r>
      <w:r w:rsidR="020B8DEA">
        <w:t xml:space="preserve">why peer support influenced participants’ experience with The Way Back </w:t>
      </w:r>
      <w:r w:rsidR="4A90292B">
        <w:t xml:space="preserve">was that </w:t>
      </w:r>
      <w:r w:rsidR="020B8DEA">
        <w:t xml:space="preserve">it </w:t>
      </w:r>
      <w:r w:rsidR="4A90292B">
        <w:t xml:space="preserve">enabled them to establish a </w:t>
      </w:r>
      <w:r w:rsidR="314886E0">
        <w:t xml:space="preserve">strong </w:t>
      </w:r>
      <w:r w:rsidR="4A90292B">
        <w:t>therapeutic alliance</w:t>
      </w:r>
      <w:r w:rsidR="10B835AF">
        <w:t xml:space="preserve"> with the </w:t>
      </w:r>
      <w:r w:rsidR="002649DF">
        <w:t xml:space="preserve">support coordinator </w:t>
      </w:r>
      <w:r w:rsidR="10B835AF">
        <w:t xml:space="preserve">which </w:t>
      </w:r>
      <w:r w:rsidR="257A7EE5">
        <w:t xml:space="preserve">supported </w:t>
      </w:r>
      <w:r w:rsidR="257A7EE5">
        <w:lastRenderedPageBreak/>
        <w:t>their recovery</w:t>
      </w:r>
      <w:r w:rsidR="295A6DDA">
        <w:t xml:space="preserve"> (see </w:t>
      </w:r>
      <w:r w:rsidR="041685E4">
        <w:t xml:space="preserve">further detail </w:t>
      </w:r>
      <w:r w:rsidR="257A7EE5">
        <w:t xml:space="preserve">the role of therapeutic alliance </w:t>
      </w:r>
      <w:r w:rsidR="1034AFB8">
        <w:t xml:space="preserve">in The Way Back </w:t>
      </w:r>
      <w:r w:rsidR="041685E4">
        <w:t xml:space="preserve">in </w:t>
      </w:r>
      <w:r w:rsidR="295A6DDA">
        <w:t xml:space="preserve">section </w:t>
      </w:r>
      <w:r w:rsidR="1AC75427">
        <w:fldChar w:fldCharType="begin"/>
      </w:r>
      <w:r w:rsidR="1AC75427">
        <w:instrText xml:space="preserve"> REF _Ref118290603 \r \h  \* MERGEFORMAT </w:instrText>
      </w:r>
      <w:r w:rsidR="1AC75427">
        <w:fldChar w:fldCharType="separate"/>
      </w:r>
      <w:r w:rsidR="00402362">
        <w:t>8.1</w:t>
      </w:r>
      <w:r w:rsidR="1AC75427">
        <w:fldChar w:fldCharType="end"/>
      </w:r>
      <w:r w:rsidR="1E02684A">
        <w:t>).</w:t>
      </w:r>
      <w:r w:rsidR="3E58EFC0">
        <w:t xml:space="preserve"> </w:t>
      </w:r>
      <w:r w:rsidR="020B8DEA">
        <w:t>Respondents to a participant survey</w:t>
      </w:r>
      <w:r w:rsidR="295A6DDA">
        <w:t xml:space="preserve"> </w:t>
      </w:r>
      <w:r w:rsidR="6EBB6EE8">
        <w:t xml:space="preserve">highlighted </w:t>
      </w:r>
      <w:r w:rsidR="59D4D12B">
        <w:t xml:space="preserve">the importance of connecting with someone with lived experience. They indicated that </w:t>
      </w:r>
      <w:r w:rsidR="2BBC4BF0">
        <w:t xml:space="preserve">having a </w:t>
      </w:r>
      <w:r w:rsidR="041685E4">
        <w:t xml:space="preserve">support coordinator </w:t>
      </w:r>
      <w:r w:rsidR="2BBC4BF0">
        <w:t xml:space="preserve">with </w:t>
      </w:r>
      <w:r w:rsidR="3FBA0BAE">
        <w:t xml:space="preserve">lived experience </w:t>
      </w:r>
      <w:r w:rsidR="13B3D36D">
        <w:t>of suicidality</w:t>
      </w:r>
      <w:r w:rsidR="2BBC4BF0">
        <w:t xml:space="preserve"> was </w:t>
      </w:r>
      <w:r w:rsidR="2459D086">
        <w:t>an important contributor to their recovery as they</w:t>
      </w:r>
      <w:r w:rsidR="005A28DD">
        <w:t xml:space="preserve"> felt the </w:t>
      </w:r>
      <w:r w:rsidR="00F436FF">
        <w:t>support coordinator</w:t>
      </w:r>
      <w:r w:rsidR="00A359B7">
        <w:t xml:space="preserve"> was</w:t>
      </w:r>
      <w:r w:rsidR="2459D086">
        <w:t xml:space="preserve"> </w:t>
      </w:r>
      <w:r w:rsidR="041685E4">
        <w:t xml:space="preserve">able to </w:t>
      </w:r>
      <w:r w:rsidR="00496669">
        <w:t xml:space="preserve">better </w:t>
      </w:r>
      <w:r w:rsidR="041685E4">
        <w:t xml:space="preserve">understand </w:t>
      </w:r>
      <w:r w:rsidR="528FB709">
        <w:t>them</w:t>
      </w:r>
      <w:r w:rsidR="041685E4">
        <w:t xml:space="preserve">. </w:t>
      </w:r>
    </w:p>
    <w:p w14:paraId="1CFBFEC5" w14:textId="77777777" w:rsidR="00CB0C9C" w:rsidRDefault="2298276F" w:rsidP="00947BAE">
      <w:pPr>
        <w:rPr>
          <w:strike/>
          <w:color w:val="FF0000"/>
        </w:rPr>
      </w:pPr>
      <w:r>
        <w:t xml:space="preserve">There was no information available to the evaluation to </w:t>
      </w:r>
      <w:r w:rsidR="13BAD2F5">
        <w:t>understand</w:t>
      </w:r>
      <w:r w:rsidR="323E71F2">
        <w:t xml:space="preserve"> other reasons</w:t>
      </w:r>
      <w:r>
        <w:t xml:space="preserve"> why participants with safety</w:t>
      </w:r>
      <w:r w:rsidR="29A4DA52">
        <w:t xml:space="preserve"> plans</w:t>
      </w:r>
      <w:r w:rsidR="554D9C64">
        <w:t>,</w:t>
      </w:r>
      <w:r w:rsidR="29A4DA52">
        <w:t xml:space="preserve"> </w:t>
      </w:r>
      <w:r>
        <w:t xml:space="preserve">support plans </w:t>
      </w:r>
      <w:r w:rsidR="554D9C64">
        <w:t>or both</w:t>
      </w:r>
      <w:r>
        <w:t xml:space="preserve"> were </w:t>
      </w:r>
      <w:r w:rsidR="7926C46C">
        <w:t xml:space="preserve">more likely to complete their service </w:t>
      </w:r>
      <w:r w:rsidR="7DEA4EE4">
        <w:t>episode or</w:t>
      </w:r>
      <w:r w:rsidR="7926C46C">
        <w:t xml:space="preserve"> stayed longer in the service. </w:t>
      </w:r>
      <w:r w:rsidR="25DFA9D0">
        <w:t xml:space="preserve">Overall, there is an opportunity to further collect evidence to determine whether peer support should be included as part of the core The Way Back service model (see section </w:t>
      </w:r>
      <w:r w:rsidR="2610F243">
        <w:fldChar w:fldCharType="begin"/>
      </w:r>
      <w:r w:rsidR="2610F243">
        <w:instrText xml:space="preserve"> REF _Ref118285879 \n \h </w:instrText>
      </w:r>
      <w:r w:rsidR="2610F243">
        <w:fldChar w:fldCharType="separate"/>
      </w:r>
      <w:r w:rsidR="00402362">
        <w:t>10.1</w:t>
      </w:r>
      <w:r w:rsidR="2610F243">
        <w:fldChar w:fldCharType="end"/>
      </w:r>
      <w:r w:rsidR="25DFA9D0">
        <w:t xml:space="preserve">, recommendation </w:t>
      </w:r>
      <w:r w:rsidR="431AA7DC">
        <w:t>6</w:t>
      </w:r>
      <w:r w:rsidR="25DFA9D0">
        <w:t>)</w:t>
      </w:r>
      <w:r w:rsidR="7F8E3ECE">
        <w:t>.</w:t>
      </w:r>
    </w:p>
    <w:p w14:paraId="4E1D4F8B" w14:textId="40F8B63C" w:rsidR="002460E2" w:rsidRPr="006F635A" w:rsidRDefault="7B55A5F7" w:rsidP="5F0B1C35">
      <w:pPr>
        <w:rPr>
          <w:rStyle w:val="Strong"/>
        </w:rPr>
      </w:pPr>
      <w:r w:rsidRPr="006F635A">
        <w:rPr>
          <w:rStyle w:val="Strong"/>
        </w:rPr>
        <w:t xml:space="preserve">Males, </w:t>
      </w:r>
      <w:r w:rsidR="36BD31E0" w:rsidRPr="006F635A">
        <w:rPr>
          <w:rStyle w:val="Strong"/>
        </w:rPr>
        <w:t>participants</w:t>
      </w:r>
      <w:r w:rsidRPr="006F635A">
        <w:rPr>
          <w:rStyle w:val="Strong"/>
        </w:rPr>
        <w:t xml:space="preserve"> aged under </w:t>
      </w:r>
      <w:r w:rsidR="0680DD18" w:rsidRPr="006F635A">
        <w:rPr>
          <w:rStyle w:val="Strong"/>
        </w:rPr>
        <w:t>twenty-five</w:t>
      </w:r>
      <w:r w:rsidRPr="006F635A">
        <w:rPr>
          <w:rStyle w:val="Strong"/>
        </w:rPr>
        <w:t xml:space="preserve">, and people </w:t>
      </w:r>
      <w:r w:rsidR="283AEDB9" w:rsidRPr="006F635A">
        <w:rPr>
          <w:rStyle w:val="Strong"/>
        </w:rPr>
        <w:t xml:space="preserve">with alcohol and other drug </w:t>
      </w:r>
      <w:r w:rsidR="58A07AC9" w:rsidRPr="006F635A">
        <w:rPr>
          <w:rStyle w:val="Strong"/>
        </w:rPr>
        <w:t xml:space="preserve">support </w:t>
      </w:r>
      <w:r w:rsidR="283AEDB9" w:rsidRPr="006F635A">
        <w:rPr>
          <w:rStyle w:val="Strong"/>
        </w:rPr>
        <w:t xml:space="preserve">needs were </w:t>
      </w:r>
      <w:r w:rsidRPr="006F635A">
        <w:rPr>
          <w:rStyle w:val="Strong"/>
        </w:rPr>
        <w:t>less likely to complete their service episode than others.</w:t>
      </w:r>
    </w:p>
    <w:p w14:paraId="26B8CF3D" w14:textId="42062B77" w:rsidR="007E2434" w:rsidRPr="009C0A75" w:rsidRDefault="007E2434" w:rsidP="007E2434">
      <w:pPr>
        <w:rPr>
          <w:rFonts w:asciiTheme="minorHAnsi" w:hAnsiTheme="minorHAnsi" w:cstheme="minorHAnsi"/>
        </w:rPr>
      </w:pPr>
      <w:r w:rsidRPr="00A75646">
        <w:rPr>
          <w:rFonts w:asciiTheme="minorHAnsi" w:hAnsiTheme="minorHAnsi" w:cstheme="minorHAnsi"/>
        </w:rPr>
        <w:t xml:space="preserve">Cohorts </w:t>
      </w:r>
      <w:r w:rsidR="005C4D97">
        <w:rPr>
          <w:rFonts w:asciiTheme="minorHAnsi" w:hAnsiTheme="minorHAnsi" w:cstheme="minorHAnsi"/>
        </w:rPr>
        <w:t xml:space="preserve">who were </w:t>
      </w:r>
      <w:r w:rsidR="007531B5" w:rsidRPr="00B125C9">
        <w:rPr>
          <w:rStyle w:val="Strong"/>
        </w:rPr>
        <w:t>less likely</w:t>
      </w:r>
      <w:r w:rsidRPr="00B125C9">
        <w:rPr>
          <w:rStyle w:val="Strong"/>
        </w:rPr>
        <w:t xml:space="preserve"> </w:t>
      </w:r>
      <w:r w:rsidRPr="00A75646">
        <w:rPr>
          <w:rFonts w:asciiTheme="minorHAnsi" w:hAnsiTheme="minorHAnsi" w:cstheme="minorHAnsi"/>
        </w:rPr>
        <w:t>to</w:t>
      </w:r>
      <w:r w:rsidRPr="009C0A75">
        <w:rPr>
          <w:rFonts w:asciiTheme="minorHAnsi" w:hAnsiTheme="minorHAnsi" w:cstheme="minorHAnsi"/>
        </w:rPr>
        <w:t xml:space="preserve"> complete their service episode based on analysis of </w:t>
      </w:r>
      <w:r w:rsidRPr="009C0A75">
        <w:rPr>
          <w:rFonts w:asciiTheme="minorHAnsi" w:hAnsiTheme="minorHAnsi"/>
        </w:rPr>
        <w:t>the</w:t>
      </w:r>
      <w:r w:rsidRPr="009C0A75">
        <w:rPr>
          <w:rFonts w:asciiTheme="minorHAnsi" w:hAnsiTheme="minorHAnsi" w:cstheme="minorHAnsi"/>
        </w:rPr>
        <w:t xml:space="preserve"> PMHC MDS included:</w:t>
      </w:r>
    </w:p>
    <w:p w14:paraId="1AF32E28" w14:textId="7D57921B" w:rsidR="007E2434" w:rsidRPr="009C0A75" w:rsidRDefault="36BD31E0" w:rsidP="007E2434">
      <w:pPr>
        <w:pStyle w:val="Bullet"/>
      </w:pPr>
      <w:r>
        <w:t>Participants</w:t>
      </w:r>
      <w:r w:rsidR="337816EB">
        <w:t xml:space="preserve"> under </w:t>
      </w:r>
      <w:r w:rsidR="3103D8D8">
        <w:t>25</w:t>
      </w:r>
      <w:r w:rsidR="337816EB">
        <w:t xml:space="preserve"> </w:t>
      </w:r>
      <w:r w:rsidR="0603B2E8">
        <w:t xml:space="preserve">years of age </w:t>
      </w:r>
      <w:r w:rsidR="337816EB">
        <w:t xml:space="preserve">compared to </w:t>
      </w:r>
      <w:r>
        <w:t>participants</w:t>
      </w:r>
      <w:r w:rsidR="337816EB">
        <w:t xml:space="preserve"> aged between </w:t>
      </w:r>
      <w:r w:rsidR="3103D8D8">
        <w:t xml:space="preserve">25 and 65 </w:t>
      </w:r>
      <w:r w:rsidR="337816EB">
        <w:t>years of age</w:t>
      </w:r>
      <w:r w:rsidR="00C97173">
        <w:t>.</w:t>
      </w:r>
    </w:p>
    <w:p w14:paraId="7E3E6395" w14:textId="238D06A7" w:rsidR="007E2434" w:rsidRPr="009C0A75" w:rsidRDefault="36BD31E0" w:rsidP="007E2434">
      <w:pPr>
        <w:pStyle w:val="Bullet"/>
      </w:pPr>
      <w:r>
        <w:t>Participants</w:t>
      </w:r>
      <w:r w:rsidR="337816EB">
        <w:t xml:space="preserve"> </w:t>
      </w:r>
      <w:r w:rsidR="3AAE619F">
        <w:t xml:space="preserve">who </w:t>
      </w:r>
      <w:r w:rsidR="283AEDB9">
        <w:t>have alcohol and other drug</w:t>
      </w:r>
      <w:r w:rsidR="6CBBB2ED">
        <w:t xml:space="preserve"> support</w:t>
      </w:r>
      <w:r w:rsidR="283AEDB9">
        <w:t xml:space="preserve"> needs</w:t>
      </w:r>
      <w:r w:rsidR="00C97173">
        <w:t>.</w:t>
      </w:r>
    </w:p>
    <w:p w14:paraId="3A7F4E08" w14:textId="7444FD6C" w:rsidR="007E2434" w:rsidRDefault="36BD31E0" w:rsidP="007E2434">
      <w:pPr>
        <w:pStyle w:val="Bullet"/>
      </w:pPr>
      <w:r>
        <w:t>Participants</w:t>
      </w:r>
      <w:r w:rsidR="3AAE619F">
        <w:t xml:space="preserve"> who identified as male compared to </w:t>
      </w:r>
      <w:r>
        <w:t>participants</w:t>
      </w:r>
      <w:r w:rsidR="3AAE619F">
        <w:t xml:space="preserve"> who identified as female</w:t>
      </w:r>
      <w:r w:rsidR="00C97173">
        <w:t>.</w:t>
      </w:r>
      <w:r w:rsidR="007E2434" w:rsidRPr="009C0A75">
        <w:rPr>
          <w:rStyle w:val="FootnoteReference"/>
        </w:rPr>
        <w:footnoteReference w:id="81"/>
      </w:r>
    </w:p>
    <w:p w14:paraId="765EDC23" w14:textId="1241A30C" w:rsidR="00CE51BC" w:rsidRDefault="1A8FC95B" w:rsidP="00CE51BC">
      <w:r>
        <w:t xml:space="preserve">There </w:t>
      </w:r>
      <w:r w:rsidR="6B02B72E">
        <w:t>was</w:t>
      </w:r>
      <w:r>
        <w:t xml:space="preserve"> no information available to the evaluation about why these cohorts </w:t>
      </w:r>
      <w:r w:rsidR="095B77B8">
        <w:t xml:space="preserve">were less likely to complete their service episode. </w:t>
      </w:r>
      <w:r w:rsidR="27975870">
        <w:t xml:space="preserve"> It is hypothesised that The Way Back </w:t>
      </w:r>
      <w:r w:rsidR="6B02B72E">
        <w:t>did</w:t>
      </w:r>
      <w:r w:rsidR="27975870">
        <w:t xml:space="preserve"> not adequately cater to the needs of younger and older </w:t>
      </w:r>
      <w:r w:rsidR="00CB0C9C">
        <w:t>people and</w:t>
      </w:r>
      <w:r w:rsidR="27975870">
        <w:t xml:space="preserve"> </w:t>
      </w:r>
      <w:r w:rsidR="6B02B72E">
        <w:t>did</w:t>
      </w:r>
      <w:r w:rsidR="27975870">
        <w:t xml:space="preserve"> not identify</w:t>
      </w:r>
      <w:r w:rsidR="3ECD7842">
        <w:t xml:space="preserve"> or address</w:t>
      </w:r>
      <w:r w:rsidR="27975870">
        <w:t xml:space="preserve"> the supports of people with alcohol and other drug support needs. </w:t>
      </w:r>
      <w:r w:rsidR="7B6026F3">
        <w:t>F</w:t>
      </w:r>
      <w:r w:rsidR="27975870">
        <w:t xml:space="preserve">urther investigation is </w:t>
      </w:r>
      <w:r w:rsidR="7B6026F3">
        <w:t>required</w:t>
      </w:r>
      <w:r w:rsidR="27975870">
        <w:t xml:space="preserve"> to understand why certain cohorts were less likely to complete their service episode</w:t>
      </w:r>
      <w:r w:rsidR="332238A2">
        <w:t xml:space="preserve"> (see section </w:t>
      </w:r>
      <w:r w:rsidR="00CE51BC">
        <w:fldChar w:fldCharType="begin"/>
      </w:r>
      <w:r w:rsidR="00CE51BC">
        <w:instrText xml:space="preserve"> REF _Ref118285879 \r \h </w:instrText>
      </w:r>
      <w:r w:rsidR="00CE51BC">
        <w:fldChar w:fldCharType="separate"/>
      </w:r>
      <w:r w:rsidR="00402362">
        <w:t>10.1</w:t>
      </w:r>
      <w:r w:rsidR="00CE51BC">
        <w:fldChar w:fldCharType="end"/>
      </w:r>
      <w:r w:rsidR="111D6C39">
        <w:t xml:space="preserve">, </w:t>
      </w:r>
      <w:r w:rsidR="332238A2">
        <w:t xml:space="preserve">recommendation </w:t>
      </w:r>
      <w:r w:rsidR="006F204D">
        <w:t>5</w:t>
      </w:r>
      <w:r w:rsidR="332238A2">
        <w:t>)</w:t>
      </w:r>
      <w:r w:rsidR="00CC5DF2">
        <w:t>.</w:t>
      </w:r>
    </w:p>
    <w:p w14:paraId="383E0650" w14:textId="62D47CFD" w:rsidR="00FE2E09" w:rsidRDefault="3E5984D5" w:rsidP="00623868">
      <w:pPr>
        <w:pStyle w:val="Heading3"/>
      </w:pPr>
      <w:r>
        <w:t xml:space="preserve">The variety of services participants were referred </w:t>
      </w:r>
      <w:r w:rsidR="00AD25E7">
        <w:t xml:space="preserve">out </w:t>
      </w:r>
      <w:r w:rsidR="00B77185">
        <w:t>to</w:t>
      </w:r>
      <w:r>
        <w:t xml:space="preserve"> from The Way Back reflect</w:t>
      </w:r>
      <w:r w:rsidR="0E4BE85C">
        <w:t>ed</w:t>
      </w:r>
      <w:r>
        <w:t xml:space="preserve"> the service objective to connect participants to relevant services based on their assessed needs</w:t>
      </w:r>
      <w:r w:rsidR="2AD24D44">
        <w:t>.</w:t>
      </w:r>
    </w:p>
    <w:p w14:paraId="6A4C0097" w14:textId="6C6C90E7" w:rsidR="00AC7F61" w:rsidRDefault="001F1266" w:rsidP="001D4F97">
      <w:r>
        <w:fldChar w:fldCharType="begin"/>
      </w:r>
      <w:r>
        <w:instrText xml:space="preserve"> REF _Ref117775182 \h </w:instrText>
      </w:r>
      <w:r>
        <w:fldChar w:fldCharType="separate"/>
      </w:r>
      <w:r w:rsidR="00402362">
        <w:t xml:space="preserve">Figure </w:t>
      </w:r>
      <w:r w:rsidR="00402362">
        <w:rPr>
          <w:noProof/>
        </w:rPr>
        <w:t>11</w:t>
      </w:r>
      <w:r>
        <w:fldChar w:fldCharType="end"/>
      </w:r>
      <w:r>
        <w:t xml:space="preserve"> </w:t>
      </w:r>
      <w:r w:rsidR="00AC7F61">
        <w:t>shows the proportion of service episodes that involved a referral out to an external service</w:t>
      </w:r>
      <w:r w:rsidR="00E96D65">
        <w:t xml:space="preserve"> and support</w:t>
      </w:r>
      <w:r w:rsidR="00FE29BE">
        <w:t xml:space="preserve"> (</w:t>
      </w:r>
      <w:r w:rsidR="00FE29BE" w:rsidRPr="009F6B3D">
        <w:t xml:space="preserve">based on PMHC MDS data from </w:t>
      </w:r>
      <w:r w:rsidR="009F6B3D" w:rsidRPr="009F6B3D">
        <w:t>July</w:t>
      </w:r>
      <w:r w:rsidR="00FE29BE" w:rsidRPr="009F6B3D">
        <w:t xml:space="preserve"> 2018 to </w:t>
      </w:r>
      <w:r w:rsidR="009F6B3D" w:rsidRPr="009F6B3D">
        <w:t>September</w:t>
      </w:r>
      <w:r w:rsidR="00FE29BE" w:rsidRPr="009F6B3D">
        <w:t xml:space="preserve"> 2022</w:t>
      </w:r>
      <w:r w:rsidR="00FE29BE">
        <w:t>)</w:t>
      </w:r>
      <w:r w:rsidR="00CB1559">
        <w:t xml:space="preserve">. </w:t>
      </w:r>
      <w:r w:rsidR="00AC7F61">
        <w:t xml:space="preserve">It shows that: </w:t>
      </w:r>
    </w:p>
    <w:p w14:paraId="1942F63C" w14:textId="61EB33E7" w:rsidR="00AC7F61" w:rsidRDefault="3529717A" w:rsidP="00AC7F61">
      <w:pPr>
        <w:pStyle w:val="Bullet"/>
      </w:pPr>
      <w:r>
        <w:t>26</w:t>
      </w:r>
      <w:r w:rsidR="299CF7D9">
        <w:t xml:space="preserve"> per cent of episodes involved a referral to a GP, community health provider or private practice</w:t>
      </w:r>
      <w:r w:rsidR="5F2D3201">
        <w:t>.</w:t>
      </w:r>
    </w:p>
    <w:p w14:paraId="76E9785C" w14:textId="14EA04F6" w:rsidR="00AC7F61" w:rsidRDefault="3529717A" w:rsidP="00AC7F61">
      <w:pPr>
        <w:pStyle w:val="Bullet"/>
      </w:pPr>
      <w:r>
        <w:t>19</w:t>
      </w:r>
      <w:r w:rsidR="299CF7D9">
        <w:t xml:space="preserve"> per cent </w:t>
      </w:r>
      <w:r w:rsidR="5F2D3201">
        <w:t xml:space="preserve">of episodes </w:t>
      </w:r>
      <w:r w:rsidR="299CF7D9">
        <w:t xml:space="preserve">involved a referral to a psychiatric or mental health service. </w:t>
      </w:r>
    </w:p>
    <w:p w14:paraId="197F8E48" w14:textId="7D9299A9" w:rsidR="00AC7F61" w:rsidRDefault="36BD31E0" w:rsidP="001D4F97">
      <w:pPr>
        <w:pStyle w:val="Bullet"/>
      </w:pPr>
      <w:r>
        <w:t>Participants</w:t>
      </w:r>
      <w:r w:rsidR="5F2D3201">
        <w:t xml:space="preserve"> were</w:t>
      </w:r>
      <w:r w:rsidR="1C0443F1">
        <w:t xml:space="preserve"> </w:t>
      </w:r>
      <w:r w:rsidR="5F2D3201">
        <w:t>less</w:t>
      </w:r>
      <w:r w:rsidR="1C0443F1">
        <w:t xml:space="preserve"> likely to be referred to Centrelink or employment services, financial or legal supports, family support services and housing or homelessness services. </w:t>
      </w:r>
    </w:p>
    <w:p w14:paraId="3FFF4C0A" w14:textId="1B9B81C9" w:rsidR="00CC4CB8" w:rsidRDefault="00AC7F61">
      <w:r>
        <w:t>The</w:t>
      </w:r>
      <w:r w:rsidR="00483799">
        <w:t xml:space="preserve"> proportion of referrals out </w:t>
      </w:r>
      <w:r w:rsidR="00A12B36">
        <w:t>to</w:t>
      </w:r>
      <w:r w:rsidR="00483799">
        <w:t xml:space="preserve"> housing and homelessness services (</w:t>
      </w:r>
      <w:r w:rsidR="003660E3">
        <w:t>4</w:t>
      </w:r>
      <w:r w:rsidR="00483799">
        <w:t xml:space="preserve"> per cent) aligns to the demographic data tha</w:t>
      </w:r>
      <w:r w:rsidR="00A135B5">
        <w:t>t</w:t>
      </w:r>
      <w:r w:rsidR="00483799">
        <w:t xml:space="preserve"> indicat</w:t>
      </w:r>
      <w:r w:rsidR="00A135B5">
        <w:t>e</w:t>
      </w:r>
      <w:r w:rsidR="00B850DF">
        <w:t>s</w:t>
      </w:r>
      <w:r w:rsidR="00483799">
        <w:t xml:space="preserve"> about </w:t>
      </w:r>
      <w:r w:rsidR="00015688">
        <w:t>5</w:t>
      </w:r>
      <w:r w:rsidR="00483799">
        <w:t xml:space="preserve"> per cent of </w:t>
      </w:r>
      <w:r w:rsidR="002F6D7A">
        <w:t>participants</w:t>
      </w:r>
      <w:r w:rsidR="00483799">
        <w:t xml:space="preserve"> were experiencing housing issues.</w:t>
      </w:r>
      <w:r w:rsidR="001C1FED">
        <w:t xml:space="preserve"> </w:t>
      </w:r>
      <w:r w:rsidR="00917FA4">
        <w:t xml:space="preserve">This reflects the experiences of participants who engaged in interviews. While some participants were able to access longer-term housing support through The Way Back, other participants noted ongoing difficulties with accessing </w:t>
      </w:r>
      <w:r w:rsidR="001C089E">
        <w:t xml:space="preserve">housing </w:t>
      </w:r>
      <w:r w:rsidR="00917FA4">
        <w:t xml:space="preserve">support, even with the assistance from the support coordinator. </w:t>
      </w:r>
      <w:r w:rsidR="00CC4CB8">
        <w:t xml:space="preserve">The proportion of episodes involving a referral to a particular provider type </w:t>
      </w:r>
      <w:r w:rsidR="00F231A7">
        <w:t xml:space="preserve">roughly </w:t>
      </w:r>
      <w:r w:rsidR="00540C5C">
        <w:t xml:space="preserve">matches the </w:t>
      </w:r>
      <w:r w:rsidR="003D0905">
        <w:t xml:space="preserve">proportion of participants </w:t>
      </w:r>
      <w:r w:rsidR="00F231A7">
        <w:t xml:space="preserve">with </w:t>
      </w:r>
      <w:r w:rsidR="003D0905">
        <w:t xml:space="preserve">needs </w:t>
      </w:r>
      <w:r w:rsidR="00D44032">
        <w:t xml:space="preserve">indicated on their </w:t>
      </w:r>
      <w:r w:rsidR="007734BF">
        <w:t>initial assessment</w:t>
      </w:r>
      <w:r w:rsidR="00540C5C">
        <w:t>:</w:t>
      </w:r>
      <w:r w:rsidR="00650D48">
        <w:rPr>
          <w:rStyle w:val="FootnoteReference"/>
        </w:rPr>
        <w:footnoteReference w:id="82"/>
      </w:r>
    </w:p>
    <w:p w14:paraId="24ABAEF7" w14:textId="1E1B09E8" w:rsidR="007734BF" w:rsidRDefault="0758FADB" w:rsidP="007734BF">
      <w:pPr>
        <w:pStyle w:val="Bullet"/>
      </w:pPr>
      <w:r>
        <w:t>21</w:t>
      </w:r>
      <w:r w:rsidR="375725DC">
        <w:t xml:space="preserve"> per cent of episode</w:t>
      </w:r>
      <w:r w:rsidR="6174333F">
        <w:t xml:space="preserve">s </w:t>
      </w:r>
      <w:r w:rsidR="280075FF">
        <w:t>had a physical health condition</w:t>
      </w:r>
      <w:r w:rsidR="19A04E4E">
        <w:t xml:space="preserve"> (2</w:t>
      </w:r>
      <w:r w:rsidR="54B21200">
        <w:t>6 per cent</w:t>
      </w:r>
      <w:r w:rsidR="19A04E4E">
        <w:t xml:space="preserve"> referred</w:t>
      </w:r>
      <w:r w:rsidR="287680C9">
        <w:t xml:space="preserve"> to physical health services</w:t>
      </w:r>
      <w:r w:rsidR="19A04E4E">
        <w:t>)</w:t>
      </w:r>
      <w:r w:rsidR="122BBE86">
        <w:t>.</w:t>
      </w:r>
    </w:p>
    <w:p w14:paraId="7D89A19D" w14:textId="0E57D0B1" w:rsidR="00210556" w:rsidRDefault="3529717A" w:rsidP="007734BF">
      <w:pPr>
        <w:pStyle w:val="Bullet"/>
      </w:pPr>
      <w:r>
        <w:lastRenderedPageBreak/>
        <w:t>19</w:t>
      </w:r>
      <w:r w:rsidR="7843085A">
        <w:t xml:space="preserve"> per cent of episodes </w:t>
      </w:r>
      <w:r w:rsidR="12EE345C">
        <w:t>needed social support/sense of belonging</w:t>
      </w:r>
      <w:r w:rsidR="7000EED8">
        <w:t xml:space="preserve"> (18</w:t>
      </w:r>
      <w:r w:rsidR="37084075">
        <w:t xml:space="preserve"> per cent</w:t>
      </w:r>
      <w:r w:rsidR="7000EED8">
        <w:t xml:space="preserve"> referred</w:t>
      </w:r>
      <w:r w:rsidR="414C2F0E">
        <w:t xml:space="preserve"> to community or peer support services</w:t>
      </w:r>
      <w:r w:rsidR="7000EED8">
        <w:t>)</w:t>
      </w:r>
      <w:r w:rsidR="004E4B9D">
        <w:t>.</w:t>
      </w:r>
    </w:p>
    <w:p w14:paraId="50F2055D" w14:textId="59EDCDBF" w:rsidR="00D06A72" w:rsidRDefault="3529717A" w:rsidP="007734BF">
      <w:pPr>
        <w:pStyle w:val="Bullet"/>
      </w:pPr>
      <w:r>
        <w:t>15</w:t>
      </w:r>
      <w:r w:rsidR="12EE345C">
        <w:t xml:space="preserve"> pe</w:t>
      </w:r>
      <w:r w:rsidR="67161215">
        <w:t>r cent had financial problems</w:t>
      </w:r>
      <w:r w:rsidR="7000EED8">
        <w:t xml:space="preserve"> (</w:t>
      </w:r>
      <w:r w:rsidR="5230B485">
        <w:t>9</w:t>
      </w:r>
      <w:r w:rsidR="37084075">
        <w:t xml:space="preserve"> per cent</w:t>
      </w:r>
      <w:r w:rsidR="7000EED8">
        <w:t xml:space="preserve"> referred to Centrelink</w:t>
      </w:r>
      <w:r w:rsidR="414C2F0E">
        <w:t>, employment, financial or legal services</w:t>
      </w:r>
      <w:r w:rsidR="7000EED8">
        <w:t>)</w:t>
      </w:r>
      <w:r w:rsidR="004E4B9D">
        <w:t>.</w:t>
      </w:r>
    </w:p>
    <w:p w14:paraId="080580A6" w14:textId="4EB27B58" w:rsidR="003D0905" w:rsidRDefault="3529717A" w:rsidP="00085D02">
      <w:pPr>
        <w:pStyle w:val="Bullet"/>
      </w:pPr>
      <w:r>
        <w:t>10</w:t>
      </w:r>
      <w:r w:rsidR="67161215">
        <w:t xml:space="preserve"> per cent had drug/alcohol</w:t>
      </w:r>
      <w:r w:rsidR="407756C8">
        <w:t xml:space="preserve"> issues</w:t>
      </w:r>
      <w:r w:rsidR="7000EED8">
        <w:t xml:space="preserve"> (7</w:t>
      </w:r>
      <w:r w:rsidR="37084075">
        <w:t xml:space="preserve"> per cent</w:t>
      </w:r>
      <w:r w:rsidR="7000EED8">
        <w:t xml:space="preserve"> referred to AOD services).</w:t>
      </w:r>
      <w:bookmarkStart w:id="88" w:name="_Ref105596910"/>
    </w:p>
    <w:p w14:paraId="6604CBC3" w14:textId="08DDBA0F" w:rsidR="00CA5DDE" w:rsidRDefault="574A9988" w:rsidP="00CA5DDE">
      <w:r>
        <w:t xml:space="preserve">The proportion of episodes </w:t>
      </w:r>
      <w:r w:rsidR="10AF7879">
        <w:t xml:space="preserve">where the initial assessment </w:t>
      </w:r>
      <w:r w:rsidR="661E537D">
        <w:t xml:space="preserve">included </w:t>
      </w:r>
      <w:r w:rsidR="41420220">
        <w:t xml:space="preserve">a </w:t>
      </w:r>
      <w:r w:rsidR="32D62F8E">
        <w:t>self-</w:t>
      </w:r>
      <w:r w:rsidR="01EBED5B">
        <w:t>reported diagnosed</w:t>
      </w:r>
      <w:r w:rsidR="2AEFA431">
        <w:t xml:space="preserve"> </w:t>
      </w:r>
      <w:r w:rsidR="11221117">
        <w:t>mental health condition</w:t>
      </w:r>
      <w:r w:rsidR="2AEFA431">
        <w:t xml:space="preserve"> (3</w:t>
      </w:r>
      <w:r w:rsidR="46E51769">
        <w:t>5</w:t>
      </w:r>
      <w:r w:rsidR="2AEFA431">
        <w:t xml:space="preserve"> per cent)</w:t>
      </w:r>
      <w:r w:rsidR="11221117">
        <w:t xml:space="preserve">, </w:t>
      </w:r>
      <w:r w:rsidR="2923F228">
        <w:t xml:space="preserve">was higher than </w:t>
      </w:r>
      <w:r w:rsidR="2AEFA431">
        <w:t xml:space="preserve">the proportion of episodes </w:t>
      </w:r>
      <w:r w:rsidR="00CC231D">
        <w:t xml:space="preserve">where participants were </w:t>
      </w:r>
      <w:r w:rsidR="228D5F5C">
        <w:t>referred to a psychiatric or mental health service</w:t>
      </w:r>
      <w:r w:rsidR="2AEFA431">
        <w:t xml:space="preserve"> (18 per cent)</w:t>
      </w:r>
      <w:r w:rsidR="2F69B37F">
        <w:t>.</w:t>
      </w:r>
      <w:r w:rsidR="6399F116">
        <w:t xml:space="preserve"> Consultations with providers indicated that the limited </w:t>
      </w:r>
      <w:r w:rsidR="1015DF42">
        <w:t xml:space="preserve">number </w:t>
      </w:r>
      <w:r w:rsidR="540C41E2">
        <w:t xml:space="preserve">of </w:t>
      </w:r>
      <w:r w:rsidR="199E724C">
        <w:t xml:space="preserve">services available in the local area </w:t>
      </w:r>
      <w:r w:rsidR="1015DF42">
        <w:t xml:space="preserve">created difficulties at </w:t>
      </w:r>
      <w:r w:rsidR="199E724C">
        <w:t xml:space="preserve">times </w:t>
      </w:r>
      <w:r w:rsidR="1015DF42">
        <w:t>to connect participants with services that me</w:t>
      </w:r>
      <w:r w:rsidR="73125709">
        <w:t>e</w:t>
      </w:r>
      <w:r w:rsidR="1015DF42">
        <w:t>t their needs</w:t>
      </w:r>
      <w:r w:rsidR="199E724C">
        <w:t xml:space="preserve">. </w:t>
      </w:r>
      <w:r w:rsidR="09D2674D">
        <w:t xml:space="preserve">Alternatively, </w:t>
      </w:r>
      <w:r w:rsidR="6672BE68">
        <w:t xml:space="preserve">a </w:t>
      </w:r>
      <w:r w:rsidR="4BF1BFDC">
        <w:t xml:space="preserve">lower proportion of referrals may exist as participants </w:t>
      </w:r>
      <w:r w:rsidR="608CFB66">
        <w:t xml:space="preserve">were already </w:t>
      </w:r>
      <w:r w:rsidR="4BF1BFDC">
        <w:t>connected with these types of supports</w:t>
      </w:r>
      <w:r w:rsidR="608CFB66">
        <w:t xml:space="preserve"> before accessing The Way Back.</w:t>
      </w:r>
    </w:p>
    <w:p w14:paraId="725D90A8" w14:textId="117B11E3" w:rsidR="00085D02" w:rsidRDefault="00085D02" w:rsidP="00085D02">
      <w:pPr>
        <w:pStyle w:val="Caption"/>
      </w:pPr>
      <w:bookmarkStart w:id="89" w:name="_Ref117775182"/>
      <w:r>
        <w:t xml:space="preserve">Figure </w:t>
      </w:r>
      <w:r>
        <w:fldChar w:fldCharType="begin"/>
      </w:r>
      <w:r>
        <w:instrText xml:space="preserve"> SEQ Figure \* ARABIC </w:instrText>
      </w:r>
      <w:r>
        <w:fldChar w:fldCharType="separate"/>
      </w:r>
      <w:r w:rsidR="00402362">
        <w:rPr>
          <w:noProof/>
        </w:rPr>
        <w:t>11</w:t>
      </w:r>
      <w:r>
        <w:fldChar w:fldCharType="end"/>
      </w:r>
      <w:bookmarkEnd w:id="88"/>
      <w:bookmarkEnd w:id="89"/>
      <w:r>
        <w:t xml:space="preserve"> | Proportion of episodes involving a </w:t>
      </w:r>
      <w:r w:rsidR="00CA65A5">
        <w:t>referral</w:t>
      </w:r>
      <w:r>
        <w:t xml:space="preserve"> to a particular provider type</w:t>
      </w:r>
      <w:r w:rsidR="009350D9">
        <w:rPr>
          <w:rStyle w:val="FootnoteReference"/>
        </w:rPr>
        <w:footnoteReference w:id="83"/>
      </w:r>
    </w:p>
    <w:p w14:paraId="0355AB13" w14:textId="6D905B47" w:rsidR="00CB1559" w:rsidRDefault="00582DBB" w:rsidP="004A3A4F">
      <w:r>
        <w:rPr>
          <w:noProof/>
        </w:rPr>
        <w:drawing>
          <wp:inline distT="0" distB="0" distL="0" distR="0" wp14:anchorId="560AA834" wp14:editId="42957A89">
            <wp:extent cx="5670550" cy="3474085"/>
            <wp:effectExtent l="0" t="0" r="6350" b="0"/>
            <wp:docPr id="465" name="Graphic 465" descr="Figure 11 is a vertical bar graph showing the proportion of episodes involving a referral to a particular provider type.  The data for this 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Graphic 465" descr="Figure 11 is a vertical bar graph showing the proportion of episodes involving a referral to a particular provider type.  The data for this graph "/>
                    <pic:cNvPicPr/>
                  </pic:nvPicPr>
                  <pic:blipFill>
                    <a:blip r:embed="rId61">
                      <a:extLst>
                        <a:ext uri="{96DAC541-7B7A-43D3-8B79-37D633B846F1}">
                          <asvg:svgBlip xmlns:asvg="http://schemas.microsoft.com/office/drawing/2016/SVG/main" r:embed="rId62"/>
                        </a:ext>
                      </a:extLst>
                    </a:blip>
                    <a:stretch>
                      <a:fillRect/>
                    </a:stretch>
                  </pic:blipFill>
                  <pic:spPr>
                    <a:xfrm>
                      <a:off x="0" y="0"/>
                      <a:ext cx="5670550" cy="3474085"/>
                    </a:xfrm>
                    <a:prstGeom prst="rect">
                      <a:avLst/>
                    </a:prstGeom>
                  </pic:spPr>
                </pic:pic>
              </a:graphicData>
            </a:graphic>
          </wp:inline>
        </w:drawing>
      </w:r>
    </w:p>
    <w:p w14:paraId="30BC99F3" w14:textId="37CEC321" w:rsidR="009111E8" w:rsidRDefault="7405E6F2" w:rsidP="0070449B">
      <w:r>
        <w:t xml:space="preserve">The evaluation conducted a survey </w:t>
      </w:r>
      <w:r w:rsidR="4CEFC82F">
        <w:t xml:space="preserve">of members </w:t>
      </w:r>
      <w:r w:rsidR="0BE2215D">
        <w:t>of Blue Voices and Roses in the Ocean (BV</w:t>
      </w:r>
      <w:r w:rsidR="006B195B">
        <w:t>/</w:t>
      </w:r>
      <w:r w:rsidR="0BE2215D">
        <w:t>RITO</w:t>
      </w:r>
      <w:r w:rsidR="33113205">
        <w:t>)</w:t>
      </w:r>
      <w:r w:rsidR="0BE2215D">
        <w:t xml:space="preserve"> to gain insights from lived experience and what matters for long-term recovery and resilience for people who have made </w:t>
      </w:r>
      <w:r w:rsidR="00CC231D">
        <w:t>who experienced suicidality</w:t>
      </w:r>
      <w:r w:rsidR="0BE2215D">
        <w:t>.</w:t>
      </w:r>
      <w:r w:rsidR="0097578D">
        <w:rPr>
          <w:rStyle w:val="FootnoteReference"/>
        </w:rPr>
        <w:footnoteReference w:id="84"/>
      </w:r>
      <w:r w:rsidR="0BE2215D">
        <w:t xml:space="preserve"> </w:t>
      </w:r>
      <w:r w:rsidR="00697E62">
        <w:t xml:space="preserve">Of the </w:t>
      </w:r>
      <w:r w:rsidR="00CC231D">
        <w:t xml:space="preserve">59 members </w:t>
      </w:r>
      <w:r w:rsidR="00697E62">
        <w:t xml:space="preserve">who responded </w:t>
      </w:r>
      <w:r w:rsidR="00CC231D">
        <w:t>to the survey</w:t>
      </w:r>
      <w:r w:rsidR="00697E62">
        <w:t xml:space="preserve">, </w:t>
      </w:r>
      <w:r w:rsidR="00CC231D">
        <w:t xml:space="preserve">88 per cent of respondents had no previous engagement of with The Way Back. </w:t>
      </w:r>
      <w:r w:rsidR="005D6801">
        <w:t xml:space="preserve">As such, insights from this survey cannot be directly attributed to the experiences of The Way Back participants. </w:t>
      </w:r>
      <w:r w:rsidR="00CC231D">
        <w:t xml:space="preserve">Further detail on the survey methodology is provided in Appendix B.  </w:t>
      </w:r>
      <w:r w:rsidR="53C4C6B4">
        <w:t xml:space="preserve">Respondents to the </w:t>
      </w:r>
      <w:r w:rsidR="3C5F8587">
        <w:t>online survey</w:t>
      </w:r>
      <w:r w:rsidR="00015688">
        <w:t xml:space="preserve"> </w:t>
      </w:r>
      <w:r w:rsidR="00697E62">
        <w:t xml:space="preserve">selected similar </w:t>
      </w:r>
      <w:r w:rsidR="53C4C6B4">
        <w:t xml:space="preserve">services </w:t>
      </w:r>
      <w:r w:rsidR="00697E62">
        <w:t xml:space="preserve">to those </w:t>
      </w:r>
      <w:r w:rsidR="53C4C6B4">
        <w:t>accessed</w:t>
      </w:r>
      <w:r w:rsidR="7825F29B">
        <w:t xml:space="preserve"> </w:t>
      </w:r>
      <w:r w:rsidR="00697E62">
        <w:t xml:space="preserve">by participants of The Way Back </w:t>
      </w:r>
      <w:r w:rsidR="7825F29B">
        <w:t xml:space="preserve">after a </w:t>
      </w:r>
      <w:r w:rsidR="38076D8F">
        <w:t>suicidal crisis or attempt.</w:t>
      </w:r>
      <w:r w:rsidR="0097578D">
        <w:t xml:space="preserve"> Of the services accessed (noting that participants could select more than one option):</w:t>
      </w:r>
    </w:p>
    <w:p w14:paraId="061EBA56" w14:textId="0F403ABE" w:rsidR="009111E8" w:rsidRDefault="0097578D" w:rsidP="009111E8">
      <w:pPr>
        <w:pStyle w:val="Bullet"/>
      </w:pPr>
      <w:r>
        <w:t xml:space="preserve">83 </w:t>
      </w:r>
      <w:r w:rsidR="41626898">
        <w:t xml:space="preserve">per cent </w:t>
      </w:r>
      <w:r>
        <w:t xml:space="preserve">(n=49) </w:t>
      </w:r>
      <w:r w:rsidR="49FDF12C">
        <w:t xml:space="preserve">of </w:t>
      </w:r>
      <w:r w:rsidR="41626898">
        <w:t>respondents access</w:t>
      </w:r>
      <w:r w:rsidR="3C79D3F1">
        <w:t xml:space="preserve">ed </w:t>
      </w:r>
      <w:r w:rsidR="41626898">
        <w:t>mental health services (</w:t>
      </w:r>
      <w:r w:rsidR="58C2CF9E">
        <w:t>for example,</w:t>
      </w:r>
      <w:r w:rsidR="41626898">
        <w:t xml:space="preserve"> a psychologist o</w:t>
      </w:r>
      <w:r w:rsidR="00015688">
        <w:t xml:space="preserve">r </w:t>
      </w:r>
      <w:r w:rsidR="41626898">
        <w:t>counsellor</w:t>
      </w:r>
      <w:r w:rsidR="5278D0D4">
        <w:t>)</w:t>
      </w:r>
      <w:r w:rsidR="00015688">
        <w:t>.</w:t>
      </w:r>
    </w:p>
    <w:p w14:paraId="4F68EC27" w14:textId="798B1694" w:rsidR="000923C9" w:rsidRDefault="0097578D" w:rsidP="009111E8">
      <w:pPr>
        <w:pStyle w:val="Bullet"/>
      </w:pPr>
      <w:r>
        <w:lastRenderedPageBreak/>
        <w:t xml:space="preserve">59 </w:t>
      </w:r>
      <w:r w:rsidR="3C9EBAEC">
        <w:t>per cent</w:t>
      </w:r>
      <w:r w:rsidR="45BD010E">
        <w:t xml:space="preserve"> </w:t>
      </w:r>
      <w:r>
        <w:t xml:space="preserve">(n=35) </w:t>
      </w:r>
      <w:r w:rsidR="3C9EBAEC">
        <w:t>of respondents accessed physical health services (</w:t>
      </w:r>
      <w:r w:rsidR="00D76172">
        <w:t>for example</w:t>
      </w:r>
      <w:r w:rsidR="00015688">
        <w:t xml:space="preserve"> a </w:t>
      </w:r>
      <w:r w:rsidR="3C9EBAEC">
        <w:t>GP)</w:t>
      </w:r>
      <w:r w:rsidR="00015688">
        <w:t>.</w:t>
      </w:r>
    </w:p>
    <w:p w14:paraId="25903922" w14:textId="67EE27C5" w:rsidR="000923C9" w:rsidRDefault="0097578D" w:rsidP="009111E8">
      <w:pPr>
        <w:pStyle w:val="Bullet"/>
      </w:pPr>
      <w:r>
        <w:t xml:space="preserve">53 </w:t>
      </w:r>
      <w:r w:rsidR="6804B355">
        <w:t xml:space="preserve">per cent </w:t>
      </w:r>
      <w:r>
        <w:t xml:space="preserve">(n=31) </w:t>
      </w:r>
      <w:r w:rsidR="7825F29B">
        <w:t xml:space="preserve">of </w:t>
      </w:r>
      <w:r w:rsidR="6804B355">
        <w:t>respondents</w:t>
      </w:r>
      <w:r w:rsidR="3705377B">
        <w:t xml:space="preserve"> accessed support from family, friends</w:t>
      </w:r>
      <w:r w:rsidR="00015688">
        <w:t>,</w:t>
      </w:r>
      <w:r w:rsidR="3705377B">
        <w:t xml:space="preserve"> or community. </w:t>
      </w:r>
    </w:p>
    <w:p w14:paraId="79AC508B" w14:textId="736AF6AE" w:rsidR="0070449B" w:rsidRDefault="13B0F45D" w:rsidP="000923C9">
      <w:r>
        <w:t>This may explain the</w:t>
      </w:r>
      <w:r w:rsidR="0FCDE701">
        <w:t xml:space="preserve"> higher proportion of BVRITO </w:t>
      </w:r>
      <w:r w:rsidR="6E3F5397">
        <w:t>respondents</w:t>
      </w:r>
      <w:r w:rsidR="5C84C0EC">
        <w:t xml:space="preserve"> who accessed</w:t>
      </w:r>
      <w:r w:rsidR="6E3F5397">
        <w:t xml:space="preserve"> </w:t>
      </w:r>
      <w:r w:rsidR="319EC31F">
        <w:t>mental health services</w:t>
      </w:r>
      <w:r w:rsidR="6344B295">
        <w:t xml:space="preserve"> compared to the proportion of </w:t>
      </w:r>
      <w:r w:rsidR="1BF44DB8">
        <w:t>participants in The Way Back</w:t>
      </w:r>
      <w:r>
        <w:t>.</w:t>
      </w:r>
    </w:p>
    <w:p w14:paraId="55585CEC" w14:textId="1A154CA6" w:rsidR="00175444" w:rsidRDefault="299CF7D9" w:rsidP="00623868">
      <w:pPr>
        <w:pStyle w:val="Heading3"/>
      </w:pPr>
      <w:r>
        <w:t xml:space="preserve">The effectiveness of The Way Back </w:t>
      </w:r>
      <w:r w:rsidR="092F7E46">
        <w:t>to refer and connect participants with clinical</w:t>
      </w:r>
      <w:r w:rsidR="00D13D25">
        <w:t xml:space="preserve"> and </w:t>
      </w:r>
      <w:r w:rsidR="00DD25F1">
        <w:t xml:space="preserve">psychosocial </w:t>
      </w:r>
      <w:r w:rsidR="092F7E46">
        <w:t xml:space="preserve">support services was </w:t>
      </w:r>
      <w:r>
        <w:t xml:space="preserve">constrained by the quality and capacity of the service system in which it </w:t>
      </w:r>
      <w:r w:rsidR="6ACC1D45">
        <w:t>operated</w:t>
      </w:r>
      <w:r>
        <w:t xml:space="preserve"> in some areas (more so in regional than metropolitan areas).</w:t>
      </w:r>
    </w:p>
    <w:p w14:paraId="2E801638" w14:textId="395C1926" w:rsidR="00890CE7" w:rsidRDefault="20BC169D" w:rsidP="00890CE7">
      <w:r>
        <w:t>Referrals from The Way Back to other service providers varie</w:t>
      </w:r>
      <w:r w:rsidR="2D69ABDF">
        <w:t>d</w:t>
      </w:r>
      <w:r>
        <w:t xml:space="preserve"> </w:t>
      </w:r>
      <w:r w:rsidR="3BCB52AB">
        <w:t xml:space="preserve">across jurisdictions. For example, </w:t>
      </w:r>
      <w:r w:rsidR="00DF7501">
        <w:br/>
      </w:r>
      <w:r w:rsidR="1E383012">
        <w:t>61</w:t>
      </w:r>
      <w:r w:rsidR="3BCB52AB">
        <w:t xml:space="preserve"> per cent of episodes in New South Wales involve</w:t>
      </w:r>
      <w:r w:rsidR="3E1CD3F8">
        <w:t>d</w:t>
      </w:r>
      <w:r w:rsidR="3BCB52AB">
        <w:t xml:space="preserve"> a </w:t>
      </w:r>
      <w:r w:rsidR="3E1CD3F8">
        <w:t>referral</w:t>
      </w:r>
      <w:r w:rsidR="3BCB52AB">
        <w:t xml:space="preserve"> </w:t>
      </w:r>
      <w:r w:rsidR="00116EE2">
        <w:t>out to other</w:t>
      </w:r>
      <w:r w:rsidR="00382B13">
        <w:t xml:space="preserve"> </w:t>
      </w:r>
      <w:r w:rsidR="00116EE2">
        <w:t xml:space="preserve">services </w:t>
      </w:r>
      <w:r w:rsidR="00382B13">
        <w:t xml:space="preserve">and supports </w:t>
      </w:r>
      <w:r w:rsidR="3BCB52AB">
        <w:t xml:space="preserve">compared to only </w:t>
      </w:r>
      <w:r w:rsidR="1E383012">
        <w:t>21</w:t>
      </w:r>
      <w:r w:rsidR="3BCB52AB">
        <w:t xml:space="preserve"> per cent in the Australian Capital Territory.</w:t>
      </w:r>
      <w:r w:rsidR="00D01597">
        <w:rPr>
          <w:rStyle w:val="FootnoteReference"/>
        </w:rPr>
        <w:footnoteReference w:id="85"/>
      </w:r>
      <w:r w:rsidR="1E383012">
        <w:t xml:space="preserve"> </w:t>
      </w:r>
      <w:r w:rsidR="3BCB52AB">
        <w:t xml:space="preserve">This may reflect the needs and demographics of </w:t>
      </w:r>
      <w:r w:rsidR="14629A63">
        <w:t>participants</w:t>
      </w:r>
      <w:r>
        <w:t xml:space="preserve"> in </w:t>
      </w:r>
      <w:r w:rsidR="0F370A53">
        <w:t xml:space="preserve">different geographical </w:t>
      </w:r>
      <w:r w:rsidDel="006D0F7D">
        <w:t>areas</w:t>
      </w:r>
      <w:r w:rsidR="0F370A53">
        <w:t xml:space="preserve"> (</w:t>
      </w:r>
      <w:r w:rsidR="00D76172">
        <w:t>for example,</w:t>
      </w:r>
      <w:r w:rsidR="0F370A53">
        <w:t xml:space="preserve"> due to social determinants)</w:t>
      </w:r>
      <w:r w:rsidR="3BCB52AB">
        <w:t xml:space="preserve">, the availability of services in the </w:t>
      </w:r>
      <w:r w:rsidR="0F370A53">
        <w:t xml:space="preserve">different geographical </w:t>
      </w:r>
      <w:r w:rsidR="3BCB52AB">
        <w:t>area</w:t>
      </w:r>
      <w:r w:rsidR="0F370A53">
        <w:t>s,</w:t>
      </w:r>
      <w:r w:rsidR="3BCB52AB">
        <w:t xml:space="preserve"> and/or differences in data collection across sites.</w:t>
      </w:r>
      <w:r w:rsidR="1E383012">
        <w:t xml:space="preserve"> </w:t>
      </w:r>
      <w:r w:rsidR="5B9CB16A">
        <w:t xml:space="preserve">The effectiveness of </w:t>
      </w:r>
      <w:r w:rsidR="004D1BD6">
        <w:t>outward</w:t>
      </w:r>
      <w:r w:rsidR="5B9CB16A">
        <w:t xml:space="preserve"> referrals </w:t>
      </w:r>
      <w:r w:rsidR="009659E7">
        <w:t xml:space="preserve">from </w:t>
      </w:r>
      <w:r w:rsidR="5B9CB16A">
        <w:t xml:space="preserve">The Way Back were further highlighted in consultations with </w:t>
      </w:r>
      <w:r w:rsidR="00FD1936">
        <w:t>participants</w:t>
      </w:r>
      <w:r w:rsidR="5B9CB16A">
        <w:t>:</w:t>
      </w:r>
    </w:p>
    <w:p w14:paraId="66F05129" w14:textId="611DD54A" w:rsidR="003A2120" w:rsidRPr="004A3A4F" w:rsidRDefault="451E770F" w:rsidP="004A3A4F">
      <w:pPr>
        <w:pStyle w:val="Bullet"/>
      </w:pPr>
      <w:r>
        <w:t>Most</w:t>
      </w:r>
      <w:r w:rsidR="7AA79F29">
        <w:t xml:space="preserve"> </w:t>
      </w:r>
      <w:r w:rsidR="36BD31E0">
        <w:t>participants</w:t>
      </w:r>
      <w:r w:rsidR="7AA79F29">
        <w:t xml:space="preserve"> reported that they felt </w:t>
      </w:r>
      <w:r w:rsidR="0FB807FF">
        <w:t xml:space="preserve">they had input and </w:t>
      </w:r>
      <w:r w:rsidR="7AA79F29">
        <w:t xml:space="preserve">control </w:t>
      </w:r>
      <w:r w:rsidR="0FB807FF">
        <w:t>over</w:t>
      </w:r>
      <w:r w:rsidR="7AA79F29">
        <w:t xml:space="preserve"> the </w:t>
      </w:r>
      <w:r w:rsidR="0FB807FF">
        <w:t>referrals</w:t>
      </w:r>
      <w:r w:rsidR="7AA79F29">
        <w:t xml:space="preserve"> to other services they received and that their support coordinators were responsive to their needs and preferences.</w:t>
      </w:r>
    </w:p>
    <w:p w14:paraId="029688BD" w14:textId="333AC9BA" w:rsidR="008F56EA" w:rsidRPr="004A3A4F" w:rsidRDefault="220A233B" w:rsidP="004A3A4F">
      <w:pPr>
        <w:pStyle w:val="Bullet"/>
      </w:pPr>
      <w:r>
        <w:t xml:space="preserve">Some </w:t>
      </w:r>
      <w:r w:rsidR="3860B196">
        <w:t>participants</w:t>
      </w:r>
      <w:r>
        <w:t xml:space="preserve"> </w:t>
      </w:r>
      <w:r w:rsidR="00C59F11">
        <w:t xml:space="preserve">emphasised the importance of the support coordinator </w:t>
      </w:r>
      <w:r w:rsidR="2C16C82B">
        <w:t xml:space="preserve">clearly </w:t>
      </w:r>
      <w:r w:rsidR="00C59F11">
        <w:t xml:space="preserve">communicating </w:t>
      </w:r>
      <w:r w:rsidR="628EC830">
        <w:t>the</w:t>
      </w:r>
      <w:r w:rsidR="00C59F11">
        <w:t xml:space="preserve"> </w:t>
      </w:r>
      <w:r w:rsidR="352B381D">
        <w:t xml:space="preserve">role of the service </w:t>
      </w:r>
      <w:r w:rsidR="0B0C0A57">
        <w:t xml:space="preserve">they were </w:t>
      </w:r>
      <w:r w:rsidR="352B381D">
        <w:t>being referred</w:t>
      </w:r>
      <w:r w:rsidR="0B0C0A57">
        <w:t xml:space="preserve"> to</w:t>
      </w:r>
      <w:r w:rsidR="006A558E">
        <w:t>.</w:t>
      </w:r>
      <w:r w:rsidR="352B381D">
        <w:t xml:space="preserve"> </w:t>
      </w:r>
      <w:r w:rsidR="00A63878">
        <w:t xml:space="preserve">They also expressed appreciation for information </w:t>
      </w:r>
      <w:r w:rsidR="00C67804">
        <w:t xml:space="preserve">from the support coordinator </w:t>
      </w:r>
      <w:r w:rsidR="00A63878">
        <w:t>regarding</w:t>
      </w:r>
      <w:r w:rsidR="352B381D">
        <w:t xml:space="preserve"> the </w:t>
      </w:r>
      <w:r w:rsidR="4534AE09">
        <w:t>status of referrals</w:t>
      </w:r>
      <w:r w:rsidR="4124DBA3" w:rsidRPr="5F0B1C35">
        <w:rPr>
          <w:rFonts w:eastAsiaTheme="minorEastAsia"/>
        </w:rPr>
        <w:t xml:space="preserve"> and </w:t>
      </w:r>
      <w:r w:rsidR="628EC830" w:rsidRPr="5F0B1C35">
        <w:rPr>
          <w:rFonts w:eastAsiaTheme="minorEastAsia"/>
        </w:rPr>
        <w:t xml:space="preserve">updates </w:t>
      </w:r>
      <w:r w:rsidR="2C16C82B" w:rsidRPr="5F0B1C35">
        <w:rPr>
          <w:rFonts w:eastAsiaTheme="minorEastAsia"/>
        </w:rPr>
        <w:t>on when they could expect to hear back from the referrals (</w:t>
      </w:r>
      <w:r w:rsidR="00D76172">
        <w:rPr>
          <w:rFonts w:eastAsiaTheme="minorEastAsia"/>
        </w:rPr>
        <w:t>for example</w:t>
      </w:r>
      <w:r w:rsidR="2C16C82B" w:rsidRPr="5F0B1C35">
        <w:rPr>
          <w:rFonts w:eastAsiaTheme="minorEastAsia"/>
        </w:rPr>
        <w:t xml:space="preserve">, </w:t>
      </w:r>
      <w:r w:rsidR="628EC830" w:rsidRPr="5F0B1C35">
        <w:rPr>
          <w:rFonts w:eastAsiaTheme="minorEastAsia"/>
        </w:rPr>
        <w:t>if there were waitlists</w:t>
      </w:r>
      <w:r w:rsidR="0B0C0A57" w:rsidRPr="5F0B1C35">
        <w:rPr>
          <w:rFonts w:eastAsiaTheme="minorEastAsia"/>
        </w:rPr>
        <w:t xml:space="preserve"> and how long they could expect to wait</w:t>
      </w:r>
      <w:r w:rsidR="2C16C82B" w:rsidRPr="5F0B1C35">
        <w:rPr>
          <w:rFonts w:eastAsiaTheme="minorEastAsia"/>
        </w:rPr>
        <w:t>)</w:t>
      </w:r>
      <w:r w:rsidR="628EC830" w:rsidRPr="5F0B1C35">
        <w:rPr>
          <w:rStyle w:val="CommentReference"/>
          <w:rFonts w:eastAsiaTheme="minorEastAsia" w:cstheme="minorBidi"/>
          <w:lang w:eastAsia="en-US"/>
        </w:rPr>
        <w:t>.</w:t>
      </w:r>
      <w:r w:rsidR="29542344" w:rsidRPr="5F0B1C35">
        <w:rPr>
          <w:rStyle w:val="CommentReference"/>
          <w:rFonts w:eastAsiaTheme="minorEastAsia" w:cstheme="minorBidi"/>
          <w:lang w:eastAsia="en-US"/>
        </w:rPr>
        <w:t xml:space="preserve"> </w:t>
      </w:r>
    </w:p>
    <w:p w14:paraId="34E92CD0" w14:textId="646608FB" w:rsidR="00934345" w:rsidRPr="004A3A4F" w:rsidRDefault="36BD31E0" w:rsidP="004A3A4F">
      <w:pPr>
        <w:pStyle w:val="Bullet"/>
      </w:pPr>
      <w:r>
        <w:t>Participants</w:t>
      </w:r>
      <w:r w:rsidR="066FC644">
        <w:t xml:space="preserve">, providers and referring health </w:t>
      </w:r>
      <w:r w:rsidR="009A1299">
        <w:t xml:space="preserve">services </w:t>
      </w:r>
      <w:r w:rsidR="7300C022">
        <w:t xml:space="preserve">noted </w:t>
      </w:r>
      <w:r w:rsidR="066FC644">
        <w:t xml:space="preserve">that </w:t>
      </w:r>
      <w:r w:rsidR="2BF1442A">
        <w:t xml:space="preserve">The Way Back </w:t>
      </w:r>
      <w:r w:rsidR="74204047">
        <w:t>was</w:t>
      </w:r>
      <w:r w:rsidR="2BF1442A">
        <w:t xml:space="preserve"> limited in its ability to provide effective </w:t>
      </w:r>
      <w:r w:rsidR="00F8317B">
        <w:t xml:space="preserve">outward </w:t>
      </w:r>
      <w:r w:rsidR="1568345C">
        <w:t>referrals</w:t>
      </w:r>
      <w:r w:rsidR="2BF1442A">
        <w:t xml:space="preserve"> by the </w:t>
      </w:r>
      <w:r w:rsidR="4E9B51D2">
        <w:t xml:space="preserve">availability, </w:t>
      </w:r>
      <w:proofErr w:type="gramStart"/>
      <w:r w:rsidR="2BF1442A">
        <w:t>quality</w:t>
      </w:r>
      <w:proofErr w:type="gramEnd"/>
      <w:r w:rsidR="2BF1442A">
        <w:t xml:space="preserve"> and capacity of the service system in which it operates. For example, </w:t>
      </w:r>
      <w:r>
        <w:t>participants</w:t>
      </w:r>
      <w:r w:rsidR="2BF1442A">
        <w:t xml:space="preserve"> in Darwin reported access to housing </w:t>
      </w:r>
      <w:r w:rsidR="140057D5">
        <w:t>was</w:t>
      </w:r>
      <w:r w:rsidR="2BF1442A">
        <w:t xml:space="preserve"> a key area </w:t>
      </w:r>
      <w:r w:rsidR="019F3E37">
        <w:t xml:space="preserve">of their recovery but noted that The Way Back was not always able to </w:t>
      </w:r>
      <w:r w:rsidR="2936B5E7">
        <w:t xml:space="preserve">effectively </w:t>
      </w:r>
      <w:r w:rsidR="2864EA7D">
        <w:t>address these needs</w:t>
      </w:r>
      <w:r w:rsidR="7AC57C8D">
        <w:t xml:space="preserve"> due to </w:t>
      </w:r>
      <w:r w:rsidR="3F4DB662">
        <w:t xml:space="preserve">the high demand for </w:t>
      </w:r>
      <w:r w:rsidR="1E2E3F67">
        <w:t xml:space="preserve">housing </w:t>
      </w:r>
      <w:r w:rsidR="3F4DB662">
        <w:t>services</w:t>
      </w:r>
      <w:r w:rsidR="7444D552">
        <w:t xml:space="preserve"> in the area</w:t>
      </w:r>
      <w:r w:rsidR="7BD6221B">
        <w:t xml:space="preserve"> and lack of available services</w:t>
      </w:r>
      <w:r w:rsidR="019F3E37">
        <w:t>.</w:t>
      </w:r>
      <w:r w:rsidR="77FE5A52">
        <w:t xml:space="preserve">  </w:t>
      </w:r>
    </w:p>
    <w:p w14:paraId="1D1E4285" w14:textId="2DD2D3BF" w:rsidR="0058370A" w:rsidRDefault="00746992" w:rsidP="00623868">
      <w:pPr>
        <w:pStyle w:val="Heading3"/>
      </w:pPr>
      <w:r w:rsidRPr="007F69E4">
        <w:rPr>
          <w:rFonts w:cs="Segoe UI Semibold"/>
          <w:noProof/>
        </w:rPr>
        <mc:AlternateContent>
          <mc:Choice Requires="wps">
            <w:drawing>
              <wp:anchor distT="0" distB="0" distL="114300" distR="114300" simplePos="0" relativeHeight="251658269" behindDoc="0" locked="0" layoutInCell="1" allowOverlap="1" wp14:anchorId="6565081D" wp14:editId="52E7C44E">
                <wp:simplePos x="0" y="0"/>
                <wp:positionH relativeFrom="margin">
                  <wp:posOffset>3357377</wp:posOffset>
                </wp:positionH>
                <wp:positionV relativeFrom="paragraph">
                  <wp:posOffset>413434</wp:posOffset>
                </wp:positionV>
                <wp:extent cx="2151380" cy="1433195"/>
                <wp:effectExtent l="0" t="0" r="1270" b="0"/>
                <wp:wrapSquare wrapText="bothSides"/>
                <wp:docPr id="457" name="Text Box 4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51380" cy="1433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B8745" w14:textId="1E6BF8D3" w:rsidR="00746992" w:rsidRPr="00334D76" w:rsidRDefault="00746992" w:rsidP="00746992">
                            <w:pPr>
                              <w:pStyle w:val="Callout"/>
                              <w:rPr>
                                <w:sz w:val="20"/>
                                <w:szCs w:val="20"/>
                              </w:rPr>
                            </w:pPr>
                            <w:r w:rsidRPr="00334D76">
                              <w:rPr>
                                <w:sz w:val="20"/>
                                <w:szCs w:val="20"/>
                              </w:rPr>
                              <w:t>“</w:t>
                            </w:r>
                            <w:r w:rsidR="0053730B" w:rsidRPr="0053730B">
                              <w:rPr>
                                <w:sz w:val="20"/>
                                <w:szCs w:val="20"/>
                              </w:rPr>
                              <w:t>I was one-hundred per cent satisfied. I’m inspired to help other people. I’ve considered taking up other courses so that I can help others. I imagine it would be very fulfilling to help someone else in this role</w:t>
                            </w:r>
                            <w:r w:rsidR="0053730B">
                              <w:rPr>
                                <w:sz w:val="20"/>
                                <w:szCs w:val="20"/>
                              </w:rPr>
                              <w:t>.</w:t>
                            </w:r>
                            <w:r w:rsidRPr="00334D76">
                              <w:rPr>
                                <w:sz w:val="20"/>
                                <w:szCs w:val="20"/>
                              </w:rPr>
                              <w:t xml:space="preserve">” - The Way Back </w:t>
                            </w:r>
                            <w:r>
                              <w:rPr>
                                <w:sz w:val="20"/>
                                <w:szCs w:val="20"/>
                              </w:rPr>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5081D" id="Text Box 457" o:spid="_x0000_s1027" type="#_x0000_t202" alt="&quot;&quot;" style="position:absolute;margin-left:264.35pt;margin-top:32.55pt;width:169.4pt;height:112.8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" fillcolor="white [3201]" stroked="f" strokeweight=".5pt">
                <v:textbox inset="0,,1mm">
                  <w:txbxContent>
                    <w:p w14:paraId="5EFB8745" w14:textId="1E6BF8D3" w:rsidR="00746992" w:rsidRPr="00334D76" w:rsidRDefault="00746992" w:rsidP="00746992">
                      <w:pPr>
                        <w:pStyle w:val="Callout"/>
                        <w:rPr>
                          <w:sz w:val="20"/>
                          <w:szCs w:val="20"/>
                        </w:rPr>
                      </w:pPr>
                      <w:r w:rsidRPr="00334D76">
                        <w:rPr>
                          <w:sz w:val="20"/>
                          <w:szCs w:val="20"/>
                        </w:rPr>
                        <w:t>“</w:t>
                      </w:r>
                      <w:r w:rsidR="0053730B" w:rsidRPr="0053730B">
                        <w:rPr>
                          <w:sz w:val="20"/>
                          <w:szCs w:val="20"/>
                        </w:rPr>
                        <w:t>I was one-hundred per cent satisfied. I’m inspired to help other people. I’ve considered taking up other courses so that I can help others. I imagine it would be very fulfilling to help someone else in this role</w:t>
                      </w:r>
                      <w:r w:rsidR="0053730B">
                        <w:rPr>
                          <w:sz w:val="20"/>
                          <w:szCs w:val="20"/>
                        </w:rPr>
                        <w:t>.</w:t>
                      </w:r>
                      <w:r w:rsidRPr="00334D76">
                        <w:rPr>
                          <w:sz w:val="20"/>
                          <w:szCs w:val="20"/>
                        </w:rPr>
                        <w:t xml:space="preserve">” - The Way Back </w:t>
                      </w:r>
                      <w:r>
                        <w:rPr>
                          <w:sz w:val="20"/>
                          <w:szCs w:val="20"/>
                        </w:rPr>
                        <w:t>participant</w:t>
                      </w:r>
                    </w:p>
                  </w:txbxContent>
                </v:textbox>
                <w10:wrap type="square" anchorx="margin"/>
              </v:shape>
            </w:pict>
          </mc:Fallback>
        </mc:AlternateContent>
      </w:r>
      <w:proofErr w:type="gramStart"/>
      <w:r w:rsidR="006D0F7D">
        <w:t>The vast majority of</w:t>
      </w:r>
      <w:proofErr w:type="gramEnd"/>
      <w:r w:rsidR="006D0F7D" w:rsidRPr="009B41BF">
        <w:t xml:space="preserve"> </w:t>
      </w:r>
      <w:r w:rsidR="002F6D7A">
        <w:t>participants</w:t>
      </w:r>
      <w:r w:rsidR="009B41BF" w:rsidRPr="009B41BF">
        <w:t xml:space="preserve"> surveyed were satisfied with The Way Back, </w:t>
      </w:r>
      <w:r w:rsidR="00202293">
        <w:t>mostly</w:t>
      </w:r>
      <w:r w:rsidR="00202293" w:rsidRPr="009B41BF">
        <w:t xml:space="preserve"> </w:t>
      </w:r>
      <w:r w:rsidR="009B41BF" w:rsidRPr="009B41BF">
        <w:t xml:space="preserve">driven by their relationship with their support </w:t>
      </w:r>
      <w:r w:rsidR="0058370A">
        <w:t>coordinator.</w:t>
      </w:r>
    </w:p>
    <w:p w14:paraId="38470CB1" w14:textId="23FCA1AB" w:rsidR="009A7199" w:rsidRDefault="6575B713" w:rsidP="005848B4">
      <w:r>
        <w:t>Ninety</w:t>
      </w:r>
      <w:r w:rsidR="364BE628">
        <w:t>-three</w:t>
      </w:r>
      <w:r w:rsidR="1185FC84" w:rsidRPr="006640C6">
        <w:t xml:space="preserve"> </w:t>
      </w:r>
      <w:r w:rsidR="49EA05DD" w:rsidRPr="006640C6">
        <w:t xml:space="preserve">per cent of respondents to a survey of The Way Back </w:t>
      </w:r>
      <w:r w:rsidR="7316DAEE" w:rsidRPr="006640C6">
        <w:t>participants</w:t>
      </w:r>
      <w:r w:rsidR="49EA05DD" w:rsidRPr="006640C6">
        <w:t xml:space="preserve"> reported that they</w:t>
      </w:r>
      <w:r w:rsidR="3B9C5D34" w:rsidRPr="006640C6">
        <w:t xml:space="preserve"> were either </w:t>
      </w:r>
      <w:r w:rsidR="782E548A" w:rsidRPr="006640C6">
        <w:t xml:space="preserve">very satisfied </w:t>
      </w:r>
      <w:r w:rsidR="2E0A9B36" w:rsidRPr="006640C6">
        <w:t>(</w:t>
      </w:r>
      <w:r w:rsidR="564F4969" w:rsidRPr="006640C6">
        <w:t>7</w:t>
      </w:r>
      <w:r w:rsidR="21ACF795">
        <w:t>4</w:t>
      </w:r>
      <w:r w:rsidR="49EA05DD" w:rsidRPr="006640C6">
        <w:t xml:space="preserve"> per cent or </w:t>
      </w:r>
      <w:r w:rsidR="3F216BBA" w:rsidRPr="006640C6">
        <w:t>5</w:t>
      </w:r>
      <w:r w:rsidR="21ACF795">
        <w:t>9</w:t>
      </w:r>
      <w:r w:rsidR="3F216BBA" w:rsidRPr="006640C6">
        <w:t xml:space="preserve"> respondents</w:t>
      </w:r>
      <w:r w:rsidR="49EA05DD" w:rsidRPr="006640C6">
        <w:t>) or satisfied (</w:t>
      </w:r>
      <w:r w:rsidR="3F216BBA" w:rsidRPr="006640C6">
        <w:t>19</w:t>
      </w:r>
      <w:r w:rsidR="49EA05DD" w:rsidRPr="006640C6">
        <w:t xml:space="preserve"> per cent or </w:t>
      </w:r>
      <w:r w:rsidR="75E1EEA6" w:rsidRPr="006640C6">
        <w:t>15 respondents</w:t>
      </w:r>
      <w:r w:rsidR="49EA05DD" w:rsidRPr="006640C6">
        <w:t xml:space="preserve">) </w:t>
      </w:r>
      <w:r w:rsidR="782E548A" w:rsidRPr="006640C6">
        <w:t>with the service</w:t>
      </w:r>
      <w:r w:rsidR="500008DD" w:rsidRPr="006640C6">
        <w:t>.</w:t>
      </w:r>
      <w:r w:rsidR="00497355" w:rsidRPr="006640C6">
        <w:rPr>
          <w:rStyle w:val="FootnoteReference"/>
        </w:rPr>
        <w:footnoteReference w:id="86"/>
      </w:r>
    </w:p>
    <w:p w14:paraId="3C5D8075" w14:textId="657FFC5A" w:rsidR="00ED106A" w:rsidRDefault="00FA6666" w:rsidP="005848B4">
      <w:r w:rsidRPr="0097376D">
        <w:fldChar w:fldCharType="begin"/>
      </w:r>
      <w:r w:rsidRPr="005D6801">
        <w:instrText xml:space="preserve"> REF _Ref83971838 \h </w:instrText>
      </w:r>
      <w:r w:rsidR="005D6801">
        <w:instrText xml:space="preserve"> \* MERGEFORMAT </w:instrText>
      </w:r>
      <w:r w:rsidRPr="0097376D">
        <w:fldChar w:fldCharType="separate"/>
      </w:r>
      <w:r w:rsidR="00402362">
        <w:t xml:space="preserve">Figure </w:t>
      </w:r>
      <w:r w:rsidR="00402362">
        <w:rPr>
          <w:noProof/>
        </w:rPr>
        <w:t>12</w:t>
      </w:r>
      <w:r w:rsidRPr="0097376D">
        <w:fldChar w:fldCharType="end"/>
      </w:r>
      <w:r w:rsidR="003016D7">
        <w:fldChar w:fldCharType="begin"/>
      </w:r>
      <w:r w:rsidR="003016D7">
        <w:instrText xml:space="preserve"> REF _Ref83971838 \h </w:instrText>
      </w:r>
      <w:r w:rsidR="003016D7">
        <w:fldChar w:fldCharType="separate"/>
      </w:r>
      <w:r w:rsidR="00402362">
        <w:t xml:space="preserve">Figure </w:t>
      </w:r>
      <w:r w:rsidR="00402362">
        <w:rPr>
          <w:noProof/>
        </w:rPr>
        <w:t>12</w:t>
      </w:r>
      <w:r w:rsidR="003016D7">
        <w:fldChar w:fldCharType="end"/>
      </w:r>
      <w:r w:rsidR="005D6801" w:rsidRPr="005D6801">
        <w:t xml:space="preserve"> </w:t>
      </w:r>
      <w:r w:rsidR="5A3C3220" w:rsidRPr="005D6801">
        <w:t xml:space="preserve">shows </w:t>
      </w:r>
      <w:r w:rsidR="0E30D01B" w:rsidRPr="005D6801">
        <w:t>the</w:t>
      </w:r>
      <w:r w:rsidR="0E30D01B">
        <w:t xml:space="preserve"> </w:t>
      </w:r>
      <w:r w:rsidR="5A3C3220">
        <w:t xml:space="preserve">factors </w:t>
      </w:r>
      <w:r w:rsidR="0E30D01B">
        <w:t xml:space="preserve">that </w:t>
      </w:r>
      <w:r w:rsidR="5A3C3220">
        <w:t xml:space="preserve">contributed to </w:t>
      </w:r>
      <w:r w:rsidR="580AE92F">
        <w:t>participants</w:t>
      </w:r>
      <w:r w:rsidR="5A3C3220">
        <w:t xml:space="preserve">’ satisfaction </w:t>
      </w:r>
      <w:r w:rsidR="5F1168D9">
        <w:t xml:space="preserve">with The Way Back. </w:t>
      </w:r>
      <w:r w:rsidR="458C67D3">
        <w:t>Most s</w:t>
      </w:r>
      <w:r w:rsidR="0E30D01B">
        <w:t xml:space="preserve">urvey respondents </w:t>
      </w:r>
      <w:r w:rsidR="458C67D3">
        <w:t>(83 per cent or 66 respondents)</w:t>
      </w:r>
      <w:r w:rsidR="0E30D01B" w:rsidDel="00BD681F">
        <w:t xml:space="preserve"> </w:t>
      </w:r>
      <w:r w:rsidR="0E30D01B">
        <w:t>indicate</w:t>
      </w:r>
      <w:r w:rsidR="5E5436FC">
        <w:t>d</w:t>
      </w:r>
      <w:r w:rsidR="0E30D01B">
        <w:t xml:space="preserve"> that their</w:t>
      </w:r>
      <w:r w:rsidR="6F5D4E26">
        <w:t xml:space="preserve"> </w:t>
      </w:r>
      <w:r w:rsidR="5F1168D9">
        <w:t xml:space="preserve">relationship with the support </w:t>
      </w:r>
      <w:r w:rsidR="6F5D4E26">
        <w:t xml:space="preserve">coordinator was most likely </w:t>
      </w:r>
      <w:r w:rsidR="7B1552EA">
        <w:t xml:space="preserve">to contribute to </w:t>
      </w:r>
      <w:r w:rsidR="0E30D01B">
        <w:t xml:space="preserve">their </w:t>
      </w:r>
      <w:r w:rsidR="6F5D4E26">
        <w:t xml:space="preserve">satisfaction with the service. </w:t>
      </w:r>
      <w:r w:rsidR="30FDFF8C">
        <w:t>Conversely</w:t>
      </w:r>
      <w:r w:rsidR="0E30D01B">
        <w:t xml:space="preserve">, </w:t>
      </w:r>
      <w:r w:rsidR="6A85F1CC">
        <w:t>a small proportion of respondents (39 per</w:t>
      </w:r>
      <w:r w:rsidR="108F6074">
        <w:t xml:space="preserve"> </w:t>
      </w:r>
      <w:r w:rsidR="6A85F1CC">
        <w:t>cent or 30 respondents) reported</w:t>
      </w:r>
      <w:r w:rsidR="0E30D01B">
        <w:t xml:space="preserve"> that their satisfaction with The Way Back was because </w:t>
      </w:r>
      <w:r w:rsidR="30FDFF8C">
        <w:t xml:space="preserve">it connected them with family or community. </w:t>
      </w:r>
      <w:r w:rsidR="073F5831">
        <w:t xml:space="preserve">The </w:t>
      </w:r>
      <w:r w:rsidR="4EB376A9">
        <w:t xml:space="preserve">free text responses </w:t>
      </w:r>
      <w:r w:rsidR="0A0E50B6">
        <w:t xml:space="preserve">from the participant survey </w:t>
      </w:r>
      <w:r w:rsidR="4EB376A9">
        <w:lastRenderedPageBreak/>
        <w:t xml:space="preserve">reinforced the importance </w:t>
      </w:r>
      <w:r w:rsidR="5D249E5A">
        <w:t xml:space="preserve">of the </w:t>
      </w:r>
      <w:r w:rsidR="0A0E50B6">
        <w:t xml:space="preserve">relationship </w:t>
      </w:r>
      <w:r w:rsidR="5D249E5A">
        <w:t xml:space="preserve">between participants and their </w:t>
      </w:r>
      <w:r w:rsidR="4EB376A9">
        <w:t xml:space="preserve">support coordinator. </w:t>
      </w:r>
      <w:r w:rsidR="20998635">
        <w:t xml:space="preserve">Many respondents highlighted that the </w:t>
      </w:r>
      <w:r w:rsidR="0A6A24E9">
        <w:t xml:space="preserve">following elements of the relationship were particularly important: </w:t>
      </w:r>
    </w:p>
    <w:p w14:paraId="5FAC1558" w14:textId="3ED2CE0A" w:rsidR="00CC0FBC" w:rsidRDefault="654C6C11" w:rsidP="00CC0FBC">
      <w:pPr>
        <w:pStyle w:val="Bullet"/>
      </w:pPr>
      <w:r>
        <w:t xml:space="preserve">Participants felt </w:t>
      </w:r>
      <w:r w:rsidR="4C3C232F">
        <w:t xml:space="preserve">safe and comfortable to talk about </w:t>
      </w:r>
      <w:r w:rsidR="33AAE0B4">
        <w:t>their experiences of suicidalit</w:t>
      </w:r>
      <w:r>
        <w:t>y</w:t>
      </w:r>
      <w:r w:rsidR="00A74C59">
        <w:t>.</w:t>
      </w:r>
    </w:p>
    <w:p w14:paraId="0A110A12" w14:textId="65F8E878" w:rsidR="00914832" w:rsidRDefault="7B8F2DFF" w:rsidP="00914832">
      <w:pPr>
        <w:pStyle w:val="Bullet"/>
      </w:pPr>
      <w:r>
        <w:t xml:space="preserve">Support </w:t>
      </w:r>
      <w:r w:rsidR="654C6C11">
        <w:t>coordinators genuinely cared, were empathetic and non-judgemental</w:t>
      </w:r>
      <w:r w:rsidR="00A74C59">
        <w:t>.</w:t>
      </w:r>
    </w:p>
    <w:p w14:paraId="49A91E77" w14:textId="76FAE218" w:rsidR="008B2F0E" w:rsidRDefault="654C6C11" w:rsidP="00914832">
      <w:pPr>
        <w:pStyle w:val="Bullet"/>
      </w:pPr>
      <w:r>
        <w:t xml:space="preserve">Support coordinators were truly able </w:t>
      </w:r>
      <w:r w:rsidR="7B8F2DFF">
        <w:t xml:space="preserve">to understand the participants’ experiences </w:t>
      </w:r>
      <w:r>
        <w:t xml:space="preserve">due to their own </w:t>
      </w:r>
      <w:r w:rsidR="652D4AB9">
        <w:t>lived experience of suicidality</w:t>
      </w:r>
      <w:r w:rsidR="00A74C59">
        <w:t>.</w:t>
      </w:r>
    </w:p>
    <w:p w14:paraId="7743B87D" w14:textId="1A0CFBA8" w:rsidR="00252BF0" w:rsidRPr="00CC0FBC" w:rsidRDefault="5F00997F" w:rsidP="00CC0FBC">
      <w:pPr>
        <w:pStyle w:val="Bullet"/>
      </w:pPr>
      <w:r>
        <w:t>Participants felt listened to and heard by their support coordinators</w:t>
      </w:r>
      <w:r w:rsidR="00F57D2B">
        <w:t>.</w:t>
      </w:r>
    </w:p>
    <w:p w14:paraId="69E7DFB9" w14:textId="65009FCC" w:rsidR="0058370A" w:rsidRDefault="26040659" w:rsidP="00BB7CE9">
      <w:pPr>
        <w:pStyle w:val="Caption"/>
      </w:pPr>
      <w:bookmarkStart w:id="90" w:name="_Ref83971838"/>
      <w:bookmarkStart w:id="91" w:name="_Ref82632938"/>
      <w:r>
        <w:t>Figure</w:t>
      </w:r>
      <w:r w:rsidR="00A74C59">
        <w:t xml:space="preserve"> </w:t>
      </w:r>
      <w:r w:rsidR="00085D02">
        <w:fldChar w:fldCharType="begin"/>
      </w:r>
      <w:r w:rsidR="00085D02">
        <w:instrText xml:space="preserve"> SEQ Figure \* ARABIC </w:instrText>
      </w:r>
      <w:r w:rsidR="00085D02">
        <w:fldChar w:fldCharType="separate"/>
      </w:r>
      <w:r w:rsidR="00402362">
        <w:rPr>
          <w:noProof/>
        </w:rPr>
        <w:t>12</w:t>
      </w:r>
      <w:r w:rsidR="00085D02">
        <w:fldChar w:fldCharType="end"/>
      </w:r>
      <w:bookmarkEnd w:id="90"/>
      <w:r>
        <w:t xml:space="preserve"> | Factors influencing </w:t>
      </w:r>
      <w:r w:rsidR="14629A63">
        <w:t>participant</w:t>
      </w:r>
      <w:r>
        <w:t xml:space="preserve"> satisfaction with The Way Back</w:t>
      </w:r>
      <w:r w:rsidR="0058370A">
        <w:rPr>
          <w:rStyle w:val="FootnoteReference"/>
        </w:rPr>
        <w:footnoteReference w:id="87"/>
      </w:r>
      <w:r w:rsidR="46F1CB98">
        <w:t xml:space="preserve"> </w:t>
      </w:r>
    </w:p>
    <w:p w14:paraId="515647CF" w14:textId="0BBBE576" w:rsidR="00DF0973" w:rsidRPr="0016063C" w:rsidRDefault="002B2C54" w:rsidP="001F7D55">
      <w:r w:rsidRPr="002B2C54">
        <w:rPr>
          <w:noProof/>
        </w:rPr>
        <w:drawing>
          <wp:inline distT="0" distB="0" distL="0" distR="0" wp14:anchorId="542B775C" wp14:editId="6B2CA92B">
            <wp:extent cx="5670550" cy="3928110"/>
            <wp:effectExtent l="0" t="0" r="0" b="0"/>
            <wp:docPr id="47" name="Graphic 47" descr="Figure 12 is an infographic explaining the factors influencing participant satisfaction with The Way Back.  The factors influencing participation satisfaction were 83% relationship with support coordinator, 73% information and advice support coordination provided, 67% Amount of time spent with support coordinator, 52% Way that the way back helped participant understand mental health and personal situation, 38% Ability to connect with other services easily through the way back and 23% way that the way back connected participant with family an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Figure 12 is an infographic explaining the factors influencing participant satisfaction with The Way Back.  The factors influencing participation satisfaction were 83% relationship with support coordinator, 73% information and advice support coordination provided, 67% Amount of time spent with support coordinator, 52% Way that the way back helped participant understand mental health and personal situation, 38% Ability to connect with other services easily through the way back and 23% way that the way back connected participant with family and community."/>
                    <pic:cNvPicPr/>
                  </pic:nvPicPr>
                  <pic:blipFill>
                    <a:blip r:embed="rId63">
                      <a:extLst>
                        <a:ext uri="{96DAC541-7B7A-43D3-8B79-37D633B846F1}">
                          <asvg:svgBlip xmlns:asvg="http://schemas.microsoft.com/office/drawing/2016/SVG/main" r:embed="rId64"/>
                        </a:ext>
                      </a:extLst>
                    </a:blip>
                    <a:stretch>
                      <a:fillRect/>
                    </a:stretch>
                  </pic:blipFill>
                  <pic:spPr>
                    <a:xfrm>
                      <a:off x="0" y="0"/>
                      <a:ext cx="5670550" cy="3928110"/>
                    </a:xfrm>
                    <a:prstGeom prst="rect">
                      <a:avLst/>
                    </a:prstGeom>
                  </pic:spPr>
                </pic:pic>
              </a:graphicData>
            </a:graphic>
          </wp:inline>
        </w:drawing>
      </w:r>
    </w:p>
    <w:p w14:paraId="18E1FE39" w14:textId="1B1EA63E" w:rsidR="008D6EAA" w:rsidRPr="00F248B4" w:rsidRDefault="3747D882" w:rsidP="00623868">
      <w:pPr>
        <w:pStyle w:val="Heading3"/>
      </w:pPr>
      <w:r>
        <w:t>Participants were most likely dissatisfied with The Way Back if the relationship with their support coordinator was compromised or lost.</w:t>
      </w:r>
    </w:p>
    <w:p w14:paraId="1481235C" w14:textId="39737880" w:rsidR="003C67EE" w:rsidRDefault="2193C7A9" w:rsidP="003C67EE">
      <w:r w:rsidRPr="005D6801">
        <w:t>Based o</w:t>
      </w:r>
      <w:r>
        <w:t xml:space="preserve">n </w:t>
      </w:r>
      <w:r w:rsidR="78884810">
        <w:t xml:space="preserve">qualitative </w:t>
      </w:r>
      <w:r>
        <w:t>responses to a survey of The Way Back participants,</w:t>
      </w:r>
      <w:r w:rsidR="00323DE1">
        <w:rPr>
          <w:rStyle w:val="FootnoteReference"/>
        </w:rPr>
        <w:footnoteReference w:id="88"/>
      </w:r>
      <w:r>
        <w:t xml:space="preserve"> </w:t>
      </w:r>
      <w:r w:rsidR="50341087">
        <w:t xml:space="preserve">and </w:t>
      </w:r>
      <w:r w:rsidR="0919857B">
        <w:t>consultations</w:t>
      </w:r>
      <w:r w:rsidR="1F603DA8">
        <w:t xml:space="preserve"> with The Way Back participants, there were </w:t>
      </w:r>
      <w:r w:rsidR="37D078FC">
        <w:t xml:space="preserve">several reasons </w:t>
      </w:r>
      <w:r w:rsidR="451C69EE">
        <w:t xml:space="preserve">for why </w:t>
      </w:r>
      <w:r w:rsidR="37D078FC">
        <w:t xml:space="preserve">they were dissatisfied </w:t>
      </w:r>
      <w:r w:rsidR="451C69EE">
        <w:t xml:space="preserve">with service. Common reasons </w:t>
      </w:r>
      <w:r w:rsidR="1F603DA8">
        <w:t>were:</w:t>
      </w:r>
      <w:r w:rsidR="451C69EE">
        <w:t xml:space="preserve"> </w:t>
      </w:r>
    </w:p>
    <w:p w14:paraId="2052E5C4" w14:textId="5C319AAE" w:rsidR="002F7B56" w:rsidRDefault="3FF41D9E" w:rsidP="003C67EE">
      <w:pPr>
        <w:pStyle w:val="Bullet"/>
      </w:pPr>
      <w:r>
        <w:t>N</w:t>
      </w:r>
      <w:r w:rsidR="173BD376">
        <w:t xml:space="preserve">ot </w:t>
      </w:r>
      <w:r w:rsidR="158E2544">
        <w:t xml:space="preserve">being able to contact their support coordinator when </w:t>
      </w:r>
      <w:r w:rsidR="7C163DDF">
        <w:t xml:space="preserve">they </w:t>
      </w:r>
      <w:r w:rsidR="158E2544">
        <w:t>needed</w:t>
      </w:r>
      <w:r w:rsidR="7C163DDF">
        <w:t>.</w:t>
      </w:r>
    </w:p>
    <w:p w14:paraId="6C4C4183" w14:textId="7CDE3751" w:rsidR="00760E69" w:rsidRPr="003C67EE" w:rsidRDefault="3FF41D9E" w:rsidP="003C67EE">
      <w:pPr>
        <w:pStyle w:val="Bullet"/>
      </w:pPr>
      <w:r>
        <w:t>N</w:t>
      </w:r>
      <w:r w:rsidR="158E2544">
        <w:t xml:space="preserve">ot </w:t>
      </w:r>
      <w:r w:rsidR="173BD376">
        <w:t xml:space="preserve">having a choice about where or how to meet </w:t>
      </w:r>
      <w:r w:rsidR="158E2544">
        <w:t>(</w:t>
      </w:r>
      <w:r w:rsidR="29938DEF">
        <w:t>for example,</w:t>
      </w:r>
      <w:r w:rsidR="173BD376">
        <w:t xml:space="preserve"> having to meet virtually or the support coordinator insisting on </w:t>
      </w:r>
      <w:r w:rsidR="6095E1F9">
        <w:t>meeting at their home</w:t>
      </w:r>
      <w:r w:rsidR="158E2544">
        <w:t xml:space="preserve"> </w:t>
      </w:r>
      <w:r w:rsidR="1F0CCF2C">
        <w:t xml:space="preserve">or whilst they were still </w:t>
      </w:r>
      <w:r w:rsidR="29938DEF">
        <w:t>in</w:t>
      </w:r>
      <w:r w:rsidR="1F0CCF2C">
        <w:t xml:space="preserve"> an inpatient </w:t>
      </w:r>
      <w:r w:rsidR="29938DEF">
        <w:t>unit</w:t>
      </w:r>
      <w:r w:rsidR="1F0CCF2C">
        <w:t xml:space="preserve"> at hospital</w:t>
      </w:r>
      <w:r w:rsidR="158E2544">
        <w:t>)</w:t>
      </w:r>
      <w:r w:rsidR="6095E1F9">
        <w:t xml:space="preserve">. </w:t>
      </w:r>
    </w:p>
    <w:p w14:paraId="21C95645" w14:textId="2671DC9B" w:rsidR="00E11622" w:rsidRPr="003C67EE" w:rsidRDefault="3FF41D9E" w:rsidP="003C67EE">
      <w:pPr>
        <w:pStyle w:val="Bullet"/>
      </w:pPr>
      <w:r>
        <w:t>N</w:t>
      </w:r>
      <w:r w:rsidR="57994EDF">
        <w:t>ot having their requests for outbound referrals follow</w:t>
      </w:r>
      <w:r w:rsidR="23CB70F4">
        <w:t>ed</w:t>
      </w:r>
      <w:r w:rsidR="57994EDF">
        <w:t xml:space="preserve">-up. </w:t>
      </w:r>
    </w:p>
    <w:p w14:paraId="59CF9D13" w14:textId="5B0BABFA" w:rsidR="000A2355" w:rsidRPr="003C67EE" w:rsidRDefault="5AAACD95" w:rsidP="003C67EE">
      <w:pPr>
        <w:pStyle w:val="Bullet"/>
      </w:pPr>
      <w:r>
        <w:lastRenderedPageBreak/>
        <w:t>L</w:t>
      </w:r>
      <w:r w:rsidR="3CB128E6">
        <w:t xml:space="preserve">imited discussion prior to exiting the service. A small number of </w:t>
      </w:r>
      <w:r w:rsidR="36BD31E0">
        <w:t>participants</w:t>
      </w:r>
      <w:r w:rsidR="3CB128E6">
        <w:t xml:space="preserve"> indicated there was no or limited discussion about their engagement with The Way Back ending prior to the service ceasing. </w:t>
      </w:r>
    </w:p>
    <w:p w14:paraId="0CC9D179" w14:textId="75B3302C" w:rsidR="000A2355" w:rsidRDefault="5AAACD95" w:rsidP="003C67EE">
      <w:pPr>
        <w:pStyle w:val="Bullet"/>
      </w:pPr>
      <w:r>
        <w:t>C</w:t>
      </w:r>
      <w:r w:rsidR="3CB128E6">
        <w:t xml:space="preserve">ultural and/or language barriers with their support coordinator. A small number of </w:t>
      </w:r>
      <w:r w:rsidR="36BD31E0">
        <w:t>participants</w:t>
      </w:r>
      <w:r w:rsidR="3CB128E6">
        <w:t xml:space="preserve"> indicated they found it difficult to engage due to cultural and language differences. </w:t>
      </w:r>
    </w:p>
    <w:p w14:paraId="5F390CA8" w14:textId="11105BA6" w:rsidR="00A512B7" w:rsidRDefault="00A512B7" w:rsidP="001F7AF9">
      <w:r>
        <w:t>Th</w:t>
      </w:r>
      <w:r w:rsidR="00AA4950">
        <w:t>ese reasons highlight th</w:t>
      </w:r>
      <w:r w:rsidR="001331F5">
        <w:t xml:space="preserve">at the relationship between </w:t>
      </w:r>
      <w:r w:rsidR="00A1643C">
        <w:t xml:space="preserve">the participant and the support coordinator </w:t>
      </w:r>
      <w:r w:rsidR="00E21E08">
        <w:t xml:space="preserve">as </w:t>
      </w:r>
      <w:r w:rsidR="001F7AF9">
        <w:t>foundational to participants remaining engagement and experience with the service. This is explored in further detail in section</w:t>
      </w:r>
      <w:r w:rsidR="004B4FF0">
        <w:t xml:space="preserve"> </w:t>
      </w:r>
      <w:r w:rsidR="004B4FF0">
        <w:fldChar w:fldCharType="begin"/>
      </w:r>
      <w:r w:rsidR="004B4FF0">
        <w:instrText xml:space="preserve"> REF _Ref118290603 \n \h </w:instrText>
      </w:r>
      <w:r w:rsidR="004B4FF0">
        <w:fldChar w:fldCharType="separate"/>
      </w:r>
      <w:r w:rsidR="00402362">
        <w:t>8.1</w:t>
      </w:r>
      <w:r w:rsidR="004B4FF0">
        <w:fldChar w:fldCharType="end"/>
      </w:r>
      <w:r w:rsidR="001F7AF9">
        <w:t>.</w:t>
      </w:r>
    </w:p>
    <w:p w14:paraId="0D0A28E5" w14:textId="1FCFD5F6" w:rsidR="000A2355" w:rsidRPr="005377FE" w:rsidRDefault="22FB4CDC" w:rsidP="00623868">
      <w:pPr>
        <w:pStyle w:val="Heading3"/>
      </w:pPr>
      <w:r>
        <w:t xml:space="preserve">Participants </w:t>
      </w:r>
      <w:r w:rsidR="00556D2C">
        <w:t>identified</w:t>
      </w:r>
      <w:r w:rsidR="545369DD">
        <w:t xml:space="preserve"> opportunities to improve</w:t>
      </w:r>
      <w:r w:rsidR="1694427F">
        <w:t xml:space="preserve"> The Way Back</w:t>
      </w:r>
      <w:r w:rsidR="545369DD">
        <w:t xml:space="preserve"> </w:t>
      </w:r>
      <w:r w:rsidR="1694427F">
        <w:t>service model</w:t>
      </w:r>
      <w:r w:rsidR="2417521D">
        <w:t>, though these would</w:t>
      </w:r>
      <w:r w:rsidR="5563E8E9">
        <w:t xml:space="preserve"> </w:t>
      </w:r>
      <w:r w:rsidR="2417521D">
        <w:t xml:space="preserve">expand </w:t>
      </w:r>
      <w:r w:rsidR="6E036919">
        <w:t>the scope</w:t>
      </w:r>
      <w:r w:rsidR="31BCA939">
        <w:t xml:space="preserve"> </w:t>
      </w:r>
      <w:r w:rsidR="6E036919">
        <w:t>of the service’s original purpose</w:t>
      </w:r>
      <w:r w:rsidR="31BCA939">
        <w:t xml:space="preserve"> significantly beyond that of</w:t>
      </w:r>
      <w:r w:rsidR="6E036919">
        <w:t xml:space="preserve"> an aftercare service.</w:t>
      </w:r>
    </w:p>
    <w:p w14:paraId="699E0428" w14:textId="523F43C3" w:rsidR="00626D3F" w:rsidRDefault="0017029D" w:rsidP="00D36EF7">
      <w:r>
        <w:t xml:space="preserve">The evaluation identified three common opportunities to improve The Way Back’s current service delivery model, informed by </w:t>
      </w:r>
      <w:r w:rsidR="005D6801">
        <w:t>responses to the</w:t>
      </w:r>
      <w:r w:rsidR="16E1A589">
        <w:t xml:space="preserve"> </w:t>
      </w:r>
      <w:r w:rsidR="580AE92F">
        <w:t>participant</w:t>
      </w:r>
      <w:r w:rsidR="005D6801">
        <w:t xml:space="preserve"> survey</w:t>
      </w:r>
      <w:r w:rsidR="16E1A589">
        <w:t>,</w:t>
      </w:r>
      <w:r w:rsidR="00E442E0">
        <w:rPr>
          <w:rStyle w:val="FootnoteReference"/>
        </w:rPr>
        <w:footnoteReference w:id="89"/>
      </w:r>
      <w:r w:rsidR="16E1A589">
        <w:t xml:space="preserve"> and interviews with The Way Back participants</w:t>
      </w:r>
      <w:r>
        <w:t>.</w:t>
      </w:r>
    </w:p>
    <w:p w14:paraId="2B245BE4" w14:textId="6AF71553" w:rsidR="009273E6" w:rsidRDefault="063E40E3" w:rsidP="5F0B1C35">
      <w:pPr>
        <w:pStyle w:val="Bullet"/>
        <w:rPr>
          <w:color w:val="008080"/>
          <w:u w:val="single"/>
          <w:lang w:val="en-US"/>
        </w:rPr>
      </w:pPr>
      <w:r w:rsidRPr="74B83E5E">
        <w:rPr>
          <w:rFonts w:asciiTheme="majorHAnsi" w:hAnsiTheme="majorHAnsi" w:cstheme="majorBidi"/>
        </w:rPr>
        <w:t xml:space="preserve">Providing some </w:t>
      </w:r>
      <w:r w:rsidR="623DA1D0" w:rsidRPr="74B83E5E">
        <w:rPr>
          <w:rFonts w:asciiTheme="majorHAnsi" w:hAnsiTheme="majorHAnsi" w:cstheme="majorBidi"/>
        </w:rPr>
        <w:t>participants</w:t>
      </w:r>
      <w:r w:rsidRPr="74B83E5E">
        <w:rPr>
          <w:rFonts w:asciiTheme="majorHAnsi" w:hAnsiTheme="majorHAnsi" w:cstheme="majorBidi"/>
        </w:rPr>
        <w:t xml:space="preserve"> with the option to access the service for longer</w:t>
      </w:r>
      <w:r w:rsidR="008219DD">
        <w:rPr>
          <w:rFonts w:asciiTheme="majorHAnsi" w:hAnsiTheme="majorHAnsi" w:cstheme="majorBidi"/>
        </w:rPr>
        <w:t xml:space="preserve"> than</w:t>
      </w:r>
      <w:r w:rsidRPr="74B83E5E">
        <w:rPr>
          <w:rFonts w:asciiTheme="majorHAnsi" w:hAnsiTheme="majorHAnsi" w:cstheme="majorBidi"/>
        </w:rPr>
        <w:t xml:space="preserve"> </w:t>
      </w:r>
      <w:r w:rsidR="444800B9" w:rsidRPr="74B83E5E">
        <w:rPr>
          <w:rFonts w:asciiTheme="majorHAnsi" w:hAnsiTheme="majorHAnsi" w:cstheme="majorBidi"/>
        </w:rPr>
        <w:t>12</w:t>
      </w:r>
      <w:r w:rsidR="2056D98A" w:rsidRPr="74B83E5E">
        <w:rPr>
          <w:rFonts w:asciiTheme="majorHAnsi" w:hAnsiTheme="majorHAnsi" w:cstheme="majorBidi"/>
        </w:rPr>
        <w:t xml:space="preserve"> weeks.</w:t>
      </w:r>
      <w:r w:rsidR="2056D98A">
        <w:t xml:space="preserve"> Some </w:t>
      </w:r>
      <w:r w:rsidR="623DA1D0">
        <w:t>participants</w:t>
      </w:r>
      <w:r w:rsidR="2056D98A">
        <w:t xml:space="preserve"> reported that they would have benefited from being able to access continued emotional support</w:t>
      </w:r>
      <w:r w:rsidR="622C8523">
        <w:t>, and service navigation</w:t>
      </w:r>
      <w:r w:rsidR="2056D98A">
        <w:t xml:space="preserve"> (</w:t>
      </w:r>
      <w:r w:rsidR="4C09C136">
        <w:t>for example,</w:t>
      </w:r>
      <w:r w:rsidR="2056D98A">
        <w:t xml:space="preserve"> for up to six months). </w:t>
      </w:r>
      <w:r w:rsidR="78A7652E" w:rsidRPr="002676DF">
        <w:rPr>
          <w:lang w:val="en-US"/>
        </w:rPr>
        <w:t xml:space="preserve">Analysis of PMHC MDS found that improvements to </w:t>
      </w:r>
      <w:r w:rsidR="0017029D">
        <w:rPr>
          <w:lang w:val="en-US"/>
        </w:rPr>
        <w:t xml:space="preserve">participant </w:t>
      </w:r>
      <w:r w:rsidR="78A7652E" w:rsidRPr="002676DF">
        <w:rPr>
          <w:lang w:val="en-US"/>
        </w:rPr>
        <w:t xml:space="preserve">outcomes that engaged with the service for longer than 12 weeks did not significantly differ to the average participant (see section </w:t>
      </w:r>
      <w:r w:rsidR="00744478">
        <w:rPr>
          <w:lang w:val="en-US"/>
        </w:rPr>
        <w:fldChar w:fldCharType="begin"/>
      </w:r>
      <w:r w:rsidR="00744478">
        <w:rPr>
          <w:lang w:val="en-US"/>
        </w:rPr>
        <w:instrText xml:space="preserve"> REF _Ref121309942 \n \h </w:instrText>
      </w:r>
      <w:r w:rsidR="00744478">
        <w:rPr>
          <w:lang w:val="en-US"/>
        </w:rPr>
      </w:r>
      <w:r w:rsidR="00744478">
        <w:rPr>
          <w:lang w:val="en-US"/>
        </w:rPr>
        <w:fldChar w:fldCharType="separate"/>
      </w:r>
      <w:r w:rsidR="00402362">
        <w:rPr>
          <w:lang w:val="en-US"/>
        </w:rPr>
        <w:t>7.2</w:t>
      </w:r>
      <w:r w:rsidR="00744478">
        <w:rPr>
          <w:lang w:val="en-US"/>
        </w:rPr>
        <w:fldChar w:fldCharType="end"/>
      </w:r>
      <w:r w:rsidR="78A7652E" w:rsidRPr="002676DF">
        <w:rPr>
          <w:lang w:val="en-US"/>
        </w:rPr>
        <w:t>).</w:t>
      </w:r>
    </w:p>
    <w:p w14:paraId="51E70EC3" w14:textId="3F9B2AEB" w:rsidR="003045A1" w:rsidRDefault="7189C897" w:rsidP="00760E69">
      <w:pPr>
        <w:pStyle w:val="Bullet"/>
      </w:pPr>
      <w:r w:rsidRPr="5F0B1C35">
        <w:rPr>
          <w:rFonts w:asciiTheme="majorHAnsi" w:hAnsiTheme="majorHAnsi" w:cstheme="majorBidi"/>
        </w:rPr>
        <w:t xml:space="preserve">Accessing </w:t>
      </w:r>
      <w:r w:rsidR="2DC54DE8" w:rsidRPr="5F0B1C35">
        <w:rPr>
          <w:rFonts w:asciiTheme="majorHAnsi" w:hAnsiTheme="majorHAnsi" w:cstheme="majorBidi"/>
        </w:rPr>
        <w:t xml:space="preserve">The Way Back </w:t>
      </w:r>
      <w:r w:rsidR="04EF7CF5" w:rsidRPr="5F0B1C35">
        <w:rPr>
          <w:rFonts w:asciiTheme="majorHAnsi" w:hAnsiTheme="majorHAnsi" w:cstheme="majorBidi"/>
        </w:rPr>
        <w:t xml:space="preserve">after a suicidal crisis or attempt </w:t>
      </w:r>
      <w:r w:rsidRPr="5F0B1C35">
        <w:rPr>
          <w:rFonts w:asciiTheme="majorHAnsi" w:hAnsiTheme="majorHAnsi" w:cstheme="majorBidi"/>
        </w:rPr>
        <w:t xml:space="preserve">via alternative means than a </w:t>
      </w:r>
      <w:r w:rsidR="04EF7CF5" w:rsidRPr="5F0B1C35">
        <w:rPr>
          <w:rFonts w:asciiTheme="majorHAnsi" w:hAnsiTheme="majorHAnsi" w:cstheme="majorBidi"/>
        </w:rPr>
        <w:t>hospital</w:t>
      </w:r>
      <w:r w:rsidR="04EF7CF5">
        <w:t xml:space="preserve">. Some </w:t>
      </w:r>
      <w:r w:rsidR="3860B196">
        <w:t>participants</w:t>
      </w:r>
      <w:r w:rsidR="04EF7CF5">
        <w:t xml:space="preserve"> indicated that more people who have a suicidal crisis or attempt could benefit from </w:t>
      </w:r>
      <w:r w:rsidR="00573209">
        <w:t xml:space="preserve">what is offered in </w:t>
      </w:r>
      <w:r w:rsidR="04EF7CF5">
        <w:t xml:space="preserve">aftercare if they could be referred via other services (other than EDs or community mental health teams). </w:t>
      </w:r>
    </w:p>
    <w:p w14:paraId="75453630" w14:textId="1E583C2B" w:rsidR="00FA43C0" w:rsidRDefault="34186DD8" w:rsidP="00760E69">
      <w:pPr>
        <w:pStyle w:val="Bullet"/>
      </w:pPr>
      <w:r w:rsidRPr="5F0B1C35">
        <w:rPr>
          <w:rFonts w:asciiTheme="majorHAnsi" w:hAnsiTheme="majorHAnsi" w:cstheme="majorBidi"/>
        </w:rPr>
        <w:t xml:space="preserve">Having access to the supports </w:t>
      </w:r>
      <w:r w:rsidR="7D425C1E" w:rsidRPr="5F0B1C35">
        <w:rPr>
          <w:rFonts w:asciiTheme="majorHAnsi" w:hAnsiTheme="majorHAnsi" w:cstheme="majorBidi"/>
        </w:rPr>
        <w:t xml:space="preserve">The Way Back offered </w:t>
      </w:r>
      <w:r w:rsidR="1694427F" w:rsidRPr="5F0B1C35">
        <w:rPr>
          <w:rFonts w:asciiTheme="majorHAnsi" w:hAnsiTheme="majorHAnsi" w:cstheme="majorBidi"/>
        </w:rPr>
        <w:t>before they reached a suicidal crisis</w:t>
      </w:r>
      <w:r w:rsidR="7D425C1E">
        <w:t xml:space="preserve">. </w:t>
      </w:r>
      <w:r w:rsidR="68EF14ED">
        <w:t xml:space="preserve">It was frustrating that they had to reach a crisis point before they </w:t>
      </w:r>
      <w:r w:rsidR="576129A2">
        <w:t xml:space="preserve">could access a service like The Way Back. </w:t>
      </w:r>
    </w:p>
    <w:bookmarkEnd w:id="91"/>
    <w:p w14:paraId="77A6FF8A" w14:textId="7EDA84EB" w:rsidR="00850E74" w:rsidRDefault="49A58009" w:rsidP="0C58547B">
      <w:pPr>
        <w:spacing w:after="165" w:line="259" w:lineRule="auto"/>
        <w:rPr>
          <w:rFonts w:eastAsia="Times New Roman" w:cs="Times New Roman"/>
          <w:lang w:eastAsia="en-AU"/>
        </w:rPr>
      </w:pPr>
      <w:r>
        <w:t>It is worth noting that expanding inbound referral pathways or broadening eligibility criteria to make the service available to people before the point of crisis would be a fundamental change to the purpose and intent of the service (as a dedicated aftercare service)</w:t>
      </w:r>
      <w:r w:rsidR="5BF790E9">
        <w:t xml:space="preserve"> and indeed constitute a new model of mental health or crisis support service</w:t>
      </w:r>
      <w:r>
        <w:t>.</w:t>
      </w:r>
      <w:r w:rsidR="5BF790E9">
        <w:t xml:space="preserve"> This </w:t>
      </w:r>
      <w:r w:rsidR="276F2CC4">
        <w:t xml:space="preserve">suggests a </w:t>
      </w:r>
      <w:r w:rsidR="3BB8E7A0">
        <w:t xml:space="preserve">broader service system issue </w:t>
      </w:r>
      <w:r w:rsidR="6BFD268B">
        <w:t xml:space="preserve">as a </w:t>
      </w:r>
      <w:r w:rsidR="276F2CC4">
        <w:t>gap in mental health and/or crisis support services</w:t>
      </w:r>
      <w:r w:rsidR="5CE46CD1">
        <w:t xml:space="preserve"> relative to needs</w:t>
      </w:r>
      <w:r w:rsidR="3BB8E7A0">
        <w:t>.</w:t>
      </w:r>
    </w:p>
    <w:p w14:paraId="75A05549" w14:textId="06C9E4E4" w:rsidR="00850E74" w:rsidRDefault="00850E74" w:rsidP="00850E74">
      <w:pPr>
        <w:pStyle w:val="Heading1"/>
        <w:rPr>
          <w:color w:val="FFFFFF" w:themeColor="background1"/>
        </w:rPr>
      </w:pPr>
      <w:bookmarkStart w:id="92" w:name="_Ref117771511"/>
      <w:bookmarkStart w:id="93" w:name="_Ref118129278"/>
      <w:bookmarkStart w:id="94" w:name="_Toc121320688"/>
      <w:r w:rsidRPr="00325F4F">
        <w:rPr>
          <w:noProof/>
          <w:color w:val="FFFFFF" w:themeColor="background1"/>
        </w:rPr>
        <w:lastRenderedPageBreak/>
        <w:drawing>
          <wp:anchor distT="0" distB="0" distL="114300" distR="114300" simplePos="0" relativeHeight="251658248" behindDoc="1" locked="0" layoutInCell="1" allowOverlap="1" wp14:anchorId="5B6349BD" wp14:editId="7DA19E61">
            <wp:simplePos x="0" y="0"/>
            <wp:positionH relativeFrom="page">
              <wp:align>right</wp:align>
            </wp:positionH>
            <wp:positionV relativeFrom="paragraph">
              <wp:posOffset>-685800</wp:posOffset>
            </wp:positionV>
            <wp:extent cx="7559675" cy="1371600"/>
            <wp:effectExtent l="0" t="0" r="3175" b="0"/>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36BD31E0">
        <w:rPr>
          <w:color w:val="FFFFFF" w:themeColor="background1"/>
        </w:rPr>
        <w:t>Participant</w:t>
      </w:r>
      <w:r w:rsidR="7FDA0F17">
        <w:rPr>
          <w:color w:val="FFFFFF" w:themeColor="background1"/>
        </w:rPr>
        <w:t xml:space="preserve"> </w:t>
      </w:r>
      <w:r w:rsidR="528513F2">
        <w:rPr>
          <w:color w:val="FFFFFF" w:themeColor="background1"/>
        </w:rPr>
        <w:t>outcomes</w:t>
      </w:r>
      <w:bookmarkEnd w:id="92"/>
      <w:bookmarkEnd w:id="93"/>
      <w:bookmarkEnd w:id="94"/>
    </w:p>
    <w:p w14:paraId="5C660C16" w14:textId="77777777" w:rsidR="00B125C9" w:rsidRPr="00D1753E" w:rsidRDefault="00B125C9" w:rsidP="007A7B9F">
      <w:pPr>
        <w:pBdr>
          <w:top w:val="single" w:sz="18" w:space="1" w:color="E6E6E1" w:themeColor="accent5"/>
          <w:bottom w:val="single" w:sz="18" w:space="1" w:color="E6E6E1" w:themeColor="accent5"/>
        </w:pBdr>
        <w:spacing w:before="720" w:line="257" w:lineRule="auto"/>
        <w:rPr>
          <w:lang w:eastAsia="en-AU"/>
        </w:rPr>
      </w:pPr>
      <w:r w:rsidRPr="00D1753E">
        <w:rPr>
          <w:lang w:eastAsia="en-AU"/>
        </w:rPr>
        <w:t xml:space="preserve">This section contributes to answering KEQ 3 | What is changing for whom, in The Way Back? </w:t>
      </w:r>
    </w:p>
    <w:p w14:paraId="51EA9C5B" w14:textId="77777777" w:rsidR="00B125C9" w:rsidRPr="00257437" w:rsidRDefault="00B125C9" w:rsidP="00B125C9">
      <w:pPr>
        <w:pBdr>
          <w:top w:val="single" w:sz="18" w:space="1" w:color="E6E6E1" w:themeColor="accent5"/>
          <w:bottom w:val="single" w:sz="18" w:space="1" w:color="E6E6E1" w:themeColor="accent5"/>
        </w:pBdr>
        <w:rPr>
          <w:color w:val="000000" w:themeColor="text1"/>
          <w:lang w:eastAsia="en-AU"/>
        </w:rPr>
      </w:pPr>
      <w:r w:rsidRPr="00D1753E">
        <w:rPr>
          <w:lang w:eastAsia="en-AU"/>
        </w:rPr>
        <w:t xml:space="preserve">Participants’ </w:t>
      </w:r>
      <w:r>
        <w:rPr>
          <w:lang w:eastAsia="en-AU"/>
        </w:rPr>
        <w:t>suicidal ideation</w:t>
      </w:r>
      <w:r w:rsidRPr="00D1753E">
        <w:rPr>
          <w:lang w:eastAsia="en-AU"/>
        </w:rPr>
        <w:t xml:space="preserve">, psychological distress and mental wellbeing </w:t>
      </w:r>
      <w:r>
        <w:rPr>
          <w:lang w:eastAsia="en-AU"/>
        </w:rPr>
        <w:t xml:space="preserve">significantly </w:t>
      </w:r>
      <w:r w:rsidRPr="00D1753E">
        <w:rPr>
          <w:lang w:eastAsia="en-AU"/>
        </w:rPr>
        <w:t xml:space="preserve">improved during their engagement with The Way Back. Analysis of changes to participant scores relating to </w:t>
      </w:r>
      <w:r w:rsidRPr="00257437">
        <w:rPr>
          <w:color w:val="000000" w:themeColor="text1"/>
          <w:lang w:eastAsia="en-AU"/>
        </w:rPr>
        <w:t>these outcomes (SIDAS, K10 and WHO</w:t>
      </w:r>
      <w:r>
        <w:rPr>
          <w:color w:val="000000" w:themeColor="text1"/>
          <w:lang w:eastAsia="en-AU"/>
        </w:rPr>
        <w:t>-</w:t>
      </w:r>
      <w:r w:rsidRPr="00257437">
        <w:rPr>
          <w:color w:val="000000" w:themeColor="text1"/>
          <w:lang w:eastAsia="en-AU"/>
        </w:rPr>
        <w:t>5 respectively) between the start and the end of their engagement showed that participants of The Way Back experienced a</w:t>
      </w:r>
      <w:r>
        <w:rPr>
          <w:color w:val="000000" w:themeColor="text1"/>
          <w:lang w:eastAsia="en-AU"/>
        </w:rPr>
        <w:t>:</w:t>
      </w:r>
    </w:p>
    <w:p w14:paraId="307D2C45" w14:textId="77777777" w:rsidR="00B125C9" w:rsidRPr="00257437" w:rsidRDefault="00B125C9" w:rsidP="00B125C9">
      <w:pPr>
        <w:pStyle w:val="Bullet"/>
        <w:pBdr>
          <w:top w:val="single" w:sz="18" w:space="1" w:color="E6E6E1" w:themeColor="accent5"/>
          <w:bottom w:val="single" w:sz="18" w:space="1" w:color="E6E6E1" w:themeColor="accent5"/>
        </w:pBdr>
      </w:pPr>
      <w:r w:rsidRPr="00257437">
        <w:t>63 per cent reduction in suicidal ideation</w:t>
      </w:r>
    </w:p>
    <w:p w14:paraId="4D182B68" w14:textId="77777777" w:rsidR="00B125C9" w:rsidRPr="00257437" w:rsidRDefault="00B125C9" w:rsidP="00B125C9">
      <w:pPr>
        <w:pStyle w:val="Bullet"/>
        <w:pBdr>
          <w:top w:val="single" w:sz="18" w:space="1" w:color="E6E6E1" w:themeColor="accent5"/>
          <w:bottom w:val="single" w:sz="18" w:space="1" w:color="E6E6E1" w:themeColor="accent5"/>
        </w:pBdr>
      </w:pPr>
      <w:r w:rsidRPr="00257437">
        <w:t xml:space="preserve">28 per cent reduction in psychological distress </w:t>
      </w:r>
    </w:p>
    <w:p w14:paraId="3346148A" w14:textId="77777777" w:rsidR="00B125C9" w:rsidRPr="00257437" w:rsidRDefault="00B125C9" w:rsidP="00B125C9">
      <w:pPr>
        <w:pStyle w:val="Bullet"/>
        <w:pBdr>
          <w:top w:val="single" w:sz="18" w:space="1" w:color="E6E6E1" w:themeColor="accent5"/>
          <w:bottom w:val="single" w:sz="18" w:space="1" w:color="E6E6E1" w:themeColor="accent5"/>
        </w:pBdr>
      </w:pPr>
      <w:r w:rsidRPr="00257437">
        <w:t>86 per cent improvement in wellbeing</w:t>
      </w:r>
      <w:r>
        <w:t>.</w:t>
      </w:r>
    </w:p>
    <w:p w14:paraId="228ED138" w14:textId="77777777" w:rsidR="00B125C9" w:rsidRPr="00D1753E" w:rsidRDefault="00B125C9" w:rsidP="00B125C9">
      <w:pPr>
        <w:pBdr>
          <w:top w:val="single" w:sz="18" w:space="1" w:color="E6E6E1" w:themeColor="accent5"/>
          <w:bottom w:val="single" w:sz="18" w:space="1" w:color="E6E6E1" w:themeColor="accent5"/>
        </w:pBdr>
        <w:rPr>
          <w:lang w:eastAsia="en-AU"/>
        </w:rPr>
      </w:pPr>
      <w:r w:rsidRPr="00D1753E">
        <w:rPr>
          <w:lang w:eastAsia="en-AU"/>
        </w:rPr>
        <w:t xml:space="preserve">Participants in interviews also reported improved outcomes during their time with The Way Back and this improvement was sustained four-months post-service exit. Participants also highlighted that support coordinators enabled them to engage with supports through outbound referrals. </w:t>
      </w:r>
    </w:p>
    <w:p w14:paraId="5BFD1813" w14:textId="77777777" w:rsidR="00B125C9" w:rsidRPr="00D1753E" w:rsidRDefault="00B125C9" w:rsidP="00B125C9">
      <w:pPr>
        <w:pBdr>
          <w:top w:val="single" w:sz="18" w:space="1" w:color="E6E6E1" w:themeColor="accent5"/>
          <w:bottom w:val="single" w:sz="18" w:space="1" w:color="E6E6E1" w:themeColor="accent5"/>
        </w:pBdr>
        <w:rPr>
          <w:rFonts w:eastAsia="Segoe UI Semilight" w:cs="Segoe UI Semilight"/>
          <w:strike/>
          <w:highlight w:val="yellow"/>
        </w:rPr>
      </w:pPr>
      <w:r w:rsidRPr="00D1753E">
        <w:t>Length of engagement (</w:t>
      </w:r>
      <w:proofErr w:type="gramStart"/>
      <w:r w:rsidRPr="00D1753E">
        <w:t>i.e.</w:t>
      </w:r>
      <w:proofErr w:type="gramEnd"/>
      <w:r w:rsidRPr="00D1753E">
        <w:t xml:space="preserve"> participants who engaged with the service for longer than 12 weeks) and local site contexts did not appear to impact on changes to participant outcomes. </w:t>
      </w:r>
    </w:p>
    <w:p w14:paraId="17917CBA" w14:textId="77777777" w:rsidR="00B125C9" w:rsidRPr="00D1753E" w:rsidRDefault="00B125C9" w:rsidP="00B125C9">
      <w:pPr>
        <w:pBdr>
          <w:top w:val="single" w:sz="18" w:space="1" w:color="E6E6E1" w:themeColor="accent5"/>
          <w:bottom w:val="single" w:sz="18" w:space="1" w:color="E6E6E1" w:themeColor="accent5"/>
        </w:pBdr>
        <w:rPr>
          <w:rFonts w:eastAsia="Segoe UI Semilight" w:cs="Segoe UI Semilight"/>
          <w:highlight w:val="yellow"/>
          <w:u w:val="single"/>
        </w:rPr>
      </w:pPr>
      <w:r w:rsidRPr="00D1753E">
        <w:t xml:space="preserve">The Way Back’s contribution to participant outcomes differs across cohorts of interest to The Way Back and the evaluation. Participants who identified as Aboriginal and Torres Strait Islander (for suicidality), and from regional and remote locations (for suicidality and psychological distress) experience a significantly greater improvement in outcomes than the average. In contrast, outcomes for psychological distress, and wellbeing for participants diagnosed with a personality disorder </w:t>
      </w:r>
      <w:r>
        <w:t>improved</w:t>
      </w:r>
      <w:r w:rsidRPr="00D1753E">
        <w:t xml:space="preserve">, </w:t>
      </w:r>
      <w:r>
        <w:t xml:space="preserve">however their </w:t>
      </w:r>
      <w:r w:rsidRPr="00D1753E">
        <w:t>improve</w:t>
      </w:r>
      <w:r>
        <w:t>ments were</w:t>
      </w:r>
      <w:r w:rsidRPr="00D1753E">
        <w:t xml:space="preserve"> significantly less than </w:t>
      </w:r>
      <w:r>
        <w:t xml:space="preserve">experienced by </w:t>
      </w:r>
      <w:r w:rsidRPr="00D1753E">
        <w:t>the average participant</w:t>
      </w:r>
      <w:r>
        <w:t>.</w:t>
      </w:r>
      <w:r w:rsidRPr="00D1753E">
        <w:t xml:space="preserve"> </w:t>
      </w:r>
    </w:p>
    <w:p w14:paraId="436AADA8" w14:textId="77777777" w:rsidR="00B125C9" w:rsidRPr="00D1753E" w:rsidRDefault="00B125C9" w:rsidP="00B125C9">
      <w:pPr>
        <w:pBdr>
          <w:top w:val="single" w:sz="18" w:space="1" w:color="E6E6E1" w:themeColor="accent5"/>
          <w:bottom w:val="single" w:sz="18" w:space="1" w:color="E6E6E1" w:themeColor="accent5"/>
        </w:pBdr>
        <w:rPr>
          <w:lang w:eastAsia="en-AU"/>
        </w:rPr>
      </w:pPr>
      <w:r w:rsidRPr="00D1753E">
        <w:rPr>
          <w:lang w:eastAsia="en-AU"/>
        </w:rPr>
        <w:t xml:space="preserve">There are opportunities to improve how outcomes data is collected and measured in The Way Back. Issues identified included:  </w:t>
      </w:r>
    </w:p>
    <w:p w14:paraId="6E94E7CF" w14:textId="77777777" w:rsidR="00B125C9" w:rsidRPr="00D1753E" w:rsidRDefault="00B125C9" w:rsidP="00B125C9">
      <w:pPr>
        <w:pStyle w:val="Bullet"/>
        <w:pBdr>
          <w:top w:val="single" w:sz="18" w:space="1" w:color="E6E6E1" w:themeColor="accent5"/>
          <w:bottom w:val="single" w:sz="18" w:space="1" w:color="E6E6E1" w:themeColor="accent5"/>
        </w:pBdr>
      </w:pPr>
      <w:r w:rsidRPr="00D1753E">
        <w:t xml:space="preserve">Participants and providers noted that K10, SIDAS, and WHO5 outcome measures were often perceived as clinical in nature, and not appropriate for a psychosocial service like The Way Back. </w:t>
      </w:r>
    </w:p>
    <w:p w14:paraId="618DF1F9" w14:textId="77777777" w:rsidR="00B125C9" w:rsidRPr="00D1753E" w:rsidRDefault="00B125C9" w:rsidP="00B125C9">
      <w:pPr>
        <w:pStyle w:val="Bullet"/>
        <w:pBdr>
          <w:top w:val="single" w:sz="18" w:space="1" w:color="E6E6E1" w:themeColor="accent5"/>
          <w:bottom w:val="single" w:sz="18" w:space="1" w:color="E6E6E1" w:themeColor="accent5"/>
        </w:pBdr>
      </w:pPr>
      <w:r w:rsidRPr="00D1753E">
        <w:t xml:space="preserve">Outcomes measures were not consistently and comprehensively collected across sites. </w:t>
      </w:r>
    </w:p>
    <w:p w14:paraId="3F9495CB" w14:textId="1D88CE60" w:rsidR="00BC051D" w:rsidRDefault="00B125C9" w:rsidP="00B125C9">
      <w:pPr>
        <w:pStyle w:val="NoteHeading"/>
        <w:rPr>
          <w:lang w:eastAsia="en-AU"/>
        </w:rPr>
      </w:pPr>
      <w:r w:rsidRPr="00D1753E">
        <w:rPr>
          <w:lang w:eastAsia="en-AU"/>
        </w:rPr>
        <w:t>There was very limited data available to the evaluation to discern whether outcomes were changing for family, friends or carers of people who were participants of The Way Back.</w:t>
      </w:r>
    </w:p>
    <w:tbl>
      <w:tblPr>
        <w:tblW w:w="4950" w:type="pct"/>
        <w:tblLook w:val="04A0" w:firstRow="1" w:lastRow="0" w:firstColumn="1" w:lastColumn="0" w:noHBand="0" w:noVBand="1"/>
        <w:tblDescription w:val="This is an overview for chapter 7 on the data quality and limitations in this section."/>
      </w:tblPr>
      <w:tblGrid>
        <w:gridCol w:w="993"/>
        <w:gridCol w:w="7848"/>
      </w:tblGrid>
      <w:tr w:rsidR="00126BE5" w14:paraId="302D6FA2" w14:textId="77777777" w:rsidTr="007A7B9F">
        <w:trPr>
          <w:trHeight w:val="794"/>
        </w:trPr>
        <w:tc>
          <w:tcPr>
            <w:tcW w:w="993" w:type="dxa"/>
            <w:shd w:val="clear" w:color="auto" w:fill="00264D" w:themeFill="background2"/>
            <w:vAlign w:val="center"/>
          </w:tcPr>
          <w:p w14:paraId="06B662FF" w14:textId="3B43596A" w:rsidR="00126BE5" w:rsidRPr="000A167E" w:rsidRDefault="00151029" w:rsidP="007A7B9F">
            <w:pPr>
              <w:pageBreakBefore/>
              <w:jc w:val="center"/>
              <w:rPr>
                <w:noProof/>
              </w:rPr>
            </w:pPr>
            <w:r>
              <w:rPr>
                <w:noProof/>
              </w:rPr>
              <w:lastRenderedPageBreak/>
              <w:drawing>
                <wp:inline distT="0" distB="0" distL="0" distR="0" wp14:anchorId="21C9FF5E" wp14:editId="2742D348">
                  <wp:extent cx="371475" cy="371475"/>
                  <wp:effectExtent l="0" t="0" r="9525" b="9525"/>
                  <wp:docPr id="1038753018" name="Graphic 1038753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18" name="Graphic 1038753018">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371475" cy="371475"/>
                          </a:xfrm>
                          <a:prstGeom prst="rect">
                            <a:avLst/>
                          </a:prstGeom>
                        </pic:spPr>
                      </pic:pic>
                    </a:graphicData>
                  </a:graphic>
                </wp:inline>
              </w:drawing>
            </w:r>
          </w:p>
        </w:tc>
        <w:tc>
          <w:tcPr>
            <w:tcW w:w="7848" w:type="dxa"/>
            <w:shd w:val="clear" w:color="auto" w:fill="F2F2F2" w:themeFill="background1" w:themeFillShade="F2"/>
            <w:vAlign w:val="center"/>
          </w:tcPr>
          <w:p w14:paraId="1E007C9F" w14:textId="77777777" w:rsidR="00126BE5" w:rsidRDefault="00126BE5" w:rsidP="007A7B9F">
            <w:pPr>
              <w:keepNext/>
              <w:pageBreakBefore/>
              <w:spacing w:line="257" w:lineRule="auto"/>
              <w:rPr>
                <w:rFonts w:asciiTheme="majorHAnsi" w:hAnsiTheme="majorHAnsi" w:cstheme="majorHAnsi"/>
                <w:color w:val="00264D" w:themeColor="background2"/>
              </w:rPr>
            </w:pPr>
            <w:r w:rsidRPr="003C6AF6">
              <w:rPr>
                <w:rFonts w:asciiTheme="majorHAnsi" w:hAnsiTheme="majorHAnsi" w:cstheme="majorHAnsi"/>
                <w:color w:val="00264D" w:themeColor="background2"/>
              </w:rPr>
              <w:t>DATA QUALITY AND LIMITATIONS IN THIS SECTION</w:t>
            </w:r>
          </w:p>
          <w:p w14:paraId="7E1AF201" w14:textId="77777777" w:rsidR="00126BE5" w:rsidRDefault="00126BE5" w:rsidP="007A7B9F">
            <w:pPr>
              <w:pStyle w:val="TableNText"/>
              <w:pageBreakBefore/>
              <w:rPr>
                <w:lang w:eastAsia="en-AU"/>
              </w:rPr>
            </w:pPr>
            <w:r>
              <w:rPr>
                <w:lang w:eastAsia="en-AU"/>
              </w:rPr>
              <w:t xml:space="preserve">This section outlines the extent to which participants are achieving these outcomes and goals, based on analysis of PMHC MDS data for the 27 in-scope sites, responses to the participant survey and interviews with participants at the eight deep dive sites. </w:t>
            </w:r>
          </w:p>
          <w:p w14:paraId="6AC30E64" w14:textId="1AA95079" w:rsidR="00126BE5" w:rsidRDefault="1C3EA9BF" w:rsidP="007A7B9F">
            <w:pPr>
              <w:pStyle w:val="TableNText"/>
              <w:pageBreakBefore/>
              <w:rPr>
                <w:lang w:eastAsia="en-AU"/>
              </w:rPr>
            </w:pPr>
            <w:r w:rsidRPr="74B83E5E">
              <w:rPr>
                <w:lang w:eastAsia="en-AU"/>
              </w:rPr>
              <w:t xml:space="preserve">Participant outcomes were measured using three validated outcome measurement tools that examine </w:t>
            </w:r>
            <w:r w:rsidR="00EC13C7">
              <w:rPr>
                <w:lang w:eastAsia="en-AU"/>
              </w:rPr>
              <w:t xml:space="preserve">the severity of suicidal </w:t>
            </w:r>
            <w:proofErr w:type="gramStart"/>
            <w:r w:rsidR="00EC13C7">
              <w:rPr>
                <w:lang w:eastAsia="en-AU"/>
              </w:rPr>
              <w:t>ideation</w:t>
            </w:r>
            <w:r w:rsidRPr="74B83E5E">
              <w:rPr>
                <w:lang w:eastAsia="en-AU"/>
              </w:rPr>
              <w:t>(</w:t>
            </w:r>
            <w:proofErr w:type="gramEnd"/>
            <w:r w:rsidRPr="74B83E5E">
              <w:rPr>
                <w:lang w:eastAsia="en-AU"/>
              </w:rPr>
              <w:t xml:space="preserve">SIDAS), </w:t>
            </w:r>
            <w:r w:rsidR="231B8375" w:rsidRPr="74B83E5E">
              <w:rPr>
                <w:lang w:eastAsia="en-AU"/>
              </w:rPr>
              <w:t>psychological distress</w:t>
            </w:r>
            <w:r w:rsidRPr="74B83E5E">
              <w:rPr>
                <w:lang w:eastAsia="en-AU"/>
              </w:rPr>
              <w:t xml:space="preserve"> (K10) and wellbeing (WHO-5). The evaluation also drew from interviews with participants to understand the change in outcomes during their time with The Way Back.</w:t>
            </w:r>
            <w:r w:rsidR="1C8CC4FF">
              <w:t xml:space="preserve"> </w:t>
            </w:r>
            <w:r>
              <w:t xml:space="preserve">It is important to consider the following limitations to the data: </w:t>
            </w:r>
          </w:p>
          <w:p w14:paraId="580C003F" w14:textId="57D8CF88" w:rsidR="00126BE5" w:rsidRDefault="00126BE5" w:rsidP="007A7B9F">
            <w:pPr>
              <w:pStyle w:val="TableNBullet"/>
              <w:pageBreakBefore/>
            </w:pPr>
            <w:r w:rsidRPr="38E66651">
              <w:rPr>
                <w:rFonts w:asciiTheme="majorHAnsi" w:hAnsiTheme="majorHAnsi" w:cstheme="majorBidi"/>
              </w:rPr>
              <w:t>Positive bias</w:t>
            </w:r>
            <w:r w:rsidR="00F2798C">
              <w:t xml:space="preserve">. </w:t>
            </w:r>
            <w:r>
              <w:t xml:space="preserve">The eligibility criteria for interview participants required participants to have </w:t>
            </w:r>
            <w:r>
              <w:rPr>
                <w:i/>
                <w:iCs/>
              </w:rPr>
              <w:t>completed</w:t>
            </w:r>
            <w:r>
              <w:t xml:space="preserve"> the service within the last four months and to be in a safe mental disposition to participate. As such, the sample of participants who were eligible and self-selected to participate in the interviews may have been biased toward those who had positive </w:t>
            </w:r>
            <w:r w:rsidR="00A264D3">
              <w:t xml:space="preserve">or </w:t>
            </w:r>
            <w:r w:rsidR="009E0EBE">
              <w:t xml:space="preserve">relatively </w:t>
            </w:r>
            <w:r w:rsidR="00A264D3">
              <w:t xml:space="preserve">more </w:t>
            </w:r>
            <w:r w:rsidR="009E0EBE">
              <w:t xml:space="preserve">positive </w:t>
            </w:r>
            <w:r>
              <w:t xml:space="preserve">experiences with The Way Back. </w:t>
            </w:r>
            <w:r w:rsidR="00133230">
              <w:t>This is likely exacerbated by the necessary requirement that interview participants</w:t>
            </w:r>
            <w:r w:rsidR="000D73C8">
              <w:t xml:space="preserve"> had to be in a safe mental disposition.</w:t>
            </w:r>
          </w:p>
          <w:p w14:paraId="5F725CA2" w14:textId="339E7810" w:rsidR="00126BE5" w:rsidRDefault="06A7769D" w:rsidP="007A7B9F">
            <w:pPr>
              <w:pStyle w:val="TableNBullet"/>
              <w:pageBreakBefore/>
            </w:pPr>
            <w:r w:rsidRPr="1D87045B">
              <w:rPr>
                <w:rFonts w:asciiTheme="majorHAnsi" w:hAnsiTheme="majorHAnsi" w:cstheme="majorBidi"/>
              </w:rPr>
              <w:t>Limited sample size</w:t>
            </w:r>
            <w:r w:rsidR="00F2798C">
              <w:rPr>
                <w:rFonts w:asciiTheme="majorHAnsi" w:hAnsiTheme="majorHAnsi" w:cstheme="majorBidi"/>
              </w:rPr>
              <w:t>.</w:t>
            </w:r>
            <w:r w:rsidRPr="1D87045B">
              <w:rPr>
                <w:rFonts w:asciiTheme="majorHAnsi" w:hAnsiTheme="majorHAnsi" w:cstheme="majorBidi"/>
              </w:rPr>
              <w:t xml:space="preserve"> </w:t>
            </w:r>
            <w:r w:rsidRPr="1D87045B">
              <w:rPr>
                <w:rFonts w:asciiTheme="minorHAnsi" w:hAnsiTheme="minorHAnsi" w:cstheme="minorBidi"/>
              </w:rPr>
              <w:t>O</w:t>
            </w:r>
            <w:r>
              <w:t>nly a small proportion of episodes recorded in the PMHC MDS have completed outcome measures recorded at beginning and end of episode to measure change in outcomes over time. Twenty</w:t>
            </w:r>
            <w:r w:rsidR="68331D0E">
              <w:t>-</w:t>
            </w:r>
            <w:r>
              <w:t>two per cent of episodes have a matched pair recorded for the K10 (n=1,933), 17 per cent for the WHO-5 (n=1,514) and 19 per cent for the SIDAS (n=1,675). However, descriptive analysis of the cohort of participants with matched pairs indicates the sample is representative of the broader PMHC MDS sample and therefore a valid representation of The Way Back participants.</w:t>
            </w:r>
          </w:p>
          <w:p w14:paraId="41589455" w14:textId="223704AD" w:rsidR="00126BE5" w:rsidRPr="000B694F" w:rsidRDefault="00126BE5" w:rsidP="007A7B9F">
            <w:pPr>
              <w:pStyle w:val="TableNBullet"/>
              <w:pageBreakBefore/>
              <w:rPr>
                <w:rFonts w:asciiTheme="minorHAnsi" w:hAnsiTheme="minorHAnsi" w:cstheme="minorHAnsi"/>
                <w:b/>
              </w:rPr>
            </w:pPr>
            <w:r w:rsidRPr="00E42E67">
              <w:rPr>
                <w:rFonts w:asciiTheme="majorHAnsi" w:hAnsiTheme="majorHAnsi" w:cstheme="majorBidi"/>
              </w:rPr>
              <w:t>Incomplete outcomes data</w:t>
            </w:r>
            <w:r w:rsidR="00F2798C">
              <w:rPr>
                <w:rFonts w:asciiTheme="majorHAnsi" w:hAnsiTheme="majorHAnsi" w:cstheme="majorBidi"/>
              </w:rPr>
              <w:t>.</w:t>
            </w:r>
            <w:r w:rsidRPr="00E42E67">
              <w:rPr>
                <w:rFonts w:asciiTheme="majorHAnsi" w:hAnsiTheme="majorHAnsi" w:cstheme="majorBidi"/>
              </w:rPr>
              <w:t xml:space="preserve"> </w:t>
            </w:r>
            <w:r w:rsidRPr="00884B16">
              <w:t xml:space="preserve">There </w:t>
            </w:r>
            <w:r>
              <w:t>was</w:t>
            </w:r>
            <w:r w:rsidRPr="00884B16">
              <w:t xml:space="preserve"> very limited data available </w:t>
            </w:r>
            <w:r w:rsidR="00CA3AF1">
              <w:t xml:space="preserve">for </w:t>
            </w:r>
            <w:r w:rsidRPr="00884B16">
              <w:t>participants who did not complete their service period (and therefore complete outcomes assessments).</w:t>
            </w:r>
            <w:r w:rsidR="00F426B6">
              <w:t xml:space="preserve"> There is an opportunity to improve </w:t>
            </w:r>
            <w:r w:rsidR="0021097A">
              <w:t xml:space="preserve">how </w:t>
            </w:r>
            <w:r w:rsidR="00512DCA">
              <w:t xml:space="preserve">the consistency </w:t>
            </w:r>
            <w:r w:rsidR="0021097A">
              <w:t xml:space="preserve">and completeness </w:t>
            </w:r>
            <w:r w:rsidR="00D040C2">
              <w:t>of information</w:t>
            </w:r>
            <w:r w:rsidR="00BF0297">
              <w:t xml:space="preserve"> is </w:t>
            </w:r>
            <w:r w:rsidR="00512DCA">
              <w:t>captured in the future</w:t>
            </w:r>
            <w:r w:rsidR="00BF0297">
              <w:t xml:space="preserve"> for those who do not complete their service period</w:t>
            </w:r>
            <w:r w:rsidR="00512DCA">
              <w:t xml:space="preserve"> (see section </w:t>
            </w:r>
            <w:r w:rsidR="00280D2A">
              <w:fldChar w:fldCharType="begin"/>
            </w:r>
            <w:r w:rsidR="00280D2A">
              <w:instrText xml:space="preserve"> REF _Ref118285879 \n \h </w:instrText>
            </w:r>
            <w:r w:rsidR="00280D2A">
              <w:fldChar w:fldCharType="separate"/>
            </w:r>
            <w:r w:rsidR="00402362">
              <w:t>10.1</w:t>
            </w:r>
            <w:r w:rsidR="00280D2A">
              <w:fldChar w:fldCharType="end"/>
            </w:r>
            <w:r w:rsidR="0015181D">
              <w:t xml:space="preserve">, </w:t>
            </w:r>
            <w:r w:rsidR="00512DCA">
              <w:t>recommendation</w:t>
            </w:r>
            <w:r w:rsidR="00F2429F">
              <w:t xml:space="preserve"> 1</w:t>
            </w:r>
            <w:r w:rsidR="006F204D">
              <w:t>4</w:t>
            </w:r>
            <w:r w:rsidR="00F2429F">
              <w:t>)</w:t>
            </w:r>
            <w:r w:rsidR="00E065F6">
              <w:t>.</w:t>
            </w:r>
          </w:p>
          <w:p w14:paraId="659F6D35" w14:textId="2E8E1D38" w:rsidR="00126BE5" w:rsidRPr="00B17D0C" w:rsidRDefault="51761DEC" w:rsidP="007A7B9F">
            <w:pPr>
              <w:pStyle w:val="TableNBullet"/>
              <w:pageBreakBefore/>
              <w:rPr>
                <w:rFonts w:asciiTheme="majorHAnsi" w:hAnsiTheme="majorHAnsi" w:cstheme="majorBidi"/>
                <w:color w:val="00264D" w:themeColor="background2"/>
              </w:rPr>
            </w:pPr>
            <w:r w:rsidRPr="0C58547B">
              <w:rPr>
                <w:rFonts w:asciiTheme="majorHAnsi" w:hAnsiTheme="majorHAnsi" w:cstheme="majorBidi"/>
              </w:rPr>
              <w:t>Suitability of outcome measures across participant cohorts</w:t>
            </w:r>
            <w:r w:rsidR="00F2798C">
              <w:rPr>
                <w:rFonts w:asciiTheme="majorHAnsi" w:hAnsiTheme="majorHAnsi" w:cstheme="majorBidi"/>
              </w:rPr>
              <w:t>.</w:t>
            </w:r>
            <w:r>
              <w:t xml:space="preserve"> </w:t>
            </w:r>
            <w:r w:rsidR="007D6B05">
              <w:t>E</w:t>
            </w:r>
            <w:r>
              <w:t xml:space="preserve">vidence suggests that the empirical outcome measures adopted by The Way Back </w:t>
            </w:r>
            <w:r w:rsidR="00795F6A">
              <w:t>(</w:t>
            </w:r>
            <w:r w:rsidR="00F37105">
              <w:t>particularly SIDAS and WHO-5</w:t>
            </w:r>
            <w:r w:rsidR="005D1D82">
              <w:t xml:space="preserve">, as the K5 is offered </w:t>
            </w:r>
            <w:r w:rsidR="00A30DFF">
              <w:t xml:space="preserve">to Aboriginal and Torres Strait Islander participants, as an alternative to the K10) </w:t>
            </w:r>
            <w:r w:rsidR="00BF0297">
              <w:t xml:space="preserve">may </w:t>
            </w:r>
            <w:r>
              <w:t>not be the most appropriate and sensitive measures for all population cohorts such as Aboriginal and Torres Strait Islander people</w:t>
            </w:r>
            <w:r w:rsidR="00126BE5">
              <w:rPr>
                <w:rStyle w:val="FootnoteReference"/>
              </w:rPr>
              <w:footnoteReference w:id="90"/>
            </w:r>
            <w:r>
              <w:t xml:space="preserve">. The evaluation also heard from providers anecdotally that Aboriginal and Torres Strait Islander people are more likely to experience gratuitous </w:t>
            </w:r>
            <w:r w:rsidR="009847AF">
              <w:t>concurre</w:t>
            </w:r>
            <w:r w:rsidR="009E094A">
              <w:t>nce</w:t>
            </w:r>
            <w:r w:rsidR="0079245F">
              <w:rPr>
                <w:rStyle w:val="FootnoteReference"/>
              </w:rPr>
              <w:footnoteReference w:id="91"/>
            </w:r>
            <w:r w:rsidR="009E094A">
              <w:t xml:space="preserve"> </w:t>
            </w:r>
            <w:r>
              <w:t>and the outcome measures reported may not be a true reflection of outcomes for some participants.</w:t>
            </w:r>
            <w:r w:rsidR="693303F9">
              <w:t xml:space="preserve"> There is an opportunity to improve </w:t>
            </w:r>
            <w:r w:rsidR="4349C0EA">
              <w:t>the appropriateness of</w:t>
            </w:r>
            <w:r w:rsidR="693303F9">
              <w:t xml:space="preserve"> </w:t>
            </w:r>
            <w:r w:rsidR="052D3490">
              <w:t xml:space="preserve">outcomes data captured for participants </w:t>
            </w:r>
            <w:r w:rsidR="2154A636">
              <w:t xml:space="preserve">of The Way Back </w:t>
            </w:r>
            <w:r w:rsidR="052D3490">
              <w:t xml:space="preserve">(see section </w:t>
            </w:r>
            <w:r w:rsidR="00280D2A">
              <w:fldChar w:fldCharType="begin"/>
            </w:r>
            <w:r w:rsidR="00280D2A">
              <w:instrText xml:space="preserve"> REF _Ref118285879 \n \h </w:instrText>
            </w:r>
            <w:r w:rsidR="00280D2A">
              <w:fldChar w:fldCharType="separate"/>
            </w:r>
            <w:r w:rsidR="00402362">
              <w:t>10.1</w:t>
            </w:r>
            <w:r w:rsidR="00280D2A">
              <w:fldChar w:fldCharType="end"/>
            </w:r>
            <w:r w:rsidR="052D3490">
              <w:t>, recommendation 1</w:t>
            </w:r>
            <w:r w:rsidR="006F204D">
              <w:t>5</w:t>
            </w:r>
            <w:r w:rsidR="052D3490">
              <w:t>).</w:t>
            </w:r>
          </w:p>
        </w:tc>
      </w:tr>
    </w:tbl>
    <w:p w14:paraId="4D878B95" w14:textId="7EAD9A29" w:rsidR="000D65B6" w:rsidRDefault="00784121" w:rsidP="00784121">
      <w:pPr>
        <w:pStyle w:val="Heading2"/>
      </w:pPr>
      <w:r>
        <w:br w:type="page"/>
      </w:r>
      <w:bookmarkStart w:id="95" w:name="_Ref121312023"/>
      <w:bookmarkStart w:id="96" w:name="_Toc121320689"/>
      <w:r w:rsidR="008C5F2F">
        <w:lastRenderedPageBreak/>
        <w:t xml:space="preserve">Overall </w:t>
      </w:r>
      <w:r w:rsidR="002F6D7A">
        <w:t>participant</w:t>
      </w:r>
      <w:r w:rsidR="008C5F2F">
        <w:t xml:space="preserve"> outcomes</w:t>
      </w:r>
      <w:bookmarkEnd w:id="95"/>
      <w:bookmarkEnd w:id="96"/>
    </w:p>
    <w:p w14:paraId="44189CFD" w14:textId="64195989" w:rsidR="00C36F58" w:rsidRPr="009428F5" w:rsidRDefault="00743105" w:rsidP="00623868">
      <w:pPr>
        <w:pStyle w:val="Heading3"/>
      </w:pPr>
      <w:r w:rsidRPr="009428F5">
        <w:t>T</w:t>
      </w:r>
      <w:r w:rsidR="007B59AE" w:rsidRPr="009428F5">
        <w:t>h</w:t>
      </w:r>
      <w:r w:rsidR="004E306D" w:rsidRPr="009428F5">
        <w:t xml:space="preserve">ree outcome measures </w:t>
      </w:r>
      <w:r w:rsidRPr="009428F5">
        <w:t xml:space="preserve">were used </w:t>
      </w:r>
      <w:r w:rsidR="004E306D" w:rsidRPr="009428F5">
        <w:t xml:space="preserve">to understand </w:t>
      </w:r>
      <w:r w:rsidR="007B59AE" w:rsidRPr="009428F5">
        <w:t>change</w:t>
      </w:r>
      <w:r w:rsidR="00173961" w:rsidRPr="009428F5">
        <w:t>s in</w:t>
      </w:r>
      <w:r w:rsidR="007B59AE" w:rsidRPr="009428F5">
        <w:t xml:space="preserve"> </w:t>
      </w:r>
      <w:r w:rsidR="004E306D" w:rsidRPr="009428F5">
        <w:t xml:space="preserve">participant </w:t>
      </w:r>
      <w:r w:rsidR="007B59AE" w:rsidRPr="009428F5">
        <w:t xml:space="preserve">outcomes </w:t>
      </w:r>
      <w:r w:rsidR="004E306D">
        <w:t xml:space="preserve">at </w:t>
      </w:r>
      <w:r w:rsidR="004E306D" w:rsidRPr="009428F5">
        <w:t xml:space="preserve">the beginning and end of </w:t>
      </w:r>
      <w:r w:rsidR="004E306D">
        <w:t>their</w:t>
      </w:r>
      <w:r w:rsidR="004E306D" w:rsidRPr="009428F5">
        <w:t xml:space="preserve"> service episode</w:t>
      </w:r>
      <w:r w:rsidR="004C2D41">
        <w:t>s</w:t>
      </w:r>
      <w:r w:rsidR="00ED45E5" w:rsidRPr="009428F5">
        <w:t>.</w:t>
      </w:r>
    </w:p>
    <w:p w14:paraId="0BD8F4EE" w14:textId="15BD080C" w:rsidR="004E306D" w:rsidRPr="00892DE5" w:rsidRDefault="00F617CD" w:rsidP="004E306D">
      <w:pPr>
        <w:rPr>
          <w:rFonts w:eastAsia="Times New Roman" w:cs="Times New Roman"/>
          <w:szCs w:val="19"/>
          <w:lang w:eastAsia="en-AU"/>
        </w:rPr>
      </w:pPr>
      <w:r>
        <w:t>The</w:t>
      </w:r>
      <w:r w:rsidR="00634442" w:rsidRPr="00ED45E5">
        <w:t xml:space="preserve"> </w:t>
      </w:r>
      <w:r>
        <w:t>t</w:t>
      </w:r>
      <w:r w:rsidR="00743105" w:rsidRPr="009428F5">
        <w:rPr>
          <w:rFonts w:eastAsia="Times New Roman" w:cs="Times New Roman"/>
          <w:szCs w:val="19"/>
          <w:lang w:eastAsia="en-AU"/>
        </w:rPr>
        <w:t xml:space="preserve">hree </w:t>
      </w:r>
      <w:r w:rsidR="004E306D" w:rsidRPr="009428F5">
        <w:rPr>
          <w:rFonts w:eastAsia="Times New Roman" w:cs="Times New Roman"/>
          <w:szCs w:val="19"/>
          <w:lang w:eastAsia="en-AU"/>
        </w:rPr>
        <w:t>outcome measures</w:t>
      </w:r>
      <w:r w:rsidR="00743105" w:rsidRPr="009428F5">
        <w:rPr>
          <w:rFonts w:eastAsia="Times New Roman" w:cs="Times New Roman"/>
          <w:szCs w:val="19"/>
          <w:lang w:eastAsia="en-AU"/>
        </w:rPr>
        <w:t xml:space="preserve"> </w:t>
      </w:r>
      <w:r w:rsidR="007A797D">
        <w:t>used by The Way Back were</w:t>
      </w:r>
      <w:r w:rsidR="004E306D" w:rsidRPr="00892DE5">
        <w:rPr>
          <w:rFonts w:eastAsia="Times New Roman" w:cs="Times New Roman"/>
          <w:szCs w:val="19"/>
          <w:lang w:eastAsia="en-AU"/>
        </w:rPr>
        <w:t xml:space="preserve">: </w:t>
      </w:r>
    </w:p>
    <w:p w14:paraId="399DF4AC" w14:textId="29085853" w:rsidR="004E306D" w:rsidRPr="009428F5" w:rsidRDefault="004A5C9B" w:rsidP="004E306D">
      <w:pPr>
        <w:pStyle w:val="Bullet"/>
      </w:pPr>
      <w:r>
        <w:rPr>
          <w:rFonts w:asciiTheme="majorHAnsi" w:hAnsiTheme="majorHAnsi" w:cstheme="majorHAnsi"/>
        </w:rPr>
        <w:t>Severity of s</w:t>
      </w:r>
      <w:r w:rsidR="00233147" w:rsidRPr="009428F5">
        <w:rPr>
          <w:rFonts w:asciiTheme="majorHAnsi" w:hAnsiTheme="majorHAnsi" w:cstheme="majorHAnsi"/>
        </w:rPr>
        <w:t>uicidal</w:t>
      </w:r>
      <w:r>
        <w:rPr>
          <w:rFonts w:asciiTheme="majorHAnsi" w:hAnsiTheme="majorHAnsi" w:cstheme="majorHAnsi"/>
        </w:rPr>
        <w:t xml:space="preserve"> ideation</w:t>
      </w:r>
      <w:r w:rsidR="00743105" w:rsidRPr="00ED45E5">
        <w:t xml:space="preserve">. </w:t>
      </w:r>
      <w:r w:rsidR="00990A60">
        <w:t xml:space="preserve">The </w:t>
      </w:r>
      <w:r w:rsidR="00423B8D" w:rsidRPr="00ED45E5">
        <w:t>Suicidal Ideation Attribution Scale (SIDAS)</w:t>
      </w:r>
      <w:r w:rsidR="00423B8D" w:rsidRPr="00ED45E5">
        <w:rPr>
          <w:rStyle w:val="FootnoteReference"/>
        </w:rPr>
        <w:footnoteReference w:id="92"/>
      </w:r>
      <w:r w:rsidR="00423B8D" w:rsidRPr="00ED45E5">
        <w:t xml:space="preserve"> </w:t>
      </w:r>
      <w:r w:rsidR="00990A60">
        <w:t xml:space="preserve">was used </w:t>
      </w:r>
      <w:r w:rsidR="00423B8D" w:rsidRPr="00ED45E5">
        <w:t xml:space="preserve">to measure participants’ suicidal ideation at entry, </w:t>
      </w:r>
      <w:proofErr w:type="gramStart"/>
      <w:r w:rsidR="00423B8D" w:rsidRPr="00ED45E5">
        <w:t>review</w:t>
      </w:r>
      <w:proofErr w:type="gramEnd"/>
      <w:r w:rsidR="00423B8D" w:rsidRPr="00ED45E5">
        <w:t xml:space="preserve"> and exit. The SIDAS has a maximum score of 50, with those scoring </w:t>
      </w:r>
      <w:r w:rsidR="00423B8D" w:rsidRPr="00ED45E5">
        <w:rPr>
          <w:rFonts w:cs="Segoe UI"/>
        </w:rPr>
        <w:t>≥</w:t>
      </w:r>
      <w:r w:rsidR="00423B8D" w:rsidRPr="00ED45E5">
        <w:t>21 considered at high risk of suicidal behaviour.</w:t>
      </w:r>
    </w:p>
    <w:p w14:paraId="46CBD1D0" w14:textId="7FFD51E4" w:rsidR="00233147" w:rsidRPr="00ED45E5" w:rsidRDefault="00743105" w:rsidP="009428F5">
      <w:pPr>
        <w:pStyle w:val="Bullet"/>
      </w:pPr>
      <w:r w:rsidRPr="009428F5">
        <w:rPr>
          <w:rFonts w:asciiTheme="majorHAnsi" w:hAnsiTheme="majorHAnsi" w:cstheme="majorHAnsi"/>
        </w:rPr>
        <w:t>Psychological distress</w:t>
      </w:r>
      <w:r w:rsidRPr="00ED45E5">
        <w:t xml:space="preserve">. </w:t>
      </w:r>
      <w:r w:rsidR="00233147" w:rsidRPr="00ED45E5">
        <w:t>Kessler Psychological Distress Scale (K10)</w:t>
      </w:r>
      <w:r w:rsidR="00233147" w:rsidRPr="00ED45E5">
        <w:rPr>
          <w:rStyle w:val="FootnoteReference"/>
        </w:rPr>
        <w:footnoteReference w:id="93"/>
      </w:r>
      <w:r w:rsidR="00233147" w:rsidRPr="00ED45E5">
        <w:t xml:space="preserve"> </w:t>
      </w:r>
      <w:r w:rsidR="00990A60">
        <w:t xml:space="preserve">was used </w:t>
      </w:r>
      <w:r w:rsidR="00233147" w:rsidRPr="00ED45E5">
        <w:t xml:space="preserve">to measure participants’ psychological distress based on self-reported levels of nervousness, agitation, psychological </w:t>
      </w:r>
      <w:proofErr w:type="gramStart"/>
      <w:r w:rsidR="00233147" w:rsidRPr="00ED45E5">
        <w:t>fatigue</w:t>
      </w:r>
      <w:proofErr w:type="gramEnd"/>
      <w:r w:rsidR="00233147" w:rsidRPr="00ED45E5">
        <w:t xml:space="preserve"> and depression over the previous month. The K10 has a maximum score of 50, with scores </w:t>
      </w:r>
      <w:r w:rsidR="00233147" w:rsidRPr="00ED45E5">
        <w:rPr>
          <w:rFonts w:cs="Segoe UI"/>
        </w:rPr>
        <w:t>≥ 30 indicating a high likelihood of experiencing a mood disorder (for example, anxiety and</w:t>
      </w:r>
      <w:r w:rsidR="005C4943">
        <w:rPr>
          <w:rFonts w:cs="Segoe UI"/>
        </w:rPr>
        <w:t>/or</w:t>
      </w:r>
      <w:r w:rsidR="00233147" w:rsidRPr="00ED45E5">
        <w:rPr>
          <w:rFonts w:cs="Segoe UI"/>
        </w:rPr>
        <w:t xml:space="preserve"> depression). </w:t>
      </w:r>
    </w:p>
    <w:p w14:paraId="00F00212" w14:textId="0ADCCE54" w:rsidR="0034189C" w:rsidRPr="009428F5" w:rsidRDefault="0034189C" w:rsidP="004E306D">
      <w:pPr>
        <w:pStyle w:val="Bullet"/>
        <w:rPr>
          <w:rFonts w:asciiTheme="majorHAnsi" w:hAnsiTheme="majorHAnsi" w:cstheme="majorHAnsi"/>
        </w:rPr>
      </w:pPr>
      <w:r w:rsidRPr="009428F5">
        <w:rPr>
          <w:rFonts w:asciiTheme="majorHAnsi" w:hAnsiTheme="majorHAnsi" w:cstheme="majorHAnsi"/>
        </w:rPr>
        <w:t>Wellbeing</w:t>
      </w:r>
      <w:r w:rsidR="00F360E1">
        <w:rPr>
          <w:rFonts w:asciiTheme="majorHAnsi" w:hAnsiTheme="majorHAnsi" w:cstheme="majorHAnsi"/>
        </w:rPr>
        <w:t xml:space="preserve">. </w:t>
      </w:r>
      <w:r w:rsidR="00F360E1">
        <w:t>World Health Organisation – Five Wellb</w:t>
      </w:r>
      <w:r w:rsidR="00F360E1" w:rsidRPr="002C5EDB">
        <w:t>eing Index</w:t>
      </w:r>
      <w:r w:rsidR="00F360E1">
        <w:t xml:space="preserve"> (WHO-5)</w:t>
      </w:r>
      <w:r w:rsidR="00E40BF4">
        <w:rPr>
          <w:rStyle w:val="FootnoteReference"/>
        </w:rPr>
        <w:footnoteReference w:id="94"/>
      </w:r>
      <w:r w:rsidR="00F360E1" w:rsidRPr="002C5EDB">
        <w:t xml:space="preserve"> </w:t>
      </w:r>
      <w:r w:rsidR="00990A60">
        <w:t xml:space="preserve"> was used </w:t>
      </w:r>
      <w:r w:rsidR="00F360E1" w:rsidRPr="002C5EDB">
        <w:t xml:space="preserve">to measure </w:t>
      </w:r>
      <w:r w:rsidR="00F360E1">
        <w:t>participants</w:t>
      </w:r>
      <w:r w:rsidR="00F360E1" w:rsidRPr="002C5EDB">
        <w:t>’ current mental wellbeing. The scale has a maximum raw score of 25</w:t>
      </w:r>
      <w:r w:rsidR="00F360E1">
        <w:t xml:space="preserve"> with higher scores representing better wellbeing</w:t>
      </w:r>
      <w:r w:rsidR="00F360E1" w:rsidRPr="002C5EDB">
        <w:t>.</w:t>
      </w:r>
    </w:p>
    <w:p w14:paraId="12A10733" w14:textId="54F0D3C4" w:rsidR="00CE366C" w:rsidRPr="006F163F" w:rsidRDefault="1013F5F7" w:rsidP="00CE366C">
      <w:r>
        <w:t xml:space="preserve">The evaluation analysed the average change in outcomes for participants with a recorded ‘matched pair’ in the PMHC MDS. A ‘matched pair’ is </w:t>
      </w:r>
      <w:r w:rsidR="6F3DDF63">
        <w:t xml:space="preserve">when a participant has </w:t>
      </w:r>
      <w:r>
        <w:t>score</w:t>
      </w:r>
      <w:r w:rsidR="6F3DDF63">
        <w:t>s</w:t>
      </w:r>
      <w:r>
        <w:t xml:space="preserve"> recorded for an outcome measure at both the beginning and at the completion of a service episode. Interviews with participants also provided insights on the extent to which The Way Back improved their circumstances and contributed to their recovery</w:t>
      </w:r>
      <w:r w:rsidR="028D0CC9">
        <w:t>.</w:t>
      </w:r>
    </w:p>
    <w:p w14:paraId="1D517370" w14:textId="25CC73A6" w:rsidR="007A64CD" w:rsidRDefault="00CE366C" w:rsidP="00272CD7">
      <w:r>
        <w:t xml:space="preserve">Cohen’s </w:t>
      </w:r>
      <w:r>
        <w:rPr>
          <w:i/>
          <w:iCs/>
        </w:rPr>
        <w:t xml:space="preserve">d </w:t>
      </w:r>
      <w:r>
        <w:t xml:space="preserve">was used to understand the average </w:t>
      </w:r>
      <w:r w:rsidR="000A133E">
        <w:t>magnitude</w:t>
      </w:r>
      <w:r w:rsidR="00885939">
        <w:t xml:space="preserve"> of changes </w:t>
      </w:r>
      <w:r>
        <w:t>(</w:t>
      </w:r>
      <w:proofErr w:type="gramStart"/>
      <w:r>
        <w:t>i.e.</w:t>
      </w:r>
      <w:proofErr w:type="gramEnd"/>
      <w:r>
        <w:t xml:space="preserve"> effect size) </w:t>
      </w:r>
      <w:r w:rsidR="00885939">
        <w:t>experienced by participants</w:t>
      </w:r>
      <w:r w:rsidR="000A133E">
        <w:t xml:space="preserve"> </w:t>
      </w:r>
      <w:r>
        <w:t>across the outcome measures</w:t>
      </w:r>
      <w:r w:rsidR="00885939">
        <w:t xml:space="preserve">. </w:t>
      </w:r>
      <w:r w:rsidR="00B45285">
        <w:t xml:space="preserve">A </w:t>
      </w:r>
      <w:r w:rsidR="00233500">
        <w:t xml:space="preserve">Cohen’s </w:t>
      </w:r>
      <w:r w:rsidR="00233500" w:rsidRPr="009428F5">
        <w:rPr>
          <w:i/>
        </w:rPr>
        <w:t>d</w:t>
      </w:r>
      <w:r w:rsidR="00233500">
        <w:t xml:space="preserve"> score greater than 0.8 </w:t>
      </w:r>
      <w:r w:rsidR="00873B8B">
        <w:t>is generally considered to indicate</w:t>
      </w:r>
      <w:r w:rsidR="00CE1AD4">
        <w:t xml:space="preserve"> a </w:t>
      </w:r>
      <w:r w:rsidR="00675444">
        <w:t>program had a large contribution to changes in outcomes</w:t>
      </w:r>
      <w:r w:rsidR="00F74FE6">
        <w:t>.</w:t>
      </w:r>
      <w:r w:rsidR="00F74FE6">
        <w:rPr>
          <w:rStyle w:val="FootnoteReference"/>
        </w:rPr>
        <w:footnoteReference w:id="95"/>
      </w:r>
    </w:p>
    <w:p w14:paraId="123A4D3C" w14:textId="7412F09D" w:rsidR="00163BC4" w:rsidRDefault="00643FED" w:rsidP="00623868">
      <w:pPr>
        <w:pStyle w:val="Heading3"/>
      </w:pPr>
      <w:r>
        <w:t>Overall, participants</w:t>
      </w:r>
      <w:r w:rsidR="00B82940">
        <w:t>’</w:t>
      </w:r>
      <w:r>
        <w:t xml:space="preserve"> </w:t>
      </w:r>
      <w:r w:rsidR="00214210">
        <w:t>suicidal ideation, psychological distress, and mental wellbeing significantly improved during their engagement with The Way Back</w:t>
      </w:r>
      <w:r w:rsidR="005D1363">
        <w:t xml:space="preserve">. </w:t>
      </w:r>
    </w:p>
    <w:p w14:paraId="642EB594" w14:textId="23EC95CF" w:rsidR="005D1363" w:rsidRDefault="0062665E" w:rsidP="005D1363">
      <w:r>
        <w:fldChar w:fldCharType="begin"/>
      </w:r>
      <w:r>
        <w:instrText xml:space="preserve"> REF _Ref126217454 \h </w:instrText>
      </w:r>
      <w:r>
        <w:fldChar w:fldCharType="separate"/>
      </w:r>
      <w:r w:rsidR="00402362">
        <w:t xml:space="preserve">Figure </w:t>
      </w:r>
      <w:r w:rsidR="00402362">
        <w:rPr>
          <w:noProof/>
        </w:rPr>
        <w:t>13</w:t>
      </w:r>
      <w:r>
        <w:fldChar w:fldCharType="end"/>
      </w:r>
      <w:r>
        <w:t xml:space="preserve"> </w:t>
      </w:r>
      <w:r w:rsidR="008E4F37">
        <w:t xml:space="preserve">shows that </w:t>
      </w:r>
      <w:r w:rsidR="00F759B5">
        <w:t xml:space="preserve">between the start and the end of their service episode, </w:t>
      </w:r>
      <w:r w:rsidR="008E4F37">
        <w:t xml:space="preserve">participants experienced a significant improvement in their outcomes </w:t>
      </w:r>
      <w:r w:rsidR="00DB218E">
        <w:t xml:space="preserve">scores </w:t>
      </w:r>
      <w:r w:rsidR="00F759B5">
        <w:t xml:space="preserve">for </w:t>
      </w:r>
      <w:r w:rsidR="005D1363">
        <w:t>SIDAS</w:t>
      </w:r>
      <w:r w:rsidR="008E4F37">
        <w:t xml:space="preserve"> (suicidal ideation)</w:t>
      </w:r>
      <w:r w:rsidR="005D1363">
        <w:t xml:space="preserve">, K10 </w:t>
      </w:r>
      <w:r w:rsidR="008E4F37">
        <w:t xml:space="preserve">(psychological distress) </w:t>
      </w:r>
      <w:r w:rsidR="005D1363">
        <w:t>and WHO</w:t>
      </w:r>
      <w:r w:rsidR="00DB218E">
        <w:t>-</w:t>
      </w:r>
      <w:r w:rsidR="005D1363">
        <w:t xml:space="preserve">5 </w:t>
      </w:r>
      <w:r w:rsidR="008E4F37">
        <w:t>(mental wellbeing)</w:t>
      </w:r>
      <w:r w:rsidR="00B82940">
        <w:t>.</w:t>
      </w:r>
    </w:p>
    <w:p w14:paraId="452B5E58" w14:textId="5552CA77" w:rsidR="002E068C" w:rsidRDefault="002E068C" w:rsidP="00936517">
      <w:pPr>
        <w:pStyle w:val="Caption"/>
      </w:pPr>
      <w:bookmarkStart w:id="97" w:name="_Ref126217454"/>
      <w:r>
        <w:lastRenderedPageBreak/>
        <w:t xml:space="preserve">Figure </w:t>
      </w:r>
      <w:r>
        <w:fldChar w:fldCharType="begin"/>
      </w:r>
      <w:r>
        <w:instrText xml:space="preserve"> SEQ Figure \* ARABIC </w:instrText>
      </w:r>
      <w:r>
        <w:fldChar w:fldCharType="separate"/>
      </w:r>
      <w:r w:rsidR="00402362">
        <w:rPr>
          <w:noProof/>
        </w:rPr>
        <w:t>13</w:t>
      </w:r>
      <w:r>
        <w:fldChar w:fldCharType="end"/>
      </w:r>
      <w:bookmarkEnd w:id="97"/>
      <w:r>
        <w:t xml:space="preserve"> | </w:t>
      </w:r>
      <w:r w:rsidR="00A8740A">
        <w:t>Average percentage change in outcomes scores for participants</w:t>
      </w:r>
      <w:r w:rsidR="00A8740A">
        <w:rPr>
          <w:rStyle w:val="FootnoteReference"/>
        </w:rPr>
        <w:footnoteReference w:id="96"/>
      </w:r>
    </w:p>
    <w:p w14:paraId="2C4E115B" w14:textId="550AE7D5" w:rsidR="005F272B" w:rsidRPr="00D01315" w:rsidRDefault="004120BB" w:rsidP="009428F5">
      <w:r>
        <w:rPr>
          <w:noProof/>
          <w:lang w:eastAsia="en-AU"/>
        </w:rPr>
        <w:drawing>
          <wp:inline distT="0" distB="0" distL="0" distR="0" wp14:anchorId="07F0D847" wp14:editId="405B352B">
            <wp:extent cx="5669915" cy="2011680"/>
            <wp:effectExtent l="0" t="0" r="6985" b="7620"/>
            <wp:docPr id="42" name="Picture 42" descr="Figure 13 is an infographic showing the average percentage change in outcomes scores for participants.  These percentages are 63% for reduction in suicidal ideation, 28% Reduction in psychological distress and 86% Improvement in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13 is an infographic showing the average percentage change in outcomes scores for participants.  These percentages are 63% for reduction in suicidal ideation, 28% Reduction in psychological distress and 86% Improvement in wellbe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9915" cy="2011680"/>
                    </a:xfrm>
                    <a:prstGeom prst="rect">
                      <a:avLst/>
                    </a:prstGeom>
                    <a:noFill/>
                  </pic:spPr>
                </pic:pic>
              </a:graphicData>
            </a:graphic>
          </wp:inline>
        </w:drawing>
      </w:r>
    </w:p>
    <w:p w14:paraId="5EFFDBA2" w14:textId="117BE4A4" w:rsidR="0093784E" w:rsidRDefault="0093784E" w:rsidP="007A7B9F">
      <w:pPr>
        <w:pStyle w:val="Heading4"/>
        <w:ind w:left="993"/>
      </w:pPr>
      <w:r>
        <w:rPr>
          <w:noProof/>
        </w:rPr>
        <w:drawing>
          <wp:anchor distT="0" distB="0" distL="114300" distR="114300" simplePos="0" relativeHeight="251659297" behindDoc="1" locked="0" layoutInCell="1" allowOverlap="1" wp14:anchorId="4DBFE6D7" wp14:editId="40C9476C">
            <wp:simplePos x="0" y="0"/>
            <wp:positionH relativeFrom="column">
              <wp:posOffset>-635</wp:posOffset>
            </wp:positionH>
            <wp:positionV relativeFrom="paragraph">
              <wp:posOffset>118110</wp:posOffset>
            </wp:positionV>
            <wp:extent cx="491490" cy="374650"/>
            <wp:effectExtent l="0" t="0" r="3810" b="6350"/>
            <wp:wrapThrough wrapText="bothSides">
              <wp:wrapPolygon edited="0">
                <wp:start x="0" y="0"/>
                <wp:lineTo x="0" y="20868"/>
                <wp:lineTo x="20930" y="20868"/>
                <wp:lineTo x="20930" y="0"/>
                <wp:lineTo x="0" y="0"/>
              </wp:wrapPolygon>
            </wp:wrapThrough>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84E">
        <w:t>On average, participants of The Way Back experienced a significant (63 per cent) reduction in the severity of suicidal ideation at the end of their service period.</w:t>
      </w:r>
    </w:p>
    <w:p w14:paraId="0A11BC8E" w14:textId="205E5C19" w:rsidR="000D36C1" w:rsidRDefault="1A4297D1" w:rsidP="001413B6">
      <w:r w:rsidRPr="0017029D">
        <w:t>Participants</w:t>
      </w:r>
      <w:r w:rsidR="076498DB" w:rsidRPr="0017029D">
        <w:t xml:space="preserve"> of The Way Back experienced a </w:t>
      </w:r>
      <w:r w:rsidR="71A55AB7" w:rsidRPr="0017029D">
        <w:t>63</w:t>
      </w:r>
      <w:r w:rsidR="076498DB" w:rsidRPr="0017029D">
        <w:t xml:space="preserve"> per cent reduction in </w:t>
      </w:r>
      <w:r w:rsidR="003E6950">
        <w:t xml:space="preserve">the severity of </w:t>
      </w:r>
      <w:r w:rsidR="076498DB" w:rsidRPr="0017029D">
        <w:t>suicidal ideation</w:t>
      </w:r>
      <w:r w:rsidR="00273A32">
        <w:t>, as measured by SIDAS</w:t>
      </w:r>
      <w:r w:rsidR="0061722F">
        <w:t>,</w:t>
      </w:r>
      <w:r w:rsidR="076498DB" w:rsidRPr="0017029D">
        <w:t xml:space="preserve"> by the end of their service period, as shown in</w:t>
      </w:r>
      <w:r w:rsidR="00F92D40">
        <w:t xml:space="preserve"> </w:t>
      </w:r>
      <w:r w:rsidR="00554815">
        <w:fldChar w:fldCharType="begin"/>
      </w:r>
      <w:r w:rsidR="00554815">
        <w:instrText xml:space="preserve"> REF _Ref122531572 \h </w:instrText>
      </w:r>
      <w:r w:rsidR="00554815">
        <w:fldChar w:fldCharType="separate"/>
      </w:r>
      <w:r w:rsidR="00402362">
        <w:t xml:space="preserve">Figure </w:t>
      </w:r>
      <w:r w:rsidR="00402362">
        <w:rPr>
          <w:noProof/>
        </w:rPr>
        <w:t>14</w:t>
      </w:r>
      <w:r w:rsidR="00554815">
        <w:fldChar w:fldCharType="end"/>
      </w:r>
      <w:r w:rsidR="076498DB" w:rsidRPr="0017029D">
        <w:t>.</w:t>
      </w:r>
      <w:r w:rsidR="00725F92" w:rsidRPr="0017029D">
        <w:rPr>
          <w:rStyle w:val="FootnoteReference"/>
        </w:rPr>
        <w:footnoteReference w:id="97"/>
      </w:r>
      <w:r w:rsidR="076498DB" w:rsidRPr="0017029D">
        <w:t xml:space="preserve"> </w:t>
      </w:r>
      <w:r w:rsidR="111AF52B" w:rsidRPr="0017029D">
        <w:t>Analysis of the PMHC MDS data showed that p</w:t>
      </w:r>
      <w:r w:rsidRPr="0017029D">
        <w:t>articipants</w:t>
      </w:r>
      <w:r w:rsidR="076498DB" w:rsidRPr="0017029D">
        <w:t xml:space="preserve"> </w:t>
      </w:r>
      <w:r w:rsidR="55776E46" w:rsidRPr="0017029D">
        <w:t>had</w:t>
      </w:r>
      <w:r w:rsidR="7915E9AC" w:rsidRPr="0017029D">
        <w:t xml:space="preserve"> </w:t>
      </w:r>
      <w:r w:rsidR="076498DB" w:rsidRPr="0017029D">
        <w:t xml:space="preserve">a mean score of </w:t>
      </w:r>
      <w:r w:rsidR="61BC873E" w:rsidRPr="0017029D">
        <w:t>2</w:t>
      </w:r>
      <w:r w:rsidR="57061374" w:rsidRPr="0017029D">
        <w:t>9.</w:t>
      </w:r>
      <w:r w:rsidR="63391904" w:rsidRPr="0017029D">
        <w:t>3</w:t>
      </w:r>
      <w:r w:rsidR="57BC372E" w:rsidRPr="0017029D">
        <w:t xml:space="preserve"> out of 50</w:t>
      </w:r>
      <w:r w:rsidR="076498DB" w:rsidRPr="0017029D">
        <w:t xml:space="preserve"> at the start of their service period and </w:t>
      </w:r>
      <w:r w:rsidR="61BC873E" w:rsidRPr="0017029D">
        <w:t>10.</w:t>
      </w:r>
      <w:r w:rsidR="63391904" w:rsidRPr="0017029D">
        <w:t>8</w:t>
      </w:r>
      <w:r w:rsidR="076498DB" w:rsidRPr="0017029D">
        <w:t xml:space="preserve"> </w:t>
      </w:r>
      <w:r w:rsidR="0317C42A" w:rsidRPr="0017029D">
        <w:t xml:space="preserve">out of 50 </w:t>
      </w:r>
      <w:r w:rsidR="076498DB" w:rsidRPr="0017029D">
        <w:t>at the end o</w:t>
      </w:r>
      <w:r w:rsidR="076498DB" w:rsidRPr="00542EBC">
        <w:t>f the service period</w:t>
      </w:r>
      <w:r w:rsidR="7784D23F">
        <w:t xml:space="preserve">, reflecting an </w:t>
      </w:r>
      <w:r w:rsidR="076498DB" w:rsidRPr="00542EBC">
        <w:t xml:space="preserve">average decrease of </w:t>
      </w:r>
      <w:r w:rsidR="34E7C593" w:rsidRPr="00542EBC">
        <w:t>1</w:t>
      </w:r>
      <w:r w:rsidR="3831731C">
        <w:t>8.</w:t>
      </w:r>
      <w:r w:rsidR="37F9E448">
        <w:t>5</w:t>
      </w:r>
      <w:r w:rsidR="076498DB" w:rsidRPr="00542EBC">
        <w:t xml:space="preserve"> points</w:t>
      </w:r>
      <w:r w:rsidR="076498DB">
        <w:t xml:space="preserve"> across the </w:t>
      </w:r>
      <w:r w:rsidR="556C8370" w:rsidRPr="007F3283">
        <w:t xml:space="preserve">1,689 </w:t>
      </w:r>
      <w:r w:rsidR="076498DB" w:rsidRPr="007F3283">
        <w:t>episodes</w:t>
      </w:r>
      <w:r w:rsidR="076498DB">
        <w:t xml:space="preserve"> where there was a matched pair o</w:t>
      </w:r>
      <w:r w:rsidR="6FCA260E">
        <w:t>f scores</w:t>
      </w:r>
      <w:r w:rsidR="076498DB">
        <w:t xml:space="preserve"> on </w:t>
      </w:r>
      <w:r w:rsidR="6FCA260E">
        <w:t>the SIDAS</w:t>
      </w:r>
      <w:r w:rsidR="076498DB">
        <w:t xml:space="preserve">. This represents </w:t>
      </w:r>
      <w:r w:rsidR="38031344">
        <w:t>a substantial</w:t>
      </w:r>
      <w:r w:rsidR="076498DB">
        <w:t xml:space="preserve"> reduction in </w:t>
      </w:r>
      <w:r>
        <w:t>participants</w:t>
      </w:r>
      <w:r w:rsidR="076498DB">
        <w:t xml:space="preserve">’ </w:t>
      </w:r>
      <w:r w:rsidR="1B5076B9">
        <w:t>suicidal ideation</w:t>
      </w:r>
      <w:r w:rsidR="076498DB">
        <w:t xml:space="preserve"> during their service </w:t>
      </w:r>
      <w:r w:rsidR="076498DB" w:rsidRPr="00560494">
        <w:t>period, with</w:t>
      </w:r>
      <w:r w:rsidR="076498DB">
        <w:t xml:space="preserve"> a large effect </w:t>
      </w:r>
      <w:r w:rsidR="076498DB" w:rsidRPr="006067A9">
        <w:t xml:space="preserve">size (Cohen’s </w:t>
      </w:r>
      <w:r w:rsidR="076498DB" w:rsidRPr="74B83E5E">
        <w:rPr>
          <w:i/>
          <w:iCs/>
        </w:rPr>
        <w:t>d</w:t>
      </w:r>
      <w:r w:rsidR="076498DB" w:rsidRPr="006067A9">
        <w:t xml:space="preserve"> = -1.</w:t>
      </w:r>
      <w:r w:rsidR="52F835D8">
        <w:t>27</w:t>
      </w:r>
      <w:r w:rsidR="37F9E448">
        <w:t>5</w:t>
      </w:r>
      <w:r w:rsidR="076498DB">
        <w:t>).</w:t>
      </w:r>
      <w:r w:rsidR="000D36C1">
        <w:rPr>
          <w:rStyle w:val="FootnoteReference"/>
        </w:rPr>
        <w:footnoteReference w:id="98"/>
      </w:r>
      <w:r w:rsidR="076498DB">
        <w:t xml:space="preserve"> </w:t>
      </w:r>
    </w:p>
    <w:p w14:paraId="3B027A65" w14:textId="686AF255" w:rsidR="00E842C0" w:rsidRDefault="3935982C" w:rsidP="001413B6">
      <w:r>
        <w:t>Twenty-two</w:t>
      </w:r>
      <w:r w:rsidR="25333837">
        <w:t xml:space="preserve"> per cent of participants received a score of more than or equal to 21 </w:t>
      </w:r>
      <w:r w:rsidR="00146BF3">
        <w:t>(</w:t>
      </w:r>
      <w:proofErr w:type="gramStart"/>
      <w:r w:rsidR="00146BF3">
        <w:t>i.e.</w:t>
      </w:r>
      <w:proofErr w:type="gramEnd"/>
      <w:r w:rsidR="00146BF3">
        <w:t xml:space="preserve"> at high risk of suicidal </w:t>
      </w:r>
      <w:r w:rsidR="00ED190A">
        <w:t>behaviour</w:t>
      </w:r>
      <w:r w:rsidR="007E5E04">
        <w:t>)</w:t>
      </w:r>
      <w:r w:rsidR="25333837">
        <w:t xml:space="preserve"> at the end of their service episode.</w:t>
      </w:r>
      <w:r w:rsidR="6F154755">
        <w:t xml:space="preserve"> </w:t>
      </w:r>
      <w:r w:rsidR="604BD13F">
        <w:t>Two</w:t>
      </w:r>
      <w:r w:rsidR="6F154755">
        <w:t xml:space="preserve"> </w:t>
      </w:r>
      <w:r w:rsidR="5291E8B3" w:rsidRPr="007F3283">
        <w:t>per cent</w:t>
      </w:r>
      <w:r w:rsidR="5291E8B3">
        <w:t xml:space="preserve"> (n = </w:t>
      </w:r>
      <w:r w:rsidR="04256C68">
        <w:t>1</w:t>
      </w:r>
      <w:r w:rsidR="63E338E5">
        <w:t>84</w:t>
      </w:r>
      <w:r w:rsidR="5291E8B3">
        <w:t>) of active participants with</w:t>
      </w:r>
      <w:r w:rsidR="64EFB7CA">
        <w:t xml:space="preserve"> a</w:t>
      </w:r>
      <w:r w:rsidR="5291E8B3">
        <w:t xml:space="preserve"> recorded service episode attempted suicide during their service period and </w:t>
      </w:r>
      <w:r w:rsidR="26306CC6">
        <w:t>9</w:t>
      </w:r>
      <w:r w:rsidR="5291E8B3">
        <w:t xml:space="preserve"> participants died by suicide </w:t>
      </w:r>
      <w:r w:rsidR="0036178D">
        <w:t>during their service period</w:t>
      </w:r>
      <w:r w:rsidR="5291E8B3">
        <w:t>.</w:t>
      </w:r>
      <w:r w:rsidR="0017029D">
        <w:t xml:space="preserve"> In contrast, </w:t>
      </w:r>
      <w:r w:rsidR="00A66DD4">
        <w:t>t</w:t>
      </w:r>
      <w:r w:rsidR="0017029D" w:rsidRPr="007A1AE1">
        <w:t>he literature indicates that this can be compared to a non-fatal reattempt rate of 12</w:t>
      </w:r>
      <w:r w:rsidR="00A66DD4">
        <w:t xml:space="preserve"> to </w:t>
      </w:r>
      <w:r w:rsidR="0017029D" w:rsidRPr="007A1AE1">
        <w:t>15 per cent in the first year after a suicide attempt with 75 per cent of these occurring in the first six months</w:t>
      </w:r>
      <w:r w:rsidR="00A66DD4">
        <w:t>.</w:t>
      </w:r>
      <w:r w:rsidR="00E842C0">
        <w:rPr>
          <w:rStyle w:val="FootnoteReference"/>
        </w:rPr>
        <w:footnoteReference w:id="99"/>
      </w:r>
    </w:p>
    <w:p w14:paraId="59105C35" w14:textId="42C0B1D2" w:rsidR="00A82EEF" w:rsidRDefault="15073461" w:rsidP="00A82EEF">
      <w:r>
        <w:t>The complex presentations and inconsistencies in definitions and reporting practices across different sites makes it challenging to robustly measure the prevalence of suicidality</w:t>
      </w:r>
      <w:r w:rsidR="00441703">
        <w:t xml:space="preserve"> amongst participants</w:t>
      </w:r>
      <w:r w:rsidR="00D424F9">
        <w:t>, beyond the</w:t>
      </w:r>
      <w:r w:rsidR="00155627">
        <w:t xml:space="preserve"> recorded</w:t>
      </w:r>
      <w:r w:rsidR="00D424F9">
        <w:t xml:space="preserve"> SIDAS assessments</w:t>
      </w:r>
      <w:r>
        <w:t>. Much of the existing evidence base measures</w:t>
      </w:r>
      <w:r w:rsidR="00E52824">
        <w:t xml:space="preserve"> </w:t>
      </w:r>
      <w:r>
        <w:t>deaths by suicide and hospitalisations due to suicide attempt</w:t>
      </w:r>
      <w:r w:rsidR="008D439C">
        <w:t>,</w:t>
      </w:r>
      <w:r>
        <w:t xml:space="preserve"> </w:t>
      </w:r>
      <w:r w:rsidR="008D439C">
        <w:t xml:space="preserve">with </w:t>
      </w:r>
      <w:r>
        <w:t xml:space="preserve">suicidal ideation outside of crisis incidents </w:t>
      </w:r>
      <w:r w:rsidR="00BD4CC6">
        <w:t xml:space="preserve">being </w:t>
      </w:r>
      <w:r>
        <w:t xml:space="preserve">challenging to measure. </w:t>
      </w:r>
    </w:p>
    <w:p w14:paraId="03319B86" w14:textId="3F9E8C9B" w:rsidR="00CE31D4" w:rsidRPr="00D9558B" w:rsidRDefault="00CE31D4" w:rsidP="00CE31D4">
      <w:pPr>
        <w:pStyle w:val="Caption"/>
      </w:pPr>
      <w:bookmarkStart w:id="98" w:name="_Ref122527755"/>
      <w:bookmarkStart w:id="99" w:name="_Ref122531572"/>
      <w:r>
        <w:lastRenderedPageBreak/>
        <w:t>Figure</w:t>
      </w:r>
      <w:bookmarkEnd w:id="98"/>
      <w:r w:rsidR="00554815">
        <w:t xml:space="preserve"> </w:t>
      </w:r>
      <w:r w:rsidR="00085D02">
        <w:fldChar w:fldCharType="begin"/>
      </w:r>
      <w:r w:rsidR="00085D02">
        <w:instrText xml:space="preserve"> SEQ Figure \* ARABIC </w:instrText>
      </w:r>
      <w:r w:rsidR="00085D02">
        <w:fldChar w:fldCharType="separate"/>
      </w:r>
      <w:r w:rsidR="00402362">
        <w:rPr>
          <w:noProof/>
        </w:rPr>
        <w:t>14</w:t>
      </w:r>
      <w:r w:rsidR="00085D02">
        <w:fldChar w:fldCharType="end"/>
      </w:r>
      <w:bookmarkEnd w:id="99"/>
      <w:r>
        <w:t xml:space="preserve"> | </w:t>
      </w:r>
      <w:r w:rsidRPr="0009227E">
        <w:t xml:space="preserve">SIDAS scores at </w:t>
      </w:r>
      <w:r w:rsidR="002F6D7A">
        <w:t>participants</w:t>
      </w:r>
      <w:r w:rsidR="004A5A75">
        <w:t>’</w:t>
      </w:r>
      <w:r w:rsidRPr="0009227E">
        <w:t xml:space="preserve"> first and last service contact</w:t>
      </w:r>
      <w:r w:rsidR="0062683F">
        <w:t>,</w:t>
      </w:r>
      <w:r w:rsidR="00B742E7">
        <w:t xml:space="preserve"> (</w:t>
      </w:r>
      <w:proofErr w:type="gramStart"/>
      <w:r w:rsidR="00B742E7">
        <w:t>i.e.</w:t>
      </w:r>
      <w:proofErr w:type="gramEnd"/>
      <w:r w:rsidR="00B742E7">
        <w:t xml:space="preserve"> matched pair scores)</w:t>
      </w:r>
      <w:r w:rsidR="0062683F">
        <w:t xml:space="preserve"> </w:t>
      </w:r>
      <w:r w:rsidR="00995E46" w:rsidRPr="00995E46">
        <w:t>July</w:t>
      </w:r>
      <w:r w:rsidR="006462D6" w:rsidRPr="00995E46">
        <w:t xml:space="preserve"> 201</w:t>
      </w:r>
      <w:r w:rsidR="00995E46" w:rsidRPr="00995E46">
        <w:t>8</w:t>
      </w:r>
      <w:r w:rsidR="00365719" w:rsidRPr="00995E46">
        <w:t xml:space="preserve"> to </w:t>
      </w:r>
      <w:r w:rsidR="006462D6" w:rsidRPr="00995E46">
        <w:t xml:space="preserve">September </w:t>
      </w:r>
      <w:r w:rsidR="00365719" w:rsidRPr="00995E46">
        <w:t>2022</w:t>
      </w:r>
      <w:r w:rsidR="006B297A">
        <w:rPr>
          <w:rStyle w:val="FootnoteReference"/>
        </w:rPr>
        <w:footnoteReference w:id="100"/>
      </w:r>
    </w:p>
    <w:p w14:paraId="647311C4" w14:textId="57B3A74E" w:rsidR="003C262B" w:rsidRDefault="1E663D4B" w:rsidP="007770BA">
      <w:r>
        <w:rPr>
          <w:noProof/>
        </w:rPr>
        <w:drawing>
          <wp:inline distT="0" distB="0" distL="0" distR="0" wp14:anchorId="654CB48D" wp14:editId="77EE79CC">
            <wp:extent cx="5670551" cy="2683510"/>
            <wp:effectExtent l="0" t="0" r="6350" b="2540"/>
            <wp:docPr id="26" name="Graphic 26" descr="Graph showing the SIDAS scores at participants' first and last service contact (i.e matched pair scores) July 2018 to September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Graph showing the SIDAS scores at participants' first and last service contact (i.e matched pair scores) July 2018 to September 2022. "/>
                    <pic:cNvPicPr/>
                  </pic:nvPicPr>
                  <pic:blipFill>
                    <a:blip r:embed="rId67">
                      <a:extLst>
                        <a:ext uri="{96DAC541-7B7A-43D3-8B79-37D633B846F1}">
                          <asvg:svgBlip xmlns:asvg="http://schemas.microsoft.com/office/drawing/2016/SVG/main" r:embed="rId68"/>
                        </a:ext>
                      </a:extLst>
                    </a:blip>
                    <a:stretch>
                      <a:fillRect/>
                    </a:stretch>
                  </pic:blipFill>
                  <pic:spPr>
                    <a:xfrm>
                      <a:off x="0" y="0"/>
                      <a:ext cx="5670551" cy="2683510"/>
                    </a:xfrm>
                    <a:prstGeom prst="rect">
                      <a:avLst/>
                    </a:prstGeom>
                  </pic:spPr>
                </pic:pic>
              </a:graphicData>
            </a:graphic>
          </wp:inline>
        </w:drawing>
      </w:r>
    </w:p>
    <w:p w14:paraId="099BF9B2" w14:textId="75EF4EE6" w:rsidR="00671D7C" w:rsidRDefault="0093784E" w:rsidP="00C16408">
      <w:pPr>
        <w:pStyle w:val="Heading4"/>
      </w:pPr>
      <w:r>
        <w:rPr>
          <w:noProof/>
        </w:rPr>
        <w:drawing>
          <wp:anchor distT="0" distB="0" distL="114300" distR="114300" simplePos="0" relativeHeight="251661345" behindDoc="1" locked="0" layoutInCell="1" allowOverlap="1" wp14:anchorId="0959D337" wp14:editId="6CC252CC">
            <wp:simplePos x="0" y="0"/>
            <wp:positionH relativeFrom="margin">
              <wp:align>left</wp:align>
            </wp:positionH>
            <wp:positionV relativeFrom="paragraph">
              <wp:posOffset>121787</wp:posOffset>
            </wp:positionV>
            <wp:extent cx="491490" cy="374650"/>
            <wp:effectExtent l="0" t="0" r="3810" b="6350"/>
            <wp:wrapThrough wrapText="bothSides">
              <wp:wrapPolygon edited="0">
                <wp:start x="0" y="0"/>
                <wp:lineTo x="0" y="20868"/>
                <wp:lineTo x="20930" y="20868"/>
                <wp:lineTo x="20930" y="0"/>
                <wp:lineTo x="0" y="0"/>
              </wp:wrapPolygon>
            </wp:wrapThrough>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84E">
        <w:t>On average, participants experienced a significant reduction (28 per cent) in psychological distress at the end of their service period.</w:t>
      </w:r>
    </w:p>
    <w:p w14:paraId="092D5529" w14:textId="5E3AEFE9" w:rsidR="00B337B9" w:rsidRDefault="0093784E" w:rsidP="00FD60D4">
      <w:r>
        <w:rPr>
          <w:noProof/>
        </w:rPr>
        <mc:AlternateContent>
          <mc:Choice Requires="wps">
            <w:drawing>
              <wp:anchor distT="0" distB="0" distL="114300" distR="114300" simplePos="0" relativeHeight="251658272" behindDoc="0" locked="0" layoutInCell="1" allowOverlap="1" wp14:anchorId="564FB311" wp14:editId="2062BE41">
                <wp:simplePos x="0" y="0"/>
                <wp:positionH relativeFrom="margin">
                  <wp:posOffset>3609975</wp:posOffset>
                </wp:positionH>
                <wp:positionV relativeFrom="paragraph">
                  <wp:posOffset>3810</wp:posOffset>
                </wp:positionV>
                <wp:extent cx="2160270" cy="1843405"/>
                <wp:effectExtent l="0" t="0" r="0" b="4445"/>
                <wp:wrapSquare wrapText="bothSides"/>
                <wp:docPr id="453" name="Text Box 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0270" cy="1843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5CC91" w14:textId="14062844" w:rsidR="00ED190A" w:rsidRPr="007A7B9F" w:rsidRDefault="00ED190A" w:rsidP="00B125C9">
                            <w:pPr>
                              <w:pStyle w:val="Callout"/>
                              <w:rPr>
                                <w:color w:val="auto"/>
                              </w:rPr>
                            </w:pPr>
                            <w:r w:rsidRPr="002177DA">
                              <w:t>“</w:t>
                            </w:r>
                            <w:r w:rsidRPr="00023BCC">
                              <w:t>I was blaming myself for everything that was going wrong in my world, in my life. She led me to understand that I’m worth something</w:t>
                            </w:r>
                            <w:r w:rsidRPr="002177DA">
                              <w:t xml:space="preserve">.” – The Way Back </w:t>
                            </w:r>
                            <w:r>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FB311" id="Text Box 453" o:spid="_x0000_s1028" type="#_x0000_t202" alt="&quot;&quot;" style="position:absolute;margin-left:284.25pt;margin-top:.3pt;width:170.1pt;height:145.1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" fillcolor="white [3201]" stroked="f" strokeweight=".5pt">
                <v:textbox inset="0,,1mm">
                  <w:txbxContent>
                    <w:p w14:paraId="33D5CC91" w14:textId="14062844" w:rsidR="00ED190A" w:rsidRPr="007A7B9F" w:rsidRDefault="00ED190A" w:rsidP="00B125C9">
                      <w:pPr>
                        <w:pStyle w:val="Callout"/>
                        <w:rPr>
                          <w:color w:val="auto"/>
                        </w:rPr>
                      </w:pPr>
                      <w:r w:rsidRPr="002177DA">
                        <w:t>“</w:t>
                      </w:r>
                      <w:r w:rsidRPr="00023BCC">
                        <w:t>I was blaming myself for everything that was going wrong in my world, in my life. She led me to understand that I’m worth something</w:t>
                      </w:r>
                      <w:r w:rsidRPr="002177DA">
                        <w:t xml:space="preserve">.” – The Way Back </w:t>
                      </w:r>
                      <w:r>
                        <w:t>participant</w:t>
                      </w:r>
                    </w:p>
                  </w:txbxContent>
                </v:textbox>
                <w10:wrap type="square" anchorx="margin"/>
              </v:shape>
            </w:pict>
          </mc:Fallback>
        </mc:AlternateContent>
      </w:r>
      <w:r w:rsidR="002F6D7A">
        <w:t>Participants</w:t>
      </w:r>
      <w:r w:rsidR="00AB3F74" w:rsidRPr="00892C95">
        <w:t xml:space="preserve"> of The Way Back</w:t>
      </w:r>
      <w:r w:rsidR="009F15B4" w:rsidRPr="00892C95">
        <w:t xml:space="preserve"> experienced </w:t>
      </w:r>
      <w:r w:rsidR="00F42F0E" w:rsidRPr="00892C95">
        <w:t xml:space="preserve">a </w:t>
      </w:r>
      <w:r w:rsidR="009D24B0">
        <w:t>28</w:t>
      </w:r>
      <w:r w:rsidR="00F42F0E" w:rsidRPr="00892C95">
        <w:t xml:space="preserve"> per cent</w:t>
      </w:r>
      <w:r w:rsidR="009F15B4" w:rsidRPr="00892C95">
        <w:t xml:space="preserve"> reduction in psychological distress by the end of their </w:t>
      </w:r>
      <w:r w:rsidR="00E643A3" w:rsidRPr="00892C95">
        <w:t>service</w:t>
      </w:r>
      <w:r w:rsidR="009F15B4" w:rsidRPr="00892C95">
        <w:t xml:space="preserve"> period</w:t>
      </w:r>
      <w:r w:rsidR="00E17623" w:rsidRPr="00892C95">
        <w:t>, as show</w:t>
      </w:r>
      <w:r w:rsidR="00546D6F" w:rsidRPr="00892C95">
        <w:t>n</w:t>
      </w:r>
      <w:r w:rsidR="00E17623" w:rsidRPr="00892C95">
        <w:t xml:space="preserve"> in</w:t>
      </w:r>
      <w:r w:rsidR="00554815">
        <w:t xml:space="preserve"> </w:t>
      </w:r>
      <w:r w:rsidR="00554815">
        <w:fldChar w:fldCharType="begin"/>
      </w:r>
      <w:r w:rsidR="00554815">
        <w:instrText xml:space="preserve"> REF _Ref104381871 \h </w:instrText>
      </w:r>
      <w:r w:rsidR="00554815">
        <w:fldChar w:fldCharType="separate"/>
      </w:r>
      <w:r w:rsidR="00402362">
        <w:t xml:space="preserve">Figure </w:t>
      </w:r>
      <w:r w:rsidR="00402362">
        <w:rPr>
          <w:noProof/>
        </w:rPr>
        <w:t>15</w:t>
      </w:r>
      <w:r w:rsidR="00554815">
        <w:fldChar w:fldCharType="end"/>
      </w:r>
      <w:r w:rsidR="00554815">
        <w:t>, p</w:t>
      </w:r>
      <w:r w:rsidR="002F6D7A">
        <w:t>articipants</w:t>
      </w:r>
      <w:r w:rsidR="004977A9" w:rsidRPr="00892C95">
        <w:t xml:space="preserve"> reported a mean score of </w:t>
      </w:r>
      <w:r w:rsidR="00D57CAE" w:rsidRPr="00892C95">
        <w:t>35.</w:t>
      </w:r>
      <w:r w:rsidR="00583EF4">
        <w:t>9</w:t>
      </w:r>
      <w:r w:rsidR="00781985">
        <w:t xml:space="preserve"> out of 50</w:t>
      </w:r>
      <w:r w:rsidR="004977A9" w:rsidRPr="00892C95">
        <w:t xml:space="preserve"> at the start of their service period and </w:t>
      </w:r>
      <w:r w:rsidR="00D57CAE" w:rsidRPr="00892C95">
        <w:t>2</w:t>
      </w:r>
      <w:r w:rsidR="00C1458D">
        <w:t>6.0</w:t>
      </w:r>
      <w:r w:rsidR="00781985">
        <w:t xml:space="preserve"> out of 50</w:t>
      </w:r>
      <w:r w:rsidR="004977A9" w:rsidRPr="00892C95">
        <w:t xml:space="preserve"> at the end of the service period. </w:t>
      </w:r>
      <w:r w:rsidR="00914FA2" w:rsidRPr="00892C95">
        <w:t xml:space="preserve">Analysis of the PMHC MDS indicated </w:t>
      </w:r>
      <w:r w:rsidR="002F6D7A">
        <w:t>participants</w:t>
      </w:r>
      <w:r w:rsidR="00914FA2" w:rsidRPr="00892C95">
        <w:t xml:space="preserve"> reported an average</w:t>
      </w:r>
      <w:r w:rsidR="006A1A89" w:rsidRPr="00892C95">
        <w:t xml:space="preserve"> decrease</w:t>
      </w:r>
      <w:r w:rsidR="00446FD2" w:rsidRPr="00892C95">
        <w:t xml:space="preserve"> of </w:t>
      </w:r>
      <w:r w:rsidR="006160BE">
        <w:t>9.9</w:t>
      </w:r>
      <w:r w:rsidR="00764C01" w:rsidRPr="00892C95">
        <w:t xml:space="preserve"> points </w:t>
      </w:r>
      <w:r w:rsidR="00764C01" w:rsidRPr="000B03DE">
        <w:t xml:space="preserve">across the </w:t>
      </w:r>
      <w:r w:rsidR="009B5BAF" w:rsidRPr="000B03DE">
        <w:t>1,</w:t>
      </w:r>
      <w:r w:rsidR="004A3E98" w:rsidRPr="000B03DE">
        <w:t xml:space="preserve">948 </w:t>
      </w:r>
      <w:r w:rsidR="003E0986" w:rsidRPr="000B03DE">
        <w:t>episodes</w:t>
      </w:r>
      <w:r w:rsidR="00764C01" w:rsidRPr="000B03DE">
        <w:t xml:space="preserve"> where there</w:t>
      </w:r>
      <w:r w:rsidR="00764C01" w:rsidRPr="00892C95">
        <w:t xml:space="preserve"> was a matched pair o</w:t>
      </w:r>
      <w:r w:rsidR="00863B96" w:rsidRPr="00892C95">
        <w:t>f</w:t>
      </w:r>
      <w:r w:rsidR="00764C01" w:rsidRPr="00892C95">
        <w:t xml:space="preserve"> score</w:t>
      </w:r>
      <w:r w:rsidR="00863B96" w:rsidRPr="00892C95">
        <w:t>s</w:t>
      </w:r>
      <w:r w:rsidR="00764C01" w:rsidRPr="00892C95">
        <w:t xml:space="preserve"> on the K10. </w:t>
      </w:r>
      <w:r w:rsidR="003E0986" w:rsidRPr="00892C95">
        <w:t>This represents</w:t>
      </w:r>
      <w:r w:rsidR="00DB19B8" w:rsidRPr="00892C95">
        <w:t xml:space="preserve"> a </w:t>
      </w:r>
      <w:r w:rsidR="009B5BAF" w:rsidRPr="00892C95">
        <w:t>substantial</w:t>
      </w:r>
      <w:r w:rsidR="00DB19B8" w:rsidRPr="00892C95">
        <w:t xml:space="preserve"> reduction in </w:t>
      </w:r>
      <w:r w:rsidR="002F6D7A">
        <w:t>participants</w:t>
      </w:r>
      <w:r w:rsidR="00DB19B8" w:rsidRPr="00892C95">
        <w:t>’ psychological distress during their service period</w:t>
      </w:r>
      <w:r w:rsidR="009B5BAF" w:rsidRPr="00892C95">
        <w:t xml:space="preserve"> </w:t>
      </w:r>
      <w:r w:rsidR="004977A9" w:rsidRPr="00892C95">
        <w:t>with a large effect size (</w:t>
      </w:r>
      <w:r w:rsidR="009B5538" w:rsidRPr="00892C95">
        <w:t xml:space="preserve">Cohen’s </w:t>
      </w:r>
      <w:r w:rsidR="009B5538" w:rsidRPr="00892C95">
        <w:rPr>
          <w:i/>
          <w:iCs/>
        </w:rPr>
        <w:t>d</w:t>
      </w:r>
      <w:r w:rsidR="009B5538" w:rsidRPr="00892C95">
        <w:t xml:space="preserve"> = -1.1</w:t>
      </w:r>
      <w:r w:rsidR="00350324">
        <w:t>1</w:t>
      </w:r>
      <w:r w:rsidR="009B5538" w:rsidRPr="00892C95">
        <w:t>).</w:t>
      </w:r>
      <w:r w:rsidR="009B5538" w:rsidRPr="00892C95">
        <w:rPr>
          <w:rStyle w:val="FootnoteReference"/>
        </w:rPr>
        <w:footnoteReference w:id="101"/>
      </w:r>
      <w:r w:rsidR="009B5538">
        <w:t xml:space="preserve"> </w:t>
      </w:r>
    </w:p>
    <w:p w14:paraId="2E3122AA" w14:textId="201D5CE1" w:rsidR="00404AA4" w:rsidRPr="007E666D" w:rsidRDefault="00C87F3B" w:rsidP="00FD60D4">
      <w:pPr>
        <w:rPr>
          <w:strike/>
        </w:rPr>
      </w:pPr>
      <w:r>
        <w:t xml:space="preserve">Aboriginal and Torres Strait Islander participants </w:t>
      </w:r>
      <w:r w:rsidR="00FA311C">
        <w:t xml:space="preserve">were offered K5 assessment as an alternative to the K10 score. The sample size of K5 </w:t>
      </w:r>
      <w:r>
        <w:t>matched pairs was</w:t>
      </w:r>
      <w:r w:rsidR="00FA311C">
        <w:t xml:space="preserve"> smaller (n=4</w:t>
      </w:r>
      <w:r w:rsidR="002A3D52">
        <w:t>8</w:t>
      </w:r>
      <w:r w:rsidR="00FA311C">
        <w:t>), but a statistically significant decrease</w:t>
      </w:r>
      <w:r w:rsidR="00184082">
        <w:t xml:space="preserve"> was observed</w:t>
      </w:r>
      <w:r w:rsidR="00FA311C">
        <w:t xml:space="preserve"> in </w:t>
      </w:r>
      <w:r w:rsidR="00C13EDF">
        <w:t xml:space="preserve">mean score of </w:t>
      </w:r>
      <w:r w:rsidR="00910F50">
        <w:t>5.4</w:t>
      </w:r>
      <w:r w:rsidR="00C9217E">
        <w:t>,</w:t>
      </w:r>
      <w:r w:rsidR="00C13EDF">
        <w:t xml:space="preserve"> </w:t>
      </w:r>
      <w:r w:rsidR="00232FAF">
        <w:t xml:space="preserve">from </w:t>
      </w:r>
      <w:r w:rsidR="006C6130">
        <w:t>18.2</w:t>
      </w:r>
      <w:r w:rsidR="00232FAF">
        <w:t xml:space="preserve"> </w:t>
      </w:r>
      <w:r w:rsidR="00C13EDF">
        <w:t xml:space="preserve">out of </w:t>
      </w:r>
      <w:r w:rsidR="007A515A">
        <w:t>25</w:t>
      </w:r>
      <w:r w:rsidR="00346A50">
        <w:t xml:space="preserve"> at the start of participant’s ep</w:t>
      </w:r>
      <w:r w:rsidR="00232FAF">
        <w:t xml:space="preserve">isodes to </w:t>
      </w:r>
      <w:r w:rsidR="00AE4748">
        <w:t>12.8</w:t>
      </w:r>
      <w:r w:rsidR="00232FAF">
        <w:t xml:space="preserve"> out of </w:t>
      </w:r>
      <w:r w:rsidR="007A515A">
        <w:t>25</w:t>
      </w:r>
      <w:r w:rsidR="00232FAF">
        <w:t xml:space="preserve"> at the end of their </w:t>
      </w:r>
      <w:r w:rsidR="00AE4748">
        <w:t>episodes</w:t>
      </w:r>
      <w:r w:rsidR="00554815">
        <w:t xml:space="preserve"> as shown in </w:t>
      </w:r>
      <w:r w:rsidR="00554815">
        <w:fldChar w:fldCharType="begin"/>
      </w:r>
      <w:r w:rsidR="00554815">
        <w:instrText xml:space="preserve"> REF _Ref122536788 \h </w:instrText>
      </w:r>
      <w:r w:rsidR="00554815">
        <w:fldChar w:fldCharType="separate"/>
      </w:r>
      <w:r w:rsidR="00402362">
        <w:t xml:space="preserve">Figure </w:t>
      </w:r>
      <w:r w:rsidR="00402362">
        <w:rPr>
          <w:noProof/>
        </w:rPr>
        <w:t>16</w:t>
      </w:r>
      <w:r w:rsidR="00554815">
        <w:fldChar w:fldCharType="end"/>
      </w:r>
      <w:r w:rsidR="007E0A77">
        <w:t xml:space="preserve">. The effect size observed was large (Cohen’s </w:t>
      </w:r>
      <w:r w:rsidR="007E0A77" w:rsidRPr="0045009E">
        <w:rPr>
          <w:i/>
        </w:rPr>
        <w:t>d</w:t>
      </w:r>
      <w:r w:rsidR="007E0A77">
        <w:t xml:space="preserve"> = </w:t>
      </w:r>
      <w:r w:rsidR="003065C6">
        <w:t>-0.958</w:t>
      </w:r>
      <w:r w:rsidR="007E0A77">
        <w:t xml:space="preserve">) </w:t>
      </w:r>
      <w:r w:rsidR="000F7261">
        <w:t xml:space="preserve">but smaller than that observed </w:t>
      </w:r>
      <w:r w:rsidR="00E249EE">
        <w:t xml:space="preserve">for all </w:t>
      </w:r>
      <w:r w:rsidR="00FC5D55">
        <w:t xml:space="preserve">participants with a matched pair of K10 scores (Cohen’s </w:t>
      </w:r>
      <w:r w:rsidR="00FC5D55" w:rsidRPr="0045009E">
        <w:rPr>
          <w:i/>
        </w:rPr>
        <w:t>d</w:t>
      </w:r>
      <w:r w:rsidR="00FC5D55">
        <w:t xml:space="preserve"> = </w:t>
      </w:r>
      <w:r w:rsidR="003065C6">
        <w:t>-1.11)</w:t>
      </w:r>
      <w:r w:rsidR="00910F50">
        <w:t>.</w:t>
      </w:r>
      <w:r w:rsidR="00AE0C14">
        <w:t xml:space="preserve"> </w:t>
      </w:r>
    </w:p>
    <w:p w14:paraId="77C0AACF" w14:textId="406C3A64" w:rsidR="00671D7C" w:rsidRDefault="33808200" w:rsidP="00671D7C">
      <w:pPr>
        <w:pStyle w:val="Caption"/>
      </w:pPr>
      <w:bookmarkStart w:id="100" w:name="_Ref104381871"/>
      <w:r>
        <w:lastRenderedPageBreak/>
        <w:t xml:space="preserve">Figure </w:t>
      </w:r>
      <w:r w:rsidR="00085D02">
        <w:fldChar w:fldCharType="begin"/>
      </w:r>
      <w:r w:rsidR="00085D02">
        <w:instrText xml:space="preserve"> SEQ Figure \* ARABIC </w:instrText>
      </w:r>
      <w:r w:rsidR="00085D02">
        <w:fldChar w:fldCharType="separate"/>
      </w:r>
      <w:r w:rsidR="00402362">
        <w:rPr>
          <w:noProof/>
        </w:rPr>
        <w:t>15</w:t>
      </w:r>
      <w:r w:rsidR="00085D02">
        <w:fldChar w:fldCharType="end"/>
      </w:r>
      <w:bookmarkEnd w:id="100"/>
      <w:r>
        <w:t xml:space="preserve"> | </w:t>
      </w:r>
      <w:r w:rsidRPr="00E2466E">
        <w:t>K10 scores at first and last service contact</w:t>
      </w:r>
      <w:r w:rsidR="09604841">
        <w:t xml:space="preserve">, </w:t>
      </w:r>
      <w:r w:rsidR="1412C40A">
        <w:t>July</w:t>
      </w:r>
      <w:r w:rsidR="09604841">
        <w:t xml:space="preserve"> 201</w:t>
      </w:r>
      <w:r w:rsidR="1412C40A">
        <w:t>8</w:t>
      </w:r>
      <w:r w:rsidR="09604841">
        <w:t xml:space="preserve"> to September 2022</w:t>
      </w:r>
      <w:r w:rsidR="007C6D04">
        <w:rPr>
          <w:rStyle w:val="FootnoteReference"/>
        </w:rPr>
        <w:footnoteReference w:id="102"/>
      </w:r>
    </w:p>
    <w:p w14:paraId="3565C501" w14:textId="1F33736C" w:rsidR="00AB1059" w:rsidRDefault="005D60F7" w:rsidP="001C10CC">
      <w:r w:rsidRPr="005D60F7">
        <w:rPr>
          <w:noProof/>
        </w:rPr>
        <w:drawing>
          <wp:inline distT="0" distB="0" distL="0" distR="0" wp14:anchorId="684D9E5F" wp14:editId="16F730A3">
            <wp:extent cx="5670550" cy="2695575"/>
            <wp:effectExtent l="0" t="0" r="6350" b="9525"/>
            <wp:docPr id="27" name="Graphic 27" descr="Figure 15 is a plot graph with K10 scores at first and last service contact July 2018 to Septembe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Figure 15 is a plot graph with K10 scores at first and last service contact July 2018 to September 2022"/>
                    <pic:cNvPicPr/>
                  </pic:nvPicPr>
                  <pic:blipFill>
                    <a:blip r:embed="rId69">
                      <a:extLst>
                        <a:ext uri="{96DAC541-7B7A-43D3-8B79-37D633B846F1}">
                          <asvg:svgBlip xmlns:asvg="http://schemas.microsoft.com/office/drawing/2016/SVG/main" r:embed="rId70"/>
                        </a:ext>
                      </a:extLst>
                    </a:blip>
                    <a:stretch>
                      <a:fillRect/>
                    </a:stretch>
                  </pic:blipFill>
                  <pic:spPr>
                    <a:xfrm>
                      <a:off x="0" y="0"/>
                      <a:ext cx="5670550" cy="2695575"/>
                    </a:xfrm>
                    <a:prstGeom prst="rect">
                      <a:avLst/>
                    </a:prstGeom>
                  </pic:spPr>
                </pic:pic>
              </a:graphicData>
            </a:graphic>
          </wp:inline>
        </w:drawing>
      </w:r>
    </w:p>
    <w:p w14:paraId="3095EC61" w14:textId="79E70221" w:rsidR="003E6F12" w:rsidRDefault="003E6F12" w:rsidP="001F29A8">
      <w:pPr>
        <w:pStyle w:val="Caption"/>
      </w:pPr>
      <w:bookmarkStart w:id="101" w:name="_Ref122536788"/>
      <w:r>
        <w:t xml:space="preserve">Figure </w:t>
      </w:r>
      <w:r>
        <w:fldChar w:fldCharType="begin"/>
      </w:r>
      <w:r>
        <w:instrText xml:space="preserve"> SEQ Figure \* ARABIC </w:instrText>
      </w:r>
      <w:r>
        <w:fldChar w:fldCharType="separate"/>
      </w:r>
      <w:r w:rsidR="00402362">
        <w:rPr>
          <w:noProof/>
        </w:rPr>
        <w:t>16</w:t>
      </w:r>
      <w:r>
        <w:fldChar w:fldCharType="end"/>
      </w:r>
      <w:bookmarkEnd w:id="101"/>
      <w:r w:rsidR="004011E9">
        <w:t xml:space="preserve"> | </w:t>
      </w:r>
      <w:r w:rsidR="004011E9" w:rsidRPr="00E2466E">
        <w:t>K</w:t>
      </w:r>
      <w:r w:rsidR="004011E9">
        <w:t xml:space="preserve">5 </w:t>
      </w:r>
      <w:r w:rsidR="004011E9" w:rsidRPr="00E2466E">
        <w:t>scores at first and last service contact</w:t>
      </w:r>
      <w:r w:rsidR="004011E9">
        <w:t>, July 2018 to September 2022</w:t>
      </w:r>
      <w:r w:rsidR="004011E9">
        <w:rPr>
          <w:rStyle w:val="FootnoteReference"/>
        </w:rPr>
        <w:footnoteReference w:id="103"/>
      </w:r>
    </w:p>
    <w:p w14:paraId="5B3F244C" w14:textId="1879C1DD" w:rsidR="003E6F12" w:rsidRDefault="003E6F12" w:rsidP="001C10CC">
      <w:r w:rsidRPr="003E6F12">
        <w:rPr>
          <w:noProof/>
        </w:rPr>
        <w:drawing>
          <wp:inline distT="0" distB="0" distL="0" distR="0" wp14:anchorId="120EEB78" wp14:editId="107B6B30">
            <wp:extent cx="5670550" cy="2695575"/>
            <wp:effectExtent l="0" t="0" r="6350" b="9525"/>
            <wp:docPr id="28" name="Graphic 28" descr="Figure 16 is a plot graph with K5 Scores at first and last service contact from July 2018 to September 202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Figure 16 is a plot graph with K5 Scores at first and last service contact from July 2018 to September 2022.">
                      <a:extLst>
                        <a:ext uri="{C183D7F6-B498-43B3-948B-1728B52AA6E4}">
                          <adec:decorative xmlns:adec="http://schemas.microsoft.com/office/drawing/2017/decorative" val="0"/>
                        </a:ext>
                      </a:extLst>
                    </pic:cNvPr>
                    <pic:cNvPicPr/>
                  </pic:nvPicPr>
                  <pic:blipFill>
                    <a:blip r:embed="rId71">
                      <a:extLst>
                        <a:ext uri="{96DAC541-7B7A-43D3-8B79-37D633B846F1}">
                          <asvg:svgBlip xmlns:asvg="http://schemas.microsoft.com/office/drawing/2016/SVG/main" r:embed="rId72"/>
                        </a:ext>
                      </a:extLst>
                    </a:blip>
                    <a:stretch>
                      <a:fillRect/>
                    </a:stretch>
                  </pic:blipFill>
                  <pic:spPr>
                    <a:xfrm>
                      <a:off x="0" y="0"/>
                      <a:ext cx="5670550" cy="2695575"/>
                    </a:xfrm>
                    <a:prstGeom prst="rect">
                      <a:avLst/>
                    </a:prstGeom>
                  </pic:spPr>
                </pic:pic>
              </a:graphicData>
            </a:graphic>
          </wp:inline>
        </w:drawing>
      </w:r>
    </w:p>
    <w:p w14:paraId="1C43904E" w14:textId="3E25A035" w:rsidR="001C10CC" w:rsidRPr="00B831AE" w:rsidRDefault="00937E67" w:rsidP="001C10CC">
      <w:r>
        <w:rPr>
          <w:noProof/>
        </w:rPr>
        <mc:AlternateContent>
          <mc:Choice Requires="wps">
            <w:drawing>
              <wp:anchor distT="0" distB="0" distL="114300" distR="114300" simplePos="0" relativeHeight="251658241" behindDoc="0" locked="0" layoutInCell="1" allowOverlap="1" wp14:anchorId="56FBDEAA" wp14:editId="072975E5">
                <wp:simplePos x="0" y="0"/>
                <wp:positionH relativeFrom="margin">
                  <wp:posOffset>3507410</wp:posOffset>
                </wp:positionH>
                <wp:positionV relativeFrom="paragraph">
                  <wp:posOffset>8179</wp:posOffset>
                </wp:positionV>
                <wp:extent cx="2160270" cy="1843405"/>
                <wp:effectExtent l="0" t="0" r="0" b="4445"/>
                <wp:wrapSquare wrapText="bothSides"/>
                <wp:docPr id="63" name="Text Box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0270" cy="1843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446D2" w14:textId="69CBD718" w:rsidR="00CE31D4" w:rsidRPr="002177DA" w:rsidRDefault="00CE31D4" w:rsidP="00B125C9">
                            <w:pPr>
                              <w:pStyle w:val="Callout"/>
                            </w:pPr>
                            <w:r w:rsidRPr="002177DA">
                              <w:t xml:space="preserve">“I’m still getting ‘me’ back but with The Way Back I can be a better person. She said she was always there if I ever need to go back – I haven’t yet, which is good, but good to know that </w:t>
                            </w:r>
                            <w:r w:rsidR="00710958" w:rsidRPr="002177DA">
                              <w:t>the support is</w:t>
                            </w:r>
                            <w:r w:rsidRPr="002177DA">
                              <w:t xml:space="preserve"> there.” – The Way Back </w:t>
                            </w:r>
                            <w:r w:rsidR="002F6D7A">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BDEAA" id="Text Box 63" o:spid="_x0000_s1029" type="#_x0000_t202" alt="&quot;&quot;" style="position:absolute;margin-left:276.15pt;margin-top:.65pt;width:170.1pt;height:145.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" fillcolor="white [3201]" stroked="f" strokeweight=".5pt">
                <v:textbox inset="0,,1mm">
                  <w:txbxContent>
                    <w:p w14:paraId="60A446D2" w14:textId="69CBD718" w:rsidR="00CE31D4" w:rsidRPr="002177DA" w:rsidRDefault="00CE31D4" w:rsidP="00B125C9">
                      <w:pPr>
                        <w:pStyle w:val="Callout"/>
                      </w:pPr>
                      <w:r w:rsidRPr="002177DA">
                        <w:t xml:space="preserve">“I’m still getting ‘me’ back but with The Way Back I can be a better person. She said she was always there if I ever need to go back – I haven’t yet, which is good, but good to know that </w:t>
                      </w:r>
                      <w:r w:rsidR="00710958" w:rsidRPr="002177DA">
                        <w:t>the support is</w:t>
                      </w:r>
                      <w:r w:rsidRPr="002177DA">
                        <w:t xml:space="preserve"> there.” – The Way Back </w:t>
                      </w:r>
                      <w:r w:rsidR="002F6D7A">
                        <w:t>participant</w:t>
                      </w:r>
                    </w:p>
                  </w:txbxContent>
                </v:textbox>
                <w10:wrap type="square" anchorx="margin"/>
              </v:shape>
            </w:pict>
          </mc:Fallback>
        </mc:AlternateContent>
      </w:r>
      <w:r w:rsidR="001C10CC">
        <w:t xml:space="preserve">In interviews, many </w:t>
      </w:r>
      <w:r w:rsidR="002F6D7A">
        <w:t>participants</w:t>
      </w:r>
      <w:r w:rsidR="001C10CC">
        <w:t xml:space="preserve"> reported increased feelings of hope, purpose and belonging, including the realisation that they deserve and can access the support they need</w:t>
      </w:r>
      <w:r w:rsidR="001C10CC">
        <w:rPr>
          <w:i/>
          <w:iCs/>
        </w:rPr>
        <w:t>.</w:t>
      </w:r>
      <w:r w:rsidR="001C10CC" w:rsidRPr="00B5355D">
        <w:rPr>
          <w:i/>
          <w:iCs/>
        </w:rPr>
        <w:t xml:space="preserve"> </w:t>
      </w:r>
      <w:r w:rsidR="001C10CC">
        <w:t xml:space="preserve">Some </w:t>
      </w:r>
      <w:r w:rsidR="002F6D7A">
        <w:t>participants</w:t>
      </w:r>
      <w:r w:rsidR="001C10CC">
        <w:t xml:space="preserve"> also reported that The Way Back helped them to normalise their experience of suicidality and feel less shame around seeking help. </w:t>
      </w:r>
    </w:p>
    <w:p w14:paraId="6703CB1D" w14:textId="72D3E08A" w:rsidR="001C10CC" w:rsidRDefault="00A66DD4" w:rsidP="001C10CC">
      <w:r>
        <w:t xml:space="preserve">At the end of their service episode, 36 </w:t>
      </w:r>
      <w:r w:rsidR="067B4004">
        <w:t>per cent of participants</w:t>
      </w:r>
      <w:r w:rsidR="00B63D06">
        <w:t xml:space="preserve"> </w:t>
      </w:r>
      <w:r w:rsidR="46D5357A">
        <w:t>scored</w:t>
      </w:r>
      <w:r w:rsidR="067B4004">
        <w:t xml:space="preserve"> </w:t>
      </w:r>
      <w:r w:rsidR="6ADE27B2">
        <w:t>more than</w:t>
      </w:r>
      <w:r w:rsidR="067B4004">
        <w:t xml:space="preserve"> or equal to 30 </w:t>
      </w:r>
      <w:r w:rsidR="46D5357A">
        <w:t>for the K10</w:t>
      </w:r>
      <w:r>
        <w:t xml:space="preserve"> </w:t>
      </w:r>
      <w:r w:rsidR="067B4004">
        <w:t>at the end of the service episode</w:t>
      </w:r>
      <w:r w:rsidR="00155ADA">
        <w:t>, indicating a h</w:t>
      </w:r>
      <w:r w:rsidR="00645F7D">
        <w:t>igh risk of experiencing a mental health disorder,</w:t>
      </w:r>
      <w:r w:rsidR="38BC0DC2">
        <w:t xml:space="preserve"> and </w:t>
      </w:r>
      <w:r w:rsidR="00B63D06">
        <w:t>61</w:t>
      </w:r>
      <w:r w:rsidR="38BC0DC2" w:rsidRPr="0089274B">
        <w:t xml:space="preserve"> per cent</w:t>
      </w:r>
      <w:r w:rsidR="38BC0DC2" w:rsidRPr="00AE0C14">
        <w:t xml:space="preserve"> of participants scored more than or equal to </w:t>
      </w:r>
      <w:r w:rsidR="38BC0DC2">
        <w:t>11</w:t>
      </w:r>
      <w:r w:rsidR="0046204E">
        <w:rPr>
          <w:rStyle w:val="FootnoteReference"/>
        </w:rPr>
        <w:footnoteReference w:id="104"/>
      </w:r>
      <w:r w:rsidR="38BC0DC2" w:rsidRPr="00AE0C14">
        <w:t xml:space="preserve"> for the </w:t>
      </w:r>
      <w:r w:rsidR="38BC0DC2">
        <w:t>K5</w:t>
      </w:r>
      <w:r w:rsidR="38BC0DC2" w:rsidRPr="00AE0C14">
        <w:t xml:space="preserve"> at the end of the service </w:t>
      </w:r>
      <w:r w:rsidR="38BC0DC2" w:rsidRPr="00AE0C14">
        <w:lastRenderedPageBreak/>
        <w:t>episode</w:t>
      </w:r>
      <w:r w:rsidR="00645F7D">
        <w:t>, indicating a high risk of experiencing a mental health disorder</w:t>
      </w:r>
      <w:r w:rsidR="067B4004">
        <w:t xml:space="preserve">. </w:t>
      </w:r>
      <w:r w:rsidR="00B63D06">
        <w:t xml:space="preserve"> This suggests that while on average, participants experienced significant improvements to their psychological distress, recovery from a suicidal crisis attempt continues beyond completing engagement with The Way Back. </w:t>
      </w:r>
      <w:r w:rsidR="69CC075E">
        <w:t xml:space="preserve">Many </w:t>
      </w:r>
      <w:r w:rsidR="06DA1735">
        <w:t>participants</w:t>
      </w:r>
      <w:r w:rsidR="69CC075E">
        <w:t xml:space="preserve"> </w:t>
      </w:r>
      <w:r w:rsidR="70FD61B1">
        <w:t xml:space="preserve">in interviews </w:t>
      </w:r>
      <w:r w:rsidR="69CC075E">
        <w:t xml:space="preserve">emphasised the non-linear nature of recovery from suicidal crisis or attempt. They acknowledged that while the significant distress they experienced at the time of their referral reduced during their service period, they would like to see </w:t>
      </w:r>
      <w:r w:rsidR="7AD0C50E">
        <w:t>longer term</w:t>
      </w:r>
      <w:r w:rsidR="69CC075E">
        <w:t xml:space="preserve"> improvements in their emotional state</w:t>
      </w:r>
      <w:r w:rsidR="7E83F2FD">
        <w:t xml:space="preserve">. </w:t>
      </w:r>
      <w:r w:rsidR="1CA7C9DD">
        <w:t xml:space="preserve">This </w:t>
      </w:r>
      <w:r w:rsidR="295493B8">
        <w:t xml:space="preserve">highlights the important role of </w:t>
      </w:r>
      <w:r w:rsidR="1CA7C9DD">
        <w:t xml:space="preserve">The Way Back </w:t>
      </w:r>
      <w:r w:rsidR="015E9442">
        <w:t>in facilitating longer</w:t>
      </w:r>
      <w:r w:rsidR="79520925">
        <w:t xml:space="preserve"> </w:t>
      </w:r>
      <w:r w:rsidR="015E9442">
        <w:t xml:space="preserve">term improvements </w:t>
      </w:r>
      <w:r w:rsidR="79520925">
        <w:t xml:space="preserve">by referring participants </w:t>
      </w:r>
      <w:r w:rsidR="6756E42B">
        <w:t xml:space="preserve">to </w:t>
      </w:r>
      <w:r w:rsidR="79520925">
        <w:t xml:space="preserve">ongoing supports </w:t>
      </w:r>
      <w:r w:rsidR="6AEA1058">
        <w:t xml:space="preserve">that continue after they finish their time </w:t>
      </w:r>
      <w:r w:rsidR="79520925">
        <w:t>with The Way Back.</w:t>
      </w:r>
    </w:p>
    <w:p w14:paraId="455A0006" w14:textId="0B73A8A2" w:rsidR="007A7B9F" w:rsidRPr="00B831AE" w:rsidRDefault="007A7B9F" w:rsidP="007A7B9F">
      <w:pPr>
        <w:pStyle w:val="Heading4"/>
      </w:pPr>
      <w:bookmarkStart w:id="102" w:name="_Hlk129680254"/>
      <w:r>
        <w:rPr>
          <w:noProof/>
        </w:rPr>
        <w:drawing>
          <wp:anchor distT="0" distB="0" distL="114300" distR="114300" simplePos="0" relativeHeight="251665441" behindDoc="1" locked="0" layoutInCell="1" allowOverlap="1" wp14:anchorId="6F1916C8" wp14:editId="78372128">
            <wp:simplePos x="0" y="0"/>
            <wp:positionH relativeFrom="margin">
              <wp:align>left</wp:align>
            </wp:positionH>
            <wp:positionV relativeFrom="paragraph">
              <wp:posOffset>123825</wp:posOffset>
            </wp:positionV>
            <wp:extent cx="491490" cy="374650"/>
            <wp:effectExtent l="0" t="0" r="3810" b="6350"/>
            <wp:wrapThrough wrapText="bothSides">
              <wp:wrapPolygon edited="0">
                <wp:start x="0" y="0"/>
                <wp:lineTo x="0" y="20868"/>
                <wp:lineTo x="20930" y="20868"/>
                <wp:lineTo x="20930" y="0"/>
                <wp:lineTo x="0" y="0"/>
              </wp:wrapPolygon>
            </wp:wrapThrough>
            <wp:docPr id="27900" name="Picture 27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7B9F">
        <w:t>On average, participants reported a substantial increase (86 per cent) in wellbeing at the end of their service period.</w:t>
      </w:r>
    </w:p>
    <w:bookmarkEnd w:id="102"/>
    <w:p w14:paraId="27186F45" w14:textId="0DA4EC1F" w:rsidR="00971B4B" w:rsidRDefault="6492E0B6" w:rsidP="00971B4B">
      <w:r>
        <w:t>On average, p</w:t>
      </w:r>
      <w:r w:rsidR="3AA77286">
        <w:t>articipants</w:t>
      </w:r>
      <w:r w:rsidR="7F73B954" w:rsidRPr="002C5EDB">
        <w:t xml:space="preserve"> of </w:t>
      </w:r>
      <w:r w:rsidR="7F73B954">
        <w:t>The Way Back</w:t>
      </w:r>
      <w:r w:rsidR="7F73B954" w:rsidRPr="002C5EDB">
        <w:t xml:space="preserve"> </w:t>
      </w:r>
      <w:r w:rsidR="7F73B954" w:rsidRPr="006944BA">
        <w:t xml:space="preserve">experienced </w:t>
      </w:r>
      <w:r w:rsidR="4A89F984" w:rsidRPr="006944BA">
        <w:t>a</w:t>
      </w:r>
      <w:r w:rsidR="47A3D2C9">
        <w:t>n</w:t>
      </w:r>
      <w:r w:rsidR="474A61F8" w:rsidRPr="006944BA">
        <w:t xml:space="preserve"> </w:t>
      </w:r>
      <w:r w:rsidR="21FDA60A" w:rsidRPr="006944BA">
        <w:t>8</w:t>
      </w:r>
      <w:r w:rsidR="386FC28B">
        <w:t>6</w:t>
      </w:r>
      <w:r w:rsidR="474A61F8" w:rsidRPr="006944BA">
        <w:t xml:space="preserve"> per cent</w:t>
      </w:r>
      <w:r w:rsidR="7F73B954" w:rsidRPr="006944BA">
        <w:t xml:space="preserve"> </w:t>
      </w:r>
      <w:r w:rsidR="12A67AAD" w:rsidRPr="006944BA">
        <w:t xml:space="preserve">increase in </w:t>
      </w:r>
      <w:r w:rsidR="239D59CB">
        <w:t>their</w:t>
      </w:r>
      <w:r w:rsidR="12A67AAD" w:rsidRPr="006944BA">
        <w:t xml:space="preserve"> wellbeing</w:t>
      </w:r>
      <w:r w:rsidR="239D59CB">
        <w:t xml:space="preserve"> score</w:t>
      </w:r>
      <w:r w:rsidR="12A67AAD" w:rsidRPr="006944BA">
        <w:t xml:space="preserve"> </w:t>
      </w:r>
      <w:r w:rsidR="30CF23EB" w:rsidRPr="006944BA">
        <w:t>by the end of their service period</w:t>
      </w:r>
      <w:r w:rsidR="02E58593" w:rsidRPr="006944BA">
        <w:t xml:space="preserve">, </w:t>
      </w:r>
      <w:r w:rsidR="74F07D44" w:rsidRPr="006944BA">
        <w:t>as shown in</w:t>
      </w:r>
      <w:r w:rsidR="02E58593" w:rsidRPr="006944BA">
        <w:t xml:space="preserve"> </w:t>
      </w:r>
      <w:r w:rsidR="00717540">
        <w:fldChar w:fldCharType="begin"/>
      </w:r>
      <w:r w:rsidR="00717540">
        <w:instrText xml:space="preserve"> REF _Ref105658039 \h </w:instrText>
      </w:r>
      <w:r w:rsidR="00717540">
        <w:fldChar w:fldCharType="separate"/>
      </w:r>
      <w:r w:rsidR="00402362">
        <w:t xml:space="preserve">Figure </w:t>
      </w:r>
      <w:r w:rsidR="00402362">
        <w:rPr>
          <w:noProof/>
        </w:rPr>
        <w:t>17</w:t>
      </w:r>
      <w:r w:rsidR="00717540">
        <w:fldChar w:fldCharType="end"/>
      </w:r>
      <w:r w:rsidR="72165BA9">
        <w:t xml:space="preserve">. </w:t>
      </w:r>
      <w:r w:rsidR="3AA77286">
        <w:t>Participants</w:t>
      </w:r>
      <w:r w:rsidR="3D08AC3E" w:rsidRPr="006944BA">
        <w:t xml:space="preserve"> reported a mean score of </w:t>
      </w:r>
      <w:r w:rsidR="76159695" w:rsidRPr="006944BA">
        <w:t>6.</w:t>
      </w:r>
      <w:r w:rsidR="1D6619BB">
        <w:t>1</w:t>
      </w:r>
      <w:r w:rsidR="3D08AC3E" w:rsidRPr="006944BA">
        <w:t xml:space="preserve"> at the start of their service period and </w:t>
      </w:r>
      <w:r w:rsidR="76159695" w:rsidRPr="006944BA">
        <w:t>11.</w:t>
      </w:r>
      <w:r w:rsidR="7109923B">
        <w:t>4</w:t>
      </w:r>
      <w:r w:rsidR="6E129018" w:rsidRPr="006944BA">
        <w:t xml:space="preserve"> at the end of the service period.</w:t>
      </w:r>
      <w:r w:rsidR="00503CE1" w:rsidRPr="006944BA">
        <w:rPr>
          <w:rStyle w:val="FootnoteReference"/>
        </w:rPr>
        <w:footnoteReference w:id="105"/>
      </w:r>
      <w:r w:rsidR="30CF23EB" w:rsidRPr="006944BA">
        <w:t xml:space="preserve"> </w:t>
      </w:r>
      <w:r w:rsidR="7F3DD685" w:rsidRPr="006944BA">
        <w:t>Analysis</w:t>
      </w:r>
      <w:r w:rsidR="644F14BE" w:rsidRPr="006944BA">
        <w:t xml:space="preserve"> of the PMHC MDS indicated </w:t>
      </w:r>
      <w:r w:rsidR="3AA77286">
        <w:t>participants</w:t>
      </w:r>
      <w:r w:rsidR="05FE1EB0" w:rsidRPr="006944BA">
        <w:t xml:space="preserve"> reported an </w:t>
      </w:r>
      <w:r w:rsidR="3128FC0F" w:rsidRPr="006944BA">
        <w:t>average</w:t>
      </w:r>
      <w:r w:rsidR="05FE1EB0" w:rsidRPr="006944BA">
        <w:t xml:space="preserve"> </w:t>
      </w:r>
      <w:r w:rsidR="7F73B954" w:rsidRPr="006944BA">
        <w:t>increase of 5.</w:t>
      </w:r>
      <w:r w:rsidR="2A531507">
        <w:t>3</w:t>
      </w:r>
      <w:r w:rsidR="7F73B954" w:rsidRPr="006944BA">
        <w:t xml:space="preserve"> points across </w:t>
      </w:r>
      <w:r w:rsidR="7F73B954" w:rsidRPr="004018CC">
        <w:t xml:space="preserve">the </w:t>
      </w:r>
      <w:r w:rsidR="582770C9" w:rsidRPr="004018CC">
        <w:t xml:space="preserve">1,529 </w:t>
      </w:r>
      <w:r w:rsidR="7F73B954" w:rsidRPr="004018CC">
        <w:t xml:space="preserve">episodes where </w:t>
      </w:r>
      <w:r w:rsidR="02E58593" w:rsidRPr="004018CC">
        <w:t>there was</w:t>
      </w:r>
      <w:r w:rsidR="7F73B954" w:rsidRPr="004018CC">
        <w:t xml:space="preserve"> a matched</w:t>
      </w:r>
      <w:r w:rsidR="7F73B954" w:rsidRPr="006944BA">
        <w:t xml:space="preserve"> pair of scores on the WHO-5</w:t>
      </w:r>
      <w:r w:rsidR="4A89F984" w:rsidRPr="006944BA">
        <w:t>.</w:t>
      </w:r>
      <w:r w:rsidR="7F73B954" w:rsidRPr="006944BA">
        <w:t xml:space="preserve"> This represents a </w:t>
      </w:r>
      <w:r w:rsidR="66E2FFD2" w:rsidRPr="006944BA">
        <w:t>substantial</w:t>
      </w:r>
      <w:r w:rsidR="7F73B954" w:rsidRPr="006944BA">
        <w:t xml:space="preserve"> improvement in </w:t>
      </w:r>
      <w:r w:rsidR="3AA77286">
        <w:t>participants</w:t>
      </w:r>
      <w:r w:rsidR="7F73B954" w:rsidRPr="006944BA">
        <w:t xml:space="preserve">’ wellbeing during their service period with a large effect size (Cohen’s </w:t>
      </w:r>
      <w:r w:rsidR="7F73B954" w:rsidRPr="74B83E5E">
        <w:rPr>
          <w:i/>
          <w:iCs/>
        </w:rPr>
        <w:t xml:space="preserve">d </w:t>
      </w:r>
      <w:r w:rsidR="7F73B954" w:rsidRPr="006944BA">
        <w:t>= 0.</w:t>
      </w:r>
      <w:r w:rsidR="1C8DCE4F">
        <w:t>8</w:t>
      </w:r>
      <w:r w:rsidR="7BDEA47E">
        <w:t>00</w:t>
      </w:r>
      <w:r w:rsidR="7F73B954" w:rsidRPr="006944BA">
        <w:t>).</w:t>
      </w:r>
      <w:r w:rsidR="00971B4B" w:rsidRPr="006944BA">
        <w:rPr>
          <w:rStyle w:val="FootnoteReference"/>
        </w:rPr>
        <w:footnoteReference w:id="106"/>
      </w:r>
      <w:r w:rsidR="4A89F984">
        <w:t xml:space="preserve"> </w:t>
      </w:r>
    </w:p>
    <w:p w14:paraId="6F717478" w14:textId="6EE61DCF" w:rsidR="00971B4B" w:rsidRDefault="00971B4B" w:rsidP="00971B4B">
      <w:pPr>
        <w:pStyle w:val="Caption"/>
      </w:pPr>
      <w:bookmarkStart w:id="103" w:name="_Ref105658039"/>
      <w:r>
        <w:t xml:space="preserve">Figure </w:t>
      </w:r>
      <w:r w:rsidR="00085D02">
        <w:fldChar w:fldCharType="begin"/>
      </w:r>
      <w:r w:rsidR="00085D02">
        <w:instrText xml:space="preserve"> SEQ Figure \* ARABIC </w:instrText>
      </w:r>
      <w:r w:rsidR="00085D02">
        <w:fldChar w:fldCharType="separate"/>
      </w:r>
      <w:r w:rsidR="00402362">
        <w:rPr>
          <w:noProof/>
        </w:rPr>
        <w:t>17</w:t>
      </w:r>
      <w:r w:rsidR="00085D02">
        <w:fldChar w:fldCharType="end"/>
      </w:r>
      <w:bookmarkEnd w:id="103"/>
      <w:r>
        <w:t xml:space="preserve"> | </w:t>
      </w:r>
      <w:r w:rsidRPr="0042722F">
        <w:t>WHO-5 scores at first and last service contact</w:t>
      </w:r>
      <w:r w:rsidR="0048377D">
        <w:t xml:space="preserve">, </w:t>
      </w:r>
      <w:r w:rsidR="00F77DB9">
        <w:t>July</w:t>
      </w:r>
      <w:r w:rsidR="0048377D" w:rsidRPr="000F2391">
        <w:t xml:space="preserve"> 201</w:t>
      </w:r>
      <w:r w:rsidR="00F77DB9">
        <w:t>8</w:t>
      </w:r>
      <w:r w:rsidR="0048377D" w:rsidRPr="000F2391">
        <w:t xml:space="preserve"> to September 2022</w:t>
      </w:r>
      <w:r w:rsidR="0048377D">
        <w:rPr>
          <w:rStyle w:val="FootnoteReference"/>
        </w:rPr>
        <w:footnoteReference w:id="107"/>
      </w:r>
    </w:p>
    <w:p w14:paraId="30A36C75" w14:textId="073B042F" w:rsidR="0094083D" w:rsidRPr="0094083D" w:rsidRDefault="002C7F0A" w:rsidP="0094083D">
      <w:r w:rsidRPr="002C7F0A">
        <w:rPr>
          <w:noProof/>
        </w:rPr>
        <w:drawing>
          <wp:inline distT="0" distB="0" distL="0" distR="0" wp14:anchorId="018D0D76" wp14:editId="528732C9">
            <wp:extent cx="5670550" cy="2695575"/>
            <wp:effectExtent l="0" t="0" r="6350" b="9525"/>
            <wp:docPr id="27889" name="Graphic 27889" descr="Figure 17 is a plot graph showing the WHO 5-scores at first and last service contact, July 2018 to Septembe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9" name="Graphic 27889" descr="Figure 17 is a plot graph showing the WHO 5-scores at first and last service contact, July 2018 to September 2022"/>
                    <pic:cNvPicPr/>
                  </pic:nvPicPr>
                  <pic:blipFill>
                    <a:blip r:embed="rId73">
                      <a:extLst>
                        <a:ext uri="{96DAC541-7B7A-43D3-8B79-37D633B846F1}">
                          <asvg:svgBlip xmlns:asvg="http://schemas.microsoft.com/office/drawing/2016/SVG/main" r:embed="rId74"/>
                        </a:ext>
                      </a:extLst>
                    </a:blip>
                    <a:stretch>
                      <a:fillRect/>
                    </a:stretch>
                  </pic:blipFill>
                  <pic:spPr>
                    <a:xfrm>
                      <a:off x="0" y="0"/>
                      <a:ext cx="5670550" cy="2695575"/>
                    </a:xfrm>
                    <a:prstGeom prst="rect">
                      <a:avLst/>
                    </a:prstGeom>
                  </pic:spPr>
                </pic:pic>
              </a:graphicData>
            </a:graphic>
          </wp:inline>
        </w:drawing>
      </w:r>
    </w:p>
    <w:p w14:paraId="23418570" w14:textId="4B28FA69" w:rsidR="00971B4B" w:rsidRDefault="253E398E" w:rsidP="00971B4B">
      <w:r>
        <w:t>A number of</w:t>
      </w:r>
      <w:r w:rsidR="08882C79">
        <w:t xml:space="preserve"> </w:t>
      </w:r>
      <w:r w:rsidR="14629A63">
        <w:t>participants</w:t>
      </w:r>
      <w:r w:rsidR="08882C79">
        <w:t xml:space="preserve"> reported </w:t>
      </w:r>
      <w:r w:rsidR="009A68F8">
        <w:t>in interview</w:t>
      </w:r>
      <w:r w:rsidR="00921AE4">
        <w:t>s</w:t>
      </w:r>
      <w:r w:rsidR="08882C79">
        <w:t xml:space="preserve"> that, while they still had ‘bad days’, they felt more equipped to manage these feelings of distress through a better understanding of the triggers for their mental health and/or their suicidality and the coping mechanisms that work for them. </w:t>
      </w:r>
    </w:p>
    <w:p w14:paraId="23A8E8F7" w14:textId="10015BD5" w:rsidR="00971B4B" w:rsidRPr="00A720A1" w:rsidRDefault="00971B4B" w:rsidP="00A720A1">
      <w:pPr>
        <w:rPr>
          <w:b/>
        </w:rPr>
      </w:pPr>
      <w:r>
        <w:t xml:space="preserve">Some </w:t>
      </w:r>
      <w:r w:rsidR="002F6D7A">
        <w:t>participants</w:t>
      </w:r>
      <w:r>
        <w:t xml:space="preserve"> reported </w:t>
      </w:r>
      <w:r w:rsidR="00013A77">
        <w:t xml:space="preserve">in interviews </w:t>
      </w:r>
      <w:r>
        <w:t xml:space="preserve">that at the beginning of the service period, they felt reliant on their support coordinator to help them access other supports and manage their mental health. Many of these </w:t>
      </w:r>
      <w:r w:rsidR="002F6D7A">
        <w:t>participants</w:t>
      </w:r>
      <w:r>
        <w:t xml:space="preserve"> said that by the end of the service period they felt confident to reach out for help and coordinate many of their supports themselves.</w:t>
      </w:r>
      <w:r w:rsidRPr="00525D27">
        <w:t xml:space="preserve"> </w:t>
      </w:r>
      <w:r w:rsidRPr="002E2D38">
        <w:t xml:space="preserve">However, </w:t>
      </w:r>
      <w:r>
        <w:t>several</w:t>
      </w:r>
      <w:r w:rsidRPr="002E2D38">
        <w:t xml:space="preserve"> </w:t>
      </w:r>
      <w:r w:rsidR="002F6D7A">
        <w:t>participants</w:t>
      </w:r>
      <w:r w:rsidRPr="002E2D38">
        <w:t xml:space="preserve"> reported that they continued to </w:t>
      </w:r>
      <w:proofErr w:type="gramStart"/>
      <w:r w:rsidRPr="002E2D38">
        <w:t>experience difficulty</w:t>
      </w:r>
      <w:proofErr w:type="gramEnd"/>
      <w:r w:rsidRPr="002E2D38">
        <w:t xml:space="preserve"> navigating the service system independently following</w:t>
      </w:r>
      <w:r>
        <w:t xml:space="preserve"> their service period. They suggested that a longer service period with The Way Back or a transition to a lower intensity support service may have been helpful to further improve help-seeking behaviours. </w:t>
      </w:r>
      <w:r w:rsidR="00390E2D">
        <w:t xml:space="preserve">This highlights a broader </w:t>
      </w:r>
      <w:r w:rsidR="00390E2D">
        <w:lastRenderedPageBreak/>
        <w:t xml:space="preserve">service system gap within the mental health in the availability of service navigation supports (as this is </w:t>
      </w:r>
      <w:r w:rsidR="0091438F" w:rsidRPr="002C5EDB">
        <w:rPr>
          <w:noProof/>
        </w:rPr>
        <mc:AlternateContent>
          <mc:Choice Requires="wps">
            <w:drawing>
              <wp:anchor distT="0" distB="0" distL="114300" distR="114300" simplePos="0" relativeHeight="251658242" behindDoc="0" locked="0" layoutInCell="1" allowOverlap="1" wp14:anchorId="6E21B98A" wp14:editId="5C9C8118">
                <wp:simplePos x="0" y="0"/>
                <wp:positionH relativeFrom="margin">
                  <wp:align>right</wp:align>
                </wp:positionH>
                <wp:positionV relativeFrom="paragraph">
                  <wp:posOffset>1105535</wp:posOffset>
                </wp:positionV>
                <wp:extent cx="2759075" cy="1971675"/>
                <wp:effectExtent l="0" t="0" r="3175" b="9525"/>
                <wp:wrapSquare wrapText="bothSides"/>
                <wp:docPr id="27776" name="Text Box 277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59075" cy="1971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E7C17" w14:textId="77777777" w:rsidR="00CB0C9C" w:rsidRDefault="00CE31D4" w:rsidP="009E2F88">
                            <w:pPr>
                              <w:pStyle w:val="Callout"/>
                            </w:pPr>
                            <w:r w:rsidRPr="002177DA">
                              <w:t>“She helped me realise that I am at risk. And when I am at risk, what the tools are to help me find my way back. It’s given me a better chance to find my own direction nowadays even after the program end. We have tough days, but there are skills you can learn and things you can do that help you get through the day without being so severe.</w:t>
                            </w:r>
                            <w:r w:rsidR="0009602B" w:rsidRPr="002177DA">
                              <w:t>”</w:t>
                            </w:r>
                            <w:r w:rsidRPr="002177DA">
                              <w:t xml:space="preserve"> - The Way Back </w:t>
                            </w:r>
                            <w:r w:rsidR="002F6D7A">
                              <w:rPr>
                                <w:rFonts w:cs="Segoe UI Semilight"/>
                              </w:rPr>
                              <w:t>participant</w:t>
                            </w:r>
                          </w:p>
                          <w:p w14:paraId="70B00747" w14:textId="293C6B56" w:rsidR="00CE31D4" w:rsidRPr="002177DA" w:rsidRDefault="00CE31D4" w:rsidP="009E2F88">
                            <w:pPr>
                              <w:rPr>
                                <w:color w:val="00264D" w:themeColor="background2"/>
                              </w:rPr>
                            </w:pP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1B98A" id="Text Box 27776" o:spid="_x0000_s1030" type="#_x0000_t202" alt="&quot;&quot;" style="position:absolute;margin-left:166.05pt;margin-top:87.05pt;width:217.25pt;height:155.2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" fillcolor="white [3201]" stroked="f" strokeweight=".5pt">
                <v:textbox inset="0,,1mm">
                  <w:txbxContent>
                    <w:p w14:paraId="0DEE7C17" w14:textId="77777777" w:rsidR="00CB0C9C" w:rsidRDefault="00CE31D4" w:rsidP="009E2F88">
                      <w:pPr>
                        <w:pStyle w:val="Callout"/>
                      </w:pPr>
                      <w:r w:rsidRPr="002177DA">
                        <w:t>“She helped me realise that I am at risk. And when I am at risk, what the tools are to help me find my way back. It’s given me a better chance to find my own direction nowadays even after the program end. We have tough days, but there are skills you can learn and things you can do that help you get through the day without being so severe.</w:t>
                      </w:r>
                      <w:r w:rsidR="0009602B" w:rsidRPr="002177DA">
                        <w:t>”</w:t>
                      </w:r>
                      <w:r w:rsidRPr="002177DA">
                        <w:t xml:space="preserve"> - The Way Back </w:t>
                      </w:r>
                      <w:r w:rsidR="002F6D7A">
                        <w:rPr>
                          <w:rFonts w:cs="Segoe UI Semilight"/>
                        </w:rPr>
                        <w:t>participant</w:t>
                      </w:r>
                    </w:p>
                    <w:p w14:paraId="70B00747" w14:textId="293C6B56" w:rsidR="00CE31D4" w:rsidRPr="002177DA" w:rsidRDefault="00CE31D4" w:rsidP="009E2F88">
                      <w:pPr>
                        <w:rPr>
                          <w:color w:val="00264D" w:themeColor="background2"/>
                        </w:rPr>
                      </w:pPr>
                    </w:p>
                  </w:txbxContent>
                </v:textbox>
                <w10:wrap type="square" anchorx="margin"/>
              </v:shape>
            </w:pict>
          </mc:Fallback>
        </mc:AlternateContent>
      </w:r>
      <w:r w:rsidR="00390E2D">
        <w:t>outside the scope of The Way Back; see</w:t>
      </w:r>
      <w:r w:rsidR="00415AE8">
        <w:t xml:space="preserve"> section</w:t>
      </w:r>
      <w:r w:rsidR="00135C9F">
        <w:t xml:space="preserve"> </w:t>
      </w:r>
      <w:r w:rsidR="004278AA">
        <w:fldChar w:fldCharType="begin"/>
      </w:r>
      <w:r w:rsidR="004278AA">
        <w:instrText xml:space="preserve"> REF _Ref121311357 \n \h </w:instrText>
      </w:r>
      <w:r w:rsidR="004278AA">
        <w:fldChar w:fldCharType="separate"/>
      </w:r>
      <w:r w:rsidR="00402362">
        <w:t>7.3</w:t>
      </w:r>
      <w:r w:rsidR="004278AA">
        <w:fldChar w:fldCharType="end"/>
      </w:r>
      <w:r w:rsidR="009B1CF3">
        <w:t>.</w:t>
      </w:r>
    </w:p>
    <w:p w14:paraId="21FE05F4" w14:textId="19CF0C04" w:rsidR="00B75D18" w:rsidRDefault="002F6D7A" w:rsidP="00CB0C9C">
      <w:pPr>
        <w:pStyle w:val="Heading3"/>
      </w:pPr>
      <w:r>
        <w:t>Participants</w:t>
      </w:r>
      <w:r w:rsidR="00687A7F">
        <w:t xml:space="preserve"> who </w:t>
      </w:r>
      <w:r w:rsidR="00905534">
        <w:t xml:space="preserve">reported feeling </w:t>
      </w:r>
      <w:r w:rsidR="00B75D18">
        <w:t xml:space="preserve">empowered to engage with supports were more likely to report larger improvements in </w:t>
      </w:r>
      <w:r w:rsidR="001A3946">
        <w:t>their wellbeing</w:t>
      </w:r>
      <w:r w:rsidR="00B75D18">
        <w:t xml:space="preserve">. </w:t>
      </w:r>
    </w:p>
    <w:p w14:paraId="41F848A6" w14:textId="2626E926" w:rsidR="00E34704" w:rsidRDefault="567D44B9" w:rsidP="004F5235">
      <w:r>
        <w:t xml:space="preserve">In interviews, most </w:t>
      </w:r>
      <w:r w:rsidR="3860B196">
        <w:t>participants</w:t>
      </w:r>
      <w:r>
        <w:t xml:space="preserve"> reported that referrals to other services were very helpful. This was particularly evident, where referrals made by support coordinators aligned with the </w:t>
      </w:r>
      <w:r w:rsidR="3860B196">
        <w:t>participants</w:t>
      </w:r>
      <w:r w:rsidR="759B231C">
        <w:t>’</w:t>
      </w:r>
      <w:r>
        <w:t xml:space="preserve"> goals (</w:t>
      </w:r>
      <w:r w:rsidR="00D66FBF">
        <w:t>for example</w:t>
      </w:r>
      <w:r>
        <w:t xml:space="preserve"> to secure safe housing, to engage with clinical supports). </w:t>
      </w:r>
      <w:r w:rsidR="5BE1EAAE">
        <w:t>Participants in interviews indicated that w</w:t>
      </w:r>
      <w:r w:rsidR="24045CAC">
        <w:t xml:space="preserve">here clinical referrals were made and </w:t>
      </w:r>
      <w:r w:rsidR="5BE1EAAE">
        <w:t xml:space="preserve">endorsed by their support coordinator, </w:t>
      </w:r>
      <w:r w:rsidR="4E50EFF7">
        <w:t xml:space="preserve">they felt more trusting of the service. </w:t>
      </w:r>
      <w:r w:rsidR="24A410FA">
        <w:t xml:space="preserve">Participants </w:t>
      </w:r>
      <w:r w:rsidR="4E50EFF7">
        <w:t xml:space="preserve">also highlighted that these referrals </w:t>
      </w:r>
      <w:r w:rsidR="2C7D7421">
        <w:t xml:space="preserve">were an important contributor to their </w:t>
      </w:r>
      <w:r w:rsidR="24A410FA">
        <w:t xml:space="preserve">recovery </w:t>
      </w:r>
      <w:r w:rsidR="2C7D7421">
        <w:t xml:space="preserve">and overall outcomes. </w:t>
      </w:r>
      <w:r w:rsidR="3860B196">
        <w:t>Participants</w:t>
      </w:r>
      <w:r w:rsidR="21CA730D">
        <w:t xml:space="preserve"> reported improved outcomes up to </w:t>
      </w:r>
      <w:r w:rsidR="6EAA39F1">
        <w:t>four-months post-service exit</w:t>
      </w:r>
      <w:r w:rsidR="005F6FF8">
        <w:t xml:space="preserve">, which was the </w:t>
      </w:r>
      <w:r w:rsidR="005E79D5">
        <w:t xml:space="preserve">time </w:t>
      </w:r>
      <w:r w:rsidR="005F6FF8">
        <w:t xml:space="preserve">limit to </w:t>
      </w:r>
      <w:r w:rsidR="005E79D5">
        <w:t>post-service engagements</w:t>
      </w:r>
      <w:r w:rsidR="6EAA39F1">
        <w:t xml:space="preserve">. </w:t>
      </w:r>
    </w:p>
    <w:p w14:paraId="04FA7678" w14:textId="6E6FA47D" w:rsidR="00F03DC9" w:rsidRPr="00E34704" w:rsidRDefault="00F03DC9" w:rsidP="00E34704">
      <w:r>
        <w:t xml:space="preserve">Interviews with </w:t>
      </w:r>
      <w:r w:rsidR="002F6D7A">
        <w:t>participants</w:t>
      </w:r>
      <w:r>
        <w:t xml:space="preserve"> </w:t>
      </w:r>
      <w:r w:rsidR="00EE5466">
        <w:t>indicated</w:t>
      </w:r>
      <w:r>
        <w:t xml:space="preserve"> that many </w:t>
      </w:r>
      <w:r w:rsidR="002F6D7A">
        <w:t>participants</w:t>
      </w:r>
      <w:r>
        <w:t xml:space="preserve"> are still experiencing reduced suicidality up to four months post-service exit</w:t>
      </w:r>
      <w:r w:rsidRPr="00F03DC9">
        <w:t>.</w:t>
      </w:r>
      <w:r w:rsidRPr="00F03DC9">
        <w:rPr>
          <w:rStyle w:val="FootnoteReference"/>
        </w:rPr>
        <w:footnoteReference w:id="108"/>
      </w:r>
      <w:r w:rsidRPr="00F03DC9">
        <w:t xml:space="preserve"> </w:t>
      </w:r>
      <w:r w:rsidR="002F6D7A">
        <w:t>Participants</w:t>
      </w:r>
      <w:r w:rsidR="00E6206D">
        <w:t xml:space="preserve"> also</w:t>
      </w:r>
      <w:r w:rsidR="00CE31D4">
        <w:t xml:space="preserve"> reported</w:t>
      </w:r>
      <w:r w:rsidRPr="00F03DC9">
        <w:t xml:space="preserve"> improvements in emotional state, wellbeing and resilience and strengthened protective factors </w:t>
      </w:r>
      <w:r w:rsidR="00E42333">
        <w:t>including improved help seeking behaviours and awareness of suitable supports</w:t>
      </w:r>
      <w:r w:rsidRPr="00F03DC9">
        <w:t xml:space="preserve">. </w:t>
      </w:r>
      <w:r w:rsidR="00780BE4">
        <w:t>In line with the program logic, t</w:t>
      </w:r>
      <w:r w:rsidRPr="00F03DC9">
        <w:t xml:space="preserve">hese intermediate outcomes are linked to reduced suicidality as outlined in </w:t>
      </w:r>
      <w:r w:rsidRPr="009A118C">
        <w:t xml:space="preserve">Appendix </w:t>
      </w:r>
      <w:r w:rsidR="001A1D37">
        <w:t>B</w:t>
      </w:r>
      <w:r w:rsidRPr="009A118C">
        <w:t>.</w:t>
      </w:r>
      <w:r w:rsidRPr="004523BA">
        <w:t xml:space="preserve"> </w:t>
      </w:r>
      <w:r w:rsidR="00DE3B84">
        <w:t>D</w:t>
      </w:r>
      <w:r w:rsidR="0042641F" w:rsidRPr="0042641F">
        <w:t>ata on longer</w:t>
      </w:r>
      <w:r w:rsidR="00E6206D">
        <w:t xml:space="preserve">-term </w:t>
      </w:r>
      <w:r w:rsidR="0042641F" w:rsidRPr="0042641F">
        <w:t xml:space="preserve">outcomes for </w:t>
      </w:r>
      <w:r w:rsidR="002F6D7A">
        <w:t>participants</w:t>
      </w:r>
      <w:r w:rsidR="0042641F" w:rsidRPr="0042641F">
        <w:t xml:space="preserve"> and </w:t>
      </w:r>
      <w:r w:rsidR="00E6206D">
        <w:t xml:space="preserve">prevalence of </w:t>
      </w:r>
      <w:r w:rsidR="0042641F" w:rsidRPr="0042641F">
        <w:t xml:space="preserve">suicide re-attempts was </w:t>
      </w:r>
      <w:r w:rsidR="00BA6C5B">
        <w:t>not available</w:t>
      </w:r>
      <w:r w:rsidR="00E6206D">
        <w:t>.</w:t>
      </w:r>
    </w:p>
    <w:p w14:paraId="600BB32D" w14:textId="11763719" w:rsidR="00861C1A" w:rsidRPr="00861C1A" w:rsidRDefault="005E626F" w:rsidP="00CB0C9C">
      <w:pPr>
        <w:pStyle w:val="Heading3"/>
      </w:pPr>
      <w:r>
        <w:t xml:space="preserve">Data on outcomes achieved for families and communities </w:t>
      </w:r>
      <w:r w:rsidR="00624484">
        <w:t>was</w:t>
      </w:r>
      <w:r>
        <w:t xml:space="preserve"> </w:t>
      </w:r>
      <w:r w:rsidR="0095436D">
        <w:t>extremely</w:t>
      </w:r>
      <w:r w:rsidR="00143C36">
        <w:t xml:space="preserve"> limited</w:t>
      </w:r>
      <w:r w:rsidR="008863F6">
        <w:t>.</w:t>
      </w:r>
    </w:p>
    <w:p w14:paraId="3BE5AABA" w14:textId="0EB4EC24" w:rsidR="00D14401" w:rsidRDefault="66F9C819" w:rsidP="00D14401">
      <w:r>
        <w:t>S</w:t>
      </w:r>
      <w:r w:rsidR="6B3B0487">
        <w:t>upport persons</w:t>
      </w:r>
      <w:r w:rsidR="193B5C0F">
        <w:t xml:space="preserve"> </w:t>
      </w:r>
      <w:r>
        <w:t xml:space="preserve">(n =2) </w:t>
      </w:r>
      <w:r w:rsidR="7F50582E">
        <w:t xml:space="preserve">and providers </w:t>
      </w:r>
      <w:r>
        <w:t>in interviews</w:t>
      </w:r>
      <w:r w:rsidR="193B5C0F">
        <w:t xml:space="preserve"> identified the importance of education around suicide and </w:t>
      </w:r>
      <w:r w:rsidR="2A484544">
        <w:t>suicidal</w:t>
      </w:r>
      <w:r w:rsidR="193B5C0F">
        <w:t xml:space="preserve"> ideation </w:t>
      </w:r>
      <w:r w:rsidR="26BCB371">
        <w:t xml:space="preserve">for families and friends of people </w:t>
      </w:r>
      <w:r w:rsidR="171CA714">
        <w:t>with lived experience of suicide</w:t>
      </w:r>
      <w:r w:rsidR="193B5C0F">
        <w:t xml:space="preserve"> and </w:t>
      </w:r>
      <w:r w:rsidR="171CA714">
        <w:t>suicidal crisis.</w:t>
      </w:r>
      <w:r w:rsidR="002A25A9">
        <w:rPr>
          <w:rStyle w:val="FootnoteReference"/>
        </w:rPr>
        <w:footnoteReference w:id="109"/>
      </w:r>
      <w:r w:rsidR="2A484544">
        <w:t xml:space="preserve"> </w:t>
      </w:r>
      <w:r w:rsidR="3F30DE0B">
        <w:t>Support persons</w:t>
      </w:r>
      <w:r w:rsidR="24D78F70">
        <w:t xml:space="preserve"> also</w:t>
      </w:r>
      <w:r w:rsidR="3F30DE0B">
        <w:t xml:space="preserve"> </w:t>
      </w:r>
      <w:r w:rsidR="326E6527">
        <w:t>highlighted</w:t>
      </w:r>
      <w:r w:rsidR="3F30DE0B">
        <w:t xml:space="preserve"> that </w:t>
      </w:r>
      <w:r w:rsidR="26159315">
        <w:t xml:space="preserve">The Way Back </w:t>
      </w:r>
      <w:r>
        <w:t xml:space="preserve">did </w:t>
      </w:r>
      <w:r w:rsidR="4D8014E6">
        <w:t>not</w:t>
      </w:r>
      <w:r w:rsidR="26159315">
        <w:t xml:space="preserve"> have a structured and consistent approach to </w:t>
      </w:r>
      <w:r w:rsidR="326E6527">
        <w:t>offering support to</w:t>
      </w:r>
      <w:r w:rsidR="26159315">
        <w:t xml:space="preserve"> support </w:t>
      </w:r>
      <w:r w:rsidR="38FCE373">
        <w:t>persons</w:t>
      </w:r>
      <w:r w:rsidR="26159315">
        <w:t xml:space="preserve">, but that this </w:t>
      </w:r>
      <w:r>
        <w:t xml:space="preserve">was </w:t>
      </w:r>
      <w:r w:rsidR="26159315">
        <w:t>a</w:t>
      </w:r>
      <w:r w:rsidR="03F491A2">
        <w:t>n</w:t>
      </w:r>
      <w:r w:rsidR="26159315">
        <w:t xml:space="preserve"> important element of </w:t>
      </w:r>
      <w:r w:rsidR="7C0CE46C">
        <w:t xml:space="preserve">a </w:t>
      </w:r>
      <w:r w:rsidR="3AF33DCC">
        <w:t>participant</w:t>
      </w:r>
      <w:r w:rsidR="7C0CE46C">
        <w:t>’s recovery</w:t>
      </w:r>
      <w:r w:rsidR="326E6527">
        <w:t xml:space="preserve"> and should be considered further in the core service delivery model</w:t>
      </w:r>
      <w:r w:rsidR="7CF776B5">
        <w:t xml:space="preserve"> (see section </w:t>
      </w:r>
      <w:r w:rsidR="00267050">
        <w:fldChar w:fldCharType="begin"/>
      </w:r>
      <w:r w:rsidR="00267050">
        <w:instrText xml:space="preserve"> REF _Ref118285879 \n \h </w:instrText>
      </w:r>
      <w:r w:rsidR="00267050">
        <w:fldChar w:fldCharType="separate"/>
      </w:r>
      <w:r w:rsidR="00402362">
        <w:t>10.1</w:t>
      </w:r>
      <w:r w:rsidR="00267050">
        <w:fldChar w:fldCharType="end"/>
      </w:r>
      <w:r w:rsidR="7CF776B5">
        <w:t xml:space="preserve">, recommendation </w:t>
      </w:r>
      <w:r w:rsidR="431AA7DC">
        <w:t>7</w:t>
      </w:r>
      <w:r w:rsidR="7CF776B5">
        <w:t>).</w:t>
      </w:r>
    </w:p>
    <w:p w14:paraId="74D37231" w14:textId="76B1FD81" w:rsidR="00D14401" w:rsidRPr="005D459B" w:rsidRDefault="14629A63" w:rsidP="00D14401">
      <w:r>
        <w:t>Participants</w:t>
      </w:r>
      <w:r w:rsidR="007B038E">
        <w:t xml:space="preserve"> of The Way Back</w:t>
      </w:r>
      <w:r w:rsidR="61E1B33C">
        <w:t xml:space="preserve"> in interviews reported variable outcomes in terms of improvements in their family members’ understanding of their suicidality and how to respond. Some reported a greater capacity as individuals to communicate with family, peers and the broader community about their mental health triggers and needs. Others spoke about reduced stigma surrounding their mental health and suicidality in family and community contexts. Many </w:t>
      </w:r>
      <w:r>
        <w:t>participants</w:t>
      </w:r>
      <w:r w:rsidR="61E1B33C">
        <w:t xml:space="preserve"> in interviews reported that outcomes related to family and community were not relevant to their experience with The Way Back. </w:t>
      </w:r>
      <w:r w:rsidR="7A7F125F">
        <w:t xml:space="preserve">This varied for </w:t>
      </w:r>
      <w:r>
        <w:t>participants</w:t>
      </w:r>
      <w:r w:rsidR="7A7F125F">
        <w:t xml:space="preserve"> who identified </w:t>
      </w:r>
      <w:r w:rsidR="6E828F3B">
        <w:t>with a CALD backgroun</w:t>
      </w:r>
      <w:r w:rsidR="00F720A0">
        <w:t xml:space="preserve">d who </w:t>
      </w:r>
      <w:r w:rsidR="6E828F3B">
        <w:t xml:space="preserve">recognised the </w:t>
      </w:r>
      <w:r w:rsidR="4BC8F1DD">
        <w:t>instrumental role</w:t>
      </w:r>
      <w:r w:rsidR="6E828F3B">
        <w:t xml:space="preserve"> of </w:t>
      </w:r>
      <w:r w:rsidR="4BC8F1DD">
        <w:t>The Way Back in helping them to reconnect</w:t>
      </w:r>
      <w:r w:rsidR="6E828F3B">
        <w:t xml:space="preserve"> with family and friends</w:t>
      </w:r>
      <w:r w:rsidR="4BC8F1DD">
        <w:t xml:space="preserve">. </w:t>
      </w:r>
    </w:p>
    <w:p w14:paraId="0694E5D1" w14:textId="6C5E08DC" w:rsidR="00853895" w:rsidRPr="00BA11DE" w:rsidRDefault="0C6D9754" w:rsidP="00853895">
      <w:r>
        <w:t xml:space="preserve">Some sites placed a greater focus on family and / or community involvement in The Way Back than others. For example, Murrumbidgee employed peer care companions </w:t>
      </w:r>
      <w:r w:rsidR="5F9F1D9E">
        <w:t xml:space="preserve">and </w:t>
      </w:r>
      <w:r w:rsidR="333EFD22">
        <w:t xml:space="preserve">peer family </w:t>
      </w:r>
      <w:r w:rsidR="63F87A86">
        <w:t>companions</w:t>
      </w:r>
      <w:r w:rsidR="084876EA">
        <w:t xml:space="preserve"> to </w:t>
      </w:r>
      <w:r>
        <w:t xml:space="preserve">provide support to family members of those referred to The Way Back. </w:t>
      </w:r>
      <w:r w:rsidR="79445412">
        <w:t xml:space="preserve">Whilst this model did not demonstrate </w:t>
      </w:r>
      <w:r w:rsidR="1D96C4EF">
        <w:lastRenderedPageBreak/>
        <w:t>significant</w:t>
      </w:r>
      <w:r w:rsidR="65550A30">
        <w:t>ly different</w:t>
      </w:r>
      <w:r w:rsidR="1D96C4EF">
        <w:t xml:space="preserve"> changes in outcomes for </w:t>
      </w:r>
      <w:r w:rsidR="06A7F48B">
        <w:t>participants</w:t>
      </w:r>
      <w:r w:rsidR="00B63D06">
        <w:t>,</w:t>
      </w:r>
      <w:r w:rsidR="56585DC7">
        <w:t xml:space="preserve"> </w:t>
      </w:r>
      <w:r w:rsidR="00106994">
        <w:rPr>
          <w:rStyle w:val="FootnoteReference"/>
        </w:rPr>
        <w:footnoteReference w:id="110"/>
      </w:r>
      <w:r w:rsidR="1D96C4EF">
        <w:t xml:space="preserve"> </w:t>
      </w:r>
      <w:r w:rsidR="79759AA4">
        <w:t>providers in interviews indicated that it was</w:t>
      </w:r>
      <w:r w:rsidR="1960FD75">
        <w:t xml:space="preserve"> greatly valued </w:t>
      </w:r>
      <w:r w:rsidR="1D96C4EF">
        <w:t xml:space="preserve">as </w:t>
      </w:r>
      <w:r w:rsidR="1D50BDC2">
        <w:t xml:space="preserve">an important model </w:t>
      </w:r>
      <w:r w:rsidR="6F22F12E">
        <w:t xml:space="preserve">element </w:t>
      </w:r>
      <w:r w:rsidR="1D50BDC2">
        <w:t xml:space="preserve">which acknowledges and offers support </w:t>
      </w:r>
      <w:r w:rsidR="3B1AA637">
        <w:t xml:space="preserve">to </w:t>
      </w:r>
      <w:r w:rsidR="06A7F48B">
        <w:t>participants</w:t>
      </w:r>
      <w:r w:rsidR="3B1AA637">
        <w:t xml:space="preserve"> and their families</w:t>
      </w:r>
      <w:r w:rsidR="1BE1F43C">
        <w:t>.</w:t>
      </w:r>
    </w:p>
    <w:p w14:paraId="2A77B412" w14:textId="33F9017F" w:rsidR="5F402CE7" w:rsidRPr="00571051" w:rsidRDefault="5F402CE7" w:rsidP="00CB0C9C">
      <w:pPr>
        <w:pStyle w:val="Heading3"/>
        <w:rPr>
          <w:rFonts w:eastAsia="Segoe UI"/>
        </w:rPr>
      </w:pPr>
      <w:r w:rsidRPr="00571051">
        <w:rPr>
          <w:rFonts w:eastAsia="Segoe UI"/>
        </w:rPr>
        <w:t>Participant</w:t>
      </w:r>
      <w:r w:rsidR="00453E6C">
        <w:rPr>
          <w:rFonts w:eastAsia="Segoe UI"/>
        </w:rPr>
        <w:t xml:space="preserve">s who were engaged with The </w:t>
      </w:r>
      <w:r w:rsidR="00453E6C" w:rsidRPr="003217BB">
        <w:rPr>
          <w:rFonts w:eastAsia="Segoe UI"/>
        </w:rPr>
        <w:t>Way Back for longer than 12 weeks</w:t>
      </w:r>
      <w:r w:rsidR="00453E6C" w:rsidRPr="00453E6C">
        <w:rPr>
          <w:rFonts w:eastAsia="Segoe UI"/>
        </w:rPr>
        <w:t xml:space="preserve"> </w:t>
      </w:r>
      <w:r w:rsidR="00AA6098">
        <w:rPr>
          <w:rFonts w:eastAsia="Segoe UI"/>
        </w:rPr>
        <w:t xml:space="preserve">had </w:t>
      </w:r>
      <w:r w:rsidR="00D50140">
        <w:rPr>
          <w:rFonts w:eastAsia="Segoe UI"/>
        </w:rPr>
        <w:t xml:space="preserve">similar improvements in </w:t>
      </w:r>
      <w:r w:rsidR="005543F8">
        <w:rPr>
          <w:rFonts w:eastAsia="Segoe UI"/>
        </w:rPr>
        <w:t xml:space="preserve">suicidality and psychological distress, and slightly better </w:t>
      </w:r>
      <w:r w:rsidR="00596A68">
        <w:rPr>
          <w:rFonts w:eastAsia="Segoe UI"/>
        </w:rPr>
        <w:t>improvements in wellbeing</w:t>
      </w:r>
      <w:r w:rsidRPr="00892DE5">
        <w:rPr>
          <w:rFonts w:eastAsia="Segoe UI"/>
        </w:rPr>
        <w:t>.</w:t>
      </w:r>
      <w:r w:rsidRPr="00571051">
        <w:rPr>
          <w:rFonts w:eastAsia="Segoe UI"/>
        </w:rPr>
        <w:t xml:space="preserve"> </w:t>
      </w:r>
    </w:p>
    <w:p w14:paraId="7CA587CC" w14:textId="72BB390E" w:rsidR="5F402CE7" w:rsidRPr="008B1C30" w:rsidRDefault="5F402CE7" w:rsidP="00571051">
      <w:r w:rsidRPr="00571051">
        <w:t xml:space="preserve">The evaluation analysed the PMHC MDS data to determine whether the average change in outcomes (measured by change in SIDAS, </w:t>
      </w:r>
      <w:r>
        <w:t>K10</w:t>
      </w:r>
      <w:r w:rsidRPr="00571051">
        <w:t xml:space="preserve"> and WHO scores at the start and at the end of service episodes) for participants that engaged with the service for longer than 12 weeks was different to the average change in outcomes for all participants</w:t>
      </w:r>
      <w:r w:rsidRPr="00E1152F">
        <w:t>.</w:t>
      </w:r>
      <w:r w:rsidR="00F06C4B">
        <w:rPr>
          <w:rStyle w:val="FootnoteReference"/>
        </w:rPr>
        <w:footnoteReference w:id="111"/>
      </w:r>
      <w:r w:rsidRPr="00E1152F">
        <w:t xml:space="preserve"> The evaluation found</w:t>
      </w:r>
      <w:r w:rsidR="004D792F">
        <w:t xml:space="preserve"> for </w:t>
      </w:r>
      <w:r w:rsidR="00E83CD6">
        <w:t>participants</w:t>
      </w:r>
      <w:r w:rsidR="004D792F">
        <w:t xml:space="preserve"> who engaged with The Way Back for more than 12 weeks</w:t>
      </w:r>
      <w:r w:rsidRPr="00E1152F">
        <w:t>:</w:t>
      </w:r>
      <w:r w:rsidRPr="008B1C30">
        <w:t xml:space="preserve"> </w:t>
      </w:r>
    </w:p>
    <w:p w14:paraId="0DEEB631" w14:textId="788CE655" w:rsidR="5F402CE7" w:rsidRPr="0094791F" w:rsidRDefault="006E02E8" w:rsidP="00E1152F">
      <w:pPr>
        <w:pStyle w:val="Bullet"/>
        <w:rPr>
          <w:rFonts w:eastAsia="Segoe UI"/>
        </w:rPr>
      </w:pPr>
      <w:r>
        <w:rPr>
          <w:rFonts w:eastAsia="Segoe UI"/>
        </w:rPr>
        <w:t>t</w:t>
      </w:r>
      <w:r w:rsidR="5F402CE7" w:rsidRPr="008B1C30">
        <w:rPr>
          <w:rFonts w:eastAsia="Segoe UI"/>
        </w:rPr>
        <w:t>he average change in SIDAS and K10 score improvement was not significantly</w:t>
      </w:r>
      <w:r w:rsidR="00F06C4B">
        <w:rPr>
          <w:rStyle w:val="FootnoteReference"/>
          <w:rFonts w:eastAsia="Segoe UI"/>
        </w:rPr>
        <w:footnoteReference w:id="112"/>
      </w:r>
      <w:r w:rsidR="008B1C30">
        <w:rPr>
          <w:rFonts w:eastAsia="Segoe UI"/>
        </w:rPr>
        <w:t xml:space="preserve"> </w:t>
      </w:r>
      <w:r w:rsidR="5F402CE7" w:rsidRPr="00892DE5">
        <w:rPr>
          <w:rFonts w:eastAsia="Segoe UI"/>
        </w:rPr>
        <w:t xml:space="preserve">different </w:t>
      </w:r>
      <w:r w:rsidR="5F402CE7" w:rsidRPr="0094791F">
        <w:rPr>
          <w:rFonts w:eastAsia="Segoe UI"/>
        </w:rPr>
        <w:t>from the average change in outcomes across all participants.</w:t>
      </w:r>
      <w:r w:rsidR="5F402CE7" w:rsidRPr="008B1C30">
        <w:rPr>
          <w:rFonts w:eastAsia="Segoe UI"/>
        </w:rPr>
        <w:t xml:space="preserve"> </w:t>
      </w:r>
    </w:p>
    <w:p w14:paraId="76D73D45" w14:textId="65B8D76A" w:rsidR="002D346E" w:rsidRPr="008B1C30" w:rsidRDefault="00A87061" w:rsidP="0094791F">
      <w:pPr>
        <w:pStyle w:val="Bullet"/>
        <w:rPr>
          <w:rFonts w:eastAsia="Segoe UI"/>
        </w:rPr>
      </w:pPr>
      <w:r>
        <w:rPr>
          <w:rFonts w:eastAsia="Segoe UI"/>
        </w:rPr>
        <w:t>t</w:t>
      </w:r>
      <w:r w:rsidR="5F402CE7" w:rsidRPr="00892DE5">
        <w:rPr>
          <w:rFonts w:eastAsia="Segoe UI"/>
        </w:rPr>
        <w:t>he average change in WHO score improvement was significantly different from the average change in outcomes across all participants. However, the observed difference in average change in WHO score is only 5</w:t>
      </w:r>
      <w:r w:rsidR="000276AC">
        <w:rPr>
          <w:rFonts w:eastAsia="Segoe UI"/>
        </w:rPr>
        <w:t xml:space="preserve"> per cent</w:t>
      </w:r>
      <w:r w:rsidR="5F402CE7" w:rsidRPr="00892DE5">
        <w:rPr>
          <w:rFonts w:eastAsia="Segoe UI"/>
        </w:rPr>
        <w:t xml:space="preserve"> smaller (from 5.3 for all participants with matched pairs, down to 5.1 for participants with matched pairs who had a service episode lasting longer than 12 weeks</w:t>
      </w:r>
      <w:r w:rsidR="5F402CE7" w:rsidRPr="0094791F">
        <w:rPr>
          <w:rFonts w:eastAsia="Segoe UI"/>
        </w:rPr>
        <w:t xml:space="preserve">). </w:t>
      </w:r>
    </w:p>
    <w:p w14:paraId="421FD055" w14:textId="4B6528FA" w:rsidR="5F402CE7" w:rsidRPr="0094791F" w:rsidRDefault="5F402CE7" w:rsidP="00E1152F">
      <w:pPr>
        <w:pStyle w:val="Heading2"/>
        <w:rPr>
          <w:rFonts w:eastAsia="Segoe UI Semibold"/>
        </w:rPr>
      </w:pPr>
      <w:bookmarkStart w:id="104" w:name="_Toc121284526"/>
      <w:bookmarkStart w:id="105" w:name="_Ref121309942"/>
      <w:bookmarkStart w:id="106" w:name="_Toc121320690"/>
      <w:bookmarkEnd w:id="104"/>
      <w:r w:rsidRPr="0094791F">
        <w:rPr>
          <w:rFonts w:eastAsia="Segoe UI Semibold"/>
        </w:rPr>
        <w:t>Participant outcomes by cohort</w:t>
      </w:r>
      <w:bookmarkEnd w:id="105"/>
      <w:bookmarkEnd w:id="106"/>
    </w:p>
    <w:p w14:paraId="750BC571" w14:textId="382786AE" w:rsidR="5F402CE7" w:rsidRPr="0094791F" w:rsidRDefault="00120A4E" w:rsidP="00CB0C9C">
      <w:pPr>
        <w:pStyle w:val="Heading3"/>
        <w:rPr>
          <w:rFonts w:eastAsia="Segoe UI" w:cs="Segoe UI"/>
          <w:b/>
          <w:color w:val="008080"/>
          <w:szCs w:val="20"/>
          <w:u w:val="single"/>
        </w:rPr>
      </w:pPr>
      <w:r>
        <w:rPr>
          <w:rFonts w:eastAsia="Segoe UI"/>
        </w:rPr>
        <w:t xml:space="preserve">All cohorts experienced significant improvements in outcomes. </w:t>
      </w:r>
      <w:r w:rsidR="5F402CE7" w:rsidRPr="0094791F">
        <w:rPr>
          <w:rFonts w:eastAsia="Segoe UI"/>
        </w:rPr>
        <w:t xml:space="preserve">Some cohorts of participants experienced a more significant improvement in </w:t>
      </w:r>
      <w:r w:rsidR="003975FC">
        <w:rPr>
          <w:rFonts w:eastAsia="Segoe UI"/>
        </w:rPr>
        <w:t xml:space="preserve">some </w:t>
      </w:r>
      <w:r w:rsidR="5F402CE7" w:rsidRPr="0094791F">
        <w:rPr>
          <w:rFonts w:eastAsia="Segoe UI"/>
        </w:rPr>
        <w:t xml:space="preserve">outcome </w:t>
      </w:r>
      <w:r w:rsidR="003975FC">
        <w:rPr>
          <w:rFonts w:eastAsia="Segoe UI"/>
        </w:rPr>
        <w:t xml:space="preserve">measures </w:t>
      </w:r>
      <w:r w:rsidR="5F402CE7" w:rsidRPr="0094791F">
        <w:rPr>
          <w:rFonts w:eastAsia="Segoe UI"/>
        </w:rPr>
        <w:t>than o</w:t>
      </w:r>
      <w:r w:rsidR="00374263">
        <w:rPr>
          <w:rFonts w:eastAsia="Segoe UI"/>
        </w:rPr>
        <w:t>thers.</w:t>
      </w:r>
    </w:p>
    <w:p w14:paraId="2F996A72" w14:textId="32EB7B4B" w:rsidR="007D0C2E" w:rsidRDefault="5F402CE7" w:rsidP="008B1C30">
      <w:r w:rsidRPr="0094791F">
        <w:t xml:space="preserve">On average, participants of The Way Back experienced </w:t>
      </w:r>
      <w:r w:rsidR="003E546E">
        <w:t xml:space="preserve">significantly </w:t>
      </w:r>
      <w:r w:rsidRPr="0094791F">
        <w:t>improved outcomes</w:t>
      </w:r>
      <w:r w:rsidR="00695DA0">
        <w:t>, indicating the service model is effective</w:t>
      </w:r>
      <w:r w:rsidR="003E546E">
        <w:t xml:space="preserve"> across different cohorts</w:t>
      </w:r>
      <w:r w:rsidRPr="0094791F">
        <w:t xml:space="preserve">. </w:t>
      </w:r>
    </w:p>
    <w:p w14:paraId="648BD662" w14:textId="0059B6FC" w:rsidR="001C48AF" w:rsidRPr="0094791F" w:rsidRDefault="5F402CE7" w:rsidP="0080532A">
      <w:r w:rsidRPr="0094791F">
        <w:t xml:space="preserve">Analysis of the PMHC MDS data indicated that </w:t>
      </w:r>
      <w:r w:rsidR="00125F3E">
        <w:t xml:space="preserve">while all cohorts experienced improved outcomes, </w:t>
      </w:r>
      <w:r w:rsidRPr="0094791F">
        <w:t>there were some variations in the size of change in outcomes across different cohorts of participants.</w:t>
      </w:r>
      <w:r w:rsidR="001C48AF">
        <w:rPr>
          <w:rStyle w:val="FootnoteReference"/>
        </w:rPr>
        <w:footnoteReference w:id="113"/>
      </w:r>
      <w:r w:rsidRPr="0094791F">
        <w:rPr>
          <w:vertAlign w:val="superscript"/>
        </w:rPr>
        <w:t xml:space="preserve"> </w:t>
      </w:r>
      <w:r w:rsidR="003674B9">
        <w:rPr>
          <w:b/>
          <w:lang w:val="en-US"/>
        </w:rPr>
        <w:t xml:space="preserve"> </w:t>
      </w:r>
      <w:r w:rsidR="00E37E06">
        <w:rPr>
          <w:b/>
          <w:lang w:val="en-US"/>
        </w:rPr>
        <w:fldChar w:fldCharType="begin"/>
      </w:r>
      <w:r w:rsidR="00E37E06">
        <w:rPr>
          <w:b/>
          <w:lang w:val="en-US"/>
        </w:rPr>
        <w:instrText xml:space="preserve"> REF _Ref121312072 \h </w:instrText>
      </w:r>
      <w:r w:rsidR="00E37E06">
        <w:rPr>
          <w:b/>
          <w:lang w:val="en-US"/>
        </w:rPr>
      </w:r>
      <w:r w:rsidR="00E37E06">
        <w:rPr>
          <w:b/>
          <w:lang w:val="en-US"/>
        </w:rPr>
        <w:fldChar w:fldCharType="separate"/>
      </w:r>
      <w:r w:rsidR="00402362">
        <w:t xml:space="preserve">Figure </w:t>
      </w:r>
      <w:r w:rsidR="00402362">
        <w:rPr>
          <w:noProof/>
        </w:rPr>
        <w:t>18</w:t>
      </w:r>
      <w:r w:rsidR="00E37E06">
        <w:rPr>
          <w:b/>
          <w:lang w:val="en-US"/>
        </w:rPr>
        <w:fldChar w:fldCharType="end"/>
      </w:r>
      <w:r w:rsidR="00E37E06">
        <w:rPr>
          <w:b/>
          <w:lang w:val="en-US"/>
        </w:rPr>
        <w:t xml:space="preserve"> </w:t>
      </w:r>
      <w:r w:rsidR="00B3508D" w:rsidRPr="0094791F">
        <w:t>outlines</w:t>
      </w:r>
      <w:r w:rsidRPr="0094791F">
        <w:t xml:space="preserve"> the change in outcomes for specific cohorts, and highlights whether they reported a significantly greater or lower improvement in outcome scores compared to the average of all The Way Back participants with matching pairs of scores from the start and end of their service period.</w:t>
      </w:r>
      <w:r w:rsidR="001C48AF">
        <w:rPr>
          <w:rStyle w:val="FootnoteReference"/>
        </w:rPr>
        <w:footnoteReference w:id="114"/>
      </w:r>
      <w:r w:rsidR="008B1C30">
        <w:t xml:space="preserve"> </w:t>
      </w:r>
      <w:r w:rsidRPr="00892DE5">
        <w:t>It also provides observations on why there was or was not significant differences in outcomes scores compared to the average. In summary:</w:t>
      </w:r>
    </w:p>
    <w:p w14:paraId="21DE6380" w14:textId="5AC3C626" w:rsidR="5F402CE7" w:rsidRPr="0094791F" w:rsidRDefault="16C7D62E" w:rsidP="0080532A">
      <w:pPr>
        <w:pStyle w:val="Bullet"/>
        <w:rPr>
          <w:rFonts w:eastAsia="Segoe UI"/>
        </w:rPr>
      </w:pPr>
      <w:r w:rsidRPr="74B83E5E">
        <w:rPr>
          <w:rFonts w:eastAsia="Segoe UI"/>
        </w:rPr>
        <w:t xml:space="preserve">Not all cohorts’ average </w:t>
      </w:r>
      <w:r w:rsidR="00FA5D19">
        <w:rPr>
          <w:rFonts w:eastAsia="Segoe UI"/>
        </w:rPr>
        <w:t>improvement</w:t>
      </w:r>
      <w:r w:rsidR="00FA5D19" w:rsidRPr="74B83E5E">
        <w:rPr>
          <w:rFonts w:eastAsia="Segoe UI"/>
        </w:rPr>
        <w:t xml:space="preserve"> </w:t>
      </w:r>
      <w:r w:rsidRPr="74B83E5E">
        <w:rPr>
          <w:rFonts w:eastAsia="Segoe UI"/>
        </w:rPr>
        <w:t>in SIDAS, K10 and WHO scores were significantly different from the average</w:t>
      </w:r>
      <w:r w:rsidR="00A536B5">
        <w:rPr>
          <w:rFonts w:eastAsia="Segoe UI"/>
        </w:rPr>
        <w:t xml:space="preserve"> participant’s</w:t>
      </w:r>
      <w:r w:rsidRPr="74B83E5E">
        <w:rPr>
          <w:rFonts w:eastAsia="Segoe UI"/>
        </w:rPr>
        <w:t xml:space="preserve"> </w:t>
      </w:r>
      <w:r w:rsidR="007C16C0">
        <w:rPr>
          <w:rFonts w:eastAsia="Segoe UI"/>
        </w:rPr>
        <w:t xml:space="preserve">improvement </w:t>
      </w:r>
      <w:r w:rsidR="00A536B5">
        <w:rPr>
          <w:rFonts w:eastAsia="Segoe UI"/>
        </w:rPr>
        <w:t>in outcome scores</w:t>
      </w:r>
      <w:r w:rsidRPr="74B83E5E">
        <w:rPr>
          <w:rFonts w:eastAsia="Segoe UI"/>
        </w:rPr>
        <w:t xml:space="preserve">. The differences to changes in outcomes scores for specific cohorts highlight important learnings about the effectiveness of The Way Back </w:t>
      </w:r>
      <w:r w:rsidR="35E6A6B7" w:rsidRPr="74B83E5E">
        <w:rPr>
          <w:rFonts w:eastAsia="Segoe UI"/>
        </w:rPr>
        <w:t xml:space="preserve">for priority cohorts </w:t>
      </w:r>
      <w:r w:rsidR="49D55BD1" w:rsidRPr="74B83E5E">
        <w:rPr>
          <w:rFonts w:eastAsia="Segoe UI"/>
        </w:rPr>
        <w:t>identified in the service model</w:t>
      </w:r>
      <w:r w:rsidR="35E6A6B7" w:rsidRPr="74B83E5E">
        <w:rPr>
          <w:rFonts w:eastAsia="Segoe UI"/>
        </w:rPr>
        <w:t xml:space="preserve"> and cohorts of interest the evaluation</w:t>
      </w:r>
      <w:r w:rsidRPr="74B83E5E">
        <w:rPr>
          <w:rFonts w:eastAsia="Segoe UI"/>
        </w:rPr>
        <w:t xml:space="preserve">. </w:t>
      </w:r>
      <w:proofErr w:type="gramStart"/>
      <w:r w:rsidRPr="74B83E5E">
        <w:rPr>
          <w:rFonts w:eastAsia="Segoe UI"/>
        </w:rPr>
        <w:t>In particular, compared</w:t>
      </w:r>
      <w:proofErr w:type="gramEnd"/>
      <w:r w:rsidRPr="74B83E5E">
        <w:rPr>
          <w:rFonts w:eastAsia="Segoe UI"/>
        </w:rPr>
        <w:t xml:space="preserve"> to the average participant of The Way Back</w:t>
      </w:r>
      <w:r w:rsidR="5F402CE7" w:rsidRPr="74B83E5E">
        <w:rPr>
          <w:rFonts w:eastAsia="Segoe UI"/>
        </w:rPr>
        <w:t xml:space="preserve"> it appears that</w:t>
      </w:r>
      <w:r w:rsidRPr="74B83E5E">
        <w:rPr>
          <w:rFonts w:eastAsia="Segoe UI"/>
        </w:rPr>
        <w:t>:</w:t>
      </w:r>
    </w:p>
    <w:p w14:paraId="54D17CC9" w14:textId="027A4A62" w:rsidR="5F402CE7" w:rsidRPr="00C76662" w:rsidRDefault="63AD0858" w:rsidP="00B729F5">
      <w:pPr>
        <w:pStyle w:val="Bullet"/>
        <w:numPr>
          <w:ilvl w:val="1"/>
          <w:numId w:val="2"/>
        </w:numPr>
        <w:rPr>
          <w:rFonts w:eastAsia="Segoe UI"/>
        </w:rPr>
      </w:pPr>
      <w:r w:rsidRPr="570BFB4B">
        <w:rPr>
          <w:rFonts w:eastAsia="Segoe UI"/>
        </w:rPr>
        <w:t>Improvements to o</w:t>
      </w:r>
      <w:r w:rsidR="5F402CE7" w:rsidRPr="570BFB4B">
        <w:rPr>
          <w:rFonts w:eastAsia="Segoe UI"/>
        </w:rPr>
        <w:t>utcome</w:t>
      </w:r>
      <w:r w:rsidR="51447BEC" w:rsidRPr="570BFB4B">
        <w:rPr>
          <w:rFonts w:eastAsia="Segoe UI"/>
        </w:rPr>
        <w:t xml:space="preserve">s were </w:t>
      </w:r>
      <w:r w:rsidR="00C05952">
        <w:rPr>
          <w:rFonts w:eastAsia="Segoe UI"/>
        </w:rPr>
        <w:t xml:space="preserve">significantly </w:t>
      </w:r>
      <w:r w:rsidR="57E83FD4" w:rsidRPr="570BFB4B">
        <w:rPr>
          <w:rFonts w:eastAsia="Segoe UI"/>
        </w:rPr>
        <w:t>larger for</w:t>
      </w:r>
      <w:r w:rsidR="5F402CE7" w:rsidRPr="570BFB4B" w:rsidDel="5F402CE7">
        <w:rPr>
          <w:rFonts w:eastAsia="Segoe UI"/>
        </w:rPr>
        <w:t xml:space="preserve"> </w:t>
      </w:r>
      <w:r w:rsidR="5F402CE7" w:rsidRPr="570BFB4B">
        <w:rPr>
          <w:rFonts w:eastAsia="Segoe UI"/>
        </w:rPr>
        <w:t xml:space="preserve">Aboriginal and Torres Strait Islander people, </w:t>
      </w:r>
      <w:r w:rsidR="0020141A" w:rsidRPr="570BFB4B">
        <w:rPr>
          <w:rFonts w:eastAsia="Segoe UI"/>
        </w:rPr>
        <w:t xml:space="preserve">and </w:t>
      </w:r>
      <w:r w:rsidR="5F402CE7" w:rsidRPr="570BFB4B">
        <w:rPr>
          <w:rFonts w:eastAsia="Segoe UI"/>
        </w:rPr>
        <w:t>people living in regional and remote areas.</w:t>
      </w:r>
    </w:p>
    <w:p w14:paraId="58C7CDBB" w14:textId="23957C0B" w:rsidR="5F402CE7" w:rsidRPr="00C76662" w:rsidRDefault="2F56CC91" w:rsidP="00B729F5">
      <w:pPr>
        <w:pStyle w:val="Bullet"/>
        <w:numPr>
          <w:ilvl w:val="1"/>
          <w:numId w:val="2"/>
        </w:numPr>
        <w:rPr>
          <w:rFonts w:eastAsia="Segoe UI"/>
        </w:rPr>
      </w:pPr>
      <w:r w:rsidRPr="570BFB4B">
        <w:rPr>
          <w:rFonts w:eastAsia="Segoe UI"/>
        </w:rPr>
        <w:lastRenderedPageBreak/>
        <w:t>Improvements to o</w:t>
      </w:r>
      <w:r w:rsidR="5289AA75" w:rsidRPr="570BFB4B">
        <w:rPr>
          <w:rFonts w:eastAsia="Segoe UI"/>
        </w:rPr>
        <w:t>utcomes</w:t>
      </w:r>
      <w:r w:rsidR="6C71C951" w:rsidRPr="570BFB4B">
        <w:rPr>
          <w:rFonts w:eastAsia="Segoe UI"/>
        </w:rPr>
        <w:t xml:space="preserve"> were similar</w:t>
      </w:r>
      <w:r w:rsidR="5289AA75" w:rsidRPr="570BFB4B">
        <w:rPr>
          <w:rFonts w:eastAsia="Segoe UI"/>
        </w:rPr>
        <w:t xml:space="preserve"> </w:t>
      </w:r>
      <w:r w:rsidR="5F402CE7" w:rsidRPr="570BFB4B">
        <w:rPr>
          <w:rFonts w:eastAsia="Segoe UI"/>
        </w:rPr>
        <w:t>for people with alcohol and other drug needs, and participants aged over 65.</w:t>
      </w:r>
    </w:p>
    <w:p w14:paraId="01A64A6B" w14:textId="576F3801" w:rsidR="5F402CE7" w:rsidRPr="00C76662" w:rsidRDefault="5A235716" w:rsidP="00B729F5">
      <w:pPr>
        <w:pStyle w:val="Bullet"/>
        <w:numPr>
          <w:ilvl w:val="1"/>
          <w:numId w:val="2"/>
        </w:numPr>
        <w:rPr>
          <w:rFonts w:eastAsia="Segoe UI"/>
        </w:rPr>
      </w:pPr>
      <w:r w:rsidRPr="570BFB4B">
        <w:rPr>
          <w:rFonts w:eastAsia="Segoe UI"/>
        </w:rPr>
        <w:t xml:space="preserve">Improvements to outcomes were </w:t>
      </w:r>
      <w:r w:rsidR="00C05952">
        <w:rPr>
          <w:rFonts w:eastAsia="Segoe UI"/>
        </w:rPr>
        <w:t xml:space="preserve">significantly </w:t>
      </w:r>
      <w:r w:rsidRPr="570BFB4B">
        <w:rPr>
          <w:rFonts w:eastAsia="Segoe UI"/>
        </w:rPr>
        <w:t xml:space="preserve">smaller for </w:t>
      </w:r>
      <w:r w:rsidR="5F402CE7" w:rsidRPr="570BFB4B">
        <w:rPr>
          <w:rFonts w:eastAsia="Segoe UI"/>
        </w:rPr>
        <w:t xml:space="preserve">participants diagnosed with a personality disorder, aged under 25, identified as male, unemployed, and those referred </w:t>
      </w:r>
      <w:proofErr w:type="gramStart"/>
      <w:r w:rsidR="0020141A" w:rsidRPr="570BFB4B">
        <w:rPr>
          <w:rFonts w:eastAsia="Segoe UI"/>
        </w:rPr>
        <w:t>on the basis of</w:t>
      </w:r>
      <w:proofErr w:type="gramEnd"/>
      <w:r w:rsidR="0020141A" w:rsidRPr="570BFB4B">
        <w:rPr>
          <w:rFonts w:eastAsia="Segoe UI"/>
        </w:rPr>
        <w:t xml:space="preserve"> </w:t>
      </w:r>
      <w:r w:rsidR="5F402CE7" w:rsidRPr="570BFB4B">
        <w:rPr>
          <w:rFonts w:eastAsia="Segoe UI"/>
        </w:rPr>
        <w:t xml:space="preserve">secondary criteria. </w:t>
      </w:r>
    </w:p>
    <w:p w14:paraId="79A9D270" w14:textId="45877C9A" w:rsidR="5F402CE7" w:rsidRPr="0094791F" w:rsidRDefault="16C7D62E" w:rsidP="0080532A">
      <w:r>
        <w:t xml:space="preserve">It is important to note that there were limitations to drawing conclusions about the effectiveness of The Way Back for specific cohorts. Specifically, given the limited sample size </w:t>
      </w:r>
      <w:r w:rsidR="17AA810B">
        <w:t xml:space="preserve">and </w:t>
      </w:r>
      <w:r w:rsidR="5BB52135">
        <w:t xml:space="preserve">lack of demographic data </w:t>
      </w:r>
      <w:r>
        <w:t xml:space="preserve">across some cohorts, </w:t>
      </w:r>
      <w:proofErr w:type="gramStart"/>
      <w:r>
        <w:t>in particular those</w:t>
      </w:r>
      <w:proofErr w:type="gramEnd"/>
      <w:r>
        <w:t xml:space="preserve"> receiving peer support as part of their engagement with The Way Back and those with </w:t>
      </w:r>
      <w:r w:rsidR="7E88F629">
        <w:t>alcohol</w:t>
      </w:r>
      <w:r w:rsidR="47CE1665">
        <w:t xml:space="preserve"> and/or other drug</w:t>
      </w:r>
      <w:r w:rsidR="7E88F629">
        <w:t xml:space="preserve"> </w:t>
      </w:r>
      <w:r>
        <w:t>needs, and the details collected, the evaluation cannot draw conclusions about the reasons why The Way Back improved outcomes by more/less for specific cohorts. However, consultations with provider staff and participants provided some reasons on what mechanisms contributed to a greater or lower change in outcomes for specific cohorts (</w:t>
      </w:r>
      <w:r w:rsidR="5F402CE7">
        <w:fldChar w:fldCharType="begin"/>
      </w:r>
      <w:r w:rsidR="5F402CE7">
        <w:instrText xml:space="preserve"> REF _Ref121311744 \n \h </w:instrText>
      </w:r>
      <w:r w:rsidR="5F402CE7">
        <w:fldChar w:fldCharType="separate"/>
      </w:r>
      <w:r w:rsidR="00402362">
        <w:t>8.1.2</w:t>
      </w:r>
      <w:r w:rsidR="5F402CE7">
        <w:fldChar w:fldCharType="end"/>
      </w:r>
      <w:r>
        <w:t xml:space="preserve">). In addition, while some </w:t>
      </w:r>
      <w:r w:rsidR="0089765B">
        <w:t>cohorts</w:t>
      </w:r>
      <w:r w:rsidR="004A3F6C">
        <w:t>’</w:t>
      </w:r>
      <w:r w:rsidR="0089765B">
        <w:t xml:space="preserve"> </w:t>
      </w:r>
      <w:r>
        <w:t>average</w:t>
      </w:r>
      <w:r w:rsidR="00026B8B">
        <w:t xml:space="preserve"> improvement in</w:t>
      </w:r>
      <w:r>
        <w:t xml:space="preserve"> outcome measure</w:t>
      </w:r>
      <w:r w:rsidR="00026B8B">
        <w:t>s</w:t>
      </w:r>
      <w:r>
        <w:t xml:space="preserve"> </w:t>
      </w:r>
      <w:r w:rsidR="008F3922">
        <w:t>ha</w:t>
      </w:r>
      <w:r w:rsidR="004A3F6C">
        <w:t xml:space="preserve">d </w:t>
      </w:r>
      <w:r>
        <w:t>statistically significant</w:t>
      </w:r>
      <w:r w:rsidR="008F3922">
        <w:t xml:space="preserve"> difference</w:t>
      </w:r>
      <w:r w:rsidR="008F6899">
        <w:t>s</w:t>
      </w:r>
      <w:r w:rsidR="0050727F">
        <w:t xml:space="preserve"> from the average</w:t>
      </w:r>
      <w:r w:rsidR="00026B8B">
        <w:t xml:space="preserve"> </w:t>
      </w:r>
      <w:r w:rsidR="004A3F6C">
        <w:t xml:space="preserve">participant’s </w:t>
      </w:r>
      <w:r w:rsidR="00026B8B">
        <w:t>improvements</w:t>
      </w:r>
      <w:r>
        <w:t xml:space="preserve">, the </w:t>
      </w:r>
      <w:r w:rsidR="00027764">
        <w:t>difference</w:t>
      </w:r>
      <w:r w:rsidR="008F6899">
        <w:t>s</w:t>
      </w:r>
      <w:r w:rsidR="00524F85">
        <w:t xml:space="preserve"> in </w:t>
      </w:r>
      <w:r w:rsidR="00F758FF">
        <w:t>outcome</w:t>
      </w:r>
      <w:r w:rsidR="00524F85">
        <w:t xml:space="preserve"> scores </w:t>
      </w:r>
      <w:r w:rsidR="008F6899">
        <w:t>were</w:t>
      </w:r>
      <w:r>
        <w:t xml:space="preserve"> relatively minor in scale.</w:t>
      </w:r>
      <w:r w:rsidR="5EF8EF81">
        <w:t xml:space="preserve"> Overall, </w:t>
      </w:r>
      <w:r w:rsidR="7F584215">
        <w:t>participants</w:t>
      </w:r>
      <w:r w:rsidR="31D8B430">
        <w:t xml:space="preserve"> experienced statistically significant improvements</w:t>
      </w:r>
      <w:r w:rsidR="493B00A8">
        <w:t xml:space="preserve"> on average</w:t>
      </w:r>
      <w:r w:rsidR="31D8B430">
        <w:t>.</w:t>
      </w:r>
    </w:p>
    <w:p w14:paraId="5BBBA16C" w14:textId="061D9743" w:rsidR="00C15AE8" w:rsidRDefault="00CB7367" w:rsidP="00ED54A4">
      <w:pPr>
        <w:pStyle w:val="Caption"/>
        <w:rPr>
          <w:rFonts w:eastAsia="Segoe UI Semibold" w:cs="Segoe UI Semibold"/>
          <w:szCs w:val="19"/>
        </w:rPr>
      </w:pPr>
      <w:bookmarkStart w:id="107" w:name="_Ref121312072"/>
      <w:r>
        <w:lastRenderedPageBreak/>
        <w:t xml:space="preserve">Figure </w:t>
      </w:r>
      <w:r>
        <w:fldChar w:fldCharType="begin"/>
      </w:r>
      <w:r>
        <w:instrText xml:space="preserve"> SEQ Figure \* ARABIC </w:instrText>
      </w:r>
      <w:r>
        <w:fldChar w:fldCharType="separate"/>
      </w:r>
      <w:r w:rsidR="00402362">
        <w:rPr>
          <w:noProof/>
        </w:rPr>
        <w:t>18</w:t>
      </w:r>
      <w:r>
        <w:fldChar w:fldCharType="end"/>
      </w:r>
      <w:bookmarkEnd w:id="107"/>
      <w:r w:rsidR="3FCF7E63" w:rsidRPr="00F406A3">
        <w:rPr>
          <w:rFonts w:eastAsia="Segoe UI Semibold" w:cs="Segoe UI Semibold"/>
          <w:szCs w:val="19"/>
        </w:rPr>
        <w:t xml:space="preserve"> | Variations in outcomes across cohorts</w:t>
      </w:r>
    </w:p>
    <w:p w14:paraId="4972986B" w14:textId="4B983201" w:rsidR="00495A91" w:rsidRPr="00495A91" w:rsidRDefault="00495A91" w:rsidP="00495A91">
      <w:r w:rsidRPr="00495A91">
        <w:rPr>
          <w:noProof/>
        </w:rPr>
        <w:drawing>
          <wp:inline distT="0" distB="0" distL="0" distR="0" wp14:anchorId="28C322B6" wp14:editId="581D8723">
            <wp:extent cx="5341588" cy="8367623"/>
            <wp:effectExtent l="0" t="0" r="0" b="0"/>
            <wp:docPr id="51" name="Graphic 51" descr="Figure 18 is an infographic showing the variations in outcomes across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Figure 18 is an infographic showing the variations in outcomes across cohorts"/>
                    <pic:cNvPicPr/>
                  </pic:nvPicPr>
                  <pic:blipFill>
                    <a:blip r:embed="rId75">
                      <a:extLst>
                        <a:ext uri="{96DAC541-7B7A-43D3-8B79-37D633B846F1}">
                          <asvg:svgBlip xmlns:asvg="http://schemas.microsoft.com/office/drawing/2016/SVG/main" r:embed="rId76"/>
                        </a:ext>
                      </a:extLst>
                    </a:blip>
                    <a:stretch>
                      <a:fillRect/>
                    </a:stretch>
                  </pic:blipFill>
                  <pic:spPr>
                    <a:xfrm>
                      <a:off x="0" y="0"/>
                      <a:ext cx="5344532" cy="8372235"/>
                    </a:xfrm>
                    <a:prstGeom prst="rect">
                      <a:avLst/>
                    </a:prstGeom>
                  </pic:spPr>
                </pic:pic>
              </a:graphicData>
            </a:graphic>
          </wp:inline>
        </w:drawing>
      </w:r>
    </w:p>
    <w:p w14:paraId="7AE4F6F4" w14:textId="280F2EDF" w:rsidR="008C5F2F" w:rsidRPr="00271F6A" w:rsidRDefault="36BD31E0" w:rsidP="008C5F2F">
      <w:pPr>
        <w:pStyle w:val="Heading2"/>
      </w:pPr>
      <w:bookmarkStart w:id="108" w:name="_Toc121284528"/>
      <w:bookmarkStart w:id="109" w:name="_Toc121320223"/>
      <w:bookmarkStart w:id="110" w:name="_Ref118284967"/>
      <w:bookmarkStart w:id="111" w:name="_Ref118285117"/>
      <w:bookmarkStart w:id="112" w:name="_Ref118285540"/>
      <w:bookmarkStart w:id="113" w:name="_Ref118288227"/>
      <w:bookmarkStart w:id="114" w:name="_Ref121311357"/>
      <w:bookmarkStart w:id="115" w:name="_Ref121314106"/>
      <w:bookmarkStart w:id="116" w:name="_Toc121320691"/>
      <w:bookmarkStart w:id="117" w:name="_Ref82673377"/>
      <w:bookmarkEnd w:id="108"/>
      <w:bookmarkEnd w:id="109"/>
      <w:r w:rsidRPr="00271F6A">
        <w:lastRenderedPageBreak/>
        <w:t>Participant</w:t>
      </w:r>
      <w:r w:rsidR="735EEEE7" w:rsidRPr="00271F6A">
        <w:t xml:space="preserve"> outcomes by site</w:t>
      </w:r>
      <w:bookmarkEnd w:id="110"/>
      <w:bookmarkEnd w:id="111"/>
      <w:bookmarkEnd w:id="112"/>
      <w:bookmarkEnd w:id="113"/>
      <w:bookmarkEnd w:id="114"/>
      <w:bookmarkEnd w:id="115"/>
      <w:bookmarkEnd w:id="116"/>
    </w:p>
    <w:p w14:paraId="6EF67C18" w14:textId="538AF3A7" w:rsidR="00CE31D4" w:rsidRPr="00271F6A" w:rsidRDefault="56B6FFFA" w:rsidP="00CB0C9C">
      <w:pPr>
        <w:pStyle w:val="Heading3"/>
      </w:pPr>
      <w:r w:rsidRPr="00271F6A">
        <w:t xml:space="preserve">There were no significant differences in </w:t>
      </w:r>
      <w:r w:rsidR="36BD31E0" w:rsidRPr="00271F6A">
        <w:t>participant</w:t>
      </w:r>
      <w:r w:rsidRPr="00271F6A">
        <w:t xml:space="preserve"> outcomes between sites.</w:t>
      </w:r>
    </w:p>
    <w:p w14:paraId="29994BEB" w14:textId="5C7702E2" w:rsidR="001D1DD6" w:rsidRDefault="00794065" w:rsidP="74B83E5E">
      <w:pPr>
        <w:rPr>
          <w:rFonts w:asciiTheme="minorHAnsi" w:hAnsiTheme="minorHAnsi"/>
        </w:rPr>
      </w:pPr>
      <w:r>
        <w:rPr>
          <w:rFonts w:asciiTheme="minorHAnsi" w:hAnsiTheme="minorHAnsi"/>
        </w:rPr>
        <w:t xml:space="preserve">The </w:t>
      </w:r>
      <w:r w:rsidR="00D018B4">
        <w:rPr>
          <w:rFonts w:asciiTheme="minorHAnsi" w:hAnsiTheme="minorHAnsi"/>
        </w:rPr>
        <w:t xml:space="preserve">evaluation </w:t>
      </w:r>
      <w:r w:rsidR="00633C6E">
        <w:rPr>
          <w:rFonts w:asciiTheme="minorHAnsi" w:hAnsiTheme="minorHAnsi"/>
        </w:rPr>
        <w:t>investigate</w:t>
      </w:r>
      <w:r w:rsidR="00B31F28">
        <w:rPr>
          <w:rFonts w:asciiTheme="minorHAnsi" w:hAnsiTheme="minorHAnsi"/>
        </w:rPr>
        <w:t xml:space="preserve">d </w:t>
      </w:r>
      <w:r w:rsidR="00633C6E">
        <w:rPr>
          <w:rFonts w:asciiTheme="minorHAnsi" w:hAnsiTheme="minorHAnsi"/>
        </w:rPr>
        <w:t xml:space="preserve">the effect of </w:t>
      </w:r>
      <w:r w:rsidR="00D33EAB">
        <w:rPr>
          <w:rFonts w:asciiTheme="minorHAnsi" w:hAnsiTheme="minorHAnsi"/>
        </w:rPr>
        <w:t>site-specific</w:t>
      </w:r>
      <w:r w:rsidR="00906D7E">
        <w:rPr>
          <w:rFonts w:asciiTheme="minorHAnsi" w:hAnsiTheme="minorHAnsi"/>
        </w:rPr>
        <w:t xml:space="preserve"> conditions</w:t>
      </w:r>
      <w:r w:rsidR="00633C6E">
        <w:rPr>
          <w:rFonts w:asciiTheme="minorHAnsi" w:hAnsiTheme="minorHAnsi"/>
        </w:rPr>
        <w:t xml:space="preserve"> on outcomes</w:t>
      </w:r>
      <w:r w:rsidR="004327AD">
        <w:rPr>
          <w:rFonts w:asciiTheme="minorHAnsi" w:hAnsiTheme="minorHAnsi"/>
        </w:rPr>
        <w:t xml:space="preserve"> (</w:t>
      </w:r>
      <w:r w:rsidR="00906D7E">
        <w:rPr>
          <w:rFonts w:asciiTheme="minorHAnsi" w:hAnsiTheme="minorHAnsi"/>
        </w:rPr>
        <w:t xml:space="preserve">by </w:t>
      </w:r>
      <w:r w:rsidR="004327AD">
        <w:rPr>
          <w:rFonts w:asciiTheme="minorHAnsi" w:hAnsiTheme="minorHAnsi"/>
        </w:rPr>
        <w:t xml:space="preserve">including all cohorts </w:t>
      </w:r>
      <w:r w:rsidR="00D131B6">
        <w:rPr>
          <w:rFonts w:asciiTheme="minorHAnsi" w:hAnsiTheme="minorHAnsi"/>
        </w:rPr>
        <w:t>in the set of</w:t>
      </w:r>
      <w:r w:rsidR="004327AD">
        <w:rPr>
          <w:rFonts w:asciiTheme="minorHAnsi" w:hAnsiTheme="minorHAnsi"/>
        </w:rPr>
        <w:t xml:space="preserve"> participants with matched pairs)</w:t>
      </w:r>
      <w:r w:rsidR="00E24025">
        <w:rPr>
          <w:rFonts w:asciiTheme="minorHAnsi" w:hAnsiTheme="minorHAnsi"/>
        </w:rPr>
        <w:t xml:space="preserve">. The </w:t>
      </w:r>
      <w:r w:rsidR="00303D68">
        <w:rPr>
          <w:rFonts w:asciiTheme="minorHAnsi" w:hAnsiTheme="minorHAnsi"/>
        </w:rPr>
        <w:t xml:space="preserve">results </w:t>
      </w:r>
      <w:r w:rsidR="59284370" w:rsidRPr="74B83E5E">
        <w:rPr>
          <w:rFonts w:asciiTheme="minorHAnsi" w:hAnsiTheme="minorHAnsi"/>
        </w:rPr>
        <w:t>indicated that there was no significant effect of</w:t>
      </w:r>
      <w:r w:rsidR="00AF3F0C">
        <w:rPr>
          <w:rFonts w:asciiTheme="minorHAnsi" w:hAnsiTheme="minorHAnsi"/>
        </w:rPr>
        <w:t xml:space="preserve"> </w:t>
      </w:r>
      <w:r w:rsidR="00183114">
        <w:rPr>
          <w:rFonts w:asciiTheme="minorHAnsi" w:hAnsiTheme="minorHAnsi"/>
        </w:rPr>
        <w:t xml:space="preserve">any </w:t>
      </w:r>
      <w:r w:rsidR="00AF3F0C">
        <w:rPr>
          <w:rFonts w:asciiTheme="minorHAnsi" w:hAnsiTheme="minorHAnsi"/>
        </w:rPr>
        <w:t>individual</w:t>
      </w:r>
      <w:r w:rsidR="59284370" w:rsidRPr="74B83E5E">
        <w:rPr>
          <w:rFonts w:asciiTheme="minorHAnsi" w:hAnsiTheme="minorHAnsi"/>
        </w:rPr>
        <w:t xml:space="preserve"> site</w:t>
      </w:r>
      <w:r w:rsidR="00183114">
        <w:rPr>
          <w:rFonts w:asciiTheme="minorHAnsi" w:hAnsiTheme="minorHAnsi"/>
        </w:rPr>
        <w:t xml:space="preserve"> </w:t>
      </w:r>
      <w:r w:rsidR="59284370" w:rsidRPr="74B83E5E">
        <w:rPr>
          <w:rFonts w:asciiTheme="minorHAnsi" w:hAnsiTheme="minorHAnsi"/>
        </w:rPr>
        <w:t>on outcomes.</w:t>
      </w:r>
      <w:r w:rsidR="00E17C6D">
        <w:rPr>
          <w:rFonts w:asciiTheme="minorHAnsi" w:hAnsiTheme="minorHAnsi"/>
        </w:rPr>
        <w:t xml:space="preserve"> </w:t>
      </w:r>
      <w:r w:rsidR="00867AAD">
        <w:rPr>
          <w:rFonts w:asciiTheme="minorHAnsi" w:hAnsiTheme="minorHAnsi"/>
        </w:rPr>
        <w:t xml:space="preserve">The greater improvement in outcomes </w:t>
      </w:r>
      <w:r w:rsidR="004371B7">
        <w:rPr>
          <w:rFonts w:asciiTheme="minorHAnsi" w:hAnsiTheme="minorHAnsi"/>
        </w:rPr>
        <w:t xml:space="preserve">for </w:t>
      </w:r>
      <w:r w:rsidR="00867AAD">
        <w:rPr>
          <w:rFonts w:asciiTheme="minorHAnsi" w:hAnsiTheme="minorHAnsi"/>
        </w:rPr>
        <w:t xml:space="preserve">participants living in regional and remote areas </w:t>
      </w:r>
      <w:r w:rsidR="004371B7">
        <w:rPr>
          <w:rFonts w:asciiTheme="minorHAnsi" w:hAnsiTheme="minorHAnsi"/>
        </w:rPr>
        <w:t xml:space="preserve">identified in the previous section is outweighed by the effects of other site variables which resulted in no </w:t>
      </w:r>
      <w:r w:rsidR="00575C49">
        <w:rPr>
          <w:rFonts w:asciiTheme="minorHAnsi" w:hAnsiTheme="minorHAnsi"/>
        </w:rPr>
        <w:t>statistically significant effect on outcomes between sites overall.</w:t>
      </w:r>
      <w:r w:rsidR="000E7799">
        <w:rPr>
          <w:rStyle w:val="FootnoteReference"/>
          <w:rFonts w:asciiTheme="minorHAnsi" w:hAnsiTheme="minorHAnsi"/>
        </w:rPr>
        <w:footnoteReference w:id="115"/>
      </w:r>
    </w:p>
    <w:p w14:paraId="21B2DEDB" w14:textId="3B621A04" w:rsidR="008F76AB" w:rsidRPr="00C36604" w:rsidRDefault="00BD4327" w:rsidP="74B83E5E">
      <w:pPr>
        <w:rPr>
          <w:rFonts w:asciiTheme="minorHAnsi" w:hAnsiTheme="minorHAnsi"/>
        </w:rPr>
      </w:pPr>
      <w:r>
        <w:rPr>
          <w:rFonts w:asciiTheme="minorHAnsi" w:hAnsiTheme="minorHAnsi"/>
        </w:rPr>
        <w:t>The lack of significant effect of site on participant outcomes</w:t>
      </w:r>
      <w:r w:rsidR="59284370" w:rsidRPr="74B83E5E">
        <w:rPr>
          <w:rFonts w:asciiTheme="minorHAnsi" w:hAnsiTheme="minorHAnsi"/>
        </w:rPr>
        <w:t xml:space="preserve"> includes no significant difference in outcomes achieved at the Murrumbidgee peer support site compared to other sites</w:t>
      </w:r>
      <w:r w:rsidR="16CEFFD8" w:rsidRPr="74B83E5E">
        <w:rPr>
          <w:rFonts w:asciiTheme="minorHAnsi" w:hAnsiTheme="minorHAnsi"/>
        </w:rPr>
        <w:t xml:space="preserve"> (see section </w:t>
      </w:r>
      <w:r w:rsidR="007156E0" w:rsidRPr="74B83E5E">
        <w:rPr>
          <w:rFonts w:asciiTheme="minorHAnsi" w:hAnsiTheme="minorHAnsi"/>
        </w:rPr>
        <w:fldChar w:fldCharType="begin"/>
      </w:r>
      <w:r w:rsidR="007156E0" w:rsidRPr="74B83E5E">
        <w:rPr>
          <w:rFonts w:asciiTheme="minorHAnsi" w:hAnsiTheme="minorHAnsi"/>
        </w:rPr>
        <w:instrText xml:space="preserve"> REF _Ref121311884 \n \h </w:instrText>
      </w:r>
      <w:r w:rsidR="007156E0" w:rsidRPr="74B83E5E">
        <w:rPr>
          <w:rFonts w:asciiTheme="minorHAnsi" w:hAnsiTheme="minorHAnsi"/>
        </w:rPr>
      </w:r>
      <w:r w:rsidR="007156E0" w:rsidRPr="74B83E5E">
        <w:rPr>
          <w:rFonts w:asciiTheme="minorHAnsi" w:hAnsiTheme="minorHAnsi"/>
        </w:rPr>
        <w:fldChar w:fldCharType="separate"/>
      </w:r>
      <w:r w:rsidR="00402362">
        <w:rPr>
          <w:rFonts w:asciiTheme="minorHAnsi" w:hAnsiTheme="minorHAnsi"/>
        </w:rPr>
        <w:t>6.3</w:t>
      </w:r>
      <w:r w:rsidR="007156E0" w:rsidRPr="74B83E5E">
        <w:rPr>
          <w:rFonts w:asciiTheme="minorHAnsi" w:hAnsiTheme="minorHAnsi"/>
        </w:rPr>
        <w:fldChar w:fldCharType="end"/>
      </w:r>
      <w:r w:rsidR="2D346A6D" w:rsidRPr="74B83E5E">
        <w:rPr>
          <w:rFonts w:asciiTheme="minorHAnsi" w:hAnsiTheme="minorHAnsi"/>
        </w:rPr>
        <w:t>)</w:t>
      </w:r>
      <w:r w:rsidR="59284370" w:rsidRPr="74B83E5E">
        <w:rPr>
          <w:rFonts w:asciiTheme="minorHAnsi" w:hAnsiTheme="minorHAnsi"/>
        </w:rPr>
        <w:t>.</w:t>
      </w:r>
      <w:r w:rsidR="008F76AB" w:rsidRPr="74B83E5E">
        <w:rPr>
          <w:rStyle w:val="FootnoteReference"/>
          <w:rFonts w:asciiTheme="minorHAnsi" w:hAnsiTheme="minorHAnsi"/>
        </w:rPr>
        <w:footnoteReference w:id="116"/>
      </w:r>
      <w:r w:rsidR="00944C7A">
        <w:rPr>
          <w:rFonts w:asciiTheme="minorHAnsi" w:hAnsiTheme="minorHAnsi"/>
        </w:rPr>
        <w:t xml:space="preserve"> </w:t>
      </w:r>
      <w:r w:rsidR="5B2FFA13" w:rsidRPr="74B83E5E">
        <w:rPr>
          <w:rFonts w:asciiTheme="minorHAnsi" w:eastAsia="Segoe UI" w:hAnsiTheme="minorHAnsi"/>
        </w:rPr>
        <w:t>This is consistent with the finding that participants who received peer support as part of their engagement with The Way Back achieved improvements in outcome measures that were not statistically significantly different from the average improvement across all participants.</w:t>
      </w:r>
      <w:r w:rsidR="005749E4">
        <w:rPr>
          <w:rFonts w:asciiTheme="minorHAnsi" w:eastAsia="Segoe UI" w:hAnsiTheme="minorHAnsi"/>
        </w:rPr>
        <w:t xml:space="preserve"> </w:t>
      </w:r>
    </w:p>
    <w:p w14:paraId="26911435" w14:textId="2018671E" w:rsidR="008F76AB" w:rsidRPr="001C48AF" w:rsidRDefault="2E8A328C" w:rsidP="001C48AF">
      <w:pPr>
        <w:rPr>
          <w:rFonts w:asciiTheme="minorHAnsi" w:eastAsia="Segoe UI" w:hAnsiTheme="minorHAnsi" w:cstheme="minorHAnsi"/>
          <w:szCs w:val="19"/>
        </w:rPr>
      </w:pPr>
      <w:r w:rsidRPr="001C48AF">
        <w:rPr>
          <w:rFonts w:asciiTheme="minorHAnsi" w:eastAsia="Segoe UI" w:hAnsiTheme="minorHAnsi" w:cstheme="minorHAnsi"/>
          <w:szCs w:val="19"/>
        </w:rPr>
        <w:t>Across all sites, staff in focus groups and a few participants in interviews</w:t>
      </w:r>
      <w:r>
        <w:rPr>
          <w:rFonts w:asciiTheme="minorHAnsi" w:eastAsia="Segoe UI" w:hAnsiTheme="minorHAnsi" w:cstheme="minorHAnsi"/>
          <w:szCs w:val="19"/>
        </w:rPr>
        <w:t xml:space="preserve"> r</w:t>
      </w:r>
      <w:r w:rsidRPr="001C48AF">
        <w:rPr>
          <w:rFonts w:asciiTheme="minorHAnsi" w:eastAsia="Segoe UI" w:hAnsiTheme="minorHAnsi" w:cstheme="minorHAnsi"/>
          <w:szCs w:val="19"/>
        </w:rPr>
        <w:t xml:space="preserve">eported that the improvement in outcomes was increased for participants </w:t>
      </w:r>
      <w:proofErr w:type="gramStart"/>
      <w:r w:rsidRPr="001C48AF">
        <w:rPr>
          <w:rFonts w:asciiTheme="minorHAnsi" w:eastAsia="Segoe UI" w:hAnsiTheme="minorHAnsi" w:cstheme="minorHAnsi"/>
          <w:szCs w:val="19"/>
        </w:rPr>
        <w:t>as a result of</w:t>
      </w:r>
      <w:proofErr w:type="gramEnd"/>
      <w:r w:rsidRPr="001C48AF">
        <w:rPr>
          <w:rFonts w:asciiTheme="minorHAnsi" w:eastAsia="Segoe UI" w:hAnsiTheme="minorHAnsi" w:cstheme="minorHAnsi"/>
          <w:szCs w:val="19"/>
        </w:rPr>
        <w:t xml:space="preserve"> enhancements in their site and greater integration between clinical and </w:t>
      </w:r>
      <w:r w:rsidR="00DD25F1">
        <w:rPr>
          <w:rFonts w:asciiTheme="minorHAnsi" w:eastAsia="Segoe UI" w:hAnsiTheme="minorHAnsi" w:cstheme="minorHAnsi"/>
          <w:szCs w:val="19"/>
        </w:rPr>
        <w:t xml:space="preserve">psychosocial </w:t>
      </w:r>
      <w:r w:rsidRPr="001C48AF">
        <w:rPr>
          <w:rFonts w:asciiTheme="minorHAnsi" w:eastAsia="Segoe UI" w:hAnsiTheme="minorHAnsi" w:cstheme="minorHAnsi"/>
          <w:szCs w:val="19"/>
        </w:rPr>
        <w:t>services. See section</w:t>
      </w:r>
      <w:r w:rsidR="00D94048">
        <w:rPr>
          <w:rFonts w:asciiTheme="minorHAnsi" w:eastAsia="Segoe UI" w:hAnsiTheme="minorHAnsi" w:cstheme="minorHAnsi"/>
          <w:szCs w:val="19"/>
        </w:rPr>
        <w:t xml:space="preserve"> </w:t>
      </w:r>
      <w:bookmarkStart w:id="118" w:name="_Hlt122528947"/>
      <w:r w:rsidR="007156E0">
        <w:rPr>
          <w:rFonts w:asciiTheme="minorHAnsi" w:eastAsia="Segoe UI" w:hAnsiTheme="minorHAnsi" w:cstheme="minorHAnsi"/>
          <w:szCs w:val="19"/>
        </w:rPr>
        <w:fldChar w:fldCharType="begin"/>
      </w:r>
      <w:r w:rsidR="007156E0">
        <w:rPr>
          <w:rFonts w:asciiTheme="minorHAnsi" w:eastAsia="Segoe UI" w:hAnsiTheme="minorHAnsi" w:cstheme="minorHAnsi"/>
          <w:szCs w:val="19"/>
        </w:rPr>
        <w:instrText xml:space="preserve"> REF _Ref121311927 \n \h </w:instrText>
      </w:r>
      <w:r w:rsidR="007156E0">
        <w:rPr>
          <w:rFonts w:asciiTheme="minorHAnsi" w:eastAsia="Segoe UI" w:hAnsiTheme="minorHAnsi" w:cstheme="minorHAnsi"/>
          <w:szCs w:val="19"/>
        </w:rPr>
      </w:r>
      <w:r w:rsidR="007156E0">
        <w:rPr>
          <w:rFonts w:asciiTheme="minorHAnsi" w:eastAsia="Segoe UI" w:hAnsiTheme="minorHAnsi" w:cstheme="minorHAnsi"/>
          <w:szCs w:val="19"/>
        </w:rPr>
        <w:fldChar w:fldCharType="separate"/>
      </w:r>
      <w:r w:rsidR="00402362">
        <w:rPr>
          <w:rFonts w:asciiTheme="minorHAnsi" w:eastAsia="Segoe UI" w:hAnsiTheme="minorHAnsi" w:cstheme="minorHAnsi"/>
          <w:szCs w:val="19"/>
        </w:rPr>
        <w:t>4</w:t>
      </w:r>
      <w:r w:rsidR="007156E0">
        <w:rPr>
          <w:rFonts w:asciiTheme="minorHAnsi" w:eastAsia="Segoe UI" w:hAnsiTheme="minorHAnsi" w:cstheme="minorHAnsi"/>
          <w:szCs w:val="19"/>
        </w:rPr>
        <w:fldChar w:fldCharType="end"/>
      </w:r>
      <w:bookmarkEnd w:id="118"/>
      <w:r w:rsidR="00D94048">
        <w:rPr>
          <w:rFonts w:asciiTheme="minorHAnsi" w:eastAsia="Segoe UI" w:hAnsiTheme="minorHAnsi" w:cstheme="minorHAnsi"/>
          <w:szCs w:val="19"/>
        </w:rPr>
        <w:t xml:space="preserve"> </w:t>
      </w:r>
      <w:r w:rsidRPr="001C48AF">
        <w:rPr>
          <w:rFonts w:asciiTheme="minorHAnsi" w:eastAsia="Segoe UI" w:hAnsiTheme="minorHAnsi" w:cstheme="minorHAnsi"/>
          <w:szCs w:val="19"/>
        </w:rPr>
        <w:t xml:space="preserve">for a complete list of site enhancements and section </w:t>
      </w:r>
      <w:r w:rsidR="007156E0">
        <w:rPr>
          <w:rFonts w:asciiTheme="minorHAnsi" w:eastAsia="Segoe UI" w:hAnsiTheme="minorHAnsi" w:cstheme="minorHAnsi"/>
          <w:szCs w:val="19"/>
        </w:rPr>
        <w:fldChar w:fldCharType="begin"/>
      </w:r>
      <w:r w:rsidR="007156E0">
        <w:rPr>
          <w:rFonts w:asciiTheme="minorHAnsi" w:eastAsia="Segoe UI" w:hAnsiTheme="minorHAnsi" w:cstheme="minorHAnsi"/>
          <w:szCs w:val="19"/>
        </w:rPr>
        <w:instrText xml:space="preserve"> REF _Ref118127814 \n \h </w:instrText>
      </w:r>
      <w:r w:rsidR="007156E0">
        <w:rPr>
          <w:rFonts w:asciiTheme="minorHAnsi" w:eastAsia="Segoe UI" w:hAnsiTheme="minorHAnsi" w:cstheme="minorHAnsi"/>
          <w:szCs w:val="19"/>
        </w:rPr>
      </w:r>
      <w:r w:rsidR="007156E0">
        <w:rPr>
          <w:rFonts w:asciiTheme="minorHAnsi" w:eastAsia="Segoe UI" w:hAnsiTheme="minorHAnsi" w:cstheme="minorHAnsi"/>
          <w:szCs w:val="19"/>
        </w:rPr>
        <w:fldChar w:fldCharType="separate"/>
      </w:r>
      <w:r w:rsidR="00402362">
        <w:rPr>
          <w:rFonts w:asciiTheme="minorHAnsi" w:eastAsia="Segoe UI" w:hAnsiTheme="minorHAnsi" w:cstheme="minorHAnsi"/>
          <w:szCs w:val="19"/>
        </w:rPr>
        <w:t>9.2</w:t>
      </w:r>
      <w:r w:rsidR="007156E0">
        <w:rPr>
          <w:rFonts w:asciiTheme="minorHAnsi" w:eastAsia="Segoe UI" w:hAnsiTheme="minorHAnsi" w:cstheme="minorHAnsi"/>
          <w:szCs w:val="19"/>
        </w:rPr>
        <w:fldChar w:fldCharType="end"/>
      </w:r>
      <w:r w:rsidRPr="001C48AF">
        <w:rPr>
          <w:rFonts w:asciiTheme="minorHAnsi" w:eastAsia="Segoe UI" w:hAnsiTheme="minorHAnsi" w:cstheme="minorHAnsi"/>
          <w:szCs w:val="19"/>
        </w:rPr>
        <w:t xml:space="preserve"> for further information on the role of integration.</w:t>
      </w:r>
    </w:p>
    <w:p w14:paraId="0A6D0B52" w14:textId="77777777" w:rsidR="004F1458" w:rsidRDefault="004F1458" w:rsidP="004F1458">
      <w:pPr>
        <w:pStyle w:val="Heading2"/>
      </w:pPr>
      <w:bookmarkStart w:id="119" w:name="_Toc121320692"/>
      <w:r>
        <w:t>Contribution of The Way Back to participant outcomes</w:t>
      </w:r>
      <w:bookmarkEnd w:id="119"/>
      <w:r w:rsidRPr="00594225">
        <w:t xml:space="preserve"> </w:t>
      </w:r>
    </w:p>
    <w:p w14:paraId="0D8B7CAD" w14:textId="77777777" w:rsidR="00D01B4C" w:rsidDel="00B02617" w:rsidRDefault="00D01B4C" w:rsidP="00CB0C9C">
      <w:pPr>
        <w:pStyle w:val="Heading3"/>
      </w:pPr>
      <w:r>
        <w:t>Most participants</w:t>
      </w:r>
      <w:r w:rsidRPr="00B02617">
        <w:t xml:space="preserve"> </w:t>
      </w:r>
      <w:r>
        <w:t>indicated</w:t>
      </w:r>
      <w:r w:rsidRPr="00B02617">
        <w:t xml:space="preserve"> </w:t>
      </w:r>
      <w:r>
        <w:t>The Way Back</w:t>
      </w:r>
      <w:r w:rsidRPr="00B02617">
        <w:t xml:space="preserve"> </w:t>
      </w:r>
      <w:r>
        <w:t>played</w:t>
      </w:r>
      <w:r w:rsidRPr="00B02617">
        <w:t xml:space="preserve"> a</w:t>
      </w:r>
      <w:r>
        <w:t>n important</w:t>
      </w:r>
      <w:r w:rsidRPr="00B02617">
        <w:t xml:space="preserve"> role in their recovery</w:t>
      </w:r>
      <w:r>
        <w:t xml:space="preserve"> and wellbeing. </w:t>
      </w:r>
    </w:p>
    <w:p w14:paraId="3B3AB923" w14:textId="7BCB0ED1" w:rsidR="00D01B4C" w:rsidRDefault="00D01B4C" w:rsidP="00D01B4C">
      <w:r>
        <w:t xml:space="preserve">As outlined in </w:t>
      </w:r>
      <w:r w:rsidRPr="00CC7358">
        <w:t xml:space="preserve">section </w:t>
      </w:r>
      <w:r w:rsidR="00801E04">
        <w:fldChar w:fldCharType="begin"/>
      </w:r>
      <w:r w:rsidR="00801E04">
        <w:instrText xml:space="preserve"> REF _Ref121312023 \n \h </w:instrText>
      </w:r>
      <w:r w:rsidR="00801E04">
        <w:fldChar w:fldCharType="separate"/>
      </w:r>
      <w:r w:rsidR="00402362">
        <w:t>7.1</w:t>
      </w:r>
      <w:r w:rsidR="00801E04">
        <w:fldChar w:fldCharType="end"/>
      </w:r>
      <w:r w:rsidR="00801E04">
        <w:t xml:space="preserve"> </w:t>
      </w:r>
      <w:r>
        <w:t xml:space="preserve">most participants </w:t>
      </w:r>
      <w:r w:rsidR="004E73C4">
        <w:t>who completed</w:t>
      </w:r>
      <w:r w:rsidR="003E43BD">
        <w:t xml:space="preserve"> the </w:t>
      </w:r>
      <w:r>
        <w:t>interview and survey reported The Way Back had a significant impact on their life across all the intended service outcomes and goals. In interviews, participants were asked to what extent The Way Back contributed to their recovery</w:t>
      </w:r>
      <w:r w:rsidR="005F3999">
        <w:t>, this included rating to what exten</w:t>
      </w:r>
      <w:r w:rsidR="005C3AEB">
        <w:t>t</w:t>
      </w:r>
      <w:r w:rsidR="005F3999">
        <w:t xml:space="preserve"> The Way Back supported their recovery and wellbeing on a scale of one (did not support me at all) to ten (greatly supported me).</w:t>
      </w:r>
      <w:r>
        <w:t xml:space="preserve"> The findings from these interviews are summarised below i</w:t>
      </w:r>
      <w:r w:rsidR="00801E04">
        <w:t xml:space="preserve">n </w:t>
      </w:r>
      <w:r w:rsidR="003539BE">
        <w:fldChar w:fldCharType="begin"/>
      </w:r>
      <w:r w:rsidR="003539BE">
        <w:instrText xml:space="preserve"> REF _Ref121312063 \h </w:instrText>
      </w:r>
      <w:r w:rsidR="003539BE">
        <w:fldChar w:fldCharType="separate"/>
      </w:r>
      <w:r w:rsidR="00402362">
        <w:t xml:space="preserve">Figure </w:t>
      </w:r>
      <w:r w:rsidR="00402362">
        <w:rPr>
          <w:noProof/>
        </w:rPr>
        <w:t>19</w:t>
      </w:r>
      <w:r w:rsidR="003539BE">
        <w:fldChar w:fldCharType="end"/>
      </w:r>
      <w:r>
        <w:t xml:space="preserve">. </w:t>
      </w:r>
    </w:p>
    <w:p w14:paraId="61C41E26" w14:textId="3C40A05E" w:rsidR="003B375E" w:rsidRDefault="003B375E" w:rsidP="003B375E">
      <w:pPr>
        <w:pStyle w:val="Caption"/>
      </w:pPr>
      <w:bookmarkStart w:id="120" w:name="_Ref121312063"/>
      <w:r>
        <w:lastRenderedPageBreak/>
        <w:t xml:space="preserve">Figure </w:t>
      </w:r>
      <w:r>
        <w:fldChar w:fldCharType="begin"/>
      </w:r>
      <w:r>
        <w:instrText xml:space="preserve"> SEQ Figure \* ARABIC </w:instrText>
      </w:r>
      <w:r>
        <w:fldChar w:fldCharType="separate"/>
      </w:r>
      <w:r w:rsidR="00402362">
        <w:rPr>
          <w:noProof/>
        </w:rPr>
        <w:t>19</w:t>
      </w:r>
      <w:r>
        <w:fldChar w:fldCharType="end"/>
      </w:r>
      <w:bookmarkEnd w:id="120"/>
      <w:r>
        <w:t xml:space="preserve"> | Summary of the contribution of The Way Back to participant outcomes </w:t>
      </w:r>
    </w:p>
    <w:p w14:paraId="56DD47B5" w14:textId="4FA5BD57" w:rsidR="00D01B4C" w:rsidRDefault="0034228F" w:rsidP="007401D3">
      <w:pPr>
        <w:spacing w:after="165" w:line="259" w:lineRule="auto"/>
      </w:pPr>
      <w:r w:rsidRPr="0034228F">
        <w:rPr>
          <w:noProof/>
        </w:rPr>
        <w:drawing>
          <wp:inline distT="0" distB="0" distL="0" distR="0" wp14:anchorId="245D8CE5" wp14:editId="7D3DB515">
            <wp:extent cx="5670550" cy="5859145"/>
            <wp:effectExtent l="0" t="0" r="6350" b="8255"/>
            <wp:docPr id="469" name="Graphic 469" descr="Figure 19 is an infographic Summary of the contribution of The Way Back to participant outcomes.  See chapter section 7.1 which will provide an outline on the participants who completed the interview and survey reported The Way B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Graphic 469" descr="Figure 19 is an infographic Summary of the contribution of The Way Back to participant outcomes.  See chapter section 7.1 which will provide an outline on the participants who completed the interview and survey reported The Way Back. "/>
                    <pic:cNvPicPr/>
                  </pic:nvPicPr>
                  <pic:blipFill>
                    <a:blip r:embed="rId77">
                      <a:extLst>
                        <a:ext uri="{96DAC541-7B7A-43D3-8B79-37D633B846F1}">
                          <asvg:svgBlip xmlns:asvg="http://schemas.microsoft.com/office/drawing/2016/SVG/main" r:embed="rId78"/>
                        </a:ext>
                      </a:extLst>
                    </a:blip>
                    <a:stretch>
                      <a:fillRect/>
                    </a:stretch>
                  </pic:blipFill>
                  <pic:spPr>
                    <a:xfrm>
                      <a:off x="0" y="0"/>
                      <a:ext cx="5670550" cy="5859145"/>
                    </a:xfrm>
                    <a:prstGeom prst="rect">
                      <a:avLst/>
                    </a:prstGeom>
                  </pic:spPr>
                </pic:pic>
              </a:graphicData>
            </a:graphic>
          </wp:inline>
        </w:drawing>
      </w:r>
    </w:p>
    <w:p w14:paraId="1457FA05" w14:textId="646E2B9D" w:rsidR="004F1458" w:rsidRDefault="004F1458" w:rsidP="00CB0C9C">
      <w:pPr>
        <w:pStyle w:val="Heading3"/>
      </w:pPr>
      <w:r>
        <w:t xml:space="preserve">The Way Back had a similar effect on participant outcomes as </w:t>
      </w:r>
      <w:r w:rsidR="00835990">
        <w:t xml:space="preserve">other mental health </w:t>
      </w:r>
      <w:r>
        <w:t>services.</w:t>
      </w:r>
    </w:p>
    <w:p w14:paraId="0E1F5242" w14:textId="0880C5DA" w:rsidR="004F1458" w:rsidRDefault="0089466A" w:rsidP="004F1458">
      <w:r>
        <w:t>T</w:t>
      </w:r>
      <w:r w:rsidR="004F1458">
        <w:t xml:space="preserve">he evaluation used Cohen’s d analysis to determine whether the effect size of The Way Back on intended outcomes is </w:t>
      </w:r>
      <w:proofErr w:type="gramStart"/>
      <w:r w:rsidR="004F1458">
        <w:t>similar to</w:t>
      </w:r>
      <w:proofErr w:type="gramEnd"/>
      <w:r w:rsidR="004F1458">
        <w:t xml:space="preserve"> </w:t>
      </w:r>
      <w:r w:rsidR="00356F44">
        <w:t xml:space="preserve">other mental health </w:t>
      </w:r>
      <w:r w:rsidR="004F1458">
        <w:t xml:space="preserve">services. </w:t>
      </w:r>
    </w:p>
    <w:p w14:paraId="62A3698B" w14:textId="4F330147" w:rsidR="004F1458" w:rsidRPr="0059038F" w:rsidRDefault="004F1458" w:rsidP="004F1458">
      <w:r>
        <w:t xml:space="preserve">There was no control group to compare The Way Back effect sizes against, so comparison was done against similar programs (see </w:t>
      </w:r>
      <w:r w:rsidRPr="004B3F90">
        <w:t xml:space="preserve">Appendix </w:t>
      </w:r>
      <w:r w:rsidR="001A1D37">
        <w:t>B</w:t>
      </w:r>
      <w:r>
        <w:t>).</w:t>
      </w:r>
      <w:r>
        <w:rPr>
          <w:rStyle w:val="FootnoteReference"/>
        </w:rPr>
        <w:footnoteReference w:id="117"/>
      </w:r>
      <w:r>
        <w:t xml:space="preserve"> Preliminary analysis of the effect size of The Way Back on the three standardised outcome measures – K10, WHO-5 and SIDAS – compared to </w:t>
      </w:r>
      <w:r w:rsidR="00D1209E">
        <w:t>other mental health services</w:t>
      </w:r>
      <w:r>
        <w:t xml:space="preserve"> demonstrated that: </w:t>
      </w:r>
    </w:p>
    <w:p w14:paraId="3214E2D9" w14:textId="07BBEB3B" w:rsidR="004F1458" w:rsidRDefault="004F1458" w:rsidP="004F1458">
      <w:pPr>
        <w:pStyle w:val="Bullet"/>
      </w:pPr>
      <w:r>
        <w:t xml:space="preserve">The Way Back effect size for the K10 measure (Cohen’s </w:t>
      </w:r>
      <w:r w:rsidRPr="005A43B3">
        <w:t xml:space="preserve">d = </w:t>
      </w:r>
      <w:r w:rsidRPr="00A64DFB">
        <w:t>-1.</w:t>
      </w:r>
      <w:r w:rsidR="00E76C67" w:rsidRPr="00A64DFB">
        <w:t>1</w:t>
      </w:r>
      <w:r w:rsidR="00E76C67">
        <w:t>1</w:t>
      </w:r>
      <w:r w:rsidRPr="005A43B3">
        <w:t>, p&lt;0.005)</w:t>
      </w:r>
      <w:r>
        <w:t xml:space="preserve"> was </w:t>
      </w:r>
      <w:r w:rsidR="00FF20E0">
        <w:t xml:space="preserve">and had a </w:t>
      </w:r>
      <w:r>
        <w:t xml:space="preserve">greater </w:t>
      </w:r>
      <w:r w:rsidR="000B3BBB">
        <w:t xml:space="preserve">or </w:t>
      </w:r>
      <w:proofErr w:type="gramStart"/>
      <w:r w:rsidR="000B3BBB">
        <w:t>similar to</w:t>
      </w:r>
      <w:proofErr w:type="gramEnd"/>
      <w:r w:rsidR="000B3BBB">
        <w:t xml:space="preserve"> </w:t>
      </w:r>
      <w:r>
        <w:t xml:space="preserve">most effect sizes of </w:t>
      </w:r>
      <w:r w:rsidR="00D1209E">
        <w:t>other mental health services</w:t>
      </w:r>
      <w:r w:rsidR="00672194">
        <w:t>,</w:t>
      </w:r>
      <w:r w:rsidR="000C24BE">
        <w:t xml:space="preserve"> </w:t>
      </w:r>
      <w:r w:rsidR="00FF20E0">
        <w:t xml:space="preserve">See Appendix </w:t>
      </w:r>
      <w:r w:rsidR="001A1D37">
        <w:t>B</w:t>
      </w:r>
      <w:r w:rsidR="00FF20E0">
        <w:t xml:space="preserve"> for more detail. </w:t>
      </w:r>
    </w:p>
    <w:p w14:paraId="664F6124" w14:textId="4F3BE99C" w:rsidR="004F1458" w:rsidRDefault="004F1458" w:rsidP="004F1458">
      <w:pPr>
        <w:pStyle w:val="Bullet"/>
      </w:pPr>
      <w:r>
        <w:lastRenderedPageBreak/>
        <w:t xml:space="preserve">There was limited data available on the use of the WHO-5 and SIDAS measures in </w:t>
      </w:r>
      <w:r w:rsidR="001403D0">
        <w:t>other mental health services</w:t>
      </w:r>
      <w:r>
        <w:t xml:space="preserve"> and we were therefore unable to conduct analysis on these measures. </w:t>
      </w:r>
    </w:p>
    <w:p w14:paraId="0E4E98C5" w14:textId="1C972640" w:rsidR="004F1458" w:rsidRPr="00823339" w:rsidRDefault="5A75687E" w:rsidP="004F1458">
      <w:pPr>
        <w:rPr>
          <w:highlight w:val="yellow"/>
          <w:lang w:eastAsia="en-AU"/>
        </w:rPr>
      </w:pPr>
      <w:r>
        <w:t xml:space="preserve">It should be noted that the evaluation did not have an experimental design so cannot attribute outcomes specifically to The Way </w:t>
      </w:r>
      <w:r w:rsidR="01EBED5B">
        <w:t>Back (</w:t>
      </w:r>
      <w:r>
        <w:t xml:space="preserve">see section </w:t>
      </w:r>
      <w:r w:rsidR="002F204F">
        <w:fldChar w:fldCharType="begin"/>
      </w:r>
      <w:r w:rsidR="002F204F">
        <w:instrText xml:space="preserve"> REF _Ref121312802 \n \h </w:instrText>
      </w:r>
      <w:r w:rsidR="002F204F">
        <w:fldChar w:fldCharType="separate"/>
      </w:r>
      <w:r w:rsidR="00402362">
        <w:t>2.2</w:t>
      </w:r>
      <w:r w:rsidR="002F204F">
        <w:fldChar w:fldCharType="end"/>
      </w:r>
      <w:r w:rsidR="3CEEB0B0">
        <w:t xml:space="preserve"> </w:t>
      </w:r>
      <w:r>
        <w:t>for more detail</w:t>
      </w:r>
      <w:r w:rsidR="489FA75C">
        <w:t xml:space="preserve"> on the evaluation design</w:t>
      </w:r>
      <w:r>
        <w:t xml:space="preserve">). </w:t>
      </w:r>
      <w:r w:rsidR="09BE388D">
        <w:t xml:space="preserve">However, </w:t>
      </w:r>
      <w:r w:rsidR="09BE388D" w:rsidRPr="74B83E5E">
        <w:rPr>
          <w:lang w:eastAsia="en-AU"/>
        </w:rPr>
        <w:t xml:space="preserve">The Way Back </w:t>
      </w:r>
      <w:r w:rsidR="000C5647">
        <w:rPr>
          <w:lang w:eastAsia="en-AU"/>
        </w:rPr>
        <w:t>ass</w:t>
      </w:r>
      <w:r w:rsidR="00612090">
        <w:rPr>
          <w:lang w:eastAsia="en-AU"/>
        </w:rPr>
        <w:t xml:space="preserve">isted </w:t>
      </w:r>
      <w:r w:rsidR="09BE388D" w:rsidRPr="74B83E5E">
        <w:rPr>
          <w:lang w:eastAsia="en-AU"/>
        </w:rPr>
        <w:t xml:space="preserve">people by connecting participants to broader supports – inherent in this is other supports have a </w:t>
      </w:r>
      <w:r w:rsidR="5EB1512F" w:rsidRPr="74B83E5E">
        <w:rPr>
          <w:lang w:eastAsia="en-AU"/>
        </w:rPr>
        <w:t xml:space="preserve">critical </w:t>
      </w:r>
      <w:r w:rsidR="09BE388D" w:rsidRPr="74B83E5E">
        <w:rPr>
          <w:lang w:eastAsia="en-AU"/>
        </w:rPr>
        <w:t>role to play in peoples’ recovery.</w:t>
      </w:r>
      <w:r>
        <w:t xml:space="preserve"> </w:t>
      </w:r>
    </w:p>
    <w:p w14:paraId="21771E97" w14:textId="17565FAC" w:rsidR="001E50C0" w:rsidRDefault="001E50C0" w:rsidP="001E50C0">
      <w:pPr>
        <w:pStyle w:val="Heading1"/>
        <w:rPr>
          <w:color w:val="FFFFFF" w:themeColor="background1"/>
        </w:rPr>
      </w:pPr>
      <w:bookmarkStart w:id="121" w:name="_Toc121284531"/>
      <w:bookmarkStart w:id="122" w:name="_Toc121284532"/>
      <w:bookmarkStart w:id="123" w:name="_Ref117768020"/>
      <w:bookmarkStart w:id="124" w:name="_Ref117768027"/>
      <w:bookmarkStart w:id="125" w:name="_Ref117768065"/>
      <w:bookmarkStart w:id="126" w:name="_Toc121320693"/>
      <w:bookmarkEnd w:id="121"/>
      <w:bookmarkEnd w:id="122"/>
      <w:r w:rsidRPr="00325F4F">
        <w:rPr>
          <w:noProof/>
          <w:color w:val="FFFFFF" w:themeColor="background1"/>
        </w:rPr>
        <w:lastRenderedPageBreak/>
        <w:drawing>
          <wp:anchor distT="0" distB="0" distL="114300" distR="114300" simplePos="0" relativeHeight="251658260" behindDoc="1" locked="0" layoutInCell="1" allowOverlap="1" wp14:anchorId="7C03B205" wp14:editId="2DA8213A">
            <wp:simplePos x="0" y="0"/>
            <wp:positionH relativeFrom="column">
              <wp:posOffset>-998855</wp:posOffset>
            </wp:positionH>
            <wp:positionV relativeFrom="paragraph">
              <wp:posOffset>-671830</wp:posOffset>
            </wp:positionV>
            <wp:extent cx="7559675" cy="1371600"/>
            <wp:effectExtent l="0" t="0" r="3175" b="0"/>
            <wp:wrapNone/>
            <wp:docPr id="27781" name="Picture 277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1" name="Picture 2778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0093662B">
        <w:rPr>
          <w:color w:val="FFFFFF" w:themeColor="background1"/>
        </w:rPr>
        <w:t xml:space="preserve">Mechanisms </w:t>
      </w:r>
      <w:r w:rsidR="009709FA">
        <w:rPr>
          <w:color w:val="FFFFFF" w:themeColor="background1"/>
        </w:rPr>
        <w:t>that help contribute to outcomes</w:t>
      </w:r>
      <w:bookmarkEnd w:id="123"/>
      <w:bookmarkEnd w:id="124"/>
      <w:bookmarkEnd w:id="125"/>
      <w:bookmarkEnd w:id="126"/>
    </w:p>
    <w:p w14:paraId="7A319D73" w14:textId="77777777" w:rsidR="00B125C9" w:rsidRPr="00D1753E" w:rsidRDefault="00B125C9" w:rsidP="007A7B9F">
      <w:pPr>
        <w:pStyle w:val="Sectionintroduction"/>
        <w:pBdr>
          <w:top w:val="single" w:sz="18" w:space="1" w:color="E6E6E1" w:themeColor="accent5"/>
          <w:bottom w:val="single" w:sz="18" w:space="1" w:color="E6E6E1" w:themeColor="accent5"/>
        </w:pBdr>
        <w:spacing w:before="720"/>
        <w:rPr>
          <w:lang w:eastAsia="en-AU"/>
        </w:rPr>
      </w:pPr>
      <w:r w:rsidRPr="00D1753E">
        <w:rPr>
          <w:lang w:eastAsia="en-AU"/>
        </w:rPr>
        <w:t xml:space="preserve">This section answers KEQ4 | Why and how does change occur in The Way Back, in which circumstances? </w:t>
      </w:r>
    </w:p>
    <w:p w14:paraId="5C724B1F" w14:textId="77777777" w:rsidR="00B125C9" w:rsidRPr="00D1753E" w:rsidRDefault="00B125C9" w:rsidP="00461006">
      <w:pPr>
        <w:pStyle w:val="Sectionintroduction"/>
        <w:pBdr>
          <w:top w:val="single" w:sz="18" w:space="1" w:color="E6E6E1" w:themeColor="accent5"/>
          <w:bottom w:val="single" w:sz="18" w:space="1" w:color="E6E6E1" w:themeColor="accent5"/>
        </w:pBdr>
      </w:pPr>
      <w:r w:rsidRPr="00D1753E">
        <w:t xml:space="preserve">The mechanisms of change articulate the critical elements of a participant’s experience in an aftercare service that contributes to their recovery. Overall: </w:t>
      </w:r>
    </w:p>
    <w:p w14:paraId="27B8D854" w14:textId="77777777" w:rsidR="00B125C9" w:rsidRPr="00D1753E" w:rsidRDefault="00B125C9" w:rsidP="00461006">
      <w:pPr>
        <w:pStyle w:val="intoductionbullet"/>
        <w:pBdr>
          <w:top w:val="single" w:sz="18" w:space="1" w:color="E6E6E1" w:themeColor="accent5"/>
          <w:bottom w:val="single" w:sz="18" w:space="1" w:color="E6E6E1" w:themeColor="accent5"/>
        </w:pBdr>
      </w:pPr>
      <w:r w:rsidRPr="00D1753E">
        <w:t xml:space="preserve">People’s circumstances influence how ‘ready’ they were to engage in aftercare supports. </w:t>
      </w:r>
    </w:p>
    <w:p w14:paraId="794FCFDA" w14:textId="77777777" w:rsidR="00B125C9" w:rsidRPr="00D1753E" w:rsidRDefault="00B125C9" w:rsidP="00461006">
      <w:pPr>
        <w:pStyle w:val="intoductionbullet"/>
        <w:pBdr>
          <w:top w:val="single" w:sz="18" w:space="1" w:color="E6E6E1" w:themeColor="accent5"/>
          <w:bottom w:val="single" w:sz="18" w:space="1" w:color="E6E6E1" w:themeColor="accent5"/>
        </w:pBdr>
      </w:pPr>
      <w:r w:rsidRPr="00D1753E">
        <w:t xml:space="preserve">The therapeutic alliance (the trust and connection developed between the support coordinator and the participant) was the foundational mechanism and improved the participant’s remaining experience and engagement with The Way Back. The establishment of the therapeutic alliance should continue to be an important focus for future aftercare services. </w:t>
      </w:r>
    </w:p>
    <w:p w14:paraId="05E5C706" w14:textId="77777777" w:rsidR="00B125C9" w:rsidRPr="00D1753E" w:rsidRDefault="00B125C9" w:rsidP="00461006">
      <w:pPr>
        <w:pStyle w:val="intoductionbullet"/>
        <w:pBdr>
          <w:top w:val="single" w:sz="18" w:space="1" w:color="E6E6E1" w:themeColor="accent5"/>
          <w:bottom w:val="single" w:sz="18" w:space="1" w:color="E6E6E1" w:themeColor="accent5"/>
        </w:pBdr>
      </w:pPr>
      <w:r w:rsidRPr="00D1753E">
        <w:t xml:space="preserve">Providing flexibility and choice in the way that support coordinators offered supports to meet participants needs was the secondary context which enabled recovery. The key supports to participants included: </w:t>
      </w:r>
    </w:p>
    <w:p w14:paraId="5B10E926" w14:textId="77777777" w:rsidR="00B125C9" w:rsidRPr="00BA1E80" w:rsidRDefault="00B125C9" w:rsidP="00BA1E80">
      <w:pPr>
        <w:pStyle w:val="introductionbullet2indent"/>
      </w:pPr>
      <w:r w:rsidRPr="00BA1E80">
        <w:t>Providing hope and motivation</w:t>
      </w:r>
    </w:p>
    <w:p w14:paraId="32CD4AF2" w14:textId="77777777" w:rsidR="00B125C9" w:rsidRPr="00BA1E80" w:rsidRDefault="00B125C9" w:rsidP="00BA1E80">
      <w:pPr>
        <w:pStyle w:val="introductionbullet2indent"/>
      </w:pPr>
      <w:r w:rsidRPr="00BA1E80">
        <w:t>Offering clinical, therapeutic, or psychosocial supports</w:t>
      </w:r>
    </w:p>
    <w:p w14:paraId="08C0EE39" w14:textId="77777777" w:rsidR="00B125C9" w:rsidRPr="00BA1E80" w:rsidRDefault="00B125C9" w:rsidP="00BA1E80">
      <w:pPr>
        <w:pStyle w:val="introductionbullet2indent"/>
      </w:pPr>
      <w:r w:rsidRPr="00BA1E80">
        <w:t>Building skills to manage emotional distress</w:t>
      </w:r>
    </w:p>
    <w:p w14:paraId="6C7FBF0C" w14:textId="77777777" w:rsidR="00B125C9" w:rsidRPr="00BA1E80" w:rsidRDefault="00B125C9" w:rsidP="00BA1E80">
      <w:pPr>
        <w:pStyle w:val="introductionbullet2indent"/>
      </w:pPr>
      <w:r w:rsidRPr="00BA1E80">
        <w:t>Identifying protective factors to manage recovery.</w:t>
      </w:r>
    </w:p>
    <w:p w14:paraId="7EEE7CD2" w14:textId="59C56361" w:rsidR="00947F3F" w:rsidRPr="007A7B9F" w:rsidRDefault="00B125C9" w:rsidP="007A7B9F">
      <w:pPr>
        <w:pStyle w:val="intoductionbullet"/>
        <w:pBdr>
          <w:top w:val="single" w:sz="18" w:space="1" w:color="E6E6E1" w:themeColor="accent5"/>
          <w:bottom w:val="single" w:sz="18" w:space="1" w:color="E6E6E1" w:themeColor="accent5"/>
        </w:pBdr>
        <w:rPr>
          <w:lang w:eastAsia="en-AU"/>
        </w:rPr>
      </w:pPr>
      <w:r w:rsidRPr="00D1753E">
        <w:t>The mechanisms of change for The Way Back participants in interviews appeared to remain consistent regardless of their background or circumstances. However, the evaluation did find that some participant cohorts emphasised certain mechanisms that were important to their recovery. This is detailed further below.</w:t>
      </w:r>
    </w:p>
    <w:tbl>
      <w:tblPr>
        <w:tblW w:w="4950" w:type="pct"/>
        <w:tblLook w:val="04A0" w:firstRow="1" w:lastRow="0" w:firstColumn="1" w:lastColumn="0" w:noHBand="0" w:noVBand="1"/>
        <w:tblDescription w:val="DATA QUALITY AND LIMITATIONS IN THIS SECTION&#10;This data is based on insights from over 57 interviews with participants and supported by a number of consultations with The Way Back provider staff, PMHC and MDS data, and other stakeholders. &#10;The findings in this section were limited by the lack of survey data. Findings were based on qualitative observations made from participant interviews and stakeholder consultations. As such, it is not known the extent to which these findings can be attributable to all The Way Back participants, or all people who access an aftercare service.&#10;Refer to Appendix B for detailed limitations.&#10;"/>
      </w:tblPr>
      <w:tblGrid>
        <w:gridCol w:w="993"/>
        <w:gridCol w:w="7848"/>
      </w:tblGrid>
      <w:tr w:rsidR="000C2DD7" w14:paraId="032C6FE8" w14:textId="77777777" w:rsidTr="007A7B9F">
        <w:trPr>
          <w:trHeight w:val="794"/>
        </w:trPr>
        <w:tc>
          <w:tcPr>
            <w:tcW w:w="993" w:type="dxa"/>
            <w:shd w:val="clear" w:color="auto" w:fill="00264D" w:themeFill="background2"/>
            <w:vAlign w:val="center"/>
          </w:tcPr>
          <w:p w14:paraId="101072C9" w14:textId="297CB495" w:rsidR="000C2DD7" w:rsidRPr="000A167E" w:rsidRDefault="00151029" w:rsidP="007A7B9F">
            <w:pPr>
              <w:jc w:val="center"/>
              <w:rPr>
                <w:noProof/>
              </w:rPr>
            </w:pPr>
            <w:r>
              <w:rPr>
                <w:noProof/>
              </w:rPr>
              <w:drawing>
                <wp:inline distT="0" distB="0" distL="0" distR="0" wp14:anchorId="30287772" wp14:editId="61D37B87">
                  <wp:extent cx="371475" cy="371475"/>
                  <wp:effectExtent l="0" t="0" r="9525" b="9525"/>
                  <wp:docPr id="1038753019" name="Graphic 103875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53019" name="Graphic 1038753019">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371475" cy="371475"/>
                          </a:xfrm>
                          <a:prstGeom prst="rect">
                            <a:avLst/>
                          </a:prstGeom>
                        </pic:spPr>
                      </pic:pic>
                    </a:graphicData>
                  </a:graphic>
                </wp:inline>
              </w:drawing>
            </w:r>
          </w:p>
        </w:tc>
        <w:tc>
          <w:tcPr>
            <w:tcW w:w="7848" w:type="dxa"/>
            <w:shd w:val="clear" w:color="auto" w:fill="F2F2F2" w:themeFill="background1" w:themeFillShade="F2"/>
            <w:vAlign w:val="center"/>
          </w:tcPr>
          <w:p w14:paraId="62103D65" w14:textId="77777777" w:rsidR="000C2DD7" w:rsidRDefault="000C2DD7" w:rsidP="007A7B9F">
            <w:pPr>
              <w:rPr>
                <w:rFonts w:asciiTheme="majorHAnsi" w:hAnsiTheme="majorHAnsi" w:cstheme="majorHAnsi"/>
                <w:color w:val="00264D" w:themeColor="background2"/>
              </w:rPr>
            </w:pPr>
            <w:r w:rsidRPr="003C6AF6">
              <w:rPr>
                <w:rFonts w:asciiTheme="majorHAnsi" w:hAnsiTheme="majorHAnsi" w:cstheme="majorHAnsi"/>
                <w:color w:val="00264D" w:themeColor="background2"/>
              </w:rPr>
              <w:t>DATA QUALITY AND LIMITATIONS IN THIS SECTION</w:t>
            </w:r>
          </w:p>
          <w:p w14:paraId="5B205376" w14:textId="05EF91B3" w:rsidR="000C2DD7" w:rsidRDefault="000C2DD7" w:rsidP="007A7B9F">
            <w:pPr>
              <w:pStyle w:val="TableNText"/>
            </w:pPr>
            <w:r>
              <w:t xml:space="preserve">This data is based on insights from over </w:t>
            </w:r>
            <w:r w:rsidRPr="002E54B2">
              <w:t>57</w:t>
            </w:r>
            <w:r>
              <w:t xml:space="preserve"> interviews with </w:t>
            </w:r>
            <w:r w:rsidDel="00F54C19">
              <w:t>participants</w:t>
            </w:r>
            <w:r w:rsidR="00F54C19">
              <w:t xml:space="preserve"> and</w:t>
            </w:r>
            <w:r>
              <w:t xml:space="preserve"> supported by </w:t>
            </w:r>
            <w:proofErr w:type="gramStart"/>
            <w:r w:rsidR="00981995">
              <w:t>a</w:t>
            </w:r>
            <w:r>
              <w:t xml:space="preserve"> number of</w:t>
            </w:r>
            <w:proofErr w:type="gramEnd"/>
            <w:r>
              <w:t xml:space="preserve"> consultations with The Way Back provider staff, PMHC and MDS data, and other stakeholders. </w:t>
            </w:r>
          </w:p>
          <w:p w14:paraId="022EC032" w14:textId="1B733A1E" w:rsidR="000C2DD7" w:rsidRDefault="000C2DD7" w:rsidP="007A7B9F">
            <w:pPr>
              <w:pStyle w:val="TableNText"/>
            </w:pPr>
            <w:r>
              <w:t xml:space="preserve">The findings in this section </w:t>
            </w:r>
            <w:r w:rsidR="00992C75">
              <w:t>were</w:t>
            </w:r>
            <w:r>
              <w:t xml:space="preserve"> limited by the lack of </w:t>
            </w:r>
            <w:r w:rsidR="77FC03E6">
              <w:t>survey</w:t>
            </w:r>
            <w:r>
              <w:t xml:space="preserve"> data. Findings were based on qualitative observations made from participant interviews and stakeholder consultations. As such, it is not known the extent to which these findings can be attributable to all The Way Back participants, or all people who access an aftercare service.</w:t>
            </w:r>
          </w:p>
          <w:p w14:paraId="57842280" w14:textId="20E8D1B3" w:rsidR="000C2DD7" w:rsidRPr="00B17D0C" w:rsidRDefault="000C2DD7" w:rsidP="007A7B9F">
            <w:pPr>
              <w:pStyle w:val="TableNText"/>
              <w:rPr>
                <w:rFonts w:asciiTheme="majorHAnsi" w:hAnsiTheme="majorHAnsi" w:cstheme="majorHAnsi"/>
                <w:bCs/>
                <w:color w:val="00264D" w:themeColor="background2"/>
              </w:rPr>
            </w:pPr>
            <w:r>
              <w:t>R</w:t>
            </w:r>
            <w:r w:rsidRPr="00683FD8">
              <w:t>efer to</w:t>
            </w:r>
            <w:r>
              <w:t xml:space="preserve"> Appendix</w:t>
            </w:r>
            <w:r w:rsidR="001A1D37">
              <w:t xml:space="preserve"> B</w:t>
            </w:r>
            <w:r w:rsidR="007E5EEF">
              <w:t xml:space="preserve"> </w:t>
            </w:r>
            <w:r w:rsidRPr="00683FD8">
              <w:t>for detailed limitations.</w:t>
            </w:r>
          </w:p>
        </w:tc>
      </w:tr>
    </w:tbl>
    <w:p w14:paraId="6EF8A3CA" w14:textId="5AF09457" w:rsidR="003478F1" w:rsidRDefault="003478F1" w:rsidP="003478F1">
      <w:pPr>
        <w:pStyle w:val="Heading2"/>
      </w:pPr>
      <w:bookmarkStart w:id="127" w:name="_Ref118290603"/>
      <w:bookmarkStart w:id="128" w:name="_Toc121320694"/>
      <w:r>
        <w:t xml:space="preserve">Common </w:t>
      </w:r>
      <w:r w:rsidR="00A03979">
        <w:t>mechanisms that contribute to recovery</w:t>
      </w:r>
      <w:bookmarkEnd w:id="127"/>
      <w:bookmarkEnd w:id="128"/>
    </w:p>
    <w:p w14:paraId="1FCB546C" w14:textId="1D5E86B8" w:rsidR="00DE3B99" w:rsidRDefault="00B37203" w:rsidP="00CB0C9C">
      <w:pPr>
        <w:pStyle w:val="Heading3"/>
      </w:pPr>
      <w:r w:rsidRPr="009C5372">
        <w:t xml:space="preserve">The mechanisms of </w:t>
      </w:r>
      <w:r w:rsidR="00B60E30">
        <w:t xml:space="preserve">change </w:t>
      </w:r>
      <w:r w:rsidR="0030105B">
        <w:t xml:space="preserve">articulate the </w:t>
      </w:r>
      <w:r w:rsidR="00DC6658">
        <w:t>critical elements of</w:t>
      </w:r>
      <w:r w:rsidR="006170ED">
        <w:t xml:space="preserve"> a </w:t>
      </w:r>
      <w:r w:rsidR="002F6D7A">
        <w:t>participant</w:t>
      </w:r>
      <w:r w:rsidR="006170ED">
        <w:t xml:space="preserve">’s experience </w:t>
      </w:r>
      <w:r w:rsidR="004402D5">
        <w:t>in</w:t>
      </w:r>
      <w:r w:rsidR="0030105B">
        <w:t xml:space="preserve"> an</w:t>
      </w:r>
      <w:r w:rsidR="004402D5">
        <w:t xml:space="preserve"> </w:t>
      </w:r>
      <w:r w:rsidR="00DD5442">
        <w:t xml:space="preserve">aftercare </w:t>
      </w:r>
      <w:r w:rsidR="0030105B">
        <w:t xml:space="preserve">service </w:t>
      </w:r>
      <w:r w:rsidR="004402D5">
        <w:t xml:space="preserve">that </w:t>
      </w:r>
      <w:r w:rsidR="00A2291A">
        <w:t>contribute</w:t>
      </w:r>
      <w:r w:rsidR="000F03F9">
        <w:t>s</w:t>
      </w:r>
      <w:r w:rsidR="00A2291A">
        <w:t xml:space="preserve"> to </w:t>
      </w:r>
      <w:r w:rsidR="006170ED">
        <w:t xml:space="preserve">their </w:t>
      </w:r>
      <w:r w:rsidR="00B60E30">
        <w:t>recovery</w:t>
      </w:r>
      <w:r w:rsidR="00DD5442">
        <w:t>.</w:t>
      </w:r>
    </w:p>
    <w:p w14:paraId="596794AD" w14:textId="64F60AB2" w:rsidR="00952A14" w:rsidRDefault="00677748" w:rsidP="00952A14">
      <w:pPr>
        <w:rPr>
          <w:lang w:eastAsia="en-AU"/>
        </w:rPr>
      </w:pPr>
      <w:r>
        <w:t xml:space="preserve">The </w:t>
      </w:r>
      <w:r w:rsidR="00857EA2">
        <w:t xml:space="preserve">mechanisms of change explain </w:t>
      </w:r>
      <w:r w:rsidR="00100BC5">
        <w:t xml:space="preserve">what </w:t>
      </w:r>
      <w:r w:rsidR="00FE1E6C">
        <w:t xml:space="preserve">elements of </w:t>
      </w:r>
      <w:r w:rsidR="0054636C">
        <w:t>The Way Back</w:t>
      </w:r>
      <w:r w:rsidR="00100BC5">
        <w:t xml:space="preserve"> contribute to change for </w:t>
      </w:r>
      <w:r w:rsidR="002F6D7A">
        <w:t>participants</w:t>
      </w:r>
      <w:r w:rsidR="00803A6B" w:rsidRPr="00F0422A">
        <w:t>.</w:t>
      </w:r>
      <w:r w:rsidR="00100BC5" w:rsidRPr="00F0422A">
        <w:t xml:space="preserve"> They comprise of </w:t>
      </w:r>
      <w:r w:rsidR="00DB6C20">
        <w:t>five key</w:t>
      </w:r>
      <w:r w:rsidR="00100BC5" w:rsidRPr="00F0422A">
        <w:t xml:space="preserve"> elements</w:t>
      </w:r>
      <w:r w:rsidR="00285A88" w:rsidRPr="00F0422A">
        <w:t>:</w:t>
      </w:r>
      <w:r w:rsidR="00100BC5" w:rsidRPr="00F0422A">
        <w:t xml:space="preserve"> the </w:t>
      </w:r>
      <w:r w:rsidR="00BE7D7F" w:rsidRPr="00F0422A">
        <w:t>‘</w:t>
      </w:r>
      <w:r w:rsidR="00DB6C20">
        <w:rPr>
          <w:rFonts w:asciiTheme="majorHAnsi" w:hAnsiTheme="majorHAnsi" w:cstheme="majorHAnsi"/>
        </w:rPr>
        <w:t>foundational c</w:t>
      </w:r>
      <w:r w:rsidR="00100BC5" w:rsidRPr="00F0422A">
        <w:rPr>
          <w:rFonts w:asciiTheme="majorHAnsi" w:hAnsiTheme="majorHAnsi" w:cstheme="majorHAnsi"/>
        </w:rPr>
        <w:t>ontext</w:t>
      </w:r>
      <w:r w:rsidR="00BE7D7F" w:rsidRPr="00F0422A">
        <w:rPr>
          <w:rFonts w:asciiTheme="majorHAnsi" w:hAnsiTheme="majorHAnsi" w:cstheme="majorHAnsi"/>
        </w:rPr>
        <w:t>’</w:t>
      </w:r>
      <w:r w:rsidR="00100BC5" w:rsidRPr="00F0422A">
        <w:t xml:space="preserve">, </w:t>
      </w:r>
      <w:r w:rsidR="00BE7D7F" w:rsidRPr="00F0422A">
        <w:t>‘</w:t>
      </w:r>
      <w:r w:rsidR="00DB6C20" w:rsidRPr="00DB6C20">
        <w:rPr>
          <w:rFonts w:asciiTheme="majorHAnsi" w:hAnsiTheme="majorHAnsi" w:cstheme="majorHAnsi"/>
        </w:rPr>
        <w:t>foundational</w:t>
      </w:r>
      <w:r w:rsidR="00DB6C20">
        <w:t xml:space="preserve"> </w:t>
      </w:r>
      <w:r w:rsidR="00BE7D7F" w:rsidRPr="00F0422A">
        <w:rPr>
          <w:rFonts w:asciiTheme="majorHAnsi" w:hAnsiTheme="majorHAnsi" w:cstheme="majorHAnsi"/>
        </w:rPr>
        <w:t>mechanism’</w:t>
      </w:r>
      <w:r w:rsidR="00BE7D7F" w:rsidRPr="00F0422A">
        <w:t xml:space="preserve">, </w:t>
      </w:r>
      <w:r w:rsidR="00DB6C20">
        <w:t>‘</w:t>
      </w:r>
      <w:r w:rsidR="00DB6C20" w:rsidRPr="00DB6C20">
        <w:rPr>
          <w:rFonts w:asciiTheme="majorHAnsi" w:hAnsiTheme="majorHAnsi" w:cstheme="majorHAnsi"/>
        </w:rPr>
        <w:t>secondary context’</w:t>
      </w:r>
      <w:r w:rsidR="00DB6C20">
        <w:t>, ‘</w:t>
      </w:r>
      <w:r w:rsidR="00DB6C20" w:rsidRPr="00DB6C20">
        <w:rPr>
          <w:rFonts w:asciiTheme="majorHAnsi" w:hAnsiTheme="majorHAnsi" w:cstheme="majorHAnsi"/>
        </w:rPr>
        <w:t>secondary mechanism’</w:t>
      </w:r>
      <w:r w:rsidR="00DB6C20">
        <w:t xml:space="preserve"> </w:t>
      </w:r>
      <w:r w:rsidR="00BE7D7F" w:rsidRPr="00F0422A">
        <w:t>and ‘</w:t>
      </w:r>
      <w:r w:rsidR="00BE7D7F" w:rsidRPr="00F0422A">
        <w:rPr>
          <w:rFonts w:asciiTheme="majorHAnsi" w:hAnsiTheme="majorHAnsi" w:cstheme="majorHAnsi"/>
        </w:rPr>
        <w:t>outcome</w:t>
      </w:r>
      <w:r w:rsidR="00BE7D7F" w:rsidRPr="00F0422A">
        <w:t>’.</w:t>
      </w:r>
      <w:r w:rsidR="000F6E75">
        <w:rPr>
          <w:lang w:eastAsia="en-AU"/>
        </w:rPr>
        <w:t xml:space="preserve"> </w:t>
      </w:r>
      <w:r w:rsidR="00CB28A6">
        <w:rPr>
          <w:lang w:eastAsia="en-AU"/>
        </w:rPr>
        <w:fldChar w:fldCharType="begin"/>
      </w:r>
      <w:r w:rsidR="00CB28A6">
        <w:rPr>
          <w:lang w:eastAsia="en-AU"/>
        </w:rPr>
        <w:instrText xml:space="preserve"> REF _Ref117490033 \h </w:instrText>
      </w:r>
      <w:r w:rsidR="00CB28A6">
        <w:rPr>
          <w:lang w:eastAsia="en-AU"/>
        </w:rPr>
      </w:r>
      <w:r w:rsidR="00CB28A6">
        <w:rPr>
          <w:lang w:eastAsia="en-AU"/>
        </w:rPr>
        <w:fldChar w:fldCharType="separate"/>
      </w:r>
      <w:r w:rsidR="00402362">
        <w:t xml:space="preserve">Figure </w:t>
      </w:r>
      <w:r w:rsidR="00402362">
        <w:rPr>
          <w:noProof/>
        </w:rPr>
        <w:t>20</w:t>
      </w:r>
      <w:r w:rsidR="00CB28A6">
        <w:rPr>
          <w:lang w:eastAsia="en-AU"/>
        </w:rPr>
        <w:fldChar w:fldCharType="end"/>
      </w:r>
      <w:r w:rsidR="003B3AB3">
        <w:rPr>
          <w:lang w:eastAsia="en-AU"/>
        </w:rPr>
        <w:t xml:space="preserve"> </w:t>
      </w:r>
      <w:r w:rsidR="00F0422A">
        <w:rPr>
          <w:lang w:eastAsia="en-AU"/>
        </w:rPr>
        <w:t>describes each of these elements below.</w:t>
      </w:r>
      <w:r w:rsidR="00651794">
        <w:rPr>
          <w:lang w:eastAsia="en-AU"/>
        </w:rPr>
        <w:t xml:space="preserve"> </w:t>
      </w:r>
      <w:r w:rsidR="00B02E47">
        <w:rPr>
          <w:lang w:eastAsia="en-AU"/>
        </w:rPr>
        <w:t>It</w:t>
      </w:r>
      <w:r w:rsidR="00D6338D">
        <w:rPr>
          <w:lang w:eastAsia="en-AU"/>
        </w:rPr>
        <w:t xml:space="preserve"> shows there are </w:t>
      </w:r>
      <w:proofErr w:type="gramStart"/>
      <w:r w:rsidR="00D6338D">
        <w:rPr>
          <w:lang w:eastAsia="en-AU"/>
        </w:rPr>
        <w:t xml:space="preserve">a </w:t>
      </w:r>
      <w:r w:rsidR="00245FA1">
        <w:rPr>
          <w:lang w:eastAsia="en-AU"/>
        </w:rPr>
        <w:t>number of</w:t>
      </w:r>
      <w:proofErr w:type="gramEnd"/>
      <w:r w:rsidR="00D6338D">
        <w:rPr>
          <w:lang w:eastAsia="en-AU"/>
        </w:rPr>
        <w:t xml:space="preserve"> </w:t>
      </w:r>
      <w:r w:rsidR="00CA0205">
        <w:rPr>
          <w:lang w:eastAsia="en-AU"/>
        </w:rPr>
        <w:t xml:space="preserve">circumstances and changes to thinking and behaviours that connects the foundational context with </w:t>
      </w:r>
      <w:r w:rsidR="00D90C6E">
        <w:rPr>
          <w:lang w:eastAsia="en-AU"/>
        </w:rPr>
        <w:t xml:space="preserve">outcomes. </w:t>
      </w:r>
    </w:p>
    <w:p w14:paraId="23F4A89C" w14:textId="53C86324" w:rsidR="5D8AFBE8" w:rsidRDefault="006E6B10" w:rsidP="0011618A">
      <w:pPr>
        <w:pStyle w:val="Caption"/>
      </w:pPr>
      <w:bookmarkStart w:id="129" w:name="_Ref117490033"/>
      <w:bookmarkStart w:id="130" w:name="_Hlk110597122"/>
      <w:r>
        <w:lastRenderedPageBreak/>
        <w:t xml:space="preserve">Figure </w:t>
      </w:r>
      <w:r>
        <w:fldChar w:fldCharType="begin"/>
      </w:r>
      <w:r>
        <w:instrText xml:space="preserve"> SEQ Figure \* ARABIC </w:instrText>
      </w:r>
      <w:r>
        <w:fldChar w:fldCharType="separate"/>
      </w:r>
      <w:r w:rsidR="00402362">
        <w:rPr>
          <w:noProof/>
        </w:rPr>
        <w:t>20</w:t>
      </w:r>
      <w:r>
        <w:fldChar w:fldCharType="end"/>
      </w:r>
      <w:bookmarkEnd w:id="129"/>
      <w:r>
        <w:t xml:space="preserve"> </w:t>
      </w:r>
      <w:r w:rsidR="00B4068F">
        <w:t xml:space="preserve">| </w:t>
      </w:r>
      <w:r w:rsidR="00245FA1">
        <w:t>Defining the terms used to describe the mechanisms of change</w:t>
      </w:r>
      <w:r w:rsidR="00947F3F">
        <w:t xml:space="preserve"> </w:t>
      </w:r>
    </w:p>
    <w:p w14:paraId="4FE8723A" w14:textId="242AA1BE" w:rsidR="00677748" w:rsidRPr="00FA585D" w:rsidRDefault="00F65A34" w:rsidP="00952A14">
      <w:r w:rsidRPr="00F65A34">
        <w:rPr>
          <w:noProof/>
        </w:rPr>
        <w:drawing>
          <wp:inline distT="0" distB="0" distL="0" distR="0" wp14:anchorId="2F8D2690" wp14:editId="4BCA0AE6">
            <wp:extent cx="5670550" cy="2546350"/>
            <wp:effectExtent l="0" t="0" r="6350" b="6350"/>
            <wp:docPr id="29" name="Graphic 29" descr="Figure 20 is an infographic defining the terms used to describe the mechanisms of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Figure 20 is an infographic defining the terms used to describe the mechanisms of change"/>
                    <pic:cNvPicPr/>
                  </pic:nvPicPr>
                  <pic:blipFill>
                    <a:blip r:embed="rId79">
                      <a:extLst>
                        <a:ext uri="{96DAC541-7B7A-43D3-8B79-37D633B846F1}">
                          <asvg:svgBlip xmlns:asvg="http://schemas.microsoft.com/office/drawing/2016/SVG/main" r:embed="rId80"/>
                        </a:ext>
                      </a:extLst>
                    </a:blip>
                    <a:stretch>
                      <a:fillRect/>
                    </a:stretch>
                  </pic:blipFill>
                  <pic:spPr>
                    <a:xfrm>
                      <a:off x="0" y="0"/>
                      <a:ext cx="5670550" cy="2546350"/>
                    </a:xfrm>
                    <a:prstGeom prst="rect">
                      <a:avLst/>
                    </a:prstGeom>
                  </pic:spPr>
                </pic:pic>
              </a:graphicData>
            </a:graphic>
          </wp:inline>
        </w:drawing>
      </w:r>
    </w:p>
    <w:p w14:paraId="72A5CAD1" w14:textId="44FB5E98" w:rsidR="00245FA1" w:rsidRDefault="00952A14" w:rsidP="00057644">
      <w:bookmarkStart w:id="131" w:name="_Hlk110597108"/>
      <w:bookmarkEnd w:id="130"/>
      <w:r>
        <w:t xml:space="preserve">The mechanisms of change have implications for how The Way Back is delivered to </w:t>
      </w:r>
      <w:r w:rsidR="002F6D7A">
        <w:t>participants</w:t>
      </w:r>
      <w:r>
        <w:t xml:space="preserve"> in practice. They highlight </w:t>
      </w:r>
      <w:r w:rsidR="0054636C">
        <w:rPr>
          <w:i/>
          <w:iCs/>
        </w:rPr>
        <w:t>what</w:t>
      </w:r>
      <w:r w:rsidRPr="000539E9">
        <w:rPr>
          <w:i/>
          <w:iCs/>
        </w:rPr>
        <w:t xml:space="preserve"> </w:t>
      </w:r>
      <w:r>
        <w:t xml:space="preserve">elements of an aftercare service are most important to the </w:t>
      </w:r>
      <w:r w:rsidR="002F6D7A">
        <w:t>participant</w:t>
      </w:r>
      <w:r>
        <w:t xml:space="preserve">’s recovery, and </w:t>
      </w:r>
      <w:r w:rsidRPr="000539E9">
        <w:rPr>
          <w:i/>
          <w:iCs/>
        </w:rPr>
        <w:t>how</w:t>
      </w:r>
      <w:r>
        <w:t xml:space="preserve"> the delivery of these elements change depending on</w:t>
      </w:r>
      <w:r w:rsidR="0054636C">
        <w:t xml:space="preserve"> the </w:t>
      </w:r>
      <w:r>
        <w:t xml:space="preserve">circumstances of the </w:t>
      </w:r>
      <w:r w:rsidR="002F6D7A">
        <w:t>participant</w:t>
      </w:r>
      <w:r>
        <w:t>.</w:t>
      </w:r>
      <w:r w:rsidR="000922AD">
        <w:t xml:space="preserve"> </w:t>
      </w:r>
    </w:p>
    <w:bookmarkStart w:id="132" w:name="_Hlk110597171"/>
    <w:bookmarkEnd w:id="131"/>
    <w:p w14:paraId="2ACE13F7" w14:textId="19CF1F03" w:rsidR="00245FA1" w:rsidRDefault="006E6B10" w:rsidP="00057644">
      <w:r>
        <w:rPr>
          <w:highlight w:val="yellow"/>
        </w:rPr>
        <w:fldChar w:fldCharType="begin"/>
      </w:r>
      <w:r>
        <w:instrText xml:space="preserve"> REF _Ref117490033 \h </w:instrText>
      </w:r>
      <w:r>
        <w:rPr>
          <w:highlight w:val="yellow"/>
        </w:rPr>
      </w:r>
      <w:r>
        <w:rPr>
          <w:highlight w:val="yellow"/>
        </w:rPr>
        <w:fldChar w:fldCharType="separate"/>
      </w:r>
      <w:r w:rsidR="00402362">
        <w:t xml:space="preserve">Figure </w:t>
      </w:r>
      <w:r w:rsidR="00402362">
        <w:rPr>
          <w:noProof/>
        </w:rPr>
        <w:t>20</w:t>
      </w:r>
      <w:r>
        <w:rPr>
          <w:highlight w:val="yellow"/>
        </w:rPr>
        <w:fldChar w:fldCharType="end"/>
      </w:r>
      <w:r w:rsidR="006307C6">
        <w:fldChar w:fldCharType="begin"/>
      </w:r>
      <w:r w:rsidR="006307C6">
        <w:instrText xml:space="preserve"> REF _Ref117487541 \h </w:instrText>
      </w:r>
      <w:r w:rsidR="006307C6">
        <w:fldChar w:fldCharType="separate"/>
      </w:r>
      <w:r w:rsidR="00402362">
        <w:t xml:space="preserve">Figure </w:t>
      </w:r>
      <w:r w:rsidR="00402362">
        <w:rPr>
          <w:noProof/>
        </w:rPr>
        <w:t>21</w:t>
      </w:r>
      <w:r w:rsidR="006307C6">
        <w:fldChar w:fldCharType="end"/>
      </w:r>
      <w:r>
        <w:t xml:space="preserve"> </w:t>
      </w:r>
      <w:r w:rsidR="00ED44E0">
        <w:t>summarises the mechanisms of change for The Way Back.</w:t>
      </w:r>
      <w:r w:rsidR="0054722E">
        <w:rPr>
          <w:rStyle w:val="FootnoteReference"/>
        </w:rPr>
        <w:footnoteReference w:id="118"/>
      </w:r>
      <w:r w:rsidR="003B7D49">
        <w:t xml:space="preserve"> It shows that there were key features of The Way Back that helped to enact the changes in </w:t>
      </w:r>
      <w:r w:rsidR="002F6D7A">
        <w:t>participants</w:t>
      </w:r>
      <w:r w:rsidR="003B7D49">
        <w:t>’ thinking and behaviour that started their journey recovery.</w:t>
      </w:r>
      <w:r w:rsidR="004168F8">
        <w:t xml:space="preserve"> </w:t>
      </w:r>
    </w:p>
    <w:bookmarkEnd w:id="132"/>
    <w:p w14:paraId="38A3FD8D" w14:textId="73980F89" w:rsidR="00245FA1" w:rsidRDefault="00057644" w:rsidP="00057644">
      <w:r>
        <w:t xml:space="preserve">The mechanisms of change </w:t>
      </w:r>
      <w:r w:rsidR="00F86F60">
        <w:t xml:space="preserve">identified in this evaluation </w:t>
      </w:r>
      <w:r w:rsidR="00357A5E">
        <w:t xml:space="preserve">did not include </w:t>
      </w:r>
      <w:r>
        <w:t xml:space="preserve">culturally safe service provision. This may be due to the low number of Aboriginal and Torres Strait </w:t>
      </w:r>
      <w:r w:rsidR="00CE0054">
        <w:t>I</w:t>
      </w:r>
      <w:r>
        <w:t>slander people who participated in interviews</w:t>
      </w:r>
      <w:r w:rsidR="0076756E">
        <w:t xml:space="preserve"> and responded to </w:t>
      </w:r>
      <w:r w:rsidR="008F012A">
        <w:t>the participant survey</w:t>
      </w:r>
      <w:r>
        <w:t xml:space="preserve"> for this evaluation.</w:t>
      </w:r>
      <w:r w:rsidR="00776F20">
        <w:rPr>
          <w:rStyle w:val="FootnoteReference"/>
        </w:rPr>
        <w:footnoteReference w:id="119"/>
      </w:r>
      <w:r>
        <w:t xml:space="preserve"> </w:t>
      </w:r>
    </w:p>
    <w:p w14:paraId="482925B2" w14:textId="77777777" w:rsidR="00CB0C9C" w:rsidRDefault="004168F8" w:rsidP="00057644">
      <w:r>
        <w:t>Further explanation of the mechanisms of change is provided below.</w:t>
      </w:r>
    </w:p>
    <w:p w14:paraId="06448A6E" w14:textId="0C021D42" w:rsidR="006E625F" w:rsidRDefault="006E625F" w:rsidP="00952A14">
      <w:pPr>
        <w:rPr>
          <w:lang w:eastAsia="en-AU"/>
        </w:rPr>
      </w:pPr>
    </w:p>
    <w:p w14:paraId="79E47C44" w14:textId="77777777" w:rsidR="006E625F" w:rsidRDefault="006E625F" w:rsidP="006E625F">
      <w:pPr>
        <w:pStyle w:val="Caption"/>
        <w:sectPr w:rsidR="006E625F" w:rsidSect="00603D91">
          <w:pgSz w:w="11907" w:h="16839" w:code="9"/>
          <w:pgMar w:top="1276" w:right="1418" w:bottom="1701" w:left="1559" w:header="720" w:footer="720" w:gutter="0"/>
          <w:cols w:space="720"/>
          <w:titlePg/>
          <w:docGrid w:linePitch="360"/>
        </w:sectPr>
      </w:pPr>
    </w:p>
    <w:p w14:paraId="6FD01DDD" w14:textId="01A83B92" w:rsidR="00057644" w:rsidRDefault="006E625F" w:rsidP="00442383">
      <w:pPr>
        <w:pStyle w:val="Caption"/>
        <w:rPr>
          <w:lang w:eastAsia="en-AU"/>
        </w:rPr>
      </w:pPr>
      <w:bookmarkStart w:id="133" w:name="_Ref117487541"/>
      <w:bookmarkStart w:id="134" w:name="_Ref117487536"/>
      <w:r>
        <w:lastRenderedPageBreak/>
        <w:t xml:space="preserve">Figure </w:t>
      </w:r>
      <w:r>
        <w:fldChar w:fldCharType="begin"/>
      </w:r>
      <w:r>
        <w:instrText xml:space="preserve"> SEQ Figure \* ARABIC </w:instrText>
      </w:r>
      <w:r>
        <w:fldChar w:fldCharType="separate"/>
      </w:r>
      <w:r w:rsidR="00402362">
        <w:rPr>
          <w:noProof/>
        </w:rPr>
        <w:t>21</w:t>
      </w:r>
      <w:r>
        <w:fldChar w:fldCharType="end"/>
      </w:r>
      <w:bookmarkEnd w:id="133"/>
      <w:r>
        <w:t xml:space="preserve"> | Mechanisms of change for The Way Back </w:t>
      </w:r>
      <w:r w:rsidR="002F6D7A">
        <w:t>participants</w:t>
      </w:r>
      <w:r>
        <w:rPr>
          <w:rStyle w:val="FootnoteReference"/>
        </w:rPr>
        <w:footnoteReference w:id="120"/>
      </w:r>
      <w:bookmarkEnd w:id="134"/>
    </w:p>
    <w:p w14:paraId="2D28AE97" w14:textId="064C382F" w:rsidR="00057644" w:rsidRDefault="00DB7DCA" w:rsidP="008857B3">
      <w:pPr>
        <w:sectPr w:rsidR="00057644" w:rsidSect="00040C79">
          <w:headerReference w:type="first" r:id="rId81"/>
          <w:footerReference w:type="first" r:id="rId82"/>
          <w:pgSz w:w="16839" w:h="11907" w:orient="landscape" w:code="9"/>
          <w:pgMar w:top="1134" w:right="1134" w:bottom="1021" w:left="1134" w:header="720" w:footer="720" w:gutter="0"/>
          <w:cols w:space="720"/>
          <w:titlePg/>
          <w:docGrid w:linePitch="360"/>
        </w:sectPr>
      </w:pPr>
      <w:r w:rsidRPr="00DB7DCA">
        <w:rPr>
          <w:noProof/>
        </w:rPr>
        <w:drawing>
          <wp:inline distT="0" distB="0" distL="0" distR="0" wp14:anchorId="6B7397F2" wp14:editId="7A3EC254">
            <wp:extent cx="9399181" cy="5440442"/>
            <wp:effectExtent l="0" t="0" r="0" b="8255"/>
            <wp:docPr id="148" name="Graphic 148" descr="Figure 21 is an infographic on the mechanisms of change for The Way Back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phic 148" descr="Figure 21 is an infographic on the mechanisms of change for The Way Back participants"/>
                    <pic:cNvPicPr/>
                  </pic:nvPicPr>
                  <pic:blipFill>
                    <a:blip r:embed="rId83">
                      <a:extLst>
                        <a:ext uri="{96DAC541-7B7A-43D3-8B79-37D633B846F1}">
                          <asvg:svgBlip xmlns:asvg="http://schemas.microsoft.com/office/drawing/2016/SVG/main" r:embed="rId84"/>
                        </a:ext>
                      </a:extLst>
                    </a:blip>
                    <a:stretch>
                      <a:fillRect/>
                    </a:stretch>
                  </pic:blipFill>
                  <pic:spPr>
                    <a:xfrm>
                      <a:off x="0" y="0"/>
                      <a:ext cx="9403043" cy="5442677"/>
                    </a:xfrm>
                    <a:prstGeom prst="rect">
                      <a:avLst/>
                    </a:prstGeom>
                  </pic:spPr>
                </pic:pic>
              </a:graphicData>
            </a:graphic>
          </wp:inline>
        </w:drawing>
      </w:r>
    </w:p>
    <w:p w14:paraId="396FD69C" w14:textId="351DDB67" w:rsidR="00A228EB" w:rsidRPr="00A228EB" w:rsidRDefault="00EE10EA" w:rsidP="00A228EB">
      <w:pPr>
        <w:rPr>
          <w:rFonts w:eastAsia="Times New Roman" w:cs="Times New Roman"/>
          <w:b/>
          <w:color w:val="000000" w:themeColor="text1"/>
          <w:sz w:val="20"/>
          <w:szCs w:val="24"/>
          <w:lang w:eastAsia="en-AU"/>
        </w:rPr>
      </w:pPr>
      <w:bookmarkStart w:id="135" w:name="_Hlk110597193"/>
      <w:r w:rsidRPr="00B824E4">
        <w:rPr>
          <w:noProof/>
        </w:rPr>
        <w:lastRenderedPageBreak/>
        <w:drawing>
          <wp:anchor distT="0" distB="0" distL="114300" distR="114300" simplePos="0" relativeHeight="251658261" behindDoc="0" locked="0" layoutInCell="1" allowOverlap="1" wp14:anchorId="22703905" wp14:editId="40E14491">
            <wp:simplePos x="0" y="0"/>
            <wp:positionH relativeFrom="leftMargin">
              <wp:posOffset>441325</wp:posOffset>
            </wp:positionH>
            <wp:positionV relativeFrom="paragraph">
              <wp:posOffset>-20732</wp:posOffset>
            </wp:positionV>
            <wp:extent cx="532765" cy="405765"/>
            <wp:effectExtent l="0" t="0" r="635" b="0"/>
            <wp:wrapNone/>
            <wp:docPr id="27807" name="Picture 27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7" name="Picture 27807">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276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228EB" w:rsidRPr="00A228EB">
        <w:rPr>
          <w:rFonts w:eastAsia="Times New Roman" w:cs="Times New Roman"/>
          <w:b/>
          <w:color w:val="000000" w:themeColor="text1"/>
          <w:sz w:val="20"/>
          <w:szCs w:val="24"/>
          <w:lang w:eastAsia="en-AU"/>
        </w:rPr>
        <w:t>People’s circumstances influenced how and when they were ready to engage in aftercare support.</w:t>
      </w:r>
      <w:r w:rsidR="00D71846">
        <w:rPr>
          <w:rFonts w:eastAsia="Times New Roman" w:cs="Times New Roman"/>
          <w:b/>
          <w:color w:val="000000" w:themeColor="text1"/>
          <w:sz w:val="20"/>
          <w:szCs w:val="24"/>
          <w:lang w:eastAsia="en-AU"/>
        </w:rPr>
        <w:t xml:space="preserve"> </w:t>
      </w:r>
    </w:p>
    <w:bookmarkEnd w:id="135"/>
    <w:p w14:paraId="1B605E51" w14:textId="0A676467" w:rsidR="00A03979" w:rsidRDefault="00A03979" w:rsidP="00A03979">
      <w:pPr>
        <w:rPr>
          <w:lang w:eastAsia="en-AU"/>
        </w:rPr>
      </w:pPr>
      <w:r>
        <w:rPr>
          <w:lang w:eastAsia="en-AU"/>
        </w:rPr>
        <w:t xml:space="preserve">People’s circumstances can impact their experience </w:t>
      </w:r>
      <w:r w:rsidR="002004C8">
        <w:rPr>
          <w:lang w:eastAsia="en-AU"/>
        </w:rPr>
        <w:t xml:space="preserve">when </w:t>
      </w:r>
      <w:r>
        <w:rPr>
          <w:lang w:eastAsia="en-AU"/>
        </w:rPr>
        <w:t xml:space="preserve">accessing a service immediately following a suicide attempt or crisis </w:t>
      </w:r>
      <w:r w:rsidRPr="008D134B">
        <w:rPr>
          <w:color w:val="000000" w:themeColor="text1"/>
        </w:rPr>
        <w:t>(‘</w:t>
      </w:r>
      <w:r w:rsidRPr="008D134B">
        <w:rPr>
          <w:rFonts w:asciiTheme="majorHAnsi" w:hAnsiTheme="majorHAnsi" w:cstheme="majorHAnsi"/>
          <w:color w:val="000000" w:themeColor="text1"/>
        </w:rPr>
        <w:t>context’</w:t>
      </w:r>
      <w:r w:rsidRPr="00D9738B">
        <w:t>)</w:t>
      </w:r>
      <w:r>
        <w:rPr>
          <w:lang w:eastAsia="en-AU"/>
        </w:rPr>
        <w:t>. These can be internal circumstances – such as their readiness to engage in recovery, or external factors – such as the ease of referral into a</w:t>
      </w:r>
      <w:r w:rsidR="00D45C3F">
        <w:rPr>
          <w:lang w:eastAsia="en-AU"/>
        </w:rPr>
        <w:t>n aftercare</w:t>
      </w:r>
      <w:r>
        <w:rPr>
          <w:lang w:eastAsia="en-AU"/>
        </w:rPr>
        <w:t xml:space="preserve"> service. </w:t>
      </w:r>
    </w:p>
    <w:p w14:paraId="75403CC1" w14:textId="1845D50D" w:rsidR="00EB69E0" w:rsidRDefault="00A03979" w:rsidP="001C5C16">
      <w:r>
        <w:rPr>
          <w:lang w:eastAsia="en-AU"/>
        </w:rPr>
        <w:t xml:space="preserve">These factors can influence how and when people are ready to engage in support, their experience of accessing services and subsequently </w:t>
      </w:r>
      <w:r>
        <w:rPr>
          <w:i/>
          <w:iCs/>
          <w:lang w:eastAsia="en-AU"/>
        </w:rPr>
        <w:t xml:space="preserve">how </w:t>
      </w:r>
      <w:r>
        <w:rPr>
          <w:lang w:eastAsia="en-AU"/>
        </w:rPr>
        <w:t>change will occur through their recovery journey.</w:t>
      </w:r>
      <w:r w:rsidR="001970B2">
        <w:rPr>
          <w:rStyle w:val="FootnoteReference"/>
          <w:lang w:eastAsia="en-AU"/>
        </w:rPr>
        <w:footnoteReference w:id="121"/>
      </w:r>
      <w:r>
        <w:rPr>
          <w:lang w:eastAsia="en-AU"/>
        </w:rPr>
        <w:t xml:space="preserve"> </w:t>
      </w:r>
      <w:r w:rsidR="002F6D7A">
        <w:t>Participants</w:t>
      </w:r>
      <w:r w:rsidR="00B27853">
        <w:t xml:space="preserve"> commonly reported that </w:t>
      </w:r>
      <w:r w:rsidR="00423AB8">
        <w:t xml:space="preserve">they felt they </w:t>
      </w:r>
      <w:r w:rsidR="004B1945">
        <w:t xml:space="preserve">were </w:t>
      </w:r>
      <w:r w:rsidR="00423AB8">
        <w:t xml:space="preserve">only </w:t>
      </w:r>
      <w:r w:rsidR="004B1945">
        <w:t xml:space="preserve">able to </w:t>
      </w:r>
      <w:r w:rsidR="00A12D9D">
        <w:t xml:space="preserve">engage in the service </w:t>
      </w:r>
      <w:r w:rsidR="007F1A44">
        <w:t xml:space="preserve">when </w:t>
      </w:r>
      <w:r w:rsidR="004B1945">
        <w:t xml:space="preserve">the circumstance </w:t>
      </w:r>
      <w:r w:rsidR="0020168A">
        <w:t xml:space="preserve">that led </w:t>
      </w:r>
      <w:r w:rsidR="0020168A" w:rsidRPr="00CB4FAC">
        <w:t xml:space="preserve">to their suicide attempt or crisis </w:t>
      </w:r>
      <w:r w:rsidR="00EF24A6" w:rsidRPr="00CB4FAC">
        <w:t>h</w:t>
      </w:r>
      <w:r w:rsidR="00423AB8">
        <w:t>ad</w:t>
      </w:r>
      <w:r w:rsidR="00EF24A6" w:rsidRPr="00CB4FAC">
        <w:t xml:space="preserve"> either </w:t>
      </w:r>
      <w:r w:rsidR="004B1945" w:rsidRPr="00CB4FAC">
        <w:t xml:space="preserve">been </w:t>
      </w:r>
      <w:r w:rsidR="00EF24A6" w:rsidRPr="00CB4FAC">
        <w:t xml:space="preserve">resolved or </w:t>
      </w:r>
      <w:r w:rsidR="004B1945" w:rsidRPr="00CB4FAC">
        <w:t>stabilised</w:t>
      </w:r>
      <w:r w:rsidR="00EB69E0">
        <w:t>, for example:</w:t>
      </w:r>
      <w:r w:rsidR="00AE59A6">
        <w:t xml:space="preserve"> </w:t>
      </w:r>
    </w:p>
    <w:p w14:paraId="4064F9A0" w14:textId="716ED8C4" w:rsidR="00EB69E0" w:rsidRPr="00EB69E0" w:rsidRDefault="36BD31E0" w:rsidP="00521659">
      <w:pPr>
        <w:pStyle w:val="Bullet"/>
      </w:pPr>
      <w:r>
        <w:t>Participants</w:t>
      </w:r>
      <w:r w:rsidR="77736403">
        <w:t xml:space="preserve"> who reported experiencing homelessness at the time they were referred to The Way Back</w:t>
      </w:r>
      <w:r w:rsidR="1C0FF6BE">
        <w:t xml:space="preserve">. These </w:t>
      </w:r>
      <w:r>
        <w:t>participants</w:t>
      </w:r>
      <w:r w:rsidR="1C0FF6BE">
        <w:t xml:space="preserve"> </w:t>
      </w:r>
      <w:r w:rsidR="77736403">
        <w:t>often reported their ongoing situational crisis of homelessness made it difficult to engage with other psychosocial supports and focus on recovery.</w:t>
      </w:r>
    </w:p>
    <w:p w14:paraId="7CC93F4B" w14:textId="2DE675B8" w:rsidR="00EB69E0" w:rsidRPr="00CB4FAC" w:rsidRDefault="36BD31E0" w:rsidP="00521659">
      <w:pPr>
        <w:pStyle w:val="Bullet"/>
      </w:pPr>
      <w:r>
        <w:t>Participants</w:t>
      </w:r>
      <w:r w:rsidR="77736403">
        <w:t xml:space="preserve"> </w:t>
      </w:r>
      <w:r w:rsidR="1C0FF6BE">
        <w:t xml:space="preserve">who reported that they were still seeking to stabilise their mental health using medication but needed more time to </w:t>
      </w:r>
      <w:r w:rsidR="73404080">
        <w:t>refine type/</w:t>
      </w:r>
      <w:r w:rsidR="1C0FF6BE">
        <w:t>dosage</w:t>
      </w:r>
      <w:r w:rsidR="73404080">
        <w:t xml:space="preserve"> of medication</w:t>
      </w:r>
      <w:r w:rsidR="1C0FF6BE">
        <w:t xml:space="preserve">. These </w:t>
      </w:r>
      <w:r>
        <w:t>participants</w:t>
      </w:r>
      <w:r w:rsidR="1C0FF6BE">
        <w:t xml:space="preserve"> often felt they needed to achieve medication stability before </w:t>
      </w:r>
      <w:r w:rsidR="77736403">
        <w:t>they had the capacity to engage in additional supports t</w:t>
      </w:r>
      <w:r w:rsidR="7C935F49">
        <w:t>o</w:t>
      </w:r>
      <w:r w:rsidR="77736403">
        <w:t xml:space="preserve"> </w:t>
      </w:r>
      <w:r w:rsidR="3AB09549">
        <w:t>progress</w:t>
      </w:r>
      <w:r w:rsidR="77736403">
        <w:t xml:space="preserve"> their recovery. </w:t>
      </w:r>
    </w:p>
    <w:p w14:paraId="55964F1B" w14:textId="352EA1E3" w:rsidR="005B3E20" w:rsidRPr="00CB4FAC" w:rsidRDefault="00891CA2" w:rsidP="001C5C16">
      <w:r>
        <w:rPr>
          <w:rFonts w:ascii="Segoe UI Semibold" w:hAnsi="Segoe UI Semibold" w:cs="Segoe UI Semibold"/>
          <w:noProof/>
        </w:rPr>
        <mc:AlternateContent>
          <mc:Choice Requires="wpg">
            <w:drawing>
              <wp:anchor distT="0" distB="0" distL="114300" distR="114300" simplePos="0" relativeHeight="251658262" behindDoc="0" locked="0" layoutInCell="1" allowOverlap="1" wp14:anchorId="42DE4AC6" wp14:editId="612B20FF">
                <wp:simplePos x="0" y="0"/>
                <wp:positionH relativeFrom="column">
                  <wp:posOffset>-550545</wp:posOffset>
                </wp:positionH>
                <wp:positionV relativeFrom="paragraph">
                  <wp:posOffset>912495</wp:posOffset>
                </wp:positionV>
                <wp:extent cx="528955" cy="407670"/>
                <wp:effectExtent l="0" t="0" r="4445" b="0"/>
                <wp:wrapNone/>
                <wp:docPr id="512" name="Group 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28955" cy="407670"/>
                          <a:chOff x="0" y="0"/>
                          <a:chExt cx="529524" cy="407670"/>
                        </a:xfrm>
                      </wpg:grpSpPr>
                      <wpg:grpSp>
                        <wpg:cNvPr id="27894" name="Group 113"/>
                        <wpg:cNvGrpSpPr/>
                        <wpg:grpSpPr>
                          <a:xfrm>
                            <a:off x="0" y="0"/>
                            <a:ext cx="407670" cy="407670"/>
                            <a:chOff x="0" y="0"/>
                            <a:chExt cx="468000" cy="468000"/>
                          </a:xfrm>
                        </wpg:grpSpPr>
                        <wps:wsp>
                          <wps:cNvPr id="27895" name="Rectangle 27895"/>
                          <wps:cNvSpPr/>
                          <wps:spPr>
                            <a:xfrm>
                              <a:off x="0" y="0"/>
                              <a:ext cx="468000" cy="468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96" name="Graphic 77"/>
                            <pic:cNvPicPr>
                              <a:picLocks noChangeAspect="1"/>
                            </pic:cNvPicPr>
                          </pic:nvPicPr>
                          <pic:blipFill>
                            <a:blip r:embed="rId86">
                              <a:extLst>
                                <a:ext uri="{96DAC541-7B7A-43D3-8B79-37D633B846F1}">
                                  <asvg:svgBlip xmlns:asvg="http://schemas.microsoft.com/office/drawing/2016/SVG/main" r:embed="rId87"/>
                                </a:ext>
                              </a:extLst>
                            </a:blip>
                            <a:stretch>
                              <a:fillRect/>
                            </a:stretch>
                          </pic:blipFill>
                          <pic:spPr>
                            <a:xfrm>
                              <a:off x="49099" y="67978"/>
                              <a:ext cx="370449" cy="361834"/>
                            </a:xfrm>
                            <a:prstGeom prst="rect">
                              <a:avLst/>
                            </a:prstGeom>
                          </pic:spPr>
                        </pic:pic>
                      </wpg:grpSp>
                      <wps:wsp>
                        <wps:cNvPr id="27903" name="Freeform 9"/>
                        <wps:cNvSpPr>
                          <a:spLocks/>
                        </wps:cNvSpPr>
                        <wps:spPr bwMode="auto">
                          <a:xfrm>
                            <a:off x="421574" y="83127"/>
                            <a:ext cx="107950" cy="250825"/>
                          </a:xfrm>
                          <a:custGeom>
                            <a:avLst/>
                            <a:gdLst>
                              <a:gd name="T0" fmla="*/ 0 w 68"/>
                              <a:gd name="T1" fmla="*/ 0 h 158"/>
                              <a:gd name="T2" fmla="*/ 68 w 68"/>
                              <a:gd name="T3" fmla="*/ 79 h 158"/>
                              <a:gd name="T4" fmla="*/ 0 w 68"/>
                              <a:gd name="T5" fmla="*/ 158 h 158"/>
                              <a:gd name="T6" fmla="*/ 0 w 68"/>
                              <a:gd name="T7" fmla="*/ 0 h 158"/>
                            </a:gdLst>
                            <a:ahLst/>
                            <a:cxnLst>
                              <a:cxn ang="0">
                                <a:pos x="T0" y="T1"/>
                              </a:cxn>
                              <a:cxn ang="0">
                                <a:pos x="T2" y="T3"/>
                              </a:cxn>
                              <a:cxn ang="0">
                                <a:pos x="T4" y="T5"/>
                              </a:cxn>
                              <a:cxn ang="0">
                                <a:pos x="T6" y="T7"/>
                              </a:cxn>
                            </a:cxnLst>
                            <a:rect l="0" t="0" r="r" b="b"/>
                            <a:pathLst>
                              <a:path w="68" h="158">
                                <a:moveTo>
                                  <a:pt x="0" y="0"/>
                                </a:moveTo>
                                <a:lnTo>
                                  <a:pt x="68" y="79"/>
                                </a:lnTo>
                                <a:lnTo>
                                  <a:pt x="0" y="158"/>
                                </a:lnTo>
                                <a:lnTo>
                                  <a:pt x="0" y="0"/>
                                </a:lnTo>
                                <a:close/>
                              </a:path>
                            </a:pathLst>
                          </a:custGeom>
                          <a:solidFill>
                            <a:srgbClr val="25B3E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1EE81B5E" id="Group 512" o:spid="_x0000_s1026" alt="&quot;&quot;" style="position:absolute;margin-left:-43.35pt;margin-top:71.85pt;width:41.65pt;height:32.1pt;z-index:251658262" coordsize="5295,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">
                <v:group id="Group 113" o:spid="_x0000_s1027" style="position:absolute;width:4076;height:4076" coordsize="468000,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">
                  <v:rect id="Rectangle 27895" o:spid="_x0000_s1028" style="position:absolute;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" fillcolor="#00264d [3214]"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77" o:spid="_x0000_s1029" type="#_x0000_t75" style="position:absolute;left:49099;top:67978;width:370449;height:36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">
                    <v:imagedata r:id="rId92" o:title=""/>
                  </v:shape>
                </v:group>
                <v:shape id="Freeform 9" o:spid="_x0000_s1030" style="position:absolute;left:4215;top:831;width:1080;height:2508;visibility:visible;mso-wrap-style:square;v-text-anchor:top" coordsize="6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" path="m,l68,79,,158,,xe" fillcolor="#25b3e0" stroked="f">
                  <v:path arrowok="t" o:connecttype="custom" o:connectlocs="0,0;107950,125413;0,250825;0,0" o:connectangles="0,0,0,0"/>
                </v:shape>
              </v:group>
            </w:pict>
          </mc:Fallback>
        </mc:AlternateContent>
      </w:r>
      <w:r w:rsidR="16C65A11">
        <w:t>The</w:t>
      </w:r>
      <w:r w:rsidR="00DB7DCA">
        <w:t xml:space="preserve"> analysis of</w:t>
      </w:r>
      <w:r w:rsidR="16C65A11">
        <w:t xml:space="preserve"> </w:t>
      </w:r>
      <w:r w:rsidR="0027531C">
        <w:t>PMHC-MDS</w:t>
      </w:r>
      <w:r w:rsidR="16C65A11">
        <w:t xml:space="preserve"> data </w:t>
      </w:r>
      <w:r w:rsidR="233618DB">
        <w:t xml:space="preserve">found that of the </w:t>
      </w:r>
      <w:r w:rsidR="14629A63">
        <w:t>participants</w:t>
      </w:r>
      <w:r w:rsidR="233618DB">
        <w:t xml:space="preserve"> who did not consent to participate in </w:t>
      </w:r>
      <w:r w:rsidR="65AA653A">
        <w:t>T</w:t>
      </w:r>
      <w:r w:rsidR="233618DB">
        <w:t>he Way Back</w:t>
      </w:r>
      <w:r w:rsidR="5C46CBC6">
        <w:t xml:space="preserve"> (</w:t>
      </w:r>
      <w:r w:rsidR="00DB7DCA">
        <w:t>21 per cent</w:t>
      </w:r>
      <w:r w:rsidR="5C46CBC6">
        <w:t>)</w:t>
      </w:r>
      <w:r w:rsidR="233618DB">
        <w:t xml:space="preserve">, </w:t>
      </w:r>
      <w:r w:rsidR="1541AFBF">
        <w:t xml:space="preserve">just over </w:t>
      </w:r>
      <w:r w:rsidR="00DB7DCA">
        <w:t xml:space="preserve">a third </w:t>
      </w:r>
      <w:r w:rsidR="79043E67">
        <w:t xml:space="preserve">of those who </w:t>
      </w:r>
      <w:r w:rsidR="5196B8DB">
        <w:t xml:space="preserve">provided a reason for </w:t>
      </w:r>
      <w:r w:rsidR="2BAB40A7">
        <w:t>declining the service</w:t>
      </w:r>
      <w:r w:rsidR="331BFFA4">
        <w:t xml:space="preserve"> did so because</w:t>
      </w:r>
      <w:r w:rsidR="222CDC46">
        <w:t xml:space="preserve"> they</w:t>
      </w:r>
      <w:r w:rsidR="4F410448">
        <w:t xml:space="preserve"> did not want support or thought the service was ‘not for right now’ </w:t>
      </w:r>
      <w:r w:rsidR="13B74EB4">
        <w:t>(</w:t>
      </w:r>
      <w:r w:rsidR="3128CE8D">
        <w:t xml:space="preserve">noting that </w:t>
      </w:r>
      <w:r w:rsidR="1E6BA0C7">
        <w:t>7</w:t>
      </w:r>
      <w:r w:rsidR="006E45E5">
        <w:t>9</w:t>
      </w:r>
      <w:r w:rsidR="3128CE8D">
        <w:t xml:space="preserve"> per cent of </w:t>
      </w:r>
      <w:r w:rsidR="559C89D5">
        <w:t>people did</w:t>
      </w:r>
      <w:r w:rsidR="65AA653A">
        <w:t xml:space="preserve"> not provide a reason for declining the referral</w:t>
      </w:r>
      <w:r w:rsidR="13B74EB4">
        <w:t>)</w:t>
      </w:r>
      <w:r w:rsidR="65AA653A">
        <w:t xml:space="preserve">. </w:t>
      </w:r>
      <w:r w:rsidR="4F410448">
        <w:t xml:space="preserve">See </w:t>
      </w:r>
      <w:r w:rsidR="4F410448" w:rsidRPr="00213525">
        <w:t>section</w:t>
      </w:r>
      <w:r w:rsidR="6E661BBF">
        <w:t xml:space="preserve"> </w:t>
      </w:r>
      <w:r w:rsidR="00487DA9">
        <w:fldChar w:fldCharType="begin"/>
      </w:r>
      <w:r w:rsidR="00487DA9">
        <w:instrText xml:space="preserve"> REF _Ref118312012 \n \h </w:instrText>
      </w:r>
      <w:r w:rsidR="00487DA9">
        <w:fldChar w:fldCharType="separate"/>
      </w:r>
      <w:r w:rsidR="00402362">
        <w:t>6.2</w:t>
      </w:r>
      <w:r w:rsidR="00487DA9">
        <w:fldChar w:fldCharType="end"/>
      </w:r>
      <w:r w:rsidR="4F410448">
        <w:t xml:space="preserve"> for further details on service uptake</w:t>
      </w:r>
      <w:r w:rsidR="0D5BB692">
        <w:t xml:space="preserve">. </w:t>
      </w:r>
    </w:p>
    <w:p w14:paraId="5E460A20" w14:textId="0EF20FB3" w:rsidR="00BE0D81" w:rsidRPr="00623868" w:rsidRDefault="24430DEC" w:rsidP="00623868">
      <w:pPr>
        <w:rPr>
          <w:rStyle w:val="Strong"/>
        </w:rPr>
      </w:pPr>
      <w:r w:rsidRPr="00623868">
        <w:rPr>
          <w:rStyle w:val="Strong"/>
        </w:rPr>
        <w:t>Participant trust and connect</w:t>
      </w:r>
      <w:r w:rsidR="00E903DB" w:rsidRPr="00623868">
        <w:rPr>
          <w:rStyle w:val="Strong"/>
        </w:rPr>
        <w:t>ion</w:t>
      </w:r>
      <w:r w:rsidRPr="00623868">
        <w:rPr>
          <w:rStyle w:val="Strong"/>
        </w:rPr>
        <w:t xml:space="preserve"> </w:t>
      </w:r>
      <w:r w:rsidR="36429598" w:rsidRPr="00623868">
        <w:rPr>
          <w:rStyle w:val="Strong"/>
        </w:rPr>
        <w:t xml:space="preserve">with </w:t>
      </w:r>
      <w:r w:rsidRPr="00623868">
        <w:rPr>
          <w:rStyle w:val="Strong"/>
        </w:rPr>
        <w:t>support coordinator</w:t>
      </w:r>
      <w:r w:rsidR="006D72AD" w:rsidRPr="00623868">
        <w:rPr>
          <w:rStyle w:val="Strong"/>
        </w:rPr>
        <w:t>s</w:t>
      </w:r>
      <w:r w:rsidRPr="00623868">
        <w:rPr>
          <w:rStyle w:val="Strong"/>
        </w:rPr>
        <w:t xml:space="preserve"> w</w:t>
      </w:r>
      <w:r w:rsidR="006D72AD" w:rsidRPr="00623868">
        <w:rPr>
          <w:rStyle w:val="Strong"/>
        </w:rPr>
        <w:t>ere</w:t>
      </w:r>
      <w:r w:rsidRPr="00623868">
        <w:rPr>
          <w:rStyle w:val="Strong"/>
        </w:rPr>
        <w:t xml:space="preserve"> foundational mechanism</w:t>
      </w:r>
      <w:r w:rsidR="006D72AD" w:rsidRPr="00623868">
        <w:rPr>
          <w:rStyle w:val="Strong"/>
        </w:rPr>
        <w:t>s</w:t>
      </w:r>
      <w:r w:rsidRPr="00623868">
        <w:rPr>
          <w:rStyle w:val="Strong"/>
        </w:rPr>
        <w:t xml:space="preserve"> that </w:t>
      </w:r>
      <w:r w:rsidR="000461A1" w:rsidRPr="00623868">
        <w:rPr>
          <w:rStyle w:val="Strong"/>
        </w:rPr>
        <w:t xml:space="preserve">influenced </w:t>
      </w:r>
      <w:r w:rsidRPr="00623868">
        <w:rPr>
          <w:rStyle w:val="Strong"/>
        </w:rPr>
        <w:t>the participant’s remaining experience with The Way Back.</w:t>
      </w:r>
    </w:p>
    <w:p w14:paraId="1B040B5C" w14:textId="20C3ECE7" w:rsidR="00A03979" w:rsidRDefault="00C25501" w:rsidP="00B50640">
      <w:r w:rsidRPr="007F69E4">
        <w:rPr>
          <w:rFonts w:ascii="Segoe UI Semibold" w:hAnsi="Segoe UI Semibold" w:cs="Segoe UI Semibold"/>
          <w:noProof/>
        </w:rPr>
        <mc:AlternateContent>
          <mc:Choice Requires="wps">
            <w:drawing>
              <wp:anchor distT="0" distB="0" distL="114300" distR="114300" simplePos="0" relativeHeight="251658244" behindDoc="0" locked="0" layoutInCell="1" allowOverlap="1" wp14:anchorId="55852EAA" wp14:editId="7B116AAE">
                <wp:simplePos x="0" y="0"/>
                <wp:positionH relativeFrom="margin">
                  <wp:posOffset>3377301</wp:posOffset>
                </wp:positionH>
                <wp:positionV relativeFrom="paragraph">
                  <wp:posOffset>455295</wp:posOffset>
                </wp:positionV>
                <wp:extent cx="2151380" cy="1463040"/>
                <wp:effectExtent l="0" t="0" r="1270" b="3810"/>
                <wp:wrapSquare wrapText="bothSides"/>
                <wp:docPr id="1038752975" name="Text Box 103875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51380" cy="1463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4961" w14:textId="3EEA7914" w:rsidR="00BE7AF4" w:rsidRPr="00334D76" w:rsidRDefault="00BE7AF4" w:rsidP="00BE7AF4">
                            <w:pPr>
                              <w:pStyle w:val="Callout"/>
                              <w:rPr>
                                <w:sz w:val="20"/>
                                <w:szCs w:val="20"/>
                              </w:rPr>
                            </w:pPr>
                            <w:r w:rsidRPr="00334D76">
                              <w:rPr>
                                <w:sz w:val="20"/>
                                <w:szCs w:val="20"/>
                              </w:rPr>
                              <w:t xml:space="preserve">“I trusted [the support coordinator]. I let her know everything that was happening in my life, whether that is good or bad. When I shared positive things with her, she was happy for me. It felt good seeing someone happy for me.”- The Way Back </w:t>
                            </w:r>
                            <w:r w:rsidR="002F6D7A">
                              <w:rPr>
                                <w:sz w:val="20"/>
                                <w:szCs w:val="20"/>
                              </w:rPr>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52EAA" id="Text Box 1038752975" o:spid="_x0000_s1031" type="#_x0000_t202" alt="&quot;&quot;" style="position:absolute;margin-left:265.95pt;margin-top:35.85pt;width:169.4pt;height:115.2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" fillcolor="white [3201]" stroked="f" strokeweight=".5pt">
                <v:textbox inset="0,,1mm">
                  <w:txbxContent>
                    <w:p w14:paraId="1F6D4961" w14:textId="3EEA7914" w:rsidR="00BE7AF4" w:rsidRPr="00334D76" w:rsidRDefault="00BE7AF4" w:rsidP="00BE7AF4">
                      <w:pPr>
                        <w:pStyle w:val="Callout"/>
                        <w:rPr>
                          <w:sz w:val="20"/>
                          <w:szCs w:val="20"/>
                        </w:rPr>
                      </w:pPr>
                      <w:r w:rsidRPr="00334D76">
                        <w:rPr>
                          <w:sz w:val="20"/>
                          <w:szCs w:val="20"/>
                        </w:rPr>
                        <w:t xml:space="preserve">“I trusted [the support coordinator]. I let her know everything that was happening in my life, whether that is good or bad. When I shared positive things with her, she was happy for me. It felt good seeing someone happy for me.”- The Way Back </w:t>
                      </w:r>
                      <w:r w:rsidR="002F6D7A">
                        <w:rPr>
                          <w:sz w:val="20"/>
                          <w:szCs w:val="20"/>
                        </w:rPr>
                        <w:t>participant</w:t>
                      </w:r>
                    </w:p>
                  </w:txbxContent>
                </v:textbox>
                <w10:wrap type="square" anchorx="margin"/>
              </v:shape>
            </w:pict>
          </mc:Fallback>
        </mc:AlternateContent>
      </w:r>
      <w:r w:rsidR="2697ADD2">
        <w:t xml:space="preserve">Consultations with The Way Back </w:t>
      </w:r>
      <w:r w:rsidR="14629A63">
        <w:t>participants</w:t>
      </w:r>
      <w:r w:rsidR="2697ADD2">
        <w:t xml:space="preserve"> revealed there </w:t>
      </w:r>
      <w:r w:rsidR="15ED1E22">
        <w:t>was</w:t>
      </w:r>
      <w:r w:rsidR="2697ADD2">
        <w:t xml:space="preserve"> </w:t>
      </w:r>
      <w:r w:rsidR="15ED1E22">
        <w:t>one</w:t>
      </w:r>
      <w:r w:rsidR="2697ADD2">
        <w:t xml:space="preserve"> </w:t>
      </w:r>
      <w:r w:rsidR="751FFB2E">
        <w:t>foundational</w:t>
      </w:r>
      <w:r w:rsidR="2697ADD2">
        <w:t xml:space="preserve"> mechanism that helped to create change for </w:t>
      </w:r>
      <w:r w:rsidR="14629A63">
        <w:t>participants</w:t>
      </w:r>
      <w:r w:rsidR="2697ADD2">
        <w:t xml:space="preserve"> in their recovery</w:t>
      </w:r>
      <w:r w:rsidR="751FFB2E">
        <w:t xml:space="preserve"> </w:t>
      </w:r>
      <w:r w:rsidR="1F04F0BF">
        <w:t>which</w:t>
      </w:r>
      <w:r w:rsidR="751FFB2E">
        <w:t xml:space="preserve"> was </w:t>
      </w:r>
      <w:r w:rsidR="571F4314">
        <w:t xml:space="preserve">the </w:t>
      </w:r>
      <w:r w:rsidR="2697ADD2">
        <w:t>trust and connection to their support coordinator</w:t>
      </w:r>
      <w:r w:rsidR="45DF7D5E">
        <w:t xml:space="preserve"> – the ‘ther</w:t>
      </w:r>
      <w:r w:rsidR="1F63C5B0">
        <w:t>apeutic relationship</w:t>
      </w:r>
      <w:r w:rsidR="0C875C0E">
        <w:t xml:space="preserve"> or allianc</w:t>
      </w:r>
      <w:r w:rsidR="522C3B93">
        <w:t>e</w:t>
      </w:r>
      <w:r w:rsidR="571F4314">
        <w:t>’</w:t>
      </w:r>
      <w:r w:rsidR="2697ADD2">
        <w:t xml:space="preserve">. </w:t>
      </w:r>
      <w:bookmarkStart w:id="136" w:name="_Hlk110597469"/>
      <w:r w:rsidR="2697ADD2">
        <w:t xml:space="preserve">Based on </w:t>
      </w:r>
      <w:r w:rsidR="14629A63">
        <w:t>participant</w:t>
      </w:r>
      <w:r w:rsidR="2697ADD2">
        <w:t xml:space="preserve"> interviews and survey responses, </w:t>
      </w:r>
      <w:r w:rsidR="005F0930">
        <w:t>appeared to be</w:t>
      </w:r>
      <w:r w:rsidR="2697ADD2">
        <w:t xml:space="preserve"> a prerequisite to </w:t>
      </w:r>
      <w:r w:rsidR="14629A63">
        <w:t>participants</w:t>
      </w:r>
      <w:r w:rsidR="2697ADD2">
        <w:t xml:space="preserve"> continuing engagement with the service and being open and ready to discuss supports and recovery. The importance of the </w:t>
      </w:r>
      <w:r w:rsidR="14629A63">
        <w:t>participant</w:t>
      </w:r>
      <w:r w:rsidR="2697ADD2">
        <w:t xml:space="preserve">’s relationship with the support </w:t>
      </w:r>
      <w:r w:rsidR="2697ADD2" w:rsidRPr="00A03979">
        <w:t>coordinator</w:t>
      </w:r>
      <w:r w:rsidR="2697ADD2">
        <w:t xml:space="preserve"> aligns with the literature on suicide aftercare which </w:t>
      </w:r>
      <w:r w:rsidR="60E44218">
        <w:t>demonstrates</w:t>
      </w:r>
      <w:r w:rsidR="2697ADD2">
        <w:t xml:space="preserve"> that a strong therapeutic alliance between the </w:t>
      </w:r>
      <w:r w:rsidR="14629A63">
        <w:t>participant</w:t>
      </w:r>
      <w:r w:rsidR="2697ADD2">
        <w:t xml:space="preserve"> and their support person is associated with better outcomes for the </w:t>
      </w:r>
      <w:r w:rsidR="14629A63">
        <w:t>participant</w:t>
      </w:r>
      <w:r w:rsidR="2697ADD2">
        <w:t>.</w:t>
      </w:r>
      <w:r w:rsidR="00A03979">
        <w:rPr>
          <w:rStyle w:val="FootnoteReference"/>
        </w:rPr>
        <w:footnoteReference w:id="122"/>
      </w:r>
      <w:bookmarkEnd w:id="136"/>
      <w:r w:rsidR="5300C2C2">
        <w:t xml:space="preserve"> </w:t>
      </w:r>
    </w:p>
    <w:p w14:paraId="07BB985B" w14:textId="77777777" w:rsidR="00CB0C9C" w:rsidRDefault="00232CD2" w:rsidP="00B50640">
      <w:r>
        <w:t xml:space="preserve">The importance </w:t>
      </w:r>
      <w:r w:rsidR="007229C8">
        <w:t xml:space="preserve">of the support coordinator is also highlighted in responses in the </w:t>
      </w:r>
      <w:r w:rsidR="00643D7E">
        <w:t xml:space="preserve">Participant </w:t>
      </w:r>
      <w:r w:rsidR="004F3C0C">
        <w:t>s</w:t>
      </w:r>
      <w:r w:rsidR="00643D7E">
        <w:t>urvey.</w:t>
      </w:r>
      <w:r w:rsidR="00643D7E">
        <w:rPr>
          <w:rStyle w:val="FootnoteReference"/>
        </w:rPr>
        <w:footnoteReference w:id="123"/>
      </w:r>
      <w:r w:rsidR="00643D7E">
        <w:t xml:space="preserve"> As outlined in </w:t>
      </w:r>
      <w:r w:rsidR="00643D7E" w:rsidRPr="00213525">
        <w:t>section</w:t>
      </w:r>
      <w:r w:rsidR="001A1D37">
        <w:t xml:space="preserve"> </w:t>
      </w:r>
      <w:r w:rsidR="007B053F">
        <w:fldChar w:fldCharType="begin"/>
      </w:r>
      <w:r w:rsidR="007B053F">
        <w:instrText xml:space="preserve"> REF _Ref121312984 \n \h </w:instrText>
      </w:r>
      <w:r w:rsidR="007B053F">
        <w:fldChar w:fldCharType="separate"/>
      </w:r>
      <w:r w:rsidR="00402362">
        <w:t>6.3</w:t>
      </w:r>
      <w:r w:rsidR="007B053F">
        <w:fldChar w:fldCharType="end"/>
      </w:r>
      <w:r w:rsidR="00167448" w:rsidRPr="00213525">
        <w:t>,</w:t>
      </w:r>
      <w:r w:rsidR="00167448">
        <w:t xml:space="preserve"> </w:t>
      </w:r>
      <w:r w:rsidR="00643D7E">
        <w:t xml:space="preserve">83 per cent of respondents </w:t>
      </w:r>
      <w:r w:rsidR="0077690B">
        <w:t xml:space="preserve">indicated that their relationship with their support coordinator influenced their level of satisfaction with The Way Back. </w:t>
      </w:r>
      <w:r w:rsidR="004F3C0C">
        <w:t xml:space="preserve">Peer workers may </w:t>
      </w:r>
      <w:r w:rsidR="00E20C9F">
        <w:t xml:space="preserve">also contribute to the strength of </w:t>
      </w:r>
      <w:r w:rsidR="004F3C0C">
        <w:t>the therapeutic alliance</w:t>
      </w:r>
      <w:r w:rsidR="009A3B75">
        <w:t xml:space="preserve">. </w:t>
      </w:r>
      <w:r w:rsidR="00520249">
        <w:t>Two p</w:t>
      </w:r>
      <w:r w:rsidR="009A3B75">
        <w:t xml:space="preserve">articipants </w:t>
      </w:r>
      <w:r w:rsidR="00BA2DD1">
        <w:t xml:space="preserve">who </w:t>
      </w:r>
      <w:r w:rsidR="00520249">
        <w:t xml:space="preserve">were interviewed and </w:t>
      </w:r>
      <w:r w:rsidR="00BA2DD1">
        <w:t xml:space="preserve">received peer support in The Way Back </w:t>
      </w:r>
      <w:r w:rsidR="000F51D7">
        <w:t xml:space="preserve">reported that </w:t>
      </w:r>
      <w:r w:rsidR="00D31A2F">
        <w:t xml:space="preserve">they also liked, </w:t>
      </w:r>
      <w:proofErr w:type="gramStart"/>
      <w:r w:rsidR="00D31A2F">
        <w:t>trust</w:t>
      </w:r>
      <w:r w:rsidR="0056704F">
        <w:t>ed</w:t>
      </w:r>
      <w:proofErr w:type="gramEnd"/>
      <w:r w:rsidR="0056704F">
        <w:t xml:space="preserve"> and</w:t>
      </w:r>
      <w:r w:rsidR="00D31A2F">
        <w:t xml:space="preserve"> connected with their peer worker, which </w:t>
      </w:r>
      <w:r w:rsidR="00520249">
        <w:t xml:space="preserve">contributed to their </w:t>
      </w:r>
      <w:r w:rsidR="0056704F">
        <w:t xml:space="preserve">experience </w:t>
      </w:r>
      <w:r w:rsidR="008C23B1">
        <w:t xml:space="preserve">with </w:t>
      </w:r>
      <w:r w:rsidR="00D31A2F">
        <w:t>The Way Back.</w:t>
      </w:r>
      <w:r w:rsidR="0034449D">
        <w:rPr>
          <w:rStyle w:val="FootnoteReference"/>
        </w:rPr>
        <w:footnoteReference w:id="124"/>
      </w:r>
    </w:p>
    <w:p w14:paraId="4EB3E332" w14:textId="1C5BC5AF" w:rsidR="00B824E4" w:rsidRPr="00623868" w:rsidRDefault="0053730B" w:rsidP="00623868">
      <w:pPr>
        <w:rPr>
          <w:rStyle w:val="Strong"/>
        </w:rPr>
      </w:pPr>
      <w:bookmarkStart w:id="137" w:name="_Hlk110597496"/>
      <w:r w:rsidRPr="00623868">
        <w:rPr>
          <w:rStyle w:val="Strong"/>
          <w:noProof/>
        </w:rPr>
        <w:lastRenderedPageBreak/>
        <mc:AlternateContent>
          <mc:Choice Requires="wps">
            <w:drawing>
              <wp:anchor distT="0" distB="0" distL="114300" distR="114300" simplePos="0" relativeHeight="251658251" behindDoc="0" locked="0" layoutInCell="1" allowOverlap="1" wp14:anchorId="25B15D36" wp14:editId="2BF9C45F">
                <wp:simplePos x="0" y="0"/>
                <wp:positionH relativeFrom="margin">
                  <wp:posOffset>3362061</wp:posOffset>
                </wp:positionH>
                <wp:positionV relativeFrom="paragraph">
                  <wp:posOffset>403027</wp:posOffset>
                </wp:positionV>
                <wp:extent cx="2151380" cy="1433195"/>
                <wp:effectExtent l="0" t="0" r="1270" b="0"/>
                <wp:wrapSquare wrapText="bothSides"/>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51380" cy="1433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FF312B" w14:textId="1D3493A6" w:rsidR="001A1FD9" w:rsidRPr="00334D76" w:rsidRDefault="001A1FD9" w:rsidP="001A1FD9">
                            <w:pPr>
                              <w:pStyle w:val="Callout"/>
                              <w:rPr>
                                <w:sz w:val="20"/>
                                <w:szCs w:val="20"/>
                              </w:rPr>
                            </w:pPr>
                            <w:r w:rsidRPr="00334D76">
                              <w:rPr>
                                <w:sz w:val="20"/>
                                <w:szCs w:val="20"/>
                              </w:rPr>
                              <w:t xml:space="preserve">“I came here with the intentions of not knowing anyone or getting to know anyone – he was really one of the first people I could open up to, to feel okay interacting with. I guess it kind of made me rethink what I wanted to do” - The Way Back </w:t>
                            </w:r>
                            <w:r w:rsidR="002F6D7A">
                              <w:rPr>
                                <w:sz w:val="20"/>
                                <w:szCs w:val="20"/>
                              </w:rPr>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15D36" id="Text Box 11" o:spid="_x0000_s1032" type="#_x0000_t202" alt="&quot;&quot;" style="position:absolute;margin-left:264.75pt;margin-top:31.75pt;width:169.4pt;height:112.8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" fillcolor="white [3201]" stroked="f" strokeweight=".5pt">
                <v:textbox inset="0,,1mm">
                  <w:txbxContent>
                    <w:p w14:paraId="44FF312B" w14:textId="1D3493A6" w:rsidR="001A1FD9" w:rsidRPr="00334D76" w:rsidRDefault="001A1FD9" w:rsidP="001A1FD9">
                      <w:pPr>
                        <w:pStyle w:val="Callout"/>
                        <w:rPr>
                          <w:sz w:val="20"/>
                          <w:szCs w:val="20"/>
                        </w:rPr>
                      </w:pPr>
                      <w:r w:rsidRPr="00334D76">
                        <w:rPr>
                          <w:sz w:val="20"/>
                          <w:szCs w:val="20"/>
                        </w:rPr>
                        <w:t xml:space="preserve">“I came here with the intentions of not knowing anyone or getting to know anyone – he was really one of the first people I could open up to, to feel okay interacting with. I guess it kind of made me rethink what I wanted to do” - The Way Back </w:t>
                      </w:r>
                      <w:r w:rsidR="002F6D7A">
                        <w:rPr>
                          <w:sz w:val="20"/>
                          <w:szCs w:val="20"/>
                        </w:rPr>
                        <w:t>participant</w:t>
                      </w:r>
                    </w:p>
                  </w:txbxContent>
                </v:textbox>
                <w10:wrap type="square" anchorx="margin"/>
              </v:shape>
            </w:pict>
          </mc:Fallback>
        </mc:AlternateContent>
      </w:r>
      <w:r w:rsidR="00807DB6" w:rsidRPr="00623868">
        <w:rPr>
          <w:rStyle w:val="Strong"/>
          <w:noProof/>
        </w:rPr>
        <mc:AlternateContent>
          <mc:Choice Requires="wpg">
            <w:drawing>
              <wp:anchor distT="0" distB="0" distL="114300" distR="114300" simplePos="0" relativeHeight="251658265" behindDoc="0" locked="0" layoutInCell="1" allowOverlap="1" wp14:anchorId="08D0E39E" wp14:editId="08EE3350">
                <wp:simplePos x="0" y="0"/>
                <wp:positionH relativeFrom="column">
                  <wp:posOffset>-586740</wp:posOffset>
                </wp:positionH>
                <wp:positionV relativeFrom="paragraph">
                  <wp:posOffset>-5876</wp:posOffset>
                </wp:positionV>
                <wp:extent cx="534660" cy="407670"/>
                <wp:effectExtent l="57150" t="0" r="0" b="0"/>
                <wp:wrapNone/>
                <wp:docPr id="536" name="Group 5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660" cy="407670"/>
                          <a:chOff x="0" y="0"/>
                          <a:chExt cx="534660" cy="407670"/>
                        </a:xfrm>
                      </wpg:grpSpPr>
                      <wpg:grpSp>
                        <wpg:cNvPr id="513" name="Group 114"/>
                        <wpg:cNvGrpSpPr/>
                        <wpg:grpSpPr>
                          <a:xfrm>
                            <a:off x="0" y="0"/>
                            <a:ext cx="407670" cy="407670"/>
                            <a:chOff x="0" y="0"/>
                            <a:chExt cx="468000" cy="468000"/>
                          </a:xfrm>
                        </wpg:grpSpPr>
                        <wps:wsp>
                          <wps:cNvPr id="514" name="Rectangle 514"/>
                          <wps:cNvSpPr/>
                          <wps:spPr>
                            <a:xfrm>
                              <a:off x="0" y="0"/>
                              <a:ext cx="468000" cy="468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5" name="Group 515"/>
                          <wpg:cNvGrpSpPr>
                            <a:grpSpLocks noChangeAspect="1"/>
                          </wpg:cNvGrpSpPr>
                          <wpg:grpSpPr>
                            <a:xfrm>
                              <a:off x="37966" y="52893"/>
                              <a:ext cx="396001" cy="367715"/>
                              <a:chOff x="37966" y="52893"/>
                              <a:chExt cx="695033" cy="645387"/>
                            </a:xfrm>
                            <a:solidFill>
                              <a:schemeClr val="bg1"/>
                            </a:solidFill>
                          </wpg:grpSpPr>
                          <wps:wsp>
                            <wps:cNvPr id="516" name="Oval 516"/>
                            <wps:cNvSpPr>
                              <a:spLocks noChangeArrowheads="1"/>
                            </wps:cNvSpPr>
                            <wps:spPr bwMode="auto">
                              <a:xfrm>
                                <a:off x="37966" y="352070"/>
                                <a:ext cx="47032" cy="43113"/>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17" name="Freeform 46"/>
                            <wps:cNvSpPr>
                              <a:spLocks/>
                            </wps:cNvSpPr>
                            <wps:spPr bwMode="auto">
                              <a:xfrm>
                                <a:off x="103289" y="367748"/>
                                <a:ext cx="18290" cy="18290"/>
                              </a:xfrm>
                              <a:custGeom>
                                <a:avLst/>
                                <a:gdLst>
                                  <a:gd name="T0" fmla="*/ 6 w 6"/>
                                  <a:gd name="T1" fmla="*/ 3 h 6"/>
                                  <a:gd name="T2" fmla="*/ 3 w 6"/>
                                  <a:gd name="T3" fmla="*/ 0 h 6"/>
                                  <a:gd name="T4" fmla="*/ 2 w 6"/>
                                  <a:gd name="T5" fmla="*/ 0 h 6"/>
                                  <a:gd name="T6" fmla="*/ 0 w 6"/>
                                  <a:gd name="T7" fmla="*/ 3 h 6"/>
                                  <a:gd name="T8" fmla="*/ 3 w 6"/>
                                  <a:gd name="T9" fmla="*/ 6 h 6"/>
                                  <a:gd name="T10" fmla="*/ 6 w 6"/>
                                  <a:gd name="T11" fmla="*/ 3 h 6"/>
                                </a:gdLst>
                                <a:ahLst/>
                                <a:cxnLst>
                                  <a:cxn ang="0">
                                    <a:pos x="T0" y="T1"/>
                                  </a:cxn>
                                  <a:cxn ang="0">
                                    <a:pos x="T2" y="T3"/>
                                  </a:cxn>
                                  <a:cxn ang="0">
                                    <a:pos x="T4" y="T5"/>
                                  </a:cxn>
                                  <a:cxn ang="0">
                                    <a:pos x="T6" y="T7"/>
                                  </a:cxn>
                                  <a:cxn ang="0">
                                    <a:pos x="T8" y="T9"/>
                                  </a:cxn>
                                  <a:cxn ang="0">
                                    <a:pos x="T10" y="T11"/>
                                  </a:cxn>
                                </a:cxnLst>
                                <a:rect l="0" t="0" r="r" b="b"/>
                                <a:pathLst>
                                  <a:path w="6" h="6">
                                    <a:moveTo>
                                      <a:pt x="6" y="3"/>
                                    </a:moveTo>
                                    <a:cubicBezTo>
                                      <a:pt x="6" y="1"/>
                                      <a:pt x="4" y="0"/>
                                      <a:pt x="3" y="0"/>
                                    </a:cubicBezTo>
                                    <a:cubicBezTo>
                                      <a:pt x="2" y="0"/>
                                      <a:pt x="2" y="0"/>
                                      <a:pt x="2" y="0"/>
                                    </a:cubicBezTo>
                                    <a:cubicBezTo>
                                      <a:pt x="1" y="0"/>
                                      <a:pt x="0" y="1"/>
                                      <a:pt x="0" y="3"/>
                                    </a:cubicBezTo>
                                    <a:cubicBezTo>
                                      <a:pt x="0" y="4"/>
                                      <a:pt x="1" y="6"/>
                                      <a:pt x="3" y="6"/>
                                    </a:cubicBezTo>
                                    <a:cubicBezTo>
                                      <a:pt x="4" y="6"/>
                                      <a:pt x="6" y="4"/>
                                      <a:pt x="6" y="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18" name="Freeform 47"/>
                            <wps:cNvSpPr>
                              <a:spLocks/>
                            </wps:cNvSpPr>
                            <wps:spPr bwMode="auto">
                              <a:xfrm>
                                <a:off x="164692" y="367748"/>
                                <a:ext cx="18290" cy="18290"/>
                              </a:xfrm>
                              <a:custGeom>
                                <a:avLst/>
                                <a:gdLst>
                                  <a:gd name="T0" fmla="*/ 3 w 6"/>
                                  <a:gd name="T1" fmla="*/ 6 h 6"/>
                                  <a:gd name="T2" fmla="*/ 6 w 6"/>
                                  <a:gd name="T3" fmla="*/ 3 h 6"/>
                                  <a:gd name="T4" fmla="*/ 3 w 6"/>
                                  <a:gd name="T5" fmla="*/ 0 h 6"/>
                                  <a:gd name="T6" fmla="*/ 3 w 6"/>
                                  <a:gd name="T7" fmla="*/ 0 h 6"/>
                                  <a:gd name="T8" fmla="*/ 0 w 6"/>
                                  <a:gd name="T9" fmla="*/ 3 h 6"/>
                                  <a:gd name="T10" fmla="*/ 3 w 6"/>
                                  <a:gd name="T11" fmla="*/ 6 h 6"/>
                                </a:gdLst>
                                <a:ahLst/>
                                <a:cxnLst>
                                  <a:cxn ang="0">
                                    <a:pos x="T0" y="T1"/>
                                  </a:cxn>
                                  <a:cxn ang="0">
                                    <a:pos x="T2" y="T3"/>
                                  </a:cxn>
                                  <a:cxn ang="0">
                                    <a:pos x="T4" y="T5"/>
                                  </a:cxn>
                                  <a:cxn ang="0">
                                    <a:pos x="T6" y="T7"/>
                                  </a:cxn>
                                  <a:cxn ang="0">
                                    <a:pos x="T8" y="T9"/>
                                  </a:cxn>
                                  <a:cxn ang="0">
                                    <a:pos x="T10" y="T11"/>
                                  </a:cxn>
                                </a:cxnLst>
                                <a:rect l="0" t="0" r="r" b="b"/>
                                <a:pathLst>
                                  <a:path w="6" h="6">
                                    <a:moveTo>
                                      <a:pt x="3" y="6"/>
                                    </a:moveTo>
                                    <a:cubicBezTo>
                                      <a:pt x="5" y="6"/>
                                      <a:pt x="6" y="4"/>
                                      <a:pt x="6" y="3"/>
                                    </a:cubicBezTo>
                                    <a:cubicBezTo>
                                      <a:pt x="6" y="1"/>
                                      <a:pt x="5" y="0"/>
                                      <a:pt x="3" y="0"/>
                                    </a:cubicBezTo>
                                    <a:cubicBezTo>
                                      <a:pt x="3" y="0"/>
                                      <a:pt x="3" y="0"/>
                                      <a:pt x="3" y="0"/>
                                    </a:cubicBezTo>
                                    <a:cubicBezTo>
                                      <a:pt x="1" y="0"/>
                                      <a:pt x="0" y="1"/>
                                      <a:pt x="0" y="3"/>
                                    </a:cubicBezTo>
                                    <a:cubicBezTo>
                                      <a:pt x="0" y="4"/>
                                      <a:pt x="2" y="6"/>
                                      <a:pt x="3"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19" name="Freeform 48"/>
                            <wps:cNvSpPr>
                              <a:spLocks/>
                            </wps:cNvSpPr>
                            <wps:spPr bwMode="auto">
                              <a:xfrm>
                                <a:off x="134643" y="367748"/>
                                <a:ext cx="18290" cy="18290"/>
                              </a:xfrm>
                              <a:custGeom>
                                <a:avLst/>
                                <a:gdLst>
                                  <a:gd name="T0" fmla="*/ 3 w 6"/>
                                  <a:gd name="T1" fmla="*/ 6 h 6"/>
                                  <a:gd name="T2" fmla="*/ 6 w 6"/>
                                  <a:gd name="T3" fmla="*/ 3 h 6"/>
                                  <a:gd name="T4" fmla="*/ 3 w 6"/>
                                  <a:gd name="T5" fmla="*/ 0 h 6"/>
                                  <a:gd name="T6" fmla="*/ 3 w 6"/>
                                  <a:gd name="T7" fmla="*/ 0 h 6"/>
                                  <a:gd name="T8" fmla="*/ 0 w 6"/>
                                  <a:gd name="T9" fmla="*/ 3 h 6"/>
                                  <a:gd name="T10" fmla="*/ 3 w 6"/>
                                  <a:gd name="T11" fmla="*/ 6 h 6"/>
                                </a:gdLst>
                                <a:ahLst/>
                                <a:cxnLst>
                                  <a:cxn ang="0">
                                    <a:pos x="T0" y="T1"/>
                                  </a:cxn>
                                  <a:cxn ang="0">
                                    <a:pos x="T2" y="T3"/>
                                  </a:cxn>
                                  <a:cxn ang="0">
                                    <a:pos x="T4" y="T5"/>
                                  </a:cxn>
                                  <a:cxn ang="0">
                                    <a:pos x="T6" y="T7"/>
                                  </a:cxn>
                                  <a:cxn ang="0">
                                    <a:pos x="T8" y="T9"/>
                                  </a:cxn>
                                  <a:cxn ang="0">
                                    <a:pos x="T10" y="T11"/>
                                  </a:cxn>
                                </a:cxnLst>
                                <a:rect l="0" t="0" r="r" b="b"/>
                                <a:pathLst>
                                  <a:path w="6" h="6">
                                    <a:moveTo>
                                      <a:pt x="3" y="6"/>
                                    </a:moveTo>
                                    <a:cubicBezTo>
                                      <a:pt x="5" y="6"/>
                                      <a:pt x="6" y="4"/>
                                      <a:pt x="6" y="3"/>
                                    </a:cubicBezTo>
                                    <a:cubicBezTo>
                                      <a:pt x="6" y="1"/>
                                      <a:pt x="5" y="0"/>
                                      <a:pt x="3" y="0"/>
                                    </a:cubicBezTo>
                                    <a:cubicBezTo>
                                      <a:pt x="3" y="0"/>
                                      <a:pt x="3" y="0"/>
                                      <a:pt x="3" y="0"/>
                                    </a:cubicBezTo>
                                    <a:cubicBezTo>
                                      <a:pt x="1" y="0"/>
                                      <a:pt x="0" y="1"/>
                                      <a:pt x="0" y="3"/>
                                    </a:cubicBezTo>
                                    <a:cubicBezTo>
                                      <a:pt x="0" y="4"/>
                                      <a:pt x="1" y="6"/>
                                      <a:pt x="3"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0" name="Freeform 49"/>
                            <wps:cNvSpPr>
                              <a:spLocks/>
                            </wps:cNvSpPr>
                            <wps:spPr bwMode="auto">
                              <a:xfrm>
                                <a:off x="196047" y="367748"/>
                                <a:ext cx="18290" cy="18290"/>
                              </a:xfrm>
                              <a:custGeom>
                                <a:avLst/>
                                <a:gdLst>
                                  <a:gd name="T0" fmla="*/ 3 w 6"/>
                                  <a:gd name="T1" fmla="*/ 6 h 6"/>
                                  <a:gd name="T2" fmla="*/ 6 w 6"/>
                                  <a:gd name="T3" fmla="*/ 3 h 6"/>
                                  <a:gd name="T4" fmla="*/ 3 w 6"/>
                                  <a:gd name="T5" fmla="*/ 0 h 6"/>
                                  <a:gd name="T6" fmla="*/ 3 w 6"/>
                                  <a:gd name="T7" fmla="*/ 0 h 6"/>
                                  <a:gd name="T8" fmla="*/ 0 w 6"/>
                                  <a:gd name="T9" fmla="*/ 3 h 6"/>
                                  <a:gd name="T10" fmla="*/ 3 w 6"/>
                                  <a:gd name="T11" fmla="*/ 6 h 6"/>
                                </a:gdLst>
                                <a:ahLst/>
                                <a:cxnLst>
                                  <a:cxn ang="0">
                                    <a:pos x="T0" y="T1"/>
                                  </a:cxn>
                                  <a:cxn ang="0">
                                    <a:pos x="T2" y="T3"/>
                                  </a:cxn>
                                  <a:cxn ang="0">
                                    <a:pos x="T4" y="T5"/>
                                  </a:cxn>
                                  <a:cxn ang="0">
                                    <a:pos x="T6" y="T7"/>
                                  </a:cxn>
                                  <a:cxn ang="0">
                                    <a:pos x="T8" y="T9"/>
                                  </a:cxn>
                                  <a:cxn ang="0">
                                    <a:pos x="T10" y="T11"/>
                                  </a:cxn>
                                </a:cxnLst>
                                <a:rect l="0" t="0" r="r" b="b"/>
                                <a:pathLst>
                                  <a:path w="6" h="6">
                                    <a:moveTo>
                                      <a:pt x="3" y="6"/>
                                    </a:moveTo>
                                    <a:cubicBezTo>
                                      <a:pt x="5" y="6"/>
                                      <a:pt x="6" y="4"/>
                                      <a:pt x="6" y="3"/>
                                    </a:cubicBezTo>
                                    <a:cubicBezTo>
                                      <a:pt x="6" y="1"/>
                                      <a:pt x="5" y="0"/>
                                      <a:pt x="3" y="0"/>
                                    </a:cubicBezTo>
                                    <a:cubicBezTo>
                                      <a:pt x="3" y="0"/>
                                      <a:pt x="3" y="0"/>
                                      <a:pt x="3" y="0"/>
                                    </a:cubicBezTo>
                                    <a:cubicBezTo>
                                      <a:pt x="1" y="0"/>
                                      <a:pt x="0" y="1"/>
                                      <a:pt x="0" y="3"/>
                                    </a:cubicBezTo>
                                    <a:cubicBezTo>
                                      <a:pt x="0" y="4"/>
                                      <a:pt x="2" y="6"/>
                                      <a:pt x="3"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1" name="Oval 521"/>
                            <wps:cNvSpPr>
                              <a:spLocks noChangeArrowheads="1"/>
                            </wps:cNvSpPr>
                            <wps:spPr bwMode="auto">
                              <a:xfrm>
                                <a:off x="689886" y="352070"/>
                                <a:ext cx="43113" cy="43113"/>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2" name="Freeform 51"/>
                            <wps:cNvSpPr>
                              <a:spLocks/>
                            </wps:cNvSpPr>
                            <wps:spPr bwMode="auto">
                              <a:xfrm>
                                <a:off x="651998" y="367748"/>
                                <a:ext cx="19597" cy="18290"/>
                              </a:xfrm>
                              <a:custGeom>
                                <a:avLst/>
                                <a:gdLst>
                                  <a:gd name="T0" fmla="*/ 3 w 6"/>
                                  <a:gd name="T1" fmla="*/ 0 h 6"/>
                                  <a:gd name="T2" fmla="*/ 0 w 6"/>
                                  <a:gd name="T3" fmla="*/ 3 h 6"/>
                                  <a:gd name="T4" fmla="*/ 3 w 6"/>
                                  <a:gd name="T5" fmla="*/ 6 h 6"/>
                                  <a:gd name="T6" fmla="*/ 3 w 6"/>
                                  <a:gd name="T7" fmla="*/ 6 h 6"/>
                                  <a:gd name="T8" fmla="*/ 6 w 6"/>
                                  <a:gd name="T9" fmla="*/ 3 h 6"/>
                                  <a:gd name="T10" fmla="*/ 3 w 6"/>
                                  <a:gd name="T11" fmla="*/ 0 h 6"/>
                                </a:gdLst>
                                <a:ahLst/>
                                <a:cxnLst>
                                  <a:cxn ang="0">
                                    <a:pos x="T0" y="T1"/>
                                  </a:cxn>
                                  <a:cxn ang="0">
                                    <a:pos x="T2" y="T3"/>
                                  </a:cxn>
                                  <a:cxn ang="0">
                                    <a:pos x="T4" y="T5"/>
                                  </a:cxn>
                                  <a:cxn ang="0">
                                    <a:pos x="T6" y="T7"/>
                                  </a:cxn>
                                  <a:cxn ang="0">
                                    <a:pos x="T8" y="T9"/>
                                  </a:cxn>
                                  <a:cxn ang="0">
                                    <a:pos x="T10" y="T11"/>
                                  </a:cxn>
                                </a:cxnLst>
                                <a:rect l="0" t="0" r="r" b="b"/>
                                <a:pathLst>
                                  <a:path w="6" h="6">
                                    <a:moveTo>
                                      <a:pt x="3" y="0"/>
                                    </a:moveTo>
                                    <a:cubicBezTo>
                                      <a:pt x="1" y="0"/>
                                      <a:pt x="0" y="1"/>
                                      <a:pt x="0" y="3"/>
                                    </a:cubicBezTo>
                                    <a:cubicBezTo>
                                      <a:pt x="0" y="4"/>
                                      <a:pt x="1" y="6"/>
                                      <a:pt x="3" y="6"/>
                                    </a:cubicBezTo>
                                    <a:cubicBezTo>
                                      <a:pt x="3" y="6"/>
                                      <a:pt x="3" y="6"/>
                                      <a:pt x="3" y="6"/>
                                    </a:cubicBezTo>
                                    <a:cubicBezTo>
                                      <a:pt x="5" y="6"/>
                                      <a:pt x="6" y="4"/>
                                      <a:pt x="6" y="3"/>
                                    </a:cubicBezTo>
                                    <a:cubicBezTo>
                                      <a:pt x="6" y="1"/>
                                      <a:pt x="4" y="0"/>
                                      <a:pt x="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3" name="Freeform 52"/>
                            <wps:cNvSpPr>
                              <a:spLocks/>
                            </wps:cNvSpPr>
                            <wps:spPr bwMode="auto">
                              <a:xfrm>
                                <a:off x="587982" y="367748"/>
                                <a:ext cx="18290" cy="18290"/>
                              </a:xfrm>
                              <a:custGeom>
                                <a:avLst/>
                                <a:gdLst>
                                  <a:gd name="T0" fmla="*/ 3 w 6"/>
                                  <a:gd name="T1" fmla="*/ 0 h 6"/>
                                  <a:gd name="T2" fmla="*/ 0 w 6"/>
                                  <a:gd name="T3" fmla="*/ 3 h 6"/>
                                  <a:gd name="T4" fmla="*/ 3 w 6"/>
                                  <a:gd name="T5" fmla="*/ 6 h 6"/>
                                  <a:gd name="T6" fmla="*/ 4 w 6"/>
                                  <a:gd name="T7" fmla="*/ 6 h 6"/>
                                  <a:gd name="T8" fmla="*/ 6 w 6"/>
                                  <a:gd name="T9" fmla="*/ 3 h 6"/>
                                  <a:gd name="T10" fmla="*/ 3 w 6"/>
                                  <a:gd name="T11" fmla="*/ 0 h 6"/>
                                </a:gdLst>
                                <a:ahLst/>
                                <a:cxnLst>
                                  <a:cxn ang="0">
                                    <a:pos x="T0" y="T1"/>
                                  </a:cxn>
                                  <a:cxn ang="0">
                                    <a:pos x="T2" y="T3"/>
                                  </a:cxn>
                                  <a:cxn ang="0">
                                    <a:pos x="T4" y="T5"/>
                                  </a:cxn>
                                  <a:cxn ang="0">
                                    <a:pos x="T6" y="T7"/>
                                  </a:cxn>
                                  <a:cxn ang="0">
                                    <a:pos x="T8" y="T9"/>
                                  </a:cxn>
                                  <a:cxn ang="0">
                                    <a:pos x="T10" y="T11"/>
                                  </a:cxn>
                                </a:cxnLst>
                                <a:rect l="0" t="0" r="r" b="b"/>
                                <a:pathLst>
                                  <a:path w="6" h="6">
                                    <a:moveTo>
                                      <a:pt x="3" y="0"/>
                                    </a:moveTo>
                                    <a:cubicBezTo>
                                      <a:pt x="2" y="0"/>
                                      <a:pt x="0" y="1"/>
                                      <a:pt x="0" y="3"/>
                                    </a:cubicBezTo>
                                    <a:cubicBezTo>
                                      <a:pt x="0" y="4"/>
                                      <a:pt x="2" y="6"/>
                                      <a:pt x="3" y="6"/>
                                    </a:cubicBezTo>
                                    <a:cubicBezTo>
                                      <a:pt x="4" y="6"/>
                                      <a:pt x="4" y="6"/>
                                      <a:pt x="4" y="6"/>
                                    </a:cubicBezTo>
                                    <a:cubicBezTo>
                                      <a:pt x="5" y="6"/>
                                      <a:pt x="6" y="4"/>
                                      <a:pt x="6" y="3"/>
                                    </a:cubicBezTo>
                                    <a:cubicBezTo>
                                      <a:pt x="6" y="1"/>
                                      <a:pt x="5" y="0"/>
                                      <a:pt x="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4" name="Freeform 53"/>
                            <wps:cNvSpPr>
                              <a:spLocks/>
                            </wps:cNvSpPr>
                            <wps:spPr bwMode="auto">
                              <a:xfrm>
                                <a:off x="618031" y="367748"/>
                                <a:ext cx="22210" cy="18290"/>
                              </a:xfrm>
                              <a:custGeom>
                                <a:avLst/>
                                <a:gdLst>
                                  <a:gd name="T0" fmla="*/ 3 w 7"/>
                                  <a:gd name="T1" fmla="*/ 0 h 6"/>
                                  <a:gd name="T2" fmla="*/ 0 w 7"/>
                                  <a:gd name="T3" fmla="*/ 3 h 6"/>
                                  <a:gd name="T4" fmla="*/ 3 w 7"/>
                                  <a:gd name="T5" fmla="*/ 6 h 6"/>
                                  <a:gd name="T6" fmla="*/ 4 w 7"/>
                                  <a:gd name="T7" fmla="*/ 6 h 6"/>
                                  <a:gd name="T8" fmla="*/ 7 w 7"/>
                                  <a:gd name="T9" fmla="*/ 3 h 6"/>
                                  <a:gd name="T10" fmla="*/ 3 w 7"/>
                                  <a:gd name="T11" fmla="*/ 0 h 6"/>
                                </a:gdLst>
                                <a:ahLst/>
                                <a:cxnLst>
                                  <a:cxn ang="0">
                                    <a:pos x="T0" y="T1"/>
                                  </a:cxn>
                                  <a:cxn ang="0">
                                    <a:pos x="T2" y="T3"/>
                                  </a:cxn>
                                  <a:cxn ang="0">
                                    <a:pos x="T4" y="T5"/>
                                  </a:cxn>
                                  <a:cxn ang="0">
                                    <a:pos x="T6" y="T7"/>
                                  </a:cxn>
                                  <a:cxn ang="0">
                                    <a:pos x="T8" y="T9"/>
                                  </a:cxn>
                                  <a:cxn ang="0">
                                    <a:pos x="T10" y="T11"/>
                                  </a:cxn>
                                </a:cxnLst>
                                <a:rect l="0" t="0" r="r" b="b"/>
                                <a:pathLst>
                                  <a:path w="7" h="6">
                                    <a:moveTo>
                                      <a:pt x="3" y="0"/>
                                    </a:moveTo>
                                    <a:cubicBezTo>
                                      <a:pt x="2" y="0"/>
                                      <a:pt x="0" y="1"/>
                                      <a:pt x="0" y="3"/>
                                    </a:cubicBezTo>
                                    <a:cubicBezTo>
                                      <a:pt x="0" y="4"/>
                                      <a:pt x="2" y="6"/>
                                      <a:pt x="3" y="6"/>
                                    </a:cubicBezTo>
                                    <a:cubicBezTo>
                                      <a:pt x="4" y="6"/>
                                      <a:pt x="4" y="6"/>
                                      <a:pt x="4" y="6"/>
                                    </a:cubicBezTo>
                                    <a:cubicBezTo>
                                      <a:pt x="6" y="6"/>
                                      <a:pt x="7" y="4"/>
                                      <a:pt x="7" y="3"/>
                                    </a:cubicBezTo>
                                    <a:cubicBezTo>
                                      <a:pt x="7" y="1"/>
                                      <a:pt x="5" y="0"/>
                                      <a:pt x="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5" name="Freeform 54"/>
                            <wps:cNvSpPr>
                              <a:spLocks/>
                            </wps:cNvSpPr>
                            <wps:spPr bwMode="auto">
                              <a:xfrm>
                                <a:off x="556627" y="367748"/>
                                <a:ext cx="18290" cy="18290"/>
                              </a:xfrm>
                              <a:custGeom>
                                <a:avLst/>
                                <a:gdLst>
                                  <a:gd name="T0" fmla="*/ 3 w 6"/>
                                  <a:gd name="T1" fmla="*/ 0 h 6"/>
                                  <a:gd name="T2" fmla="*/ 0 w 6"/>
                                  <a:gd name="T3" fmla="*/ 3 h 6"/>
                                  <a:gd name="T4" fmla="*/ 3 w 6"/>
                                  <a:gd name="T5" fmla="*/ 6 h 6"/>
                                  <a:gd name="T6" fmla="*/ 3 w 6"/>
                                  <a:gd name="T7" fmla="*/ 6 h 6"/>
                                  <a:gd name="T8" fmla="*/ 6 w 6"/>
                                  <a:gd name="T9" fmla="*/ 3 h 6"/>
                                  <a:gd name="T10" fmla="*/ 3 w 6"/>
                                  <a:gd name="T11" fmla="*/ 0 h 6"/>
                                </a:gdLst>
                                <a:ahLst/>
                                <a:cxnLst>
                                  <a:cxn ang="0">
                                    <a:pos x="T0" y="T1"/>
                                  </a:cxn>
                                  <a:cxn ang="0">
                                    <a:pos x="T2" y="T3"/>
                                  </a:cxn>
                                  <a:cxn ang="0">
                                    <a:pos x="T4" y="T5"/>
                                  </a:cxn>
                                  <a:cxn ang="0">
                                    <a:pos x="T6" y="T7"/>
                                  </a:cxn>
                                  <a:cxn ang="0">
                                    <a:pos x="T8" y="T9"/>
                                  </a:cxn>
                                  <a:cxn ang="0">
                                    <a:pos x="T10" y="T11"/>
                                  </a:cxn>
                                </a:cxnLst>
                                <a:rect l="0" t="0" r="r" b="b"/>
                                <a:pathLst>
                                  <a:path w="6" h="6">
                                    <a:moveTo>
                                      <a:pt x="3" y="0"/>
                                    </a:moveTo>
                                    <a:cubicBezTo>
                                      <a:pt x="2" y="0"/>
                                      <a:pt x="0" y="1"/>
                                      <a:pt x="0" y="3"/>
                                    </a:cubicBezTo>
                                    <a:cubicBezTo>
                                      <a:pt x="0" y="4"/>
                                      <a:pt x="2" y="6"/>
                                      <a:pt x="3" y="6"/>
                                    </a:cubicBezTo>
                                    <a:cubicBezTo>
                                      <a:pt x="3" y="6"/>
                                      <a:pt x="3" y="6"/>
                                      <a:pt x="3" y="6"/>
                                    </a:cubicBezTo>
                                    <a:cubicBezTo>
                                      <a:pt x="5" y="6"/>
                                      <a:pt x="6" y="4"/>
                                      <a:pt x="6" y="3"/>
                                    </a:cubicBezTo>
                                    <a:cubicBezTo>
                                      <a:pt x="6" y="1"/>
                                      <a:pt x="5" y="0"/>
                                      <a:pt x="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6" name="Oval 526"/>
                            <wps:cNvSpPr>
                              <a:spLocks noChangeArrowheads="1"/>
                            </wps:cNvSpPr>
                            <wps:spPr bwMode="auto">
                              <a:xfrm>
                                <a:off x="365885" y="651248"/>
                                <a:ext cx="43113" cy="47032"/>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7" name="Freeform 56"/>
                            <wps:cNvSpPr>
                              <a:spLocks/>
                            </wps:cNvSpPr>
                            <wps:spPr bwMode="auto">
                              <a:xfrm>
                                <a:off x="377643" y="614667"/>
                                <a:ext cx="18290" cy="20903"/>
                              </a:xfrm>
                              <a:custGeom>
                                <a:avLst/>
                                <a:gdLst>
                                  <a:gd name="T0" fmla="*/ 0 w 6"/>
                                  <a:gd name="T1" fmla="*/ 4 h 7"/>
                                  <a:gd name="T2" fmla="*/ 3 w 6"/>
                                  <a:gd name="T3" fmla="*/ 7 h 7"/>
                                  <a:gd name="T4" fmla="*/ 6 w 6"/>
                                  <a:gd name="T5" fmla="*/ 3 h 7"/>
                                  <a:gd name="T6" fmla="*/ 3 w 6"/>
                                  <a:gd name="T7" fmla="*/ 0 h 7"/>
                                  <a:gd name="T8" fmla="*/ 0 w 6"/>
                                  <a:gd name="T9" fmla="*/ 3 h 7"/>
                                  <a:gd name="T10" fmla="*/ 0 w 6"/>
                                  <a:gd name="T11" fmla="*/ 4 h 7"/>
                                </a:gdLst>
                                <a:ahLst/>
                                <a:cxnLst>
                                  <a:cxn ang="0">
                                    <a:pos x="T0" y="T1"/>
                                  </a:cxn>
                                  <a:cxn ang="0">
                                    <a:pos x="T2" y="T3"/>
                                  </a:cxn>
                                  <a:cxn ang="0">
                                    <a:pos x="T4" y="T5"/>
                                  </a:cxn>
                                  <a:cxn ang="0">
                                    <a:pos x="T6" y="T7"/>
                                  </a:cxn>
                                  <a:cxn ang="0">
                                    <a:pos x="T8" y="T9"/>
                                  </a:cxn>
                                  <a:cxn ang="0">
                                    <a:pos x="T10" y="T11"/>
                                  </a:cxn>
                                </a:cxnLst>
                                <a:rect l="0" t="0" r="r" b="b"/>
                                <a:pathLst>
                                  <a:path w="6" h="7">
                                    <a:moveTo>
                                      <a:pt x="0" y="4"/>
                                    </a:moveTo>
                                    <a:cubicBezTo>
                                      <a:pt x="0" y="5"/>
                                      <a:pt x="1" y="7"/>
                                      <a:pt x="3" y="7"/>
                                    </a:cubicBezTo>
                                    <a:cubicBezTo>
                                      <a:pt x="5" y="7"/>
                                      <a:pt x="6" y="5"/>
                                      <a:pt x="6" y="3"/>
                                    </a:cubicBezTo>
                                    <a:cubicBezTo>
                                      <a:pt x="6" y="2"/>
                                      <a:pt x="5" y="0"/>
                                      <a:pt x="3" y="0"/>
                                    </a:cubicBezTo>
                                    <a:cubicBezTo>
                                      <a:pt x="1" y="0"/>
                                      <a:pt x="0" y="2"/>
                                      <a:pt x="0" y="3"/>
                                    </a:cubicBezTo>
                                    <a:lnTo>
                                      <a:pt x="0" y="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8" name="Freeform 57"/>
                            <wps:cNvSpPr>
                              <a:spLocks/>
                            </wps:cNvSpPr>
                            <wps:spPr bwMode="auto">
                              <a:xfrm>
                                <a:off x="377643" y="580699"/>
                                <a:ext cx="18290" cy="18290"/>
                              </a:xfrm>
                              <a:custGeom>
                                <a:avLst/>
                                <a:gdLst>
                                  <a:gd name="T0" fmla="*/ 0 w 6"/>
                                  <a:gd name="T1" fmla="*/ 3 h 6"/>
                                  <a:gd name="T2" fmla="*/ 3 w 6"/>
                                  <a:gd name="T3" fmla="*/ 6 h 6"/>
                                  <a:gd name="T4" fmla="*/ 6 w 6"/>
                                  <a:gd name="T5" fmla="*/ 3 h 6"/>
                                  <a:gd name="T6" fmla="*/ 6 w 6"/>
                                  <a:gd name="T7" fmla="*/ 3 h 6"/>
                                  <a:gd name="T8" fmla="*/ 3 w 6"/>
                                  <a:gd name="T9" fmla="*/ 0 h 6"/>
                                  <a:gd name="T10" fmla="*/ 0 w 6"/>
                                  <a:gd name="T11" fmla="*/ 3 h 6"/>
                                </a:gdLst>
                                <a:ahLst/>
                                <a:cxnLst>
                                  <a:cxn ang="0">
                                    <a:pos x="T0" y="T1"/>
                                  </a:cxn>
                                  <a:cxn ang="0">
                                    <a:pos x="T2" y="T3"/>
                                  </a:cxn>
                                  <a:cxn ang="0">
                                    <a:pos x="T4" y="T5"/>
                                  </a:cxn>
                                  <a:cxn ang="0">
                                    <a:pos x="T6" y="T7"/>
                                  </a:cxn>
                                  <a:cxn ang="0">
                                    <a:pos x="T8" y="T9"/>
                                  </a:cxn>
                                  <a:cxn ang="0">
                                    <a:pos x="T10" y="T11"/>
                                  </a:cxn>
                                </a:cxnLst>
                                <a:rect l="0" t="0" r="r" b="b"/>
                                <a:pathLst>
                                  <a:path w="6" h="6">
                                    <a:moveTo>
                                      <a:pt x="0" y="3"/>
                                    </a:moveTo>
                                    <a:cubicBezTo>
                                      <a:pt x="0" y="5"/>
                                      <a:pt x="1" y="6"/>
                                      <a:pt x="3" y="6"/>
                                    </a:cubicBezTo>
                                    <a:cubicBezTo>
                                      <a:pt x="5" y="6"/>
                                      <a:pt x="6" y="5"/>
                                      <a:pt x="6" y="3"/>
                                    </a:cubicBezTo>
                                    <a:cubicBezTo>
                                      <a:pt x="6" y="3"/>
                                      <a:pt x="6" y="3"/>
                                      <a:pt x="6" y="3"/>
                                    </a:cubicBezTo>
                                    <a:cubicBezTo>
                                      <a:pt x="6" y="1"/>
                                      <a:pt x="5" y="0"/>
                                      <a:pt x="3" y="0"/>
                                    </a:cubicBezTo>
                                    <a:cubicBezTo>
                                      <a:pt x="1" y="0"/>
                                      <a:pt x="0" y="1"/>
                                      <a:pt x="0" y="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29" name="Freeform 58"/>
                            <wps:cNvSpPr>
                              <a:spLocks/>
                            </wps:cNvSpPr>
                            <wps:spPr bwMode="auto">
                              <a:xfrm>
                                <a:off x="377643" y="546732"/>
                                <a:ext cx="18290" cy="18290"/>
                              </a:xfrm>
                              <a:custGeom>
                                <a:avLst/>
                                <a:gdLst>
                                  <a:gd name="T0" fmla="*/ 3 w 6"/>
                                  <a:gd name="T1" fmla="*/ 6 h 6"/>
                                  <a:gd name="T2" fmla="*/ 6 w 6"/>
                                  <a:gd name="T3" fmla="*/ 3 h 6"/>
                                  <a:gd name="T4" fmla="*/ 3 w 6"/>
                                  <a:gd name="T5" fmla="*/ 0 h 6"/>
                                  <a:gd name="T6" fmla="*/ 0 w 6"/>
                                  <a:gd name="T7" fmla="*/ 3 h 6"/>
                                  <a:gd name="T8" fmla="*/ 0 w 6"/>
                                  <a:gd name="T9" fmla="*/ 3 h 6"/>
                                  <a:gd name="T10" fmla="*/ 3 w 6"/>
                                  <a:gd name="T11" fmla="*/ 6 h 6"/>
                                </a:gdLst>
                                <a:ahLst/>
                                <a:cxnLst>
                                  <a:cxn ang="0">
                                    <a:pos x="T0" y="T1"/>
                                  </a:cxn>
                                  <a:cxn ang="0">
                                    <a:pos x="T2" y="T3"/>
                                  </a:cxn>
                                  <a:cxn ang="0">
                                    <a:pos x="T4" y="T5"/>
                                  </a:cxn>
                                  <a:cxn ang="0">
                                    <a:pos x="T6" y="T7"/>
                                  </a:cxn>
                                  <a:cxn ang="0">
                                    <a:pos x="T8" y="T9"/>
                                  </a:cxn>
                                  <a:cxn ang="0">
                                    <a:pos x="T10" y="T11"/>
                                  </a:cxn>
                                </a:cxnLst>
                                <a:rect l="0" t="0" r="r" b="b"/>
                                <a:pathLst>
                                  <a:path w="6" h="6">
                                    <a:moveTo>
                                      <a:pt x="3" y="6"/>
                                    </a:moveTo>
                                    <a:cubicBezTo>
                                      <a:pt x="5" y="6"/>
                                      <a:pt x="6" y="5"/>
                                      <a:pt x="6" y="3"/>
                                    </a:cubicBezTo>
                                    <a:cubicBezTo>
                                      <a:pt x="6" y="1"/>
                                      <a:pt x="5" y="0"/>
                                      <a:pt x="3" y="0"/>
                                    </a:cubicBezTo>
                                    <a:cubicBezTo>
                                      <a:pt x="1" y="0"/>
                                      <a:pt x="0" y="1"/>
                                      <a:pt x="0" y="3"/>
                                    </a:cubicBezTo>
                                    <a:cubicBezTo>
                                      <a:pt x="0" y="3"/>
                                      <a:pt x="0" y="3"/>
                                      <a:pt x="0" y="3"/>
                                    </a:cubicBezTo>
                                    <a:cubicBezTo>
                                      <a:pt x="0" y="5"/>
                                      <a:pt x="1" y="6"/>
                                      <a:pt x="3"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0" name="Oval 530"/>
                            <wps:cNvSpPr>
                              <a:spLocks noChangeArrowheads="1"/>
                            </wps:cNvSpPr>
                            <wps:spPr bwMode="auto">
                              <a:xfrm>
                                <a:off x="365885" y="52893"/>
                                <a:ext cx="43113" cy="43113"/>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1" name="Freeform 60"/>
                            <wps:cNvSpPr>
                              <a:spLocks/>
                            </wps:cNvSpPr>
                            <wps:spPr bwMode="auto">
                              <a:xfrm>
                                <a:off x="377643" y="114296"/>
                                <a:ext cx="18290" cy="18290"/>
                              </a:xfrm>
                              <a:custGeom>
                                <a:avLst/>
                                <a:gdLst>
                                  <a:gd name="T0" fmla="*/ 6 w 6"/>
                                  <a:gd name="T1" fmla="*/ 3 h 6"/>
                                  <a:gd name="T2" fmla="*/ 3 w 6"/>
                                  <a:gd name="T3" fmla="*/ 0 h 6"/>
                                  <a:gd name="T4" fmla="*/ 0 w 6"/>
                                  <a:gd name="T5" fmla="*/ 3 h 6"/>
                                  <a:gd name="T6" fmla="*/ 3 w 6"/>
                                  <a:gd name="T7" fmla="*/ 6 h 6"/>
                                  <a:gd name="T8" fmla="*/ 6 w 6"/>
                                  <a:gd name="T9" fmla="*/ 3 h 6"/>
                                </a:gdLst>
                                <a:ahLst/>
                                <a:cxnLst>
                                  <a:cxn ang="0">
                                    <a:pos x="T0" y="T1"/>
                                  </a:cxn>
                                  <a:cxn ang="0">
                                    <a:pos x="T2" y="T3"/>
                                  </a:cxn>
                                  <a:cxn ang="0">
                                    <a:pos x="T4" y="T5"/>
                                  </a:cxn>
                                  <a:cxn ang="0">
                                    <a:pos x="T6" y="T7"/>
                                  </a:cxn>
                                  <a:cxn ang="0">
                                    <a:pos x="T8" y="T9"/>
                                  </a:cxn>
                                </a:cxnLst>
                                <a:rect l="0" t="0" r="r" b="b"/>
                                <a:pathLst>
                                  <a:path w="6" h="6">
                                    <a:moveTo>
                                      <a:pt x="6" y="3"/>
                                    </a:moveTo>
                                    <a:cubicBezTo>
                                      <a:pt x="6" y="1"/>
                                      <a:pt x="5" y="0"/>
                                      <a:pt x="3" y="0"/>
                                    </a:cubicBezTo>
                                    <a:cubicBezTo>
                                      <a:pt x="1" y="0"/>
                                      <a:pt x="0" y="2"/>
                                      <a:pt x="0" y="3"/>
                                    </a:cubicBezTo>
                                    <a:cubicBezTo>
                                      <a:pt x="0" y="5"/>
                                      <a:pt x="1" y="6"/>
                                      <a:pt x="3" y="6"/>
                                    </a:cubicBezTo>
                                    <a:cubicBezTo>
                                      <a:pt x="5" y="6"/>
                                      <a:pt x="6" y="5"/>
                                      <a:pt x="6" y="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2" name="Freeform 61"/>
                            <wps:cNvSpPr>
                              <a:spLocks/>
                            </wps:cNvSpPr>
                            <wps:spPr bwMode="auto">
                              <a:xfrm>
                                <a:off x="377643" y="148264"/>
                                <a:ext cx="18290" cy="22210"/>
                              </a:xfrm>
                              <a:custGeom>
                                <a:avLst/>
                                <a:gdLst>
                                  <a:gd name="T0" fmla="*/ 6 w 6"/>
                                  <a:gd name="T1" fmla="*/ 3 h 7"/>
                                  <a:gd name="T2" fmla="*/ 3 w 6"/>
                                  <a:gd name="T3" fmla="*/ 0 h 7"/>
                                  <a:gd name="T4" fmla="*/ 0 w 6"/>
                                  <a:gd name="T5" fmla="*/ 3 h 7"/>
                                  <a:gd name="T6" fmla="*/ 0 w 6"/>
                                  <a:gd name="T7" fmla="*/ 4 h 7"/>
                                  <a:gd name="T8" fmla="*/ 3 w 6"/>
                                  <a:gd name="T9" fmla="*/ 7 h 7"/>
                                  <a:gd name="T10" fmla="*/ 6 w 6"/>
                                  <a:gd name="T11" fmla="*/ 4 h 7"/>
                                  <a:gd name="T12" fmla="*/ 6 w 6"/>
                                  <a:gd name="T13" fmla="*/ 3 h 7"/>
                                </a:gdLst>
                                <a:ahLst/>
                                <a:cxnLst>
                                  <a:cxn ang="0">
                                    <a:pos x="T0" y="T1"/>
                                  </a:cxn>
                                  <a:cxn ang="0">
                                    <a:pos x="T2" y="T3"/>
                                  </a:cxn>
                                  <a:cxn ang="0">
                                    <a:pos x="T4" y="T5"/>
                                  </a:cxn>
                                  <a:cxn ang="0">
                                    <a:pos x="T6" y="T7"/>
                                  </a:cxn>
                                  <a:cxn ang="0">
                                    <a:pos x="T8" y="T9"/>
                                  </a:cxn>
                                  <a:cxn ang="0">
                                    <a:pos x="T10" y="T11"/>
                                  </a:cxn>
                                  <a:cxn ang="0">
                                    <a:pos x="T12" y="T13"/>
                                  </a:cxn>
                                </a:cxnLst>
                                <a:rect l="0" t="0" r="r" b="b"/>
                                <a:pathLst>
                                  <a:path w="6" h="7">
                                    <a:moveTo>
                                      <a:pt x="6" y="3"/>
                                    </a:moveTo>
                                    <a:cubicBezTo>
                                      <a:pt x="6" y="2"/>
                                      <a:pt x="5" y="0"/>
                                      <a:pt x="3" y="0"/>
                                    </a:cubicBezTo>
                                    <a:cubicBezTo>
                                      <a:pt x="1" y="0"/>
                                      <a:pt x="0" y="2"/>
                                      <a:pt x="0" y="3"/>
                                    </a:cubicBezTo>
                                    <a:cubicBezTo>
                                      <a:pt x="0" y="4"/>
                                      <a:pt x="0" y="4"/>
                                      <a:pt x="0" y="4"/>
                                    </a:cubicBezTo>
                                    <a:cubicBezTo>
                                      <a:pt x="0" y="5"/>
                                      <a:pt x="1" y="7"/>
                                      <a:pt x="3" y="7"/>
                                    </a:cubicBezTo>
                                    <a:cubicBezTo>
                                      <a:pt x="5" y="7"/>
                                      <a:pt x="6" y="5"/>
                                      <a:pt x="6" y="4"/>
                                    </a:cubicBezTo>
                                    <a:lnTo>
                                      <a:pt x="6" y="3"/>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3" name="Freeform 62"/>
                            <wps:cNvSpPr>
                              <a:spLocks/>
                            </wps:cNvSpPr>
                            <wps:spPr bwMode="auto">
                              <a:xfrm>
                                <a:off x="377643" y="186151"/>
                                <a:ext cx="18290" cy="18290"/>
                              </a:xfrm>
                              <a:custGeom>
                                <a:avLst/>
                                <a:gdLst>
                                  <a:gd name="T0" fmla="*/ 3 w 6"/>
                                  <a:gd name="T1" fmla="*/ 0 h 6"/>
                                  <a:gd name="T2" fmla="*/ 0 w 6"/>
                                  <a:gd name="T3" fmla="*/ 3 h 6"/>
                                  <a:gd name="T4" fmla="*/ 3 w 6"/>
                                  <a:gd name="T5" fmla="*/ 6 h 6"/>
                                  <a:gd name="T6" fmla="*/ 6 w 6"/>
                                  <a:gd name="T7" fmla="*/ 3 h 6"/>
                                  <a:gd name="T8" fmla="*/ 6 w 6"/>
                                  <a:gd name="T9" fmla="*/ 3 h 6"/>
                                  <a:gd name="T10" fmla="*/ 3 w 6"/>
                                  <a:gd name="T11" fmla="*/ 0 h 6"/>
                                </a:gdLst>
                                <a:ahLst/>
                                <a:cxnLst>
                                  <a:cxn ang="0">
                                    <a:pos x="T0" y="T1"/>
                                  </a:cxn>
                                  <a:cxn ang="0">
                                    <a:pos x="T2" y="T3"/>
                                  </a:cxn>
                                  <a:cxn ang="0">
                                    <a:pos x="T4" y="T5"/>
                                  </a:cxn>
                                  <a:cxn ang="0">
                                    <a:pos x="T6" y="T7"/>
                                  </a:cxn>
                                  <a:cxn ang="0">
                                    <a:pos x="T8" y="T9"/>
                                  </a:cxn>
                                  <a:cxn ang="0">
                                    <a:pos x="T10" y="T11"/>
                                  </a:cxn>
                                </a:cxnLst>
                                <a:rect l="0" t="0" r="r" b="b"/>
                                <a:pathLst>
                                  <a:path w="6" h="6">
                                    <a:moveTo>
                                      <a:pt x="3" y="0"/>
                                    </a:moveTo>
                                    <a:cubicBezTo>
                                      <a:pt x="1" y="0"/>
                                      <a:pt x="0" y="1"/>
                                      <a:pt x="0" y="3"/>
                                    </a:cubicBezTo>
                                    <a:cubicBezTo>
                                      <a:pt x="0" y="5"/>
                                      <a:pt x="1" y="6"/>
                                      <a:pt x="3" y="6"/>
                                    </a:cubicBezTo>
                                    <a:cubicBezTo>
                                      <a:pt x="5" y="6"/>
                                      <a:pt x="6" y="5"/>
                                      <a:pt x="6" y="3"/>
                                    </a:cubicBezTo>
                                    <a:cubicBezTo>
                                      <a:pt x="6" y="3"/>
                                      <a:pt x="6" y="3"/>
                                      <a:pt x="6" y="3"/>
                                    </a:cubicBezTo>
                                    <a:cubicBezTo>
                                      <a:pt x="6" y="1"/>
                                      <a:pt x="5" y="0"/>
                                      <a:pt x="3"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34" name="Freeform 63"/>
                            <wps:cNvSpPr>
                              <a:spLocks noEditPoints="1"/>
                            </wps:cNvSpPr>
                            <wps:spPr bwMode="auto">
                              <a:xfrm>
                                <a:off x="103289" y="127361"/>
                                <a:ext cx="568307" cy="487306"/>
                              </a:xfrm>
                              <a:custGeom>
                                <a:avLst/>
                                <a:gdLst>
                                  <a:gd name="T0" fmla="*/ 154 w 184"/>
                                  <a:gd name="T1" fmla="*/ 6 h 158"/>
                                  <a:gd name="T2" fmla="*/ 149 w 184"/>
                                  <a:gd name="T3" fmla="*/ 29 h 158"/>
                                  <a:gd name="T4" fmla="*/ 92 w 184"/>
                                  <a:gd name="T5" fmla="*/ 28 h 158"/>
                                  <a:gd name="T6" fmla="*/ 50 w 184"/>
                                  <a:gd name="T7" fmla="*/ 112 h 158"/>
                                  <a:gd name="T8" fmla="*/ 30 w 184"/>
                                  <a:gd name="T9" fmla="*/ 129 h 158"/>
                                  <a:gd name="T10" fmla="*/ 6 w 184"/>
                                  <a:gd name="T11" fmla="*/ 152 h 158"/>
                                  <a:gd name="T12" fmla="*/ 29 w 184"/>
                                  <a:gd name="T13" fmla="*/ 154 h 158"/>
                                  <a:gd name="T14" fmla="*/ 35 w 184"/>
                                  <a:gd name="T15" fmla="*/ 132 h 158"/>
                                  <a:gd name="T16" fmla="*/ 56 w 184"/>
                                  <a:gd name="T17" fmla="*/ 119 h 158"/>
                                  <a:gd name="T18" fmla="*/ 60 w 184"/>
                                  <a:gd name="T19" fmla="*/ 122 h 158"/>
                                  <a:gd name="T20" fmla="*/ 92 w 184"/>
                                  <a:gd name="T21" fmla="*/ 133 h 158"/>
                                  <a:gd name="T22" fmla="*/ 123 w 184"/>
                                  <a:gd name="T23" fmla="*/ 122 h 158"/>
                                  <a:gd name="T24" fmla="*/ 127 w 184"/>
                                  <a:gd name="T25" fmla="*/ 119 h 158"/>
                                  <a:gd name="T26" fmla="*/ 134 w 184"/>
                                  <a:gd name="T27" fmla="*/ 50 h 158"/>
                                  <a:gd name="T28" fmla="*/ 154 w 184"/>
                                  <a:gd name="T29" fmla="*/ 32 h 158"/>
                                  <a:gd name="T30" fmla="*/ 176 w 184"/>
                                  <a:gd name="T31" fmla="*/ 32 h 158"/>
                                  <a:gd name="T32" fmla="*/ 26 w 184"/>
                                  <a:gd name="T33" fmla="*/ 150 h 158"/>
                                  <a:gd name="T34" fmla="*/ 11 w 184"/>
                                  <a:gd name="T35" fmla="*/ 133 h 158"/>
                                  <a:gd name="T36" fmla="*/ 26 w 184"/>
                                  <a:gd name="T37" fmla="*/ 150 h 158"/>
                                  <a:gd name="T38" fmla="*/ 81 w 184"/>
                                  <a:gd name="T39" fmla="*/ 104 h 158"/>
                                  <a:gd name="T40" fmla="*/ 81 w 184"/>
                                  <a:gd name="T41" fmla="*/ 90 h 158"/>
                                  <a:gd name="T42" fmla="*/ 74 w 184"/>
                                  <a:gd name="T43" fmla="*/ 80 h 158"/>
                                  <a:gd name="T44" fmla="*/ 72 w 184"/>
                                  <a:gd name="T45" fmla="*/ 75 h 158"/>
                                  <a:gd name="T46" fmla="*/ 74 w 184"/>
                                  <a:gd name="T47" fmla="*/ 70 h 158"/>
                                  <a:gd name="T48" fmla="*/ 76 w 184"/>
                                  <a:gd name="T49" fmla="*/ 53 h 158"/>
                                  <a:gd name="T50" fmla="*/ 107 w 184"/>
                                  <a:gd name="T51" fmla="*/ 53 h 158"/>
                                  <a:gd name="T52" fmla="*/ 109 w 184"/>
                                  <a:gd name="T53" fmla="*/ 70 h 158"/>
                                  <a:gd name="T54" fmla="*/ 111 w 184"/>
                                  <a:gd name="T55" fmla="*/ 75 h 158"/>
                                  <a:gd name="T56" fmla="*/ 105 w 184"/>
                                  <a:gd name="T57" fmla="*/ 82 h 158"/>
                                  <a:gd name="T58" fmla="*/ 101 w 184"/>
                                  <a:gd name="T59" fmla="*/ 91 h 158"/>
                                  <a:gd name="T60" fmla="*/ 109 w 184"/>
                                  <a:gd name="T61" fmla="*/ 110 h 158"/>
                                  <a:gd name="T62" fmla="*/ 114 w 184"/>
                                  <a:gd name="T63" fmla="*/ 120 h 158"/>
                                  <a:gd name="T64" fmla="*/ 76 w 184"/>
                                  <a:gd name="T65" fmla="*/ 123 h 158"/>
                                  <a:gd name="T66" fmla="*/ 64 w 184"/>
                                  <a:gd name="T67" fmla="*/ 116 h 158"/>
                                  <a:gd name="T68" fmla="*/ 111 w 184"/>
                                  <a:gd name="T69" fmla="*/ 104 h 158"/>
                                  <a:gd name="T70" fmla="*/ 107 w 184"/>
                                  <a:gd name="T71" fmla="*/ 93 h 158"/>
                                  <a:gd name="T72" fmla="*/ 117 w 184"/>
                                  <a:gd name="T73" fmla="*/ 76 h 158"/>
                                  <a:gd name="T74" fmla="*/ 115 w 184"/>
                                  <a:gd name="T75" fmla="*/ 66 h 158"/>
                                  <a:gd name="T76" fmla="*/ 91 w 184"/>
                                  <a:gd name="T77" fmla="*/ 39 h 158"/>
                                  <a:gd name="T78" fmla="*/ 68 w 184"/>
                                  <a:gd name="T79" fmla="*/ 66 h 158"/>
                                  <a:gd name="T80" fmla="*/ 66 w 184"/>
                                  <a:gd name="T81" fmla="*/ 76 h 158"/>
                                  <a:gd name="T82" fmla="*/ 75 w 184"/>
                                  <a:gd name="T83" fmla="*/ 93 h 158"/>
                                  <a:gd name="T84" fmla="*/ 71 w 184"/>
                                  <a:gd name="T85" fmla="*/ 104 h 158"/>
                                  <a:gd name="T86" fmla="*/ 46 w 184"/>
                                  <a:gd name="T87" fmla="*/ 80 h 158"/>
                                  <a:gd name="T88" fmla="*/ 137 w 184"/>
                                  <a:gd name="T89" fmla="*/ 80 h 158"/>
                                  <a:gd name="T90" fmla="*/ 111 w 184"/>
                                  <a:gd name="T91" fmla="*/ 104 h 158"/>
                                  <a:gd name="T92" fmla="*/ 156 w 184"/>
                                  <a:gd name="T93" fmla="*/ 27 h 158"/>
                                  <a:gd name="T94" fmla="*/ 174 w 184"/>
                                  <a:gd name="T95" fmla="*/ 12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4" h="158">
                                    <a:moveTo>
                                      <a:pt x="178" y="8"/>
                                    </a:moveTo>
                                    <a:cubicBezTo>
                                      <a:pt x="172" y="1"/>
                                      <a:pt x="161" y="0"/>
                                      <a:pt x="154" y="6"/>
                                    </a:cubicBezTo>
                                    <a:cubicBezTo>
                                      <a:pt x="147" y="12"/>
                                      <a:pt x="146" y="21"/>
                                      <a:pt x="151" y="29"/>
                                    </a:cubicBezTo>
                                    <a:cubicBezTo>
                                      <a:pt x="150" y="29"/>
                                      <a:pt x="149" y="29"/>
                                      <a:pt x="149" y="29"/>
                                    </a:cubicBezTo>
                                    <a:cubicBezTo>
                                      <a:pt x="130" y="45"/>
                                      <a:pt x="130" y="45"/>
                                      <a:pt x="130" y="45"/>
                                    </a:cubicBezTo>
                                    <a:cubicBezTo>
                                      <a:pt x="121" y="35"/>
                                      <a:pt x="107" y="28"/>
                                      <a:pt x="92" y="28"/>
                                    </a:cubicBezTo>
                                    <a:cubicBezTo>
                                      <a:pt x="63" y="28"/>
                                      <a:pt x="39" y="51"/>
                                      <a:pt x="39" y="80"/>
                                    </a:cubicBezTo>
                                    <a:cubicBezTo>
                                      <a:pt x="39" y="92"/>
                                      <a:pt x="43" y="103"/>
                                      <a:pt x="50" y="112"/>
                                    </a:cubicBezTo>
                                    <a:cubicBezTo>
                                      <a:pt x="31" y="127"/>
                                      <a:pt x="31" y="127"/>
                                      <a:pt x="31" y="127"/>
                                    </a:cubicBezTo>
                                    <a:cubicBezTo>
                                      <a:pt x="30" y="127"/>
                                      <a:pt x="30" y="128"/>
                                      <a:pt x="30" y="129"/>
                                    </a:cubicBezTo>
                                    <a:cubicBezTo>
                                      <a:pt x="24" y="123"/>
                                      <a:pt x="14" y="123"/>
                                      <a:pt x="8" y="128"/>
                                    </a:cubicBezTo>
                                    <a:cubicBezTo>
                                      <a:pt x="0" y="134"/>
                                      <a:pt x="0" y="145"/>
                                      <a:pt x="6" y="152"/>
                                    </a:cubicBezTo>
                                    <a:cubicBezTo>
                                      <a:pt x="9" y="156"/>
                                      <a:pt x="14" y="158"/>
                                      <a:pt x="19" y="158"/>
                                    </a:cubicBezTo>
                                    <a:cubicBezTo>
                                      <a:pt x="22" y="158"/>
                                      <a:pt x="26" y="157"/>
                                      <a:pt x="29" y="154"/>
                                    </a:cubicBezTo>
                                    <a:cubicBezTo>
                                      <a:pt x="36" y="149"/>
                                      <a:pt x="37" y="139"/>
                                      <a:pt x="33" y="132"/>
                                    </a:cubicBezTo>
                                    <a:cubicBezTo>
                                      <a:pt x="33" y="132"/>
                                      <a:pt x="34" y="132"/>
                                      <a:pt x="35" y="132"/>
                                    </a:cubicBezTo>
                                    <a:cubicBezTo>
                                      <a:pt x="54" y="116"/>
                                      <a:pt x="54" y="116"/>
                                      <a:pt x="54" y="116"/>
                                    </a:cubicBezTo>
                                    <a:cubicBezTo>
                                      <a:pt x="54" y="117"/>
                                      <a:pt x="55" y="118"/>
                                      <a:pt x="56" y="119"/>
                                    </a:cubicBezTo>
                                    <a:cubicBezTo>
                                      <a:pt x="57" y="120"/>
                                      <a:pt x="59" y="121"/>
                                      <a:pt x="60" y="122"/>
                                    </a:cubicBezTo>
                                    <a:cubicBezTo>
                                      <a:pt x="60" y="122"/>
                                      <a:pt x="60" y="122"/>
                                      <a:pt x="60" y="122"/>
                                    </a:cubicBezTo>
                                    <a:cubicBezTo>
                                      <a:pt x="62" y="124"/>
                                      <a:pt x="64" y="125"/>
                                      <a:pt x="66" y="126"/>
                                    </a:cubicBezTo>
                                    <a:cubicBezTo>
                                      <a:pt x="73" y="130"/>
                                      <a:pt x="83" y="133"/>
                                      <a:pt x="92" y="133"/>
                                    </a:cubicBezTo>
                                    <a:cubicBezTo>
                                      <a:pt x="101" y="133"/>
                                      <a:pt x="110" y="130"/>
                                      <a:pt x="118" y="126"/>
                                    </a:cubicBezTo>
                                    <a:cubicBezTo>
                                      <a:pt x="120" y="125"/>
                                      <a:pt x="121" y="124"/>
                                      <a:pt x="123" y="122"/>
                                    </a:cubicBezTo>
                                    <a:cubicBezTo>
                                      <a:pt x="124" y="122"/>
                                      <a:pt x="124" y="122"/>
                                      <a:pt x="124" y="122"/>
                                    </a:cubicBezTo>
                                    <a:cubicBezTo>
                                      <a:pt x="125" y="121"/>
                                      <a:pt x="126" y="120"/>
                                      <a:pt x="127" y="119"/>
                                    </a:cubicBezTo>
                                    <a:cubicBezTo>
                                      <a:pt x="138" y="109"/>
                                      <a:pt x="144" y="95"/>
                                      <a:pt x="144" y="80"/>
                                    </a:cubicBezTo>
                                    <a:cubicBezTo>
                                      <a:pt x="144" y="69"/>
                                      <a:pt x="140" y="58"/>
                                      <a:pt x="134" y="50"/>
                                    </a:cubicBezTo>
                                    <a:cubicBezTo>
                                      <a:pt x="153" y="34"/>
                                      <a:pt x="153" y="34"/>
                                      <a:pt x="153" y="34"/>
                                    </a:cubicBezTo>
                                    <a:cubicBezTo>
                                      <a:pt x="153" y="33"/>
                                      <a:pt x="153" y="33"/>
                                      <a:pt x="154" y="32"/>
                                    </a:cubicBezTo>
                                    <a:cubicBezTo>
                                      <a:pt x="157" y="35"/>
                                      <a:pt x="161" y="36"/>
                                      <a:pt x="165" y="36"/>
                                    </a:cubicBezTo>
                                    <a:cubicBezTo>
                                      <a:pt x="169" y="36"/>
                                      <a:pt x="173" y="35"/>
                                      <a:pt x="176" y="32"/>
                                    </a:cubicBezTo>
                                    <a:cubicBezTo>
                                      <a:pt x="183" y="26"/>
                                      <a:pt x="184" y="16"/>
                                      <a:pt x="178" y="8"/>
                                    </a:cubicBezTo>
                                    <a:close/>
                                    <a:moveTo>
                                      <a:pt x="26" y="150"/>
                                    </a:moveTo>
                                    <a:cubicBezTo>
                                      <a:pt x="21" y="154"/>
                                      <a:pt x="14" y="154"/>
                                      <a:pt x="10" y="149"/>
                                    </a:cubicBezTo>
                                    <a:cubicBezTo>
                                      <a:pt x="6" y="144"/>
                                      <a:pt x="6" y="137"/>
                                      <a:pt x="11" y="133"/>
                                    </a:cubicBezTo>
                                    <a:cubicBezTo>
                                      <a:pt x="16" y="129"/>
                                      <a:pt x="23" y="129"/>
                                      <a:pt x="27" y="134"/>
                                    </a:cubicBezTo>
                                    <a:cubicBezTo>
                                      <a:pt x="31" y="139"/>
                                      <a:pt x="31" y="146"/>
                                      <a:pt x="26" y="150"/>
                                    </a:cubicBezTo>
                                    <a:close/>
                                    <a:moveTo>
                                      <a:pt x="73" y="110"/>
                                    </a:moveTo>
                                    <a:cubicBezTo>
                                      <a:pt x="77" y="109"/>
                                      <a:pt x="80" y="107"/>
                                      <a:pt x="81" y="104"/>
                                    </a:cubicBezTo>
                                    <a:cubicBezTo>
                                      <a:pt x="83" y="100"/>
                                      <a:pt x="82" y="93"/>
                                      <a:pt x="81" y="91"/>
                                    </a:cubicBezTo>
                                    <a:cubicBezTo>
                                      <a:pt x="81" y="91"/>
                                      <a:pt x="81" y="91"/>
                                      <a:pt x="81" y="90"/>
                                    </a:cubicBezTo>
                                    <a:cubicBezTo>
                                      <a:pt x="80" y="88"/>
                                      <a:pt x="78" y="85"/>
                                      <a:pt x="77" y="82"/>
                                    </a:cubicBezTo>
                                    <a:cubicBezTo>
                                      <a:pt x="77" y="80"/>
                                      <a:pt x="76" y="80"/>
                                      <a:pt x="74" y="80"/>
                                    </a:cubicBezTo>
                                    <a:cubicBezTo>
                                      <a:pt x="74" y="80"/>
                                      <a:pt x="74" y="80"/>
                                      <a:pt x="74" y="80"/>
                                    </a:cubicBezTo>
                                    <a:cubicBezTo>
                                      <a:pt x="74" y="79"/>
                                      <a:pt x="72" y="78"/>
                                      <a:pt x="72" y="75"/>
                                    </a:cubicBezTo>
                                    <a:cubicBezTo>
                                      <a:pt x="72" y="73"/>
                                      <a:pt x="72" y="72"/>
                                      <a:pt x="72" y="71"/>
                                    </a:cubicBezTo>
                                    <a:cubicBezTo>
                                      <a:pt x="73" y="71"/>
                                      <a:pt x="73" y="70"/>
                                      <a:pt x="74" y="70"/>
                                    </a:cubicBezTo>
                                    <a:cubicBezTo>
                                      <a:pt x="74" y="69"/>
                                      <a:pt x="74" y="68"/>
                                      <a:pt x="74" y="67"/>
                                    </a:cubicBezTo>
                                    <a:cubicBezTo>
                                      <a:pt x="73" y="62"/>
                                      <a:pt x="73" y="57"/>
                                      <a:pt x="76" y="53"/>
                                    </a:cubicBezTo>
                                    <a:cubicBezTo>
                                      <a:pt x="79" y="48"/>
                                      <a:pt x="85" y="46"/>
                                      <a:pt x="91" y="46"/>
                                    </a:cubicBezTo>
                                    <a:cubicBezTo>
                                      <a:pt x="98" y="46"/>
                                      <a:pt x="103" y="48"/>
                                      <a:pt x="107" y="53"/>
                                    </a:cubicBezTo>
                                    <a:cubicBezTo>
                                      <a:pt x="109" y="57"/>
                                      <a:pt x="110" y="62"/>
                                      <a:pt x="109" y="67"/>
                                    </a:cubicBezTo>
                                    <a:cubicBezTo>
                                      <a:pt x="108" y="68"/>
                                      <a:pt x="108" y="69"/>
                                      <a:pt x="109" y="70"/>
                                    </a:cubicBezTo>
                                    <a:cubicBezTo>
                                      <a:pt x="110" y="70"/>
                                      <a:pt x="110" y="71"/>
                                      <a:pt x="111" y="71"/>
                                    </a:cubicBezTo>
                                    <a:cubicBezTo>
                                      <a:pt x="111" y="72"/>
                                      <a:pt x="111" y="73"/>
                                      <a:pt x="111" y="75"/>
                                    </a:cubicBezTo>
                                    <a:cubicBezTo>
                                      <a:pt x="110" y="78"/>
                                      <a:pt x="109" y="79"/>
                                      <a:pt x="108" y="80"/>
                                    </a:cubicBezTo>
                                    <a:cubicBezTo>
                                      <a:pt x="107" y="80"/>
                                      <a:pt x="106" y="80"/>
                                      <a:pt x="105" y="82"/>
                                    </a:cubicBezTo>
                                    <a:cubicBezTo>
                                      <a:pt x="104" y="85"/>
                                      <a:pt x="103" y="88"/>
                                      <a:pt x="102" y="90"/>
                                    </a:cubicBezTo>
                                    <a:cubicBezTo>
                                      <a:pt x="102" y="91"/>
                                      <a:pt x="101" y="91"/>
                                      <a:pt x="101" y="91"/>
                                    </a:cubicBezTo>
                                    <a:cubicBezTo>
                                      <a:pt x="101" y="93"/>
                                      <a:pt x="100" y="100"/>
                                      <a:pt x="101" y="104"/>
                                    </a:cubicBezTo>
                                    <a:cubicBezTo>
                                      <a:pt x="103" y="107"/>
                                      <a:pt x="105" y="108"/>
                                      <a:pt x="109" y="110"/>
                                    </a:cubicBezTo>
                                    <a:cubicBezTo>
                                      <a:pt x="114" y="111"/>
                                      <a:pt x="118" y="114"/>
                                      <a:pt x="120" y="116"/>
                                    </a:cubicBezTo>
                                    <a:cubicBezTo>
                                      <a:pt x="118" y="118"/>
                                      <a:pt x="116" y="119"/>
                                      <a:pt x="114" y="120"/>
                                    </a:cubicBezTo>
                                    <a:cubicBezTo>
                                      <a:pt x="112" y="121"/>
                                      <a:pt x="110" y="122"/>
                                      <a:pt x="107" y="123"/>
                                    </a:cubicBezTo>
                                    <a:cubicBezTo>
                                      <a:pt x="97" y="127"/>
                                      <a:pt x="86" y="127"/>
                                      <a:pt x="76" y="123"/>
                                    </a:cubicBezTo>
                                    <a:cubicBezTo>
                                      <a:pt x="74" y="122"/>
                                      <a:pt x="71" y="121"/>
                                      <a:pt x="69" y="120"/>
                                    </a:cubicBezTo>
                                    <a:cubicBezTo>
                                      <a:pt x="67" y="119"/>
                                      <a:pt x="65" y="118"/>
                                      <a:pt x="64" y="116"/>
                                    </a:cubicBezTo>
                                    <a:cubicBezTo>
                                      <a:pt x="65" y="114"/>
                                      <a:pt x="69" y="112"/>
                                      <a:pt x="73" y="110"/>
                                    </a:cubicBezTo>
                                    <a:close/>
                                    <a:moveTo>
                                      <a:pt x="111" y="104"/>
                                    </a:moveTo>
                                    <a:cubicBezTo>
                                      <a:pt x="108" y="103"/>
                                      <a:pt x="107" y="102"/>
                                      <a:pt x="107" y="102"/>
                                    </a:cubicBezTo>
                                    <a:cubicBezTo>
                                      <a:pt x="107" y="100"/>
                                      <a:pt x="107" y="96"/>
                                      <a:pt x="107" y="93"/>
                                    </a:cubicBezTo>
                                    <a:cubicBezTo>
                                      <a:pt x="109" y="91"/>
                                      <a:pt x="110" y="88"/>
                                      <a:pt x="111" y="85"/>
                                    </a:cubicBezTo>
                                    <a:cubicBezTo>
                                      <a:pt x="114" y="84"/>
                                      <a:pt x="116" y="79"/>
                                      <a:pt x="117" y="76"/>
                                    </a:cubicBezTo>
                                    <a:cubicBezTo>
                                      <a:pt x="118" y="71"/>
                                      <a:pt x="117" y="69"/>
                                      <a:pt x="116" y="67"/>
                                    </a:cubicBezTo>
                                    <a:cubicBezTo>
                                      <a:pt x="116" y="67"/>
                                      <a:pt x="115" y="66"/>
                                      <a:pt x="115" y="66"/>
                                    </a:cubicBezTo>
                                    <a:cubicBezTo>
                                      <a:pt x="116" y="60"/>
                                      <a:pt x="115" y="54"/>
                                      <a:pt x="112" y="49"/>
                                    </a:cubicBezTo>
                                    <a:cubicBezTo>
                                      <a:pt x="107" y="43"/>
                                      <a:pt x="100" y="39"/>
                                      <a:pt x="91" y="39"/>
                                    </a:cubicBezTo>
                                    <a:cubicBezTo>
                                      <a:pt x="83" y="39"/>
                                      <a:pt x="76" y="43"/>
                                      <a:pt x="71" y="49"/>
                                    </a:cubicBezTo>
                                    <a:cubicBezTo>
                                      <a:pt x="68" y="54"/>
                                      <a:pt x="66" y="60"/>
                                      <a:pt x="68" y="66"/>
                                    </a:cubicBezTo>
                                    <a:cubicBezTo>
                                      <a:pt x="67" y="66"/>
                                      <a:pt x="67" y="67"/>
                                      <a:pt x="67" y="67"/>
                                    </a:cubicBezTo>
                                    <a:cubicBezTo>
                                      <a:pt x="65" y="69"/>
                                      <a:pt x="65" y="71"/>
                                      <a:pt x="66" y="76"/>
                                    </a:cubicBezTo>
                                    <a:cubicBezTo>
                                      <a:pt x="66" y="79"/>
                                      <a:pt x="68" y="84"/>
                                      <a:pt x="72" y="85"/>
                                    </a:cubicBezTo>
                                    <a:cubicBezTo>
                                      <a:pt x="73" y="88"/>
                                      <a:pt x="74" y="91"/>
                                      <a:pt x="75" y="93"/>
                                    </a:cubicBezTo>
                                    <a:cubicBezTo>
                                      <a:pt x="76" y="96"/>
                                      <a:pt x="76" y="100"/>
                                      <a:pt x="76" y="102"/>
                                    </a:cubicBezTo>
                                    <a:cubicBezTo>
                                      <a:pt x="75" y="103"/>
                                      <a:pt x="72" y="104"/>
                                      <a:pt x="71" y="104"/>
                                    </a:cubicBezTo>
                                    <a:cubicBezTo>
                                      <a:pt x="65" y="106"/>
                                      <a:pt x="61" y="109"/>
                                      <a:pt x="59" y="112"/>
                                    </a:cubicBezTo>
                                    <a:cubicBezTo>
                                      <a:pt x="51" y="104"/>
                                      <a:pt x="46" y="92"/>
                                      <a:pt x="46" y="80"/>
                                    </a:cubicBezTo>
                                    <a:cubicBezTo>
                                      <a:pt x="46" y="55"/>
                                      <a:pt x="66" y="35"/>
                                      <a:pt x="92" y="35"/>
                                    </a:cubicBezTo>
                                    <a:cubicBezTo>
                                      <a:pt x="117" y="35"/>
                                      <a:pt x="137" y="55"/>
                                      <a:pt x="137" y="80"/>
                                    </a:cubicBezTo>
                                    <a:cubicBezTo>
                                      <a:pt x="137" y="92"/>
                                      <a:pt x="133" y="104"/>
                                      <a:pt x="124" y="112"/>
                                    </a:cubicBezTo>
                                    <a:cubicBezTo>
                                      <a:pt x="121" y="108"/>
                                      <a:pt x="115" y="105"/>
                                      <a:pt x="111" y="104"/>
                                    </a:cubicBezTo>
                                    <a:close/>
                                    <a:moveTo>
                                      <a:pt x="172" y="28"/>
                                    </a:moveTo>
                                    <a:cubicBezTo>
                                      <a:pt x="167" y="32"/>
                                      <a:pt x="160" y="32"/>
                                      <a:pt x="156" y="27"/>
                                    </a:cubicBezTo>
                                    <a:cubicBezTo>
                                      <a:pt x="152" y="22"/>
                                      <a:pt x="153" y="15"/>
                                      <a:pt x="158" y="11"/>
                                    </a:cubicBezTo>
                                    <a:cubicBezTo>
                                      <a:pt x="162" y="7"/>
                                      <a:pt x="170" y="7"/>
                                      <a:pt x="174" y="12"/>
                                    </a:cubicBezTo>
                                    <a:cubicBezTo>
                                      <a:pt x="178" y="17"/>
                                      <a:pt x="177" y="24"/>
                                      <a:pt x="172" y="2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535" name="Freeform 9"/>
                        <wps:cNvSpPr>
                          <a:spLocks/>
                        </wps:cNvSpPr>
                        <wps:spPr bwMode="auto">
                          <a:xfrm>
                            <a:off x="427345" y="81886"/>
                            <a:ext cx="107315" cy="250825"/>
                          </a:xfrm>
                          <a:custGeom>
                            <a:avLst/>
                            <a:gdLst>
                              <a:gd name="T0" fmla="*/ 0 w 68"/>
                              <a:gd name="T1" fmla="*/ 0 h 158"/>
                              <a:gd name="T2" fmla="*/ 68 w 68"/>
                              <a:gd name="T3" fmla="*/ 79 h 158"/>
                              <a:gd name="T4" fmla="*/ 0 w 68"/>
                              <a:gd name="T5" fmla="*/ 158 h 158"/>
                              <a:gd name="T6" fmla="*/ 0 w 68"/>
                              <a:gd name="T7" fmla="*/ 0 h 158"/>
                            </a:gdLst>
                            <a:ahLst/>
                            <a:cxnLst>
                              <a:cxn ang="0">
                                <a:pos x="T0" y="T1"/>
                              </a:cxn>
                              <a:cxn ang="0">
                                <a:pos x="T2" y="T3"/>
                              </a:cxn>
                              <a:cxn ang="0">
                                <a:pos x="T4" y="T5"/>
                              </a:cxn>
                              <a:cxn ang="0">
                                <a:pos x="T6" y="T7"/>
                              </a:cxn>
                            </a:cxnLst>
                            <a:rect l="0" t="0" r="r" b="b"/>
                            <a:pathLst>
                              <a:path w="68" h="158">
                                <a:moveTo>
                                  <a:pt x="0" y="0"/>
                                </a:moveTo>
                                <a:lnTo>
                                  <a:pt x="68" y="79"/>
                                </a:lnTo>
                                <a:lnTo>
                                  <a:pt x="0" y="158"/>
                                </a:lnTo>
                                <a:lnTo>
                                  <a:pt x="0" y="0"/>
                                </a:lnTo>
                                <a:close/>
                              </a:path>
                            </a:pathLst>
                          </a:custGeom>
                          <a:solidFill>
                            <a:srgbClr val="25B3E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2EA6CF13" id="Group 536" o:spid="_x0000_s1026" alt="&quot;&quot;" style="position:absolute;margin-left:-46.2pt;margin-top:-.45pt;width:42.1pt;height:32.1pt;z-index:251658265" coordsize="5346,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">
                <v:group id="Group 114" o:spid="_x0000_s1027" style="position:absolute;width:4076;height:4076" coordsize="468000,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rect id="Rectangle 514" o:spid="_x0000_s1028" style="position:absolute;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" fillcolor="#00264d [3214]" stroked="f" strokeweight="2pt"/>
                  <v:group id="Group 515" o:spid="_x0000_s1029" style="position:absolute;left:37966;top:52893;width:396001;height:367715" coordorigin="379,528" coordsize="6950,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o:lock v:ext="edit" aspectratio="t"/>
                    <v:oval id="Oval 516" o:spid="_x0000_s1030" style="position:absolute;left:379;top:3520;width:470;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" filled="f" stroked="f"/>
                    <v:shape id="Freeform 46" o:spid="_x0000_s1031" style="position:absolute;left:1032;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" path="m6,3c6,1,4,,3,,2,,2,,2,,1,,,1,,3,,4,1,6,3,6,4,6,6,4,6,3xe" filled="f" stroked="f">
                      <v:path arrowok="t" o:connecttype="custom" o:connectlocs="18290,9145;9145,0;6097,0;0,9145;9145,18290;18290,9145" o:connectangles="0,0,0,0,0,0"/>
                    </v:shape>
                    <v:shape id="Freeform 47" o:spid="_x0000_s1032" style="position:absolute;left:1646;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" path="m3,6c5,6,6,4,6,3,6,1,5,,3,v,,,,,c1,,,1,,3,,4,2,6,3,6xe" filled="f" stroked="f">
                      <v:path arrowok="t" o:connecttype="custom" o:connectlocs="9145,18290;18290,9145;9145,0;9145,0;0,9145;9145,18290" o:connectangles="0,0,0,0,0,0"/>
                    </v:shape>
                    <v:shape id="Freeform 48" o:spid="_x0000_s1033" style="position:absolute;left:1346;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" path="m3,6c5,6,6,4,6,3,6,1,5,,3,v,,,,,c1,,,1,,3,,4,1,6,3,6xe" filled="f" stroked="f">
                      <v:path arrowok="t" o:connecttype="custom" o:connectlocs="9145,18290;18290,9145;9145,0;9145,0;0,9145;9145,18290" o:connectangles="0,0,0,0,0,0"/>
                    </v:shape>
                    <v:shape id="Freeform 49" o:spid="_x0000_s1034" style="position:absolute;left:1960;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" path="m3,6c5,6,6,4,6,3,6,1,5,,3,v,,,,,c1,,,1,,3,,4,2,6,3,6xe" filled="f" stroked="f">
                      <v:path arrowok="t" o:connecttype="custom" o:connectlocs="9145,18290;18290,9145;9145,0;9145,0;0,9145;9145,18290" o:connectangles="0,0,0,0,0,0"/>
                    </v:shape>
                    <v:oval id="Oval 521" o:spid="_x0000_s1035" style="position:absolute;left:6898;top:3520;width:431;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" filled="f" stroked="f"/>
                    <v:shape id="Freeform 51" o:spid="_x0000_s1036" style="position:absolute;left:6519;top:3677;width:196;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" path="m3,c1,,,1,,3,,4,1,6,3,6v,,,,,c5,6,6,4,6,3,6,1,4,,3,xe" filled="f" stroked="f">
                      <v:path arrowok="t" o:connecttype="custom" o:connectlocs="9799,0;0,9145;9799,18290;9799,18290;19597,9145;9799,0" o:connectangles="0,0,0,0,0,0"/>
                    </v:shape>
                    <v:shape id="Freeform 52" o:spid="_x0000_s1037" style="position:absolute;left:5879;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" path="m3,c2,,,1,,3,,4,2,6,3,6v1,,1,,1,c5,6,6,4,6,3,6,1,5,,3,xe" filled="f" stroked="f">
                      <v:path arrowok="t" o:connecttype="custom" o:connectlocs="9145,0;0,9145;9145,18290;12193,18290;18290,9145;9145,0" o:connectangles="0,0,0,0,0,0"/>
                    </v:shape>
                    <v:shape id="Freeform 53" o:spid="_x0000_s1038" style="position:absolute;left:6180;top:3677;width:222;height:183;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" path="m3,c2,,,1,,3,,4,2,6,3,6v1,,1,,1,c6,6,7,4,7,3,7,1,5,,3,xe" filled="f" stroked="f">
                      <v:path arrowok="t" o:connecttype="custom" o:connectlocs="9519,0;0,9145;9519,18290;12691,18290;22210,9145;9519,0" o:connectangles="0,0,0,0,0,0"/>
                    </v:shape>
                    <v:shape id="Freeform 54" o:spid="_x0000_s1039" style="position:absolute;left:5566;top:367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" path="m3,c2,,,1,,3,,4,2,6,3,6v,,,,,c5,6,6,4,6,3,6,1,5,,3,xe" filled="f" stroked="f">
                      <v:path arrowok="t" o:connecttype="custom" o:connectlocs="9145,0;0,9145;9145,18290;9145,18290;18290,9145;9145,0" o:connectangles="0,0,0,0,0,0"/>
                    </v:shape>
                    <v:oval id="Oval 526" o:spid="_x0000_s1040" style="position:absolute;left:3658;top:6512;width:431;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" filled="f" stroked="f"/>
                    <v:shape id="Freeform 56" o:spid="_x0000_s1041" style="position:absolute;left:3776;top:6146;width:183;height:209;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" path="m,4c,5,1,7,3,7,5,7,6,5,6,3,6,2,5,,3,,1,,,2,,3l,4xe" filled="f" stroked="f">
                      <v:path arrowok="t" o:connecttype="custom" o:connectlocs="0,11945;9145,20903;18290,8958;9145,0;0,8958;0,11945" o:connectangles="0,0,0,0,0,0"/>
                    </v:shape>
                    <v:shape id="Freeform 57" o:spid="_x0000_s1042" style="position:absolute;left:3776;top:5806;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" path="m,3c,5,1,6,3,6,5,6,6,5,6,3v,,,,,c6,1,5,,3,,1,,,1,,3xe" filled="f" stroked="f">
                      <v:path arrowok="t" o:connecttype="custom" o:connectlocs="0,9145;9145,18290;18290,9145;18290,9145;9145,0;0,9145" o:connectangles="0,0,0,0,0,0"/>
                    </v:shape>
                    <v:shape id="Freeform 58" o:spid="_x0000_s1043" style="position:absolute;left:3776;top:5467;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" path="m3,6c5,6,6,5,6,3,6,1,5,,3,,1,,,1,,3v,,,,,c,5,1,6,3,6xe" filled="f" stroked="f">
                      <v:path arrowok="t" o:connecttype="custom" o:connectlocs="9145,18290;18290,9145;9145,0;0,9145;0,9145;9145,18290" o:connectangles="0,0,0,0,0,0"/>
                    </v:shape>
                    <v:oval id="Oval 530" o:spid="_x0000_s1044" style="position:absolute;left:3658;top:528;width:43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" filled="f" stroked="f"/>
                    <v:shape id="Freeform 60" o:spid="_x0000_s1045" style="position:absolute;left:3776;top:1142;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" path="m6,3c6,1,5,,3,,1,,,2,,3,,5,1,6,3,6,5,6,6,5,6,3xe" filled="f" stroked="f">
                      <v:path arrowok="t" o:connecttype="custom" o:connectlocs="18290,9145;9145,0;0,9145;9145,18290;18290,9145" o:connectangles="0,0,0,0,0"/>
                    </v:shape>
                    <v:shape id="Freeform 61" o:spid="_x0000_s1046" style="position:absolute;left:3776;top:1482;width:183;height:222;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" path="m6,3c6,2,5,,3,,1,,,2,,3,,4,,4,,4,,5,1,7,3,7,5,7,6,5,6,4l6,3xe" filled="f" stroked="f">
                      <v:path arrowok="t" o:connecttype="custom" o:connectlocs="18290,9519;9145,0;0,9519;0,12691;9145,22210;18290,12691;18290,9519" o:connectangles="0,0,0,0,0,0,0"/>
                    </v:shape>
                    <v:shape id="Freeform 62" o:spid="_x0000_s1047" style="position:absolute;left:3776;top:1861;width:183;height:183;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" path="m3,c1,,,1,,3,,5,1,6,3,6,5,6,6,5,6,3v,,,,,c6,1,5,,3,xe" filled="f" stroked="f">
                      <v:path arrowok="t" o:connecttype="custom" o:connectlocs="9145,0;0,9145;9145,18290;18290,9145;18290,9145;9145,0" o:connectangles="0,0,0,0,0,0"/>
                    </v:shape>
                    <v:shape id="Freeform 63" o:spid="_x0000_s1048" style="position:absolute;left:1032;top:1273;width:5683;height:4873;visibility:visible;mso-wrap-style:square;v-text-anchor:top" coordsize="18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" path="m178,8c172,1,161,,154,6v-7,6,-8,15,-3,23c150,29,149,29,149,29,130,45,130,45,130,45,121,35,107,28,92,28,63,28,39,51,39,80v,12,4,23,11,32c31,127,31,127,31,127v-1,,-1,1,-1,2c24,123,14,123,8,128,,134,,145,6,152v3,4,8,6,13,6c22,158,26,157,29,154v7,-5,8,-15,4,-22c33,132,34,132,35,132,54,116,54,116,54,116v,1,1,2,2,3c57,120,59,121,60,122v,,,,,c62,124,64,125,66,126v7,4,17,7,26,7c101,133,110,130,118,126v2,-1,3,-2,5,-4c124,122,124,122,124,122v1,-1,2,-2,3,-3c138,109,144,95,144,80v,-11,-4,-22,-10,-30c153,34,153,34,153,34v,-1,,-1,1,-2c157,35,161,36,165,36v4,,8,-1,11,-4c183,26,184,16,178,8xm26,150v-5,4,-12,4,-16,-1c6,144,6,137,11,133v5,-4,12,-4,16,1c31,139,31,146,26,150xm73,110v4,-1,7,-3,8,-6c83,100,82,93,81,91v,,,,,-1c80,88,78,85,77,82v,-2,-1,-2,-3,-2c74,80,74,80,74,80v,-1,-2,-2,-2,-5c72,73,72,72,72,71v1,,1,-1,2,-1c74,69,74,68,74,67,73,62,73,57,76,53v3,-5,9,-7,15,-7c98,46,103,48,107,53v2,4,3,9,2,14c108,68,108,69,109,70v1,,1,1,2,1c111,72,111,73,111,75v-1,3,-2,4,-3,5c107,80,106,80,105,82v-1,3,-2,6,-3,8c102,91,101,91,101,91v,2,-1,9,,13c103,107,105,108,109,110v5,1,9,4,11,6c118,118,116,119,114,120v-2,1,-4,2,-7,3c97,127,86,127,76,123v-2,-1,-5,-2,-7,-3c67,119,65,118,64,116v1,-2,5,-4,9,-6xm111,104v-3,-1,-4,-2,-4,-2c107,100,107,96,107,93v2,-2,3,-5,4,-8c114,84,116,79,117,76v1,-5,,-7,-1,-9c116,67,115,66,115,66v1,-6,,-12,-3,-17c107,43,100,39,91,39v-8,,-15,4,-20,10c68,54,66,60,68,66v-1,,-1,1,-1,1c65,69,65,71,66,76v,3,2,8,6,9c73,88,74,91,75,93v1,3,1,7,1,9c75,103,72,104,71,104v-6,2,-10,5,-12,8c51,104,46,92,46,80,46,55,66,35,92,35v25,,45,20,45,45c137,92,133,104,124,112v-3,-4,-9,-7,-13,-8xm172,28v-5,4,-12,4,-16,-1c152,22,153,15,158,11v4,-4,12,-4,16,1c178,17,177,24,172,28xe" filled="f" stroked="f">
                      <v:path arrowok="t" o:connecttype="custom" o:connectlocs="475648,18505;460205,89442;284154,86358;154431,345432;92659,397864;18532,468801;89570,474969;108102,407116;172963,367022;185318,376274;284154,410201;379901,376274;392255,367022;413876,154211;475648,98695;543598,98695;80304,462632;33975,410201;80304,462632;250179,320758;250179,277579;228558,246737;222381,231316;228558,215895;234736,163463;330483,163463;336660,215895;342837,231316;324306,252906;311951,280664;336660,339264;352103,370106;234736,379358;197672,357769;342837,320758;330483,286832;361369,234400;355192,203558;281065,120284;210027,203558;203849,234400;231647,286832;219292,320758;142077,246737;423142,246737;342837,320758;481826,83274;537421,37011" o:connectangles="0,0,0,0,0,0,0,0,0,0,0,0,0,0,0,0,0,0,0,0,0,0,0,0,0,0,0,0,0,0,0,0,0,0,0,0,0,0,0,0,0,0,0,0,0,0,0,0"/>
                      <o:lock v:ext="edit" verticies="t"/>
                    </v:shape>
                  </v:group>
                </v:group>
                <v:shape id="Freeform 9" o:spid="_x0000_s1049" style="position:absolute;left:4273;top:818;width:1073;height:2509;visibility:visible;mso-wrap-style:square;v-text-anchor:top" coordsize="6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" path="m,l68,79,,158,,xe" fillcolor="#25b3e0" stroked="f">
                  <v:path arrowok="t" o:connecttype="custom" o:connectlocs="0,0;107315,125413;0,250825;0,0" o:connectangles="0,0,0,0"/>
                </v:shape>
              </v:group>
            </w:pict>
          </mc:Fallback>
        </mc:AlternateContent>
      </w:r>
      <w:r w:rsidR="00C83150" w:rsidRPr="00623868">
        <w:rPr>
          <w:rStyle w:val="Strong"/>
        </w:rPr>
        <w:t>R</w:t>
      </w:r>
      <w:r w:rsidR="0076021F" w:rsidRPr="00623868">
        <w:rPr>
          <w:rStyle w:val="Strong"/>
        </w:rPr>
        <w:t>eceiving</w:t>
      </w:r>
      <w:r w:rsidR="6BF2C189" w:rsidRPr="00623868">
        <w:rPr>
          <w:rStyle w:val="Strong"/>
        </w:rPr>
        <w:t xml:space="preserve"> a range of supports </w:t>
      </w:r>
      <w:r w:rsidR="0076021F" w:rsidRPr="00623868">
        <w:rPr>
          <w:rStyle w:val="Strong"/>
        </w:rPr>
        <w:t>relative</w:t>
      </w:r>
      <w:r w:rsidR="6BF2C189" w:rsidRPr="00623868">
        <w:rPr>
          <w:rStyle w:val="Strong"/>
        </w:rPr>
        <w:t xml:space="preserve"> to needs was the secondary mechanism which enabled recovery.</w:t>
      </w:r>
    </w:p>
    <w:p w14:paraId="243AB95C" w14:textId="3CA43201" w:rsidR="00401FEB" w:rsidRDefault="14083200" w:rsidP="00401FEB">
      <w:r>
        <w:rPr>
          <w:lang w:eastAsia="en-AU"/>
        </w:rPr>
        <w:t xml:space="preserve">The </w:t>
      </w:r>
      <w:r w:rsidR="409903DA">
        <w:rPr>
          <w:lang w:eastAsia="en-AU"/>
        </w:rPr>
        <w:t>support</w:t>
      </w:r>
      <w:r w:rsidR="0822A71C">
        <w:rPr>
          <w:lang w:eastAsia="en-AU"/>
        </w:rPr>
        <w:t xml:space="preserve"> the </w:t>
      </w:r>
      <w:r w:rsidR="14629A63">
        <w:rPr>
          <w:lang w:eastAsia="en-AU"/>
        </w:rPr>
        <w:t>participant</w:t>
      </w:r>
      <w:r>
        <w:rPr>
          <w:lang w:eastAsia="en-AU"/>
        </w:rPr>
        <w:t xml:space="preserve"> was offered through The Way Back </w:t>
      </w:r>
      <w:r>
        <w:t>depend</w:t>
      </w:r>
      <w:r w:rsidR="5F1CEA0B">
        <w:t>ed</w:t>
      </w:r>
      <w:r>
        <w:t xml:space="preserve"> on the </w:t>
      </w:r>
      <w:r w:rsidR="14629A63">
        <w:t>participant</w:t>
      </w:r>
      <w:r>
        <w:t>’s individual needs (</w:t>
      </w:r>
      <w:proofErr w:type="gramStart"/>
      <w:r>
        <w:t>i.e.</w:t>
      </w:r>
      <w:proofErr w:type="gramEnd"/>
      <w:r>
        <w:t xml:space="preserve"> what issues that led to a suicide attempt or suicidal crisis need to be addressed through The Way Back) and what </w:t>
      </w:r>
      <w:r w:rsidRPr="00C83150">
        <w:t>was offered by the support coordinator</w:t>
      </w:r>
      <w:bookmarkEnd w:id="137"/>
      <w:r w:rsidRPr="00C83150">
        <w:t xml:space="preserve">. </w:t>
      </w:r>
      <w:r w:rsidR="059AE776" w:rsidRPr="00C83150">
        <w:t>Respondent</w:t>
      </w:r>
      <w:r w:rsidR="653D62A0" w:rsidRPr="00C83150">
        <w:t>s to the</w:t>
      </w:r>
      <w:r w:rsidR="653D62A0">
        <w:t xml:space="preserve"> participant survey </w:t>
      </w:r>
      <w:r w:rsidR="3F8E70BF">
        <w:t>also highligh</w:t>
      </w:r>
      <w:r w:rsidR="653D62A0">
        <w:t xml:space="preserve">ted </w:t>
      </w:r>
      <w:r w:rsidR="52C4B375">
        <w:t xml:space="preserve">similar </w:t>
      </w:r>
      <w:r w:rsidR="7FAE26F4">
        <w:t xml:space="preserve">elements of </w:t>
      </w:r>
      <w:r w:rsidR="52C4B375">
        <w:t xml:space="preserve">The Way Back </w:t>
      </w:r>
      <w:r w:rsidR="653D62A0">
        <w:t>that were important to their recovery</w:t>
      </w:r>
      <w:r w:rsidR="752C0108">
        <w:t xml:space="preserve">. </w:t>
      </w:r>
      <w:r w:rsidR="7FAE26F4">
        <w:t>T</w:t>
      </w:r>
      <w:r w:rsidR="6536E74A">
        <w:t xml:space="preserve">he top </w:t>
      </w:r>
      <w:r w:rsidR="6C3BC749">
        <w:t>five</w:t>
      </w:r>
      <w:r w:rsidR="6536E74A">
        <w:t xml:space="preserve"> responses </w:t>
      </w:r>
      <w:r w:rsidR="00DB7DCA">
        <w:t xml:space="preserve">in the participant survey </w:t>
      </w:r>
      <w:r w:rsidR="78BD001B">
        <w:t>that respondents</w:t>
      </w:r>
      <w:r w:rsidR="00C308B1">
        <w:t xml:space="preserve"> to the </w:t>
      </w:r>
      <w:r w:rsidR="008249A4">
        <w:t xml:space="preserve">participant </w:t>
      </w:r>
      <w:r w:rsidR="00C308B1">
        <w:t>survey</w:t>
      </w:r>
      <w:r w:rsidR="78BD001B">
        <w:t xml:space="preserve"> reported as being </w:t>
      </w:r>
      <w:r w:rsidR="0514F308">
        <w:t xml:space="preserve">most helpful to </w:t>
      </w:r>
      <w:r w:rsidR="78BD001B">
        <w:t xml:space="preserve">their </w:t>
      </w:r>
      <w:r w:rsidR="0514F308">
        <w:t>recovery included</w:t>
      </w:r>
      <w:r w:rsidR="7B583BCD">
        <w:t>:</w:t>
      </w:r>
      <w:r w:rsidR="00D37330">
        <w:rPr>
          <w:rStyle w:val="FootnoteReference"/>
        </w:rPr>
        <w:footnoteReference w:id="125"/>
      </w:r>
    </w:p>
    <w:p w14:paraId="2EDED94C" w14:textId="381557F1" w:rsidR="00D37330" w:rsidRPr="00BB7155" w:rsidRDefault="11325249" w:rsidP="00B729F5">
      <w:pPr>
        <w:pStyle w:val="Listnumbered"/>
        <w:numPr>
          <w:ilvl w:val="0"/>
          <w:numId w:val="17"/>
        </w:numPr>
      </w:pPr>
      <w:r>
        <w:t>Person to speak</w:t>
      </w:r>
      <w:r w:rsidR="69A5C8A7">
        <w:t xml:space="preserve"> to</w:t>
      </w:r>
      <w:r>
        <w:t xml:space="preserve"> (88 per cent or </w:t>
      </w:r>
      <w:r w:rsidR="69A5C8A7">
        <w:t>69</w:t>
      </w:r>
      <w:r>
        <w:t xml:space="preserve"> </w:t>
      </w:r>
      <w:r w:rsidR="692427B4">
        <w:t>responses</w:t>
      </w:r>
      <w:r>
        <w:t>)</w:t>
      </w:r>
    </w:p>
    <w:p w14:paraId="3A1B1CBD" w14:textId="47BE9369" w:rsidR="00D37330" w:rsidRPr="00BB7155" w:rsidRDefault="00D37330" w:rsidP="00B729F5">
      <w:pPr>
        <w:pStyle w:val="Listnumbered"/>
        <w:numPr>
          <w:ilvl w:val="0"/>
          <w:numId w:val="17"/>
        </w:numPr>
      </w:pPr>
      <w:r w:rsidRPr="00BB7155">
        <w:t xml:space="preserve">Phone calls (53 per cent or </w:t>
      </w:r>
      <w:r w:rsidR="00DF579E" w:rsidRPr="00BB7155">
        <w:t xml:space="preserve">41 </w:t>
      </w:r>
      <w:r w:rsidRPr="00BB7155">
        <w:t>respondents)</w:t>
      </w:r>
    </w:p>
    <w:p w14:paraId="0DC4B375" w14:textId="0C6ED938" w:rsidR="00D37330" w:rsidRPr="00BB7155" w:rsidRDefault="00E05ADD" w:rsidP="00B729F5">
      <w:pPr>
        <w:pStyle w:val="Listnumbered"/>
        <w:numPr>
          <w:ilvl w:val="0"/>
          <w:numId w:val="17"/>
        </w:numPr>
      </w:pPr>
      <w:bookmarkStart w:id="138" w:name="_Ref118288795"/>
      <w:r w:rsidRPr="00BB7155">
        <w:t xml:space="preserve">Setting goals (49 per cent or </w:t>
      </w:r>
      <w:r w:rsidR="00DF579E" w:rsidRPr="00BB7155">
        <w:t>38</w:t>
      </w:r>
      <w:r w:rsidRPr="00BB7155">
        <w:t xml:space="preserve"> respondents)</w:t>
      </w:r>
      <w:bookmarkEnd w:id="138"/>
    </w:p>
    <w:p w14:paraId="56038309" w14:textId="675B8C27" w:rsidR="00BD50B9" w:rsidRPr="00BB7155" w:rsidRDefault="00E047E8" w:rsidP="00B729F5">
      <w:pPr>
        <w:pStyle w:val="Listnumbered"/>
        <w:numPr>
          <w:ilvl w:val="0"/>
          <w:numId w:val="17"/>
        </w:numPr>
      </w:pPr>
      <w:r w:rsidRPr="00BB7155">
        <w:t xml:space="preserve">Finding out where, </w:t>
      </w:r>
      <w:proofErr w:type="gramStart"/>
      <w:r w:rsidRPr="00BB7155">
        <w:t>when</w:t>
      </w:r>
      <w:proofErr w:type="gramEnd"/>
      <w:r w:rsidRPr="00BB7155">
        <w:t xml:space="preserve"> and how to access support in the future </w:t>
      </w:r>
      <w:r w:rsidR="00BD50B9" w:rsidRPr="00BB7155">
        <w:t xml:space="preserve">(43 per cent or </w:t>
      </w:r>
      <w:r w:rsidR="00C351A3" w:rsidRPr="00BB7155">
        <w:t>3</w:t>
      </w:r>
      <w:r w:rsidR="009A1C22" w:rsidRPr="00BB7155">
        <w:t>4</w:t>
      </w:r>
      <w:r w:rsidR="00BD50B9" w:rsidRPr="00BB7155">
        <w:t xml:space="preserve"> respondents</w:t>
      </w:r>
    </w:p>
    <w:p w14:paraId="581174B5" w14:textId="57C898F0" w:rsidR="00BD50B9" w:rsidRPr="00BB7155" w:rsidRDefault="00BD50B9" w:rsidP="00B729F5">
      <w:pPr>
        <w:pStyle w:val="Listnumbered"/>
        <w:numPr>
          <w:ilvl w:val="0"/>
          <w:numId w:val="17"/>
        </w:numPr>
      </w:pPr>
      <w:r w:rsidRPr="00BB7155">
        <w:t>Specific services to help with other things</w:t>
      </w:r>
      <w:r w:rsidR="001B5114" w:rsidRPr="00BB7155">
        <w:t xml:space="preserve"> (42 per cent or </w:t>
      </w:r>
      <w:r w:rsidR="00C351A3" w:rsidRPr="00BB7155">
        <w:t>3</w:t>
      </w:r>
      <w:r w:rsidR="00565032" w:rsidRPr="00BB7155">
        <w:t>3</w:t>
      </w:r>
      <w:r w:rsidR="00C351A3" w:rsidRPr="00BB7155">
        <w:t xml:space="preserve"> </w:t>
      </w:r>
      <w:r w:rsidR="001B5114" w:rsidRPr="00BB7155">
        <w:t>respondents)</w:t>
      </w:r>
    </w:p>
    <w:p w14:paraId="305E5C98" w14:textId="1C3FC24B" w:rsidR="001B5114" w:rsidRPr="00BB7155" w:rsidRDefault="0322C796" w:rsidP="001B5114">
      <w:r w:rsidRPr="00BB7155">
        <w:t>Similarly</w:t>
      </w:r>
      <w:r w:rsidR="71F43FE2" w:rsidRPr="00BB7155">
        <w:t>,</w:t>
      </w:r>
      <w:r w:rsidRPr="00BB7155">
        <w:t xml:space="preserve"> respondents to the provider survey</w:t>
      </w:r>
      <w:r w:rsidR="38AD538A" w:rsidRPr="00BB7155">
        <w:t xml:space="preserve"> highlighted similar elements that were </w:t>
      </w:r>
      <w:r w:rsidR="79B42765" w:rsidRPr="00BB7155">
        <w:t>most helpful to participants’ recovery. These included:</w:t>
      </w:r>
      <w:r w:rsidR="174A312C" w:rsidRPr="00BB7155">
        <w:rPr>
          <w:rStyle w:val="FootnoteReference"/>
        </w:rPr>
        <w:t xml:space="preserve"> </w:t>
      </w:r>
      <w:r w:rsidR="00031685" w:rsidRPr="00BB7155">
        <w:rPr>
          <w:rStyle w:val="FootnoteReference"/>
        </w:rPr>
        <w:footnoteReference w:id="126"/>
      </w:r>
    </w:p>
    <w:p w14:paraId="330E4334" w14:textId="550D7AC1" w:rsidR="00C954B4" w:rsidRPr="00BB7155" w:rsidRDefault="0053730B" w:rsidP="00B729F5">
      <w:pPr>
        <w:pStyle w:val="Listnumbered"/>
        <w:numPr>
          <w:ilvl w:val="0"/>
          <w:numId w:val="18"/>
        </w:numPr>
      </w:pPr>
      <w:bookmarkStart w:id="139" w:name="_Ref118277897"/>
      <w:r>
        <w:rPr>
          <w:noProof/>
        </w:rPr>
        <mc:AlternateContent>
          <mc:Choice Requires="wps">
            <w:drawing>
              <wp:anchor distT="0" distB="0" distL="114300" distR="114300" simplePos="0" relativeHeight="251658270" behindDoc="0" locked="0" layoutInCell="1" allowOverlap="1" wp14:anchorId="4063DCFA" wp14:editId="663683CE">
                <wp:simplePos x="0" y="0"/>
                <wp:positionH relativeFrom="column">
                  <wp:posOffset>3917703</wp:posOffset>
                </wp:positionH>
                <wp:positionV relativeFrom="paragraph">
                  <wp:posOffset>92042</wp:posOffset>
                </wp:positionV>
                <wp:extent cx="1447800" cy="1076325"/>
                <wp:effectExtent l="0" t="0" r="0" b="9525"/>
                <wp:wrapThrough wrapText="bothSides">
                  <wp:wrapPolygon edited="0">
                    <wp:start x="0" y="0"/>
                    <wp:lineTo x="0" y="21409"/>
                    <wp:lineTo x="21316" y="21409"/>
                    <wp:lineTo x="21316" y="0"/>
                    <wp:lineTo x="0" y="0"/>
                  </wp:wrapPolygon>
                </wp:wrapThrough>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47800" cy="1076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0FB0C" w14:textId="77777777" w:rsidR="00CB0C9C" w:rsidRDefault="0053730B" w:rsidP="0053730B">
                            <w:pPr>
                              <w:pStyle w:val="Callout"/>
                            </w:pPr>
                            <w:r w:rsidRPr="00EF31BA">
                              <w:t>“My coordinator …… talked to me on a level that I couldn't even talk to my family about.”</w:t>
                            </w:r>
                          </w:p>
                          <w:p w14:paraId="4AC60617" w14:textId="111B3A87" w:rsidR="0053730B" w:rsidRPr="00885462" w:rsidRDefault="0053730B" w:rsidP="0053730B"/>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63DCFA" id="Text Box 53" o:spid="_x0000_s1033" type="#_x0000_t202" alt="&quot;&quot;" style="position:absolute;left:0;text-align:left;margin-left:308.5pt;margin-top:7.25pt;width:114pt;height:84.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" fillcolor="white [3201]" stroked="f" strokeweight=".5pt">
                <v:textbox inset="0,,1mm">
                  <w:txbxContent>
                    <w:p w14:paraId="5CA0FB0C" w14:textId="77777777" w:rsidR="00CB0C9C" w:rsidRDefault="0053730B" w:rsidP="0053730B">
                      <w:pPr>
                        <w:pStyle w:val="Callout"/>
                      </w:pPr>
                      <w:r w:rsidRPr="00EF31BA">
                        <w:t>“My coordinator …… talked to me on a level that I couldn't even talk to my family about.”</w:t>
                      </w:r>
                    </w:p>
                    <w:p w14:paraId="4AC60617" w14:textId="111B3A87" w:rsidR="0053730B" w:rsidRPr="00885462" w:rsidRDefault="0053730B" w:rsidP="0053730B"/>
                  </w:txbxContent>
                </v:textbox>
                <w10:wrap type="through"/>
              </v:shape>
            </w:pict>
          </mc:Fallback>
        </mc:AlternateContent>
      </w:r>
      <w:r w:rsidR="00C954B4" w:rsidRPr="00BB7155">
        <w:t xml:space="preserve">Someone to speak to (91 per cent or </w:t>
      </w:r>
      <w:r w:rsidR="00112107" w:rsidRPr="00BB7155">
        <w:t xml:space="preserve">86 </w:t>
      </w:r>
      <w:r w:rsidR="00C954B4" w:rsidRPr="00BB7155">
        <w:t>responses)</w:t>
      </w:r>
      <w:bookmarkEnd w:id="139"/>
    </w:p>
    <w:p w14:paraId="3E4DB9EE" w14:textId="7302FC10" w:rsidR="00C954B4" w:rsidRPr="00BB7155" w:rsidRDefault="11896E6F" w:rsidP="00B729F5">
      <w:pPr>
        <w:pStyle w:val="Listnumbered"/>
        <w:numPr>
          <w:ilvl w:val="0"/>
          <w:numId w:val="18"/>
        </w:numPr>
      </w:pPr>
      <w:r>
        <w:t>Safety planning (</w:t>
      </w:r>
      <w:r w:rsidR="3879FE51">
        <w:t xml:space="preserve">47 per cent or </w:t>
      </w:r>
      <w:r w:rsidR="473C2341">
        <w:t>45</w:t>
      </w:r>
      <w:r w:rsidR="3879FE51">
        <w:t xml:space="preserve"> responses)</w:t>
      </w:r>
      <w:r w:rsidR="0053730B" w:rsidRPr="0053730B">
        <w:rPr>
          <w:noProof/>
        </w:rPr>
        <w:t xml:space="preserve"> </w:t>
      </w:r>
    </w:p>
    <w:p w14:paraId="38AD061F" w14:textId="61D4A82B" w:rsidR="00C954B4" w:rsidRPr="00BB7155" w:rsidRDefault="00C954B4" w:rsidP="00B729F5">
      <w:pPr>
        <w:pStyle w:val="Listnumbered"/>
        <w:numPr>
          <w:ilvl w:val="0"/>
          <w:numId w:val="18"/>
        </w:numPr>
      </w:pPr>
      <w:r w:rsidRPr="00BB7155">
        <w:t>Help accessing support</w:t>
      </w:r>
      <w:r w:rsidR="00A35F7F" w:rsidRPr="00BB7155">
        <w:t xml:space="preserve"> (47 per cent or </w:t>
      </w:r>
      <w:r w:rsidR="004E4C5B" w:rsidRPr="00BB7155">
        <w:t xml:space="preserve">45 </w:t>
      </w:r>
      <w:r w:rsidR="00A35F7F" w:rsidRPr="00BB7155">
        <w:t>responses)</w:t>
      </w:r>
    </w:p>
    <w:p w14:paraId="57DB6277" w14:textId="77777777" w:rsidR="0053730B" w:rsidRDefault="00C954B4" w:rsidP="00B729F5">
      <w:pPr>
        <w:pStyle w:val="Listnumbered"/>
        <w:numPr>
          <w:ilvl w:val="0"/>
          <w:numId w:val="18"/>
        </w:numPr>
      </w:pPr>
      <w:r w:rsidRPr="00BB7155">
        <w:t>Setting goals</w:t>
      </w:r>
      <w:r w:rsidR="00A35F7F" w:rsidRPr="00BB7155">
        <w:t xml:space="preserve"> (27 per cent or </w:t>
      </w:r>
      <w:r w:rsidR="004E4C5B" w:rsidRPr="00BB7155">
        <w:t>25</w:t>
      </w:r>
      <w:r w:rsidR="00A35F7F" w:rsidRPr="00BB7155">
        <w:t xml:space="preserve"> responses)</w:t>
      </w:r>
    </w:p>
    <w:p w14:paraId="7B9DF9D4" w14:textId="2CCD379E" w:rsidR="0053730B" w:rsidRDefault="11896E6F" w:rsidP="00B729F5">
      <w:pPr>
        <w:pStyle w:val="Listnumbered"/>
        <w:numPr>
          <w:ilvl w:val="0"/>
          <w:numId w:val="18"/>
        </w:numPr>
      </w:pPr>
      <w:r>
        <w:t>Recommendations to other services (</w:t>
      </w:r>
      <w:r w:rsidR="3879FE51">
        <w:t xml:space="preserve">23 per cent or </w:t>
      </w:r>
      <w:r w:rsidR="702EAC3E">
        <w:t xml:space="preserve">22 </w:t>
      </w:r>
      <w:r w:rsidR="3879FE51">
        <w:t>responses).</w:t>
      </w:r>
    </w:p>
    <w:p w14:paraId="3E56CCE2" w14:textId="1AA9B553" w:rsidR="00C954B4" w:rsidRDefault="00BD7E81" w:rsidP="0053730B">
      <w:r>
        <w:t xml:space="preserve">Notably, while providers </w:t>
      </w:r>
      <w:r w:rsidR="00622BBC">
        <w:t xml:space="preserve">highlighted safety planning as </w:t>
      </w:r>
      <w:r w:rsidR="00EE2FA9">
        <w:t>most helpful to recovery, partic</w:t>
      </w:r>
      <w:r w:rsidR="00507D48">
        <w:t>ipan</w:t>
      </w:r>
      <w:r w:rsidR="006108A0">
        <w:t>ts did not.</w:t>
      </w:r>
    </w:p>
    <w:p w14:paraId="2CFC377F" w14:textId="61994F0A" w:rsidR="003851D9" w:rsidRDefault="009622A9" w:rsidP="003851D9">
      <w:bookmarkStart w:id="140" w:name="_Hlk110597532"/>
      <w:r w:rsidRPr="009622A9">
        <w:rPr>
          <w:noProof/>
        </w:rPr>
        <w:drawing>
          <wp:anchor distT="0" distB="0" distL="114300" distR="114300" simplePos="0" relativeHeight="251658263" behindDoc="0" locked="0" layoutInCell="1" allowOverlap="1" wp14:anchorId="69AD74A0" wp14:editId="15F6F367">
            <wp:simplePos x="0" y="0"/>
            <wp:positionH relativeFrom="column">
              <wp:posOffset>-638175</wp:posOffset>
            </wp:positionH>
            <wp:positionV relativeFrom="paragraph">
              <wp:posOffset>510540</wp:posOffset>
            </wp:positionV>
            <wp:extent cx="532765" cy="405765"/>
            <wp:effectExtent l="0" t="0" r="635" b="0"/>
            <wp:wrapNone/>
            <wp:docPr id="27810" name="Picture 278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0" name="Picture 27810">
                      <a:extLst>
                        <a:ext uri="{C183D7F6-B498-43B3-948B-1728B52AA6E4}">
                          <adec:decorative xmlns:adec="http://schemas.microsoft.com/office/drawing/2017/decorative" val="1"/>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276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BE6" w:rsidRPr="00D122A4">
        <w:rPr>
          <w:noProof/>
        </w:rPr>
        <w:drawing>
          <wp:anchor distT="0" distB="0" distL="114300" distR="114300" simplePos="0" relativeHeight="251658264" behindDoc="0" locked="0" layoutInCell="1" allowOverlap="1" wp14:anchorId="57BA0022" wp14:editId="3DE4707D">
            <wp:simplePos x="0" y="0"/>
            <wp:positionH relativeFrom="leftMargin">
              <wp:posOffset>358140</wp:posOffset>
            </wp:positionH>
            <wp:positionV relativeFrom="paragraph">
              <wp:posOffset>10795</wp:posOffset>
            </wp:positionV>
            <wp:extent cx="540385" cy="405765"/>
            <wp:effectExtent l="0" t="0" r="0" b="0"/>
            <wp:wrapNone/>
            <wp:docPr id="27809" name="Picture 278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9" name="Picture 27809">
                      <a:extLst>
                        <a:ext uri="{C183D7F6-B498-43B3-948B-1728B52AA6E4}">
                          <adec:decorative xmlns:adec="http://schemas.microsoft.com/office/drawing/2017/decorative" val="1"/>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38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sidR="0822A71C">
        <w:t xml:space="preserve">The supports </w:t>
      </w:r>
      <w:r w:rsidR="0D48FAB9">
        <w:t>helped to</w:t>
      </w:r>
      <w:r w:rsidR="2697ADD2">
        <w:t xml:space="preserve"> facilitate and shape a </w:t>
      </w:r>
      <w:r w:rsidR="14629A63">
        <w:t>participants</w:t>
      </w:r>
      <w:r w:rsidR="2697ADD2">
        <w:t xml:space="preserve">’ reasoning and behaviour in recovery (based on </w:t>
      </w:r>
      <w:r w:rsidR="14629A63">
        <w:t>participant</w:t>
      </w:r>
      <w:r w:rsidR="2697ADD2">
        <w:t xml:space="preserve"> interviews). </w:t>
      </w:r>
      <w:bookmarkEnd w:id="140"/>
      <w:r w:rsidR="00C77EB2">
        <w:t>P</w:t>
      </w:r>
      <w:r w:rsidR="14629A63">
        <w:t>articipant</w:t>
      </w:r>
      <w:r w:rsidR="00C77EB2">
        <w:t>s did not need to be provided with all elements outlined in the secondary mechanisms to support recovery</w:t>
      </w:r>
      <w:r w:rsidR="2697ADD2">
        <w:t>.</w:t>
      </w:r>
      <w:r w:rsidR="708A6A0B">
        <w:t xml:space="preserve"> Outcomes for the </w:t>
      </w:r>
      <w:r w:rsidR="14629A63">
        <w:t>participant</w:t>
      </w:r>
      <w:r w:rsidR="708A6A0B">
        <w:t xml:space="preserve"> depend</w:t>
      </w:r>
      <w:r w:rsidR="5F1CEA0B">
        <w:t>ed</w:t>
      </w:r>
      <w:r w:rsidR="708A6A0B">
        <w:t xml:space="preserve"> on the issues addressed and the support offered through The Way Back.</w:t>
      </w:r>
      <w:r w:rsidR="409903DA">
        <w:t xml:space="preserve"> </w:t>
      </w:r>
      <w:r w:rsidR="0822A71C">
        <w:t xml:space="preserve">For example, some </w:t>
      </w:r>
      <w:r w:rsidR="14629A63">
        <w:t>participants</w:t>
      </w:r>
      <w:r w:rsidR="3D41DB07">
        <w:t xml:space="preserve"> </w:t>
      </w:r>
      <w:r w:rsidR="3E226CAA">
        <w:t xml:space="preserve">needed strong encouragement and </w:t>
      </w:r>
      <w:r w:rsidR="6914A11D">
        <w:t xml:space="preserve">reassurance from their support coordinators and help to </w:t>
      </w:r>
      <w:r w:rsidR="59A078B7">
        <w:t>develop their emotional literacy and self-regulation (secondary context). This in turn resulted</w:t>
      </w:r>
      <w:r w:rsidR="450F5CCD">
        <w:t xml:space="preserve"> in changes in the </w:t>
      </w:r>
      <w:r w:rsidR="14629A63">
        <w:t>participant</w:t>
      </w:r>
      <w:r w:rsidR="450F5CCD">
        <w:t>’s capacity to better manage their own emotional distress</w:t>
      </w:r>
      <w:r w:rsidR="708A6A0B">
        <w:t xml:space="preserve"> (secondary mechanism). </w:t>
      </w:r>
      <w:r w:rsidR="597F0513">
        <w:t xml:space="preserve">The </w:t>
      </w:r>
      <w:r w:rsidR="14629A63">
        <w:t>participant</w:t>
      </w:r>
      <w:r w:rsidR="597F0513">
        <w:t xml:space="preserve">’s ability to better manage their own emotional </w:t>
      </w:r>
      <w:r w:rsidR="5237BD8B">
        <w:t>di</w:t>
      </w:r>
      <w:r w:rsidR="597F0513">
        <w:t xml:space="preserve">stress </w:t>
      </w:r>
      <w:r w:rsidR="708A6A0B">
        <w:t xml:space="preserve">caused </w:t>
      </w:r>
      <w:r w:rsidR="4F2C1983">
        <w:t xml:space="preserve">the </w:t>
      </w:r>
      <w:r w:rsidR="14629A63">
        <w:t>participant</w:t>
      </w:r>
      <w:r w:rsidR="4F2C1983">
        <w:t xml:space="preserve"> to better comprehend the drivers of their suicidality and to experience a better quality of life</w:t>
      </w:r>
      <w:r w:rsidR="597F0513">
        <w:t xml:space="preserve"> (outcome).</w:t>
      </w:r>
      <w:r w:rsidR="634E42BE" w:rsidRPr="009622A9">
        <w:t xml:space="preserve"> </w:t>
      </w:r>
    </w:p>
    <w:p w14:paraId="065D966D" w14:textId="6AED7E88" w:rsidR="00897A8C" w:rsidRDefault="00092259" w:rsidP="003851D9">
      <w:r w:rsidRPr="007F69E4">
        <w:rPr>
          <w:rFonts w:ascii="Segoe UI Semibold" w:hAnsi="Segoe UI Semibold" w:cs="Segoe UI Semibold"/>
          <w:noProof/>
        </w:rPr>
        <mc:AlternateContent>
          <mc:Choice Requires="wps">
            <w:drawing>
              <wp:anchor distT="0" distB="0" distL="114300" distR="114300" simplePos="0" relativeHeight="251658268" behindDoc="0" locked="0" layoutInCell="1" allowOverlap="1" wp14:anchorId="4957477B" wp14:editId="441E2BEF">
                <wp:simplePos x="0" y="0"/>
                <wp:positionH relativeFrom="margin">
                  <wp:posOffset>3526790</wp:posOffset>
                </wp:positionH>
                <wp:positionV relativeFrom="paragraph">
                  <wp:posOffset>18415</wp:posOffset>
                </wp:positionV>
                <wp:extent cx="2151380" cy="1433195"/>
                <wp:effectExtent l="0" t="0" r="1270" b="0"/>
                <wp:wrapSquare wrapText="bothSides"/>
                <wp:docPr id="455" name="Text Box 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51380" cy="1433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FC2248" w14:textId="3F6EEAD4" w:rsidR="00092259" w:rsidRPr="00334D76" w:rsidRDefault="00092259" w:rsidP="00092259">
                            <w:pPr>
                              <w:pStyle w:val="Callout"/>
                              <w:rPr>
                                <w:sz w:val="20"/>
                                <w:szCs w:val="20"/>
                              </w:rPr>
                            </w:pPr>
                            <w:r w:rsidRPr="00334D76">
                              <w:rPr>
                                <w:sz w:val="20"/>
                                <w:szCs w:val="20"/>
                              </w:rPr>
                              <w:t>“</w:t>
                            </w:r>
                            <w:r w:rsidR="006F7926" w:rsidRPr="006F7926">
                              <w:rPr>
                                <w:sz w:val="20"/>
                                <w:szCs w:val="20"/>
                              </w:rPr>
                              <w:t>Being able to vent it out [was important to my recovery]. The Way Back stopped me from letting things to explode, this was closely related to reaching out for help when I need i</w:t>
                            </w:r>
                            <w:r w:rsidR="006F7926">
                              <w:rPr>
                                <w:sz w:val="20"/>
                                <w:szCs w:val="20"/>
                              </w:rPr>
                              <w:t>t</w:t>
                            </w:r>
                            <w:r w:rsidRPr="00334D76">
                              <w:rPr>
                                <w:sz w:val="20"/>
                                <w:szCs w:val="20"/>
                              </w:rPr>
                              <w:t xml:space="preserve">” - The Way Back </w:t>
                            </w:r>
                            <w:r>
                              <w:rPr>
                                <w:sz w:val="20"/>
                                <w:szCs w:val="20"/>
                              </w:rPr>
                              <w:t>participant</w:t>
                            </w: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7477B" id="Text Box 455" o:spid="_x0000_s1034" type="#_x0000_t202" alt="&quot;&quot;" style="position:absolute;margin-left:277.7pt;margin-top:1.45pt;width:169.4pt;height:112.8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" fillcolor="white [3201]" stroked="f" strokeweight=".5pt">
                <v:textbox inset="0,,1mm">
                  <w:txbxContent>
                    <w:p w14:paraId="1EFC2248" w14:textId="3F6EEAD4" w:rsidR="00092259" w:rsidRPr="00334D76" w:rsidRDefault="00092259" w:rsidP="00092259">
                      <w:pPr>
                        <w:pStyle w:val="Callout"/>
                        <w:rPr>
                          <w:sz w:val="20"/>
                          <w:szCs w:val="20"/>
                        </w:rPr>
                      </w:pPr>
                      <w:r w:rsidRPr="00334D76">
                        <w:rPr>
                          <w:sz w:val="20"/>
                          <w:szCs w:val="20"/>
                        </w:rPr>
                        <w:t>“</w:t>
                      </w:r>
                      <w:r w:rsidR="006F7926" w:rsidRPr="006F7926">
                        <w:rPr>
                          <w:sz w:val="20"/>
                          <w:szCs w:val="20"/>
                        </w:rPr>
                        <w:t>Being able to vent it out [was important to my recovery]. The Way Back stopped me from letting things to explode, this was closely related to reaching out for help when I need i</w:t>
                      </w:r>
                      <w:r w:rsidR="006F7926">
                        <w:rPr>
                          <w:sz w:val="20"/>
                          <w:szCs w:val="20"/>
                        </w:rPr>
                        <w:t>t</w:t>
                      </w:r>
                      <w:r w:rsidRPr="00334D76">
                        <w:rPr>
                          <w:sz w:val="20"/>
                          <w:szCs w:val="20"/>
                        </w:rPr>
                        <w:t xml:space="preserve">” - The Way Back </w:t>
                      </w:r>
                      <w:r>
                        <w:rPr>
                          <w:sz w:val="20"/>
                          <w:szCs w:val="20"/>
                        </w:rPr>
                        <w:t>participant</w:t>
                      </w:r>
                    </w:p>
                  </w:txbxContent>
                </v:textbox>
                <w10:wrap type="square" anchorx="margin"/>
              </v:shape>
            </w:pict>
          </mc:Fallback>
        </mc:AlternateContent>
      </w:r>
      <w:r w:rsidR="71F6B074">
        <w:t xml:space="preserve">The following </w:t>
      </w:r>
      <w:r w:rsidR="7BA4971F">
        <w:t xml:space="preserve">vignettes </w:t>
      </w:r>
      <w:r w:rsidR="19FB4DFE">
        <w:t>or</w:t>
      </w:r>
      <w:r w:rsidR="002C79DB" w:rsidDel="19FB4DFE">
        <w:t xml:space="preserve"> </w:t>
      </w:r>
      <w:r w:rsidR="19FB4DFE">
        <w:t>archetypes</w:t>
      </w:r>
      <w:r w:rsidR="7BA4971F">
        <w:t xml:space="preserve"> of The Way Back </w:t>
      </w:r>
      <w:r w:rsidR="53EFE77C">
        <w:t>have been developed</w:t>
      </w:r>
      <w:r w:rsidR="7BA4971F">
        <w:t xml:space="preserve"> </w:t>
      </w:r>
      <w:r w:rsidR="19FB4DFE">
        <w:t>based on interviews across from multiple participants</w:t>
      </w:r>
      <w:r w:rsidR="7BA4971F">
        <w:t xml:space="preserve">. Their stories represent how the mechanisms of change can be understood in practice. For both </w:t>
      </w:r>
      <w:r w:rsidR="2D4718CC">
        <w:t>archetypes</w:t>
      </w:r>
      <w:r w:rsidR="7BA4971F">
        <w:t xml:space="preserve">, the relationship with their support coordinator was </w:t>
      </w:r>
      <w:r w:rsidR="7DBBA99E">
        <w:t>a</w:t>
      </w:r>
      <w:r w:rsidR="7BA4971F">
        <w:t xml:space="preserve"> prerequisite to their remaining engagement of The Way Back. </w:t>
      </w:r>
      <w:r w:rsidR="00BD19E3">
        <w:t xml:space="preserve">The differences in how each participant engaged in The Way Back </w:t>
      </w:r>
      <w:r w:rsidR="7BA4971F">
        <w:t xml:space="preserve">highlights </w:t>
      </w:r>
      <w:r w:rsidR="00BD19E3">
        <w:t xml:space="preserve">the flexibility of The Way Back to meet the participants’ needs. </w:t>
      </w:r>
      <w:r w:rsidR="7BA4971F">
        <w:t>Note that participant</w:t>
      </w:r>
      <w:r w:rsidR="00BD19E3">
        <w:t xml:space="preserve">s </w:t>
      </w:r>
      <w:r w:rsidR="7BA4971F">
        <w:t xml:space="preserve">have been de-identified. </w:t>
      </w:r>
    </w:p>
    <w:tbl>
      <w:tblPr>
        <w:tblStyle w:val="NousLongformcallout"/>
        <w:tblW w:w="4950" w:type="pct"/>
        <w:shd w:val="clear" w:color="auto" w:fill="F2F2F2" w:themeFill="background1" w:themeFillShade="F2"/>
        <w:tblCellMar>
          <w:top w:w="85" w:type="dxa"/>
          <w:left w:w="85" w:type="dxa"/>
          <w:bottom w:w="0" w:type="dxa"/>
          <w:right w:w="85" w:type="dxa"/>
        </w:tblCellMar>
        <w:tblLook w:val="04A0" w:firstRow="1" w:lastRow="0" w:firstColumn="1" w:lastColumn="0" w:noHBand="0" w:noVBand="1"/>
        <w:tblDescription w:val="THis table is overview of the participant Helena and how she engagement with the way back support and how it helped her. "/>
      </w:tblPr>
      <w:tblGrid>
        <w:gridCol w:w="8821"/>
      </w:tblGrid>
      <w:tr w:rsidR="00F77C16" w14:paraId="04B0DD80" w14:textId="77777777" w:rsidTr="00C16408">
        <w:trPr>
          <w:trHeight w:val="1247"/>
          <w:tblHeader/>
        </w:trPr>
        <w:tc>
          <w:tcPr>
            <w:tcW w:w="8821" w:type="dxa"/>
            <w:tcBorders>
              <w:top w:val="nil"/>
              <w:left w:val="single" w:sz="8" w:space="0" w:color="FFFFFF" w:themeColor="background1"/>
              <w:bottom w:val="nil"/>
              <w:right w:val="single" w:sz="8" w:space="0" w:color="FFFFFF" w:themeColor="background1"/>
            </w:tcBorders>
            <w:vAlign w:val="bottom"/>
          </w:tcPr>
          <w:p w14:paraId="15E41B06" w14:textId="77777777" w:rsidR="00F77C16" w:rsidRDefault="00F77C16" w:rsidP="00360756">
            <w:pPr>
              <w:pStyle w:val="Longformcallout"/>
              <w:spacing w:after="0"/>
              <w:rPr>
                <w:noProof/>
              </w:rPr>
            </w:pPr>
            <w:r>
              <w:rPr>
                <w:noProof/>
              </w:rPr>
              <w:lastRenderedPageBreak/>
              <w:drawing>
                <wp:inline distT="0" distB="0" distL="0" distR="0" wp14:anchorId="7144F40D" wp14:editId="7369290D">
                  <wp:extent cx="767395" cy="889852"/>
                  <wp:effectExtent l="0" t="0" r="0" b="5715"/>
                  <wp:docPr id="27850" name="Graphic 278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0" name="Graphic 27850">
                            <a:extLst>
                              <a:ext uri="{C183D7F6-B498-43B3-948B-1728B52AA6E4}">
                                <adec:decorative xmlns:adec="http://schemas.microsoft.com/office/drawing/2017/decorative" val="1"/>
                              </a:ext>
                            </a:extLst>
                          </pic:cNvPr>
                          <pic:cNvPicPr/>
                        </pic:nvPicPr>
                        <pic:blipFill>
                          <a:blip r:embed="rId95">
                            <a:extLst>
                              <a:ext uri="{96DAC541-7B7A-43D3-8B79-37D633B846F1}">
                                <asvg:svgBlip xmlns:asvg="http://schemas.microsoft.com/office/drawing/2016/SVG/main" r:embed="rId96"/>
                              </a:ext>
                            </a:extLst>
                          </a:blip>
                          <a:stretch>
                            <a:fillRect/>
                          </a:stretch>
                        </pic:blipFill>
                        <pic:spPr>
                          <a:xfrm>
                            <a:off x="0" y="0"/>
                            <a:ext cx="768981" cy="891691"/>
                          </a:xfrm>
                          <a:prstGeom prst="rect">
                            <a:avLst/>
                          </a:prstGeom>
                        </pic:spPr>
                      </pic:pic>
                    </a:graphicData>
                  </a:graphic>
                </wp:inline>
              </w:drawing>
            </w:r>
          </w:p>
          <w:p w14:paraId="149DA458" w14:textId="2B667D5D" w:rsidR="00F77C16" w:rsidRPr="003C6AF6" w:rsidRDefault="00F77C16" w:rsidP="00360756">
            <w:pPr>
              <w:pStyle w:val="Longformcallout"/>
              <w:rPr>
                <w:rFonts w:asciiTheme="majorHAnsi" w:hAnsiTheme="majorHAnsi" w:cstheme="majorHAnsi"/>
                <w:bCs/>
              </w:rPr>
            </w:pPr>
            <w:r w:rsidRPr="003C6AF6">
              <w:rPr>
                <w:rFonts w:asciiTheme="majorHAnsi" w:hAnsiTheme="majorHAnsi" w:cstheme="majorHAnsi"/>
                <w:bCs/>
              </w:rPr>
              <w:t>HELENA, 24 YEARS OLD</w:t>
            </w:r>
          </w:p>
          <w:p w14:paraId="59E6C217" w14:textId="7EB6798A" w:rsidR="00F77C16" w:rsidRPr="00536D0E" w:rsidRDefault="00F77C16" w:rsidP="00A104ED">
            <w:pPr>
              <w:pStyle w:val="Longformcallout"/>
            </w:pPr>
            <w:r>
              <w:t>Helena can’t believe how well she feels compared to her engagement with services following her first suicide attempt. Helena was referred to The Way Back the second time she attempted suicide. The first time she attempted, she was supported through a state-based crisis team but said she ‘dropped off their radar’ after a few weeks.</w:t>
            </w:r>
          </w:p>
        </w:tc>
      </w:tr>
      <w:tr w:rsidR="00F77C16" w:rsidRPr="00897A8C" w14:paraId="582409B2" w14:textId="77777777" w:rsidTr="001C0644">
        <w:tc>
          <w:tcPr>
            <w:tcW w:w="8821"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323F9C7E" w14:textId="77777777" w:rsidR="00F77C16" w:rsidRPr="00897A8C" w:rsidRDefault="00F77C16" w:rsidP="003C6AF6">
            <w:r>
              <w:t xml:space="preserve">Helena really liked that The Way Back support coordinator reached out to her proactively while she was still at the in-patient unit in the local hospital. Helena appreciated that her support coordinator was flexible with where, </w:t>
            </w:r>
            <w:proofErr w:type="gramStart"/>
            <w:r>
              <w:t>when</w:t>
            </w:r>
            <w:proofErr w:type="gramEnd"/>
            <w:r>
              <w:t xml:space="preserve"> and how often they met. This helped make it as easy as possible for Helena, who was busy juggling full time work and looking after her two young children. She also liked that her support coordinator responded to her specific needs to make her feel relaxed in talking about what was going on– they often had their sessions over a cup of coffee in a park nearby where she works.</w:t>
            </w:r>
          </w:p>
          <w:p w14:paraId="76D4ADFF" w14:textId="196E29A0" w:rsidR="00F77C16" w:rsidRPr="00897A8C" w:rsidRDefault="00F77C16" w:rsidP="003C6AF6">
            <w:r>
              <w:t>Her support coordinator</w:t>
            </w:r>
            <w:r w:rsidRPr="00897A8C">
              <w:t xml:space="preserve"> connected Helena </w:t>
            </w:r>
            <w:r>
              <w:t>to</w:t>
            </w:r>
            <w:r w:rsidRPr="00897A8C">
              <w:t xml:space="preserve"> a psychologist who worked with her to work </w:t>
            </w:r>
            <w:r>
              <w:t>through her mental health issues,</w:t>
            </w:r>
            <w:r w:rsidRPr="00897A8C">
              <w:t xml:space="preserve"> and a local support group for young mothers. While she misses her </w:t>
            </w:r>
            <w:r>
              <w:t>support coordinator</w:t>
            </w:r>
            <w:r w:rsidRPr="00897A8C">
              <w:t xml:space="preserve"> occasionally, Helena doesn’t feel like she needs </w:t>
            </w:r>
            <w:r>
              <w:t>them</w:t>
            </w:r>
            <w:r w:rsidRPr="00897A8C">
              <w:t xml:space="preserve"> anymore and says she has made lifelong friendships with other young mums who have gone through similar experiences themselves.</w:t>
            </w:r>
          </w:p>
        </w:tc>
      </w:tr>
    </w:tbl>
    <w:p w14:paraId="0B059859" w14:textId="77777777" w:rsidR="003851D9" w:rsidRPr="0059271C" w:rsidRDefault="003851D9" w:rsidP="003851D9">
      <w:pPr>
        <w:rPr>
          <w:lang w:eastAsia="en-AU"/>
        </w:rPr>
      </w:pPr>
    </w:p>
    <w:tbl>
      <w:tblPr>
        <w:tblStyle w:val="NousLongformcallout"/>
        <w:tblW w:w="4950" w:type="pct"/>
        <w:shd w:val="clear" w:color="auto" w:fill="F2F2F2" w:themeFill="background1" w:themeFillShade="F2"/>
        <w:tblCellMar>
          <w:top w:w="85" w:type="dxa"/>
          <w:left w:w="85" w:type="dxa"/>
          <w:bottom w:w="0" w:type="dxa"/>
          <w:right w:w="85" w:type="dxa"/>
        </w:tblCellMar>
        <w:tblLook w:val="04A0" w:firstRow="1" w:lastRow="0" w:firstColumn="1" w:lastColumn="0" w:noHBand="0" w:noVBand="1"/>
      </w:tblPr>
      <w:tblGrid>
        <w:gridCol w:w="8821"/>
      </w:tblGrid>
      <w:tr w:rsidR="00F77C16" w:rsidRPr="00897A8C" w14:paraId="2A8B9C76" w14:textId="77777777" w:rsidTr="00C16408">
        <w:trPr>
          <w:trHeight w:val="1247"/>
          <w:tblHeader/>
        </w:trPr>
        <w:tc>
          <w:tcPr>
            <w:tcW w:w="8821" w:type="dxa"/>
            <w:tcBorders>
              <w:top w:val="nil"/>
              <w:left w:val="single" w:sz="8" w:space="0" w:color="FFFFFF" w:themeColor="background1"/>
              <w:bottom w:val="nil"/>
              <w:right w:val="single" w:sz="8" w:space="0" w:color="FFFFFF" w:themeColor="background1"/>
            </w:tcBorders>
            <w:vAlign w:val="bottom"/>
          </w:tcPr>
          <w:p w14:paraId="2A56125B" w14:textId="77777777" w:rsidR="00F77C16" w:rsidRPr="00897A8C" w:rsidRDefault="00F77C16" w:rsidP="00183AF0">
            <w:pPr>
              <w:pStyle w:val="Longformcallout"/>
              <w:spacing w:after="0"/>
            </w:pPr>
            <w:r>
              <w:rPr>
                <w:noProof/>
              </w:rPr>
              <w:drawing>
                <wp:inline distT="0" distB="0" distL="0" distR="0" wp14:anchorId="7BF2C8BE" wp14:editId="36970D76">
                  <wp:extent cx="767080" cy="960095"/>
                  <wp:effectExtent l="0" t="0" r="0" b="0"/>
                  <wp:docPr id="501" name="Graphic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Graphic 501">
                            <a:extLst>
                              <a:ext uri="{C183D7F6-B498-43B3-948B-1728B52AA6E4}">
                                <adec:decorative xmlns:adec="http://schemas.microsoft.com/office/drawing/2017/decorative" val="1"/>
                              </a:ext>
                            </a:extLst>
                          </pic:cNvPr>
                          <pic:cNvPicPr/>
                        </pic:nvPicPr>
                        <pic:blipFill>
                          <a:blip r:embed="rId97">
                            <a:extLst>
                              <a:ext uri="{96DAC541-7B7A-43D3-8B79-37D633B846F1}">
                                <asvg:svgBlip xmlns:asvg="http://schemas.microsoft.com/office/drawing/2016/SVG/main" r:embed="rId98"/>
                              </a:ext>
                            </a:extLst>
                          </a:blip>
                          <a:stretch>
                            <a:fillRect/>
                          </a:stretch>
                        </pic:blipFill>
                        <pic:spPr>
                          <a:xfrm>
                            <a:off x="0" y="0"/>
                            <a:ext cx="767080" cy="960095"/>
                          </a:xfrm>
                          <a:prstGeom prst="rect">
                            <a:avLst/>
                          </a:prstGeom>
                        </pic:spPr>
                      </pic:pic>
                    </a:graphicData>
                  </a:graphic>
                </wp:inline>
              </w:drawing>
            </w:r>
          </w:p>
          <w:p w14:paraId="24D8C1B2" w14:textId="4D699CCB" w:rsidR="00F77C16" w:rsidRPr="00897A8C" w:rsidRDefault="00F77C16" w:rsidP="00183AF0">
            <w:pPr>
              <w:pStyle w:val="Longformcallout"/>
            </w:pPr>
            <w:r w:rsidRPr="003C6AF6">
              <w:rPr>
                <w:rFonts w:asciiTheme="majorHAnsi" w:hAnsiTheme="majorHAnsi" w:cstheme="majorHAnsi"/>
                <w:bCs/>
              </w:rPr>
              <w:t>ANDREW, 46 YEARS OLD</w:t>
            </w:r>
            <w:r w:rsidR="00461006">
              <w:rPr>
                <w:rFonts w:asciiTheme="majorHAnsi" w:hAnsiTheme="majorHAnsi" w:cstheme="majorHAnsi"/>
                <w:bCs/>
              </w:rPr>
              <w:t xml:space="preserve"> </w:t>
            </w:r>
            <w:r w:rsidRPr="0055668E">
              <w:t>Andrew was so glad he could finally talk to someone who could provide a third-person, non-judgemental perspective on some of the issues he could not always talk about with his friends or family</w:t>
            </w:r>
            <w:r w:rsidRPr="00897A8C">
              <w:t>.</w:t>
            </w:r>
          </w:p>
        </w:tc>
      </w:tr>
      <w:tr w:rsidR="0055668E" w:rsidRPr="00897A8C" w14:paraId="5BF1C20F" w14:textId="77777777" w:rsidTr="74B83E5E">
        <w:tc>
          <w:tcPr>
            <w:tcW w:w="8821"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42AF92D5" w14:textId="42146A26" w:rsidR="0055668E" w:rsidRDefault="0055668E" w:rsidP="003C6AF6">
            <w:r>
              <w:t xml:space="preserve">Andrew was referred to The Way Back by </w:t>
            </w:r>
            <w:r w:rsidR="00EA49A9">
              <w:t>a</w:t>
            </w:r>
            <w:r>
              <w:t xml:space="preserve"> psychiatrist from hospital. Due to COVID-19, Andrew could only talk to his support coordinator over the phone. While this was not ideal for Andrew, he still found it comforting to have </w:t>
            </w:r>
            <w:r w:rsidR="009A7B7B">
              <w:t xml:space="preserve">a support coordinator </w:t>
            </w:r>
            <w:r>
              <w:t xml:space="preserve">as someone who could </w:t>
            </w:r>
            <w:r w:rsidR="009A7B7B">
              <w:t>help him</w:t>
            </w:r>
            <w:r>
              <w:t xml:space="preserve"> in the three months after his suicidal crisis. </w:t>
            </w:r>
          </w:p>
          <w:p w14:paraId="64A0C51A" w14:textId="1BB66185" w:rsidR="0055668E" w:rsidRDefault="201CCD24" w:rsidP="003C6AF6">
            <w:r>
              <w:t xml:space="preserve">Andrew </w:t>
            </w:r>
            <w:r w:rsidR="009E1F5F">
              <w:t xml:space="preserve">migrated to Australia 5 years ago </w:t>
            </w:r>
            <w:r w:rsidR="04AFA1FB">
              <w:t xml:space="preserve">He </w:t>
            </w:r>
            <w:r>
              <w:t xml:space="preserve">was struggling to </w:t>
            </w:r>
            <w:r w:rsidR="7EA99E8F">
              <w:t>talk about his mental health with friends and family, as there is often a negative stigma</w:t>
            </w:r>
            <w:r w:rsidR="6BE42375">
              <w:t xml:space="preserve"> within </w:t>
            </w:r>
            <w:r w:rsidR="00B019A9">
              <w:t xml:space="preserve">his </w:t>
            </w:r>
            <w:r w:rsidR="6BE42375">
              <w:t>cultural group</w:t>
            </w:r>
            <w:r>
              <w:t xml:space="preserve">. </w:t>
            </w:r>
            <w:r w:rsidR="2D9B5B80">
              <w:t xml:space="preserve">He really appreciated how </w:t>
            </w:r>
            <w:r w:rsidR="6A58DA87">
              <w:t>his support coordinator</w:t>
            </w:r>
            <w:r w:rsidR="2D9B5B80">
              <w:t xml:space="preserve"> </w:t>
            </w:r>
            <w:r>
              <w:t>connected him with several support</w:t>
            </w:r>
            <w:r w:rsidR="609D5130">
              <w:t>s</w:t>
            </w:r>
            <w:r>
              <w:t xml:space="preserve">, including a 24/7 helpline. He used this number to reach out for help when he needed it. Andrew found the most valuable aspect of The Way Back was how </w:t>
            </w:r>
            <w:r w:rsidR="2046CE5F">
              <w:t>his support coordinator</w:t>
            </w:r>
            <w:r>
              <w:t xml:space="preserve"> was able to act as a sounding board to the issues he was experiencing </w:t>
            </w:r>
            <w:r w:rsidR="2D9B5B80">
              <w:t xml:space="preserve">and helped him to become more comfortable to reach out to his family and friends about </w:t>
            </w:r>
            <w:r w:rsidR="6CE98655">
              <w:t xml:space="preserve">his mental health. </w:t>
            </w:r>
          </w:p>
          <w:p w14:paraId="5992486F" w14:textId="4AB8F394" w:rsidR="0055668E" w:rsidRPr="00897A8C" w:rsidRDefault="0055668E" w:rsidP="003C6AF6">
            <w:r>
              <w:t xml:space="preserve">Andrew now feels he has the skills to better </w:t>
            </w:r>
            <w:r w:rsidR="00A30990">
              <w:t xml:space="preserve">regulate </w:t>
            </w:r>
            <w:r>
              <w:t>his emotions and confidence to reach out for help when he needs it</w:t>
            </w:r>
            <w:r w:rsidRPr="00897A8C">
              <w:t>.</w:t>
            </w:r>
          </w:p>
        </w:tc>
      </w:tr>
    </w:tbl>
    <w:p w14:paraId="5634C212" w14:textId="1E57F29D" w:rsidR="00897A8C" w:rsidRDefault="00897A8C" w:rsidP="003851D9">
      <w:pPr>
        <w:pStyle w:val="Bullet"/>
        <w:numPr>
          <w:ilvl w:val="0"/>
          <w:numId w:val="0"/>
        </w:numPr>
        <w:ind w:left="340" w:hanging="340"/>
      </w:pPr>
      <w:r>
        <w:br w:type="page"/>
      </w:r>
    </w:p>
    <w:p w14:paraId="78A5F281" w14:textId="2922988E" w:rsidR="00E308F9" w:rsidRPr="00AE2727" w:rsidRDefault="00E308F9" w:rsidP="00E308F9">
      <w:pPr>
        <w:pStyle w:val="Heading3"/>
      </w:pPr>
      <w:bookmarkStart w:id="141" w:name="_Ref121311744"/>
      <w:r>
        <w:lastRenderedPageBreak/>
        <w:t>Cohort</w:t>
      </w:r>
      <w:r w:rsidR="003478F1">
        <w:t>-</w:t>
      </w:r>
      <w:r>
        <w:t xml:space="preserve">specific </w:t>
      </w:r>
      <w:r w:rsidR="003478F1">
        <w:t>mechanisms of change</w:t>
      </w:r>
      <w:bookmarkEnd w:id="141"/>
    </w:p>
    <w:p w14:paraId="7BB72E37" w14:textId="30795FF8" w:rsidR="00A65922" w:rsidRDefault="00A65922" w:rsidP="00615768">
      <w:pPr>
        <w:pStyle w:val="Heading4"/>
      </w:pPr>
      <w:bookmarkStart w:id="142" w:name="_Hlk110597565"/>
      <w:r w:rsidRPr="00A65922">
        <w:t xml:space="preserve">The </w:t>
      </w:r>
      <w:r w:rsidR="00A95250">
        <w:t xml:space="preserve">foundational context </w:t>
      </w:r>
      <w:r w:rsidRPr="00A65922">
        <w:t>differ</w:t>
      </w:r>
      <w:r w:rsidR="00CC39CF">
        <w:t>ed</w:t>
      </w:r>
      <w:r w:rsidRPr="00A65922">
        <w:t xml:space="preserve"> across some </w:t>
      </w:r>
      <w:r w:rsidR="002F6D7A">
        <w:t>participant</w:t>
      </w:r>
      <w:r w:rsidRPr="00A65922">
        <w:t xml:space="preserve"> cohorts</w:t>
      </w:r>
      <w:r w:rsidR="00A95250">
        <w:t xml:space="preserve"> which influenced the type and importance of mechanisms that existed for some participants</w:t>
      </w:r>
      <w:r w:rsidRPr="00A65922">
        <w:t>.</w:t>
      </w:r>
    </w:p>
    <w:bookmarkEnd w:id="142"/>
    <w:p w14:paraId="246D21AA" w14:textId="4C6D16E8" w:rsidR="00CD18DF" w:rsidRDefault="5001A25F" w:rsidP="00A65922">
      <w:r>
        <w:t xml:space="preserve">The Way Back identified priority cohorts </w:t>
      </w:r>
      <w:r w:rsidR="00A95250">
        <w:t>(</w:t>
      </w:r>
      <w:proofErr w:type="gramStart"/>
      <w:r w:rsidR="00A95250">
        <w:t>i.e.</w:t>
      </w:r>
      <w:proofErr w:type="gramEnd"/>
      <w:r w:rsidR="00A95250">
        <w:t xml:space="preserve"> Aboriginal and Torres Strait Islander people, and LGBTQIA+). The Way Back, and the evaluation also identified cohorts of interest </w:t>
      </w:r>
      <w:r>
        <w:t xml:space="preserve">that were </w:t>
      </w:r>
      <w:r w:rsidR="0928B91F">
        <w:t xml:space="preserve">at higher risk of </w:t>
      </w:r>
      <w:r w:rsidR="4DCD45D2">
        <w:t xml:space="preserve">suicide than </w:t>
      </w:r>
      <w:r w:rsidR="517E5A76">
        <w:t xml:space="preserve">average suicide rates across Australia </w:t>
      </w:r>
      <w:r w:rsidR="00390318">
        <w:t xml:space="preserve">or </w:t>
      </w:r>
      <w:r w:rsidR="004672D8">
        <w:t xml:space="preserve">happened to be identified in the data available to the evaluation </w:t>
      </w:r>
      <w:r w:rsidR="36946EA3">
        <w:t xml:space="preserve">(see section </w:t>
      </w:r>
      <w:r w:rsidR="007B053F">
        <w:fldChar w:fldCharType="begin"/>
      </w:r>
      <w:r w:rsidR="007B053F">
        <w:instrText xml:space="preserve"> REF _Ref121313044 \n \h </w:instrText>
      </w:r>
      <w:r w:rsidR="007B053F">
        <w:fldChar w:fldCharType="separate"/>
      </w:r>
      <w:r w:rsidR="00402362">
        <w:t>5.3</w:t>
      </w:r>
      <w:r w:rsidR="007B053F">
        <w:fldChar w:fldCharType="end"/>
      </w:r>
      <w:r w:rsidR="007B053F">
        <w:t xml:space="preserve"> </w:t>
      </w:r>
      <w:r w:rsidR="36946EA3">
        <w:t>for more detail on these cohorts)</w:t>
      </w:r>
      <w:r w:rsidR="316BACC9">
        <w:t xml:space="preserve">. </w:t>
      </w:r>
      <w:r w:rsidR="30B636D7">
        <w:t xml:space="preserve">It is important to understand </w:t>
      </w:r>
      <w:r w:rsidR="08E433E5">
        <w:t xml:space="preserve">whether </w:t>
      </w:r>
      <w:r w:rsidR="2647F0A3">
        <w:t xml:space="preserve">the supports they need to recover </w:t>
      </w:r>
      <w:r w:rsidR="520A500C">
        <w:t xml:space="preserve">from a suicide attempt or crisis differ from </w:t>
      </w:r>
      <w:r w:rsidR="4A874190">
        <w:t xml:space="preserve">the </w:t>
      </w:r>
      <w:r w:rsidR="6330D5D4">
        <w:t>‘</w:t>
      </w:r>
      <w:r w:rsidR="00A95250">
        <w:t>‘average’ person</w:t>
      </w:r>
      <w:r w:rsidR="517E5A76">
        <w:t xml:space="preserve"> who access </w:t>
      </w:r>
      <w:r w:rsidR="4A874190">
        <w:t>aftercare services.</w:t>
      </w:r>
      <w:r w:rsidR="721FBFA3">
        <w:t xml:space="preserve"> This has implications</w:t>
      </w:r>
      <w:r w:rsidR="59EA5754">
        <w:t xml:space="preserve"> for how The Way Back can be adapted in sites where the local area has a high proportion of </w:t>
      </w:r>
      <w:r w:rsidR="14629A63">
        <w:t>participants</w:t>
      </w:r>
      <w:r w:rsidR="59EA5754">
        <w:t xml:space="preserve"> </w:t>
      </w:r>
      <w:r w:rsidR="41775453">
        <w:t xml:space="preserve">from </w:t>
      </w:r>
      <w:r w:rsidR="3378C338">
        <w:t xml:space="preserve">specific </w:t>
      </w:r>
      <w:r w:rsidR="41775453">
        <w:t>cohorts</w:t>
      </w:r>
      <w:r w:rsidR="4CCC0EBE">
        <w:t xml:space="preserve"> that experience a higher prevalence of suicidality</w:t>
      </w:r>
      <w:r w:rsidR="506A579B">
        <w:t>.</w:t>
      </w:r>
      <w:r w:rsidR="7AD9AC62">
        <w:t xml:space="preserve"> </w:t>
      </w:r>
    </w:p>
    <w:p w14:paraId="690BF427" w14:textId="3799894A" w:rsidR="00450F84" w:rsidRDefault="00C76E9E" w:rsidP="00E308F9">
      <w:r>
        <w:rPr>
          <w:highlight w:val="yellow"/>
        </w:rPr>
        <w:fldChar w:fldCharType="begin"/>
      </w:r>
      <w:r>
        <w:instrText xml:space="preserve"> REF _Ref117487405 \h </w:instrText>
      </w:r>
      <w:r>
        <w:rPr>
          <w:highlight w:val="yellow"/>
        </w:rPr>
      </w:r>
      <w:r>
        <w:rPr>
          <w:highlight w:val="yellow"/>
        </w:rPr>
        <w:fldChar w:fldCharType="separate"/>
      </w:r>
      <w:r w:rsidR="00402362">
        <w:t xml:space="preserve">Figure </w:t>
      </w:r>
      <w:r w:rsidR="00402362">
        <w:rPr>
          <w:noProof/>
        </w:rPr>
        <w:t>22</w:t>
      </w:r>
      <w:r>
        <w:rPr>
          <w:highlight w:val="yellow"/>
        </w:rPr>
        <w:fldChar w:fldCharType="end"/>
      </w:r>
      <w:r w:rsidR="00474097">
        <w:t xml:space="preserve"> </w:t>
      </w:r>
      <w:r w:rsidR="48590C6E">
        <w:t>summarises the</w:t>
      </w:r>
      <w:r w:rsidR="271AF5F6">
        <w:t>se cohorts</w:t>
      </w:r>
      <w:r w:rsidR="5679CFA1">
        <w:t>’</w:t>
      </w:r>
      <w:r w:rsidR="271AF5F6">
        <w:t xml:space="preserve"> context</w:t>
      </w:r>
      <w:r w:rsidR="3378C338">
        <w:t>s</w:t>
      </w:r>
      <w:r w:rsidR="271AF5F6">
        <w:t xml:space="preserve"> and </w:t>
      </w:r>
      <w:r w:rsidR="48590C6E">
        <w:t xml:space="preserve">additional or alternative mechanisms of change that </w:t>
      </w:r>
      <w:r w:rsidR="4A874190">
        <w:t xml:space="preserve">helped to </w:t>
      </w:r>
      <w:r w:rsidR="79243ABD">
        <w:t xml:space="preserve">enact </w:t>
      </w:r>
      <w:r w:rsidR="4A874190">
        <w:t xml:space="preserve">changes in </w:t>
      </w:r>
      <w:r w:rsidR="79243ABD">
        <w:t xml:space="preserve">behaviour and </w:t>
      </w:r>
      <w:r w:rsidR="4A874190">
        <w:t xml:space="preserve">thinking </w:t>
      </w:r>
      <w:r w:rsidR="79243ABD">
        <w:t>that enable recover</w:t>
      </w:r>
      <w:r w:rsidR="3A9ECA27">
        <w:t>y</w:t>
      </w:r>
      <w:r w:rsidR="001C2FBB">
        <w:t xml:space="preserve"> based off interviews with participants, and The Way Back providers</w:t>
      </w:r>
      <w:r w:rsidR="48590C6E">
        <w:t xml:space="preserve">. </w:t>
      </w:r>
      <w:r w:rsidR="1BACFBF5">
        <w:t xml:space="preserve">It </w:t>
      </w:r>
      <w:r w:rsidR="12FF29BF">
        <w:t xml:space="preserve">highlights </w:t>
      </w:r>
      <w:r w:rsidR="1BACFBF5">
        <w:t>that</w:t>
      </w:r>
      <w:r w:rsidR="1D0FADC6">
        <w:t>:</w:t>
      </w:r>
      <w:r w:rsidR="156EBD5D">
        <w:t xml:space="preserve"> </w:t>
      </w:r>
    </w:p>
    <w:p w14:paraId="44EF23BE" w14:textId="48EAEC8A" w:rsidR="00450F84" w:rsidRDefault="6AB444CB" w:rsidP="00FB1747">
      <w:pPr>
        <w:pStyle w:val="Bullet"/>
      </w:pPr>
      <w:r>
        <w:t>Some cohorts</w:t>
      </w:r>
      <w:r w:rsidR="57700AB5">
        <w:t xml:space="preserve"> placed greater </w:t>
      </w:r>
      <w:r w:rsidR="2DDD967F">
        <w:t>value on certain elements</w:t>
      </w:r>
      <w:r w:rsidR="68CF2A9F">
        <w:t xml:space="preserve"> of the</w:t>
      </w:r>
      <w:r w:rsidR="031964BA">
        <w:t xml:space="preserve"> mechanisms of change. </w:t>
      </w:r>
      <w:r w:rsidR="0F493393">
        <w:t xml:space="preserve">For example, </w:t>
      </w:r>
      <w:r w:rsidR="00063493">
        <w:t xml:space="preserve">in interviews, </w:t>
      </w:r>
      <w:r w:rsidR="3860B196">
        <w:t>participants</w:t>
      </w:r>
      <w:r w:rsidR="004B219E">
        <w:t xml:space="preserve"> </w:t>
      </w:r>
      <w:r w:rsidR="06BE5D13">
        <w:t xml:space="preserve">who were </w:t>
      </w:r>
      <w:r w:rsidR="00E065F6">
        <w:t>experiencing bipolar</w:t>
      </w:r>
      <w:r w:rsidR="0F493393">
        <w:t xml:space="preserve"> disorder highly valued</w:t>
      </w:r>
      <w:r w:rsidR="3DD04774">
        <w:t xml:space="preserve"> having a support coordinator </w:t>
      </w:r>
      <w:r w:rsidR="0F493393">
        <w:t xml:space="preserve">who also had </w:t>
      </w:r>
      <w:r w:rsidR="5518D03F">
        <w:t>lived experience</w:t>
      </w:r>
      <w:r w:rsidR="0F493393">
        <w:t>.</w:t>
      </w:r>
    </w:p>
    <w:p w14:paraId="477CE8F3" w14:textId="4DE9773E" w:rsidR="003908C2" w:rsidRDefault="1981DEA7" w:rsidP="00FB1747">
      <w:pPr>
        <w:pStyle w:val="Bullet"/>
      </w:pPr>
      <w:r>
        <w:t xml:space="preserve">Other cohorts valued </w:t>
      </w:r>
      <w:r w:rsidR="50C87A33">
        <w:t xml:space="preserve">the availability of alternative approaches to </w:t>
      </w:r>
      <w:r w:rsidR="67908F94">
        <w:t xml:space="preserve">receiving </w:t>
      </w:r>
      <w:r w:rsidR="50C87A33">
        <w:t>support</w:t>
      </w:r>
      <w:r w:rsidR="7D5055CF">
        <w:t>. For example</w:t>
      </w:r>
      <w:r w:rsidR="71703AA7">
        <w:t xml:space="preserve">, young people </w:t>
      </w:r>
      <w:r w:rsidR="3D304265">
        <w:t xml:space="preserve">felt more comfortable to engage with </w:t>
      </w:r>
      <w:r w:rsidR="71703AA7">
        <w:t>their support coordinator via text message.</w:t>
      </w:r>
    </w:p>
    <w:p w14:paraId="3A411F44" w14:textId="18005180" w:rsidR="009E367B" w:rsidRDefault="04E0D505" w:rsidP="009E367B">
      <w:bookmarkStart w:id="143" w:name="_Ref118199804"/>
      <w:r>
        <w:t>It is important to note that t</w:t>
      </w:r>
      <w:r w:rsidR="3F1806AB">
        <w:t xml:space="preserve">here was limited </w:t>
      </w:r>
      <w:r w:rsidR="00B516DF">
        <w:t>primary</w:t>
      </w:r>
      <w:r w:rsidR="009E1F5F">
        <w:t xml:space="preserve"> </w:t>
      </w:r>
      <w:r w:rsidR="3F1806AB">
        <w:t xml:space="preserve">data </w:t>
      </w:r>
      <w:r w:rsidR="00B516DF">
        <w:t xml:space="preserve">(through participation in interviews, and responses to the participant survey) </w:t>
      </w:r>
      <w:r w:rsidR="3F1806AB">
        <w:t>available to the evaluation to understand whether</w:t>
      </w:r>
      <w:r>
        <w:t xml:space="preserve"> mechanisms differ</w:t>
      </w:r>
      <w:r w:rsidR="04AFA1FB">
        <w:t>ed</w:t>
      </w:r>
      <w:r>
        <w:t xml:space="preserve"> for </w:t>
      </w:r>
      <w:r w:rsidR="01EBED5B">
        <w:t>certain</w:t>
      </w:r>
      <w:r w:rsidR="00B516DF">
        <w:t xml:space="preserve"> cohorts</w:t>
      </w:r>
      <w:r w:rsidR="01EBED5B">
        <w:t xml:space="preserve"> (</w:t>
      </w:r>
      <w:r w:rsidR="04AFA1FB">
        <w:t>in particular,</w:t>
      </w:r>
      <w:r>
        <w:t xml:space="preserve"> Aboriginal and Torres Strait Islander people, </w:t>
      </w:r>
      <w:r w:rsidR="04AFA1FB">
        <w:t xml:space="preserve">and </w:t>
      </w:r>
      <w:r>
        <w:t xml:space="preserve">people who identified as LGBTIQA.). </w:t>
      </w:r>
      <w:r w:rsidR="04AFA1FB">
        <w:t xml:space="preserve">Further investigation is needed to determine the extent to which these mechanisms are important to enact as part of these cohorts’ recovery (see </w:t>
      </w:r>
      <w:r w:rsidR="00F65984">
        <w:t>Section</w:t>
      </w:r>
      <w:r w:rsidR="0097437B">
        <w:t xml:space="preserve"> </w:t>
      </w:r>
      <w:r w:rsidR="00F65984">
        <w:fldChar w:fldCharType="begin"/>
      </w:r>
      <w:r w:rsidR="00F65984">
        <w:instrText xml:space="preserve"> REF _Ref118285879 \n \h </w:instrText>
      </w:r>
      <w:r w:rsidR="00F65984">
        <w:fldChar w:fldCharType="separate"/>
      </w:r>
      <w:r w:rsidR="00402362">
        <w:t>10.1</w:t>
      </w:r>
      <w:r w:rsidR="00F65984">
        <w:fldChar w:fldCharType="end"/>
      </w:r>
      <w:r w:rsidR="04AFA1FB">
        <w:t xml:space="preserve"> recommendation</w:t>
      </w:r>
      <w:r w:rsidR="431AA7DC">
        <w:t xml:space="preserve"> 5</w:t>
      </w:r>
      <w:r w:rsidR="04AFA1FB">
        <w:t>).</w:t>
      </w:r>
      <w:r>
        <w:t xml:space="preserve"> Further</w:t>
      </w:r>
      <w:r w:rsidR="6D08D89B">
        <w:t xml:space="preserve">, </w:t>
      </w:r>
      <w:r w:rsidR="441F7257">
        <w:t xml:space="preserve">the mechanisms of change outlined in </w:t>
      </w:r>
      <w:r w:rsidR="00C76E9E">
        <w:fldChar w:fldCharType="begin"/>
      </w:r>
      <w:r w:rsidR="00C76E9E">
        <w:instrText xml:space="preserve"> REF _Ref117487541 \h </w:instrText>
      </w:r>
      <w:r w:rsidR="00C76E9E">
        <w:fldChar w:fldCharType="separate"/>
      </w:r>
      <w:r w:rsidR="00402362">
        <w:t xml:space="preserve">Figure </w:t>
      </w:r>
      <w:r w:rsidR="00402362">
        <w:rPr>
          <w:noProof/>
        </w:rPr>
        <w:t>21</w:t>
      </w:r>
      <w:r w:rsidR="00C76E9E">
        <w:fldChar w:fldCharType="end"/>
      </w:r>
      <w:r w:rsidR="6D08D89B">
        <w:t xml:space="preserve"> </w:t>
      </w:r>
      <w:r w:rsidR="441F7257">
        <w:t xml:space="preserve">above still apply to </w:t>
      </w:r>
      <w:r w:rsidR="6D08D89B">
        <w:t xml:space="preserve">these cohorts. </w:t>
      </w:r>
    </w:p>
    <w:p w14:paraId="408CFD57" w14:textId="10E61AF5" w:rsidR="008B1B06" w:rsidRDefault="006307C6" w:rsidP="00C76E9E">
      <w:pPr>
        <w:pStyle w:val="Caption"/>
      </w:pPr>
      <w:bookmarkStart w:id="144" w:name="_Ref117487405"/>
      <w:r>
        <w:t>Figure</w:t>
      </w:r>
      <w:r w:rsidR="00C76E9E">
        <w:t xml:space="preserve"> </w:t>
      </w:r>
      <w:r>
        <w:fldChar w:fldCharType="begin"/>
      </w:r>
      <w:r>
        <w:instrText xml:space="preserve"> SEQ Figure \* ARABIC </w:instrText>
      </w:r>
      <w:r>
        <w:fldChar w:fldCharType="separate"/>
      </w:r>
      <w:r w:rsidR="00402362">
        <w:rPr>
          <w:noProof/>
        </w:rPr>
        <w:t>22</w:t>
      </w:r>
      <w:r>
        <w:fldChar w:fldCharType="end"/>
      </w:r>
      <w:bookmarkEnd w:id="143"/>
      <w:bookmarkEnd w:id="144"/>
      <w:r w:rsidR="00C76E9E">
        <w:t xml:space="preserve"> </w:t>
      </w:r>
      <w:r w:rsidR="008B1B06">
        <w:t xml:space="preserve">| </w:t>
      </w:r>
      <w:r w:rsidR="006A45E5">
        <w:t>Mechanism</w:t>
      </w:r>
      <w:r w:rsidR="004A4030">
        <w:t>s</w:t>
      </w:r>
      <w:r w:rsidR="006A45E5">
        <w:t xml:space="preserve"> of change for</w:t>
      </w:r>
      <w:r w:rsidR="00DD1811">
        <w:t xml:space="preserve"> </w:t>
      </w:r>
      <w:r w:rsidR="004A4030">
        <w:t xml:space="preserve">populations </w:t>
      </w:r>
      <w:r w:rsidR="00DD1811">
        <w:t xml:space="preserve">of </w:t>
      </w:r>
      <w:r w:rsidR="00CB7DD7">
        <w:t>interest</w:t>
      </w:r>
    </w:p>
    <w:tbl>
      <w:tblPr>
        <w:tblStyle w:val="TableGrid"/>
        <w:tblW w:w="0" w:type="auto"/>
        <w:tblInd w:w="1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2" w:space="0" w:color="00264D" w:themeColor="background2"/>
          <w:insideV w:val="single" w:sz="8" w:space="0" w:color="FFFFFF" w:themeColor="background1"/>
        </w:tblBorders>
        <w:tblLayout w:type="fixed"/>
        <w:tblLook w:val="0620" w:firstRow="1" w:lastRow="0" w:firstColumn="0" w:lastColumn="0" w:noHBand="1" w:noVBand="1"/>
        <w:tblDescription w:val="Table xxx is a list of Mechanisms of change for populations of interest "/>
      </w:tblPr>
      <w:tblGrid>
        <w:gridCol w:w="1823"/>
        <w:gridCol w:w="3119"/>
        <w:gridCol w:w="3958"/>
      </w:tblGrid>
      <w:tr w:rsidR="0044133C" w:rsidRPr="005825BD" w14:paraId="64E1FA95" w14:textId="56B88D9C" w:rsidTr="00461006">
        <w:trPr>
          <w:cnfStyle w:val="100000000000" w:firstRow="1" w:lastRow="0" w:firstColumn="0" w:lastColumn="0" w:oddVBand="0" w:evenVBand="0" w:oddHBand="0" w:evenHBand="0" w:firstRowFirstColumn="0" w:firstRowLastColumn="0" w:lastRowFirstColumn="0" w:lastRowLastColumn="0"/>
          <w:cantSplit w:val="0"/>
        </w:trPr>
        <w:tc>
          <w:tcPr>
            <w:tcW w:w="1823" w:type="dxa"/>
            <w:tcBorders>
              <w:top w:val="single" w:sz="8" w:space="0" w:color="FFFFFF" w:themeColor="background1"/>
              <w:bottom w:val="single" w:sz="24" w:space="0" w:color="00264D" w:themeColor="background2"/>
            </w:tcBorders>
            <w:shd w:val="clear" w:color="auto" w:fill="auto"/>
          </w:tcPr>
          <w:p w14:paraId="585CC709" w14:textId="71605341" w:rsidR="001158BB" w:rsidRPr="00A117E4" w:rsidRDefault="00A117E4" w:rsidP="00A117E4">
            <w:pPr>
              <w:pStyle w:val="TableNheader"/>
            </w:pPr>
            <w:r w:rsidRPr="00A117E4">
              <w:t>COHORT</w:t>
            </w:r>
          </w:p>
        </w:tc>
        <w:tc>
          <w:tcPr>
            <w:tcW w:w="3119" w:type="dxa"/>
            <w:tcBorders>
              <w:top w:val="single" w:sz="8" w:space="0" w:color="FFFFFF" w:themeColor="background1"/>
              <w:bottom w:val="single" w:sz="24" w:space="0" w:color="00264D" w:themeColor="background2"/>
            </w:tcBorders>
            <w:shd w:val="clear" w:color="auto" w:fill="auto"/>
          </w:tcPr>
          <w:p w14:paraId="7A4C86F2" w14:textId="619E7516" w:rsidR="001158BB" w:rsidRPr="00A117E4" w:rsidRDefault="00A117E4" w:rsidP="00A117E4">
            <w:pPr>
              <w:pStyle w:val="TableNheader"/>
              <w:rPr>
                <w:rFonts w:asciiTheme="majorHAnsi" w:hAnsiTheme="majorHAnsi" w:cstheme="majorHAnsi"/>
                <w:sz w:val="16"/>
                <w:szCs w:val="16"/>
              </w:rPr>
            </w:pPr>
            <w:r w:rsidRPr="00A117E4">
              <w:rPr>
                <w:rFonts w:asciiTheme="majorHAnsi" w:hAnsiTheme="majorHAnsi" w:cstheme="majorHAnsi"/>
                <w:sz w:val="16"/>
                <w:szCs w:val="16"/>
              </w:rPr>
              <w:t>CONTEXT</w:t>
            </w:r>
          </w:p>
        </w:tc>
        <w:tc>
          <w:tcPr>
            <w:tcW w:w="3958" w:type="dxa"/>
            <w:tcBorders>
              <w:top w:val="single" w:sz="8" w:space="0" w:color="FFFFFF" w:themeColor="background1"/>
              <w:bottom w:val="single" w:sz="24" w:space="0" w:color="00264D" w:themeColor="background2"/>
            </w:tcBorders>
            <w:shd w:val="clear" w:color="auto" w:fill="auto"/>
          </w:tcPr>
          <w:p w14:paraId="011D6D99" w14:textId="5D5357FD" w:rsidR="001158BB" w:rsidRPr="00A117E4" w:rsidRDefault="00A117E4" w:rsidP="00A117E4">
            <w:pPr>
              <w:pStyle w:val="TableNheader"/>
              <w:rPr>
                <w:rFonts w:asciiTheme="majorHAnsi" w:hAnsiTheme="majorHAnsi" w:cstheme="majorHAnsi"/>
                <w:sz w:val="16"/>
                <w:szCs w:val="16"/>
              </w:rPr>
            </w:pPr>
            <w:r w:rsidRPr="00A117E4">
              <w:rPr>
                <w:rFonts w:asciiTheme="majorHAnsi" w:hAnsiTheme="majorHAnsi" w:cstheme="majorHAnsi"/>
                <w:sz w:val="16"/>
                <w:szCs w:val="16"/>
              </w:rPr>
              <w:t>HOW THE MECHANISMS OF CHANGE MAY DIFFER</w:t>
            </w:r>
          </w:p>
        </w:tc>
      </w:tr>
      <w:tr w:rsidR="0044133C" w:rsidRPr="005825BD" w14:paraId="6E090F4F" w14:textId="326B209B" w:rsidTr="00F77C16">
        <w:tc>
          <w:tcPr>
            <w:tcW w:w="1823" w:type="dxa"/>
            <w:tcBorders>
              <w:top w:val="single" w:sz="24" w:space="0" w:color="00264D" w:themeColor="background2"/>
            </w:tcBorders>
            <w:shd w:val="clear" w:color="auto" w:fill="E6E6E1" w:themeFill="accent5"/>
          </w:tcPr>
          <w:p w14:paraId="48F9AF74" w14:textId="77777777" w:rsidR="001158BB" w:rsidRPr="005825BD" w:rsidRDefault="001158BB" w:rsidP="00A117E4">
            <w:pPr>
              <w:pStyle w:val="TableNheader"/>
            </w:pPr>
            <w:r w:rsidRPr="005825BD">
              <w:rPr>
                <w:noProof/>
              </w:rPr>
              <mc:AlternateContent>
                <mc:Choice Requires="wpg">
                  <w:drawing>
                    <wp:inline distT="0" distB="0" distL="0" distR="0" wp14:anchorId="26B43345" wp14:editId="629A1E61">
                      <wp:extent cx="344787" cy="514768"/>
                      <wp:effectExtent l="0" t="0" r="0" b="0"/>
                      <wp:docPr id="27876"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44787" cy="514768"/>
                                <a:chOff x="0" y="0"/>
                                <a:chExt cx="310310" cy="463295"/>
                              </a:xfrm>
                              <a:solidFill>
                                <a:schemeClr val="accent6"/>
                              </a:solidFill>
                            </wpg:grpSpPr>
                            <wps:wsp>
                              <wps:cNvPr id="27877" name="Freeform 6"/>
                              <wps:cNvSpPr>
                                <a:spLocks noChangeAspect="1" noEditPoints="1"/>
                              </wps:cNvSpPr>
                              <wps:spPr bwMode="auto">
                                <a:xfrm>
                                  <a:off x="1981" y="0"/>
                                  <a:ext cx="308329" cy="216687"/>
                                </a:xfrm>
                                <a:custGeom>
                                  <a:avLst/>
                                  <a:gdLst>
                                    <a:gd name="T0" fmla="*/ 175 w 176"/>
                                    <a:gd name="T1" fmla="*/ 62 h 123"/>
                                    <a:gd name="T2" fmla="*/ 176 w 176"/>
                                    <a:gd name="T3" fmla="*/ 61 h 123"/>
                                    <a:gd name="T4" fmla="*/ 175 w 176"/>
                                    <a:gd name="T5" fmla="*/ 60 h 123"/>
                                    <a:gd name="T6" fmla="*/ 176 w 176"/>
                                    <a:gd name="T7" fmla="*/ 6 h 123"/>
                                    <a:gd name="T8" fmla="*/ 170 w 176"/>
                                    <a:gd name="T9" fmla="*/ 0 h 123"/>
                                    <a:gd name="T10" fmla="*/ 5 w 176"/>
                                    <a:gd name="T11" fmla="*/ 0 h 123"/>
                                    <a:gd name="T12" fmla="*/ 0 w 176"/>
                                    <a:gd name="T13" fmla="*/ 6 h 123"/>
                                    <a:gd name="T14" fmla="*/ 0 w 176"/>
                                    <a:gd name="T15" fmla="*/ 67 h 123"/>
                                    <a:gd name="T16" fmla="*/ 0 w 176"/>
                                    <a:gd name="T17" fmla="*/ 68 h 123"/>
                                    <a:gd name="T18" fmla="*/ 0 w 176"/>
                                    <a:gd name="T19" fmla="*/ 117 h 123"/>
                                    <a:gd name="T20" fmla="*/ 5 w 176"/>
                                    <a:gd name="T21" fmla="*/ 123 h 123"/>
                                    <a:gd name="T22" fmla="*/ 170 w 176"/>
                                    <a:gd name="T23" fmla="*/ 123 h 123"/>
                                    <a:gd name="T24" fmla="*/ 176 w 176"/>
                                    <a:gd name="T25" fmla="*/ 117 h 123"/>
                                    <a:gd name="T26" fmla="*/ 176 w 176"/>
                                    <a:gd name="T27" fmla="*/ 68 h 123"/>
                                    <a:gd name="T28" fmla="*/ 175 w 176"/>
                                    <a:gd name="T29" fmla="*/ 67 h 123"/>
                                    <a:gd name="T30" fmla="*/ 175 w 176"/>
                                    <a:gd name="T31" fmla="*/ 62 h 123"/>
                                    <a:gd name="T32" fmla="*/ 170 w 176"/>
                                    <a:gd name="T33" fmla="*/ 6 h 123"/>
                                    <a:gd name="T34" fmla="*/ 169 w 176"/>
                                    <a:gd name="T35" fmla="*/ 58 h 123"/>
                                    <a:gd name="T36" fmla="*/ 120 w 176"/>
                                    <a:gd name="T37" fmla="*/ 58 h 123"/>
                                    <a:gd name="T38" fmla="*/ 88 w 176"/>
                                    <a:gd name="T39" fmla="*/ 29 h 123"/>
                                    <a:gd name="T40" fmla="*/ 55 w 176"/>
                                    <a:gd name="T41" fmla="*/ 58 h 123"/>
                                    <a:gd name="T42" fmla="*/ 6 w 176"/>
                                    <a:gd name="T43" fmla="*/ 58 h 123"/>
                                    <a:gd name="T44" fmla="*/ 6 w 176"/>
                                    <a:gd name="T45" fmla="*/ 6 h 123"/>
                                    <a:gd name="T46" fmla="*/ 170 w 176"/>
                                    <a:gd name="T47" fmla="*/ 6 h 123"/>
                                    <a:gd name="T48" fmla="*/ 114 w 176"/>
                                    <a:gd name="T49" fmla="*/ 61 h 123"/>
                                    <a:gd name="T50" fmla="*/ 88 w 176"/>
                                    <a:gd name="T51" fmla="*/ 88 h 123"/>
                                    <a:gd name="T52" fmla="*/ 61 w 176"/>
                                    <a:gd name="T53" fmla="*/ 61 h 123"/>
                                    <a:gd name="T54" fmla="*/ 88 w 176"/>
                                    <a:gd name="T55" fmla="*/ 35 h 123"/>
                                    <a:gd name="T56" fmla="*/ 114 w 176"/>
                                    <a:gd name="T57" fmla="*/ 61 h 123"/>
                                    <a:gd name="T58" fmla="*/ 170 w 176"/>
                                    <a:gd name="T59" fmla="*/ 117 h 123"/>
                                    <a:gd name="T60" fmla="*/ 6 w 176"/>
                                    <a:gd name="T61" fmla="*/ 117 h 123"/>
                                    <a:gd name="T62" fmla="*/ 6 w 176"/>
                                    <a:gd name="T63" fmla="*/ 68 h 123"/>
                                    <a:gd name="T64" fmla="*/ 6 w 176"/>
                                    <a:gd name="T65" fmla="*/ 68 h 123"/>
                                    <a:gd name="T66" fmla="*/ 6 w 176"/>
                                    <a:gd name="T67" fmla="*/ 68 h 123"/>
                                    <a:gd name="T68" fmla="*/ 6 w 176"/>
                                    <a:gd name="T69" fmla="*/ 64 h 123"/>
                                    <a:gd name="T70" fmla="*/ 55 w 176"/>
                                    <a:gd name="T71" fmla="*/ 64 h 123"/>
                                    <a:gd name="T72" fmla="*/ 88 w 176"/>
                                    <a:gd name="T73" fmla="*/ 94 h 123"/>
                                    <a:gd name="T74" fmla="*/ 120 w 176"/>
                                    <a:gd name="T75" fmla="*/ 64 h 123"/>
                                    <a:gd name="T76" fmla="*/ 169 w 176"/>
                                    <a:gd name="T77" fmla="*/ 64 h 123"/>
                                    <a:gd name="T78" fmla="*/ 169 w 176"/>
                                    <a:gd name="T79" fmla="*/ 68 h 123"/>
                                    <a:gd name="T80" fmla="*/ 170 w 176"/>
                                    <a:gd name="T81" fmla="*/ 68 h 123"/>
                                    <a:gd name="T82" fmla="*/ 170 w 176"/>
                                    <a:gd name="T83" fmla="*/ 117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76" h="123">
                                      <a:moveTo>
                                        <a:pt x="175" y="62"/>
                                      </a:moveTo>
                                      <a:cubicBezTo>
                                        <a:pt x="176" y="62"/>
                                        <a:pt x="176" y="62"/>
                                        <a:pt x="176" y="61"/>
                                      </a:cubicBezTo>
                                      <a:cubicBezTo>
                                        <a:pt x="176" y="61"/>
                                        <a:pt x="176" y="61"/>
                                        <a:pt x="175" y="60"/>
                                      </a:cubicBezTo>
                                      <a:cubicBezTo>
                                        <a:pt x="176" y="6"/>
                                        <a:pt x="176" y="6"/>
                                        <a:pt x="176" y="6"/>
                                      </a:cubicBezTo>
                                      <a:cubicBezTo>
                                        <a:pt x="176" y="3"/>
                                        <a:pt x="173" y="0"/>
                                        <a:pt x="170" y="0"/>
                                      </a:cubicBezTo>
                                      <a:cubicBezTo>
                                        <a:pt x="5" y="0"/>
                                        <a:pt x="5" y="0"/>
                                        <a:pt x="5" y="0"/>
                                      </a:cubicBezTo>
                                      <a:cubicBezTo>
                                        <a:pt x="2" y="0"/>
                                        <a:pt x="0" y="3"/>
                                        <a:pt x="0" y="6"/>
                                      </a:cubicBezTo>
                                      <a:cubicBezTo>
                                        <a:pt x="0" y="67"/>
                                        <a:pt x="0" y="67"/>
                                        <a:pt x="0" y="67"/>
                                      </a:cubicBezTo>
                                      <a:cubicBezTo>
                                        <a:pt x="0" y="68"/>
                                        <a:pt x="0" y="68"/>
                                        <a:pt x="0" y="68"/>
                                      </a:cubicBezTo>
                                      <a:cubicBezTo>
                                        <a:pt x="0" y="117"/>
                                        <a:pt x="0" y="117"/>
                                        <a:pt x="0" y="117"/>
                                      </a:cubicBezTo>
                                      <a:cubicBezTo>
                                        <a:pt x="0" y="120"/>
                                        <a:pt x="2" y="123"/>
                                        <a:pt x="5" y="123"/>
                                      </a:cubicBezTo>
                                      <a:cubicBezTo>
                                        <a:pt x="170" y="123"/>
                                        <a:pt x="170" y="123"/>
                                        <a:pt x="170" y="123"/>
                                      </a:cubicBezTo>
                                      <a:cubicBezTo>
                                        <a:pt x="173" y="123"/>
                                        <a:pt x="176" y="120"/>
                                        <a:pt x="176" y="117"/>
                                      </a:cubicBezTo>
                                      <a:cubicBezTo>
                                        <a:pt x="176" y="68"/>
                                        <a:pt x="176" y="68"/>
                                        <a:pt x="176" y="68"/>
                                      </a:cubicBezTo>
                                      <a:cubicBezTo>
                                        <a:pt x="176" y="68"/>
                                        <a:pt x="175" y="68"/>
                                        <a:pt x="175" y="67"/>
                                      </a:cubicBezTo>
                                      <a:lnTo>
                                        <a:pt x="175" y="62"/>
                                      </a:lnTo>
                                      <a:close/>
                                      <a:moveTo>
                                        <a:pt x="170" y="6"/>
                                      </a:moveTo>
                                      <a:cubicBezTo>
                                        <a:pt x="169" y="58"/>
                                        <a:pt x="169" y="58"/>
                                        <a:pt x="169" y="58"/>
                                      </a:cubicBezTo>
                                      <a:cubicBezTo>
                                        <a:pt x="120" y="58"/>
                                        <a:pt x="120" y="58"/>
                                        <a:pt x="120" y="58"/>
                                      </a:cubicBezTo>
                                      <a:cubicBezTo>
                                        <a:pt x="118" y="42"/>
                                        <a:pt x="104" y="29"/>
                                        <a:pt x="88" y="29"/>
                                      </a:cubicBezTo>
                                      <a:cubicBezTo>
                                        <a:pt x="71" y="29"/>
                                        <a:pt x="57" y="42"/>
                                        <a:pt x="55" y="58"/>
                                      </a:cubicBezTo>
                                      <a:cubicBezTo>
                                        <a:pt x="6" y="58"/>
                                        <a:pt x="6" y="58"/>
                                        <a:pt x="6" y="58"/>
                                      </a:cubicBezTo>
                                      <a:cubicBezTo>
                                        <a:pt x="6" y="6"/>
                                        <a:pt x="6" y="6"/>
                                        <a:pt x="6" y="6"/>
                                      </a:cubicBezTo>
                                      <a:lnTo>
                                        <a:pt x="170" y="6"/>
                                      </a:lnTo>
                                      <a:close/>
                                      <a:moveTo>
                                        <a:pt x="114" y="61"/>
                                      </a:moveTo>
                                      <a:cubicBezTo>
                                        <a:pt x="114" y="76"/>
                                        <a:pt x="102" y="88"/>
                                        <a:pt x="88" y="88"/>
                                      </a:cubicBezTo>
                                      <a:cubicBezTo>
                                        <a:pt x="73" y="88"/>
                                        <a:pt x="61" y="76"/>
                                        <a:pt x="61" y="61"/>
                                      </a:cubicBezTo>
                                      <a:cubicBezTo>
                                        <a:pt x="61" y="47"/>
                                        <a:pt x="73" y="35"/>
                                        <a:pt x="88" y="35"/>
                                      </a:cubicBezTo>
                                      <a:cubicBezTo>
                                        <a:pt x="102" y="35"/>
                                        <a:pt x="114" y="47"/>
                                        <a:pt x="114" y="61"/>
                                      </a:cubicBezTo>
                                      <a:close/>
                                      <a:moveTo>
                                        <a:pt x="170" y="117"/>
                                      </a:moveTo>
                                      <a:cubicBezTo>
                                        <a:pt x="6" y="117"/>
                                        <a:pt x="6" y="117"/>
                                        <a:pt x="6" y="117"/>
                                      </a:cubicBezTo>
                                      <a:cubicBezTo>
                                        <a:pt x="6" y="68"/>
                                        <a:pt x="6" y="68"/>
                                        <a:pt x="6" y="68"/>
                                      </a:cubicBezTo>
                                      <a:cubicBezTo>
                                        <a:pt x="6" y="68"/>
                                        <a:pt x="6" y="68"/>
                                        <a:pt x="6" y="68"/>
                                      </a:cubicBezTo>
                                      <a:cubicBezTo>
                                        <a:pt x="6" y="68"/>
                                        <a:pt x="6" y="68"/>
                                        <a:pt x="6" y="68"/>
                                      </a:cubicBezTo>
                                      <a:cubicBezTo>
                                        <a:pt x="6" y="64"/>
                                        <a:pt x="6" y="64"/>
                                        <a:pt x="6" y="64"/>
                                      </a:cubicBezTo>
                                      <a:cubicBezTo>
                                        <a:pt x="55" y="64"/>
                                        <a:pt x="55" y="64"/>
                                        <a:pt x="55" y="64"/>
                                      </a:cubicBezTo>
                                      <a:cubicBezTo>
                                        <a:pt x="57" y="81"/>
                                        <a:pt x="71" y="94"/>
                                        <a:pt x="88" y="94"/>
                                      </a:cubicBezTo>
                                      <a:cubicBezTo>
                                        <a:pt x="104" y="94"/>
                                        <a:pt x="118" y="81"/>
                                        <a:pt x="120" y="64"/>
                                      </a:cubicBezTo>
                                      <a:cubicBezTo>
                                        <a:pt x="169" y="64"/>
                                        <a:pt x="169" y="64"/>
                                        <a:pt x="169" y="64"/>
                                      </a:cubicBezTo>
                                      <a:cubicBezTo>
                                        <a:pt x="169" y="68"/>
                                        <a:pt x="169" y="68"/>
                                        <a:pt x="169" y="68"/>
                                      </a:cubicBezTo>
                                      <a:cubicBezTo>
                                        <a:pt x="169" y="68"/>
                                        <a:pt x="169" y="68"/>
                                        <a:pt x="170" y="68"/>
                                      </a:cubicBezTo>
                                      <a:lnTo>
                                        <a:pt x="170" y="117"/>
                                      </a:lnTo>
                                      <a:close/>
                                    </a:path>
                                  </a:pathLst>
                                </a:custGeom>
                                <a:grpFill/>
                                <a:ln>
                                  <a:noFill/>
                                </a:ln>
                              </wps:spPr>
                              <wps:bodyPr vert="horz" wrap="square" lIns="91440" tIns="45720" rIns="91440" bIns="45720" numCol="1" anchor="t" anchorCtr="0" compatLnSpc="1">
                                <a:prstTxWarp prst="textNoShape">
                                  <a:avLst/>
                                </a:prstTxWarp>
                              </wps:bodyPr>
                            </wps:wsp>
                            <wpg:grpSp>
                              <wpg:cNvPr id="27878" name="Group 27878"/>
                              <wpg:cNvGrpSpPr>
                                <a:grpSpLocks noChangeAspect="1"/>
                              </wpg:cNvGrpSpPr>
                              <wpg:grpSpPr>
                                <a:xfrm>
                                  <a:off x="0" y="246740"/>
                                  <a:ext cx="308329" cy="216555"/>
                                  <a:chOff x="0" y="246740"/>
                                  <a:chExt cx="608013" cy="427038"/>
                                </a:xfrm>
                                <a:grpFill/>
                              </wpg:grpSpPr>
                              <wps:wsp>
                                <wps:cNvPr id="27879" name="Freeform 5"/>
                                <wps:cNvSpPr>
                                  <a:spLocks noEditPoints="1"/>
                                </wps:cNvSpPr>
                                <wps:spPr bwMode="auto">
                                  <a:xfrm>
                                    <a:off x="0" y="246740"/>
                                    <a:ext cx="608013" cy="427038"/>
                                  </a:xfrm>
                                  <a:custGeom>
                                    <a:avLst/>
                                    <a:gdLst>
                                      <a:gd name="T0" fmla="*/ 176 w 176"/>
                                      <a:gd name="T1" fmla="*/ 63 h 123"/>
                                      <a:gd name="T2" fmla="*/ 176 w 176"/>
                                      <a:gd name="T3" fmla="*/ 62 h 123"/>
                                      <a:gd name="T4" fmla="*/ 176 w 176"/>
                                      <a:gd name="T5" fmla="*/ 61 h 123"/>
                                      <a:gd name="T6" fmla="*/ 176 w 176"/>
                                      <a:gd name="T7" fmla="*/ 6 h 123"/>
                                      <a:gd name="T8" fmla="*/ 170 w 176"/>
                                      <a:gd name="T9" fmla="*/ 0 h 123"/>
                                      <a:gd name="T10" fmla="*/ 5 w 176"/>
                                      <a:gd name="T11" fmla="*/ 0 h 123"/>
                                      <a:gd name="T12" fmla="*/ 0 w 176"/>
                                      <a:gd name="T13" fmla="*/ 6 h 123"/>
                                      <a:gd name="T14" fmla="*/ 0 w 176"/>
                                      <a:gd name="T15" fmla="*/ 68 h 123"/>
                                      <a:gd name="T16" fmla="*/ 0 w 176"/>
                                      <a:gd name="T17" fmla="*/ 68 h 123"/>
                                      <a:gd name="T18" fmla="*/ 0 w 176"/>
                                      <a:gd name="T19" fmla="*/ 117 h 123"/>
                                      <a:gd name="T20" fmla="*/ 5 w 176"/>
                                      <a:gd name="T21" fmla="*/ 123 h 123"/>
                                      <a:gd name="T22" fmla="*/ 170 w 176"/>
                                      <a:gd name="T23" fmla="*/ 123 h 123"/>
                                      <a:gd name="T24" fmla="*/ 176 w 176"/>
                                      <a:gd name="T25" fmla="*/ 117 h 123"/>
                                      <a:gd name="T26" fmla="*/ 176 w 176"/>
                                      <a:gd name="T27" fmla="*/ 68 h 123"/>
                                      <a:gd name="T28" fmla="*/ 176 w 176"/>
                                      <a:gd name="T29" fmla="*/ 68 h 123"/>
                                      <a:gd name="T30" fmla="*/ 176 w 176"/>
                                      <a:gd name="T31" fmla="*/ 63 h 123"/>
                                      <a:gd name="T32" fmla="*/ 6 w 176"/>
                                      <a:gd name="T33" fmla="*/ 68 h 123"/>
                                      <a:gd name="T34" fmla="*/ 6 w 176"/>
                                      <a:gd name="T35" fmla="*/ 68 h 123"/>
                                      <a:gd name="T36" fmla="*/ 6 w 176"/>
                                      <a:gd name="T37" fmla="*/ 68 h 123"/>
                                      <a:gd name="T38" fmla="*/ 6 w 176"/>
                                      <a:gd name="T39" fmla="*/ 65 h 123"/>
                                      <a:gd name="T40" fmla="*/ 6 w 176"/>
                                      <a:gd name="T41" fmla="*/ 59 h 123"/>
                                      <a:gd name="T42" fmla="*/ 6 w 176"/>
                                      <a:gd name="T43" fmla="*/ 28 h 123"/>
                                      <a:gd name="T44" fmla="*/ 170 w 176"/>
                                      <a:gd name="T45" fmla="*/ 28 h 123"/>
                                      <a:gd name="T46" fmla="*/ 170 w 176"/>
                                      <a:gd name="T47" fmla="*/ 59 h 123"/>
                                      <a:gd name="T48" fmla="*/ 170 w 176"/>
                                      <a:gd name="T49" fmla="*/ 65 h 123"/>
                                      <a:gd name="T50" fmla="*/ 170 w 176"/>
                                      <a:gd name="T51" fmla="*/ 66 h 123"/>
                                      <a:gd name="T52" fmla="*/ 170 w 176"/>
                                      <a:gd name="T53" fmla="*/ 68 h 123"/>
                                      <a:gd name="T54" fmla="*/ 170 w 176"/>
                                      <a:gd name="T55" fmla="*/ 68 h 123"/>
                                      <a:gd name="T56" fmla="*/ 170 w 176"/>
                                      <a:gd name="T57" fmla="*/ 94 h 123"/>
                                      <a:gd name="T58" fmla="*/ 6 w 176"/>
                                      <a:gd name="T59" fmla="*/ 94 h 123"/>
                                      <a:gd name="T60" fmla="*/ 6 w 176"/>
                                      <a:gd name="T61" fmla="*/ 68 h 123"/>
                                      <a:gd name="T62" fmla="*/ 170 w 176"/>
                                      <a:gd name="T63" fmla="*/ 6 h 123"/>
                                      <a:gd name="T64" fmla="*/ 170 w 176"/>
                                      <a:gd name="T65" fmla="*/ 22 h 123"/>
                                      <a:gd name="T66" fmla="*/ 6 w 176"/>
                                      <a:gd name="T67" fmla="*/ 22 h 123"/>
                                      <a:gd name="T68" fmla="*/ 6 w 176"/>
                                      <a:gd name="T69" fmla="*/ 6 h 123"/>
                                      <a:gd name="T70" fmla="*/ 170 w 176"/>
                                      <a:gd name="T71" fmla="*/ 6 h 123"/>
                                      <a:gd name="T72" fmla="*/ 6 w 176"/>
                                      <a:gd name="T73" fmla="*/ 117 h 123"/>
                                      <a:gd name="T74" fmla="*/ 6 w 176"/>
                                      <a:gd name="T75" fmla="*/ 100 h 123"/>
                                      <a:gd name="T76" fmla="*/ 170 w 176"/>
                                      <a:gd name="T77" fmla="*/ 100 h 123"/>
                                      <a:gd name="T78" fmla="*/ 170 w 176"/>
                                      <a:gd name="T79" fmla="*/ 117 h 123"/>
                                      <a:gd name="T80" fmla="*/ 6 w 176"/>
                                      <a:gd name="T81" fmla="*/ 117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6" h="123">
                                        <a:moveTo>
                                          <a:pt x="176" y="63"/>
                                        </a:moveTo>
                                        <a:cubicBezTo>
                                          <a:pt x="176" y="62"/>
                                          <a:pt x="176" y="62"/>
                                          <a:pt x="176" y="62"/>
                                        </a:cubicBezTo>
                                        <a:cubicBezTo>
                                          <a:pt x="176" y="61"/>
                                          <a:pt x="176" y="61"/>
                                          <a:pt x="176" y="61"/>
                                        </a:cubicBezTo>
                                        <a:cubicBezTo>
                                          <a:pt x="176" y="6"/>
                                          <a:pt x="176" y="6"/>
                                          <a:pt x="176" y="6"/>
                                        </a:cubicBezTo>
                                        <a:cubicBezTo>
                                          <a:pt x="176" y="3"/>
                                          <a:pt x="173" y="0"/>
                                          <a:pt x="170" y="0"/>
                                        </a:cubicBezTo>
                                        <a:cubicBezTo>
                                          <a:pt x="5" y="0"/>
                                          <a:pt x="5" y="0"/>
                                          <a:pt x="5" y="0"/>
                                        </a:cubicBezTo>
                                        <a:cubicBezTo>
                                          <a:pt x="2" y="0"/>
                                          <a:pt x="0" y="3"/>
                                          <a:pt x="0" y="6"/>
                                        </a:cubicBezTo>
                                        <a:cubicBezTo>
                                          <a:pt x="0" y="68"/>
                                          <a:pt x="0" y="68"/>
                                          <a:pt x="0" y="68"/>
                                        </a:cubicBezTo>
                                        <a:cubicBezTo>
                                          <a:pt x="0" y="68"/>
                                          <a:pt x="0" y="68"/>
                                          <a:pt x="0" y="68"/>
                                        </a:cubicBezTo>
                                        <a:cubicBezTo>
                                          <a:pt x="0" y="117"/>
                                          <a:pt x="0" y="117"/>
                                          <a:pt x="0" y="117"/>
                                        </a:cubicBezTo>
                                        <a:cubicBezTo>
                                          <a:pt x="0" y="120"/>
                                          <a:pt x="2" y="123"/>
                                          <a:pt x="5" y="123"/>
                                        </a:cubicBezTo>
                                        <a:cubicBezTo>
                                          <a:pt x="170" y="123"/>
                                          <a:pt x="170" y="123"/>
                                          <a:pt x="170" y="123"/>
                                        </a:cubicBezTo>
                                        <a:cubicBezTo>
                                          <a:pt x="173" y="123"/>
                                          <a:pt x="176" y="120"/>
                                          <a:pt x="176" y="117"/>
                                        </a:cubicBezTo>
                                        <a:cubicBezTo>
                                          <a:pt x="176" y="68"/>
                                          <a:pt x="176" y="68"/>
                                          <a:pt x="176" y="68"/>
                                        </a:cubicBezTo>
                                        <a:cubicBezTo>
                                          <a:pt x="176" y="68"/>
                                          <a:pt x="176" y="68"/>
                                          <a:pt x="176" y="68"/>
                                        </a:cubicBezTo>
                                        <a:lnTo>
                                          <a:pt x="176" y="63"/>
                                        </a:lnTo>
                                        <a:close/>
                                        <a:moveTo>
                                          <a:pt x="6" y="68"/>
                                        </a:moveTo>
                                        <a:cubicBezTo>
                                          <a:pt x="6" y="68"/>
                                          <a:pt x="6" y="68"/>
                                          <a:pt x="6" y="68"/>
                                        </a:cubicBezTo>
                                        <a:cubicBezTo>
                                          <a:pt x="6" y="68"/>
                                          <a:pt x="6" y="68"/>
                                          <a:pt x="6" y="68"/>
                                        </a:cubicBezTo>
                                        <a:cubicBezTo>
                                          <a:pt x="6" y="65"/>
                                          <a:pt x="6" y="65"/>
                                          <a:pt x="6" y="65"/>
                                        </a:cubicBezTo>
                                        <a:cubicBezTo>
                                          <a:pt x="6" y="59"/>
                                          <a:pt x="6" y="59"/>
                                          <a:pt x="6" y="59"/>
                                        </a:cubicBezTo>
                                        <a:cubicBezTo>
                                          <a:pt x="6" y="28"/>
                                          <a:pt x="6" y="28"/>
                                          <a:pt x="6" y="28"/>
                                        </a:cubicBezTo>
                                        <a:cubicBezTo>
                                          <a:pt x="170" y="28"/>
                                          <a:pt x="170" y="28"/>
                                          <a:pt x="170" y="28"/>
                                        </a:cubicBezTo>
                                        <a:cubicBezTo>
                                          <a:pt x="170" y="59"/>
                                          <a:pt x="170" y="59"/>
                                          <a:pt x="170" y="59"/>
                                        </a:cubicBezTo>
                                        <a:cubicBezTo>
                                          <a:pt x="170" y="65"/>
                                          <a:pt x="170" y="65"/>
                                          <a:pt x="170" y="65"/>
                                        </a:cubicBezTo>
                                        <a:cubicBezTo>
                                          <a:pt x="170" y="66"/>
                                          <a:pt x="170" y="66"/>
                                          <a:pt x="170" y="66"/>
                                        </a:cubicBezTo>
                                        <a:cubicBezTo>
                                          <a:pt x="170" y="68"/>
                                          <a:pt x="170" y="68"/>
                                          <a:pt x="170" y="68"/>
                                        </a:cubicBezTo>
                                        <a:cubicBezTo>
                                          <a:pt x="170" y="68"/>
                                          <a:pt x="170" y="68"/>
                                          <a:pt x="170" y="68"/>
                                        </a:cubicBezTo>
                                        <a:cubicBezTo>
                                          <a:pt x="170" y="94"/>
                                          <a:pt x="170" y="94"/>
                                          <a:pt x="170" y="94"/>
                                        </a:cubicBezTo>
                                        <a:cubicBezTo>
                                          <a:pt x="6" y="94"/>
                                          <a:pt x="6" y="94"/>
                                          <a:pt x="6" y="94"/>
                                        </a:cubicBezTo>
                                        <a:lnTo>
                                          <a:pt x="6" y="68"/>
                                        </a:lnTo>
                                        <a:close/>
                                        <a:moveTo>
                                          <a:pt x="170" y="6"/>
                                        </a:moveTo>
                                        <a:cubicBezTo>
                                          <a:pt x="170" y="22"/>
                                          <a:pt x="170" y="22"/>
                                          <a:pt x="170" y="22"/>
                                        </a:cubicBezTo>
                                        <a:cubicBezTo>
                                          <a:pt x="6" y="22"/>
                                          <a:pt x="6" y="22"/>
                                          <a:pt x="6" y="22"/>
                                        </a:cubicBezTo>
                                        <a:cubicBezTo>
                                          <a:pt x="6" y="6"/>
                                          <a:pt x="6" y="6"/>
                                          <a:pt x="6" y="6"/>
                                        </a:cubicBezTo>
                                        <a:lnTo>
                                          <a:pt x="170" y="6"/>
                                        </a:lnTo>
                                        <a:close/>
                                        <a:moveTo>
                                          <a:pt x="6" y="117"/>
                                        </a:moveTo>
                                        <a:cubicBezTo>
                                          <a:pt x="6" y="100"/>
                                          <a:pt x="6" y="100"/>
                                          <a:pt x="6" y="100"/>
                                        </a:cubicBezTo>
                                        <a:cubicBezTo>
                                          <a:pt x="170" y="100"/>
                                          <a:pt x="170" y="100"/>
                                          <a:pt x="170" y="100"/>
                                        </a:cubicBezTo>
                                        <a:cubicBezTo>
                                          <a:pt x="170" y="117"/>
                                          <a:pt x="170" y="117"/>
                                          <a:pt x="170" y="117"/>
                                        </a:cubicBezTo>
                                        <a:lnTo>
                                          <a:pt x="6" y="11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880" name="Freeform 6"/>
                                <wps:cNvSpPr>
                                  <a:spLocks noEditPoints="1"/>
                                </wps:cNvSpPr>
                                <wps:spPr bwMode="auto">
                                  <a:xfrm>
                                    <a:off x="190500" y="354690"/>
                                    <a:ext cx="223838" cy="214313"/>
                                  </a:xfrm>
                                  <a:custGeom>
                                    <a:avLst/>
                                    <a:gdLst>
                                      <a:gd name="T0" fmla="*/ 55 w 65"/>
                                      <a:gd name="T1" fmla="*/ 50 h 62"/>
                                      <a:gd name="T2" fmla="*/ 60 w 65"/>
                                      <a:gd name="T3" fmla="*/ 26 h 62"/>
                                      <a:gd name="T4" fmla="*/ 38 w 65"/>
                                      <a:gd name="T5" fmla="*/ 1 h 62"/>
                                      <a:gd name="T6" fmla="*/ 33 w 65"/>
                                      <a:gd name="T7" fmla="*/ 12 h 62"/>
                                      <a:gd name="T8" fmla="*/ 30 w 65"/>
                                      <a:gd name="T9" fmla="*/ 0 h 62"/>
                                      <a:gd name="T10" fmla="*/ 17 w 65"/>
                                      <a:gd name="T11" fmla="*/ 5 h 62"/>
                                      <a:gd name="T12" fmla="*/ 6 w 65"/>
                                      <a:gd name="T13" fmla="*/ 36 h 62"/>
                                      <a:gd name="T14" fmla="*/ 11 w 65"/>
                                      <a:gd name="T15" fmla="*/ 52 h 62"/>
                                      <a:gd name="T16" fmla="*/ 0 w 65"/>
                                      <a:gd name="T17" fmla="*/ 62 h 62"/>
                                      <a:gd name="T18" fmla="*/ 1 w 65"/>
                                      <a:gd name="T19" fmla="*/ 61 h 62"/>
                                      <a:gd name="T20" fmla="*/ 20 w 65"/>
                                      <a:gd name="T21" fmla="*/ 54 h 62"/>
                                      <a:gd name="T22" fmla="*/ 23 w 65"/>
                                      <a:gd name="T23" fmla="*/ 24 h 62"/>
                                      <a:gd name="T24" fmla="*/ 33 w 65"/>
                                      <a:gd name="T25" fmla="*/ 20 h 62"/>
                                      <a:gd name="T26" fmla="*/ 45 w 65"/>
                                      <a:gd name="T27" fmla="*/ 26 h 62"/>
                                      <a:gd name="T28" fmla="*/ 45 w 65"/>
                                      <a:gd name="T29" fmla="*/ 53 h 62"/>
                                      <a:gd name="T30" fmla="*/ 54 w 65"/>
                                      <a:gd name="T31" fmla="*/ 57 h 62"/>
                                      <a:gd name="T32" fmla="*/ 65 w 65"/>
                                      <a:gd name="T33" fmla="*/ 61 h 62"/>
                                      <a:gd name="T34" fmla="*/ 55 w 65"/>
                                      <a:gd name="T35" fmla="*/ 52 h 62"/>
                                      <a:gd name="T36" fmla="*/ 20 w 65"/>
                                      <a:gd name="T37" fmla="*/ 21 h 62"/>
                                      <a:gd name="T38" fmla="*/ 16 w 65"/>
                                      <a:gd name="T39" fmla="*/ 30 h 62"/>
                                      <a:gd name="T40" fmla="*/ 16 w 65"/>
                                      <a:gd name="T41" fmla="*/ 52 h 62"/>
                                      <a:gd name="T42" fmla="*/ 15 w 65"/>
                                      <a:gd name="T43" fmla="*/ 49 h 62"/>
                                      <a:gd name="T44" fmla="*/ 10 w 65"/>
                                      <a:gd name="T45" fmla="*/ 20 h 62"/>
                                      <a:gd name="T46" fmla="*/ 27 w 65"/>
                                      <a:gd name="T47" fmla="*/ 5 h 62"/>
                                      <a:gd name="T48" fmla="*/ 30 w 65"/>
                                      <a:gd name="T49" fmla="*/ 16 h 62"/>
                                      <a:gd name="T50" fmla="*/ 20 w 65"/>
                                      <a:gd name="T51" fmla="*/ 21 h 62"/>
                                      <a:gd name="T52" fmla="*/ 51 w 65"/>
                                      <a:gd name="T53" fmla="*/ 48 h 62"/>
                                      <a:gd name="T54" fmla="*/ 51 w 65"/>
                                      <a:gd name="T55" fmla="*/ 52 h 62"/>
                                      <a:gd name="T56" fmla="*/ 49 w 65"/>
                                      <a:gd name="T57" fmla="*/ 39 h 62"/>
                                      <a:gd name="T58" fmla="*/ 48 w 65"/>
                                      <a:gd name="T59" fmla="*/ 24 h 62"/>
                                      <a:gd name="T60" fmla="*/ 36 w 65"/>
                                      <a:gd name="T61" fmla="*/ 16 h 62"/>
                                      <a:gd name="T62" fmla="*/ 37 w 65"/>
                                      <a:gd name="T63" fmla="*/ 10 h 62"/>
                                      <a:gd name="T64" fmla="*/ 49 w 65"/>
                                      <a:gd name="T65" fmla="*/ 11 h 62"/>
                                      <a:gd name="T66" fmla="*/ 53 w 65"/>
                                      <a:gd name="T67" fmla="*/ 43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 h="62">
                                        <a:moveTo>
                                          <a:pt x="55" y="52"/>
                                        </a:moveTo>
                                        <a:cubicBezTo>
                                          <a:pt x="54" y="51"/>
                                          <a:pt x="54" y="51"/>
                                          <a:pt x="55" y="50"/>
                                        </a:cubicBezTo>
                                        <a:cubicBezTo>
                                          <a:pt x="55" y="48"/>
                                          <a:pt x="56" y="46"/>
                                          <a:pt x="57" y="44"/>
                                        </a:cubicBezTo>
                                        <a:cubicBezTo>
                                          <a:pt x="59" y="38"/>
                                          <a:pt x="61" y="32"/>
                                          <a:pt x="60" y="26"/>
                                        </a:cubicBezTo>
                                        <a:cubicBezTo>
                                          <a:pt x="60" y="19"/>
                                          <a:pt x="57" y="13"/>
                                          <a:pt x="52" y="8"/>
                                        </a:cubicBezTo>
                                        <a:cubicBezTo>
                                          <a:pt x="48" y="5"/>
                                          <a:pt x="43" y="2"/>
                                          <a:pt x="38" y="1"/>
                                        </a:cubicBezTo>
                                        <a:cubicBezTo>
                                          <a:pt x="37" y="0"/>
                                          <a:pt x="37" y="0"/>
                                          <a:pt x="36" y="0"/>
                                        </a:cubicBezTo>
                                        <a:cubicBezTo>
                                          <a:pt x="35" y="4"/>
                                          <a:pt x="34" y="8"/>
                                          <a:pt x="33" y="12"/>
                                        </a:cubicBezTo>
                                        <a:cubicBezTo>
                                          <a:pt x="33" y="12"/>
                                          <a:pt x="33" y="12"/>
                                          <a:pt x="33" y="12"/>
                                        </a:cubicBezTo>
                                        <a:cubicBezTo>
                                          <a:pt x="32" y="8"/>
                                          <a:pt x="31" y="4"/>
                                          <a:pt x="30" y="0"/>
                                        </a:cubicBezTo>
                                        <a:cubicBezTo>
                                          <a:pt x="30" y="0"/>
                                          <a:pt x="30" y="0"/>
                                          <a:pt x="29" y="0"/>
                                        </a:cubicBezTo>
                                        <a:cubicBezTo>
                                          <a:pt x="25" y="1"/>
                                          <a:pt x="21" y="3"/>
                                          <a:pt x="17" y="5"/>
                                        </a:cubicBezTo>
                                        <a:cubicBezTo>
                                          <a:pt x="12" y="9"/>
                                          <a:pt x="8" y="13"/>
                                          <a:pt x="7" y="19"/>
                                        </a:cubicBezTo>
                                        <a:cubicBezTo>
                                          <a:pt x="5" y="24"/>
                                          <a:pt x="5" y="30"/>
                                          <a:pt x="6" y="36"/>
                                        </a:cubicBezTo>
                                        <a:cubicBezTo>
                                          <a:pt x="7" y="41"/>
                                          <a:pt x="9" y="46"/>
                                          <a:pt x="11" y="50"/>
                                        </a:cubicBezTo>
                                        <a:cubicBezTo>
                                          <a:pt x="11" y="51"/>
                                          <a:pt x="11" y="51"/>
                                          <a:pt x="11" y="52"/>
                                        </a:cubicBezTo>
                                        <a:cubicBezTo>
                                          <a:pt x="8" y="54"/>
                                          <a:pt x="6" y="56"/>
                                          <a:pt x="3" y="59"/>
                                        </a:cubicBezTo>
                                        <a:cubicBezTo>
                                          <a:pt x="2" y="60"/>
                                          <a:pt x="1" y="61"/>
                                          <a:pt x="0" y="62"/>
                                        </a:cubicBezTo>
                                        <a:cubicBezTo>
                                          <a:pt x="0" y="62"/>
                                          <a:pt x="0" y="62"/>
                                          <a:pt x="0" y="62"/>
                                        </a:cubicBezTo>
                                        <a:cubicBezTo>
                                          <a:pt x="1" y="62"/>
                                          <a:pt x="1" y="61"/>
                                          <a:pt x="1" y="61"/>
                                        </a:cubicBezTo>
                                        <a:cubicBezTo>
                                          <a:pt x="7" y="59"/>
                                          <a:pt x="13" y="57"/>
                                          <a:pt x="20" y="55"/>
                                        </a:cubicBezTo>
                                        <a:cubicBezTo>
                                          <a:pt x="20" y="54"/>
                                          <a:pt x="20" y="54"/>
                                          <a:pt x="20" y="54"/>
                                        </a:cubicBezTo>
                                        <a:cubicBezTo>
                                          <a:pt x="20" y="46"/>
                                          <a:pt x="20" y="38"/>
                                          <a:pt x="20" y="30"/>
                                        </a:cubicBezTo>
                                        <a:cubicBezTo>
                                          <a:pt x="20" y="27"/>
                                          <a:pt x="20" y="27"/>
                                          <a:pt x="23" y="24"/>
                                        </a:cubicBezTo>
                                        <a:cubicBezTo>
                                          <a:pt x="23" y="24"/>
                                          <a:pt x="23" y="24"/>
                                          <a:pt x="23" y="24"/>
                                        </a:cubicBezTo>
                                        <a:cubicBezTo>
                                          <a:pt x="26" y="22"/>
                                          <a:pt x="29" y="20"/>
                                          <a:pt x="33" y="20"/>
                                        </a:cubicBezTo>
                                        <a:cubicBezTo>
                                          <a:pt x="33" y="20"/>
                                          <a:pt x="34" y="20"/>
                                          <a:pt x="35" y="20"/>
                                        </a:cubicBezTo>
                                        <a:cubicBezTo>
                                          <a:pt x="39" y="21"/>
                                          <a:pt x="42" y="23"/>
                                          <a:pt x="45" y="26"/>
                                        </a:cubicBezTo>
                                        <a:cubicBezTo>
                                          <a:pt x="45" y="27"/>
                                          <a:pt x="45" y="27"/>
                                          <a:pt x="45" y="28"/>
                                        </a:cubicBezTo>
                                        <a:cubicBezTo>
                                          <a:pt x="45" y="37"/>
                                          <a:pt x="45" y="45"/>
                                          <a:pt x="45" y="53"/>
                                        </a:cubicBezTo>
                                        <a:cubicBezTo>
                                          <a:pt x="45" y="54"/>
                                          <a:pt x="45" y="54"/>
                                          <a:pt x="46" y="55"/>
                                        </a:cubicBezTo>
                                        <a:cubicBezTo>
                                          <a:pt x="49" y="56"/>
                                          <a:pt x="51" y="57"/>
                                          <a:pt x="54" y="57"/>
                                        </a:cubicBezTo>
                                        <a:cubicBezTo>
                                          <a:pt x="58" y="59"/>
                                          <a:pt x="61" y="60"/>
                                          <a:pt x="65" y="62"/>
                                        </a:cubicBezTo>
                                        <a:cubicBezTo>
                                          <a:pt x="65" y="62"/>
                                          <a:pt x="65" y="62"/>
                                          <a:pt x="65" y="61"/>
                                        </a:cubicBezTo>
                                        <a:cubicBezTo>
                                          <a:pt x="65" y="61"/>
                                          <a:pt x="65" y="61"/>
                                          <a:pt x="65" y="61"/>
                                        </a:cubicBezTo>
                                        <a:cubicBezTo>
                                          <a:pt x="61" y="58"/>
                                          <a:pt x="58" y="55"/>
                                          <a:pt x="55" y="52"/>
                                        </a:cubicBezTo>
                                        <a:close/>
                                        <a:moveTo>
                                          <a:pt x="20" y="21"/>
                                        </a:moveTo>
                                        <a:cubicBezTo>
                                          <a:pt x="20" y="21"/>
                                          <a:pt x="20" y="21"/>
                                          <a:pt x="20" y="21"/>
                                        </a:cubicBezTo>
                                        <a:cubicBezTo>
                                          <a:pt x="20" y="21"/>
                                          <a:pt x="20" y="21"/>
                                          <a:pt x="20" y="21"/>
                                        </a:cubicBezTo>
                                        <a:cubicBezTo>
                                          <a:pt x="17" y="25"/>
                                          <a:pt x="16" y="26"/>
                                          <a:pt x="16" y="30"/>
                                        </a:cubicBezTo>
                                        <a:cubicBezTo>
                                          <a:pt x="16" y="35"/>
                                          <a:pt x="16" y="35"/>
                                          <a:pt x="16" y="35"/>
                                        </a:cubicBezTo>
                                        <a:cubicBezTo>
                                          <a:pt x="16" y="41"/>
                                          <a:pt x="16" y="46"/>
                                          <a:pt x="16" y="52"/>
                                        </a:cubicBezTo>
                                        <a:cubicBezTo>
                                          <a:pt x="16" y="52"/>
                                          <a:pt x="15" y="52"/>
                                          <a:pt x="15" y="52"/>
                                        </a:cubicBezTo>
                                        <a:cubicBezTo>
                                          <a:pt x="15" y="51"/>
                                          <a:pt x="15" y="50"/>
                                          <a:pt x="15" y="49"/>
                                        </a:cubicBezTo>
                                        <a:cubicBezTo>
                                          <a:pt x="12" y="44"/>
                                          <a:pt x="11" y="39"/>
                                          <a:pt x="10" y="35"/>
                                        </a:cubicBezTo>
                                        <a:cubicBezTo>
                                          <a:pt x="9" y="29"/>
                                          <a:pt x="9" y="25"/>
                                          <a:pt x="10" y="20"/>
                                        </a:cubicBezTo>
                                        <a:cubicBezTo>
                                          <a:pt x="12" y="16"/>
                                          <a:pt x="15" y="12"/>
                                          <a:pt x="19" y="9"/>
                                        </a:cubicBezTo>
                                        <a:cubicBezTo>
                                          <a:pt x="22" y="7"/>
                                          <a:pt x="24" y="6"/>
                                          <a:pt x="27" y="5"/>
                                        </a:cubicBezTo>
                                        <a:cubicBezTo>
                                          <a:pt x="29" y="13"/>
                                          <a:pt x="29" y="13"/>
                                          <a:pt x="29" y="13"/>
                                        </a:cubicBezTo>
                                        <a:cubicBezTo>
                                          <a:pt x="30" y="16"/>
                                          <a:pt x="30" y="16"/>
                                          <a:pt x="30" y="16"/>
                                        </a:cubicBezTo>
                                        <a:cubicBezTo>
                                          <a:pt x="31" y="16"/>
                                          <a:pt x="31" y="16"/>
                                          <a:pt x="31" y="16"/>
                                        </a:cubicBezTo>
                                        <a:cubicBezTo>
                                          <a:pt x="27" y="16"/>
                                          <a:pt x="23" y="18"/>
                                          <a:pt x="20" y="21"/>
                                        </a:cubicBezTo>
                                        <a:close/>
                                        <a:moveTo>
                                          <a:pt x="53" y="43"/>
                                        </a:moveTo>
                                        <a:cubicBezTo>
                                          <a:pt x="53" y="45"/>
                                          <a:pt x="52" y="46"/>
                                          <a:pt x="51" y="48"/>
                                        </a:cubicBezTo>
                                        <a:cubicBezTo>
                                          <a:pt x="51" y="49"/>
                                          <a:pt x="51" y="49"/>
                                          <a:pt x="51" y="49"/>
                                        </a:cubicBezTo>
                                        <a:cubicBezTo>
                                          <a:pt x="50" y="50"/>
                                          <a:pt x="50" y="51"/>
                                          <a:pt x="51" y="52"/>
                                        </a:cubicBezTo>
                                        <a:cubicBezTo>
                                          <a:pt x="50" y="52"/>
                                          <a:pt x="50" y="52"/>
                                          <a:pt x="49" y="52"/>
                                        </a:cubicBezTo>
                                        <a:cubicBezTo>
                                          <a:pt x="49" y="47"/>
                                          <a:pt x="49" y="43"/>
                                          <a:pt x="49" y="39"/>
                                        </a:cubicBezTo>
                                        <a:cubicBezTo>
                                          <a:pt x="49" y="36"/>
                                          <a:pt x="49" y="32"/>
                                          <a:pt x="49" y="28"/>
                                        </a:cubicBezTo>
                                        <a:cubicBezTo>
                                          <a:pt x="49" y="27"/>
                                          <a:pt x="49" y="25"/>
                                          <a:pt x="48" y="24"/>
                                        </a:cubicBezTo>
                                        <a:cubicBezTo>
                                          <a:pt x="44" y="20"/>
                                          <a:pt x="40" y="17"/>
                                          <a:pt x="36" y="16"/>
                                        </a:cubicBezTo>
                                        <a:cubicBezTo>
                                          <a:pt x="36" y="16"/>
                                          <a:pt x="36" y="16"/>
                                          <a:pt x="36" y="16"/>
                                        </a:cubicBezTo>
                                        <a:cubicBezTo>
                                          <a:pt x="37" y="13"/>
                                          <a:pt x="37" y="13"/>
                                          <a:pt x="37" y="13"/>
                                        </a:cubicBezTo>
                                        <a:cubicBezTo>
                                          <a:pt x="37" y="10"/>
                                          <a:pt x="37" y="10"/>
                                          <a:pt x="37" y="10"/>
                                        </a:cubicBezTo>
                                        <a:cubicBezTo>
                                          <a:pt x="39" y="5"/>
                                          <a:pt x="39" y="5"/>
                                          <a:pt x="39" y="5"/>
                                        </a:cubicBezTo>
                                        <a:cubicBezTo>
                                          <a:pt x="43" y="7"/>
                                          <a:pt x="46" y="9"/>
                                          <a:pt x="49" y="11"/>
                                        </a:cubicBezTo>
                                        <a:cubicBezTo>
                                          <a:pt x="53" y="15"/>
                                          <a:pt x="56" y="20"/>
                                          <a:pt x="56" y="26"/>
                                        </a:cubicBezTo>
                                        <a:cubicBezTo>
                                          <a:pt x="57" y="31"/>
                                          <a:pt x="56" y="36"/>
                                          <a:pt x="53" y="4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881" name="Freeform 7"/>
                                <wps:cNvSpPr>
                                  <a:spLocks noEditPoints="1"/>
                                </wps:cNvSpPr>
                                <wps:spPr bwMode="auto">
                                  <a:xfrm>
                                    <a:off x="265113" y="427715"/>
                                    <a:ext cx="76200" cy="79375"/>
                                  </a:xfrm>
                                  <a:custGeom>
                                    <a:avLst/>
                                    <a:gdLst>
                                      <a:gd name="T0" fmla="*/ 16 w 22"/>
                                      <a:gd name="T1" fmla="*/ 9 h 23"/>
                                      <a:gd name="T2" fmla="*/ 14 w 22"/>
                                      <a:gd name="T3" fmla="*/ 9 h 23"/>
                                      <a:gd name="T4" fmla="*/ 14 w 22"/>
                                      <a:gd name="T5" fmla="*/ 9 h 23"/>
                                      <a:gd name="T6" fmla="*/ 13 w 22"/>
                                      <a:gd name="T7" fmla="*/ 8 h 23"/>
                                      <a:gd name="T8" fmla="*/ 12 w 22"/>
                                      <a:gd name="T9" fmla="*/ 4 h 23"/>
                                      <a:gd name="T10" fmla="*/ 11 w 22"/>
                                      <a:gd name="T11" fmla="*/ 0 h 23"/>
                                      <a:gd name="T12" fmla="*/ 10 w 22"/>
                                      <a:gd name="T13" fmla="*/ 1 h 23"/>
                                      <a:gd name="T14" fmla="*/ 8 w 22"/>
                                      <a:gd name="T15" fmla="*/ 8 h 23"/>
                                      <a:gd name="T16" fmla="*/ 7 w 22"/>
                                      <a:gd name="T17" fmla="*/ 9 h 23"/>
                                      <a:gd name="T18" fmla="*/ 7 w 22"/>
                                      <a:gd name="T19" fmla="*/ 9 h 23"/>
                                      <a:gd name="T20" fmla="*/ 5 w 22"/>
                                      <a:gd name="T21" fmla="*/ 9 h 23"/>
                                      <a:gd name="T22" fmla="*/ 0 w 22"/>
                                      <a:gd name="T23" fmla="*/ 9 h 23"/>
                                      <a:gd name="T24" fmla="*/ 0 w 22"/>
                                      <a:gd name="T25" fmla="*/ 9 h 23"/>
                                      <a:gd name="T26" fmla="*/ 0 w 22"/>
                                      <a:gd name="T27" fmla="*/ 9 h 23"/>
                                      <a:gd name="T28" fmla="*/ 0 w 22"/>
                                      <a:gd name="T29" fmla="*/ 9 h 23"/>
                                      <a:gd name="T30" fmla="*/ 6 w 22"/>
                                      <a:gd name="T31" fmla="*/ 14 h 23"/>
                                      <a:gd name="T32" fmla="*/ 6 w 22"/>
                                      <a:gd name="T33" fmla="*/ 15 h 23"/>
                                      <a:gd name="T34" fmla="*/ 4 w 22"/>
                                      <a:gd name="T35" fmla="*/ 22 h 23"/>
                                      <a:gd name="T36" fmla="*/ 4 w 22"/>
                                      <a:gd name="T37" fmla="*/ 23 h 23"/>
                                      <a:gd name="T38" fmla="*/ 11 w 22"/>
                                      <a:gd name="T39" fmla="*/ 18 h 23"/>
                                      <a:gd name="T40" fmla="*/ 18 w 22"/>
                                      <a:gd name="T41" fmla="*/ 23 h 23"/>
                                      <a:gd name="T42" fmla="*/ 17 w 22"/>
                                      <a:gd name="T43" fmla="*/ 22 h 23"/>
                                      <a:gd name="T44" fmla="*/ 15 w 22"/>
                                      <a:gd name="T45" fmla="*/ 15 h 23"/>
                                      <a:gd name="T46" fmla="*/ 16 w 22"/>
                                      <a:gd name="T47" fmla="*/ 14 h 23"/>
                                      <a:gd name="T48" fmla="*/ 21 w 22"/>
                                      <a:gd name="T49" fmla="*/ 9 h 23"/>
                                      <a:gd name="T50" fmla="*/ 22 w 22"/>
                                      <a:gd name="T51" fmla="*/ 9 h 23"/>
                                      <a:gd name="T52" fmla="*/ 21 w 22"/>
                                      <a:gd name="T53" fmla="*/ 9 h 23"/>
                                      <a:gd name="T54" fmla="*/ 16 w 22"/>
                                      <a:gd name="T55" fmla="*/ 9 h 23"/>
                                      <a:gd name="T56" fmla="*/ 14 w 22"/>
                                      <a:gd name="T57" fmla="*/ 12 h 23"/>
                                      <a:gd name="T58" fmla="*/ 13 w 22"/>
                                      <a:gd name="T59" fmla="*/ 15 h 23"/>
                                      <a:gd name="T60" fmla="*/ 14 w 22"/>
                                      <a:gd name="T61" fmla="*/ 17 h 23"/>
                                      <a:gd name="T62" fmla="*/ 12 w 22"/>
                                      <a:gd name="T63" fmla="*/ 16 h 23"/>
                                      <a:gd name="T64" fmla="*/ 11 w 22"/>
                                      <a:gd name="T65" fmla="*/ 15 h 23"/>
                                      <a:gd name="T66" fmla="*/ 10 w 22"/>
                                      <a:gd name="T67" fmla="*/ 16 h 23"/>
                                      <a:gd name="T68" fmla="*/ 7 w 22"/>
                                      <a:gd name="T69" fmla="*/ 17 h 23"/>
                                      <a:gd name="T70" fmla="*/ 8 w 22"/>
                                      <a:gd name="T71" fmla="*/ 16 h 23"/>
                                      <a:gd name="T72" fmla="*/ 7 w 22"/>
                                      <a:gd name="T73" fmla="*/ 12 h 23"/>
                                      <a:gd name="T74" fmla="*/ 5 w 22"/>
                                      <a:gd name="T75" fmla="*/ 11 h 23"/>
                                      <a:gd name="T76" fmla="*/ 7 w 22"/>
                                      <a:gd name="T77" fmla="*/ 11 h 23"/>
                                      <a:gd name="T78" fmla="*/ 10 w 22"/>
                                      <a:gd name="T79" fmla="*/ 9 h 23"/>
                                      <a:gd name="T80" fmla="*/ 11 w 22"/>
                                      <a:gd name="T81" fmla="*/ 7 h 23"/>
                                      <a:gd name="T82" fmla="*/ 11 w 22"/>
                                      <a:gd name="T83" fmla="*/ 9 h 23"/>
                                      <a:gd name="T84" fmla="*/ 14 w 22"/>
                                      <a:gd name="T85" fmla="*/ 11 h 23"/>
                                      <a:gd name="T86" fmla="*/ 14 w 22"/>
                                      <a:gd name="T87" fmla="*/ 11 h 23"/>
                                      <a:gd name="T88" fmla="*/ 16 w 22"/>
                                      <a:gd name="T89" fmla="*/ 11 h 23"/>
                                      <a:gd name="T90" fmla="*/ 16 w 22"/>
                                      <a:gd name="T91" fmla="*/ 11 h 23"/>
                                      <a:gd name="T92" fmla="*/ 14 w 22"/>
                                      <a:gd name="T93" fmla="*/ 1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2" h="23">
                                        <a:moveTo>
                                          <a:pt x="16" y="9"/>
                                        </a:moveTo>
                                        <a:cubicBezTo>
                                          <a:pt x="15" y="9"/>
                                          <a:pt x="15" y="9"/>
                                          <a:pt x="14" y="9"/>
                                        </a:cubicBezTo>
                                        <a:cubicBezTo>
                                          <a:pt x="14" y="9"/>
                                          <a:pt x="14" y="9"/>
                                          <a:pt x="14" y="9"/>
                                        </a:cubicBezTo>
                                        <a:cubicBezTo>
                                          <a:pt x="14" y="9"/>
                                          <a:pt x="13" y="9"/>
                                          <a:pt x="13" y="8"/>
                                        </a:cubicBezTo>
                                        <a:cubicBezTo>
                                          <a:pt x="13" y="7"/>
                                          <a:pt x="12" y="5"/>
                                          <a:pt x="12" y="4"/>
                                        </a:cubicBezTo>
                                        <a:cubicBezTo>
                                          <a:pt x="12" y="3"/>
                                          <a:pt x="11" y="2"/>
                                          <a:pt x="11" y="0"/>
                                        </a:cubicBezTo>
                                        <a:cubicBezTo>
                                          <a:pt x="11" y="1"/>
                                          <a:pt x="11" y="1"/>
                                          <a:pt x="10" y="1"/>
                                        </a:cubicBezTo>
                                        <a:cubicBezTo>
                                          <a:pt x="10" y="3"/>
                                          <a:pt x="9" y="6"/>
                                          <a:pt x="8" y="8"/>
                                        </a:cubicBezTo>
                                        <a:cubicBezTo>
                                          <a:pt x="8" y="9"/>
                                          <a:pt x="8" y="9"/>
                                          <a:pt x="7" y="9"/>
                                        </a:cubicBezTo>
                                        <a:cubicBezTo>
                                          <a:pt x="7" y="9"/>
                                          <a:pt x="7" y="9"/>
                                          <a:pt x="7" y="9"/>
                                        </a:cubicBezTo>
                                        <a:cubicBezTo>
                                          <a:pt x="6" y="9"/>
                                          <a:pt x="6" y="9"/>
                                          <a:pt x="5" y="9"/>
                                        </a:cubicBezTo>
                                        <a:cubicBezTo>
                                          <a:pt x="3" y="9"/>
                                          <a:pt x="2" y="9"/>
                                          <a:pt x="0" y="9"/>
                                        </a:cubicBezTo>
                                        <a:cubicBezTo>
                                          <a:pt x="0" y="9"/>
                                          <a:pt x="0" y="9"/>
                                          <a:pt x="0" y="9"/>
                                        </a:cubicBezTo>
                                        <a:cubicBezTo>
                                          <a:pt x="0" y="9"/>
                                          <a:pt x="0" y="9"/>
                                          <a:pt x="0" y="9"/>
                                        </a:cubicBezTo>
                                        <a:cubicBezTo>
                                          <a:pt x="0" y="9"/>
                                          <a:pt x="0" y="9"/>
                                          <a:pt x="0" y="9"/>
                                        </a:cubicBezTo>
                                        <a:cubicBezTo>
                                          <a:pt x="2" y="11"/>
                                          <a:pt x="4" y="12"/>
                                          <a:pt x="6" y="14"/>
                                        </a:cubicBezTo>
                                        <a:cubicBezTo>
                                          <a:pt x="6" y="14"/>
                                          <a:pt x="6" y="14"/>
                                          <a:pt x="6" y="15"/>
                                        </a:cubicBezTo>
                                        <a:cubicBezTo>
                                          <a:pt x="5" y="17"/>
                                          <a:pt x="5" y="20"/>
                                          <a:pt x="4" y="22"/>
                                        </a:cubicBezTo>
                                        <a:cubicBezTo>
                                          <a:pt x="4" y="23"/>
                                          <a:pt x="4" y="23"/>
                                          <a:pt x="4" y="23"/>
                                        </a:cubicBezTo>
                                        <a:cubicBezTo>
                                          <a:pt x="6" y="21"/>
                                          <a:pt x="8" y="19"/>
                                          <a:pt x="11" y="18"/>
                                        </a:cubicBezTo>
                                        <a:cubicBezTo>
                                          <a:pt x="13" y="19"/>
                                          <a:pt x="15" y="21"/>
                                          <a:pt x="18" y="23"/>
                                        </a:cubicBezTo>
                                        <a:cubicBezTo>
                                          <a:pt x="18" y="22"/>
                                          <a:pt x="17" y="22"/>
                                          <a:pt x="17" y="22"/>
                                        </a:cubicBezTo>
                                        <a:cubicBezTo>
                                          <a:pt x="17" y="19"/>
                                          <a:pt x="16" y="17"/>
                                          <a:pt x="15" y="15"/>
                                        </a:cubicBezTo>
                                        <a:cubicBezTo>
                                          <a:pt x="15" y="14"/>
                                          <a:pt x="15" y="14"/>
                                          <a:pt x="16" y="14"/>
                                        </a:cubicBezTo>
                                        <a:cubicBezTo>
                                          <a:pt x="17" y="12"/>
                                          <a:pt x="19" y="11"/>
                                          <a:pt x="21" y="9"/>
                                        </a:cubicBezTo>
                                        <a:cubicBezTo>
                                          <a:pt x="21" y="9"/>
                                          <a:pt x="22" y="9"/>
                                          <a:pt x="22" y="9"/>
                                        </a:cubicBezTo>
                                        <a:cubicBezTo>
                                          <a:pt x="21" y="9"/>
                                          <a:pt x="21" y="9"/>
                                          <a:pt x="21" y="9"/>
                                        </a:cubicBezTo>
                                        <a:cubicBezTo>
                                          <a:pt x="19" y="9"/>
                                          <a:pt x="18" y="9"/>
                                          <a:pt x="16" y="9"/>
                                        </a:cubicBezTo>
                                        <a:close/>
                                        <a:moveTo>
                                          <a:pt x="14" y="12"/>
                                        </a:moveTo>
                                        <a:cubicBezTo>
                                          <a:pt x="14" y="13"/>
                                          <a:pt x="13" y="14"/>
                                          <a:pt x="13" y="15"/>
                                        </a:cubicBezTo>
                                        <a:cubicBezTo>
                                          <a:pt x="14" y="16"/>
                                          <a:pt x="14" y="17"/>
                                          <a:pt x="14" y="17"/>
                                        </a:cubicBezTo>
                                        <a:cubicBezTo>
                                          <a:pt x="12" y="16"/>
                                          <a:pt x="12" y="16"/>
                                          <a:pt x="12" y="16"/>
                                        </a:cubicBezTo>
                                        <a:cubicBezTo>
                                          <a:pt x="11" y="15"/>
                                          <a:pt x="11" y="15"/>
                                          <a:pt x="11" y="15"/>
                                        </a:cubicBezTo>
                                        <a:cubicBezTo>
                                          <a:pt x="10" y="16"/>
                                          <a:pt x="10" y="16"/>
                                          <a:pt x="10" y="16"/>
                                        </a:cubicBezTo>
                                        <a:cubicBezTo>
                                          <a:pt x="7" y="17"/>
                                          <a:pt x="7" y="17"/>
                                          <a:pt x="7" y="17"/>
                                        </a:cubicBezTo>
                                        <a:cubicBezTo>
                                          <a:pt x="8" y="17"/>
                                          <a:pt x="8" y="16"/>
                                          <a:pt x="8" y="16"/>
                                        </a:cubicBezTo>
                                        <a:cubicBezTo>
                                          <a:pt x="9" y="14"/>
                                          <a:pt x="8" y="13"/>
                                          <a:pt x="7" y="12"/>
                                        </a:cubicBezTo>
                                        <a:cubicBezTo>
                                          <a:pt x="6" y="12"/>
                                          <a:pt x="6" y="11"/>
                                          <a:pt x="5" y="11"/>
                                        </a:cubicBezTo>
                                        <a:cubicBezTo>
                                          <a:pt x="6" y="11"/>
                                          <a:pt x="7" y="11"/>
                                          <a:pt x="7" y="11"/>
                                        </a:cubicBezTo>
                                        <a:cubicBezTo>
                                          <a:pt x="9" y="11"/>
                                          <a:pt x="10" y="10"/>
                                          <a:pt x="10" y="9"/>
                                        </a:cubicBezTo>
                                        <a:cubicBezTo>
                                          <a:pt x="10" y="8"/>
                                          <a:pt x="11" y="8"/>
                                          <a:pt x="11" y="7"/>
                                        </a:cubicBezTo>
                                        <a:cubicBezTo>
                                          <a:pt x="11" y="8"/>
                                          <a:pt x="11" y="8"/>
                                          <a:pt x="11" y="9"/>
                                        </a:cubicBezTo>
                                        <a:cubicBezTo>
                                          <a:pt x="12" y="10"/>
                                          <a:pt x="13" y="11"/>
                                          <a:pt x="14" y="11"/>
                                        </a:cubicBezTo>
                                        <a:cubicBezTo>
                                          <a:pt x="14" y="11"/>
                                          <a:pt x="14" y="11"/>
                                          <a:pt x="14" y="11"/>
                                        </a:cubicBezTo>
                                        <a:cubicBezTo>
                                          <a:pt x="15" y="11"/>
                                          <a:pt x="15" y="11"/>
                                          <a:pt x="16" y="11"/>
                                        </a:cubicBezTo>
                                        <a:cubicBezTo>
                                          <a:pt x="16" y="11"/>
                                          <a:pt x="16" y="11"/>
                                          <a:pt x="16" y="11"/>
                                        </a:cubicBezTo>
                                        <a:cubicBezTo>
                                          <a:pt x="16" y="11"/>
                                          <a:pt x="15" y="12"/>
                                          <a:pt x="14" y="1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inline>
                  </w:drawing>
                </mc:Choice>
                <mc:Fallback>
                  <w:pict>
                    <v:group w14:anchorId="186A2EA3" id="Group 218" o:spid="_x0000_s1026" alt="&quot;&quot;" style="width:27.15pt;height:40.55pt;mso-position-horizontal-relative:char;mso-position-vertical-relative:line" coordsize="310310,4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">
                      <v:shape id="Freeform 6" o:spid="_x0000_s1027" style="position:absolute;left:1981;width:308329;height:216687;visibility:visible;mso-wrap-style:square;v-text-anchor:top" coordsize="17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" path="m175,62v1,,1,,1,-1c176,61,176,61,175,60,176,6,176,6,176,6,176,3,173,,170,,5,,5,,5,,2,,,3,,6,,67,,67,,67v,1,,1,,1c,117,,117,,117v,3,2,6,5,6c170,123,170,123,170,123v3,,6,-3,6,-6c176,68,176,68,176,68v,,-1,,-1,-1l175,62xm170,6v-1,52,-1,52,-1,52c120,58,120,58,120,58,118,42,104,29,88,29,71,29,57,42,55,58,6,58,6,58,6,58,6,6,6,6,6,6r164,xm114,61v,15,-12,27,-26,27c73,88,61,76,61,61,61,47,73,35,88,35v14,,26,12,26,26xm170,117c6,117,6,117,6,117,6,68,6,68,6,68v,,,,,c6,68,6,68,6,68v,-4,,-4,,-4c55,64,55,64,55,64v2,17,16,30,33,30c104,94,118,81,120,64v49,,49,,49,c169,68,169,68,169,68v,,,,1,l170,117xe" filled="f" stroked="f">
                        <v:path arrowok="t" o:connecttype="custom" o:connectlocs="306577,109224;308329,107463;306577,105701;308329,10570;297818,0;8759,0;0,10570;0,118033;0,119794;0,206117;8759,216687;297818,216687;308329,206117;308329,119794;306577,118033;306577,109224;297818,10570;296066,102178;210224,102178;154165,51089;96353,102178;10511,102178;10511,10570;297818,10570;199713,107463;154165,155028;106864,107463;154165,61659;199713,107463;297818,206117;10511,206117;10511,119794;10511,119794;10511,119794;10511,112748;96353,112748;154165,165598;210224,112748;296066,112748;296066,119794;297818,119794;297818,206117" o:connectangles="0,0,0,0,0,0,0,0,0,0,0,0,0,0,0,0,0,0,0,0,0,0,0,0,0,0,0,0,0,0,0,0,0,0,0,0,0,0,0,0,0,0"/>
                        <o:lock v:ext="edit" aspectratio="t" verticies="t"/>
                      </v:shape>
                      <v:group id="Group 27878" o:spid="_x0000_s1028" style="position:absolute;top:246740;width:308329;height:216555" coordorigin=",2467" coordsize="6080,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">
                        <o:lock v:ext="edit" aspectratio="t"/>
                        <v:shape id="Freeform 5" o:spid="_x0000_s1029" style="position:absolute;top:2467;width:6080;height:4270;visibility:visible;mso-wrap-style:square;v-text-anchor:top" coordsize="17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" path="m176,63v,-1,,-1,,-1c176,61,176,61,176,61v,-55,,-55,,-55c176,3,173,,170,,5,,5,,5,,2,,,3,,6,,68,,68,,68v,,,,,c,117,,117,,117v,3,2,6,5,6c170,123,170,123,170,123v3,,6,-3,6,-6c176,68,176,68,176,68v,,,,,l176,63xm6,68v,,,,,c6,68,6,68,6,68v,-3,,-3,,-3c6,59,6,59,6,59,6,28,6,28,6,28v164,,164,,164,c170,59,170,59,170,59v,6,,6,,6c170,66,170,66,170,66v,2,,2,,2c170,68,170,68,170,68v,26,,26,,26c6,94,6,94,6,94l6,68xm170,6v,16,,16,,16c6,22,6,22,6,22,6,6,6,6,6,6r164,xm6,117v,-17,,-17,,-17c170,100,170,100,170,100v,17,,17,,17l6,117xe" filled="f" stroked="f">
                          <v:path arrowok="t" o:connecttype="custom" o:connectlocs="608013,218727;608013,215255;608013,211783;608013,20831;587285,0;17273,0;0,20831;0,236086;0,236086;0,406207;17273,427038;587285,427038;608013,406207;608013,236086;608013,236086;608013,218727;20728,236086;20728,236086;20728,236086;20728,225670;20728,204839;20728,97212;587285,97212;587285,204839;587285,225670;587285,229142;587285,236086;587285,236086;587285,326354;20728,326354;20728,236086;587285,20831;587285,76381;20728,76381;20728,20831;587285,20831;20728,406207;20728,347185;587285,347185;587285,406207;20728,406207" o:connectangles="0,0,0,0,0,0,0,0,0,0,0,0,0,0,0,0,0,0,0,0,0,0,0,0,0,0,0,0,0,0,0,0,0,0,0,0,0,0,0,0,0"/>
                          <o:lock v:ext="edit" verticies="t"/>
                        </v:shape>
                        <v:shape id="Freeform 6" o:spid="_x0000_s1030" style="position:absolute;left:1905;top:3546;width:2238;height:2144;visibility:visible;mso-wrap-style:square;v-text-anchor:top" coordsize="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" path="m55,52v-1,-1,-1,-1,,-2c55,48,56,46,57,44v2,-6,4,-12,3,-18c60,19,57,13,52,8,48,5,43,2,38,1,37,,37,,36,,35,4,34,8,33,12v,,,,,c32,8,31,4,30,v,,,,-1,c25,1,21,3,17,5,12,9,8,13,7,19,5,24,5,30,6,36v1,5,3,10,5,14c11,51,11,51,11,52,8,54,6,56,3,59,2,60,1,61,,62v,,,,,c1,62,1,61,1,61,7,59,13,57,20,55v,-1,,-1,,-1c20,46,20,38,20,30v,-3,,-3,3,-6c23,24,23,24,23,24v3,-2,6,-4,10,-4c33,20,34,20,35,20v4,1,7,3,10,6c45,27,45,27,45,28v,9,,17,,25c45,54,45,54,46,55v3,1,5,2,8,2c58,59,61,60,65,62v,,,,,-1c65,61,65,61,65,61,61,58,58,55,55,52xm20,21v,,,,,c20,21,20,21,20,21v-3,4,-4,5,-4,9c16,35,16,35,16,35v,6,,11,,17c16,52,15,52,15,52v,-1,,-2,,-3c12,44,11,39,10,35,9,29,9,25,10,20v2,-4,5,-8,9,-11c22,7,24,6,27,5v2,8,2,8,2,8c30,16,30,16,30,16v1,,1,,1,c27,16,23,18,20,21xm53,43v,2,-1,3,-2,5c51,49,51,49,51,49v-1,1,-1,2,,3c50,52,50,52,49,52v,-5,,-9,,-13c49,36,49,32,49,28v,-1,,-3,-1,-4c44,20,40,17,36,16v,,,,,c37,13,37,13,37,13v,-3,,-3,,-3c39,5,39,5,39,5v4,2,7,4,10,6c53,15,56,20,56,26v1,5,,10,-3,17xe" filled="f" stroked="f">
                          <v:path arrowok="t" o:connecttype="custom" o:connectlocs="189401,172833;206620,89873;130859,3457;113641,41480;103310,0;58542,17283;20662,124440;37880,179746;0,214313;3444,210856;68873,186660;79204,82960;113641,69133;154965,89873;154965,183203;185958,197030;223838,210856;189401,179746;68873,72590;55099,103700;55099,179746;51655,169376;34437,69133;92979,17283;103310,55307;68873,72590;175627,165920;175627,179746;168739,134810;165296,82960;123972,55307;127415,34567;168739,38023;182514,148636" o:connectangles="0,0,0,0,0,0,0,0,0,0,0,0,0,0,0,0,0,0,0,0,0,0,0,0,0,0,0,0,0,0,0,0,0,0"/>
                          <o:lock v:ext="edit" verticies="t"/>
                        </v:shape>
                        <v:shape id="Freeform 7" o:spid="_x0000_s1031" style="position:absolute;left:2651;top:4277;width:762;height:79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" path="m16,9v-1,,-1,,-2,c14,9,14,9,14,9v,,-1,,-1,-1c13,7,12,5,12,4,12,3,11,2,11,v,1,,1,-1,1c10,3,9,6,8,8v,1,,1,-1,1c7,9,7,9,7,9,6,9,6,9,5,9,3,9,2,9,,9v,,,,,c,9,,9,,9v,,,,,c2,11,4,12,6,14v,,,,,1c5,17,5,20,4,22v,1,,1,,1c6,21,8,19,11,18v2,1,4,3,7,5c18,22,17,22,17,22v,-3,-1,-5,-2,-7c15,14,15,14,16,14v1,-2,3,-3,5,-5c21,9,22,9,22,9v-1,,-1,,-1,c19,9,18,9,16,9xm14,12v,1,-1,2,-1,3c14,16,14,17,14,17,12,16,12,16,12,16,11,15,11,15,11,15v-1,1,-1,1,-1,1c7,17,7,17,7,17v1,,1,-1,1,-1c9,14,8,13,7,12,6,12,6,11,5,11v1,,2,,2,c9,11,10,10,10,9v,-1,1,-1,1,-2c11,8,11,8,11,9v1,1,2,2,3,2c14,11,14,11,14,11v1,,1,,2,c16,11,16,11,16,11v,,-1,1,-2,1xe" filled="f" stroked="f">
                          <v:path arrowok="t" o:connecttype="custom" o:connectlocs="55418,31060;48491,31060;48491,31060;45027,27609;41564,13804;38100,0;34636,3451;27709,27609;24245,31060;24245,31060;17318,31060;0,31060;0,31060;0,31060;0,31060;20782,48315;20782,51766;13855,75924;13855,79375;38100,62120;62345,79375;58882,75924;51955,51766;55418,48315;72736,31060;76200,31060;72736,31060;55418,31060;48491,41413;45027,51766;48491,58668;41564,55217;38100,51766;34636,55217;24245,58668;27709,55217;24245,41413;17318,37962;24245,37962;34636,31060;38100,24158;38100,31060;48491,37962;48491,37962;55418,37962;55418,37962;48491,41413" o:connectangles="0,0,0,0,0,0,0,0,0,0,0,0,0,0,0,0,0,0,0,0,0,0,0,0,0,0,0,0,0,0,0,0,0,0,0,0,0,0,0,0,0,0,0,0,0,0,0"/>
                          <o:lock v:ext="edit" verticies="t"/>
                        </v:shape>
                      </v:group>
                      <w10:anchorlock/>
                    </v:group>
                  </w:pict>
                </mc:Fallback>
              </mc:AlternateContent>
            </w:r>
          </w:p>
          <w:p w14:paraId="54D3D029" w14:textId="2DCCD92C" w:rsidR="001158BB" w:rsidRPr="005825BD" w:rsidRDefault="001158BB" w:rsidP="00A117E4">
            <w:pPr>
              <w:pStyle w:val="TableNheader"/>
            </w:pPr>
            <w:r w:rsidRPr="005825BD">
              <w:t>People who identify as Aboriginal and/or Torres Strait Islander</w:t>
            </w:r>
          </w:p>
        </w:tc>
        <w:tc>
          <w:tcPr>
            <w:tcW w:w="3119" w:type="dxa"/>
            <w:tcBorders>
              <w:top w:val="single" w:sz="24" w:space="0" w:color="00264D" w:themeColor="background2"/>
            </w:tcBorders>
            <w:shd w:val="clear" w:color="auto" w:fill="auto"/>
          </w:tcPr>
          <w:p w14:paraId="5CE5916E" w14:textId="4CFF14DE" w:rsidR="001158BB" w:rsidRPr="00623868" w:rsidRDefault="001158BB" w:rsidP="00623868">
            <w:bookmarkStart w:id="145" w:name="_Hlk110597585"/>
            <w:r w:rsidRPr="00623868">
              <w:t>The evaluation was unable to comment on the differences from the perspective of Aboriginal and Torres Strait Islander participants as there were a limited number of Aboriginal and Torres Strait Islander participants who participated in interviews.</w:t>
            </w:r>
            <w:bookmarkEnd w:id="145"/>
          </w:p>
        </w:tc>
        <w:tc>
          <w:tcPr>
            <w:tcW w:w="3958" w:type="dxa"/>
            <w:tcBorders>
              <w:top w:val="single" w:sz="24" w:space="0" w:color="00264D" w:themeColor="background2"/>
            </w:tcBorders>
            <w:shd w:val="clear" w:color="auto" w:fill="auto"/>
          </w:tcPr>
          <w:p w14:paraId="52CEA7B5" w14:textId="2570574C" w:rsidR="001158BB" w:rsidRPr="00623868" w:rsidRDefault="001158BB" w:rsidP="00623868">
            <w:r w:rsidRPr="00623868">
              <w:t xml:space="preserve">Anecdotally, stakeholders from the Beyond Blue Aboriginal Governance Group and The Way Back staff suggested that it was important The Way Back should be culturally safe and appropriate for Aboriginal and Torres Strait Islander participants. It was also important that participants maintained their connection to their community throughout their journey to recovery. </w:t>
            </w:r>
            <w:r w:rsidR="000C36A6" w:rsidRPr="00623868">
              <w:t>R</w:t>
            </w:r>
            <w:r w:rsidRPr="00623868">
              <w:t xml:space="preserve">ecommendations </w:t>
            </w:r>
            <w:r w:rsidR="00B7611D" w:rsidRPr="00623868">
              <w:t xml:space="preserve">for </w:t>
            </w:r>
            <w:r w:rsidR="009423CC" w:rsidRPr="00623868">
              <w:t xml:space="preserve">identifying how </w:t>
            </w:r>
            <w:r w:rsidRPr="00623868">
              <w:t xml:space="preserve">aftercare services </w:t>
            </w:r>
            <w:r w:rsidR="009423CC" w:rsidRPr="00623868">
              <w:t xml:space="preserve">could be better </w:t>
            </w:r>
            <w:r w:rsidRPr="00623868">
              <w:t xml:space="preserve">delivered to Aboriginal and Torres Strait participants is outlined </w:t>
            </w:r>
            <w:r w:rsidR="00CE0B54" w:rsidRPr="00623868">
              <w:t xml:space="preserve">section </w:t>
            </w:r>
            <w:r w:rsidR="00FD1757" w:rsidRPr="00623868">
              <w:fldChar w:fldCharType="begin"/>
            </w:r>
            <w:r w:rsidR="00FD1757" w:rsidRPr="00623868">
              <w:instrText xml:space="preserve"> REF _Ref118285879 \n \h </w:instrText>
            </w:r>
            <w:r w:rsidR="00242AE2" w:rsidRPr="00623868">
              <w:instrText xml:space="preserve"> \* MERGEFORMAT </w:instrText>
            </w:r>
            <w:r w:rsidR="00FD1757" w:rsidRPr="00623868">
              <w:fldChar w:fldCharType="separate"/>
            </w:r>
            <w:r w:rsidR="00402362" w:rsidRPr="00623868">
              <w:t>10.1</w:t>
            </w:r>
            <w:r w:rsidR="00FD1757" w:rsidRPr="00623868">
              <w:fldChar w:fldCharType="end"/>
            </w:r>
            <w:r w:rsidR="00CE0B54" w:rsidRPr="00623868">
              <w:t xml:space="preserve">, recommendation </w:t>
            </w:r>
            <w:r w:rsidR="006F204D" w:rsidRPr="00623868">
              <w:t>5</w:t>
            </w:r>
            <w:r w:rsidR="00FD1757" w:rsidRPr="00623868">
              <w:t>.</w:t>
            </w:r>
            <w:r w:rsidRPr="00623868">
              <w:t xml:space="preserve"> </w:t>
            </w:r>
            <w:r w:rsidR="003B3A96" w:rsidRPr="00623868">
              <w:t>I</w:t>
            </w:r>
            <w:r w:rsidRPr="00623868">
              <w:t>n section</w:t>
            </w:r>
            <w:r w:rsidR="002B5294" w:rsidRPr="00623868">
              <w:t xml:space="preserve"> </w:t>
            </w:r>
            <w:r w:rsidR="002B5294" w:rsidRPr="00623868">
              <w:fldChar w:fldCharType="begin"/>
            </w:r>
            <w:r w:rsidR="002B5294" w:rsidRPr="00623868">
              <w:instrText xml:space="preserve"> REF _Ref118285879 \n \h </w:instrText>
            </w:r>
            <w:r w:rsidR="00242AE2" w:rsidRPr="00623868">
              <w:instrText xml:space="preserve"> \* MERGEFORMAT </w:instrText>
            </w:r>
            <w:r w:rsidR="002B5294" w:rsidRPr="00623868">
              <w:fldChar w:fldCharType="separate"/>
            </w:r>
            <w:r w:rsidR="00402362" w:rsidRPr="00623868">
              <w:t>10.1</w:t>
            </w:r>
            <w:r w:rsidR="002B5294" w:rsidRPr="00623868">
              <w:fldChar w:fldCharType="end"/>
            </w:r>
            <w:r w:rsidRPr="00623868">
              <w:t>.</w:t>
            </w:r>
          </w:p>
        </w:tc>
      </w:tr>
      <w:tr w:rsidR="005C548A" w:rsidRPr="005825BD" w14:paraId="317D9BC6" w14:textId="10CA6EB0" w:rsidTr="00F77C16">
        <w:tc>
          <w:tcPr>
            <w:tcW w:w="1823" w:type="dxa"/>
            <w:shd w:val="clear" w:color="auto" w:fill="E6E6E1" w:themeFill="accent5"/>
          </w:tcPr>
          <w:p w14:paraId="5C634E0D" w14:textId="78D6324A" w:rsidR="001158BB" w:rsidRPr="005825BD" w:rsidRDefault="001158BB" w:rsidP="00A117E4">
            <w:pPr>
              <w:pStyle w:val="TableNheader"/>
            </w:pPr>
            <w:r w:rsidRPr="005825BD">
              <w:t>People who are</w:t>
            </w:r>
            <w:r>
              <w:t xml:space="preserve"> from CALD backgrounds</w:t>
            </w:r>
            <w:r w:rsidRPr="005825BD">
              <w:t xml:space="preserve"> </w:t>
            </w:r>
          </w:p>
        </w:tc>
        <w:tc>
          <w:tcPr>
            <w:tcW w:w="3119" w:type="dxa"/>
            <w:shd w:val="clear" w:color="auto" w:fill="auto"/>
          </w:tcPr>
          <w:p w14:paraId="01E28A1D" w14:textId="77777777" w:rsidR="001158BB" w:rsidRPr="00623868" w:rsidRDefault="001158BB" w:rsidP="00623868">
            <w:r w:rsidRPr="00623868">
              <w:t xml:space="preserve">Participants from CALD backgrounds often reported that it was difficult to talk about their mental health with their friends and family because of the negative </w:t>
            </w:r>
            <w:r w:rsidRPr="00623868">
              <w:lastRenderedPageBreak/>
              <w:t xml:space="preserve">stigma associated with suicide and mental health in their culture. </w:t>
            </w:r>
          </w:p>
          <w:p w14:paraId="68B6378A" w14:textId="70D060B0" w:rsidR="001158BB" w:rsidRPr="00623868" w:rsidRDefault="001158BB" w:rsidP="00623868">
            <w:r w:rsidRPr="00623868">
              <w:t>Participants of CALD backgrounds were also more likely to report that part of their suicidality stemmed from being isolated from their friends and family (either because their mental health issues affected their ability to connect with their loved ones, it was difficult to talk about the issues they were facing due to stigma, or because they were physically unable to see their friends and family, often due to the COVID-19 pandemic).</w:t>
            </w:r>
          </w:p>
        </w:tc>
        <w:tc>
          <w:tcPr>
            <w:tcW w:w="3958" w:type="dxa"/>
            <w:shd w:val="clear" w:color="auto" w:fill="auto"/>
          </w:tcPr>
          <w:p w14:paraId="7FE6A8FA" w14:textId="20A5DB12" w:rsidR="001158BB" w:rsidRPr="00623868" w:rsidRDefault="224CDD04" w:rsidP="00623868">
            <w:r w:rsidRPr="00623868">
              <w:lastRenderedPageBreak/>
              <w:t xml:space="preserve">Not having people in their </w:t>
            </w:r>
            <w:proofErr w:type="gramStart"/>
            <w:r w:rsidRPr="00623868">
              <w:t>life</w:t>
            </w:r>
            <w:proofErr w:type="gramEnd"/>
            <w:r w:rsidRPr="00623868">
              <w:t xml:space="preserve"> they could talk to</w:t>
            </w:r>
            <w:r w:rsidR="1648F9AB" w:rsidRPr="00623868">
              <w:t xml:space="preserve"> meant that they especially valued having a support coordinator who was non-judgemental and open to the issues they </w:t>
            </w:r>
            <w:r w:rsidR="1648F9AB" w:rsidRPr="00623868">
              <w:lastRenderedPageBreak/>
              <w:t xml:space="preserve">were facing and was someone they could relate to (i.e. share mutual experiences). </w:t>
            </w:r>
          </w:p>
          <w:p w14:paraId="41050478" w14:textId="0A8A15FB" w:rsidR="001158BB" w:rsidRPr="00623868" w:rsidRDefault="001158BB" w:rsidP="00623868">
            <w:r w:rsidRPr="00623868">
              <w:t>Participants highlighted the importance of reconnecting with friends and family as an important part of their recovery.</w:t>
            </w:r>
          </w:p>
        </w:tc>
      </w:tr>
      <w:tr w:rsidR="005C548A" w:rsidRPr="005825BD" w14:paraId="53DEAB34" w14:textId="6B528D5C" w:rsidTr="00F77C16">
        <w:tc>
          <w:tcPr>
            <w:tcW w:w="1823" w:type="dxa"/>
            <w:shd w:val="clear" w:color="auto" w:fill="E6E6E1" w:themeFill="accent5"/>
          </w:tcPr>
          <w:p w14:paraId="4C570BF5" w14:textId="388B17D9" w:rsidR="001158BB" w:rsidRPr="005825BD" w:rsidRDefault="2B960F8C" w:rsidP="00A117E4">
            <w:pPr>
              <w:pStyle w:val="TableNheader"/>
            </w:pPr>
            <w:r>
              <w:rPr>
                <w:noProof/>
              </w:rPr>
              <w:lastRenderedPageBreak/>
              <w:drawing>
                <wp:inline distT="0" distB="0" distL="0" distR="0" wp14:anchorId="5974AF01" wp14:editId="42BA7CF8">
                  <wp:extent cx="517760" cy="180614"/>
                  <wp:effectExtent l="0" t="171450" r="0" b="162560"/>
                  <wp:docPr id="159" name="Graphic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phic 158">
                            <a:extLst>
                              <a:ext uri="{C183D7F6-B498-43B3-948B-1728B52AA6E4}">
                                <adec:decorative xmlns:adec="http://schemas.microsoft.com/office/drawing/2017/decorative" val="1"/>
                              </a:ext>
                            </a:extLst>
                          </pic:cNvPr>
                          <pic:cNvPicPr/>
                        </pic:nvPicPr>
                        <pic:blipFill>
                          <a:blip r:embed="rId99">
                            <a:extLst>
                              <a:ext uri="{FF2B5EF4-FFF2-40B4-BE49-F238E27FC236}">
                                <a16:creationId xmlns:oel="http://schemas.microsoft.com/office/2019/extlst" xmlns:arto="http://schemas.microsoft.com/office/word/2006/arto"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4A53795D-3A9E-4882-A2B4-68538483C7E2}"/>
                              </a:ext>
                            </a:extLst>
                          </a:blip>
                          <a:stretch>
                            <a:fillRect/>
                          </a:stretch>
                        </pic:blipFill>
                        <pic:spPr>
                          <a:xfrm rot="18900000">
                            <a:off x="0" y="0"/>
                            <a:ext cx="517760" cy="180614"/>
                          </a:xfrm>
                          <a:prstGeom prst="rect">
                            <a:avLst/>
                          </a:prstGeom>
                        </pic:spPr>
                      </pic:pic>
                    </a:graphicData>
                  </a:graphic>
                </wp:inline>
              </w:drawing>
            </w:r>
          </w:p>
          <w:p w14:paraId="42728A13" w14:textId="77777777" w:rsidR="001158BB" w:rsidRPr="005825BD" w:rsidRDefault="001158BB" w:rsidP="00A117E4">
            <w:pPr>
              <w:pStyle w:val="TableNheader"/>
            </w:pPr>
            <w:r w:rsidRPr="005825BD">
              <w:t>People who experience alcohol and/or other drug (AOD) issues</w:t>
            </w:r>
          </w:p>
        </w:tc>
        <w:tc>
          <w:tcPr>
            <w:tcW w:w="3119" w:type="dxa"/>
            <w:shd w:val="clear" w:color="auto" w:fill="auto"/>
          </w:tcPr>
          <w:p w14:paraId="74F41BE2" w14:textId="21C65F61" w:rsidR="001158BB" w:rsidRPr="00623868" w:rsidRDefault="001158BB" w:rsidP="00623868">
            <w:r w:rsidRPr="00623868">
              <w:t xml:space="preserve">Participants reported that their readiness to engage in AOD services before or during their support from The Way Back was often important to their recovery journey. </w:t>
            </w:r>
          </w:p>
        </w:tc>
        <w:tc>
          <w:tcPr>
            <w:tcW w:w="3958" w:type="dxa"/>
            <w:shd w:val="clear" w:color="auto" w:fill="auto"/>
          </w:tcPr>
          <w:p w14:paraId="5905FDC1" w14:textId="28F057E7" w:rsidR="001158BB" w:rsidRPr="00623868" w:rsidRDefault="001158BB" w:rsidP="00623868">
            <w:r w:rsidRPr="00623868">
              <w:t xml:space="preserve">Participants shared that while they were offered AOD services, they weren’t always ready to engage. </w:t>
            </w:r>
            <w:r w:rsidR="005C0210" w:rsidRPr="00623868">
              <w:t xml:space="preserve">Analysis of the </w:t>
            </w:r>
            <w:r w:rsidRPr="00623868">
              <w:t xml:space="preserve">PMHC MDS </w:t>
            </w:r>
            <w:r w:rsidR="005C0210" w:rsidRPr="00623868">
              <w:t xml:space="preserve">between </w:t>
            </w:r>
            <w:r w:rsidR="00BA6809" w:rsidRPr="00623868">
              <w:t>July</w:t>
            </w:r>
            <w:r w:rsidR="005C0210" w:rsidRPr="00623868">
              <w:t xml:space="preserve"> 201</w:t>
            </w:r>
            <w:r w:rsidR="00C63549" w:rsidRPr="00623868">
              <w:t>8</w:t>
            </w:r>
            <w:r w:rsidR="005C0210" w:rsidRPr="00623868">
              <w:t xml:space="preserve"> and September 2022 </w:t>
            </w:r>
            <w:r w:rsidRPr="00623868">
              <w:t xml:space="preserve">also suggested this; of the </w:t>
            </w:r>
            <w:r w:rsidR="00D31F6B" w:rsidRPr="00623868">
              <w:t>354</w:t>
            </w:r>
            <w:r w:rsidRPr="00623868">
              <w:t xml:space="preserve"> episodes where the participant was referred to AOD services, only 30 per cent engaged with the support.</w:t>
            </w:r>
          </w:p>
        </w:tc>
      </w:tr>
      <w:tr w:rsidR="005C548A" w:rsidRPr="005825BD" w14:paraId="3E3D3435" w14:textId="7564BF53" w:rsidTr="00F77C16">
        <w:tc>
          <w:tcPr>
            <w:tcW w:w="1823" w:type="dxa"/>
            <w:shd w:val="clear" w:color="auto" w:fill="E6E6E1" w:themeFill="accent5"/>
          </w:tcPr>
          <w:p w14:paraId="205ADEB5" w14:textId="77777777" w:rsidR="001158BB" w:rsidRPr="005825BD" w:rsidRDefault="001158BB" w:rsidP="00A117E4">
            <w:pPr>
              <w:pStyle w:val="TableNheader"/>
            </w:pPr>
            <w:r w:rsidRPr="005825BD">
              <w:rPr>
                <w:noProof/>
              </w:rPr>
              <mc:AlternateContent>
                <mc:Choice Requires="wpg">
                  <w:drawing>
                    <wp:inline distT="0" distB="0" distL="0" distR="0" wp14:anchorId="5252C465" wp14:editId="7FBC3C7B">
                      <wp:extent cx="427355" cy="427355"/>
                      <wp:effectExtent l="95250" t="0" r="106045" b="29845"/>
                      <wp:docPr id="27812" name="Group 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355" cy="427355"/>
                                <a:chOff x="0" y="0"/>
                                <a:chExt cx="541098" cy="541098"/>
                              </a:xfrm>
                              <a:solidFill>
                                <a:schemeClr val="accent6"/>
                              </a:solidFill>
                            </wpg:grpSpPr>
                            <wps:wsp>
                              <wps:cNvPr id="27813" name="Freeform 16"/>
                              <wps:cNvSpPr>
                                <a:spLocks/>
                              </wps:cNvSpPr>
                              <wps:spPr bwMode="auto">
                                <a:xfrm>
                                  <a:off x="2699" y="330597"/>
                                  <a:ext cx="2699" cy="4048"/>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1"/>
                                        <a:pt x="0" y="0"/>
                                      </a:cubicBezTo>
                                      <a:cubicBezTo>
                                        <a:pt x="0" y="1"/>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27814" name="Freeform 17"/>
                              <wps:cNvSpPr>
                                <a:spLocks/>
                              </wps:cNvSpPr>
                              <wps:spPr bwMode="auto">
                                <a:xfrm>
                                  <a:off x="12145"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15" name="Freeform 18"/>
                              <wps:cNvSpPr>
                                <a:spLocks/>
                              </wps:cNvSpPr>
                              <wps:spPr bwMode="auto">
                                <a:xfrm>
                                  <a:off x="519509" y="327898"/>
                                  <a:ext cx="2699"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0"/>
                                        <a:pt x="0" y="0"/>
                                        <a:pt x="0" y="1"/>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16" name="Freeform 19"/>
                              <wps:cNvSpPr>
                                <a:spLocks/>
                              </wps:cNvSpPr>
                              <wps:spPr bwMode="auto">
                                <a:xfrm>
                                  <a:off x="12145" y="340042"/>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17" name="Freeform 20"/>
                              <wps:cNvSpPr>
                                <a:spLocks/>
                              </wps:cNvSpPr>
                              <wps:spPr bwMode="auto">
                                <a:xfrm>
                                  <a:off x="168672" y="273923"/>
                                  <a:ext cx="25638" cy="16192"/>
                                </a:xfrm>
                                <a:custGeom>
                                  <a:avLst/>
                                  <a:gdLst>
                                    <a:gd name="T0" fmla="*/ 0 w 8"/>
                                    <a:gd name="T1" fmla="*/ 5 h 5"/>
                                    <a:gd name="T2" fmla="*/ 8 w 8"/>
                                    <a:gd name="T3" fmla="*/ 0 h 5"/>
                                    <a:gd name="T4" fmla="*/ 0 w 8"/>
                                    <a:gd name="T5" fmla="*/ 5 h 5"/>
                                  </a:gdLst>
                                  <a:ahLst/>
                                  <a:cxnLst>
                                    <a:cxn ang="0">
                                      <a:pos x="T0" y="T1"/>
                                    </a:cxn>
                                    <a:cxn ang="0">
                                      <a:pos x="T2" y="T3"/>
                                    </a:cxn>
                                    <a:cxn ang="0">
                                      <a:pos x="T4" y="T5"/>
                                    </a:cxn>
                                  </a:cxnLst>
                                  <a:rect l="0" t="0" r="r" b="b"/>
                                  <a:pathLst>
                                    <a:path w="8" h="5">
                                      <a:moveTo>
                                        <a:pt x="0" y="5"/>
                                      </a:moveTo>
                                      <a:cubicBezTo>
                                        <a:pt x="3" y="3"/>
                                        <a:pt x="5" y="2"/>
                                        <a:pt x="8" y="0"/>
                                      </a:cubicBezTo>
                                      <a:cubicBezTo>
                                        <a:pt x="5" y="2"/>
                                        <a:pt x="3" y="3"/>
                                        <a:pt x="0" y="5"/>
                                      </a:cubicBezTo>
                                      <a:close/>
                                    </a:path>
                                  </a:pathLst>
                                </a:custGeom>
                                <a:grpFill/>
                                <a:ln>
                                  <a:noFill/>
                                </a:ln>
                              </wps:spPr>
                              <wps:bodyPr vert="horz" wrap="square" lIns="91440" tIns="45720" rIns="91440" bIns="45720" numCol="1" anchor="t" anchorCtr="0" compatLnSpc="1">
                                <a:prstTxWarp prst="textNoShape">
                                  <a:avLst/>
                                </a:prstTxWarp>
                              </wps:bodyPr>
                            </wps:wsp>
                            <wps:wsp>
                              <wps:cNvPr id="27818" name="Freeform 21"/>
                              <wps:cNvSpPr>
                                <a:spLocks/>
                              </wps:cNvSpPr>
                              <wps:spPr bwMode="auto">
                                <a:xfrm>
                                  <a:off x="9446" y="337343"/>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1"/>
                                        <a:pt x="0" y="0"/>
                                      </a:cubicBezTo>
                                      <a:cubicBezTo>
                                        <a:pt x="0" y="1"/>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27819" name="Freeform 22"/>
                              <wps:cNvSpPr>
                                <a:spLocks/>
                              </wps:cNvSpPr>
                              <wps:spPr bwMode="auto">
                                <a:xfrm>
                                  <a:off x="5398" y="337343"/>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0" name="Freeform 23"/>
                              <wps:cNvSpPr>
                                <a:spLocks/>
                              </wps:cNvSpPr>
                              <wps:spPr bwMode="auto">
                                <a:xfrm>
                                  <a:off x="194310"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1" name="Freeform 24"/>
                              <wps:cNvSpPr>
                                <a:spLocks/>
                              </wps:cNvSpPr>
                              <wps:spPr bwMode="auto">
                                <a:xfrm>
                                  <a:off x="9446"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2" name="Freeform 25"/>
                              <wps:cNvSpPr>
                                <a:spLocks/>
                              </wps:cNvSpPr>
                              <wps:spPr bwMode="auto">
                                <a:xfrm>
                                  <a:off x="516810" y="330597"/>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3" name="Freeform 26"/>
                              <wps:cNvSpPr>
                                <a:spLocks/>
                              </wps:cNvSpPr>
                              <wps:spPr bwMode="auto">
                                <a:xfrm>
                                  <a:off x="512762" y="330597"/>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4" name="Freeform 27"/>
                              <wps:cNvSpPr>
                                <a:spLocks/>
                              </wps:cNvSpPr>
                              <wps:spPr bwMode="auto">
                                <a:xfrm>
                                  <a:off x="9446" y="279320"/>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25" name="Freeform 28"/>
                              <wps:cNvSpPr>
                                <a:spLocks/>
                              </wps:cNvSpPr>
                              <wps:spPr bwMode="auto">
                                <a:xfrm>
                                  <a:off x="201057" y="264477"/>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1"/>
                                        <a:pt x="0" y="0"/>
                                      </a:cubicBezTo>
                                      <a:cubicBezTo>
                                        <a:pt x="0" y="1"/>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27826" name="Freeform 29"/>
                              <wps:cNvSpPr>
                                <a:spLocks/>
                              </wps:cNvSpPr>
                              <wps:spPr bwMode="auto">
                                <a:xfrm>
                                  <a:off x="433149" y="435848"/>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27" name="Freeform 30"/>
                              <wps:cNvSpPr>
                                <a:spLocks/>
                              </wps:cNvSpPr>
                              <wps:spPr bwMode="auto">
                                <a:xfrm>
                                  <a:off x="232092" y="496569"/>
                                  <a:ext cx="4048"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28" name="Freeform 31"/>
                              <wps:cNvSpPr>
                                <a:spLocks/>
                              </wps:cNvSpPr>
                              <wps:spPr bwMode="auto">
                                <a:xfrm>
                                  <a:off x="232092" y="500618"/>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29" name="Freeform 32"/>
                              <wps:cNvSpPr>
                                <a:spLocks/>
                              </wps:cNvSpPr>
                              <wps:spPr bwMode="auto">
                                <a:xfrm>
                                  <a:off x="426402" y="439896"/>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30" name="Freeform 33"/>
                              <wps:cNvSpPr>
                                <a:spLocks/>
                              </wps:cNvSpPr>
                              <wps:spPr bwMode="auto">
                                <a:xfrm>
                                  <a:off x="356235" y="487124"/>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31" name="Freeform 34"/>
                              <wps:cNvSpPr>
                                <a:spLocks/>
                              </wps:cNvSpPr>
                              <wps:spPr bwMode="auto">
                                <a:xfrm>
                                  <a:off x="430450" y="439896"/>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32" name="Freeform 35"/>
                              <wps:cNvSpPr>
                                <a:spLocks/>
                              </wps:cNvSpPr>
                              <wps:spPr bwMode="auto">
                                <a:xfrm>
                                  <a:off x="353536" y="487124"/>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33" name="Freeform 36"/>
                              <wps:cNvSpPr>
                                <a:spLocks/>
                              </wps:cNvSpPr>
                              <wps:spPr bwMode="auto">
                                <a:xfrm>
                                  <a:off x="14843" y="340042"/>
                                  <a:ext cx="6747" cy="0"/>
                                </a:xfrm>
                                <a:custGeom>
                                  <a:avLst/>
                                  <a:gdLst>
                                    <a:gd name="T0" fmla="*/ 2 w 2"/>
                                    <a:gd name="T1" fmla="*/ 0 w 2"/>
                                    <a:gd name="T2" fmla="*/ 2 w 2"/>
                                  </a:gdLst>
                                  <a:ahLst/>
                                  <a:cxnLst>
                                    <a:cxn ang="0">
                                      <a:pos x="T0" y="0"/>
                                    </a:cxn>
                                    <a:cxn ang="0">
                                      <a:pos x="T1" y="0"/>
                                    </a:cxn>
                                    <a:cxn ang="0">
                                      <a:pos x="T2" y="0"/>
                                    </a:cxn>
                                  </a:cxnLst>
                                  <a:rect l="0" t="0" r="r" b="b"/>
                                  <a:pathLst>
                                    <a:path w="2">
                                      <a:moveTo>
                                        <a:pt x="2" y="0"/>
                                      </a:moveTo>
                                      <a:cubicBezTo>
                                        <a:pt x="1" y="0"/>
                                        <a:pt x="1" y="0"/>
                                        <a:pt x="0" y="0"/>
                                      </a:cubicBezTo>
                                      <a:cubicBezTo>
                                        <a:pt x="1" y="0"/>
                                        <a:pt x="1" y="0"/>
                                        <a:pt x="2" y="0"/>
                                      </a:cubicBezTo>
                                      <a:close/>
                                    </a:path>
                                  </a:pathLst>
                                </a:custGeom>
                                <a:grpFill/>
                                <a:ln>
                                  <a:noFill/>
                                </a:ln>
                              </wps:spPr>
                              <wps:bodyPr vert="horz" wrap="square" lIns="91440" tIns="45720" rIns="91440" bIns="45720" numCol="1" anchor="t" anchorCtr="0" compatLnSpc="1">
                                <a:prstTxWarp prst="textNoShape">
                                  <a:avLst/>
                                </a:prstTxWarp>
                              </wps:bodyPr>
                            </wps:wsp>
                            <wps:wsp>
                              <wps:cNvPr id="27834" name="Freeform 37"/>
                              <wps:cNvSpPr>
                                <a:spLocks/>
                              </wps:cNvSpPr>
                              <wps:spPr bwMode="auto">
                                <a:xfrm>
                                  <a:off x="360283" y="487124"/>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35" name="Freeform 38"/>
                              <wps:cNvSpPr>
                                <a:spLocks/>
                              </wps:cNvSpPr>
                              <wps:spPr bwMode="auto">
                                <a:xfrm>
                                  <a:off x="40481" y="388620"/>
                                  <a:ext cx="0" cy="2699"/>
                                </a:xfrm>
                                <a:custGeom>
                                  <a:avLst/>
                                  <a:gdLst>
                                    <a:gd name="T0" fmla="*/ 1 h 1"/>
                                    <a:gd name="T1" fmla="*/ 0 h 1"/>
                                    <a:gd name="T2" fmla="*/ 1 h 1"/>
                                  </a:gdLst>
                                  <a:ahLst/>
                                  <a:cxnLst>
                                    <a:cxn ang="0">
                                      <a:pos x="0" y="T0"/>
                                    </a:cxn>
                                    <a:cxn ang="0">
                                      <a:pos x="0" y="T1"/>
                                    </a:cxn>
                                    <a:cxn ang="0">
                                      <a:pos x="0" y="T2"/>
                                    </a:cxn>
                                  </a:cxnLst>
                                  <a:rect l="0" t="0" r="r" b="b"/>
                                  <a:pathLst>
                                    <a:path h="1">
                                      <a:moveTo>
                                        <a:pt x="0" y="1"/>
                                      </a:moveTo>
                                      <a:cubicBezTo>
                                        <a:pt x="0" y="1"/>
                                        <a:pt x="0" y="0"/>
                                        <a:pt x="0" y="0"/>
                                      </a:cubicBezTo>
                                      <a:cubicBezTo>
                                        <a:pt x="0" y="0"/>
                                        <a:pt x="0"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27836" name="Freeform 39"/>
                              <wps:cNvSpPr>
                                <a:spLocks/>
                              </wps:cNvSpPr>
                              <wps:spPr bwMode="auto">
                                <a:xfrm>
                                  <a:off x="49927" y="395366"/>
                                  <a:ext cx="4048"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1"/>
                                        <a:pt x="1" y="1"/>
                                        <a:pt x="0" y="1"/>
                                      </a:cubicBezTo>
                                      <a:cubicBezTo>
                                        <a:pt x="1" y="1"/>
                                        <a:pt x="1" y="1"/>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37" name="Freeform 40"/>
                              <wps:cNvSpPr>
                                <a:spLocks/>
                              </wps:cNvSpPr>
                              <wps:spPr bwMode="auto">
                                <a:xfrm>
                                  <a:off x="44530" y="395366"/>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0" y="0"/>
                                        <a:pt x="0" y="0"/>
                                      </a:cubicBezTo>
                                      <a:cubicBezTo>
                                        <a:pt x="0"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38" name="Freeform 41"/>
                              <wps:cNvSpPr>
                                <a:spLocks/>
                              </wps:cNvSpPr>
                              <wps:spPr bwMode="auto">
                                <a:xfrm>
                                  <a:off x="47228" y="395366"/>
                                  <a:ext cx="2699"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1"/>
                                        <a:pt x="0" y="0"/>
                                      </a:cubicBezTo>
                                      <a:cubicBezTo>
                                        <a:pt x="0" y="1"/>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27839" name="Freeform 42"/>
                              <wps:cNvSpPr>
                                <a:spLocks/>
                              </wps:cNvSpPr>
                              <wps:spPr bwMode="auto">
                                <a:xfrm>
                                  <a:off x="5398" y="276622"/>
                                  <a:ext cx="4048"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0" y="0"/>
                                        <a:pt x="0" y="0"/>
                                        <a:pt x="0" y="0"/>
                                      </a:cubicBezTo>
                                      <a:cubicBezTo>
                                        <a:pt x="0" y="0"/>
                                        <a:pt x="0" y="0"/>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27840" name="Freeform 43"/>
                              <wps:cNvSpPr>
                                <a:spLocks/>
                              </wps:cNvSpPr>
                              <wps:spPr bwMode="auto">
                                <a:xfrm>
                                  <a:off x="40481" y="391318"/>
                                  <a:ext cx="4048" cy="4048"/>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1" y="0"/>
                                        <a:pt x="0" y="0"/>
                                      </a:cubicBezTo>
                                      <a:cubicBezTo>
                                        <a:pt x="1" y="0"/>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27841" name="Freeform 44"/>
                              <wps:cNvSpPr>
                                <a:spLocks/>
                              </wps:cNvSpPr>
                              <wps:spPr bwMode="auto">
                                <a:xfrm>
                                  <a:off x="353536" y="330597"/>
                                  <a:ext cx="18891" cy="32385"/>
                                </a:xfrm>
                                <a:custGeom>
                                  <a:avLst/>
                                  <a:gdLst>
                                    <a:gd name="T0" fmla="*/ 0 w 6"/>
                                    <a:gd name="T1" fmla="*/ 10 h 10"/>
                                    <a:gd name="T2" fmla="*/ 6 w 6"/>
                                    <a:gd name="T3" fmla="*/ 0 h 10"/>
                                    <a:gd name="T4" fmla="*/ 6 w 6"/>
                                    <a:gd name="T5" fmla="*/ 0 h 10"/>
                                    <a:gd name="T6" fmla="*/ 6 w 6"/>
                                    <a:gd name="T7" fmla="*/ 0 h 10"/>
                                    <a:gd name="T8" fmla="*/ 0 w 6"/>
                                    <a:gd name="T9" fmla="*/ 10 h 10"/>
                                  </a:gdLst>
                                  <a:ahLst/>
                                  <a:cxnLst>
                                    <a:cxn ang="0">
                                      <a:pos x="T0" y="T1"/>
                                    </a:cxn>
                                    <a:cxn ang="0">
                                      <a:pos x="T2" y="T3"/>
                                    </a:cxn>
                                    <a:cxn ang="0">
                                      <a:pos x="T4" y="T5"/>
                                    </a:cxn>
                                    <a:cxn ang="0">
                                      <a:pos x="T6" y="T7"/>
                                    </a:cxn>
                                    <a:cxn ang="0">
                                      <a:pos x="T8" y="T9"/>
                                    </a:cxn>
                                  </a:cxnLst>
                                  <a:rect l="0" t="0" r="r" b="b"/>
                                  <a:pathLst>
                                    <a:path w="6" h="10">
                                      <a:moveTo>
                                        <a:pt x="0" y="10"/>
                                      </a:moveTo>
                                      <a:cubicBezTo>
                                        <a:pt x="2" y="7"/>
                                        <a:pt x="4" y="4"/>
                                        <a:pt x="6" y="0"/>
                                      </a:cubicBezTo>
                                      <a:cubicBezTo>
                                        <a:pt x="6" y="0"/>
                                        <a:pt x="6" y="0"/>
                                        <a:pt x="6" y="0"/>
                                      </a:cubicBezTo>
                                      <a:cubicBezTo>
                                        <a:pt x="6" y="0"/>
                                        <a:pt x="6" y="0"/>
                                        <a:pt x="6" y="0"/>
                                      </a:cubicBezTo>
                                      <a:cubicBezTo>
                                        <a:pt x="4" y="4"/>
                                        <a:pt x="2" y="7"/>
                                        <a:pt x="0" y="10"/>
                                      </a:cubicBezTo>
                                      <a:close/>
                                    </a:path>
                                  </a:pathLst>
                                </a:custGeom>
                                <a:grpFill/>
                                <a:ln>
                                  <a:noFill/>
                                </a:ln>
                              </wps:spPr>
                              <wps:bodyPr vert="horz" wrap="square" lIns="91440" tIns="45720" rIns="91440" bIns="45720" numCol="1" anchor="t" anchorCtr="0" compatLnSpc="1">
                                <a:prstTxWarp prst="textNoShape">
                                  <a:avLst/>
                                </a:prstTxWarp>
                              </wps:bodyPr>
                            </wps:wsp>
                            <wps:wsp>
                              <wps:cNvPr id="27842" name="Freeform 45"/>
                              <wps:cNvSpPr>
                                <a:spLocks/>
                              </wps:cNvSpPr>
                              <wps:spPr bwMode="auto">
                                <a:xfrm>
                                  <a:off x="267176" y="395366"/>
                                  <a:ext cx="60722" cy="21590"/>
                                </a:xfrm>
                                <a:custGeom>
                                  <a:avLst/>
                                  <a:gdLst>
                                    <a:gd name="T0" fmla="*/ 0 w 19"/>
                                    <a:gd name="T1" fmla="*/ 7 h 7"/>
                                    <a:gd name="T2" fmla="*/ 18 w 19"/>
                                    <a:gd name="T3" fmla="*/ 0 h 7"/>
                                    <a:gd name="T4" fmla="*/ 19 w 19"/>
                                    <a:gd name="T5" fmla="*/ 0 h 7"/>
                                    <a:gd name="T6" fmla="*/ 18 w 19"/>
                                    <a:gd name="T7" fmla="*/ 0 h 7"/>
                                    <a:gd name="T8" fmla="*/ 0 w 19"/>
                                    <a:gd name="T9" fmla="*/ 7 h 7"/>
                                  </a:gdLst>
                                  <a:ahLst/>
                                  <a:cxnLst>
                                    <a:cxn ang="0">
                                      <a:pos x="T0" y="T1"/>
                                    </a:cxn>
                                    <a:cxn ang="0">
                                      <a:pos x="T2" y="T3"/>
                                    </a:cxn>
                                    <a:cxn ang="0">
                                      <a:pos x="T4" y="T5"/>
                                    </a:cxn>
                                    <a:cxn ang="0">
                                      <a:pos x="T6" y="T7"/>
                                    </a:cxn>
                                    <a:cxn ang="0">
                                      <a:pos x="T8" y="T9"/>
                                    </a:cxn>
                                  </a:cxnLst>
                                  <a:rect l="0" t="0" r="r" b="b"/>
                                  <a:pathLst>
                                    <a:path w="19" h="7">
                                      <a:moveTo>
                                        <a:pt x="0" y="7"/>
                                      </a:moveTo>
                                      <a:cubicBezTo>
                                        <a:pt x="6" y="4"/>
                                        <a:pt x="12" y="3"/>
                                        <a:pt x="18" y="0"/>
                                      </a:cubicBezTo>
                                      <a:cubicBezTo>
                                        <a:pt x="18" y="0"/>
                                        <a:pt x="19" y="0"/>
                                        <a:pt x="19" y="0"/>
                                      </a:cubicBezTo>
                                      <a:cubicBezTo>
                                        <a:pt x="19" y="0"/>
                                        <a:pt x="18" y="0"/>
                                        <a:pt x="18" y="0"/>
                                      </a:cubicBezTo>
                                      <a:cubicBezTo>
                                        <a:pt x="12" y="3"/>
                                        <a:pt x="6" y="4"/>
                                        <a:pt x="0" y="7"/>
                                      </a:cubicBezTo>
                                      <a:close/>
                                    </a:path>
                                  </a:pathLst>
                                </a:custGeom>
                                <a:grpFill/>
                                <a:ln>
                                  <a:noFill/>
                                </a:ln>
                              </wps:spPr>
                              <wps:bodyPr vert="horz" wrap="square" lIns="91440" tIns="45720" rIns="91440" bIns="45720" numCol="1" anchor="t" anchorCtr="0" compatLnSpc="1">
                                <a:prstTxWarp prst="textNoShape">
                                  <a:avLst/>
                                </a:prstTxWarp>
                              </wps:bodyPr>
                            </wps:wsp>
                            <wps:wsp>
                              <wps:cNvPr id="27843" name="Freeform 46"/>
                              <wps:cNvSpPr>
                                <a:spLocks/>
                              </wps:cNvSpPr>
                              <wps:spPr bwMode="auto">
                                <a:xfrm>
                                  <a:off x="404812"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45" name="Freeform 47"/>
                              <wps:cNvSpPr>
                                <a:spLocks/>
                              </wps:cNvSpPr>
                              <wps:spPr bwMode="auto">
                                <a:xfrm>
                                  <a:off x="407511" y="260429"/>
                                  <a:ext cx="4048" cy="0"/>
                                </a:xfrm>
                                <a:custGeom>
                                  <a:avLst/>
                                  <a:gdLst>
                                    <a:gd name="T0" fmla="*/ 0 w 1"/>
                                    <a:gd name="T1" fmla="*/ 1 w 1"/>
                                    <a:gd name="T2" fmla="*/ 0 w 1"/>
                                    <a:gd name="T3" fmla="*/ 0 w 1"/>
                                  </a:gdLst>
                                  <a:ahLst/>
                                  <a:cxnLst>
                                    <a:cxn ang="0">
                                      <a:pos x="T0" y="0"/>
                                    </a:cxn>
                                    <a:cxn ang="0">
                                      <a:pos x="T1" y="0"/>
                                    </a:cxn>
                                    <a:cxn ang="0">
                                      <a:pos x="T2" y="0"/>
                                    </a:cxn>
                                    <a:cxn ang="0">
                                      <a:pos x="T3" y="0"/>
                                    </a:cxn>
                                  </a:cxnLst>
                                  <a:rect l="0" t="0" r="r" b="b"/>
                                  <a:pathLst>
                                    <a:path w="1">
                                      <a:moveTo>
                                        <a:pt x="0" y="0"/>
                                      </a:moveTo>
                                      <a:cubicBezTo>
                                        <a:pt x="0" y="0"/>
                                        <a:pt x="0" y="0"/>
                                        <a:pt x="1" y="0"/>
                                      </a:cubicBezTo>
                                      <a:cubicBezTo>
                                        <a:pt x="1" y="0"/>
                                        <a:pt x="1"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46" name="Freeform 48"/>
                              <wps:cNvSpPr>
                                <a:spLocks/>
                              </wps:cNvSpPr>
                              <wps:spPr bwMode="auto">
                                <a:xfrm>
                                  <a:off x="496569" y="276622"/>
                                  <a:ext cx="32385" cy="2699"/>
                                </a:xfrm>
                                <a:custGeom>
                                  <a:avLst/>
                                  <a:gdLst>
                                    <a:gd name="T0" fmla="*/ 0 w 10"/>
                                    <a:gd name="T1" fmla="*/ 0 h 1"/>
                                    <a:gd name="T2" fmla="*/ 9 w 10"/>
                                    <a:gd name="T3" fmla="*/ 1 h 1"/>
                                    <a:gd name="T4" fmla="*/ 10 w 10"/>
                                    <a:gd name="T5" fmla="*/ 1 h 1"/>
                                    <a:gd name="T6" fmla="*/ 9 w 10"/>
                                    <a:gd name="T7" fmla="*/ 1 h 1"/>
                                    <a:gd name="T8" fmla="*/ 0 w 10"/>
                                    <a:gd name="T9" fmla="*/ 0 h 1"/>
                                  </a:gdLst>
                                  <a:ahLst/>
                                  <a:cxnLst>
                                    <a:cxn ang="0">
                                      <a:pos x="T0" y="T1"/>
                                    </a:cxn>
                                    <a:cxn ang="0">
                                      <a:pos x="T2" y="T3"/>
                                    </a:cxn>
                                    <a:cxn ang="0">
                                      <a:pos x="T4" y="T5"/>
                                    </a:cxn>
                                    <a:cxn ang="0">
                                      <a:pos x="T6" y="T7"/>
                                    </a:cxn>
                                    <a:cxn ang="0">
                                      <a:pos x="T8" y="T9"/>
                                    </a:cxn>
                                  </a:cxnLst>
                                  <a:rect l="0" t="0" r="r" b="b"/>
                                  <a:pathLst>
                                    <a:path w="10" h="1">
                                      <a:moveTo>
                                        <a:pt x="0" y="0"/>
                                      </a:moveTo>
                                      <a:cubicBezTo>
                                        <a:pt x="3" y="1"/>
                                        <a:pt x="6" y="1"/>
                                        <a:pt x="9" y="1"/>
                                      </a:cubicBezTo>
                                      <a:cubicBezTo>
                                        <a:pt x="10" y="1"/>
                                        <a:pt x="10" y="1"/>
                                        <a:pt x="10" y="1"/>
                                      </a:cubicBezTo>
                                      <a:cubicBezTo>
                                        <a:pt x="10" y="1"/>
                                        <a:pt x="10" y="1"/>
                                        <a:pt x="9" y="1"/>
                                      </a:cubicBezTo>
                                      <a:cubicBezTo>
                                        <a:pt x="6" y="1"/>
                                        <a:pt x="3" y="1"/>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48" name="Freeform 49"/>
                              <wps:cNvSpPr>
                                <a:spLocks/>
                              </wps:cNvSpPr>
                              <wps:spPr bwMode="auto">
                                <a:xfrm>
                                  <a:off x="528954" y="279320"/>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1" y="0"/>
                                        <a:pt x="1" y="0"/>
                                        <a:pt x="0" y="0"/>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49" name="Freeform 50"/>
                              <wps:cNvSpPr>
                                <a:spLocks/>
                              </wps:cNvSpPr>
                              <wps:spPr bwMode="auto">
                                <a:xfrm>
                                  <a:off x="535701" y="276622"/>
                                  <a:ext cx="2699"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1" y="0"/>
                                        <a:pt x="1" y="0"/>
                                        <a:pt x="0" y="1"/>
                                      </a:cubicBezTo>
                                      <a:cubicBezTo>
                                        <a:pt x="1" y="0"/>
                                        <a:pt x="1"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51" name="Freeform 51"/>
                              <wps:cNvSpPr>
                                <a:spLocks/>
                              </wps:cNvSpPr>
                              <wps:spPr bwMode="auto">
                                <a:xfrm>
                                  <a:off x="369728" y="304959"/>
                                  <a:ext cx="9446" cy="0"/>
                                </a:xfrm>
                                <a:custGeom>
                                  <a:avLst/>
                                  <a:gdLst>
                                    <a:gd name="T0" fmla="*/ 3 w 3"/>
                                    <a:gd name="T1" fmla="*/ 0 w 3"/>
                                    <a:gd name="T2" fmla="*/ 3 w 3"/>
                                  </a:gdLst>
                                  <a:ahLst/>
                                  <a:cxnLst>
                                    <a:cxn ang="0">
                                      <a:pos x="T0" y="0"/>
                                    </a:cxn>
                                    <a:cxn ang="0">
                                      <a:pos x="T1" y="0"/>
                                    </a:cxn>
                                    <a:cxn ang="0">
                                      <a:pos x="T2" y="0"/>
                                    </a:cxn>
                                  </a:cxnLst>
                                  <a:rect l="0" t="0" r="r" b="b"/>
                                  <a:pathLst>
                                    <a:path w="3">
                                      <a:moveTo>
                                        <a:pt x="3" y="0"/>
                                      </a:moveTo>
                                      <a:cubicBezTo>
                                        <a:pt x="2" y="0"/>
                                        <a:pt x="1" y="0"/>
                                        <a:pt x="0" y="0"/>
                                      </a:cubicBezTo>
                                      <a:cubicBezTo>
                                        <a:pt x="1" y="0"/>
                                        <a:pt x="2" y="0"/>
                                        <a:pt x="3" y="0"/>
                                      </a:cubicBezTo>
                                      <a:close/>
                                    </a:path>
                                  </a:pathLst>
                                </a:custGeom>
                                <a:grpFill/>
                                <a:ln>
                                  <a:noFill/>
                                </a:ln>
                              </wps:spPr>
                              <wps:bodyPr vert="horz" wrap="square" lIns="91440" tIns="45720" rIns="91440" bIns="45720" numCol="1" anchor="t" anchorCtr="0" compatLnSpc="1">
                                <a:prstTxWarp prst="textNoShape">
                                  <a:avLst/>
                                </a:prstTxWarp>
                              </wps:bodyPr>
                            </wps:wsp>
                            <wps:wsp>
                              <wps:cNvPr id="27852" name="Freeform 52"/>
                              <wps:cNvSpPr>
                                <a:spLocks noEditPoints="1"/>
                              </wps:cNvSpPr>
                              <wps:spPr bwMode="auto">
                                <a:xfrm>
                                  <a:off x="5398" y="238839"/>
                                  <a:ext cx="533002" cy="257730"/>
                                </a:xfrm>
                                <a:custGeom>
                                  <a:avLst/>
                                  <a:gdLst>
                                    <a:gd name="T0" fmla="*/ 145 w 167"/>
                                    <a:gd name="T1" fmla="*/ 4 h 81"/>
                                    <a:gd name="T2" fmla="*/ 115 w 167"/>
                                    <a:gd name="T3" fmla="*/ 6 h 81"/>
                                    <a:gd name="T4" fmla="*/ 60 w 167"/>
                                    <a:gd name="T5" fmla="*/ 0 h 81"/>
                                    <a:gd name="T6" fmla="*/ 0 w 167"/>
                                    <a:gd name="T7" fmla="*/ 11 h 81"/>
                                    <a:gd name="T8" fmla="*/ 3 w 167"/>
                                    <a:gd name="T9" fmla="*/ 12 h 81"/>
                                    <a:gd name="T10" fmla="*/ 59 w 167"/>
                                    <a:gd name="T11" fmla="*/ 6 h 81"/>
                                    <a:gd name="T12" fmla="*/ 55 w 167"/>
                                    <a:gd name="T13" fmla="*/ 14 h 81"/>
                                    <a:gd name="T14" fmla="*/ 4 w 167"/>
                                    <a:gd name="T15" fmla="*/ 26 h 81"/>
                                    <a:gd name="T16" fmla="*/ 16 w 167"/>
                                    <a:gd name="T17" fmla="*/ 29 h 81"/>
                                    <a:gd name="T18" fmla="*/ 35 w 167"/>
                                    <a:gd name="T19" fmla="*/ 31 h 81"/>
                                    <a:gd name="T20" fmla="*/ 32 w 167"/>
                                    <a:gd name="T21" fmla="*/ 39 h 81"/>
                                    <a:gd name="T22" fmla="*/ 14 w 167"/>
                                    <a:gd name="T23" fmla="*/ 44 h 81"/>
                                    <a:gd name="T24" fmla="*/ 14 w 167"/>
                                    <a:gd name="T25" fmla="*/ 49 h 81"/>
                                    <a:gd name="T26" fmla="*/ 16 w 167"/>
                                    <a:gd name="T27" fmla="*/ 49 h 81"/>
                                    <a:gd name="T28" fmla="*/ 46 w 167"/>
                                    <a:gd name="T29" fmla="*/ 41 h 81"/>
                                    <a:gd name="T30" fmla="*/ 54 w 167"/>
                                    <a:gd name="T31" fmla="*/ 49 h 81"/>
                                    <a:gd name="T32" fmla="*/ 34 w 167"/>
                                    <a:gd name="T33" fmla="*/ 65 h 81"/>
                                    <a:gd name="T34" fmla="*/ 68 w 167"/>
                                    <a:gd name="T35" fmla="*/ 81 h 81"/>
                                    <a:gd name="T36" fmla="*/ 72 w 167"/>
                                    <a:gd name="T37" fmla="*/ 79 h 81"/>
                                    <a:gd name="T38" fmla="*/ 80 w 167"/>
                                    <a:gd name="T39" fmla="*/ 64 h 81"/>
                                    <a:gd name="T40" fmla="*/ 93 w 167"/>
                                    <a:gd name="T41" fmla="*/ 69 h 81"/>
                                    <a:gd name="T42" fmla="*/ 108 w 167"/>
                                    <a:gd name="T43" fmla="*/ 77 h 81"/>
                                    <a:gd name="T44" fmla="*/ 112 w 167"/>
                                    <a:gd name="T45" fmla="*/ 75 h 81"/>
                                    <a:gd name="T46" fmla="*/ 93 w 167"/>
                                    <a:gd name="T47" fmla="*/ 64 h 81"/>
                                    <a:gd name="T48" fmla="*/ 103 w 167"/>
                                    <a:gd name="T49" fmla="*/ 55 h 81"/>
                                    <a:gd name="T50" fmla="*/ 106 w 167"/>
                                    <a:gd name="T51" fmla="*/ 55 h 81"/>
                                    <a:gd name="T52" fmla="*/ 134 w 167"/>
                                    <a:gd name="T53" fmla="*/ 61 h 81"/>
                                    <a:gd name="T54" fmla="*/ 156 w 167"/>
                                    <a:gd name="T55" fmla="*/ 43 h 81"/>
                                    <a:gd name="T56" fmla="*/ 134 w 167"/>
                                    <a:gd name="T57" fmla="*/ 55 h 81"/>
                                    <a:gd name="T58" fmla="*/ 120 w 167"/>
                                    <a:gd name="T59" fmla="*/ 54 h 81"/>
                                    <a:gd name="T60" fmla="*/ 109 w 167"/>
                                    <a:gd name="T61" fmla="*/ 50 h 81"/>
                                    <a:gd name="T62" fmla="*/ 135 w 167"/>
                                    <a:gd name="T63" fmla="*/ 27 h 81"/>
                                    <a:gd name="T64" fmla="*/ 160 w 167"/>
                                    <a:gd name="T65" fmla="*/ 28 h 81"/>
                                    <a:gd name="T66" fmla="*/ 156 w 167"/>
                                    <a:gd name="T67" fmla="*/ 23 h 81"/>
                                    <a:gd name="T68" fmla="*/ 123 w 167"/>
                                    <a:gd name="T69" fmla="*/ 21 h 81"/>
                                    <a:gd name="T70" fmla="*/ 118 w 167"/>
                                    <a:gd name="T71" fmla="*/ 10 h 81"/>
                                    <a:gd name="T72" fmla="*/ 125 w 167"/>
                                    <a:gd name="T73" fmla="*/ 6 h 81"/>
                                    <a:gd name="T74" fmla="*/ 137 w 167"/>
                                    <a:gd name="T75" fmla="*/ 8 h 81"/>
                                    <a:gd name="T76" fmla="*/ 166 w 167"/>
                                    <a:gd name="T77" fmla="*/ 11 h 81"/>
                                    <a:gd name="T78" fmla="*/ 36 w 167"/>
                                    <a:gd name="T79" fmla="*/ 26 h 81"/>
                                    <a:gd name="T80" fmla="*/ 51 w 167"/>
                                    <a:gd name="T81" fmla="*/ 22 h 81"/>
                                    <a:gd name="T82" fmla="*/ 53 w 167"/>
                                    <a:gd name="T83" fmla="*/ 22 h 81"/>
                                    <a:gd name="T84" fmla="*/ 78 w 167"/>
                                    <a:gd name="T85" fmla="*/ 30 h 81"/>
                                    <a:gd name="T86" fmla="*/ 58 w 167"/>
                                    <a:gd name="T87" fmla="*/ 45 h 81"/>
                                    <a:gd name="T88" fmla="*/ 69 w 167"/>
                                    <a:gd name="T89" fmla="*/ 74 h 81"/>
                                    <a:gd name="T90" fmla="*/ 41 w 167"/>
                                    <a:gd name="T91" fmla="*/ 63 h 81"/>
                                    <a:gd name="T92" fmla="*/ 51 w 167"/>
                                    <a:gd name="T93" fmla="*/ 56 h 81"/>
                                    <a:gd name="T94" fmla="*/ 59 w 167"/>
                                    <a:gd name="T95" fmla="*/ 52 h 81"/>
                                    <a:gd name="T96" fmla="*/ 76 w 167"/>
                                    <a:gd name="T97" fmla="*/ 60 h 81"/>
                                    <a:gd name="T98" fmla="*/ 115 w 167"/>
                                    <a:gd name="T99" fmla="*/ 30 h 81"/>
                                    <a:gd name="T100" fmla="*/ 103 w 167"/>
                                    <a:gd name="T101" fmla="*/ 48 h 81"/>
                                    <a:gd name="T102" fmla="*/ 82 w 167"/>
                                    <a:gd name="T103" fmla="*/ 56 h 81"/>
                                    <a:gd name="T104" fmla="*/ 80 w 167"/>
                                    <a:gd name="T105" fmla="*/ 56 h 81"/>
                                    <a:gd name="T106" fmla="*/ 64 w 167"/>
                                    <a:gd name="T107" fmla="*/ 48 h 81"/>
                                    <a:gd name="T108" fmla="*/ 103 w 167"/>
                                    <a:gd name="T109" fmla="*/ 28 h 81"/>
                                    <a:gd name="T110" fmla="*/ 116 w 167"/>
                                    <a:gd name="T111" fmla="*/ 28 h 81"/>
                                    <a:gd name="T112" fmla="*/ 111 w 167"/>
                                    <a:gd name="T113" fmla="*/ 23 h 81"/>
                                    <a:gd name="T114" fmla="*/ 83 w 167"/>
                                    <a:gd name="T115" fmla="*/ 25 h 81"/>
                                    <a:gd name="T116" fmla="*/ 60 w 167"/>
                                    <a:gd name="T117" fmla="*/ 19 h 81"/>
                                    <a:gd name="T118" fmla="*/ 70 w 167"/>
                                    <a:gd name="T119" fmla="*/ 12 h 81"/>
                                    <a:gd name="T120" fmla="*/ 115 w 167"/>
                                    <a:gd name="T121" fmla="*/ 15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67" h="81">
                                      <a:moveTo>
                                        <a:pt x="166" y="9"/>
                                      </a:moveTo>
                                      <a:cubicBezTo>
                                        <a:pt x="166" y="9"/>
                                        <a:pt x="165" y="8"/>
                                        <a:pt x="164" y="8"/>
                                      </a:cubicBezTo>
                                      <a:cubicBezTo>
                                        <a:pt x="163" y="8"/>
                                        <a:pt x="163" y="8"/>
                                        <a:pt x="163" y="8"/>
                                      </a:cubicBezTo>
                                      <a:cubicBezTo>
                                        <a:pt x="157" y="7"/>
                                        <a:pt x="151" y="5"/>
                                        <a:pt x="145" y="4"/>
                                      </a:cubicBezTo>
                                      <a:cubicBezTo>
                                        <a:pt x="138" y="3"/>
                                        <a:pt x="132" y="1"/>
                                        <a:pt x="126" y="0"/>
                                      </a:cubicBezTo>
                                      <a:cubicBezTo>
                                        <a:pt x="126" y="0"/>
                                        <a:pt x="124" y="1"/>
                                        <a:pt x="123" y="2"/>
                                      </a:cubicBezTo>
                                      <a:cubicBezTo>
                                        <a:pt x="122" y="2"/>
                                        <a:pt x="120" y="3"/>
                                        <a:pt x="119" y="4"/>
                                      </a:cubicBezTo>
                                      <a:cubicBezTo>
                                        <a:pt x="118" y="5"/>
                                        <a:pt x="116" y="6"/>
                                        <a:pt x="115" y="6"/>
                                      </a:cubicBezTo>
                                      <a:cubicBezTo>
                                        <a:pt x="114" y="7"/>
                                        <a:pt x="113" y="8"/>
                                        <a:pt x="111" y="8"/>
                                      </a:cubicBezTo>
                                      <a:cubicBezTo>
                                        <a:pt x="73" y="8"/>
                                        <a:pt x="73" y="8"/>
                                        <a:pt x="73" y="8"/>
                                      </a:cubicBezTo>
                                      <a:cubicBezTo>
                                        <a:pt x="68" y="8"/>
                                        <a:pt x="66" y="7"/>
                                        <a:pt x="65" y="3"/>
                                      </a:cubicBezTo>
                                      <a:cubicBezTo>
                                        <a:pt x="63" y="1"/>
                                        <a:pt x="62" y="0"/>
                                        <a:pt x="60" y="0"/>
                                      </a:cubicBezTo>
                                      <a:cubicBezTo>
                                        <a:pt x="47" y="3"/>
                                        <a:pt x="34" y="4"/>
                                        <a:pt x="21" y="6"/>
                                      </a:cubicBezTo>
                                      <a:cubicBezTo>
                                        <a:pt x="12" y="7"/>
                                        <a:pt x="12" y="7"/>
                                        <a:pt x="12" y="7"/>
                                      </a:cubicBezTo>
                                      <a:cubicBezTo>
                                        <a:pt x="2" y="8"/>
                                        <a:pt x="2" y="8"/>
                                        <a:pt x="2" y="8"/>
                                      </a:cubicBezTo>
                                      <a:cubicBezTo>
                                        <a:pt x="2" y="8"/>
                                        <a:pt x="0" y="10"/>
                                        <a:pt x="0" y="11"/>
                                      </a:cubicBezTo>
                                      <a:cubicBezTo>
                                        <a:pt x="1" y="12"/>
                                        <a:pt x="2" y="13"/>
                                        <a:pt x="2" y="13"/>
                                      </a:cubicBezTo>
                                      <a:cubicBezTo>
                                        <a:pt x="2" y="13"/>
                                        <a:pt x="3" y="13"/>
                                        <a:pt x="3" y="13"/>
                                      </a:cubicBezTo>
                                      <a:cubicBezTo>
                                        <a:pt x="3" y="12"/>
                                        <a:pt x="3" y="12"/>
                                        <a:pt x="3" y="12"/>
                                      </a:cubicBezTo>
                                      <a:cubicBezTo>
                                        <a:pt x="3" y="12"/>
                                        <a:pt x="3" y="12"/>
                                        <a:pt x="3" y="12"/>
                                      </a:cubicBezTo>
                                      <a:cubicBezTo>
                                        <a:pt x="8" y="12"/>
                                        <a:pt x="8" y="12"/>
                                        <a:pt x="8" y="12"/>
                                      </a:cubicBezTo>
                                      <a:cubicBezTo>
                                        <a:pt x="14" y="12"/>
                                        <a:pt x="14" y="12"/>
                                        <a:pt x="14" y="12"/>
                                      </a:cubicBezTo>
                                      <a:cubicBezTo>
                                        <a:pt x="29" y="10"/>
                                        <a:pt x="43" y="8"/>
                                        <a:pt x="57" y="6"/>
                                      </a:cubicBezTo>
                                      <a:cubicBezTo>
                                        <a:pt x="57" y="6"/>
                                        <a:pt x="58" y="6"/>
                                        <a:pt x="59" y="6"/>
                                      </a:cubicBezTo>
                                      <a:cubicBezTo>
                                        <a:pt x="60" y="6"/>
                                        <a:pt x="62" y="7"/>
                                        <a:pt x="62" y="9"/>
                                      </a:cubicBezTo>
                                      <a:cubicBezTo>
                                        <a:pt x="62" y="10"/>
                                        <a:pt x="62" y="10"/>
                                        <a:pt x="62" y="10"/>
                                      </a:cubicBezTo>
                                      <a:cubicBezTo>
                                        <a:pt x="61" y="10"/>
                                        <a:pt x="61" y="10"/>
                                        <a:pt x="61" y="10"/>
                                      </a:cubicBezTo>
                                      <a:cubicBezTo>
                                        <a:pt x="59" y="12"/>
                                        <a:pt x="57" y="13"/>
                                        <a:pt x="55" y="14"/>
                                      </a:cubicBezTo>
                                      <a:cubicBezTo>
                                        <a:pt x="54" y="15"/>
                                        <a:pt x="53" y="16"/>
                                        <a:pt x="52" y="16"/>
                                      </a:cubicBezTo>
                                      <a:cubicBezTo>
                                        <a:pt x="51" y="17"/>
                                        <a:pt x="50" y="17"/>
                                        <a:pt x="49" y="17"/>
                                      </a:cubicBezTo>
                                      <a:cubicBezTo>
                                        <a:pt x="42" y="19"/>
                                        <a:pt x="34" y="20"/>
                                        <a:pt x="27" y="22"/>
                                      </a:cubicBezTo>
                                      <a:cubicBezTo>
                                        <a:pt x="19" y="23"/>
                                        <a:pt x="12" y="25"/>
                                        <a:pt x="4" y="26"/>
                                      </a:cubicBezTo>
                                      <a:cubicBezTo>
                                        <a:pt x="1" y="27"/>
                                        <a:pt x="0" y="28"/>
                                        <a:pt x="0" y="29"/>
                                      </a:cubicBezTo>
                                      <a:cubicBezTo>
                                        <a:pt x="1" y="31"/>
                                        <a:pt x="1" y="31"/>
                                        <a:pt x="3" y="31"/>
                                      </a:cubicBezTo>
                                      <a:cubicBezTo>
                                        <a:pt x="4" y="31"/>
                                        <a:pt x="4" y="31"/>
                                        <a:pt x="5" y="31"/>
                                      </a:cubicBezTo>
                                      <a:cubicBezTo>
                                        <a:pt x="9" y="30"/>
                                        <a:pt x="13" y="29"/>
                                        <a:pt x="16" y="29"/>
                                      </a:cubicBezTo>
                                      <a:cubicBezTo>
                                        <a:pt x="20" y="28"/>
                                        <a:pt x="24" y="27"/>
                                        <a:pt x="28" y="26"/>
                                      </a:cubicBezTo>
                                      <a:cubicBezTo>
                                        <a:pt x="28" y="26"/>
                                        <a:pt x="28" y="26"/>
                                        <a:pt x="28" y="26"/>
                                      </a:cubicBezTo>
                                      <a:cubicBezTo>
                                        <a:pt x="29" y="26"/>
                                        <a:pt x="30" y="26"/>
                                        <a:pt x="31" y="27"/>
                                      </a:cubicBezTo>
                                      <a:cubicBezTo>
                                        <a:pt x="32" y="28"/>
                                        <a:pt x="34" y="30"/>
                                        <a:pt x="35" y="31"/>
                                      </a:cubicBezTo>
                                      <a:cubicBezTo>
                                        <a:pt x="36" y="33"/>
                                        <a:pt x="38" y="34"/>
                                        <a:pt x="40" y="36"/>
                                      </a:cubicBezTo>
                                      <a:cubicBezTo>
                                        <a:pt x="41" y="37"/>
                                        <a:pt x="41" y="37"/>
                                        <a:pt x="41" y="37"/>
                                      </a:cubicBezTo>
                                      <a:cubicBezTo>
                                        <a:pt x="39" y="37"/>
                                        <a:pt x="39" y="37"/>
                                        <a:pt x="39" y="37"/>
                                      </a:cubicBezTo>
                                      <a:cubicBezTo>
                                        <a:pt x="37" y="38"/>
                                        <a:pt x="35" y="38"/>
                                        <a:pt x="32" y="39"/>
                                      </a:cubicBezTo>
                                      <a:cubicBezTo>
                                        <a:pt x="31" y="39"/>
                                        <a:pt x="29" y="40"/>
                                        <a:pt x="27" y="40"/>
                                      </a:cubicBezTo>
                                      <a:cubicBezTo>
                                        <a:pt x="25" y="41"/>
                                        <a:pt x="23" y="41"/>
                                        <a:pt x="21" y="42"/>
                                      </a:cubicBezTo>
                                      <a:cubicBezTo>
                                        <a:pt x="19" y="43"/>
                                        <a:pt x="16" y="43"/>
                                        <a:pt x="14" y="44"/>
                                      </a:cubicBezTo>
                                      <a:cubicBezTo>
                                        <a:pt x="14" y="44"/>
                                        <a:pt x="14" y="44"/>
                                        <a:pt x="14" y="44"/>
                                      </a:cubicBezTo>
                                      <a:cubicBezTo>
                                        <a:pt x="14" y="44"/>
                                        <a:pt x="14" y="44"/>
                                        <a:pt x="14" y="44"/>
                                      </a:cubicBezTo>
                                      <a:cubicBezTo>
                                        <a:pt x="13" y="44"/>
                                        <a:pt x="12" y="45"/>
                                        <a:pt x="12" y="45"/>
                                      </a:cubicBezTo>
                                      <a:cubicBezTo>
                                        <a:pt x="11" y="46"/>
                                        <a:pt x="11" y="46"/>
                                        <a:pt x="12" y="47"/>
                                      </a:cubicBezTo>
                                      <a:cubicBezTo>
                                        <a:pt x="12" y="47"/>
                                        <a:pt x="13" y="49"/>
                                        <a:pt x="14" y="49"/>
                                      </a:cubicBezTo>
                                      <a:cubicBezTo>
                                        <a:pt x="15" y="49"/>
                                        <a:pt x="15" y="49"/>
                                        <a:pt x="15" y="49"/>
                                      </a:cubicBezTo>
                                      <a:cubicBezTo>
                                        <a:pt x="15" y="49"/>
                                        <a:pt x="15" y="49"/>
                                        <a:pt x="15" y="49"/>
                                      </a:cubicBezTo>
                                      <a:cubicBezTo>
                                        <a:pt x="15" y="49"/>
                                        <a:pt x="15" y="49"/>
                                        <a:pt x="15" y="49"/>
                                      </a:cubicBezTo>
                                      <a:cubicBezTo>
                                        <a:pt x="16" y="49"/>
                                        <a:pt x="16" y="49"/>
                                        <a:pt x="16" y="49"/>
                                      </a:cubicBezTo>
                                      <a:cubicBezTo>
                                        <a:pt x="21" y="47"/>
                                        <a:pt x="25" y="46"/>
                                        <a:pt x="29" y="45"/>
                                      </a:cubicBezTo>
                                      <a:cubicBezTo>
                                        <a:pt x="34" y="44"/>
                                        <a:pt x="38" y="43"/>
                                        <a:pt x="43" y="42"/>
                                      </a:cubicBezTo>
                                      <a:cubicBezTo>
                                        <a:pt x="44" y="41"/>
                                        <a:pt x="45" y="41"/>
                                        <a:pt x="45" y="41"/>
                                      </a:cubicBezTo>
                                      <a:cubicBezTo>
                                        <a:pt x="46" y="41"/>
                                        <a:pt x="46" y="41"/>
                                        <a:pt x="46" y="41"/>
                                      </a:cubicBezTo>
                                      <a:cubicBezTo>
                                        <a:pt x="46" y="41"/>
                                        <a:pt x="46" y="41"/>
                                        <a:pt x="46" y="41"/>
                                      </a:cubicBezTo>
                                      <a:cubicBezTo>
                                        <a:pt x="48" y="43"/>
                                        <a:pt x="51" y="46"/>
                                        <a:pt x="54" y="48"/>
                                      </a:cubicBezTo>
                                      <a:cubicBezTo>
                                        <a:pt x="55" y="49"/>
                                        <a:pt x="55" y="49"/>
                                        <a:pt x="55" y="49"/>
                                      </a:cubicBezTo>
                                      <a:cubicBezTo>
                                        <a:pt x="54" y="49"/>
                                        <a:pt x="54" y="49"/>
                                        <a:pt x="54" y="49"/>
                                      </a:cubicBezTo>
                                      <a:cubicBezTo>
                                        <a:pt x="50" y="51"/>
                                        <a:pt x="47" y="53"/>
                                        <a:pt x="44" y="55"/>
                                      </a:cubicBezTo>
                                      <a:cubicBezTo>
                                        <a:pt x="40" y="57"/>
                                        <a:pt x="37" y="59"/>
                                        <a:pt x="34" y="61"/>
                                      </a:cubicBezTo>
                                      <a:cubicBezTo>
                                        <a:pt x="32" y="62"/>
                                        <a:pt x="32" y="62"/>
                                        <a:pt x="32" y="63"/>
                                      </a:cubicBezTo>
                                      <a:cubicBezTo>
                                        <a:pt x="32" y="65"/>
                                        <a:pt x="33" y="65"/>
                                        <a:pt x="34" y="65"/>
                                      </a:cubicBezTo>
                                      <a:cubicBezTo>
                                        <a:pt x="34" y="65"/>
                                        <a:pt x="34" y="65"/>
                                        <a:pt x="34" y="65"/>
                                      </a:cubicBezTo>
                                      <a:cubicBezTo>
                                        <a:pt x="34" y="66"/>
                                        <a:pt x="34" y="66"/>
                                        <a:pt x="34" y="66"/>
                                      </a:cubicBezTo>
                                      <a:cubicBezTo>
                                        <a:pt x="41" y="69"/>
                                        <a:pt x="47" y="72"/>
                                        <a:pt x="54" y="75"/>
                                      </a:cubicBezTo>
                                      <a:cubicBezTo>
                                        <a:pt x="59" y="77"/>
                                        <a:pt x="63" y="79"/>
                                        <a:pt x="68" y="81"/>
                                      </a:cubicBezTo>
                                      <a:cubicBezTo>
                                        <a:pt x="69" y="81"/>
                                        <a:pt x="69" y="81"/>
                                        <a:pt x="69" y="81"/>
                                      </a:cubicBezTo>
                                      <a:cubicBezTo>
                                        <a:pt x="70" y="81"/>
                                        <a:pt x="71" y="81"/>
                                        <a:pt x="72" y="79"/>
                                      </a:cubicBezTo>
                                      <a:cubicBezTo>
                                        <a:pt x="72" y="79"/>
                                        <a:pt x="72" y="79"/>
                                        <a:pt x="72" y="79"/>
                                      </a:cubicBezTo>
                                      <a:cubicBezTo>
                                        <a:pt x="72" y="79"/>
                                        <a:pt x="72" y="79"/>
                                        <a:pt x="72" y="79"/>
                                      </a:cubicBezTo>
                                      <a:cubicBezTo>
                                        <a:pt x="75" y="74"/>
                                        <a:pt x="77" y="70"/>
                                        <a:pt x="79" y="65"/>
                                      </a:cubicBezTo>
                                      <a:cubicBezTo>
                                        <a:pt x="80" y="65"/>
                                        <a:pt x="80" y="65"/>
                                        <a:pt x="80" y="65"/>
                                      </a:cubicBezTo>
                                      <a:cubicBezTo>
                                        <a:pt x="80" y="65"/>
                                        <a:pt x="80" y="65"/>
                                        <a:pt x="80" y="65"/>
                                      </a:cubicBezTo>
                                      <a:cubicBezTo>
                                        <a:pt x="80" y="65"/>
                                        <a:pt x="80" y="65"/>
                                        <a:pt x="80" y="64"/>
                                      </a:cubicBezTo>
                                      <a:cubicBezTo>
                                        <a:pt x="80" y="64"/>
                                        <a:pt x="81" y="64"/>
                                        <a:pt x="81" y="63"/>
                                      </a:cubicBezTo>
                                      <a:cubicBezTo>
                                        <a:pt x="81" y="63"/>
                                        <a:pt x="81" y="63"/>
                                        <a:pt x="81" y="63"/>
                                      </a:cubicBezTo>
                                      <a:cubicBezTo>
                                        <a:pt x="82" y="63"/>
                                        <a:pt x="82" y="63"/>
                                        <a:pt x="82" y="63"/>
                                      </a:cubicBezTo>
                                      <a:cubicBezTo>
                                        <a:pt x="86" y="66"/>
                                        <a:pt x="89" y="67"/>
                                        <a:pt x="93" y="69"/>
                                      </a:cubicBezTo>
                                      <a:cubicBezTo>
                                        <a:pt x="94" y="69"/>
                                        <a:pt x="96" y="70"/>
                                        <a:pt x="97" y="71"/>
                                      </a:cubicBezTo>
                                      <a:cubicBezTo>
                                        <a:pt x="101" y="73"/>
                                        <a:pt x="104" y="75"/>
                                        <a:pt x="108" y="77"/>
                                      </a:cubicBezTo>
                                      <a:cubicBezTo>
                                        <a:pt x="108" y="77"/>
                                        <a:pt x="108" y="77"/>
                                        <a:pt x="108" y="77"/>
                                      </a:cubicBezTo>
                                      <a:cubicBezTo>
                                        <a:pt x="108" y="77"/>
                                        <a:pt x="108" y="77"/>
                                        <a:pt x="108" y="77"/>
                                      </a:cubicBezTo>
                                      <a:cubicBezTo>
                                        <a:pt x="108" y="77"/>
                                        <a:pt x="108" y="77"/>
                                        <a:pt x="109" y="77"/>
                                      </a:cubicBezTo>
                                      <a:cubicBezTo>
                                        <a:pt x="109" y="77"/>
                                        <a:pt x="110" y="77"/>
                                        <a:pt x="111" y="77"/>
                                      </a:cubicBezTo>
                                      <a:cubicBezTo>
                                        <a:pt x="111" y="77"/>
                                        <a:pt x="111" y="77"/>
                                        <a:pt x="111" y="77"/>
                                      </a:cubicBezTo>
                                      <a:cubicBezTo>
                                        <a:pt x="112" y="76"/>
                                        <a:pt x="112" y="76"/>
                                        <a:pt x="112" y="75"/>
                                      </a:cubicBezTo>
                                      <a:cubicBezTo>
                                        <a:pt x="112" y="75"/>
                                        <a:pt x="112" y="74"/>
                                        <a:pt x="111" y="74"/>
                                      </a:cubicBezTo>
                                      <a:cubicBezTo>
                                        <a:pt x="111" y="73"/>
                                        <a:pt x="111" y="73"/>
                                        <a:pt x="110" y="72"/>
                                      </a:cubicBezTo>
                                      <a:cubicBezTo>
                                        <a:pt x="108" y="71"/>
                                        <a:pt x="105" y="70"/>
                                        <a:pt x="102" y="68"/>
                                      </a:cubicBezTo>
                                      <a:cubicBezTo>
                                        <a:pt x="99" y="67"/>
                                        <a:pt x="96" y="66"/>
                                        <a:pt x="93" y="64"/>
                                      </a:cubicBezTo>
                                      <a:cubicBezTo>
                                        <a:pt x="92" y="63"/>
                                        <a:pt x="90" y="62"/>
                                        <a:pt x="88" y="61"/>
                                      </a:cubicBezTo>
                                      <a:cubicBezTo>
                                        <a:pt x="87" y="60"/>
                                        <a:pt x="87" y="60"/>
                                        <a:pt x="87" y="60"/>
                                      </a:cubicBezTo>
                                      <a:cubicBezTo>
                                        <a:pt x="88" y="59"/>
                                        <a:pt x="88" y="59"/>
                                        <a:pt x="88" y="59"/>
                                      </a:cubicBezTo>
                                      <a:cubicBezTo>
                                        <a:pt x="94" y="58"/>
                                        <a:pt x="98" y="56"/>
                                        <a:pt x="103" y="55"/>
                                      </a:cubicBezTo>
                                      <a:cubicBezTo>
                                        <a:pt x="103" y="55"/>
                                        <a:pt x="103" y="55"/>
                                        <a:pt x="103" y="55"/>
                                      </a:cubicBezTo>
                                      <a:cubicBezTo>
                                        <a:pt x="103" y="55"/>
                                        <a:pt x="103" y="55"/>
                                        <a:pt x="103" y="55"/>
                                      </a:cubicBezTo>
                                      <a:cubicBezTo>
                                        <a:pt x="105" y="55"/>
                                        <a:pt x="105" y="55"/>
                                        <a:pt x="105" y="55"/>
                                      </a:cubicBezTo>
                                      <a:cubicBezTo>
                                        <a:pt x="106" y="55"/>
                                        <a:pt x="106" y="55"/>
                                        <a:pt x="106" y="55"/>
                                      </a:cubicBezTo>
                                      <a:cubicBezTo>
                                        <a:pt x="106" y="55"/>
                                        <a:pt x="106" y="55"/>
                                        <a:pt x="106" y="55"/>
                                      </a:cubicBezTo>
                                      <a:cubicBezTo>
                                        <a:pt x="131" y="62"/>
                                        <a:pt x="131" y="62"/>
                                        <a:pt x="131" y="62"/>
                                      </a:cubicBezTo>
                                      <a:cubicBezTo>
                                        <a:pt x="132" y="62"/>
                                        <a:pt x="132" y="62"/>
                                        <a:pt x="132" y="62"/>
                                      </a:cubicBezTo>
                                      <a:cubicBezTo>
                                        <a:pt x="133" y="62"/>
                                        <a:pt x="134" y="62"/>
                                        <a:pt x="134" y="61"/>
                                      </a:cubicBezTo>
                                      <a:cubicBezTo>
                                        <a:pt x="137" y="59"/>
                                        <a:pt x="139" y="57"/>
                                        <a:pt x="142" y="55"/>
                                      </a:cubicBezTo>
                                      <a:cubicBezTo>
                                        <a:pt x="144" y="53"/>
                                        <a:pt x="147" y="51"/>
                                        <a:pt x="150" y="49"/>
                                      </a:cubicBezTo>
                                      <a:cubicBezTo>
                                        <a:pt x="151" y="48"/>
                                        <a:pt x="152" y="46"/>
                                        <a:pt x="153" y="46"/>
                                      </a:cubicBezTo>
                                      <a:cubicBezTo>
                                        <a:pt x="154" y="45"/>
                                        <a:pt x="155" y="44"/>
                                        <a:pt x="156" y="43"/>
                                      </a:cubicBezTo>
                                      <a:cubicBezTo>
                                        <a:pt x="156" y="43"/>
                                        <a:pt x="157" y="41"/>
                                        <a:pt x="157" y="41"/>
                                      </a:cubicBezTo>
                                      <a:cubicBezTo>
                                        <a:pt x="155" y="39"/>
                                        <a:pt x="155" y="39"/>
                                        <a:pt x="155" y="39"/>
                                      </a:cubicBezTo>
                                      <a:cubicBezTo>
                                        <a:pt x="154" y="39"/>
                                        <a:pt x="153" y="39"/>
                                        <a:pt x="152" y="40"/>
                                      </a:cubicBezTo>
                                      <a:cubicBezTo>
                                        <a:pt x="146" y="45"/>
                                        <a:pt x="140" y="50"/>
                                        <a:pt x="134" y="55"/>
                                      </a:cubicBezTo>
                                      <a:cubicBezTo>
                                        <a:pt x="133" y="56"/>
                                        <a:pt x="131" y="56"/>
                                        <a:pt x="129" y="56"/>
                                      </a:cubicBezTo>
                                      <a:cubicBezTo>
                                        <a:pt x="129" y="56"/>
                                        <a:pt x="129" y="56"/>
                                        <a:pt x="129" y="56"/>
                                      </a:cubicBezTo>
                                      <a:cubicBezTo>
                                        <a:pt x="129" y="56"/>
                                        <a:pt x="129" y="56"/>
                                        <a:pt x="129" y="56"/>
                                      </a:cubicBezTo>
                                      <a:cubicBezTo>
                                        <a:pt x="126" y="56"/>
                                        <a:pt x="123" y="55"/>
                                        <a:pt x="120" y="54"/>
                                      </a:cubicBezTo>
                                      <a:cubicBezTo>
                                        <a:pt x="117" y="53"/>
                                        <a:pt x="114" y="52"/>
                                        <a:pt x="111" y="51"/>
                                      </a:cubicBezTo>
                                      <a:cubicBezTo>
                                        <a:pt x="109" y="51"/>
                                        <a:pt x="109" y="51"/>
                                        <a:pt x="109" y="51"/>
                                      </a:cubicBezTo>
                                      <a:cubicBezTo>
                                        <a:pt x="108" y="51"/>
                                        <a:pt x="108" y="51"/>
                                        <a:pt x="108" y="51"/>
                                      </a:cubicBezTo>
                                      <a:cubicBezTo>
                                        <a:pt x="109" y="50"/>
                                        <a:pt x="109" y="50"/>
                                        <a:pt x="109" y="50"/>
                                      </a:cubicBezTo>
                                      <a:cubicBezTo>
                                        <a:pt x="112" y="44"/>
                                        <a:pt x="116" y="38"/>
                                        <a:pt x="120" y="33"/>
                                      </a:cubicBezTo>
                                      <a:cubicBezTo>
                                        <a:pt x="121" y="31"/>
                                        <a:pt x="122" y="29"/>
                                        <a:pt x="123" y="28"/>
                                      </a:cubicBezTo>
                                      <a:cubicBezTo>
                                        <a:pt x="123" y="27"/>
                                        <a:pt x="124" y="26"/>
                                        <a:pt x="125" y="26"/>
                                      </a:cubicBezTo>
                                      <a:cubicBezTo>
                                        <a:pt x="129" y="26"/>
                                        <a:pt x="132" y="26"/>
                                        <a:pt x="135" y="27"/>
                                      </a:cubicBezTo>
                                      <a:cubicBezTo>
                                        <a:pt x="138" y="27"/>
                                        <a:pt x="141" y="27"/>
                                        <a:pt x="144" y="27"/>
                                      </a:cubicBezTo>
                                      <a:cubicBezTo>
                                        <a:pt x="149" y="28"/>
                                        <a:pt x="154" y="28"/>
                                        <a:pt x="159" y="28"/>
                                      </a:cubicBezTo>
                                      <a:cubicBezTo>
                                        <a:pt x="160" y="28"/>
                                        <a:pt x="160" y="28"/>
                                        <a:pt x="160" y="28"/>
                                      </a:cubicBezTo>
                                      <a:cubicBezTo>
                                        <a:pt x="160" y="28"/>
                                        <a:pt x="160" y="28"/>
                                        <a:pt x="160" y="28"/>
                                      </a:cubicBezTo>
                                      <a:cubicBezTo>
                                        <a:pt x="160" y="28"/>
                                        <a:pt x="160" y="28"/>
                                        <a:pt x="160" y="28"/>
                                      </a:cubicBezTo>
                                      <a:cubicBezTo>
                                        <a:pt x="161" y="28"/>
                                        <a:pt x="162" y="27"/>
                                        <a:pt x="162" y="25"/>
                                      </a:cubicBezTo>
                                      <a:cubicBezTo>
                                        <a:pt x="162" y="24"/>
                                        <a:pt x="161" y="23"/>
                                        <a:pt x="160" y="23"/>
                                      </a:cubicBezTo>
                                      <a:cubicBezTo>
                                        <a:pt x="159" y="23"/>
                                        <a:pt x="158" y="23"/>
                                        <a:pt x="156" y="23"/>
                                      </a:cubicBezTo>
                                      <a:cubicBezTo>
                                        <a:pt x="147" y="23"/>
                                        <a:pt x="137" y="22"/>
                                        <a:pt x="128" y="21"/>
                                      </a:cubicBezTo>
                                      <a:cubicBezTo>
                                        <a:pt x="125" y="21"/>
                                        <a:pt x="125" y="21"/>
                                        <a:pt x="125" y="21"/>
                                      </a:cubicBezTo>
                                      <a:cubicBezTo>
                                        <a:pt x="124" y="21"/>
                                        <a:pt x="124" y="21"/>
                                        <a:pt x="124" y="21"/>
                                      </a:cubicBezTo>
                                      <a:cubicBezTo>
                                        <a:pt x="123" y="21"/>
                                        <a:pt x="123" y="21"/>
                                        <a:pt x="123" y="21"/>
                                      </a:cubicBezTo>
                                      <a:cubicBezTo>
                                        <a:pt x="123" y="21"/>
                                        <a:pt x="123" y="21"/>
                                        <a:pt x="123" y="21"/>
                                      </a:cubicBezTo>
                                      <a:cubicBezTo>
                                        <a:pt x="122" y="18"/>
                                        <a:pt x="120" y="15"/>
                                        <a:pt x="118" y="11"/>
                                      </a:cubicBezTo>
                                      <a:cubicBezTo>
                                        <a:pt x="117" y="11"/>
                                        <a:pt x="117" y="11"/>
                                        <a:pt x="117" y="11"/>
                                      </a:cubicBezTo>
                                      <a:cubicBezTo>
                                        <a:pt x="118" y="10"/>
                                        <a:pt x="118" y="10"/>
                                        <a:pt x="118" y="10"/>
                                      </a:cubicBezTo>
                                      <a:cubicBezTo>
                                        <a:pt x="120" y="10"/>
                                        <a:pt x="121" y="9"/>
                                        <a:pt x="122" y="8"/>
                                      </a:cubicBezTo>
                                      <a:cubicBezTo>
                                        <a:pt x="123" y="7"/>
                                        <a:pt x="124" y="7"/>
                                        <a:pt x="124" y="6"/>
                                      </a:cubicBezTo>
                                      <a:cubicBezTo>
                                        <a:pt x="124" y="6"/>
                                        <a:pt x="124" y="6"/>
                                        <a:pt x="124" y="6"/>
                                      </a:cubicBezTo>
                                      <a:cubicBezTo>
                                        <a:pt x="125" y="6"/>
                                        <a:pt x="125" y="6"/>
                                        <a:pt x="125" y="6"/>
                                      </a:cubicBezTo>
                                      <a:cubicBezTo>
                                        <a:pt x="125" y="6"/>
                                        <a:pt x="125" y="6"/>
                                        <a:pt x="125" y="6"/>
                                      </a:cubicBezTo>
                                      <a:cubicBezTo>
                                        <a:pt x="126" y="6"/>
                                        <a:pt x="126" y="6"/>
                                        <a:pt x="126" y="6"/>
                                      </a:cubicBezTo>
                                      <a:cubicBezTo>
                                        <a:pt x="127" y="6"/>
                                        <a:pt x="127" y="6"/>
                                        <a:pt x="128" y="6"/>
                                      </a:cubicBezTo>
                                      <a:cubicBezTo>
                                        <a:pt x="131" y="7"/>
                                        <a:pt x="134" y="7"/>
                                        <a:pt x="137" y="8"/>
                                      </a:cubicBezTo>
                                      <a:cubicBezTo>
                                        <a:pt x="140" y="8"/>
                                        <a:pt x="143" y="9"/>
                                        <a:pt x="146" y="9"/>
                                      </a:cubicBezTo>
                                      <a:cubicBezTo>
                                        <a:pt x="152" y="11"/>
                                        <a:pt x="158" y="12"/>
                                        <a:pt x="163" y="12"/>
                                      </a:cubicBezTo>
                                      <a:cubicBezTo>
                                        <a:pt x="164" y="13"/>
                                        <a:pt x="164" y="13"/>
                                        <a:pt x="164" y="13"/>
                                      </a:cubicBezTo>
                                      <a:cubicBezTo>
                                        <a:pt x="165" y="13"/>
                                        <a:pt x="166" y="12"/>
                                        <a:pt x="166" y="11"/>
                                      </a:cubicBezTo>
                                      <a:cubicBezTo>
                                        <a:pt x="166" y="11"/>
                                        <a:pt x="166" y="11"/>
                                        <a:pt x="166" y="11"/>
                                      </a:cubicBezTo>
                                      <a:cubicBezTo>
                                        <a:pt x="166" y="11"/>
                                        <a:pt x="166" y="11"/>
                                        <a:pt x="166" y="11"/>
                                      </a:cubicBezTo>
                                      <a:cubicBezTo>
                                        <a:pt x="166" y="10"/>
                                        <a:pt x="167" y="10"/>
                                        <a:pt x="166" y="9"/>
                                      </a:cubicBezTo>
                                      <a:close/>
                                      <a:moveTo>
                                        <a:pt x="36" y="26"/>
                                      </a:moveTo>
                                      <a:cubicBezTo>
                                        <a:pt x="35" y="25"/>
                                        <a:pt x="35" y="25"/>
                                        <a:pt x="35" y="25"/>
                                      </a:cubicBezTo>
                                      <a:cubicBezTo>
                                        <a:pt x="37" y="25"/>
                                        <a:pt x="37" y="25"/>
                                        <a:pt x="37" y="25"/>
                                      </a:cubicBezTo>
                                      <a:cubicBezTo>
                                        <a:pt x="42" y="24"/>
                                        <a:pt x="47" y="23"/>
                                        <a:pt x="51" y="22"/>
                                      </a:cubicBezTo>
                                      <a:cubicBezTo>
                                        <a:pt x="51" y="22"/>
                                        <a:pt x="51" y="22"/>
                                        <a:pt x="51" y="22"/>
                                      </a:cubicBezTo>
                                      <a:cubicBezTo>
                                        <a:pt x="51" y="22"/>
                                        <a:pt x="51" y="22"/>
                                        <a:pt x="51" y="22"/>
                                      </a:cubicBezTo>
                                      <a:cubicBezTo>
                                        <a:pt x="52" y="22"/>
                                        <a:pt x="52" y="22"/>
                                        <a:pt x="52" y="22"/>
                                      </a:cubicBezTo>
                                      <a:cubicBezTo>
                                        <a:pt x="52" y="22"/>
                                        <a:pt x="52" y="22"/>
                                        <a:pt x="52" y="22"/>
                                      </a:cubicBezTo>
                                      <a:cubicBezTo>
                                        <a:pt x="53" y="22"/>
                                        <a:pt x="53" y="22"/>
                                        <a:pt x="53" y="22"/>
                                      </a:cubicBezTo>
                                      <a:cubicBezTo>
                                        <a:pt x="57" y="23"/>
                                        <a:pt x="61" y="24"/>
                                        <a:pt x="65" y="25"/>
                                      </a:cubicBezTo>
                                      <a:cubicBezTo>
                                        <a:pt x="69" y="26"/>
                                        <a:pt x="73" y="27"/>
                                        <a:pt x="77" y="29"/>
                                      </a:cubicBezTo>
                                      <a:cubicBezTo>
                                        <a:pt x="79" y="29"/>
                                        <a:pt x="79" y="29"/>
                                        <a:pt x="79" y="29"/>
                                      </a:cubicBezTo>
                                      <a:cubicBezTo>
                                        <a:pt x="78" y="30"/>
                                        <a:pt x="78" y="30"/>
                                        <a:pt x="78" y="30"/>
                                      </a:cubicBezTo>
                                      <a:cubicBezTo>
                                        <a:pt x="74" y="33"/>
                                        <a:pt x="71" y="35"/>
                                        <a:pt x="68" y="38"/>
                                      </a:cubicBezTo>
                                      <a:cubicBezTo>
                                        <a:pt x="65" y="40"/>
                                        <a:pt x="62" y="43"/>
                                        <a:pt x="59" y="45"/>
                                      </a:cubicBezTo>
                                      <a:cubicBezTo>
                                        <a:pt x="59" y="46"/>
                                        <a:pt x="59" y="46"/>
                                        <a:pt x="59" y="46"/>
                                      </a:cubicBezTo>
                                      <a:cubicBezTo>
                                        <a:pt x="58" y="45"/>
                                        <a:pt x="58" y="45"/>
                                        <a:pt x="58" y="45"/>
                                      </a:cubicBezTo>
                                      <a:cubicBezTo>
                                        <a:pt x="51" y="39"/>
                                        <a:pt x="44" y="33"/>
                                        <a:pt x="36" y="26"/>
                                      </a:cubicBezTo>
                                      <a:close/>
                                      <a:moveTo>
                                        <a:pt x="76" y="61"/>
                                      </a:moveTo>
                                      <a:cubicBezTo>
                                        <a:pt x="75" y="64"/>
                                        <a:pt x="74" y="66"/>
                                        <a:pt x="72" y="68"/>
                                      </a:cubicBezTo>
                                      <a:cubicBezTo>
                                        <a:pt x="71" y="70"/>
                                        <a:pt x="70" y="72"/>
                                        <a:pt x="69" y="74"/>
                                      </a:cubicBezTo>
                                      <a:cubicBezTo>
                                        <a:pt x="68" y="75"/>
                                        <a:pt x="68" y="75"/>
                                        <a:pt x="68" y="75"/>
                                      </a:cubicBezTo>
                                      <a:cubicBezTo>
                                        <a:pt x="67" y="75"/>
                                        <a:pt x="67" y="75"/>
                                        <a:pt x="67" y="75"/>
                                      </a:cubicBezTo>
                                      <a:cubicBezTo>
                                        <a:pt x="64" y="73"/>
                                        <a:pt x="61" y="72"/>
                                        <a:pt x="58" y="71"/>
                                      </a:cubicBezTo>
                                      <a:cubicBezTo>
                                        <a:pt x="52" y="68"/>
                                        <a:pt x="47" y="66"/>
                                        <a:pt x="41" y="63"/>
                                      </a:cubicBezTo>
                                      <a:cubicBezTo>
                                        <a:pt x="40" y="62"/>
                                        <a:pt x="40" y="62"/>
                                        <a:pt x="40" y="62"/>
                                      </a:cubicBezTo>
                                      <a:cubicBezTo>
                                        <a:pt x="41" y="62"/>
                                        <a:pt x="41" y="62"/>
                                        <a:pt x="41" y="62"/>
                                      </a:cubicBezTo>
                                      <a:cubicBezTo>
                                        <a:pt x="46" y="60"/>
                                        <a:pt x="48" y="58"/>
                                        <a:pt x="51" y="56"/>
                                      </a:cubicBezTo>
                                      <a:cubicBezTo>
                                        <a:pt x="51" y="56"/>
                                        <a:pt x="51" y="56"/>
                                        <a:pt x="51" y="56"/>
                                      </a:cubicBezTo>
                                      <a:cubicBezTo>
                                        <a:pt x="51" y="56"/>
                                        <a:pt x="51" y="56"/>
                                        <a:pt x="51" y="56"/>
                                      </a:cubicBezTo>
                                      <a:cubicBezTo>
                                        <a:pt x="52" y="56"/>
                                        <a:pt x="53" y="55"/>
                                        <a:pt x="54" y="55"/>
                                      </a:cubicBezTo>
                                      <a:cubicBezTo>
                                        <a:pt x="56" y="54"/>
                                        <a:pt x="57" y="53"/>
                                        <a:pt x="59" y="52"/>
                                      </a:cubicBezTo>
                                      <a:cubicBezTo>
                                        <a:pt x="59" y="52"/>
                                        <a:pt x="59" y="52"/>
                                        <a:pt x="59" y="52"/>
                                      </a:cubicBezTo>
                                      <a:cubicBezTo>
                                        <a:pt x="59" y="52"/>
                                        <a:pt x="59" y="52"/>
                                        <a:pt x="59" y="52"/>
                                      </a:cubicBezTo>
                                      <a:cubicBezTo>
                                        <a:pt x="61" y="52"/>
                                        <a:pt x="63" y="53"/>
                                        <a:pt x="64" y="55"/>
                                      </a:cubicBezTo>
                                      <a:cubicBezTo>
                                        <a:pt x="65" y="55"/>
                                        <a:pt x="66" y="56"/>
                                        <a:pt x="67" y="56"/>
                                      </a:cubicBezTo>
                                      <a:cubicBezTo>
                                        <a:pt x="70" y="57"/>
                                        <a:pt x="73" y="59"/>
                                        <a:pt x="76" y="60"/>
                                      </a:cubicBezTo>
                                      <a:cubicBezTo>
                                        <a:pt x="77" y="61"/>
                                        <a:pt x="77" y="61"/>
                                        <a:pt x="77" y="61"/>
                                      </a:cubicBezTo>
                                      <a:lnTo>
                                        <a:pt x="76" y="61"/>
                                      </a:lnTo>
                                      <a:close/>
                                      <a:moveTo>
                                        <a:pt x="116" y="28"/>
                                      </a:moveTo>
                                      <a:cubicBezTo>
                                        <a:pt x="116" y="29"/>
                                        <a:pt x="116" y="30"/>
                                        <a:pt x="115" y="30"/>
                                      </a:cubicBezTo>
                                      <a:cubicBezTo>
                                        <a:pt x="113" y="33"/>
                                        <a:pt x="111" y="36"/>
                                        <a:pt x="109" y="39"/>
                                      </a:cubicBezTo>
                                      <a:cubicBezTo>
                                        <a:pt x="107" y="42"/>
                                        <a:pt x="105" y="45"/>
                                        <a:pt x="103" y="48"/>
                                      </a:cubicBezTo>
                                      <a:cubicBezTo>
                                        <a:pt x="103" y="48"/>
                                        <a:pt x="103" y="48"/>
                                        <a:pt x="103" y="48"/>
                                      </a:cubicBezTo>
                                      <a:cubicBezTo>
                                        <a:pt x="103" y="48"/>
                                        <a:pt x="103" y="48"/>
                                        <a:pt x="103" y="48"/>
                                      </a:cubicBezTo>
                                      <a:cubicBezTo>
                                        <a:pt x="102" y="49"/>
                                        <a:pt x="101" y="50"/>
                                        <a:pt x="100" y="50"/>
                                      </a:cubicBezTo>
                                      <a:cubicBezTo>
                                        <a:pt x="97" y="51"/>
                                        <a:pt x="94" y="52"/>
                                        <a:pt x="91" y="53"/>
                                      </a:cubicBezTo>
                                      <a:cubicBezTo>
                                        <a:pt x="88" y="54"/>
                                        <a:pt x="85" y="55"/>
                                        <a:pt x="82" y="56"/>
                                      </a:cubicBezTo>
                                      <a:cubicBezTo>
                                        <a:pt x="82" y="56"/>
                                        <a:pt x="82" y="56"/>
                                        <a:pt x="82" y="56"/>
                                      </a:cubicBezTo>
                                      <a:cubicBezTo>
                                        <a:pt x="82" y="56"/>
                                        <a:pt x="82" y="56"/>
                                        <a:pt x="82" y="56"/>
                                      </a:cubicBezTo>
                                      <a:cubicBezTo>
                                        <a:pt x="80" y="56"/>
                                        <a:pt x="80" y="56"/>
                                        <a:pt x="80" y="56"/>
                                      </a:cubicBezTo>
                                      <a:cubicBezTo>
                                        <a:pt x="80" y="56"/>
                                        <a:pt x="80" y="56"/>
                                        <a:pt x="80" y="56"/>
                                      </a:cubicBezTo>
                                      <a:cubicBezTo>
                                        <a:pt x="80" y="56"/>
                                        <a:pt x="80" y="56"/>
                                        <a:pt x="80" y="56"/>
                                      </a:cubicBezTo>
                                      <a:cubicBezTo>
                                        <a:pt x="77" y="55"/>
                                        <a:pt x="74" y="54"/>
                                        <a:pt x="72" y="53"/>
                                      </a:cubicBezTo>
                                      <a:cubicBezTo>
                                        <a:pt x="70" y="52"/>
                                        <a:pt x="67" y="51"/>
                                        <a:pt x="64" y="49"/>
                                      </a:cubicBezTo>
                                      <a:cubicBezTo>
                                        <a:pt x="63" y="49"/>
                                        <a:pt x="63" y="49"/>
                                        <a:pt x="63" y="49"/>
                                      </a:cubicBezTo>
                                      <a:cubicBezTo>
                                        <a:pt x="64" y="48"/>
                                        <a:pt x="64" y="48"/>
                                        <a:pt x="64" y="48"/>
                                      </a:cubicBezTo>
                                      <a:cubicBezTo>
                                        <a:pt x="66" y="46"/>
                                        <a:pt x="68" y="45"/>
                                        <a:pt x="70" y="43"/>
                                      </a:cubicBezTo>
                                      <a:cubicBezTo>
                                        <a:pt x="73" y="41"/>
                                        <a:pt x="77" y="38"/>
                                        <a:pt x="79" y="35"/>
                                      </a:cubicBezTo>
                                      <a:cubicBezTo>
                                        <a:pt x="84" y="32"/>
                                        <a:pt x="87" y="29"/>
                                        <a:pt x="92" y="29"/>
                                      </a:cubicBezTo>
                                      <a:cubicBezTo>
                                        <a:pt x="95" y="29"/>
                                        <a:pt x="99" y="29"/>
                                        <a:pt x="103" y="28"/>
                                      </a:cubicBezTo>
                                      <a:cubicBezTo>
                                        <a:pt x="106" y="28"/>
                                        <a:pt x="110" y="27"/>
                                        <a:pt x="114" y="27"/>
                                      </a:cubicBezTo>
                                      <a:cubicBezTo>
                                        <a:pt x="115" y="27"/>
                                        <a:pt x="115" y="27"/>
                                        <a:pt x="115" y="27"/>
                                      </a:cubicBezTo>
                                      <a:cubicBezTo>
                                        <a:pt x="116" y="27"/>
                                        <a:pt x="116" y="27"/>
                                        <a:pt x="116" y="27"/>
                                      </a:cubicBezTo>
                                      <a:lnTo>
                                        <a:pt x="116" y="28"/>
                                      </a:lnTo>
                                      <a:close/>
                                      <a:moveTo>
                                        <a:pt x="118" y="21"/>
                                      </a:moveTo>
                                      <a:cubicBezTo>
                                        <a:pt x="119" y="22"/>
                                        <a:pt x="119" y="22"/>
                                        <a:pt x="119" y="22"/>
                                      </a:cubicBezTo>
                                      <a:cubicBezTo>
                                        <a:pt x="117" y="22"/>
                                        <a:pt x="117" y="22"/>
                                        <a:pt x="117" y="22"/>
                                      </a:cubicBezTo>
                                      <a:cubicBezTo>
                                        <a:pt x="115" y="22"/>
                                        <a:pt x="113" y="22"/>
                                        <a:pt x="111" y="23"/>
                                      </a:cubicBezTo>
                                      <a:cubicBezTo>
                                        <a:pt x="111" y="23"/>
                                        <a:pt x="111" y="23"/>
                                        <a:pt x="111" y="23"/>
                                      </a:cubicBezTo>
                                      <a:cubicBezTo>
                                        <a:pt x="111" y="23"/>
                                        <a:pt x="111" y="23"/>
                                        <a:pt x="111" y="23"/>
                                      </a:cubicBezTo>
                                      <a:cubicBezTo>
                                        <a:pt x="102" y="23"/>
                                        <a:pt x="95" y="24"/>
                                        <a:pt x="87" y="25"/>
                                      </a:cubicBezTo>
                                      <a:cubicBezTo>
                                        <a:pt x="83" y="25"/>
                                        <a:pt x="83" y="25"/>
                                        <a:pt x="83" y="25"/>
                                      </a:cubicBezTo>
                                      <a:cubicBezTo>
                                        <a:pt x="83" y="25"/>
                                        <a:pt x="83" y="25"/>
                                        <a:pt x="83" y="25"/>
                                      </a:cubicBezTo>
                                      <a:cubicBezTo>
                                        <a:pt x="83" y="25"/>
                                        <a:pt x="83" y="25"/>
                                        <a:pt x="83" y="25"/>
                                      </a:cubicBezTo>
                                      <a:cubicBezTo>
                                        <a:pt x="78" y="23"/>
                                        <a:pt x="74" y="22"/>
                                        <a:pt x="69" y="21"/>
                                      </a:cubicBezTo>
                                      <a:cubicBezTo>
                                        <a:pt x="66" y="20"/>
                                        <a:pt x="63" y="20"/>
                                        <a:pt x="60" y="19"/>
                                      </a:cubicBezTo>
                                      <a:cubicBezTo>
                                        <a:pt x="58" y="18"/>
                                        <a:pt x="58" y="18"/>
                                        <a:pt x="58" y="18"/>
                                      </a:cubicBezTo>
                                      <a:cubicBezTo>
                                        <a:pt x="60" y="17"/>
                                        <a:pt x="60" y="17"/>
                                        <a:pt x="60" y="17"/>
                                      </a:cubicBezTo>
                                      <a:cubicBezTo>
                                        <a:pt x="61" y="17"/>
                                        <a:pt x="61" y="16"/>
                                        <a:pt x="62" y="16"/>
                                      </a:cubicBezTo>
                                      <a:cubicBezTo>
                                        <a:pt x="65" y="14"/>
                                        <a:pt x="67" y="12"/>
                                        <a:pt x="70" y="12"/>
                                      </a:cubicBezTo>
                                      <a:cubicBezTo>
                                        <a:pt x="83" y="13"/>
                                        <a:pt x="97" y="13"/>
                                        <a:pt x="110" y="13"/>
                                      </a:cubicBezTo>
                                      <a:cubicBezTo>
                                        <a:pt x="112" y="13"/>
                                        <a:pt x="113" y="13"/>
                                        <a:pt x="115" y="15"/>
                                      </a:cubicBezTo>
                                      <a:cubicBezTo>
                                        <a:pt x="115" y="15"/>
                                        <a:pt x="115" y="15"/>
                                        <a:pt x="115" y="15"/>
                                      </a:cubicBezTo>
                                      <a:cubicBezTo>
                                        <a:pt x="115" y="15"/>
                                        <a:pt x="115" y="15"/>
                                        <a:pt x="115" y="15"/>
                                      </a:cubicBezTo>
                                      <a:cubicBezTo>
                                        <a:pt x="115" y="17"/>
                                        <a:pt x="116" y="18"/>
                                        <a:pt x="118" y="21"/>
                                      </a:cubicBezTo>
                                      <a:close/>
                                    </a:path>
                                  </a:pathLst>
                                </a:custGeom>
                                <a:grpFill/>
                                <a:ln>
                                  <a:noFill/>
                                </a:ln>
                              </wps:spPr>
                              <wps:bodyPr vert="horz" wrap="square" lIns="91440" tIns="45720" rIns="91440" bIns="45720" numCol="1" anchor="t" anchorCtr="0" compatLnSpc="1">
                                <a:prstTxWarp prst="textNoShape">
                                  <a:avLst/>
                                </a:prstTxWarp>
                              </wps:bodyPr>
                            </wps:wsp>
                            <wps:wsp>
                              <wps:cNvPr id="27853" name="Freeform 53"/>
                              <wps:cNvSpPr>
                                <a:spLocks/>
                              </wps:cNvSpPr>
                              <wps:spPr bwMode="auto">
                                <a:xfrm>
                                  <a:off x="535701" y="279320"/>
                                  <a:ext cx="0" cy="0"/>
                                </a:xfrm>
                                <a:custGeom>
                                  <a:avLst/>
                                  <a:gdLst/>
                                  <a:ahLst/>
                                  <a:cxnLst>
                                    <a:cxn ang="0">
                                      <a:pos x="0" y="0"/>
                                    </a:cxn>
                                    <a:cxn ang="0">
                                      <a:pos x="0" y="0"/>
                                    </a:cxn>
                                    <a:cxn ang="0">
                                      <a:pos x="0" y="0"/>
                                    </a:cxn>
                                  </a:cxnLst>
                                  <a:rect l="0" t="0" r="r" b="b"/>
                                  <a:pathLst>
                                    <a:path>
                                      <a:moveTo>
                                        <a:pt x="0" y="0"/>
                                      </a:moveTo>
                                      <a:cubicBezTo>
                                        <a:pt x="0" y="0"/>
                                        <a:pt x="0" y="0"/>
                                        <a:pt x="0" y="0"/>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54" name="Freeform 54"/>
                              <wps:cNvSpPr>
                                <a:spLocks/>
                              </wps:cNvSpPr>
                              <wps:spPr bwMode="auto">
                                <a:xfrm>
                                  <a:off x="369728" y="290115"/>
                                  <a:ext cx="2699" cy="5397"/>
                                </a:xfrm>
                                <a:custGeom>
                                  <a:avLst/>
                                  <a:gdLst>
                                    <a:gd name="T0" fmla="*/ 1 w 1"/>
                                    <a:gd name="T1" fmla="*/ 2 h 2"/>
                                    <a:gd name="T2" fmla="*/ 0 w 1"/>
                                    <a:gd name="T3" fmla="*/ 0 h 2"/>
                                    <a:gd name="T4" fmla="*/ 1 w 1"/>
                                    <a:gd name="T5" fmla="*/ 2 h 2"/>
                                  </a:gdLst>
                                  <a:ahLst/>
                                  <a:cxnLst>
                                    <a:cxn ang="0">
                                      <a:pos x="T0" y="T1"/>
                                    </a:cxn>
                                    <a:cxn ang="0">
                                      <a:pos x="T2" y="T3"/>
                                    </a:cxn>
                                    <a:cxn ang="0">
                                      <a:pos x="T4" y="T5"/>
                                    </a:cxn>
                                  </a:cxnLst>
                                  <a:rect l="0" t="0" r="r" b="b"/>
                                  <a:pathLst>
                                    <a:path w="1" h="2">
                                      <a:moveTo>
                                        <a:pt x="1" y="2"/>
                                      </a:moveTo>
                                      <a:cubicBezTo>
                                        <a:pt x="1" y="1"/>
                                        <a:pt x="0" y="0"/>
                                        <a:pt x="0" y="0"/>
                                      </a:cubicBezTo>
                                      <a:cubicBezTo>
                                        <a:pt x="0" y="0"/>
                                        <a:pt x="1" y="1"/>
                                        <a:pt x="1" y="2"/>
                                      </a:cubicBezTo>
                                      <a:close/>
                                    </a:path>
                                  </a:pathLst>
                                </a:custGeom>
                                <a:grpFill/>
                                <a:ln>
                                  <a:noFill/>
                                </a:ln>
                              </wps:spPr>
                              <wps:bodyPr vert="horz" wrap="square" lIns="91440" tIns="45720" rIns="91440" bIns="45720" numCol="1" anchor="t" anchorCtr="0" compatLnSpc="1">
                                <a:prstTxWarp prst="textNoShape">
                                  <a:avLst/>
                                </a:prstTxWarp>
                              </wps:bodyPr>
                            </wps:wsp>
                            <wps:wsp>
                              <wps:cNvPr id="27855" name="Freeform 55"/>
                              <wps:cNvSpPr>
                                <a:spLocks/>
                              </wps:cNvSpPr>
                              <wps:spPr bwMode="auto">
                                <a:xfrm>
                                  <a:off x="411559" y="260429"/>
                                  <a:ext cx="2699" cy="0"/>
                                </a:xfrm>
                                <a:custGeom>
                                  <a:avLst/>
                                  <a:gdLst>
                                    <a:gd name="T0" fmla="*/ 1 w 1"/>
                                    <a:gd name="T1" fmla="*/ 0 w 1"/>
                                    <a:gd name="T2" fmla="*/ 1 w 1"/>
                                  </a:gdLst>
                                  <a:ahLst/>
                                  <a:cxnLst>
                                    <a:cxn ang="0">
                                      <a:pos x="T0" y="0"/>
                                    </a:cxn>
                                    <a:cxn ang="0">
                                      <a:pos x="T1" y="0"/>
                                    </a:cxn>
                                    <a:cxn ang="0">
                                      <a:pos x="T2" y="0"/>
                                    </a:cxn>
                                  </a:cxnLst>
                                  <a:rect l="0" t="0" r="r" b="b"/>
                                  <a:pathLst>
                                    <a:path w="1">
                                      <a:moveTo>
                                        <a:pt x="1" y="0"/>
                                      </a:moveTo>
                                      <a:cubicBezTo>
                                        <a:pt x="0" y="0"/>
                                        <a:pt x="0" y="0"/>
                                        <a:pt x="0" y="0"/>
                                      </a:cubicBezTo>
                                      <a:cubicBezTo>
                                        <a:pt x="0" y="0"/>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56" name="Freeform 56"/>
                              <wps:cNvSpPr>
                                <a:spLocks/>
                              </wps:cNvSpPr>
                              <wps:spPr bwMode="auto">
                                <a:xfrm>
                                  <a:off x="395366" y="238839"/>
                                  <a:ext cx="9446" cy="2699"/>
                                </a:xfrm>
                                <a:custGeom>
                                  <a:avLst/>
                                  <a:gdLst>
                                    <a:gd name="T0" fmla="*/ 0 w 3"/>
                                    <a:gd name="T1" fmla="*/ 1 h 1"/>
                                    <a:gd name="T2" fmla="*/ 3 w 3"/>
                                    <a:gd name="T3" fmla="*/ 0 h 1"/>
                                    <a:gd name="T4" fmla="*/ 0 w 3"/>
                                    <a:gd name="T5" fmla="*/ 1 h 1"/>
                                  </a:gdLst>
                                  <a:ahLst/>
                                  <a:cxnLst>
                                    <a:cxn ang="0">
                                      <a:pos x="T0" y="T1"/>
                                    </a:cxn>
                                    <a:cxn ang="0">
                                      <a:pos x="T2" y="T3"/>
                                    </a:cxn>
                                    <a:cxn ang="0">
                                      <a:pos x="T4" y="T5"/>
                                    </a:cxn>
                                  </a:cxnLst>
                                  <a:rect l="0" t="0" r="r" b="b"/>
                                  <a:pathLst>
                                    <a:path w="3" h="1">
                                      <a:moveTo>
                                        <a:pt x="0" y="1"/>
                                      </a:moveTo>
                                      <a:cubicBezTo>
                                        <a:pt x="1" y="1"/>
                                        <a:pt x="2" y="0"/>
                                        <a:pt x="3" y="0"/>
                                      </a:cubicBezTo>
                                      <a:cubicBezTo>
                                        <a:pt x="2" y="0"/>
                                        <a:pt x="1" y="1"/>
                                        <a:pt x="0" y="1"/>
                                      </a:cubicBezTo>
                                      <a:close/>
                                    </a:path>
                                  </a:pathLst>
                                </a:custGeom>
                                <a:grpFill/>
                                <a:ln>
                                  <a:noFill/>
                                </a:ln>
                              </wps:spPr>
                              <wps:bodyPr vert="horz" wrap="square" lIns="91440" tIns="45720" rIns="91440" bIns="45720" numCol="1" anchor="t" anchorCtr="0" compatLnSpc="1">
                                <a:prstTxWarp prst="textNoShape">
                                  <a:avLst/>
                                </a:prstTxWarp>
                              </wps:bodyPr>
                            </wps:wsp>
                            <wps:wsp>
                              <wps:cNvPr id="27857" name="Freeform 57"/>
                              <wps:cNvSpPr>
                                <a:spLocks/>
                              </wps:cNvSpPr>
                              <wps:spPr bwMode="auto">
                                <a:xfrm>
                                  <a:off x="538400" y="273923"/>
                                  <a:ext cx="0" cy="2699"/>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1"/>
                                        <a:pt x="0" y="1"/>
                                      </a:cubicBezTo>
                                      <a:cubicBezTo>
                                        <a:pt x="0" y="1"/>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58" name="Freeform 58"/>
                              <wps:cNvSpPr>
                                <a:spLocks/>
                              </wps:cNvSpPr>
                              <wps:spPr bwMode="auto">
                                <a:xfrm>
                                  <a:off x="369728" y="250984"/>
                                  <a:ext cx="9446" cy="6747"/>
                                </a:xfrm>
                                <a:custGeom>
                                  <a:avLst/>
                                  <a:gdLst>
                                    <a:gd name="T0" fmla="*/ 3 w 3"/>
                                    <a:gd name="T1" fmla="*/ 0 h 2"/>
                                    <a:gd name="T2" fmla="*/ 1 w 3"/>
                                    <a:gd name="T3" fmla="*/ 2 h 2"/>
                                    <a:gd name="T4" fmla="*/ 0 w 3"/>
                                    <a:gd name="T5" fmla="*/ 2 h 2"/>
                                    <a:gd name="T6" fmla="*/ 1 w 3"/>
                                    <a:gd name="T7" fmla="*/ 2 h 2"/>
                                    <a:gd name="T8" fmla="*/ 3 w 3"/>
                                    <a:gd name="T9" fmla="*/ 0 h 2"/>
                                  </a:gdLst>
                                  <a:ahLst/>
                                  <a:cxnLst>
                                    <a:cxn ang="0">
                                      <a:pos x="T0" y="T1"/>
                                    </a:cxn>
                                    <a:cxn ang="0">
                                      <a:pos x="T2" y="T3"/>
                                    </a:cxn>
                                    <a:cxn ang="0">
                                      <a:pos x="T4" y="T5"/>
                                    </a:cxn>
                                    <a:cxn ang="0">
                                      <a:pos x="T6" y="T7"/>
                                    </a:cxn>
                                    <a:cxn ang="0">
                                      <a:pos x="T8" y="T9"/>
                                    </a:cxn>
                                  </a:cxnLst>
                                  <a:rect l="0" t="0" r="r" b="b"/>
                                  <a:pathLst>
                                    <a:path w="3" h="2">
                                      <a:moveTo>
                                        <a:pt x="3" y="0"/>
                                      </a:moveTo>
                                      <a:cubicBezTo>
                                        <a:pt x="2" y="1"/>
                                        <a:pt x="1" y="1"/>
                                        <a:pt x="1" y="2"/>
                                      </a:cubicBezTo>
                                      <a:cubicBezTo>
                                        <a:pt x="0" y="2"/>
                                        <a:pt x="0" y="2"/>
                                        <a:pt x="0" y="2"/>
                                      </a:cubicBezTo>
                                      <a:cubicBezTo>
                                        <a:pt x="0" y="2"/>
                                        <a:pt x="0" y="2"/>
                                        <a:pt x="1" y="2"/>
                                      </a:cubicBezTo>
                                      <a:cubicBezTo>
                                        <a:pt x="1" y="1"/>
                                        <a:pt x="2" y="1"/>
                                        <a:pt x="3" y="0"/>
                                      </a:cubicBezTo>
                                      <a:close/>
                                    </a:path>
                                  </a:pathLst>
                                </a:custGeom>
                                <a:grpFill/>
                                <a:ln>
                                  <a:noFill/>
                                </a:ln>
                              </wps:spPr>
                              <wps:bodyPr vert="horz" wrap="square" lIns="91440" tIns="45720" rIns="91440" bIns="45720" numCol="1" anchor="t" anchorCtr="0" compatLnSpc="1">
                                <a:prstTxWarp prst="textNoShape">
                                  <a:avLst/>
                                </a:prstTxWarp>
                              </wps:bodyPr>
                            </wps:wsp>
                            <wps:wsp>
                              <wps:cNvPr id="27859" name="Freeform 59"/>
                              <wps:cNvSpPr>
                                <a:spLocks/>
                              </wps:cNvSpPr>
                              <wps:spPr bwMode="auto">
                                <a:xfrm>
                                  <a:off x="379174" y="244237"/>
                                  <a:ext cx="12144" cy="6747"/>
                                </a:xfrm>
                                <a:custGeom>
                                  <a:avLst/>
                                  <a:gdLst>
                                    <a:gd name="T0" fmla="*/ 0 w 4"/>
                                    <a:gd name="T1" fmla="*/ 2 h 2"/>
                                    <a:gd name="T2" fmla="*/ 4 w 4"/>
                                    <a:gd name="T3" fmla="*/ 0 h 2"/>
                                    <a:gd name="T4" fmla="*/ 0 w 4"/>
                                    <a:gd name="T5" fmla="*/ 2 h 2"/>
                                  </a:gdLst>
                                  <a:ahLst/>
                                  <a:cxnLst>
                                    <a:cxn ang="0">
                                      <a:pos x="T0" y="T1"/>
                                    </a:cxn>
                                    <a:cxn ang="0">
                                      <a:pos x="T2" y="T3"/>
                                    </a:cxn>
                                    <a:cxn ang="0">
                                      <a:pos x="T4" y="T5"/>
                                    </a:cxn>
                                  </a:cxnLst>
                                  <a:rect l="0" t="0" r="r" b="b"/>
                                  <a:pathLst>
                                    <a:path w="4" h="2">
                                      <a:moveTo>
                                        <a:pt x="0" y="2"/>
                                      </a:moveTo>
                                      <a:cubicBezTo>
                                        <a:pt x="1" y="2"/>
                                        <a:pt x="2" y="1"/>
                                        <a:pt x="4" y="0"/>
                                      </a:cubicBezTo>
                                      <a:cubicBezTo>
                                        <a:pt x="2" y="1"/>
                                        <a:pt x="1" y="2"/>
                                        <a:pt x="0" y="2"/>
                                      </a:cubicBezTo>
                                      <a:close/>
                                    </a:path>
                                  </a:pathLst>
                                </a:custGeom>
                                <a:grpFill/>
                                <a:ln>
                                  <a:noFill/>
                                </a:ln>
                              </wps:spPr>
                              <wps:bodyPr vert="horz" wrap="square" lIns="91440" tIns="45720" rIns="91440" bIns="45720" numCol="1" anchor="t" anchorCtr="0" compatLnSpc="1">
                                <a:prstTxWarp prst="textNoShape">
                                  <a:avLst/>
                                </a:prstTxWarp>
                              </wps:bodyPr>
                            </wps:wsp>
                            <wps:wsp>
                              <wps:cNvPr id="27860" name="Freeform 60"/>
                              <wps:cNvSpPr>
                                <a:spLocks/>
                              </wps:cNvSpPr>
                              <wps:spPr bwMode="auto">
                                <a:xfrm>
                                  <a:off x="522208" y="325199"/>
                                  <a:ext cx="4048" cy="2699"/>
                                </a:xfrm>
                                <a:custGeom>
                                  <a:avLst/>
                                  <a:gdLst>
                                    <a:gd name="T0" fmla="*/ 1 w 1"/>
                                    <a:gd name="T1" fmla="*/ 0 h 1"/>
                                    <a:gd name="T2" fmla="*/ 0 w 1"/>
                                    <a:gd name="T3" fmla="*/ 1 h 1"/>
                                    <a:gd name="T4" fmla="*/ 1 w 1"/>
                                    <a:gd name="T5" fmla="*/ 0 h 1"/>
                                  </a:gdLst>
                                  <a:ahLst/>
                                  <a:cxnLst>
                                    <a:cxn ang="0">
                                      <a:pos x="T0" y="T1"/>
                                    </a:cxn>
                                    <a:cxn ang="0">
                                      <a:pos x="T2" y="T3"/>
                                    </a:cxn>
                                    <a:cxn ang="0">
                                      <a:pos x="T4" y="T5"/>
                                    </a:cxn>
                                  </a:cxnLst>
                                  <a:rect l="0" t="0" r="r" b="b"/>
                                  <a:pathLst>
                                    <a:path w="1" h="1">
                                      <a:moveTo>
                                        <a:pt x="1" y="0"/>
                                      </a:moveTo>
                                      <a:cubicBezTo>
                                        <a:pt x="0" y="0"/>
                                        <a:pt x="0" y="1"/>
                                        <a:pt x="0" y="1"/>
                                      </a:cubicBezTo>
                                      <a:cubicBezTo>
                                        <a:pt x="0" y="1"/>
                                        <a:pt x="0" y="0"/>
                                        <a:pt x="1" y="0"/>
                                      </a:cubicBezTo>
                                      <a:close/>
                                    </a:path>
                                  </a:pathLst>
                                </a:custGeom>
                                <a:grpFill/>
                                <a:ln>
                                  <a:noFill/>
                                </a:ln>
                              </wps:spPr>
                              <wps:bodyPr vert="horz" wrap="square" lIns="91440" tIns="45720" rIns="91440" bIns="45720" numCol="1" anchor="t" anchorCtr="0" compatLnSpc="1">
                                <a:prstTxWarp prst="textNoShape">
                                  <a:avLst/>
                                </a:prstTxWarp>
                              </wps:bodyPr>
                            </wps:wsp>
                            <wps:wsp>
                              <wps:cNvPr id="27861" name="Freeform 61"/>
                              <wps:cNvSpPr>
                                <a:spLocks/>
                              </wps:cNvSpPr>
                              <wps:spPr bwMode="auto">
                                <a:xfrm>
                                  <a:off x="2699" y="273923"/>
                                  <a:ext cx="2699" cy="2699"/>
                                </a:xfrm>
                                <a:custGeom>
                                  <a:avLst/>
                                  <a:gdLst>
                                    <a:gd name="T0" fmla="*/ 1 w 1"/>
                                    <a:gd name="T1" fmla="*/ 1 h 1"/>
                                    <a:gd name="T2" fmla="*/ 0 w 1"/>
                                    <a:gd name="T3" fmla="*/ 0 h 1"/>
                                    <a:gd name="T4" fmla="*/ 1 w 1"/>
                                    <a:gd name="T5" fmla="*/ 1 h 1"/>
                                  </a:gdLst>
                                  <a:ahLst/>
                                  <a:cxnLst>
                                    <a:cxn ang="0">
                                      <a:pos x="T0" y="T1"/>
                                    </a:cxn>
                                    <a:cxn ang="0">
                                      <a:pos x="T2" y="T3"/>
                                    </a:cxn>
                                    <a:cxn ang="0">
                                      <a:pos x="T4" y="T5"/>
                                    </a:cxn>
                                  </a:cxnLst>
                                  <a:rect l="0" t="0" r="r" b="b"/>
                                  <a:pathLst>
                                    <a:path w="1" h="1">
                                      <a:moveTo>
                                        <a:pt x="1" y="1"/>
                                      </a:moveTo>
                                      <a:cubicBezTo>
                                        <a:pt x="1" y="1"/>
                                        <a:pt x="0" y="0"/>
                                        <a:pt x="0" y="0"/>
                                      </a:cubicBezTo>
                                      <a:cubicBezTo>
                                        <a:pt x="0" y="0"/>
                                        <a:pt x="1" y="1"/>
                                        <a:pt x="1" y="1"/>
                                      </a:cubicBezTo>
                                      <a:close/>
                                    </a:path>
                                  </a:pathLst>
                                </a:custGeom>
                                <a:grpFill/>
                                <a:ln>
                                  <a:noFill/>
                                </a:ln>
                              </wps:spPr>
                              <wps:bodyPr vert="horz" wrap="square" lIns="91440" tIns="45720" rIns="91440" bIns="45720" numCol="1" anchor="t" anchorCtr="0" compatLnSpc="1">
                                <a:prstTxWarp prst="textNoShape">
                                  <a:avLst/>
                                </a:prstTxWarp>
                              </wps:bodyPr>
                            </wps:wsp>
                            <wps:wsp>
                              <wps:cNvPr id="27862" name="Freeform 62"/>
                              <wps:cNvSpPr>
                                <a:spLocks/>
                              </wps:cNvSpPr>
                              <wps:spPr bwMode="auto">
                                <a:xfrm>
                                  <a:off x="197009" y="260429"/>
                                  <a:ext cx="0" cy="4048"/>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1"/>
                                        <a:pt x="0" y="1"/>
                                      </a:cubicBezTo>
                                      <a:cubicBezTo>
                                        <a:pt x="0" y="1"/>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63" name="Freeform 63"/>
                              <wps:cNvSpPr>
                                <a:spLocks/>
                              </wps:cNvSpPr>
                              <wps:spPr bwMode="auto">
                                <a:xfrm>
                                  <a:off x="526256" y="321151"/>
                                  <a:ext cx="0" cy="4048"/>
                                </a:xfrm>
                                <a:custGeom>
                                  <a:avLst/>
                                  <a:gdLst>
                                    <a:gd name="T0" fmla="*/ 0 h 1"/>
                                    <a:gd name="T1" fmla="*/ 1 h 1"/>
                                    <a:gd name="T2" fmla="*/ 0 h 1"/>
                                  </a:gdLst>
                                  <a:ahLst/>
                                  <a:cxnLst>
                                    <a:cxn ang="0">
                                      <a:pos x="0" y="T0"/>
                                    </a:cxn>
                                    <a:cxn ang="0">
                                      <a:pos x="0" y="T1"/>
                                    </a:cxn>
                                    <a:cxn ang="0">
                                      <a:pos x="0" y="T2"/>
                                    </a:cxn>
                                  </a:cxnLst>
                                  <a:rect l="0" t="0" r="r" b="b"/>
                                  <a:pathLst>
                                    <a:path h="1">
                                      <a:moveTo>
                                        <a:pt x="0" y="0"/>
                                      </a:moveTo>
                                      <a:cubicBezTo>
                                        <a:pt x="0" y="0"/>
                                        <a:pt x="0" y="0"/>
                                        <a:pt x="0" y="1"/>
                                      </a:cubicBezTo>
                                      <a:cubicBezTo>
                                        <a:pt x="0" y="0"/>
                                        <a:pt x="0" y="0"/>
                                        <a:pt x="0" y="0"/>
                                      </a:cubicBezTo>
                                      <a:close/>
                                    </a:path>
                                  </a:pathLst>
                                </a:custGeom>
                                <a:grpFill/>
                                <a:ln>
                                  <a:noFill/>
                                </a:ln>
                              </wps:spPr>
                              <wps:bodyPr vert="horz" wrap="square" lIns="91440" tIns="45720" rIns="91440" bIns="45720" numCol="1" anchor="t" anchorCtr="0" compatLnSpc="1">
                                <a:prstTxWarp prst="textNoShape">
                                  <a:avLst/>
                                </a:prstTxWarp>
                              </wps:bodyPr>
                            </wps:wsp>
                            <wps:wsp>
                              <wps:cNvPr id="27864" name="Freeform 64"/>
                              <wps:cNvSpPr>
                                <a:spLocks/>
                              </wps:cNvSpPr>
                              <wps:spPr bwMode="auto">
                                <a:xfrm>
                                  <a:off x="124143" y="2699"/>
                                  <a:ext cx="292814" cy="161925"/>
                                </a:xfrm>
                                <a:custGeom>
                                  <a:avLst/>
                                  <a:gdLst>
                                    <a:gd name="T0" fmla="*/ 90 w 92"/>
                                    <a:gd name="T1" fmla="*/ 0 h 51"/>
                                    <a:gd name="T2" fmla="*/ 74 w 92"/>
                                    <a:gd name="T3" fmla="*/ 0 h 51"/>
                                    <a:gd name="T4" fmla="*/ 72 w 92"/>
                                    <a:gd name="T5" fmla="*/ 2 h 51"/>
                                    <a:gd name="T6" fmla="*/ 72 w 92"/>
                                    <a:gd name="T7" fmla="*/ 3 h 51"/>
                                    <a:gd name="T8" fmla="*/ 72 w 92"/>
                                    <a:gd name="T9" fmla="*/ 3 h 51"/>
                                    <a:gd name="T10" fmla="*/ 72 w 92"/>
                                    <a:gd name="T11" fmla="*/ 3 h 51"/>
                                    <a:gd name="T12" fmla="*/ 72 w 92"/>
                                    <a:gd name="T13" fmla="*/ 3 h 51"/>
                                    <a:gd name="T14" fmla="*/ 46 w 92"/>
                                    <a:gd name="T15" fmla="*/ 30 h 51"/>
                                    <a:gd name="T16" fmla="*/ 20 w 92"/>
                                    <a:gd name="T17" fmla="*/ 3 h 51"/>
                                    <a:gd name="T18" fmla="*/ 20 w 92"/>
                                    <a:gd name="T19" fmla="*/ 2 h 51"/>
                                    <a:gd name="T20" fmla="*/ 20 w 92"/>
                                    <a:gd name="T21" fmla="*/ 2 h 51"/>
                                    <a:gd name="T22" fmla="*/ 18 w 92"/>
                                    <a:gd name="T23" fmla="*/ 0 h 51"/>
                                    <a:gd name="T24" fmla="*/ 3 w 92"/>
                                    <a:gd name="T25" fmla="*/ 0 h 51"/>
                                    <a:gd name="T26" fmla="*/ 0 w 92"/>
                                    <a:gd name="T27" fmla="*/ 2 h 51"/>
                                    <a:gd name="T28" fmla="*/ 3 w 92"/>
                                    <a:gd name="T29" fmla="*/ 4 h 51"/>
                                    <a:gd name="T30" fmla="*/ 16 w 92"/>
                                    <a:gd name="T31" fmla="*/ 4 h 51"/>
                                    <a:gd name="T32" fmla="*/ 16 w 92"/>
                                    <a:gd name="T33" fmla="*/ 5 h 51"/>
                                    <a:gd name="T34" fmla="*/ 20 w 92"/>
                                    <a:gd name="T35" fmla="*/ 20 h 51"/>
                                    <a:gd name="T36" fmla="*/ 21 w 92"/>
                                    <a:gd name="T37" fmla="*/ 20 h 51"/>
                                    <a:gd name="T38" fmla="*/ 9 w 92"/>
                                    <a:gd name="T39" fmla="*/ 30 h 51"/>
                                    <a:gd name="T40" fmla="*/ 8 w 92"/>
                                    <a:gd name="T41" fmla="*/ 34 h 51"/>
                                    <a:gd name="T42" fmla="*/ 10 w 92"/>
                                    <a:gd name="T43" fmla="*/ 35 h 51"/>
                                    <a:gd name="T44" fmla="*/ 12 w 92"/>
                                    <a:gd name="T45" fmla="*/ 34 h 51"/>
                                    <a:gd name="T46" fmla="*/ 23 w 92"/>
                                    <a:gd name="T47" fmla="*/ 24 h 51"/>
                                    <a:gd name="T48" fmla="*/ 24 w 92"/>
                                    <a:gd name="T49" fmla="*/ 24 h 51"/>
                                    <a:gd name="T50" fmla="*/ 24 w 92"/>
                                    <a:gd name="T51" fmla="*/ 24 h 51"/>
                                    <a:gd name="T52" fmla="*/ 42 w 92"/>
                                    <a:gd name="T53" fmla="*/ 34 h 51"/>
                                    <a:gd name="T54" fmla="*/ 43 w 92"/>
                                    <a:gd name="T55" fmla="*/ 34 h 51"/>
                                    <a:gd name="T56" fmla="*/ 43 w 92"/>
                                    <a:gd name="T57" fmla="*/ 49 h 51"/>
                                    <a:gd name="T58" fmla="*/ 45 w 92"/>
                                    <a:gd name="T59" fmla="*/ 51 h 51"/>
                                    <a:gd name="T60" fmla="*/ 48 w 92"/>
                                    <a:gd name="T61" fmla="*/ 49 h 51"/>
                                    <a:gd name="T62" fmla="*/ 48 w 92"/>
                                    <a:gd name="T63" fmla="*/ 34 h 51"/>
                                    <a:gd name="T64" fmla="*/ 49 w 92"/>
                                    <a:gd name="T65" fmla="*/ 34 h 51"/>
                                    <a:gd name="T66" fmla="*/ 69 w 92"/>
                                    <a:gd name="T67" fmla="*/ 24 h 51"/>
                                    <a:gd name="T68" fmla="*/ 70 w 92"/>
                                    <a:gd name="T69" fmla="*/ 24 h 51"/>
                                    <a:gd name="T70" fmla="*/ 72 w 92"/>
                                    <a:gd name="T71" fmla="*/ 26 h 51"/>
                                    <a:gd name="T72" fmla="*/ 81 w 92"/>
                                    <a:gd name="T73" fmla="*/ 34 h 51"/>
                                    <a:gd name="T74" fmla="*/ 82 w 92"/>
                                    <a:gd name="T75" fmla="*/ 35 h 51"/>
                                    <a:gd name="T76" fmla="*/ 84 w 92"/>
                                    <a:gd name="T77" fmla="*/ 34 h 51"/>
                                    <a:gd name="T78" fmla="*/ 84 w 92"/>
                                    <a:gd name="T79" fmla="*/ 34 h 51"/>
                                    <a:gd name="T80" fmla="*/ 85 w 92"/>
                                    <a:gd name="T81" fmla="*/ 34 h 51"/>
                                    <a:gd name="T82" fmla="*/ 86 w 92"/>
                                    <a:gd name="T83" fmla="*/ 32 h 51"/>
                                    <a:gd name="T84" fmla="*/ 85 w 92"/>
                                    <a:gd name="T85" fmla="*/ 30 h 51"/>
                                    <a:gd name="T86" fmla="*/ 73 w 92"/>
                                    <a:gd name="T87" fmla="*/ 20 h 51"/>
                                    <a:gd name="T88" fmla="*/ 73 w 92"/>
                                    <a:gd name="T89" fmla="*/ 20 h 51"/>
                                    <a:gd name="T90" fmla="*/ 78 w 92"/>
                                    <a:gd name="T91" fmla="*/ 5 h 51"/>
                                    <a:gd name="T92" fmla="*/ 78 w 92"/>
                                    <a:gd name="T93" fmla="*/ 4 h 51"/>
                                    <a:gd name="T94" fmla="*/ 90 w 92"/>
                                    <a:gd name="T95" fmla="*/ 4 h 51"/>
                                    <a:gd name="T96" fmla="*/ 92 w 92"/>
                                    <a:gd name="T97" fmla="*/ 2 h 51"/>
                                    <a:gd name="T98" fmla="*/ 90 w 92"/>
                                    <a:gd name="T99"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2" h="51">
                                      <a:moveTo>
                                        <a:pt x="90" y="0"/>
                                      </a:moveTo>
                                      <a:cubicBezTo>
                                        <a:pt x="74" y="0"/>
                                        <a:pt x="74" y="0"/>
                                        <a:pt x="74" y="0"/>
                                      </a:cubicBezTo>
                                      <a:cubicBezTo>
                                        <a:pt x="73" y="0"/>
                                        <a:pt x="72" y="0"/>
                                        <a:pt x="72" y="2"/>
                                      </a:cubicBezTo>
                                      <a:cubicBezTo>
                                        <a:pt x="72" y="2"/>
                                        <a:pt x="72" y="3"/>
                                        <a:pt x="72" y="3"/>
                                      </a:cubicBezTo>
                                      <a:cubicBezTo>
                                        <a:pt x="72" y="3"/>
                                        <a:pt x="72" y="3"/>
                                        <a:pt x="72" y="3"/>
                                      </a:cubicBezTo>
                                      <a:cubicBezTo>
                                        <a:pt x="72" y="3"/>
                                        <a:pt x="72" y="3"/>
                                        <a:pt x="72" y="3"/>
                                      </a:cubicBezTo>
                                      <a:cubicBezTo>
                                        <a:pt x="72" y="3"/>
                                        <a:pt x="72" y="3"/>
                                        <a:pt x="72" y="3"/>
                                      </a:cubicBezTo>
                                      <a:cubicBezTo>
                                        <a:pt x="72" y="18"/>
                                        <a:pt x="61" y="30"/>
                                        <a:pt x="46" y="30"/>
                                      </a:cubicBezTo>
                                      <a:cubicBezTo>
                                        <a:pt x="32" y="30"/>
                                        <a:pt x="20" y="18"/>
                                        <a:pt x="20" y="3"/>
                                      </a:cubicBezTo>
                                      <a:cubicBezTo>
                                        <a:pt x="20" y="3"/>
                                        <a:pt x="20" y="2"/>
                                        <a:pt x="20" y="2"/>
                                      </a:cubicBezTo>
                                      <a:cubicBezTo>
                                        <a:pt x="20" y="2"/>
                                        <a:pt x="20" y="2"/>
                                        <a:pt x="20" y="2"/>
                                      </a:cubicBezTo>
                                      <a:cubicBezTo>
                                        <a:pt x="20" y="0"/>
                                        <a:pt x="19" y="0"/>
                                        <a:pt x="18" y="0"/>
                                      </a:cubicBezTo>
                                      <a:cubicBezTo>
                                        <a:pt x="3" y="0"/>
                                        <a:pt x="3" y="0"/>
                                        <a:pt x="3" y="0"/>
                                      </a:cubicBezTo>
                                      <a:cubicBezTo>
                                        <a:pt x="2" y="0"/>
                                        <a:pt x="0" y="0"/>
                                        <a:pt x="0" y="2"/>
                                      </a:cubicBezTo>
                                      <a:cubicBezTo>
                                        <a:pt x="0" y="4"/>
                                        <a:pt x="1" y="4"/>
                                        <a:pt x="3" y="4"/>
                                      </a:cubicBezTo>
                                      <a:cubicBezTo>
                                        <a:pt x="16" y="4"/>
                                        <a:pt x="16" y="4"/>
                                        <a:pt x="16" y="4"/>
                                      </a:cubicBezTo>
                                      <a:cubicBezTo>
                                        <a:pt x="16" y="5"/>
                                        <a:pt x="16" y="5"/>
                                        <a:pt x="16" y="5"/>
                                      </a:cubicBezTo>
                                      <a:cubicBezTo>
                                        <a:pt x="16" y="10"/>
                                        <a:pt x="18" y="15"/>
                                        <a:pt x="20" y="20"/>
                                      </a:cubicBezTo>
                                      <a:cubicBezTo>
                                        <a:pt x="21" y="20"/>
                                        <a:pt x="21" y="20"/>
                                        <a:pt x="21" y="20"/>
                                      </a:cubicBezTo>
                                      <a:cubicBezTo>
                                        <a:pt x="9" y="30"/>
                                        <a:pt x="9" y="30"/>
                                        <a:pt x="9" y="30"/>
                                      </a:cubicBezTo>
                                      <a:cubicBezTo>
                                        <a:pt x="8" y="31"/>
                                        <a:pt x="7" y="33"/>
                                        <a:pt x="8" y="34"/>
                                      </a:cubicBezTo>
                                      <a:cubicBezTo>
                                        <a:pt x="9" y="35"/>
                                        <a:pt x="9" y="35"/>
                                        <a:pt x="10" y="35"/>
                                      </a:cubicBezTo>
                                      <a:cubicBezTo>
                                        <a:pt x="11" y="35"/>
                                        <a:pt x="12" y="35"/>
                                        <a:pt x="12" y="34"/>
                                      </a:cubicBezTo>
                                      <a:cubicBezTo>
                                        <a:pt x="12" y="34"/>
                                        <a:pt x="13" y="34"/>
                                        <a:pt x="23" y="24"/>
                                      </a:cubicBezTo>
                                      <a:cubicBezTo>
                                        <a:pt x="24" y="24"/>
                                        <a:pt x="24" y="24"/>
                                        <a:pt x="24" y="24"/>
                                      </a:cubicBezTo>
                                      <a:cubicBezTo>
                                        <a:pt x="24" y="24"/>
                                        <a:pt x="24" y="24"/>
                                        <a:pt x="24" y="24"/>
                                      </a:cubicBezTo>
                                      <a:cubicBezTo>
                                        <a:pt x="29" y="30"/>
                                        <a:pt x="35" y="33"/>
                                        <a:pt x="42" y="34"/>
                                      </a:cubicBezTo>
                                      <a:cubicBezTo>
                                        <a:pt x="43" y="34"/>
                                        <a:pt x="43" y="34"/>
                                        <a:pt x="43" y="34"/>
                                      </a:cubicBezTo>
                                      <a:cubicBezTo>
                                        <a:pt x="43" y="49"/>
                                        <a:pt x="43" y="49"/>
                                        <a:pt x="43" y="49"/>
                                      </a:cubicBezTo>
                                      <a:cubicBezTo>
                                        <a:pt x="43" y="51"/>
                                        <a:pt x="44" y="51"/>
                                        <a:pt x="45" y="51"/>
                                      </a:cubicBezTo>
                                      <a:cubicBezTo>
                                        <a:pt x="46" y="51"/>
                                        <a:pt x="48" y="51"/>
                                        <a:pt x="48" y="49"/>
                                      </a:cubicBezTo>
                                      <a:cubicBezTo>
                                        <a:pt x="48" y="34"/>
                                        <a:pt x="48" y="34"/>
                                        <a:pt x="48" y="34"/>
                                      </a:cubicBezTo>
                                      <a:cubicBezTo>
                                        <a:pt x="49" y="34"/>
                                        <a:pt x="49" y="34"/>
                                        <a:pt x="49" y="34"/>
                                      </a:cubicBezTo>
                                      <a:cubicBezTo>
                                        <a:pt x="57" y="34"/>
                                        <a:pt x="64" y="30"/>
                                        <a:pt x="69" y="24"/>
                                      </a:cubicBezTo>
                                      <a:cubicBezTo>
                                        <a:pt x="70" y="24"/>
                                        <a:pt x="70" y="24"/>
                                        <a:pt x="70" y="24"/>
                                      </a:cubicBezTo>
                                      <a:cubicBezTo>
                                        <a:pt x="72" y="26"/>
                                        <a:pt x="72" y="26"/>
                                        <a:pt x="72" y="26"/>
                                      </a:cubicBezTo>
                                      <a:cubicBezTo>
                                        <a:pt x="81" y="34"/>
                                        <a:pt x="81" y="34"/>
                                        <a:pt x="81" y="34"/>
                                      </a:cubicBezTo>
                                      <a:cubicBezTo>
                                        <a:pt x="82" y="35"/>
                                        <a:pt x="82" y="35"/>
                                        <a:pt x="82" y="35"/>
                                      </a:cubicBezTo>
                                      <a:cubicBezTo>
                                        <a:pt x="84" y="35"/>
                                        <a:pt x="84" y="35"/>
                                        <a:pt x="84" y="34"/>
                                      </a:cubicBezTo>
                                      <a:cubicBezTo>
                                        <a:pt x="84" y="34"/>
                                        <a:pt x="84" y="34"/>
                                        <a:pt x="84" y="34"/>
                                      </a:cubicBezTo>
                                      <a:cubicBezTo>
                                        <a:pt x="85" y="34"/>
                                        <a:pt x="85" y="34"/>
                                        <a:pt x="85" y="34"/>
                                      </a:cubicBezTo>
                                      <a:cubicBezTo>
                                        <a:pt x="85" y="33"/>
                                        <a:pt x="86" y="33"/>
                                        <a:pt x="86" y="32"/>
                                      </a:cubicBezTo>
                                      <a:cubicBezTo>
                                        <a:pt x="86" y="31"/>
                                        <a:pt x="85" y="31"/>
                                        <a:pt x="85" y="30"/>
                                      </a:cubicBezTo>
                                      <a:cubicBezTo>
                                        <a:pt x="73" y="20"/>
                                        <a:pt x="73" y="20"/>
                                        <a:pt x="73" y="20"/>
                                      </a:cubicBezTo>
                                      <a:cubicBezTo>
                                        <a:pt x="73" y="20"/>
                                        <a:pt x="73" y="20"/>
                                        <a:pt x="73" y="20"/>
                                      </a:cubicBezTo>
                                      <a:cubicBezTo>
                                        <a:pt x="76" y="15"/>
                                        <a:pt x="77" y="10"/>
                                        <a:pt x="78" y="5"/>
                                      </a:cubicBezTo>
                                      <a:cubicBezTo>
                                        <a:pt x="78" y="4"/>
                                        <a:pt x="78" y="4"/>
                                        <a:pt x="78" y="4"/>
                                      </a:cubicBezTo>
                                      <a:cubicBezTo>
                                        <a:pt x="90" y="4"/>
                                        <a:pt x="90" y="4"/>
                                        <a:pt x="90" y="4"/>
                                      </a:cubicBezTo>
                                      <a:cubicBezTo>
                                        <a:pt x="91" y="4"/>
                                        <a:pt x="92" y="4"/>
                                        <a:pt x="92" y="2"/>
                                      </a:cubicBezTo>
                                      <a:cubicBezTo>
                                        <a:pt x="92" y="0"/>
                                        <a:pt x="91" y="0"/>
                                        <a:pt x="90" y="0"/>
                                      </a:cubicBezTo>
                                      <a:close/>
                                    </a:path>
                                  </a:pathLst>
                                </a:custGeom>
                                <a:grpFill/>
                                <a:ln>
                                  <a:noFill/>
                                </a:ln>
                              </wps:spPr>
                              <wps:bodyPr vert="horz" wrap="square" lIns="91440" tIns="45720" rIns="91440" bIns="45720" numCol="1" anchor="t" anchorCtr="0" compatLnSpc="1">
                                <a:prstTxWarp prst="textNoShape">
                                  <a:avLst/>
                                </a:prstTxWarp>
                              </wps:bodyPr>
                            </wps:wsp>
                            <wps:wsp>
                              <wps:cNvPr id="27865" name="Freeform 65"/>
                              <wps:cNvSpPr>
                                <a:spLocks noEditPoints="1"/>
                              </wps:cNvSpPr>
                              <wps:spPr bwMode="auto">
                                <a:xfrm>
                                  <a:off x="0" y="0"/>
                                  <a:ext cx="541098" cy="541098"/>
                                </a:xfrm>
                                <a:custGeom>
                                  <a:avLst/>
                                  <a:gdLst>
                                    <a:gd name="T0" fmla="*/ 152 w 170"/>
                                    <a:gd name="T1" fmla="*/ 170 h 170"/>
                                    <a:gd name="T2" fmla="*/ 18 w 170"/>
                                    <a:gd name="T3" fmla="*/ 170 h 170"/>
                                    <a:gd name="T4" fmla="*/ 0 w 170"/>
                                    <a:gd name="T5" fmla="*/ 152 h 170"/>
                                    <a:gd name="T6" fmla="*/ 0 w 170"/>
                                    <a:gd name="T7" fmla="*/ 18 h 170"/>
                                    <a:gd name="T8" fmla="*/ 18 w 170"/>
                                    <a:gd name="T9" fmla="*/ 0 h 170"/>
                                    <a:gd name="T10" fmla="*/ 152 w 170"/>
                                    <a:gd name="T11" fmla="*/ 0 h 170"/>
                                    <a:gd name="T12" fmla="*/ 170 w 170"/>
                                    <a:gd name="T13" fmla="*/ 18 h 170"/>
                                    <a:gd name="T14" fmla="*/ 170 w 170"/>
                                    <a:gd name="T15" fmla="*/ 152 h 170"/>
                                    <a:gd name="T16" fmla="*/ 152 w 170"/>
                                    <a:gd name="T17" fmla="*/ 170 h 170"/>
                                    <a:gd name="T18" fmla="*/ 18 w 170"/>
                                    <a:gd name="T19" fmla="*/ 6 h 170"/>
                                    <a:gd name="T20" fmla="*/ 6 w 170"/>
                                    <a:gd name="T21" fmla="*/ 18 h 170"/>
                                    <a:gd name="T22" fmla="*/ 6 w 170"/>
                                    <a:gd name="T23" fmla="*/ 152 h 170"/>
                                    <a:gd name="T24" fmla="*/ 18 w 170"/>
                                    <a:gd name="T25" fmla="*/ 164 h 170"/>
                                    <a:gd name="T26" fmla="*/ 152 w 170"/>
                                    <a:gd name="T27" fmla="*/ 164 h 170"/>
                                    <a:gd name="T28" fmla="*/ 164 w 170"/>
                                    <a:gd name="T29" fmla="*/ 152 h 170"/>
                                    <a:gd name="T30" fmla="*/ 164 w 170"/>
                                    <a:gd name="T31" fmla="*/ 18 h 170"/>
                                    <a:gd name="T32" fmla="*/ 152 w 170"/>
                                    <a:gd name="T33" fmla="*/ 6 h 170"/>
                                    <a:gd name="T34" fmla="*/ 18 w 170"/>
                                    <a:gd name="T35" fmla="*/ 6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0" h="170">
                                      <a:moveTo>
                                        <a:pt x="152" y="170"/>
                                      </a:moveTo>
                                      <a:cubicBezTo>
                                        <a:pt x="18" y="170"/>
                                        <a:pt x="18" y="170"/>
                                        <a:pt x="18" y="170"/>
                                      </a:cubicBezTo>
                                      <a:cubicBezTo>
                                        <a:pt x="8" y="170"/>
                                        <a:pt x="0" y="162"/>
                                        <a:pt x="0" y="152"/>
                                      </a:cubicBezTo>
                                      <a:cubicBezTo>
                                        <a:pt x="0" y="18"/>
                                        <a:pt x="0" y="18"/>
                                        <a:pt x="0" y="18"/>
                                      </a:cubicBezTo>
                                      <a:cubicBezTo>
                                        <a:pt x="0" y="8"/>
                                        <a:pt x="8" y="0"/>
                                        <a:pt x="18" y="0"/>
                                      </a:cubicBezTo>
                                      <a:cubicBezTo>
                                        <a:pt x="152" y="0"/>
                                        <a:pt x="152" y="0"/>
                                        <a:pt x="152" y="0"/>
                                      </a:cubicBezTo>
                                      <a:cubicBezTo>
                                        <a:pt x="162" y="0"/>
                                        <a:pt x="170" y="8"/>
                                        <a:pt x="170" y="18"/>
                                      </a:cubicBezTo>
                                      <a:cubicBezTo>
                                        <a:pt x="170" y="152"/>
                                        <a:pt x="170" y="152"/>
                                        <a:pt x="170" y="152"/>
                                      </a:cubicBezTo>
                                      <a:cubicBezTo>
                                        <a:pt x="170" y="162"/>
                                        <a:pt x="162" y="170"/>
                                        <a:pt x="152" y="170"/>
                                      </a:cubicBezTo>
                                      <a:close/>
                                      <a:moveTo>
                                        <a:pt x="18" y="6"/>
                                      </a:moveTo>
                                      <a:cubicBezTo>
                                        <a:pt x="11" y="6"/>
                                        <a:pt x="6" y="11"/>
                                        <a:pt x="6" y="18"/>
                                      </a:cubicBezTo>
                                      <a:cubicBezTo>
                                        <a:pt x="6" y="152"/>
                                        <a:pt x="6" y="152"/>
                                        <a:pt x="6" y="152"/>
                                      </a:cubicBezTo>
                                      <a:cubicBezTo>
                                        <a:pt x="6" y="159"/>
                                        <a:pt x="11" y="164"/>
                                        <a:pt x="18" y="164"/>
                                      </a:cubicBezTo>
                                      <a:cubicBezTo>
                                        <a:pt x="152" y="164"/>
                                        <a:pt x="152" y="164"/>
                                        <a:pt x="152" y="164"/>
                                      </a:cubicBezTo>
                                      <a:cubicBezTo>
                                        <a:pt x="159" y="164"/>
                                        <a:pt x="164" y="159"/>
                                        <a:pt x="164" y="152"/>
                                      </a:cubicBezTo>
                                      <a:cubicBezTo>
                                        <a:pt x="164" y="18"/>
                                        <a:pt x="164" y="18"/>
                                        <a:pt x="164" y="18"/>
                                      </a:cubicBezTo>
                                      <a:cubicBezTo>
                                        <a:pt x="164" y="11"/>
                                        <a:pt x="159" y="6"/>
                                        <a:pt x="152" y="6"/>
                                      </a:cubicBezTo>
                                      <a:lnTo>
                                        <a:pt x="18" y="6"/>
                                      </a:lnTo>
                                      <a:close/>
                                    </a:path>
                                  </a:pathLst>
                                </a:custGeom>
                                <a:grpFill/>
                                <a:ln>
                                  <a:noFill/>
                                </a:ln>
                              </wps:spPr>
                              <wps:bodyPr vert="horz" wrap="square" lIns="91440" tIns="45720" rIns="91440" bIns="45720" numCol="1" anchor="t" anchorCtr="0" compatLnSpc="1">
                                <a:prstTxWarp prst="textNoShape">
                                  <a:avLst/>
                                </a:prstTxWarp>
                              </wps:bodyPr>
                            </wps:wsp>
                          </wpg:wgp>
                        </a:graphicData>
                      </a:graphic>
                    </wp:inline>
                  </w:drawing>
                </mc:Choice>
                <mc:Fallback>
                  <w:pict>
                    <v:group w14:anchorId="3996D4D4" id="Group 159" o:spid="_x0000_s1026" alt="&quot;&quot;" style="width:33.65pt;height:33.65pt;mso-position-horizontal-relative:char;mso-position-vertical-relative:line" coordsize="54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">
                      <v:shape id="Freeform 16" o:spid="_x0000_s1027" style="position:absolute;left:26;top:3305;width:27;height:4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" path="m1,1c1,1,,1,,,,1,1,1,1,1xe" filled="f" stroked="f">
                        <v:path arrowok="t" o:connecttype="custom" o:connectlocs="2699,4048;0,0;2699,4048" o:connectangles="0,0,0"/>
                      </v:shape>
                      <v:shape id="Freeform 17" o:spid="_x0000_s1028" style="position:absolute;left:121;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" path="m1,c1,,1,,,,1,,1,,1,xe" filled="f" stroked="f">
                        <v:path arrowok="t" o:connecttype="custom" o:connectlocs="2699,0;0,0;2699,0" o:connectangles="0,0,0"/>
                      </v:shape>
                      <v:shape id="Freeform 18" o:spid="_x0000_s1029" style="position:absolute;left:5195;top:3278;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" path="m1,c1,,,,,1,,,1,,1,xe" filled="f" stroked="f">
                        <v:path arrowok="t" o:connecttype="custom" o:connectlocs="2699,0;0,2699;2699,0" o:connectangles="0,0,0"/>
                      </v:shape>
                      <v:shape id="Freeform 19" o:spid="_x0000_s1030" style="position:absolute;left:121;top:3400;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" path="m1,c1,,,,,,,,1,,1,xe" filled="f" stroked="f">
                        <v:path arrowok="t" o:connecttype="custom" o:connectlocs="2699,0;0,0;2699,0" o:connectangles="0,0,0"/>
                      </v:shape>
                      <v:shape id="Freeform 20" o:spid="_x0000_s1031" style="position:absolute;left:1686;top:2739;width:257;height:162;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" path="m,5c3,3,5,2,8,,5,2,3,3,,5xe" filled="f" stroked="f">
                        <v:path arrowok="t" o:connecttype="custom" o:connectlocs="0,16192;25638,0;0,16192" o:connectangles="0,0,0"/>
                      </v:shape>
                      <v:shape id="Freeform 21" o:spid="_x0000_s1032" style="position:absolute;left:94;top:3373;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" path="m,1c,1,,1,,,,1,,1,,1xe" filled="f" stroked="f">
                        <v:path arrowok="t" o:connecttype="custom" o:connectlocs="0,2699;0,0;0,2699" o:connectangles="0,0,0"/>
                      </v:shape>
                      <v:shape id="Freeform 22" o:spid="_x0000_s1033" style="position:absolute;left:53;top:3373;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" path="m1,c,,,,,,,,,,1,xe" filled="f" stroked="f">
                        <v:path arrowok="t" o:connecttype="custom" o:connectlocs="4048,0;0,0;4048,0" o:connectangles="0,0,0"/>
                      </v:shape>
                      <v:shape id="Freeform 23" o:spid="_x0000_s1034" style="position:absolute;left:1943;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" path="m1,c,,,,,,,,,,1,xe" filled="f" stroked="f">
                        <v:path arrowok="t" o:connecttype="custom" o:connectlocs="2699,0;0,0;2699,0" o:connectangles="0,0,0"/>
                      </v:shape>
                      <v:shape id="Freeform 24" o:spid="_x0000_s1035" style="position:absolute;left:94;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" path="m1,c1,,1,,,,1,,1,,1,xe" filled="f" stroked="f">
                        <v:path arrowok="t" o:connecttype="custom" o:connectlocs="2699,0;0,0;2699,0" o:connectangles="0,0,0"/>
                      </v:shape>
                      <v:shape id="Freeform 25" o:spid="_x0000_s1036" style="position:absolute;left:5168;top:3305;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" path="m1,c1,,,,,,,,1,,1,xe" filled="f" stroked="f">
                        <v:path arrowok="t" o:connecttype="custom" o:connectlocs="2699,0;0,0;2699,0" o:connectangles="0,0,0"/>
                      </v:shape>
                      <v:shape id="Freeform 26" o:spid="_x0000_s1037" style="position:absolute;left:5127;top:3305;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" path="m1,c1,,1,,,,1,,1,,1,xe" filled="f" stroked="f">
                        <v:path arrowok="t" o:connecttype="custom" o:connectlocs="4048,0;0,0;4048,0" o:connectangles="0,0,0"/>
                      </v:shape>
                      <v:shape id="Freeform 27" o:spid="_x0000_s1038" style="position:absolute;left:94;top:27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" path="m,c,,,,,,,,,,,xe" filled="f" stroked="f">
                        <v:path arrowok="t" o:connecttype="custom" o:connectlocs="0,0;0,0;0,0" o:connectangles="0,0,0"/>
                      </v:shape>
                      <v:shape id="Freeform 28" o:spid="_x0000_s1039" style="position:absolute;left:2010;top:2644;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" path="m,1c,1,,1,,,,1,,1,,1xe" filled="f" stroked="f">
                        <v:path arrowok="t" o:connecttype="custom" o:connectlocs="0,2699;0,0;0,2699" o:connectangles="0,0,0"/>
                      </v:shape>
                      <v:shape id="Freeform 29" o:spid="_x0000_s1040" style="position:absolute;left:4331;top:435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" path="m,c,,,,,,,,,,,xe" filled="f" stroked="f">
                        <v:path arrowok="t" o:connecttype="custom" o:connectlocs="0,0;0,0;0,0" o:connectangles="0,0,0"/>
                      </v:shape>
                      <v:shape id="Freeform 30" o:spid="_x0000_s1041" style="position:absolute;left:2320;top:4965;width:41;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" path="m1,c1,,1,,,,1,,1,,1,xe" filled="f" stroked="f">
                        <v:path arrowok="t" o:connecttype="custom" o:connectlocs="4048,0;0,0;4048,0" o:connectangles="0,0,0"/>
                      </v:shape>
                      <v:shape id="Freeform 31" o:spid="_x0000_s1042" style="position:absolute;left:2320;top:500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" path="m,c,,,,,,,,,,,xe" filled="f" stroked="f">
                        <v:path arrowok="t" o:connecttype="custom" o:connectlocs="0,0;0,0;0,0" o:connectangles="0,0,0"/>
                      </v:shape>
                      <v:shape id="Freeform 32" o:spid="_x0000_s1043" style="position:absolute;left:4264;top:439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" path="m,c,,,,,,,,,,,xe" filled="f" stroked="f">
                        <v:path arrowok="t" o:connecttype="custom" o:connectlocs="0,0;0,0;0,0" o:connectangles="0,0,0"/>
                      </v:shape>
                      <v:shape id="Freeform 33" o:spid="_x0000_s1044" style="position:absolute;left:3562;top:487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" path="m,c,,,,,,,,,,,xe" filled="f" stroked="f">
                        <v:path arrowok="t" o:connecttype="custom" o:connectlocs="0,0;0,0;0,0" o:connectangles="0,0,0"/>
                      </v:shape>
                      <v:shape id="Freeform 34" o:spid="_x0000_s1045" style="position:absolute;left:4304;top:439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" path="m,c,,,,,,,,,,,xe" filled="f" stroked="f">
                        <v:path arrowok="t" o:connecttype="custom" o:connectlocs="0,0;0,0;0,0" o:connectangles="0,0,0"/>
                      </v:shape>
                      <v:shape id="Freeform 35" o:spid="_x0000_s1046" style="position:absolute;left:3535;top:487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" path="m,c,,,,,,,,,,,xe" filled="f" stroked="f">
                        <v:path arrowok="t" o:connecttype="custom" o:connectlocs="0,0;0,0;0,0" o:connectangles="0,0,0"/>
                      </v:shape>
                      <v:shape id="Freeform 36" o:spid="_x0000_s1047" style="position:absolute;left:148;top:3400;width:67;height:0;visibility:visible;mso-wrap-style:square;v-text-anchor:top" coordsize="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" path="m2,c1,,1,,,,1,,1,,2,xe" filled="f" stroked="f">
                        <v:path arrowok="t" o:connecttype="custom" o:connectlocs="6747,0;0,0;6747,0" o:connectangles="0,0,0"/>
                      </v:shape>
                      <v:shape id="Freeform 37" o:spid="_x0000_s1048" style="position:absolute;left:3602;top:4871;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" path="m1,c,,,,,,,,,,1,xe" filled="f" stroked="f">
                        <v:path arrowok="t" o:connecttype="custom" o:connectlocs="2699,0;0,0;2699,0" o:connectangles="0,0,0"/>
                      </v:shape>
                      <v:shape id="Freeform 38" o:spid="_x0000_s1049" style="position:absolute;left:404;top:3886;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" path="m,1c,1,,,,,,,,1,,1xe" filled="f" stroked="f">
                        <v:path arrowok="t" o:connecttype="custom" o:connectlocs="0,2699;0,0;0,2699" o:connectangles="0,0,0"/>
                      </v:shape>
                      <v:shape id="Freeform 39" o:spid="_x0000_s1050" style="position:absolute;left:499;top:3953;width:40;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" path="m1,c1,1,1,1,,1,1,1,1,1,1,xe" filled="f" stroked="f">
                        <v:path arrowok="t" o:connecttype="custom" o:connectlocs="4048,0;0,2699;4048,0" o:connectangles="0,0,0"/>
                      </v:shape>
                      <v:shape id="Freeform 40" o:spid="_x0000_s1051" style="position:absolute;left:445;top:395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" path="m1,c1,,,,,,,,1,,1,xe" filled="f" stroked="f">
                        <v:path arrowok="t" o:connecttype="custom" o:connectlocs="2699,0;0,0;2699,0" o:connectangles="0,0,0"/>
                      </v:shape>
                      <v:shape id="Freeform 41" o:spid="_x0000_s1052" style="position:absolute;left:472;top:3953;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" path="m1,1c1,1,,1,,,,1,1,1,1,1xe" filled="f" stroked="f">
                        <v:path arrowok="t" o:connecttype="custom" o:connectlocs="2699,2699;0,0;2699,2699" o:connectangles="0,0,0"/>
                      </v:shape>
                      <v:shape id="Freeform 42" o:spid="_x0000_s1053" style="position:absolute;left:53;top:2766;width:41;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" path="m1,1c,,,,,,,,,,1,1xe" filled="f" stroked="f">
                        <v:path arrowok="t" o:connecttype="custom" o:connectlocs="4048,2699;0,0;4048,2699" o:connectangles="0,0,0"/>
                      </v:shape>
                      <v:shape id="Freeform 43" o:spid="_x0000_s1054" style="position:absolute;left:404;top:3913;width:41;height:40;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" path="m1,1c1,1,1,,,,1,,1,1,1,1xe" filled="f" stroked="f">
                        <v:path arrowok="t" o:connecttype="custom" o:connectlocs="4048,4048;0,0;4048,4048" o:connectangles="0,0,0"/>
                      </v:shape>
                      <v:shape id="Freeform 44" o:spid="_x0000_s1055" style="position:absolute;left:3535;top:3305;width:189;height:324;visibility:visible;mso-wrap-style:square;v-text-anchor:top" coordsize="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" path="m,10c2,7,4,4,6,v,,,,,c6,,6,,6,,4,4,2,7,,10xe" filled="f" stroked="f">
                        <v:path arrowok="t" o:connecttype="custom" o:connectlocs="0,32385;18891,0;18891,0;18891,0;0,32385" o:connectangles="0,0,0,0,0"/>
                      </v:shape>
                      <v:shape id="Freeform 45" o:spid="_x0000_s1056" style="position:absolute;left:2671;top:3953;width:607;height:216;visibility:visible;mso-wrap-style:square;v-text-anchor:top" coordsize="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" path="m,7c6,4,12,3,18,v,,1,,1,c19,,18,,18,,12,3,6,4,,7xe" filled="f" stroked="f">
                        <v:path arrowok="t" o:connecttype="custom" o:connectlocs="0,21590;57526,0;60722,0;57526,0;0,21590" o:connectangles="0,0,0,0,0"/>
                      </v:shape>
                      <v:shape id="Freeform 46" o:spid="_x0000_s1057" style="position:absolute;left:4048;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" path="m1,c,,,,,,,,,,1,xe" filled="f" stroked="f">
                        <v:path arrowok="t" o:connecttype="custom" o:connectlocs="2699,0;0,0;2699,0" o:connectangles="0,0,0"/>
                      </v:shape>
                      <v:shape id="Freeform 47" o:spid="_x0000_s1058" style="position:absolute;left:4075;top:2604;width:40;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" path="m,c,,,,1,,1,,1,,,,,,,,,xe" filled="f" stroked="f">
                        <v:path arrowok="t" o:connecttype="custom" o:connectlocs="0,0;4048,0;0,0;0,0" o:connectangles="0,0,0,0"/>
                      </v:shape>
                      <v:shape id="Freeform 48" o:spid="_x0000_s1059" style="position:absolute;left:4965;top:2766;width:324;height:27;visibility:visible;mso-wrap-style:square;v-text-anchor:top" coordsize="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" path="m,c3,1,6,1,9,1v1,,1,,1,c10,1,10,1,9,1,6,1,3,1,,xe" filled="f" stroked="f">
                        <v:path arrowok="t" o:connecttype="custom" o:connectlocs="0,0;29147,2699;32385,2699;29147,2699;0,0" o:connectangles="0,0,0,0,0"/>
                      </v:shape>
                      <v:shape id="Freeform 49" o:spid="_x0000_s1060" style="position:absolute;left:5289;top:2793;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" path="m1,c1,,1,,,,1,,1,,1,xe" filled="f" stroked="f">
                        <v:path arrowok="t" o:connecttype="custom" o:connectlocs="2699,0;0,0;2699,0" o:connectangles="0,0,0"/>
                      </v:shape>
                      <v:shape id="Freeform 50" o:spid="_x0000_s1061" style="position:absolute;left:5357;top:2766;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" path="m1,c1,,1,,,1,1,,1,,1,xe" filled="f" stroked="f">
                        <v:path arrowok="t" o:connecttype="custom" o:connectlocs="2699,0;0,2699;2699,0" o:connectangles="0,0,0"/>
                      </v:shape>
                      <v:shape id="Freeform 51" o:spid="_x0000_s1062" style="position:absolute;left:3697;top:3049;width:94;height:0;visibility:visible;mso-wrap-style:square;v-text-anchor:top" coordsize="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" path="m3,c2,,1,,,,1,,2,,3,xe" filled="f" stroked="f">
                        <v:path arrowok="t" o:connecttype="custom" o:connectlocs="9446,0;0,0;9446,0" o:connectangles="0,0,0"/>
                      </v:shape>
                      <v:shape id="Freeform 52" o:spid="_x0000_s1063" style="position:absolute;left:53;top:2388;width:5331;height:2577;visibility:visible;mso-wrap-style:square;v-text-anchor:top" coordsize="16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" path="m166,9v,,-1,-1,-2,-1c163,8,163,8,163,8,157,7,151,5,145,4,138,3,132,1,126,v,,-2,1,-3,2c122,2,120,3,119,4v-1,1,-3,2,-4,2c114,7,113,8,111,8,73,8,73,8,73,8,68,8,66,7,65,3,63,1,62,,60,,47,3,34,4,21,6,12,7,12,7,12,7,2,8,2,8,2,8,2,8,,10,,11v1,1,2,2,2,2c2,13,3,13,3,13v,-1,,-1,,-1c3,12,3,12,3,12v5,,5,,5,c14,12,14,12,14,12,29,10,43,8,57,6v,,1,,2,c60,6,62,7,62,9v,1,,1,,1c61,10,61,10,61,10v-2,2,-4,3,-6,4c54,15,53,16,52,16v-1,1,-2,1,-3,1c42,19,34,20,27,22,19,23,12,25,4,26,1,27,,28,,29v1,2,1,2,3,2c4,31,4,31,5,31v4,-1,8,-2,11,-2c20,28,24,27,28,26v,,,,,c29,26,30,26,31,27v1,1,3,3,4,4c36,33,38,34,40,36v1,1,1,1,1,1c39,37,39,37,39,37v-2,1,-4,1,-7,2c31,39,29,40,27,40v-2,1,-4,1,-6,2c19,43,16,43,14,44v,,,,,c14,44,14,44,14,44v-1,,-2,1,-2,1c11,46,11,46,12,47v,,1,2,2,2c15,49,15,49,15,49v,,,,,c15,49,15,49,15,49v1,,1,,1,c21,47,25,46,29,45v5,-1,9,-2,14,-3c44,41,45,41,45,41v1,,1,,1,c46,41,46,41,46,41v2,2,5,5,8,7c55,49,55,49,55,49v-1,,-1,,-1,c50,51,47,53,44,55v-4,2,-7,4,-10,6c32,62,32,62,32,63v,2,1,2,2,2c34,65,34,65,34,65v,1,,1,,1c41,69,47,72,54,75v5,2,9,4,14,6c69,81,69,81,69,81v1,,2,,3,-2c72,79,72,79,72,79v,,,,,c75,74,77,70,79,65v1,,1,,1,c80,65,80,65,80,65v,,,,,-1c80,64,81,64,81,63v,,,,,c82,63,82,63,82,63v4,3,7,4,11,6c94,69,96,70,97,71v4,2,7,4,11,6c108,77,108,77,108,77v,,,,,c108,77,108,77,109,77v,,1,,2,c111,77,111,77,111,77v1,-1,1,-1,1,-2c112,75,112,74,111,74v,-1,,-1,-1,-2c108,71,105,70,102,68,99,67,96,66,93,64,92,63,90,62,88,61,87,60,87,60,87,60v1,-1,1,-1,1,-1c94,58,98,56,103,55v,,,,,c103,55,103,55,103,55v2,,2,,2,c106,55,106,55,106,55v,,,,,c131,62,131,62,131,62v1,,1,,1,c133,62,134,62,134,61v3,-2,5,-4,8,-6c144,53,147,51,150,49v1,-1,2,-3,3,-3c154,45,155,44,156,43v,,1,-2,1,-2c155,39,155,39,155,39v-1,,-2,,-3,1c146,45,140,50,134,55v-1,1,-3,1,-5,1c129,56,129,56,129,56v,,,,,c126,56,123,55,120,54v-3,-1,-6,-2,-9,-3c109,51,109,51,109,51v-1,,-1,,-1,c109,50,109,50,109,50v3,-6,7,-12,11,-17c121,31,122,29,123,28v,-1,1,-2,2,-2c129,26,132,26,135,27v3,,6,,9,c149,28,154,28,159,28v1,,1,,1,c160,28,160,28,160,28v,,,,,c161,28,162,27,162,25v,-1,-1,-2,-2,-2c159,23,158,23,156,23v-9,,-19,-1,-28,-2c125,21,125,21,125,21v-1,,-1,,-1,c123,21,123,21,123,21v,,,,,c122,18,120,15,118,11v-1,,-1,,-1,c118,10,118,10,118,10v2,,3,-1,4,-2c123,7,124,7,124,6v,,,,,c125,6,125,6,125,6v,,,,,c126,6,126,6,126,6v1,,1,,2,c131,7,134,7,137,8v3,,6,1,9,1c152,11,158,12,163,12v1,1,1,1,1,1c165,13,166,12,166,11v,,,,,c166,11,166,11,166,11v,-1,1,-1,,-2xm36,26c35,25,35,25,35,25v2,,2,,2,c42,24,47,23,51,22v,,,,,c51,22,51,22,51,22v1,,1,,1,c52,22,52,22,52,22v1,,1,,1,c57,23,61,24,65,25v4,1,8,2,12,4c79,29,79,29,79,29v-1,1,-1,1,-1,1c74,33,71,35,68,38v-3,2,-6,5,-9,7c59,46,59,46,59,46,58,45,58,45,58,45,51,39,44,33,36,26xm76,61v-1,3,-2,5,-4,7c71,70,70,72,69,74v-1,1,-1,1,-1,1c67,75,67,75,67,75,64,73,61,72,58,71,52,68,47,66,41,63,40,62,40,62,40,62v1,,1,,1,c46,60,48,58,51,56v,,,,,c51,56,51,56,51,56v1,,2,-1,3,-1c56,54,57,53,59,52v,,,,,c59,52,59,52,59,52v2,,4,1,5,3c65,55,66,56,67,56v3,1,6,3,9,4c77,61,77,61,77,61r-1,xm116,28v,1,,2,-1,2c113,33,111,36,109,39v-2,3,-4,6,-6,9c103,48,103,48,103,48v,,,,,c102,49,101,50,100,50v-3,1,-6,2,-9,3c88,54,85,55,82,56v,,,,,c82,56,82,56,82,56v-2,,-2,,-2,c80,56,80,56,80,56v,,,,,c77,55,74,54,72,53,70,52,67,51,64,49v-1,,-1,,-1,c64,48,64,48,64,48v2,-2,4,-3,6,-5c73,41,77,38,79,35v5,-3,8,-6,13,-6c95,29,99,29,103,28v3,,7,-1,11,-1c115,27,115,27,115,27v1,,1,,1,l116,28xm118,21v1,1,1,1,1,1c117,22,117,22,117,22v-2,,-4,,-6,1c111,23,111,23,111,23v,,,,,c102,23,95,24,87,25v-4,,-4,,-4,c83,25,83,25,83,25v,,,,,c78,23,74,22,69,21,66,20,63,20,60,19,58,18,58,18,58,18v2,-1,2,-1,2,-1c61,17,61,16,62,16v3,-2,5,-4,8,-4c83,13,97,13,110,13v2,,3,,5,2c115,15,115,15,115,15v,,,,,c115,17,116,18,118,21xe" filled="f" stroked="f">
                        <v:path arrowok="t" o:connecttype="custom" o:connectlocs="462786,12727;367037,19091;191498,0;0,35000;9575,38182;188306,19091;175540,44546;12767,82728;51066,92274;111707,98637;102132,124092;44683,140001;44683,155911;51066,155911;146815,130456;172348,155911;108515,206820;217031,257730;229797,251366;255330,203639;296821,219548;344696,245003;357462,238639;296821,203639;328738,175002;338313,175002;427678,194093;497894,136820;427678,175002;382995,171820;347888,159093;430870,85910;510661,89092;497894,73183;392570,66819;376612,31819;398954,19091;437253,25455;529810,35000;114899,82728;162773,70001;169156,70001;248947,95456;185114,143183;220222,235457;130857,200457;162773,178184;188306,165456;242564,190911;367037,95456;328738,152729;261714,178184;255330,178184;204264,152729;328738,89092;370229,89092;354271,73183;264905,79546;191498,60455;223414,38182;367037,47728" o:connectangles="0,0,0,0,0,0,0,0,0,0,0,0,0,0,0,0,0,0,0,0,0,0,0,0,0,0,0,0,0,0,0,0,0,0,0,0,0,0,0,0,0,0,0,0,0,0,0,0,0,0,0,0,0,0,0,0,0,0,0,0,0"/>
                        <o:lock v:ext="edit" verticies="t"/>
                      </v:shape>
                      <v:shape id="Freeform 53" o:spid="_x0000_s1064" style="position:absolute;left:5357;top:27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" path="m,c,,,,,,,,,,,xe" filled="f" stroked="f">
                        <v:path arrowok="t" o:connecttype="custom" o:connectlocs="0,0;0,0;0,0" o:connectangles="0,0,0"/>
                      </v:shape>
                      <v:shape id="Freeform 54" o:spid="_x0000_s1065" style="position:absolute;left:3697;top:2901;width:27;height:54;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" path="m1,2c1,1,,,,,,,1,1,1,2xe" filled="f" stroked="f">
                        <v:path arrowok="t" o:connecttype="custom" o:connectlocs="2699,5397;0,0;2699,5397" o:connectangles="0,0,0"/>
                      </v:shape>
                      <v:shape id="Freeform 55" o:spid="_x0000_s1066" style="position:absolute;left:4115;top:2604;width:27;height:0;visibility:visible;mso-wrap-style:square;v-text-anchor:top" coordsize="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" path="m1,c,,,,,,,,,,1,xe" filled="f" stroked="f">
                        <v:path arrowok="t" o:connecttype="custom" o:connectlocs="2699,0;0,0;2699,0" o:connectangles="0,0,0"/>
                      </v:shape>
                      <v:shape id="Freeform 56" o:spid="_x0000_s1067" style="position:absolute;left:3953;top:2388;width:95;height:27;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" path="m,1c1,1,2,,3,,2,,1,1,,1xe" filled="f" stroked="f">
                        <v:path arrowok="t" o:connecttype="custom" o:connectlocs="0,2699;9446,0;0,2699" o:connectangles="0,0,0"/>
                      </v:shape>
                      <v:shape id="Freeform 57" o:spid="_x0000_s1068" style="position:absolute;left:5384;top:2739;width:0;height:27;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" path="m,c,,,1,,1,,1,,,,xe" filled="f" stroked="f">
                        <v:path arrowok="t" o:connecttype="custom" o:connectlocs="0,0;0,2699;0,0" o:connectangles="0,0,0"/>
                      </v:shape>
                      <v:shape id="Freeform 58" o:spid="_x0000_s1069" style="position:absolute;left:3697;top:2509;width:94;height:68;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" path="m3,c2,1,1,1,1,2,,2,,2,,2v,,,,1,c1,1,2,1,3,xe" filled="f" stroked="f">
                        <v:path arrowok="t" o:connecttype="custom" o:connectlocs="9446,0;3149,6747;0,6747;3149,6747;9446,0" o:connectangles="0,0,0,0,0"/>
                      </v:shape>
                      <v:shape id="Freeform 59" o:spid="_x0000_s1070" style="position:absolute;left:3791;top:2442;width:122;height:67;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" path="m,2c1,2,2,1,4,,2,1,1,2,,2xe" filled="f" stroked="f">
                        <v:path arrowok="t" o:connecttype="custom" o:connectlocs="0,6747;12144,0;0,6747" o:connectangles="0,0,0"/>
                      </v:shape>
                      <v:shape id="Freeform 60" o:spid="_x0000_s1071" style="position:absolute;left:5222;top:3251;width:40;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" path="m1,c,,,1,,1,,1,,,1,xe" filled="f" stroked="f">
                        <v:path arrowok="t" o:connecttype="custom" o:connectlocs="4048,0;0,2699;4048,0" o:connectangles="0,0,0"/>
                      </v:shape>
                      <v:shape id="Freeform 61" o:spid="_x0000_s1072" style="position:absolute;left:26;top:2739;width:27;height:27;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" path="m1,1c1,1,,,,,,,1,1,1,1xe" filled="f" stroked="f">
                        <v:path arrowok="t" o:connecttype="custom" o:connectlocs="2699,2699;0,0;2699,2699" o:connectangles="0,0,0"/>
                      </v:shape>
                      <v:shape id="Freeform 62" o:spid="_x0000_s1073" style="position:absolute;left:1970;top:2604;width:0;height:40;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" path="m,c,,,1,,1,,1,,,,xe" filled="f" stroked="f">
                        <v:path arrowok="t" o:connecttype="custom" o:connectlocs="0,0;0,4048;0,0" o:connectangles="0,0,0"/>
                      </v:shape>
                      <v:shape id="Freeform 63" o:spid="_x0000_s1074" style="position:absolute;left:5262;top:3211;width:0;height:40;visibility:visible;mso-wrap-style:square;v-text-anchor:top"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" path="m,c,,,,,1,,,,,,xe" filled="f" stroked="f">
                        <v:path arrowok="t" o:connecttype="custom" o:connectlocs="0,0;0,4048;0,0" o:connectangles="0,0,0"/>
                      </v:shape>
                      <v:shape id="Freeform 64" o:spid="_x0000_s1075" style="position:absolute;left:1241;top:26;width:2928;height:1620;visibility:visible;mso-wrap-style:square;v-text-anchor:top" coordsize="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" path="m90,c74,,74,,74,,73,,72,,72,2v,,,1,,1c72,3,72,3,72,3v,,,,,c72,3,72,3,72,3,72,18,61,30,46,30,32,30,20,18,20,3v,,,-1,,-1c20,2,20,2,20,2,20,,19,,18,,3,,3,,3,,2,,,,,2,,4,1,4,3,4v13,,13,,13,c16,5,16,5,16,5v,5,2,10,4,15c21,20,21,20,21,20,9,30,9,30,9,30,8,31,7,33,8,34v1,1,1,1,2,1c11,35,12,35,12,34v,,1,,11,-10c24,24,24,24,24,24v,,,,,c29,30,35,33,42,34v1,,1,,1,c43,49,43,49,43,49v,2,1,2,2,2c46,51,48,51,48,49v,-15,,-15,,-15c49,34,49,34,49,34v8,,15,-4,20,-10c70,24,70,24,70,24v2,2,2,2,2,2c81,34,81,34,81,34v1,1,1,1,1,1c84,35,84,35,84,34v,,,,,c85,34,85,34,85,34v,-1,1,-1,1,-2c86,31,85,31,85,30,73,20,73,20,73,20v,,,,,c76,15,77,10,78,5v,-1,,-1,,-1c90,4,90,4,90,4v1,,2,,2,-2c92,,91,,90,xe" filled="f" stroked="f">
                        <v:path arrowok="t" o:connecttype="custom" o:connectlocs="286448,0;235524,0;229159,6350;229159,9525;229159,9525;229159,9525;229159,9525;146407,95250;63655,9525;63655,6350;63655,6350;57290,0;9548,0;0,6350;9548,12700;50924,12700;50924,15875;63655,63500;66838,63500;28645,95250;25462,107950;31828,111125;38193,107950;73204,76200;76386,76200;76386,76200;133676,107950;136859,107950;136859,155575;143224,161925;152773,155575;152773,107950;155955,107950;219611,76200;222793,76200;229159,82550;257804,107950;260986,111125;267352,107950;267352,107950;270535,107950;273717,101600;270535,95250;232342,63500;232342,63500;248255,15875;248255,12700;286448,12700;292814,6350;286448,0" o:connectangles="0,0,0,0,0,0,0,0,0,0,0,0,0,0,0,0,0,0,0,0,0,0,0,0,0,0,0,0,0,0,0,0,0,0,0,0,0,0,0,0,0,0,0,0,0,0,0,0,0,0"/>
                      </v:shape>
                      <v:shape id="Freeform 65" o:spid="_x0000_s1076" style="position:absolute;width:5410;height:541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" path="m152,170v-134,,-134,,-134,c8,170,,162,,152,,18,,18,,18,,8,8,,18,,152,,152,,152,v10,,18,8,18,18c170,152,170,152,170,152v,10,-8,18,-18,18xm18,6c11,6,6,11,6,18v,134,,134,,134c6,159,11,164,18,164v134,,134,,134,c159,164,164,159,164,152v,-134,,-134,,-134c164,11,159,6,152,6l18,6xe" filled="f" stroked="f">
                        <v:path arrowok="t" o:connecttype="custom" o:connectlocs="483805,541098;57293,541098;0,483805;0,57293;57293,0;483805,0;541098,57293;541098,483805;483805,541098;57293,19098;19098,57293;19098,483805;57293,522000;483805,522000;522000,483805;522000,57293;483805,19098;57293,19098" o:connectangles="0,0,0,0,0,0,0,0,0,0,0,0,0,0,0,0,0,0"/>
                        <o:lock v:ext="edit" verticies="t"/>
                      </v:shape>
                      <w10:anchorlock/>
                    </v:group>
                  </w:pict>
                </mc:Fallback>
              </mc:AlternateContent>
            </w:r>
          </w:p>
          <w:p w14:paraId="591E800C" w14:textId="77777777" w:rsidR="001158BB" w:rsidRPr="005825BD" w:rsidRDefault="001158BB" w:rsidP="00A117E4">
            <w:pPr>
              <w:pStyle w:val="TableNheader"/>
            </w:pPr>
            <w:r w:rsidRPr="005825BD">
              <w:t>People living in regional and / or remote areas</w:t>
            </w:r>
          </w:p>
        </w:tc>
        <w:tc>
          <w:tcPr>
            <w:tcW w:w="3119" w:type="dxa"/>
            <w:shd w:val="clear" w:color="auto" w:fill="auto"/>
          </w:tcPr>
          <w:p w14:paraId="1B4EEF40" w14:textId="14F419F4" w:rsidR="001158BB" w:rsidRPr="00623868" w:rsidRDefault="001158BB" w:rsidP="00623868">
            <w:r w:rsidRPr="00623868">
              <w:t xml:space="preserve">The Way Back staff anecdotally reported that social isolation was a driver of suicidality for participants living in regional and /or remote areas. These areas often comprised of small communities where ‘everybody knows everybody’, making it difficult for participants to talk about their issues, due to concerns with privacy and confidentiality. It was also challenging for participants to access support due to the low availability of services in their area.  </w:t>
            </w:r>
          </w:p>
        </w:tc>
        <w:tc>
          <w:tcPr>
            <w:tcW w:w="3958" w:type="dxa"/>
            <w:shd w:val="clear" w:color="auto" w:fill="auto"/>
          </w:tcPr>
          <w:p w14:paraId="394A18ED" w14:textId="77777777" w:rsidR="001158BB" w:rsidRPr="00623868" w:rsidRDefault="001158BB" w:rsidP="00623868">
            <w:r w:rsidRPr="00623868">
              <w:t xml:space="preserve">Participants reported that support coordinators used technology to improve access to The Way Back. Some participants indicated that phone support was less impactful than face to face support. </w:t>
            </w:r>
          </w:p>
          <w:p w14:paraId="350CC4BF" w14:textId="1BDFE347" w:rsidR="001158BB" w:rsidRPr="00623868" w:rsidRDefault="001158BB" w:rsidP="00623868">
            <w:r w:rsidRPr="00623868">
              <w:t>Participants in regional and/or remote areas typically placed more importance on the companionship provided by the support coordinator, rather than as service navigators and accountability mechanisms. Participants also benefited from having someone who is outside of their family and friend circles, with whom they can be more open about their suicidality.</w:t>
            </w:r>
          </w:p>
        </w:tc>
      </w:tr>
      <w:tr w:rsidR="005C548A" w:rsidRPr="005825BD" w14:paraId="20877A07" w14:textId="596C5CD6" w:rsidTr="00F77C16">
        <w:tc>
          <w:tcPr>
            <w:tcW w:w="1823" w:type="dxa"/>
            <w:shd w:val="clear" w:color="auto" w:fill="E6E6E1" w:themeFill="accent5"/>
          </w:tcPr>
          <w:p w14:paraId="4D08AA72" w14:textId="77777777" w:rsidR="001158BB" w:rsidRPr="005825BD" w:rsidRDefault="001158BB" w:rsidP="00A117E4">
            <w:pPr>
              <w:pStyle w:val="TableNheader"/>
            </w:pPr>
            <w:r w:rsidRPr="005825BD">
              <w:rPr>
                <w:noProof/>
              </w:rPr>
              <mc:AlternateContent>
                <mc:Choice Requires="wps">
                  <w:drawing>
                    <wp:inline distT="0" distB="0" distL="0" distR="0" wp14:anchorId="15F91C5B" wp14:editId="2458C6FE">
                      <wp:extent cx="256769" cy="506370"/>
                      <wp:effectExtent l="0" t="0" r="0" b="8255"/>
                      <wp:docPr id="4" name="Freeform: Shape 215">
                        <a:extLst xmlns:a="http://schemas.openxmlformats.org/drawingml/2006/main">
                          <a:ext uri="{FF2B5EF4-FFF2-40B4-BE49-F238E27FC236}">
                            <a16:creationId xmlns:a16="http://schemas.microsoft.com/office/drawing/2014/main" id="{6AF9A115-C248-4431-9807-2A38D14D39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6769" cy="506370"/>
                              </a:xfrm>
                              <a:custGeom>
                                <a:avLst/>
                                <a:gdLst>
                                  <a:gd name="connsiteX0" fmla="*/ 230912 w 284159"/>
                                  <a:gd name="connsiteY0" fmla="*/ 76544 h 560383"/>
                                  <a:gd name="connsiteX1" fmla="*/ 179712 w 284159"/>
                                  <a:gd name="connsiteY1" fmla="*/ 114944 h 560383"/>
                                  <a:gd name="connsiteX2" fmla="*/ 175744 w 284159"/>
                                  <a:gd name="connsiteY2" fmla="*/ 123904 h 560383"/>
                                  <a:gd name="connsiteX3" fmla="*/ 161920 w 284159"/>
                                  <a:gd name="connsiteY3" fmla="*/ 114432 h 560383"/>
                                  <a:gd name="connsiteX4" fmla="*/ 143744 w 284159"/>
                                  <a:gd name="connsiteY4" fmla="*/ 107776 h 560383"/>
                                  <a:gd name="connsiteX5" fmla="*/ 162688 w 284159"/>
                                  <a:gd name="connsiteY5" fmla="*/ 62848 h 560383"/>
                                  <a:gd name="connsiteX6" fmla="*/ 100096 w 284159"/>
                                  <a:gd name="connsiteY6" fmla="*/ 0 h 560383"/>
                                  <a:gd name="connsiteX7" fmla="*/ 37504 w 284159"/>
                                  <a:gd name="connsiteY7" fmla="*/ 62848 h 560383"/>
                                  <a:gd name="connsiteX8" fmla="*/ 56448 w 284159"/>
                                  <a:gd name="connsiteY8" fmla="*/ 107776 h 560383"/>
                                  <a:gd name="connsiteX9" fmla="*/ 27264 w 284159"/>
                                  <a:gd name="connsiteY9" fmla="*/ 121856 h 560383"/>
                                  <a:gd name="connsiteX10" fmla="*/ 0 w 284159"/>
                                  <a:gd name="connsiteY10" fmla="*/ 166784 h 560383"/>
                                  <a:gd name="connsiteX11" fmla="*/ 33152 w 284159"/>
                                  <a:gd name="connsiteY11" fmla="*/ 236288 h 560383"/>
                                  <a:gd name="connsiteX12" fmla="*/ 33152 w 284159"/>
                                  <a:gd name="connsiteY12" fmla="*/ 528512 h 560383"/>
                                  <a:gd name="connsiteX13" fmla="*/ 64640 w 284159"/>
                                  <a:gd name="connsiteY13" fmla="*/ 560128 h 560383"/>
                                  <a:gd name="connsiteX14" fmla="*/ 96128 w 284159"/>
                                  <a:gd name="connsiteY14" fmla="*/ 529536 h 560383"/>
                                  <a:gd name="connsiteX15" fmla="*/ 99968 w 284159"/>
                                  <a:gd name="connsiteY15" fmla="*/ 387840 h 560383"/>
                                  <a:gd name="connsiteX16" fmla="*/ 103424 w 284159"/>
                                  <a:gd name="connsiteY16" fmla="*/ 384512 h 560383"/>
                                  <a:gd name="connsiteX17" fmla="*/ 106880 w 284159"/>
                                  <a:gd name="connsiteY17" fmla="*/ 387968 h 560383"/>
                                  <a:gd name="connsiteX18" fmla="*/ 109440 w 284159"/>
                                  <a:gd name="connsiteY18" fmla="*/ 529408 h 560383"/>
                                  <a:gd name="connsiteX19" fmla="*/ 141696 w 284159"/>
                                  <a:gd name="connsiteY19" fmla="*/ 560384 h 560383"/>
                                  <a:gd name="connsiteX20" fmla="*/ 173184 w 284159"/>
                                  <a:gd name="connsiteY20" fmla="*/ 528768 h 560383"/>
                                  <a:gd name="connsiteX21" fmla="*/ 173184 w 284159"/>
                                  <a:gd name="connsiteY21" fmla="*/ 516864 h 560383"/>
                                  <a:gd name="connsiteX22" fmla="*/ 174720 w 284159"/>
                                  <a:gd name="connsiteY22" fmla="*/ 334080 h 560383"/>
                                  <a:gd name="connsiteX23" fmla="*/ 232192 w 284159"/>
                                  <a:gd name="connsiteY23" fmla="*/ 291072 h 560383"/>
                                  <a:gd name="connsiteX24" fmla="*/ 269952 w 284159"/>
                                  <a:gd name="connsiteY24" fmla="*/ 205312 h 560383"/>
                                  <a:gd name="connsiteX25" fmla="*/ 272256 w 284159"/>
                                  <a:gd name="connsiteY25" fmla="*/ 196352 h 560383"/>
                                  <a:gd name="connsiteX26" fmla="*/ 282752 w 284159"/>
                                  <a:gd name="connsiteY26" fmla="*/ 142976 h 560383"/>
                                  <a:gd name="connsiteX27" fmla="*/ 283520 w 284159"/>
                                  <a:gd name="connsiteY27" fmla="*/ 138624 h 560383"/>
                                  <a:gd name="connsiteX28" fmla="*/ 284160 w 284159"/>
                                  <a:gd name="connsiteY28" fmla="*/ 130048 h 560383"/>
                                  <a:gd name="connsiteX29" fmla="*/ 284160 w 284159"/>
                                  <a:gd name="connsiteY29" fmla="*/ 129920 h 560383"/>
                                  <a:gd name="connsiteX30" fmla="*/ 284160 w 284159"/>
                                  <a:gd name="connsiteY30" fmla="*/ 129792 h 560383"/>
                                  <a:gd name="connsiteX31" fmla="*/ 230912 w 284159"/>
                                  <a:gd name="connsiteY31" fmla="*/ 76544 h 560383"/>
                                  <a:gd name="connsiteX32" fmla="*/ 181632 w 284159"/>
                                  <a:gd name="connsiteY32" fmla="*/ 150272 h 560383"/>
                                  <a:gd name="connsiteX33" fmla="*/ 227456 w 284159"/>
                                  <a:gd name="connsiteY33" fmla="*/ 183296 h 560383"/>
                                  <a:gd name="connsiteX34" fmla="*/ 176128 w 284159"/>
                                  <a:gd name="connsiteY34" fmla="*/ 185344 h 560383"/>
                                  <a:gd name="connsiteX35" fmla="*/ 166528 w 284159"/>
                                  <a:gd name="connsiteY35" fmla="*/ 184832 h 560383"/>
                                  <a:gd name="connsiteX36" fmla="*/ 167040 w 284159"/>
                                  <a:gd name="connsiteY36" fmla="*/ 183680 h 560383"/>
                                  <a:gd name="connsiteX37" fmla="*/ 181632 w 284159"/>
                                  <a:gd name="connsiteY37" fmla="*/ 150272 h 560383"/>
                                  <a:gd name="connsiteX38" fmla="*/ 53504 w 284159"/>
                                  <a:gd name="connsiteY38" fmla="*/ 62976 h 560383"/>
                                  <a:gd name="connsiteX39" fmla="*/ 100096 w 284159"/>
                                  <a:gd name="connsiteY39" fmla="*/ 16128 h 560383"/>
                                  <a:gd name="connsiteX40" fmla="*/ 146688 w 284159"/>
                                  <a:gd name="connsiteY40" fmla="*/ 62976 h 560383"/>
                                  <a:gd name="connsiteX41" fmla="*/ 100096 w 284159"/>
                                  <a:gd name="connsiteY41" fmla="*/ 109824 h 560383"/>
                                  <a:gd name="connsiteX42" fmla="*/ 76416 w 284159"/>
                                  <a:gd name="connsiteY42" fmla="*/ 103296 h 560383"/>
                                  <a:gd name="connsiteX43" fmla="*/ 75264 w 284159"/>
                                  <a:gd name="connsiteY43" fmla="*/ 102656 h 560383"/>
                                  <a:gd name="connsiteX44" fmla="*/ 53504 w 284159"/>
                                  <a:gd name="connsiteY44" fmla="*/ 62976 h 560383"/>
                                  <a:gd name="connsiteX45" fmla="*/ 157056 w 284159"/>
                                  <a:gd name="connsiteY45" fmla="*/ 516864 h 560383"/>
                                  <a:gd name="connsiteX46" fmla="*/ 157056 w 284159"/>
                                  <a:gd name="connsiteY46" fmla="*/ 528896 h 560383"/>
                                  <a:gd name="connsiteX47" fmla="*/ 140928 w 284159"/>
                                  <a:gd name="connsiteY47" fmla="*/ 544512 h 560383"/>
                                  <a:gd name="connsiteX48" fmla="*/ 125440 w 284159"/>
                                  <a:gd name="connsiteY48" fmla="*/ 529280 h 560383"/>
                                  <a:gd name="connsiteX49" fmla="*/ 122880 w 284159"/>
                                  <a:gd name="connsiteY49" fmla="*/ 387840 h 560383"/>
                                  <a:gd name="connsiteX50" fmla="*/ 102784 w 284159"/>
                                  <a:gd name="connsiteY50" fmla="*/ 368768 h 560383"/>
                                  <a:gd name="connsiteX51" fmla="*/ 102784 w 284159"/>
                                  <a:gd name="connsiteY51" fmla="*/ 368768 h 560383"/>
                                  <a:gd name="connsiteX52" fmla="*/ 84096 w 284159"/>
                                  <a:gd name="connsiteY52" fmla="*/ 387712 h 560383"/>
                                  <a:gd name="connsiteX53" fmla="*/ 80256 w 284159"/>
                                  <a:gd name="connsiteY53" fmla="*/ 529408 h 560383"/>
                                  <a:gd name="connsiteX54" fmla="*/ 64768 w 284159"/>
                                  <a:gd name="connsiteY54" fmla="*/ 544512 h 560383"/>
                                  <a:gd name="connsiteX55" fmla="*/ 49280 w 284159"/>
                                  <a:gd name="connsiteY55" fmla="*/ 528896 h 560383"/>
                                  <a:gd name="connsiteX56" fmla="*/ 49280 w 284159"/>
                                  <a:gd name="connsiteY56" fmla="*/ 248192 h 560383"/>
                                  <a:gd name="connsiteX57" fmla="*/ 119040 w 284159"/>
                                  <a:gd name="connsiteY57" fmla="*/ 269440 h 560383"/>
                                  <a:gd name="connsiteX58" fmla="*/ 117504 w 284159"/>
                                  <a:gd name="connsiteY58" fmla="*/ 285824 h 560383"/>
                                  <a:gd name="connsiteX59" fmla="*/ 132864 w 284159"/>
                                  <a:gd name="connsiteY59" fmla="*/ 318848 h 560383"/>
                                  <a:gd name="connsiteX60" fmla="*/ 158848 w 284159"/>
                                  <a:gd name="connsiteY60" fmla="*/ 331520 h 560383"/>
                                  <a:gd name="connsiteX61" fmla="*/ 157056 w 284159"/>
                                  <a:gd name="connsiteY61" fmla="*/ 516864 h 560383"/>
                                  <a:gd name="connsiteX62" fmla="*/ 218624 w 284159"/>
                                  <a:gd name="connsiteY62" fmla="*/ 282624 h 560383"/>
                                  <a:gd name="connsiteX63" fmla="*/ 174592 w 284159"/>
                                  <a:gd name="connsiteY63" fmla="*/ 318080 h 560383"/>
                                  <a:gd name="connsiteX64" fmla="*/ 140928 w 284159"/>
                                  <a:gd name="connsiteY64" fmla="*/ 305152 h 560383"/>
                                  <a:gd name="connsiteX65" fmla="*/ 133376 w 284159"/>
                                  <a:gd name="connsiteY65" fmla="*/ 285824 h 560383"/>
                                  <a:gd name="connsiteX66" fmla="*/ 134912 w 284159"/>
                                  <a:gd name="connsiteY66" fmla="*/ 271104 h 560383"/>
                                  <a:gd name="connsiteX67" fmla="*/ 163456 w 284159"/>
                                  <a:gd name="connsiteY67" fmla="*/ 272128 h 560383"/>
                                  <a:gd name="connsiteX68" fmla="*/ 227840 w 284159"/>
                                  <a:gd name="connsiteY68" fmla="*/ 267648 h 560383"/>
                                  <a:gd name="connsiteX69" fmla="*/ 218624 w 284159"/>
                                  <a:gd name="connsiteY69" fmla="*/ 282624 h 560383"/>
                                  <a:gd name="connsiteX70" fmla="*/ 226944 w 284159"/>
                                  <a:gd name="connsiteY70" fmla="*/ 251648 h 560383"/>
                                  <a:gd name="connsiteX71" fmla="*/ 163328 w 284159"/>
                                  <a:gd name="connsiteY71" fmla="*/ 256256 h 560383"/>
                                  <a:gd name="connsiteX72" fmla="*/ 129664 w 284159"/>
                                  <a:gd name="connsiteY72" fmla="*/ 254720 h 560383"/>
                                  <a:gd name="connsiteX73" fmla="*/ 128768 w 284159"/>
                                  <a:gd name="connsiteY73" fmla="*/ 254592 h 560383"/>
                                  <a:gd name="connsiteX74" fmla="*/ 54144 w 284159"/>
                                  <a:gd name="connsiteY74" fmla="*/ 232576 h 560383"/>
                                  <a:gd name="connsiteX75" fmla="*/ 47232 w 284159"/>
                                  <a:gd name="connsiteY75" fmla="*/ 227584 h 560383"/>
                                  <a:gd name="connsiteX76" fmla="*/ 45568 w 284159"/>
                                  <a:gd name="connsiteY76" fmla="*/ 226048 h 560383"/>
                                  <a:gd name="connsiteX77" fmla="*/ 16000 w 284159"/>
                                  <a:gd name="connsiteY77" fmla="*/ 166912 h 560383"/>
                                  <a:gd name="connsiteX78" fmla="*/ 34688 w 284159"/>
                                  <a:gd name="connsiteY78" fmla="*/ 136064 h 560383"/>
                                  <a:gd name="connsiteX79" fmla="*/ 71424 w 284159"/>
                                  <a:gd name="connsiteY79" fmla="*/ 118528 h 560383"/>
                                  <a:gd name="connsiteX80" fmla="*/ 125824 w 284159"/>
                                  <a:gd name="connsiteY80" fmla="*/ 120192 h 560383"/>
                                  <a:gd name="connsiteX81" fmla="*/ 127616 w 284159"/>
                                  <a:gd name="connsiteY81" fmla="*/ 120704 h 560383"/>
                                  <a:gd name="connsiteX82" fmla="*/ 154880 w 284159"/>
                                  <a:gd name="connsiteY82" fmla="*/ 128768 h 560383"/>
                                  <a:gd name="connsiteX83" fmla="*/ 169088 w 284159"/>
                                  <a:gd name="connsiteY83" fmla="*/ 139520 h 560383"/>
                                  <a:gd name="connsiteX84" fmla="*/ 152320 w 284159"/>
                                  <a:gd name="connsiteY84" fmla="*/ 177408 h 560383"/>
                                  <a:gd name="connsiteX85" fmla="*/ 146944 w 284159"/>
                                  <a:gd name="connsiteY85" fmla="*/ 189696 h 560383"/>
                                  <a:gd name="connsiteX86" fmla="*/ 141440 w 284159"/>
                                  <a:gd name="connsiteY86" fmla="*/ 202496 h 560383"/>
                                  <a:gd name="connsiteX87" fmla="*/ 76416 w 284159"/>
                                  <a:gd name="connsiteY87" fmla="*/ 163968 h 560383"/>
                                  <a:gd name="connsiteX88" fmla="*/ 65536 w 284159"/>
                                  <a:gd name="connsiteY88" fmla="*/ 160896 h 560383"/>
                                  <a:gd name="connsiteX89" fmla="*/ 61440 w 284159"/>
                                  <a:gd name="connsiteY89" fmla="*/ 167936 h 560383"/>
                                  <a:gd name="connsiteX90" fmla="*/ 62464 w 284159"/>
                                  <a:gd name="connsiteY90" fmla="*/ 171776 h 560383"/>
                                  <a:gd name="connsiteX91" fmla="*/ 194560 w 284159"/>
                                  <a:gd name="connsiteY91" fmla="*/ 224256 h 560383"/>
                                  <a:gd name="connsiteX92" fmla="*/ 224128 w 284159"/>
                                  <a:gd name="connsiteY92" fmla="*/ 222976 h 560383"/>
                                  <a:gd name="connsiteX93" fmla="*/ 225408 w 284159"/>
                                  <a:gd name="connsiteY93" fmla="*/ 222976 h 560383"/>
                                  <a:gd name="connsiteX94" fmla="*/ 239616 w 284159"/>
                                  <a:gd name="connsiteY94" fmla="*/ 237440 h 560383"/>
                                  <a:gd name="connsiteX95" fmla="*/ 226944 w 284159"/>
                                  <a:gd name="connsiteY95" fmla="*/ 251648 h 560383"/>
                                  <a:gd name="connsiteX96" fmla="*/ 256896 w 284159"/>
                                  <a:gd name="connsiteY96" fmla="*/ 192384 h 560383"/>
                                  <a:gd name="connsiteX97" fmla="*/ 254464 w 284159"/>
                                  <a:gd name="connsiteY97" fmla="*/ 201472 h 560383"/>
                                  <a:gd name="connsiteX98" fmla="*/ 249600 w 284159"/>
                                  <a:gd name="connsiteY98" fmla="*/ 219520 h 560383"/>
                                  <a:gd name="connsiteX99" fmla="*/ 225152 w 284159"/>
                                  <a:gd name="connsiteY99" fmla="*/ 206976 h 560383"/>
                                  <a:gd name="connsiteX100" fmla="*/ 222592 w 284159"/>
                                  <a:gd name="connsiteY100" fmla="*/ 207104 h 560383"/>
                                  <a:gd name="connsiteX101" fmla="*/ 157440 w 284159"/>
                                  <a:gd name="connsiteY101" fmla="*/ 205696 h 560383"/>
                                  <a:gd name="connsiteX102" fmla="*/ 159616 w 284159"/>
                                  <a:gd name="connsiteY102" fmla="*/ 200576 h 560383"/>
                                  <a:gd name="connsiteX103" fmla="*/ 175104 w 284159"/>
                                  <a:gd name="connsiteY103" fmla="*/ 201472 h 560383"/>
                                  <a:gd name="connsiteX104" fmla="*/ 200832 w 284159"/>
                                  <a:gd name="connsiteY104" fmla="*/ 202496 h 560383"/>
                                  <a:gd name="connsiteX105" fmla="*/ 256000 w 284159"/>
                                  <a:gd name="connsiteY105" fmla="*/ 187648 h 560383"/>
                                  <a:gd name="connsiteX106" fmla="*/ 258688 w 284159"/>
                                  <a:gd name="connsiteY106" fmla="*/ 185728 h 560383"/>
                                  <a:gd name="connsiteX107" fmla="*/ 256896 w 284159"/>
                                  <a:gd name="connsiteY107" fmla="*/ 192384 h 560383"/>
                                  <a:gd name="connsiteX108" fmla="*/ 267136 w 284159"/>
                                  <a:gd name="connsiteY108" fmla="*/ 139264 h 560383"/>
                                  <a:gd name="connsiteX109" fmla="*/ 254848 w 284159"/>
                                  <a:gd name="connsiteY109" fmla="*/ 158848 h 560383"/>
                                  <a:gd name="connsiteX110" fmla="*/ 231040 w 284159"/>
                                  <a:gd name="connsiteY110" fmla="*/ 167552 h 560383"/>
                                  <a:gd name="connsiteX111" fmla="*/ 193664 w 284159"/>
                                  <a:gd name="connsiteY111" fmla="*/ 130048 h 560383"/>
                                  <a:gd name="connsiteX112" fmla="*/ 194944 w 284159"/>
                                  <a:gd name="connsiteY112" fmla="*/ 120064 h 560383"/>
                                  <a:gd name="connsiteX113" fmla="*/ 195072 w 284159"/>
                                  <a:gd name="connsiteY113" fmla="*/ 119680 h 560383"/>
                                  <a:gd name="connsiteX114" fmla="*/ 230912 w 284159"/>
                                  <a:gd name="connsiteY114" fmla="*/ 92544 h 560383"/>
                                  <a:gd name="connsiteX115" fmla="*/ 268288 w 284159"/>
                                  <a:gd name="connsiteY115" fmla="*/ 129664 h 560383"/>
                                  <a:gd name="connsiteX116" fmla="*/ 267136 w 284159"/>
                                  <a:gd name="connsiteY116" fmla="*/ 139264 h 560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Lst>
                                <a:rect l="l" t="t" r="r" b="b"/>
                                <a:pathLst>
                                  <a:path w="284159" h="560383">
                                    <a:moveTo>
                                      <a:pt x="230912" y="76544"/>
                                    </a:moveTo>
                                    <a:cubicBezTo>
                                      <a:pt x="206720" y="76544"/>
                                      <a:pt x="186240" y="92800"/>
                                      <a:pt x="179712" y="114944"/>
                                    </a:cubicBezTo>
                                    <a:lnTo>
                                      <a:pt x="175744" y="123904"/>
                                    </a:lnTo>
                                    <a:cubicBezTo>
                                      <a:pt x="172032" y="120704"/>
                                      <a:pt x="167296" y="117120"/>
                                      <a:pt x="161920" y="114432"/>
                                    </a:cubicBezTo>
                                    <a:cubicBezTo>
                                      <a:pt x="156160" y="111488"/>
                                      <a:pt x="149504" y="109312"/>
                                      <a:pt x="143744" y="107776"/>
                                    </a:cubicBezTo>
                                    <a:cubicBezTo>
                                      <a:pt x="155392" y="96384"/>
                                      <a:pt x="162688" y="80384"/>
                                      <a:pt x="162688" y="62848"/>
                                    </a:cubicBezTo>
                                    <a:cubicBezTo>
                                      <a:pt x="162688" y="28160"/>
                                      <a:pt x="134656" y="0"/>
                                      <a:pt x="100096" y="0"/>
                                    </a:cubicBezTo>
                                    <a:cubicBezTo>
                                      <a:pt x="65536" y="0"/>
                                      <a:pt x="37504" y="28160"/>
                                      <a:pt x="37504" y="62848"/>
                                    </a:cubicBezTo>
                                    <a:cubicBezTo>
                                      <a:pt x="37504" y="80384"/>
                                      <a:pt x="44800" y="96384"/>
                                      <a:pt x="56448" y="107776"/>
                                    </a:cubicBezTo>
                                    <a:cubicBezTo>
                                      <a:pt x="48128" y="111616"/>
                                      <a:pt x="36992" y="116864"/>
                                      <a:pt x="27264" y="121856"/>
                                    </a:cubicBezTo>
                                    <a:cubicBezTo>
                                      <a:pt x="9344" y="131200"/>
                                      <a:pt x="0" y="146688"/>
                                      <a:pt x="0" y="166784"/>
                                    </a:cubicBezTo>
                                    <a:cubicBezTo>
                                      <a:pt x="0" y="192512"/>
                                      <a:pt x="15616" y="219776"/>
                                      <a:pt x="33152" y="236288"/>
                                    </a:cubicBezTo>
                                    <a:lnTo>
                                      <a:pt x="33152" y="528512"/>
                                    </a:lnTo>
                                    <a:cubicBezTo>
                                      <a:pt x="33152" y="545920"/>
                                      <a:pt x="47232" y="560128"/>
                                      <a:pt x="64640" y="560128"/>
                                    </a:cubicBezTo>
                                    <a:cubicBezTo>
                                      <a:pt x="81792" y="560128"/>
                                      <a:pt x="95616" y="546688"/>
                                      <a:pt x="96128" y="529536"/>
                                    </a:cubicBezTo>
                                    <a:lnTo>
                                      <a:pt x="99968" y="387840"/>
                                    </a:lnTo>
                                    <a:cubicBezTo>
                                      <a:pt x="99968" y="386048"/>
                                      <a:pt x="101504" y="384512"/>
                                      <a:pt x="103424" y="384512"/>
                                    </a:cubicBezTo>
                                    <a:cubicBezTo>
                                      <a:pt x="105216" y="384512"/>
                                      <a:pt x="106880" y="386048"/>
                                      <a:pt x="106880" y="387968"/>
                                    </a:cubicBezTo>
                                    <a:lnTo>
                                      <a:pt x="109440" y="529408"/>
                                    </a:lnTo>
                                    <a:cubicBezTo>
                                      <a:pt x="109824" y="546432"/>
                                      <a:pt x="123904" y="560384"/>
                                      <a:pt x="141696" y="560384"/>
                                    </a:cubicBezTo>
                                    <a:cubicBezTo>
                                      <a:pt x="159104" y="560384"/>
                                      <a:pt x="173184" y="546176"/>
                                      <a:pt x="173184" y="528768"/>
                                    </a:cubicBezTo>
                                    <a:lnTo>
                                      <a:pt x="173184" y="516864"/>
                                    </a:lnTo>
                                    <a:cubicBezTo>
                                      <a:pt x="173184" y="515712"/>
                                      <a:pt x="174592" y="406400"/>
                                      <a:pt x="174720" y="334080"/>
                                    </a:cubicBezTo>
                                    <a:cubicBezTo>
                                      <a:pt x="195584" y="334080"/>
                                      <a:pt x="213760" y="320384"/>
                                      <a:pt x="232192" y="291072"/>
                                    </a:cubicBezTo>
                                    <a:cubicBezTo>
                                      <a:pt x="258432" y="249344"/>
                                      <a:pt x="262272" y="234624"/>
                                      <a:pt x="269952" y="205312"/>
                                    </a:cubicBezTo>
                                    <a:lnTo>
                                      <a:pt x="272256" y="196352"/>
                                    </a:lnTo>
                                    <a:cubicBezTo>
                                      <a:pt x="277760" y="175744"/>
                                      <a:pt x="281088" y="155392"/>
                                      <a:pt x="282752" y="142976"/>
                                    </a:cubicBezTo>
                                    <a:cubicBezTo>
                                      <a:pt x="283136" y="141056"/>
                                      <a:pt x="283392" y="139520"/>
                                      <a:pt x="283520" y="138624"/>
                                    </a:cubicBezTo>
                                    <a:cubicBezTo>
                                      <a:pt x="284032" y="135808"/>
                                      <a:pt x="284160" y="132864"/>
                                      <a:pt x="284160" y="130048"/>
                                    </a:cubicBezTo>
                                    <a:cubicBezTo>
                                      <a:pt x="284160" y="130048"/>
                                      <a:pt x="284160" y="130048"/>
                                      <a:pt x="284160" y="129920"/>
                                    </a:cubicBezTo>
                                    <a:cubicBezTo>
                                      <a:pt x="284160" y="129792"/>
                                      <a:pt x="284160" y="129920"/>
                                      <a:pt x="284160" y="129792"/>
                                    </a:cubicBezTo>
                                    <a:cubicBezTo>
                                      <a:pt x="284160" y="100480"/>
                                      <a:pt x="260352" y="76544"/>
                                      <a:pt x="230912" y="76544"/>
                                    </a:cubicBezTo>
                                    <a:close/>
                                    <a:moveTo>
                                      <a:pt x="181632" y="150272"/>
                                    </a:moveTo>
                                    <a:cubicBezTo>
                                      <a:pt x="189184" y="168704"/>
                                      <a:pt x="206720" y="182016"/>
                                      <a:pt x="227456" y="183296"/>
                                    </a:cubicBezTo>
                                    <a:cubicBezTo>
                                      <a:pt x="213760" y="187008"/>
                                      <a:pt x="195840" y="186496"/>
                                      <a:pt x="176128" y="185344"/>
                                    </a:cubicBezTo>
                                    <a:cubicBezTo>
                                      <a:pt x="172928" y="185088"/>
                                      <a:pt x="169728" y="184960"/>
                                      <a:pt x="166528" y="184832"/>
                                    </a:cubicBezTo>
                                    <a:cubicBezTo>
                                      <a:pt x="166656" y="184448"/>
                                      <a:pt x="166912" y="184064"/>
                                      <a:pt x="167040" y="183680"/>
                                    </a:cubicBezTo>
                                    <a:lnTo>
                                      <a:pt x="181632" y="150272"/>
                                    </a:lnTo>
                                    <a:close/>
                                    <a:moveTo>
                                      <a:pt x="53504" y="62976"/>
                                    </a:moveTo>
                                    <a:cubicBezTo>
                                      <a:pt x="53504" y="37120"/>
                                      <a:pt x="74368" y="16128"/>
                                      <a:pt x="100096" y="16128"/>
                                    </a:cubicBezTo>
                                    <a:cubicBezTo>
                                      <a:pt x="125824" y="16128"/>
                                      <a:pt x="146688" y="37120"/>
                                      <a:pt x="146688" y="62976"/>
                                    </a:cubicBezTo>
                                    <a:cubicBezTo>
                                      <a:pt x="146688" y="88832"/>
                                      <a:pt x="125824" y="109824"/>
                                      <a:pt x="100096" y="109824"/>
                                    </a:cubicBezTo>
                                    <a:cubicBezTo>
                                      <a:pt x="91520" y="109824"/>
                                      <a:pt x="83456" y="107520"/>
                                      <a:pt x="76416" y="103296"/>
                                    </a:cubicBezTo>
                                    <a:cubicBezTo>
                                      <a:pt x="76032" y="103040"/>
                                      <a:pt x="75648" y="102784"/>
                                      <a:pt x="75264" y="102656"/>
                                    </a:cubicBezTo>
                                    <a:cubicBezTo>
                                      <a:pt x="62208" y="94336"/>
                                      <a:pt x="53504" y="79616"/>
                                      <a:pt x="53504" y="62976"/>
                                    </a:cubicBezTo>
                                    <a:close/>
                                    <a:moveTo>
                                      <a:pt x="157056" y="516864"/>
                                    </a:moveTo>
                                    <a:lnTo>
                                      <a:pt x="157056" y="528896"/>
                                    </a:lnTo>
                                    <a:cubicBezTo>
                                      <a:pt x="157056" y="537472"/>
                                      <a:pt x="150144" y="544512"/>
                                      <a:pt x="140928" y="544512"/>
                                    </a:cubicBezTo>
                                    <a:cubicBezTo>
                                      <a:pt x="132608" y="544512"/>
                                      <a:pt x="125568" y="537600"/>
                                      <a:pt x="125440" y="529280"/>
                                    </a:cubicBezTo>
                                    <a:lnTo>
                                      <a:pt x="122880" y="387840"/>
                                    </a:lnTo>
                                    <a:cubicBezTo>
                                      <a:pt x="122624" y="377344"/>
                                      <a:pt x="113920" y="368768"/>
                                      <a:pt x="102784" y="368768"/>
                                    </a:cubicBezTo>
                                    <a:cubicBezTo>
                                      <a:pt x="102784" y="368768"/>
                                      <a:pt x="102784" y="368768"/>
                                      <a:pt x="102784" y="368768"/>
                                    </a:cubicBezTo>
                                    <a:cubicBezTo>
                                      <a:pt x="92672" y="369152"/>
                                      <a:pt x="84352" y="377472"/>
                                      <a:pt x="84096" y="387712"/>
                                    </a:cubicBezTo>
                                    <a:lnTo>
                                      <a:pt x="80256" y="529408"/>
                                    </a:lnTo>
                                    <a:cubicBezTo>
                                      <a:pt x="80000" y="537856"/>
                                      <a:pt x="73216" y="544512"/>
                                      <a:pt x="64768" y="544512"/>
                                    </a:cubicBezTo>
                                    <a:cubicBezTo>
                                      <a:pt x="56192" y="544512"/>
                                      <a:pt x="49280" y="537472"/>
                                      <a:pt x="49280" y="528896"/>
                                    </a:cubicBezTo>
                                    <a:lnTo>
                                      <a:pt x="49280" y="248192"/>
                                    </a:lnTo>
                                    <a:cubicBezTo>
                                      <a:pt x="68096" y="258816"/>
                                      <a:pt x="91392" y="265984"/>
                                      <a:pt x="119040" y="269440"/>
                                    </a:cubicBezTo>
                                    <a:cubicBezTo>
                                      <a:pt x="118016" y="275456"/>
                                      <a:pt x="117504" y="280960"/>
                                      <a:pt x="117504" y="285824"/>
                                    </a:cubicBezTo>
                                    <a:cubicBezTo>
                                      <a:pt x="117504" y="301568"/>
                                      <a:pt x="122624" y="312704"/>
                                      <a:pt x="132864" y="318848"/>
                                    </a:cubicBezTo>
                                    <a:cubicBezTo>
                                      <a:pt x="140800" y="323584"/>
                                      <a:pt x="149504" y="328576"/>
                                      <a:pt x="158848" y="331520"/>
                                    </a:cubicBezTo>
                                    <a:cubicBezTo>
                                      <a:pt x="158592" y="403712"/>
                                      <a:pt x="157184" y="515584"/>
                                      <a:pt x="157056" y="516864"/>
                                    </a:cubicBezTo>
                                    <a:close/>
                                    <a:moveTo>
                                      <a:pt x="218624" y="282624"/>
                                    </a:moveTo>
                                    <a:cubicBezTo>
                                      <a:pt x="198656" y="314496"/>
                                      <a:pt x="183936" y="318080"/>
                                      <a:pt x="174592" y="318080"/>
                                    </a:cubicBezTo>
                                    <a:cubicBezTo>
                                      <a:pt x="164480" y="318080"/>
                                      <a:pt x="153728" y="312960"/>
                                      <a:pt x="140928" y="305152"/>
                                    </a:cubicBezTo>
                                    <a:cubicBezTo>
                                      <a:pt x="139008" y="304000"/>
                                      <a:pt x="133376" y="300544"/>
                                      <a:pt x="133376" y="285824"/>
                                    </a:cubicBezTo>
                                    <a:cubicBezTo>
                                      <a:pt x="133376" y="281472"/>
                                      <a:pt x="133888" y="276608"/>
                                      <a:pt x="134912" y="271104"/>
                                    </a:cubicBezTo>
                                    <a:cubicBezTo>
                                      <a:pt x="144000" y="271744"/>
                                      <a:pt x="153472" y="272128"/>
                                      <a:pt x="163456" y="272128"/>
                                    </a:cubicBezTo>
                                    <a:cubicBezTo>
                                      <a:pt x="189184" y="272128"/>
                                      <a:pt x="212480" y="269696"/>
                                      <a:pt x="227840" y="267648"/>
                                    </a:cubicBezTo>
                                    <a:cubicBezTo>
                                      <a:pt x="225024" y="272256"/>
                                      <a:pt x="222080" y="277248"/>
                                      <a:pt x="218624" y="282624"/>
                                    </a:cubicBezTo>
                                    <a:close/>
                                    <a:moveTo>
                                      <a:pt x="226944" y="251648"/>
                                    </a:moveTo>
                                    <a:cubicBezTo>
                                      <a:pt x="212096" y="253696"/>
                                      <a:pt x="188928" y="256256"/>
                                      <a:pt x="163328" y="256256"/>
                                    </a:cubicBezTo>
                                    <a:cubicBezTo>
                                      <a:pt x="151424" y="256256"/>
                                      <a:pt x="140288" y="255744"/>
                                      <a:pt x="129664" y="254720"/>
                                    </a:cubicBezTo>
                                    <a:cubicBezTo>
                                      <a:pt x="129280" y="254720"/>
                                      <a:pt x="129024" y="254592"/>
                                      <a:pt x="128768" y="254592"/>
                                    </a:cubicBezTo>
                                    <a:cubicBezTo>
                                      <a:pt x="98176" y="251520"/>
                                      <a:pt x="73216" y="244224"/>
                                      <a:pt x="54144" y="232576"/>
                                    </a:cubicBezTo>
                                    <a:cubicBezTo>
                                      <a:pt x="51840" y="231168"/>
                                      <a:pt x="49536" y="229504"/>
                                      <a:pt x="47232" y="227584"/>
                                    </a:cubicBezTo>
                                    <a:cubicBezTo>
                                      <a:pt x="46720" y="227072"/>
                                      <a:pt x="46208" y="226560"/>
                                      <a:pt x="45568" y="226048"/>
                                    </a:cubicBezTo>
                                    <a:cubicBezTo>
                                      <a:pt x="30336" y="212352"/>
                                      <a:pt x="16000" y="188032"/>
                                      <a:pt x="16000" y="166912"/>
                                    </a:cubicBezTo>
                                    <a:cubicBezTo>
                                      <a:pt x="16000" y="152960"/>
                                      <a:pt x="22272" y="142592"/>
                                      <a:pt x="34688" y="136064"/>
                                    </a:cubicBezTo>
                                    <a:cubicBezTo>
                                      <a:pt x="47872" y="129152"/>
                                      <a:pt x="64128" y="121728"/>
                                      <a:pt x="71424" y="118528"/>
                                    </a:cubicBezTo>
                                    <a:cubicBezTo>
                                      <a:pt x="87552" y="126976"/>
                                      <a:pt x="109056" y="127616"/>
                                      <a:pt x="125824" y="120192"/>
                                    </a:cubicBezTo>
                                    <a:cubicBezTo>
                                      <a:pt x="126336" y="120448"/>
                                      <a:pt x="126976" y="120576"/>
                                      <a:pt x="127616" y="120704"/>
                                    </a:cubicBezTo>
                                    <a:cubicBezTo>
                                      <a:pt x="127744" y="120704"/>
                                      <a:pt x="143872" y="123136"/>
                                      <a:pt x="154880" y="128768"/>
                                    </a:cubicBezTo>
                                    <a:cubicBezTo>
                                      <a:pt x="161024" y="131840"/>
                                      <a:pt x="166272" y="136576"/>
                                      <a:pt x="169088" y="139520"/>
                                    </a:cubicBezTo>
                                    <a:lnTo>
                                      <a:pt x="152320" y="177408"/>
                                    </a:lnTo>
                                    <a:cubicBezTo>
                                      <a:pt x="150912" y="180864"/>
                                      <a:pt x="149120" y="184960"/>
                                      <a:pt x="146944" y="189696"/>
                                    </a:cubicBezTo>
                                    <a:cubicBezTo>
                                      <a:pt x="145280" y="193664"/>
                                      <a:pt x="143360" y="197888"/>
                                      <a:pt x="141440" y="202496"/>
                                    </a:cubicBezTo>
                                    <a:cubicBezTo>
                                      <a:pt x="92544" y="190592"/>
                                      <a:pt x="76800" y="164608"/>
                                      <a:pt x="76416" y="163968"/>
                                    </a:cubicBezTo>
                                    <a:cubicBezTo>
                                      <a:pt x="74240" y="160128"/>
                                      <a:pt x="69376" y="158720"/>
                                      <a:pt x="65536" y="160896"/>
                                    </a:cubicBezTo>
                                    <a:cubicBezTo>
                                      <a:pt x="62848" y="162304"/>
                                      <a:pt x="61440" y="165120"/>
                                      <a:pt x="61440" y="167936"/>
                                    </a:cubicBezTo>
                                    <a:cubicBezTo>
                                      <a:pt x="61440" y="169216"/>
                                      <a:pt x="61824" y="170624"/>
                                      <a:pt x="62464" y="171776"/>
                                    </a:cubicBezTo>
                                    <a:cubicBezTo>
                                      <a:pt x="63616" y="173952"/>
                                      <a:pt x="92672" y="224256"/>
                                      <a:pt x="194560" y="224256"/>
                                    </a:cubicBezTo>
                                    <a:cubicBezTo>
                                      <a:pt x="204160" y="224256"/>
                                      <a:pt x="214144" y="223744"/>
                                      <a:pt x="224128" y="222976"/>
                                    </a:cubicBezTo>
                                    <a:lnTo>
                                      <a:pt x="225408" y="222976"/>
                                    </a:lnTo>
                                    <a:cubicBezTo>
                                      <a:pt x="233216" y="222976"/>
                                      <a:pt x="239616" y="229504"/>
                                      <a:pt x="239616" y="237440"/>
                                    </a:cubicBezTo>
                                    <a:cubicBezTo>
                                      <a:pt x="239232" y="244608"/>
                                      <a:pt x="234112" y="250624"/>
                                      <a:pt x="226944" y="251648"/>
                                    </a:cubicBezTo>
                                    <a:close/>
                                    <a:moveTo>
                                      <a:pt x="256896" y="192384"/>
                                    </a:moveTo>
                                    <a:lnTo>
                                      <a:pt x="254464" y="201472"/>
                                    </a:lnTo>
                                    <a:cubicBezTo>
                                      <a:pt x="252672" y="208128"/>
                                      <a:pt x="251136" y="214016"/>
                                      <a:pt x="249600" y="219520"/>
                                    </a:cubicBezTo>
                                    <a:cubicBezTo>
                                      <a:pt x="244096" y="211968"/>
                                      <a:pt x="235264" y="206976"/>
                                      <a:pt x="225152" y="206976"/>
                                    </a:cubicBezTo>
                                    <a:cubicBezTo>
                                      <a:pt x="224256" y="206976"/>
                                      <a:pt x="223488" y="206976"/>
                                      <a:pt x="222592" y="207104"/>
                                    </a:cubicBezTo>
                                    <a:cubicBezTo>
                                      <a:pt x="198528" y="209280"/>
                                      <a:pt x="175616" y="208512"/>
                                      <a:pt x="157440" y="205696"/>
                                    </a:cubicBezTo>
                                    <a:cubicBezTo>
                                      <a:pt x="158208" y="203904"/>
                                      <a:pt x="158976" y="202240"/>
                                      <a:pt x="159616" y="200576"/>
                                    </a:cubicBezTo>
                                    <a:cubicBezTo>
                                      <a:pt x="164864" y="200832"/>
                                      <a:pt x="170112" y="201088"/>
                                      <a:pt x="175104" y="201472"/>
                                    </a:cubicBezTo>
                                    <a:cubicBezTo>
                                      <a:pt x="184064" y="201984"/>
                                      <a:pt x="192512" y="202496"/>
                                      <a:pt x="200832" y="202496"/>
                                    </a:cubicBezTo>
                                    <a:cubicBezTo>
                                      <a:pt x="217344" y="202496"/>
                                      <a:pt x="236800" y="200704"/>
                                      <a:pt x="256000" y="187648"/>
                                    </a:cubicBezTo>
                                    <a:cubicBezTo>
                                      <a:pt x="256896" y="187008"/>
                                      <a:pt x="257792" y="186368"/>
                                      <a:pt x="258688" y="185728"/>
                                    </a:cubicBezTo>
                                    <a:cubicBezTo>
                                      <a:pt x="258048" y="187904"/>
                                      <a:pt x="257408" y="190208"/>
                                      <a:pt x="256896" y="192384"/>
                                    </a:cubicBezTo>
                                    <a:close/>
                                    <a:moveTo>
                                      <a:pt x="267136" y="139264"/>
                                    </a:moveTo>
                                    <a:cubicBezTo>
                                      <a:pt x="265216" y="146816"/>
                                      <a:pt x="260992" y="153728"/>
                                      <a:pt x="254848" y="158848"/>
                                    </a:cubicBezTo>
                                    <a:cubicBezTo>
                                      <a:pt x="248192" y="164480"/>
                                      <a:pt x="239744" y="167552"/>
                                      <a:pt x="231040" y="167552"/>
                                    </a:cubicBezTo>
                                    <a:cubicBezTo>
                                      <a:pt x="210432" y="167552"/>
                                      <a:pt x="193664" y="150784"/>
                                      <a:pt x="193664" y="130048"/>
                                    </a:cubicBezTo>
                                    <a:cubicBezTo>
                                      <a:pt x="193664" y="126592"/>
                                      <a:pt x="194176" y="123264"/>
                                      <a:pt x="194944" y="120064"/>
                                    </a:cubicBezTo>
                                    <a:cubicBezTo>
                                      <a:pt x="194944" y="119936"/>
                                      <a:pt x="195072" y="119808"/>
                                      <a:pt x="195072" y="119680"/>
                                    </a:cubicBezTo>
                                    <a:cubicBezTo>
                                      <a:pt x="199552" y="104064"/>
                                      <a:pt x="213888" y="92544"/>
                                      <a:pt x="230912" y="92544"/>
                                    </a:cubicBezTo>
                                    <a:cubicBezTo>
                                      <a:pt x="251392" y="92544"/>
                                      <a:pt x="268032" y="109184"/>
                                      <a:pt x="268288" y="129664"/>
                                    </a:cubicBezTo>
                                    <a:cubicBezTo>
                                      <a:pt x="268160" y="130816"/>
                                      <a:pt x="267776" y="134144"/>
                                      <a:pt x="267136" y="139264"/>
                                    </a:cubicBezTo>
                                    <a:close/>
                                  </a:path>
                                </a:pathLst>
                              </a:custGeom>
                              <a:solidFill>
                                <a:schemeClr val="accent6"/>
                              </a:solidFill>
                              <a:ln w="12759" cap="flat">
                                <a:noFill/>
                                <a:prstDash val="solid"/>
                                <a:miter/>
                              </a:ln>
                            </wps:spPr>
                            <wps:bodyPr rtlCol="0" anchor="ctr"/>
                          </wps:wsp>
                        </a:graphicData>
                      </a:graphic>
                    </wp:inline>
                  </w:drawing>
                </mc:Choice>
                <mc:Fallback>
                  <w:pict>
                    <v:shape w14:anchorId="2F4C0ACD" id="Freeform: Shape 215" o:spid="_x0000_s1026" alt="&quot;&quot;" style="width:20.2pt;height:39.85pt;visibility:visible;mso-wrap-style:square;mso-left-percent:-10001;mso-top-percent:-10001;mso-position-horizontal:absolute;mso-position-horizontal-relative:char;mso-position-vertical:absolute;mso-position-vertical-relative:line;mso-left-percent:-10001;mso-top-percent:-10001;v-text-anchor:middle" coordsize="284159,560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" path="m230912,76544v-24192,,-44672,16256,-51200,38400l175744,123904v-3712,-3200,-8448,-6784,-13824,-9472c156160,111488,149504,109312,143744,107776,155392,96384,162688,80384,162688,62848,162688,28160,134656,,100096,,65536,,37504,28160,37504,62848v,17536,7296,33536,18944,44928c48128,111616,36992,116864,27264,121856,9344,131200,,146688,,166784v,25728,15616,52992,33152,69504l33152,528512v,17408,14080,31616,31488,31616c81792,560128,95616,546688,96128,529536l99968,387840v,-1792,1536,-3328,3456,-3328c105216,384512,106880,386048,106880,387968r2560,141440c109824,546432,123904,560384,141696,560384v17408,,31488,-14208,31488,-31616l173184,516864v,-1152,1408,-110464,1536,-182784c195584,334080,213760,320384,232192,291072v26240,-41728,30080,-56448,37760,-85760l272256,196352v5504,-20608,8832,-40960,10496,-53376c283136,141056,283392,139520,283520,138624v512,-2816,640,-5760,640,-8576c284160,130048,284160,130048,284160,129920v,-128,,,,-128c284160,100480,260352,76544,230912,76544xm181632,150272v7552,18432,25088,31744,45824,33024c213760,187008,195840,186496,176128,185344v-3200,-256,-6400,-384,-9600,-512c166656,184448,166912,184064,167040,183680r14592,-33408xm53504,62976v,-25856,20864,-46848,46592,-46848c125824,16128,146688,37120,146688,62976v,25856,-20864,46848,-46592,46848c91520,109824,83456,107520,76416,103296v-384,-256,-768,-512,-1152,-640c62208,94336,53504,79616,53504,62976xm157056,516864r,12032c157056,537472,150144,544512,140928,544512v-8320,,-15360,-6912,-15488,-15232l122880,387840v-256,-10496,-8960,-19072,-20096,-19072c102784,368768,102784,368768,102784,368768v-10112,384,-18432,8704,-18688,18944l80256,529408v-256,8448,-7040,15104,-15488,15104c56192,544512,49280,537472,49280,528896r,-280704c68096,258816,91392,265984,119040,269440v-1024,6016,-1536,11520,-1536,16384c117504,301568,122624,312704,132864,318848v7936,4736,16640,9728,25984,12672c158592,403712,157184,515584,157056,516864xm218624,282624v-19968,31872,-34688,35456,-44032,35456c164480,318080,153728,312960,140928,305152v-1920,-1152,-7552,-4608,-7552,-19328c133376,281472,133888,276608,134912,271104v9088,640,18560,1024,28544,1024c189184,272128,212480,269696,227840,267648v-2816,4608,-5760,9600,-9216,14976xm226944,251648v-14848,2048,-38016,4608,-63616,4608c151424,256256,140288,255744,129664,254720v-384,,-640,-128,-896,-128c98176,251520,73216,244224,54144,232576v-2304,-1408,-4608,-3072,-6912,-4992c46720,227072,46208,226560,45568,226048,30336,212352,16000,188032,16000,166912v,-13952,6272,-24320,18688,-30848c47872,129152,64128,121728,71424,118528v16128,8448,37632,9088,54400,1664c126336,120448,126976,120576,127616,120704v128,,16256,2432,27264,8064c161024,131840,166272,136576,169088,139520r-16768,37888c150912,180864,149120,184960,146944,189696v-1664,3968,-3584,8192,-5504,12800c92544,190592,76800,164608,76416,163968v-2176,-3840,-7040,-5248,-10880,-3072c62848,162304,61440,165120,61440,167936v,1280,384,2688,1024,3840c63616,173952,92672,224256,194560,224256v9600,,19584,-512,29568,-1280l225408,222976v7808,,14208,6528,14208,14464c239232,244608,234112,250624,226944,251648xm256896,192384r-2432,9088c252672,208128,251136,214016,249600,219520v-5504,-7552,-14336,-12544,-24448,-12544c224256,206976,223488,206976,222592,207104v-24064,2176,-46976,1408,-65152,-1408c158208,203904,158976,202240,159616,200576v5248,256,10496,512,15488,896c184064,201984,192512,202496,200832,202496v16512,,35968,-1792,55168,-14848c256896,187008,257792,186368,258688,185728v-640,2176,-1280,4480,-1792,6656xm267136,139264v-1920,7552,-6144,14464,-12288,19584c248192,164480,239744,167552,231040,167552v-20608,,-37376,-16768,-37376,-37504c193664,126592,194176,123264,194944,120064v,-128,128,-256,128,-384c199552,104064,213888,92544,230912,92544v20480,,37120,16640,37376,37120c268160,130816,267776,134144,267136,139264xe" fillcolor="#25b3e0 [3209]" stroked="f" strokeweight=".35442mm">
                      <v:stroke joinstyle="miter"/>
                      <v:path arrowok="t" o:connecttype="custom" o:connectlocs="208654,69166;162390,103865;158804,111961;146313,103402;129889,97388;147007,56790;90448,0;33889,56790;51007,97388;24636,110111;0,150708;29956,213513;29956,477571;58409,506140;86862,478496;90332,350458;93455,347450;96578,350573;98891,478381;128038,506371;156491,477802;156491,467046;157879,301879;209811,263017;243931,185523;246013,177426;255498,129195;256192,125263;256770,117513;256770,117398;256770,117282;208654,69166;164125,135788;205532,165629;159151,167479;150476,167017;150939,165976;164125,135788;48347,56906;90448,14573;132549,56906;90448,99239;69050,93340;68009,92761;48347,56906;141917,467046;141917,477918;127344,492029;113349,478265;111036,350458;92877,333224;92877,333224;75990,350342;72520,478381;58525,492029;44530,477918;44530,224270;107566,243470;106178,258275;120057,288116;143537,299566;141917,467046;197551,255383;157763,287422;127344,275740;120520,258275;121908,244973;147701,245899;205879,241851;197551,255383;205069,227393;147585,231557;117166,230169;116356,230053;48925,210159;42679,205648;41176,204260;14458,150824;31344,122949;64539,107104;113696,108607;115315,109070;139951,116357;152790,126072;137638,160308;132780,171412;127807,182978;69050,148164;59219,145388;55518,151749;56443,155219;175806,202641;202524,201484;203681,201484;216519,214554;205069,227393;232134,173841;229936,182053;225541,198361;203450,187026;201136,187142;142264,185870;144231,181243;158226,182053;181474,182978;231324,169561;233753,167826;232134,173841;241387,125841;230283,143537;208770,151402;174997,117513;176153,108492;176269,108145;208654,83624;242428,117166;241387,125841" o:connectangles="0,0,0,0,0,0,0,0,0,0,0,0,0,0,0,0,0,0,0,0,0,0,0,0,0,0,0,0,0,0,0,0,0,0,0,0,0,0,0,0,0,0,0,0,0,0,0,0,0,0,0,0,0,0,0,0,0,0,0,0,0,0,0,0,0,0,0,0,0,0,0,0,0,0,0,0,0,0,0,0,0,0,0,0,0,0,0,0,0,0,0,0,0,0,0,0,0,0,0,0,0,0,0,0,0,0,0,0,0,0,0,0,0,0,0,0,0"/>
                      <w10:anchorlock/>
                    </v:shape>
                  </w:pict>
                </mc:Fallback>
              </mc:AlternateContent>
            </w:r>
          </w:p>
          <w:p w14:paraId="607FC568" w14:textId="77777777" w:rsidR="001158BB" w:rsidRPr="005825BD" w:rsidRDefault="001158BB" w:rsidP="00A117E4">
            <w:pPr>
              <w:pStyle w:val="TableNheader"/>
            </w:pPr>
            <w:r w:rsidRPr="005825BD">
              <w:t xml:space="preserve">Young people and </w:t>
            </w:r>
            <w:r w:rsidRPr="005825BD">
              <w:br/>
              <w:t>older people</w:t>
            </w:r>
          </w:p>
        </w:tc>
        <w:tc>
          <w:tcPr>
            <w:tcW w:w="3119" w:type="dxa"/>
            <w:shd w:val="clear" w:color="auto" w:fill="auto"/>
          </w:tcPr>
          <w:p w14:paraId="20C51980" w14:textId="268D2B1B" w:rsidR="001158BB" w:rsidRPr="00623868" w:rsidRDefault="001158BB" w:rsidP="00623868">
            <w:r w:rsidRPr="00623868">
              <w:t>People experienced the support offered by The Way Back differently and valued different aspects of it based on their age. For example:</w:t>
            </w:r>
          </w:p>
          <w:p w14:paraId="446FFA7F" w14:textId="02133B28" w:rsidR="001158BB" w:rsidRPr="00623868" w:rsidRDefault="1648F9AB" w:rsidP="00623868">
            <w:r w:rsidRPr="00623868">
              <w:t>Younger people</w:t>
            </w:r>
            <w:r w:rsidR="00A95250" w:rsidRPr="00623868">
              <w:t xml:space="preserve"> (typically under </w:t>
            </w:r>
            <w:r w:rsidR="00242AE2" w:rsidRPr="00623868">
              <w:t>25)</w:t>
            </w:r>
            <w:r w:rsidRPr="00623868">
              <w:t>: The Way Back site in Brisbane indicated that young people a</w:t>
            </w:r>
            <w:r w:rsidR="67540D94" w:rsidRPr="00623868">
              <w:t>re more difficult</w:t>
            </w:r>
            <w:r w:rsidRPr="00623868">
              <w:t xml:space="preserve"> to </w:t>
            </w:r>
            <w:r w:rsidR="67540D94" w:rsidRPr="00623868">
              <w:t>build a strong therapeutic relationship</w:t>
            </w:r>
            <w:r w:rsidRPr="00623868">
              <w:t xml:space="preserve"> </w:t>
            </w:r>
            <w:r w:rsidR="1224B9B8" w:rsidRPr="00623868">
              <w:t>with,</w:t>
            </w:r>
            <w:r w:rsidRPr="00623868">
              <w:t xml:space="preserve"> they </w:t>
            </w:r>
            <w:r w:rsidRPr="00623868">
              <w:lastRenderedPageBreak/>
              <w:t xml:space="preserve">might be between services and supports – they are neither children nor adults. In these cases, </w:t>
            </w:r>
            <w:r w:rsidR="001C2FBB" w:rsidRPr="00623868">
              <w:t xml:space="preserve">providers in interviews </w:t>
            </w:r>
            <w:r w:rsidRPr="00623868">
              <w:t xml:space="preserve">indicated that parent engagement was critical and not always there. </w:t>
            </w:r>
          </w:p>
          <w:p w14:paraId="16E9C06B" w14:textId="36D12B7F" w:rsidR="001158BB" w:rsidRPr="00623868" w:rsidRDefault="1648F9AB" w:rsidP="00623868">
            <w:r w:rsidRPr="00623868">
              <w:t>Older people</w:t>
            </w:r>
            <w:r w:rsidR="00242AE2" w:rsidRPr="00623868">
              <w:t xml:space="preserve"> (typically over 50)</w:t>
            </w:r>
            <w:r w:rsidRPr="00623868">
              <w:t xml:space="preserve">: Some </w:t>
            </w:r>
            <w:r w:rsidR="001C2FBB" w:rsidRPr="00623868">
              <w:t>providers in interviews</w:t>
            </w:r>
            <w:r w:rsidRPr="00623868">
              <w:t xml:space="preserve"> noted that older people found it more challenging to be inspired by the future and to engage with the service, due the participants’ own personal assessment of how much time they believe they </w:t>
            </w:r>
            <w:proofErr w:type="gramStart"/>
            <w:r w:rsidRPr="00623868">
              <w:t>have to</w:t>
            </w:r>
            <w:proofErr w:type="gramEnd"/>
            <w:r w:rsidRPr="00623868">
              <w:t xml:space="preserve"> live. Often, older people were more likely to have navigated the mental health system for a longer </w:t>
            </w:r>
            <w:proofErr w:type="gramStart"/>
            <w:r w:rsidRPr="00623868">
              <w:t>period of time</w:t>
            </w:r>
            <w:proofErr w:type="gramEnd"/>
            <w:r w:rsidRPr="00623868">
              <w:t xml:space="preserve"> and had likely previously been let down by what was promised to them in the system. </w:t>
            </w:r>
          </w:p>
        </w:tc>
        <w:tc>
          <w:tcPr>
            <w:tcW w:w="3958" w:type="dxa"/>
            <w:shd w:val="clear" w:color="auto" w:fill="auto"/>
          </w:tcPr>
          <w:p w14:paraId="3BA25127" w14:textId="117E894C" w:rsidR="001158BB" w:rsidRPr="00623868" w:rsidRDefault="003251A0" w:rsidP="00623868">
            <w:r w:rsidRPr="00623868">
              <w:lastRenderedPageBreak/>
              <w:t xml:space="preserve">Young people often preferred contact via text message and used different language to adult participants. </w:t>
            </w:r>
            <w:r w:rsidR="001C2FBB" w:rsidRPr="00623868">
              <w:t>Providers in interviews</w:t>
            </w:r>
            <w:r w:rsidRPr="00623868">
              <w:t xml:space="preserve"> indicated that often psychoeducation and linkages into groups with people of similar ages was most helpful to the young person.</w:t>
            </w:r>
          </w:p>
          <w:p w14:paraId="2D326C1D" w14:textId="6FD5C153" w:rsidR="003251A0" w:rsidRPr="00623868" w:rsidRDefault="003251A0" w:rsidP="00623868">
            <w:r w:rsidRPr="00623868">
              <w:t xml:space="preserve">Older people: Some participants reflected that they valued having a support coordinator with ‘life experience’, as it enabled them to better connect. Many older </w:t>
            </w:r>
            <w:r w:rsidRPr="00623868">
              <w:lastRenderedPageBreak/>
              <w:t>participants shared that it was important for support coordinators to be honest and transparent about what can be achieved through The Way Back – ‘if you say you’re going to do something, you should do it.’</w:t>
            </w:r>
          </w:p>
        </w:tc>
      </w:tr>
      <w:tr w:rsidR="005C548A" w:rsidRPr="005825BD" w14:paraId="2B09C6F6" w14:textId="40123112" w:rsidTr="00F77C16">
        <w:tc>
          <w:tcPr>
            <w:tcW w:w="1823" w:type="dxa"/>
            <w:shd w:val="clear" w:color="auto" w:fill="E6E6E1" w:themeFill="accent5"/>
          </w:tcPr>
          <w:p w14:paraId="08611804" w14:textId="77777777" w:rsidR="001158BB" w:rsidRPr="005825BD" w:rsidRDefault="001158BB" w:rsidP="00A117E4">
            <w:pPr>
              <w:pStyle w:val="TableNheader"/>
            </w:pPr>
            <w:r w:rsidRPr="005825BD">
              <w:rPr>
                <w:noProof/>
              </w:rPr>
              <w:lastRenderedPageBreak/>
              <mc:AlternateContent>
                <mc:Choice Requires="wpg">
                  <w:drawing>
                    <wp:inline distT="0" distB="0" distL="0" distR="0" wp14:anchorId="6D09B8CC" wp14:editId="57AC7389">
                      <wp:extent cx="478494" cy="403230"/>
                      <wp:effectExtent l="0" t="0" r="0" b="0"/>
                      <wp:docPr id="27866" name="Group 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8494" cy="403230"/>
                                <a:chOff x="0" y="0"/>
                                <a:chExt cx="518671" cy="437087"/>
                              </a:xfrm>
                              <a:solidFill>
                                <a:schemeClr val="accent6"/>
                              </a:solidFill>
                            </wpg:grpSpPr>
                            <wps:wsp>
                              <wps:cNvPr id="27867" name="Freeform: Shape 27867"/>
                              <wps:cNvSpPr/>
                              <wps:spPr>
                                <a:xfrm>
                                  <a:off x="0" y="0"/>
                                  <a:ext cx="353174" cy="430762"/>
                                </a:xfrm>
                                <a:custGeom>
                                  <a:avLst/>
                                  <a:gdLst>
                                    <a:gd name="connsiteX0" fmla="*/ 200094 w 443996"/>
                                    <a:gd name="connsiteY0" fmla="*/ 541538 h 541537"/>
                                    <a:gd name="connsiteX1" fmla="*/ 196909 w 443996"/>
                                    <a:gd name="connsiteY1" fmla="*/ 541538 h 541537"/>
                                    <a:gd name="connsiteX2" fmla="*/ 190540 w 443996"/>
                                    <a:gd name="connsiteY2" fmla="*/ 528800 h 541537"/>
                                    <a:gd name="connsiteX3" fmla="*/ 193724 w 443996"/>
                                    <a:gd name="connsiteY3" fmla="*/ 484076 h 541537"/>
                                    <a:gd name="connsiteX4" fmla="*/ 171709 w 443996"/>
                                    <a:gd name="connsiteY4" fmla="*/ 468153 h 541537"/>
                                    <a:gd name="connsiteX5" fmla="*/ 159109 w 443996"/>
                                    <a:gd name="connsiteY5" fmla="*/ 468153 h 541537"/>
                                    <a:gd name="connsiteX6" fmla="*/ 96109 w 443996"/>
                                    <a:gd name="connsiteY6" fmla="*/ 474523 h 541537"/>
                                    <a:gd name="connsiteX7" fmla="*/ 58310 w 443996"/>
                                    <a:gd name="connsiteY7" fmla="*/ 464969 h 541537"/>
                                    <a:gd name="connsiteX8" fmla="*/ 42525 w 443996"/>
                                    <a:gd name="connsiteY8" fmla="*/ 426615 h 541537"/>
                                    <a:gd name="connsiteX9" fmla="*/ 39340 w 443996"/>
                                    <a:gd name="connsiteY9" fmla="*/ 410692 h 541537"/>
                                    <a:gd name="connsiteX10" fmla="*/ 39340 w 443996"/>
                                    <a:gd name="connsiteY10" fmla="*/ 404323 h 541537"/>
                                    <a:gd name="connsiteX11" fmla="*/ 39340 w 443996"/>
                                    <a:gd name="connsiteY11" fmla="*/ 404323 h 541537"/>
                                    <a:gd name="connsiteX12" fmla="*/ 36156 w 443996"/>
                                    <a:gd name="connsiteY12" fmla="*/ 388400 h 541537"/>
                                    <a:gd name="connsiteX13" fmla="*/ 32971 w 443996"/>
                                    <a:gd name="connsiteY13" fmla="*/ 375661 h 541537"/>
                                    <a:gd name="connsiteX14" fmla="*/ 26602 w 443996"/>
                                    <a:gd name="connsiteY14" fmla="*/ 366107 h 541537"/>
                                    <a:gd name="connsiteX15" fmla="*/ 26602 w 443996"/>
                                    <a:gd name="connsiteY15" fmla="*/ 359738 h 541537"/>
                                    <a:gd name="connsiteX16" fmla="*/ 29787 w 443996"/>
                                    <a:gd name="connsiteY16" fmla="*/ 356553 h 541537"/>
                                    <a:gd name="connsiteX17" fmla="*/ 36156 w 443996"/>
                                    <a:gd name="connsiteY17" fmla="*/ 347000 h 541537"/>
                                    <a:gd name="connsiteX18" fmla="*/ 26740 w 443996"/>
                                    <a:gd name="connsiteY18" fmla="*/ 340630 h 541537"/>
                                    <a:gd name="connsiteX19" fmla="*/ 4725 w 443996"/>
                                    <a:gd name="connsiteY19" fmla="*/ 324707 h 541537"/>
                                    <a:gd name="connsiteX20" fmla="*/ 4725 w 443996"/>
                                    <a:gd name="connsiteY20" fmla="*/ 299092 h 541537"/>
                                    <a:gd name="connsiteX21" fmla="*/ 42525 w 443996"/>
                                    <a:gd name="connsiteY21" fmla="*/ 235261 h 541537"/>
                                    <a:gd name="connsiteX22" fmla="*/ 45710 w 443996"/>
                                    <a:gd name="connsiteY22" fmla="*/ 222523 h 541537"/>
                                    <a:gd name="connsiteX23" fmla="*/ 36294 w 443996"/>
                                    <a:gd name="connsiteY23" fmla="*/ 149000 h 541537"/>
                                    <a:gd name="connsiteX24" fmla="*/ 102479 w 443996"/>
                                    <a:gd name="connsiteY24" fmla="*/ 37261 h 541537"/>
                                    <a:gd name="connsiteX25" fmla="*/ 174894 w 443996"/>
                                    <a:gd name="connsiteY25" fmla="*/ 5276 h 541537"/>
                                    <a:gd name="connsiteX26" fmla="*/ 269462 w 443996"/>
                                    <a:gd name="connsiteY26" fmla="*/ 2092 h 541537"/>
                                    <a:gd name="connsiteX27" fmla="*/ 404877 w 443996"/>
                                    <a:gd name="connsiteY27" fmla="*/ 91538 h 541537"/>
                                    <a:gd name="connsiteX28" fmla="*/ 426893 w 443996"/>
                                    <a:gd name="connsiteY28" fmla="*/ 244815 h 541537"/>
                                    <a:gd name="connsiteX29" fmla="*/ 392277 w 443996"/>
                                    <a:gd name="connsiteY29" fmla="*/ 350184 h 541537"/>
                                    <a:gd name="connsiteX30" fmla="*/ 382862 w 443996"/>
                                    <a:gd name="connsiteY30" fmla="*/ 369292 h 541537"/>
                                    <a:gd name="connsiteX31" fmla="*/ 370262 w 443996"/>
                                    <a:gd name="connsiteY31" fmla="*/ 401276 h 541537"/>
                                    <a:gd name="connsiteX32" fmla="*/ 420662 w 443996"/>
                                    <a:gd name="connsiteY32" fmla="*/ 481169 h 541537"/>
                                    <a:gd name="connsiteX33" fmla="*/ 442677 w 443996"/>
                                    <a:gd name="connsiteY33" fmla="*/ 509969 h 541537"/>
                                    <a:gd name="connsiteX34" fmla="*/ 439492 w 443996"/>
                                    <a:gd name="connsiteY34" fmla="*/ 522707 h 541537"/>
                                    <a:gd name="connsiteX35" fmla="*/ 423708 w 443996"/>
                                    <a:gd name="connsiteY35" fmla="*/ 519523 h 541537"/>
                                    <a:gd name="connsiteX36" fmla="*/ 404739 w 443996"/>
                                    <a:gd name="connsiteY36" fmla="*/ 493907 h 541537"/>
                                    <a:gd name="connsiteX37" fmla="*/ 351154 w 443996"/>
                                    <a:gd name="connsiteY37" fmla="*/ 401276 h 541537"/>
                                    <a:gd name="connsiteX38" fmla="*/ 366939 w 443996"/>
                                    <a:gd name="connsiteY38" fmla="*/ 359738 h 541537"/>
                                    <a:gd name="connsiteX39" fmla="*/ 373308 w 443996"/>
                                    <a:gd name="connsiteY39" fmla="*/ 340630 h 541537"/>
                                    <a:gd name="connsiteX40" fmla="*/ 404877 w 443996"/>
                                    <a:gd name="connsiteY40" fmla="*/ 241630 h 541537"/>
                                    <a:gd name="connsiteX41" fmla="*/ 385908 w 443996"/>
                                    <a:gd name="connsiteY41" fmla="*/ 101092 h 541537"/>
                                    <a:gd name="connsiteX42" fmla="*/ 269324 w 443996"/>
                                    <a:gd name="connsiteY42" fmla="*/ 20923 h 541537"/>
                                    <a:gd name="connsiteX43" fmla="*/ 177940 w 443996"/>
                                    <a:gd name="connsiteY43" fmla="*/ 27292 h 541537"/>
                                    <a:gd name="connsiteX44" fmla="*/ 114940 w 443996"/>
                                    <a:gd name="connsiteY44" fmla="*/ 52769 h 541537"/>
                                    <a:gd name="connsiteX45" fmla="*/ 55125 w 443996"/>
                                    <a:gd name="connsiteY45" fmla="*/ 151769 h 541537"/>
                                    <a:gd name="connsiteX46" fmla="*/ 61494 w 443996"/>
                                    <a:gd name="connsiteY46" fmla="*/ 209230 h 541537"/>
                                    <a:gd name="connsiteX47" fmla="*/ 61494 w 443996"/>
                                    <a:gd name="connsiteY47" fmla="*/ 244400 h 541537"/>
                                    <a:gd name="connsiteX48" fmla="*/ 20510 w 443996"/>
                                    <a:gd name="connsiteY48" fmla="*/ 308230 h 541537"/>
                                    <a:gd name="connsiteX49" fmla="*/ 20510 w 443996"/>
                                    <a:gd name="connsiteY49" fmla="*/ 311415 h 541537"/>
                                    <a:gd name="connsiteX50" fmla="*/ 39479 w 443996"/>
                                    <a:gd name="connsiteY50" fmla="*/ 324153 h 541537"/>
                                    <a:gd name="connsiteX51" fmla="*/ 52079 w 443996"/>
                                    <a:gd name="connsiteY51" fmla="*/ 330523 h 541537"/>
                                    <a:gd name="connsiteX52" fmla="*/ 55263 w 443996"/>
                                    <a:gd name="connsiteY52" fmla="*/ 343261 h 541537"/>
                                    <a:gd name="connsiteX53" fmla="*/ 52079 w 443996"/>
                                    <a:gd name="connsiteY53" fmla="*/ 362369 h 541537"/>
                                    <a:gd name="connsiteX54" fmla="*/ 58448 w 443996"/>
                                    <a:gd name="connsiteY54" fmla="*/ 394353 h 541537"/>
                                    <a:gd name="connsiteX55" fmla="*/ 58448 w 443996"/>
                                    <a:gd name="connsiteY55" fmla="*/ 400723 h 541537"/>
                                    <a:gd name="connsiteX56" fmla="*/ 61633 w 443996"/>
                                    <a:gd name="connsiteY56" fmla="*/ 407092 h 541537"/>
                                    <a:gd name="connsiteX57" fmla="*/ 61633 w 443996"/>
                                    <a:gd name="connsiteY57" fmla="*/ 426200 h 541537"/>
                                    <a:gd name="connsiteX58" fmla="*/ 71048 w 443996"/>
                                    <a:gd name="connsiteY58" fmla="*/ 448492 h 541537"/>
                                    <a:gd name="connsiteX59" fmla="*/ 93063 w 443996"/>
                                    <a:gd name="connsiteY59" fmla="*/ 451676 h 541537"/>
                                    <a:gd name="connsiteX60" fmla="*/ 159248 w 443996"/>
                                    <a:gd name="connsiteY60" fmla="*/ 448492 h 541537"/>
                                    <a:gd name="connsiteX61" fmla="*/ 171847 w 443996"/>
                                    <a:gd name="connsiteY61" fmla="*/ 445307 h 541537"/>
                                    <a:gd name="connsiteX62" fmla="*/ 212832 w 443996"/>
                                    <a:gd name="connsiteY62" fmla="*/ 477292 h 541537"/>
                                    <a:gd name="connsiteX63" fmla="*/ 209647 w 443996"/>
                                    <a:gd name="connsiteY63" fmla="*/ 534753 h 541537"/>
                                    <a:gd name="connsiteX64" fmla="*/ 200094 w 443996"/>
                                    <a:gd name="connsiteY64" fmla="*/ 541538 h 541537"/>
                                    <a:gd name="connsiteX65" fmla="*/ 200094 w 443996"/>
                                    <a:gd name="connsiteY65" fmla="*/ 541538 h 541537"/>
                                    <a:gd name="connsiteX66" fmla="*/ 55125 w 443996"/>
                                    <a:gd name="connsiteY66" fmla="*/ 394630 h 541537"/>
                                    <a:gd name="connsiteX67" fmla="*/ 55125 w 443996"/>
                                    <a:gd name="connsiteY67" fmla="*/ 394630 h 541537"/>
                                    <a:gd name="connsiteX68" fmla="*/ 55125 w 443996"/>
                                    <a:gd name="connsiteY68" fmla="*/ 394630 h 541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43996" h="541537">
                                      <a:moveTo>
                                        <a:pt x="200094" y="541538"/>
                                      </a:moveTo>
                                      <a:cubicBezTo>
                                        <a:pt x="196909" y="541538"/>
                                        <a:pt x="196909" y="541538"/>
                                        <a:pt x="196909" y="541538"/>
                                      </a:cubicBezTo>
                                      <a:cubicBezTo>
                                        <a:pt x="190540" y="538353"/>
                                        <a:pt x="187494" y="535169"/>
                                        <a:pt x="190540" y="528800"/>
                                      </a:cubicBezTo>
                                      <a:cubicBezTo>
                                        <a:pt x="196909" y="509692"/>
                                        <a:pt x="199955" y="496815"/>
                                        <a:pt x="193724" y="484076"/>
                                      </a:cubicBezTo>
                                      <a:cubicBezTo>
                                        <a:pt x="190540" y="471338"/>
                                        <a:pt x="184309" y="468153"/>
                                        <a:pt x="171709" y="468153"/>
                                      </a:cubicBezTo>
                                      <a:cubicBezTo>
                                        <a:pt x="159109" y="468153"/>
                                        <a:pt x="159109" y="468153"/>
                                        <a:pt x="159109" y="468153"/>
                                      </a:cubicBezTo>
                                      <a:cubicBezTo>
                                        <a:pt x="140140" y="468153"/>
                                        <a:pt x="114940" y="468153"/>
                                        <a:pt x="96109" y="474523"/>
                                      </a:cubicBezTo>
                                      <a:cubicBezTo>
                                        <a:pt x="80325" y="474523"/>
                                        <a:pt x="67725" y="471338"/>
                                        <a:pt x="58310" y="464969"/>
                                      </a:cubicBezTo>
                                      <a:cubicBezTo>
                                        <a:pt x="48894" y="458600"/>
                                        <a:pt x="42525" y="445861"/>
                                        <a:pt x="42525" y="426615"/>
                                      </a:cubicBezTo>
                                      <a:cubicBezTo>
                                        <a:pt x="42525" y="420246"/>
                                        <a:pt x="42525" y="417061"/>
                                        <a:pt x="39340" y="410692"/>
                                      </a:cubicBezTo>
                                      <a:cubicBezTo>
                                        <a:pt x="39340" y="410692"/>
                                        <a:pt x="39340" y="407507"/>
                                        <a:pt x="39340" y="404323"/>
                                      </a:cubicBezTo>
                                      <a:lnTo>
                                        <a:pt x="39340" y="404323"/>
                                      </a:lnTo>
                                      <a:cubicBezTo>
                                        <a:pt x="36156" y="401138"/>
                                        <a:pt x="36156" y="394769"/>
                                        <a:pt x="36156" y="388400"/>
                                      </a:cubicBezTo>
                                      <a:cubicBezTo>
                                        <a:pt x="42525" y="382030"/>
                                        <a:pt x="39340" y="378846"/>
                                        <a:pt x="32971" y="375661"/>
                                      </a:cubicBezTo>
                                      <a:cubicBezTo>
                                        <a:pt x="29787" y="375661"/>
                                        <a:pt x="26602" y="372476"/>
                                        <a:pt x="26602" y="366107"/>
                                      </a:cubicBezTo>
                                      <a:cubicBezTo>
                                        <a:pt x="26602" y="359738"/>
                                        <a:pt x="26602" y="359738"/>
                                        <a:pt x="26602" y="359738"/>
                                      </a:cubicBezTo>
                                      <a:cubicBezTo>
                                        <a:pt x="29787" y="356553"/>
                                        <a:pt x="29787" y="356553"/>
                                        <a:pt x="29787" y="356553"/>
                                      </a:cubicBezTo>
                                      <a:cubicBezTo>
                                        <a:pt x="32971" y="356553"/>
                                        <a:pt x="32971" y="350184"/>
                                        <a:pt x="36156" y="347000"/>
                                      </a:cubicBezTo>
                                      <a:cubicBezTo>
                                        <a:pt x="32971" y="343815"/>
                                        <a:pt x="29787" y="343815"/>
                                        <a:pt x="26740" y="340630"/>
                                      </a:cubicBezTo>
                                      <a:cubicBezTo>
                                        <a:pt x="20371" y="337446"/>
                                        <a:pt x="10956" y="331076"/>
                                        <a:pt x="4725" y="324707"/>
                                      </a:cubicBezTo>
                                      <a:cubicBezTo>
                                        <a:pt x="-1506" y="318338"/>
                                        <a:pt x="-1644" y="305600"/>
                                        <a:pt x="4725" y="299092"/>
                                      </a:cubicBezTo>
                                      <a:cubicBezTo>
                                        <a:pt x="14140" y="276800"/>
                                        <a:pt x="29925" y="254369"/>
                                        <a:pt x="42525" y="235261"/>
                                      </a:cubicBezTo>
                                      <a:cubicBezTo>
                                        <a:pt x="48894" y="225707"/>
                                        <a:pt x="45710" y="222523"/>
                                        <a:pt x="45710" y="222523"/>
                                      </a:cubicBezTo>
                                      <a:cubicBezTo>
                                        <a:pt x="26740" y="196907"/>
                                        <a:pt x="29925" y="171430"/>
                                        <a:pt x="36294" y="149000"/>
                                      </a:cubicBezTo>
                                      <a:cubicBezTo>
                                        <a:pt x="48894" y="97907"/>
                                        <a:pt x="70909" y="59553"/>
                                        <a:pt x="102479" y="37261"/>
                                      </a:cubicBezTo>
                                      <a:cubicBezTo>
                                        <a:pt x="124494" y="21338"/>
                                        <a:pt x="149694" y="11646"/>
                                        <a:pt x="174894" y="5276"/>
                                      </a:cubicBezTo>
                                      <a:cubicBezTo>
                                        <a:pt x="203278" y="-1093"/>
                                        <a:pt x="234709" y="-1093"/>
                                        <a:pt x="269462" y="2092"/>
                                      </a:cubicBezTo>
                                      <a:cubicBezTo>
                                        <a:pt x="329278" y="8461"/>
                                        <a:pt x="373447" y="37261"/>
                                        <a:pt x="404877" y="91538"/>
                                      </a:cubicBezTo>
                                      <a:cubicBezTo>
                                        <a:pt x="436308" y="145815"/>
                                        <a:pt x="433262" y="196907"/>
                                        <a:pt x="426893" y="244815"/>
                                      </a:cubicBezTo>
                                      <a:cubicBezTo>
                                        <a:pt x="420523" y="283169"/>
                                        <a:pt x="407923" y="318338"/>
                                        <a:pt x="392277" y="350184"/>
                                      </a:cubicBezTo>
                                      <a:cubicBezTo>
                                        <a:pt x="389093" y="356553"/>
                                        <a:pt x="385908" y="362923"/>
                                        <a:pt x="382862" y="369292"/>
                                      </a:cubicBezTo>
                                      <a:cubicBezTo>
                                        <a:pt x="376493" y="378846"/>
                                        <a:pt x="370262" y="388400"/>
                                        <a:pt x="370262" y="401276"/>
                                      </a:cubicBezTo>
                                      <a:cubicBezTo>
                                        <a:pt x="370262" y="423569"/>
                                        <a:pt x="401831" y="458738"/>
                                        <a:pt x="420662" y="481169"/>
                                      </a:cubicBezTo>
                                      <a:cubicBezTo>
                                        <a:pt x="430077" y="490723"/>
                                        <a:pt x="436446" y="500276"/>
                                        <a:pt x="442677" y="509969"/>
                                      </a:cubicBezTo>
                                      <a:cubicBezTo>
                                        <a:pt x="445862" y="513153"/>
                                        <a:pt x="442677" y="519523"/>
                                        <a:pt x="439492" y="522707"/>
                                      </a:cubicBezTo>
                                      <a:cubicBezTo>
                                        <a:pt x="433123" y="525892"/>
                                        <a:pt x="426893" y="522707"/>
                                        <a:pt x="423708" y="519523"/>
                                      </a:cubicBezTo>
                                      <a:cubicBezTo>
                                        <a:pt x="420523" y="513153"/>
                                        <a:pt x="414293" y="503600"/>
                                        <a:pt x="404739" y="493907"/>
                                      </a:cubicBezTo>
                                      <a:cubicBezTo>
                                        <a:pt x="379539" y="468292"/>
                                        <a:pt x="351154" y="433261"/>
                                        <a:pt x="351154" y="401276"/>
                                      </a:cubicBezTo>
                                      <a:cubicBezTo>
                                        <a:pt x="351154" y="385353"/>
                                        <a:pt x="357524" y="369292"/>
                                        <a:pt x="366939" y="359738"/>
                                      </a:cubicBezTo>
                                      <a:cubicBezTo>
                                        <a:pt x="370124" y="353369"/>
                                        <a:pt x="373308" y="347000"/>
                                        <a:pt x="373308" y="340630"/>
                                      </a:cubicBezTo>
                                      <a:cubicBezTo>
                                        <a:pt x="385908" y="311830"/>
                                        <a:pt x="401693" y="276800"/>
                                        <a:pt x="404877" y="241630"/>
                                      </a:cubicBezTo>
                                      <a:cubicBezTo>
                                        <a:pt x="414293" y="187353"/>
                                        <a:pt x="414293" y="145815"/>
                                        <a:pt x="385908" y="101092"/>
                                      </a:cubicBezTo>
                                      <a:cubicBezTo>
                                        <a:pt x="357524" y="52769"/>
                                        <a:pt x="319724" y="27292"/>
                                        <a:pt x="269324" y="20923"/>
                                      </a:cubicBezTo>
                                      <a:cubicBezTo>
                                        <a:pt x="234709" y="17738"/>
                                        <a:pt x="206324" y="20923"/>
                                        <a:pt x="177940" y="27292"/>
                                      </a:cubicBezTo>
                                      <a:cubicBezTo>
                                        <a:pt x="155924" y="30476"/>
                                        <a:pt x="133909" y="40030"/>
                                        <a:pt x="114940" y="52769"/>
                                      </a:cubicBezTo>
                                      <a:cubicBezTo>
                                        <a:pt x="86556" y="75061"/>
                                        <a:pt x="64540" y="107046"/>
                                        <a:pt x="55125" y="151769"/>
                                      </a:cubicBezTo>
                                      <a:cubicBezTo>
                                        <a:pt x="48756" y="177384"/>
                                        <a:pt x="48756" y="193307"/>
                                        <a:pt x="61494" y="209230"/>
                                      </a:cubicBezTo>
                                      <a:cubicBezTo>
                                        <a:pt x="64679" y="215600"/>
                                        <a:pt x="70909" y="228338"/>
                                        <a:pt x="61494" y="244400"/>
                                      </a:cubicBezTo>
                                      <a:cubicBezTo>
                                        <a:pt x="45710" y="266692"/>
                                        <a:pt x="33110" y="285938"/>
                                        <a:pt x="20510" y="308230"/>
                                      </a:cubicBezTo>
                                      <a:cubicBezTo>
                                        <a:pt x="20510" y="308230"/>
                                        <a:pt x="20510" y="308230"/>
                                        <a:pt x="20510" y="311415"/>
                                      </a:cubicBezTo>
                                      <a:cubicBezTo>
                                        <a:pt x="26879" y="314600"/>
                                        <a:pt x="33110" y="320969"/>
                                        <a:pt x="39479" y="324153"/>
                                      </a:cubicBezTo>
                                      <a:cubicBezTo>
                                        <a:pt x="42663" y="327338"/>
                                        <a:pt x="45848" y="330523"/>
                                        <a:pt x="52079" y="330523"/>
                                      </a:cubicBezTo>
                                      <a:cubicBezTo>
                                        <a:pt x="55263" y="333707"/>
                                        <a:pt x="55263" y="336892"/>
                                        <a:pt x="55263" y="343261"/>
                                      </a:cubicBezTo>
                                      <a:cubicBezTo>
                                        <a:pt x="58448" y="349630"/>
                                        <a:pt x="55263" y="356000"/>
                                        <a:pt x="52079" y="362369"/>
                                      </a:cubicBezTo>
                                      <a:cubicBezTo>
                                        <a:pt x="61494" y="371923"/>
                                        <a:pt x="61494" y="381476"/>
                                        <a:pt x="58448" y="394353"/>
                                      </a:cubicBezTo>
                                      <a:cubicBezTo>
                                        <a:pt x="58448" y="397538"/>
                                        <a:pt x="58448" y="397538"/>
                                        <a:pt x="58448" y="400723"/>
                                      </a:cubicBezTo>
                                      <a:cubicBezTo>
                                        <a:pt x="58448" y="400723"/>
                                        <a:pt x="58448" y="403907"/>
                                        <a:pt x="61633" y="407092"/>
                                      </a:cubicBezTo>
                                      <a:cubicBezTo>
                                        <a:pt x="61633" y="413461"/>
                                        <a:pt x="64817" y="419830"/>
                                        <a:pt x="61633" y="426200"/>
                                      </a:cubicBezTo>
                                      <a:cubicBezTo>
                                        <a:pt x="61633" y="432569"/>
                                        <a:pt x="64817" y="442123"/>
                                        <a:pt x="71048" y="448492"/>
                                      </a:cubicBezTo>
                                      <a:cubicBezTo>
                                        <a:pt x="74233" y="451676"/>
                                        <a:pt x="83648" y="454861"/>
                                        <a:pt x="93063" y="451676"/>
                                      </a:cubicBezTo>
                                      <a:cubicBezTo>
                                        <a:pt x="115078" y="448492"/>
                                        <a:pt x="137232" y="448492"/>
                                        <a:pt x="159248" y="448492"/>
                                      </a:cubicBezTo>
                                      <a:cubicBezTo>
                                        <a:pt x="171847" y="445307"/>
                                        <a:pt x="171847" y="445307"/>
                                        <a:pt x="171847" y="445307"/>
                                      </a:cubicBezTo>
                                      <a:cubicBezTo>
                                        <a:pt x="193863" y="445307"/>
                                        <a:pt x="206463" y="454861"/>
                                        <a:pt x="212832" y="477292"/>
                                      </a:cubicBezTo>
                                      <a:cubicBezTo>
                                        <a:pt x="222247" y="496400"/>
                                        <a:pt x="216017" y="518830"/>
                                        <a:pt x="209647" y="534753"/>
                                      </a:cubicBezTo>
                                      <a:cubicBezTo>
                                        <a:pt x="206324" y="541538"/>
                                        <a:pt x="203140" y="541538"/>
                                        <a:pt x="200094" y="541538"/>
                                      </a:cubicBezTo>
                                      <a:lnTo>
                                        <a:pt x="200094" y="541538"/>
                                      </a:lnTo>
                                      <a:close/>
                                      <a:moveTo>
                                        <a:pt x="55125" y="394630"/>
                                      </a:moveTo>
                                      <a:lnTo>
                                        <a:pt x="55125" y="394630"/>
                                      </a:lnTo>
                                      <a:lnTo>
                                        <a:pt x="55125" y="394630"/>
                                      </a:lnTo>
                                      <a:close/>
                                    </a:path>
                                  </a:pathLst>
                                </a:custGeom>
                                <a:grpFill/>
                                <a:ln w="13692" cap="flat">
                                  <a:noFill/>
                                  <a:prstDash val="solid"/>
                                  <a:miter/>
                                </a:ln>
                              </wps:spPr>
                              <wps:bodyPr rtlCol="0" anchor="ctr"/>
                            </wps:wsp>
                            <wps:wsp>
                              <wps:cNvPr id="27868" name="Freeform: Shape 27868"/>
                              <wps:cNvSpPr/>
                              <wps:spPr>
                                <a:xfrm flipH="1">
                                  <a:off x="165497" y="6325"/>
                                  <a:ext cx="353174" cy="430762"/>
                                </a:xfrm>
                                <a:custGeom>
                                  <a:avLst/>
                                  <a:gdLst>
                                    <a:gd name="connsiteX0" fmla="*/ 200094 w 443996"/>
                                    <a:gd name="connsiteY0" fmla="*/ 541538 h 541537"/>
                                    <a:gd name="connsiteX1" fmla="*/ 196909 w 443996"/>
                                    <a:gd name="connsiteY1" fmla="*/ 541538 h 541537"/>
                                    <a:gd name="connsiteX2" fmla="*/ 190540 w 443996"/>
                                    <a:gd name="connsiteY2" fmla="*/ 528800 h 541537"/>
                                    <a:gd name="connsiteX3" fmla="*/ 193724 w 443996"/>
                                    <a:gd name="connsiteY3" fmla="*/ 484076 h 541537"/>
                                    <a:gd name="connsiteX4" fmla="*/ 171709 w 443996"/>
                                    <a:gd name="connsiteY4" fmla="*/ 468153 h 541537"/>
                                    <a:gd name="connsiteX5" fmla="*/ 159109 w 443996"/>
                                    <a:gd name="connsiteY5" fmla="*/ 468153 h 541537"/>
                                    <a:gd name="connsiteX6" fmla="*/ 96109 w 443996"/>
                                    <a:gd name="connsiteY6" fmla="*/ 474523 h 541537"/>
                                    <a:gd name="connsiteX7" fmla="*/ 58310 w 443996"/>
                                    <a:gd name="connsiteY7" fmla="*/ 464969 h 541537"/>
                                    <a:gd name="connsiteX8" fmla="*/ 42525 w 443996"/>
                                    <a:gd name="connsiteY8" fmla="*/ 426615 h 541537"/>
                                    <a:gd name="connsiteX9" fmla="*/ 39340 w 443996"/>
                                    <a:gd name="connsiteY9" fmla="*/ 410692 h 541537"/>
                                    <a:gd name="connsiteX10" fmla="*/ 39340 w 443996"/>
                                    <a:gd name="connsiteY10" fmla="*/ 404323 h 541537"/>
                                    <a:gd name="connsiteX11" fmla="*/ 39340 w 443996"/>
                                    <a:gd name="connsiteY11" fmla="*/ 404323 h 541537"/>
                                    <a:gd name="connsiteX12" fmla="*/ 36156 w 443996"/>
                                    <a:gd name="connsiteY12" fmla="*/ 388400 h 541537"/>
                                    <a:gd name="connsiteX13" fmla="*/ 32971 w 443996"/>
                                    <a:gd name="connsiteY13" fmla="*/ 375661 h 541537"/>
                                    <a:gd name="connsiteX14" fmla="*/ 26602 w 443996"/>
                                    <a:gd name="connsiteY14" fmla="*/ 366107 h 541537"/>
                                    <a:gd name="connsiteX15" fmla="*/ 26602 w 443996"/>
                                    <a:gd name="connsiteY15" fmla="*/ 359738 h 541537"/>
                                    <a:gd name="connsiteX16" fmla="*/ 29787 w 443996"/>
                                    <a:gd name="connsiteY16" fmla="*/ 356553 h 541537"/>
                                    <a:gd name="connsiteX17" fmla="*/ 36156 w 443996"/>
                                    <a:gd name="connsiteY17" fmla="*/ 347000 h 541537"/>
                                    <a:gd name="connsiteX18" fmla="*/ 26740 w 443996"/>
                                    <a:gd name="connsiteY18" fmla="*/ 340630 h 541537"/>
                                    <a:gd name="connsiteX19" fmla="*/ 4725 w 443996"/>
                                    <a:gd name="connsiteY19" fmla="*/ 324707 h 541537"/>
                                    <a:gd name="connsiteX20" fmla="*/ 4725 w 443996"/>
                                    <a:gd name="connsiteY20" fmla="*/ 299092 h 541537"/>
                                    <a:gd name="connsiteX21" fmla="*/ 42525 w 443996"/>
                                    <a:gd name="connsiteY21" fmla="*/ 235261 h 541537"/>
                                    <a:gd name="connsiteX22" fmla="*/ 45710 w 443996"/>
                                    <a:gd name="connsiteY22" fmla="*/ 222523 h 541537"/>
                                    <a:gd name="connsiteX23" fmla="*/ 36294 w 443996"/>
                                    <a:gd name="connsiteY23" fmla="*/ 149000 h 541537"/>
                                    <a:gd name="connsiteX24" fmla="*/ 102479 w 443996"/>
                                    <a:gd name="connsiteY24" fmla="*/ 37261 h 541537"/>
                                    <a:gd name="connsiteX25" fmla="*/ 174894 w 443996"/>
                                    <a:gd name="connsiteY25" fmla="*/ 5276 h 541537"/>
                                    <a:gd name="connsiteX26" fmla="*/ 269462 w 443996"/>
                                    <a:gd name="connsiteY26" fmla="*/ 2092 h 541537"/>
                                    <a:gd name="connsiteX27" fmla="*/ 404877 w 443996"/>
                                    <a:gd name="connsiteY27" fmla="*/ 91538 h 541537"/>
                                    <a:gd name="connsiteX28" fmla="*/ 426893 w 443996"/>
                                    <a:gd name="connsiteY28" fmla="*/ 244815 h 541537"/>
                                    <a:gd name="connsiteX29" fmla="*/ 392277 w 443996"/>
                                    <a:gd name="connsiteY29" fmla="*/ 350184 h 541537"/>
                                    <a:gd name="connsiteX30" fmla="*/ 382862 w 443996"/>
                                    <a:gd name="connsiteY30" fmla="*/ 369292 h 541537"/>
                                    <a:gd name="connsiteX31" fmla="*/ 370262 w 443996"/>
                                    <a:gd name="connsiteY31" fmla="*/ 401276 h 541537"/>
                                    <a:gd name="connsiteX32" fmla="*/ 420662 w 443996"/>
                                    <a:gd name="connsiteY32" fmla="*/ 481169 h 541537"/>
                                    <a:gd name="connsiteX33" fmla="*/ 442677 w 443996"/>
                                    <a:gd name="connsiteY33" fmla="*/ 509969 h 541537"/>
                                    <a:gd name="connsiteX34" fmla="*/ 439492 w 443996"/>
                                    <a:gd name="connsiteY34" fmla="*/ 522707 h 541537"/>
                                    <a:gd name="connsiteX35" fmla="*/ 423708 w 443996"/>
                                    <a:gd name="connsiteY35" fmla="*/ 519523 h 541537"/>
                                    <a:gd name="connsiteX36" fmla="*/ 404739 w 443996"/>
                                    <a:gd name="connsiteY36" fmla="*/ 493907 h 541537"/>
                                    <a:gd name="connsiteX37" fmla="*/ 351154 w 443996"/>
                                    <a:gd name="connsiteY37" fmla="*/ 401276 h 541537"/>
                                    <a:gd name="connsiteX38" fmla="*/ 366939 w 443996"/>
                                    <a:gd name="connsiteY38" fmla="*/ 359738 h 541537"/>
                                    <a:gd name="connsiteX39" fmla="*/ 373308 w 443996"/>
                                    <a:gd name="connsiteY39" fmla="*/ 340630 h 541537"/>
                                    <a:gd name="connsiteX40" fmla="*/ 404877 w 443996"/>
                                    <a:gd name="connsiteY40" fmla="*/ 241630 h 541537"/>
                                    <a:gd name="connsiteX41" fmla="*/ 385908 w 443996"/>
                                    <a:gd name="connsiteY41" fmla="*/ 101092 h 541537"/>
                                    <a:gd name="connsiteX42" fmla="*/ 269324 w 443996"/>
                                    <a:gd name="connsiteY42" fmla="*/ 20923 h 541537"/>
                                    <a:gd name="connsiteX43" fmla="*/ 177940 w 443996"/>
                                    <a:gd name="connsiteY43" fmla="*/ 27292 h 541537"/>
                                    <a:gd name="connsiteX44" fmla="*/ 114940 w 443996"/>
                                    <a:gd name="connsiteY44" fmla="*/ 52769 h 541537"/>
                                    <a:gd name="connsiteX45" fmla="*/ 55125 w 443996"/>
                                    <a:gd name="connsiteY45" fmla="*/ 151769 h 541537"/>
                                    <a:gd name="connsiteX46" fmla="*/ 61494 w 443996"/>
                                    <a:gd name="connsiteY46" fmla="*/ 209230 h 541537"/>
                                    <a:gd name="connsiteX47" fmla="*/ 61494 w 443996"/>
                                    <a:gd name="connsiteY47" fmla="*/ 244400 h 541537"/>
                                    <a:gd name="connsiteX48" fmla="*/ 20510 w 443996"/>
                                    <a:gd name="connsiteY48" fmla="*/ 308230 h 541537"/>
                                    <a:gd name="connsiteX49" fmla="*/ 20510 w 443996"/>
                                    <a:gd name="connsiteY49" fmla="*/ 311415 h 541537"/>
                                    <a:gd name="connsiteX50" fmla="*/ 39479 w 443996"/>
                                    <a:gd name="connsiteY50" fmla="*/ 324153 h 541537"/>
                                    <a:gd name="connsiteX51" fmla="*/ 52079 w 443996"/>
                                    <a:gd name="connsiteY51" fmla="*/ 330523 h 541537"/>
                                    <a:gd name="connsiteX52" fmla="*/ 55263 w 443996"/>
                                    <a:gd name="connsiteY52" fmla="*/ 343261 h 541537"/>
                                    <a:gd name="connsiteX53" fmla="*/ 52079 w 443996"/>
                                    <a:gd name="connsiteY53" fmla="*/ 362369 h 541537"/>
                                    <a:gd name="connsiteX54" fmla="*/ 58448 w 443996"/>
                                    <a:gd name="connsiteY54" fmla="*/ 394353 h 541537"/>
                                    <a:gd name="connsiteX55" fmla="*/ 58448 w 443996"/>
                                    <a:gd name="connsiteY55" fmla="*/ 400723 h 541537"/>
                                    <a:gd name="connsiteX56" fmla="*/ 61633 w 443996"/>
                                    <a:gd name="connsiteY56" fmla="*/ 407092 h 541537"/>
                                    <a:gd name="connsiteX57" fmla="*/ 61633 w 443996"/>
                                    <a:gd name="connsiteY57" fmla="*/ 426200 h 541537"/>
                                    <a:gd name="connsiteX58" fmla="*/ 71048 w 443996"/>
                                    <a:gd name="connsiteY58" fmla="*/ 448492 h 541537"/>
                                    <a:gd name="connsiteX59" fmla="*/ 93063 w 443996"/>
                                    <a:gd name="connsiteY59" fmla="*/ 451676 h 541537"/>
                                    <a:gd name="connsiteX60" fmla="*/ 159248 w 443996"/>
                                    <a:gd name="connsiteY60" fmla="*/ 448492 h 541537"/>
                                    <a:gd name="connsiteX61" fmla="*/ 171847 w 443996"/>
                                    <a:gd name="connsiteY61" fmla="*/ 445307 h 541537"/>
                                    <a:gd name="connsiteX62" fmla="*/ 212832 w 443996"/>
                                    <a:gd name="connsiteY62" fmla="*/ 477292 h 541537"/>
                                    <a:gd name="connsiteX63" fmla="*/ 209647 w 443996"/>
                                    <a:gd name="connsiteY63" fmla="*/ 534753 h 541537"/>
                                    <a:gd name="connsiteX64" fmla="*/ 200094 w 443996"/>
                                    <a:gd name="connsiteY64" fmla="*/ 541538 h 541537"/>
                                    <a:gd name="connsiteX65" fmla="*/ 200094 w 443996"/>
                                    <a:gd name="connsiteY65" fmla="*/ 541538 h 541537"/>
                                    <a:gd name="connsiteX66" fmla="*/ 55125 w 443996"/>
                                    <a:gd name="connsiteY66" fmla="*/ 394630 h 541537"/>
                                    <a:gd name="connsiteX67" fmla="*/ 55125 w 443996"/>
                                    <a:gd name="connsiteY67" fmla="*/ 394630 h 541537"/>
                                    <a:gd name="connsiteX68" fmla="*/ 55125 w 443996"/>
                                    <a:gd name="connsiteY68" fmla="*/ 394630 h 541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43996" h="541537">
                                      <a:moveTo>
                                        <a:pt x="200094" y="541538"/>
                                      </a:moveTo>
                                      <a:cubicBezTo>
                                        <a:pt x="196909" y="541538"/>
                                        <a:pt x="196909" y="541538"/>
                                        <a:pt x="196909" y="541538"/>
                                      </a:cubicBezTo>
                                      <a:cubicBezTo>
                                        <a:pt x="190540" y="538353"/>
                                        <a:pt x="187494" y="535169"/>
                                        <a:pt x="190540" y="528800"/>
                                      </a:cubicBezTo>
                                      <a:cubicBezTo>
                                        <a:pt x="196909" y="509692"/>
                                        <a:pt x="199955" y="496815"/>
                                        <a:pt x="193724" y="484076"/>
                                      </a:cubicBezTo>
                                      <a:cubicBezTo>
                                        <a:pt x="190540" y="471338"/>
                                        <a:pt x="184309" y="468153"/>
                                        <a:pt x="171709" y="468153"/>
                                      </a:cubicBezTo>
                                      <a:cubicBezTo>
                                        <a:pt x="159109" y="468153"/>
                                        <a:pt x="159109" y="468153"/>
                                        <a:pt x="159109" y="468153"/>
                                      </a:cubicBezTo>
                                      <a:cubicBezTo>
                                        <a:pt x="140140" y="468153"/>
                                        <a:pt x="114940" y="468153"/>
                                        <a:pt x="96109" y="474523"/>
                                      </a:cubicBezTo>
                                      <a:cubicBezTo>
                                        <a:pt x="80325" y="474523"/>
                                        <a:pt x="67725" y="471338"/>
                                        <a:pt x="58310" y="464969"/>
                                      </a:cubicBezTo>
                                      <a:cubicBezTo>
                                        <a:pt x="48894" y="458600"/>
                                        <a:pt x="42525" y="445861"/>
                                        <a:pt x="42525" y="426615"/>
                                      </a:cubicBezTo>
                                      <a:cubicBezTo>
                                        <a:pt x="42525" y="420246"/>
                                        <a:pt x="42525" y="417061"/>
                                        <a:pt x="39340" y="410692"/>
                                      </a:cubicBezTo>
                                      <a:cubicBezTo>
                                        <a:pt x="39340" y="410692"/>
                                        <a:pt x="39340" y="407507"/>
                                        <a:pt x="39340" y="404323"/>
                                      </a:cubicBezTo>
                                      <a:lnTo>
                                        <a:pt x="39340" y="404323"/>
                                      </a:lnTo>
                                      <a:cubicBezTo>
                                        <a:pt x="36156" y="401138"/>
                                        <a:pt x="36156" y="394769"/>
                                        <a:pt x="36156" y="388400"/>
                                      </a:cubicBezTo>
                                      <a:cubicBezTo>
                                        <a:pt x="42525" y="382030"/>
                                        <a:pt x="39340" y="378846"/>
                                        <a:pt x="32971" y="375661"/>
                                      </a:cubicBezTo>
                                      <a:cubicBezTo>
                                        <a:pt x="29787" y="375661"/>
                                        <a:pt x="26602" y="372476"/>
                                        <a:pt x="26602" y="366107"/>
                                      </a:cubicBezTo>
                                      <a:cubicBezTo>
                                        <a:pt x="26602" y="359738"/>
                                        <a:pt x="26602" y="359738"/>
                                        <a:pt x="26602" y="359738"/>
                                      </a:cubicBezTo>
                                      <a:cubicBezTo>
                                        <a:pt x="29787" y="356553"/>
                                        <a:pt x="29787" y="356553"/>
                                        <a:pt x="29787" y="356553"/>
                                      </a:cubicBezTo>
                                      <a:cubicBezTo>
                                        <a:pt x="32971" y="356553"/>
                                        <a:pt x="32971" y="350184"/>
                                        <a:pt x="36156" y="347000"/>
                                      </a:cubicBezTo>
                                      <a:cubicBezTo>
                                        <a:pt x="32971" y="343815"/>
                                        <a:pt x="29787" y="343815"/>
                                        <a:pt x="26740" y="340630"/>
                                      </a:cubicBezTo>
                                      <a:cubicBezTo>
                                        <a:pt x="20371" y="337446"/>
                                        <a:pt x="10956" y="331076"/>
                                        <a:pt x="4725" y="324707"/>
                                      </a:cubicBezTo>
                                      <a:cubicBezTo>
                                        <a:pt x="-1506" y="318338"/>
                                        <a:pt x="-1644" y="305600"/>
                                        <a:pt x="4725" y="299092"/>
                                      </a:cubicBezTo>
                                      <a:cubicBezTo>
                                        <a:pt x="14140" y="276800"/>
                                        <a:pt x="29925" y="254369"/>
                                        <a:pt x="42525" y="235261"/>
                                      </a:cubicBezTo>
                                      <a:cubicBezTo>
                                        <a:pt x="48894" y="225707"/>
                                        <a:pt x="45710" y="222523"/>
                                        <a:pt x="45710" y="222523"/>
                                      </a:cubicBezTo>
                                      <a:cubicBezTo>
                                        <a:pt x="26740" y="196907"/>
                                        <a:pt x="29925" y="171430"/>
                                        <a:pt x="36294" y="149000"/>
                                      </a:cubicBezTo>
                                      <a:cubicBezTo>
                                        <a:pt x="48894" y="97907"/>
                                        <a:pt x="70909" y="59553"/>
                                        <a:pt x="102479" y="37261"/>
                                      </a:cubicBezTo>
                                      <a:cubicBezTo>
                                        <a:pt x="124494" y="21338"/>
                                        <a:pt x="149694" y="11646"/>
                                        <a:pt x="174894" y="5276"/>
                                      </a:cubicBezTo>
                                      <a:cubicBezTo>
                                        <a:pt x="203278" y="-1093"/>
                                        <a:pt x="234709" y="-1093"/>
                                        <a:pt x="269462" y="2092"/>
                                      </a:cubicBezTo>
                                      <a:cubicBezTo>
                                        <a:pt x="329278" y="8461"/>
                                        <a:pt x="373447" y="37261"/>
                                        <a:pt x="404877" y="91538"/>
                                      </a:cubicBezTo>
                                      <a:cubicBezTo>
                                        <a:pt x="436308" y="145815"/>
                                        <a:pt x="433262" y="196907"/>
                                        <a:pt x="426893" y="244815"/>
                                      </a:cubicBezTo>
                                      <a:cubicBezTo>
                                        <a:pt x="420523" y="283169"/>
                                        <a:pt x="407923" y="318338"/>
                                        <a:pt x="392277" y="350184"/>
                                      </a:cubicBezTo>
                                      <a:cubicBezTo>
                                        <a:pt x="389093" y="356553"/>
                                        <a:pt x="385908" y="362923"/>
                                        <a:pt x="382862" y="369292"/>
                                      </a:cubicBezTo>
                                      <a:cubicBezTo>
                                        <a:pt x="376493" y="378846"/>
                                        <a:pt x="370262" y="388400"/>
                                        <a:pt x="370262" y="401276"/>
                                      </a:cubicBezTo>
                                      <a:cubicBezTo>
                                        <a:pt x="370262" y="423569"/>
                                        <a:pt x="401831" y="458738"/>
                                        <a:pt x="420662" y="481169"/>
                                      </a:cubicBezTo>
                                      <a:cubicBezTo>
                                        <a:pt x="430077" y="490723"/>
                                        <a:pt x="436446" y="500276"/>
                                        <a:pt x="442677" y="509969"/>
                                      </a:cubicBezTo>
                                      <a:cubicBezTo>
                                        <a:pt x="445862" y="513153"/>
                                        <a:pt x="442677" y="519523"/>
                                        <a:pt x="439492" y="522707"/>
                                      </a:cubicBezTo>
                                      <a:cubicBezTo>
                                        <a:pt x="433123" y="525892"/>
                                        <a:pt x="426893" y="522707"/>
                                        <a:pt x="423708" y="519523"/>
                                      </a:cubicBezTo>
                                      <a:cubicBezTo>
                                        <a:pt x="420523" y="513153"/>
                                        <a:pt x="414293" y="503600"/>
                                        <a:pt x="404739" y="493907"/>
                                      </a:cubicBezTo>
                                      <a:cubicBezTo>
                                        <a:pt x="379539" y="468292"/>
                                        <a:pt x="351154" y="433261"/>
                                        <a:pt x="351154" y="401276"/>
                                      </a:cubicBezTo>
                                      <a:cubicBezTo>
                                        <a:pt x="351154" y="385353"/>
                                        <a:pt x="357524" y="369292"/>
                                        <a:pt x="366939" y="359738"/>
                                      </a:cubicBezTo>
                                      <a:cubicBezTo>
                                        <a:pt x="370124" y="353369"/>
                                        <a:pt x="373308" y="347000"/>
                                        <a:pt x="373308" y="340630"/>
                                      </a:cubicBezTo>
                                      <a:cubicBezTo>
                                        <a:pt x="385908" y="311830"/>
                                        <a:pt x="401693" y="276800"/>
                                        <a:pt x="404877" y="241630"/>
                                      </a:cubicBezTo>
                                      <a:cubicBezTo>
                                        <a:pt x="414293" y="187353"/>
                                        <a:pt x="414293" y="145815"/>
                                        <a:pt x="385908" y="101092"/>
                                      </a:cubicBezTo>
                                      <a:cubicBezTo>
                                        <a:pt x="357524" y="52769"/>
                                        <a:pt x="319724" y="27292"/>
                                        <a:pt x="269324" y="20923"/>
                                      </a:cubicBezTo>
                                      <a:cubicBezTo>
                                        <a:pt x="234709" y="17738"/>
                                        <a:pt x="206324" y="20923"/>
                                        <a:pt x="177940" y="27292"/>
                                      </a:cubicBezTo>
                                      <a:cubicBezTo>
                                        <a:pt x="155924" y="30476"/>
                                        <a:pt x="133909" y="40030"/>
                                        <a:pt x="114940" y="52769"/>
                                      </a:cubicBezTo>
                                      <a:cubicBezTo>
                                        <a:pt x="86556" y="75061"/>
                                        <a:pt x="64540" y="107046"/>
                                        <a:pt x="55125" y="151769"/>
                                      </a:cubicBezTo>
                                      <a:cubicBezTo>
                                        <a:pt x="48756" y="177384"/>
                                        <a:pt x="48756" y="193307"/>
                                        <a:pt x="61494" y="209230"/>
                                      </a:cubicBezTo>
                                      <a:cubicBezTo>
                                        <a:pt x="64679" y="215600"/>
                                        <a:pt x="70909" y="228338"/>
                                        <a:pt x="61494" y="244400"/>
                                      </a:cubicBezTo>
                                      <a:cubicBezTo>
                                        <a:pt x="45710" y="266692"/>
                                        <a:pt x="33110" y="285938"/>
                                        <a:pt x="20510" y="308230"/>
                                      </a:cubicBezTo>
                                      <a:cubicBezTo>
                                        <a:pt x="20510" y="308230"/>
                                        <a:pt x="20510" y="308230"/>
                                        <a:pt x="20510" y="311415"/>
                                      </a:cubicBezTo>
                                      <a:cubicBezTo>
                                        <a:pt x="26879" y="314600"/>
                                        <a:pt x="33110" y="320969"/>
                                        <a:pt x="39479" y="324153"/>
                                      </a:cubicBezTo>
                                      <a:cubicBezTo>
                                        <a:pt x="42663" y="327338"/>
                                        <a:pt x="45848" y="330523"/>
                                        <a:pt x="52079" y="330523"/>
                                      </a:cubicBezTo>
                                      <a:cubicBezTo>
                                        <a:pt x="55263" y="333707"/>
                                        <a:pt x="55263" y="336892"/>
                                        <a:pt x="55263" y="343261"/>
                                      </a:cubicBezTo>
                                      <a:cubicBezTo>
                                        <a:pt x="58448" y="349630"/>
                                        <a:pt x="55263" y="356000"/>
                                        <a:pt x="52079" y="362369"/>
                                      </a:cubicBezTo>
                                      <a:cubicBezTo>
                                        <a:pt x="61494" y="371923"/>
                                        <a:pt x="61494" y="381476"/>
                                        <a:pt x="58448" y="394353"/>
                                      </a:cubicBezTo>
                                      <a:cubicBezTo>
                                        <a:pt x="58448" y="397538"/>
                                        <a:pt x="58448" y="397538"/>
                                        <a:pt x="58448" y="400723"/>
                                      </a:cubicBezTo>
                                      <a:cubicBezTo>
                                        <a:pt x="58448" y="400723"/>
                                        <a:pt x="58448" y="403907"/>
                                        <a:pt x="61633" y="407092"/>
                                      </a:cubicBezTo>
                                      <a:cubicBezTo>
                                        <a:pt x="61633" y="413461"/>
                                        <a:pt x="64817" y="419830"/>
                                        <a:pt x="61633" y="426200"/>
                                      </a:cubicBezTo>
                                      <a:cubicBezTo>
                                        <a:pt x="61633" y="432569"/>
                                        <a:pt x="64817" y="442123"/>
                                        <a:pt x="71048" y="448492"/>
                                      </a:cubicBezTo>
                                      <a:cubicBezTo>
                                        <a:pt x="74233" y="451676"/>
                                        <a:pt x="83648" y="454861"/>
                                        <a:pt x="93063" y="451676"/>
                                      </a:cubicBezTo>
                                      <a:cubicBezTo>
                                        <a:pt x="115078" y="448492"/>
                                        <a:pt x="137232" y="448492"/>
                                        <a:pt x="159248" y="448492"/>
                                      </a:cubicBezTo>
                                      <a:cubicBezTo>
                                        <a:pt x="171847" y="445307"/>
                                        <a:pt x="171847" y="445307"/>
                                        <a:pt x="171847" y="445307"/>
                                      </a:cubicBezTo>
                                      <a:cubicBezTo>
                                        <a:pt x="193863" y="445307"/>
                                        <a:pt x="206463" y="454861"/>
                                        <a:pt x="212832" y="477292"/>
                                      </a:cubicBezTo>
                                      <a:cubicBezTo>
                                        <a:pt x="222247" y="496400"/>
                                        <a:pt x="216017" y="518830"/>
                                        <a:pt x="209647" y="534753"/>
                                      </a:cubicBezTo>
                                      <a:cubicBezTo>
                                        <a:pt x="206324" y="541538"/>
                                        <a:pt x="203140" y="541538"/>
                                        <a:pt x="200094" y="541538"/>
                                      </a:cubicBezTo>
                                      <a:lnTo>
                                        <a:pt x="200094" y="541538"/>
                                      </a:lnTo>
                                      <a:close/>
                                      <a:moveTo>
                                        <a:pt x="55125" y="394630"/>
                                      </a:moveTo>
                                      <a:lnTo>
                                        <a:pt x="55125" y="394630"/>
                                      </a:lnTo>
                                      <a:lnTo>
                                        <a:pt x="55125" y="394630"/>
                                      </a:lnTo>
                                      <a:close/>
                                    </a:path>
                                  </a:pathLst>
                                </a:custGeom>
                                <a:grpFill/>
                                <a:ln w="13692" cap="flat">
                                  <a:noFill/>
                                  <a:prstDash val="solid"/>
                                  <a:miter/>
                                </a:ln>
                              </wps:spPr>
                              <wps:bodyPr rtlCol="0" anchor="ctr"/>
                            </wps:wsp>
                          </wpg:wgp>
                        </a:graphicData>
                      </a:graphic>
                    </wp:inline>
                  </w:drawing>
                </mc:Choice>
                <mc:Fallback>
                  <w:pict>
                    <v:group w14:anchorId="1B0B8A3C" id="Group 210" o:spid="_x0000_s1026" alt="&quot;&quot;" style="width:37.7pt;height:31.75pt;mso-position-horizontal-relative:char;mso-position-vertical-relative:line" coordsize="518671,437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">
                      <v:shape id="Freeform: Shape 27867" o:spid="_x0000_s1027" style="position:absolute;width:353174;height:430762;visibility:visible;mso-wrap-style:square;v-text-anchor:middle" coordsize="443996,54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" path="m200094,541538v-3185,,-3185,,-3185,c190540,538353,187494,535169,190540,528800v6369,-19108,9415,-31985,3184,-44724c190540,471338,184309,468153,171709,468153v-12600,,-12600,,-12600,c140140,468153,114940,468153,96109,474523v-15784,,-28384,-3185,-37799,-9554c48894,458600,42525,445861,42525,426615v,-6369,,-9554,-3185,-15923c39340,410692,39340,407507,39340,404323r,c36156,401138,36156,394769,36156,388400v6369,-6370,3184,-9554,-3185,-12739c29787,375661,26602,372476,26602,366107v,-6369,,-6369,,-6369c29787,356553,29787,356553,29787,356553v3184,,3184,-6369,6369,-9553c32971,343815,29787,343815,26740,340630,20371,337446,10956,331076,4725,324707v-6231,-6369,-6369,-19107,,-25615c14140,276800,29925,254369,42525,235261v6369,-9554,3185,-12738,3185,-12738c26740,196907,29925,171430,36294,149000,48894,97907,70909,59553,102479,37261,124494,21338,149694,11646,174894,5276v28384,-6369,59815,-6369,94568,-3184c329278,8461,373447,37261,404877,91538v31431,54277,28385,105369,22016,153277c420523,283169,407923,318338,392277,350184v-3184,6369,-6369,12739,-9415,19108c376493,378846,370262,388400,370262,401276v,22293,31569,57462,50400,79893c430077,490723,436446,500276,442677,509969v3185,3184,,9554,-3185,12738c433123,525892,426893,522707,423708,519523v-3185,-6370,-9415,-15923,-18969,-25616c379539,468292,351154,433261,351154,401276v,-15923,6370,-31984,15785,-41538c370124,353369,373308,347000,373308,340630v12600,-28800,28385,-63830,31569,-99000c414293,187353,414293,145815,385908,101092,357524,52769,319724,27292,269324,20923v-34615,-3185,-63000,,-91384,6369c155924,30476,133909,40030,114940,52769,86556,75061,64540,107046,55125,151769v-6369,25615,-6369,41538,6369,57461c64679,215600,70909,228338,61494,244400,45710,266692,33110,285938,20510,308230v,,,,,3185c26879,314600,33110,320969,39479,324153v3184,3185,6369,6370,12600,6370c55263,333707,55263,336892,55263,343261v3185,6369,,12739,-3184,19108c61494,371923,61494,381476,58448,394353v,3185,,3185,,6370c58448,400723,58448,403907,61633,407092v,6369,3184,12738,,19108c61633,432569,64817,442123,71048,448492v3185,3184,12600,6369,22015,3184c115078,448492,137232,448492,159248,448492v12599,-3185,12599,-3185,12599,-3185c193863,445307,206463,454861,212832,477292v9415,19108,3185,41538,-3185,57461c206324,541538,203140,541538,200094,541538r,xm55125,394630r,l55125,394630xe" filled="f" stroked="f" strokeweight=".38033mm">
                        <v:stroke joinstyle="miter"/>
                        <v:path arrowok="t" o:connecttype="custom" o:connectlocs="159164,430763;156630,430763;151564,420630;154097,385055;136585,372389;126562,372389;76449,377456;46382,369856;33826,339348;31293,326682;31293,321616;31293,321616;28760,308950;26227,298817;21160,291217;21160,286151;23694,283618;28760,276019;21270,270952;3758,258286;3758,237911;33826,187137;36360,177004;28870,118521;81516,29639;139118,4197;214342,1664;322057,72813;339570,194736;312034,278552;304545,293751;294523,319192;334613,382743;352125,405651;349591,415784;337036,413251;321947,392875;279323,319192;291879,286151;296946,270952;322057,192203;306968,80413;214232,16643;141541,21709;91428,41975;43849,120724;48915,166431;48915,194406;16315,245180;16315,247713;31403,257845;41426,262912;43959,273045;41426,288244;46492,313685;46492,318752;49026,323819;49026,339018;56515,356750;74026,359283;126673,356750;136695,354216;169296,379659;166762,425366;159164,430763;159164,430763;43849,313906;43849,313906;43849,313906" o:connectangles="0,0,0,0,0,0,0,0,0,0,0,0,0,0,0,0,0,0,0,0,0,0,0,0,0,0,0,0,0,0,0,0,0,0,0,0,0,0,0,0,0,0,0,0,0,0,0,0,0,0,0,0,0,0,0,0,0,0,0,0,0,0,0,0,0,0,0,0,0"/>
                      </v:shape>
                      <v:shape id="Freeform: Shape 27868" o:spid="_x0000_s1028" style="position:absolute;left:165497;top:6325;width:353174;height:430762;flip:x;visibility:visible;mso-wrap-style:square;v-text-anchor:middle" coordsize="443996,54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" path="m200094,541538v-3185,,-3185,,-3185,c190540,538353,187494,535169,190540,528800v6369,-19108,9415,-31985,3184,-44724c190540,471338,184309,468153,171709,468153v-12600,,-12600,,-12600,c140140,468153,114940,468153,96109,474523v-15784,,-28384,-3185,-37799,-9554c48894,458600,42525,445861,42525,426615v,-6369,,-9554,-3185,-15923c39340,410692,39340,407507,39340,404323r,c36156,401138,36156,394769,36156,388400v6369,-6370,3184,-9554,-3185,-12739c29787,375661,26602,372476,26602,366107v,-6369,,-6369,,-6369c29787,356553,29787,356553,29787,356553v3184,,3184,-6369,6369,-9553c32971,343815,29787,343815,26740,340630,20371,337446,10956,331076,4725,324707v-6231,-6369,-6369,-19107,,-25615c14140,276800,29925,254369,42525,235261v6369,-9554,3185,-12738,3185,-12738c26740,196907,29925,171430,36294,149000,48894,97907,70909,59553,102479,37261,124494,21338,149694,11646,174894,5276v28384,-6369,59815,-6369,94568,-3184c329278,8461,373447,37261,404877,91538v31431,54277,28385,105369,22016,153277c420523,283169,407923,318338,392277,350184v-3184,6369,-6369,12739,-9415,19108c376493,378846,370262,388400,370262,401276v,22293,31569,57462,50400,79893c430077,490723,436446,500276,442677,509969v3185,3184,,9554,-3185,12738c433123,525892,426893,522707,423708,519523v-3185,-6370,-9415,-15923,-18969,-25616c379539,468292,351154,433261,351154,401276v,-15923,6370,-31984,15785,-41538c370124,353369,373308,347000,373308,340630v12600,-28800,28385,-63830,31569,-99000c414293,187353,414293,145815,385908,101092,357524,52769,319724,27292,269324,20923v-34615,-3185,-63000,,-91384,6369c155924,30476,133909,40030,114940,52769,86556,75061,64540,107046,55125,151769v-6369,25615,-6369,41538,6369,57461c64679,215600,70909,228338,61494,244400,45710,266692,33110,285938,20510,308230v,,,,,3185c26879,314600,33110,320969,39479,324153v3184,3185,6369,6370,12600,6370c55263,333707,55263,336892,55263,343261v3185,6369,,12739,-3184,19108c61494,371923,61494,381476,58448,394353v,3185,,3185,,6370c58448,400723,58448,403907,61633,407092v,6369,3184,12738,,19108c61633,432569,64817,442123,71048,448492v3185,3184,12600,6369,22015,3184c115078,448492,137232,448492,159248,448492v12599,-3185,12599,-3185,12599,-3185c193863,445307,206463,454861,212832,477292v9415,19108,3185,41538,-3185,57461c206324,541538,203140,541538,200094,541538r,xm55125,394630r,l55125,394630xe" filled="f" stroked="f" strokeweight=".38033mm">
                        <v:stroke joinstyle="miter"/>
                        <v:path arrowok="t" o:connecttype="custom" o:connectlocs="159164,430763;156630,430763;151564,420630;154097,385055;136585,372389;126562,372389;76449,377456;46382,369856;33826,339348;31293,326682;31293,321616;31293,321616;28760,308950;26227,298817;21160,291217;21160,286151;23694,283618;28760,276019;21270,270952;3758,258286;3758,237911;33826,187137;36360,177004;28870,118521;81516,29639;139118,4197;214342,1664;322057,72813;339570,194736;312034,278552;304545,293751;294523,319192;334613,382743;352125,405651;349591,415784;337036,413251;321947,392875;279323,319192;291879,286151;296946,270952;322057,192203;306968,80413;214232,16643;141541,21709;91428,41975;43849,120724;48915,166431;48915,194406;16315,245180;16315,247713;31403,257845;41426,262912;43959,273045;41426,288244;46492,313685;46492,318752;49026,323819;49026,339018;56515,356750;74026,359283;126673,356750;136695,354216;169296,379659;166762,425366;159164,430763;159164,430763;43849,313906;43849,313906;43849,313906" o:connectangles="0,0,0,0,0,0,0,0,0,0,0,0,0,0,0,0,0,0,0,0,0,0,0,0,0,0,0,0,0,0,0,0,0,0,0,0,0,0,0,0,0,0,0,0,0,0,0,0,0,0,0,0,0,0,0,0,0,0,0,0,0,0,0,0,0,0,0,0,0"/>
                      </v:shape>
                      <w10:anchorlock/>
                    </v:group>
                  </w:pict>
                </mc:Fallback>
              </mc:AlternateContent>
            </w:r>
          </w:p>
          <w:p w14:paraId="0FE31125" w14:textId="77777777" w:rsidR="001158BB" w:rsidRPr="005825BD" w:rsidRDefault="001158BB" w:rsidP="00A117E4">
            <w:pPr>
              <w:pStyle w:val="TableNheader"/>
            </w:pPr>
            <w:r w:rsidRPr="005825BD">
              <w:t>People who experience personality disorders and/or chronic suicidality</w:t>
            </w:r>
          </w:p>
        </w:tc>
        <w:tc>
          <w:tcPr>
            <w:tcW w:w="3119" w:type="dxa"/>
            <w:shd w:val="clear" w:color="auto" w:fill="auto"/>
          </w:tcPr>
          <w:p w14:paraId="0CD0383A" w14:textId="3E65F124" w:rsidR="001158BB" w:rsidRPr="00623868" w:rsidRDefault="00242AE2" w:rsidP="00623868">
            <w:r w:rsidRPr="00623868">
              <w:t xml:space="preserve">Across several sites, </w:t>
            </w:r>
            <w:r w:rsidR="001158BB" w:rsidRPr="00623868">
              <w:t xml:space="preserve">The Way Back staff </w:t>
            </w:r>
            <w:r w:rsidRPr="00623868">
              <w:t xml:space="preserve">anecdotally </w:t>
            </w:r>
            <w:r w:rsidR="001158BB" w:rsidRPr="00623868">
              <w:t xml:space="preserve">reported </w:t>
            </w:r>
            <w:r w:rsidRPr="00623868">
              <w:t xml:space="preserve">in interviews </w:t>
            </w:r>
            <w:r w:rsidR="001158BB" w:rsidRPr="00623868">
              <w:t>that many participants (particularly repeat participants; anecdotally approx</w:t>
            </w:r>
            <w:r w:rsidRPr="00623868">
              <w:t>imately</w:t>
            </w:r>
            <w:r w:rsidR="001158BB" w:rsidRPr="00623868">
              <w:t xml:space="preserve"> 50 per cent) have a diagnosis or visible traits of </w:t>
            </w:r>
            <w:r w:rsidR="00130900" w:rsidRPr="00623868">
              <w:t>borderline personality disorder</w:t>
            </w:r>
            <w:r w:rsidR="001158BB" w:rsidRPr="00623868">
              <w:t xml:space="preserve"> (BPD) or other personality disorders.</w:t>
            </w:r>
          </w:p>
        </w:tc>
        <w:tc>
          <w:tcPr>
            <w:tcW w:w="3958" w:type="dxa"/>
            <w:shd w:val="clear" w:color="auto" w:fill="auto"/>
          </w:tcPr>
          <w:p w14:paraId="12DD7729" w14:textId="77777777" w:rsidR="00130900" w:rsidRPr="00623868" w:rsidRDefault="00130900" w:rsidP="00623868">
            <w:r w:rsidRPr="00623868">
              <w:t xml:space="preserve">Some participants with BPD outlined that when support coordinators disclosed their own lived experience of BPD it helped to ‘normalise’ their condition and that they learned practical strategies for managing their condition and suicidality. </w:t>
            </w:r>
          </w:p>
          <w:p w14:paraId="14F15C74" w14:textId="55312B92" w:rsidR="001158BB" w:rsidRPr="00623868" w:rsidRDefault="00130900" w:rsidP="00623868">
            <w:r w:rsidRPr="00623868">
              <w:t>It was important for participants to have access to dialectical behaviour therapy as primary tool to support people with BPD, alongside The Way Back.</w:t>
            </w:r>
          </w:p>
        </w:tc>
      </w:tr>
      <w:tr w:rsidR="0044133C" w:rsidRPr="005825BD" w14:paraId="3EF88149" w14:textId="0AE39AD0" w:rsidTr="00F77C16">
        <w:trPr>
          <w:trHeight w:val="2103"/>
        </w:trPr>
        <w:tc>
          <w:tcPr>
            <w:tcW w:w="1823" w:type="dxa"/>
            <w:shd w:val="clear" w:color="auto" w:fill="E6E6E1" w:themeFill="accent5"/>
          </w:tcPr>
          <w:p w14:paraId="3122A68E" w14:textId="77777777" w:rsidR="001158BB" w:rsidRPr="005825BD" w:rsidRDefault="001158BB" w:rsidP="00A117E4">
            <w:pPr>
              <w:pStyle w:val="TableNheader"/>
            </w:pPr>
            <w:r w:rsidRPr="005825BD">
              <w:rPr>
                <w:noProof/>
              </w:rPr>
              <mc:AlternateContent>
                <mc:Choice Requires="wps">
                  <w:drawing>
                    <wp:inline distT="0" distB="0" distL="0" distR="0" wp14:anchorId="02435A20" wp14:editId="4E9DADED">
                      <wp:extent cx="504826" cy="428851"/>
                      <wp:effectExtent l="0" t="0" r="9525" b="9525"/>
                      <wp:docPr id="5" name="Freeform 5">
                        <a:extLst xmlns:a="http://schemas.openxmlformats.org/drawingml/2006/main">
                          <a:ext uri="{FF2B5EF4-FFF2-40B4-BE49-F238E27FC236}">
                            <a16:creationId xmlns:a16="http://schemas.microsoft.com/office/drawing/2014/main" id="{12C34670-3CC2-4340-8587-3752BB18487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504826" cy="428851"/>
                              </a:xfrm>
                              <a:custGeom>
                                <a:avLst/>
                                <a:gdLst>
                                  <a:gd name="T0" fmla="*/ 117 w 167"/>
                                  <a:gd name="T1" fmla="*/ 100 h 141"/>
                                  <a:gd name="T2" fmla="*/ 64 w 167"/>
                                  <a:gd name="T3" fmla="*/ 0 h 141"/>
                                  <a:gd name="T4" fmla="*/ 64 w 167"/>
                                  <a:gd name="T5" fmla="*/ 128 h 141"/>
                                  <a:gd name="T6" fmla="*/ 162 w 167"/>
                                  <a:gd name="T7" fmla="*/ 140 h 141"/>
                                  <a:gd name="T8" fmla="*/ 166 w 167"/>
                                  <a:gd name="T9" fmla="*/ 140 h 141"/>
                                  <a:gd name="T10" fmla="*/ 30 w 167"/>
                                  <a:gd name="T11" fmla="*/ 111 h 141"/>
                                  <a:gd name="T12" fmla="*/ 51 w 167"/>
                                  <a:gd name="T13" fmla="*/ 88 h 141"/>
                                  <a:gd name="T14" fmla="*/ 51 w 167"/>
                                  <a:gd name="T15" fmla="*/ 76 h 141"/>
                                  <a:gd name="T16" fmla="*/ 47 w 167"/>
                                  <a:gd name="T17" fmla="*/ 67 h 141"/>
                                  <a:gd name="T18" fmla="*/ 42 w 167"/>
                                  <a:gd name="T19" fmla="*/ 60 h 141"/>
                                  <a:gd name="T20" fmla="*/ 44 w 167"/>
                                  <a:gd name="T21" fmla="*/ 53 h 141"/>
                                  <a:gd name="T22" fmla="*/ 47 w 167"/>
                                  <a:gd name="T23" fmla="*/ 37 h 141"/>
                                  <a:gd name="T24" fmla="*/ 80 w 167"/>
                                  <a:gd name="T25" fmla="*/ 37 h 141"/>
                                  <a:gd name="T26" fmla="*/ 83 w 167"/>
                                  <a:gd name="T27" fmla="*/ 54 h 141"/>
                                  <a:gd name="T28" fmla="*/ 85 w 167"/>
                                  <a:gd name="T29" fmla="*/ 60 h 141"/>
                                  <a:gd name="T30" fmla="*/ 79 w 167"/>
                                  <a:gd name="T31" fmla="*/ 67 h 141"/>
                                  <a:gd name="T32" fmla="*/ 76 w 167"/>
                                  <a:gd name="T33" fmla="*/ 77 h 141"/>
                                  <a:gd name="T34" fmla="*/ 75 w 167"/>
                                  <a:gd name="T35" fmla="*/ 88 h 141"/>
                                  <a:gd name="T36" fmla="*/ 82 w 167"/>
                                  <a:gd name="T37" fmla="*/ 93 h 141"/>
                                  <a:gd name="T38" fmla="*/ 83 w 167"/>
                                  <a:gd name="T39" fmla="*/ 90 h 141"/>
                                  <a:gd name="T40" fmla="*/ 99 w 167"/>
                                  <a:gd name="T41" fmla="*/ 110 h 141"/>
                                  <a:gd name="T42" fmla="*/ 64 w 167"/>
                                  <a:gd name="T43" fmla="*/ 122 h 141"/>
                                  <a:gd name="T44" fmla="*/ 104 w 167"/>
                                  <a:gd name="T45" fmla="*/ 106 h 141"/>
                                  <a:gd name="T46" fmla="*/ 87 w 167"/>
                                  <a:gd name="T47" fmla="*/ 88 h 141"/>
                                  <a:gd name="T48" fmla="*/ 84 w 167"/>
                                  <a:gd name="T49" fmla="*/ 87 h 141"/>
                                  <a:gd name="T50" fmla="*/ 81 w 167"/>
                                  <a:gd name="T51" fmla="*/ 86 h 141"/>
                                  <a:gd name="T52" fmla="*/ 84 w 167"/>
                                  <a:gd name="T53" fmla="*/ 72 h 141"/>
                                  <a:gd name="T54" fmla="*/ 89 w 167"/>
                                  <a:gd name="T55" fmla="*/ 51 h 141"/>
                                  <a:gd name="T56" fmla="*/ 63 w 167"/>
                                  <a:gd name="T57" fmla="*/ 23 h 141"/>
                                  <a:gd name="T58" fmla="*/ 38 w 167"/>
                                  <a:gd name="T59" fmla="*/ 51 h 141"/>
                                  <a:gd name="T60" fmla="*/ 43 w 167"/>
                                  <a:gd name="T61" fmla="*/ 72 h 141"/>
                                  <a:gd name="T62" fmla="*/ 46 w 167"/>
                                  <a:gd name="T63" fmla="*/ 86 h 141"/>
                                  <a:gd name="T64" fmla="*/ 25 w 167"/>
                                  <a:gd name="T65" fmla="*/ 107 h 141"/>
                                  <a:gd name="T66" fmla="*/ 64 w 167"/>
                                  <a:gd name="T67" fmla="*/ 6 h 141"/>
                                  <a:gd name="T68" fmla="*/ 111 w 167"/>
                                  <a:gd name="T69" fmla="*/ 98 h 141"/>
                                  <a:gd name="T70" fmla="*/ 110 w 167"/>
                                  <a:gd name="T71" fmla="*/ 100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7" h="141">
                                    <a:moveTo>
                                      <a:pt x="166" y="136"/>
                                    </a:moveTo>
                                    <a:cubicBezTo>
                                      <a:pt x="117" y="100"/>
                                      <a:pt x="117" y="100"/>
                                      <a:pt x="117" y="100"/>
                                    </a:cubicBezTo>
                                    <a:cubicBezTo>
                                      <a:pt x="124" y="90"/>
                                      <a:pt x="128" y="78"/>
                                      <a:pt x="128" y="64"/>
                                    </a:cubicBezTo>
                                    <a:cubicBezTo>
                                      <a:pt x="128" y="29"/>
                                      <a:pt x="99" y="0"/>
                                      <a:pt x="64" y="0"/>
                                    </a:cubicBezTo>
                                    <a:cubicBezTo>
                                      <a:pt x="29" y="0"/>
                                      <a:pt x="0" y="29"/>
                                      <a:pt x="0" y="64"/>
                                    </a:cubicBezTo>
                                    <a:cubicBezTo>
                                      <a:pt x="0" y="99"/>
                                      <a:pt x="29" y="128"/>
                                      <a:pt x="64" y="128"/>
                                    </a:cubicBezTo>
                                    <a:cubicBezTo>
                                      <a:pt x="84" y="128"/>
                                      <a:pt x="102" y="119"/>
                                      <a:pt x="113" y="105"/>
                                    </a:cubicBezTo>
                                    <a:cubicBezTo>
                                      <a:pt x="162" y="140"/>
                                      <a:pt x="162" y="140"/>
                                      <a:pt x="162" y="140"/>
                                    </a:cubicBezTo>
                                    <a:cubicBezTo>
                                      <a:pt x="163" y="141"/>
                                      <a:pt x="164" y="141"/>
                                      <a:pt x="164" y="141"/>
                                    </a:cubicBezTo>
                                    <a:cubicBezTo>
                                      <a:pt x="165" y="141"/>
                                      <a:pt x="166" y="141"/>
                                      <a:pt x="166" y="140"/>
                                    </a:cubicBezTo>
                                    <a:cubicBezTo>
                                      <a:pt x="167" y="139"/>
                                      <a:pt x="167" y="137"/>
                                      <a:pt x="166" y="136"/>
                                    </a:cubicBezTo>
                                    <a:close/>
                                    <a:moveTo>
                                      <a:pt x="30" y="111"/>
                                    </a:moveTo>
                                    <a:cubicBezTo>
                                      <a:pt x="30" y="105"/>
                                      <a:pt x="36" y="96"/>
                                      <a:pt x="44" y="93"/>
                                    </a:cubicBezTo>
                                    <a:cubicBezTo>
                                      <a:pt x="48" y="92"/>
                                      <a:pt x="51" y="91"/>
                                      <a:pt x="51" y="88"/>
                                    </a:cubicBezTo>
                                    <a:cubicBezTo>
                                      <a:pt x="53" y="85"/>
                                      <a:pt x="52" y="79"/>
                                      <a:pt x="52" y="77"/>
                                    </a:cubicBezTo>
                                    <a:cubicBezTo>
                                      <a:pt x="51" y="76"/>
                                      <a:pt x="51" y="76"/>
                                      <a:pt x="51" y="76"/>
                                    </a:cubicBezTo>
                                    <a:cubicBezTo>
                                      <a:pt x="50" y="74"/>
                                      <a:pt x="49" y="72"/>
                                      <a:pt x="48" y="69"/>
                                    </a:cubicBezTo>
                                    <a:cubicBezTo>
                                      <a:pt x="47" y="67"/>
                                      <a:pt x="47" y="67"/>
                                      <a:pt x="47" y="67"/>
                                    </a:cubicBezTo>
                                    <a:cubicBezTo>
                                      <a:pt x="46" y="67"/>
                                      <a:pt x="46" y="67"/>
                                      <a:pt x="46" y="67"/>
                                    </a:cubicBezTo>
                                    <a:cubicBezTo>
                                      <a:pt x="44" y="66"/>
                                      <a:pt x="42" y="63"/>
                                      <a:pt x="42" y="60"/>
                                    </a:cubicBezTo>
                                    <a:cubicBezTo>
                                      <a:pt x="41" y="57"/>
                                      <a:pt x="42" y="55"/>
                                      <a:pt x="43" y="54"/>
                                    </a:cubicBezTo>
                                    <a:cubicBezTo>
                                      <a:pt x="44" y="53"/>
                                      <a:pt x="44" y="53"/>
                                      <a:pt x="44" y="53"/>
                                    </a:cubicBezTo>
                                    <a:cubicBezTo>
                                      <a:pt x="44" y="51"/>
                                      <a:pt x="44" y="51"/>
                                      <a:pt x="44" y="51"/>
                                    </a:cubicBezTo>
                                    <a:cubicBezTo>
                                      <a:pt x="43" y="46"/>
                                      <a:pt x="44" y="41"/>
                                      <a:pt x="47" y="37"/>
                                    </a:cubicBezTo>
                                    <a:cubicBezTo>
                                      <a:pt x="50" y="32"/>
                                      <a:pt x="56" y="29"/>
                                      <a:pt x="63" y="29"/>
                                    </a:cubicBezTo>
                                    <a:cubicBezTo>
                                      <a:pt x="71" y="29"/>
                                      <a:pt x="77" y="32"/>
                                      <a:pt x="80" y="37"/>
                                    </a:cubicBezTo>
                                    <a:cubicBezTo>
                                      <a:pt x="83" y="41"/>
                                      <a:pt x="84" y="46"/>
                                      <a:pt x="83" y="51"/>
                                    </a:cubicBezTo>
                                    <a:cubicBezTo>
                                      <a:pt x="83" y="54"/>
                                      <a:pt x="83" y="54"/>
                                      <a:pt x="83" y="54"/>
                                    </a:cubicBezTo>
                                    <a:cubicBezTo>
                                      <a:pt x="84" y="55"/>
                                      <a:pt x="84" y="55"/>
                                      <a:pt x="84" y="55"/>
                                    </a:cubicBezTo>
                                    <a:cubicBezTo>
                                      <a:pt x="85" y="55"/>
                                      <a:pt x="85" y="56"/>
                                      <a:pt x="85" y="60"/>
                                    </a:cubicBezTo>
                                    <a:cubicBezTo>
                                      <a:pt x="84" y="63"/>
                                      <a:pt x="83" y="66"/>
                                      <a:pt x="81" y="67"/>
                                    </a:cubicBezTo>
                                    <a:cubicBezTo>
                                      <a:pt x="79" y="67"/>
                                      <a:pt x="79" y="67"/>
                                      <a:pt x="79" y="67"/>
                                    </a:cubicBezTo>
                                    <a:cubicBezTo>
                                      <a:pt x="79" y="69"/>
                                      <a:pt x="79" y="69"/>
                                      <a:pt x="79" y="69"/>
                                    </a:cubicBezTo>
                                    <a:cubicBezTo>
                                      <a:pt x="78" y="72"/>
                                      <a:pt x="77" y="74"/>
                                      <a:pt x="76" y="77"/>
                                    </a:cubicBezTo>
                                    <a:cubicBezTo>
                                      <a:pt x="75" y="77"/>
                                      <a:pt x="75" y="77"/>
                                      <a:pt x="75" y="77"/>
                                    </a:cubicBezTo>
                                    <a:cubicBezTo>
                                      <a:pt x="75" y="81"/>
                                      <a:pt x="74" y="86"/>
                                      <a:pt x="75" y="88"/>
                                    </a:cubicBezTo>
                                    <a:cubicBezTo>
                                      <a:pt x="76" y="90"/>
                                      <a:pt x="78" y="91"/>
                                      <a:pt x="81" y="92"/>
                                    </a:cubicBezTo>
                                    <a:cubicBezTo>
                                      <a:pt x="82" y="93"/>
                                      <a:pt x="82" y="93"/>
                                      <a:pt x="82" y="93"/>
                                    </a:cubicBezTo>
                                    <a:cubicBezTo>
                                      <a:pt x="83" y="90"/>
                                      <a:pt x="83" y="90"/>
                                      <a:pt x="83" y="90"/>
                                    </a:cubicBezTo>
                                    <a:cubicBezTo>
                                      <a:pt x="83" y="90"/>
                                      <a:pt x="83" y="90"/>
                                      <a:pt x="83" y="90"/>
                                    </a:cubicBezTo>
                                    <a:cubicBezTo>
                                      <a:pt x="82" y="93"/>
                                      <a:pt x="82" y="93"/>
                                      <a:pt x="82" y="93"/>
                                    </a:cubicBezTo>
                                    <a:cubicBezTo>
                                      <a:pt x="88" y="95"/>
                                      <a:pt x="99" y="102"/>
                                      <a:pt x="99" y="110"/>
                                    </a:cubicBezTo>
                                    <a:cubicBezTo>
                                      <a:pt x="99" y="111"/>
                                      <a:pt x="99" y="111"/>
                                      <a:pt x="99" y="111"/>
                                    </a:cubicBezTo>
                                    <a:cubicBezTo>
                                      <a:pt x="89" y="118"/>
                                      <a:pt x="77" y="122"/>
                                      <a:pt x="64" y="122"/>
                                    </a:cubicBezTo>
                                    <a:cubicBezTo>
                                      <a:pt x="51" y="122"/>
                                      <a:pt x="40" y="118"/>
                                      <a:pt x="30" y="111"/>
                                    </a:cubicBezTo>
                                    <a:close/>
                                    <a:moveTo>
                                      <a:pt x="104" y="106"/>
                                    </a:moveTo>
                                    <a:cubicBezTo>
                                      <a:pt x="102" y="97"/>
                                      <a:pt x="92" y="91"/>
                                      <a:pt x="86" y="88"/>
                                    </a:cubicBezTo>
                                    <a:cubicBezTo>
                                      <a:pt x="87" y="88"/>
                                      <a:pt x="87" y="88"/>
                                      <a:pt x="87" y="88"/>
                                    </a:cubicBezTo>
                                    <a:cubicBezTo>
                                      <a:pt x="84" y="87"/>
                                      <a:pt x="84" y="87"/>
                                      <a:pt x="84" y="87"/>
                                    </a:cubicBezTo>
                                    <a:cubicBezTo>
                                      <a:pt x="84" y="87"/>
                                      <a:pt x="84" y="87"/>
                                      <a:pt x="84" y="87"/>
                                    </a:cubicBezTo>
                                    <a:cubicBezTo>
                                      <a:pt x="83" y="87"/>
                                      <a:pt x="83" y="87"/>
                                      <a:pt x="83" y="87"/>
                                    </a:cubicBezTo>
                                    <a:cubicBezTo>
                                      <a:pt x="82" y="86"/>
                                      <a:pt x="81" y="86"/>
                                      <a:pt x="81" y="86"/>
                                    </a:cubicBezTo>
                                    <a:cubicBezTo>
                                      <a:pt x="80" y="85"/>
                                      <a:pt x="80" y="82"/>
                                      <a:pt x="81" y="79"/>
                                    </a:cubicBezTo>
                                    <a:cubicBezTo>
                                      <a:pt x="82" y="77"/>
                                      <a:pt x="83" y="74"/>
                                      <a:pt x="84" y="72"/>
                                    </a:cubicBezTo>
                                    <a:cubicBezTo>
                                      <a:pt x="88" y="70"/>
                                      <a:pt x="90" y="65"/>
                                      <a:pt x="90" y="61"/>
                                    </a:cubicBezTo>
                                    <a:cubicBezTo>
                                      <a:pt x="91" y="58"/>
                                      <a:pt x="91" y="54"/>
                                      <a:pt x="89" y="51"/>
                                    </a:cubicBezTo>
                                    <a:cubicBezTo>
                                      <a:pt x="90" y="45"/>
                                      <a:pt x="88" y="39"/>
                                      <a:pt x="85" y="34"/>
                                    </a:cubicBezTo>
                                    <a:cubicBezTo>
                                      <a:pt x="80" y="27"/>
                                      <a:pt x="73" y="23"/>
                                      <a:pt x="63" y="23"/>
                                    </a:cubicBezTo>
                                    <a:cubicBezTo>
                                      <a:pt x="54" y="23"/>
                                      <a:pt x="47" y="27"/>
                                      <a:pt x="42" y="34"/>
                                    </a:cubicBezTo>
                                    <a:cubicBezTo>
                                      <a:pt x="38" y="39"/>
                                      <a:pt x="37" y="45"/>
                                      <a:pt x="38" y="51"/>
                                    </a:cubicBezTo>
                                    <a:cubicBezTo>
                                      <a:pt x="35" y="54"/>
                                      <a:pt x="36" y="58"/>
                                      <a:pt x="36" y="61"/>
                                    </a:cubicBezTo>
                                    <a:cubicBezTo>
                                      <a:pt x="37" y="65"/>
                                      <a:pt x="39" y="70"/>
                                      <a:pt x="43" y="72"/>
                                    </a:cubicBezTo>
                                    <a:cubicBezTo>
                                      <a:pt x="44" y="74"/>
                                      <a:pt x="45" y="77"/>
                                      <a:pt x="46" y="79"/>
                                    </a:cubicBezTo>
                                    <a:cubicBezTo>
                                      <a:pt x="46" y="82"/>
                                      <a:pt x="46" y="85"/>
                                      <a:pt x="46" y="86"/>
                                    </a:cubicBezTo>
                                    <a:cubicBezTo>
                                      <a:pt x="45" y="87"/>
                                      <a:pt x="43" y="87"/>
                                      <a:pt x="42" y="88"/>
                                    </a:cubicBezTo>
                                    <a:cubicBezTo>
                                      <a:pt x="33" y="91"/>
                                      <a:pt x="27" y="100"/>
                                      <a:pt x="25" y="107"/>
                                    </a:cubicBezTo>
                                    <a:cubicBezTo>
                                      <a:pt x="13" y="96"/>
                                      <a:pt x="6" y="81"/>
                                      <a:pt x="6" y="64"/>
                                    </a:cubicBezTo>
                                    <a:cubicBezTo>
                                      <a:pt x="6" y="32"/>
                                      <a:pt x="32" y="6"/>
                                      <a:pt x="64" y="6"/>
                                    </a:cubicBezTo>
                                    <a:cubicBezTo>
                                      <a:pt x="96" y="6"/>
                                      <a:pt x="122" y="32"/>
                                      <a:pt x="122" y="64"/>
                                    </a:cubicBezTo>
                                    <a:cubicBezTo>
                                      <a:pt x="122" y="77"/>
                                      <a:pt x="118" y="89"/>
                                      <a:pt x="111" y="98"/>
                                    </a:cubicBezTo>
                                    <a:cubicBezTo>
                                      <a:pt x="111" y="99"/>
                                      <a:pt x="110" y="99"/>
                                      <a:pt x="110" y="99"/>
                                    </a:cubicBezTo>
                                    <a:cubicBezTo>
                                      <a:pt x="110" y="100"/>
                                      <a:pt x="110" y="100"/>
                                      <a:pt x="110" y="100"/>
                                    </a:cubicBezTo>
                                    <a:cubicBezTo>
                                      <a:pt x="108" y="102"/>
                                      <a:pt x="106" y="105"/>
                                      <a:pt x="104" y="106"/>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a:graphicData>
                      </a:graphic>
                    </wp:inline>
                  </w:drawing>
                </mc:Choice>
                <mc:Fallback>
                  <w:pict>
                    <v:shape w14:anchorId="2399246B" id="Freeform 5" o:spid="_x0000_s1026" alt="&quot;&quot;" style="width:39.75pt;height:33.75pt;visibility:visible;mso-wrap-style:square;mso-left-percent:-10001;mso-top-percent:-10001;mso-position-horizontal:absolute;mso-position-horizontal-relative:char;mso-position-vertical:absolute;mso-position-vertical-relative:line;mso-left-percent:-10001;mso-top-percent:-10001;v-text-anchor:top" coordsize="167,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" path="m166,136c117,100,117,100,117,100v7,-10,11,-22,11,-36c128,29,99,,64,,29,,,29,,64v,35,29,64,64,64c84,128,102,119,113,105v49,35,49,35,49,35c163,141,164,141,164,141v1,,2,,2,-1c167,139,167,137,166,136xm30,111v,-6,6,-15,14,-18c48,92,51,91,51,88v2,-3,1,-9,1,-11c51,76,51,76,51,76,50,74,49,72,48,69,47,67,47,67,47,67v-1,,-1,,-1,c44,66,42,63,42,60v-1,-3,,-5,1,-6c44,53,44,53,44,53v,-2,,-2,,-2c43,46,44,41,47,37v3,-5,9,-8,16,-8c71,29,77,32,80,37v3,4,4,9,3,14c83,54,83,54,83,54v1,1,1,1,1,1c85,55,85,56,85,60v-1,3,-2,6,-4,7c79,67,79,67,79,67v,2,,2,,2c78,72,77,74,76,77v-1,,-1,,-1,c75,81,74,86,75,88v1,2,3,3,6,4c82,93,82,93,82,93v1,-3,1,-3,1,-3c83,90,83,90,83,90v-1,3,-1,3,-1,3c88,95,99,102,99,110v,1,,1,,1c89,118,77,122,64,122v-13,,-24,-4,-34,-11xm104,106c102,97,92,91,86,88v1,,1,,1,c84,87,84,87,84,87v,,,,,c83,87,83,87,83,87,82,86,81,86,81,86v-1,-1,-1,-4,,-7c82,77,83,74,84,72v4,-2,6,-7,6,-11c91,58,91,54,89,51,90,45,88,39,85,34,80,27,73,23,63,23v-9,,-16,4,-21,11c38,39,37,45,38,51v-3,3,-2,7,-2,10c37,65,39,70,43,72v1,2,2,5,3,7c46,82,46,85,46,86v-1,1,-3,1,-4,2c33,91,27,100,25,107,13,96,6,81,6,64,6,32,32,6,64,6v32,,58,26,58,58c122,77,118,89,111,98v,1,-1,1,-1,1c110,100,110,100,110,100v-2,2,-4,5,-6,6xe" fillcolor="#25b3e0 [3209]" stroked="f">
                      <v:path arrowok="t" o:connecttype="custom" o:connectlocs="353680,304150;193466,0;193466,389312;489711,425810;501803,425810;90687,337606;154168,267652;154168,231154;142077,203780;126962,182490;133008,161199;142077,112535;241833,112535;250902,164241;256947,182490;238810,203780;229741,234195;226718,267652;247879,282859;250902,273735;299268,334565;193466,371063;314383,322399;262993,267652;253924,264610;244856,261569;253924,218988;269039,155116;190443,69954;114871,155116;129985,218988;139054,261569;75573,325440;193466,18249;335543,298067;332520,304150" o:connectangles="0,0,0,0,0,0,0,0,0,0,0,0,0,0,0,0,0,0,0,0,0,0,0,0,0,0,0,0,0,0,0,0,0,0,0,0"/>
                      <o:lock v:ext="edit" aspectratio="t" verticies="t"/>
                      <w10:anchorlock/>
                    </v:shape>
                  </w:pict>
                </mc:Fallback>
              </mc:AlternateContent>
            </w:r>
          </w:p>
          <w:p w14:paraId="195C719A" w14:textId="147C4E16" w:rsidR="001158BB" w:rsidRPr="005825BD" w:rsidRDefault="1648F9AB" w:rsidP="00A117E4">
            <w:pPr>
              <w:pStyle w:val="TableNheader"/>
            </w:pPr>
            <w:r>
              <w:t xml:space="preserve">People </w:t>
            </w:r>
            <w:r w:rsidR="00242AE2">
              <w:t>who engaged after</w:t>
            </w:r>
            <w:r>
              <w:t xml:space="preserve"> their first suicide attempt</w:t>
            </w:r>
            <w:r w:rsidR="00242AE2">
              <w:t>,</w:t>
            </w:r>
            <w:r>
              <w:t xml:space="preserve"> had low engagement with similar services previously</w:t>
            </w:r>
          </w:p>
        </w:tc>
        <w:tc>
          <w:tcPr>
            <w:tcW w:w="3119" w:type="dxa"/>
            <w:shd w:val="clear" w:color="auto" w:fill="auto"/>
          </w:tcPr>
          <w:p w14:paraId="0A7ED686" w14:textId="5C6DB479" w:rsidR="001158BB" w:rsidRPr="00623868" w:rsidRDefault="001C2FBB" w:rsidP="00623868">
            <w:r w:rsidRPr="00623868">
              <w:t>Providers</w:t>
            </w:r>
            <w:r w:rsidR="1648F9AB" w:rsidRPr="00623868">
              <w:t xml:space="preserve"> and participants </w:t>
            </w:r>
            <w:r w:rsidRPr="00623868">
              <w:t xml:space="preserve">in interviews </w:t>
            </w:r>
            <w:r w:rsidR="1648F9AB" w:rsidRPr="00623868">
              <w:t xml:space="preserve">indicated that people who had experienced their first suicide attempt or had not engaged with similar services previously found The Way Back to be effective. </w:t>
            </w:r>
            <w:r w:rsidR="66FBA3DA" w:rsidRPr="00623868">
              <w:t xml:space="preserve">The available </w:t>
            </w:r>
            <w:r w:rsidR="00242AE2" w:rsidRPr="00623868">
              <w:t xml:space="preserve">evidence </w:t>
            </w:r>
            <w:r w:rsidR="66FBA3DA" w:rsidRPr="00623868">
              <w:t xml:space="preserve">has </w:t>
            </w:r>
            <w:r w:rsidR="1648F9AB" w:rsidRPr="00623868">
              <w:t xml:space="preserve">found that participants </w:t>
            </w:r>
            <w:r w:rsidR="66FBA3DA" w:rsidRPr="00623868">
              <w:t xml:space="preserve">have </w:t>
            </w:r>
            <w:r w:rsidR="1648F9AB" w:rsidRPr="00623868">
              <w:t xml:space="preserve">better outcomes if they accessed aftercare support after their first </w:t>
            </w:r>
            <w:r w:rsidR="00242AE2" w:rsidRPr="00623868">
              <w:t xml:space="preserve">suicide </w:t>
            </w:r>
            <w:r w:rsidR="1648F9AB" w:rsidRPr="00623868">
              <w:t>attempt</w:t>
            </w:r>
            <w:r w:rsidR="00242AE2" w:rsidRPr="00623868">
              <w:t>, than those who have access aftercare support after multiple suicide attempts</w:t>
            </w:r>
            <w:r w:rsidR="1648F9AB" w:rsidRPr="00623868">
              <w:t>.</w:t>
            </w:r>
            <w:r w:rsidR="001158BB" w:rsidRPr="00623868">
              <w:footnoteReference w:id="127"/>
            </w:r>
            <w:r w:rsidR="1648F9AB" w:rsidRPr="00623868">
              <w:t xml:space="preserve"> </w:t>
            </w:r>
          </w:p>
        </w:tc>
        <w:tc>
          <w:tcPr>
            <w:tcW w:w="3958" w:type="dxa"/>
            <w:shd w:val="clear" w:color="auto" w:fill="auto"/>
          </w:tcPr>
          <w:p w14:paraId="58B6CC04" w14:textId="150209C9" w:rsidR="001158BB" w:rsidRPr="00623868" w:rsidRDefault="0019499D" w:rsidP="00623868">
            <w:r w:rsidRPr="00623868">
              <w:t xml:space="preserve">There was limited data available to the evaluation to highlight whether mechanisms of change </w:t>
            </w:r>
            <w:r w:rsidR="009E367B" w:rsidRPr="00623868">
              <w:t xml:space="preserve">differ for these cohorts. </w:t>
            </w:r>
          </w:p>
        </w:tc>
      </w:tr>
      <w:tr w:rsidR="005C548A" w:rsidRPr="005825BD" w14:paraId="212E8B1F" w14:textId="4B54235C" w:rsidTr="00F77C16">
        <w:tc>
          <w:tcPr>
            <w:tcW w:w="1823" w:type="dxa"/>
            <w:shd w:val="clear" w:color="auto" w:fill="E6E6E1" w:themeFill="accent5"/>
          </w:tcPr>
          <w:p w14:paraId="5E84A69C" w14:textId="77777777" w:rsidR="001158BB" w:rsidRPr="005825BD" w:rsidRDefault="001158BB" w:rsidP="00A117E4">
            <w:pPr>
              <w:pStyle w:val="TableNheader"/>
            </w:pPr>
            <w:r w:rsidRPr="005825BD">
              <w:rPr>
                <w:noProof/>
              </w:rPr>
              <w:lastRenderedPageBreak/>
              <w:drawing>
                <wp:inline distT="0" distB="0" distL="0" distR="0" wp14:anchorId="2F0CAA75" wp14:editId="7CD6CE12">
                  <wp:extent cx="346853" cy="447550"/>
                  <wp:effectExtent l="0" t="0" r="0" b="0"/>
                  <wp:docPr id="215" name="Graphic 214">
                    <a:extLst xmlns:a="http://schemas.openxmlformats.org/drawingml/2006/main">
                      <a:ext uri="{FF2B5EF4-FFF2-40B4-BE49-F238E27FC236}">
                        <a16:creationId xmlns:a16="http://schemas.microsoft.com/office/drawing/2014/main" id="{7FD69AD5-2C09-43F0-A7BF-A19EE33165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4">
                            <a:extLst>
                              <a:ext uri="{FF2B5EF4-FFF2-40B4-BE49-F238E27FC236}">
                                <a16:creationId xmlns:a16="http://schemas.microsoft.com/office/drawing/2014/main" id="{7FD69AD5-2C09-43F0-A7BF-A19EE33165AD}"/>
                              </a:ext>
                              <a:ext uri="{C183D7F6-B498-43B3-948B-1728B52AA6E4}">
                                <adec:decorative xmlns:adec="http://schemas.microsoft.com/office/drawing/2017/decorative" val="1"/>
                              </a:ext>
                            </a:extLst>
                          </pic:cNvPr>
                          <pic:cNvPicPr>
                            <a:picLocks noChangeAspect="1"/>
                          </pic:cNvPicPr>
                        </pic:nvPicPr>
                        <pic:blipFill>
                          <a:blip r:embed="rId100">
                            <a:extLst>
                              <a:ext uri="{96DAC541-7B7A-43D3-8B79-37D633B846F1}">
                                <asvg:svgBlip xmlns:asvg="http://schemas.microsoft.com/office/drawing/2016/SVG/main" r:embed="rId101"/>
                              </a:ext>
                            </a:extLst>
                          </a:blip>
                          <a:stretch>
                            <a:fillRect/>
                          </a:stretch>
                        </pic:blipFill>
                        <pic:spPr>
                          <a:xfrm>
                            <a:off x="0" y="0"/>
                            <a:ext cx="346853" cy="447550"/>
                          </a:xfrm>
                          <a:prstGeom prst="rect">
                            <a:avLst/>
                          </a:prstGeom>
                        </pic:spPr>
                      </pic:pic>
                    </a:graphicData>
                  </a:graphic>
                </wp:inline>
              </w:drawing>
            </w:r>
          </w:p>
          <w:p w14:paraId="21F88764" w14:textId="77777777" w:rsidR="001158BB" w:rsidRPr="005825BD" w:rsidRDefault="001158BB" w:rsidP="00A117E4">
            <w:pPr>
              <w:pStyle w:val="TableNheader"/>
            </w:pPr>
            <w:r w:rsidRPr="005825BD">
              <w:t>People who are carers</w:t>
            </w:r>
          </w:p>
        </w:tc>
        <w:tc>
          <w:tcPr>
            <w:tcW w:w="3119" w:type="dxa"/>
            <w:shd w:val="clear" w:color="auto" w:fill="auto"/>
          </w:tcPr>
          <w:p w14:paraId="715D3E5E" w14:textId="77B1657D" w:rsidR="001158BB" w:rsidRPr="00623868" w:rsidRDefault="001158BB" w:rsidP="00623868">
            <w:r w:rsidRPr="00623868">
              <w:t xml:space="preserve">Participants who were carers outlined that they often did not take time out to care for themselves and did not see their own needs as important. </w:t>
            </w:r>
            <w:r w:rsidR="001C2FBB" w:rsidRPr="00623868">
              <w:t>Providers</w:t>
            </w:r>
            <w:r w:rsidRPr="00623868">
              <w:t xml:space="preserve"> observed that participants who were carers seemed to feel very alone in their experience. </w:t>
            </w:r>
          </w:p>
        </w:tc>
        <w:tc>
          <w:tcPr>
            <w:tcW w:w="3958" w:type="dxa"/>
            <w:shd w:val="clear" w:color="auto" w:fill="auto"/>
          </w:tcPr>
          <w:p w14:paraId="75DD5FE1" w14:textId="75EDCFE2" w:rsidR="001158BB" w:rsidRPr="00623868" w:rsidRDefault="001C2FBB" w:rsidP="00623868">
            <w:r w:rsidRPr="00623868">
              <w:t>Providers in interviews</w:t>
            </w:r>
            <w:r w:rsidR="10A7B49E" w:rsidRPr="00623868">
              <w:t xml:space="preserve"> outlined that support, encouragement, and </w:t>
            </w:r>
            <w:r w:rsidR="005F6EE4" w:rsidRPr="00623868">
              <w:t>Socratic</w:t>
            </w:r>
            <w:r w:rsidR="10A7B49E" w:rsidRPr="00623868">
              <w:t xml:space="preserve"> questioning</w:t>
            </w:r>
            <w:r w:rsidR="00B57E1F" w:rsidRPr="00623868">
              <w:footnoteReference w:id="128"/>
            </w:r>
            <w:r w:rsidR="10A7B49E" w:rsidRPr="00623868">
              <w:t xml:space="preserve"> helped participants to understand that their needs were also important (or that they needed to be in a good place to be able to continue caring). They suggested normalising this behaviour </w:t>
            </w:r>
            <w:r w:rsidRPr="00623868">
              <w:t xml:space="preserve">of self-care </w:t>
            </w:r>
            <w:r w:rsidR="10A7B49E" w:rsidRPr="00623868">
              <w:t>was important and could be achieved via connecting participants to groups where they could meet others who were experiencing similar thoughts, build supportive relationships and learn from one another.</w:t>
            </w:r>
          </w:p>
        </w:tc>
      </w:tr>
      <w:tr w:rsidR="005C548A" w:rsidRPr="005825BD" w14:paraId="2F54FB82" w14:textId="129BB5FD" w:rsidTr="00F77C16">
        <w:tc>
          <w:tcPr>
            <w:tcW w:w="1823" w:type="dxa"/>
            <w:shd w:val="clear" w:color="auto" w:fill="E6E6E1" w:themeFill="accent5"/>
          </w:tcPr>
          <w:p w14:paraId="119BD831" w14:textId="77777777" w:rsidR="001158BB" w:rsidRPr="005825BD" w:rsidRDefault="001158BB" w:rsidP="00A117E4">
            <w:pPr>
              <w:pStyle w:val="TableNheader"/>
            </w:pPr>
            <w:r w:rsidRPr="005825BD">
              <w:rPr>
                <w:noProof/>
              </w:rPr>
              <mc:AlternateContent>
                <mc:Choice Requires="wpg">
                  <w:drawing>
                    <wp:inline distT="0" distB="0" distL="0" distR="0" wp14:anchorId="17489F79" wp14:editId="35334A59">
                      <wp:extent cx="427907" cy="363442"/>
                      <wp:effectExtent l="0" t="0" r="0" b="0"/>
                      <wp:docPr id="27869" name="Group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907" cy="363442"/>
                                <a:chOff x="0" y="0"/>
                                <a:chExt cx="611188" cy="519112"/>
                              </a:xfrm>
                              <a:solidFill>
                                <a:schemeClr val="accent6"/>
                              </a:solidFill>
                            </wpg:grpSpPr>
                            <wps:wsp>
                              <wps:cNvPr id="27870" name="Freeform 15"/>
                              <wps:cNvSpPr>
                                <a:spLocks/>
                              </wps:cNvSpPr>
                              <wps:spPr bwMode="auto">
                                <a:xfrm>
                                  <a:off x="0" y="14287"/>
                                  <a:ext cx="611188" cy="504825"/>
                                </a:xfrm>
                                <a:custGeom>
                                  <a:avLst/>
                                  <a:gdLst>
                                    <a:gd name="T0" fmla="*/ 90 w 175"/>
                                    <a:gd name="T1" fmla="*/ 143 h 144"/>
                                    <a:gd name="T2" fmla="*/ 90 w 175"/>
                                    <a:gd name="T3" fmla="*/ 126 h 144"/>
                                    <a:gd name="T4" fmla="*/ 112 w 175"/>
                                    <a:gd name="T5" fmla="*/ 90 h 144"/>
                                    <a:gd name="T6" fmla="*/ 130 w 175"/>
                                    <a:gd name="T7" fmla="*/ 68 h 144"/>
                                    <a:gd name="T8" fmla="*/ 142 w 175"/>
                                    <a:gd name="T9" fmla="*/ 72 h 144"/>
                                    <a:gd name="T10" fmla="*/ 141 w 175"/>
                                    <a:gd name="T11" fmla="*/ 72 h 144"/>
                                    <a:gd name="T12" fmla="*/ 136 w 175"/>
                                    <a:gd name="T13" fmla="*/ 78 h 144"/>
                                    <a:gd name="T14" fmla="*/ 139 w 175"/>
                                    <a:gd name="T15" fmla="*/ 84 h 144"/>
                                    <a:gd name="T16" fmla="*/ 147 w 175"/>
                                    <a:gd name="T17" fmla="*/ 76 h 144"/>
                                    <a:gd name="T18" fmla="*/ 150 w 175"/>
                                    <a:gd name="T19" fmla="*/ 71 h 144"/>
                                    <a:gd name="T20" fmla="*/ 150 w 175"/>
                                    <a:gd name="T21" fmla="*/ 19 h 144"/>
                                    <a:gd name="T22" fmla="*/ 167 w 175"/>
                                    <a:gd name="T23" fmla="*/ 42 h 144"/>
                                    <a:gd name="T24" fmla="*/ 122 w 175"/>
                                    <a:gd name="T25" fmla="*/ 123 h 144"/>
                                    <a:gd name="T26" fmla="*/ 121 w 175"/>
                                    <a:gd name="T27" fmla="*/ 141 h 144"/>
                                    <a:gd name="T28" fmla="*/ 127 w 175"/>
                                    <a:gd name="T29" fmla="*/ 141 h 144"/>
                                    <a:gd name="T30" fmla="*/ 170 w 175"/>
                                    <a:gd name="T31" fmla="*/ 75 h 144"/>
                                    <a:gd name="T32" fmla="*/ 158 w 175"/>
                                    <a:gd name="T33" fmla="*/ 3 h 144"/>
                                    <a:gd name="T34" fmla="*/ 144 w 175"/>
                                    <a:gd name="T35" fmla="*/ 22 h 144"/>
                                    <a:gd name="T36" fmla="*/ 152 w 175"/>
                                    <a:gd name="T37" fmla="*/ 54 h 144"/>
                                    <a:gd name="T38" fmla="*/ 125 w 175"/>
                                    <a:gd name="T39" fmla="*/ 64 h 144"/>
                                    <a:gd name="T40" fmla="*/ 109 w 175"/>
                                    <a:gd name="T41" fmla="*/ 84 h 144"/>
                                    <a:gd name="T42" fmla="*/ 87 w 175"/>
                                    <a:gd name="T43" fmla="*/ 101 h 144"/>
                                    <a:gd name="T44" fmla="*/ 66 w 175"/>
                                    <a:gd name="T45" fmla="*/ 84 h 144"/>
                                    <a:gd name="T46" fmla="*/ 50 w 175"/>
                                    <a:gd name="T47" fmla="*/ 64 h 144"/>
                                    <a:gd name="T48" fmla="*/ 23 w 175"/>
                                    <a:gd name="T49" fmla="*/ 54 h 144"/>
                                    <a:gd name="T50" fmla="*/ 31 w 175"/>
                                    <a:gd name="T51" fmla="*/ 21 h 144"/>
                                    <a:gd name="T52" fmla="*/ 17 w 175"/>
                                    <a:gd name="T53" fmla="*/ 3 h 144"/>
                                    <a:gd name="T54" fmla="*/ 5 w 175"/>
                                    <a:gd name="T55" fmla="*/ 75 h 144"/>
                                    <a:gd name="T56" fmla="*/ 48 w 175"/>
                                    <a:gd name="T57" fmla="*/ 141 h 144"/>
                                    <a:gd name="T58" fmla="*/ 54 w 175"/>
                                    <a:gd name="T59" fmla="*/ 141 h 144"/>
                                    <a:gd name="T60" fmla="*/ 53 w 175"/>
                                    <a:gd name="T61" fmla="*/ 123 h 144"/>
                                    <a:gd name="T62" fmla="*/ 8 w 175"/>
                                    <a:gd name="T63" fmla="*/ 42 h 144"/>
                                    <a:gd name="T64" fmla="*/ 25 w 175"/>
                                    <a:gd name="T65" fmla="*/ 19 h 144"/>
                                    <a:gd name="T66" fmla="*/ 25 w 175"/>
                                    <a:gd name="T67" fmla="*/ 71 h 144"/>
                                    <a:gd name="T68" fmla="*/ 29 w 175"/>
                                    <a:gd name="T69" fmla="*/ 77 h 144"/>
                                    <a:gd name="T70" fmla="*/ 41 w 175"/>
                                    <a:gd name="T71" fmla="*/ 83 h 144"/>
                                    <a:gd name="T72" fmla="*/ 39 w 175"/>
                                    <a:gd name="T73" fmla="*/ 78 h 144"/>
                                    <a:gd name="T74" fmla="*/ 34 w 175"/>
                                    <a:gd name="T75" fmla="*/ 73 h 144"/>
                                    <a:gd name="T76" fmla="*/ 31 w 175"/>
                                    <a:gd name="T77" fmla="*/ 54 h 144"/>
                                    <a:gd name="T78" fmla="*/ 50 w 175"/>
                                    <a:gd name="T79" fmla="*/ 75 h 144"/>
                                    <a:gd name="T80" fmla="*/ 75 w 175"/>
                                    <a:gd name="T81" fmla="*/ 96 h 144"/>
                                    <a:gd name="T82" fmla="*/ 84 w 175"/>
                                    <a:gd name="T83" fmla="*/ 141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75" h="144">
                                      <a:moveTo>
                                        <a:pt x="87" y="144"/>
                                      </a:moveTo>
                                      <a:cubicBezTo>
                                        <a:pt x="88" y="144"/>
                                        <a:pt x="89" y="144"/>
                                        <a:pt x="90" y="143"/>
                                      </a:cubicBezTo>
                                      <a:cubicBezTo>
                                        <a:pt x="90" y="143"/>
                                        <a:pt x="91" y="142"/>
                                        <a:pt x="91" y="141"/>
                                      </a:cubicBezTo>
                                      <a:cubicBezTo>
                                        <a:pt x="90" y="126"/>
                                        <a:pt x="90" y="126"/>
                                        <a:pt x="90" y="126"/>
                                      </a:cubicBezTo>
                                      <a:cubicBezTo>
                                        <a:pt x="90" y="105"/>
                                        <a:pt x="89" y="107"/>
                                        <a:pt x="99" y="96"/>
                                      </a:cubicBezTo>
                                      <a:cubicBezTo>
                                        <a:pt x="102" y="93"/>
                                        <a:pt x="106" y="92"/>
                                        <a:pt x="112" y="90"/>
                                      </a:cubicBezTo>
                                      <a:cubicBezTo>
                                        <a:pt x="117" y="88"/>
                                        <a:pt x="120" y="82"/>
                                        <a:pt x="125" y="75"/>
                                      </a:cubicBezTo>
                                      <a:cubicBezTo>
                                        <a:pt x="126" y="73"/>
                                        <a:pt x="128" y="70"/>
                                        <a:pt x="130" y="68"/>
                                      </a:cubicBezTo>
                                      <a:cubicBezTo>
                                        <a:pt x="134" y="62"/>
                                        <a:pt x="141" y="53"/>
                                        <a:pt x="144" y="54"/>
                                      </a:cubicBezTo>
                                      <a:cubicBezTo>
                                        <a:pt x="148" y="57"/>
                                        <a:pt x="145" y="65"/>
                                        <a:pt x="142" y="72"/>
                                      </a:cubicBezTo>
                                      <a:cubicBezTo>
                                        <a:pt x="141" y="72"/>
                                        <a:pt x="141" y="72"/>
                                        <a:pt x="141" y="72"/>
                                      </a:cubicBezTo>
                                      <a:cubicBezTo>
                                        <a:pt x="141" y="72"/>
                                        <a:pt x="141" y="72"/>
                                        <a:pt x="141" y="72"/>
                                      </a:cubicBezTo>
                                      <a:cubicBezTo>
                                        <a:pt x="141" y="73"/>
                                        <a:pt x="141" y="73"/>
                                        <a:pt x="141" y="73"/>
                                      </a:cubicBezTo>
                                      <a:cubicBezTo>
                                        <a:pt x="139" y="75"/>
                                        <a:pt x="137" y="78"/>
                                        <a:pt x="136" y="78"/>
                                      </a:cubicBezTo>
                                      <a:cubicBezTo>
                                        <a:pt x="134" y="79"/>
                                        <a:pt x="134" y="81"/>
                                        <a:pt x="134" y="83"/>
                                      </a:cubicBezTo>
                                      <a:cubicBezTo>
                                        <a:pt x="135" y="84"/>
                                        <a:pt x="137" y="85"/>
                                        <a:pt x="139" y="84"/>
                                      </a:cubicBezTo>
                                      <a:cubicBezTo>
                                        <a:pt x="141" y="83"/>
                                        <a:pt x="145" y="78"/>
                                        <a:pt x="146" y="77"/>
                                      </a:cubicBezTo>
                                      <a:cubicBezTo>
                                        <a:pt x="147" y="76"/>
                                        <a:pt x="147" y="76"/>
                                        <a:pt x="147" y="76"/>
                                      </a:cubicBezTo>
                                      <a:cubicBezTo>
                                        <a:pt x="148" y="74"/>
                                        <a:pt x="149" y="73"/>
                                        <a:pt x="149" y="72"/>
                                      </a:cubicBezTo>
                                      <a:cubicBezTo>
                                        <a:pt x="150" y="71"/>
                                        <a:pt x="150" y="71"/>
                                        <a:pt x="150" y="71"/>
                                      </a:cubicBezTo>
                                      <a:cubicBezTo>
                                        <a:pt x="156" y="61"/>
                                        <a:pt x="159" y="56"/>
                                        <a:pt x="159" y="45"/>
                                      </a:cubicBezTo>
                                      <a:cubicBezTo>
                                        <a:pt x="159" y="41"/>
                                        <a:pt x="150" y="19"/>
                                        <a:pt x="150" y="19"/>
                                      </a:cubicBezTo>
                                      <a:cubicBezTo>
                                        <a:pt x="148" y="15"/>
                                        <a:pt x="151" y="9"/>
                                        <a:pt x="154" y="8"/>
                                      </a:cubicBezTo>
                                      <a:cubicBezTo>
                                        <a:pt x="160" y="16"/>
                                        <a:pt x="166" y="35"/>
                                        <a:pt x="167" y="42"/>
                                      </a:cubicBezTo>
                                      <a:cubicBezTo>
                                        <a:pt x="168" y="46"/>
                                        <a:pt x="167" y="63"/>
                                        <a:pt x="164" y="74"/>
                                      </a:cubicBezTo>
                                      <a:cubicBezTo>
                                        <a:pt x="159" y="95"/>
                                        <a:pt x="123" y="123"/>
                                        <a:pt x="122" y="123"/>
                                      </a:cubicBezTo>
                                      <a:cubicBezTo>
                                        <a:pt x="122" y="124"/>
                                        <a:pt x="121" y="124"/>
                                        <a:pt x="121" y="125"/>
                                      </a:cubicBezTo>
                                      <a:cubicBezTo>
                                        <a:pt x="121" y="141"/>
                                        <a:pt x="121" y="141"/>
                                        <a:pt x="121" y="141"/>
                                      </a:cubicBezTo>
                                      <a:cubicBezTo>
                                        <a:pt x="121" y="143"/>
                                        <a:pt x="122" y="144"/>
                                        <a:pt x="124" y="144"/>
                                      </a:cubicBezTo>
                                      <a:cubicBezTo>
                                        <a:pt x="126" y="144"/>
                                        <a:pt x="127" y="143"/>
                                        <a:pt x="127" y="141"/>
                                      </a:cubicBezTo>
                                      <a:cubicBezTo>
                                        <a:pt x="127" y="127"/>
                                        <a:pt x="127" y="127"/>
                                        <a:pt x="127" y="127"/>
                                      </a:cubicBezTo>
                                      <a:cubicBezTo>
                                        <a:pt x="135" y="121"/>
                                        <a:pt x="166" y="97"/>
                                        <a:pt x="170" y="75"/>
                                      </a:cubicBezTo>
                                      <a:cubicBezTo>
                                        <a:pt x="172" y="66"/>
                                        <a:pt x="175" y="46"/>
                                        <a:pt x="174" y="41"/>
                                      </a:cubicBezTo>
                                      <a:cubicBezTo>
                                        <a:pt x="173" y="40"/>
                                        <a:pt x="167" y="14"/>
                                        <a:pt x="158" y="3"/>
                                      </a:cubicBezTo>
                                      <a:cubicBezTo>
                                        <a:pt x="157" y="1"/>
                                        <a:pt x="154" y="0"/>
                                        <a:pt x="151" y="2"/>
                                      </a:cubicBezTo>
                                      <a:cubicBezTo>
                                        <a:pt x="146" y="4"/>
                                        <a:pt x="141" y="13"/>
                                        <a:pt x="144" y="22"/>
                                      </a:cubicBezTo>
                                      <a:cubicBezTo>
                                        <a:pt x="147" y="27"/>
                                        <a:pt x="152" y="43"/>
                                        <a:pt x="152" y="45"/>
                                      </a:cubicBezTo>
                                      <a:cubicBezTo>
                                        <a:pt x="152" y="49"/>
                                        <a:pt x="152" y="51"/>
                                        <a:pt x="152" y="54"/>
                                      </a:cubicBezTo>
                                      <a:cubicBezTo>
                                        <a:pt x="151" y="52"/>
                                        <a:pt x="149" y="50"/>
                                        <a:pt x="147" y="49"/>
                                      </a:cubicBezTo>
                                      <a:cubicBezTo>
                                        <a:pt x="140" y="44"/>
                                        <a:pt x="133" y="54"/>
                                        <a:pt x="125" y="64"/>
                                      </a:cubicBezTo>
                                      <a:cubicBezTo>
                                        <a:pt x="123" y="67"/>
                                        <a:pt x="121" y="69"/>
                                        <a:pt x="119" y="72"/>
                                      </a:cubicBezTo>
                                      <a:cubicBezTo>
                                        <a:pt x="115" y="77"/>
                                        <a:pt x="114" y="82"/>
                                        <a:pt x="109" y="84"/>
                                      </a:cubicBezTo>
                                      <a:cubicBezTo>
                                        <a:pt x="106" y="86"/>
                                        <a:pt x="103" y="87"/>
                                        <a:pt x="97" y="91"/>
                                      </a:cubicBezTo>
                                      <a:cubicBezTo>
                                        <a:pt x="93" y="93"/>
                                        <a:pt x="90" y="97"/>
                                        <a:pt x="87" y="101"/>
                                      </a:cubicBezTo>
                                      <a:cubicBezTo>
                                        <a:pt x="85" y="97"/>
                                        <a:pt x="82" y="93"/>
                                        <a:pt x="78" y="91"/>
                                      </a:cubicBezTo>
                                      <a:cubicBezTo>
                                        <a:pt x="72" y="87"/>
                                        <a:pt x="69" y="86"/>
                                        <a:pt x="66" y="84"/>
                                      </a:cubicBezTo>
                                      <a:cubicBezTo>
                                        <a:pt x="61" y="82"/>
                                        <a:pt x="60" y="77"/>
                                        <a:pt x="55" y="71"/>
                                      </a:cubicBezTo>
                                      <a:cubicBezTo>
                                        <a:pt x="53" y="69"/>
                                        <a:pt x="52" y="66"/>
                                        <a:pt x="50" y="64"/>
                                      </a:cubicBezTo>
                                      <a:cubicBezTo>
                                        <a:pt x="42" y="54"/>
                                        <a:pt x="35" y="44"/>
                                        <a:pt x="28" y="49"/>
                                      </a:cubicBezTo>
                                      <a:cubicBezTo>
                                        <a:pt x="26" y="50"/>
                                        <a:pt x="24" y="52"/>
                                        <a:pt x="23" y="54"/>
                                      </a:cubicBezTo>
                                      <a:cubicBezTo>
                                        <a:pt x="23" y="51"/>
                                        <a:pt x="22" y="49"/>
                                        <a:pt x="22" y="45"/>
                                      </a:cubicBezTo>
                                      <a:cubicBezTo>
                                        <a:pt x="23" y="43"/>
                                        <a:pt x="28" y="27"/>
                                        <a:pt x="31" y="21"/>
                                      </a:cubicBezTo>
                                      <a:cubicBezTo>
                                        <a:pt x="34" y="13"/>
                                        <a:pt x="29" y="4"/>
                                        <a:pt x="24" y="2"/>
                                      </a:cubicBezTo>
                                      <a:cubicBezTo>
                                        <a:pt x="21" y="0"/>
                                        <a:pt x="18" y="1"/>
                                        <a:pt x="17" y="3"/>
                                      </a:cubicBezTo>
                                      <a:cubicBezTo>
                                        <a:pt x="8" y="14"/>
                                        <a:pt x="2" y="40"/>
                                        <a:pt x="1" y="41"/>
                                      </a:cubicBezTo>
                                      <a:cubicBezTo>
                                        <a:pt x="0" y="46"/>
                                        <a:pt x="2" y="66"/>
                                        <a:pt x="5" y="75"/>
                                      </a:cubicBezTo>
                                      <a:cubicBezTo>
                                        <a:pt x="9" y="97"/>
                                        <a:pt x="40" y="121"/>
                                        <a:pt x="47" y="127"/>
                                      </a:cubicBezTo>
                                      <a:cubicBezTo>
                                        <a:pt x="48" y="141"/>
                                        <a:pt x="48" y="141"/>
                                        <a:pt x="48" y="141"/>
                                      </a:cubicBezTo>
                                      <a:cubicBezTo>
                                        <a:pt x="48" y="143"/>
                                        <a:pt x="49" y="144"/>
                                        <a:pt x="51" y="144"/>
                                      </a:cubicBezTo>
                                      <a:cubicBezTo>
                                        <a:pt x="53" y="144"/>
                                        <a:pt x="54" y="143"/>
                                        <a:pt x="54" y="141"/>
                                      </a:cubicBezTo>
                                      <a:cubicBezTo>
                                        <a:pt x="54" y="125"/>
                                        <a:pt x="54" y="125"/>
                                        <a:pt x="54" y="125"/>
                                      </a:cubicBezTo>
                                      <a:cubicBezTo>
                                        <a:pt x="54" y="124"/>
                                        <a:pt x="53" y="124"/>
                                        <a:pt x="53" y="123"/>
                                      </a:cubicBezTo>
                                      <a:cubicBezTo>
                                        <a:pt x="52" y="123"/>
                                        <a:pt x="15" y="95"/>
                                        <a:pt x="11" y="74"/>
                                      </a:cubicBezTo>
                                      <a:cubicBezTo>
                                        <a:pt x="8" y="63"/>
                                        <a:pt x="7" y="46"/>
                                        <a:pt x="8" y="42"/>
                                      </a:cubicBezTo>
                                      <a:cubicBezTo>
                                        <a:pt x="9" y="35"/>
                                        <a:pt x="15" y="16"/>
                                        <a:pt x="21" y="8"/>
                                      </a:cubicBezTo>
                                      <a:cubicBezTo>
                                        <a:pt x="24" y="9"/>
                                        <a:pt x="27" y="15"/>
                                        <a:pt x="25" y="19"/>
                                      </a:cubicBezTo>
                                      <a:cubicBezTo>
                                        <a:pt x="25" y="19"/>
                                        <a:pt x="16" y="41"/>
                                        <a:pt x="16" y="45"/>
                                      </a:cubicBezTo>
                                      <a:cubicBezTo>
                                        <a:pt x="16" y="56"/>
                                        <a:pt x="19" y="61"/>
                                        <a:pt x="25" y="71"/>
                                      </a:cubicBezTo>
                                      <a:cubicBezTo>
                                        <a:pt x="28" y="76"/>
                                        <a:pt x="28" y="76"/>
                                        <a:pt x="28" y="76"/>
                                      </a:cubicBezTo>
                                      <a:cubicBezTo>
                                        <a:pt x="29" y="77"/>
                                        <a:pt x="29" y="77"/>
                                        <a:pt x="29" y="77"/>
                                      </a:cubicBezTo>
                                      <a:cubicBezTo>
                                        <a:pt x="30" y="78"/>
                                        <a:pt x="34" y="83"/>
                                        <a:pt x="36" y="84"/>
                                      </a:cubicBezTo>
                                      <a:cubicBezTo>
                                        <a:pt x="38" y="85"/>
                                        <a:pt x="40" y="84"/>
                                        <a:pt x="41" y="83"/>
                                      </a:cubicBezTo>
                                      <a:cubicBezTo>
                                        <a:pt x="41" y="82"/>
                                        <a:pt x="41" y="81"/>
                                        <a:pt x="41" y="80"/>
                                      </a:cubicBezTo>
                                      <a:cubicBezTo>
                                        <a:pt x="41" y="79"/>
                                        <a:pt x="40" y="79"/>
                                        <a:pt x="39" y="78"/>
                                      </a:cubicBezTo>
                                      <a:cubicBezTo>
                                        <a:pt x="38" y="78"/>
                                        <a:pt x="36" y="75"/>
                                        <a:pt x="34" y="73"/>
                                      </a:cubicBezTo>
                                      <a:cubicBezTo>
                                        <a:pt x="34" y="73"/>
                                        <a:pt x="34" y="73"/>
                                        <a:pt x="34" y="73"/>
                                      </a:cubicBezTo>
                                      <a:cubicBezTo>
                                        <a:pt x="33" y="72"/>
                                        <a:pt x="33" y="72"/>
                                        <a:pt x="33" y="72"/>
                                      </a:cubicBezTo>
                                      <a:cubicBezTo>
                                        <a:pt x="30" y="65"/>
                                        <a:pt x="27" y="57"/>
                                        <a:pt x="31" y="54"/>
                                      </a:cubicBezTo>
                                      <a:cubicBezTo>
                                        <a:pt x="34" y="53"/>
                                        <a:pt x="41" y="62"/>
                                        <a:pt x="45" y="68"/>
                                      </a:cubicBezTo>
                                      <a:cubicBezTo>
                                        <a:pt x="46" y="70"/>
                                        <a:pt x="48" y="73"/>
                                        <a:pt x="50" y="75"/>
                                      </a:cubicBezTo>
                                      <a:cubicBezTo>
                                        <a:pt x="55" y="82"/>
                                        <a:pt x="58" y="88"/>
                                        <a:pt x="63" y="90"/>
                                      </a:cubicBezTo>
                                      <a:cubicBezTo>
                                        <a:pt x="69" y="92"/>
                                        <a:pt x="72" y="93"/>
                                        <a:pt x="75" y="96"/>
                                      </a:cubicBezTo>
                                      <a:cubicBezTo>
                                        <a:pt x="86" y="107"/>
                                        <a:pt x="85" y="105"/>
                                        <a:pt x="84" y="126"/>
                                      </a:cubicBezTo>
                                      <a:cubicBezTo>
                                        <a:pt x="84" y="141"/>
                                        <a:pt x="84" y="141"/>
                                        <a:pt x="84" y="141"/>
                                      </a:cubicBezTo>
                                      <a:cubicBezTo>
                                        <a:pt x="84" y="143"/>
                                        <a:pt x="86" y="144"/>
                                        <a:pt x="87" y="1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871" name="Freeform 16"/>
                              <wps:cNvSpPr>
                                <a:spLocks noEditPoints="1"/>
                              </wps:cNvSpPr>
                              <wps:spPr bwMode="auto">
                                <a:xfrm>
                                  <a:off x="157163" y="0"/>
                                  <a:ext cx="296863" cy="273050"/>
                                </a:xfrm>
                                <a:custGeom>
                                  <a:avLst/>
                                  <a:gdLst>
                                    <a:gd name="T0" fmla="*/ 3 w 85"/>
                                    <a:gd name="T1" fmla="*/ 38 h 78"/>
                                    <a:gd name="T2" fmla="*/ 17 w 85"/>
                                    <a:gd name="T3" fmla="*/ 53 h 78"/>
                                    <a:gd name="T4" fmla="*/ 21 w 85"/>
                                    <a:gd name="T5" fmla="*/ 56 h 78"/>
                                    <a:gd name="T6" fmla="*/ 39 w 85"/>
                                    <a:gd name="T7" fmla="*/ 72 h 78"/>
                                    <a:gd name="T8" fmla="*/ 43 w 85"/>
                                    <a:gd name="T9" fmla="*/ 78 h 78"/>
                                    <a:gd name="T10" fmla="*/ 43 w 85"/>
                                    <a:gd name="T11" fmla="*/ 78 h 78"/>
                                    <a:gd name="T12" fmla="*/ 46 w 85"/>
                                    <a:gd name="T13" fmla="*/ 72 h 78"/>
                                    <a:gd name="T14" fmla="*/ 65 w 85"/>
                                    <a:gd name="T15" fmla="*/ 55 h 78"/>
                                    <a:gd name="T16" fmla="*/ 69 w 85"/>
                                    <a:gd name="T17" fmla="*/ 53 h 78"/>
                                    <a:gd name="T18" fmla="*/ 82 w 85"/>
                                    <a:gd name="T19" fmla="*/ 38 h 78"/>
                                    <a:gd name="T20" fmla="*/ 82 w 85"/>
                                    <a:gd name="T21" fmla="*/ 37 h 78"/>
                                    <a:gd name="T22" fmla="*/ 84 w 85"/>
                                    <a:gd name="T23" fmla="*/ 21 h 78"/>
                                    <a:gd name="T24" fmla="*/ 69 w 85"/>
                                    <a:gd name="T25" fmla="*/ 3 h 78"/>
                                    <a:gd name="T26" fmla="*/ 49 w 85"/>
                                    <a:gd name="T27" fmla="*/ 3 h 78"/>
                                    <a:gd name="T28" fmla="*/ 42 w 85"/>
                                    <a:gd name="T29" fmla="*/ 9 h 78"/>
                                    <a:gd name="T30" fmla="*/ 35 w 85"/>
                                    <a:gd name="T31" fmla="*/ 3 h 78"/>
                                    <a:gd name="T32" fmla="*/ 16 w 85"/>
                                    <a:gd name="T33" fmla="*/ 4 h 78"/>
                                    <a:gd name="T34" fmla="*/ 1 w 85"/>
                                    <a:gd name="T35" fmla="*/ 22 h 78"/>
                                    <a:gd name="T36" fmla="*/ 3 w 85"/>
                                    <a:gd name="T37" fmla="*/ 38 h 78"/>
                                    <a:gd name="T38" fmla="*/ 33 w 85"/>
                                    <a:gd name="T39" fmla="*/ 9 h 78"/>
                                    <a:gd name="T40" fmla="*/ 40 w 85"/>
                                    <a:gd name="T41" fmla="*/ 17 h 78"/>
                                    <a:gd name="T42" fmla="*/ 43 w 85"/>
                                    <a:gd name="T43" fmla="*/ 19 h 78"/>
                                    <a:gd name="T44" fmla="*/ 46 w 85"/>
                                    <a:gd name="T45" fmla="*/ 17 h 78"/>
                                    <a:gd name="T46" fmla="*/ 52 w 85"/>
                                    <a:gd name="T47" fmla="*/ 9 h 78"/>
                                    <a:gd name="T48" fmla="*/ 67 w 85"/>
                                    <a:gd name="T49" fmla="*/ 9 h 78"/>
                                    <a:gd name="T50" fmla="*/ 78 w 85"/>
                                    <a:gd name="T51" fmla="*/ 22 h 78"/>
                                    <a:gd name="T52" fmla="*/ 76 w 85"/>
                                    <a:gd name="T53" fmla="*/ 35 h 78"/>
                                    <a:gd name="T54" fmla="*/ 65 w 85"/>
                                    <a:gd name="T55" fmla="*/ 48 h 78"/>
                                    <a:gd name="T56" fmla="*/ 62 w 85"/>
                                    <a:gd name="T57" fmla="*/ 50 h 78"/>
                                    <a:gd name="T58" fmla="*/ 43 w 85"/>
                                    <a:gd name="T59" fmla="*/ 66 h 78"/>
                                    <a:gd name="T60" fmla="*/ 24 w 85"/>
                                    <a:gd name="T61" fmla="*/ 50 h 78"/>
                                    <a:gd name="T62" fmla="*/ 20 w 85"/>
                                    <a:gd name="T63" fmla="*/ 48 h 78"/>
                                    <a:gd name="T64" fmla="*/ 9 w 85"/>
                                    <a:gd name="T65" fmla="*/ 35 h 78"/>
                                    <a:gd name="T66" fmla="*/ 7 w 85"/>
                                    <a:gd name="T67" fmla="*/ 23 h 78"/>
                                    <a:gd name="T68" fmla="*/ 18 w 85"/>
                                    <a:gd name="T69" fmla="*/ 9 h 78"/>
                                    <a:gd name="T70" fmla="*/ 33 w 85"/>
                                    <a:gd name="T71" fmla="*/ 9 h 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85" h="78">
                                      <a:moveTo>
                                        <a:pt x="3" y="38"/>
                                      </a:moveTo>
                                      <a:cubicBezTo>
                                        <a:pt x="5" y="42"/>
                                        <a:pt x="9" y="48"/>
                                        <a:pt x="17" y="53"/>
                                      </a:cubicBezTo>
                                      <a:cubicBezTo>
                                        <a:pt x="18" y="54"/>
                                        <a:pt x="19" y="55"/>
                                        <a:pt x="21" y="56"/>
                                      </a:cubicBezTo>
                                      <a:cubicBezTo>
                                        <a:pt x="26" y="59"/>
                                        <a:pt x="35" y="63"/>
                                        <a:pt x="39" y="72"/>
                                      </a:cubicBezTo>
                                      <a:cubicBezTo>
                                        <a:pt x="40" y="73"/>
                                        <a:pt x="41" y="78"/>
                                        <a:pt x="43" y="78"/>
                                      </a:cubicBezTo>
                                      <a:cubicBezTo>
                                        <a:pt x="43" y="78"/>
                                        <a:pt x="43" y="78"/>
                                        <a:pt x="43" y="78"/>
                                      </a:cubicBezTo>
                                      <a:cubicBezTo>
                                        <a:pt x="45" y="78"/>
                                        <a:pt x="46" y="73"/>
                                        <a:pt x="46" y="72"/>
                                      </a:cubicBezTo>
                                      <a:cubicBezTo>
                                        <a:pt x="51" y="63"/>
                                        <a:pt x="59" y="58"/>
                                        <a:pt x="65" y="55"/>
                                      </a:cubicBezTo>
                                      <a:cubicBezTo>
                                        <a:pt x="66" y="55"/>
                                        <a:pt x="68" y="54"/>
                                        <a:pt x="69" y="53"/>
                                      </a:cubicBezTo>
                                      <a:cubicBezTo>
                                        <a:pt x="76" y="48"/>
                                        <a:pt x="80" y="41"/>
                                        <a:pt x="82" y="38"/>
                                      </a:cubicBezTo>
                                      <a:cubicBezTo>
                                        <a:pt x="82" y="37"/>
                                        <a:pt x="82" y="37"/>
                                        <a:pt x="82" y="37"/>
                                      </a:cubicBezTo>
                                      <a:cubicBezTo>
                                        <a:pt x="84" y="32"/>
                                        <a:pt x="85" y="27"/>
                                        <a:pt x="84" y="21"/>
                                      </a:cubicBezTo>
                                      <a:cubicBezTo>
                                        <a:pt x="82" y="11"/>
                                        <a:pt x="74" y="5"/>
                                        <a:pt x="69" y="3"/>
                                      </a:cubicBezTo>
                                      <a:cubicBezTo>
                                        <a:pt x="61" y="0"/>
                                        <a:pt x="55" y="0"/>
                                        <a:pt x="49" y="3"/>
                                      </a:cubicBezTo>
                                      <a:cubicBezTo>
                                        <a:pt x="46" y="5"/>
                                        <a:pt x="44" y="7"/>
                                        <a:pt x="42" y="9"/>
                                      </a:cubicBezTo>
                                      <a:cubicBezTo>
                                        <a:pt x="41" y="7"/>
                                        <a:pt x="39" y="5"/>
                                        <a:pt x="35" y="3"/>
                                      </a:cubicBezTo>
                                      <a:cubicBezTo>
                                        <a:pt x="30" y="1"/>
                                        <a:pt x="23" y="1"/>
                                        <a:pt x="16" y="4"/>
                                      </a:cubicBezTo>
                                      <a:cubicBezTo>
                                        <a:pt x="11" y="5"/>
                                        <a:pt x="2" y="12"/>
                                        <a:pt x="1" y="22"/>
                                      </a:cubicBezTo>
                                      <a:cubicBezTo>
                                        <a:pt x="0" y="28"/>
                                        <a:pt x="1" y="33"/>
                                        <a:pt x="3" y="38"/>
                                      </a:cubicBezTo>
                                      <a:close/>
                                      <a:moveTo>
                                        <a:pt x="33" y="9"/>
                                      </a:moveTo>
                                      <a:cubicBezTo>
                                        <a:pt x="38" y="12"/>
                                        <a:pt x="40" y="17"/>
                                        <a:pt x="40" y="17"/>
                                      </a:cubicBezTo>
                                      <a:cubicBezTo>
                                        <a:pt x="40" y="18"/>
                                        <a:pt x="41" y="19"/>
                                        <a:pt x="43" y="19"/>
                                      </a:cubicBezTo>
                                      <a:cubicBezTo>
                                        <a:pt x="44" y="19"/>
                                        <a:pt x="45" y="18"/>
                                        <a:pt x="46" y="17"/>
                                      </a:cubicBezTo>
                                      <a:cubicBezTo>
                                        <a:pt x="46" y="17"/>
                                        <a:pt x="47" y="11"/>
                                        <a:pt x="52" y="9"/>
                                      </a:cubicBezTo>
                                      <a:cubicBezTo>
                                        <a:pt x="56" y="7"/>
                                        <a:pt x="61" y="7"/>
                                        <a:pt x="67" y="9"/>
                                      </a:cubicBezTo>
                                      <a:cubicBezTo>
                                        <a:pt x="70" y="10"/>
                                        <a:pt x="76" y="15"/>
                                        <a:pt x="78" y="22"/>
                                      </a:cubicBezTo>
                                      <a:cubicBezTo>
                                        <a:pt x="78" y="27"/>
                                        <a:pt x="78" y="31"/>
                                        <a:pt x="76" y="35"/>
                                      </a:cubicBezTo>
                                      <a:cubicBezTo>
                                        <a:pt x="75" y="38"/>
                                        <a:pt x="72" y="44"/>
                                        <a:pt x="65" y="48"/>
                                      </a:cubicBezTo>
                                      <a:cubicBezTo>
                                        <a:pt x="64" y="48"/>
                                        <a:pt x="63" y="49"/>
                                        <a:pt x="62" y="50"/>
                                      </a:cubicBezTo>
                                      <a:cubicBezTo>
                                        <a:pt x="57" y="53"/>
                                        <a:pt x="48" y="57"/>
                                        <a:pt x="43" y="66"/>
                                      </a:cubicBezTo>
                                      <a:cubicBezTo>
                                        <a:pt x="37" y="57"/>
                                        <a:pt x="29" y="53"/>
                                        <a:pt x="24" y="50"/>
                                      </a:cubicBezTo>
                                      <a:cubicBezTo>
                                        <a:pt x="22" y="49"/>
                                        <a:pt x="21" y="49"/>
                                        <a:pt x="20" y="48"/>
                                      </a:cubicBezTo>
                                      <a:cubicBezTo>
                                        <a:pt x="14" y="44"/>
                                        <a:pt x="11" y="38"/>
                                        <a:pt x="9" y="35"/>
                                      </a:cubicBezTo>
                                      <a:cubicBezTo>
                                        <a:pt x="7" y="31"/>
                                        <a:pt x="7" y="27"/>
                                        <a:pt x="7" y="23"/>
                                      </a:cubicBezTo>
                                      <a:cubicBezTo>
                                        <a:pt x="8" y="15"/>
                                        <a:pt x="15" y="11"/>
                                        <a:pt x="18" y="9"/>
                                      </a:cubicBezTo>
                                      <a:cubicBezTo>
                                        <a:pt x="24" y="7"/>
                                        <a:pt x="29" y="7"/>
                                        <a:pt x="33" y="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inline>
                  </w:drawing>
                </mc:Choice>
                <mc:Fallback>
                  <w:pict>
                    <v:group w14:anchorId="186DC6F8" id="Group 224" o:spid="_x0000_s1026" alt="&quot;&quot;" style="width:33.7pt;height:28.6pt;mso-position-horizontal-relative:char;mso-position-vertical-relative:line" coordsize="6111,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">
                      <v:shape id="Freeform 15" o:spid="_x0000_s1027" style="position:absolute;top:142;width:6111;height:5049;visibility:visible;mso-wrap-style:square;v-text-anchor:top" coordsize="17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" path="m87,144v1,,2,,3,-1c90,143,91,142,91,141,90,126,90,126,90,126v,-21,-1,-19,9,-30c102,93,106,92,112,90v5,-2,8,-8,13,-15c126,73,128,70,130,68v4,-6,11,-15,14,-14c148,57,145,65,142,72v-1,,-1,,-1,c141,72,141,72,141,72v,1,,1,,1c139,75,137,78,136,78v-2,1,-2,3,-2,5c135,84,137,85,139,84v2,-1,6,-6,7,-7c147,76,147,76,147,76v1,-2,2,-3,2,-4c150,71,150,71,150,71v6,-10,9,-15,9,-26c159,41,150,19,150,19v-2,-4,1,-10,4,-11c160,16,166,35,167,42v1,4,,21,-3,32c159,95,123,123,122,123v,1,-1,1,-1,2c121,141,121,141,121,141v,2,1,3,3,3c126,144,127,143,127,141v,-14,,-14,,-14c135,121,166,97,170,75v2,-9,5,-29,4,-34c173,40,167,14,158,3,157,1,154,,151,2v-5,2,-10,11,-7,20c147,27,152,43,152,45v,4,,6,,9c151,52,149,50,147,49v-7,-5,-14,5,-22,15c123,67,121,69,119,72v-4,5,-5,10,-10,12c106,86,103,87,97,91v-4,2,-7,6,-10,10c85,97,82,93,78,91,72,87,69,86,66,84,61,82,60,77,55,71,53,69,52,66,50,64,42,54,35,44,28,49v-2,1,-4,3,-5,5c23,51,22,49,22,45v1,-2,6,-18,9,-24c34,13,29,4,24,2,21,,18,1,17,3,8,14,2,40,1,41,,46,2,66,5,75v4,22,35,46,42,52c48,141,48,141,48,141v,2,1,3,3,3c53,144,54,143,54,141v,-16,,-16,,-16c54,124,53,124,53,123,52,123,15,95,11,74,8,63,7,46,8,42,9,35,15,16,21,8v3,1,6,7,4,11c25,19,16,41,16,45v,11,3,16,9,26c28,76,28,76,28,76v1,1,1,1,1,1c30,78,34,83,36,84v2,1,4,,5,-1c41,82,41,81,41,80v,-1,-1,-1,-2,-2c38,78,36,75,34,73v,,,,,c33,72,33,72,33,72,30,65,27,57,31,54v3,-1,10,8,14,14c46,70,48,73,50,75v5,7,8,13,13,15c69,92,72,93,75,96v11,11,10,9,9,30c84,141,84,141,84,141v,2,2,3,3,3xe" filled="f" stroked="f">
                        <v:path arrowok="t" o:connecttype="custom" o:connectlocs="314325,501319;314325,441722;391160,315516;454025,238390;495935,252413;492443,252413;474980,273447;485458,294481;513398,266435;523875,248907;523875,66609;583248,147241;426085,431205;422593,494308;443548,494308;593725,262930;551815,10517;502920,77126;530860,189309;436563,224367;380683,294481;303848,354079;230505,294481;174625,224367;80328,189309;108268,73620;59373,10517;17463,262930;167640,494308;188595,494308;185103,431205;27940,147241;87313,66609;87313,248907;101283,269941;143193,290976;136208,273447;118745,255918;108268,189309;174625,262930;261938,336550;293370,494308" o:connectangles="0,0,0,0,0,0,0,0,0,0,0,0,0,0,0,0,0,0,0,0,0,0,0,0,0,0,0,0,0,0,0,0,0,0,0,0,0,0,0,0,0,0"/>
                      </v:shape>
                      <v:shape id="Freeform 16" o:spid="_x0000_s1028" style="position:absolute;left:1571;width:2969;height:2730;visibility:visible;mso-wrap-style:square;v-text-anchor:top" coordsize="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" path="m3,38v2,4,6,10,14,15c18,54,19,55,21,56v5,3,14,7,18,16c40,73,41,78,43,78v,,,,,c45,78,46,73,46,72,51,63,59,58,65,55v1,,3,-1,4,-2c76,48,80,41,82,38v,-1,,-1,,-1c84,32,85,27,84,21,82,11,74,5,69,3,61,,55,,49,3,46,5,44,7,42,9,41,7,39,5,35,3,30,1,23,1,16,4,11,5,2,12,1,22,,28,1,33,3,38xm33,9v5,3,7,8,7,8c40,18,41,19,43,19v1,,2,-1,3,-2c46,17,47,11,52,9v4,-2,9,-2,15,c70,10,76,15,78,22v,5,,9,-2,13c75,38,72,44,65,48v-1,,-2,1,-3,2c57,53,48,57,43,66,37,57,29,53,24,50,22,49,21,49,20,48,14,44,11,38,9,35,7,31,7,27,7,23,8,15,15,11,18,9,24,7,29,7,33,9xe" filled="f" stroked="f">
                        <v:path arrowok="t" o:connecttype="custom" o:connectlocs="10478,133024;59373,185534;73343,196036;136208,252046;150178,273050;150178,273050;160655,252046;227013,192535;240983,185534;286385,133024;286385,129524;293370,73513;240983,10502;171133,10502;146685,31506;122238,10502;55880,14003;3493,77014;10478,133024;115253,31506;139700,59511;150178,66512;160655,59511;181610,31506;233998,31506;272415,77014;265430,122522;227013,168031;216535,175032;150178,231042;83820,175032;69850,168031;31433,122522;24448,80515;62865,31506;115253,31506" o:connectangles="0,0,0,0,0,0,0,0,0,0,0,0,0,0,0,0,0,0,0,0,0,0,0,0,0,0,0,0,0,0,0,0,0,0,0,0"/>
                        <o:lock v:ext="edit" verticies="t"/>
                      </v:shape>
                      <w10:anchorlock/>
                    </v:group>
                  </w:pict>
                </mc:Fallback>
              </mc:AlternateContent>
            </w:r>
          </w:p>
          <w:p w14:paraId="22C17E8F" w14:textId="55E0A7FA" w:rsidR="001158BB" w:rsidRPr="005825BD" w:rsidRDefault="7425CF39" w:rsidP="00A117E4">
            <w:pPr>
              <w:pStyle w:val="TableNheader"/>
            </w:pPr>
            <w:r>
              <w:t>People who require higher-intensity support to manage with their day-to-day responsibilities</w:t>
            </w:r>
          </w:p>
        </w:tc>
        <w:tc>
          <w:tcPr>
            <w:tcW w:w="3119" w:type="dxa"/>
            <w:shd w:val="clear" w:color="auto" w:fill="auto"/>
          </w:tcPr>
          <w:p w14:paraId="7420F49C" w14:textId="33E1D2E6" w:rsidR="001158BB" w:rsidRPr="00623868" w:rsidRDefault="1648F9AB" w:rsidP="00623868">
            <w:r w:rsidRPr="00623868">
              <w:t>Participants who needed higher-intensity support in their day-to-day responsibilities</w:t>
            </w:r>
            <w:r w:rsidR="10A7B49E" w:rsidRPr="00623868">
              <w:t xml:space="preserve">. </w:t>
            </w:r>
            <w:r w:rsidRPr="00623868">
              <w:t xml:space="preserve">Some participants </w:t>
            </w:r>
            <w:r w:rsidR="001C2FBB" w:rsidRPr="00623868">
              <w:t>in interviews</w:t>
            </w:r>
            <w:r w:rsidRPr="00623868">
              <w:t xml:space="preserve"> who were identified in this group shared that there were other services that could deliver a much higher intensity of support and were happier with this support compared to The Way Back.</w:t>
            </w:r>
          </w:p>
        </w:tc>
        <w:tc>
          <w:tcPr>
            <w:tcW w:w="3958" w:type="dxa"/>
            <w:shd w:val="clear" w:color="auto" w:fill="auto"/>
          </w:tcPr>
          <w:p w14:paraId="7AA176F6" w14:textId="17E80B52" w:rsidR="001158BB" w:rsidRPr="00623868" w:rsidRDefault="00B57E1F" w:rsidP="00623868">
            <w:r w:rsidRPr="00623868">
              <w:t>Participants indicated that at the beginning of their engagement with The Way Back, they required higher-intensity support. As they gained stability and independence, they required less support through The Way Back.</w:t>
            </w:r>
          </w:p>
        </w:tc>
      </w:tr>
      <w:tr w:rsidR="005C548A" w:rsidRPr="005825BD" w14:paraId="023BDBC3" w14:textId="7676EDC8" w:rsidTr="00F77C16">
        <w:tc>
          <w:tcPr>
            <w:tcW w:w="1823" w:type="dxa"/>
            <w:shd w:val="clear" w:color="auto" w:fill="E6E6E1" w:themeFill="accent5"/>
          </w:tcPr>
          <w:p w14:paraId="6A41875C" w14:textId="77777777" w:rsidR="001158BB" w:rsidRPr="005825BD" w:rsidRDefault="001158BB" w:rsidP="00A117E4">
            <w:pPr>
              <w:pStyle w:val="TableNheader"/>
            </w:pPr>
            <w:r w:rsidRPr="005825BD">
              <w:rPr>
                <w:noProof/>
              </w:rPr>
              <w:drawing>
                <wp:inline distT="0" distB="0" distL="0" distR="0" wp14:anchorId="1036E1E9" wp14:editId="45405607">
                  <wp:extent cx="401068" cy="485505"/>
                  <wp:effectExtent l="0" t="0" r="0" b="0"/>
                  <wp:docPr id="218" name="Graphic 217">
                    <a:extLst xmlns:a="http://schemas.openxmlformats.org/drawingml/2006/main">
                      <a:ext uri="{FF2B5EF4-FFF2-40B4-BE49-F238E27FC236}">
                        <a16:creationId xmlns:a16="http://schemas.microsoft.com/office/drawing/2014/main" id="{565F31A5-A77F-4706-B20F-BCC4FE8007B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phic 217">
                            <a:extLst>
                              <a:ext uri="{FF2B5EF4-FFF2-40B4-BE49-F238E27FC236}">
                                <a16:creationId xmlns:a16="http://schemas.microsoft.com/office/drawing/2014/main" id="{565F31A5-A77F-4706-B20F-BCC4FE8007B9}"/>
                              </a:ext>
                              <a:ext uri="{C183D7F6-B498-43B3-948B-1728B52AA6E4}">
                                <adec:decorative xmlns:adec="http://schemas.microsoft.com/office/drawing/2017/decorative" val="1"/>
                              </a:ext>
                            </a:extLst>
                          </pic:cNvPr>
                          <pic:cNvPicPr>
                            <a:picLocks noChangeAspect="1"/>
                          </pic:cNvPicPr>
                        </pic:nvPicPr>
                        <pic:blipFill>
                          <a:blip r:embed="rId102">
                            <a:extLst>
                              <a:ext uri="{96DAC541-7B7A-43D3-8B79-37D633B846F1}">
                                <asvg:svgBlip xmlns:asvg="http://schemas.microsoft.com/office/drawing/2016/SVG/main" r:embed="rId103"/>
                              </a:ext>
                            </a:extLst>
                          </a:blip>
                          <a:stretch>
                            <a:fillRect/>
                          </a:stretch>
                        </pic:blipFill>
                        <pic:spPr>
                          <a:xfrm>
                            <a:off x="0" y="0"/>
                            <a:ext cx="401068" cy="485505"/>
                          </a:xfrm>
                          <a:prstGeom prst="rect">
                            <a:avLst/>
                          </a:prstGeom>
                        </pic:spPr>
                      </pic:pic>
                    </a:graphicData>
                  </a:graphic>
                </wp:inline>
              </w:drawing>
            </w:r>
          </w:p>
          <w:p w14:paraId="6EF2CC28" w14:textId="3F4D09D0" w:rsidR="001158BB" w:rsidRPr="005825BD" w:rsidRDefault="001158BB" w:rsidP="00A117E4">
            <w:pPr>
              <w:pStyle w:val="TableNheader"/>
            </w:pPr>
            <w:r w:rsidRPr="005825BD">
              <w:t>People with high clinical needs (</w:t>
            </w:r>
            <w:r w:rsidR="001C2FBB">
              <w:t>for example,</w:t>
            </w:r>
            <w:r w:rsidRPr="005825BD">
              <w:t xml:space="preserve"> severe psychosis)</w:t>
            </w:r>
          </w:p>
        </w:tc>
        <w:tc>
          <w:tcPr>
            <w:tcW w:w="3119" w:type="dxa"/>
            <w:shd w:val="clear" w:color="auto" w:fill="auto"/>
          </w:tcPr>
          <w:p w14:paraId="4FC2E0EE" w14:textId="1949EEEA" w:rsidR="001158BB" w:rsidRPr="00623868" w:rsidRDefault="001C2FBB" w:rsidP="00623868">
            <w:r w:rsidRPr="00623868">
              <w:t>Providers in interviews</w:t>
            </w:r>
            <w:r w:rsidR="1648F9AB" w:rsidRPr="00623868">
              <w:t xml:space="preserve"> indicated that the service appeared to be less effective for participants who were experiencing mental health crisis,</w:t>
            </w:r>
            <w:r w:rsidR="001158BB" w:rsidRPr="00623868">
              <w:footnoteReference w:id="129"/>
            </w:r>
            <w:r w:rsidR="1648F9AB" w:rsidRPr="00623868">
              <w:t xml:space="preserve"> as they typically needed very intense clinical support before they were ready to engage with The Way Back.</w:t>
            </w:r>
          </w:p>
        </w:tc>
        <w:tc>
          <w:tcPr>
            <w:tcW w:w="3958" w:type="dxa"/>
            <w:shd w:val="clear" w:color="auto" w:fill="auto"/>
          </w:tcPr>
          <w:p w14:paraId="4B8CF755" w14:textId="1B29062C" w:rsidR="001158BB" w:rsidRPr="00623868" w:rsidRDefault="001C2FBB" w:rsidP="00623868">
            <w:r w:rsidRPr="00623868">
              <w:t>In interviews, p</w:t>
            </w:r>
            <w:r w:rsidR="10A7B49E" w:rsidRPr="00623868">
              <w:t xml:space="preserve">articipants with </w:t>
            </w:r>
            <w:r w:rsidR="00D92FD3" w:rsidRPr="00623868">
              <w:t xml:space="preserve">high </w:t>
            </w:r>
            <w:r w:rsidR="10A7B49E" w:rsidRPr="00623868">
              <w:t>clinical needs reported that the availability of high quality</w:t>
            </w:r>
            <w:r w:rsidR="00D93E9E" w:rsidRPr="00623868">
              <w:t xml:space="preserve"> and</w:t>
            </w:r>
            <w:r w:rsidR="10A7B49E" w:rsidRPr="00623868">
              <w:t xml:space="preserve"> affordable mental health supports </w:t>
            </w:r>
            <w:r w:rsidR="00D93E9E" w:rsidRPr="00623868">
              <w:t xml:space="preserve">that met their needs </w:t>
            </w:r>
            <w:r w:rsidR="10A7B49E" w:rsidRPr="00623868">
              <w:t>was crucial for their capacity to engage with The Way Back, and their subsequently, their journey to recovery.</w:t>
            </w:r>
          </w:p>
        </w:tc>
      </w:tr>
      <w:tr w:rsidR="005C548A" w:rsidRPr="005825BD" w14:paraId="24B40D64" w14:textId="6CF5F702" w:rsidTr="00F77C16">
        <w:tc>
          <w:tcPr>
            <w:tcW w:w="1823" w:type="dxa"/>
            <w:shd w:val="clear" w:color="auto" w:fill="E6E6E1" w:themeFill="accent5"/>
          </w:tcPr>
          <w:p w14:paraId="4D6A7E63" w14:textId="77777777" w:rsidR="001158BB" w:rsidRPr="005825BD" w:rsidRDefault="001158BB" w:rsidP="00A117E4">
            <w:pPr>
              <w:pStyle w:val="TableNheader"/>
            </w:pPr>
            <w:r w:rsidRPr="005825BD">
              <w:rPr>
                <w:noProof/>
              </w:rPr>
              <mc:AlternateContent>
                <mc:Choice Requires="wpg">
                  <w:drawing>
                    <wp:inline distT="0" distB="0" distL="0" distR="0" wp14:anchorId="2E865D96" wp14:editId="12264E64">
                      <wp:extent cx="392056" cy="438549"/>
                      <wp:effectExtent l="0" t="0" r="27305" b="0"/>
                      <wp:docPr id="8" name="Group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056" cy="438549"/>
                                <a:chOff x="0" y="0"/>
                                <a:chExt cx="495300" cy="554037"/>
                              </a:xfrm>
                              <a:solidFill>
                                <a:schemeClr val="accent6"/>
                              </a:solidFill>
                            </wpg:grpSpPr>
                            <wps:wsp>
                              <wps:cNvPr id="14" name="Freeform 24"/>
                              <wps:cNvSpPr>
                                <a:spLocks noEditPoints="1"/>
                              </wps:cNvSpPr>
                              <wps:spPr bwMode="auto">
                                <a:xfrm>
                                  <a:off x="0" y="153987"/>
                                  <a:ext cx="334963" cy="400050"/>
                                </a:xfrm>
                                <a:custGeom>
                                  <a:avLst/>
                                  <a:gdLst>
                                    <a:gd name="T0" fmla="*/ 81 w 105"/>
                                    <a:gd name="T1" fmla="*/ 96 h 125"/>
                                    <a:gd name="T2" fmla="*/ 81 w 105"/>
                                    <a:gd name="T3" fmla="*/ 96 h 125"/>
                                    <a:gd name="T4" fmla="*/ 81 w 105"/>
                                    <a:gd name="T5" fmla="*/ 96 h 125"/>
                                    <a:gd name="T6" fmla="*/ 81 w 105"/>
                                    <a:gd name="T7" fmla="*/ 96 h 125"/>
                                    <a:gd name="T8" fmla="*/ 74 w 105"/>
                                    <a:gd name="T9" fmla="*/ 92 h 125"/>
                                    <a:gd name="T10" fmla="*/ 74 w 105"/>
                                    <a:gd name="T11" fmla="*/ 78 h 125"/>
                                    <a:gd name="T12" fmla="*/ 74 w 105"/>
                                    <a:gd name="T13" fmla="*/ 77 h 125"/>
                                    <a:gd name="T14" fmla="*/ 80 w 105"/>
                                    <a:gd name="T15" fmla="*/ 65 h 125"/>
                                    <a:gd name="T16" fmla="*/ 89 w 105"/>
                                    <a:gd name="T17" fmla="*/ 52 h 125"/>
                                    <a:gd name="T18" fmla="*/ 87 w 105"/>
                                    <a:gd name="T19" fmla="*/ 40 h 125"/>
                                    <a:gd name="T20" fmla="*/ 86 w 105"/>
                                    <a:gd name="T21" fmla="*/ 39 h 125"/>
                                    <a:gd name="T22" fmla="*/ 81 w 105"/>
                                    <a:gd name="T23" fmla="*/ 13 h 125"/>
                                    <a:gd name="T24" fmla="*/ 52 w 105"/>
                                    <a:gd name="T25" fmla="*/ 0 h 125"/>
                                    <a:gd name="T26" fmla="*/ 23 w 105"/>
                                    <a:gd name="T27" fmla="*/ 13 h 125"/>
                                    <a:gd name="T28" fmla="*/ 19 w 105"/>
                                    <a:gd name="T29" fmla="*/ 39 h 125"/>
                                    <a:gd name="T30" fmla="*/ 17 w 105"/>
                                    <a:gd name="T31" fmla="*/ 40 h 125"/>
                                    <a:gd name="T32" fmla="*/ 16 w 105"/>
                                    <a:gd name="T33" fmla="*/ 52 h 125"/>
                                    <a:gd name="T34" fmla="*/ 25 w 105"/>
                                    <a:gd name="T35" fmla="*/ 65 h 125"/>
                                    <a:gd name="T36" fmla="*/ 30 w 105"/>
                                    <a:gd name="T37" fmla="*/ 77 h 125"/>
                                    <a:gd name="T38" fmla="*/ 30 w 105"/>
                                    <a:gd name="T39" fmla="*/ 77 h 125"/>
                                    <a:gd name="T40" fmla="*/ 30 w 105"/>
                                    <a:gd name="T41" fmla="*/ 92 h 125"/>
                                    <a:gd name="T42" fmla="*/ 22 w 105"/>
                                    <a:gd name="T43" fmla="*/ 96 h 125"/>
                                    <a:gd name="T44" fmla="*/ 0 w 105"/>
                                    <a:gd name="T45" fmla="*/ 122 h 125"/>
                                    <a:gd name="T46" fmla="*/ 3 w 105"/>
                                    <a:gd name="T47" fmla="*/ 125 h 125"/>
                                    <a:gd name="T48" fmla="*/ 102 w 105"/>
                                    <a:gd name="T49" fmla="*/ 125 h 125"/>
                                    <a:gd name="T50" fmla="*/ 105 w 105"/>
                                    <a:gd name="T51" fmla="*/ 122 h 125"/>
                                    <a:gd name="T52" fmla="*/ 81 w 105"/>
                                    <a:gd name="T53" fmla="*/ 96 h 125"/>
                                    <a:gd name="T54" fmla="*/ 7 w 105"/>
                                    <a:gd name="T55" fmla="*/ 120 h 125"/>
                                    <a:gd name="T56" fmla="*/ 24 w 105"/>
                                    <a:gd name="T57" fmla="*/ 102 h 125"/>
                                    <a:gd name="T58" fmla="*/ 36 w 105"/>
                                    <a:gd name="T59" fmla="*/ 94 h 125"/>
                                    <a:gd name="T60" fmla="*/ 36 w 105"/>
                                    <a:gd name="T61" fmla="*/ 76 h 125"/>
                                    <a:gd name="T62" fmla="*/ 35 w 105"/>
                                    <a:gd name="T63" fmla="*/ 75 h 125"/>
                                    <a:gd name="T64" fmla="*/ 30 w 105"/>
                                    <a:gd name="T65" fmla="*/ 62 h 125"/>
                                    <a:gd name="T66" fmla="*/ 27 w 105"/>
                                    <a:gd name="T67" fmla="*/ 60 h 125"/>
                                    <a:gd name="T68" fmla="*/ 22 w 105"/>
                                    <a:gd name="T69" fmla="*/ 51 h 125"/>
                                    <a:gd name="T70" fmla="*/ 22 w 105"/>
                                    <a:gd name="T71" fmla="*/ 44 h 125"/>
                                    <a:gd name="T72" fmla="*/ 22 w 105"/>
                                    <a:gd name="T73" fmla="*/ 44 h 125"/>
                                    <a:gd name="T74" fmla="*/ 25 w 105"/>
                                    <a:gd name="T75" fmla="*/ 42 h 125"/>
                                    <a:gd name="T76" fmla="*/ 25 w 105"/>
                                    <a:gd name="T77" fmla="*/ 40 h 125"/>
                                    <a:gd name="T78" fmla="*/ 28 w 105"/>
                                    <a:gd name="T79" fmla="*/ 17 h 125"/>
                                    <a:gd name="T80" fmla="*/ 52 w 105"/>
                                    <a:gd name="T81" fmla="*/ 6 h 125"/>
                                    <a:gd name="T82" fmla="*/ 76 w 105"/>
                                    <a:gd name="T83" fmla="*/ 17 h 125"/>
                                    <a:gd name="T84" fmla="*/ 80 w 105"/>
                                    <a:gd name="T85" fmla="*/ 40 h 125"/>
                                    <a:gd name="T86" fmla="*/ 80 w 105"/>
                                    <a:gd name="T87" fmla="*/ 42 h 125"/>
                                    <a:gd name="T88" fmla="*/ 82 w 105"/>
                                    <a:gd name="T89" fmla="*/ 44 h 125"/>
                                    <a:gd name="T90" fmla="*/ 83 w 105"/>
                                    <a:gd name="T91" fmla="*/ 44 h 125"/>
                                    <a:gd name="T92" fmla="*/ 83 w 105"/>
                                    <a:gd name="T93" fmla="*/ 51 h 125"/>
                                    <a:gd name="T94" fmla="*/ 78 w 105"/>
                                    <a:gd name="T95" fmla="*/ 60 h 125"/>
                                    <a:gd name="T96" fmla="*/ 75 w 105"/>
                                    <a:gd name="T97" fmla="*/ 62 h 125"/>
                                    <a:gd name="T98" fmla="*/ 69 w 105"/>
                                    <a:gd name="T99" fmla="*/ 75 h 125"/>
                                    <a:gd name="T100" fmla="*/ 69 w 105"/>
                                    <a:gd name="T101" fmla="*/ 76 h 125"/>
                                    <a:gd name="T102" fmla="*/ 69 w 105"/>
                                    <a:gd name="T103" fmla="*/ 94 h 125"/>
                                    <a:gd name="T104" fmla="*/ 78 w 105"/>
                                    <a:gd name="T105" fmla="*/ 101 h 125"/>
                                    <a:gd name="T106" fmla="*/ 99 w 105"/>
                                    <a:gd name="T107" fmla="*/ 120 h 125"/>
                                    <a:gd name="T108" fmla="*/ 7 w 105"/>
                                    <a:gd name="T109" fmla="*/ 12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05" h="125">
                                      <a:moveTo>
                                        <a:pt x="81" y="96"/>
                                      </a:moveTo>
                                      <a:cubicBezTo>
                                        <a:pt x="81" y="96"/>
                                        <a:pt x="81" y="96"/>
                                        <a:pt x="81" y="96"/>
                                      </a:cubicBezTo>
                                      <a:cubicBezTo>
                                        <a:pt x="81" y="96"/>
                                        <a:pt x="81" y="96"/>
                                        <a:pt x="81" y="96"/>
                                      </a:cubicBezTo>
                                      <a:cubicBezTo>
                                        <a:pt x="81" y="96"/>
                                        <a:pt x="81" y="96"/>
                                        <a:pt x="81" y="96"/>
                                      </a:cubicBezTo>
                                      <a:cubicBezTo>
                                        <a:pt x="78" y="95"/>
                                        <a:pt x="75" y="93"/>
                                        <a:pt x="74" y="92"/>
                                      </a:cubicBezTo>
                                      <a:cubicBezTo>
                                        <a:pt x="73" y="88"/>
                                        <a:pt x="74" y="79"/>
                                        <a:pt x="74" y="78"/>
                                      </a:cubicBezTo>
                                      <a:cubicBezTo>
                                        <a:pt x="74" y="77"/>
                                        <a:pt x="74" y="77"/>
                                        <a:pt x="74" y="77"/>
                                      </a:cubicBezTo>
                                      <a:cubicBezTo>
                                        <a:pt x="76" y="74"/>
                                        <a:pt x="78" y="70"/>
                                        <a:pt x="80" y="65"/>
                                      </a:cubicBezTo>
                                      <a:cubicBezTo>
                                        <a:pt x="85" y="64"/>
                                        <a:pt x="88" y="57"/>
                                        <a:pt x="89" y="52"/>
                                      </a:cubicBezTo>
                                      <a:cubicBezTo>
                                        <a:pt x="90" y="46"/>
                                        <a:pt x="89" y="42"/>
                                        <a:pt x="87" y="40"/>
                                      </a:cubicBezTo>
                                      <a:cubicBezTo>
                                        <a:pt x="87" y="39"/>
                                        <a:pt x="86" y="39"/>
                                        <a:pt x="86" y="39"/>
                                      </a:cubicBezTo>
                                      <a:cubicBezTo>
                                        <a:pt x="88" y="30"/>
                                        <a:pt x="86" y="21"/>
                                        <a:pt x="81" y="13"/>
                                      </a:cubicBezTo>
                                      <a:cubicBezTo>
                                        <a:pt x="75" y="5"/>
                                        <a:pt x="65" y="0"/>
                                        <a:pt x="52" y="0"/>
                                      </a:cubicBezTo>
                                      <a:cubicBezTo>
                                        <a:pt x="40" y="0"/>
                                        <a:pt x="30" y="5"/>
                                        <a:pt x="23" y="13"/>
                                      </a:cubicBezTo>
                                      <a:cubicBezTo>
                                        <a:pt x="18" y="21"/>
                                        <a:pt x="17" y="30"/>
                                        <a:pt x="19" y="39"/>
                                      </a:cubicBezTo>
                                      <a:cubicBezTo>
                                        <a:pt x="18" y="39"/>
                                        <a:pt x="18" y="39"/>
                                        <a:pt x="17" y="40"/>
                                      </a:cubicBezTo>
                                      <a:cubicBezTo>
                                        <a:pt x="15" y="42"/>
                                        <a:pt x="15" y="46"/>
                                        <a:pt x="16" y="52"/>
                                      </a:cubicBezTo>
                                      <a:cubicBezTo>
                                        <a:pt x="17" y="57"/>
                                        <a:pt x="20" y="64"/>
                                        <a:pt x="25" y="65"/>
                                      </a:cubicBezTo>
                                      <a:cubicBezTo>
                                        <a:pt x="26" y="70"/>
                                        <a:pt x="28" y="74"/>
                                        <a:pt x="30" y="77"/>
                                      </a:cubicBezTo>
                                      <a:cubicBezTo>
                                        <a:pt x="30" y="77"/>
                                        <a:pt x="30" y="77"/>
                                        <a:pt x="30" y="77"/>
                                      </a:cubicBezTo>
                                      <a:cubicBezTo>
                                        <a:pt x="31" y="81"/>
                                        <a:pt x="32" y="89"/>
                                        <a:pt x="30" y="92"/>
                                      </a:cubicBezTo>
                                      <a:cubicBezTo>
                                        <a:pt x="30" y="94"/>
                                        <a:pt x="26" y="95"/>
                                        <a:pt x="22" y="96"/>
                                      </a:cubicBezTo>
                                      <a:cubicBezTo>
                                        <a:pt x="7" y="102"/>
                                        <a:pt x="0" y="111"/>
                                        <a:pt x="0" y="122"/>
                                      </a:cubicBezTo>
                                      <a:cubicBezTo>
                                        <a:pt x="0" y="123"/>
                                        <a:pt x="1" y="125"/>
                                        <a:pt x="3" y="125"/>
                                      </a:cubicBezTo>
                                      <a:cubicBezTo>
                                        <a:pt x="102" y="125"/>
                                        <a:pt x="102" y="125"/>
                                        <a:pt x="102" y="125"/>
                                      </a:cubicBezTo>
                                      <a:cubicBezTo>
                                        <a:pt x="105" y="125"/>
                                        <a:pt x="105" y="123"/>
                                        <a:pt x="105" y="122"/>
                                      </a:cubicBezTo>
                                      <a:cubicBezTo>
                                        <a:pt x="105" y="105"/>
                                        <a:pt x="90" y="99"/>
                                        <a:pt x="81" y="96"/>
                                      </a:cubicBezTo>
                                      <a:close/>
                                      <a:moveTo>
                                        <a:pt x="7" y="120"/>
                                      </a:moveTo>
                                      <a:cubicBezTo>
                                        <a:pt x="7" y="113"/>
                                        <a:pt x="13" y="107"/>
                                        <a:pt x="24" y="102"/>
                                      </a:cubicBezTo>
                                      <a:cubicBezTo>
                                        <a:pt x="30" y="100"/>
                                        <a:pt x="34" y="98"/>
                                        <a:pt x="36" y="94"/>
                                      </a:cubicBezTo>
                                      <a:cubicBezTo>
                                        <a:pt x="38" y="89"/>
                                        <a:pt x="36" y="78"/>
                                        <a:pt x="36" y="76"/>
                                      </a:cubicBezTo>
                                      <a:cubicBezTo>
                                        <a:pt x="36" y="76"/>
                                        <a:pt x="36" y="75"/>
                                        <a:pt x="35" y="75"/>
                                      </a:cubicBezTo>
                                      <a:cubicBezTo>
                                        <a:pt x="33" y="71"/>
                                        <a:pt x="31" y="67"/>
                                        <a:pt x="30" y="62"/>
                                      </a:cubicBezTo>
                                      <a:cubicBezTo>
                                        <a:pt x="29" y="60"/>
                                        <a:pt x="28" y="60"/>
                                        <a:pt x="27" y="60"/>
                                      </a:cubicBezTo>
                                      <a:cubicBezTo>
                                        <a:pt x="25" y="60"/>
                                        <a:pt x="22" y="56"/>
                                        <a:pt x="22" y="51"/>
                                      </a:cubicBezTo>
                                      <a:cubicBezTo>
                                        <a:pt x="21" y="45"/>
                                        <a:pt x="22" y="44"/>
                                        <a:pt x="22" y="44"/>
                                      </a:cubicBezTo>
                                      <a:cubicBezTo>
                                        <a:pt x="22" y="44"/>
                                        <a:pt x="22" y="44"/>
                                        <a:pt x="22" y="44"/>
                                      </a:cubicBezTo>
                                      <a:cubicBezTo>
                                        <a:pt x="23" y="44"/>
                                        <a:pt x="24" y="43"/>
                                        <a:pt x="25" y="42"/>
                                      </a:cubicBezTo>
                                      <a:cubicBezTo>
                                        <a:pt x="25" y="42"/>
                                        <a:pt x="25" y="41"/>
                                        <a:pt x="25" y="40"/>
                                      </a:cubicBezTo>
                                      <a:cubicBezTo>
                                        <a:pt x="22" y="32"/>
                                        <a:pt x="24" y="23"/>
                                        <a:pt x="28" y="17"/>
                                      </a:cubicBezTo>
                                      <a:cubicBezTo>
                                        <a:pt x="33" y="10"/>
                                        <a:pt x="42" y="6"/>
                                        <a:pt x="52" y="6"/>
                                      </a:cubicBezTo>
                                      <a:cubicBezTo>
                                        <a:pt x="63" y="6"/>
                                        <a:pt x="71" y="10"/>
                                        <a:pt x="76" y="17"/>
                                      </a:cubicBezTo>
                                      <a:cubicBezTo>
                                        <a:pt x="81" y="23"/>
                                        <a:pt x="82" y="32"/>
                                        <a:pt x="80" y="40"/>
                                      </a:cubicBezTo>
                                      <a:cubicBezTo>
                                        <a:pt x="79" y="41"/>
                                        <a:pt x="79" y="42"/>
                                        <a:pt x="80" y="42"/>
                                      </a:cubicBezTo>
                                      <a:cubicBezTo>
                                        <a:pt x="81" y="43"/>
                                        <a:pt x="81" y="44"/>
                                        <a:pt x="82" y="44"/>
                                      </a:cubicBezTo>
                                      <a:cubicBezTo>
                                        <a:pt x="83" y="44"/>
                                        <a:pt x="83" y="44"/>
                                        <a:pt x="83" y="44"/>
                                      </a:cubicBezTo>
                                      <a:cubicBezTo>
                                        <a:pt x="83" y="44"/>
                                        <a:pt x="84" y="45"/>
                                        <a:pt x="83" y="51"/>
                                      </a:cubicBezTo>
                                      <a:cubicBezTo>
                                        <a:pt x="82" y="56"/>
                                        <a:pt x="79" y="60"/>
                                        <a:pt x="78" y="60"/>
                                      </a:cubicBezTo>
                                      <a:cubicBezTo>
                                        <a:pt x="76" y="60"/>
                                        <a:pt x="75" y="60"/>
                                        <a:pt x="75" y="62"/>
                                      </a:cubicBezTo>
                                      <a:cubicBezTo>
                                        <a:pt x="73" y="67"/>
                                        <a:pt x="71" y="71"/>
                                        <a:pt x="69" y="75"/>
                                      </a:cubicBezTo>
                                      <a:cubicBezTo>
                                        <a:pt x="69" y="75"/>
                                        <a:pt x="69" y="76"/>
                                        <a:pt x="69" y="76"/>
                                      </a:cubicBezTo>
                                      <a:cubicBezTo>
                                        <a:pt x="68" y="78"/>
                                        <a:pt x="67" y="89"/>
                                        <a:pt x="69" y="94"/>
                                      </a:cubicBezTo>
                                      <a:cubicBezTo>
                                        <a:pt x="70" y="97"/>
                                        <a:pt x="74" y="99"/>
                                        <a:pt x="78" y="101"/>
                                      </a:cubicBezTo>
                                      <a:cubicBezTo>
                                        <a:pt x="91" y="105"/>
                                        <a:pt x="97" y="111"/>
                                        <a:pt x="99" y="120"/>
                                      </a:cubicBezTo>
                                      <a:lnTo>
                                        <a:pt x="7" y="120"/>
                                      </a:lnTo>
                                      <a:close/>
                                    </a:path>
                                  </a:pathLst>
                                </a:custGeom>
                                <a:grpFill/>
                                <a:ln>
                                  <a:noFill/>
                                </a:ln>
                              </wps:spPr>
                              <wps:bodyPr vert="horz" wrap="square" lIns="91440" tIns="45720" rIns="91440" bIns="45720" numCol="1" anchor="t" anchorCtr="0" compatLnSpc="1">
                                <a:prstTxWarp prst="textNoShape">
                                  <a:avLst/>
                                </a:prstTxWarp>
                              </wps:bodyPr>
                            </wps:wsp>
                            <wps:wsp>
                              <wps:cNvPr id="20" name="Freeform 25"/>
                              <wps:cNvSpPr>
                                <a:spLocks noEditPoints="1"/>
                              </wps:cNvSpPr>
                              <wps:spPr bwMode="auto">
                                <a:xfrm>
                                  <a:off x="252412" y="0"/>
                                  <a:ext cx="242888" cy="506412"/>
                                </a:xfrm>
                                <a:custGeom>
                                  <a:avLst/>
                                  <a:gdLst>
                                    <a:gd name="T0" fmla="*/ 42 w 76"/>
                                    <a:gd name="T1" fmla="*/ 56 h 158"/>
                                    <a:gd name="T2" fmla="*/ 36 w 76"/>
                                    <a:gd name="T3" fmla="*/ 53 h 158"/>
                                    <a:gd name="T4" fmla="*/ 19 w 76"/>
                                    <a:gd name="T5" fmla="*/ 35 h 158"/>
                                    <a:gd name="T6" fmla="*/ 30 w 76"/>
                                    <a:gd name="T7" fmla="*/ 28 h 158"/>
                                    <a:gd name="T8" fmla="*/ 48 w 76"/>
                                    <a:gd name="T9" fmla="*/ 47 h 158"/>
                                    <a:gd name="T10" fmla="*/ 55 w 76"/>
                                    <a:gd name="T11" fmla="*/ 59 h 158"/>
                                    <a:gd name="T12" fmla="*/ 62 w 76"/>
                                    <a:gd name="T13" fmla="*/ 47 h 158"/>
                                    <a:gd name="T14" fmla="*/ 73 w 76"/>
                                    <a:gd name="T15" fmla="*/ 18 h 158"/>
                                    <a:gd name="T16" fmla="*/ 37 w 76"/>
                                    <a:gd name="T17" fmla="*/ 18 h 158"/>
                                    <a:gd name="T18" fmla="*/ 15 w 76"/>
                                    <a:gd name="T19" fmla="*/ 25 h 158"/>
                                    <a:gd name="T20" fmla="*/ 1 w 76"/>
                                    <a:gd name="T21" fmla="*/ 40 h 158"/>
                                    <a:gd name="T22" fmla="*/ 7 w 76"/>
                                    <a:gd name="T23" fmla="*/ 61 h 158"/>
                                    <a:gd name="T24" fmla="*/ 21 w 76"/>
                                    <a:gd name="T25" fmla="*/ 72 h 158"/>
                                    <a:gd name="T26" fmla="*/ 31 w 76"/>
                                    <a:gd name="T27" fmla="*/ 86 h 158"/>
                                    <a:gd name="T28" fmla="*/ 11 w 76"/>
                                    <a:gd name="T29" fmla="*/ 106 h 158"/>
                                    <a:gd name="T30" fmla="*/ 15 w 76"/>
                                    <a:gd name="T31" fmla="*/ 108 h 158"/>
                                    <a:gd name="T32" fmla="*/ 31 w 76"/>
                                    <a:gd name="T33" fmla="*/ 72 h 158"/>
                                    <a:gd name="T34" fmla="*/ 24 w 76"/>
                                    <a:gd name="T35" fmla="*/ 68 h 158"/>
                                    <a:gd name="T36" fmla="*/ 11 w 76"/>
                                    <a:gd name="T37" fmla="*/ 58 h 158"/>
                                    <a:gd name="T38" fmla="*/ 6 w 76"/>
                                    <a:gd name="T39" fmla="*/ 41 h 158"/>
                                    <a:gd name="T40" fmla="*/ 16 w 76"/>
                                    <a:gd name="T41" fmla="*/ 30 h 158"/>
                                    <a:gd name="T42" fmla="*/ 20 w 76"/>
                                    <a:gd name="T43" fmla="*/ 51 h 158"/>
                                    <a:gd name="T44" fmla="*/ 34 w 76"/>
                                    <a:gd name="T45" fmla="*/ 58 h 158"/>
                                    <a:gd name="T46" fmla="*/ 41 w 76"/>
                                    <a:gd name="T47" fmla="*/ 61 h 158"/>
                                    <a:gd name="T48" fmla="*/ 65 w 76"/>
                                    <a:gd name="T49" fmla="*/ 112 h 158"/>
                                    <a:gd name="T50" fmla="*/ 24 w 76"/>
                                    <a:gd name="T51" fmla="*/ 154 h 158"/>
                                    <a:gd name="T52" fmla="*/ 25 w 76"/>
                                    <a:gd name="T53" fmla="*/ 157 h 158"/>
                                    <a:gd name="T54" fmla="*/ 29 w 76"/>
                                    <a:gd name="T55" fmla="*/ 157 h 158"/>
                                    <a:gd name="T56" fmla="*/ 71 w 76"/>
                                    <a:gd name="T57" fmla="*/ 114 h 158"/>
                                    <a:gd name="T58" fmla="*/ 43 w 76"/>
                                    <a:gd name="T59" fmla="*/ 56 h 158"/>
                                    <a:gd name="T60" fmla="*/ 55 w 76"/>
                                    <a:gd name="T61" fmla="*/ 5 h 158"/>
                                    <a:gd name="T62" fmla="*/ 68 w 76"/>
                                    <a:gd name="T63" fmla="*/ 22 h 158"/>
                                    <a:gd name="T64" fmla="*/ 55 w 76"/>
                                    <a:gd name="T65" fmla="*/ 51 h 158"/>
                                    <a:gd name="T66" fmla="*/ 42 w 76"/>
                                    <a:gd name="T67" fmla="*/ 23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76" h="158">
                                      <a:moveTo>
                                        <a:pt x="43" y="56"/>
                                      </a:moveTo>
                                      <a:cubicBezTo>
                                        <a:pt x="43" y="56"/>
                                        <a:pt x="42" y="56"/>
                                        <a:pt x="42" y="56"/>
                                      </a:cubicBezTo>
                                      <a:cubicBezTo>
                                        <a:pt x="41" y="55"/>
                                        <a:pt x="39" y="54"/>
                                        <a:pt x="37" y="53"/>
                                      </a:cubicBezTo>
                                      <a:cubicBezTo>
                                        <a:pt x="36" y="53"/>
                                        <a:pt x="36" y="53"/>
                                        <a:pt x="36" y="53"/>
                                      </a:cubicBezTo>
                                      <a:cubicBezTo>
                                        <a:pt x="32" y="51"/>
                                        <a:pt x="24" y="48"/>
                                        <a:pt x="23" y="47"/>
                                      </a:cubicBezTo>
                                      <a:cubicBezTo>
                                        <a:pt x="16" y="42"/>
                                        <a:pt x="19" y="35"/>
                                        <a:pt x="19" y="35"/>
                                      </a:cubicBezTo>
                                      <a:cubicBezTo>
                                        <a:pt x="19" y="34"/>
                                        <a:pt x="20" y="33"/>
                                        <a:pt x="21" y="32"/>
                                      </a:cubicBezTo>
                                      <a:cubicBezTo>
                                        <a:pt x="23" y="30"/>
                                        <a:pt x="26" y="29"/>
                                        <a:pt x="30" y="28"/>
                                      </a:cubicBezTo>
                                      <a:cubicBezTo>
                                        <a:pt x="33" y="27"/>
                                        <a:pt x="36" y="26"/>
                                        <a:pt x="38" y="26"/>
                                      </a:cubicBezTo>
                                      <a:cubicBezTo>
                                        <a:pt x="48" y="47"/>
                                        <a:pt x="48" y="47"/>
                                        <a:pt x="48" y="47"/>
                                      </a:cubicBezTo>
                                      <a:cubicBezTo>
                                        <a:pt x="53" y="58"/>
                                        <a:pt x="53" y="58"/>
                                        <a:pt x="53" y="58"/>
                                      </a:cubicBezTo>
                                      <a:cubicBezTo>
                                        <a:pt x="53" y="58"/>
                                        <a:pt x="54" y="59"/>
                                        <a:pt x="55" y="59"/>
                                      </a:cubicBezTo>
                                      <a:cubicBezTo>
                                        <a:pt x="56" y="59"/>
                                        <a:pt x="57" y="58"/>
                                        <a:pt x="57" y="58"/>
                                      </a:cubicBezTo>
                                      <a:cubicBezTo>
                                        <a:pt x="62" y="47"/>
                                        <a:pt x="62" y="47"/>
                                        <a:pt x="62" y="47"/>
                                      </a:cubicBezTo>
                                      <a:cubicBezTo>
                                        <a:pt x="73" y="24"/>
                                        <a:pt x="73" y="24"/>
                                        <a:pt x="73" y="24"/>
                                      </a:cubicBezTo>
                                      <a:cubicBezTo>
                                        <a:pt x="73" y="22"/>
                                        <a:pt x="73" y="20"/>
                                        <a:pt x="73" y="18"/>
                                      </a:cubicBezTo>
                                      <a:cubicBezTo>
                                        <a:pt x="73" y="8"/>
                                        <a:pt x="65" y="0"/>
                                        <a:pt x="55" y="0"/>
                                      </a:cubicBezTo>
                                      <a:cubicBezTo>
                                        <a:pt x="45" y="0"/>
                                        <a:pt x="37" y="8"/>
                                        <a:pt x="37" y="18"/>
                                      </a:cubicBezTo>
                                      <a:cubicBezTo>
                                        <a:pt x="37" y="19"/>
                                        <a:pt x="37" y="20"/>
                                        <a:pt x="37" y="20"/>
                                      </a:cubicBezTo>
                                      <a:cubicBezTo>
                                        <a:pt x="29" y="21"/>
                                        <a:pt x="22" y="22"/>
                                        <a:pt x="15" y="25"/>
                                      </a:cubicBezTo>
                                      <a:cubicBezTo>
                                        <a:pt x="10" y="27"/>
                                        <a:pt x="6" y="30"/>
                                        <a:pt x="4" y="34"/>
                                      </a:cubicBezTo>
                                      <a:cubicBezTo>
                                        <a:pt x="3" y="36"/>
                                        <a:pt x="2" y="38"/>
                                        <a:pt x="1" y="40"/>
                                      </a:cubicBezTo>
                                      <a:cubicBezTo>
                                        <a:pt x="0" y="43"/>
                                        <a:pt x="0" y="45"/>
                                        <a:pt x="0" y="47"/>
                                      </a:cubicBezTo>
                                      <a:cubicBezTo>
                                        <a:pt x="1" y="52"/>
                                        <a:pt x="3" y="57"/>
                                        <a:pt x="7" y="61"/>
                                      </a:cubicBezTo>
                                      <a:cubicBezTo>
                                        <a:pt x="11" y="65"/>
                                        <a:pt x="15" y="68"/>
                                        <a:pt x="18" y="70"/>
                                      </a:cubicBezTo>
                                      <a:cubicBezTo>
                                        <a:pt x="21" y="72"/>
                                        <a:pt x="21" y="72"/>
                                        <a:pt x="21" y="72"/>
                                      </a:cubicBezTo>
                                      <a:cubicBezTo>
                                        <a:pt x="23" y="73"/>
                                        <a:pt x="25" y="75"/>
                                        <a:pt x="27" y="76"/>
                                      </a:cubicBezTo>
                                      <a:cubicBezTo>
                                        <a:pt x="29" y="78"/>
                                        <a:pt x="31" y="82"/>
                                        <a:pt x="31" y="86"/>
                                      </a:cubicBezTo>
                                      <a:cubicBezTo>
                                        <a:pt x="31" y="90"/>
                                        <a:pt x="16" y="102"/>
                                        <a:pt x="12" y="104"/>
                                      </a:cubicBezTo>
                                      <a:cubicBezTo>
                                        <a:pt x="11" y="104"/>
                                        <a:pt x="11" y="105"/>
                                        <a:pt x="11" y="106"/>
                                      </a:cubicBezTo>
                                      <a:cubicBezTo>
                                        <a:pt x="10" y="106"/>
                                        <a:pt x="11" y="107"/>
                                        <a:pt x="11" y="107"/>
                                      </a:cubicBezTo>
                                      <a:cubicBezTo>
                                        <a:pt x="12" y="109"/>
                                        <a:pt x="13" y="109"/>
                                        <a:pt x="15" y="108"/>
                                      </a:cubicBezTo>
                                      <a:cubicBezTo>
                                        <a:pt x="19" y="106"/>
                                        <a:pt x="37" y="92"/>
                                        <a:pt x="37" y="86"/>
                                      </a:cubicBezTo>
                                      <a:cubicBezTo>
                                        <a:pt x="37" y="80"/>
                                        <a:pt x="34" y="75"/>
                                        <a:pt x="31" y="72"/>
                                      </a:cubicBezTo>
                                      <a:cubicBezTo>
                                        <a:pt x="29" y="71"/>
                                        <a:pt x="26" y="69"/>
                                        <a:pt x="24" y="68"/>
                                      </a:cubicBezTo>
                                      <a:cubicBezTo>
                                        <a:pt x="24" y="68"/>
                                        <a:pt x="24" y="68"/>
                                        <a:pt x="24" y="68"/>
                                      </a:cubicBezTo>
                                      <a:cubicBezTo>
                                        <a:pt x="23" y="67"/>
                                        <a:pt x="22" y="67"/>
                                        <a:pt x="21" y="66"/>
                                      </a:cubicBezTo>
                                      <a:cubicBezTo>
                                        <a:pt x="18" y="64"/>
                                        <a:pt x="14" y="61"/>
                                        <a:pt x="11" y="58"/>
                                      </a:cubicBezTo>
                                      <a:cubicBezTo>
                                        <a:pt x="8" y="55"/>
                                        <a:pt x="6" y="51"/>
                                        <a:pt x="6" y="47"/>
                                      </a:cubicBezTo>
                                      <a:cubicBezTo>
                                        <a:pt x="6" y="45"/>
                                        <a:pt x="6" y="43"/>
                                        <a:pt x="6" y="41"/>
                                      </a:cubicBezTo>
                                      <a:cubicBezTo>
                                        <a:pt x="7" y="40"/>
                                        <a:pt x="8" y="38"/>
                                        <a:pt x="9" y="36"/>
                                      </a:cubicBezTo>
                                      <a:cubicBezTo>
                                        <a:pt x="10" y="34"/>
                                        <a:pt x="13" y="31"/>
                                        <a:pt x="16" y="30"/>
                                      </a:cubicBezTo>
                                      <a:cubicBezTo>
                                        <a:pt x="15" y="31"/>
                                        <a:pt x="14" y="32"/>
                                        <a:pt x="14" y="33"/>
                                      </a:cubicBezTo>
                                      <a:cubicBezTo>
                                        <a:pt x="13" y="35"/>
                                        <a:pt x="10" y="44"/>
                                        <a:pt x="20" y="51"/>
                                      </a:cubicBezTo>
                                      <a:cubicBezTo>
                                        <a:pt x="21" y="52"/>
                                        <a:pt x="26" y="54"/>
                                        <a:pt x="34" y="57"/>
                                      </a:cubicBezTo>
                                      <a:cubicBezTo>
                                        <a:pt x="34" y="58"/>
                                        <a:pt x="34" y="58"/>
                                        <a:pt x="34" y="58"/>
                                      </a:cubicBezTo>
                                      <a:cubicBezTo>
                                        <a:pt x="36" y="59"/>
                                        <a:pt x="38" y="59"/>
                                        <a:pt x="39" y="60"/>
                                      </a:cubicBezTo>
                                      <a:cubicBezTo>
                                        <a:pt x="40" y="60"/>
                                        <a:pt x="40" y="60"/>
                                        <a:pt x="41" y="61"/>
                                      </a:cubicBezTo>
                                      <a:cubicBezTo>
                                        <a:pt x="48" y="63"/>
                                        <a:pt x="69" y="72"/>
                                        <a:pt x="71" y="93"/>
                                      </a:cubicBezTo>
                                      <a:cubicBezTo>
                                        <a:pt x="71" y="100"/>
                                        <a:pt x="66" y="110"/>
                                        <a:pt x="65" y="112"/>
                                      </a:cubicBezTo>
                                      <a:cubicBezTo>
                                        <a:pt x="58" y="127"/>
                                        <a:pt x="42" y="139"/>
                                        <a:pt x="32" y="148"/>
                                      </a:cubicBezTo>
                                      <a:cubicBezTo>
                                        <a:pt x="29" y="150"/>
                                        <a:pt x="26" y="152"/>
                                        <a:pt x="24" y="154"/>
                                      </a:cubicBezTo>
                                      <a:cubicBezTo>
                                        <a:pt x="24" y="154"/>
                                        <a:pt x="24" y="155"/>
                                        <a:pt x="24" y="155"/>
                                      </a:cubicBezTo>
                                      <a:cubicBezTo>
                                        <a:pt x="24" y="156"/>
                                        <a:pt x="24" y="157"/>
                                        <a:pt x="25" y="157"/>
                                      </a:cubicBezTo>
                                      <a:cubicBezTo>
                                        <a:pt x="26" y="158"/>
                                        <a:pt x="26" y="158"/>
                                        <a:pt x="27" y="158"/>
                                      </a:cubicBezTo>
                                      <a:cubicBezTo>
                                        <a:pt x="27" y="158"/>
                                        <a:pt x="28" y="157"/>
                                        <a:pt x="29" y="157"/>
                                      </a:cubicBezTo>
                                      <a:cubicBezTo>
                                        <a:pt x="30" y="155"/>
                                        <a:pt x="33" y="154"/>
                                        <a:pt x="35" y="152"/>
                                      </a:cubicBezTo>
                                      <a:cubicBezTo>
                                        <a:pt x="46" y="144"/>
                                        <a:pt x="61" y="133"/>
                                        <a:pt x="71" y="114"/>
                                      </a:cubicBezTo>
                                      <a:cubicBezTo>
                                        <a:pt x="73" y="108"/>
                                        <a:pt x="76" y="100"/>
                                        <a:pt x="76" y="93"/>
                                      </a:cubicBezTo>
                                      <a:cubicBezTo>
                                        <a:pt x="74" y="69"/>
                                        <a:pt x="51" y="59"/>
                                        <a:pt x="43" y="56"/>
                                      </a:cubicBezTo>
                                      <a:close/>
                                      <a:moveTo>
                                        <a:pt x="42" y="18"/>
                                      </a:moveTo>
                                      <a:cubicBezTo>
                                        <a:pt x="42" y="11"/>
                                        <a:pt x="47" y="5"/>
                                        <a:pt x="55" y="5"/>
                                      </a:cubicBezTo>
                                      <a:cubicBezTo>
                                        <a:pt x="63" y="5"/>
                                        <a:pt x="69" y="11"/>
                                        <a:pt x="69" y="18"/>
                                      </a:cubicBezTo>
                                      <a:cubicBezTo>
                                        <a:pt x="69" y="20"/>
                                        <a:pt x="69" y="21"/>
                                        <a:pt x="68" y="22"/>
                                      </a:cubicBezTo>
                                      <a:cubicBezTo>
                                        <a:pt x="58" y="45"/>
                                        <a:pt x="58" y="45"/>
                                        <a:pt x="58" y="45"/>
                                      </a:cubicBezTo>
                                      <a:cubicBezTo>
                                        <a:pt x="55" y="51"/>
                                        <a:pt x="55" y="51"/>
                                        <a:pt x="55" y="51"/>
                                      </a:cubicBezTo>
                                      <a:cubicBezTo>
                                        <a:pt x="52" y="45"/>
                                        <a:pt x="52" y="45"/>
                                        <a:pt x="52" y="45"/>
                                      </a:cubicBezTo>
                                      <a:cubicBezTo>
                                        <a:pt x="42" y="23"/>
                                        <a:pt x="42" y="23"/>
                                        <a:pt x="42" y="23"/>
                                      </a:cubicBezTo>
                                      <a:cubicBezTo>
                                        <a:pt x="42" y="21"/>
                                        <a:pt x="42" y="20"/>
                                        <a:pt x="42" y="18"/>
                                      </a:cubicBezTo>
                                      <a:close/>
                                    </a:path>
                                  </a:pathLst>
                                </a:custGeom>
                                <a:grpFill/>
                                <a:ln>
                                  <a:noFill/>
                                </a:ln>
                              </wps:spPr>
                              <wps:bodyPr vert="horz" wrap="square" lIns="91440" tIns="45720" rIns="91440" bIns="45720" numCol="1" anchor="t" anchorCtr="0" compatLnSpc="1">
                                <a:prstTxWarp prst="textNoShape">
                                  <a:avLst/>
                                </a:prstTxWarp>
                              </wps:bodyPr>
                            </wps:wsp>
                            <wps:wsp>
                              <wps:cNvPr id="24" name="Freeform 26"/>
                              <wps:cNvSpPr>
                                <a:spLocks noEditPoints="1"/>
                              </wps:cNvSpPr>
                              <wps:spPr bwMode="auto">
                                <a:xfrm>
                                  <a:off x="396875" y="25400"/>
                                  <a:ext cx="63500" cy="65087"/>
                                </a:xfrm>
                                <a:custGeom>
                                  <a:avLst/>
                                  <a:gdLst>
                                    <a:gd name="T0" fmla="*/ 20 w 20"/>
                                    <a:gd name="T1" fmla="*/ 10 h 20"/>
                                    <a:gd name="T2" fmla="*/ 10 w 20"/>
                                    <a:gd name="T3" fmla="*/ 0 h 20"/>
                                    <a:gd name="T4" fmla="*/ 0 w 20"/>
                                    <a:gd name="T5" fmla="*/ 10 h 20"/>
                                    <a:gd name="T6" fmla="*/ 10 w 20"/>
                                    <a:gd name="T7" fmla="*/ 20 h 20"/>
                                    <a:gd name="T8" fmla="*/ 20 w 20"/>
                                    <a:gd name="T9" fmla="*/ 10 h 20"/>
                                    <a:gd name="T10" fmla="*/ 10 w 20"/>
                                    <a:gd name="T11" fmla="*/ 16 h 20"/>
                                    <a:gd name="T12" fmla="*/ 5 w 20"/>
                                    <a:gd name="T13" fmla="*/ 10 h 20"/>
                                    <a:gd name="T14" fmla="*/ 10 w 20"/>
                                    <a:gd name="T15" fmla="*/ 4 h 20"/>
                                    <a:gd name="T16" fmla="*/ 16 w 20"/>
                                    <a:gd name="T17" fmla="*/ 10 h 20"/>
                                    <a:gd name="T18" fmla="*/ 10 w 20"/>
                                    <a:gd name="T19" fmla="*/ 16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 h="20">
                                      <a:moveTo>
                                        <a:pt x="20" y="10"/>
                                      </a:moveTo>
                                      <a:cubicBezTo>
                                        <a:pt x="20" y="4"/>
                                        <a:pt x="16" y="0"/>
                                        <a:pt x="10" y="0"/>
                                      </a:cubicBezTo>
                                      <a:cubicBezTo>
                                        <a:pt x="4" y="0"/>
                                        <a:pt x="0" y="4"/>
                                        <a:pt x="0" y="10"/>
                                      </a:cubicBezTo>
                                      <a:cubicBezTo>
                                        <a:pt x="0" y="16"/>
                                        <a:pt x="4" y="20"/>
                                        <a:pt x="10" y="20"/>
                                      </a:cubicBezTo>
                                      <a:cubicBezTo>
                                        <a:pt x="16" y="20"/>
                                        <a:pt x="20" y="16"/>
                                        <a:pt x="20" y="10"/>
                                      </a:cubicBezTo>
                                      <a:close/>
                                      <a:moveTo>
                                        <a:pt x="10" y="16"/>
                                      </a:moveTo>
                                      <a:cubicBezTo>
                                        <a:pt x="7" y="16"/>
                                        <a:pt x="5" y="13"/>
                                        <a:pt x="5" y="10"/>
                                      </a:cubicBezTo>
                                      <a:cubicBezTo>
                                        <a:pt x="5" y="7"/>
                                        <a:pt x="7" y="4"/>
                                        <a:pt x="10" y="4"/>
                                      </a:cubicBezTo>
                                      <a:cubicBezTo>
                                        <a:pt x="13" y="4"/>
                                        <a:pt x="16" y="7"/>
                                        <a:pt x="16" y="10"/>
                                      </a:cubicBezTo>
                                      <a:cubicBezTo>
                                        <a:pt x="16" y="13"/>
                                        <a:pt x="13" y="16"/>
                                        <a:pt x="10" y="16"/>
                                      </a:cubicBezTo>
                                      <a:close/>
                                    </a:path>
                                  </a:pathLst>
                                </a:custGeom>
                                <a:grpFill/>
                                <a:ln>
                                  <a:noFill/>
                                </a:ln>
                              </wps:spPr>
                              <wps:bodyPr vert="horz" wrap="square" lIns="91440" tIns="45720" rIns="91440" bIns="45720" numCol="1" anchor="t" anchorCtr="0" compatLnSpc="1">
                                <a:prstTxWarp prst="textNoShape">
                                  <a:avLst/>
                                </a:prstTxWarp>
                              </wps:bodyPr>
                            </wps:wsp>
                          </wpg:wgp>
                        </a:graphicData>
                      </a:graphic>
                    </wp:inline>
                  </w:drawing>
                </mc:Choice>
                <mc:Fallback>
                  <w:pict>
                    <v:group w14:anchorId="4ACFCECF" id="Group 228" o:spid="_x0000_s1026" alt="&quot;&quot;" style="width:30.85pt;height:34.55pt;mso-position-horizontal-relative:char;mso-position-vertical-relative:line" coordsize="4953,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">
                      <v:shape id="Freeform 24" o:spid="_x0000_s1027" style="position:absolute;top:1539;width:3349;height:4001;visibility:visible;mso-wrap-style:square;v-text-anchor:top" coordsize="10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" path="m81,96v,,,,,c81,96,81,96,81,96v,,,,,c78,95,75,93,74,92v-1,-4,,-13,,-14c74,77,74,77,74,77v2,-3,4,-7,6,-12c85,64,88,57,89,52v1,-6,,-10,-2,-12c87,39,86,39,86,39v2,-9,,-18,-5,-26c75,5,65,,52,,40,,30,5,23,13v-5,8,-6,17,-4,26c18,39,18,39,17,40v-2,2,-2,6,-1,12c17,57,20,64,25,65v1,5,3,9,5,12c30,77,30,77,30,77v1,4,2,12,,15c30,94,26,95,22,96,7,102,,111,,122v,1,1,3,3,3c102,125,102,125,102,125v3,,3,-2,3,-3c105,105,90,99,81,96xm7,120v,-7,6,-13,17,-18c30,100,34,98,36,94v2,-5,,-16,,-18c36,76,36,75,35,75,33,71,31,67,30,62,29,60,28,60,27,60v-2,,-5,-4,-5,-9c21,45,22,44,22,44v,,,,,c23,44,24,43,25,42v,,,-1,,-2c22,32,24,23,28,17,33,10,42,6,52,6v11,,19,4,24,11c81,23,82,32,80,40v-1,1,-1,2,,2c81,43,81,44,82,44v1,,1,,1,c83,44,84,45,83,51v-1,5,-4,9,-5,9c76,60,75,60,75,62v-2,5,-4,9,-6,13c69,75,69,76,69,76v-1,2,-2,13,,18c70,97,74,99,78,101v13,4,19,10,21,19l7,120xe" filled="f" stroked="f">
                        <v:path arrowok="t" o:connecttype="custom" o:connectlocs="258400,307238;258400,307238;258400,307238;258400,307238;236069,294437;236069,249631;236069,246431;255210,208026;283921,166421;277541,128016;274351,124816;258400,41605;165886,0;73373,41605;60612,124816;54232,128016;51042,166421;79753,208026;95704,246431;95704,246431;95704,294437;70183,307238;0,390449;9570,400050;325393,400050;334963,390449;258400,307238;22331,384048;76563,326441;114844,300838;114844,243230;111654,240030;95704,198425;86133,192024;70183,163220;70183,140818;70183,140818;79753,134417;79753,128016;89323,54407;165886,19202;242449,54407;255210,128016;255210,134417;261590,140818;264780,140818;264780,163220;248830,192024;239259,198425;220119,240030;220119,243230;220119,300838;248830,323240;315822,384048;22331,384048" o:connectangles="0,0,0,0,0,0,0,0,0,0,0,0,0,0,0,0,0,0,0,0,0,0,0,0,0,0,0,0,0,0,0,0,0,0,0,0,0,0,0,0,0,0,0,0,0,0,0,0,0,0,0,0,0,0,0"/>
                        <o:lock v:ext="edit" verticies="t"/>
                      </v:shape>
                      <v:shape id="Freeform 25" o:spid="_x0000_s1028" style="position:absolute;left:2524;width:2429;height:5064;visibility:visible;mso-wrap-style:square;v-text-anchor:top" coordsize="7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" path="m43,56v,,-1,,-1,c41,55,39,54,37,53v-1,,-1,,-1,c32,51,24,48,23,47,16,42,19,35,19,35v,-1,1,-2,2,-3c23,30,26,29,30,28v3,-1,6,-2,8,-2c48,47,48,47,48,47v5,11,5,11,5,11c53,58,54,59,55,59v1,,2,-1,2,-1c62,47,62,47,62,47,73,24,73,24,73,24v,-2,,-4,,-6c73,8,65,,55,,45,,37,8,37,18v,1,,2,,2c29,21,22,22,15,25,10,27,6,30,4,34,3,36,2,38,1,40,,43,,45,,47v1,5,3,10,7,14c11,65,15,68,18,70v3,2,3,2,3,2c23,73,25,75,27,76v2,2,4,6,4,10c31,90,16,102,12,104v-1,,-1,1,-1,2c10,106,11,107,11,107v1,2,2,2,4,1c19,106,37,92,37,86,37,80,34,75,31,72,29,71,26,69,24,68v,,,,,c23,67,22,67,21,66,18,64,14,61,11,58,8,55,6,51,6,47v,-2,,-4,,-6c7,40,8,38,9,36v1,-2,4,-5,7,-6c15,31,14,32,14,33v-1,2,-4,11,6,18c21,52,26,54,34,57v,1,,1,,1c36,59,38,59,39,60v1,,1,,2,1c48,63,69,72,71,93v,7,-5,17,-6,19c58,127,42,139,32,148v-3,2,-6,4,-8,6c24,154,24,155,24,155v,1,,2,1,2c26,158,26,158,27,158v,,1,-1,2,-1c30,155,33,154,35,152v11,-8,26,-19,36,-38c73,108,76,100,76,93,74,69,51,59,43,56xm42,18c42,11,47,5,55,5v8,,14,6,14,13c69,20,69,21,68,22,58,45,58,45,58,45v-3,6,-3,6,-3,6c52,45,52,45,52,45,42,23,42,23,42,23v,-2,,-3,,-5xe" filled="f" stroked="f">
                        <v:path arrowok="t" o:connecttype="custom" o:connectlocs="134228,179488;115052,169872;60722,112180;95877,89744;153403,150642;175774,189103;198145,150642;233300,57693;118248,57693;47938,80128;3196,128206;22371,195513;67114,230770;99073,275642;35155,339745;47938,346155;99073,230770;76701,217949;35155,185898;19175,131411;51134,96154;63918,163462;108660,185898;131032,195513;207733,358976;76701,493591;79897,503207;92681,503207;226909,365386;137423,179488;175774,16026;217321,70513;175774,163462;134228,73718" o:connectangles="0,0,0,0,0,0,0,0,0,0,0,0,0,0,0,0,0,0,0,0,0,0,0,0,0,0,0,0,0,0,0,0,0,0"/>
                        <o:lock v:ext="edit" verticies="t"/>
                      </v:shape>
                      <v:shape id="Freeform 26" o:spid="_x0000_s1029" style="position:absolute;left:3968;top:254;width:635;height:65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" path="m20,10c20,4,16,,10,,4,,,4,,10v,6,4,10,10,10c16,20,20,16,20,10xm10,16c7,16,5,13,5,10,5,7,7,4,10,4v3,,6,3,6,6c16,13,13,16,10,16xe" filled="f" stroked="f">
                        <v:path arrowok="t" o:connecttype="custom" o:connectlocs="63500,32544;31750,0;0,32544;31750,65087;63500,32544;31750,52070;15875,32544;31750,13017;50800,32544;31750,52070" o:connectangles="0,0,0,0,0,0,0,0,0,0"/>
                        <o:lock v:ext="edit" verticies="t"/>
                      </v:shape>
                      <w10:anchorlock/>
                    </v:group>
                  </w:pict>
                </mc:Fallback>
              </mc:AlternateContent>
            </w:r>
          </w:p>
          <w:p w14:paraId="097F7ECD" w14:textId="77777777" w:rsidR="001158BB" w:rsidRPr="005825BD" w:rsidRDefault="001158BB" w:rsidP="00A117E4">
            <w:pPr>
              <w:pStyle w:val="TableNheader"/>
            </w:pPr>
            <w:r w:rsidRPr="005825BD">
              <w:t>The ‘missing middle’</w:t>
            </w:r>
            <w:r w:rsidRPr="00BB0165">
              <w:rPr>
                <w:rStyle w:val="FootnoteReference"/>
                <w:sz w:val="16"/>
                <w:szCs w:val="16"/>
              </w:rPr>
              <w:footnoteReference w:id="130"/>
            </w:r>
            <w:r w:rsidRPr="005825BD">
              <w:t xml:space="preserve"> in mental health needs / support</w:t>
            </w:r>
          </w:p>
        </w:tc>
        <w:tc>
          <w:tcPr>
            <w:tcW w:w="3119" w:type="dxa"/>
            <w:shd w:val="clear" w:color="auto" w:fill="auto"/>
          </w:tcPr>
          <w:p w14:paraId="04073CCC" w14:textId="01005FA0" w:rsidR="001158BB" w:rsidRPr="00623868" w:rsidRDefault="1648F9AB" w:rsidP="00623868">
            <w:r w:rsidRPr="00623868">
              <w:t xml:space="preserve">It was common for participants who were observed to be part of the ‘missing middle’ to access The Way Back, as they often had to get to the crisis point of suicidality before they could finally access care through The Way Back. Before The Way Back, participants </w:t>
            </w:r>
            <w:r w:rsidR="001C2FBB" w:rsidRPr="00623868">
              <w:t xml:space="preserve">in </w:t>
            </w:r>
            <w:r w:rsidR="003C32D0" w:rsidRPr="00623868">
              <w:t>interviews reported</w:t>
            </w:r>
            <w:r w:rsidRPr="00623868">
              <w:t xml:space="preserve"> that they </w:t>
            </w:r>
            <w:r w:rsidRPr="00623868">
              <w:lastRenderedPageBreak/>
              <w:t>struggled to access the affordable support, close to home and in a timely manner.</w:t>
            </w:r>
          </w:p>
        </w:tc>
        <w:tc>
          <w:tcPr>
            <w:tcW w:w="3958" w:type="dxa"/>
            <w:shd w:val="clear" w:color="auto" w:fill="auto"/>
          </w:tcPr>
          <w:p w14:paraId="3311E6F6" w14:textId="73659665" w:rsidR="001158BB" w:rsidRPr="00623868" w:rsidRDefault="00B57E1F" w:rsidP="00623868">
            <w:r w:rsidRPr="00623868">
              <w:lastRenderedPageBreak/>
              <w:t>These participants valued how their support coordinators were able facilitate access to the mental health supports they needed where they felt they would not have had access to without having been referred to The Way Back.</w:t>
            </w:r>
          </w:p>
        </w:tc>
      </w:tr>
      <w:tr w:rsidR="005C548A" w:rsidRPr="005825BD" w14:paraId="24FAE77F" w14:textId="5FFFE3EC" w:rsidTr="00F77C16">
        <w:tc>
          <w:tcPr>
            <w:tcW w:w="1823" w:type="dxa"/>
            <w:shd w:val="clear" w:color="auto" w:fill="E6E6E1" w:themeFill="accent5"/>
          </w:tcPr>
          <w:p w14:paraId="2A728068" w14:textId="77777777" w:rsidR="001158BB" w:rsidRPr="005825BD" w:rsidRDefault="001158BB" w:rsidP="00A117E4">
            <w:pPr>
              <w:pStyle w:val="TableNheader"/>
            </w:pPr>
            <w:r w:rsidRPr="005825BD">
              <w:rPr>
                <w:noProof/>
              </w:rPr>
              <mc:AlternateContent>
                <mc:Choice Requires="wps">
                  <w:drawing>
                    <wp:inline distT="0" distB="0" distL="0" distR="0" wp14:anchorId="4F86FA78" wp14:editId="4D8C5717">
                      <wp:extent cx="207122" cy="471988"/>
                      <wp:effectExtent l="0" t="0" r="2540" b="4445"/>
                      <wp:docPr id="12" name="Freeform 6">
                        <a:extLst xmlns:a="http://schemas.openxmlformats.org/drawingml/2006/main">
                          <a:ext uri="{FF2B5EF4-FFF2-40B4-BE49-F238E27FC236}">
                            <a16:creationId xmlns:a16="http://schemas.microsoft.com/office/drawing/2014/main" id="{F7BC84D7-99C8-4E40-BA8E-4B6D0D9D7C5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07122" cy="471988"/>
                              </a:xfrm>
                              <a:custGeom>
                                <a:avLst/>
                                <a:gdLst>
                                  <a:gd name="T0" fmla="*/ 39 w 70"/>
                                  <a:gd name="T1" fmla="*/ 125 h 159"/>
                                  <a:gd name="T2" fmla="*/ 41 w 70"/>
                                  <a:gd name="T3" fmla="*/ 125 h 159"/>
                                  <a:gd name="T4" fmla="*/ 70 w 70"/>
                                  <a:gd name="T5" fmla="*/ 96 h 159"/>
                                  <a:gd name="T6" fmla="*/ 41 w 70"/>
                                  <a:gd name="T7" fmla="*/ 64 h 159"/>
                                  <a:gd name="T8" fmla="*/ 39 w 70"/>
                                  <a:gd name="T9" fmla="*/ 63 h 159"/>
                                  <a:gd name="T10" fmla="*/ 38 w 70"/>
                                  <a:gd name="T11" fmla="*/ 62 h 159"/>
                                  <a:gd name="T12" fmla="*/ 38 w 70"/>
                                  <a:gd name="T13" fmla="*/ 21 h 159"/>
                                  <a:gd name="T14" fmla="*/ 39 w 70"/>
                                  <a:gd name="T15" fmla="*/ 21 h 159"/>
                                  <a:gd name="T16" fmla="*/ 41 w 70"/>
                                  <a:gd name="T17" fmla="*/ 22 h 159"/>
                                  <a:gd name="T18" fmla="*/ 56 w 70"/>
                                  <a:gd name="T19" fmla="*/ 32 h 159"/>
                                  <a:gd name="T20" fmla="*/ 63 w 70"/>
                                  <a:gd name="T21" fmla="*/ 29 h 159"/>
                                  <a:gd name="T22" fmla="*/ 41 w 70"/>
                                  <a:gd name="T23" fmla="*/ 15 h 159"/>
                                  <a:gd name="T24" fmla="*/ 39 w 70"/>
                                  <a:gd name="T25" fmla="*/ 14 h 159"/>
                                  <a:gd name="T26" fmla="*/ 38 w 70"/>
                                  <a:gd name="T27" fmla="*/ 14 h 159"/>
                                  <a:gd name="T28" fmla="*/ 38 w 70"/>
                                  <a:gd name="T29" fmla="*/ 3 h 159"/>
                                  <a:gd name="T30" fmla="*/ 34 w 70"/>
                                  <a:gd name="T31" fmla="*/ 0 h 159"/>
                                  <a:gd name="T32" fmla="*/ 31 w 70"/>
                                  <a:gd name="T33" fmla="*/ 3 h 159"/>
                                  <a:gd name="T34" fmla="*/ 31 w 70"/>
                                  <a:gd name="T35" fmla="*/ 14 h 159"/>
                                  <a:gd name="T36" fmla="*/ 29 w 70"/>
                                  <a:gd name="T37" fmla="*/ 14 h 159"/>
                                  <a:gd name="T38" fmla="*/ 28 w 70"/>
                                  <a:gd name="T39" fmla="*/ 15 h 159"/>
                                  <a:gd name="T40" fmla="*/ 2 w 70"/>
                                  <a:gd name="T41" fmla="*/ 39 h 159"/>
                                  <a:gd name="T42" fmla="*/ 28 w 70"/>
                                  <a:gd name="T43" fmla="*/ 67 h 159"/>
                                  <a:gd name="T44" fmla="*/ 29 w 70"/>
                                  <a:gd name="T45" fmla="*/ 67 h 159"/>
                                  <a:gd name="T46" fmla="*/ 31 w 70"/>
                                  <a:gd name="T47" fmla="*/ 68 h 159"/>
                                  <a:gd name="T48" fmla="*/ 31 w 70"/>
                                  <a:gd name="T49" fmla="*/ 118 h 159"/>
                                  <a:gd name="T50" fmla="*/ 29 w 70"/>
                                  <a:gd name="T51" fmla="*/ 118 h 159"/>
                                  <a:gd name="T52" fmla="*/ 28 w 70"/>
                                  <a:gd name="T53" fmla="*/ 118 h 159"/>
                                  <a:gd name="T54" fmla="*/ 7 w 70"/>
                                  <a:gd name="T55" fmla="*/ 103 h 159"/>
                                  <a:gd name="T56" fmla="*/ 0 w 70"/>
                                  <a:gd name="T57" fmla="*/ 105 h 159"/>
                                  <a:gd name="T58" fmla="*/ 28 w 70"/>
                                  <a:gd name="T59" fmla="*/ 125 h 159"/>
                                  <a:gd name="T60" fmla="*/ 29 w 70"/>
                                  <a:gd name="T61" fmla="*/ 125 h 159"/>
                                  <a:gd name="T62" fmla="*/ 31 w 70"/>
                                  <a:gd name="T63" fmla="*/ 125 h 159"/>
                                  <a:gd name="T64" fmla="*/ 31 w 70"/>
                                  <a:gd name="T65" fmla="*/ 146 h 159"/>
                                  <a:gd name="T66" fmla="*/ 22 w 70"/>
                                  <a:gd name="T67" fmla="*/ 146 h 159"/>
                                  <a:gd name="T68" fmla="*/ 34 w 70"/>
                                  <a:gd name="T69" fmla="*/ 159 h 159"/>
                                  <a:gd name="T70" fmla="*/ 47 w 70"/>
                                  <a:gd name="T71" fmla="*/ 146 h 159"/>
                                  <a:gd name="T72" fmla="*/ 38 w 70"/>
                                  <a:gd name="T73" fmla="*/ 146 h 159"/>
                                  <a:gd name="T74" fmla="*/ 38 w 70"/>
                                  <a:gd name="T75" fmla="*/ 125 h 159"/>
                                  <a:gd name="T76" fmla="*/ 39 w 70"/>
                                  <a:gd name="T77" fmla="*/ 125 h 159"/>
                                  <a:gd name="T78" fmla="*/ 39 w 70"/>
                                  <a:gd name="T79" fmla="*/ 71 h 159"/>
                                  <a:gd name="T80" fmla="*/ 41 w 70"/>
                                  <a:gd name="T81" fmla="*/ 72 h 159"/>
                                  <a:gd name="T82" fmla="*/ 62 w 70"/>
                                  <a:gd name="T83" fmla="*/ 96 h 159"/>
                                  <a:gd name="T84" fmla="*/ 41 w 70"/>
                                  <a:gd name="T85" fmla="*/ 118 h 159"/>
                                  <a:gd name="T86" fmla="*/ 39 w 70"/>
                                  <a:gd name="T87" fmla="*/ 119 h 159"/>
                                  <a:gd name="T88" fmla="*/ 38 w 70"/>
                                  <a:gd name="T89" fmla="*/ 119 h 159"/>
                                  <a:gd name="T90" fmla="*/ 38 w 70"/>
                                  <a:gd name="T91" fmla="*/ 71 h 159"/>
                                  <a:gd name="T92" fmla="*/ 39 w 70"/>
                                  <a:gd name="T93" fmla="*/ 71 h 159"/>
                                  <a:gd name="T94" fmla="*/ 29 w 70"/>
                                  <a:gd name="T95" fmla="*/ 59 h 159"/>
                                  <a:gd name="T96" fmla="*/ 28 w 70"/>
                                  <a:gd name="T97" fmla="*/ 58 h 159"/>
                                  <a:gd name="T98" fmla="*/ 10 w 70"/>
                                  <a:gd name="T99" fmla="*/ 39 h 159"/>
                                  <a:gd name="T100" fmla="*/ 28 w 70"/>
                                  <a:gd name="T101" fmla="*/ 21 h 159"/>
                                  <a:gd name="T102" fmla="*/ 29 w 70"/>
                                  <a:gd name="T103" fmla="*/ 21 h 159"/>
                                  <a:gd name="T104" fmla="*/ 31 w 70"/>
                                  <a:gd name="T105" fmla="*/ 21 h 159"/>
                                  <a:gd name="T106" fmla="*/ 31 w 70"/>
                                  <a:gd name="T107" fmla="*/ 60 h 159"/>
                                  <a:gd name="T108" fmla="*/ 29 w 70"/>
                                  <a:gd name="T109" fmla="*/ 59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70" h="159">
                                    <a:moveTo>
                                      <a:pt x="39" y="125"/>
                                    </a:moveTo>
                                    <a:cubicBezTo>
                                      <a:pt x="40" y="125"/>
                                      <a:pt x="40" y="125"/>
                                      <a:pt x="41" y="125"/>
                                    </a:cubicBezTo>
                                    <a:cubicBezTo>
                                      <a:pt x="58" y="123"/>
                                      <a:pt x="70" y="112"/>
                                      <a:pt x="70" y="96"/>
                                    </a:cubicBezTo>
                                    <a:cubicBezTo>
                                      <a:pt x="70" y="78"/>
                                      <a:pt x="56" y="70"/>
                                      <a:pt x="41" y="64"/>
                                    </a:cubicBezTo>
                                    <a:cubicBezTo>
                                      <a:pt x="40" y="63"/>
                                      <a:pt x="40" y="63"/>
                                      <a:pt x="39" y="63"/>
                                    </a:cubicBezTo>
                                    <a:cubicBezTo>
                                      <a:pt x="39" y="63"/>
                                      <a:pt x="38" y="63"/>
                                      <a:pt x="38" y="62"/>
                                    </a:cubicBezTo>
                                    <a:cubicBezTo>
                                      <a:pt x="38" y="21"/>
                                      <a:pt x="38" y="21"/>
                                      <a:pt x="38" y="21"/>
                                    </a:cubicBezTo>
                                    <a:cubicBezTo>
                                      <a:pt x="38" y="21"/>
                                      <a:pt x="39" y="21"/>
                                      <a:pt x="39" y="21"/>
                                    </a:cubicBezTo>
                                    <a:cubicBezTo>
                                      <a:pt x="40" y="21"/>
                                      <a:pt x="40" y="22"/>
                                      <a:pt x="41" y="22"/>
                                    </a:cubicBezTo>
                                    <a:cubicBezTo>
                                      <a:pt x="48" y="23"/>
                                      <a:pt x="53" y="27"/>
                                      <a:pt x="56" y="32"/>
                                    </a:cubicBezTo>
                                    <a:cubicBezTo>
                                      <a:pt x="63" y="29"/>
                                      <a:pt x="63" y="29"/>
                                      <a:pt x="63" y="29"/>
                                    </a:cubicBezTo>
                                    <a:cubicBezTo>
                                      <a:pt x="60" y="21"/>
                                      <a:pt x="52" y="16"/>
                                      <a:pt x="41" y="15"/>
                                    </a:cubicBezTo>
                                    <a:cubicBezTo>
                                      <a:pt x="40" y="15"/>
                                      <a:pt x="40" y="15"/>
                                      <a:pt x="39" y="14"/>
                                    </a:cubicBezTo>
                                    <a:cubicBezTo>
                                      <a:pt x="39" y="14"/>
                                      <a:pt x="38" y="14"/>
                                      <a:pt x="38" y="14"/>
                                    </a:cubicBezTo>
                                    <a:cubicBezTo>
                                      <a:pt x="38" y="3"/>
                                      <a:pt x="38" y="3"/>
                                      <a:pt x="38" y="3"/>
                                    </a:cubicBezTo>
                                    <a:cubicBezTo>
                                      <a:pt x="38" y="1"/>
                                      <a:pt x="36" y="0"/>
                                      <a:pt x="34" y="0"/>
                                    </a:cubicBezTo>
                                    <a:cubicBezTo>
                                      <a:pt x="32" y="0"/>
                                      <a:pt x="31" y="1"/>
                                      <a:pt x="31" y="3"/>
                                    </a:cubicBezTo>
                                    <a:cubicBezTo>
                                      <a:pt x="31" y="14"/>
                                      <a:pt x="31" y="14"/>
                                      <a:pt x="31" y="14"/>
                                    </a:cubicBezTo>
                                    <a:cubicBezTo>
                                      <a:pt x="30" y="14"/>
                                      <a:pt x="30" y="14"/>
                                      <a:pt x="29" y="14"/>
                                    </a:cubicBezTo>
                                    <a:cubicBezTo>
                                      <a:pt x="29" y="15"/>
                                      <a:pt x="28" y="15"/>
                                      <a:pt x="28" y="15"/>
                                    </a:cubicBezTo>
                                    <a:cubicBezTo>
                                      <a:pt x="13" y="17"/>
                                      <a:pt x="2" y="26"/>
                                      <a:pt x="2" y="39"/>
                                    </a:cubicBezTo>
                                    <a:cubicBezTo>
                                      <a:pt x="2" y="54"/>
                                      <a:pt x="13" y="61"/>
                                      <a:pt x="28" y="67"/>
                                    </a:cubicBezTo>
                                    <a:cubicBezTo>
                                      <a:pt x="28" y="67"/>
                                      <a:pt x="29" y="67"/>
                                      <a:pt x="29" y="67"/>
                                    </a:cubicBezTo>
                                    <a:cubicBezTo>
                                      <a:pt x="30" y="68"/>
                                      <a:pt x="30" y="68"/>
                                      <a:pt x="31" y="68"/>
                                    </a:cubicBezTo>
                                    <a:cubicBezTo>
                                      <a:pt x="31" y="118"/>
                                      <a:pt x="31" y="118"/>
                                      <a:pt x="31" y="118"/>
                                    </a:cubicBezTo>
                                    <a:cubicBezTo>
                                      <a:pt x="30" y="118"/>
                                      <a:pt x="30" y="118"/>
                                      <a:pt x="29" y="118"/>
                                    </a:cubicBezTo>
                                    <a:cubicBezTo>
                                      <a:pt x="29" y="118"/>
                                      <a:pt x="28" y="118"/>
                                      <a:pt x="28" y="118"/>
                                    </a:cubicBezTo>
                                    <a:cubicBezTo>
                                      <a:pt x="19" y="116"/>
                                      <a:pt x="12" y="111"/>
                                      <a:pt x="7" y="103"/>
                                    </a:cubicBezTo>
                                    <a:cubicBezTo>
                                      <a:pt x="0" y="105"/>
                                      <a:pt x="0" y="105"/>
                                      <a:pt x="0" y="105"/>
                                    </a:cubicBezTo>
                                    <a:cubicBezTo>
                                      <a:pt x="5" y="116"/>
                                      <a:pt x="15" y="123"/>
                                      <a:pt x="28" y="125"/>
                                    </a:cubicBezTo>
                                    <a:cubicBezTo>
                                      <a:pt x="28" y="125"/>
                                      <a:pt x="29" y="125"/>
                                      <a:pt x="29" y="125"/>
                                    </a:cubicBezTo>
                                    <a:cubicBezTo>
                                      <a:pt x="30" y="125"/>
                                      <a:pt x="30" y="125"/>
                                      <a:pt x="31" y="125"/>
                                    </a:cubicBezTo>
                                    <a:cubicBezTo>
                                      <a:pt x="31" y="146"/>
                                      <a:pt x="31" y="146"/>
                                      <a:pt x="31" y="146"/>
                                    </a:cubicBezTo>
                                    <a:cubicBezTo>
                                      <a:pt x="22" y="146"/>
                                      <a:pt x="22" y="146"/>
                                      <a:pt x="22" y="146"/>
                                    </a:cubicBezTo>
                                    <a:cubicBezTo>
                                      <a:pt x="34" y="159"/>
                                      <a:pt x="34" y="159"/>
                                      <a:pt x="34" y="159"/>
                                    </a:cubicBezTo>
                                    <a:cubicBezTo>
                                      <a:pt x="47" y="146"/>
                                      <a:pt x="47" y="146"/>
                                      <a:pt x="47" y="146"/>
                                    </a:cubicBezTo>
                                    <a:cubicBezTo>
                                      <a:pt x="38" y="146"/>
                                      <a:pt x="38" y="146"/>
                                      <a:pt x="38" y="146"/>
                                    </a:cubicBezTo>
                                    <a:cubicBezTo>
                                      <a:pt x="38" y="125"/>
                                      <a:pt x="38" y="125"/>
                                      <a:pt x="38" y="125"/>
                                    </a:cubicBezTo>
                                    <a:cubicBezTo>
                                      <a:pt x="38" y="125"/>
                                      <a:pt x="39" y="125"/>
                                      <a:pt x="39" y="125"/>
                                    </a:cubicBezTo>
                                    <a:close/>
                                    <a:moveTo>
                                      <a:pt x="39" y="71"/>
                                    </a:moveTo>
                                    <a:cubicBezTo>
                                      <a:pt x="40" y="71"/>
                                      <a:pt x="40" y="72"/>
                                      <a:pt x="41" y="72"/>
                                    </a:cubicBezTo>
                                    <a:cubicBezTo>
                                      <a:pt x="50" y="76"/>
                                      <a:pt x="62" y="83"/>
                                      <a:pt x="62" y="96"/>
                                    </a:cubicBezTo>
                                    <a:cubicBezTo>
                                      <a:pt x="62" y="109"/>
                                      <a:pt x="54" y="117"/>
                                      <a:pt x="41" y="118"/>
                                    </a:cubicBezTo>
                                    <a:cubicBezTo>
                                      <a:pt x="40" y="119"/>
                                      <a:pt x="40" y="119"/>
                                      <a:pt x="39" y="119"/>
                                    </a:cubicBezTo>
                                    <a:cubicBezTo>
                                      <a:pt x="39" y="119"/>
                                      <a:pt x="38" y="119"/>
                                      <a:pt x="38" y="119"/>
                                    </a:cubicBezTo>
                                    <a:cubicBezTo>
                                      <a:pt x="38" y="71"/>
                                      <a:pt x="38" y="71"/>
                                      <a:pt x="38" y="71"/>
                                    </a:cubicBezTo>
                                    <a:cubicBezTo>
                                      <a:pt x="38" y="71"/>
                                      <a:pt x="39" y="71"/>
                                      <a:pt x="39" y="71"/>
                                    </a:cubicBezTo>
                                    <a:close/>
                                    <a:moveTo>
                                      <a:pt x="29" y="59"/>
                                    </a:moveTo>
                                    <a:cubicBezTo>
                                      <a:pt x="29" y="59"/>
                                      <a:pt x="28" y="59"/>
                                      <a:pt x="28" y="58"/>
                                    </a:cubicBezTo>
                                    <a:cubicBezTo>
                                      <a:pt x="19" y="55"/>
                                      <a:pt x="10" y="49"/>
                                      <a:pt x="10" y="39"/>
                                    </a:cubicBezTo>
                                    <a:cubicBezTo>
                                      <a:pt x="10" y="30"/>
                                      <a:pt x="17" y="23"/>
                                      <a:pt x="28" y="21"/>
                                    </a:cubicBezTo>
                                    <a:cubicBezTo>
                                      <a:pt x="28" y="21"/>
                                      <a:pt x="29" y="21"/>
                                      <a:pt x="29" y="21"/>
                                    </a:cubicBezTo>
                                    <a:cubicBezTo>
                                      <a:pt x="30" y="21"/>
                                      <a:pt x="30" y="21"/>
                                      <a:pt x="31" y="21"/>
                                    </a:cubicBezTo>
                                    <a:cubicBezTo>
                                      <a:pt x="31" y="60"/>
                                      <a:pt x="31" y="60"/>
                                      <a:pt x="31" y="60"/>
                                    </a:cubicBezTo>
                                    <a:cubicBezTo>
                                      <a:pt x="30" y="60"/>
                                      <a:pt x="30" y="59"/>
                                      <a:pt x="29" y="59"/>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a:graphicData>
                      </a:graphic>
                    </wp:inline>
                  </w:drawing>
                </mc:Choice>
                <mc:Fallback>
                  <w:pict>
                    <v:shape w14:anchorId="077C02B2" id="Freeform 6" o:spid="_x0000_s1026" alt="&quot;&quot;" style="width:16.3pt;height:37.15pt;visibility:visible;mso-wrap-style:square;mso-left-percent:-10001;mso-top-percent:-10001;mso-position-horizontal:absolute;mso-position-horizontal-relative:char;mso-position-vertical:absolute;mso-position-vertical-relative:line;mso-left-percent:-10001;mso-top-percent:-10001;v-text-anchor:top" coordsize="70,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" path="m39,125v1,,1,,2,c58,123,70,112,70,96,70,78,56,70,41,64,40,63,40,63,39,63v,,-1,,-1,-1c38,21,38,21,38,21v,,1,,1,c40,21,40,22,41,22v7,1,12,5,15,10c63,29,63,29,63,29,60,21,52,16,41,15v-1,,-1,,-2,-1c39,14,38,14,38,14,38,3,38,3,38,3,38,1,36,,34,,32,,31,1,31,3v,11,,11,,11c30,14,30,14,29,14v,1,-1,1,-1,1c13,17,2,26,2,39v,15,11,22,26,28c28,67,29,67,29,67v1,1,1,1,2,1c31,118,31,118,31,118v-1,,-1,,-2,c29,118,28,118,28,118,19,116,12,111,7,103,,105,,105,,105v5,11,15,18,28,20c28,125,29,125,29,125v1,,1,,2,c31,146,31,146,31,146v-9,,-9,,-9,c34,159,34,159,34,159,47,146,47,146,47,146v-9,,-9,,-9,c38,125,38,125,38,125v,,1,,1,xm39,71v1,,1,1,2,1c50,76,62,83,62,96v,13,-8,21,-21,22c40,119,40,119,39,119v,,-1,,-1,c38,71,38,71,38,71v,,1,,1,xm29,59v,,-1,,-1,-1c19,55,10,49,10,39v,-9,7,-16,18,-18c28,21,29,21,29,21v1,,1,,2,c31,60,31,60,31,60v-1,,-1,-1,-2,-1xe" fillcolor="#25b3e0 [3209]" stroked="f">
                      <v:path arrowok="t" o:connecttype="custom" o:connectlocs="115397,371060;121314,371060;207122,284974;121314,189983;115397,187014;112438,184046;112438,62338;115397,62338;121314,65307;165698,94991;186410,86086;121314,44527;115397,41559;112438,41559;112438,8905;100602,0;91725,8905;91725,41559;85808,41559;82849,44527;5918,115771;82849,198888;85808,198888;91725,201857;91725,350280;85808,350280;82849,350280;20712,305753;0,311690;82849,371060;85808,371060;91725,371060;91725,433398;65095,433398;100602,471988;139068,433398;112438,433398;112438,371060;115397,371060;115397,210762;121314,213730;183451,284974;121314,350280;115397,353249;112438,353249;112438,210762;115397,210762;85808,175140;82849,172172;29589,115771;82849,62338;85808,62338;91725,62338;91725,178109;85808,175140" o:connectangles="0,0,0,0,0,0,0,0,0,0,0,0,0,0,0,0,0,0,0,0,0,0,0,0,0,0,0,0,0,0,0,0,0,0,0,0,0,0,0,0,0,0,0,0,0,0,0,0,0,0,0,0,0,0,0"/>
                      <o:lock v:ext="edit" aspectratio="t" verticies="t"/>
                      <w10:anchorlock/>
                    </v:shape>
                  </w:pict>
                </mc:Fallback>
              </mc:AlternateContent>
            </w:r>
          </w:p>
          <w:p w14:paraId="05B4EFC6" w14:textId="77777777" w:rsidR="001158BB" w:rsidRPr="005825BD" w:rsidRDefault="001158BB" w:rsidP="00A117E4">
            <w:pPr>
              <w:pStyle w:val="TableNheader"/>
            </w:pPr>
            <w:r w:rsidRPr="005825BD">
              <w:t>People from lower socio-economic backgrounds</w:t>
            </w:r>
          </w:p>
        </w:tc>
        <w:tc>
          <w:tcPr>
            <w:tcW w:w="3119" w:type="dxa"/>
            <w:shd w:val="clear" w:color="auto" w:fill="auto"/>
          </w:tcPr>
          <w:p w14:paraId="095F382E" w14:textId="72FD9435" w:rsidR="001158BB" w:rsidRPr="00623868" w:rsidRDefault="1648F9AB" w:rsidP="00623868">
            <w:r w:rsidRPr="00623868">
              <w:t xml:space="preserve">Participants who were </w:t>
            </w:r>
            <w:r w:rsidR="414D6CE2" w:rsidRPr="00623868">
              <w:t>participants who were experiencing (or reported) financial stres</w:t>
            </w:r>
            <w:r w:rsidRPr="00623868">
              <w:t xml:space="preserve">s often were experiencing homelessness and/or unemployment. Homelessness was a key driver towards suicidality for this cohort. </w:t>
            </w:r>
          </w:p>
        </w:tc>
        <w:tc>
          <w:tcPr>
            <w:tcW w:w="3958" w:type="dxa"/>
            <w:shd w:val="clear" w:color="auto" w:fill="auto"/>
          </w:tcPr>
          <w:p w14:paraId="76D7AFD8" w14:textId="5C9810F9" w:rsidR="001158BB" w:rsidRPr="00623868" w:rsidRDefault="00B57E1F" w:rsidP="00623868">
            <w:r w:rsidRPr="00623868">
              <w:t>Participants outlined that establishing a stable living situation was vital to their recovery. Participants who had access to safe and affordable housing were then able to focus on addressing other issues that led to their suicidality, such as their mental health.</w:t>
            </w:r>
          </w:p>
        </w:tc>
      </w:tr>
      <w:tr w:rsidR="005C548A" w:rsidRPr="005825BD" w14:paraId="21B974F8" w14:textId="2803AFCA" w:rsidTr="00F77C16">
        <w:tc>
          <w:tcPr>
            <w:tcW w:w="1823" w:type="dxa"/>
            <w:shd w:val="clear" w:color="auto" w:fill="E6E6E1" w:themeFill="accent5"/>
          </w:tcPr>
          <w:p w14:paraId="0459404D" w14:textId="77777777" w:rsidR="001158BB" w:rsidRPr="005825BD" w:rsidRDefault="001158BB" w:rsidP="00A117E4">
            <w:pPr>
              <w:pStyle w:val="TableNheader"/>
            </w:pPr>
            <w:r w:rsidRPr="005825BD">
              <w:rPr>
                <w:noProof/>
              </w:rPr>
              <mc:AlternateContent>
                <mc:Choice Requires="wps">
                  <w:drawing>
                    <wp:inline distT="0" distB="0" distL="0" distR="0" wp14:anchorId="0199F7F6" wp14:editId="1BF5DDC2">
                      <wp:extent cx="395298" cy="401132"/>
                      <wp:effectExtent l="0" t="0" r="5080" b="0"/>
                      <wp:docPr id="17" name="Freeform 11">
                        <a:extLst xmlns:a="http://schemas.openxmlformats.org/drawingml/2006/main">
                          <a:ext uri="{FF2B5EF4-FFF2-40B4-BE49-F238E27FC236}">
                            <a16:creationId xmlns:a16="http://schemas.microsoft.com/office/drawing/2014/main" id="{76DC259E-451B-415A-A2AE-AA8F7D8FCCE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395298" cy="401132"/>
                              </a:xfrm>
                              <a:custGeom>
                                <a:avLst/>
                                <a:gdLst>
                                  <a:gd name="T0" fmla="*/ 130 w 134"/>
                                  <a:gd name="T1" fmla="*/ 0 h 135"/>
                                  <a:gd name="T2" fmla="*/ 105 w 134"/>
                                  <a:gd name="T3" fmla="*/ 0 h 135"/>
                                  <a:gd name="T4" fmla="*/ 102 w 134"/>
                                  <a:gd name="T5" fmla="*/ 3 h 135"/>
                                  <a:gd name="T6" fmla="*/ 105 w 134"/>
                                  <a:gd name="T7" fmla="*/ 6 h 135"/>
                                  <a:gd name="T8" fmla="*/ 123 w 134"/>
                                  <a:gd name="T9" fmla="*/ 6 h 135"/>
                                  <a:gd name="T10" fmla="*/ 99 w 134"/>
                                  <a:gd name="T11" fmla="*/ 29 h 135"/>
                                  <a:gd name="T12" fmla="*/ 60 w 134"/>
                                  <a:gd name="T13" fmla="*/ 15 h 135"/>
                                  <a:gd name="T14" fmla="*/ 0 w 134"/>
                                  <a:gd name="T15" fmla="*/ 75 h 135"/>
                                  <a:gd name="T16" fmla="*/ 56 w 134"/>
                                  <a:gd name="T17" fmla="*/ 135 h 135"/>
                                  <a:gd name="T18" fmla="*/ 63 w 134"/>
                                  <a:gd name="T19" fmla="*/ 135 h 135"/>
                                  <a:gd name="T20" fmla="*/ 119 w 134"/>
                                  <a:gd name="T21" fmla="*/ 75 h 135"/>
                                  <a:gd name="T22" fmla="*/ 103 w 134"/>
                                  <a:gd name="T23" fmla="*/ 33 h 135"/>
                                  <a:gd name="T24" fmla="*/ 127 w 134"/>
                                  <a:gd name="T25" fmla="*/ 11 h 135"/>
                                  <a:gd name="T26" fmla="*/ 127 w 134"/>
                                  <a:gd name="T27" fmla="*/ 28 h 135"/>
                                  <a:gd name="T28" fmla="*/ 130 w 134"/>
                                  <a:gd name="T29" fmla="*/ 31 h 135"/>
                                  <a:gd name="T30" fmla="*/ 134 w 134"/>
                                  <a:gd name="T31" fmla="*/ 28 h 135"/>
                                  <a:gd name="T32" fmla="*/ 134 w 134"/>
                                  <a:gd name="T33" fmla="*/ 3 h 135"/>
                                  <a:gd name="T34" fmla="*/ 130 w 134"/>
                                  <a:gd name="T35" fmla="*/ 0 h 135"/>
                                  <a:gd name="T36" fmla="*/ 113 w 134"/>
                                  <a:gd name="T37" fmla="*/ 75 h 135"/>
                                  <a:gd name="T38" fmla="*/ 60 w 134"/>
                                  <a:gd name="T39" fmla="*/ 128 h 135"/>
                                  <a:gd name="T40" fmla="*/ 6 w 134"/>
                                  <a:gd name="T41" fmla="*/ 75 h 135"/>
                                  <a:gd name="T42" fmla="*/ 60 w 134"/>
                                  <a:gd name="T43" fmla="*/ 21 h 135"/>
                                  <a:gd name="T44" fmla="*/ 113 w 134"/>
                                  <a:gd name="T45" fmla="*/ 7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135">
                                    <a:moveTo>
                                      <a:pt x="130" y="0"/>
                                    </a:moveTo>
                                    <a:cubicBezTo>
                                      <a:pt x="105" y="0"/>
                                      <a:pt x="105" y="0"/>
                                      <a:pt x="105" y="0"/>
                                    </a:cubicBezTo>
                                    <a:cubicBezTo>
                                      <a:pt x="104" y="0"/>
                                      <a:pt x="102" y="2"/>
                                      <a:pt x="102" y="3"/>
                                    </a:cubicBezTo>
                                    <a:cubicBezTo>
                                      <a:pt x="102" y="5"/>
                                      <a:pt x="104" y="6"/>
                                      <a:pt x="105" y="6"/>
                                    </a:cubicBezTo>
                                    <a:cubicBezTo>
                                      <a:pt x="123" y="6"/>
                                      <a:pt x="123" y="6"/>
                                      <a:pt x="123" y="6"/>
                                    </a:cubicBezTo>
                                    <a:cubicBezTo>
                                      <a:pt x="99" y="29"/>
                                      <a:pt x="99" y="29"/>
                                      <a:pt x="99" y="29"/>
                                    </a:cubicBezTo>
                                    <a:cubicBezTo>
                                      <a:pt x="88" y="20"/>
                                      <a:pt x="75" y="15"/>
                                      <a:pt x="60" y="15"/>
                                    </a:cubicBezTo>
                                    <a:cubicBezTo>
                                      <a:pt x="27" y="15"/>
                                      <a:pt x="0" y="41"/>
                                      <a:pt x="0" y="75"/>
                                    </a:cubicBezTo>
                                    <a:cubicBezTo>
                                      <a:pt x="0" y="106"/>
                                      <a:pt x="25" y="133"/>
                                      <a:pt x="56" y="135"/>
                                    </a:cubicBezTo>
                                    <a:cubicBezTo>
                                      <a:pt x="63" y="135"/>
                                      <a:pt x="63" y="135"/>
                                      <a:pt x="63" y="135"/>
                                    </a:cubicBezTo>
                                    <a:cubicBezTo>
                                      <a:pt x="94" y="133"/>
                                      <a:pt x="119" y="106"/>
                                      <a:pt x="119" y="75"/>
                                    </a:cubicBezTo>
                                    <a:cubicBezTo>
                                      <a:pt x="119" y="58"/>
                                      <a:pt x="113" y="44"/>
                                      <a:pt x="103" y="33"/>
                                    </a:cubicBezTo>
                                    <a:cubicBezTo>
                                      <a:pt x="127" y="11"/>
                                      <a:pt x="127" y="11"/>
                                      <a:pt x="127" y="11"/>
                                    </a:cubicBezTo>
                                    <a:cubicBezTo>
                                      <a:pt x="127" y="28"/>
                                      <a:pt x="127" y="28"/>
                                      <a:pt x="127" y="28"/>
                                    </a:cubicBezTo>
                                    <a:cubicBezTo>
                                      <a:pt x="127" y="30"/>
                                      <a:pt x="129" y="31"/>
                                      <a:pt x="130" y="31"/>
                                    </a:cubicBezTo>
                                    <a:cubicBezTo>
                                      <a:pt x="132" y="31"/>
                                      <a:pt x="134" y="30"/>
                                      <a:pt x="134" y="28"/>
                                    </a:cubicBezTo>
                                    <a:cubicBezTo>
                                      <a:pt x="134" y="3"/>
                                      <a:pt x="134" y="3"/>
                                      <a:pt x="134" y="3"/>
                                    </a:cubicBezTo>
                                    <a:cubicBezTo>
                                      <a:pt x="134" y="2"/>
                                      <a:pt x="132" y="0"/>
                                      <a:pt x="130" y="0"/>
                                    </a:cubicBezTo>
                                    <a:close/>
                                    <a:moveTo>
                                      <a:pt x="113" y="75"/>
                                    </a:moveTo>
                                    <a:cubicBezTo>
                                      <a:pt x="113" y="104"/>
                                      <a:pt x="89" y="128"/>
                                      <a:pt x="60" y="128"/>
                                    </a:cubicBezTo>
                                    <a:cubicBezTo>
                                      <a:pt x="30" y="128"/>
                                      <a:pt x="6" y="104"/>
                                      <a:pt x="6" y="75"/>
                                    </a:cubicBezTo>
                                    <a:cubicBezTo>
                                      <a:pt x="6" y="45"/>
                                      <a:pt x="30" y="21"/>
                                      <a:pt x="60" y="21"/>
                                    </a:cubicBezTo>
                                    <a:cubicBezTo>
                                      <a:pt x="89" y="21"/>
                                      <a:pt x="113" y="45"/>
                                      <a:pt x="113" y="75"/>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a:graphicData>
                      </a:graphic>
                    </wp:inline>
                  </w:drawing>
                </mc:Choice>
                <mc:Fallback>
                  <w:pict>
                    <v:shape w14:anchorId="5A7E58E8" id="Freeform 11" o:spid="_x0000_s1026" alt="&quot;&quot;" style="width:31.15pt;height:31.6pt;visibility:visible;mso-wrap-style:square;mso-left-percent:-10001;mso-top-percent:-10001;mso-position-horizontal:absolute;mso-position-horizontal-relative:char;mso-position-vertical:absolute;mso-position-vertical-relative:line;mso-left-percent:-10001;mso-top-percent:-10001;v-text-anchor:top" coordsize="13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" path="m130,c105,,105,,105,v-1,,-3,2,-3,3c102,5,104,6,105,6v18,,18,,18,c99,29,99,29,99,29,88,20,75,15,60,15,27,15,,41,,75v,31,25,58,56,60c63,135,63,135,63,135v31,-2,56,-29,56,-60c119,58,113,44,103,33,127,11,127,11,127,11v,17,,17,,17c127,30,129,31,130,31v2,,4,-1,4,-3c134,3,134,3,134,3,134,2,132,,130,xm113,75v,29,-24,53,-53,53c30,128,6,104,6,75,6,45,30,21,60,21v29,,53,24,53,54xe" fillcolor="#25b3e0 [3209]" stroked="f">
                      <v:path arrowok="t" o:connecttype="custom" o:connectlocs="383498,0;309748,0;300898,8914;309748,17828;362848,17828;292049,86169;176999,44570;0,222851;165199,401132;185849,401132;351048,222851;303848,98054;374648,32685;374648,83198;383498,92112;395298,83198;395298,8914;383498,0;333348,222851;176999,380333;17700,222851;176999,62398;333348,222851" o:connectangles="0,0,0,0,0,0,0,0,0,0,0,0,0,0,0,0,0,0,0,0,0,0,0"/>
                      <o:lock v:ext="edit" aspectratio="t" verticies="t"/>
                      <w10:anchorlock/>
                    </v:shape>
                  </w:pict>
                </mc:Fallback>
              </mc:AlternateContent>
            </w:r>
          </w:p>
          <w:p w14:paraId="6F046B03" w14:textId="77777777" w:rsidR="001158BB" w:rsidRPr="005825BD" w:rsidRDefault="001158BB" w:rsidP="00A117E4">
            <w:pPr>
              <w:pStyle w:val="TableNheader"/>
            </w:pPr>
            <w:r w:rsidRPr="005825BD">
              <w:t>Men</w:t>
            </w:r>
          </w:p>
        </w:tc>
        <w:tc>
          <w:tcPr>
            <w:tcW w:w="3119" w:type="dxa"/>
            <w:shd w:val="clear" w:color="auto" w:fill="auto"/>
          </w:tcPr>
          <w:p w14:paraId="178A5644" w14:textId="06611E06" w:rsidR="001158BB" w:rsidRPr="00623868" w:rsidRDefault="001C2FBB" w:rsidP="00623868">
            <w:r w:rsidRPr="00623868">
              <w:t xml:space="preserve">Providers in interviews </w:t>
            </w:r>
            <w:r w:rsidR="1648F9AB" w:rsidRPr="00623868">
              <w:t xml:space="preserve">indicated that young men who previously had </w:t>
            </w:r>
            <w:r w:rsidR="16EFD46E" w:rsidRPr="00623868">
              <w:t xml:space="preserve">negative </w:t>
            </w:r>
            <w:r w:rsidR="1648F9AB" w:rsidRPr="00623868">
              <w:t xml:space="preserve">experiences with the mental health system typically did not engage with The Way Back or were very reluctant to engage with the service, if they did decide to accept a referral. </w:t>
            </w:r>
          </w:p>
          <w:p w14:paraId="311C3211" w14:textId="6CFF4C78" w:rsidR="001158BB" w:rsidRPr="00623868" w:rsidRDefault="00136817" w:rsidP="00623868">
            <w:r w:rsidRPr="00623868">
              <w:t>More generally, m</w:t>
            </w:r>
            <w:r w:rsidR="001158BB" w:rsidRPr="00623868">
              <w:t>en who access</w:t>
            </w:r>
            <w:r w:rsidR="00D93E9E" w:rsidRPr="00623868">
              <w:t xml:space="preserve">ed </w:t>
            </w:r>
            <w:r w:rsidR="001158BB" w:rsidRPr="00623868">
              <w:t xml:space="preserve">the service </w:t>
            </w:r>
            <w:r w:rsidR="00D93E9E" w:rsidRPr="00623868">
              <w:t xml:space="preserve">commonly reported in interviews they </w:t>
            </w:r>
            <w:r w:rsidR="001158BB" w:rsidRPr="00623868">
              <w:t xml:space="preserve">were facing situational crisis such as relationship breakdowns or the loss of a partner through death. </w:t>
            </w:r>
          </w:p>
        </w:tc>
        <w:tc>
          <w:tcPr>
            <w:tcW w:w="3958" w:type="dxa"/>
            <w:shd w:val="clear" w:color="auto" w:fill="auto"/>
          </w:tcPr>
          <w:p w14:paraId="307BB0E0" w14:textId="41C755CE" w:rsidR="001158BB" w:rsidRPr="00623868" w:rsidRDefault="3EC2FF75" w:rsidP="00623868">
            <w:r w:rsidRPr="00623868">
              <w:t xml:space="preserve">Participants who identified as male often described the same mechanisms of change as other cohorts. </w:t>
            </w:r>
          </w:p>
        </w:tc>
      </w:tr>
      <w:tr w:rsidR="0044133C" w:rsidRPr="005825BD" w14:paraId="5B74C9C1" w14:textId="41719B10" w:rsidTr="00F77C16">
        <w:trPr>
          <w:trHeight w:val="1522"/>
        </w:trPr>
        <w:tc>
          <w:tcPr>
            <w:tcW w:w="1823" w:type="dxa"/>
            <w:shd w:val="clear" w:color="auto" w:fill="E6E6E1" w:themeFill="accent5"/>
          </w:tcPr>
          <w:p w14:paraId="62C909CF" w14:textId="77777777" w:rsidR="001158BB" w:rsidRPr="005825BD" w:rsidRDefault="001158BB" w:rsidP="00A117E4">
            <w:pPr>
              <w:pStyle w:val="TableNheader"/>
            </w:pPr>
            <w:r w:rsidRPr="005825BD">
              <w:rPr>
                <w:noProof/>
              </w:rPr>
              <mc:AlternateContent>
                <mc:Choice Requires="wpg">
                  <w:drawing>
                    <wp:inline distT="0" distB="0" distL="0" distR="0" wp14:anchorId="0DCC6F25" wp14:editId="42490B22">
                      <wp:extent cx="368300" cy="461010"/>
                      <wp:effectExtent l="0" t="0" r="0" b="0"/>
                      <wp:docPr id="1038753021"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300" cy="461010"/>
                                <a:chOff x="0" y="0"/>
                                <a:chExt cx="505500" cy="632998"/>
                              </a:xfrm>
                            </wpg:grpSpPr>
                            <wps:wsp>
                              <wps:cNvPr id="1038753022" name="Freeform 10"/>
                              <wps:cNvSpPr>
                                <a:spLocks noChangeAspect="1" noEditPoints="1"/>
                              </wps:cNvSpPr>
                              <wps:spPr bwMode="auto">
                                <a:xfrm>
                                  <a:off x="52031" y="54592"/>
                                  <a:ext cx="401717" cy="578406"/>
                                </a:xfrm>
                                <a:custGeom>
                                  <a:avLst/>
                                  <a:gdLst>
                                    <a:gd name="T0" fmla="*/ 119 w 119"/>
                                    <a:gd name="T1" fmla="*/ 60 h 170"/>
                                    <a:gd name="T2" fmla="*/ 103 w 119"/>
                                    <a:gd name="T3" fmla="*/ 18 h 170"/>
                                    <a:gd name="T4" fmla="*/ 99 w 119"/>
                                    <a:gd name="T5" fmla="*/ 14 h 170"/>
                                    <a:gd name="T6" fmla="*/ 59 w 119"/>
                                    <a:gd name="T7" fmla="*/ 0 h 170"/>
                                    <a:gd name="T8" fmla="*/ 0 w 119"/>
                                    <a:gd name="T9" fmla="*/ 60 h 170"/>
                                    <a:gd name="T10" fmla="*/ 56 w 119"/>
                                    <a:gd name="T11" fmla="*/ 120 h 170"/>
                                    <a:gd name="T12" fmla="*/ 56 w 119"/>
                                    <a:gd name="T13" fmla="*/ 145 h 170"/>
                                    <a:gd name="T14" fmla="*/ 42 w 119"/>
                                    <a:gd name="T15" fmla="*/ 145 h 170"/>
                                    <a:gd name="T16" fmla="*/ 39 w 119"/>
                                    <a:gd name="T17" fmla="*/ 148 h 170"/>
                                    <a:gd name="T18" fmla="*/ 42 w 119"/>
                                    <a:gd name="T19" fmla="*/ 151 h 170"/>
                                    <a:gd name="T20" fmla="*/ 56 w 119"/>
                                    <a:gd name="T21" fmla="*/ 151 h 170"/>
                                    <a:gd name="T22" fmla="*/ 56 w 119"/>
                                    <a:gd name="T23" fmla="*/ 166 h 170"/>
                                    <a:gd name="T24" fmla="*/ 59 w 119"/>
                                    <a:gd name="T25" fmla="*/ 170 h 170"/>
                                    <a:gd name="T26" fmla="*/ 63 w 119"/>
                                    <a:gd name="T27" fmla="*/ 166 h 170"/>
                                    <a:gd name="T28" fmla="*/ 63 w 119"/>
                                    <a:gd name="T29" fmla="*/ 151 h 170"/>
                                    <a:gd name="T30" fmla="*/ 77 w 119"/>
                                    <a:gd name="T31" fmla="*/ 151 h 170"/>
                                    <a:gd name="T32" fmla="*/ 80 w 119"/>
                                    <a:gd name="T33" fmla="*/ 148 h 170"/>
                                    <a:gd name="T34" fmla="*/ 77 w 119"/>
                                    <a:gd name="T35" fmla="*/ 145 h 170"/>
                                    <a:gd name="T36" fmla="*/ 63 w 119"/>
                                    <a:gd name="T37" fmla="*/ 145 h 170"/>
                                    <a:gd name="T38" fmla="*/ 63 w 119"/>
                                    <a:gd name="T39" fmla="*/ 120 h 170"/>
                                    <a:gd name="T40" fmla="*/ 119 w 119"/>
                                    <a:gd name="T41" fmla="*/ 60 h 170"/>
                                    <a:gd name="T42" fmla="*/ 59 w 119"/>
                                    <a:gd name="T43" fmla="*/ 113 h 170"/>
                                    <a:gd name="T44" fmla="*/ 6 w 119"/>
                                    <a:gd name="T45" fmla="*/ 60 h 170"/>
                                    <a:gd name="T46" fmla="*/ 59 w 119"/>
                                    <a:gd name="T47" fmla="*/ 6 h 170"/>
                                    <a:gd name="T48" fmla="*/ 113 w 119"/>
                                    <a:gd name="T49" fmla="*/ 60 h 170"/>
                                    <a:gd name="T50" fmla="*/ 59 w 119"/>
                                    <a:gd name="T51" fmla="*/ 113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19" h="170">
                                      <a:moveTo>
                                        <a:pt x="119" y="60"/>
                                      </a:moveTo>
                                      <a:cubicBezTo>
                                        <a:pt x="119" y="43"/>
                                        <a:pt x="113" y="29"/>
                                        <a:pt x="103" y="18"/>
                                      </a:cubicBezTo>
                                      <a:cubicBezTo>
                                        <a:pt x="99" y="14"/>
                                        <a:pt x="99" y="14"/>
                                        <a:pt x="99" y="14"/>
                                      </a:cubicBezTo>
                                      <a:cubicBezTo>
                                        <a:pt x="88" y="5"/>
                                        <a:pt x="75" y="0"/>
                                        <a:pt x="59" y="0"/>
                                      </a:cubicBezTo>
                                      <a:cubicBezTo>
                                        <a:pt x="27" y="0"/>
                                        <a:pt x="0" y="26"/>
                                        <a:pt x="0" y="60"/>
                                      </a:cubicBezTo>
                                      <a:cubicBezTo>
                                        <a:pt x="0" y="91"/>
                                        <a:pt x="25" y="117"/>
                                        <a:pt x="56" y="120"/>
                                      </a:cubicBezTo>
                                      <a:cubicBezTo>
                                        <a:pt x="56" y="145"/>
                                        <a:pt x="56" y="145"/>
                                        <a:pt x="56" y="145"/>
                                      </a:cubicBezTo>
                                      <a:cubicBezTo>
                                        <a:pt x="42" y="145"/>
                                        <a:pt x="42" y="145"/>
                                        <a:pt x="42" y="145"/>
                                      </a:cubicBezTo>
                                      <a:cubicBezTo>
                                        <a:pt x="41" y="145"/>
                                        <a:pt x="39" y="146"/>
                                        <a:pt x="39" y="148"/>
                                      </a:cubicBezTo>
                                      <a:cubicBezTo>
                                        <a:pt x="39" y="150"/>
                                        <a:pt x="41" y="151"/>
                                        <a:pt x="42" y="151"/>
                                      </a:cubicBezTo>
                                      <a:cubicBezTo>
                                        <a:pt x="56" y="151"/>
                                        <a:pt x="56" y="151"/>
                                        <a:pt x="56" y="151"/>
                                      </a:cubicBezTo>
                                      <a:cubicBezTo>
                                        <a:pt x="56" y="166"/>
                                        <a:pt x="56" y="166"/>
                                        <a:pt x="56" y="166"/>
                                      </a:cubicBezTo>
                                      <a:cubicBezTo>
                                        <a:pt x="56" y="169"/>
                                        <a:pt x="57" y="170"/>
                                        <a:pt x="59" y="170"/>
                                      </a:cubicBezTo>
                                      <a:cubicBezTo>
                                        <a:pt x="62" y="170"/>
                                        <a:pt x="63" y="169"/>
                                        <a:pt x="63" y="166"/>
                                      </a:cubicBezTo>
                                      <a:cubicBezTo>
                                        <a:pt x="63" y="151"/>
                                        <a:pt x="63" y="151"/>
                                        <a:pt x="63" y="151"/>
                                      </a:cubicBezTo>
                                      <a:cubicBezTo>
                                        <a:pt x="77" y="151"/>
                                        <a:pt x="77" y="151"/>
                                        <a:pt x="77" y="151"/>
                                      </a:cubicBezTo>
                                      <a:cubicBezTo>
                                        <a:pt x="78" y="151"/>
                                        <a:pt x="80" y="150"/>
                                        <a:pt x="80" y="148"/>
                                      </a:cubicBezTo>
                                      <a:cubicBezTo>
                                        <a:pt x="80" y="146"/>
                                        <a:pt x="78" y="145"/>
                                        <a:pt x="77" y="145"/>
                                      </a:cubicBezTo>
                                      <a:cubicBezTo>
                                        <a:pt x="63" y="145"/>
                                        <a:pt x="63" y="145"/>
                                        <a:pt x="63" y="145"/>
                                      </a:cubicBezTo>
                                      <a:cubicBezTo>
                                        <a:pt x="63" y="120"/>
                                        <a:pt x="63" y="120"/>
                                        <a:pt x="63" y="120"/>
                                      </a:cubicBezTo>
                                      <a:cubicBezTo>
                                        <a:pt x="94" y="117"/>
                                        <a:pt x="119" y="91"/>
                                        <a:pt x="119" y="60"/>
                                      </a:cubicBezTo>
                                      <a:close/>
                                      <a:moveTo>
                                        <a:pt x="59" y="113"/>
                                      </a:moveTo>
                                      <a:cubicBezTo>
                                        <a:pt x="30" y="113"/>
                                        <a:pt x="6" y="89"/>
                                        <a:pt x="6" y="60"/>
                                      </a:cubicBezTo>
                                      <a:cubicBezTo>
                                        <a:pt x="6" y="30"/>
                                        <a:pt x="30" y="6"/>
                                        <a:pt x="59" y="6"/>
                                      </a:cubicBezTo>
                                      <a:cubicBezTo>
                                        <a:pt x="89" y="6"/>
                                        <a:pt x="113" y="30"/>
                                        <a:pt x="113" y="60"/>
                                      </a:cubicBezTo>
                                      <a:cubicBezTo>
                                        <a:pt x="113" y="89"/>
                                        <a:pt x="89" y="113"/>
                                        <a:pt x="59" y="113"/>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wps:wsp>
                              <wps:cNvPr id="1038753023" name="Freeform 11"/>
                              <wps:cNvSpPr>
                                <a:spLocks noChangeAspect="1" noEditPoints="1"/>
                              </wps:cNvSpPr>
                              <wps:spPr bwMode="auto">
                                <a:xfrm>
                                  <a:off x="53776" y="0"/>
                                  <a:ext cx="451724" cy="458391"/>
                                </a:xfrm>
                                <a:custGeom>
                                  <a:avLst/>
                                  <a:gdLst>
                                    <a:gd name="T0" fmla="*/ 130 w 134"/>
                                    <a:gd name="T1" fmla="*/ 0 h 135"/>
                                    <a:gd name="T2" fmla="*/ 105 w 134"/>
                                    <a:gd name="T3" fmla="*/ 0 h 135"/>
                                    <a:gd name="T4" fmla="*/ 102 w 134"/>
                                    <a:gd name="T5" fmla="*/ 3 h 135"/>
                                    <a:gd name="T6" fmla="*/ 105 w 134"/>
                                    <a:gd name="T7" fmla="*/ 6 h 135"/>
                                    <a:gd name="T8" fmla="*/ 123 w 134"/>
                                    <a:gd name="T9" fmla="*/ 6 h 135"/>
                                    <a:gd name="T10" fmla="*/ 99 w 134"/>
                                    <a:gd name="T11" fmla="*/ 29 h 135"/>
                                    <a:gd name="T12" fmla="*/ 60 w 134"/>
                                    <a:gd name="T13" fmla="*/ 15 h 135"/>
                                    <a:gd name="T14" fmla="*/ 0 w 134"/>
                                    <a:gd name="T15" fmla="*/ 75 h 135"/>
                                    <a:gd name="T16" fmla="*/ 56 w 134"/>
                                    <a:gd name="T17" fmla="*/ 135 h 135"/>
                                    <a:gd name="T18" fmla="*/ 63 w 134"/>
                                    <a:gd name="T19" fmla="*/ 135 h 135"/>
                                    <a:gd name="T20" fmla="*/ 119 w 134"/>
                                    <a:gd name="T21" fmla="*/ 75 h 135"/>
                                    <a:gd name="T22" fmla="*/ 103 w 134"/>
                                    <a:gd name="T23" fmla="*/ 33 h 135"/>
                                    <a:gd name="T24" fmla="*/ 127 w 134"/>
                                    <a:gd name="T25" fmla="*/ 11 h 135"/>
                                    <a:gd name="T26" fmla="*/ 127 w 134"/>
                                    <a:gd name="T27" fmla="*/ 28 h 135"/>
                                    <a:gd name="T28" fmla="*/ 130 w 134"/>
                                    <a:gd name="T29" fmla="*/ 31 h 135"/>
                                    <a:gd name="T30" fmla="*/ 134 w 134"/>
                                    <a:gd name="T31" fmla="*/ 28 h 135"/>
                                    <a:gd name="T32" fmla="*/ 134 w 134"/>
                                    <a:gd name="T33" fmla="*/ 3 h 135"/>
                                    <a:gd name="T34" fmla="*/ 130 w 134"/>
                                    <a:gd name="T35" fmla="*/ 0 h 135"/>
                                    <a:gd name="T36" fmla="*/ 113 w 134"/>
                                    <a:gd name="T37" fmla="*/ 75 h 135"/>
                                    <a:gd name="T38" fmla="*/ 60 w 134"/>
                                    <a:gd name="T39" fmla="*/ 128 h 135"/>
                                    <a:gd name="T40" fmla="*/ 6 w 134"/>
                                    <a:gd name="T41" fmla="*/ 75 h 135"/>
                                    <a:gd name="T42" fmla="*/ 60 w 134"/>
                                    <a:gd name="T43" fmla="*/ 21 h 135"/>
                                    <a:gd name="T44" fmla="*/ 113 w 134"/>
                                    <a:gd name="T45" fmla="*/ 7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135">
                                      <a:moveTo>
                                        <a:pt x="130" y="0"/>
                                      </a:moveTo>
                                      <a:cubicBezTo>
                                        <a:pt x="105" y="0"/>
                                        <a:pt x="105" y="0"/>
                                        <a:pt x="105" y="0"/>
                                      </a:cubicBezTo>
                                      <a:cubicBezTo>
                                        <a:pt x="104" y="0"/>
                                        <a:pt x="102" y="2"/>
                                        <a:pt x="102" y="3"/>
                                      </a:cubicBezTo>
                                      <a:cubicBezTo>
                                        <a:pt x="102" y="5"/>
                                        <a:pt x="104" y="6"/>
                                        <a:pt x="105" y="6"/>
                                      </a:cubicBezTo>
                                      <a:cubicBezTo>
                                        <a:pt x="123" y="6"/>
                                        <a:pt x="123" y="6"/>
                                        <a:pt x="123" y="6"/>
                                      </a:cubicBezTo>
                                      <a:cubicBezTo>
                                        <a:pt x="99" y="29"/>
                                        <a:pt x="99" y="29"/>
                                        <a:pt x="99" y="29"/>
                                      </a:cubicBezTo>
                                      <a:cubicBezTo>
                                        <a:pt x="88" y="20"/>
                                        <a:pt x="75" y="15"/>
                                        <a:pt x="60" y="15"/>
                                      </a:cubicBezTo>
                                      <a:cubicBezTo>
                                        <a:pt x="27" y="15"/>
                                        <a:pt x="0" y="41"/>
                                        <a:pt x="0" y="75"/>
                                      </a:cubicBezTo>
                                      <a:cubicBezTo>
                                        <a:pt x="0" y="106"/>
                                        <a:pt x="25" y="133"/>
                                        <a:pt x="56" y="135"/>
                                      </a:cubicBezTo>
                                      <a:cubicBezTo>
                                        <a:pt x="63" y="135"/>
                                        <a:pt x="63" y="135"/>
                                        <a:pt x="63" y="135"/>
                                      </a:cubicBezTo>
                                      <a:cubicBezTo>
                                        <a:pt x="94" y="133"/>
                                        <a:pt x="119" y="106"/>
                                        <a:pt x="119" y="75"/>
                                      </a:cubicBezTo>
                                      <a:cubicBezTo>
                                        <a:pt x="119" y="58"/>
                                        <a:pt x="113" y="44"/>
                                        <a:pt x="103" y="33"/>
                                      </a:cubicBezTo>
                                      <a:cubicBezTo>
                                        <a:pt x="127" y="11"/>
                                        <a:pt x="127" y="11"/>
                                        <a:pt x="127" y="11"/>
                                      </a:cubicBezTo>
                                      <a:cubicBezTo>
                                        <a:pt x="127" y="28"/>
                                        <a:pt x="127" y="28"/>
                                        <a:pt x="127" y="28"/>
                                      </a:cubicBezTo>
                                      <a:cubicBezTo>
                                        <a:pt x="127" y="30"/>
                                        <a:pt x="129" y="31"/>
                                        <a:pt x="130" y="31"/>
                                      </a:cubicBezTo>
                                      <a:cubicBezTo>
                                        <a:pt x="132" y="31"/>
                                        <a:pt x="134" y="30"/>
                                        <a:pt x="134" y="28"/>
                                      </a:cubicBezTo>
                                      <a:cubicBezTo>
                                        <a:pt x="134" y="3"/>
                                        <a:pt x="134" y="3"/>
                                        <a:pt x="134" y="3"/>
                                      </a:cubicBezTo>
                                      <a:cubicBezTo>
                                        <a:pt x="134" y="2"/>
                                        <a:pt x="132" y="0"/>
                                        <a:pt x="130" y="0"/>
                                      </a:cubicBezTo>
                                      <a:close/>
                                      <a:moveTo>
                                        <a:pt x="113" y="75"/>
                                      </a:moveTo>
                                      <a:cubicBezTo>
                                        <a:pt x="113" y="104"/>
                                        <a:pt x="89" y="128"/>
                                        <a:pt x="60" y="128"/>
                                      </a:cubicBezTo>
                                      <a:cubicBezTo>
                                        <a:pt x="30" y="128"/>
                                        <a:pt x="6" y="104"/>
                                        <a:pt x="6" y="75"/>
                                      </a:cubicBezTo>
                                      <a:cubicBezTo>
                                        <a:pt x="6" y="45"/>
                                        <a:pt x="30" y="21"/>
                                        <a:pt x="60" y="21"/>
                                      </a:cubicBezTo>
                                      <a:cubicBezTo>
                                        <a:pt x="89" y="21"/>
                                        <a:pt x="113" y="45"/>
                                        <a:pt x="113" y="75"/>
                                      </a:cubicBezTo>
                                      <a:close/>
                                    </a:path>
                                  </a:pathLst>
                                </a:custGeom>
                                <a:solidFill>
                                  <a:schemeClr val="accent6"/>
                                </a:solidFill>
                                <a:ln>
                                  <a:noFill/>
                                </a:ln>
                              </wps:spPr>
                              <wps:bodyPr vert="horz" wrap="square" lIns="91440" tIns="45720" rIns="91440" bIns="45720" numCol="1" anchor="t" anchorCtr="0" compatLnSpc="1">
                                <a:prstTxWarp prst="textNoShape">
                                  <a:avLst/>
                                </a:prstTxWarp>
                              </wps:bodyPr>
                            </wps:wsp>
                            <wpg:grpSp>
                              <wpg:cNvPr id="27847" name="Group 27847"/>
                              <wpg:cNvGrpSpPr/>
                              <wpg:grpSpPr>
                                <a:xfrm rot="20743897">
                                  <a:off x="0" y="4243"/>
                                  <a:ext cx="458391" cy="451724"/>
                                  <a:chOff x="0" y="4243"/>
                                  <a:chExt cx="458391" cy="451724"/>
                                </a:xfrm>
                                <a:solidFill>
                                  <a:schemeClr val="accent6"/>
                                </a:solidFill>
                              </wpg:grpSpPr>
                              <wps:wsp>
                                <wps:cNvPr id="27883" name="Freeform 11"/>
                                <wps:cNvSpPr>
                                  <a:spLocks noChangeAspect="1" noEditPoints="1"/>
                                </wps:cNvSpPr>
                                <wps:spPr bwMode="auto">
                                  <a:xfrm rot="17100000">
                                    <a:off x="3334" y="909"/>
                                    <a:ext cx="451724" cy="458391"/>
                                  </a:xfrm>
                                  <a:custGeom>
                                    <a:avLst/>
                                    <a:gdLst>
                                      <a:gd name="T0" fmla="*/ 130 w 134"/>
                                      <a:gd name="T1" fmla="*/ 0 h 135"/>
                                      <a:gd name="T2" fmla="*/ 105 w 134"/>
                                      <a:gd name="T3" fmla="*/ 0 h 135"/>
                                      <a:gd name="T4" fmla="*/ 102 w 134"/>
                                      <a:gd name="T5" fmla="*/ 3 h 135"/>
                                      <a:gd name="T6" fmla="*/ 105 w 134"/>
                                      <a:gd name="T7" fmla="*/ 6 h 135"/>
                                      <a:gd name="T8" fmla="*/ 123 w 134"/>
                                      <a:gd name="T9" fmla="*/ 6 h 135"/>
                                      <a:gd name="T10" fmla="*/ 99 w 134"/>
                                      <a:gd name="T11" fmla="*/ 29 h 135"/>
                                      <a:gd name="T12" fmla="*/ 60 w 134"/>
                                      <a:gd name="T13" fmla="*/ 15 h 135"/>
                                      <a:gd name="T14" fmla="*/ 0 w 134"/>
                                      <a:gd name="T15" fmla="*/ 75 h 135"/>
                                      <a:gd name="T16" fmla="*/ 56 w 134"/>
                                      <a:gd name="T17" fmla="*/ 135 h 135"/>
                                      <a:gd name="T18" fmla="*/ 63 w 134"/>
                                      <a:gd name="T19" fmla="*/ 135 h 135"/>
                                      <a:gd name="T20" fmla="*/ 119 w 134"/>
                                      <a:gd name="T21" fmla="*/ 75 h 135"/>
                                      <a:gd name="T22" fmla="*/ 103 w 134"/>
                                      <a:gd name="T23" fmla="*/ 33 h 135"/>
                                      <a:gd name="T24" fmla="*/ 127 w 134"/>
                                      <a:gd name="T25" fmla="*/ 11 h 135"/>
                                      <a:gd name="T26" fmla="*/ 127 w 134"/>
                                      <a:gd name="T27" fmla="*/ 28 h 135"/>
                                      <a:gd name="T28" fmla="*/ 130 w 134"/>
                                      <a:gd name="T29" fmla="*/ 31 h 135"/>
                                      <a:gd name="T30" fmla="*/ 134 w 134"/>
                                      <a:gd name="T31" fmla="*/ 28 h 135"/>
                                      <a:gd name="T32" fmla="*/ 134 w 134"/>
                                      <a:gd name="T33" fmla="*/ 3 h 135"/>
                                      <a:gd name="T34" fmla="*/ 130 w 134"/>
                                      <a:gd name="T35" fmla="*/ 0 h 135"/>
                                      <a:gd name="T36" fmla="*/ 113 w 134"/>
                                      <a:gd name="T37" fmla="*/ 75 h 135"/>
                                      <a:gd name="T38" fmla="*/ 60 w 134"/>
                                      <a:gd name="T39" fmla="*/ 128 h 135"/>
                                      <a:gd name="T40" fmla="*/ 6 w 134"/>
                                      <a:gd name="T41" fmla="*/ 75 h 135"/>
                                      <a:gd name="T42" fmla="*/ 60 w 134"/>
                                      <a:gd name="T43" fmla="*/ 21 h 135"/>
                                      <a:gd name="T44" fmla="*/ 113 w 134"/>
                                      <a:gd name="T45" fmla="*/ 7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135">
                                        <a:moveTo>
                                          <a:pt x="130" y="0"/>
                                        </a:moveTo>
                                        <a:cubicBezTo>
                                          <a:pt x="105" y="0"/>
                                          <a:pt x="105" y="0"/>
                                          <a:pt x="105" y="0"/>
                                        </a:cubicBezTo>
                                        <a:cubicBezTo>
                                          <a:pt x="104" y="0"/>
                                          <a:pt x="102" y="2"/>
                                          <a:pt x="102" y="3"/>
                                        </a:cubicBezTo>
                                        <a:cubicBezTo>
                                          <a:pt x="102" y="5"/>
                                          <a:pt x="104" y="6"/>
                                          <a:pt x="105" y="6"/>
                                        </a:cubicBezTo>
                                        <a:cubicBezTo>
                                          <a:pt x="123" y="6"/>
                                          <a:pt x="123" y="6"/>
                                          <a:pt x="123" y="6"/>
                                        </a:cubicBezTo>
                                        <a:cubicBezTo>
                                          <a:pt x="99" y="29"/>
                                          <a:pt x="99" y="29"/>
                                          <a:pt x="99" y="29"/>
                                        </a:cubicBezTo>
                                        <a:cubicBezTo>
                                          <a:pt x="88" y="20"/>
                                          <a:pt x="75" y="15"/>
                                          <a:pt x="60" y="15"/>
                                        </a:cubicBezTo>
                                        <a:cubicBezTo>
                                          <a:pt x="27" y="15"/>
                                          <a:pt x="0" y="41"/>
                                          <a:pt x="0" y="75"/>
                                        </a:cubicBezTo>
                                        <a:cubicBezTo>
                                          <a:pt x="0" y="106"/>
                                          <a:pt x="25" y="133"/>
                                          <a:pt x="56" y="135"/>
                                        </a:cubicBezTo>
                                        <a:cubicBezTo>
                                          <a:pt x="63" y="135"/>
                                          <a:pt x="63" y="135"/>
                                          <a:pt x="63" y="135"/>
                                        </a:cubicBezTo>
                                        <a:cubicBezTo>
                                          <a:pt x="94" y="133"/>
                                          <a:pt x="119" y="106"/>
                                          <a:pt x="119" y="75"/>
                                        </a:cubicBezTo>
                                        <a:cubicBezTo>
                                          <a:pt x="119" y="58"/>
                                          <a:pt x="113" y="44"/>
                                          <a:pt x="103" y="33"/>
                                        </a:cubicBezTo>
                                        <a:cubicBezTo>
                                          <a:pt x="127" y="11"/>
                                          <a:pt x="127" y="11"/>
                                          <a:pt x="127" y="11"/>
                                        </a:cubicBezTo>
                                        <a:cubicBezTo>
                                          <a:pt x="127" y="28"/>
                                          <a:pt x="127" y="28"/>
                                          <a:pt x="127" y="28"/>
                                        </a:cubicBezTo>
                                        <a:cubicBezTo>
                                          <a:pt x="127" y="30"/>
                                          <a:pt x="129" y="31"/>
                                          <a:pt x="130" y="31"/>
                                        </a:cubicBezTo>
                                        <a:cubicBezTo>
                                          <a:pt x="132" y="31"/>
                                          <a:pt x="134" y="30"/>
                                          <a:pt x="134" y="28"/>
                                        </a:cubicBezTo>
                                        <a:cubicBezTo>
                                          <a:pt x="134" y="3"/>
                                          <a:pt x="134" y="3"/>
                                          <a:pt x="134" y="3"/>
                                        </a:cubicBezTo>
                                        <a:cubicBezTo>
                                          <a:pt x="134" y="2"/>
                                          <a:pt x="132" y="0"/>
                                          <a:pt x="130" y="0"/>
                                        </a:cubicBezTo>
                                        <a:close/>
                                        <a:moveTo>
                                          <a:pt x="113" y="75"/>
                                        </a:moveTo>
                                        <a:cubicBezTo>
                                          <a:pt x="113" y="104"/>
                                          <a:pt x="89" y="128"/>
                                          <a:pt x="60" y="128"/>
                                        </a:cubicBezTo>
                                        <a:cubicBezTo>
                                          <a:pt x="30" y="128"/>
                                          <a:pt x="6" y="104"/>
                                          <a:pt x="6" y="75"/>
                                        </a:cubicBezTo>
                                        <a:cubicBezTo>
                                          <a:pt x="6" y="45"/>
                                          <a:pt x="30" y="21"/>
                                          <a:pt x="60" y="21"/>
                                        </a:cubicBezTo>
                                        <a:cubicBezTo>
                                          <a:pt x="89" y="21"/>
                                          <a:pt x="113" y="45"/>
                                          <a:pt x="113" y="75"/>
                                        </a:cubicBezTo>
                                        <a:close/>
                                      </a:path>
                                    </a:pathLst>
                                  </a:custGeom>
                                  <a:grpFill/>
                                  <a:ln>
                                    <a:noFill/>
                                  </a:ln>
                                </wps:spPr>
                                <wps:bodyPr vert="horz" wrap="square" lIns="91440" tIns="45720" rIns="91440" bIns="45720" numCol="1" anchor="t" anchorCtr="0" compatLnSpc="1">
                                  <a:prstTxWarp prst="textNoShape">
                                    <a:avLst/>
                                  </a:prstTxWarp>
                                </wps:bodyPr>
                              </wps:wsp>
                              <wps:wsp>
                                <wps:cNvPr id="27884" name="Straight Connector 27884"/>
                                <wps:cNvCnPr>
                                  <a:cxnSpLocks/>
                                </wps:cNvCnPr>
                                <wps:spPr>
                                  <a:xfrm flipV="1">
                                    <a:off x="83562" y="26275"/>
                                    <a:ext cx="67881" cy="40189"/>
                                  </a:xfrm>
                                  <a:prstGeom prst="line">
                                    <a:avLst/>
                                  </a:prstGeom>
                                  <a:grpFill/>
                                  <a:ln w="15875" cap="rnd">
                                    <a:solidFill>
                                      <a:schemeClr val="accent6"/>
                                    </a:solidFill>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7EDB6502" id="Group 12" o:spid="_x0000_s1026" alt="&quot;&quot;" style="width:29pt;height:36.3pt;mso-position-horizontal-relative:char;mso-position-vertical-relative:line" coordsize="5055,6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">
                      <v:shape id="Freeform 10" o:spid="_x0000_s1027" style="position:absolute;left:520;top:545;width:4017;height:5784;visibility:visible;mso-wrap-style:square;v-text-anchor:top" coordsize="11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" path="m119,60v,-17,-6,-31,-16,-42c99,14,99,14,99,14,88,5,75,,59,,27,,,26,,60v,31,25,57,56,60c56,145,56,145,56,145v-14,,-14,,-14,c41,145,39,146,39,148v,2,2,3,3,3c56,151,56,151,56,151v,15,,15,,15c56,169,57,170,59,170v3,,4,-1,4,-4c63,151,63,151,63,151v14,,14,,14,c78,151,80,150,80,148v,-2,-2,-3,-3,-3c63,145,63,145,63,145v,-25,,-25,,-25c94,117,119,91,119,60xm59,113c30,113,6,89,6,60,6,30,30,6,59,6v30,,54,24,54,54c113,89,89,113,59,113xe" fillcolor="#25b3e0 [3209]" stroked="f">
                        <v:path arrowok="t" o:connecttype="custom" o:connectlocs="401717,204143;347705,61243;334202,47633;199171,0;0,204143;189043,408287;189043,493346;141782,493346;131655,503553;141782,513761;189043,513761;189043,564796;199171,578406;212674,564796;212674,513761;259935,513761;270062,503553;259935,493346;212674,493346;212674,408287;401717,204143;199171,384470;20255,204143;199171,20414;381462,204143;199171,384470" o:connectangles="0,0,0,0,0,0,0,0,0,0,0,0,0,0,0,0,0,0,0,0,0,0,0,0,0,0"/>
                        <o:lock v:ext="edit" aspectratio="t" verticies="t"/>
                      </v:shape>
                      <v:shape id="Freeform 11" o:spid="_x0000_s1028" style="position:absolute;left:537;width:4518;height:4583;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" path="m130,c105,,105,,105,v-1,,-3,2,-3,3c102,5,104,6,105,6v18,,18,,18,c99,29,99,29,99,29,88,20,75,15,60,15,27,15,,41,,75v,31,25,58,56,60c63,135,63,135,63,135v31,-2,56,-29,56,-60c119,58,113,44,103,33,127,11,127,11,127,11v,17,,17,,17c127,30,129,31,130,31v2,,4,-1,4,-3c134,3,134,3,134,3,134,2,132,,130,xm113,75v,29,-24,53,-53,53c30,128,6,104,6,75,6,45,30,21,60,21v29,,53,24,53,54xe" fillcolor="#25b3e0 [3209]" stroked="f">
                        <v:path arrowok="t" o:connecttype="custom" o:connectlocs="438240,0;353963,0;343850,10186;353963,20373;414642,20373;333736,98469;202264,50932;0,254662;188780,458391;212378,458391;401158,254662;347221,112051;428126,37350;428126,95074;438240,105260;451724,95074;451724,10186;438240,0;380931,254662;202264,434623;20226,254662;202264,71305;380931,254662" o:connectangles="0,0,0,0,0,0,0,0,0,0,0,0,0,0,0,0,0,0,0,0,0,0,0"/>
                        <o:lock v:ext="edit" aspectratio="t" verticies="t"/>
                      </v:shape>
                      <v:group id="Group 27847" o:spid="_x0000_s1029" style="position:absolute;top:42;width:4583;height:4517;rotation:-935093fd" coordorigin=",4243" coordsize="458391,45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">
                        <v:shape id="Freeform 11" o:spid="_x0000_s1030" style="position:absolute;left:3334;top:909;width:451724;height:458391;rotation:-75;visibility:visible;mso-wrap-style:square;v-text-anchor:top" coordsize="1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" path="m130,c105,,105,,105,v-1,,-3,2,-3,3c102,5,104,6,105,6v18,,18,,18,c99,29,99,29,99,29,88,20,75,15,60,15,27,15,,41,,75v,31,25,58,56,60c63,135,63,135,63,135v31,-2,56,-29,56,-60c119,58,113,44,103,33,127,11,127,11,127,11v,17,,17,,17c127,30,129,31,130,31v2,,4,-1,4,-3c134,3,134,3,134,3,134,2,132,,130,xm113,75v,29,-24,53,-53,53c30,128,6,104,6,75,6,45,30,21,60,21v29,,53,24,53,54xe" filled="f" stroked="f">
                          <v:path arrowok="t" o:connecttype="custom" o:connectlocs="438240,0;353963,0;343850,10186;353963,20373;414642,20373;333736,98469;202264,50932;0,254662;188780,458391;212378,458391;401158,254662;347221,112051;428126,37350;428126,95074;438240,105260;451724,95074;451724,10186;438240,0;380931,254662;202264,434623;20226,254662;202264,71305;380931,254662" o:connectangles="0,0,0,0,0,0,0,0,0,0,0,0,0,0,0,0,0,0,0,0,0,0,0"/>
                          <o:lock v:ext="edit" aspectratio="t" verticies="t"/>
                        </v:shape>
                        <v:line id="Straight Connector 27884" o:spid="_x0000_s1031" style="position:absolute;flip:y;visibility:visible;mso-wrap-style:square" from="83562,26275" to="151443,6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" strokecolor="#25b3e0 [3209]" strokeweight="1.25pt">
                          <v:stroke endcap="round"/>
                          <o:lock v:ext="edit" shapetype="f"/>
                        </v:line>
                      </v:group>
                      <w10:anchorlock/>
                    </v:group>
                  </w:pict>
                </mc:Fallback>
              </mc:AlternateContent>
            </w:r>
          </w:p>
          <w:p w14:paraId="558A417C" w14:textId="287C2140" w:rsidR="001158BB" w:rsidRPr="005825BD" w:rsidRDefault="001158BB" w:rsidP="00A117E4">
            <w:pPr>
              <w:pStyle w:val="TableNheader"/>
            </w:pPr>
            <w:r w:rsidRPr="005825BD">
              <w:t>LGBTI</w:t>
            </w:r>
            <w:r>
              <w:t>QA</w:t>
            </w:r>
            <w:r w:rsidRPr="005825BD">
              <w:t>+</w:t>
            </w:r>
          </w:p>
        </w:tc>
        <w:tc>
          <w:tcPr>
            <w:tcW w:w="3119" w:type="dxa"/>
            <w:shd w:val="clear" w:color="auto" w:fill="auto"/>
          </w:tcPr>
          <w:p w14:paraId="33FF127B" w14:textId="60AD4A11" w:rsidR="001158BB" w:rsidRPr="00623868" w:rsidRDefault="1648F9AB" w:rsidP="00623868">
            <w:r w:rsidRPr="00623868">
              <w:t>There was a limited number of participants who were interviewed and identified as LGBTIQA+ or discussed their sexuality and / or gender</w:t>
            </w:r>
            <w:r w:rsidR="00D93E9E" w:rsidRPr="00623868">
              <w:t>.</w:t>
            </w:r>
          </w:p>
        </w:tc>
        <w:tc>
          <w:tcPr>
            <w:tcW w:w="3958" w:type="dxa"/>
            <w:shd w:val="clear" w:color="auto" w:fill="auto"/>
          </w:tcPr>
          <w:p w14:paraId="3E569997" w14:textId="5C74C4C2" w:rsidR="001158BB" w:rsidRPr="00623868" w:rsidRDefault="00B57E1F" w:rsidP="00623868">
            <w:r w:rsidRPr="00623868">
              <w:t>Participants who did identify as LGBTIQA+ predominantly described the same mechanisms of change as other cohorts. However, the ability of the support coordinator to be non-judgemental and use appropriate language around gender, sexuality and identity was especially important to their engagement with The Way Back.</w:t>
            </w:r>
          </w:p>
        </w:tc>
      </w:tr>
    </w:tbl>
    <w:p w14:paraId="4BC8633A" w14:textId="371FBB34" w:rsidR="0093662B" w:rsidRPr="000500EF" w:rsidRDefault="0093662B" w:rsidP="000500EF"/>
    <w:p w14:paraId="712E13FD" w14:textId="6A99A175" w:rsidR="0093662B" w:rsidRDefault="0093662B" w:rsidP="0093662B">
      <w:pPr>
        <w:pStyle w:val="Heading1"/>
        <w:rPr>
          <w:color w:val="FFFFFF" w:themeColor="background1"/>
        </w:rPr>
      </w:pPr>
      <w:bookmarkStart w:id="146" w:name="_Ref121306434"/>
      <w:bookmarkStart w:id="147" w:name="_Ref121308721"/>
      <w:bookmarkStart w:id="148" w:name="_Toc121320695"/>
      <w:r w:rsidRPr="00325F4F">
        <w:rPr>
          <w:noProof/>
          <w:color w:val="FFFFFF" w:themeColor="background1"/>
        </w:rPr>
        <w:lastRenderedPageBreak/>
        <w:drawing>
          <wp:anchor distT="0" distB="0" distL="114300" distR="114300" simplePos="0" relativeHeight="251658249" behindDoc="1" locked="0" layoutInCell="1" allowOverlap="1" wp14:anchorId="72131CF8" wp14:editId="68ABA1E4">
            <wp:simplePos x="0" y="0"/>
            <wp:positionH relativeFrom="column">
              <wp:posOffset>-982345</wp:posOffset>
            </wp:positionH>
            <wp:positionV relativeFrom="paragraph">
              <wp:posOffset>-662305</wp:posOffset>
            </wp:positionV>
            <wp:extent cx="7559675" cy="1371600"/>
            <wp:effectExtent l="0" t="0" r="3175" b="0"/>
            <wp:wrapNone/>
            <wp:docPr id="27782" name="Picture 277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2" name="Picture 27782">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371600"/>
                    </a:xfrm>
                    <a:prstGeom prst="rect">
                      <a:avLst/>
                    </a:prstGeom>
                    <a:noFill/>
                  </pic:spPr>
                </pic:pic>
              </a:graphicData>
            </a:graphic>
          </wp:anchor>
        </w:drawing>
      </w:r>
      <w:r w:rsidR="7BD7976E">
        <w:rPr>
          <w:color w:val="FFFFFF" w:themeColor="background1"/>
        </w:rPr>
        <w:t>Service performance</w:t>
      </w:r>
      <w:bookmarkEnd w:id="146"/>
      <w:bookmarkEnd w:id="147"/>
      <w:bookmarkEnd w:id="148"/>
    </w:p>
    <w:p w14:paraId="711D3E62" w14:textId="77777777" w:rsidR="00461006" w:rsidRPr="00D1753E" w:rsidRDefault="00461006" w:rsidP="004B0951">
      <w:pPr>
        <w:pStyle w:val="NoteHeading"/>
        <w:spacing w:before="720"/>
      </w:pPr>
      <w:r w:rsidRPr="00D1753E">
        <w:t xml:space="preserve">This section contributes to answering KEQ 2 | How well is The Way Back being delivered? </w:t>
      </w:r>
    </w:p>
    <w:p w14:paraId="09EF34E9" w14:textId="77777777" w:rsidR="00461006" w:rsidRPr="00D1753E" w:rsidRDefault="00461006" w:rsidP="00461006">
      <w:pPr>
        <w:pStyle w:val="Sectionintroduction"/>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On average, most sites were meeting</w:t>
      </w:r>
      <w:r w:rsidRPr="00D1753E" w:rsidDel="000C2D82">
        <w:rPr>
          <w:color w:val="000000" w:themeColor="text1"/>
          <w:sz w:val="20"/>
          <w:szCs w:val="20"/>
        </w:rPr>
        <w:t xml:space="preserve"> </w:t>
      </w:r>
      <w:r>
        <w:rPr>
          <w:color w:val="000000" w:themeColor="text1"/>
          <w:sz w:val="20"/>
          <w:szCs w:val="20"/>
        </w:rPr>
        <w:t>three</w:t>
      </w:r>
      <w:r w:rsidRPr="00D1753E">
        <w:rPr>
          <w:color w:val="000000" w:themeColor="text1"/>
          <w:sz w:val="20"/>
          <w:szCs w:val="20"/>
        </w:rPr>
        <w:t xml:space="preserve"> of the six KPIs on average over time, suggesting that most sites were delivering the service in line with its intended design. The evaluation found that the appropriateness and clarity of some KPIs (particularly the KPIs related to completion of safety and support plans) </w:t>
      </w:r>
      <w:r>
        <w:rPr>
          <w:color w:val="000000" w:themeColor="text1"/>
          <w:sz w:val="20"/>
          <w:szCs w:val="20"/>
        </w:rPr>
        <w:t xml:space="preserve">created difficulties in reporting against them and therefore the assessment of </w:t>
      </w:r>
      <w:proofErr w:type="gramStart"/>
      <w:r>
        <w:rPr>
          <w:color w:val="000000" w:themeColor="text1"/>
          <w:sz w:val="20"/>
          <w:szCs w:val="20"/>
        </w:rPr>
        <w:t>whether or not</w:t>
      </w:r>
      <w:proofErr w:type="gramEnd"/>
      <w:r>
        <w:rPr>
          <w:color w:val="000000" w:themeColor="text1"/>
          <w:sz w:val="20"/>
          <w:szCs w:val="20"/>
        </w:rPr>
        <w:t xml:space="preserve"> they were met. Actual performance against KPIs was also impacted by external factors beyond the control of services (for example, the impact of COVID-19)</w:t>
      </w:r>
      <w:r w:rsidRPr="00D1753E">
        <w:rPr>
          <w:color w:val="000000" w:themeColor="text1"/>
          <w:sz w:val="20"/>
          <w:szCs w:val="20"/>
        </w:rPr>
        <w:t xml:space="preserve">. </w:t>
      </w:r>
    </w:p>
    <w:p w14:paraId="38CD7323" w14:textId="77777777" w:rsidR="00461006" w:rsidRPr="00D1753E" w:rsidRDefault="00461006" w:rsidP="00461006">
      <w:pPr>
        <w:pStyle w:val="Sectionintroduction"/>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The evaluation identified that the following enablers and initiatives of The Way Back appeared to improve the effectiveness of service delivery for providers and participants:</w:t>
      </w:r>
    </w:p>
    <w:p w14:paraId="3CC6CACD"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Established mechanisms to improve integration between The Way Back and referring health services improved the delivery of the service and experience of participants between referral and uptake of the service. These mechanisms included funded hospital liaison officer positions and formal coordination agreements.</w:t>
      </w:r>
    </w:p>
    <w:p w14:paraId="315EE015"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 xml:space="preserve">Strong networks with clinical and psychosocial services to support inbound and outbound referrals. </w:t>
      </w:r>
    </w:p>
    <w:p w14:paraId="1FC755A8"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The non-clinical relationships between participants and support coordinators (</w:t>
      </w:r>
      <w:proofErr w:type="gramStart"/>
      <w:r w:rsidRPr="00D1753E">
        <w:rPr>
          <w:color w:val="000000" w:themeColor="text1"/>
          <w:sz w:val="20"/>
          <w:szCs w:val="20"/>
        </w:rPr>
        <w:t>i.e.</w:t>
      </w:r>
      <w:proofErr w:type="gramEnd"/>
      <w:r w:rsidRPr="00D1753E">
        <w:rPr>
          <w:color w:val="000000" w:themeColor="text1"/>
          <w:sz w:val="20"/>
          <w:szCs w:val="20"/>
        </w:rPr>
        <w:t xml:space="preserve"> therapeutic alliances) were critical to participants’ positive experience of the service. </w:t>
      </w:r>
    </w:p>
    <w:p w14:paraId="3D2DC135" w14:textId="77777777" w:rsidR="00461006" w:rsidRPr="00D1753E" w:rsidRDefault="00461006" w:rsidP="00461006">
      <w:pPr>
        <w:pStyle w:val="intoductionbullet"/>
        <w:numPr>
          <w:ilvl w:val="0"/>
          <w:numId w:val="0"/>
        </w:numPr>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 xml:space="preserve">In contrast, there were some service delivery elements of The Way Back that could be improved. These were: </w:t>
      </w:r>
    </w:p>
    <w:p w14:paraId="1F59EA6B"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 xml:space="preserve">Significant confusion around lines of accountability, and funding uncertainty for The Way Back. </w:t>
      </w:r>
    </w:p>
    <w:p w14:paraId="5782CE61"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Staff recruitment and retention issues, due to significant caseloads</w:t>
      </w:r>
      <w:r>
        <w:rPr>
          <w:color w:val="000000" w:themeColor="text1"/>
          <w:sz w:val="20"/>
          <w:szCs w:val="20"/>
        </w:rPr>
        <w:t xml:space="preserve">, </w:t>
      </w:r>
      <w:r w:rsidRPr="00D1753E">
        <w:rPr>
          <w:color w:val="000000" w:themeColor="text1"/>
          <w:sz w:val="20"/>
          <w:szCs w:val="20"/>
        </w:rPr>
        <w:t>limited professional development opportunities for staff</w:t>
      </w:r>
      <w:r>
        <w:rPr>
          <w:color w:val="000000" w:themeColor="text1"/>
          <w:sz w:val="20"/>
          <w:szCs w:val="20"/>
        </w:rPr>
        <w:t>, and uncertainty of funding for The Way Back.</w:t>
      </w:r>
    </w:p>
    <w:p w14:paraId="50345254" w14:textId="77777777" w:rsidR="00461006" w:rsidRPr="00D1753E" w:rsidRDefault="00461006" w:rsidP="00461006">
      <w:pPr>
        <w:pStyle w:val="intoductionbullet"/>
        <w:pBdr>
          <w:top w:val="single" w:sz="18" w:space="1" w:color="E6E6E1" w:themeColor="accent5"/>
          <w:bottom w:val="single" w:sz="18" w:space="1" w:color="E6E6E1" w:themeColor="accent5"/>
        </w:pBdr>
        <w:rPr>
          <w:color w:val="000000" w:themeColor="text1"/>
          <w:sz w:val="20"/>
          <w:szCs w:val="20"/>
        </w:rPr>
      </w:pPr>
      <w:r w:rsidRPr="00D1753E">
        <w:rPr>
          <w:color w:val="000000" w:themeColor="text1"/>
          <w:sz w:val="20"/>
          <w:szCs w:val="20"/>
        </w:rPr>
        <w:t xml:space="preserve">Limited use of data to inform effective management of service delivery or to identify and realise opportunities for improvements. </w:t>
      </w:r>
    </w:p>
    <w:p w14:paraId="57353666" w14:textId="02473A5C" w:rsidR="00C4256A" w:rsidRPr="00007DD3" w:rsidRDefault="00461006" w:rsidP="00461006">
      <w:pPr>
        <w:pBdr>
          <w:top w:val="single" w:sz="18" w:space="1" w:color="E6E6E1" w:themeColor="accent5"/>
          <w:bottom w:val="single" w:sz="18" w:space="1" w:color="E6E6E1" w:themeColor="accent5"/>
        </w:pBdr>
        <w:rPr>
          <w:lang w:eastAsia="en-AU"/>
        </w:rPr>
      </w:pPr>
      <w:r w:rsidRPr="00D1753E">
        <w:rPr>
          <w:color w:val="000000" w:themeColor="text1"/>
          <w:sz w:val="20"/>
          <w:szCs w:val="20"/>
        </w:rPr>
        <w:t xml:space="preserve">KEQ 2 is further answered in section </w:t>
      </w:r>
      <w:r w:rsidRPr="00D1753E">
        <w:rPr>
          <w:color w:val="000000" w:themeColor="text1"/>
          <w:sz w:val="20"/>
          <w:szCs w:val="20"/>
        </w:rPr>
        <w:fldChar w:fldCharType="begin"/>
      </w:r>
      <w:r w:rsidRPr="00D1753E">
        <w:rPr>
          <w:color w:val="000000" w:themeColor="text1"/>
          <w:sz w:val="20"/>
          <w:szCs w:val="20"/>
        </w:rPr>
        <w:instrText xml:space="preserve"> REF _Ref118285968 \n \h </w:instrText>
      </w:r>
      <w:r>
        <w:rPr>
          <w:color w:val="000000" w:themeColor="text1"/>
          <w:sz w:val="20"/>
          <w:szCs w:val="20"/>
        </w:rPr>
        <w:instrText xml:space="preserve"> \* MERGEFORMAT </w:instrText>
      </w:r>
      <w:r w:rsidRPr="00D1753E">
        <w:rPr>
          <w:color w:val="000000" w:themeColor="text1"/>
          <w:sz w:val="20"/>
          <w:szCs w:val="20"/>
        </w:rPr>
      </w:r>
      <w:r w:rsidRPr="00D1753E">
        <w:rPr>
          <w:color w:val="000000" w:themeColor="text1"/>
          <w:sz w:val="20"/>
          <w:szCs w:val="20"/>
        </w:rPr>
        <w:fldChar w:fldCharType="separate"/>
      </w:r>
      <w:r>
        <w:rPr>
          <w:color w:val="000000" w:themeColor="text1"/>
          <w:sz w:val="20"/>
          <w:szCs w:val="20"/>
        </w:rPr>
        <w:t>5</w:t>
      </w:r>
      <w:r w:rsidRPr="00D1753E">
        <w:rPr>
          <w:color w:val="000000" w:themeColor="text1"/>
          <w:sz w:val="20"/>
          <w:szCs w:val="20"/>
        </w:rPr>
        <w:fldChar w:fldCharType="end"/>
      </w:r>
      <w:r w:rsidRPr="00D1753E">
        <w:rPr>
          <w:color w:val="000000" w:themeColor="text1"/>
          <w:sz w:val="20"/>
          <w:szCs w:val="20"/>
        </w:rPr>
        <w:t xml:space="preserve"> and section </w:t>
      </w:r>
      <w:r w:rsidRPr="00D1753E">
        <w:rPr>
          <w:color w:val="000000" w:themeColor="text1"/>
          <w:sz w:val="20"/>
          <w:szCs w:val="20"/>
        </w:rPr>
        <w:fldChar w:fldCharType="begin"/>
      </w:r>
      <w:r w:rsidRPr="00D1753E">
        <w:rPr>
          <w:color w:val="000000" w:themeColor="text1"/>
          <w:sz w:val="20"/>
          <w:szCs w:val="20"/>
        </w:rPr>
        <w:instrText xml:space="preserve"> REF _Ref118285978 \n \h </w:instrText>
      </w:r>
      <w:r>
        <w:rPr>
          <w:color w:val="000000" w:themeColor="text1"/>
          <w:sz w:val="20"/>
          <w:szCs w:val="20"/>
        </w:rPr>
        <w:instrText xml:space="preserve"> \* MERGEFORMAT </w:instrText>
      </w:r>
      <w:r w:rsidRPr="00D1753E">
        <w:rPr>
          <w:color w:val="000000" w:themeColor="text1"/>
          <w:sz w:val="20"/>
          <w:szCs w:val="20"/>
        </w:rPr>
      </w:r>
      <w:r w:rsidRPr="00D1753E">
        <w:rPr>
          <w:color w:val="000000" w:themeColor="text1"/>
          <w:sz w:val="20"/>
          <w:szCs w:val="20"/>
        </w:rPr>
        <w:fldChar w:fldCharType="separate"/>
      </w:r>
      <w:r>
        <w:rPr>
          <w:color w:val="000000" w:themeColor="text1"/>
          <w:sz w:val="20"/>
          <w:szCs w:val="20"/>
        </w:rPr>
        <w:t>6</w:t>
      </w:r>
      <w:r w:rsidRPr="00D1753E">
        <w:rPr>
          <w:color w:val="000000" w:themeColor="text1"/>
          <w:sz w:val="20"/>
          <w:szCs w:val="20"/>
        </w:rPr>
        <w:fldChar w:fldCharType="end"/>
      </w:r>
      <w:r w:rsidRPr="00D1753E">
        <w:rPr>
          <w:color w:val="000000" w:themeColor="text1"/>
          <w:sz w:val="20"/>
          <w:szCs w:val="20"/>
        </w:rPr>
        <w:t>.</w:t>
      </w:r>
    </w:p>
    <w:tbl>
      <w:tblPr>
        <w:tblW w:w="4950" w:type="pct"/>
        <w:tblLook w:val="04A0" w:firstRow="1" w:lastRow="0" w:firstColumn="1" w:lastColumn="0" w:noHBand="0" w:noVBand="1"/>
        <w:tblDescription w:val="DATA QUALITY AND LIMITATIONS IN THIS SECTION&#10;Data quality and limitations in this section: The key data sources used in this section were drawn from consultations, the quarterly reports for 27 in-scope sites between April 2021 and June 2022 and PMHC MDS data for 27 in-scope sites between April 2021 and June 2022. It is important to understand the following limitations for this section: &#10;• Inconsistent data collection approaches across sites | Different approaches in how sites collected data for quarterly reports affected the quality of data used in this analysis. Some sites inputted data manually into the quarterly reports, others uploaded data from the PMHC MDS data portal directly into the quarterly reports. This impacted the consistency of data and introduced the potential for human error and variation in data interpretation/input. &#10;• Limitations to comparisons across sites | Analysis of trends and comparisons between sites was limited as new sites joined and matured at different times and KPIs were captured differently across sites. &#10;• Inability to extract data | Some sites indicated that the introduction of new (CMSs) did not allow extraction of or input into The Way Back extension data. As such, sites were unable to reflect their data in the system. &#10;• Limited data on cohorts | Also, the referral data collected in the quarterly reporting did not collect demographic information of referrals. Therefore, the evaluation is unable to discern key populations that were referred to The Way Back but do not access it.&#10;• Refer to section 2.4 and Appendix B for detailed limitations.&#10;"/>
      </w:tblPr>
      <w:tblGrid>
        <w:gridCol w:w="993"/>
        <w:gridCol w:w="7848"/>
      </w:tblGrid>
      <w:tr w:rsidR="0093662B" w14:paraId="620B99AB" w14:textId="77777777" w:rsidTr="00461006">
        <w:trPr>
          <w:trHeight w:val="794"/>
          <w:tblHeader/>
        </w:trPr>
        <w:tc>
          <w:tcPr>
            <w:tcW w:w="993" w:type="dxa"/>
            <w:shd w:val="clear" w:color="auto" w:fill="00264D" w:themeFill="background2"/>
            <w:vAlign w:val="center"/>
          </w:tcPr>
          <w:p w14:paraId="06C67896" w14:textId="33602CC5" w:rsidR="000A167E" w:rsidRPr="000A167E" w:rsidRDefault="00151029" w:rsidP="00461006">
            <w:pPr>
              <w:jc w:val="center"/>
              <w:rPr>
                <w:noProof/>
              </w:rPr>
            </w:pPr>
            <w:r>
              <w:rPr>
                <w:noProof/>
              </w:rPr>
              <w:lastRenderedPageBreak/>
              <w:drawing>
                <wp:inline distT="0" distB="0" distL="0" distR="0" wp14:anchorId="0BA25FFB" wp14:editId="50312C06">
                  <wp:extent cx="371475" cy="371475"/>
                  <wp:effectExtent l="0" t="0" r="9525" b="9525"/>
                  <wp:docPr id="27777" name="Graphic 277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 name="Graphic 27777">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371475" cy="371475"/>
                          </a:xfrm>
                          <a:prstGeom prst="rect">
                            <a:avLst/>
                          </a:prstGeom>
                        </pic:spPr>
                      </pic:pic>
                    </a:graphicData>
                  </a:graphic>
                </wp:inline>
              </w:drawing>
            </w:r>
          </w:p>
        </w:tc>
        <w:tc>
          <w:tcPr>
            <w:tcW w:w="7848" w:type="dxa"/>
            <w:shd w:val="clear" w:color="auto" w:fill="F2F2F2" w:themeFill="background1" w:themeFillShade="F2"/>
            <w:vAlign w:val="center"/>
          </w:tcPr>
          <w:p w14:paraId="38CBA25C" w14:textId="3C53F6A4" w:rsidR="0093662B" w:rsidRDefault="000A167E" w:rsidP="00461006">
            <w:pPr>
              <w:rPr>
                <w:rFonts w:asciiTheme="majorHAnsi" w:hAnsiTheme="majorHAnsi" w:cstheme="majorHAnsi"/>
                <w:color w:val="00264D" w:themeColor="background2"/>
              </w:rPr>
            </w:pPr>
            <w:r w:rsidRPr="003C6AF6">
              <w:rPr>
                <w:rFonts w:asciiTheme="majorHAnsi" w:hAnsiTheme="majorHAnsi" w:cstheme="majorHAnsi"/>
                <w:color w:val="00264D" w:themeColor="background2"/>
              </w:rPr>
              <w:t>DATA QUALITY AND LIMITATIONS IN THIS SECTION</w:t>
            </w:r>
          </w:p>
          <w:p w14:paraId="3F19CE58" w14:textId="343FCFDF" w:rsidR="00DC6719" w:rsidRPr="00623868" w:rsidRDefault="2531EA41" w:rsidP="00461006">
            <w:r w:rsidRPr="00623868">
              <w:t>Data quality and limitations in this section: The key data source</w:t>
            </w:r>
            <w:r w:rsidR="72A72815" w:rsidRPr="00623868">
              <w:t>s</w:t>
            </w:r>
            <w:r w:rsidRPr="00623868">
              <w:t xml:space="preserve"> used in this section w</w:t>
            </w:r>
            <w:r w:rsidR="03CC9C17" w:rsidRPr="00623868">
              <w:t>ere drawn from consultations</w:t>
            </w:r>
            <w:r w:rsidR="00EE194D" w:rsidRPr="00623868">
              <w:t>,</w:t>
            </w:r>
            <w:r w:rsidR="03CC9C17" w:rsidRPr="00623868">
              <w:t xml:space="preserve"> </w:t>
            </w:r>
            <w:r w:rsidRPr="00623868">
              <w:t xml:space="preserve">the quarterly reports for </w:t>
            </w:r>
            <w:r w:rsidR="00276B80" w:rsidRPr="00623868">
              <w:t>27</w:t>
            </w:r>
            <w:r w:rsidRPr="00623868">
              <w:t xml:space="preserve"> in-scope sites between April 2021 and June 2022</w:t>
            </w:r>
            <w:r w:rsidR="00EE194D" w:rsidRPr="00623868">
              <w:t xml:space="preserve"> and PMHC MDS data </w:t>
            </w:r>
            <w:r w:rsidR="00076355" w:rsidRPr="00623868">
              <w:t xml:space="preserve">for </w:t>
            </w:r>
            <w:r w:rsidR="00276B80" w:rsidRPr="00623868">
              <w:t>27</w:t>
            </w:r>
            <w:r w:rsidR="007954AB" w:rsidRPr="00623868">
              <w:t xml:space="preserve"> in-scope sites between April 2021 and June 2022</w:t>
            </w:r>
            <w:r w:rsidRPr="00623868">
              <w:t xml:space="preserve">. It is important to understand the following limitations for this section: </w:t>
            </w:r>
          </w:p>
          <w:p w14:paraId="5C0DE474" w14:textId="308107F1" w:rsidR="00DC6719" w:rsidRDefault="00DC6719" w:rsidP="00461006">
            <w:pPr>
              <w:pStyle w:val="TableNBullet"/>
            </w:pPr>
            <w:r w:rsidRPr="009C0EA4">
              <w:rPr>
                <w:rFonts w:asciiTheme="majorHAnsi" w:hAnsiTheme="majorHAnsi" w:cstheme="majorHAnsi"/>
                <w:bCs/>
              </w:rPr>
              <w:t>Inconsistent data collection approaches across site</w:t>
            </w:r>
            <w:r>
              <w:rPr>
                <w:rFonts w:asciiTheme="majorHAnsi" w:hAnsiTheme="majorHAnsi" w:cstheme="majorHAnsi"/>
                <w:bCs/>
              </w:rPr>
              <w:t>s |</w:t>
            </w:r>
            <w:r>
              <w:rPr>
                <w:b/>
              </w:rPr>
              <w:t xml:space="preserve"> </w:t>
            </w:r>
            <w:r w:rsidRPr="00EF29F1">
              <w:t>Different approaches in how sites collected data for quarterly reports affected the quality of data used in this analysis. Some sites inputted data manually into the quarterly reports, others uploaded data from the PMHC MDS data portal directly into the quarterly reports. This impacted the consistency of data and introduced the potential for human error</w:t>
            </w:r>
            <w:r w:rsidR="008356A2">
              <w:t xml:space="preserve"> and variation in data interpretation</w:t>
            </w:r>
            <w:r w:rsidR="008E3B1A">
              <w:t>/input</w:t>
            </w:r>
            <w:r>
              <w:t xml:space="preserve">. </w:t>
            </w:r>
          </w:p>
          <w:p w14:paraId="1C0211DB" w14:textId="77777777" w:rsidR="00DC6719" w:rsidRDefault="00DC6719" w:rsidP="00461006">
            <w:pPr>
              <w:pStyle w:val="TableNBullet"/>
            </w:pPr>
            <w:r w:rsidRPr="008061AE">
              <w:rPr>
                <w:rFonts w:asciiTheme="majorHAnsi" w:hAnsiTheme="majorHAnsi" w:cstheme="majorHAnsi"/>
              </w:rPr>
              <w:t>Limitations to comparison</w:t>
            </w:r>
            <w:r>
              <w:rPr>
                <w:rFonts w:asciiTheme="majorHAnsi" w:hAnsiTheme="majorHAnsi" w:cstheme="majorHAnsi"/>
              </w:rPr>
              <w:t>s</w:t>
            </w:r>
            <w:r w:rsidRPr="008061AE">
              <w:rPr>
                <w:rFonts w:asciiTheme="majorHAnsi" w:hAnsiTheme="majorHAnsi" w:cstheme="majorHAnsi"/>
              </w:rPr>
              <w:t xml:space="preserve"> across sites | </w:t>
            </w:r>
            <w:r w:rsidRPr="00EF29F1">
              <w:t>Analysis of trends and compari</w:t>
            </w:r>
            <w:r>
              <w:t>sons between</w:t>
            </w:r>
            <w:r w:rsidRPr="00EF29F1">
              <w:t xml:space="preserve"> sites was limited as new sites joined and matured </w:t>
            </w:r>
            <w:r>
              <w:t>at different times</w:t>
            </w:r>
            <w:r w:rsidRPr="00EF29F1">
              <w:t xml:space="preserve"> and KPIs were captured differently across sites. </w:t>
            </w:r>
          </w:p>
          <w:p w14:paraId="3554801A" w14:textId="381CC6BD" w:rsidR="00781429" w:rsidRDefault="0FD298F7" w:rsidP="00461006">
            <w:pPr>
              <w:pStyle w:val="TableNBullet"/>
            </w:pPr>
            <w:r w:rsidRPr="74B83E5E">
              <w:rPr>
                <w:rFonts w:asciiTheme="majorHAnsi" w:hAnsiTheme="majorHAnsi" w:cstheme="majorBidi"/>
              </w:rPr>
              <w:t>Inability to extract data |</w:t>
            </w:r>
            <w:r>
              <w:t xml:space="preserve"> </w:t>
            </w:r>
            <w:r w:rsidR="5D153BFC">
              <w:t xml:space="preserve">Some sites indicated that the introduction of new </w:t>
            </w:r>
            <w:r w:rsidR="172CA402">
              <w:t>(CMS</w:t>
            </w:r>
            <w:r w:rsidR="005D27DA">
              <w:t>s</w:t>
            </w:r>
            <w:r w:rsidR="172CA402">
              <w:t>)</w:t>
            </w:r>
            <w:r w:rsidR="5D153BFC">
              <w:t xml:space="preserve"> did not allow extraction of or input into </w:t>
            </w:r>
            <w:r w:rsidR="00AA13DC">
              <w:t xml:space="preserve">The Way Back </w:t>
            </w:r>
            <w:r w:rsidR="5D153BFC">
              <w:t xml:space="preserve">extension data. As such, sites were unable to reflect their data in the system. </w:t>
            </w:r>
          </w:p>
          <w:p w14:paraId="6B7A0575" w14:textId="4C9C19E4" w:rsidR="003B3A96" w:rsidRPr="00151029" w:rsidRDefault="00DC6719" w:rsidP="00461006">
            <w:pPr>
              <w:pStyle w:val="TableNBullet"/>
            </w:pPr>
            <w:r w:rsidRPr="00CB24EF">
              <w:rPr>
                <w:rFonts w:asciiTheme="majorHAnsi" w:hAnsiTheme="majorHAnsi" w:cstheme="majorHAnsi"/>
              </w:rPr>
              <w:t xml:space="preserve">Limited data on cohorts </w:t>
            </w:r>
            <w:r>
              <w:t>| Also, the r</w:t>
            </w:r>
            <w:r w:rsidRPr="00EF29F1">
              <w:t xml:space="preserve">eferral data collected in </w:t>
            </w:r>
            <w:r>
              <w:t xml:space="preserve">the </w:t>
            </w:r>
            <w:r w:rsidRPr="00EF29F1">
              <w:t xml:space="preserve">quarterly reporting </w:t>
            </w:r>
            <w:r>
              <w:t>did</w:t>
            </w:r>
            <w:r w:rsidRPr="00EF29F1">
              <w:t xml:space="preserve"> not collect demographic information of referrals. Therefore, the evaluation is unable to discern key populations that were referred to The Way Back but do not access it</w:t>
            </w:r>
            <w:r>
              <w:t>.</w:t>
            </w:r>
          </w:p>
          <w:p w14:paraId="5B3A2E35" w14:textId="028D86A7" w:rsidR="00B17D0C" w:rsidRPr="00B17D0C" w:rsidRDefault="00DC6719" w:rsidP="00461006">
            <w:pPr>
              <w:pStyle w:val="TableNBullet"/>
              <w:rPr>
                <w:rFonts w:asciiTheme="majorHAnsi" w:hAnsiTheme="majorHAnsi" w:cstheme="majorHAnsi"/>
                <w:bCs/>
                <w:color w:val="00264D" w:themeColor="background2"/>
              </w:rPr>
            </w:pPr>
            <w:r w:rsidRPr="00423700">
              <w:rPr>
                <w:rFonts w:cs="Segoe UI Semibold"/>
                <w:bCs/>
              </w:rPr>
              <w:t>R</w:t>
            </w:r>
            <w:r w:rsidRPr="00423700">
              <w:t xml:space="preserve">efer to section </w:t>
            </w:r>
            <w:r w:rsidR="005978E8">
              <w:fldChar w:fldCharType="begin"/>
            </w:r>
            <w:r w:rsidR="005978E8">
              <w:instrText xml:space="preserve"> REF _Ref121306457 \n \h </w:instrText>
            </w:r>
            <w:r w:rsidR="005978E8">
              <w:fldChar w:fldCharType="separate"/>
            </w:r>
            <w:r w:rsidR="00402362">
              <w:t>2.4</w:t>
            </w:r>
            <w:r w:rsidR="005978E8">
              <w:fldChar w:fldCharType="end"/>
            </w:r>
            <w:r w:rsidR="005978E8">
              <w:t xml:space="preserve"> </w:t>
            </w:r>
            <w:r w:rsidRPr="00423700">
              <w:t xml:space="preserve">and Appendix </w:t>
            </w:r>
            <w:r w:rsidR="001A1D37">
              <w:t>B</w:t>
            </w:r>
            <w:r w:rsidRPr="00423700">
              <w:t xml:space="preserve"> for detailed limitations.</w:t>
            </w:r>
          </w:p>
        </w:tc>
      </w:tr>
    </w:tbl>
    <w:p w14:paraId="7A92EA29" w14:textId="693DECB7" w:rsidR="0093662B" w:rsidRDefault="0093662B" w:rsidP="0093662B">
      <w:pPr>
        <w:pStyle w:val="Heading2"/>
      </w:pPr>
      <w:bookmarkStart w:id="149" w:name="_Ref118284401"/>
      <w:bookmarkStart w:id="150" w:name="_Ref118287857"/>
      <w:bookmarkStart w:id="151" w:name="_Ref118288134"/>
      <w:bookmarkStart w:id="152" w:name="_Toc121320696"/>
      <w:r>
        <w:t>Alignment of service delivery with service model</w:t>
      </w:r>
      <w:bookmarkEnd w:id="149"/>
      <w:bookmarkEnd w:id="150"/>
      <w:bookmarkEnd w:id="151"/>
      <w:bookmarkEnd w:id="152"/>
      <w:r>
        <w:t xml:space="preserve"> </w:t>
      </w:r>
    </w:p>
    <w:p w14:paraId="07AF2A8F" w14:textId="780AE1B4" w:rsidR="008B55A6" w:rsidRDefault="008B55A6" w:rsidP="00CB0C9C">
      <w:pPr>
        <w:pStyle w:val="Heading3"/>
      </w:pPr>
      <w:r>
        <w:t xml:space="preserve">Six KPIs were used to monitor The Way Back service delivery. </w:t>
      </w:r>
    </w:p>
    <w:p w14:paraId="76FDC428" w14:textId="19C1AAA4" w:rsidR="008B55A6" w:rsidRDefault="008B55A6" w:rsidP="008B55A6">
      <w:pPr>
        <w:rPr>
          <w:rFonts w:asciiTheme="minorHAnsi" w:hAnsiTheme="minorHAnsi" w:cstheme="minorHAnsi"/>
        </w:rPr>
      </w:pPr>
      <w:r w:rsidRPr="00F16B8A">
        <w:t xml:space="preserve">Providers </w:t>
      </w:r>
      <w:r w:rsidR="00057AC8">
        <w:t xml:space="preserve">were </w:t>
      </w:r>
      <w:r w:rsidR="008E3B1A">
        <w:t>required to report</w:t>
      </w:r>
      <w:r w:rsidRPr="00F16B8A">
        <w:t xml:space="preserve"> six KPIs related to time for initial contact with a referred person, safety and support planning, and communication with other health professionals.</w:t>
      </w:r>
      <w:r>
        <w:t xml:space="preserve"> </w:t>
      </w:r>
      <w:r>
        <w:rPr>
          <w:rFonts w:asciiTheme="minorHAnsi" w:hAnsiTheme="minorHAnsi" w:cstheme="minorHAnsi"/>
        </w:rPr>
        <w:t>The six KPIs are below</w:t>
      </w:r>
      <w:r w:rsidR="00896860">
        <w:rPr>
          <w:rFonts w:asciiTheme="minorHAnsi" w:hAnsiTheme="minorHAnsi" w:cstheme="minorHAnsi"/>
        </w:rPr>
        <w:t>. It should be noted that as of July 2022, Beyond Blue implemented changes to KPI</w:t>
      </w:r>
      <w:r w:rsidR="004801ED">
        <w:rPr>
          <w:rFonts w:asciiTheme="minorHAnsi" w:hAnsiTheme="minorHAnsi" w:cstheme="minorHAnsi"/>
        </w:rPr>
        <w:t>s to improve their appropriateness and clarity, this included removal of KPI 2 and KPI 3</w:t>
      </w:r>
      <w:r w:rsidR="008C1AE7">
        <w:rPr>
          <w:rFonts w:asciiTheme="minorHAnsi" w:hAnsiTheme="minorHAnsi" w:cstheme="minorHAnsi"/>
        </w:rPr>
        <w:t xml:space="preserve"> (see Appendix C for </w:t>
      </w:r>
      <w:r w:rsidR="00017219">
        <w:rPr>
          <w:rFonts w:asciiTheme="minorHAnsi" w:hAnsiTheme="minorHAnsi" w:cstheme="minorHAnsi"/>
        </w:rPr>
        <w:t xml:space="preserve">further </w:t>
      </w:r>
      <w:r w:rsidR="008C1AE7">
        <w:rPr>
          <w:rFonts w:asciiTheme="minorHAnsi" w:hAnsiTheme="minorHAnsi" w:cstheme="minorHAnsi"/>
        </w:rPr>
        <w:t>detail on these changes)</w:t>
      </w:r>
      <w:r w:rsidR="00017219">
        <w:rPr>
          <w:rFonts w:asciiTheme="minorHAnsi" w:hAnsiTheme="minorHAnsi" w:cstheme="minorHAnsi"/>
        </w:rPr>
        <w:t>.</w:t>
      </w:r>
      <w:r w:rsidR="008476C5">
        <w:rPr>
          <w:rStyle w:val="FootnoteReference"/>
          <w:rFonts w:asciiTheme="minorHAnsi" w:hAnsiTheme="minorHAnsi" w:cstheme="minorHAnsi"/>
        </w:rPr>
        <w:footnoteReference w:id="131"/>
      </w:r>
    </w:p>
    <w:p w14:paraId="6203AA3B" w14:textId="77777777" w:rsidR="00746770" w:rsidRDefault="00746770" w:rsidP="00B729F5">
      <w:pPr>
        <w:pStyle w:val="Listnumbered"/>
        <w:numPr>
          <w:ilvl w:val="0"/>
          <w:numId w:val="19"/>
        </w:numPr>
      </w:pPr>
      <w:r w:rsidRPr="00C16408">
        <w:rPr>
          <w:rStyle w:val="Strong"/>
        </w:rPr>
        <w:t xml:space="preserve">KPI 1: Initial contact with referred person: </w:t>
      </w:r>
      <w:r>
        <w:t>For referred persons who are confirmed as eligible for The Way Back, contact must be attempted with the referred Person within one business day of receipt of the referral by the service provider.</w:t>
      </w:r>
    </w:p>
    <w:p w14:paraId="41A69703" w14:textId="2037833E" w:rsidR="00746770" w:rsidRDefault="59CDD419" w:rsidP="00B729F5">
      <w:pPr>
        <w:pStyle w:val="Listnumbered"/>
        <w:numPr>
          <w:ilvl w:val="0"/>
          <w:numId w:val="19"/>
        </w:numPr>
      </w:pPr>
      <w:r w:rsidRPr="00461006">
        <w:rPr>
          <w:rStyle w:val="Strong"/>
        </w:rPr>
        <w:t xml:space="preserve">KPI 2: Correspondence with primary nominated professional on entry to the service: </w:t>
      </w:r>
      <w:r>
        <w:t xml:space="preserve">For all </w:t>
      </w:r>
      <w:r w:rsidR="1C985EFA">
        <w:t>participants</w:t>
      </w:r>
      <w:r>
        <w:t xml:space="preserve"> who have provided consent for their primary nominated professional to be notified, correspondence must be sent advising the</w:t>
      </w:r>
      <w:r w:rsidR="6E3FBB49">
        <w:t>ir</w:t>
      </w:r>
      <w:r w:rsidR="1CD4F713">
        <w:t xml:space="preserve"> prima</w:t>
      </w:r>
      <w:r w:rsidR="1756E25C">
        <w:t>ry nominated professiona</w:t>
      </w:r>
      <w:r w:rsidR="57D7E887">
        <w:t>l</w:t>
      </w:r>
      <w:r>
        <w:t xml:space="preserve"> of participation in The Way Back within three business days of consent being obtained.</w:t>
      </w:r>
    </w:p>
    <w:p w14:paraId="2EFC386A" w14:textId="54C4B04E" w:rsidR="00746770" w:rsidRDefault="59CDD419" w:rsidP="00B729F5">
      <w:pPr>
        <w:pStyle w:val="Listnumbered"/>
        <w:numPr>
          <w:ilvl w:val="0"/>
          <w:numId w:val="19"/>
        </w:numPr>
      </w:pPr>
      <w:r w:rsidRPr="00461006">
        <w:rPr>
          <w:rStyle w:val="Strong"/>
        </w:rPr>
        <w:t>KPI 3: Correspondence with primary nominated professional on exit from the service:</w:t>
      </w:r>
      <w:r>
        <w:t xml:space="preserve"> For all </w:t>
      </w:r>
      <w:r w:rsidR="1C985EFA">
        <w:t>participants</w:t>
      </w:r>
      <w:r>
        <w:t xml:space="preserve"> exited from the service (unplanned or planned) and who have nominated a primary nominated professional, correspondence must be sent by the service provider to their identified primary nominated professional within three business days of the exit date. </w:t>
      </w:r>
    </w:p>
    <w:p w14:paraId="1D0D0AAF" w14:textId="52EF918D" w:rsidR="00746770" w:rsidRDefault="00746770" w:rsidP="00B729F5">
      <w:pPr>
        <w:pStyle w:val="Listnumbered"/>
        <w:numPr>
          <w:ilvl w:val="0"/>
          <w:numId w:val="19"/>
        </w:numPr>
      </w:pPr>
      <w:r w:rsidRPr="00461006">
        <w:rPr>
          <w:rStyle w:val="Strong"/>
        </w:rPr>
        <w:t xml:space="preserve">KPI 4: Safety plan update / development: </w:t>
      </w:r>
      <w:r>
        <w:t xml:space="preserve">Safety plans must be updated or developed preferably at the initial contact with the </w:t>
      </w:r>
      <w:r w:rsidR="002F6D7A">
        <w:t>participant</w:t>
      </w:r>
      <w:r>
        <w:t xml:space="preserve"> and no later than the second contact.</w:t>
      </w:r>
    </w:p>
    <w:p w14:paraId="185F9CB1" w14:textId="77777777" w:rsidR="00746770" w:rsidRDefault="00746770" w:rsidP="00B729F5">
      <w:pPr>
        <w:pStyle w:val="Listnumbered"/>
        <w:numPr>
          <w:ilvl w:val="0"/>
          <w:numId w:val="19"/>
        </w:numPr>
      </w:pPr>
      <w:r w:rsidRPr="00461006">
        <w:rPr>
          <w:rStyle w:val="Strong"/>
        </w:rPr>
        <w:t xml:space="preserve">KPI 5: Support plan development: </w:t>
      </w:r>
      <w:r>
        <w:t>Support plan is to be developed within two weeks of consent to participate in the service.</w:t>
      </w:r>
    </w:p>
    <w:p w14:paraId="270ADFDC" w14:textId="2EDC7212" w:rsidR="00746770" w:rsidRPr="005E3AE4" w:rsidRDefault="6214E613" w:rsidP="00B729F5">
      <w:pPr>
        <w:pStyle w:val="Listnumbered"/>
        <w:numPr>
          <w:ilvl w:val="0"/>
          <w:numId w:val="19"/>
        </w:numPr>
      </w:pPr>
      <w:r w:rsidRPr="00461006">
        <w:rPr>
          <w:rStyle w:val="Strong"/>
        </w:rPr>
        <w:lastRenderedPageBreak/>
        <w:t xml:space="preserve">KPI 6: Quarterly new </w:t>
      </w:r>
      <w:r w:rsidR="14629A63" w:rsidRPr="00461006">
        <w:rPr>
          <w:rStyle w:val="Strong"/>
        </w:rPr>
        <w:t>participant</w:t>
      </w:r>
      <w:r w:rsidRPr="00461006">
        <w:rPr>
          <w:rStyle w:val="Strong"/>
        </w:rPr>
        <w:t xml:space="preserve"> episode target: </w:t>
      </w:r>
      <w:r>
        <w:t xml:space="preserve">Achieve 100 per cent of the relevant quarter new </w:t>
      </w:r>
      <w:r w:rsidR="14629A63">
        <w:t>participant</w:t>
      </w:r>
      <w:r>
        <w:t xml:space="preserve"> episode target per quarter.</w:t>
      </w:r>
    </w:p>
    <w:p w14:paraId="5481B52B" w14:textId="2025FD97" w:rsidR="008B55A6" w:rsidRPr="008B55A6" w:rsidRDefault="002D4382" w:rsidP="00CB0C9C">
      <w:pPr>
        <w:pStyle w:val="Heading3"/>
      </w:pPr>
      <w:r>
        <w:t>Two</w:t>
      </w:r>
      <w:r w:rsidR="008B55A6">
        <w:t xml:space="preserve"> sites met all </w:t>
      </w:r>
      <w:r w:rsidR="00430D70">
        <w:t>six</w:t>
      </w:r>
      <w:r w:rsidR="008B55A6">
        <w:t xml:space="preserve"> KPIs</w:t>
      </w:r>
      <w:r w:rsidR="009B0C06">
        <w:t xml:space="preserve">; </w:t>
      </w:r>
      <w:r w:rsidR="00430D70">
        <w:t>over</w:t>
      </w:r>
      <w:r w:rsidR="009B0C06">
        <w:t xml:space="preserve"> half of all sites met at least </w:t>
      </w:r>
      <w:r w:rsidR="006424B8">
        <w:t xml:space="preserve">three </w:t>
      </w:r>
      <w:r w:rsidR="009B0C06">
        <w:t xml:space="preserve">KPIs. </w:t>
      </w:r>
    </w:p>
    <w:p w14:paraId="0C5A7790" w14:textId="77477287" w:rsidR="006C6441" w:rsidRDefault="006307C6" w:rsidP="009B0C06">
      <w:pPr>
        <w:rPr>
          <w:lang w:eastAsia="en-AU"/>
        </w:rPr>
      </w:pPr>
      <w:r>
        <w:rPr>
          <w:lang w:eastAsia="en-AU"/>
        </w:rPr>
        <w:fldChar w:fldCharType="begin"/>
      </w:r>
      <w:r>
        <w:rPr>
          <w:lang w:eastAsia="en-AU"/>
        </w:rPr>
        <w:instrText xml:space="preserve"> REF _Ref122537037 \h </w:instrText>
      </w:r>
      <w:r>
        <w:rPr>
          <w:lang w:eastAsia="en-AU"/>
        </w:rPr>
      </w:r>
      <w:r>
        <w:rPr>
          <w:lang w:eastAsia="en-AU"/>
        </w:rPr>
        <w:fldChar w:fldCharType="separate"/>
      </w:r>
      <w:r w:rsidR="00402362">
        <w:t xml:space="preserve">Figure </w:t>
      </w:r>
      <w:r w:rsidR="00402362">
        <w:rPr>
          <w:noProof/>
        </w:rPr>
        <w:t>23</w:t>
      </w:r>
      <w:r>
        <w:rPr>
          <w:lang w:eastAsia="en-AU"/>
        </w:rPr>
        <w:fldChar w:fldCharType="end"/>
      </w:r>
      <w:r>
        <w:rPr>
          <w:lang w:eastAsia="en-AU"/>
        </w:rPr>
        <w:t xml:space="preserve"> </w:t>
      </w:r>
      <w:r w:rsidR="0089155F">
        <w:rPr>
          <w:lang w:eastAsia="en-AU"/>
        </w:rPr>
        <w:t>s</w:t>
      </w:r>
      <w:r w:rsidR="006C6441" w:rsidRPr="009D7A84">
        <w:rPr>
          <w:lang w:eastAsia="en-AU"/>
        </w:rPr>
        <w:t>hows</w:t>
      </w:r>
      <w:r w:rsidR="006C6441">
        <w:rPr>
          <w:lang w:eastAsia="en-AU"/>
        </w:rPr>
        <w:t xml:space="preserve"> the proportion of in-scope sites that met each KPI (based on </w:t>
      </w:r>
      <w:r w:rsidR="00FA02C9" w:rsidRPr="00F7778D">
        <w:rPr>
          <w:lang w:eastAsia="en-AU"/>
        </w:rPr>
        <w:t xml:space="preserve">Quarterly Report data </w:t>
      </w:r>
      <w:r w:rsidR="00F7778D">
        <w:rPr>
          <w:lang w:eastAsia="en-AU"/>
        </w:rPr>
        <w:t>from Q4 2022</w:t>
      </w:r>
      <w:r w:rsidR="005278F6">
        <w:rPr>
          <w:lang w:eastAsia="en-AU"/>
        </w:rPr>
        <w:t xml:space="preserve"> and PMHC MDS data </w:t>
      </w:r>
      <w:r w:rsidR="00CB6CA7">
        <w:rPr>
          <w:lang w:eastAsia="en-AU"/>
        </w:rPr>
        <w:t>from Q</w:t>
      </w:r>
      <w:r w:rsidR="00E35DAF">
        <w:rPr>
          <w:lang w:eastAsia="en-AU"/>
        </w:rPr>
        <w:t>4</w:t>
      </w:r>
      <w:r w:rsidR="00104523">
        <w:rPr>
          <w:lang w:eastAsia="en-AU"/>
        </w:rPr>
        <w:t xml:space="preserve"> 2022</w:t>
      </w:r>
      <w:r w:rsidR="006C6441">
        <w:rPr>
          <w:lang w:eastAsia="en-AU"/>
        </w:rPr>
        <w:t xml:space="preserve">). It shows that: </w:t>
      </w:r>
    </w:p>
    <w:p w14:paraId="303C4763" w14:textId="073A98C2" w:rsidR="006C6441" w:rsidRDefault="18A0B60F" w:rsidP="006C6441">
      <w:pPr>
        <w:pStyle w:val="Bullet"/>
      </w:pPr>
      <w:r>
        <w:t xml:space="preserve">Two </w:t>
      </w:r>
      <w:r w:rsidR="196D0995">
        <w:t>sites met all the KPIs.</w:t>
      </w:r>
      <w:r w:rsidR="021185FA">
        <w:t xml:space="preserve"> </w:t>
      </w:r>
    </w:p>
    <w:p w14:paraId="66B6D3E7" w14:textId="07921FC9" w:rsidR="001519C5" w:rsidRDefault="00152EC1" w:rsidP="006C6441">
      <w:pPr>
        <w:pStyle w:val="Bullet"/>
      </w:pPr>
      <w:r>
        <w:t>41</w:t>
      </w:r>
      <w:r w:rsidR="6B16CD72">
        <w:t xml:space="preserve"> per cent</w:t>
      </w:r>
      <w:r w:rsidR="6B16CD72" w:rsidRPr="003434C4">
        <w:t xml:space="preserve"> </w:t>
      </w:r>
      <w:r w:rsidR="6B16CD72">
        <w:t>(1</w:t>
      </w:r>
      <w:r w:rsidR="005278F6">
        <w:t>1</w:t>
      </w:r>
      <w:r w:rsidR="6B16CD72">
        <w:t xml:space="preserve"> sites) </w:t>
      </w:r>
      <w:r w:rsidR="6B16CD72" w:rsidRPr="003434C4">
        <w:t>met four or more KPIs in Q</w:t>
      </w:r>
      <w:r w:rsidR="39A31C8F">
        <w:t>4</w:t>
      </w:r>
      <w:r w:rsidR="6B16CD72" w:rsidRPr="003434C4">
        <w:t xml:space="preserve"> 2022</w:t>
      </w:r>
      <w:r w:rsidR="001519C5" w:rsidRPr="003434C4">
        <w:rPr>
          <w:rStyle w:val="FootnoteReference"/>
        </w:rPr>
        <w:footnoteReference w:id="132"/>
      </w:r>
      <w:r w:rsidR="6B16CD72">
        <w:t xml:space="preserve"> </w:t>
      </w:r>
    </w:p>
    <w:p w14:paraId="09BECBBE" w14:textId="47244A12" w:rsidR="00A15B38" w:rsidRDefault="000F1BB7" w:rsidP="006C6441">
      <w:pPr>
        <w:pStyle w:val="Bullet"/>
      </w:pPr>
      <w:r>
        <w:t>11</w:t>
      </w:r>
      <w:r w:rsidR="59BE61D9">
        <w:t xml:space="preserve"> </w:t>
      </w:r>
      <w:r w:rsidR="2BCAE516">
        <w:t xml:space="preserve">sites only met </w:t>
      </w:r>
      <w:r w:rsidR="46F7267E">
        <w:t>one</w:t>
      </w:r>
      <w:r w:rsidR="2BCAE516">
        <w:t xml:space="preserve"> or </w:t>
      </w:r>
      <w:r w:rsidR="46F7267E">
        <w:t>two</w:t>
      </w:r>
      <w:r w:rsidR="2BCAE516">
        <w:t xml:space="preserve"> KPIs</w:t>
      </w:r>
      <w:r w:rsidR="59BE61D9">
        <w:t xml:space="preserve"> in </w:t>
      </w:r>
      <w:r w:rsidR="532005B4">
        <w:t>Q4 2022</w:t>
      </w:r>
    </w:p>
    <w:p w14:paraId="2E2E0947" w14:textId="18BAE728" w:rsidR="006C6441" w:rsidRPr="00DD1782" w:rsidRDefault="000F1BB7" w:rsidP="006C6441">
      <w:pPr>
        <w:pStyle w:val="Bullet"/>
      </w:pPr>
      <w:r>
        <w:t xml:space="preserve">One </w:t>
      </w:r>
      <w:r w:rsidR="13E1FC79">
        <w:t>site</w:t>
      </w:r>
      <w:r w:rsidR="78358DFF">
        <w:t xml:space="preserve"> </w:t>
      </w:r>
      <w:r w:rsidR="2BF3E54F">
        <w:t>did not meet any KPIs in Q4 2022</w:t>
      </w:r>
    </w:p>
    <w:p w14:paraId="30A08564" w14:textId="20E81664" w:rsidR="006C6441" w:rsidRPr="00F406A3" w:rsidRDefault="006307C6" w:rsidP="006307C6">
      <w:pPr>
        <w:pStyle w:val="Caption"/>
      </w:pPr>
      <w:bookmarkStart w:id="153" w:name="_Ref122537037"/>
      <w:r>
        <w:t xml:space="preserve">Figure </w:t>
      </w:r>
      <w:r>
        <w:fldChar w:fldCharType="begin"/>
      </w:r>
      <w:r>
        <w:instrText xml:space="preserve"> SEQ Figure \* ARABIC </w:instrText>
      </w:r>
      <w:r>
        <w:fldChar w:fldCharType="separate"/>
      </w:r>
      <w:r w:rsidR="00402362">
        <w:rPr>
          <w:noProof/>
        </w:rPr>
        <w:t>23</w:t>
      </w:r>
      <w:r>
        <w:fldChar w:fldCharType="end"/>
      </w:r>
      <w:bookmarkEnd w:id="153"/>
      <w:r w:rsidR="00EE38A4" w:rsidRPr="00F406A3">
        <w:t xml:space="preserve">| Number </w:t>
      </w:r>
      <w:r w:rsidR="00ED5B8D" w:rsidRPr="00F406A3">
        <w:t xml:space="preserve">of KPIs met </w:t>
      </w:r>
      <w:r w:rsidR="00CD227E" w:rsidRPr="00F406A3">
        <w:t>according to</w:t>
      </w:r>
      <w:r w:rsidR="00B10F69" w:rsidRPr="00F406A3">
        <w:t xml:space="preserve"> 2</w:t>
      </w:r>
      <w:r w:rsidR="00133FA3" w:rsidRPr="00F406A3">
        <w:t>7</w:t>
      </w:r>
      <w:r w:rsidR="00ED5B8D" w:rsidRPr="00F406A3">
        <w:t xml:space="preserve"> </w:t>
      </w:r>
      <w:r w:rsidR="00B10F69" w:rsidRPr="00F406A3">
        <w:t>in-scope sites</w:t>
      </w:r>
      <w:r w:rsidR="00C36B1D" w:rsidRPr="00F406A3">
        <w:t xml:space="preserve">’ Q4 </w:t>
      </w:r>
      <w:r w:rsidR="004838AB" w:rsidRPr="00F406A3">
        <w:t xml:space="preserve">2022 </w:t>
      </w:r>
      <w:r w:rsidR="00C36B1D" w:rsidRPr="00F406A3">
        <w:t>quarterly reports</w:t>
      </w:r>
      <w:r w:rsidR="00D07AD9">
        <w:t xml:space="preserve"> and PMHC MDS</w:t>
      </w:r>
      <w:r w:rsidR="00464C55" w:rsidRPr="00F406A3">
        <w:rPr>
          <w:rStyle w:val="FootnoteReference"/>
        </w:rPr>
        <w:footnoteReference w:id="133"/>
      </w:r>
    </w:p>
    <w:p w14:paraId="4AB44724" w14:textId="5D0B240F" w:rsidR="0033764B" w:rsidRPr="00F406A3" w:rsidRDefault="009B2EC1" w:rsidP="0033764B">
      <w:r>
        <w:rPr>
          <w:noProof/>
        </w:rPr>
        <w:drawing>
          <wp:inline distT="0" distB="0" distL="0" distR="0" wp14:anchorId="0F7345A5" wp14:editId="5774298B">
            <wp:extent cx="5670550" cy="2951480"/>
            <wp:effectExtent l="0" t="0" r="6350" b="1270"/>
            <wp:docPr id="49" name="Graphic 49" descr="Figure 23 is a bar graph showing the number of KPIs met according to 27 in scope sites Q4 2022 quarterly reports and PMHC M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Figure 23 is a bar graph showing the number of KPIs met according to 27 in scope sites Q4 2022 quarterly reports and PMHC MDS"/>
                    <pic:cNvPicPr/>
                  </pic:nvPicPr>
                  <pic:blipFill>
                    <a:blip r:embed="rId104">
                      <a:extLst>
                        <a:ext uri="{96DAC541-7B7A-43D3-8B79-37D633B846F1}">
                          <asvg:svgBlip xmlns:asvg="http://schemas.microsoft.com/office/drawing/2016/SVG/main" r:embed="rId105"/>
                        </a:ext>
                      </a:extLst>
                    </a:blip>
                    <a:stretch>
                      <a:fillRect/>
                    </a:stretch>
                  </pic:blipFill>
                  <pic:spPr>
                    <a:xfrm>
                      <a:off x="0" y="0"/>
                      <a:ext cx="5670550" cy="2951480"/>
                    </a:xfrm>
                    <a:prstGeom prst="rect">
                      <a:avLst/>
                    </a:prstGeom>
                  </pic:spPr>
                </pic:pic>
              </a:graphicData>
            </a:graphic>
          </wp:inline>
        </w:drawing>
      </w:r>
    </w:p>
    <w:p w14:paraId="6B61A438" w14:textId="09C56EFC" w:rsidR="00E53309" w:rsidRPr="00AC5F10" w:rsidRDefault="00E53309" w:rsidP="00CB0C9C">
      <w:pPr>
        <w:pStyle w:val="Heading3"/>
      </w:pPr>
      <w:r>
        <w:t>Most sites consistently met three or more KPIs (between June 2021 and June 2022).</w:t>
      </w:r>
    </w:p>
    <w:p w14:paraId="1BE5DFE6" w14:textId="3FF53AD2" w:rsidR="00E53309" w:rsidRDefault="004E5622" w:rsidP="00E53309">
      <w:pPr>
        <w:rPr>
          <w:rFonts w:asciiTheme="minorHAnsi" w:hAnsiTheme="minorHAnsi"/>
        </w:rPr>
      </w:pPr>
      <w:r>
        <w:rPr>
          <w:rFonts w:asciiTheme="minorHAnsi" w:hAnsiTheme="minorHAnsi"/>
        </w:rPr>
        <w:fldChar w:fldCharType="begin"/>
      </w:r>
      <w:r>
        <w:rPr>
          <w:rFonts w:asciiTheme="minorHAnsi" w:hAnsiTheme="minorHAnsi"/>
        </w:rPr>
        <w:instrText xml:space="preserve"> REF _Ref122531217 \h </w:instrText>
      </w:r>
      <w:r>
        <w:rPr>
          <w:rFonts w:asciiTheme="minorHAnsi" w:hAnsiTheme="minorHAnsi"/>
        </w:rPr>
      </w:r>
      <w:r>
        <w:rPr>
          <w:rFonts w:asciiTheme="minorHAnsi" w:hAnsiTheme="minorHAnsi"/>
        </w:rPr>
        <w:fldChar w:fldCharType="separate"/>
      </w:r>
      <w:r w:rsidR="00402362">
        <w:t xml:space="preserve">Figure </w:t>
      </w:r>
      <w:r w:rsidR="00402362">
        <w:rPr>
          <w:noProof/>
        </w:rPr>
        <w:t>24</w:t>
      </w:r>
      <w:r>
        <w:rPr>
          <w:rFonts w:asciiTheme="minorHAnsi" w:hAnsiTheme="minorHAnsi"/>
        </w:rPr>
        <w:fldChar w:fldCharType="end"/>
      </w:r>
      <w:r w:rsidR="00E53309" w:rsidRPr="0C58547B">
        <w:rPr>
          <w:rFonts w:asciiTheme="minorHAnsi" w:hAnsiTheme="minorHAnsi"/>
        </w:rPr>
        <w:t xml:space="preserve"> provides an overview of the total number of sites meeting KPIs over time. It shows that sites </w:t>
      </w:r>
      <w:r w:rsidR="00E53309">
        <w:rPr>
          <w:rFonts w:asciiTheme="minorHAnsi" w:hAnsiTheme="minorHAnsi"/>
        </w:rPr>
        <w:t>consistently met most of their KPIs.</w:t>
      </w:r>
      <w:r w:rsidR="00E53309" w:rsidRPr="0C58547B">
        <w:rPr>
          <w:rFonts w:asciiTheme="minorHAnsi" w:hAnsiTheme="minorHAnsi"/>
        </w:rPr>
        <w:t xml:space="preserve"> </w:t>
      </w:r>
    </w:p>
    <w:p w14:paraId="5CCB4628" w14:textId="77777777" w:rsidR="00E53309" w:rsidRDefault="00E53309" w:rsidP="00E53309">
      <w:r>
        <w:rPr>
          <w:rFonts w:asciiTheme="minorHAnsi" w:hAnsiTheme="minorHAnsi" w:cstheme="minorHAnsi"/>
        </w:rPr>
        <w:t xml:space="preserve">Providers in consultations and quarterly reports indicated KPIs may not be met for the following reasons: </w:t>
      </w:r>
    </w:p>
    <w:p w14:paraId="7D4F50EF" w14:textId="77777777" w:rsidR="00E53309" w:rsidRPr="0023203E" w:rsidRDefault="00E53309" w:rsidP="00E53309">
      <w:pPr>
        <w:pStyle w:val="Bullet"/>
      </w:pPr>
      <w:r>
        <w:t>Some sites which were operational for less than four months (</w:t>
      </w:r>
      <w:proofErr w:type="gramStart"/>
      <w:r>
        <w:t>i.e.</w:t>
      </w:r>
      <w:proofErr w:type="gramEnd"/>
      <w:r>
        <w:t xml:space="preserve"> less mature) and as a result were still implementing the service or may not have had much data to be able to report.</w:t>
      </w:r>
    </w:p>
    <w:p w14:paraId="66E0C9F2" w14:textId="77777777" w:rsidR="00E53309" w:rsidRDefault="00E53309" w:rsidP="00E53309">
      <w:pPr>
        <w:pStyle w:val="Bullet"/>
      </w:pPr>
      <w:r>
        <w:t>Some sites experienced delays due to COVID-19 and were waiting to return to face to face before recommencing service delivery.</w:t>
      </w:r>
    </w:p>
    <w:p w14:paraId="58B0431F" w14:textId="77777777" w:rsidR="00E53309" w:rsidRDefault="00E53309" w:rsidP="00E53309">
      <w:pPr>
        <w:pStyle w:val="Bullet"/>
      </w:pPr>
      <w:r>
        <w:t xml:space="preserve">Most sites noted difficulties engaging participants to develop safety and support plans attributing this to participants feeling the plans do not work, were reluctant to develop plans, felt the plans were too clinical, or agreed but then later disengaged from The Way Back. </w:t>
      </w:r>
    </w:p>
    <w:p w14:paraId="7D0BDFEA" w14:textId="5B89A7F5" w:rsidR="00E53309" w:rsidRDefault="00E53309" w:rsidP="00E53309">
      <w:pPr>
        <w:pStyle w:val="Bullet"/>
      </w:pPr>
      <w:r>
        <w:lastRenderedPageBreak/>
        <w:t>Some sites indicated that the introduction of new CMSs</w:t>
      </w:r>
      <w:r w:rsidR="00B373E5">
        <w:t xml:space="preserve"> </w:t>
      </w:r>
      <w:r w:rsidR="00711DC5">
        <w:t>resulted in issues with how and what data was uploaded in to the PMHC MDS</w:t>
      </w:r>
      <w:r w:rsidR="00DB105E">
        <w:t xml:space="preserve"> and The Way Back extension data</w:t>
      </w:r>
      <w:proofErr w:type="gramStart"/>
      <w:r w:rsidR="00427A5D">
        <w:t xml:space="preserve">. </w:t>
      </w:r>
      <w:r>
        <w:t>.</w:t>
      </w:r>
      <w:proofErr w:type="gramEnd"/>
      <w:r>
        <w:t xml:space="preserve"> As such, sites were unable to reflect their data in the system. </w:t>
      </w:r>
    </w:p>
    <w:p w14:paraId="4B9A042D" w14:textId="77777777" w:rsidR="00E53309" w:rsidRDefault="00E53309" w:rsidP="00E53309">
      <w:pPr>
        <w:pStyle w:val="Bullet"/>
      </w:pPr>
      <w:r>
        <w:t xml:space="preserve">The evaluation also identified that the amendment to KPIs (that aimed to improve the appropriateness and clarity of KPIs) recently may have impacted sites’ ability to meet KPIs. </w:t>
      </w:r>
    </w:p>
    <w:p w14:paraId="6E9F090A" w14:textId="77777777" w:rsidR="00E53309" w:rsidRDefault="00E53309" w:rsidP="00E53309">
      <w:r>
        <w:t xml:space="preserve">Where there were improvements to meeting KPIs over time, providers in consultations highlighted the following reasons for improvement: </w:t>
      </w:r>
    </w:p>
    <w:p w14:paraId="662AA48A" w14:textId="77777777" w:rsidR="00E53309" w:rsidRDefault="00E53309" w:rsidP="00E53309">
      <w:pPr>
        <w:pStyle w:val="Bullet"/>
      </w:pPr>
      <w:r>
        <w:t xml:space="preserve">Staff having more clarity on KPI definitions (and therefore improved data collection). </w:t>
      </w:r>
    </w:p>
    <w:p w14:paraId="0CF72F28" w14:textId="77777777" w:rsidR="00E53309" w:rsidRDefault="00E53309" w:rsidP="00E53309">
      <w:pPr>
        <w:pStyle w:val="Bullet"/>
      </w:pPr>
      <w:r>
        <w:t>More established relationships with the referring providers (which reportedly impacted achievement of KPI 1 on the initial contact with referred persons).</w:t>
      </w:r>
    </w:p>
    <w:p w14:paraId="01D8D007" w14:textId="035F4EFF" w:rsidR="00E53309" w:rsidRDefault="00E53309" w:rsidP="00E53309">
      <w:pPr>
        <w:pStyle w:val="Caption"/>
      </w:pPr>
      <w:bookmarkStart w:id="154" w:name="_Ref122531217"/>
      <w:r>
        <w:t xml:space="preserve">Figure </w:t>
      </w:r>
      <w:r>
        <w:fldChar w:fldCharType="begin"/>
      </w:r>
      <w:r>
        <w:instrText xml:space="preserve"> SEQ Figure \* ARABIC </w:instrText>
      </w:r>
      <w:r>
        <w:fldChar w:fldCharType="separate"/>
      </w:r>
      <w:r w:rsidR="00402362">
        <w:rPr>
          <w:noProof/>
        </w:rPr>
        <w:t>24</w:t>
      </w:r>
      <w:r>
        <w:fldChar w:fldCharType="end"/>
      </w:r>
      <w:bookmarkEnd w:id="154"/>
      <w:r>
        <w:t xml:space="preserve"> | Percentage of KPIs met by sites by quarter, Q4 2021 to Q4 2022</w:t>
      </w:r>
      <w:r>
        <w:rPr>
          <w:rStyle w:val="FootnoteReference"/>
        </w:rPr>
        <w:footnoteReference w:id="134"/>
      </w:r>
    </w:p>
    <w:p w14:paraId="75B13C62" w14:textId="77777777" w:rsidR="00E53309" w:rsidRDefault="00E53309" w:rsidP="00E53309">
      <w:pPr>
        <w:rPr>
          <w:lang w:eastAsia="en-AU"/>
        </w:rPr>
      </w:pPr>
      <w:r>
        <w:rPr>
          <w:noProof/>
        </w:rPr>
        <w:drawing>
          <wp:inline distT="0" distB="0" distL="0" distR="0" wp14:anchorId="2B668360" wp14:editId="7714D997">
            <wp:extent cx="5670550" cy="2411095"/>
            <wp:effectExtent l="0" t="0" r="6350" b="8255"/>
            <wp:docPr id="27844" name="Graphic 27844" descr="Figure 24 is a bar graph showing the percentage of KPI's met by sites by quarter, Q4 2021 to Q4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4" name="Graphic 27844" descr="Figure 24 is a bar graph showing the percentage of KPI's met by sites by quarter, Q4 2021 to Q4 2022"/>
                    <pic:cNvPicPr/>
                  </pic:nvPicPr>
                  <pic:blipFill>
                    <a:blip r:embed="rId106">
                      <a:extLst>
                        <a:ext uri="{96DAC541-7B7A-43D3-8B79-37D633B846F1}">
                          <asvg:svgBlip xmlns:asvg="http://schemas.microsoft.com/office/drawing/2016/SVG/main" r:embed="rId107"/>
                        </a:ext>
                      </a:extLst>
                    </a:blip>
                    <a:stretch>
                      <a:fillRect/>
                    </a:stretch>
                  </pic:blipFill>
                  <pic:spPr>
                    <a:xfrm>
                      <a:off x="0" y="0"/>
                      <a:ext cx="5670550" cy="2411095"/>
                    </a:xfrm>
                    <a:prstGeom prst="rect">
                      <a:avLst/>
                    </a:prstGeom>
                  </pic:spPr>
                </pic:pic>
              </a:graphicData>
            </a:graphic>
          </wp:inline>
        </w:drawing>
      </w:r>
    </w:p>
    <w:p w14:paraId="3891AB41" w14:textId="12361B5E" w:rsidR="003077D5" w:rsidRPr="00E80AB7" w:rsidRDefault="3C245A20" w:rsidP="00CB0C9C">
      <w:pPr>
        <w:pStyle w:val="Heading3"/>
      </w:pPr>
      <w:r>
        <w:t xml:space="preserve">Sites </w:t>
      </w:r>
      <w:r w:rsidR="11A75826">
        <w:t xml:space="preserve">most often met the </w:t>
      </w:r>
      <w:r>
        <w:t xml:space="preserve">KPI related to </w:t>
      </w:r>
      <w:r w:rsidR="00474B2B">
        <w:t>having a safety plan updated or developed</w:t>
      </w:r>
      <w:r>
        <w:t xml:space="preserve"> </w:t>
      </w:r>
      <w:r w:rsidR="11A75826">
        <w:t xml:space="preserve">and least often met the </w:t>
      </w:r>
      <w:r w:rsidR="3B02D958">
        <w:t>KPI related to the quarterly new episode target</w:t>
      </w:r>
      <w:r w:rsidR="00244AED">
        <w:t>.</w:t>
      </w:r>
    </w:p>
    <w:p w14:paraId="222CF10A" w14:textId="7B7FCA4B" w:rsidR="000C437F" w:rsidRPr="00801320" w:rsidRDefault="000C437F" w:rsidP="009B0C06">
      <w:r w:rsidRPr="00801320">
        <w:t xml:space="preserve">Sites </w:t>
      </w:r>
      <w:r w:rsidR="00463426">
        <w:t>met</w:t>
      </w:r>
      <w:r w:rsidRPr="00801320">
        <w:t xml:space="preserve"> some KPIs </w:t>
      </w:r>
      <w:r w:rsidR="007B5C3B">
        <w:t xml:space="preserve">more </w:t>
      </w:r>
      <w:r w:rsidRPr="00801320">
        <w:t xml:space="preserve">than others (as shown in </w:t>
      </w:r>
      <w:r w:rsidR="00EA181C">
        <w:fldChar w:fldCharType="begin"/>
      </w:r>
      <w:r w:rsidR="00EA181C">
        <w:instrText xml:space="preserve"> REF _Ref122531885 \h </w:instrText>
      </w:r>
      <w:r w:rsidR="00EA181C">
        <w:fldChar w:fldCharType="separate"/>
      </w:r>
      <w:r w:rsidR="00402362">
        <w:t xml:space="preserve">Figure </w:t>
      </w:r>
      <w:r w:rsidR="00402362">
        <w:rPr>
          <w:noProof/>
        </w:rPr>
        <w:t>25</w:t>
      </w:r>
      <w:r w:rsidR="00EA181C">
        <w:fldChar w:fldCharType="end"/>
      </w:r>
      <w:r w:rsidRPr="009D6C1D">
        <w:t>).</w:t>
      </w:r>
      <w:r w:rsidRPr="00801320">
        <w:t xml:space="preserve"> In summary: </w:t>
      </w:r>
    </w:p>
    <w:p w14:paraId="7271AE3F" w14:textId="15E4CE48" w:rsidR="00436108" w:rsidRDefault="00436108" w:rsidP="000C437F">
      <w:pPr>
        <w:pStyle w:val="Bullet"/>
      </w:pPr>
      <w:r>
        <w:t xml:space="preserve">Sites met the </w:t>
      </w:r>
      <w:r w:rsidR="005B228A">
        <w:t xml:space="preserve">KPI </w:t>
      </w:r>
      <w:r>
        <w:t>related to having a safety</w:t>
      </w:r>
      <w:r w:rsidRPr="00436108">
        <w:t xml:space="preserve"> plan updated or developed at the initial contact</w:t>
      </w:r>
      <w:r w:rsidR="0077778A">
        <w:t xml:space="preserve"> or</w:t>
      </w:r>
      <w:r w:rsidRPr="00436108">
        <w:t xml:space="preserve"> the second contact</w:t>
      </w:r>
      <w:r w:rsidR="0077778A">
        <w:t xml:space="preserve"> </w:t>
      </w:r>
      <w:r w:rsidR="0053688C">
        <w:t>most often (85 per cent of the time)</w:t>
      </w:r>
      <w:r w:rsidR="00940D37">
        <w:t>.</w:t>
      </w:r>
    </w:p>
    <w:p w14:paraId="5490E198" w14:textId="2E09657B" w:rsidR="000C437F" w:rsidRDefault="6465713D" w:rsidP="000C437F">
      <w:pPr>
        <w:pStyle w:val="Bullet"/>
      </w:pPr>
      <w:r>
        <w:t xml:space="preserve">Sites </w:t>
      </w:r>
      <w:r w:rsidR="000C58A2">
        <w:t>often</w:t>
      </w:r>
      <w:r>
        <w:t xml:space="preserve"> </w:t>
      </w:r>
      <w:r w:rsidR="7DCE70A8">
        <w:t>met</w:t>
      </w:r>
      <w:r>
        <w:t xml:space="preserve"> the KPI related to</w:t>
      </w:r>
      <w:r w:rsidR="3CD5BC1B">
        <w:t xml:space="preserve"> correspondence </w:t>
      </w:r>
      <w:r w:rsidR="31D61F8F">
        <w:t>between participants and the</w:t>
      </w:r>
      <w:r w:rsidR="3CD5BC1B">
        <w:t xml:space="preserve"> Primary Nominated Professional on entry to </w:t>
      </w:r>
      <w:r>
        <w:t xml:space="preserve">The Way Back </w:t>
      </w:r>
      <w:r w:rsidR="7DCE70A8">
        <w:t>most often</w:t>
      </w:r>
      <w:r>
        <w:t xml:space="preserve"> </w:t>
      </w:r>
      <w:r w:rsidR="04EB37B7">
        <w:t>(6</w:t>
      </w:r>
      <w:r w:rsidR="3331D180">
        <w:t>9</w:t>
      </w:r>
      <w:r w:rsidR="04EB37B7">
        <w:t xml:space="preserve"> per cent </w:t>
      </w:r>
      <w:r w:rsidR="1238536E">
        <w:t>of the time</w:t>
      </w:r>
      <w:r>
        <w:t>)</w:t>
      </w:r>
      <w:r w:rsidR="00EE6BE3">
        <w:t xml:space="preserve"> and the KPI related</w:t>
      </w:r>
      <w:r w:rsidR="00822105">
        <w:t xml:space="preserve"> </w:t>
      </w:r>
      <w:r w:rsidR="00822105" w:rsidRPr="00822105">
        <w:t>to</w:t>
      </w:r>
      <w:r w:rsidR="00822105">
        <w:t xml:space="preserve"> notification of</w:t>
      </w:r>
      <w:r w:rsidR="00646F02">
        <w:t xml:space="preserve"> participant’s </w:t>
      </w:r>
      <w:r w:rsidR="00822105" w:rsidRPr="00822105">
        <w:t>identified primary nominated professional within three business days of the exit date</w:t>
      </w:r>
      <w:r w:rsidR="00EE6BE3">
        <w:t xml:space="preserve"> </w:t>
      </w:r>
      <w:r w:rsidR="00940D37">
        <w:t>(65 per cent of the time</w:t>
      </w:r>
      <w:r>
        <w:t>).</w:t>
      </w:r>
    </w:p>
    <w:p w14:paraId="09E1D62C" w14:textId="71CAB46A" w:rsidR="000C437F" w:rsidRDefault="5192A988" w:rsidP="000C437F">
      <w:pPr>
        <w:pStyle w:val="Bullet"/>
      </w:pPr>
      <w:r>
        <w:t xml:space="preserve">Sites </w:t>
      </w:r>
      <w:r w:rsidR="0BB862FF">
        <w:t>met</w:t>
      </w:r>
      <w:r>
        <w:t xml:space="preserve"> the KPI </w:t>
      </w:r>
      <w:r w:rsidR="3D26DE4C">
        <w:t xml:space="preserve">related to the number of new </w:t>
      </w:r>
      <w:r w:rsidR="3860B196">
        <w:t>participants</w:t>
      </w:r>
      <w:r w:rsidR="3D26DE4C">
        <w:t xml:space="preserve"> referred each quarter</w:t>
      </w:r>
      <w:r w:rsidR="292E4125">
        <w:t xml:space="preserve"> least often</w:t>
      </w:r>
      <w:r>
        <w:t xml:space="preserve"> (</w:t>
      </w:r>
      <w:r w:rsidR="292E4125">
        <w:t>2</w:t>
      </w:r>
      <w:r w:rsidR="005212AF">
        <w:t>7</w:t>
      </w:r>
      <w:r w:rsidR="292E4125">
        <w:t xml:space="preserve"> </w:t>
      </w:r>
      <w:r>
        <w:t xml:space="preserve">per cent </w:t>
      </w:r>
      <w:r w:rsidR="7C54D6C4">
        <w:t>of the time</w:t>
      </w:r>
      <w:r>
        <w:t>).</w:t>
      </w:r>
      <w:r w:rsidR="0039193A">
        <w:rPr>
          <w:rStyle w:val="FootnoteReference"/>
        </w:rPr>
        <w:footnoteReference w:id="135"/>
      </w:r>
    </w:p>
    <w:p w14:paraId="38DE14B7" w14:textId="7773B620" w:rsidR="006C6441" w:rsidRPr="006C6441" w:rsidRDefault="7DBB2BB6" w:rsidP="006C6441">
      <w:r w:rsidRPr="0089155F">
        <w:t xml:space="preserve">Where a site was not meeting a KPI, </w:t>
      </w:r>
      <w:r w:rsidR="004A5710">
        <w:t xml:space="preserve">it was </w:t>
      </w:r>
      <w:r w:rsidRPr="0089155F">
        <w:t xml:space="preserve">typically less than </w:t>
      </w:r>
      <w:r w:rsidR="00E1361C">
        <w:t>20</w:t>
      </w:r>
      <w:r w:rsidR="00E1361C" w:rsidRPr="0089155F">
        <w:t xml:space="preserve"> </w:t>
      </w:r>
      <w:r w:rsidRPr="0089155F">
        <w:t>per cent from meeting the target (</w:t>
      </w:r>
      <w:r w:rsidR="00ED1416">
        <w:t xml:space="preserve">i.e., </w:t>
      </w:r>
      <w:r w:rsidR="0A7AA8E8" w:rsidRPr="0089155F">
        <w:t>75</w:t>
      </w:r>
      <w:r w:rsidR="13A001A2" w:rsidRPr="0089155F">
        <w:t xml:space="preserve"> per cent</w:t>
      </w:r>
      <w:r w:rsidR="0A7AA8E8" w:rsidRPr="0089155F">
        <w:t xml:space="preserve"> of the time sites were within </w:t>
      </w:r>
      <w:r w:rsidR="13A001A2" w:rsidRPr="0089155F">
        <w:t>20 per cent of the target</w:t>
      </w:r>
      <w:r w:rsidR="007F4DA8" w:rsidRPr="0089155F">
        <w:rPr>
          <w:rStyle w:val="FootnoteReference"/>
        </w:rPr>
        <w:footnoteReference w:id="136"/>
      </w:r>
      <w:r w:rsidRPr="0089155F">
        <w:t>).</w:t>
      </w:r>
      <w:r>
        <w:t xml:space="preserve"> </w:t>
      </w:r>
      <w:r w:rsidR="00910B51">
        <w:t xml:space="preserve"> </w:t>
      </w:r>
    </w:p>
    <w:p w14:paraId="3A463FE8" w14:textId="1EE83C4D" w:rsidR="006C6441" w:rsidRDefault="002540CB" w:rsidP="006C6441">
      <w:pPr>
        <w:pStyle w:val="Caption"/>
      </w:pPr>
      <w:bookmarkStart w:id="155" w:name="_Ref122531885"/>
      <w:r>
        <w:lastRenderedPageBreak/>
        <w:t xml:space="preserve">Figure </w:t>
      </w:r>
      <w:r>
        <w:fldChar w:fldCharType="begin"/>
      </w:r>
      <w:r>
        <w:instrText xml:space="preserve"> SEQ Figure \* ARABIC </w:instrText>
      </w:r>
      <w:r>
        <w:fldChar w:fldCharType="separate"/>
      </w:r>
      <w:r w:rsidR="00402362">
        <w:rPr>
          <w:noProof/>
        </w:rPr>
        <w:t>25</w:t>
      </w:r>
      <w:r>
        <w:fldChar w:fldCharType="end"/>
      </w:r>
      <w:bookmarkEnd w:id="155"/>
      <w:r w:rsidR="002358AD">
        <w:t xml:space="preserve"> </w:t>
      </w:r>
      <w:r w:rsidR="7DBB2BB6">
        <w:t xml:space="preserve">| </w:t>
      </w:r>
      <w:r w:rsidR="00E1361C">
        <w:t>Average p</w:t>
      </w:r>
      <w:r w:rsidR="7DBB2BB6">
        <w:t>roportion of the 27 in-scope sites meeting each KPI</w:t>
      </w:r>
      <w:r w:rsidR="00E1361C">
        <w:t xml:space="preserve"> between Q4 2021 and Q4 2022</w:t>
      </w:r>
      <w:r w:rsidR="006C6441" w:rsidRPr="002F4E85">
        <w:rPr>
          <w:rStyle w:val="FootnoteReference"/>
        </w:rPr>
        <w:footnoteReference w:id="137"/>
      </w:r>
    </w:p>
    <w:p w14:paraId="2915C151" w14:textId="16DD71AE" w:rsidR="00D36FF3" w:rsidRDefault="003F0EC1" w:rsidP="006C6441">
      <w:r>
        <w:rPr>
          <w:noProof/>
        </w:rPr>
        <w:drawing>
          <wp:inline distT="0" distB="0" distL="0" distR="0" wp14:anchorId="5D48160F" wp14:editId="5ACE7883">
            <wp:extent cx="5670550" cy="2951480"/>
            <wp:effectExtent l="0" t="0" r="6350" b="1270"/>
            <wp:docPr id="32" name="Graphic 32" descr="Figure 25 is a bar graph showing the average portion of the 27 in-scope sites meeting each KPI between Q4 2021 and Q4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Figure 25 is a bar graph showing the average portion of the 27 in-scope sites meeting each KPI between Q4 2021 and Q4 2022"/>
                    <pic:cNvPicPr/>
                  </pic:nvPicPr>
                  <pic:blipFill>
                    <a:blip r:embed="rId108">
                      <a:extLst>
                        <a:ext uri="{96DAC541-7B7A-43D3-8B79-37D633B846F1}">
                          <asvg:svgBlip xmlns:asvg="http://schemas.microsoft.com/office/drawing/2016/SVG/main" r:embed="rId109"/>
                        </a:ext>
                      </a:extLst>
                    </a:blip>
                    <a:stretch>
                      <a:fillRect/>
                    </a:stretch>
                  </pic:blipFill>
                  <pic:spPr>
                    <a:xfrm>
                      <a:off x="0" y="0"/>
                      <a:ext cx="5670550" cy="2951480"/>
                    </a:xfrm>
                    <a:prstGeom prst="rect">
                      <a:avLst/>
                    </a:prstGeom>
                  </pic:spPr>
                </pic:pic>
              </a:graphicData>
            </a:graphic>
          </wp:inline>
        </w:drawing>
      </w:r>
    </w:p>
    <w:p w14:paraId="53D9883E" w14:textId="77777777" w:rsidR="009B0C06" w:rsidRDefault="009B0C06" w:rsidP="009B0C06">
      <w:r>
        <w:t xml:space="preserve">Providers in consultations indicated the following reasons for variability in progress toward KPI targets: </w:t>
      </w:r>
    </w:p>
    <w:p w14:paraId="211F2F91" w14:textId="77777777" w:rsidR="009B0C06" w:rsidRDefault="3F68971D" w:rsidP="009B0C06">
      <w:pPr>
        <w:pStyle w:val="Bullet"/>
      </w:pPr>
      <w:r w:rsidRPr="5F0B1C35">
        <w:rPr>
          <w:rFonts w:asciiTheme="majorHAnsi" w:hAnsiTheme="majorHAnsi" w:cstheme="majorBidi"/>
        </w:rPr>
        <w:t>KPI 4 and KPI 5</w:t>
      </w:r>
      <w:r>
        <w:t>: Sites reported several reasons associated with the difficulties with meeting these targets including:</w:t>
      </w:r>
    </w:p>
    <w:p w14:paraId="44708233" w14:textId="2E93587E" w:rsidR="009B0C06" w:rsidRDefault="0004446C" w:rsidP="00B729F5">
      <w:pPr>
        <w:pStyle w:val="Bullet"/>
        <w:numPr>
          <w:ilvl w:val="1"/>
          <w:numId w:val="2"/>
        </w:numPr>
      </w:pPr>
      <w:r>
        <w:t xml:space="preserve">Variability in the </w:t>
      </w:r>
      <w:r w:rsidR="0862439F">
        <w:t>interpret</w:t>
      </w:r>
      <w:r>
        <w:t>ation of</w:t>
      </w:r>
      <w:r w:rsidR="0862439F">
        <w:t xml:space="preserve"> these KPIs. Some sites reported that the time limit for completing the safety and support plan was unclear.</w:t>
      </w:r>
    </w:p>
    <w:p w14:paraId="487689F7" w14:textId="1E4A8256" w:rsidR="009B0C06" w:rsidRPr="0023203E" w:rsidRDefault="009B0C06" w:rsidP="00B729F5">
      <w:pPr>
        <w:pStyle w:val="Bullet"/>
        <w:numPr>
          <w:ilvl w:val="1"/>
          <w:numId w:val="2"/>
        </w:numPr>
      </w:pPr>
      <w:r>
        <w:t xml:space="preserve">Participants </w:t>
      </w:r>
      <w:r w:rsidR="00F02CA6">
        <w:t xml:space="preserve">had </w:t>
      </w:r>
      <w:r>
        <w:t>already developed a safety plan in hospital and so did not feel the need to complete another one with The Way Back</w:t>
      </w:r>
      <w:r w:rsidR="00A64700">
        <w:t>.</w:t>
      </w:r>
    </w:p>
    <w:p w14:paraId="42A2F921" w14:textId="2CADF36D" w:rsidR="007A0C56" w:rsidRPr="0023203E" w:rsidRDefault="007A0C56" w:rsidP="00B729F5">
      <w:pPr>
        <w:pStyle w:val="Bullet"/>
        <w:numPr>
          <w:ilvl w:val="1"/>
          <w:numId w:val="2"/>
        </w:numPr>
      </w:pPr>
      <w:r>
        <w:t xml:space="preserve">Participants </w:t>
      </w:r>
      <w:r w:rsidR="00184B3D">
        <w:t>chose not to complete and safety and support plan</w:t>
      </w:r>
      <w:r w:rsidR="006E26EB">
        <w:t xml:space="preserve"> as they did not feel they needed it</w:t>
      </w:r>
      <w:r w:rsidR="00300961">
        <w:t xml:space="preserve"> to support their recovery. </w:t>
      </w:r>
    </w:p>
    <w:p w14:paraId="06979C34" w14:textId="2019080D" w:rsidR="009B0C06" w:rsidRDefault="49840573" w:rsidP="009B0C06">
      <w:pPr>
        <w:pStyle w:val="Bullet"/>
      </w:pPr>
      <w:r w:rsidRPr="74B83E5E">
        <w:rPr>
          <w:rFonts w:asciiTheme="majorHAnsi" w:hAnsiTheme="majorHAnsi" w:cstheme="majorBidi"/>
        </w:rPr>
        <w:t>KPI 6</w:t>
      </w:r>
      <w:r>
        <w:t xml:space="preserve">: Meeting quarterly </w:t>
      </w:r>
      <w:r w:rsidR="76678A96">
        <w:t>participant</w:t>
      </w:r>
      <w:r>
        <w:t xml:space="preserve"> episodes </w:t>
      </w:r>
      <w:r w:rsidR="4DA66DD6">
        <w:t>was</w:t>
      </w:r>
      <w:r>
        <w:t xml:space="preserve"> dependent on the maturity of the referral pathway and referrers</w:t>
      </w:r>
      <w:r w:rsidR="768FE5EF">
        <w:t>’</w:t>
      </w:r>
      <w:r>
        <w:t xml:space="preserve"> understanding of The Way Back. Referring providers</w:t>
      </w:r>
      <w:r w:rsidR="00720D78">
        <w:t xml:space="preserve"> (</w:t>
      </w:r>
      <w:r w:rsidR="001733D7">
        <w:t>LHNs/</w:t>
      </w:r>
      <w:r w:rsidR="00720D78">
        <w:t>LHDs/</w:t>
      </w:r>
      <w:proofErr w:type="gramStart"/>
      <w:r w:rsidR="00720D78">
        <w:t>HHSs</w:t>
      </w:r>
      <w:r w:rsidR="00D34B6B">
        <w:t>)</w:t>
      </w:r>
      <w:r>
        <w:t>who</w:t>
      </w:r>
      <w:proofErr w:type="gramEnd"/>
      <w:r>
        <w:t xml:space="preserve"> </w:t>
      </w:r>
      <w:r w:rsidR="4DA66DD6">
        <w:t xml:space="preserve">were </w:t>
      </w:r>
      <w:r>
        <w:t xml:space="preserve">not familiar with the role of The Way Back or </w:t>
      </w:r>
      <w:r w:rsidR="4DA66DD6">
        <w:t xml:space="preserve">did </w:t>
      </w:r>
      <w:r>
        <w:t xml:space="preserve">not have the time and ability to identify a person who </w:t>
      </w:r>
      <w:r w:rsidR="4DA66DD6">
        <w:t>was</w:t>
      </w:r>
      <w:r>
        <w:t xml:space="preserve"> experiencing suicidality impact</w:t>
      </w:r>
      <w:r w:rsidR="4DA66DD6">
        <w:t xml:space="preserve">ed </w:t>
      </w:r>
      <w:r>
        <w:t xml:space="preserve">referral numbers and subsequently episode targets. </w:t>
      </w:r>
    </w:p>
    <w:p w14:paraId="754F5138" w14:textId="2BF8D432" w:rsidR="00503FB7" w:rsidRDefault="00503FB7" w:rsidP="00CB0C9C">
      <w:pPr>
        <w:pStyle w:val="Heading3"/>
      </w:pPr>
      <w:r>
        <w:t>Providers and PHNs question</w:t>
      </w:r>
      <w:r w:rsidR="00350463">
        <w:t>ed</w:t>
      </w:r>
      <w:r>
        <w:t xml:space="preserve"> the appropriateness and clarity of some KPIs</w:t>
      </w:r>
      <w:r w:rsidR="00350463">
        <w:t xml:space="preserve">. </w:t>
      </w:r>
    </w:p>
    <w:p w14:paraId="37107814" w14:textId="22F75C9D" w:rsidR="00CD50B2" w:rsidRDefault="00693AC7" w:rsidP="00E4402B">
      <w:r>
        <w:t>Many</w:t>
      </w:r>
      <w:r w:rsidR="00E4402B">
        <w:t xml:space="preserve"> providers and PHNs</w:t>
      </w:r>
      <w:r>
        <w:t xml:space="preserve"> in consultations</w:t>
      </w:r>
      <w:r w:rsidR="00E4402B">
        <w:t xml:space="preserve"> </w:t>
      </w:r>
      <w:r>
        <w:t>reported a view that some KPIs did not accurately</w:t>
      </w:r>
      <w:r w:rsidR="00E4402B">
        <w:t xml:space="preserve"> reflect </w:t>
      </w:r>
      <w:r w:rsidR="00305CCD">
        <w:t>the performance of The Way Back, as some were dependent on uncontrollable external factors</w:t>
      </w:r>
      <w:r>
        <w:t xml:space="preserve">. </w:t>
      </w:r>
      <w:r w:rsidR="00305CCD">
        <w:t xml:space="preserve">Examples included: </w:t>
      </w:r>
      <w:r w:rsidR="00CD50B2">
        <w:t xml:space="preserve"> </w:t>
      </w:r>
    </w:p>
    <w:p w14:paraId="0269D0E0" w14:textId="5AD2F057" w:rsidR="00BF612C" w:rsidRPr="00BF612C" w:rsidRDefault="07D82CAE" w:rsidP="007D6FDC">
      <w:pPr>
        <w:pStyle w:val="Bullet"/>
      </w:pPr>
      <w:r w:rsidRPr="00461006">
        <w:rPr>
          <w:rStyle w:val="Strong"/>
        </w:rPr>
        <w:t xml:space="preserve">KPI 1 (related to new participant episodes target) </w:t>
      </w:r>
      <w:r>
        <w:t xml:space="preserve">Providers in interviews also reported that the definitions of KPI 1 (initial contact on service) were unclear and this impacted how </w:t>
      </w:r>
      <w:r w:rsidR="4B91FC97">
        <w:t xml:space="preserve">numbers were </w:t>
      </w:r>
      <w:r>
        <w:t>recorded in the data.</w:t>
      </w:r>
    </w:p>
    <w:p w14:paraId="47ED832C" w14:textId="08CC373A" w:rsidR="00E4402B" w:rsidRDefault="1F85443F" w:rsidP="007D6FDC">
      <w:pPr>
        <w:pStyle w:val="Bullet"/>
      </w:pPr>
      <w:r w:rsidRPr="00461006">
        <w:rPr>
          <w:rStyle w:val="Strong"/>
        </w:rPr>
        <w:t xml:space="preserve">KPI 2 and </w:t>
      </w:r>
      <w:r w:rsidR="75C4197E" w:rsidRPr="00461006">
        <w:rPr>
          <w:rStyle w:val="Strong"/>
        </w:rPr>
        <w:t xml:space="preserve">KPI </w:t>
      </w:r>
      <w:r w:rsidRPr="00461006">
        <w:rPr>
          <w:rStyle w:val="Strong"/>
        </w:rPr>
        <w:t>3</w:t>
      </w:r>
      <w:r w:rsidR="75C4197E" w:rsidRPr="00461006">
        <w:rPr>
          <w:rStyle w:val="Strong"/>
        </w:rPr>
        <w:t xml:space="preserve"> (</w:t>
      </w:r>
      <w:r w:rsidR="0DF3B990" w:rsidRPr="00461006">
        <w:rPr>
          <w:rStyle w:val="Strong"/>
        </w:rPr>
        <w:t>both related to contacting a Primary Nominated Professional at entry and exit to the service</w:t>
      </w:r>
      <w:r w:rsidR="75C4197E" w:rsidRPr="00461006">
        <w:rPr>
          <w:rStyle w:val="Strong"/>
        </w:rPr>
        <w:t>)</w:t>
      </w:r>
      <w:r w:rsidR="4DC9AD8A" w:rsidRPr="00461006">
        <w:rPr>
          <w:rStyle w:val="Strong"/>
        </w:rPr>
        <w:t xml:space="preserve">. </w:t>
      </w:r>
      <w:r w:rsidR="4DC9AD8A">
        <w:t>Providers</w:t>
      </w:r>
      <w:r w:rsidR="08B6FC73">
        <w:t xml:space="preserve"> in interviews questioned the appropriateness of these KPIs as</w:t>
      </w:r>
      <w:r w:rsidR="4DC9AD8A">
        <w:t xml:space="preserve"> </w:t>
      </w:r>
      <w:r w:rsidR="08B6FC73">
        <w:t xml:space="preserve">many </w:t>
      </w:r>
      <w:r w:rsidR="4DC9AD8A">
        <w:t>p</w:t>
      </w:r>
      <w:r w:rsidR="1B76D3BF">
        <w:t xml:space="preserve">articipants who access The Way Back </w:t>
      </w:r>
      <w:r w:rsidR="4DC9AD8A">
        <w:t xml:space="preserve">did not have </w:t>
      </w:r>
      <w:r w:rsidR="505121F1">
        <w:t>a primary nominated professional</w:t>
      </w:r>
      <w:r w:rsidR="08B6FC73">
        <w:t xml:space="preserve">. </w:t>
      </w:r>
    </w:p>
    <w:p w14:paraId="7A18DBAB" w14:textId="5E08F15D" w:rsidR="00BF612C" w:rsidRDefault="4DC9AD8A" w:rsidP="00BF612C">
      <w:pPr>
        <w:pStyle w:val="Bullet"/>
      </w:pPr>
      <w:r w:rsidRPr="00461006">
        <w:rPr>
          <w:rStyle w:val="Strong"/>
        </w:rPr>
        <w:lastRenderedPageBreak/>
        <w:t xml:space="preserve">KPI </w:t>
      </w:r>
      <w:r w:rsidR="007D0DF4" w:rsidRPr="00461006">
        <w:rPr>
          <w:rStyle w:val="Strong"/>
        </w:rPr>
        <w:t>4</w:t>
      </w:r>
      <w:r w:rsidRPr="00461006">
        <w:rPr>
          <w:rStyle w:val="Strong"/>
        </w:rPr>
        <w:t xml:space="preserve"> (related to </w:t>
      </w:r>
      <w:r w:rsidR="007D0DF4" w:rsidRPr="00461006">
        <w:rPr>
          <w:rStyle w:val="Strong"/>
        </w:rPr>
        <w:t>safety plans</w:t>
      </w:r>
      <w:r w:rsidRPr="00461006">
        <w:rPr>
          <w:rStyle w:val="Strong"/>
        </w:rPr>
        <w:t xml:space="preserve">) and KPI </w:t>
      </w:r>
      <w:r w:rsidR="007D0DF4" w:rsidRPr="00461006">
        <w:rPr>
          <w:rStyle w:val="Strong"/>
        </w:rPr>
        <w:t xml:space="preserve">5 </w:t>
      </w:r>
      <w:r w:rsidRPr="00461006">
        <w:rPr>
          <w:rStyle w:val="Strong"/>
        </w:rPr>
        <w:t xml:space="preserve">(related to </w:t>
      </w:r>
      <w:r w:rsidR="007D0DF4" w:rsidRPr="00461006">
        <w:rPr>
          <w:rStyle w:val="Strong"/>
        </w:rPr>
        <w:t>support plans)</w:t>
      </w:r>
      <w:r w:rsidRPr="00461006">
        <w:rPr>
          <w:rStyle w:val="Strong"/>
        </w:rPr>
        <w:t xml:space="preserve">. </w:t>
      </w:r>
      <w:r>
        <w:t xml:space="preserve">Providers </w:t>
      </w:r>
      <w:r w:rsidR="41636A37">
        <w:t xml:space="preserve">in interviews </w:t>
      </w:r>
      <w:r>
        <w:t xml:space="preserve">indicated that rigidly aiming to meet these KPIs did not reflect the intent of The Way Back to be a </w:t>
      </w:r>
      <w:r w:rsidR="36BD31E0">
        <w:t>participant</w:t>
      </w:r>
      <w:r>
        <w:t xml:space="preserve">-led service, flexible to </w:t>
      </w:r>
      <w:r w:rsidR="36BD31E0">
        <w:t>participant</w:t>
      </w:r>
      <w:r>
        <w:t xml:space="preserve"> needs and preferences. For example, some </w:t>
      </w:r>
      <w:r w:rsidR="36BD31E0">
        <w:t>participants</w:t>
      </w:r>
      <w:r>
        <w:t xml:space="preserve"> did not want to complete a support plan and/or may have already recently completed a safety plan. Therefore, providers would not ‘force’ </w:t>
      </w:r>
      <w:r w:rsidR="36BD31E0">
        <w:t>participants</w:t>
      </w:r>
      <w:r>
        <w:t xml:space="preserve"> to, meaning they would then not meet this KPI. </w:t>
      </w:r>
    </w:p>
    <w:p w14:paraId="36D0053F" w14:textId="5812D931" w:rsidR="00503FB7" w:rsidRDefault="6E9E3B89" w:rsidP="00046CAF">
      <w:r>
        <w:t>It should be noted</w:t>
      </w:r>
      <w:r w:rsidR="054A5F5C">
        <w:t xml:space="preserve"> that </w:t>
      </w:r>
      <w:r w:rsidR="1C344087">
        <w:t>t</w:t>
      </w:r>
      <w:r w:rsidR="0FF99979">
        <w:t>he interim report</w:t>
      </w:r>
      <w:r w:rsidR="1C344087">
        <w:t xml:space="preserve"> for this evaluation</w:t>
      </w:r>
      <w:r w:rsidR="0FF99979">
        <w:t xml:space="preserve"> recommended improving the appropriateness and clarity</w:t>
      </w:r>
      <w:r w:rsidR="1C344087">
        <w:t xml:space="preserve"> of The Way Back KPIs.</w:t>
      </w:r>
      <w:r w:rsidR="0FF99979">
        <w:t xml:space="preserve"> </w:t>
      </w:r>
      <w:r w:rsidR="63586028">
        <w:t xml:space="preserve"> </w:t>
      </w:r>
      <w:r w:rsidR="1C344087">
        <w:t xml:space="preserve">In </w:t>
      </w:r>
      <w:r w:rsidR="76BEB3D4">
        <w:t xml:space="preserve">response to the </w:t>
      </w:r>
      <w:r w:rsidR="0E7E1AF1">
        <w:t>i</w:t>
      </w:r>
      <w:r w:rsidR="76BEB3D4">
        <w:t xml:space="preserve">nterim </w:t>
      </w:r>
      <w:r w:rsidR="0E7E1AF1">
        <w:t>r</w:t>
      </w:r>
      <w:r w:rsidR="76BEB3D4">
        <w:t xml:space="preserve">eport recommendations from this evaluation, </w:t>
      </w:r>
      <w:r w:rsidR="63586028">
        <w:t xml:space="preserve">Beyond Blue </w:t>
      </w:r>
      <w:r w:rsidR="005333A7">
        <w:t>addressed</w:t>
      </w:r>
      <w:r w:rsidR="7D2864C6">
        <w:t xml:space="preserve"> these challenges </w:t>
      </w:r>
      <w:r w:rsidR="00FB121C">
        <w:t xml:space="preserve">of </w:t>
      </w:r>
      <w:r w:rsidR="7D2864C6">
        <w:t xml:space="preserve">KPIs </w:t>
      </w:r>
      <w:r w:rsidR="76BEB3D4">
        <w:t xml:space="preserve">as of </w:t>
      </w:r>
      <w:r w:rsidR="00297ABE">
        <w:t xml:space="preserve">July </w:t>
      </w:r>
      <w:r w:rsidR="76BEB3D4">
        <w:t>2022</w:t>
      </w:r>
      <w:r w:rsidR="143F5AFF">
        <w:t xml:space="preserve">. </w:t>
      </w:r>
      <w:r w:rsidR="00EB2FAB">
        <w:t>As such, KPI</w:t>
      </w:r>
      <w:r w:rsidR="00FA0EEB">
        <w:t xml:space="preserve"> 2</w:t>
      </w:r>
      <w:r w:rsidR="00EB2FAB">
        <w:t xml:space="preserve"> and KPI 3 were removed as KPIs</w:t>
      </w:r>
      <w:r w:rsidR="00297ABE">
        <w:t xml:space="preserve">, and </w:t>
      </w:r>
      <w:r w:rsidR="00FA0EEB">
        <w:t xml:space="preserve">the definitions of KPI </w:t>
      </w:r>
      <w:r w:rsidR="00E80866">
        <w:t>4</w:t>
      </w:r>
      <w:r w:rsidR="00FA0EEB">
        <w:t xml:space="preserve"> and KPI </w:t>
      </w:r>
      <w:r w:rsidR="00E80866">
        <w:t>5</w:t>
      </w:r>
      <w:r w:rsidR="00FA0EEB">
        <w:t xml:space="preserve"> were clarified</w:t>
      </w:r>
      <w:r w:rsidR="00297ABE">
        <w:t>. Detailed</w:t>
      </w:r>
      <w:r w:rsidR="564973E6">
        <w:t xml:space="preserve"> changes </w:t>
      </w:r>
      <w:r w:rsidR="00297ABE">
        <w:t xml:space="preserve">to KPIs are </w:t>
      </w:r>
      <w:r w:rsidR="564973E6">
        <w:t xml:space="preserve">provided in Appendix </w:t>
      </w:r>
      <w:r w:rsidR="001A1D37">
        <w:t>C</w:t>
      </w:r>
      <w:r w:rsidR="564973E6">
        <w:t>.</w:t>
      </w:r>
    </w:p>
    <w:p w14:paraId="7DCB1C33" w14:textId="143E3FE2" w:rsidR="0093662B" w:rsidRDefault="0093662B" w:rsidP="0093662B">
      <w:pPr>
        <w:pStyle w:val="Heading2"/>
      </w:pPr>
      <w:bookmarkStart w:id="156" w:name="_Ref118127814"/>
      <w:bookmarkStart w:id="157" w:name="_Toc121320697"/>
      <w:r>
        <w:t>Effectiveness of service delivery</w:t>
      </w:r>
      <w:bookmarkEnd w:id="156"/>
      <w:bookmarkEnd w:id="157"/>
      <w:r>
        <w:t xml:space="preserve"> </w:t>
      </w:r>
    </w:p>
    <w:p w14:paraId="6674EBCA" w14:textId="3B1A8626" w:rsidR="00B56FE6" w:rsidRDefault="00B56FE6" w:rsidP="00B56FE6">
      <w:pPr>
        <w:rPr>
          <w:b/>
          <w:bCs/>
        </w:rPr>
      </w:pPr>
      <w:r>
        <w:rPr>
          <w:b/>
          <w:bCs/>
        </w:rPr>
        <w:t xml:space="preserve">Research shows that integrated aftercare reduces the likelihood of suicide attempts and improves </w:t>
      </w:r>
      <w:r w:rsidR="002F6D7A">
        <w:rPr>
          <w:b/>
          <w:bCs/>
        </w:rPr>
        <w:t>participants</w:t>
      </w:r>
      <w:r>
        <w:rPr>
          <w:b/>
          <w:bCs/>
        </w:rPr>
        <w:t xml:space="preserve">’ quality of life and motivation. </w:t>
      </w:r>
    </w:p>
    <w:p w14:paraId="2E86984C" w14:textId="6CD04490" w:rsidR="00B56FE6" w:rsidRDefault="0C82F94B" w:rsidP="00B56FE6">
      <w:r w:rsidRPr="008F3FE7">
        <w:t xml:space="preserve">The Sax Institute Review found </w:t>
      </w:r>
      <w:r>
        <w:t xml:space="preserve">that </w:t>
      </w:r>
      <w:r w:rsidRPr="008F3FE7">
        <w:t xml:space="preserve">aftercare models that integrate post-hospital clinical services with </w:t>
      </w:r>
      <w:r w:rsidR="00FA0EEB">
        <w:t xml:space="preserve">psychosocial </w:t>
      </w:r>
      <w:r w:rsidRPr="008F3FE7">
        <w:t xml:space="preserve">supports and follow-up services </w:t>
      </w:r>
      <w:r w:rsidR="50F1B109">
        <w:t>were</w:t>
      </w:r>
      <w:r w:rsidRPr="008F3FE7">
        <w:t xml:space="preserve"> more effective</w:t>
      </w:r>
      <w:r>
        <w:t xml:space="preserve"> compared to those that do not</w:t>
      </w:r>
      <w:r w:rsidRPr="008F3FE7">
        <w:t>.</w:t>
      </w:r>
      <w:bookmarkStart w:id="158" w:name="_Hlk110605176"/>
      <w:r w:rsidR="00B56FE6">
        <w:rPr>
          <w:rStyle w:val="FootnoteReference"/>
        </w:rPr>
        <w:footnoteReference w:id="138"/>
      </w:r>
      <w:bookmarkEnd w:id="158"/>
      <w:r w:rsidRPr="008F3FE7">
        <w:t xml:space="preserve"> Benefits included</w:t>
      </w:r>
      <w:r>
        <w:t xml:space="preserve">: </w:t>
      </w:r>
    </w:p>
    <w:p w14:paraId="7C8D755F" w14:textId="35392D52" w:rsidR="00B56FE6" w:rsidRDefault="0C82F94B" w:rsidP="00B56FE6">
      <w:pPr>
        <w:pStyle w:val="Bullet"/>
      </w:pPr>
      <w:r w:rsidRPr="008F3FE7">
        <w:t>a reduced likelihood of suicide attempts (by up to 19.8</w:t>
      </w:r>
      <w:r w:rsidR="6B4AA753">
        <w:t xml:space="preserve"> per cent</w:t>
      </w:r>
      <w:r w:rsidRPr="008F3FE7">
        <w:t>)</w:t>
      </w:r>
      <w:r w:rsidRPr="00954D67">
        <w:rPr>
          <w:rStyle w:val="FootnoteReference"/>
        </w:rPr>
        <w:t xml:space="preserve"> </w:t>
      </w:r>
      <w:r w:rsidR="00B56FE6">
        <w:rPr>
          <w:rStyle w:val="FootnoteReference"/>
        </w:rPr>
        <w:footnoteReference w:id="139"/>
      </w:r>
      <w:r w:rsidR="68107306">
        <w:t xml:space="preserve"> </w:t>
      </w:r>
      <w:r w:rsidR="00B56FE6">
        <w:rPr>
          <w:rStyle w:val="FootnoteReference"/>
        </w:rPr>
        <w:footnoteReference w:id="140"/>
      </w:r>
    </w:p>
    <w:p w14:paraId="59DCAE94" w14:textId="77777777" w:rsidR="00B56FE6" w:rsidRDefault="3B3EC37F" w:rsidP="00B56FE6">
      <w:pPr>
        <w:pStyle w:val="Bullet"/>
      </w:pPr>
      <w:r>
        <w:t xml:space="preserve">observable changes in suicidal behaviour </w:t>
      </w:r>
    </w:p>
    <w:p w14:paraId="0222415B" w14:textId="77777777" w:rsidR="00B56FE6" w:rsidRPr="008F3FE7" w:rsidRDefault="0C82F94B" w:rsidP="00B56FE6">
      <w:pPr>
        <w:pStyle w:val="Bullet"/>
      </w:pPr>
      <w:r w:rsidRPr="008F3FE7">
        <w:t>benefits to an individual’s quality of life and motivation.</w:t>
      </w:r>
      <w:r w:rsidR="00B56FE6">
        <w:rPr>
          <w:rStyle w:val="FootnoteReference"/>
        </w:rPr>
        <w:footnoteReference w:id="141"/>
      </w:r>
      <w:r w:rsidRPr="008F3FE7">
        <w:t xml:space="preserve"> </w:t>
      </w:r>
    </w:p>
    <w:p w14:paraId="7731EE83" w14:textId="2D1D0B67" w:rsidR="00B56FE6" w:rsidRDefault="30B5FF83" w:rsidP="00B56FE6">
      <w:pPr>
        <w:pStyle w:val="Bullet"/>
        <w:numPr>
          <w:ilvl w:val="0"/>
          <w:numId w:val="0"/>
        </w:numPr>
      </w:pPr>
      <w:bookmarkStart w:id="159" w:name="_Hlk110605264"/>
      <w:r>
        <w:t>.</w:t>
      </w:r>
      <w:r w:rsidR="36C94F9A">
        <w:t xml:space="preserve"> </w:t>
      </w:r>
      <w:r w:rsidR="60BB9C77">
        <w:t>The Way Back’s service principle ‘</w:t>
      </w:r>
      <w:r w:rsidR="008C69DB">
        <w:rPr>
          <w:i/>
          <w:iCs/>
        </w:rPr>
        <w:t>p</w:t>
      </w:r>
      <w:r w:rsidR="36C94F9A" w:rsidRPr="74B83E5E">
        <w:rPr>
          <w:i/>
          <w:iCs/>
        </w:rPr>
        <w:t>sychosocial and clinical needs are complementary</w:t>
      </w:r>
      <w:r w:rsidR="36C94F9A">
        <w:t xml:space="preserve">’ stipulates that </w:t>
      </w:r>
      <w:r w:rsidR="60BB9C77">
        <w:t xml:space="preserve">the services’ </w:t>
      </w:r>
      <w:r w:rsidR="36C94F9A">
        <w:t xml:space="preserve">psychosocial support should be integrated with clinical supports. </w:t>
      </w:r>
      <w:bookmarkEnd w:id="159"/>
      <w:r w:rsidR="36C94F9A">
        <w:t>The type of integration The Way Back focuse</w:t>
      </w:r>
      <w:r w:rsidR="60BB9C77">
        <w:t>d</w:t>
      </w:r>
      <w:r w:rsidR="36C94F9A">
        <w:t xml:space="preserve"> on </w:t>
      </w:r>
      <w:r w:rsidR="60BB9C77">
        <w:t xml:space="preserve">was </w:t>
      </w:r>
      <w:r w:rsidR="36C94F9A">
        <w:t>‘clinical integration’ – which is the integration of care delivered by professionals and providers to patients into a single or coherent process within/across professions (such as the use of shared guidelines/protocols). This is opposed to full organisational integration, functional integration (</w:t>
      </w:r>
      <w:r w:rsidR="6A5CEBCB">
        <w:t>for example,</w:t>
      </w:r>
      <w:r w:rsidR="36C94F9A">
        <w:t xml:space="preserve"> integration of non-clinical/</w:t>
      </w:r>
      <w:r w:rsidR="269E3DD8">
        <w:t>back-office</w:t>
      </w:r>
      <w:r w:rsidR="36C94F9A">
        <w:t xml:space="preserve"> functions) or </w:t>
      </w:r>
      <w:r w:rsidR="36C94F9A" w:rsidRPr="00D062F5">
        <w:t>service integration (</w:t>
      </w:r>
      <w:r w:rsidR="6A5CEBCB" w:rsidRPr="00D062F5">
        <w:t>for example,</w:t>
      </w:r>
      <w:r w:rsidR="36C94F9A" w:rsidRPr="00D062F5">
        <w:t xml:space="preserve"> use of </w:t>
      </w:r>
      <w:r w:rsidR="0B2425EF" w:rsidRPr="00D062F5">
        <w:t>multi-disciplinary teams (</w:t>
      </w:r>
      <w:r w:rsidR="36C94F9A" w:rsidRPr="00D062F5">
        <w:t>MDTs</w:t>
      </w:r>
      <w:r w:rsidR="0B2425EF" w:rsidRPr="00D062F5">
        <w:t>)</w:t>
      </w:r>
      <w:r w:rsidR="36C94F9A" w:rsidRPr="00D062F5">
        <w:t>).</w:t>
      </w:r>
      <w:r w:rsidR="00B56FE6" w:rsidRPr="00D062F5">
        <w:rPr>
          <w:rStyle w:val="FootnoteReference"/>
        </w:rPr>
        <w:footnoteReference w:id="142"/>
      </w:r>
    </w:p>
    <w:p w14:paraId="5198091C" w14:textId="76FC37A5" w:rsidR="00B56FE6" w:rsidRDefault="00B56FE6" w:rsidP="00CB0C9C">
      <w:pPr>
        <w:pStyle w:val="Heading3"/>
      </w:pPr>
      <w:r>
        <w:t xml:space="preserve">The Way </w:t>
      </w:r>
      <w:r w:rsidRPr="00E27966">
        <w:t>Back</w:t>
      </w:r>
      <w:r>
        <w:t xml:space="preserve"> sites use</w:t>
      </w:r>
      <w:r w:rsidR="00CB2C64">
        <w:t>d</w:t>
      </w:r>
      <w:r>
        <w:t xml:space="preserve"> different combinations of mechanisms to support </w:t>
      </w:r>
      <w:r w:rsidR="0039527B">
        <w:t xml:space="preserve">clinical </w:t>
      </w:r>
      <w:r>
        <w:t xml:space="preserve">integration. </w:t>
      </w:r>
    </w:p>
    <w:p w14:paraId="50A248C5" w14:textId="69494CEF" w:rsidR="00B56FE6" w:rsidRDefault="00253128" w:rsidP="00B56FE6">
      <w:r>
        <w:t>C</w:t>
      </w:r>
      <w:r w:rsidR="0056433D">
        <w:t xml:space="preserve">onsultations with </w:t>
      </w:r>
      <w:r w:rsidR="00825336">
        <w:t xml:space="preserve">sites’ </w:t>
      </w:r>
      <w:r>
        <w:t xml:space="preserve">The Way Back </w:t>
      </w:r>
      <w:r w:rsidR="00825336">
        <w:t>provider</w:t>
      </w:r>
      <w:r>
        <w:t xml:space="preserve">s and </w:t>
      </w:r>
      <w:r w:rsidR="00F05760">
        <w:t>referring health provider staff</w:t>
      </w:r>
      <w:r>
        <w:t xml:space="preserve">, highlighted </w:t>
      </w:r>
      <w:r w:rsidR="00B56FE6" w:rsidRPr="00954D67">
        <w:t>multiple mechanisms that enable</w:t>
      </w:r>
      <w:r w:rsidR="00E77ADA">
        <w:t>d</w:t>
      </w:r>
      <w:r w:rsidR="00B56FE6" w:rsidRPr="00954D67">
        <w:t xml:space="preserve"> integration</w:t>
      </w:r>
      <w:r w:rsidR="0097124B">
        <w:t xml:space="preserve"> with clinical </w:t>
      </w:r>
      <w:r w:rsidR="000A380E">
        <w:t xml:space="preserve">and </w:t>
      </w:r>
      <w:r w:rsidR="0056433D">
        <w:t xml:space="preserve">psychosocial </w:t>
      </w:r>
      <w:r w:rsidR="0097124B">
        <w:t>services</w:t>
      </w:r>
      <w:r w:rsidR="00B56FE6">
        <w:t xml:space="preserve">, a variety of which </w:t>
      </w:r>
      <w:r w:rsidR="005D512E">
        <w:t xml:space="preserve">were </w:t>
      </w:r>
      <w:r w:rsidR="00E77ADA">
        <w:t xml:space="preserve">used </w:t>
      </w:r>
      <w:r w:rsidR="00B56FE6">
        <w:t xml:space="preserve">across The Way Back sites (and often more than one per site), as shown in </w:t>
      </w:r>
      <w:r w:rsidR="000B4D17">
        <w:fldChar w:fldCharType="begin"/>
      </w:r>
      <w:r w:rsidR="000B4D17">
        <w:instrText xml:space="preserve"> REF _Ref121317667 \h </w:instrText>
      </w:r>
      <w:r w:rsidR="000B4D17">
        <w:fldChar w:fldCharType="separate"/>
      </w:r>
      <w:r w:rsidR="00402362">
        <w:t xml:space="preserve">Figure </w:t>
      </w:r>
      <w:r w:rsidR="00402362">
        <w:rPr>
          <w:noProof/>
        </w:rPr>
        <w:t>26</w:t>
      </w:r>
      <w:r w:rsidR="000B4D17">
        <w:fldChar w:fldCharType="end"/>
      </w:r>
      <w:r w:rsidR="009D673E" w:rsidRPr="002E55E8">
        <w:t>.</w:t>
      </w:r>
    </w:p>
    <w:p w14:paraId="43CC64A2" w14:textId="756D658E" w:rsidR="009E06B2" w:rsidRDefault="002540CB" w:rsidP="009E06B2">
      <w:pPr>
        <w:pStyle w:val="Caption"/>
      </w:pPr>
      <w:bookmarkStart w:id="160" w:name="_Ref121317667"/>
      <w:r>
        <w:lastRenderedPageBreak/>
        <w:t xml:space="preserve">Figure </w:t>
      </w:r>
      <w:r>
        <w:fldChar w:fldCharType="begin"/>
      </w:r>
      <w:r>
        <w:instrText xml:space="preserve"> SEQ Figure \* ARABIC </w:instrText>
      </w:r>
      <w:r>
        <w:fldChar w:fldCharType="separate"/>
      </w:r>
      <w:r w:rsidR="00402362">
        <w:rPr>
          <w:noProof/>
        </w:rPr>
        <w:t>26</w:t>
      </w:r>
      <w:r>
        <w:fldChar w:fldCharType="end"/>
      </w:r>
      <w:bookmarkEnd w:id="160"/>
      <w:r w:rsidR="009E06B2">
        <w:t xml:space="preserve"> | </w:t>
      </w:r>
      <w:r w:rsidR="00EB3155">
        <w:t>Mechanisms which support</w:t>
      </w:r>
      <w:r w:rsidR="005D512E">
        <w:t>ed</w:t>
      </w:r>
      <w:r w:rsidR="00EB3155">
        <w:t xml:space="preserve"> integration of The Way Back with clinical and </w:t>
      </w:r>
      <w:r w:rsidR="00377DE5">
        <w:t xml:space="preserve">psychosocial </w:t>
      </w:r>
      <w:r w:rsidR="00EB3155">
        <w:t>services</w:t>
      </w:r>
    </w:p>
    <w:p w14:paraId="7D4459E7" w14:textId="77777777" w:rsidR="006C5A96" w:rsidRDefault="00D3325A" w:rsidP="009E06B2">
      <w:r w:rsidRPr="00D3325A">
        <w:rPr>
          <w:noProof/>
        </w:rPr>
        <w:drawing>
          <wp:inline distT="0" distB="0" distL="0" distR="0" wp14:anchorId="19E1845D" wp14:editId="3FE8291A">
            <wp:extent cx="5670550" cy="2910205"/>
            <wp:effectExtent l="0" t="0" r="6350" b="4445"/>
            <wp:docPr id="18" name="Picture 18" descr="Figure 26 is a infographic on mechanisms which supported integration of The Way Back with clinical and psycho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26 is a infographic on mechanisms which supported integration of The Way Back with clinical and psychosocial service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70550" cy="2910205"/>
                    </a:xfrm>
                    <a:prstGeom prst="rect">
                      <a:avLst/>
                    </a:prstGeom>
                    <a:noFill/>
                    <a:ln>
                      <a:noFill/>
                    </a:ln>
                  </pic:spPr>
                </pic:pic>
              </a:graphicData>
            </a:graphic>
          </wp:inline>
        </w:drawing>
      </w:r>
    </w:p>
    <w:p w14:paraId="7000C474" w14:textId="69AA3E05" w:rsidR="00B56FE6" w:rsidRDefault="75CCB2E2" w:rsidP="00CB0C9C">
      <w:pPr>
        <w:pStyle w:val="Heading3"/>
      </w:pPr>
      <w:bookmarkStart w:id="161" w:name="_Hlk106099516"/>
      <w:r>
        <w:t xml:space="preserve">Funded hospital liaison officers and the use of both informal and at least one formal mechanism at a site </w:t>
      </w:r>
      <w:r w:rsidR="35FD4021">
        <w:t>enabled</w:t>
      </w:r>
      <w:r>
        <w:t xml:space="preserve"> better </w:t>
      </w:r>
      <w:r w:rsidR="008C69DB">
        <w:t xml:space="preserve">clinical </w:t>
      </w:r>
      <w:r>
        <w:t>integration.</w:t>
      </w:r>
      <w:r w:rsidR="10109C3D">
        <w:t xml:space="preserve"> </w:t>
      </w:r>
    </w:p>
    <w:p w14:paraId="687D8EFF" w14:textId="4517DDBB" w:rsidR="00B56FE6" w:rsidRDefault="0E0B2745" w:rsidP="00B56FE6">
      <w:bookmarkStart w:id="162" w:name="_Hlk110605197"/>
      <w:bookmarkEnd w:id="161"/>
      <w:r>
        <w:t xml:space="preserve">Sites </w:t>
      </w:r>
      <w:r w:rsidR="036CB10A">
        <w:t>that had a</w:t>
      </w:r>
      <w:r>
        <w:t xml:space="preserve"> funded hospital liaison officer and/or sites that establish</w:t>
      </w:r>
      <w:r w:rsidR="036CB10A">
        <w:t>ed</w:t>
      </w:r>
      <w:r>
        <w:t xml:space="preserve"> both informal and at least one formal </w:t>
      </w:r>
      <w:r w:rsidR="00896132">
        <w:t xml:space="preserve">clinical </w:t>
      </w:r>
      <w:r>
        <w:t xml:space="preserve">integration mechanism were more likely to report </w:t>
      </w:r>
      <w:r w:rsidR="0DE45252">
        <w:t xml:space="preserve">effective </w:t>
      </w:r>
      <w:r>
        <w:t>integration.</w:t>
      </w:r>
      <w:r w:rsidR="00B56FE6">
        <w:rPr>
          <w:rStyle w:val="FootnoteReference"/>
        </w:rPr>
        <w:footnoteReference w:id="143"/>
      </w:r>
      <w:r>
        <w:t xml:space="preserve"> </w:t>
      </w:r>
      <w:bookmarkEnd w:id="162"/>
      <w:r>
        <w:t>More specifically:</w:t>
      </w:r>
      <w:r w:rsidR="184665CA">
        <w:t xml:space="preserve"> </w:t>
      </w:r>
    </w:p>
    <w:p w14:paraId="33E3CC64" w14:textId="303CB7F8" w:rsidR="00B56FE6" w:rsidRPr="001A1D37" w:rsidRDefault="0C82F94B" w:rsidP="00B56FE6">
      <w:pPr>
        <w:pStyle w:val="Bullet"/>
      </w:pPr>
      <w:r w:rsidRPr="00A452B6">
        <w:rPr>
          <w:rStyle w:val="Strong"/>
        </w:rPr>
        <w:t>Sites that had a funded hospital liaison officer in referring service/s were more likely to report effective referral pathways</w:t>
      </w:r>
      <w:r w:rsidRPr="00461006">
        <w:rPr>
          <w:rStyle w:val="Strong"/>
        </w:rPr>
        <w:t>.</w:t>
      </w:r>
      <w:r w:rsidRPr="001A1D37">
        <w:t xml:space="preserve"> This included a higher likelihood of The Way Back receiving appropriate referrals and better understood referral processes. </w:t>
      </w:r>
      <w:r w:rsidR="1C97838D" w:rsidRPr="001A1D37">
        <w:t xml:space="preserve">In consultations, these </w:t>
      </w:r>
      <w:r w:rsidRPr="001A1D37">
        <w:t xml:space="preserve">sites also indicated this dedicated capacity for integration </w:t>
      </w:r>
      <w:r w:rsidR="1C97838D" w:rsidRPr="001A1D37">
        <w:t xml:space="preserve">allowed </w:t>
      </w:r>
      <w:r w:rsidRPr="001A1D37">
        <w:t xml:space="preserve">more time for better matching support coordinators to </w:t>
      </w:r>
      <w:r w:rsidR="36BD31E0" w:rsidRPr="001A1D37">
        <w:t>participants</w:t>
      </w:r>
      <w:r w:rsidRPr="001A1D37">
        <w:t xml:space="preserve">. </w:t>
      </w:r>
      <w:r w:rsidR="00211523" w:rsidRPr="001A1D37">
        <w:t>It is recommended that hospital liaison officer</w:t>
      </w:r>
      <w:r w:rsidR="00FB62ED" w:rsidRPr="001A1D37">
        <w:t>s</w:t>
      </w:r>
      <w:r w:rsidR="00072DD1" w:rsidRPr="001A1D37">
        <w:t xml:space="preserve"> </w:t>
      </w:r>
      <w:r w:rsidR="00FF157D" w:rsidRPr="001A1D37">
        <w:t xml:space="preserve">continue to be funded in the future </w:t>
      </w:r>
      <w:r w:rsidR="00072DD1" w:rsidRPr="001A1D37">
        <w:t>(see recommendatio</w:t>
      </w:r>
      <w:r w:rsidR="001A1D37" w:rsidRPr="001A1D37">
        <w:t>n 3</w:t>
      </w:r>
      <w:r w:rsidR="00072DD1" w:rsidRPr="001A1D37">
        <w:t>)</w:t>
      </w:r>
      <w:r w:rsidR="001A1D37" w:rsidRPr="001A1D37">
        <w:t>.</w:t>
      </w:r>
    </w:p>
    <w:p w14:paraId="4524E68E" w14:textId="5EDF74B8" w:rsidR="00B56FE6" w:rsidRDefault="0C82F94B" w:rsidP="00B56FE6">
      <w:pPr>
        <w:pStyle w:val="Bullet"/>
      </w:pPr>
      <w:r w:rsidRPr="00461006">
        <w:rPr>
          <w:rStyle w:val="Strong"/>
        </w:rPr>
        <w:t>Sites without a funded hospital liaison officer in referring health service</w:t>
      </w:r>
      <w:r w:rsidR="029CA3F1" w:rsidRPr="00461006">
        <w:rPr>
          <w:rStyle w:val="Strong"/>
        </w:rPr>
        <w:t>/</w:t>
      </w:r>
      <w:r w:rsidRPr="00461006">
        <w:rPr>
          <w:rStyle w:val="Strong"/>
        </w:rPr>
        <w:t>s were more likely to report ineffective referral pathways.</w:t>
      </w:r>
      <w:r>
        <w:t xml:space="preserve"> </w:t>
      </w:r>
      <w:r w:rsidR="1C97838D">
        <w:t xml:space="preserve">In consultations, these sites </w:t>
      </w:r>
      <w:r>
        <w:t xml:space="preserve">were more likely to report issues with referral pathways, such as confusing processes, lack of clarity about eligibility criteria (resulting in inappropriate referrals, sometimes not known until after a </w:t>
      </w:r>
      <w:r w:rsidR="36BD31E0">
        <w:t>participant</w:t>
      </w:r>
      <w:r>
        <w:t xml:space="preserve"> consents), and longer times to contact </w:t>
      </w:r>
      <w:r w:rsidR="36BD31E0">
        <w:t>participants</w:t>
      </w:r>
      <w:r>
        <w:t xml:space="preserve"> (as referrals take longer to be passed on to The Way Back). </w:t>
      </w:r>
    </w:p>
    <w:p w14:paraId="33ADA157" w14:textId="4E339754" w:rsidR="00B56FE6" w:rsidRDefault="0C82F94B" w:rsidP="00B56FE6">
      <w:pPr>
        <w:pStyle w:val="Bullet"/>
      </w:pPr>
      <w:r w:rsidRPr="00461006">
        <w:rPr>
          <w:rStyle w:val="Strong"/>
        </w:rPr>
        <w:t>Sites that reported both an informal working relationship with their referring health service/s and at least one formal coordination mechanism were more likely to report benefits of integration</w:t>
      </w:r>
      <w:r>
        <w:t xml:space="preserve">. For example, </w:t>
      </w:r>
      <w:r w:rsidR="1C97838D">
        <w:t xml:space="preserve">in interviews, some sites indicated that </w:t>
      </w:r>
      <w:r>
        <w:t>informal relationship</w:t>
      </w:r>
      <w:r w:rsidR="1C97838D">
        <w:t>s</w:t>
      </w:r>
      <w:r>
        <w:t xml:space="preserve">, plus co-location and a funded role reported greater dedicated capacity for coordination and agreements to share case notes (reducing the likelihood of </w:t>
      </w:r>
      <w:r w:rsidR="36BD31E0">
        <w:t>participant</w:t>
      </w:r>
      <w:r>
        <w:t xml:space="preserve">’s need to </w:t>
      </w:r>
      <w:r w:rsidR="7E6E6766">
        <w:t>‘</w:t>
      </w:r>
      <w:r>
        <w:t xml:space="preserve">repeat </w:t>
      </w:r>
      <w:r w:rsidR="7E6E6766">
        <w:t>their story’</w:t>
      </w:r>
      <w:r>
        <w:t xml:space="preserve">). Likewise, </w:t>
      </w:r>
      <w:r w:rsidR="178D25B4">
        <w:t xml:space="preserve">other sites </w:t>
      </w:r>
      <w:r>
        <w:t xml:space="preserve">with an informal relationship and formal monthly meetings between The Way Back and the Health Network reported strong working relationships and effective referral processes. </w:t>
      </w:r>
    </w:p>
    <w:p w14:paraId="27135296" w14:textId="1974A877" w:rsidR="00B56FE6" w:rsidRPr="00474C0C" w:rsidRDefault="3B3EC37F" w:rsidP="00B56FE6">
      <w:pPr>
        <w:pStyle w:val="Bullet"/>
      </w:pPr>
      <w:r w:rsidRPr="00461006">
        <w:rPr>
          <w:rStyle w:val="Strong"/>
        </w:rPr>
        <w:t>Sites that reported only an informal relationship between The Way Back and the referring health service/s were more likely to report issues with referrals.</w:t>
      </w:r>
      <w:r>
        <w:t xml:space="preserve"> </w:t>
      </w:r>
      <w:r w:rsidR="21B4A339">
        <w:t>In consultations, t</w:t>
      </w:r>
      <w:r>
        <w:t xml:space="preserve">hese sites indicated referral processes </w:t>
      </w:r>
      <w:r w:rsidR="21B4A339">
        <w:t>were</w:t>
      </w:r>
      <w:r>
        <w:t xml:space="preserve"> confusing and referrals </w:t>
      </w:r>
      <w:r w:rsidR="21B4A339">
        <w:t xml:space="preserve">were </w:t>
      </w:r>
      <w:r>
        <w:t>often delayed from the hospital to The Way Back. Evidence</w:t>
      </w:r>
      <w:r w:rsidR="00BE64FF">
        <w:t xml:space="preserve"> </w:t>
      </w:r>
      <w:r w:rsidR="00DF4440">
        <w:t>demonstrates this</w:t>
      </w:r>
      <w:r w:rsidR="21B4A339">
        <w:t xml:space="preserve">; </w:t>
      </w:r>
      <w:r>
        <w:t xml:space="preserve">without formal coordination processes, coordination and </w:t>
      </w:r>
      <w:r>
        <w:lastRenderedPageBreak/>
        <w:t xml:space="preserve">collaboration </w:t>
      </w:r>
      <w:r w:rsidR="21B4A339">
        <w:t xml:space="preserve">was </w:t>
      </w:r>
      <w:r>
        <w:t>often depending on proactive individuals</w:t>
      </w:r>
      <w:r w:rsidRPr="00293DD4">
        <w:t xml:space="preserve"> </w:t>
      </w:r>
      <w:r>
        <w:t>with a commitment to integration or individual relationships</w:t>
      </w:r>
      <w:r w:rsidRPr="00293DD4">
        <w:t>.</w:t>
      </w:r>
      <w:r w:rsidR="00B56FE6">
        <w:rPr>
          <w:rStyle w:val="FootnoteReference"/>
        </w:rPr>
        <w:footnoteReference w:id="144"/>
      </w:r>
    </w:p>
    <w:p w14:paraId="1B545F41" w14:textId="071E0637" w:rsidR="00842546" w:rsidRDefault="00842546" w:rsidP="00B56FE6">
      <w:bookmarkStart w:id="163" w:name="_Hlk106099528"/>
      <w:r>
        <w:t>Commonly cited benefits of greater</w:t>
      </w:r>
      <w:r w:rsidR="001E048F">
        <w:t xml:space="preserve"> clinic</w:t>
      </w:r>
      <w:r w:rsidR="002F67EC">
        <w:t>al</w:t>
      </w:r>
      <w:r>
        <w:t xml:space="preserve"> integration included stronger relationships between The Way Back and clinicians, more effective referral pathways, greater capacity to dedicate to collaboration, faster referral times and better matching of support coordinators to </w:t>
      </w:r>
      <w:r w:rsidR="002F6D7A">
        <w:t>participants</w:t>
      </w:r>
      <w:r>
        <w:t xml:space="preserve">. </w:t>
      </w:r>
    </w:p>
    <w:p w14:paraId="2B53FF03" w14:textId="135EC6A6" w:rsidR="00B56FE6" w:rsidRDefault="01743BC0" w:rsidP="00B56FE6">
      <w:r w:rsidRPr="00293DD4">
        <w:t>Regardless of the mechanism employed, a fundamental enabler of</w:t>
      </w:r>
      <w:r w:rsidR="001E048F">
        <w:t xml:space="preserve"> clinical</w:t>
      </w:r>
      <w:r w:rsidRPr="00293DD4">
        <w:t xml:space="preserve"> integration is</w:t>
      </w:r>
      <w:r w:rsidR="002F52A1">
        <w:t xml:space="preserve"> a dedicated liaison officer.</w:t>
      </w:r>
      <w:r w:rsidR="00B56FE6">
        <w:rPr>
          <w:rStyle w:val="FootnoteReference"/>
        </w:rPr>
        <w:footnoteReference w:id="145"/>
      </w:r>
      <w:r w:rsidR="00206B18">
        <w:t xml:space="preserve"> </w:t>
      </w:r>
      <w:r>
        <w:t xml:space="preserve">The positive benefits seen at sites that employ a dedicated hospital liaison officer reflect this evidence. </w:t>
      </w:r>
    </w:p>
    <w:bookmarkEnd w:id="163"/>
    <w:p w14:paraId="6EAC0F49" w14:textId="51E4EF8E" w:rsidR="008A395C" w:rsidRDefault="008A395C" w:rsidP="00CB0C9C">
      <w:pPr>
        <w:pStyle w:val="Heading3"/>
      </w:pPr>
      <w:r>
        <w:t xml:space="preserve">There </w:t>
      </w:r>
      <w:r w:rsidR="009E0E76">
        <w:t>was</w:t>
      </w:r>
      <w:r>
        <w:t xml:space="preserve"> limited data available</w:t>
      </w:r>
      <w:r w:rsidR="00797DC8">
        <w:t xml:space="preserve"> to</w:t>
      </w:r>
      <w:r>
        <w:t xml:space="preserve"> </w:t>
      </w:r>
      <w:r w:rsidR="00797DC8">
        <w:t xml:space="preserve">understand whether </w:t>
      </w:r>
      <w:r w:rsidR="00034B3B">
        <w:t>outcome</w:t>
      </w:r>
      <w:r w:rsidR="00D73229">
        <w:t xml:space="preserve"> measures </w:t>
      </w:r>
      <w:r w:rsidR="00BF3FF1">
        <w:t xml:space="preserve">and uptake rates </w:t>
      </w:r>
      <w:r w:rsidR="00D73229">
        <w:t xml:space="preserve">differed across sites </w:t>
      </w:r>
      <w:r w:rsidR="00D73229" w:rsidRPr="005F2536">
        <w:t>that</w:t>
      </w:r>
      <w:r w:rsidR="00D73229">
        <w:t xml:space="preserve"> were more integrated</w:t>
      </w:r>
      <w:r w:rsidR="00A54AC7">
        <w:t>.</w:t>
      </w:r>
    </w:p>
    <w:p w14:paraId="7B466C60" w14:textId="352DF479" w:rsidR="00421D8C" w:rsidRDefault="79E53048" w:rsidP="00421D8C">
      <w:pPr>
        <w:rPr>
          <w:lang w:eastAsia="en-AU"/>
        </w:rPr>
      </w:pPr>
      <w:r>
        <w:rPr>
          <w:lang w:eastAsia="en-AU"/>
        </w:rPr>
        <w:t xml:space="preserve">There </w:t>
      </w:r>
      <w:r w:rsidR="0447DA57">
        <w:rPr>
          <w:lang w:eastAsia="en-AU"/>
        </w:rPr>
        <w:t>was</w:t>
      </w:r>
      <w:r>
        <w:rPr>
          <w:lang w:eastAsia="en-AU"/>
        </w:rPr>
        <w:t xml:space="preserve"> limited outcomes data available in the PMHC MDS to </w:t>
      </w:r>
      <w:r w:rsidR="00590989">
        <w:rPr>
          <w:lang w:eastAsia="en-AU"/>
        </w:rPr>
        <w:t xml:space="preserve">compare differences in outcomes across </w:t>
      </w:r>
      <w:r w:rsidR="79959B04">
        <w:rPr>
          <w:lang w:eastAsia="en-AU"/>
        </w:rPr>
        <w:t>sites that</w:t>
      </w:r>
      <w:r w:rsidR="78F2A02A">
        <w:rPr>
          <w:lang w:eastAsia="en-AU"/>
        </w:rPr>
        <w:t xml:space="preserve"> </w:t>
      </w:r>
      <w:r w:rsidR="00590989">
        <w:rPr>
          <w:lang w:eastAsia="en-AU"/>
        </w:rPr>
        <w:t xml:space="preserve">were </w:t>
      </w:r>
      <w:proofErr w:type="gramStart"/>
      <w:r w:rsidR="78F2A02A">
        <w:rPr>
          <w:lang w:eastAsia="en-AU"/>
        </w:rPr>
        <w:t>more or less integrated</w:t>
      </w:r>
      <w:proofErr w:type="gramEnd"/>
      <w:r w:rsidR="79959B04">
        <w:rPr>
          <w:lang w:eastAsia="en-AU"/>
        </w:rPr>
        <w:t>.</w:t>
      </w:r>
      <w:r w:rsidR="78F2A02A">
        <w:rPr>
          <w:lang w:eastAsia="en-AU"/>
        </w:rPr>
        <w:t xml:space="preserve"> </w:t>
      </w:r>
      <w:r w:rsidR="00D1666B">
        <w:rPr>
          <w:lang w:eastAsia="en-AU"/>
        </w:rPr>
        <w:t xml:space="preserve">However, given that there was no significant difference in outcomes between sites overall </w:t>
      </w:r>
      <w:r w:rsidR="00D1666B" w:rsidRPr="00B23F04">
        <w:rPr>
          <w:lang w:eastAsia="en-AU"/>
        </w:rPr>
        <w:t xml:space="preserve">(See section </w:t>
      </w:r>
      <w:r w:rsidR="00D1666B">
        <w:rPr>
          <w:lang w:eastAsia="en-AU"/>
        </w:rPr>
        <w:fldChar w:fldCharType="begin"/>
      </w:r>
      <w:r w:rsidR="00D1666B">
        <w:rPr>
          <w:lang w:eastAsia="en-AU"/>
        </w:rPr>
        <w:instrText xml:space="preserve"> REF _Ref121314106 \n \h </w:instrText>
      </w:r>
      <w:r w:rsidR="00D1666B">
        <w:rPr>
          <w:lang w:eastAsia="en-AU"/>
        </w:rPr>
      </w:r>
      <w:r w:rsidR="00D1666B">
        <w:rPr>
          <w:lang w:eastAsia="en-AU"/>
        </w:rPr>
        <w:fldChar w:fldCharType="separate"/>
      </w:r>
      <w:r w:rsidR="00402362">
        <w:rPr>
          <w:lang w:eastAsia="en-AU"/>
        </w:rPr>
        <w:t>7.3</w:t>
      </w:r>
      <w:r w:rsidR="00D1666B">
        <w:rPr>
          <w:lang w:eastAsia="en-AU"/>
        </w:rPr>
        <w:fldChar w:fldCharType="end"/>
      </w:r>
      <w:r w:rsidR="00D1666B">
        <w:rPr>
          <w:lang w:eastAsia="en-AU"/>
        </w:rPr>
        <w:t xml:space="preserve">), </w:t>
      </w:r>
      <w:proofErr w:type="gramStart"/>
      <w:r w:rsidR="00D1666B">
        <w:rPr>
          <w:lang w:eastAsia="en-AU"/>
        </w:rPr>
        <w:t>i</w:t>
      </w:r>
      <w:r w:rsidR="772B7DA4">
        <w:rPr>
          <w:lang w:eastAsia="en-AU"/>
        </w:rPr>
        <w:t xml:space="preserve">t </w:t>
      </w:r>
      <w:r w:rsidR="00D1666B">
        <w:rPr>
          <w:lang w:eastAsia="en-AU"/>
        </w:rPr>
        <w:t>would appear that variability</w:t>
      </w:r>
      <w:proofErr w:type="gramEnd"/>
      <w:r w:rsidR="00D1666B">
        <w:rPr>
          <w:lang w:eastAsia="en-AU"/>
        </w:rPr>
        <w:t xml:space="preserve"> in degrees of integration across sites</w:t>
      </w:r>
      <w:r w:rsidR="772B7DA4">
        <w:rPr>
          <w:lang w:eastAsia="en-AU"/>
        </w:rPr>
        <w:t xml:space="preserve"> </w:t>
      </w:r>
      <w:r w:rsidR="002073C2">
        <w:rPr>
          <w:lang w:eastAsia="en-AU"/>
        </w:rPr>
        <w:t>was not associated with variation in outcomes across sites</w:t>
      </w:r>
      <w:r w:rsidR="002443FD">
        <w:rPr>
          <w:lang w:eastAsia="en-AU"/>
        </w:rPr>
        <w:t>.</w:t>
      </w:r>
    </w:p>
    <w:p w14:paraId="77C6ED8A" w14:textId="2182C44D" w:rsidR="0090615C" w:rsidRDefault="00742C51" w:rsidP="0090615C">
      <w:pPr>
        <w:rPr>
          <w:lang w:eastAsia="en-AU"/>
        </w:rPr>
      </w:pPr>
      <w:r>
        <w:rPr>
          <w:lang w:eastAsia="en-AU"/>
        </w:rPr>
        <w:t xml:space="preserve">There was </w:t>
      </w:r>
      <w:r w:rsidR="00191F60">
        <w:rPr>
          <w:lang w:eastAsia="en-AU"/>
        </w:rPr>
        <w:t xml:space="preserve">also </w:t>
      </w:r>
      <w:r>
        <w:rPr>
          <w:lang w:eastAsia="en-AU"/>
        </w:rPr>
        <w:t xml:space="preserve">insufficient data to draw a robust conclusion on whether integration was associated with uptake rates across sites. </w:t>
      </w:r>
      <w:r w:rsidR="00EF126F">
        <w:rPr>
          <w:lang w:eastAsia="en-AU"/>
        </w:rPr>
        <w:t>Assessment of deep dive sites using a service maturity matrix</w:t>
      </w:r>
      <w:r w:rsidR="002B0CB1">
        <w:rPr>
          <w:rStyle w:val="FootnoteReference"/>
          <w:lang w:eastAsia="en-AU"/>
        </w:rPr>
        <w:footnoteReference w:id="146"/>
      </w:r>
      <w:r w:rsidR="002B0CB1">
        <w:rPr>
          <w:lang w:eastAsia="en-AU"/>
        </w:rPr>
        <w:t xml:space="preserve"> </w:t>
      </w:r>
      <w:r w:rsidR="00EF126F">
        <w:rPr>
          <w:lang w:eastAsia="en-AU"/>
        </w:rPr>
        <w:t xml:space="preserve">was used to determine whether there was relationship between integration and </w:t>
      </w:r>
      <w:r w:rsidR="002B0CB1">
        <w:rPr>
          <w:lang w:eastAsia="en-AU"/>
        </w:rPr>
        <w:t>uptake</w:t>
      </w:r>
      <w:r w:rsidR="00EF126F">
        <w:rPr>
          <w:lang w:eastAsia="en-AU"/>
        </w:rPr>
        <w:t xml:space="preserve"> rates.</w:t>
      </w:r>
      <w:r w:rsidR="002B0CB1">
        <w:rPr>
          <w:rStyle w:val="FootnoteReference"/>
          <w:lang w:eastAsia="en-AU"/>
        </w:rPr>
        <w:footnoteReference w:id="147"/>
      </w:r>
      <w:r w:rsidR="00EF126F">
        <w:rPr>
          <w:lang w:eastAsia="en-AU"/>
        </w:rPr>
        <w:t xml:space="preserve"> The </w:t>
      </w:r>
      <w:r w:rsidR="002B0CB1">
        <w:rPr>
          <w:lang w:eastAsia="en-AU"/>
        </w:rPr>
        <w:t xml:space="preserve">analysis found </w:t>
      </w:r>
      <w:r w:rsidR="0090615C">
        <w:rPr>
          <w:lang w:eastAsia="en-AU"/>
        </w:rPr>
        <w:t xml:space="preserve">that confounding variables created difficulties </w:t>
      </w:r>
      <w:r w:rsidR="00681A46">
        <w:rPr>
          <w:lang w:eastAsia="en-AU"/>
        </w:rPr>
        <w:t xml:space="preserve">in </w:t>
      </w:r>
      <w:r w:rsidR="0090615C">
        <w:rPr>
          <w:lang w:eastAsia="en-AU"/>
        </w:rPr>
        <w:t xml:space="preserve">drawing any conclusions as: </w:t>
      </w:r>
    </w:p>
    <w:p w14:paraId="0D429904" w14:textId="4A26386D" w:rsidR="000A3FDB" w:rsidRDefault="6C8B4E31" w:rsidP="0090615C">
      <w:pPr>
        <w:pStyle w:val="Bullet"/>
      </w:pPr>
      <w:r>
        <w:t>Sites</w:t>
      </w:r>
      <w:r w:rsidR="5E48D0F4">
        <w:t xml:space="preserve"> with higher uptake rates also had a higher number of referrals</w:t>
      </w:r>
      <w:r w:rsidR="2315AB04">
        <w:t xml:space="preserve"> (</w:t>
      </w:r>
      <w:proofErr w:type="gramStart"/>
      <w:r w:rsidR="2315AB04">
        <w:t>i.e.</w:t>
      </w:r>
      <w:proofErr w:type="gramEnd"/>
      <w:r w:rsidR="2315AB04">
        <w:t xml:space="preserve"> uptake rates may be associated with service volumes).</w:t>
      </w:r>
      <w:r w:rsidR="00FD5288">
        <w:t xml:space="preserve"> </w:t>
      </w:r>
      <w:r w:rsidR="00757A35">
        <w:t xml:space="preserve">Section </w:t>
      </w:r>
      <w:r w:rsidR="00B50125">
        <w:fldChar w:fldCharType="begin"/>
      </w:r>
      <w:r w:rsidR="00B50125">
        <w:instrText xml:space="preserve"> REF _Ref121314128 \n \h </w:instrText>
      </w:r>
      <w:r w:rsidR="00B50125">
        <w:fldChar w:fldCharType="separate"/>
      </w:r>
      <w:r w:rsidR="00402362">
        <w:t>5.2</w:t>
      </w:r>
      <w:r w:rsidR="00B50125">
        <w:fldChar w:fldCharType="end"/>
      </w:r>
      <w:r w:rsidR="00B50125">
        <w:t xml:space="preserve"> </w:t>
      </w:r>
      <w:r w:rsidR="00353598">
        <w:t xml:space="preserve">outlines some </w:t>
      </w:r>
      <w:r w:rsidR="00C63235">
        <w:t>elements of integration</w:t>
      </w:r>
      <w:r w:rsidR="00D23585">
        <w:t xml:space="preserve"> that </w:t>
      </w:r>
      <w:r w:rsidR="00353598">
        <w:t xml:space="preserve">were associated with greater referral volumes including presence of a hospital liaison officer, co-location, and </w:t>
      </w:r>
      <w:r w:rsidR="00C63235">
        <w:t>collaboration</w:t>
      </w:r>
      <w:r w:rsidR="00D23585">
        <w:t xml:space="preserve"> agreements. However</w:t>
      </w:r>
      <w:r w:rsidR="00D11F59">
        <w:t>,</w:t>
      </w:r>
      <w:r w:rsidR="00D23585">
        <w:t xml:space="preserve"> this cannot be directly attributed to uptake rates, as there </w:t>
      </w:r>
      <w:r w:rsidR="00D11F59">
        <w:t>was</w:t>
      </w:r>
      <w:r w:rsidR="00D23585">
        <w:t xml:space="preserve"> limited </w:t>
      </w:r>
      <w:r w:rsidR="00EC26E3">
        <w:t xml:space="preserve">data available to the evaluation </w:t>
      </w:r>
      <w:r w:rsidR="00D11F59">
        <w:t xml:space="preserve">to understand which sites were </w:t>
      </w:r>
      <w:r w:rsidR="00C63235">
        <w:t xml:space="preserve">more </w:t>
      </w:r>
      <w:r w:rsidR="00D11F59">
        <w:t xml:space="preserve">integrated and how this influenced uptake rates in their region. </w:t>
      </w:r>
    </w:p>
    <w:p w14:paraId="73D7414C" w14:textId="699F5021" w:rsidR="00F235D3" w:rsidRDefault="7175F6AD" w:rsidP="000A3FDB">
      <w:pPr>
        <w:pStyle w:val="Bullet"/>
      </w:pPr>
      <w:r>
        <w:t xml:space="preserve">Site maturity </w:t>
      </w:r>
      <w:r w:rsidR="60711F93">
        <w:t xml:space="preserve">is measured across multiple domains </w:t>
      </w:r>
      <w:r w:rsidR="7A072D45">
        <w:t>that are broader than</w:t>
      </w:r>
      <w:r w:rsidR="61CCE335">
        <w:t xml:space="preserve"> measures of</w:t>
      </w:r>
      <w:r w:rsidR="7A072D45">
        <w:t xml:space="preserve"> integration</w:t>
      </w:r>
      <w:r w:rsidR="00743D61">
        <w:t xml:space="preserve"> such as</w:t>
      </w:r>
      <w:r w:rsidR="006D4831">
        <w:t xml:space="preserve"> operational </w:t>
      </w:r>
      <w:r w:rsidR="00736F24">
        <w:t>status, data collection, and service outputs (</w:t>
      </w:r>
      <w:proofErr w:type="gramStart"/>
      <w:r w:rsidR="00736F24">
        <w:t>i.e.</w:t>
      </w:r>
      <w:proofErr w:type="gramEnd"/>
      <w:r w:rsidR="00736F24">
        <w:t xml:space="preserve"> </w:t>
      </w:r>
      <w:r w:rsidR="007A6633">
        <w:t>development</w:t>
      </w:r>
      <w:r w:rsidR="00736F24">
        <w:t xml:space="preserve"> of a safety and support plan)</w:t>
      </w:r>
      <w:r w:rsidR="007A6633">
        <w:t>.</w:t>
      </w:r>
    </w:p>
    <w:p w14:paraId="3AB53327" w14:textId="0C0A38C2" w:rsidR="0093662B" w:rsidRDefault="0093662B" w:rsidP="0093662B">
      <w:pPr>
        <w:pStyle w:val="Heading2"/>
      </w:pPr>
      <w:bookmarkStart w:id="164" w:name="_Ref118127577"/>
      <w:bookmarkStart w:id="165" w:name="_Ref118127890"/>
      <w:bookmarkStart w:id="166" w:name="_Toc121320698"/>
      <w:r>
        <w:t>Effectiveness of service enablers</w:t>
      </w:r>
      <w:bookmarkEnd w:id="164"/>
      <w:bookmarkEnd w:id="165"/>
      <w:bookmarkEnd w:id="166"/>
      <w:r>
        <w:t xml:space="preserve"> </w:t>
      </w:r>
    </w:p>
    <w:p w14:paraId="65FAB548" w14:textId="016A8119" w:rsidR="004A5613" w:rsidRDefault="004A5613" w:rsidP="004A5613">
      <w:r>
        <w:t xml:space="preserve">As outlined in Section </w:t>
      </w:r>
      <w:bookmarkStart w:id="167" w:name="_Hlt122532793"/>
      <w:r>
        <w:fldChar w:fldCharType="begin"/>
      </w:r>
      <w:r>
        <w:instrText xml:space="preserve"> REF _Ref118278848 \r \h </w:instrText>
      </w:r>
      <w:r>
        <w:fldChar w:fldCharType="separate"/>
      </w:r>
      <w:r w:rsidR="00402362">
        <w:t>4</w:t>
      </w:r>
      <w:r>
        <w:fldChar w:fldCharType="end"/>
      </w:r>
      <w:bookmarkEnd w:id="167"/>
      <w:r>
        <w:t xml:space="preserve"> the evaluation identified </w:t>
      </w:r>
      <w:r w:rsidR="007B0087">
        <w:rPr>
          <w:lang w:eastAsia="en-AU"/>
        </w:rPr>
        <w:t>four key</w:t>
      </w:r>
      <w:r w:rsidR="007B0087" w:rsidRPr="5F0B1C35">
        <w:rPr>
          <w:lang w:eastAsia="en-AU"/>
        </w:rPr>
        <w:t xml:space="preserve"> enablers </w:t>
      </w:r>
      <w:r>
        <w:t>to deliver The Way Back.</w:t>
      </w:r>
      <w:r w:rsidR="000D43A1">
        <w:t xml:space="preserve"> These were: governance </w:t>
      </w:r>
      <w:r w:rsidR="00AE050B">
        <w:t>funding</w:t>
      </w:r>
      <w:r w:rsidR="000D43A1">
        <w:t>; partnerships and engagement; workforce; and monitoring and continuous improvement.</w:t>
      </w:r>
      <w:r>
        <w:t xml:space="preserve"> This section provides a detailed overview of these enablers and their effectiveness in delivering The Way Back. </w:t>
      </w:r>
    </w:p>
    <w:p w14:paraId="4563406C" w14:textId="14EDCCB8" w:rsidR="00935D12" w:rsidRDefault="00935D12" w:rsidP="000D0652">
      <w:pPr>
        <w:pStyle w:val="Heading3"/>
      </w:pPr>
      <w:r>
        <w:t>Governance and funding</w:t>
      </w:r>
    </w:p>
    <w:p w14:paraId="3162DB67" w14:textId="22D3FB98" w:rsidR="000D43A1" w:rsidRPr="008C7991" w:rsidRDefault="000D43A1" w:rsidP="00615768">
      <w:pPr>
        <w:pStyle w:val="Heading4"/>
      </w:pPr>
      <w:r>
        <w:t xml:space="preserve">The Australian, </w:t>
      </w:r>
      <w:r w:rsidR="00A86EEA">
        <w:t>s</w:t>
      </w:r>
      <w:r>
        <w:t xml:space="preserve">tate and </w:t>
      </w:r>
      <w:r w:rsidR="00A86EEA">
        <w:t>t</w:t>
      </w:r>
      <w:r>
        <w:t xml:space="preserve">erritory </w:t>
      </w:r>
      <w:r w:rsidR="00A86EEA">
        <w:t>g</w:t>
      </w:r>
      <w:r>
        <w:t>overnments and Beyond Blue governed and funded The Way Back.</w:t>
      </w:r>
    </w:p>
    <w:p w14:paraId="4F6EC2EA" w14:textId="36B00649" w:rsidR="000D43A1" w:rsidRDefault="000D43A1" w:rsidP="000D43A1">
      <w:r>
        <w:t>The Way Back governance reflected the complex funding arrangements, and complex policy and operational arrangements for the establishment and operation of The Way Back (</w:t>
      </w:r>
      <w:r w:rsidRPr="00F37B71">
        <w:t xml:space="preserve">see section </w:t>
      </w:r>
      <w:bookmarkStart w:id="168" w:name="_Hlt122532818"/>
      <w:r w:rsidRPr="00F37B71">
        <w:fldChar w:fldCharType="begin"/>
      </w:r>
      <w:r w:rsidRPr="00F37B71">
        <w:instrText xml:space="preserve"> REF _Ref118280057 \n \h </w:instrText>
      </w:r>
      <w:r>
        <w:instrText xml:space="preserve"> \* MERGEFORMAT </w:instrText>
      </w:r>
      <w:r w:rsidRPr="00F37B71">
        <w:fldChar w:fldCharType="separate"/>
      </w:r>
      <w:r w:rsidR="00402362">
        <w:t>4</w:t>
      </w:r>
      <w:r w:rsidRPr="00F37B71">
        <w:fldChar w:fldCharType="end"/>
      </w:r>
      <w:bookmarkEnd w:id="168"/>
      <w:r w:rsidRPr="00F37B71">
        <w:t>).</w:t>
      </w:r>
      <w:r>
        <w:t xml:space="preserve"> The governance arrangements aimed to ensure that stakeholders were accountable for commissioning and delivering The Way Back in line with the service model and the implementation and procurement guide.</w:t>
      </w:r>
      <w:r w:rsidR="007C288F">
        <w:t xml:space="preserve"> </w:t>
      </w:r>
      <w:r w:rsidR="007F6E4F">
        <w:fldChar w:fldCharType="begin"/>
      </w:r>
      <w:r w:rsidR="007F6E4F">
        <w:instrText xml:space="preserve"> REF _Ref121316924 \h </w:instrText>
      </w:r>
      <w:r w:rsidR="007F6E4F">
        <w:fldChar w:fldCharType="separate"/>
      </w:r>
      <w:r w:rsidR="00402362">
        <w:t xml:space="preserve">Figure </w:t>
      </w:r>
      <w:r w:rsidR="00402362">
        <w:rPr>
          <w:noProof/>
        </w:rPr>
        <w:t>27</w:t>
      </w:r>
      <w:r w:rsidR="007F6E4F">
        <w:fldChar w:fldCharType="end"/>
      </w:r>
      <w:r w:rsidR="007F6E4F">
        <w:t xml:space="preserve"> </w:t>
      </w:r>
      <w:r>
        <w:t>summarises the governance arrangements and accountabilities.</w:t>
      </w:r>
    </w:p>
    <w:p w14:paraId="42EC69CB" w14:textId="427BB37C" w:rsidR="000D43A1" w:rsidRDefault="002358AD" w:rsidP="000D43A1">
      <w:pPr>
        <w:pStyle w:val="Caption"/>
      </w:pPr>
      <w:bookmarkStart w:id="169" w:name="_Ref122533269"/>
      <w:bookmarkStart w:id="170" w:name="_Ref121316924"/>
      <w:bookmarkStart w:id="171" w:name="_Ref121317853"/>
      <w:r>
        <w:lastRenderedPageBreak/>
        <w:t xml:space="preserve">Figure </w:t>
      </w:r>
      <w:bookmarkEnd w:id="169"/>
      <w:r>
        <w:fldChar w:fldCharType="begin"/>
      </w:r>
      <w:r>
        <w:instrText xml:space="preserve"> SEQ Figure \* ARABIC </w:instrText>
      </w:r>
      <w:r>
        <w:fldChar w:fldCharType="separate"/>
      </w:r>
      <w:r w:rsidR="00402362">
        <w:rPr>
          <w:noProof/>
        </w:rPr>
        <w:t>27</w:t>
      </w:r>
      <w:r>
        <w:fldChar w:fldCharType="end"/>
      </w:r>
      <w:bookmarkEnd w:id="170"/>
      <w:bookmarkEnd w:id="171"/>
      <w:r>
        <w:t xml:space="preserve"> </w:t>
      </w:r>
      <w:r w:rsidR="000D43A1" w:rsidRPr="00894383">
        <w:t xml:space="preserve">| The </w:t>
      </w:r>
      <w:r w:rsidR="00595EC4" w:rsidRPr="00894383">
        <w:t>W</w:t>
      </w:r>
      <w:r w:rsidR="00595EC4">
        <w:t>a</w:t>
      </w:r>
      <w:r w:rsidR="00595EC4" w:rsidRPr="00894383">
        <w:t>y</w:t>
      </w:r>
      <w:r w:rsidR="000D43A1" w:rsidRPr="00894383">
        <w:t xml:space="preserve"> Back governance arrangements and accountabilities</w:t>
      </w:r>
      <w:r w:rsidR="000D43A1">
        <w:rPr>
          <w:rStyle w:val="FootnoteReference"/>
        </w:rPr>
        <w:footnoteReference w:id="148"/>
      </w:r>
      <w:r w:rsidR="000D43A1">
        <w:t xml:space="preserve"> </w:t>
      </w:r>
    </w:p>
    <w:p w14:paraId="5660CF55" w14:textId="34A95DF8" w:rsidR="000D43A1" w:rsidRDefault="003F7141" w:rsidP="000D43A1">
      <w:r w:rsidRPr="003F7141">
        <w:rPr>
          <w:noProof/>
        </w:rPr>
        <w:drawing>
          <wp:inline distT="0" distB="0" distL="0" distR="0" wp14:anchorId="0F4F42A8" wp14:editId="540CA610">
            <wp:extent cx="5670550" cy="5224780"/>
            <wp:effectExtent l="0" t="0" r="6350" b="0"/>
            <wp:docPr id="482" name="Graphic 482" descr="Figure 27 is an infographic showing The Way Back governance arrangements an account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phic 482" descr="Figure 27 is an infographic showing The Way Back governance arrangements an accountabilities"/>
                    <pic:cNvPicPr/>
                  </pic:nvPicPr>
                  <pic:blipFill>
                    <a:blip r:embed="rId111">
                      <a:extLst>
                        <a:ext uri="{96DAC541-7B7A-43D3-8B79-37D633B846F1}">
                          <asvg:svgBlip xmlns:asvg="http://schemas.microsoft.com/office/drawing/2016/SVG/main" r:embed="rId112"/>
                        </a:ext>
                      </a:extLst>
                    </a:blip>
                    <a:stretch>
                      <a:fillRect/>
                    </a:stretch>
                  </pic:blipFill>
                  <pic:spPr>
                    <a:xfrm>
                      <a:off x="0" y="0"/>
                      <a:ext cx="5670550" cy="5224780"/>
                    </a:xfrm>
                    <a:prstGeom prst="rect">
                      <a:avLst/>
                    </a:prstGeom>
                  </pic:spPr>
                </pic:pic>
              </a:graphicData>
            </a:graphic>
          </wp:inline>
        </w:drawing>
      </w:r>
    </w:p>
    <w:p w14:paraId="3D283FCB" w14:textId="7A692278" w:rsidR="000D43A1" w:rsidRDefault="000D43A1" w:rsidP="000D43A1">
      <w:r>
        <w:t xml:space="preserve">The Way Back was jointly funded by the </w:t>
      </w:r>
      <w:r w:rsidR="00365844">
        <w:t>Australian Department of Health and Aged Care</w:t>
      </w:r>
      <w:r>
        <w:t xml:space="preserve">, </w:t>
      </w:r>
      <w:proofErr w:type="gramStart"/>
      <w:r w:rsidR="001966B3">
        <w:t>s</w:t>
      </w:r>
      <w:r>
        <w:t>tate</w:t>
      </w:r>
      <w:proofErr w:type="gramEnd"/>
      <w:r>
        <w:t xml:space="preserve"> and </w:t>
      </w:r>
      <w:r w:rsidR="001966B3">
        <w:t>t</w:t>
      </w:r>
      <w:r>
        <w:t xml:space="preserve">erritory </w:t>
      </w:r>
      <w:r w:rsidR="00D2215C">
        <w:t>g</w:t>
      </w:r>
      <w:r>
        <w:t xml:space="preserve">overnments, and Beyond Blue, with Beyond Blue also receiving $11.89m of funding from the </w:t>
      </w:r>
      <w:r w:rsidR="00365844">
        <w:t>Australian Department of Health and Aged Care</w:t>
      </w:r>
      <w:r>
        <w:t>. PHNs</w:t>
      </w:r>
      <w:r w:rsidDel="00005DBE">
        <w:t xml:space="preserve"> </w:t>
      </w:r>
      <w:r>
        <w:t xml:space="preserve">were the commissioner of The Way Back in their regions and hold service agreements with </w:t>
      </w:r>
      <w:r w:rsidR="00E50A38">
        <w:t>service providers</w:t>
      </w:r>
      <w:r>
        <w:t xml:space="preserve"> (and in few cases, hospitals) to deliver the service. </w:t>
      </w:r>
      <w:r w:rsidRPr="0094237E">
        <w:t xml:space="preserve">As of September 2021, approximately $82.3 million of funding </w:t>
      </w:r>
      <w:r>
        <w:t xml:space="preserve">was </w:t>
      </w:r>
      <w:r w:rsidRPr="0094237E">
        <w:t xml:space="preserve">budgeted for the delivery of The Way Back from 2018 to 2022. </w:t>
      </w:r>
      <w:r>
        <w:t>The funding arrangements are detailed</w:t>
      </w:r>
      <w:r w:rsidR="007F6E4F">
        <w:t xml:space="preserve"> in </w:t>
      </w:r>
      <w:r w:rsidR="007F6E4F">
        <w:fldChar w:fldCharType="begin"/>
      </w:r>
      <w:r w:rsidR="007F6E4F">
        <w:instrText xml:space="preserve"> REF _Ref122537168 \h </w:instrText>
      </w:r>
      <w:r w:rsidR="007F6E4F">
        <w:fldChar w:fldCharType="separate"/>
      </w:r>
      <w:r w:rsidR="00402362">
        <w:t xml:space="preserve">Figure </w:t>
      </w:r>
      <w:r w:rsidR="00402362">
        <w:rPr>
          <w:noProof/>
        </w:rPr>
        <w:t>28</w:t>
      </w:r>
      <w:r w:rsidR="007F6E4F">
        <w:fldChar w:fldCharType="end"/>
      </w:r>
      <w:r w:rsidR="007F6E4F">
        <w:t>.</w:t>
      </w:r>
      <w:r w:rsidR="00B52CE8">
        <w:rPr>
          <w:rStyle w:val="FootnoteReference"/>
        </w:rPr>
        <w:footnoteReference w:id="149"/>
      </w:r>
    </w:p>
    <w:p w14:paraId="1DA48B15" w14:textId="0D96E4B8" w:rsidR="00C532E7" w:rsidRDefault="000D43A1" w:rsidP="000D43A1">
      <w:pPr>
        <w:sectPr w:rsidR="00C532E7" w:rsidSect="00A117E4">
          <w:headerReference w:type="first" r:id="rId113"/>
          <w:footerReference w:type="first" r:id="rId114"/>
          <w:pgSz w:w="11907" w:h="16839" w:code="9"/>
          <w:pgMar w:top="1276" w:right="1418" w:bottom="1361" w:left="1559" w:header="720" w:footer="720" w:gutter="0"/>
          <w:cols w:space="720"/>
          <w:titlePg/>
          <w:docGrid w:linePitch="360"/>
        </w:sectPr>
      </w:pPr>
      <w:r w:rsidRPr="5F0B1C35">
        <w:rPr>
          <w:rFonts w:eastAsia="Segoe UI" w:cs="Segoe UI"/>
          <w:color w:val="000000" w:themeColor="text1"/>
          <w:szCs w:val="19"/>
        </w:rPr>
        <w:t xml:space="preserve">From July 2022, Beyond Blue </w:t>
      </w:r>
      <w:r w:rsidR="001A57E5">
        <w:rPr>
          <w:rFonts w:eastAsia="Segoe UI" w:cs="Segoe UI"/>
          <w:color w:val="000000" w:themeColor="text1"/>
          <w:szCs w:val="19"/>
        </w:rPr>
        <w:t>commenced the</w:t>
      </w:r>
      <w:r w:rsidR="001A57E5" w:rsidRPr="5F0B1C35">
        <w:rPr>
          <w:rFonts w:eastAsia="Segoe UI" w:cs="Segoe UI"/>
          <w:color w:val="000000" w:themeColor="text1"/>
          <w:szCs w:val="19"/>
        </w:rPr>
        <w:t xml:space="preserve"> </w:t>
      </w:r>
      <w:r w:rsidRPr="5F0B1C35">
        <w:rPr>
          <w:rFonts w:eastAsia="Segoe UI" w:cs="Segoe UI"/>
          <w:color w:val="000000" w:themeColor="text1"/>
          <w:szCs w:val="19"/>
        </w:rPr>
        <w:t xml:space="preserve">transition </w:t>
      </w:r>
      <w:r w:rsidR="00341137">
        <w:rPr>
          <w:rFonts w:eastAsia="Segoe UI" w:cs="Segoe UI"/>
          <w:color w:val="000000" w:themeColor="text1"/>
          <w:szCs w:val="19"/>
        </w:rPr>
        <w:t xml:space="preserve">of </w:t>
      </w:r>
      <w:r w:rsidRPr="5F0B1C35">
        <w:rPr>
          <w:rFonts w:eastAsia="Segoe UI" w:cs="Segoe UI"/>
          <w:color w:val="000000" w:themeColor="text1"/>
          <w:szCs w:val="19"/>
        </w:rPr>
        <w:t xml:space="preserve">The Way Back sites and infrastructure </w:t>
      </w:r>
      <w:r w:rsidR="000104BA">
        <w:rPr>
          <w:rFonts w:eastAsia="Segoe UI" w:cs="Segoe UI"/>
          <w:color w:val="000000" w:themeColor="text1"/>
          <w:szCs w:val="19"/>
        </w:rPr>
        <w:t xml:space="preserve">to the Australian Department of Health and Aged Care and states and territories. </w:t>
      </w:r>
      <w:r w:rsidR="00480FF9">
        <w:rPr>
          <w:rFonts w:eastAsia="Segoe UI" w:cs="Segoe UI"/>
          <w:color w:val="000000" w:themeColor="text1"/>
          <w:szCs w:val="19"/>
        </w:rPr>
        <w:t xml:space="preserve">The </w:t>
      </w:r>
      <w:r w:rsidR="00365844">
        <w:rPr>
          <w:rFonts w:eastAsia="Segoe UI" w:cs="Segoe UI"/>
          <w:color w:val="000000" w:themeColor="text1"/>
          <w:szCs w:val="19"/>
        </w:rPr>
        <w:t>Australian Department of Health and Aged Care</w:t>
      </w:r>
      <w:r w:rsidR="00480FF9">
        <w:rPr>
          <w:rFonts w:eastAsia="Segoe UI" w:cs="Segoe UI"/>
          <w:color w:val="000000" w:themeColor="text1"/>
          <w:szCs w:val="19"/>
        </w:rPr>
        <w:t xml:space="preserve"> has </w:t>
      </w:r>
      <w:r w:rsidR="00282F3E">
        <w:rPr>
          <w:rFonts w:eastAsia="Segoe UI" w:cs="Segoe UI"/>
          <w:color w:val="000000" w:themeColor="text1"/>
          <w:szCs w:val="19"/>
        </w:rPr>
        <w:t xml:space="preserve">allocated </w:t>
      </w:r>
      <w:r w:rsidR="006C2AD4">
        <w:rPr>
          <w:rFonts w:eastAsia="Segoe UI" w:cs="Segoe UI"/>
          <w:color w:val="000000" w:themeColor="text1"/>
          <w:szCs w:val="19"/>
        </w:rPr>
        <w:t>an additional $14 million</w:t>
      </w:r>
      <w:r w:rsidR="002804FE">
        <w:rPr>
          <w:rFonts w:eastAsia="Segoe UI" w:cs="Segoe UI"/>
          <w:color w:val="000000" w:themeColor="text1"/>
          <w:szCs w:val="19"/>
        </w:rPr>
        <w:t xml:space="preserve"> to Beyond Blue</w:t>
      </w:r>
      <w:r w:rsidR="006C2AD4">
        <w:rPr>
          <w:rFonts w:eastAsia="Segoe UI" w:cs="Segoe UI"/>
          <w:color w:val="000000" w:themeColor="text1"/>
          <w:szCs w:val="19"/>
        </w:rPr>
        <w:t xml:space="preserve"> to </w:t>
      </w:r>
      <w:r w:rsidR="00025D25">
        <w:rPr>
          <w:rFonts w:eastAsia="Segoe UI" w:cs="Segoe UI"/>
          <w:color w:val="000000" w:themeColor="text1"/>
          <w:szCs w:val="19"/>
        </w:rPr>
        <w:t>support the transition</w:t>
      </w:r>
      <w:r w:rsidR="00C14AA7">
        <w:rPr>
          <w:rFonts w:eastAsia="Segoe UI" w:cs="Segoe UI"/>
          <w:color w:val="000000" w:themeColor="text1"/>
          <w:szCs w:val="19"/>
        </w:rPr>
        <w:t xml:space="preserve"> from July 2022 to December 2023</w:t>
      </w:r>
      <w:r w:rsidR="000929D3">
        <w:rPr>
          <w:rFonts w:eastAsia="Segoe UI" w:cs="Segoe UI"/>
          <w:color w:val="000000" w:themeColor="text1"/>
          <w:szCs w:val="19"/>
        </w:rPr>
        <w:t>.</w:t>
      </w:r>
      <w:r w:rsidR="00025D25">
        <w:rPr>
          <w:rFonts w:eastAsia="Segoe UI" w:cs="Segoe UI"/>
          <w:color w:val="000000" w:themeColor="text1"/>
          <w:szCs w:val="19"/>
        </w:rPr>
        <w:t xml:space="preserve"> </w:t>
      </w:r>
      <w:r w:rsidR="00025D25">
        <w:t xml:space="preserve"> </w:t>
      </w:r>
    </w:p>
    <w:p w14:paraId="54F47AF5" w14:textId="5420A606" w:rsidR="00A45288" w:rsidRDefault="007F6E4F" w:rsidP="00A45288">
      <w:pPr>
        <w:pStyle w:val="Caption"/>
      </w:pPr>
      <w:bookmarkStart w:id="172" w:name="_Ref122537168"/>
      <w:r>
        <w:lastRenderedPageBreak/>
        <w:t xml:space="preserve">Figure </w:t>
      </w:r>
      <w:r>
        <w:fldChar w:fldCharType="begin"/>
      </w:r>
      <w:r>
        <w:instrText xml:space="preserve"> SEQ Figure \* ARABIC </w:instrText>
      </w:r>
      <w:r>
        <w:fldChar w:fldCharType="separate"/>
      </w:r>
      <w:r w:rsidR="00402362">
        <w:rPr>
          <w:noProof/>
        </w:rPr>
        <w:t>28</w:t>
      </w:r>
      <w:r>
        <w:fldChar w:fldCharType="end"/>
      </w:r>
      <w:bookmarkEnd w:id="172"/>
      <w:r>
        <w:t xml:space="preserve"> </w:t>
      </w:r>
      <w:r w:rsidR="00C532E7" w:rsidRPr="00FE5B4D">
        <w:t>| The</w:t>
      </w:r>
      <w:r w:rsidR="00C532E7" w:rsidRPr="00B40EB0">
        <w:t xml:space="preserve"> Way Back funding model</w:t>
      </w:r>
    </w:p>
    <w:p w14:paraId="5A0BEC2B" w14:textId="32C07AD2" w:rsidR="00451B14" w:rsidRPr="00451B14" w:rsidRDefault="00451B14" w:rsidP="00451B14">
      <w:pPr>
        <w:sectPr w:rsidR="00451B14" w:rsidRPr="00451B14" w:rsidSect="00894383">
          <w:pgSz w:w="16839" w:h="11907" w:orient="landscape" w:code="9"/>
          <w:pgMar w:top="1559" w:right="1276" w:bottom="1418" w:left="1361" w:header="720" w:footer="720" w:gutter="0"/>
          <w:cols w:space="720"/>
          <w:titlePg/>
          <w:docGrid w:linePitch="360"/>
        </w:sectPr>
      </w:pPr>
      <w:r w:rsidRPr="00451B14">
        <w:rPr>
          <w:noProof/>
        </w:rPr>
        <w:drawing>
          <wp:inline distT="0" distB="0" distL="0" distR="0" wp14:anchorId="1D34A062" wp14:editId="282A2093">
            <wp:extent cx="7913173" cy="5253487"/>
            <wp:effectExtent l="0" t="0" r="0" b="4445"/>
            <wp:docPr id="481" name="Graphic 481" descr="Figure 27 is an infographic showing The Way Back funding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Graphic 481" descr="Figure 27 is an infographic showing The Way Back funding model"/>
                    <pic:cNvPicPr/>
                  </pic:nvPicPr>
                  <pic:blipFill>
                    <a:blip r:embed="rId115">
                      <a:extLst>
                        <a:ext uri="{96DAC541-7B7A-43D3-8B79-37D633B846F1}">
                          <asvg:svgBlip xmlns:asvg="http://schemas.microsoft.com/office/drawing/2016/SVG/main" r:embed="rId116"/>
                        </a:ext>
                      </a:extLst>
                    </a:blip>
                    <a:stretch>
                      <a:fillRect/>
                    </a:stretch>
                  </pic:blipFill>
                  <pic:spPr>
                    <a:xfrm>
                      <a:off x="0" y="0"/>
                      <a:ext cx="7933192" cy="5266778"/>
                    </a:xfrm>
                    <a:prstGeom prst="rect">
                      <a:avLst/>
                    </a:prstGeom>
                  </pic:spPr>
                </pic:pic>
              </a:graphicData>
            </a:graphic>
          </wp:inline>
        </w:drawing>
      </w:r>
    </w:p>
    <w:p w14:paraId="2447E9BF" w14:textId="372BEC67" w:rsidR="00EB55DA" w:rsidRDefault="00503FB7" w:rsidP="00615768">
      <w:pPr>
        <w:pStyle w:val="Heading4"/>
      </w:pPr>
      <w:r w:rsidRPr="00C102E3">
        <w:lastRenderedPageBreak/>
        <w:t>Bilateral agreements</w:t>
      </w:r>
      <w:r w:rsidR="00EB55DA">
        <w:t xml:space="preserve"> intend</w:t>
      </w:r>
      <w:r w:rsidR="004348AE">
        <w:t>ed</w:t>
      </w:r>
      <w:r w:rsidR="00EB55DA">
        <w:t xml:space="preserve"> to</w:t>
      </w:r>
      <w:r w:rsidRPr="00C102E3">
        <w:t xml:space="preserve"> set out clear expectations; in practice there </w:t>
      </w:r>
      <w:r w:rsidR="001F3B94">
        <w:t>was</w:t>
      </w:r>
      <w:r w:rsidR="001F3B94" w:rsidRPr="00C102E3">
        <w:t xml:space="preserve"> </w:t>
      </w:r>
      <w:r w:rsidRPr="00C102E3">
        <w:t>significant confusion around lines of accountability</w:t>
      </w:r>
      <w:r w:rsidR="00BB292A">
        <w:t xml:space="preserve"> and funding </w:t>
      </w:r>
      <w:r w:rsidR="00E25B57">
        <w:t>uncertainty</w:t>
      </w:r>
      <w:r w:rsidRPr="00C102E3">
        <w:t xml:space="preserve">. </w:t>
      </w:r>
    </w:p>
    <w:p w14:paraId="51B38D59" w14:textId="3CD1A198" w:rsidR="00503FB7" w:rsidRDefault="00503FB7" w:rsidP="00EB55DA">
      <w:r w:rsidRPr="00D2362D">
        <w:t xml:space="preserve">Stakeholders including PHNs and providers </w:t>
      </w:r>
      <w:r w:rsidR="004348AE">
        <w:t>in consultations</w:t>
      </w:r>
      <w:r w:rsidRPr="00D2362D">
        <w:t xml:space="preserve"> reported that </w:t>
      </w:r>
      <w:r w:rsidR="005332D8">
        <w:t>governance</w:t>
      </w:r>
      <w:r w:rsidR="000770AE">
        <w:t xml:space="preserve"> and </w:t>
      </w:r>
      <w:r w:rsidRPr="00D2362D">
        <w:t xml:space="preserve">funding arrangements, particularly for PHNs, </w:t>
      </w:r>
      <w:r w:rsidR="001F3B94">
        <w:t xml:space="preserve">were </w:t>
      </w:r>
      <w:r w:rsidR="00C81AF7">
        <w:t xml:space="preserve">complex and </w:t>
      </w:r>
      <w:r w:rsidRPr="00D2362D">
        <w:t xml:space="preserve">could be simplified. </w:t>
      </w:r>
      <w:r w:rsidR="000A62F6">
        <w:t xml:space="preserve">The Productivity Commission’s Inquiry into Mental Health identified complex governance mechanisms across mental health services </w:t>
      </w:r>
      <w:r w:rsidR="002361E4" w:rsidRPr="00C81AF7">
        <w:t xml:space="preserve">inhibit </w:t>
      </w:r>
      <w:r w:rsidR="000A62F6">
        <w:t>clarity of roles</w:t>
      </w:r>
      <w:r w:rsidR="00721DCE">
        <w:t xml:space="preserve"> and </w:t>
      </w:r>
      <w:r w:rsidR="000A62F6">
        <w:t>accountabilit</w:t>
      </w:r>
      <w:r w:rsidR="00B8775C">
        <w:t>y</w:t>
      </w:r>
      <w:r w:rsidR="000A62F6">
        <w:t xml:space="preserve"> </w:t>
      </w:r>
      <w:r w:rsidR="00721DCE">
        <w:t>to deliver</w:t>
      </w:r>
      <w:r w:rsidR="000A62F6">
        <w:t xml:space="preserve"> outcomes.</w:t>
      </w:r>
      <w:r w:rsidR="000A62F6">
        <w:rPr>
          <w:rStyle w:val="FootnoteReference"/>
        </w:rPr>
        <w:footnoteReference w:id="150"/>
      </w:r>
      <w:r w:rsidR="000A62F6">
        <w:t xml:space="preserve"> </w:t>
      </w:r>
      <w:r>
        <w:t xml:space="preserve">Complicated </w:t>
      </w:r>
      <w:r w:rsidR="00BB37C3">
        <w:t xml:space="preserve">or unclear </w:t>
      </w:r>
      <w:r>
        <w:t xml:space="preserve">governance arrangements have meant there </w:t>
      </w:r>
      <w:r w:rsidR="001F3B94">
        <w:t>were</w:t>
      </w:r>
      <w:r>
        <w:t xml:space="preserve"> significant delays in the implementation of The Way Back in some states and</w:t>
      </w:r>
      <w:r w:rsidR="001F3B94">
        <w:t>/or</w:t>
      </w:r>
      <w:r>
        <w:t xml:space="preserve"> at </w:t>
      </w:r>
      <w:r w:rsidR="001F3B94">
        <w:t xml:space="preserve">some </w:t>
      </w:r>
      <w:r>
        <w:t xml:space="preserve">sites. </w:t>
      </w:r>
    </w:p>
    <w:p w14:paraId="704264F9" w14:textId="13E05B5D" w:rsidR="00503FB7" w:rsidRDefault="00B3888F" w:rsidP="005332D8">
      <w:r>
        <w:t>F</w:t>
      </w:r>
      <w:r w:rsidR="46F00635">
        <w:t>urther, f</w:t>
      </w:r>
      <w:r>
        <w:t xml:space="preserve">unding </w:t>
      </w:r>
      <w:r w:rsidR="0E8C76D2">
        <w:t xml:space="preserve">levels </w:t>
      </w:r>
      <w:r>
        <w:t>and uncertainty impacted providers</w:t>
      </w:r>
      <w:r w:rsidR="1C30D257">
        <w:t>’</w:t>
      </w:r>
      <w:r>
        <w:t xml:space="preserve"> ability to deliver the service, recruit and retain their workforce. Providers consistently reported that they would benefit from additional funding to expand their service in various ways (</w:t>
      </w:r>
      <w:r w:rsidR="00D76172">
        <w:t>for example</w:t>
      </w:r>
      <w:r>
        <w:t>, recruit additional support coordinators</w:t>
      </w:r>
      <w:r w:rsidR="1224CF44">
        <w:t xml:space="preserve"> or administrative staff, </w:t>
      </w:r>
      <w:r>
        <w:t xml:space="preserve">extend service delivery hours) </w:t>
      </w:r>
      <w:r w:rsidR="1224CF44">
        <w:t>to</w:t>
      </w:r>
      <w:r>
        <w:t xml:space="preserve"> better meet the demand</w:t>
      </w:r>
      <w:r w:rsidR="1224CF44">
        <w:t xml:space="preserve"> and maximise value of support coordinator time (</w:t>
      </w:r>
      <w:r w:rsidR="00D76172">
        <w:t>for example,</w:t>
      </w:r>
      <w:r w:rsidR="1224CF44">
        <w:t xml:space="preserve"> less time on administrative tasks)</w:t>
      </w:r>
      <w:r>
        <w:t xml:space="preserve">. Further, the uncertainty of funding </w:t>
      </w:r>
      <w:r w:rsidR="594355DA">
        <w:t xml:space="preserve">beyond </w:t>
      </w:r>
      <w:r>
        <w:t xml:space="preserve">July 2022 for the service created a significant challenge for services when accepting new </w:t>
      </w:r>
      <w:r w:rsidR="36BD31E0">
        <w:t>participants</w:t>
      </w:r>
      <w:r>
        <w:t xml:space="preserve"> where the period until July 2022 was less than the 12</w:t>
      </w:r>
      <w:r w:rsidR="00206B18">
        <w:t>-</w:t>
      </w:r>
      <w:r>
        <w:t xml:space="preserve">week service model. This meant services were unable to guarantee </w:t>
      </w:r>
      <w:r w:rsidR="36BD31E0">
        <w:t>participants</w:t>
      </w:r>
      <w:r>
        <w:t xml:space="preserve"> would have access to the full 12</w:t>
      </w:r>
      <w:r w:rsidR="00206B18">
        <w:t>-</w:t>
      </w:r>
      <w:r>
        <w:t xml:space="preserve">week service. </w:t>
      </w:r>
    </w:p>
    <w:p w14:paraId="0274929F" w14:textId="265A3009" w:rsidR="00B37BA3" w:rsidRDefault="597FC10E" w:rsidP="5F0B1C35">
      <w:r>
        <w:t xml:space="preserve">The evaluation identified that there is </w:t>
      </w:r>
      <w:r w:rsidR="26FBD047">
        <w:t>a</w:t>
      </w:r>
      <w:r w:rsidR="254ED140">
        <w:t xml:space="preserve"> need </w:t>
      </w:r>
      <w:r w:rsidR="40266667">
        <w:t>for The</w:t>
      </w:r>
      <w:r w:rsidR="00A14C5A">
        <w:t xml:space="preserve"> </w:t>
      </w:r>
      <w:r w:rsidR="00365844">
        <w:t>Australian Department of Health and Aged Care</w:t>
      </w:r>
      <w:r w:rsidR="40266667">
        <w:t xml:space="preserve">, </w:t>
      </w:r>
      <w:r w:rsidR="1DA19A0D">
        <w:t xml:space="preserve">and states and territories </w:t>
      </w:r>
      <w:r w:rsidR="40266667">
        <w:t xml:space="preserve">to </w:t>
      </w:r>
      <w:r w:rsidR="336A27A6">
        <w:t>simplify</w:t>
      </w:r>
      <w:r w:rsidR="40266667">
        <w:t xml:space="preserve">, clarify and provide </w:t>
      </w:r>
      <w:r w:rsidR="1DA19A0D">
        <w:t xml:space="preserve">certainty </w:t>
      </w:r>
      <w:r w:rsidR="49BA7CDA">
        <w:t>on funding for</w:t>
      </w:r>
      <w:r w:rsidR="336A27A6">
        <w:t xml:space="preserve"> </w:t>
      </w:r>
      <w:r w:rsidR="49BA7CDA">
        <w:t>The Way Back. Further</w:t>
      </w:r>
      <w:r w:rsidR="40266667">
        <w:t xml:space="preserve">, </w:t>
      </w:r>
      <w:r w:rsidR="46BDE4BD">
        <w:t xml:space="preserve">there is an opportunity to </w:t>
      </w:r>
      <w:r w:rsidR="49BA7CDA">
        <w:t xml:space="preserve">ensure accountabilities and responsibilities to deliver this service are clear. </w:t>
      </w:r>
      <w:r>
        <w:t xml:space="preserve">Section </w:t>
      </w:r>
      <w:r w:rsidR="008D393D">
        <w:fldChar w:fldCharType="begin"/>
      </w:r>
      <w:r w:rsidR="008D393D">
        <w:instrText xml:space="preserve"> REF _Ref118285879 \n \h </w:instrText>
      </w:r>
      <w:r w:rsidR="008D393D">
        <w:fldChar w:fldCharType="separate"/>
      </w:r>
      <w:r w:rsidR="00402362">
        <w:t>10.1</w:t>
      </w:r>
      <w:r w:rsidR="008D393D">
        <w:fldChar w:fldCharType="end"/>
      </w:r>
      <w:r>
        <w:t xml:space="preserve"> provides recommendations on this for future aftercare services (</w:t>
      </w:r>
      <w:r w:rsidR="2E8B293A">
        <w:t xml:space="preserve">recommendation </w:t>
      </w:r>
      <w:r w:rsidR="006F204D">
        <w:t>8</w:t>
      </w:r>
      <w:r w:rsidR="2E8B293A">
        <w:t xml:space="preserve">, </w:t>
      </w:r>
      <w:r w:rsidR="4DC9EE53">
        <w:t xml:space="preserve">recommendation </w:t>
      </w:r>
      <w:r w:rsidR="006F204D">
        <w:t>9</w:t>
      </w:r>
      <w:r w:rsidR="4DC9EE53">
        <w:t xml:space="preserve">, and recommendation </w:t>
      </w:r>
      <w:r w:rsidR="006F204D">
        <w:t>10</w:t>
      </w:r>
      <w:r>
        <w:t>),</w:t>
      </w:r>
      <w:r w:rsidR="00C23719">
        <w:t xml:space="preserve"> </w:t>
      </w:r>
    </w:p>
    <w:p w14:paraId="36CDC1A9" w14:textId="5E068380" w:rsidR="00935D12" w:rsidRPr="00367429" w:rsidRDefault="00935D12" w:rsidP="00FF5FA9">
      <w:pPr>
        <w:pStyle w:val="Heading3"/>
      </w:pPr>
      <w:r>
        <w:t>Partnerships and engagement</w:t>
      </w:r>
    </w:p>
    <w:p w14:paraId="5927AC1F" w14:textId="2C8489D4" w:rsidR="00C532E7" w:rsidRPr="002800E2" w:rsidRDefault="00C532E7" w:rsidP="00615768">
      <w:pPr>
        <w:pStyle w:val="Heading4"/>
      </w:pPr>
      <w:r w:rsidRPr="002800E2">
        <w:t xml:space="preserve">The Way Back was delivered through partnerships between </w:t>
      </w:r>
      <w:r w:rsidR="00A41E06" w:rsidRPr="002800E2">
        <w:t>g</w:t>
      </w:r>
      <w:r w:rsidRPr="002800E2">
        <w:t xml:space="preserve">overnments, PHNs, and providers. </w:t>
      </w:r>
    </w:p>
    <w:p w14:paraId="6202FE9F" w14:textId="6E782C03" w:rsidR="00C532E7" w:rsidRDefault="00C532E7" w:rsidP="00C532E7">
      <w:pPr>
        <w:pStyle w:val="Bullet"/>
        <w:numPr>
          <w:ilvl w:val="0"/>
          <w:numId w:val="0"/>
        </w:numPr>
      </w:pPr>
      <w:r>
        <w:t xml:space="preserve">Established partnerships between key stakeholders supported the governance arrangements and service delivery. As of December 2022, Beyond Blue partnered with 30 PHNs and seven and </w:t>
      </w:r>
      <w:r w:rsidR="00FC2BD7">
        <w:t>t</w:t>
      </w:r>
      <w:r>
        <w:t xml:space="preserve">erritory </w:t>
      </w:r>
      <w:r w:rsidR="00A41E06">
        <w:t>g</w:t>
      </w:r>
      <w:r>
        <w:t xml:space="preserve">overnments, together with hospitals and the </w:t>
      </w:r>
      <w:r w:rsidR="00672FC3">
        <w:t xml:space="preserve">Australian </w:t>
      </w:r>
      <w:r>
        <w:t>Department of Health</w:t>
      </w:r>
      <w:r w:rsidR="00C3674E">
        <w:t xml:space="preserve"> and Aged Care</w:t>
      </w:r>
      <w:r>
        <w:t xml:space="preserve">. These partnerships were central to the implementation and delivery of The Way Back. They enabled the service to deliver on its intended purpose by ensuring people who experienced suicide and/or suicidal crisis were connected and had access to timely and appropriate services. </w:t>
      </w:r>
    </w:p>
    <w:p w14:paraId="7A836832" w14:textId="2A1718A2" w:rsidR="00C532E7" w:rsidRPr="00FF5FA9" w:rsidRDefault="00C532E7" w:rsidP="00FF5FA9">
      <w:pPr>
        <w:pStyle w:val="Bullet"/>
        <w:numPr>
          <w:ilvl w:val="0"/>
          <w:numId w:val="0"/>
        </w:numPr>
        <w:rPr>
          <w:rStyle w:val="BulletChar"/>
          <w:b/>
        </w:rPr>
      </w:pPr>
      <w:r>
        <w:t xml:space="preserve">Further, partnerships between The Way Back, a psychosocial service, and clinical services were critical to ensure participants received continuity of care and longer-term support to address the whole person (including their psychosocial needs as well as clinical needs). </w:t>
      </w:r>
    </w:p>
    <w:p w14:paraId="477174EF" w14:textId="169E7859" w:rsidR="00104C97" w:rsidRPr="002800E2" w:rsidRDefault="00104C97" w:rsidP="00615768">
      <w:pPr>
        <w:pStyle w:val="Heading4"/>
      </w:pPr>
      <w:r w:rsidRPr="002800E2">
        <w:rPr>
          <w:rStyle w:val="BulletChar"/>
          <w:rFonts w:ascii="Segoe UI Semibold" w:eastAsiaTheme="minorHAnsi" w:hAnsi="Segoe UI Semibold"/>
          <w:sz w:val="22"/>
        </w:rPr>
        <w:t xml:space="preserve">Strong networks and partnerships with clinical and </w:t>
      </w:r>
      <w:r w:rsidR="00576FF2" w:rsidRPr="002800E2">
        <w:rPr>
          <w:rStyle w:val="BulletChar"/>
          <w:rFonts w:ascii="Segoe UI Semibold" w:eastAsiaTheme="minorHAnsi" w:hAnsi="Segoe UI Semibold"/>
          <w:sz w:val="22"/>
        </w:rPr>
        <w:t xml:space="preserve">psychosocial </w:t>
      </w:r>
      <w:r w:rsidRPr="002800E2">
        <w:rPr>
          <w:rStyle w:val="BulletChar"/>
          <w:rFonts w:ascii="Segoe UI Semibold" w:eastAsiaTheme="minorHAnsi" w:hAnsi="Segoe UI Semibold"/>
          <w:sz w:val="22"/>
        </w:rPr>
        <w:t>services help</w:t>
      </w:r>
      <w:r w:rsidR="00C532E7" w:rsidRPr="002800E2">
        <w:rPr>
          <w:rStyle w:val="BulletChar"/>
          <w:rFonts w:ascii="Segoe UI Semibold" w:eastAsiaTheme="minorHAnsi" w:hAnsi="Segoe UI Semibold"/>
          <w:sz w:val="22"/>
        </w:rPr>
        <w:t>ed</w:t>
      </w:r>
      <w:r w:rsidRPr="002800E2">
        <w:rPr>
          <w:rStyle w:val="BulletChar"/>
          <w:rFonts w:ascii="Segoe UI Semibold" w:eastAsiaTheme="minorHAnsi" w:hAnsi="Segoe UI Semibold"/>
          <w:sz w:val="22"/>
        </w:rPr>
        <w:t xml:space="preserve"> to deliver The Way Back</w:t>
      </w:r>
      <w:r w:rsidRPr="002800E2">
        <w:t xml:space="preserve">. </w:t>
      </w:r>
    </w:p>
    <w:p w14:paraId="36D9C965" w14:textId="1E090530" w:rsidR="2B3E6AEC" w:rsidRDefault="2B3E6AEC" w:rsidP="67C15D3C">
      <w:r>
        <w:t xml:space="preserve">Providers </w:t>
      </w:r>
      <w:r w:rsidR="1B8F3673">
        <w:t>i</w:t>
      </w:r>
      <w:r w:rsidR="1B8F3673" w:rsidRPr="67C15D3C">
        <w:rPr>
          <w:rStyle w:val="BulletChar"/>
          <w:rFonts w:eastAsiaTheme="minorEastAsia"/>
          <w:color w:val="000000" w:themeColor="text1"/>
          <w:sz w:val="20"/>
          <w:szCs w:val="20"/>
        </w:rPr>
        <w:t xml:space="preserve">n interviews </w:t>
      </w:r>
      <w:r>
        <w:t xml:space="preserve">reported having strong relationships with referring providers, clinical and </w:t>
      </w:r>
      <w:r w:rsidR="00576FF2">
        <w:t xml:space="preserve">psychosocial </w:t>
      </w:r>
      <w:r>
        <w:t xml:space="preserve">services, all of which </w:t>
      </w:r>
      <w:r w:rsidR="591DE0FC">
        <w:t xml:space="preserve">were </w:t>
      </w:r>
      <w:r>
        <w:t xml:space="preserve">critical to service delivery. </w:t>
      </w:r>
      <w:r w:rsidR="13923B02">
        <w:t>Providers with stronger relationships felt their better understood local need</w:t>
      </w:r>
      <w:r>
        <w:t>, however many providers noted they have limited partnerships with Aboriginal and Torres Strait Islander organisations, such as local ACCHOs</w:t>
      </w:r>
      <w:r w:rsidR="00576FF2">
        <w:t xml:space="preserve"> or AMSs</w:t>
      </w:r>
      <w:r>
        <w:t xml:space="preserve">. </w:t>
      </w:r>
      <w:r>
        <w:br/>
      </w:r>
      <w:r w:rsidR="2F035729">
        <w:t xml:space="preserve">The development and maintenance of strong referring outbound relationships </w:t>
      </w:r>
      <w:r w:rsidR="7E7D8300">
        <w:t xml:space="preserve">is </w:t>
      </w:r>
      <w:r w:rsidR="2F035729">
        <w:t xml:space="preserve">an important lesson that can be applied to aftercare and mental health services more broadly across Australia. The development of </w:t>
      </w:r>
      <w:r w:rsidR="2F035729">
        <w:lastRenderedPageBreak/>
        <w:t xml:space="preserve">these partnerships and relationships are critical to ensure participants </w:t>
      </w:r>
      <w:r w:rsidR="323D53FE">
        <w:t>have access to timely</w:t>
      </w:r>
      <w:r w:rsidR="00E76672">
        <w:t xml:space="preserve">, </w:t>
      </w:r>
      <w:proofErr w:type="gramStart"/>
      <w:r w:rsidR="00E76672">
        <w:t>continuous</w:t>
      </w:r>
      <w:proofErr w:type="gramEnd"/>
      <w:r w:rsidR="00E76672">
        <w:t xml:space="preserve"> and integrated </w:t>
      </w:r>
      <w:r w:rsidR="323D53FE">
        <w:t xml:space="preserve">support that meets their </w:t>
      </w:r>
      <w:r w:rsidR="00E76672">
        <w:t xml:space="preserve">individual </w:t>
      </w:r>
      <w:r w:rsidR="323D53FE">
        <w:t>needs</w:t>
      </w:r>
      <w:r w:rsidR="00E76672">
        <w:t>.</w:t>
      </w:r>
    </w:p>
    <w:p w14:paraId="541CBDF9" w14:textId="5197B12B" w:rsidR="00124788" w:rsidRDefault="00124788" w:rsidP="00C22DAD">
      <w:pPr>
        <w:pStyle w:val="Heading3"/>
      </w:pPr>
      <w:r>
        <w:t>Workforce</w:t>
      </w:r>
    </w:p>
    <w:p w14:paraId="2A623AAE" w14:textId="77777777" w:rsidR="00C532E7" w:rsidRPr="002800E2" w:rsidRDefault="00C532E7" w:rsidP="00615768">
      <w:pPr>
        <w:pStyle w:val="Heading4"/>
      </w:pPr>
      <w:r w:rsidRPr="002800E2">
        <w:t xml:space="preserve">Sites’ local context informed The Way Back’s workforce requirements. </w:t>
      </w:r>
    </w:p>
    <w:p w14:paraId="1571EB92" w14:textId="5C572CEE" w:rsidR="00C532E7" w:rsidRDefault="00C532E7" w:rsidP="00C532E7">
      <w:pPr>
        <w:rPr>
          <w:lang w:eastAsia="en-AU"/>
        </w:rPr>
      </w:pPr>
      <w:r>
        <w:t>The funded staff profiles at sites were</w:t>
      </w:r>
      <w:r w:rsidDel="00C435AC">
        <w:t xml:space="preserve"> </w:t>
      </w:r>
      <w:r>
        <w:t xml:space="preserve">determined through analysis and modelling of local contexts to identify the appropriate ‘funding category’. The funding category was determined by the location’s population catchment and five-year average death by intentional self-harm data. Higher population levels and higher average death by intentional self-harm represented a higher case load, and in turn, higher staff full time equivalent (FTE) funding allocation, compared to lower levels of these two indicators. </w:t>
      </w:r>
      <w:r w:rsidRPr="000D7C78">
        <w:t xml:space="preserve">Appendix </w:t>
      </w:r>
      <w:r w:rsidR="001A1D37">
        <w:t>C</w:t>
      </w:r>
      <w:r>
        <w:t xml:space="preserve"> provides further detail on the three funding categories. </w:t>
      </w:r>
    </w:p>
    <w:p w14:paraId="56C6673D" w14:textId="348B1EDE" w:rsidR="005038AA" w:rsidRDefault="00C532E7" w:rsidP="001A1D37">
      <w:r>
        <w:t>Regardless of the funding category, all sites received funding for three core roles: team leader, administration and/or data entry assistant, and support coordinators. All LHD/LHN/HHSs also received FTE funding for a hospital liaison role to link the LHD/LHN/HHSs with the provider and</w:t>
      </w:r>
      <w:r w:rsidDel="00C435AC">
        <w:t xml:space="preserve"> </w:t>
      </w:r>
      <w:r>
        <w:t xml:space="preserve">provide clinical risk management over referrals into the service. Some providers may also have additional roles in the service such as referral coordinator. </w:t>
      </w:r>
      <w:r w:rsidR="00EB2CEF">
        <w:t xml:space="preserve">The therapeutic alliance </w:t>
      </w:r>
      <w:r w:rsidR="00A452D7">
        <w:t xml:space="preserve">between support coordinators and participants </w:t>
      </w:r>
      <w:r w:rsidR="00B10432">
        <w:t>was</w:t>
      </w:r>
      <w:r w:rsidR="00330FBE" w:rsidRPr="00BE3398">
        <w:t xml:space="preserve"> fundamental to </w:t>
      </w:r>
      <w:r w:rsidR="00A452D7">
        <w:t>effective</w:t>
      </w:r>
      <w:r w:rsidR="00A452D7" w:rsidRPr="00BE3398">
        <w:t xml:space="preserve"> </w:t>
      </w:r>
      <w:r w:rsidR="00330FBE" w:rsidRPr="00BE3398">
        <w:t xml:space="preserve">delivery of </w:t>
      </w:r>
      <w:r w:rsidR="00A452D7">
        <w:t>The Way Back</w:t>
      </w:r>
      <w:r w:rsidR="00330FBE">
        <w:t xml:space="preserve">. </w:t>
      </w:r>
    </w:p>
    <w:p w14:paraId="7677F904" w14:textId="093706F3" w:rsidR="00330FBE" w:rsidRDefault="7F614F1C" w:rsidP="005332D8">
      <w:r>
        <w:t>Building the therapeutic alliance should continue to be a focus for support coordinators for future delivery of The Way Back</w:t>
      </w:r>
      <w:r w:rsidR="005E3D2D">
        <w:t xml:space="preserve"> and other aftercare services</w:t>
      </w:r>
      <w:r>
        <w:t xml:space="preserve">. </w:t>
      </w:r>
      <w:r w:rsidR="0240DDAE">
        <w:t xml:space="preserve">The </w:t>
      </w:r>
      <w:r w:rsidR="5BC41489">
        <w:t>therapeutic alliance (</w:t>
      </w:r>
      <w:proofErr w:type="gramStart"/>
      <w:r w:rsidR="5BC41489">
        <w:t>i.e.</w:t>
      </w:r>
      <w:proofErr w:type="gramEnd"/>
      <w:r w:rsidR="5BC41489">
        <w:t xml:space="preserve"> the </w:t>
      </w:r>
      <w:r w:rsidR="0240DDAE">
        <w:t>trust and connection between the participant</w:t>
      </w:r>
      <w:r w:rsidR="5C24E312" w:rsidDel="00FE6F0C">
        <w:t xml:space="preserve"> </w:t>
      </w:r>
      <w:r w:rsidR="0240DDAE">
        <w:t xml:space="preserve">and </w:t>
      </w:r>
      <w:r w:rsidR="5C24E312">
        <w:t>support coordinator</w:t>
      </w:r>
      <w:r w:rsidR="000B5CF6">
        <w:t>)</w:t>
      </w:r>
      <w:r w:rsidR="5C24E312">
        <w:t xml:space="preserve"> was identified as the primary mechanism of change which was fundamental for the service</w:t>
      </w:r>
      <w:r w:rsidR="5BC41489">
        <w:t xml:space="preserve"> (see section </w:t>
      </w:r>
      <w:r w:rsidR="003C0052">
        <w:fldChar w:fldCharType="begin"/>
      </w:r>
      <w:r w:rsidR="003C0052">
        <w:instrText xml:space="preserve"> REF _Ref118290603 \n \h </w:instrText>
      </w:r>
      <w:r w:rsidR="003C0052">
        <w:fldChar w:fldCharType="separate"/>
      </w:r>
      <w:r w:rsidR="00402362">
        <w:t>8.1</w:t>
      </w:r>
      <w:r w:rsidR="003C0052">
        <w:fldChar w:fldCharType="end"/>
      </w:r>
      <w:r w:rsidR="001A1D37">
        <w:t>)</w:t>
      </w:r>
      <w:r w:rsidR="5C24E312">
        <w:t xml:space="preserve">. </w:t>
      </w:r>
      <w:r w:rsidR="14629A63">
        <w:t>Participants</w:t>
      </w:r>
      <w:r w:rsidR="5C24E312">
        <w:t xml:space="preserve"> consistently reported the importance of this non-clinical relationship on outcomes. This evaluation finding </w:t>
      </w:r>
      <w:r w:rsidR="0D524421">
        <w:t xml:space="preserve">was </w:t>
      </w:r>
      <w:r w:rsidR="5C24E312">
        <w:t xml:space="preserve">consistent with the findings of other non-clinical </w:t>
      </w:r>
      <w:r w:rsidR="00763CA0">
        <w:t>proactive</w:t>
      </w:r>
      <w:r w:rsidR="5C24E312">
        <w:t xml:space="preserve"> aftercare programs which </w:t>
      </w:r>
      <w:r w:rsidR="6681EECD">
        <w:t>referenced</w:t>
      </w:r>
      <w:r w:rsidR="5C24E312">
        <w:t xml:space="preserve"> the support of a non-clinical support for persons experiencing suicidality and crisis.</w:t>
      </w:r>
      <w:r w:rsidR="00330FBE">
        <w:rPr>
          <w:rStyle w:val="FootnoteReference"/>
        </w:rPr>
        <w:footnoteReference w:id="151"/>
      </w:r>
      <w:r w:rsidR="5C24E312">
        <w:t xml:space="preserve"> </w:t>
      </w:r>
    </w:p>
    <w:p w14:paraId="2E60893A" w14:textId="226EF015" w:rsidR="00FF47F0" w:rsidRDefault="00F64A4A" w:rsidP="00615768">
      <w:pPr>
        <w:pStyle w:val="Heading4"/>
      </w:pPr>
      <w:r>
        <w:t xml:space="preserve">There are opportunities to </w:t>
      </w:r>
      <w:r w:rsidR="002860C7">
        <w:t xml:space="preserve">improve </w:t>
      </w:r>
      <w:r w:rsidR="00E91C3F">
        <w:t>The Way Back staff</w:t>
      </w:r>
      <w:r>
        <w:t xml:space="preserve"> </w:t>
      </w:r>
      <w:r w:rsidR="002860C7">
        <w:t>experience</w:t>
      </w:r>
      <w:r w:rsidR="00FA5F3B">
        <w:t>.</w:t>
      </w:r>
    </w:p>
    <w:p w14:paraId="21C2D6C5" w14:textId="420F8FF4" w:rsidR="002800E2" w:rsidRDefault="23F1C35E" w:rsidP="001544F1">
      <w:pPr>
        <w:rPr>
          <w:lang w:eastAsia="en-AU"/>
        </w:rPr>
      </w:pPr>
      <w:r w:rsidRPr="5F0B1C35">
        <w:rPr>
          <w:lang w:eastAsia="en-AU"/>
        </w:rPr>
        <w:t xml:space="preserve">Providers in consultations noted ongoing recruitment and retention </w:t>
      </w:r>
      <w:r w:rsidR="35CB7E57" w:rsidRPr="5F0B1C35">
        <w:rPr>
          <w:lang w:eastAsia="en-AU"/>
        </w:rPr>
        <w:t xml:space="preserve">challenges </w:t>
      </w:r>
      <w:r w:rsidRPr="5F0B1C35">
        <w:rPr>
          <w:lang w:eastAsia="en-AU"/>
        </w:rPr>
        <w:t>for a mental health and suicide prevention workforce.</w:t>
      </w:r>
      <w:r w:rsidR="5A3BB7B0">
        <w:t xml:space="preserve"> </w:t>
      </w:r>
      <w:r w:rsidR="3862A73D">
        <w:t>An</w:t>
      </w:r>
      <w:r w:rsidR="5A3BB7B0">
        <w:t xml:space="preserve"> inability to recruit and retain staff has meant some sites have less staff than required under the staffing model (outlined in Appendix </w:t>
      </w:r>
      <w:r w:rsidR="001A1D37">
        <w:t>C</w:t>
      </w:r>
      <w:r w:rsidR="5A3BB7B0">
        <w:t xml:space="preserve">) and as a </w:t>
      </w:r>
      <w:r w:rsidR="00E50A38">
        <w:t>result staff</w:t>
      </w:r>
      <w:r w:rsidR="005832AD">
        <w:t xml:space="preserve"> at those sites</w:t>
      </w:r>
      <w:r w:rsidR="5A3BB7B0">
        <w:t xml:space="preserve"> manage</w:t>
      </w:r>
      <w:r w:rsidR="00391E0F">
        <w:t>d</w:t>
      </w:r>
      <w:r w:rsidR="5A3BB7B0">
        <w:t xml:space="preserve"> higher than anticipated caseload</w:t>
      </w:r>
      <w:r w:rsidR="56567AF8">
        <w:t>s</w:t>
      </w:r>
      <w:r w:rsidR="3862A73D" w:rsidRPr="5F0B1C35">
        <w:rPr>
          <w:lang w:eastAsia="en-AU"/>
        </w:rPr>
        <w:t>.</w:t>
      </w:r>
      <w:r w:rsidR="007E21FD">
        <w:rPr>
          <w:lang w:eastAsia="en-AU"/>
        </w:rPr>
        <w:t xml:space="preserve"> </w:t>
      </w:r>
      <w:r w:rsidR="005E2184">
        <w:rPr>
          <w:lang w:eastAsia="en-AU"/>
        </w:rPr>
        <w:t xml:space="preserve">This challenge aligns with the broader workforce challenges that exist across the </w:t>
      </w:r>
      <w:r w:rsidR="007D63B4">
        <w:rPr>
          <w:lang w:eastAsia="en-AU"/>
        </w:rPr>
        <w:t xml:space="preserve">Australia’s </w:t>
      </w:r>
      <w:r w:rsidR="005E2184">
        <w:rPr>
          <w:lang w:eastAsia="en-AU"/>
        </w:rPr>
        <w:t xml:space="preserve">mental health system. Key drivers </w:t>
      </w:r>
      <w:r w:rsidR="001E3C1A">
        <w:rPr>
          <w:lang w:eastAsia="en-AU"/>
        </w:rPr>
        <w:t xml:space="preserve">of </w:t>
      </w:r>
      <w:r w:rsidR="007D63B4">
        <w:rPr>
          <w:lang w:eastAsia="en-AU"/>
        </w:rPr>
        <w:t xml:space="preserve">workforce </w:t>
      </w:r>
      <w:r w:rsidR="005B4B3A">
        <w:rPr>
          <w:lang w:eastAsia="en-AU"/>
        </w:rPr>
        <w:t>shortage</w:t>
      </w:r>
      <w:r w:rsidR="001E3C1A">
        <w:rPr>
          <w:lang w:eastAsia="en-AU"/>
        </w:rPr>
        <w:t xml:space="preserve">s </w:t>
      </w:r>
      <w:r w:rsidR="00875FE2">
        <w:rPr>
          <w:lang w:eastAsia="en-AU"/>
        </w:rPr>
        <w:t xml:space="preserve">relate to </w:t>
      </w:r>
      <w:r w:rsidR="0060124B">
        <w:rPr>
          <w:lang w:eastAsia="en-AU"/>
        </w:rPr>
        <w:t>staff being over-worked</w:t>
      </w:r>
      <w:r w:rsidR="001E3C1A">
        <w:rPr>
          <w:lang w:eastAsia="en-AU"/>
        </w:rPr>
        <w:t xml:space="preserve">, </w:t>
      </w:r>
      <w:r w:rsidR="0060124B">
        <w:rPr>
          <w:lang w:eastAsia="en-AU"/>
        </w:rPr>
        <w:t>under-supported</w:t>
      </w:r>
      <w:r w:rsidR="001E3C1A">
        <w:rPr>
          <w:lang w:eastAsia="en-AU"/>
        </w:rPr>
        <w:t>, burnout, and lack of professional development opportunities and career pathways.</w:t>
      </w:r>
      <w:r w:rsidR="00FB199F">
        <w:rPr>
          <w:rStyle w:val="FootnoteReference"/>
          <w:lang w:eastAsia="en-AU"/>
        </w:rPr>
        <w:footnoteReference w:id="152"/>
      </w:r>
    </w:p>
    <w:p w14:paraId="20240C10" w14:textId="061D012D" w:rsidR="00B57E4F" w:rsidRDefault="2CA1C551" w:rsidP="001544F1">
      <w:r>
        <w:t>Res</w:t>
      </w:r>
      <w:r w:rsidR="5646075F">
        <w:t xml:space="preserve">pondents to the provider survey </w:t>
      </w:r>
      <w:r w:rsidR="7EC94DC5">
        <w:t xml:space="preserve">(47 per cent or 44 responses) </w:t>
      </w:r>
      <w:r w:rsidR="5646075F">
        <w:t>highlighted</w:t>
      </w:r>
      <w:r>
        <w:t xml:space="preserve"> </w:t>
      </w:r>
      <w:r w:rsidR="3726795A">
        <w:t>that additional</w:t>
      </w:r>
      <w:r w:rsidR="7E50C1E2">
        <w:t xml:space="preserve"> </w:t>
      </w:r>
      <w:r w:rsidR="5646075F">
        <w:t xml:space="preserve">support </w:t>
      </w:r>
      <w:r w:rsidR="3726795A">
        <w:t xml:space="preserve">to manage a reasonable workload </w:t>
      </w:r>
      <w:r w:rsidR="7E50C1E2">
        <w:t xml:space="preserve">would help them better </w:t>
      </w:r>
      <w:r w:rsidR="16FC26CA">
        <w:t>deliver The Way Back</w:t>
      </w:r>
      <w:r w:rsidR="56567AF8">
        <w:t>.</w:t>
      </w:r>
      <w:r w:rsidR="00D312BF">
        <w:t xml:space="preserve"> </w:t>
      </w:r>
      <w:r w:rsidR="00D64199">
        <w:t>Additionally</w:t>
      </w:r>
      <w:r w:rsidR="00B57E4F">
        <w:t xml:space="preserve">, </w:t>
      </w:r>
      <w:r w:rsidR="00BF70C1">
        <w:t xml:space="preserve">respondents to the provider survey highlighted that the following supports would be most helpful to enable them to deliver </w:t>
      </w:r>
      <w:r w:rsidR="003C5AFF">
        <w:t>improved</w:t>
      </w:r>
      <w:r w:rsidR="00BF70C1">
        <w:t xml:space="preserve"> service to The Way Back participants:</w:t>
      </w:r>
    </w:p>
    <w:p w14:paraId="014EA424" w14:textId="13D25D3F" w:rsidR="00BF70C1" w:rsidRDefault="7D3384A2" w:rsidP="00BF70C1">
      <w:pPr>
        <w:pStyle w:val="Bullet"/>
      </w:pPr>
      <w:r>
        <w:t>Support from The Way Back manager or team leader (61 per cent or</w:t>
      </w:r>
      <w:r w:rsidR="541A0D28">
        <w:t xml:space="preserve"> 58</w:t>
      </w:r>
      <w:r>
        <w:t xml:space="preserve"> responses)</w:t>
      </w:r>
    </w:p>
    <w:p w14:paraId="28CE8949" w14:textId="029B8DFD" w:rsidR="0060018D" w:rsidRDefault="298F5BB9" w:rsidP="00BF70C1">
      <w:pPr>
        <w:pStyle w:val="Bullet"/>
      </w:pPr>
      <w:r>
        <w:t xml:space="preserve">A manageable caseload (57 per cent or </w:t>
      </w:r>
      <w:r w:rsidR="287C5193">
        <w:t>54</w:t>
      </w:r>
      <w:r>
        <w:t xml:space="preserve"> responses)</w:t>
      </w:r>
    </w:p>
    <w:p w14:paraId="7447E921" w14:textId="211807E7" w:rsidR="0060018D" w:rsidRDefault="298F5BB9" w:rsidP="00BF70C1">
      <w:pPr>
        <w:pStyle w:val="Bullet"/>
      </w:pPr>
      <w:r>
        <w:t xml:space="preserve">Specific training provided by The Way Back (56 per cent or </w:t>
      </w:r>
      <w:r w:rsidR="5C759998">
        <w:t>53</w:t>
      </w:r>
      <w:r>
        <w:t xml:space="preserve"> responses).</w:t>
      </w:r>
      <w:r w:rsidR="001544F1">
        <w:rPr>
          <w:rStyle w:val="FootnoteReference"/>
        </w:rPr>
        <w:footnoteReference w:id="153"/>
      </w:r>
    </w:p>
    <w:p w14:paraId="5C80FEB4" w14:textId="19C355E1" w:rsidR="00AA5DD4" w:rsidRDefault="001028FE" w:rsidP="00461ECB">
      <w:r w:rsidRPr="001028FE">
        <w:t xml:space="preserve">The evaluation identified several opportunities </w:t>
      </w:r>
      <w:r w:rsidR="00C600F4">
        <w:t xml:space="preserve">to </w:t>
      </w:r>
      <w:r w:rsidRPr="001028FE">
        <w:t xml:space="preserve">improve staff experience of delivering The Way Back.  This includes through the introduction of a capability framework, improving supports to better manage </w:t>
      </w:r>
      <w:r w:rsidRPr="001028FE">
        <w:lastRenderedPageBreak/>
        <w:t>vicarious trauma, and improving The Way Back’s current community of practice. These improvements are outlined in detail</w:t>
      </w:r>
      <w:r w:rsidR="00760879">
        <w:t xml:space="preserve"> in </w:t>
      </w:r>
      <w:r w:rsidRPr="001028FE">
        <w:t xml:space="preserve">section </w:t>
      </w:r>
      <w:r w:rsidR="003C0052">
        <w:fldChar w:fldCharType="begin"/>
      </w:r>
      <w:r w:rsidR="003C0052">
        <w:instrText xml:space="preserve"> REF _Ref118285879 \n \h </w:instrText>
      </w:r>
      <w:r w:rsidR="003C0052">
        <w:fldChar w:fldCharType="separate"/>
      </w:r>
      <w:r w:rsidR="00402362">
        <w:t>10.1</w:t>
      </w:r>
      <w:r w:rsidR="003C0052">
        <w:fldChar w:fldCharType="end"/>
      </w:r>
      <w:r w:rsidR="00760879">
        <w:t xml:space="preserve"> (</w:t>
      </w:r>
      <w:r w:rsidR="00744923">
        <w:t>r</w:t>
      </w:r>
      <w:r w:rsidR="00760879">
        <w:t xml:space="preserve">ecommendation </w:t>
      </w:r>
      <w:r w:rsidR="00744923">
        <w:t>1</w:t>
      </w:r>
      <w:r w:rsidR="006F204D">
        <w:t>1</w:t>
      </w:r>
      <w:r w:rsidR="00744923">
        <w:t>, recommendation 1</w:t>
      </w:r>
      <w:r w:rsidR="006F204D">
        <w:t>2</w:t>
      </w:r>
      <w:r w:rsidR="00744923">
        <w:t>, recommendation 1</w:t>
      </w:r>
      <w:r w:rsidR="006F204D">
        <w:t>3</w:t>
      </w:r>
      <w:r w:rsidR="00744923">
        <w:t>)</w:t>
      </w:r>
      <w:r w:rsidRPr="001028FE">
        <w:t xml:space="preserve">. </w:t>
      </w:r>
    </w:p>
    <w:p w14:paraId="00B2C600" w14:textId="46824230" w:rsidR="00124788" w:rsidRDefault="00124788" w:rsidP="00F62CFA">
      <w:pPr>
        <w:pStyle w:val="Heading3"/>
      </w:pPr>
      <w:r>
        <w:t>Monitoring and continuous improvement</w:t>
      </w:r>
    </w:p>
    <w:p w14:paraId="1DCB064C" w14:textId="3A885828" w:rsidR="00C532E7" w:rsidRDefault="00C532E7" w:rsidP="00CB0C9C">
      <w:pPr>
        <w:pStyle w:val="Heading4"/>
      </w:pPr>
      <w:r>
        <w:t xml:space="preserve">Monitoring and continuous improvement activities occurred at the national, state and territory, PHN and provider level. </w:t>
      </w:r>
    </w:p>
    <w:p w14:paraId="10BD5C51" w14:textId="6AB2AD6E" w:rsidR="00C532E7" w:rsidRDefault="00C532E7" w:rsidP="00C532E7">
      <w:r w:rsidRPr="008253AA">
        <w:t xml:space="preserve">There </w:t>
      </w:r>
      <w:r>
        <w:t>were</w:t>
      </w:r>
      <w:r w:rsidRPr="008253AA">
        <w:t xml:space="preserve"> several activities </w:t>
      </w:r>
      <w:r>
        <w:t>that</w:t>
      </w:r>
      <w:r w:rsidRPr="008253AA">
        <w:t xml:space="preserve"> contribute</w:t>
      </w:r>
      <w:r>
        <w:t>d</w:t>
      </w:r>
      <w:r w:rsidRPr="008253AA">
        <w:t xml:space="preserve"> to the monitoring and continuous improvement of The Way Back</w:t>
      </w:r>
      <w:r>
        <w:t>, outlined in</w:t>
      </w:r>
      <w:r w:rsidR="00B12AFF">
        <w:t xml:space="preserve"> </w:t>
      </w:r>
      <w:r w:rsidR="007F6E4F">
        <w:fldChar w:fldCharType="begin"/>
      </w:r>
      <w:r w:rsidR="007F6E4F">
        <w:instrText xml:space="preserve"> REF _Ref121318771 \h </w:instrText>
      </w:r>
      <w:r w:rsidR="007F6E4F">
        <w:fldChar w:fldCharType="separate"/>
      </w:r>
      <w:r w:rsidR="00402362" w:rsidRPr="006A6584">
        <w:t xml:space="preserve">Figure </w:t>
      </w:r>
      <w:r w:rsidR="00402362">
        <w:rPr>
          <w:noProof/>
        </w:rPr>
        <w:t>29</w:t>
      </w:r>
      <w:r w:rsidR="007F6E4F">
        <w:fldChar w:fldCharType="end"/>
      </w:r>
      <w:r w:rsidR="007F6E4F">
        <w:t>.</w:t>
      </w:r>
    </w:p>
    <w:p w14:paraId="7A56AB1A" w14:textId="31A2DE93" w:rsidR="00C532E7" w:rsidRDefault="00C532E7" w:rsidP="00C532E7">
      <w:pPr>
        <w:pStyle w:val="Caption"/>
        <w:rPr>
          <w:lang w:eastAsia="en-AU"/>
        </w:rPr>
      </w:pPr>
      <w:bookmarkStart w:id="173" w:name="_Ref121318771"/>
      <w:r w:rsidRPr="006A6584">
        <w:t xml:space="preserve">Figure </w:t>
      </w:r>
      <w:r w:rsidR="00A41E06" w:rsidRPr="006A6584">
        <w:fldChar w:fldCharType="begin"/>
      </w:r>
      <w:r w:rsidR="00A41E06" w:rsidRPr="006A6584">
        <w:instrText xml:space="preserve"> SEQ Figure \* ARABIC </w:instrText>
      </w:r>
      <w:r w:rsidR="00A41E06" w:rsidRPr="006A6584">
        <w:fldChar w:fldCharType="separate"/>
      </w:r>
      <w:r w:rsidR="00402362">
        <w:rPr>
          <w:noProof/>
        </w:rPr>
        <w:t>29</w:t>
      </w:r>
      <w:r w:rsidR="00A41E06" w:rsidRPr="006A6584">
        <w:fldChar w:fldCharType="end"/>
      </w:r>
      <w:bookmarkEnd w:id="173"/>
      <w:r w:rsidRPr="006A6584">
        <w:t xml:space="preserve"> | The Way Back continuous improvement activities</w:t>
      </w:r>
    </w:p>
    <w:p w14:paraId="0DAEBBAF" w14:textId="1C91C836" w:rsidR="00C532E7" w:rsidRPr="00CB0C9C" w:rsidRDefault="00C532E7" w:rsidP="00CB0C9C">
      <w:r>
        <w:rPr>
          <w:noProof/>
        </w:rPr>
        <w:drawing>
          <wp:inline distT="0" distB="0" distL="0" distR="0" wp14:anchorId="755C7B16" wp14:editId="54508CE3">
            <wp:extent cx="5670550" cy="3313430"/>
            <wp:effectExtent l="0" t="0" r="6350" b="1270"/>
            <wp:docPr id="6" name="Graphic 6" descr="Figure 29 is an infographic showing The Way Back continuous improvement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Figure 29 is an infographic showing The Way Back continuous improvement activities"/>
                    <pic:cNvPicPr/>
                  </pic:nvPicPr>
                  <pic:blipFill>
                    <a:blip r:embed="rId117">
                      <a:extLst>
                        <a:ext uri="{96DAC541-7B7A-43D3-8B79-37D633B846F1}">
                          <asvg:svgBlip xmlns:asvg="http://schemas.microsoft.com/office/drawing/2016/SVG/main" r:embed="rId118"/>
                        </a:ext>
                      </a:extLst>
                    </a:blip>
                    <a:stretch>
                      <a:fillRect/>
                    </a:stretch>
                  </pic:blipFill>
                  <pic:spPr>
                    <a:xfrm>
                      <a:off x="0" y="0"/>
                      <a:ext cx="5670550" cy="3313430"/>
                    </a:xfrm>
                    <a:prstGeom prst="rect">
                      <a:avLst/>
                    </a:prstGeom>
                  </pic:spPr>
                </pic:pic>
              </a:graphicData>
            </a:graphic>
          </wp:inline>
        </w:drawing>
      </w:r>
    </w:p>
    <w:p w14:paraId="5DFF083C" w14:textId="77777777" w:rsidR="00C532E7" w:rsidRPr="007C1377" w:rsidRDefault="00C532E7" w:rsidP="00C532E7">
      <w:pPr>
        <w:rPr>
          <w:lang w:eastAsia="en-AU"/>
        </w:rPr>
      </w:pPr>
      <w:r>
        <w:t>Service delivery and performance was measured against six Key Performance Indicators (KPIs).</w:t>
      </w:r>
      <w:r>
        <w:rPr>
          <w:rStyle w:val="FootnoteReference"/>
        </w:rPr>
        <w:footnoteReference w:id="154"/>
      </w:r>
      <w:r>
        <w:t xml:space="preserve"> These were informed by evidence of best practice in aftercare and were:</w:t>
      </w:r>
    </w:p>
    <w:p w14:paraId="1BEBD046" w14:textId="77777777" w:rsidR="00C532E7" w:rsidRDefault="00C532E7" w:rsidP="00B729F5">
      <w:pPr>
        <w:pStyle w:val="Listnumbered"/>
        <w:numPr>
          <w:ilvl w:val="0"/>
          <w:numId w:val="10"/>
        </w:numPr>
      </w:pPr>
      <w:r w:rsidRPr="002800E2">
        <w:rPr>
          <w:rStyle w:val="Strong"/>
        </w:rPr>
        <w:t>Initial contact with referred person.</w:t>
      </w:r>
      <w:r>
        <w:t xml:space="preserve"> </w:t>
      </w:r>
      <w:r w:rsidRPr="00A17822">
        <w:t xml:space="preserve">For </w:t>
      </w:r>
      <w:r>
        <w:t>referred persons</w:t>
      </w:r>
      <w:r w:rsidRPr="00A17822">
        <w:t xml:space="preserve"> who </w:t>
      </w:r>
      <w:r>
        <w:t>were</w:t>
      </w:r>
      <w:r w:rsidRPr="00A17822">
        <w:t xml:space="preserve"> confirmed as eligible for The Way Back</w:t>
      </w:r>
      <w:r>
        <w:t xml:space="preserve"> Support Service</w:t>
      </w:r>
      <w:r w:rsidRPr="00A17822">
        <w:t xml:space="preserve">, </w:t>
      </w:r>
      <w:r>
        <w:t>c</w:t>
      </w:r>
      <w:r w:rsidRPr="00A17822">
        <w:t>ontact</w:t>
      </w:r>
      <w:r w:rsidRPr="00A17822">
        <w:rPr>
          <w:rStyle w:val="FootnoteReference"/>
        </w:rPr>
        <w:footnoteReference w:id="155"/>
      </w:r>
      <w:r w:rsidRPr="00A17822">
        <w:t xml:space="preserve"> must be attempted with the </w:t>
      </w:r>
      <w:r>
        <w:t>referred person</w:t>
      </w:r>
      <w:r w:rsidRPr="00A17822">
        <w:t xml:space="preserve"> within one </w:t>
      </w:r>
      <w:r>
        <w:t>B</w:t>
      </w:r>
      <w:r w:rsidRPr="00A17822">
        <w:t xml:space="preserve">usiness </w:t>
      </w:r>
      <w:r>
        <w:t>D</w:t>
      </w:r>
      <w:r w:rsidRPr="00A17822">
        <w:t xml:space="preserve">ay of receipt of the referral by the </w:t>
      </w:r>
      <w:r>
        <w:t>provider</w:t>
      </w:r>
      <w:r w:rsidRPr="00A17822">
        <w:t>.</w:t>
      </w:r>
    </w:p>
    <w:p w14:paraId="40A1C52D" w14:textId="77777777" w:rsidR="00C532E7" w:rsidRDefault="00C532E7" w:rsidP="00B729F5">
      <w:pPr>
        <w:pStyle w:val="Listnumbered"/>
        <w:numPr>
          <w:ilvl w:val="0"/>
          <w:numId w:val="10"/>
        </w:numPr>
      </w:pPr>
      <w:r w:rsidRPr="002800E2">
        <w:rPr>
          <w:rStyle w:val="Strong"/>
        </w:rPr>
        <w:t>Correspondence with Primary Nominated Professional on entry to the service.</w:t>
      </w:r>
      <w:r>
        <w:t xml:space="preserve"> </w:t>
      </w:r>
      <w:r w:rsidRPr="009318CE">
        <w:rPr>
          <w:bCs/>
        </w:rPr>
        <w:t xml:space="preserve">For all </w:t>
      </w:r>
      <w:r>
        <w:rPr>
          <w:bCs/>
        </w:rPr>
        <w:t xml:space="preserve">participants </w:t>
      </w:r>
      <w:r w:rsidRPr="009318CE">
        <w:rPr>
          <w:bCs/>
        </w:rPr>
        <w:t xml:space="preserve">who provided consent for their Primary Nominated Professional to be notified, correspondence must be sent advising them of their </w:t>
      </w:r>
      <w:r>
        <w:rPr>
          <w:bCs/>
        </w:rPr>
        <w:t>participant</w:t>
      </w:r>
      <w:r w:rsidRPr="009318CE">
        <w:rPr>
          <w:bCs/>
        </w:rPr>
        <w:t xml:space="preserve">’s </w:t>
      </w:r>
      <w:r>
        <w:rPr>
          <w:bCs/>
        </w:rPr>
        <w:t>engagement with</w:t>
      </w:r>
      <w:r w:rsidRPr="009318CE">
        <w:rPr>
          <w:bCs/>
        </w:rPr>
        <w:t xml:space="preserve"> The Way Back within</w:t>
      </w:r>
      <w:r w:rsidRPr="009318CE">
        <w:rPr>
          <w:b/>
          <w:bCs/>
        </w:rPr>
        <w:t xml:space="preserve"> </w:t>
      </w:r>
      <w:r w:rsidRPr="009318CE">
        <w:rPr>
          <w:bCs/>
        </w:rPr>
        <w:t xml:space="preserve">three </w:t>
      </w:r>
      <w:r>
        <w:rPr>
          <w:bCs/>
        </w:rPr>
        <w:t>business days</w:t>
      </w:r>
      <w:r w:rsidRPr="009318CE">
        <w:rPr>
          <w:bCs/>
        </w:rPr>
        <w:t xml:space="preserve"> of consent being obtained.</w:t>
      </w:r>
    </w:p>
    <w:p w14:paraId="19162E96" w14:textId="5A1E1164" w:rsidR="00C532E7" w:rsidRDefault="00C532E7" w:rsidP="00B729F5">
      <w:pPr>
        <w:pStyle w:val="Listnumbered"/>
        <w:numPr>
          <w:ilvl w:val="0"/>
          <w:numId w:val="10"/>
        </w:numPr>
      </w:pPr>
      <w:r w:rsidRPr="002800E2">
        <w:rPr>
          <w:rStyle w:val="Strong"/>
        </w:rPr>
        <w:t>Correspondence with Primary Nominated Professional on exit from the service.</w:t>
      </w:r>
      <w:r>
        <w:t xml:space="preserve"> </w:t>
      </w:r>
      <w:r w:rsidRPr="00A17822">
        <w:t xml:space="preserve">For all </w:t>
      </w:r>
      <w:r>
        <w:t>participants who</w:t>
      </w:r>
      <w:r w:rsidRPr="00A17822">
        <w:t xml:space="preserve"> </w:t>
      </w:r>
      <w:r>
        <w:t>exited from the service (unplanned or planned) and who have nominated a Primary Nominated Professional</w:t>
      </w:r>
      <w:r w:rsidRPr="00A17822">
        <w:t xml:space="preserve">, correspondence must be sent by the </w:t>
      </w:r>
      <w:r w:rsidR="006A6584">
        <w:t>provider</w:t>
      </w:r>
      <w:r w:rsidRPr="00A17822">
        <w:t xml:space="preserve"> to their identified </w:t>
      </w:r>
      <w:r>
        <w:t>Primary Nominated Professional</w:t>
      </w:r>
      <w:r w:rsidRPr="00A17822">
        <w:t xml:space="preserve"> within three </w:t>
      </w:r>
      <w:r>
        <w:t>business days</w:t>
      </w:r>
      <w:r w:rsidRPr="00A17822">
        <w:t xml:space="preserve"> of the exit date.</w:t>
      </w:r>
    </w:p>
    <w:p w14:paraId="0305DECD" w14:textId="77777777" w:rsidR="00C532E7" w:rsidRDefault="00C532E7" w:rsidP="00B729F5">
      <w:pPr>
        <w:pStyle w:val="Listnumbered"/>
        <w:numPr>
          <w:ilvl w:val="0"/>
          <w:numId w:val="10"/>
        </w:numPr>
      </w:pPr>
      <w:r w:rsidRPr="002800E2">
        <w:rPr>
          <w:rStyle w:val="Strong"/>
        </w:rPr>
        <w:t>Safety plan update/development.</w:t>
      </w:r>
      <w:r>
        <w:t xml:space="preserve"> </w:t>
      </w:r>
      <w:r w:rsidRPr="00A17822">
        <w:t xml:space="preserve">Safety </w:t>
      </w:r>
      <w:r>
        <w:t>plans</w:t>
      </w:r>
      <w:r w:rsidRPr="00A17822">
        <w:t xml:space="preserve"> must be updated</w:t>
      </w:r>
      <w:r>
        <w:t xml:space="preserve"> or </w:t>
      </w:r>
      <w:r w:rsidRPr="00A17822">
        <w:t xml:space="preserve">developed </w:t>
      </w:r>
      <w:r>
        <w:t>preferably at</w:t>
      </w:r>
      <w:r w:rsidRPr="00A17822">
        <w:t xml:space="preserve"> the </w:t>
      </w:r>
      <w:r w:rsidRPr="002107E1">
        <w:t xml:space="preserve">initial </w:t>
      </w:r>
      <w:r>
        <w:t>contact</w:t>
      </w:r>
      <w:r w:rsidRPr="00A17822">
        <w:t xml:space="preserve"> with the </w:t>
      </w:r>
      <w:r>
        <w:t>participant</w:t>
      </w:r>
      <w:r w:rsidRPr="00A17822">
        <w:t xml:space="preserve"> and no later than the second </w:t>
      </w:r>
      <w:r>
        <w:t>contact</w:t>
      </w:r>
      <w:r w:rsidRPr="00A17822">
        <w:t>.</w:t>
      </w:r>
    </w:p>
    <w:p w14:paraId="13411BB1" w14:textId="77777777" w:rsidR="00C532E7" w:rsidRDefault="00C532E7" w:rsidP="00B729F5">
      <w:pPr>
        <w:pStyle w:val="Listnumbered"/>
        <w:numPr>
          <w:ilvl w:val="0"/>
          <w:numId w:val="10"/>
        </w:numPr>
      </w:pPr>
      <w:r w:rsidRPr="002800E2">
        <w:rPr>
          <w:rStyle w:val="Strong"/>
        </w:rPr>
        <w:lastRenderedPageBreak/>
        <w:t>Support plan development.</w:t>
      </w:r>
      <w:r>
        <w:t xml:space="preserve"> A support plan is to be developed within two weeks of consent to participate in the service.</w:t>
      </w:r>
    </w:p>
    <w:p w14:paraId="43D01824" w14:textId="6FBC1C0F" w:rsidR="00C532E7" w:rsidRPr="00104FB5" w:rsidRDefault="00C532E7" w:rsidP="00B729F5">
      <w:pPr>
        <w:pStyle w:val="Listnumbered"/>
        <w:numPr>
          <w:ilvl w:val="0"/>
          <w:numId w:val="10"/>
        </w:numPr>
      </w:pPr>
      <w:r w:rsidRPr="002800E2">
        <w:rPr>
          <w:rStyle w:val="Strong"/>
        </w:rPr>
        <w:t xml:space="preserve">Quarterly new participant episode target. </w:t>
      </w:r>
      <w:r>
        <w:t>Achieve</w:t>
      </w:r>
      <w:r w:rsidRPr="00A17822">
        <w:t xml:space="preserve"> </w:t>
      </w:r>
      <w:r>
        <w:t>100 per cent</w:t>
      </w:r>
      <w:r w:rsidRPr="00A17822">
        <w:t xml:space="preserve"> of the relevant </w:t>
      </w:r>
      <w:r>
        <w:t>quarterly new participant episode target per quarter</w:t>
      </w:r>
      <w:r w:rsidRPr="00A17822">
        <w:t>.</w:t>
      </w:r>
      <w:r w:rsidRPr="4D2F7A57">
        <w:rPr>
          <w:rStyle w:val="FootnoteReference"/>
        </w:rPr>
        <w:footnoteReference w:id="156"/>
      </w:r>
    </w:p>
    <w:p w14:paraId="213AE875" w14:textId="3D41368D" w:rsidR="00C532E7" w:rsidRDefault="00C532E7" w:rsidP="00C532E7">
      <w:pPr>
        <w:pStyle w:val="Listnumbered"/>
        <w:ind w:left="0" w:firstLine="0"/>
      </w:pPr>
      <w:r>
        <w:rPr>
          <w:lang w:eastAsia="en-AU"/>
        </w:rPr>
        <w:t xml:space="preserve">See </w:t>
      </w:r>
      <w:r w:rsidRPr="000D7C78">
        <w:rPr>
          <w:lang w:eastAsia="en-AU"/>
        </w:rPr>
        <w:t xml:space="preserve">Appendix </w:t>
      </w:r>
      <w:r w:rsidR="001A1D37">
        <w:rPr>
          <w:lang w:eastAsia="en-AU"/>
        </w:rPr>
        <w:t>C</w:t>
      </w:r>
      <w:r>
        <w:rPr>
          <w:lang w:eastAsia="en-AU"/>
        </w:rPr>
        <w:t xml:space="preserve"> for detail on KPI reporting and monitoring and continuous improvement. </w:t>
      </w:r>
    </w:p>
    <w:p w14:paraId="77FE3627" w14:textId="3967B3E3" w:rsidR="008230AB" w:rsidRPr="008230AB" w:rsidRDefault="2B97BCE7" w:rsidP="00CB0C9C">
      <w:pPr>
        <w:pStyle w:val="Heading4"/>
      </w:pPr>
      <w:r>
        <w:t>The Way Back provide</w:t>
      </w:r>
      <w:r w:rsidR="5BDE8953">
        <w:t>d</w:t>
      </w:r>
      <w:r>
        <w:t xml:space="preserve"> new aftercare </w:t>
      </w:r>
      <w:r w:rsidR="5EA7202D">
        <w:t>data but</w:t>
      </w:r>
      <w:r>
        <w:t xml:space="preserve"> </w:t>
      </w:r>
      <w:r w:rsidR="257CC4ED">
        <w:t>monitoring</w:t>
      </w:r>
      <w:r>
        <w:t xml:space="preserve"> and reporting processes are burdensome</w:t>
      </w:r>
      <w:r w:rsidR="002C109E">
        <w:t>,</w:t>
      </w:r>
      <w:r>
        <w:t xml:space="preserve"> and </w:t>
      </w:r>
      <w:r w:rsidR="5EA7202D">
        <w:t xml:space="preserve">data </w:t>
      </w:r>
      <w:r>
        <w:t xml:space="preserve">insights </w:t>
      </w:r>
      <w:r w:rsidR="4F4C69D6">
        <w:t xml:space="preserve">are </w:t>
      </w:r>
      <w:r w:rsidR="5EA7202D">
        <w:t>not</w:t>
      </w:r>
      <w:r w:rsidR="25DB116C">
        <w:t xml:space="preserve"> </w:t>
      </w:r>
      <w:r w:rsidR="1DBD330F">
        <w:t xml:space="preserve">being used </w:t>
      </w:r>
      <w:r w:rsidR="00F140D6">
        <w:t xml:space="preserve">effectively </w:t>
      </w:r>
      <w:r w:rsidR="1DBD330F">
        <w:t xml:space="preserve">to </w:t>
      </w:r>
      <w:r w:rsidR="25DB116C">
        <w:t>inform</w:t>
      </w:r>
      <w:r w:rsidR="00DA1706">
        <w:t xml:space="preserve"> </w:t>
      </w:r>
      <w:r>
        <w:t>service delivery or improvement</w:t>
      </w:r>
      <w:r w:rsidR="00DA1706">
        <w:t xml:space="preserve"> within sites</w:t>
      </w:r>
      <w:r>
        <w:t>.</w:t>
      </w:r>
    </w:p>
    <w:p w14:paraId="56D3E981" w14:textId="46130DA6" w:rsidR="001F3B94" w:rsidRDefault="3050ADDB" w:rsidP="005332D8">
      <w:r>
        <w:t xml:space="preserve">The data collection and reporting processes have been burdensome on staff and have inhibited the ability of the evaluation to understand the implementation progress of The Way Back across sites and the delivery of outcomes for </w:t>
      </w:r>
      <w:r w:rsidR="3860B196">
        <w:t>participants</w:t>
      </w:r>
      <w:r w:rsidR="2F4A1462">
        <w:t xml:space="preserve"> (due to data quality or </w:t>
      </w:r>
      <w:r w:rsidR="080373E4">
        <w:t>incompleteness</w:t>
      </w:r>
      <w:r w:rsidR="5486CD89">
        <w:t>)</w:t>
      </w:r>
      <w:r>
        <w:t xml:space="preserve">. </w:t>
      </w:r>
      <w:r w:rsidR="41C4AB1F">
        <w:t>There is a</w:t>
      </w:r>
      <w:r w:rsidR="484F3144">
        <w:t xml:space="preserve"> need </w:t>
      </w:r>
      <w:r w:rsidR="43EDC221">
        <w:t>to improve data collection processes</w:t>
      </w:r>
      <w:r w:rsidR="66276C8D">
        <w:t>.</w:t>
      </w:r>
    </w:p>
    <w:p w14:paraId="3E2895E6" w14:textId="15E0F8B4" w:rsidR="00503FB7" w:rsidRPr="008A1417" w:rsidRDefault="3050ADDB" w:rsidP="005332D8">
      <w:bookmarkStart w:id="174" w:name="_Hlk110605734"/>
      <w:r>
        <w:t>The PMHC MDS has enabled providers, PHNs and Beyond Blue to collect new aftercare data. However, providers, Beyond Blue and PHNs have encountered significant challenges setting up data collection and reporting process</w:t>
      </w:r>
      <w:r w:rsidR="644C3B9C">
        <w:t>es</w:t>
      </w:r>
      <w:r>
        <w:t xml:space="preserve"> due to capability issues and data input variations across sites. Further, providers reported that insights from the data are not regularly shared across sites and therefore providers </w:t>
      </w:r>
      <w:r w:rsidR="2F3E9AF3">
        <w:t xml:space="preserve">did </w:t>
      </w:r>
      <w:r>
        <w:t xml:space="preserve">not </w:t>
      </w:r>
      <w:proofErr w:type="gramStart"/>
      <w:r>
        <w:t xml:space="preserve">have an understanding </w:t>
      </w:r>
      <w:r w:rsidR="00AC2090">
        <w:t>of</w:t>
      </w:r>
      <w:proofErr w:type="gramEnd"/>
      <w:r w:rsidR="00AC2090">
        <w:t xml:space="preserve"> </w:t>
      </w:r>
      <w:r>
        <w:t>how The Way Back operates at other sites and opportunities to continuously improve their service.</w:t>
      </w:r>
      <w:r w:rsidR="333FA370">
        <w:t xml:space="preserve"> </w:t>
      </w:r>
      <w:r w:rsidR="7771EFFA">
        <w:t>Improvements to data collection</w:t>
      </w:r>
      <w:r w:rsidR="1E55F62C">
        <w:t xml:space="preserve">, </w:t>
      </w:r>
      <w:r w:rsidR="7771EFFA">
        <w:t>monitoring</w:t>
      </w:r>
      <w:r w:rsidR="1E55F62C">
        <w:t xml:space="preserve">, and continuous improvement of The Way Back </w:t>
      </w:r>
      <w:r w:rsidR="7771EFFA">
        <w:t xml:space="preserve">is outlined in section </w:t>
      </w:r>
      <w:r w:rsidR="2B97BCE7">
        <w:fldChar w:fldCharType="begin"/>
      </w:r>
      <w:r w:rsidR="2B97BCE7">
        <w:instrText xml:space="preserve"> REF _Ref118285879 \n \h </w:instrText>
      </w:r>
      <w:r w:rsidR="2B97BCE7">
        <w:fldChar w:fldCharType="separate"/>
      </w:r>
      <w:r w:rsidR="00402362">
        <w:t>10.1</w:t>
      </w:r>
      <w:r w:rsidR="2B97BCE7">
        <w:fldChar w:fldCharType="end"/>
      </w:r>
      <w:r w:rsidR="1E55F62C">
        <w:t xml:space="preserve">, </w:t>
      </w:r>
      <w:r w:rsidR="7B185D17">
        <w:t xml:space="preserve">(recommendation </w:t>
      </w:r>
      <w:r w:rsidR="00E50A38">
        <w:t>14 and</w:t>
      </w:r>
      <w:r w:rsidR="7EF5E97F">
        <w:t xml:space="preserve"> recommendation </w:t>
      </w:r>
      <w:r w:rsidR="006F204D">
        <w:t>16</w:t>
      </w:r>
      <w:r w:rsidR="7EF5E97F">
        <w:t>)</w:t>
      </w:r>
      <w:r w:rsidR="4F327C4A">
        <w:t>.</w:t>
      </w:r>
      <w:r w:rsidR="7771EFFA">
        <w:t xml:space="preserve"> </w:t>
      </w:r>
    </w:p>
    <w:bookmarkEnd w:id="174"/>
    <w:p w14:paraId="360B72B2" w14:textId="77777777" w:rsidR="00503FB7" w:rsidRDefault="00503FB7" w:rsidP="00503FB7">
      <w:pPr>
        <w:pStyle w:val="Bullet"/>
        <w:numPr>
          <w:ilvl w:val="0"/>
          <w:numId w:val="0"/>
        </w:numPr>
      </w:pPr>
      <w:r>
        <w:rPr>
          <w:noProof/>
        </w:rPr>
        <mc:AlternateContent>
          <mc:Choice Requires="wps">
            <w:drawing>
              <wp:inline distT="0" distB="0" distL="0" distR="0" wp14:anchorId="437C7E06" wp14:editId="63F3D865">
                <wp:extent cx="5505450" cy="542925"/>
                <wp:effectExtent l="0" t="0" r="9525" b="9525"/>
                <wp:docPr id="31" name="Text Box 31" descr="“I’ve never worked in a service with such a burdensome data collection process.” - The Way Back service provider, 2022"/>
                <wp:cNvGraphicFramePr/>
                <a:graphic xmlns:a="http://schemas.openxmlformats.org/drawingml/2006/main">
                  <a:graphicData uri="http://schemas.microsoft.com/office/word/2010/wordprocessingShape">
                    <wps:wsp>
                      <wps:cNvSpPr txBox="1"/>
                      <wps:spPr>
                        <a:xfrm>
                          <a:off x="0" y="0"/>
                          <a:ext cx="5505450" cy="542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6F447" w14:textId="77777777" w:rsidR="00CB0C9C" w:rsidRDefault="00503FB7" w:rsidP="00503FB7">
                            <w:pPr>
                              <w:pStyle w:val="Callout"/>
                            </w:pPr>
                            <w:r w:rsidRPr="0062015B">
                              <w:t>“I’ve never worked in a service with such a burdensome data collection process.” - The Way Back service provider, 2022</w:t>
                            </w:r>
                          </w:p>
                          <w:p w14:paraId="7243B5C0" w14:textId="26CBE96E" w:rsidR="00503FB7" w:rsidRPr="0062015B" w:rsidRDefault="00503FB7" w:rsidP="00503FB7">
                            <w:pPr>
                              <w:rPr>
                                <w:color w:val="00264D" w:themeColor="background2"/>
                              </w:rPr>
                            </w:pPr>
                          </w:p>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inline>
            </w:drawing>
          </mc:Choice>
          <mc:Fallback>
            <w:pict>
              <v:shape w14:anchorId="437C7E06" id="Text Box 31" o:spid="_x0000_s1035" type="#_x0000_t202" alt="“I’ve never worked in a service with such a burdensome data collection process.” - The Way Back service provider, 2022" style="width:433.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" fillcolor="white [3201]" stroked="f" strokeweight=".5pt">
                <v:textbox inset="0,,1mm">
                  <w:txbxContent>
                    <w:p w14:paraId="77C6F447" w14:textId="77777777" w:rsidR="00CB0C9C" w:rsidRDefault="00503FB7" w:rsidP="00503FB7">
                      <w:pPr>
                        <w:pStyle w:val="Callout"/>
                      </w:pPr>
                      <w:r w:rsidRPr="0062015B">
                        <w:t>“I’ve never worked in a service with such a burdensome data collection process.” - The Way Back service provider, 2022</w:t>
                      </w:r>
                    </w:p>
                    <w:p w14:paraId="7243B5C0" w14:textId="26CBE96E" w:rsidR="00503FB7" w:rsidRPr="0062015B" w:rsidRDefault="00503FB7" w:rsidP="00503FB7">
                      <w:pPr>
                        <w:rPr>
                          <w:color w:val="00264D" w:themeColor="background2"/>
                        </w:rPr>
                      </w:pPr>
                    </w:p>
                  </w:txbxContent>
                </v:textbox>
                <w10:anchorlock/>
              </v:shape>
            </w:pict>
          </mc:Fallback>
        </mc:AlternateContent>
      </w:r>
    </w:p>
    <w:p w14:paraId="46E6EB37" w14:textId="2E18482A" w:rsidR="00A81118" w:rsidRDefault="00A81118" w:rsidP="002D7659">
      <w:pPr>
        <w:pStyle w:val="Bullet"/>
        <w:sectPr w:rsidR="00A81118" w:rsidSect="00A117E4">
          <w:pgSz w:w="11907" w:h="16839" w:code="9"/>
          <w:pgMar w:top="1276" w:right="1418" w:bottom="1361" w:left="1559" w:header="720" w:footer="720" w:gutter="0"/>
          <w:cols w:space="720"/>
          <w:titlePg/>
          <w:docGrid w:linePitch="360"/>
        </w:sectPr>
      </w:pPr>
      <w:bookmarkStart w:id="175" w:name="_Ref82448035"/>
      <w:bookmarkEnd w:id="117"/>
    </w:p>
    <w:p w14:paraId="5DC07A91" w14:textId="2629B5EF" w:rsidR="006255DA" w:rsidRPr="00325F4F" w:rsidRDefault="00021AC8" w:rsidP="006255DA">
      <w:pPr>
        <w:pStyle w:val="Heading1"/>
        <w:rPr>
          <w:color w:val="FFFFFF" w:themeColor="background1"/>
        </w:rPr>
      </w:pPr>
      <w:bookmarkStart w:id="176" w:name="_Toc80721197"/>
      <w:bookmarkStart w:id="177" w:name="_Ref82675118"/>
      <w:bookmarkStart w:id="178" w:name="_Toc121320699"/>
      <w:bookmarkEnd w:id="175"/>
      <w:r w:rsidRPr="00325F4F">
        <w:rPr>
          <w:noProof/>
          <w:color w:val="FFFFFF" w:themeColor="background1"/>
        </w:rPr>
        <w:lastRenderedPageBreak/>
        <w:drawing>
          <wp:anchor distT="0" distB="0" distL="114300" distR="114300" simplePos="0" relativeHeight="251658255" behindDoc="1" locked="0" layoutInCell="1" allowOverlap="1" wp14:anchorId="6CE47202" wp14:editId="1B6E9873">
            <wp:simplePos x="0" y="0"/>
            <wp:positionH relativeFrom="page">
              <wp:posOffset>-20955</wp:posOffset>
            </wp:positionH>
            <wp:positionV relativeFrom="paragraph">
              <wp:posOffset>-794756</wp:posOffset>
            </wp:positionV>
            <wp:extent cx="7579995" cy="1362696"/>
            <wp:effectExtent l="0" t="0" r="1905" b="9525"/>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79995" cy="1362696"/>
                    </a:xfrm>
                    <a:prstGeom prst="rect">
                      <a:avLst/>
                    </a:prstGeom>
                    <a:noFill/>
                  </pic:spPr>
                </pic:pic>
              </a:graphicData>
            </a:graphic>
            <wp14:sizeRelH relativeFrom="margin">
              <wp14:pctWidth>0</wp14:pctWidth>
            </wp14:sizeRelH>
            <wp14:sizeRelV relativeFrom="margin">
              <wp14:pctHeight>0</wp14:pctHeight>
            </wp14:sizeRelV>
          </wp:anchor>
        </w:drawing>
      </w:r>
      <w:r w:rsidR="00BA1F2C">
        <w:rPr>
          <w:color w:val="FFFFFF" w:themeColor="background1"/>
        </w:rPr>
        <w:t>R</w:t>
      </w:r>
      <w:r w:rsidR="006255DA" w:rsidRPr="00325F4F">
        <w:rPr>
          <w:color w:val="FFFFFF" w:themeColor="background1"/>
        </w:rPr>
        <w:t>ecommendations</w:t>
      </w:r>
      <w:bookmarkEnd w:id="176"/>
      <w:bookmarkEnd w:id="177"/>
      <w:bookmarkEnd w:id="178"/>
    </w:p>
    <w:p w14:paraId="6C363A1A" w14:textId="77777777" w:rsidR="002800E2" w:rsidRDefault="002800E2" w:rsidP="000500EF">
      <w:pPr>
        <w:pStyle w:val="NoteHeading"/>
        <w:spacing w:before="720"/>
      </w:pPr>
      <w:bookmarkStart w:id="179" w:name="_Ref118129052"/>
      <w:bookmarkStart w:id="180" w:name="_Ref118285879"/>
      <w:bookmarkStart w:id="181" w:name="_Ref118288406"/>
      <w:bookmarkStart w:id="182" w:name="_Toc121320700"/>
      <w:r>
        <w:t xml:space="preserve">This section answers KEQ 5; What can be done to improve the contribution of The Way Back and similar services. </w:t>
      </w:r>
    </w:p>
    <w:p w14:paraId="466682A5" w14:textId="4E5DA62E" w:rsidR="002800E2" w:rsidRPr="002800E2" w:rsidRDefault="002800E2" w:rsidP="002800E2">
      <w:pPr>
        <w:pStyle w:val="NoteHeading"/>
      </w:pPr>
      <w:r>
        <w:t>Given that the current governance and management arrangements in place for The Way Back will cease from June 2023, this section provides recommendations for improvements to The Way Back and future aftercare services more broadly (16 recommendations), the handover of The Way Back (two recommendations) and emerging lessons for mental health services in understanding participant recovery.</w:t>
      </w:r>
    </w:p>
    <w:p w14:paraId="0322D1C8" w14:textId="1CC1805F" w:rsidR="00CC2D14" w:rsidRDefault="00CC2D14" w:rsidP="00B729F5">
      <w:pPr>
        <w:pStyle w:val="Heading2"/>
        <w:numPr>
          <w:ilvl w:val="1"/>
          <w:numId w:val="13"/>
        </w:numPr>
      </w:pPr>
      <w:r>
        <w:t xml:space="preserve">Recommendations for </w:t>
      </w:r>
      <w:bookmarkEnd w:id="179"/>
      <w:r w:rsidR="00E4419B">
        <w:t>future aftercare services in Australia</w:t>
      </w:r>
      <w:bookmarkEnd w:id="180"/>
      <w:bookmarkEnd w:id="181"/>
      <w:bookmarkEnd w:id="182"/>
      <w:r>
        <w:t xml:space="preserve"> </w:t>
      </w:r>
    </w:p>
    <w:p w14:paraId="69D6A74B" w14:textId="22425212" w:rsidR="00CC2D14" w:rsidRDefault="00CC2D14" w:rsidP="00CB0C9C">
      <w:pPr>
        <w:pStyle w:val="Heading4"/>
      </w:pPr>
      <w:r>
        <w:t xml:space="preserve">The evaluation </w:t>
      </w:r>
      <w:r w:rsidR="007B4FFB">
        <w:t>provides</w:t>
      </w:r>
      <w:r>
        <w:t xml:space="preserve"> </w:t>
      </w:r>
      <w:r w:rsidR="007F4A89" w:rsidRPr="00617141">
        <w:t>16</w:t>
      </w:r>
      <w:r w:rsidRPr="00D625A4">
        <w:t xml:space="preserve"> </w:t>
      </w:r>
      <w:r>
        <w:t xml:space="preserve">recommendations for </w:t>
      </w:r>
      <w:r w:rsidR="00E4419B">
        <w:t>future aftercare services</w:t>
      </w:r>
    </w:p>
    <w:p w14:paraId="457E619A" w14:textId="4FDC38A9" w:rsidR="329B473D" w:rsidRDefault="00653D44" w:rsidP="338FB9E3">
      <w:pPr>
        <w:rPr>
          <w:lang w:eastAsia="en-AU"/>
        </w:rPr>
      </w:pPr>
      <w:r>
        <w:rPr>
          <w:lang w:eastAsia="en-AU"/>
        </w:rPr>
        <w:t xml:space="preserve">16 </w:t>
      </w:r>
      <w:r w:rsidR="00D21C3E">
        <w:rPr>
          <w:lang w:eastAsia="en-AU"/>
        </w:rPr>
        <w:t>R</w:t>
      </w:r>
      <w:r w:rsidR="329B473D" w:rsidRPr="4B88B76D">
        <w:rPr>
          <w:lang w:eastAsia="en-AU"/>
        </w:rPr>
        <w:t>ecommendations</w:t>
      </w:r>
      <w:r w:rsidR="329B473D" w:rsidRPr="338FB9E3">
        <w:rPr>
          <w:lang w:eastAsia="en-AU"/>
        </w:rPr>
        <w:t xml:space="preserve"> to improve future aftercare services are outlined below. These recommendations were drawn from the interim and final evaluation findings. The recommendations address gaps, </w:t>
      </w:r>
      <w:proofErr w:type="gramStart"/>
      <w:r w:rsidR="329B473D" w:rsidRPr="338FB9E3">
        <w:rPr>
          <w:lang w:eastAsia="en-AU"/>
        </w:rPr>
        <w:t>opportunities</w:t>
      </w:r>
      <w:proofErr w:type="gramEnd"/>
      <w:r w:rsidR="329B473D" w:rsidRPr="338FB9E3">
        <w:rPr>
          <w:lang w:eastAsia="en-AU"/>
        </w:rPr>
        <w:t xml:space="preserve"> and challenges across five domains:</w:t>
      </w:r>
    </w:p>
    <w:p w14:paraId="32BB26E9" w14:textId="77777777" w:rsidR="00CF63C3" w:rsidRDefault="00CF63C3" w:rsidP="00B729F5">
      <w:pPr>
        <w:pStyle w:val="Listnumbered"/>
        <w:numPr>
          <w:ilvl w:val="0"/>
          <w:numId w:val="21"/>
        </w:numPr>
        <w:rPr>
          <w:lang w:eastAsia="en-AU"/>
        </w:rPr>
      </w:pPr>
      <w:r>
        <w:rPr>
          <w:lang w:eastAsia="en-AU"/>
        </w:rPr>
        <w:t>Service intake</w:t>
      </w:r>
    </w:p>
    <w:p w14:paraId="50D077F5" w14:textId="77777777" w:rsidR="00CF63C3" w:rsidRDefault="00CF63C3" w:rsidP="00B729F5">
      <w:pPr>
        <w:pStyle w:val="Listnumbered"/>
        <w:numPr>
          <w:ilvl w:val="0"/>
          <w:numId w:val="21"/>
        </w:numPr>
        <w:rPr>
          <w:lang w:eastAsia="en-AU"/>
        </w:rPr>
      </w:pPr>
      <w:r>
        <w:rPr>
          <w:lang w:eastAsia="en-AU"/>
        </w:rPr>
        <w:t xml:space="preserve">Service delivery </w:t>
      </w:r>
    </w:p>
    <w:p w14:paraId="6896DE7F" w14:textId="77777777" w:rsidR="00CF63C3" w:rsidRDefault="00CF63C3" w:rsidP="00B729F5">
      <w:pPr>
        <w:pStyle w:val="Listnumbered"/>
        <w:numPr>
          <w:ilvl w:val="0"/>
          <w:numId w:val="21"/>
        </w:numPr>
        <w:rPr>
          <w:lang w:eastAsia="en-AU"/>
        </w:rPr>
      </w:pPr>
      <w:bookmarkStart w:id="183" w:name="_Ref118288370"/>
      <w:r>
        <w:rPr>
          <w:lang w:eastAsia="en-AU"/>
        </w:rPr>
        <w:t>Governance and funding</w:t>
      </w:r>
      <w:bookmarkEnd w:id="183"/>
    </w:p>
    <w:p w14:paraId="7EE2AEEF" w14:textId="77777777" w:rsidR="00CF63C3" w:rsidRDefault="00CF63C3" w:rsidP="00B729F5">
      <w:pPr>
        <w:pStyle w:val="Listnumbered"/>
        <w:numPr>
          <w:ilvl w:val="0"/>
          <w:numId w:val="21"/>
        </w:numPr>
        <w:rPr>
          <w:lang w:eastAsia="en-AU"/>
        </w:rPr>
      </w:pPr>
      <w:r>
        <w:rPr>
          <w:lang w:eastAsia="en-AU"/>
        </w:rPr>
        <w:t>Workforce</w:t>
      </w:r>
    </w:p>
    <w:p w14:paraId="595E103E" w14:textId="109CB2BE" w:rsidR="00CF63C3" w:rsidRDefault="00CF63C3" w:rsidP="00B729F5">
      <w:pPr>
        <w:pStyle w:val="Listnumbered"/>
        <w:numPr>
          <w:ilvl w:val="0"/>
          <w:numId w:val="21"/>
        </w:numPr>
        <w:rPr>
          <w:lang w:eastAsia="en-AU"/>
        </w:rPr>
      </w:pPr>
      <w:r>
        <w:rPr>
          <w:lang w:eastAsia="en-AU"/>
        </w:rPr>
        <w:t>Monitoring and continuous improvement</w:t>
      </w:r>
    </w:p>
    <w:p w14:paraId="08A1F976" w14:textId="5A3395A8" w:rsidR="00CF63C3" w:rsidRDefault="00CC2D14" w:rsidP="00CF63C3">
      <w:pPr>
        <w:rPr>
          <w:lang w:eastAsia="en-AU"/>
        </w:rPr>
      </w:pPr>
      <w:r>
        <w:rPr>
          <w:lang w:eastAsia="en-AU"/>
        </w:rPr>
        <w:t xml:space="preserve">Recommendations </w:t>
      </w:r>
      <w:r w:rsidR="007803F0">
        <w:rPr>
          <w:lang w:eastAsia="en-AU"/>
        </w:rPr>
        <w:t xml:space="preserve">for future aftercare services </w:t>
      </w:r>
      <w:r>
        <w:rPr>
          <w:lang w:eastAsia="en-AU"/>
        </w:rPr>
        <w:t xml:space="preserve">are summarised in </w:t>
      </w:r>
      <w:r w:rsidR="00A41E06">
        <w:rPr>
          <w:lang w:eastAsia="en-AU"/>
        </w:rPr>
        <w:fldChar w:fldCharType="begin"/>
      </w:r>
      <w:r w:rsidR="00A41E06">
        <w:rPr>
          <w:lang w:eastAsia="en-AU"/>
        </w:rPr>
        <w:instrText xml:space="preserve"> REF _Ref121318794 \h </w:instrText>
      </w:r>
      <w:r w:rsidR="00A41E06">
        <w:rPr>
          <w:lang w:eastAsia="en-AU"/>
        </w:rPr>
      </w:r>
      <w:r w:rsidR="00A41E06">
        <w:rPr>
          <w:lang w:eastAsia="en-AU"/>
        </w:rPr>
        <w:fldChar w:fldCharType="separate"/>
      </w:r>
      <w:r w:rsidR="00402362" w:rsidRPr="00374263">
        <w:t xml:space="preserve">Figure </w:t>
      </w:r>
      <w:r w:rsidR="00402362">
        <w:rPr>
          <w:noProof/>
        </w:rPr>
        <w:t>30</w:t>
      </w:r>
      <w:r w:rsidR="00A41E06">
        <w:rPr>
          <w:lang w:eastAsia="en-AU"/>
        </w:rPr>
        <w:fldChar w:fldCharType="end"/>
      </w:r>
      <w:r w:rsidR="00A41E06">
        <w:rPr>
          <w:highlight w:val="yellow"/>
          <w:lang w:eastAsia="en-AU"/>
        </w:rPr>
        <w:fldChar w:fldCharType="begin"/>
      </w:r>
      <w:r w:rsidR="00A41E06">
        <w:rPr>
          <w:lang w:eastAsia="en-AU"/>
        </w:rPr>
        <w:instrText xml:space="preserve"> REF _Ref121318794 \h </w:instrText>
      </w:r>
      <w:r w:rsidR="00A41E06">
        <w:rPr>
          <w:highlight w:val="yellow"/>
          <w:lang w:eastAsia="en-AU"/>
        </w:rPr>
      </w:r>
      <w:r w:rsidR="00A41E06">
        <w:rPr>
          <w:highlight w:val="yellow"/>
          <w:lang w:eastAsia="en-AU"/>
        </w:rPr>
        <w:fldChar w:fldCharType="separate"/>
      </w:r>
      <w:r w:rsidR="00402362" w:rsidRPr="00374263">
        <w:t xml:space="preserve">Figure </w:t>
      </w:r>
      <w:r w:rsidR="00402362">
        <w:rPr>
          <w:noProof/>
        </w:rPr>
        <w:t>30</w:t>
      </w:r>
      <w:r w:rsidR="00A41E06">
        <w:rPr>
          <w:highlight w:val="yellow"/>
          <w:lang w:eastAsia="en-AU"/>
        </w:rPr>
        <w:fldChar w:fldCharType="end"/>
      </w:r>
      <w:r w:rsidR="00AF7F14">
        <w:rPr>
          <w:lang w:eastAsia="en-AU"/>
        </w:rPr>
        <w:t xml:space="preserve"> </w:t>
      </w:r>
      <w:r w:rsidR="00CF63C3">
        <w:rPr>
          <w:lang w:eastAsia="en-AU"/>
        </w:rPr>
        <w:t>and detailed overleaf</w:t>
      </w:r>
      <w:r w:rsidR="00BC1059">
        <w:rPr>
          <w:lang w:eastAsia="en-AU"/>
        </w:rPr>
        <w:t xml:space="preserve"> in</w:t>
      </w:r>
      <w:r w:rsidR="00377E66">
        <w:rPr>
          <w:lang w:eastAsia="en-AU"/>
        </w:rPr>
        <w:t xml:space="preserve"> </w:t>
      </w:r>
      <w:r w:rsidR="00377E66">
        <w:rPr>
          <w:highlight w:val="yellow"/>
          <w:lang w:eastAsia="en-AU"/>
        </w:rPr>
        <w:fldChar w:fldCharType="begin"/>
      </w:r>
      <w:r w:rsidR="00377E66">
        <w:rPr>
          <w:lang w:eastAsia="en-AU"/>
        </w:rPr>
        <w:instrText xml:space="preserve"> REF _Ref121318817 \h </w:instrText>
      </w:r>
      <w:r w:rsidR="00377E66">
        <w:rPr>
          <w:highlight w:val="yellow"/>
          <w:lang w:eastAsia="en-AU"/>
        </w:rPr>
      </w:r>
      <w:r w:rsidR="00377E66">
        <w:rPr>
          <w:highlight w:val="yellow"/>
          <w:lang w:eastAsia="en-AU"/>
        </w:rPr>
        <w:fldChar w:fldCharType="separate"/>
      </w:r>
      <w:r w:rsidR="00402362" w:rsidRPr="00072D77">
        <w:t xml:space="preserve">Figure </w:t>
      </w:r>
      <w:r w:rsidR="00402362">
        <w:rPr>
          <w:noProof/>
        </w:rPr>
        <w:t>31</w:t>
      </w:r>
      <w:r w:rsidR="00377E66">
        <w:rPr>
          <w:highlight w:val="yellow"/>
          <w:lang w:eastAsia="en-AU"/>
        </w:rPr>
        <w:fldChar w:fldCharType="end"/>
      </w:r>
      <w:r w:rsidR="00A41E06">
        <w:rPr>
          <w:lang w:eastAsia="en-AU"/>
        </w:rPr>
        <w:t>.</w:t>
      </w:r>
    </w:p>
    <w:p w14:paraId="2E74D26B" w14:textId="77777777" w:rsidR="000500EF" w:rsidRDefault="000500EF" w:rsidP="000500EF">
      <w:pPr>
        <w:pStyle w:val="Noterecommendations"/>
      </w:pPr>
      <w:r w:rsidRPr="000500EF">
        <w:rPr>
          <w:rStyle w:val="Strong"/>
        </w:rPr>
        <w:t>A note on the recommendations</w:t>
      </w:r>
      <w:r w:rsidRPr="00E00EAC">
        <w:t>:</w:t>
      </w:r>
      <w:r>
        <w:t xml:space="preserve"> In early 2022, Beyond Blue reviewed</w:t>
      </w:r>
      <w:r w:rsidDel="00992A30">
        <w:t xml:space="preserve"> </w:t>
      </w:r>
      <w:r>
        <w:t xml:space="preserve">the six KPIs mandated under the existing Australian Department of Health and Aged Care Funding Agreement. Beyond Blue has commenced work to refine three and remove two of the six KPIs to better clarify definitions and language and better align what should and is being measured to what evidence suggests is important for participant outcomes. The findings of the evaluation supported the proposed changes to KPIs (as outlined in the interim report) and therefore did not comment explicitly on these in the below recommendations. </w:t>
      </w:r>
    </w:p>
    <w:p w14:paraId="080121A8" w14:textId="52B9290A" w:rsidR="000500EF" w:rsidRDefault="000500EF" w:rsidP="000500EF">
      <w:pPr>
        <w:pStyle w:val="Noterecommendations"/>
      </w:pPr>
      <w:r>
        <w:t xml:space="preserve">Further information on how interim report recommendations have been incorporated into the final report are outlined in </w:t>
      </w:r>
      <w:r w:rsidRPr="001438A5">
        <w:t>Appendix</w:t>
      </w:r>
      <w:r>
        <w:t xml:space="preserve"> D.</w:t>
      </w:r>
    </w:p>
    <w:p w14:paraId="5162437C" w14:textId="10487809" w:rsidR="001C349E" w:rsidRPr="000363E2" w:rsidRDefault="48D9F353" w:rsidP="5F0B1C35">
      <w:pPr>
        <w:pStyle w:val="Caption"/>
      </w:pPr>
      <w:bookmarkStart w:id="184" w:name="_Ref106197186"/>
      <w:bookmarkStart w:id="185" w:name="_Ref121318794"/>
      <w:r w:rsidRPr="00374263">
        <w:lastRenderedPageBreak/>
        <w:t xml:space="preserve">Figure </w:t>
      </w:r>
      <w:bookmarkEnd w:id="184"/>
      <w:r w:rsidR="00A41E06" w:rsidRPr="00374263">
        <w:fldChar w:fldCharType="begin"/>
      </w:r>
      <w:r w:rsidR="00A41E06" w:rsidRPr="00374263">
        <w:instrText xml:space="preserve"> SEQ Figure \* ARABIC </w:instrText>
      </w:r>
      <w:r w:rsidR="00A41E06" w:rsidRPr="00374263">
        <w:fldChar w:fldCharType="separate"/>
      </w:r>
      <w:r w:rsidR="00402362">
        <w:rPr>
          <w:noProof/>
        </w:rPr>
        <w:t>30</w:t>
      </w:r>
      <w:r w:rsidR="00A41E06" w:rsidRPr="00374263">
        <w:fldChar w:fldCharType="end"/>
      </w:r>
      <w:bookmarkEnd w:id="185"/>
      <w:r w:rsidRPr="00374263">
        <w:t xml:space="preserve"> | Summary of recommendations for </w:t>
      </w:r>
      <w:r w:rsidR="0AAD0369" w:rsidRPr="00374263">
        <w:t>future aftercare services in Australia</w:t>
      </w:r>
    </w:p>
    <w:p w14:paraId="620C47D0" w14:textId="5E04C772" w:rsidR="003C70FD" w:rsidRPr="003C70FD" w:rsidRDefault="006E3033" w:rsidP="00902DEC">
      <w:r w:rsidRPr="006E3033">
        <w:rPr>
          <w:noProof/>
        </w:rPr>
        <w:drawing>
          <wp:inline distT="0" distB="0" distL="0" distR="0" wp14:anchorId="78643A1A" wp14:editId="6554F0B3">
            <wp:extent cx="5670550" cy="5674360"/>
            <wp:effectExtent l="0" t="0" r="6350" b="2540"/>
            <wp:docPr id="38" name="Graphic 38" descr="Figure 30 is an infographic showing summary of recommendations for future aftercare service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Figure 30 is an infographic showing summary of recommendations for future aftercare services in Australia"/>
                    <pic:cNvPicPr/>
                  </pic:nvPicPr>
                  <pic:blipFill>
                    <a:blip r:embed="rId119">
                      <a:extLst>
                        <a:ext uri="{96DAC541-7B7A-43D3-8B79-37D633B846F1}">
                          <asvg:svgBlip xmlns:asvg="http://schemas.microsoft.com/office/drawing/2016/SVG/main" r:embed="rId120"/>
                        </a:ext>
                      </a:extLst>
                    </a:blip>
                    <a:stretch>
                      <a:fillRect/>
                    </a:stretch>
                  </pic:blipFill>
                  <pic:spPr>
                    <a:xfrm>
                      <a:off x="0" y="0"/>
                      <a:ext cx="5670550" cy="5674360"/>
                    </a:xfrm>
                    <a:prstGeom prst="rect">
                      <a:avLst/>
                    </a:prstGeom>
                  </pic:spPr>
                </pic:pic>
              </a:graphicData>
            </a:graphic>
          </wp:inline>
        </w:drawing>
      </w:r>
    </w:p>
    <w:p w14:paraId="3A1F40BE" w14:textId="3D9E1AF8" w:rsidR="00AA5A31" w:rsidRDefault="00AA5A31" w:rsidP="5F0B1C35">
      <w:pPr>
        <w:sectPr w:rsidR="00AA5A31" w:rsidSect="00AE1109">
          <w:headerReference w:type="default" r:id="rId121"/>
          <w:pgSz w:w="11907" w:h="16839" w:code="9"/>
          <w:pgMar w:top="1418" w:right="1418" w:bottom="1701" w:left="1559" w:header="720" w:footer="720" w:gutter="0"/>
          <w:cols w:space="720"/>
          <w:titlePg/>
          <w:docGrid w:linePitch="360"/>
        </w:sectPr>
      </w:pPr>
    </w:p>
    <w:p w14:paraId="3215F52B" w14:textId="2AF1AAAC" w:rsidR="00CF63C3" w:rsidRDefault="036B9A42" w:rsidP="0013451D">
      <w:pPr>
        <w:pStyle w:val="Caption"/>
        <w:rPr>
          <w:lang w:eastAsia="en-AU"/>
        </w:rPr>
      </w:pPr>
      <w:bookmarkStart w:id="186" w:name="_Ref121318817"/>
      <w:r w:rsidRPr="00072D77">
        <w:lastRenderedPageBreak/>
        <w:t xml:space="preserve">Figure </w:t>
      </w:r>
      <w:r w:rsidR="00A41E06">
        <w:fldChar w:fldCharType="begin"/>
      </w:r>
      <w:r w:rsidR="00A41E06">
        <w:instrText xml:space="preserve"> SEQ Figure \* ARABIC </w:instrText>
      </w:r>
      <w:r w:rsidR="00A41E06">
        <w:fldChar w:fldCharType="separate"/>
      </w:r>
      <w:r w:rsidR="00402362">
        <w:rPr>
          <w:noProof/>
        </w:rPr>
        <w:t>31</w:t>
      </w:r>
      <w:r w:rsidR="00A41E06">
        <w:fldChar w:fldCharType="end"/>
      </w:r>
      <w:bookmarkEnd w:id="186"/>
      <w:r w:rsidR="00AF7F14" w:rsidRPr="00072D77">
        <w:t xml:space="preserve"> </w:t>
      </w:r>
      <w:r w:rsidRPr="00072D77">
        <w:t xml:space="preserve">| Detailed recommendations for </w:t>
      </w:r>
      <w:r w:rsidR="4B9D3287" w:rsidRPr="00072D77">
        <w:t>future aftercare services in Australia</w:t>
      </w:r>
    </w:p>
    <w:tbl>
      <w:tblPr>
        <w:tblStyle w:val="TableGrid"/>
        <w:tblW w:w="12759" w:type="dxa"/>
        <w:tblLook w:val="0620" w:firstRow="1" w:lastRow="0" w:firstColumn="0" w:lastColumn="0" w:noHBand="1" w:noVBand="1"/>
      </w:tblPr>
      <w:tblGrid>
        <w:gridCol w:w="7015"/>
        <w:gridCol w:w="4236"/>
        <w:gridCol w:w="1508"/>
      </w:tblGrid>
      <w:tr w:rsidR="00CA090D" w14:paraId="311DA484" w14:textId="77777777" w:rsidTr="006C3A51">
        <w:trPr>
          <w:cnfStyle w:val="100000000000" w:firstRow="1" w:lastRow="0" w:firstColumn="0" w:lastColumn="0" w:oddVBand="0" w:evenVBand="0" w:oddHBand="0" w:evenHBand="0" w:firstRowFirstColumn="0" w:firstRowLastColumn="0" w:lastRowFirstColumn="0" w:lastRowLastColumn="0"/>
          <w:cantSplit w:val="0"/>
          <w:trHeight w:val="375"/>
        </w:trPr>
        <w:tc>
          <w:tcPr>
            <w:tcW w:w="7015" w:type="dxa"/>
            <w:tcBorders>
              <w:top w:val="nil"/>
              <w:bottom w:val="single" w:sz="24" w:space="0" w:color="00264D" w:themeColor="background2"/>
            </w:tcBorders>
            <w:shd w:val="clear" w:color="auto" w:fill="auto"/>
          </w:tcPr>
          <w:p w14:paraId="612ED125" w14:textId="3EEE34E1" w:rsidR="00CA090D" w:rsidRPr="00BC6E64" w:rsidRDefault="00CA090D" w:rsidP="00170128">
            <w:pPr>
              <w:pStyle w:val="TableNheader"/>
              <w:spacing w:before="0" w:after="0"/>
              <w:rPr>
                <w:rFonts w:asciiTheme="majorHAnsi" w:hAnsiTheme="majorHAnsi" w:cstheme="majorHAnsi"/>
                <w:color w:val="FFFFFF" w:themeColor="background1"/>
                <w:lang w:eastAsia="en-AU"/>
              </w:rPr>
            </w:pPr>
            <w:r w:rsidRPr="00D52821">
              <w:rPr>
                <w:lang w:eastAsia="en-AU"/>
              </w:rPr>
              <w:t>RECOMMENDATION</w:t>
            </w:r>
          </w:p>
        </w:tc>
        <w:tc>
          <w:tcPr>
            <w:tcW w:w="4236" w:type="dxa"/>
            <w:tcBorders>
              <w:top w:val="nil"/>
              <w:bottom w:val="single" w:sz="24" w:space="0" w:color="00264D" w:themeColor="background2"/>
            </w:tcBorders>
            <w:shd w:val="clear" w:color="auto" w:fill="auto"/>
          </w:tcPr>
          <w:p w14:paraId="5C1A74BF" w14:textId="536F647E" w:rsidR="00CA090D" w:rsidRPr="00565759" w:rsidRDefault="00CA090D" w:rsidP="00170128">
            <w:pPr>
              <w:pStyle w:val="TableNheader"/>
              <w:spacing w:before="0" w:after="0"/>
              <w:rPr>
                <w:rFonts w:asciiTheme="majorHAnsi" w:hAnsiTheme="majorHAnsi" w:cstheme="majorHAnsi"/>
                <w:color w:val="FFFFFF" w:themeColor="background1"/>
                <w:szCs w:val="18"/>
                <w:lang w:eastAsia="en-AU"/>
              </w:rPr>
            </w:pPr>
            <w:r w:rsidRPr="00565759">
              <w:rPr>
                <w:szCs w:val="18"/>
                <w:lang w:eastAsia="en-AU"/>
              </w:rPr>
              <w:t>RATIONALE</w:t>
            </w:r>
          </w:p>
        </w:tc>
        <w:tc>
          <w:tcPr>
            <w:tcW w:w="1508" w:type="dxa"/>
            <w:tcBorders>
              <w:top w:val="nil"/>
              <w:bottom w:val="single" w:sz="24" w:space="0" w:color="00264D" w:themeColor="background2"/>
            </w:tcBorders>
            <w:shd w:val="clear" w:color="auto" w:fill="auto"/>
          </w:tcPr>
          <w:p w14:paraId="5171345A" w14:textId="2BD52AA6" w:rsidR="00CA090D" w:rsidRPr="007A5B94" w:rsidRDefault="00643223" w:rsidP="007A5B94">
            <w:pPr>
              <w:spacing w:after="0"/>
              <w:rPr>
                <w:rFonts w:asciiTheme="majorHAnsi" w:hAnsiTheme="majorHAnsi" w:cstheme="majorHAnsi"/>
                <w:color w:val="FFFFFF" w:themeColor="background1"/>
                <w:sz w:val="18"/>
                <w:szCs w:val="18"/>
                <w:lang w:eastAsia="en-AU"/>
              </w:rPr>
            </w:pPr>
            <w:r w:rsidRPr="00565759">
              <w:rPr>
                <w:rFonts w:asciiTheme="majorHAnsi" w:hAnsiTheme="majorHAnsi" w:cstheme="majorHAnsi"/>
                <w:sz w:val="18"/>
                <w:szCs w:val="18"/>
                <w:lang w:eastAsia="en-AU"/>
              </w:rPr>
              <w:t xml:space="preserve">LEAD </w:t>
            </w:r>
            <w:r w:rsidR="007770F2" w:rsidRPr="007A5B94">
              <w:rPr>
                <w:rFonts w:asciiTheme="majorHAnsi" w:hAnsiTheme="majorHAnsi" w:cstheme="majorHAnsi"/>
                <w:sz w:val="18"/>
                <w:szCs w:val="18"/>
                <w:lang w:eastAsia="en-AU"/>
              </w:rPr>
              <w:t>RESPONSIBILITY</w:t>
            </w:r>
          </w:p>
        </w:tc>
      </w:tr>
      <w:tr w:rsidR="00CA090D" w14:paraId="47C7FEEC" w14:textId="2EC775E1" w:rsidTr="006C3A51">
        <w:tc>
          <w:tcPr>
            <w:tcW w:w="7015" w:type="dxa"/>
            <w:tcBorders>
              <w:top w:val="single" w:sz="24" w:space="0" w:color="00264D" w:themeColor="background2"/>
            </w:tcBorders>
            <w:shd w:val="clear" w:color="auto" w:fill="FF3A40" w:themeFill="accent1"/>
          </w:tcPr>
          <w:p w14:paraId="5A7FDA11" w14:textId="6253F900" w:rsidR="00CA090D" w:rsidRPr="00623868" w:rsidRDefault="00CA090D" w:rsidP="00623868">
            <w:r w:rsidRPr="00623868">
              <w:t>SERVICE INTAKE</w:t>
            </w:r>
          </w:p>
        </w:tc>
        <w:tc>
          <w:tcPr>
            <w:tcW w:w="4236" w:type="dxa"/>
            <w:tcBorders>
              <w:top w:val="single" w:sz="24" w:space="0" w:color="00264D" w:themeColor="background2"/>
              <w:bottom w:val="single" w:sz="8" w:space="0" w:color="E6E6E1" w:themeColor="accent5"/>
            </w:tcBorders>
            <w:shd w:val="clear" w:color="auto" w:fill="FF3A40" w:themeFill="accent1"/>
          </w:tcPr>
          <w:p w14:paraId="75DD98C3" w14:textId="77777777" w:rsidR="00CA090D" w:rsidRPr="00BC6E64" w:rsidRDefault="00CA090D">
            <w:pPr>
              <w:pStyle w:val="TableNText"/>
              <w:rPr>
                <w:rFonts w:asciiTheme="majorHAnsi" w:hAnsiTheme="majorHAnsi" w:cstheme="majorHAnsi"/>
                <w:color w:val="FFFFFF" w:themeColor="background1"/>
                <w:lang w:eastAsia="en-AU"/>
              </w:rPr>
            </w:pPr>
          </w:p>
        </w:tc>
        <w:tc>
          <w:tcPr>
            <w:tcW w:w="1508" w:type="dxa"/>
            <w:tcBorders>
              <w:bottom w:val="single" w:sz="8" w:space="0" w:color="E6E6E1" w:themeColor="accent5"/>
            </w:tcBorders>
            <w:shd w:val="clear" w:color="auto" w:fill="FF3A40" w:themeFill="accent1"/>
          </w:tcPr>
          <w:p w14:paraId="350216B3" w14:textId="77777777" w:rsidR="00CA090D" w:rsidRPr="00565759" w:rsidRDefault="00CA090D">
            <w:pPr>
              <w:rPr>
                <w:rFonts w:asciiTheme="majorHAnsi" w:hAnsiTheme="majorHAnsi" w:cstheme="majorHAnsi"/>
                <w:color w:val="FFFFFF" w:themeColor="background1"/>
                <w:sz w:val="16"/>
                <w:szCs w:val="16"/>
                <w:lang w:eastAsia="en-AU"/>
              </w:rPr>
            </w:pPr>
          </w:p>
        </w:tc>
      </w:tr>
      <w:tr w:rsidR="00A66C73" w14:paraId="1BADE385" w14:textId="77777777" w:rsidTr="006C3A51">
        <w:tc>
          <w:tcPr>
            <w:tcW w:w="7015" w:type="dxa"/>
          </w:tcPr>
          <w:p w14:paraId="066F5FD1" w14:textId="325FE30F" w:rsidR="00A66C73" w:rsidRPr="00623868" w:rsidRDefault="00B07D2C" w:rsidP="00623868">
            <w:r w:rsidRPr="00623868">
              <w:t xml:space="preserve">1. </w:t>
            </w:r>
            <w:r w:rsidR="00A66C73" w:rsidRPr="00623868">
              <w:t xml:space="preserve">Broaden inbound referral pathways so that individuals can be referred from community-based referral pathways such as GPs, ambulance, crisis hotlines, </w:t>
            </w:r>
            <w:r w:rsidR="00AC290D" w:rsidRPr="00623868">
              <w:t>ACC</w:t>
            </w:r>
            <w:r w:rsidR="008A6C06" w:rsidRPr="00623868">
              <w:t xml:space="preserve">HOs, AMSs, </w:t>
            </w:r>
            <w:r w:rsidR="00A66C73" w:rsidRPr="00623868">
              <w:t xml:space="preserve">and other </w:t>
            </w:r>
            <w:r w:rsidR="00AC290D" w:rsidRPr="00623868">
              <w:t>mental health service providers</w:t>
            </w:r>
            <w:r w:rsidR="00A66C73" w:rsidRPr="00623868">
              <w:t xml:space="preserve">. (Interim report recommendation 13). </w:t>
            </w:r>
          </w:p>
          <w:p w14:paraId="79BB88B3" w14:textId="69B2DF7F" w:rsidR="00A66C73" w:rsidRPr="00623868" w:rsidRDefault="00A66C73" w:rsidP="00623868">
            <w:r w:rsidRPr="00623868">
              <w:t>States</w:t>
            </w:r>
            <w:r w:rsidR="00E76B25" w:rsidRPr="00623868">
              <w:t xml:space="preserve"> and territories</w:t>
            </w:r>
            <w:r w:rsidRPr="00623868">
              <w:t xml:space="preserve"> should work with the providers to identify</w:t>
            </w:r>
            <w:r w:rsidR="00CD7799" w:rsidRPr="00623868">
              <w:t xml:space="preserve"> and resource</w:t>
            </w:r>
            <w:r w:rsidRPr="00623868">
              <w:t xml:space="preserve"> opportunities to broaden inbound referral pathways appropriate for their local context.</w:t>
            </w:r>
          </w:p>
          <w:p w14:paraId="53325FE6" w14:textId="26518A7D" w:rsidR="00A66C73" w:rsidRDefault="00A66C73" w:rsidP="00A66C73">
            <w:pPr>
              <w:pStyle w:val="TableNText"/>
              <w:rPr>
                <w:rFonts w:asciiTheme="majorHAnsi" w:hAnsiTheme="majorHAnsi" w:cstheme="majorHAnsi"/>
              </w:rPr>
            </w:pPr>
            <w:r>
              <w:rPr>
                <w:rFonts w:asciiTheme="minorHAnsi" w:hAnsiTheme="minorHAnsi" w:cstheme="minorHAnsi"/>
                <w:lang w:eastAsia="en-AU"/>
              </w:rPr>
              <w:t xml:space="preserve">Commissioners should ensure that referral pathways have clear governance </w:t>
            </w:r>
            <w:r w:rsidR="00384DE7">
              <w:rPr>
                <w:rFonts w:asciiTheme="minorHAnsi" w:hAnsiTheme="minorHAnsi" w:cstheme="minorHAnsi"/>
                <w:lang w:eastAsia="en-AU"/>
              </w:rPr>
              <w:t xml:space="preserve">arrangements </w:t>
            </w:r>
            <w:r>
              <w:rPr>
                <w:rFonts w:asciiTheme="minorHAnsi" w:hAnsiTheme="minorHAnsi" w:cstheme="minorHAnsi"/>
                <w:lang w:eastAsia="en-AU"/>
              </w:rPr>
              <w:t>on who holds responsibility for the participant during handover.</w:t>
            </w:r>
          </w:p>
        </w:tc>
        <w:tc>
          <w:tcPr>
            <w:tcW w:w="4236" w:type="dxa"/>
            <w:tcBorders>
              <w:right w:val="single" w:sz="8" w:space="0" w:color="E6E6E1" w:themeColor="accent5"/>
            </w:tcBorders>
          </w:tcPr>
          <w:p w14:paraId="5EB95875" w14:textId="03E46900" w:rsidR="00A66C73" w:rsidRPr="00240AAC" w:rsidRDefault="00A66C73" w:rsidP="00A66C73">
            <w:pPr>
              <w:pStyle w:val="TableNText"/>
              <w:rPr>
                <w:lang w:eastAsia="en-AU"/>
              </w:rPr>
            </w:pPr>
            <w:r w:rsidRPr="00240AAC">
              <w:rPr>
                <w:lang w:eastAsia="en-AU"/>
              </w:rPr>
              <w:t xml:space="preserve">Evidence and insights from consultations highlighted that people would greatly benefit from access to The Way Back from alternate referral pathways such as GPs, ambulance, crisis hotlines and other </w:t>
            </w:r>
            <w:r w:rsidR="00D76172">
              <w:rPr>
                <w:lang w:eastAsia="en-AU"/>
              </w:rPr>
              <w:t>psychosocial</w:t>
            </w:r>
            <w:r w:rsidRPr="00240AAC">
              <w:rPr>
                <w:lang w:eastAsia="en-AU"/>
              </w:rPr>
              <w:t xml:space="preserve"> services. </w:t>
            </w:r>
          </w:p>
          <w:p w14:paraId="4E95D00C" w14:textId="3D553FA4" w:rsidR="00A66C73" w:rsidRDefault="229EF9AD" w:rsidP="00A66C73">
            <w:pPr>
              <w:pStyle w:val="TableNText"/>
            </w:pPr>
            <w:r w:rsidRPr="4484DABD">
              <w:rPr>
                <w:lang w:eastAsia="en-AU"/>
              </w:rPr>
              <w:t xml:space="preserve">This </w:t>
            </w:r>
            <w:r w:rsidR="5E87C39D" w:rsidRPr="4484DABD">
              <w:rPr>
                <w:lang w:eastAsia="en-AU"/>
              </w:rPr>
              <w:t xml:space="preserve">may increase access to the service for </w:t>
            </w:r>
            <w:r w:rsidRPr="4484DABD">
              <w:rPr>
                <w:lang w:eastAsia="en-AU"/>
              </w:rPr>
              <w:t>some cohorts</w:t>
            </w:r>
            <w:r w:rsidR="5E87C39D" w:rsidRPr="4484DABD">
              <w:rPr>
                <w:lang w:eastAsia="en-AU"/>
              </w:rPr>
              <w:t xml:space="preserve"> such as</w:t>
            </w:r>
            <w:r w:rsidRPr="4484DABD">
              <w:rPr>
                <w:lang w:eastAsia="en-AU"/>
              </w:rPr>
              <w:t xml:space="preserve"> Aboriginal and Torres Strait Islander people</w:t>
            </w:r>
            <w:r w:rsidRPr="0C58547B">
              <w:rPr>
                <w:lang w:eastAsia="en-AU"/>
              </w:rPr>
              <w:t xml:space="preserve"> who are less likely to present to E</w:t>
            </w:r>
            <w:r w:rsidR="00C3674E">
              <w:rPr>
                <w:lang w:eastAsia="en-AU"/>
              </w:rPr>
              <w:t>d</w:t>
            </w:r>
            <w:r w:rsidRPr="0C58547B">
              <w:rPr>
                <w:lang w:eastAsia="en-AU"/>
              </w:rPr>
              <w:t>s when experiencing suicidal crisis</w:t>
            </w:r>
            <w:r w:rsidR="008A6C06">
              <w:rPr>
                <w:lang w:eastAsia="en-AU"/>
              </w:rPr>
              <w:t xml:space="preserve"> given the history of institutional racism experienced </w:t>
            </w:r>
            <w:r w:rsidR="00EB72F3">
              <w:rPr>
                <w:lang w:eastAsia="en-AU"/>
              </w:rPr>
              <w:t>by this cohort.</w:t>
            </w:r>
          </w:p>
        </w:tc>
        <w:tc>
          <w:tcPr>
            <w:tcW w:w="1508" w:type="dxa"/>
            <w:tcBorders>
              <w:left w:val="single" w:sz="8" w:space="0" w:color="E6E6E1" w:themeColor="accent5"/>
            </w:tcBorders>
            <w:shd w:val="clear" w:color="auto" w:fill="F2F2F2" w:themeFill="background1" w:themeFillShade="F2"/>
          </w:tcPr>
          <w:p w14:paraId="01CC17EF" w14:textId="5AC6D82E" w:rsidR="00A66C73" w:rsidRPr="00517576" w:rsidRDefault="00517576" w:rsidP="00517576">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Pr>
                <w:rFonts w:asciiTheme="majorHAnsi" w:hAnsiTheme="majorHAnsi" w:cstheme="majorHAnsi"/>
                <w:noProof/>
                <w:color w:val="00264D" w:themeColor="background2"/>
                <w:sz w:val="16"/>
                <w:szCs w:val="16"/>
              </w:rPr>
              <w:t xml:space="preserve"> AND AGED CARE</w:t>
            </w:r>
          </w:p>
          <w:p w14:paraId="7D960F9D" w14:textId="77777777" w:rsidR="005A6364" w:rsidRPr="00565759" w:rsidRDefault="005A6364" w:rsidP="0026656C">
            <w:pPr>
              <w:spacing w:after="60" w:line="257" w:lineRule="auto"/>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 xml:space="preserve">STATES AND TERRITORIES </w:t>
            </w:r>
          </w:p>
          <w:p w14:paraId="645B3FDD" w14:textId="67D86C2E" w:rsidR="00A66C73" w:rsidRPr="00565759" w:rsidRDefault="00E76B25" w:rsidP="007A5B94">
            <w:pPr>
              <w:rPr>
                <w:sz w:val="16"/>
                <w:szCs w:val="16"/>
                <w:lang w:eastAsia="en-AU"/>
              </w:rPr>
            </w:pPr>
            <w:r>
              <w:rPr>
                <w:rFonts w:asciiTheme="majorHAnsi" w:hAnsiTheme="majorHAnsi" w:cstheme="majorHAnsi"/>
                <w:noProof/>
                <w:color w:val="00264D" w:themeColor="background2"/>
                <w:sz w:val="16"/>
                <w:szCs w:val="16"/>
              </w:rPr>
              <w:t>SERVICE COMMISSIONERS</w:t>
            </w:r>
          </w:p>
        </w:tc>
      </w:tr>
      <w:tr w:rsidR="00A66C73" w14:paraId="6BF66677" w14:textId="4EF2348C" w:rsidTr="006C3A51">
        <w:tc>
          <w:tcPr>
            <w:tcW w:w="7015" w:type="dxa"/>
          </w:tcPr>
          <w:p w14:paraId="7A4C480D" w14:textId="435028F1" w:rsidR="00A66C73" w:rsidRPr="00A66C73" w:rsidRDefault="00194796" w:rsidP="00D625A4">
            <w:pPr>
              <w:pStyle w:val="TableNText"/>
            </w:pPr>
            <w:r>
              <w:rPr>
                <w:rFonts w:asciiTheme="majorHAnsi" w:hAnsiTheme="majorHAnsi" w:cstheme="majorBidi"/>
              </w:rPr>
              <w:t xml:space="preserve">2. </w:t>
            </w:r>
            <w:r w:rsidR="229EF9AD" w:rsidRPr="0C58547B">
              <w:rPr>
                <w:rFonts w:asciiTheme="majorHAnsi" w:hAnsiTheme="majorHAnsi" w:cstheme="majorBidi"/>
              </w:rPr>
              <w:t xml:space="preserve">Reduce the average length of time between the initial contact with the </w:t>
            </w:r>
            <w:r w:rsidR="4C051705" w:rsidRPr="66147BD5">
              <w:rPr>
                <w:rFonts w:asciiTheme="majorHAnsi" w:hAnsiTheme="majorHAnsi" w:cstheme="majorBidi"/>
              </w:rPr>
              <w:t>participant</w:t>
            </w:r>
            <w:r w:rsidR="6F312556" w:rsidRPr="66147BD5">
              <w:rPr>
                <w:rFonts w:asciiTheme="majorHAnsi" w:hAnsiTheme="majorHAnsi" w:cstheme="majorBidi"/>
              </w:rPr>
              <w:t xml:space="preserve"> </w:t>
            </w:r>
            <w:r w:rsidR="229EF9AD" w:rsidRPr="0C58547B">
              <w:rPr>
                <w:rFonts w:asciiTheme="majorHAnsi" w:hAnsiTheme="majorHAnsi" w:cstheme="majorBidi"/>
              </w:rPr>
              <w:t xml:space="preserve">and service delivery. </w:t>
            </w:r>
            <w:r w:rsidR="229EF9AD" w:rsidRPr="0C58547B">
              <w:rPr>
                <w:i/>
                <w:iCs/>
              </w:rPr>
              <w:t xml:space="preserve">(Interim </w:t>
            </w:r>
            <w:r w:rsidR="20BA2EEF" w:rsidRPr="0C58547B">
              <w:rPr>
                <w:i/>
                <w:iCs/>
              </w:rPr>
              <w:t>r</w:t>
            </w:r>
            <w:r w:rsidR="229EF9AD" w:rsidRPr="0C58547B">
              <w:rPr>
                <w:i/>
                <w:iCs/>
              </w:rPr>
              <w:t xml:space="preserve">eport </w:t>
            </w:r>
            <w:r w:rsidR="20BA2EEF" w:rsidRPr="0C58547B">
              <w:rPr>
                <w:i/>
                <w:iCs/>
              </w:rPr>
              <w:t>r</w:t>
            </w:r>
            <w:r w:rsidR="229EF9AD" w:rsidRPr="0C58547B">
              <w:rPr>
                <w:i/>
                <w:iCs/>
              </w:rPr>
              <w:t xml:space="preserve">ecommendation 4). </w:t>
            </w:r>
          </w:p>
          <w:p w14:paraId="64AF88E3" w14:textId="6F2D8840" w:rsidR="00A66C73" w:rsidRPr="00A66C73" w:rsidRDefault="00A66C73" w:rsidP="00A850D8">
            <w:pPr>
              <w:pStyle w:val="TableNBullet"/>
              <w:numPr>
                <w:ilvl w:val="0"/>
                <w:numId w:val="0"/>
              </w:numPr>
            </w:pPr>
            <w:r w:rsidRPr="00A66C73">
              <w:t>Commissioners to:</w:t>
            </w:r>
          </w:p>
          <w:p w14:paraId="3D23542B" w14:textId="14611F11" w:rsidR="00A66C73" w:rsidRPr="00A66C73" w:rsidRDefault="229EF9AD" w:rsidP="00B729F5">
            <w:pPr>
              <w:pStyle w:val="TableNBullet"/>
              <w:numPr>
                <w:ilvl w:val="1"/>
                <w:numId w:val="1"/>
              </w:numPr>
            </w:pPr>
            <w:r>
              <w:t>Work with providers and referring health services to ensure the service is available to people who choose to access it within that immediate period of heightened distress/risk</w:t>
            </w:r>
            <w:r w:rsidR="00A80D52">
              <w:t>, a</w:t>
            </w:r>
            <w:r w:rsidR="005D3235">
              <w:t xml:space="preserve">s per the original model of service. </w:t>
            </w:r>
          </w:p>
          <w:p w14:paraId="0F60B816" w14:textId="77777777" w:rsidR="00A66C73" w:rsidRPr="00A66C73" w:rsidRDefault="00A66C73" w:rsidP="00B729F5">
            <w:pPr>
              <w:pStyle w:val="TableNBullet"/>
              <w:numPr>
                <w:ilvl w:val="1"/>
                <w:numId w:val="1"/>
              </w:numPr>
            </w:pPr>
            <w:r w:rsidRPr="00A66C73">
              <w:t xml:space="preserve">Work with providers to support reductions in the average amount of time between initial contact and first service engagement (noting some participants may choose to have a greater length of time before engaging). </w:t>
            </w:r>
          </w:p>
          <w:p w14:paraId="16D6B776" w14:textId="7F3BDBAD" w:rsidR="00A66C73" w:rsidRPr="00A66C73" w:rsidRDefault="229EF9AD" w:rsidP="00B729F5">
            <w:pPr>
              <w:pStyle w:val="TableNBullet"/>
              <w:numPr>
                <w:ilvl w:val="1"/>
                <w:numId w:val="1"/>
              </w:numPr>
            </w:pPr>
            <w:r>
              <w:t>Work with providers to ensure data collection for this period (between initial contact and actual service engagement) is captured more consistently and accurately</w:t>
            </w:r>
            <w:r w:rsidR="006072E8">
              <w:t>.</w:t>
            </w:r>
            <w:r>
              <w:t xml:space="preserve"> </w:t>
            </w:r>
          </w:p>
          <w:p w14:paraId="02E9E6BE" w14:textId="52F9F1EE" w:rsidR="00A66C73" w:rsidRPr="00A66C73" w:rsidRDefault="229EF9AD" w:rsidP="00B729F5">
            <w:pPr>
              <w:pStyle w:val="TableNBullet"/>
              <w:numPr>
                <w:ilvl w:val="1"/>
                <w:numId w:val="1"/>
              </w:numPr>
            </w:pPr>
            <w:r>
              <w:t>Support providers and referring health services to develop interim supports/</w:t>
            </w:r>
            <w:r w:rsidR="00E50A38">
              <w:t>tools (</w:t>
            </w:r>
            <w:r w:rsidR="0026656C">
              <w:t>for example, psychoeducation or referral to alternative services)</w:t>
            </w:r>
            <w:r>
              <w:t xml:space="preserve"> to participants where service delivery cannot be delivered immediately after contact (if not already in place).</w:t>
            </w:r>
          </w:p>
          <w:p w14:paraId="0E526A91" w14:textId="381EFC28" w:rsidR="00A66C73" w:rsidRPr="00A66C73" w:rsidRDefault="41B570AC" w:rsidP="006072E8">
            <w:pPr>
              <w:pStyle w:val="TableNBullet"/>
            </w:pPr>
            <w:r>
              <w:lastRenderedPageBreak/>
              <w:t xml:space="preserve">The Australian Department of Health </w:t>
            </w:r>
            <w:r w:rsidR="00C3674E">
              <w:t xml:space="preserve">and Aged Care </w:t>
            </w:r>
            <w:r>
              <w:t xml:space="preserve">to refine aftercare </w:t>
            </w:r>
            <w:r w:rsidR="1DC42839">
              <w:t xml:space="preserve">service delivery model </w:t>
            </w:r>
            <w:r>
              <w:t>to ensure it is more explicit around the service intent for both immediate contact and immediate or rapid engagement.</w:t>
            </w:r>
          </w:p>
        </w:tc>
        <w:tc>
          <w:tcPr>
            <w:tcW w:w="4236" w:type="dxa"/>
            <w:tcBorders>
              <w:right w:val="single" w:sz="8" w:space="0" w:color="E6E6E1" w:themeColor="accent5"/>
            </w:tcBorders>
          </w:tcPr>
          <w:p w14:paraId="0ACEF866" w14:textId="753F8AC7" w:rsidR="00A66C73" w:rsidRPr="00A66C73" w:rsidRDefault="229EF9AD" w:rsidP="00A66C73">
            <w:pPr>
              <w:pStyle w:val="TableNText"/>
            </w:pPr>
            <w:r>
              <w:lastRenderedPageBreak/>
              <w:t xml:space="preserve">It is important to align the original </w:t>
            </w:r>
            <w:r w:rsidR="0026656C">
              <w:t>service principles (timely support is critical managing risk) and evidence</w:t>
            </w:r>
            <w:r w:rsidR="0026656C">
              <w:rPr>
                <w:rStyle w:val="FootnoteReference"/>
              </w:rPr>
              <w:footnoteReference w:id="157"/>
            </w:r>
            <w:r w:rsidR="0026656C">
              <w:t xml:space="preserve"> </w:t>
            </w:r>
            <w:r>
              <w:t>around the criticality of immediate support for people who have attempted suicide or had a suicidal crisis.</w:t>
            </w:r>
          </w:p>
        </w:tc>
        <w:tc>
          <w:tcPr>
            <w:tcW w:w="1508" w:type="dxa"/>
            <w:tcBorders>
              <w:left w:val="single" w:sz="8" w:space="0" w:color="E6E6E1" w:themeColor="accent5"/>
            </w:tcBorders>
            <w:shd w:val="clear" w:color="auto" w:fill="F2F2F2" w:themeFill="background1" w:themeFillShade="F2"/>
          </w:tcPr>
          <w:p w14:paraId="3CD6B33B" w14:textId="6D4E3BC2" w:rsidR="00A66C73" w:rsidRPr="00565759" w:rsidRDefault="00E76B25" w:rsidP="0026656C">
            <w:pPr>
              <w:rPr>
                <w:sz w:val="16"/>
                <w:szCs w:val="16"/>
                <w:lang w:eastAsia="en-AU"/>
              </w:rPr>
            </w:pPr>
            <w:r>
              <w:rPr>
                <w:rFonts w:asciiTheme="majorHAnsi" w:hAnsiTheme="majorHAnsi" w:cstheme="majorHAnsi"/>
                <w:noProof/>
                <w:color w:val="00264D" w:themeColor="background2"/>
                <w:sz w:val="16"/>
                <w:szCs w:val="16"/>
              </w:rPr>
              <w:t xml:space="preserve">SERVICE </w:t>
            </w:r>
            <w:r w:rsidR="0026656C" w:rsidRPr="00565759">
              <w:rPr>
                <w:rFonts w:asciiTheme="majorHAnsi" w:hAnsiTheme="majorHAnsi" w:cstheme="majorHAnsi"/>
                <w:noProof/>
                <w:color w:val="00264D" w:themeColor="background2"/>
                <w:sz w:val="16"/>
                <w:szCs w:val="16"/>
              </w:rPr>
              <w:t>COMMISSIONERS</w:t>
            </w:r>
            <w:r w:rsidR="00214854" w:rsidRPr="00565759">
              <w:rPr>
                <w:rFonts w:asciiTheme="majorHAnsi" w:hAnsiTheme="majorHAnsi" w:cstheme="majorHAnsi"/>
                <w:noProof/>
                <w:color w:val="00264D" w:themeColor="background2"/>
                <w:sz w:val="16"/>
                <w:szCs w:val="16"/>
              </w:rPr>
              <w:t xml:space="preserve"> </w:t>
            </w:r>
          </w:p>
        </w:tc>
      </w:tr>
      <w:tr w:rsidR="0026656C" w14:paraId="04DA7475" w14:textId="77777777" w:rsidTr="006C3A51">
        <w:tc>
          <w:tcPr>
            <w:tcW w:w="7015" w:type="dxa"/>
          </w:tcPr>
          <w:p w14:paraId="5A8C4FC7" w14:textId="6890AEBB" w:rsidR="0026656C" w:rsidRPr="0C58547B" w:rsidRDefault="003802E5" w:rsidP="0026656C">
            <w:pPr>
              <w:pStyle w:val="TableNText"/>
              <w:rPr>
                <w:rFonts w:asciiTheme="majorHAnsi" w:hAnsiTheme="majorHAnsi" w:cstheme="majorBidi"/>
              </w:rPr>
            </w:pPr>
            <w:r>
              <w:rPr>
                <w:rFonts w:asciiTheme="majorHAnsi" w:hAnsiTheme="majorHAnsi" w:cstheme="majorHAnsi"/>
                <w:sz w:val="16"/>
                <w:szCs w:val="16"/>
              </w:rPr>
              <w:t xml:space="preserve">3. </w:t>
            </w:r>
            <w:r w:rsidR="00932AAA">
              <w:rPr>
                <w:rFonts w:asciiTheme="majorHAnsi" w:hAnsiTheme="majorHAnsi" w:cstheme="majorHAnsi"/>
                <w:sz w:val="16"/>
                <w:szCs w:val="16"/>
              </w:rPr>
              <w:t>F</w:t>
            </w:r>
            <w:r w:rsidR="0026656C">
              <w:rPr>
                <w:rFonts w:asciiTheme="majorHAnsi" w:hAnsiTheme="majorHAnsi" w:cstheme="majorHAnsi"/>
                <w:sz w:val="16"/>
                <w:szCs w:val="16"/>
              </w:rPr>
              <w:t xml:space="preserve">unding is made available </w:t>
            </w:r>
            <w:r w:rsidR="00932AAA">
              <w:rPr>
                <w:rFonts w:asciiTheme="majorHAnsi" w:hAnsiTheme="majorHAnsi" w:cstheme="majorHAnsi"/>
                <w:sz w:val="16"/>
                <w:szCs w:val="16"/>
              </w:rPr>
              <w:t xml:space="preserve">in future aftercare services </w:t>
            </w:r>
            <w:r w:rsidR="002E4310">
              <w:rPr>
                <w:rFonts w:asciiTheme="majorHAnsi" w:hAnsiTheme="majorHAnsi" w:cstheme="majorHAnsi"/>
                <w:sz w:val="16"/>
                <w:szCs w:val="16"/>
              </w:rPr>
              <w:t>for a</w:t>
            </w:r>
            <w:r w:rsidR="0026656C">
              <w:rPr>
                <w:rFonts w:asciiTheme="majorHAnsi" w:hAnsiTheme="majorHAnsi" w:cstheme="majorHAnsi"/>
                <w:sz w:val="16"/>
                <w:szCs w:val="16"/>
              </w:rPr>
              <w:t xml:space="preserve"> </w:t>
            </w:r>
            <w:r w:rsidR="0026656C" w:rsidRPr="00BC69F9">
              <w:rPr>
                <w:rFonts w:asciiTheme="majorHAnsi" w:hAnsiTheme="majorHAnsi" w:cstheme="majorHAnsi"/>
                <w:sz w:val="16"/>
                <w:szCs w:val="16"/>
              </w:rPr>
              <w:t xml:space="preserve">liaison officer role with sufficient FTE in all referring hospitals to make initial contact with </w:t>
            </w:r>
            <w:r w:rsidR="00E9058A">
              <w:rPr>
                <w:rFonts w:asciiTheme="majorHAnsi" w:hAnsiTheme="majorHAnsi" w:cstheme="majorHAnsi"/>
                <w:sz w:val="16"/>
                <w:szCs w:val="16"/>
              </w:rPr>
              <w:t xml:space="preserve">participants </w:t>
            </w:r>
            <w:r w:rsidR="0026656C" w:rsidRPr="00BC69F9">
              <w:rPr>
                <w:rFonts w:asciiTheme="majorHAnsi" w:hAnsiTheme="majorHAnsi" w:cstheme="majorHAnsi"/>
                <w:sz w:val="16"/>
                <w:szCs w:val="16"/>
              </w:rPr>
              <w:t xml:space="preserve">while they are in the </w:t>
            </w:r>
            <w:r w:rsidR="004D42CB">
              <w:rPr>
                <w:rFonts w:asciiTheme="majorHAnsi" w:hAnsiTheme="majorHAnsi" w:cstheme="majorHAnsi"/>
                <w:sz w:val="16"/>
                <w:szCs w:val="16"/>
              </w:rPr>
              <w:t>emergency department</w:t>
            </w:r>
            <w:r w:rsidR="0026656C" w:rsidRPr="00BC69F9">
              <w:rPr>
                <w:rFonts w:asciiTheme="majorHAnsi" w:hAnsiTheme="majorHAnsi" w:cstheme="majorHAnsi"/>
                <w:sz w:val="16"/>
                <w:szCs w:val="16"/>
              </w:rPr>
              <w:t xml:space="preserve"> or in-patient unit.</w:t>
            </w:r>
            <w:r w:rsidR="0026656C" w:rsidRPr="00BC69F9">
              <w:rPr>
                <w:sz w:val="16"/>
                <w:szCs w:val="16"/>
              </w:rPr>
              <w:t xml:space="preserve"> </w:t>
            </w:r>
            <w:r w:rsidR="0026656C" w:rsidRPr="0C58547B">
              <w:rPr>
                <w:i/>
                <w:iCs/>
              </w:rPr>
              <w:t xml:space="preserve">(Interim report recommendation </w:t>
            </w:r>
            <w:r w:rsidR="0026656C">
              <w:rPr>
                <w:i/>
                <w:iCs/>
              </w:rPr>
              <w:t>1</w:t>
            </w:r>
            <w:r w:rsidR="0026656C" w:rsidRPr="0C58547B">
              <w:rPr>
                <w:i/>
                <w:iCs/>
              </w:rPr>
              <w:t>).</w:t>
            </w:r>
          </w:p>
        </w:tc>
        <w:tc>
          <w:tcPr>
            <w:tcW w:w="4236" w:type="dxa"/>
            <w:tcBorders>
              <w:right w:val="single" w:sz="8" w:space="0" w:color="E6E6E1" w:themeColor="accent5"/>
            </w:tcBorders>
          </w:tcPr>
          <w:p w14:paraId="40F74FBE" w14:textId="2225EF1F" w:rsidR="0026656C" w:rsidRDefault="0026656C" w:rsidP="0026656C">
            <w:pPr>
              <w:pStyle w:val="TableNText"/>
              <w:rPr>
                <w:sz w:val="16"/>
                <w:szCs w:val="16"/>
              </w:rPr>
            </w:pPr>
            <w:r>
              <w:rPr>
                <w:sz w:val="16"/>
                <w:szCs w:val="16"/>
              </w:rPr>
              <w:t xml:space="preserve">Sites that had a funded hospital liaison officer in referring services were more likely to report effective referral pathways (see section </w:t>
            </w:r>
            <w:r w:rsidR="00C46368">
              <w:rPr>
                <w:sz w:val="16"/>
                <w:szCs w:val="16"/>
              </w:rPr>
              <w:fldChar w:fldCharType="begin"/>
            </w:r>
            <w:r w:rsidR="00C46368">
              <w:rPr>
                <w:sz w:val="16"/>
                <w:szCs w:val="16"/>
              </w:rPr>
              <w:instrText xml:space="preserve"> REF _Ref118127814 \n \h </w:instrText>
            </w:r>
            <w:r w:rsidR="00C46368">
              <w:rPr>
                <w:sz w:val="16"/>
                <w:szCs w:val="16"/>
              </w:rPr>
            </w:r>
            <w:r w:rsidR="00C46368">
              <w:rPr>
                <w:sz w:val="16"/>
                <w:szCs w:val="16"/>
              </w:rPr>
              <w:fldChar w:fldCharType="separate"/>
            </w:r>
            <w:r w:rsidR="00402362">
              <w:rPr>
                <w:sz w:val="16"/>
                <w:szCs w:val="16"/>
              </w:rPr>
              <w:t>9.2</w:t>
            </w:r>
            <w:r w:rsidR="00C46368">
              <w:rPr>
                <w:sz w:val="16"/>
                <w:szCs w:val="16"/>
              </w:rPr>
              <w:fldChar w:fldCharType="end"/>
            </w:r>
            <w:r>
              <w:rPr>
                <w:sz w:val="16"/>
                <w:szCs w:val="16"/>
              </w:rPr>
              <w:t>).</w:t>
            </w:r>
          </w:p>
          <w:p w14:paraId="53DD6CEB" w14:textId="7B0D2E5B" w:rsidR="0026656C" w:rsidRDefault="0026656C" w:rsidP="0026656C">
            <w:pPr>
              <w:pStyle w:val="TableNText"/>
            </w:pPr>
            <w:r>
              <w:rPr>
                <w:sz w:val="16"/>
                <w:szCs w:val="16"/>
              </w:rPr>
              <w:t>T</w:t>
            </w:r>
            <w:r w:rsidRPr="00BC69F9">
              <w:rPr>
                <w:sz w:val="16"/>
                <w:szCs w:val="16"/>
              </w:rPr>
              <w:t xml:space="preserve">his will </w:t>
            </w:r>
            <w:r>
              <w:rPr>
                <w:sz w:val="16"/>
                <w:szCs w:val="16"/>
              </w:rPr>
              <w:t xml:space="preserve">also help to </w:t>
            </w:r>
            <w:r w:rsidRPr="00BC69F9">
              <w:rPr>
                <w:sz w:val="16"/>
                <w:szCs w:val="16"/>
              </w:rPr>
              <w:t xml:space="preserve">build confidence and hope for </w:t>
            </w:r>
            <w:r>
              <w:rPr>
                <w:sz w:val="16"/>
                <w:szCs w:val="16"/>
              </w:rPr>
              <w:t xml:space="preserve">participants </w:t>
            </w:r>
            <w:r w:rsidRPr="00BC69F9">
              <w:rPr>
                <w:sz w:val="16"/>
                <w:szCs w:val="16"/>
              </w:rPr>
              <w:t xml:space="preserve">and their carers so that they have support arrangements in place prior to their discharge. It may also help to increase low uptake rates. Existing evidence (such as the Sax Institute 2019 Evidence Check) and </w:t>
            </w:r>
            <w:r>
              <w:rPr>
                <w:sz w:val="16"/>
                <w:szCs w:val="16"/>
              </w:rPr>
              <w:t xml:space="preserve">participant </w:t>
            </w:r>
            <w:r w:rsidRPr="00BC69F9">
              <w:rPr>
                <w:sz w:val="16"/>
                <w:szCs w:val="16"/>
              </w:rPr>
              <w:t>interviews indicated the importance of hope in recovery</w:t>
            </w:r>
            <w:r>
              <w:rPr>
                <w:sz w:val="16"/>
                <w:szCs w:val="16"/>
              </w:rPr>
              <w:t>.</w:t>
            </w:r>
          </w:p>
        </w:tc>
        <w:tc>
          <w:tcPr>
            <w:tcW w:w="1508" w:type="dxa"/>
            <w:tcBorders>
              <w:left w:val="single" w:sz="8" w:space="0" w:color="E6E6E1" w:themeColor="accent5"/>
            </w:tcBorders>
            <w:shd w:val="clear" w:color="auto" w:fill="F2F2F2" w:themeFill="background1" w:themeFillShade="F2"/>
          </w:tcPr>
          <w:p w14:paraId="43C2D261" w14:textId="56D0552F" w:rsidR="00186550" w:rsidRDefault="000A656E" w:rsidP="000A656E">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sidR="00BC70FB">
              <w:rPr>
                <w:rFonts w:asciiTheme="majorHAnsi" w:hAnsiTheme="majorHAnsi" w:cstheme="majorHAnsi"/>
                <w:noProof/>
                <w:color w:val="00264D" w:themeColor="background2"/>
                <w:sz w:val="16"/>
                <w:szCs w:val="16"/>
              </w:rPr>
              <w:t xml:space="preserve"> AND AGED CARE</w:t>
            </w:r>
          </w:p>
          <w:p w14:paraId="11F87BFE" w14:textId="77777777" w:rsidR="00CB0C9C" w:rsidRDefault="000A656E" w:rsidP="000A656E">
            <w:pPr>
              <w:spacing w:after="60" w:line="257" w:lineRule="auto"/>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 xml:space="preserve">STATES AND TERRITORIES </w:t>
            </w:r>
          </w:p>
          <w:p w14:paraId="70A8553A" w14:textId="7791084D" w:rsidR="0026656C" w:rsidRPr="00565759" w:rsidRDefault="0026656C" w:rsidP="0026656C">
            <w:pPr>
              <w:rPr>
                <w:noProof/>
                <w:sz w:val="16"/>
                <w:szCs w:val="16"/>
                <w:lang w:eastAsia="en-AU"/>
              </w:rPr>
            </w:pPr>
          </w:p>
        </w:tc>
      </w:tr>
      <w:tr w:rsidR="00A66C73" w14:paraId="00AB6F87" w14:textId="7570D04B" w:rsidTr="006C3A51">
        <w:tc>
          <w:tcPr>
            <w:tcW w:w="7015" w:type="dxa"/>
            <w:shd w:val="clear" w:color="auto" w:fill="F25E21" w:themeFill="accent2"/>
          </w:tcPr>
          <w:p w14:paraId="1709FFC4" w14:textId="704AAA86" w:rsidR="00A66C73" w:rsidRPr="00BC6E64" w:rsidRDefault="00A66C73" w:rsidP="00A66C73">
            <w:pPr>
              <w:pStyle w:val="TableNText"/>
              <w:rPr>
                <w:rFonts w:asciiTheme="majorHAnsi" w:hAnsiTheme="majorHAnsi" w:cstheme="majorHAnsi"/>
                <w:color w:val="FFFFFF" w:themeColor="background1"/>
              </w:rPr>
            </w:pPr>
            <w:r w:rsidRPr="007D7202">
              <w:rPr>
                <w:rFonts w:asciiTheme="majorHAnsi" w:hAnsiTheme="majorHAnsi" w:cstheme="majorHAnsi"/>
              </w:rPr>
              <w:t>SERVICE DELIVERY</w:t>
            </w:r>
          </w:p>
        </w:tc>
        <w:tc>
          <w:tcPr>
            <w:tcW w:w="4236" w:type="dxa"/>
            <w:shd w:val="clear" w:color="auto" w:fill="F25E21" w:themeFill="accent2"/>
          </w:tcPr>
          <w:p w14:paraId="75A5BD3E" w14:textId="77777777" w:rsidR="00A66C73" w:rsidRPr="00BC6E64" w:rsidRDefault="00A66C73" w:rsidP="00A66C73">
            <w:pPr>
              <w:pStyle w:val="TableNText"/>
              <w:rPr>
                <w:color w:val="FFFFFF" w:themeColor="background1"/>
              </w:rPr>
            </w:pPr>
          </w:p>
        </w:tc>
        <w:tc>
          <w:tcPr>
            <w:tcW w:w="1508" w:type="dxa"/>
            <w:shd w:val="clear" w:color="auto" w:fill="F25E21" w:themeFill="accent2"/>
          </w:tcPr>
          <w:p w14:paraId="03F3B3FA" w14:textId="77777777" w:rsidR="00A66C73" w:rsidRPr="00565759" w:rsidRDefault="00A66C73" w:rsidP="00A66C73">
            <w:pPr>
              <w:rPr>
                <w:color w:val="FFFFFF" w:themeColor="background1"/>
                <w:sz w:val="16"/>
                <w:szCs w:val="16"/>
                <w:lang w:eastAsia="en-AU"/>
              </w:rPr>
            </w:pPr>
          </w:p>
        </w:tc>
      </w:tr>
      <w:tr w:rsidR="00A66C73" w14:paraId="34DE2B30" w14:textId="2926FBCC" w:rsidTr="006C3A51">
        <w:tc>
          <w:tcPr>
            <w:tcW w:w="7015" w:type="dxa"/>
          </w:tcPr>
          <w:p w14:paraId="10E15EFC" w14:textId="4C789086" w:rsidR="00A66C73" w:rsidRDefault="00951478" w:rsidP="0C58547B">
            <w:pPr>
              <w:pStyle w:val="TableNText"/>
              <w:rPr>
                <w:rFonts w:asciiTheme="minorHAnsi" w:hAnsiTheme="minorHAnsi"/>
                <w:i/>
                <w:iCs/>
              </w:rPr>
            </w:pPr>
            <w:r>
              <w:rPr>
                <w:rFonts w:asciiTheme="majorHAnsi" w:hAnsiTheme="majorHAnsi" w:cstheme="majorBidi"/>
              </w:rPr>
              <w:t>4</w:t>
            </w:r>
            <w:r w:rsidR="229EF9AD" w:rsidRPr="0C58547B">
              <w:rPr>
                <w:rFonts w:asciiTheme="majorHAnsi" w:hAnsiTheme="majorHAnsi" w:cstheme="majorBidi"/>
              </w:rPr>
              <w:t xml:space="preserve">. Providers to increase the proportion of participants who have </w:t>
            </w:r>
            <w:r w:rsidR="007B2C7D">
              <w:rPr>
                <w:rFonts w:asciiTheme="majorHAnsi" w:hAnsiTheme="majorHAnsi" w:cstheme="majorBidi"/>
              </w:rPr>
              <w:t xml:space="preserve">a completed </w:t>
            </w:r>
            <w:r w:rsidR="229EF9AD" w:rsidRPr="0C58547B">
              <w:rPr>
                <w:rFonts w:asciiTheme="majorHAnsi" w:hAnsiTheme="majorHAnsi" w:cstheme="majorBidi"/>
              </w:rPr>
              <w:t xml:space="preserve">safety and support plan, where they have agreed </w:t>
            </w:r>
            <w:r w:rsidR="00616C1A">
              <w:rPr>
                <w:rFonts w:asciiTheme="majorHAnsi" w:hAnsiTheme="majorHAnsi" w:cstheme="majorBidi"/>
              </w:rPr>
              <w:t xml:space="preserve">to </w:t>
            </w:r>
            <w:r w:rsidR="229EF9AD" w:rsidRPr="0C58547B">
              <w:rPr>
                <w:rFonts w:asciiTheme="majorHAnsi" w:hAnsiTheme="majorHAnsi" w:cstheme="majorBidi"/>
              </w:rPr>
              <w:t>undertake them</w:t>
            </w:r>
            <w:r w:rsidR="00E44383">
              <w:rPr>
                <w:rFonts w:asciiTheme="majorHAnsi" w:hAnsiTheme="majorHAnsi" w:cstheme="majorBidi"/>
              </w:rPr>
              <w:t xml:space="preserve">, </w:t>
            </w:r>
            <w:r w:rsidR="00E44383" w:rsidRPr="00C961D9">
              <w:rPr>
                <w:rFonts w:asciiTheme="majorHAnsi" w:hAnsiTheme="majorHAnsi" w:cstheme="majorBidi"/>
              </w:rPr>
              <w:t>or that they have opportunity to share and update existing plans.</w:t>
            </w:r>
            <w:r w:rsidR="229EF9AD" w:rsidRPr="0C58547B">
              <w:rPr>
                <w:rFonts w:asciiTheme="majorHAnsi" w:hAnsiTheme="majorHAnsi" w:cstheme="majorBidi"/>
              </w:rPr>
              <w:t xml:space="preserve"> </w:t>
            </w:r>
            <w:r w:rsidR="229EF9AD" w:rsidRPr="0C58547B">
              <w:rPr>
                <w:rFonts w:asciiTheme="minorHAnsi" w:hAnsiTheme="minorHAnsi"/>
              </w:rPr>
              <w:t>(</w:t>
            </w:r>
            <w:r w:rsidR="229EF9AD" w:rsidRPr="0C58547B">
              <w:rPr>
                <w:rFonts w:asciiTheme="minorHAnsi" w:hAnsiTheme="minorHAnsi"/>
                <w:i/>
                <w:iCs/>
              </w:rPr>
              <w:t>Interim</w:t>
            </w:r>
            <w:r w:rsidR="20BA2EEF" w:rsidRPr="0C58547B">
              <w:rPr>
                <w:rFonts w:asciiTheme="minorHAnsi" w:hAnsiTheme="minorHAnsi"/>
                <w:i/>
                <w:iCs/>
              </w:rPr>
              <w:t xml:space="preserve"> r</w:t>
            </w:r>
            <w:r w:rsidR="229EF9AD" w:rsidRPr="0C58547B">
              <w:rPr>
                <w:rFonts w:asciiTheme="minorHAnsi" w:hAnsiTheme="minorHAnsi"/>
                <w:i/>
                <w:iCs/>
              </w:rPr>
              <w:t xml:space="preserve">eport </w:t>
            </w:r>
            <w:r w:rsidR="20BA2EEF" w:rsidRPr="0C58547B">
              <w:rPr>
                <w:rFonts w:asciiTheme="minorHAnsi" w:hAnsiTheme="minorHAnsi"/>
                <w:i/>
                <w:iCs/>
              </w:rPr>
              <w:t>r</w:t>
            </w:r>
            <w:r w:rsidR="229EF9AD" w:rsidRPr="0C58547B">
              <w:rPr>
                <w:rFonts w:asciiTheme="minorHAnsi" w:hAnsiTheme="minorHAnsi"/>
                <w:i/>
                <w:iCs/>
              </w:rPr>
              <w:t>ecommendation 2).</w:t>
            </w:r>
          </w:p>
          <w:p w14:paraId="75F2DBE0" w14:textId="0DA859BD" w:rsidR="00A66C73" w:rsidRDefault="00A66C73" w:rsidP="00A66C73">
            <w:pPr>
              <w:pStyle w:val="TableNText"/>
              <w:rPr>
                <w:szCs w:val="17"/>
              </w:rPr>
            </w:pPr>
            <w:r>
              <w:rPr>
                <w:szCs w:val="17"/>
              </w:rPr>
              <w:t>Providers should seek to improve to the coverage of safety and support planning (for participants who agree to develop them) through:</w:t>
            </w:r>
          </w:p>
          <w:p w14:paraId="476D2198" w14:textId="64C6F1AE" w:rsidR="00A66C73" w:rsidRDefault="229EF9AD" w:rsidP="00A66C73">
            <w:pPr>
              <w:pStyle w:val="TableNBullet"/>
            </w:pPr>
            <w:r>
              <w:t>Co-designing safety and support plans with participants to ensure it provides participants with the flexibility in how information is gathered and presented (</w:t>
            </w:r>
            <w:r w:rsidR="00EA2309">
              <w:t xml:space="preserve">for example, a less clinical focus, use of Beyond Now app, and use of more culturally appropriate models that are </w:t>
            </w:r>
            <w:proofErr w:type="gramStart"/>
            <w:r w:rsidR="00EA2309">
              <w:t>more visual and simple</w:t>
            </w:r>
            <w:proofErr w:type="gramEnd"/>
            <w:r w:rsidR="00EA2309">
              <w:t xml:space="preserve">). </w:t>
            </w:r>
          </w:p>
          <w:p w14:paraId="4A491061" w14:textId="209495FD" w:rsidR="00A66C73" w:rsidRPr="00810929" w:rsidRDefault="00A66C73" w:rsidP="00A66C73">
            <w:pPr>
              <w:pStyle w:val="TableNBullet"/>
              <w:rPr>
                <w:rFonts w:asciiTheme="majorHAnsi" w:hAnsiTheme="majorHAnsi" w:cstheme="majorHAnsi"/>
                <w:i/>
                <w:iCs/>
              </w:rPr>
            </w:pPr>
            <w:r>
              <w:t>Ensuring support coordinators provide the opportunity for participants to</w:t>
            </w:r>
            <w:r w:rsidR="00930819">
              <w:t xml:space="preserve"> share,</w:t>
            </w:r>
            <w:r>
              <w:t xml:space="preserve"> update and refine plans throughout their episode of service.</w:t>
            </w:r>
          </w:p>
          <w:p w14:paraId="45FB7A33" w14:textId="71936685" w:rsidR="00EA2309" w:rsidRPr="00C961D9" w:rsidRDefault="00EA2309" w:rsidP="00EA2309">
            <w:pPr>
              <w:pStyle w:val="TableNBullet"/>
              <w:rPr>
                <w:rFonts w:asciiTheme="majorHAnsi" w:hAnsiTheme="majorHAnsi" w:cstheme="majorHAnsi"/>
              </w:rPr>
            </w:pPr>
            <w:r w:rsidRPr="00C961D9">
              <w:t xml:space="preserve">Establishing information sharing processes with referring providers to access existing safety plans developed with participants prior to accessing the service. </w:t>
            </w:r>
          </w:p>
          <w:p w14:paraId="72D9E99F" w14:textId="0743C1C5" w:rsidR="00A66C73" w:rsidRPr="00623868" w:rsidRDefault="229EF9AD" w:rsidP="00623868">
            <w:r w:rsidRPr="00623868">
              <w:t>It should be noted that while PMHC MDS data on the completion of safety and support plans has limitations in coverage and completeness, it is still important to explore the extent to which adherence to safety and support planning can be improved at sites (for participants who choose to complete them).</w:t>
            </w:r>
          </w:p>
        </w:tc>
        <w:tc>
          <w:tcPr>
            <w:tcW w:w="4236" w:type="dxa"/>
          </w:tcPr>
          <w:p w14:paraId="2CE46376" w14:textId="2B3104BD" w:rsidR="00A66C73" w:rsidRDefault="00A66C73" w:rsidP="00A66C73">
            <w:pPr>
              <w:pStyle w:val="TableNText"/>
            </w:pPr>
            <w:r w:rsidRPr="00F0230E">
              <w:rPr>
                <w:szCs w:val="17"/>
              </w:rPr>
              <w:t xml:space="preserve">Completion of safety and support plans are a mandatory component of the service design (unless a </w:t>
            </w:r>
            <w:r>
              <w:rPr>
                <w:szCs w:val="17"/>
              </w:rPr>
              <w:t>participant</w:t>
            </w:r>
            <w:r w:rsidRPr="00F0230E">
              <w:rPr>
                <w:szCs w:val="17"/>
              </w:rPr>
              <w:t xml:space="preserve"> declines). As outlined in </w:t>
            </w:r>
            <w:r w:rsidRPr="00D5628C">
              <w:rPr>
                <w:szCs w:val="17"/>
              </w:rPr>
              <w:t>section</w:t>
            </w:r>
            <w:r w:rsidRPr="00F0230E">
              <w:rPr>
                <w:szCs w:val="17"/>
              </w:rPr>
              <w:t xml:space="preserve"> </w:t>
            </w:r>
            <w:r w:rsidR="00EA2309">
              <w:rPr>
                <w:szCs w:val="17"/>
              </w:rPr>
              <w:fldChar w:fldCharType="begin"/>
            </w:r>
            <w:r w:rsidR="00EA2309">
              <w:rPr>
                <w:szCs w:val="17"/>
              </w:rPr>
              <w:instrText xml:space="preserve"> REF _Ref118285879 \n \h  \* MERGEFORMAT </w:instrText>
            </w:r>
            <w:r w:rsidR="00EA2309">
              <w:rPr>
                <w:szCs w:val="17"/>
              </w:rPr>
            </w:r>
            <w:r w:rsidR="00EA2309">
              <w:rPr>
                <w:szCs w:val="17"/>
              </w:rPr>
              <w:fldChar w:fldCharType="separate"/>
            </w:r>
            <w:r w:rsidR="00402362">
              <w:rPr>
                <w:szCs w:val="17"/>
              </w:rPr>
              <w:t>10.1</w:t>
            </w:r>
            <w:r w:rsidR="00EA2309">
              <w:rPr>
                <w:szCs w:val="17"/>
              </w:rPr>
              <w:fldChar w:fldCharType="end"/>
            </w:r>
            <w:r w:rsidRPr="00F0230E">
              <w:rPr>
                <w:szCs w:val="17"/>
              </w:rPr>
              <w:t xml:space="preserve">, </w:t>
            </w:r>
            <w:r>
              <w:rPr>
                <w:szCs w:val="17"/>
              </w:rPr>
              <w:t xml:space="preserve">there was a </w:t>
            </w:r>
            <w:proofErr w:type="gramStart"/>
            <w:r>
              <w:rPr>
                <w:szCs w:val="17"/>
              </w:rPr>
              <w:t>lower than expected</w:t>
            </w:r>
            <w:proofErr w:type="gramEnd"/>
            <w:r>
              <w:rPr>
                <w:szCs w:val="17"/>
              </w:rPr>
              <w:t xml:space="preserve"> proportion of safety and support plans completed, As such, there is an opportunity to improve the number of safety and support plans that were offered to participants and completed.</w:t>
            </w:r>
          </w:p>
        </w:tc>
        <w:tc>
          <w:tcPr>
            <w:tcW w:w="1508" w:type="dxa"/>
            <w:shd w:val="clear" w:color="auto" w:fill="F2F2F2" w:themeFill="background1" w:themeFillShade="F2"/>
          </w:tcPr>
          <w:p w14:paraId="57969554" w14:textId="0A907B40" w:rsidR="00A66C73" w:rsidRPr="00565759" w:rsidRDefault="00EA2309" w:rsidP="00EA2309">
            <w:pPr>
              <w:rPr>
                <w:sz w:val="16"/>
                <w:szCs w:val="16"/>
                <w:highlight w:val="yellow"/>
                <w:lang w:eastAsia="en-AU"/>
              </w:rPr>
            </w:pPr>
            <w:r w:rsidRPr="00565759">
              <w:rPr>
                <w:rFonts w:asciiTheme="majorHAnsi" w:hAnsiTheme="majorHAnsi" w:cstheme="majorHAnsi"/>
                <w:noProof/>
                <w:color w:val="00264D" w:themeColor="background2"/>
                <w:sz w:val="16"/>
                <w:szCs w:val="16"/>
              </w:rPr>
              <w:t>PROVIDERS</w:t>
            </w:r>
          </w:p>
        </w:tc>
      </w:tr>
      <w:tr w:rsidR="00A66C73" w14:paraId="557FA4C5" w14:textId="7753894A" w:rsidTr="006C3A51">
        <w:tc>
          <w:tcPr>
            <w:tcW w:w="7015" w:type="dxa"/>
          </w:tcPr>
          <w:p w14:paraId="0F0B823F" w14:textId="0A34C216" w:rsidR="00A66C73" w:rsidRPr="00623868" w:rsidRDefault="00EA2C37" w:rsidP="00623868">
            <w:r w:rsidRPr="00623868">
              <w:lastRenderedPageBreak/>
              <w:t xml:space="preserve">5. </w:t>
            </w:r>
            <w:r w:rsidR="71DDD3D6" w:rsidRPr="00623868">
              <w:t>Investigate variations in aftercare service models</w:t>
            </w:r>
            <w:r w:rsidR="00E44383" w:rsidRPr="00623868">
              <w:t xml:space="preserve">, </w:t>
            </w:r>
            <w:r w:rsidR="00E940E7" w:rsidRPr="00623868">
              <w:t xml:space="preserve">within the scope </w:t>
            </w:r>
            <w:r w:rsidR="00CE4AC5" w:rsidRPr="00623868">
              <w:t xml:space="preserve">of the universal aftercare standards, </w:t>
            </w:r>
            <w:r w:rsidR="00E44383" w:rsidRPr="00623868">
              <w:t>including through co-design,</w:t>
            </w:r>
            <w:r w:rsidR="71DDD3D6" w:rsidRPr="00623868">
              <w:t xml:space="preserve"> that would lead to more significant improvements to </w:t>
            </w:r>
            <w:r w:rsidR="00E44383" w:rsidRPr="00623868">
              <w:t xml:space="preserve">service access and </w:t>
            </w:r>
            <w:r w:rsidR="71DDD3D6" w:rsidRPr="00623868">
              <w:t xml:space="preserve">outcomes </w:t>
            </w:r>
            <w:r w:rsidR="6030FAAB" w:rsidRPr="00623868">
              <w:t>for specific cohorts.</w:t>
            </w:r>
          </w:p>
          <w:p w14:paraId="63045A01" w14:textId="13DFD70D" w:rsidR="00A66C73" w:rsidRPr="00623868" w:rsidRDefault="1C2EEBCB" w:rsidP="00623868">
            <w:r w:rsidRPr="00623868">
              <w:t>Providers</w:t>
            </w:r>
            <w:r w:rsidR="004C44CB" w:rsidRPr="00623868">
              <w:t>, service commissioners and states and territories</w:t>
            </w:r>
            <w:r w:rsidR="2BC54E14" w:rsidRPr="00623868">
              <w:t xml:space="preserve"> to</w:t>
            </w:r>
            <w:r w:rsidRPr="00623868">
              <w:t xml:space="preserve">: </w:t>
            </w:r>
          </w:p>
          <w:p w14:paraId="05586FFF" w14:textId="1BF575C7" w:rsidR="00A66C73" w:rsidRPr="002B23C8" w:rsidRDefault="229EF9AD" w:rsidP="00B729F5">
            <w:pPr>
              <w:pStyle w:val="TableNBullet"/>
              <w:numPr>
                <w:ilvl w:val="1"/>
                <w:numId w:val="1"/>
              </w:numPr>
            </w:pPr>
            <w:r w:rsidRPr="002B23C8">
              <w:t>Engage and co-design with people who have experienced suicidality to better understand what makes them consent (or not consent) to aftercare services and identify opportunities to develop more accessible aftercare services.</w:t>
            </w:r>
            <w:r w:rsidR="0DADF8E9">
              <w:t xml:space="preserve"> Co-design should </w:t>
            </w:r>
            <w:r w:rsidR="1FADB4A4">
              <w:t>engage people to use their lived experience to identify their needs and design appropriate service models</w:t>
            </w:r>
            <w:r w:rsidR="0DADF8E9">
              <w:t xml:space="preserve">. </w:t>
            </w:r>
            <w:r w:rsidR="00772A3A">
              <w:t>Co</w:t>
            </w:r>
            <w:r w:rsidR="00496D2F">
              <w:t>-design should also be led by those that identify with these cohorts (</w:t>
            </w:r>
            <w:proofErr w:type="gramStart"/>
            <w:r w:rsidR="00496D2F">
              <w:t>i.e.</w:t>
            </w:r>
            <w:proofErr w:type="gramEnd"/>
            <w:r w:rsidR="00496D2F">
              <w:t xml:space="preserve"> Aboriginal and Torres Strait Islander) and should be culturally appropriate.</w:t>
            </w:r>
          </w:p>
          <w:p w14:paraId="607B1C09" w14:textId="6D1DE1A5" w:rsidR="00A66C73" w:rsidRPr="002B23C8" w:rsidRDefault="00A66C73" w:rsidP="00B729F5">
            <w:pPr>
              <w:pStyle w:val="TableNBullet"/>
              <w:numPr>
                <w:ilvl w:val="1"/>
                <w:numId w:val="1"/>
              </w:numPr>
            </w:pPr>
            <w:r w:rsidRPr="002B23C8">
              <w:t>Seek to understand the learnings from and impact of specific model variations that have been developed to support different cohorts to engage with and optimise outcomes from the service.</w:t>
            </w:r>
            <w:r w:rsidR="00194796">
              <w:t xml:space="preserve"> </w:t>
            </w:r>
            <w:r w:rsidR="00EA2309">
              <w:t>U</w:t>
            </w:r>
            <w:r w:rsidR="00EA2309" w:rsidRPr="002B23C8">
              <w:t>pdate</w:t>
            </w:r>
            <w:r w:rsidR="229EF9AD" w:rsidRPr="002B23C8">
              <w:t xml:space="preserve"> a participant’s record for any additional </w:t>
            </w:r>
            <w:r w:rsidR="00EA2309">
              <w:t xml:space="preserve">demographic </w:t>
            </w:r>
            <w:r w:rsidR="229EF9AD" w:rsidRPr="002B23C8">
              <w:t xml:space="preserve">information that is disclosed during their time </w:t>
            </w:r>
            <w:r w:rsidR="4B9D3287" w:rsidRPr="002B23C8">
              <w:t>with an aftercare service</w:t>
            </w:r>
            <w:r w:rsidR="00EA2309">
              <w:t xml:space="preserve"> before an episode is closed</w:t>
            </w:r>
            <w:r w:rsidR="229EF9AD" w:rsidRPr="002B23C8">
              <w:t xml:space="preserve">. </w:t>
            </w:r>
          </w:p>
        </w:tc>
        <w:tc>
          <w:tcPr>
            <w:tcW w:w="4236" w:type="dxa"/>
          </w:tcPr>
          <w:p w14:paraId="784A7322" w14:textId="08C60E0C" w:rsidR="00A66C73" w:rsidRPr="002B23C8" w:rsidRDefault="59E0D630" w:rsidP="00A66C73">
            <w:pPr>
              <w:pStyle w:val="TableNText"/>
            </w:pPr>
            <w:r>
              <w:t xml:space="preserve">The Way Back service model was not explicitly codesigned with priority cohorts identified </w:t>
            </w:r>
            <w:r w:rsidR="2551D948">
              <w:t>(</w:t>
            </w:r>
            <w:r>
              <w:t xml:space="preserve">Aboriginal and Torres Strait Islander people, </w:t>
            </w:r>
            <w:r w:rsidR="63DE064B">
              <w:t>and LGBTIQA+) and other cohorts of interest (for example, people from CALD backgrounds and veterans)</w:t>
            </w:r>
            <w:r w:rsidR="5D0EED71">
              <w:t>.</w:t>
            </w:r>
          </w:p>
          <w:p w14:paraId="5F37AFF9" w14:textId="3EED89A5" w:rsidR="2A6D812F" w:rsidRPr="00761DB4" w:rsidRDefault="2A6D812F" w:rsidP="006B7BBD">
            <w:pPr>
              <w:spacing w:line="254" w:lineRule="auto"/>
              <w:rPr>
                <w:rFonts w:eastAsia="Segoe UI" w:cs="Segoe UI"/>
                <w:sz w:val="17"/>
                <w:szCs w:val="17"/>
              </w:rPr>
            </w:pPr>
            <w:r w:rsidRPr="006D3929">
              <w:rPr>
                <w:rFonts w:eastAsia="Segoe UI" w:cs="Segoe UI"/>
                <w:sz w:val="17"/>
                <w:szCs w:val="17"/>
              </w:rPr>
              <w:t xml:space="preserve">The evaluation also found that The Way Back was less effective for participants </w:t>
            </w:r>
            <w:r w:rsidR="00EA2309">
              <w:rPr>
                <w:rFonts w:eastAsia="Segoe UI" w:cs="Segoe UI"/>
                <w:sz w:val="17"/>
                <w:szCs w:val="17"/>
              </w:rPr>
              <w:t xml:space="preserve">for some specific cohorts compared to the average participant across some outcome measures These included those with a reported </w:t>
            </w:r>
            <w:r w:rsidRPr="006D3929">
              <w:rPr>
                <w:rFonts w:eastAsia="Segoe UI" w:cs="Segoe UI"/>
                <w:sz w:val="17"/>
                <w:szCs w:val="17"/>
              </w:rPr>
              <w:t>diagnosed with a personality disorder, aged under 25, identified as male, and unemployed.</w:t>
            </w:r>
            <w:r w:rsidR="00EA2309">
              <w:rPr>
                <w:rFonts w:eastAsia="Segoe UI" w:cs="Segoe UI"/>
                <w:sz w:val="17"/>
                <w:szCs w:val="17"/>
              </w:rPr>
              <w:t xml:space="preserve"> It should be noted that The Way Back was also more effective for participants who identified as Aboriginal and Torres Strait Islander and lived in regional/remote locations compared to the average participant across some outcome measures.</w:t>
            </w:r>
          </w:p>
          <w:p w14:paraId="6DEF75E2" w14:textId="203872A3" w:rsidR="00A66C73" w:rsidRPr="00525F66" w:rsidRDefault="00A66C73" w:rsidP="00EA2309">
            <w:pPr>
              <w:pStyle w:val="TableNText"/>
            </w:pPr>
            <w:r w:rsidRPr="002B23C8">
              <w:t>Given the apparent low engagement from or identification of specific cohorts in the service and subsequently low involvement in the evaluation, the evaluation was limited in its ability to understand</w:t>
            </w:r>
            <w:r w:rsidR="00EA2309" w:rsidRPr="00525F66">
              <w:t xml:space="preserve"> </w:t>
            </w:r>
            <w:r w:rsidR="074C90BC" w:rsidRPr="002B23C8">
              <w:t xml:space="preserve">whether alternative service models would be appropriate to meet the needs of specific cohorts. </w:t>
            </w:r>
          </w:p>
        </w:tc>
        <w:tc>
          <w:tcPr>
            <w:tcW w:w="1508" w:type="dxa"/>
            <w:shd w:val="clear" w:color="auto" w:fill="F2F2F2" w:themeFill="background1" w:themeFillShade="F2"/>
          </w:tcPr>
          <w:p w14:paraId="29365C59" w14:textId="74717968" w:rsidR="006B0FB3" w:rsidRPr="006B0FB3" w:rsidRDefault="006B0FB3" w:rsidP="006B0FB3">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Pr>
                <w:rFonts w:asciiTheme="majorHAnsi" w:hAnsiTheme="majorHAnsi" w:cstheme="majorHAnsi"/>
                <w:noProof/>
                <w:color w:val="00264D" w:themeColor="background2"/>
                <w:sz w:val="16"/>
                <w:szCs w:val="16"/>
              </w:rPr>
              <w:t xml:space="preserve"> AND AGED CARE</w:t>
            </w:r>
          </w:p>
          <w:p w14:paraId="31733D15" w14:textId="2A200396" w:rsidR="00186550" w:rsidRDefault="00186550" w:rsidP="00186550">
            <w:pPr>
              <w:rPr>
                <w:rFonts w:asciiTheme="majorHAnsi" w:hAnsiTheme="majorHAnsi" w:cstheme="majorBidi"/>
                <w:noProof/>
                <w:color w:val="00264D" w:themeColor="background2"/>
                <w:sz w:val="16"/>
                <w:szCs w:val="16"/>
              </w:rPr>
            </w:pPr>
            <w:r>
              <w:rPr>
                <w:rFonts w:asciiTheme="majorHAnsi" w:hAnsiTheme="majorHAnsi" w:cstheme="majorBidi"/>
                <w:noProof/>
                <w:color w:val="00264D" w:themeColor="background2"/>
                <w:sz w:val="16"/>
                <w:szCs w:val="16"/>
                <w:lang w:eastAsia="en-AU"/>
              </w:rPr>
              <w:t>STATES AND TERRITORITIES</w:t>
            </w:r>
          </w:p>
          <w:p w14:paraId="797C0621" w14:textId="2CAAD9D3" w:rsidR="00186550" w:rsidRDefault="00186550" w:rsidP="00186550">
            <w:pPr>
              <w:rPr>
                <w:rFonts w:asciiTheme="majorHAnsi" w:hAnsiTheme="majorHAnsi" w:cstheme="majorBidi"/>
                <w:noProof/>
                <w:color w:val="00264D" w:themeColor="background2"/>
                <w:sz w:val="16"/>
                <w:szCs w:val="16"/>
                <w:lang w:eastAsia="en-AU"/>
              </w:rPr>
            </w:pPr>
            <w:r>
              <w:rPr>
                <w:rFonts w:asciiTheme="majorHAnsi" w:hAnsiTheme="majorHAnsi" w:cstheme="majorBidi"/>
                <w:noProof/>
                <w:color w:val="00264D" w:themeColor="background2"/>
                <w:sz w:val="16"/>
                <w:szCs w:val="16"/>
                <w:lang w:eastAsia="en-AU"/>
              </w:rPr>
              <w:t>SERVICE COMMISSIONERS</w:t>
            </w:r>
          </w:p>
          <w:p w14:paraId="5AC6C77B" w14:textId="56A9017C" w:rsidR="002435B3" w:rsidRPr="00565759" w:rsidRDefault="42BEDD74" w:rsidP="2375EFE3">
            <w:pPr>
              <w:rPr>
                <w:rFonts w:asciiTheme="majorHAnsi" w:hAnsiTheme="majorHAnsi" w:cstheme="majorBidi"/>
                <w:noProof/>
                <w:color w:val="00264D" w:themeColor="background2"/>
                <w:sz w:val="16"/>
                <w:szCs w:val="16"/>
              </w:rPr>
            </w:pPr>
            <w:r w:rsidRPr="2375EFE3">
              <w:rPr>
                <w:rFonts w:asciiTheme="majorHAnsi" w:hAnsiTheme="majorHAnsi" w:cstheme="majorBidi"/>
                <w:noProof/>
                <w:color w:val="00264D" w:themeColor="background2"/>
                <w:sz w:val="16"/>
                <w:szCs w:val="16"/>
              </w:rPr>
              <w:t>PROVIDERS</w:t>
            </w:r>
          </w:p>
        </w:tc>
      </w:tr>
      <w:tr w:rsidR="00A66C73" w14:paraId="24DA3B55" w14:textId="77777777" w:rsidTr="006C3A51">
        <w:tc>
          <w:tcPr>
            <w:tcW w:w="7015" w:type="dxa"/>
          </w:tcPr>
          <w:p w14:paraId="56D5B9F7" w14:textId="39C645D3" w:rsidR="00A66C73" w:rsidRPr="00623868" w:rsidRDefault="00951478" w:rsidP="00623868">
            <w:r w:rsidRPr="00623868">
              <w:t>6</w:t>
            </w:r>
            <w:r w:rsidR="00EA2309" w:rsidRPr="00623868">
              <w:t>.</w:t>
            </w:r>
            <w:r w:rsidR="4826B86F" w:rsidRPr="00623868">
              <w:t xml:space="preserve"> Continue to gather evidence to determine whether peer support should be included in the core service model for aftercare services.</w:t>
            </w:r>
          </w:p>
          <w:p w14:paraId="61FA673E" w14:textId="12A2DC46" w:rsidR="00A66C73" w:rsidRPr="00623868" w:rsidRDefault="00B450D3" w:rsidP="00623868">
            <w:r w:rsidRPr="00623868">
              <w:t xml:space="preserve">Evidence </w:t>
            </w:r>
            <w:r w:rsidR="007F7152" w:rsidRPr="00623868">
              <w:t xml:space="preserve">on peer support should also </w:t>
            </w:r>
            <w:r w:rsidR="0061624B" w:rsidRPr="00623868">
              <w:t>consider Aboriginal and Torres Strait Islander definition of lived experience.</w:t>
            </w:r>
            <w:r w:rsidR="0061624B" w:rsidRPr="00623868">
              <w:footnoteReference w:id="158"/>
            </w:r>
          </w:p>
        </w:tc>
        <w:tc>
          <w:tcPr>
            <w:tcW w:w="4236" w:type="dxa"/>
          </w:tcPr>
          <w:p w14:paraId="201E1FA1" w14:textId="0C6E751A" w:rsidR="00A66C73" w:rsidRPr="00761DB4" w:rsidRDefault="7B28A879" w:rsidP="5F0B1C35">
            <w:pPr>
              <w:pStyle w:val="TableNText"/>
              <w:rPr>
                <w:rFonts w:eastAsia="Segoe UI" w:cs="Segoe UI"/>
              </w:rPr>
            </w:pPr>
            <w:r w:rsidRPr="00761DB4">
              <w:rPr>
                <w:rFonts w:eastAsia="Segoe UI" w:cs="Segoe UI"/>
              </w:rPr>
              <w:t xml:space="preserve">The evaluation was unable to find strong evidence for the impact of peer support to improve participant outcomes during their time in The Way Back. </w:t>
            </w:r>
            <w:r w:rsidR="00EA2309">
              <w:rPr>
                <w:rFonts w:eastAsia="Segoe UI" w:cs="Segoe UI"/>
              </w:rPr>
              <w:t>There is also limited evidence available in the literature relating to the effectiveness of peer support models in aftercare services.</w:t>
            </w:r>
            <w:r w:rsidR="00EA2309">
              <w:rPr>
                <w:rStyle w:val="FootnoteReference"/>
                <w:rFonts w:eastAsia="Segoe UI" w:cs="Segoe UI"/>
              </w:rPr>
              <w:footnoteReference w:id="159"/>
            </w:r>
          </w:p>
          <w:p w14:paraId="50E68570" w14:textId="7F70B16D" w:rsidR="00A66C73" w:rsidRPr="00761DB4" w:rsidRDefault="7B28A879" w:rsidP="5F0B1C35">
            <w:pPr>
              <w:spacing w:line="254" w:lineRule="auto"/>
              <w:rPr>
                <w:rFonts w:eastAsia="Segoe UI" w:cs="Segoe UI"/>
                <w:sz w:val="17"/>
                <w:szCs w:val="17"/>
              </w:rPr>
            </w:pPr>
            <w:r w:rsidRPr="00EB04B1">
              <w:rPr>
                <w:rFonts w:eastAsia="Segoe UI" w:cs="Segoe UI"/>
                <w:sz w:val="17"/>
                <w:szCs w:val="17"/>
              </w:rPr>
              <w:t xml:space="preserve">Nous conducted a separate evaluation of the Peer Support Trial in 2021, which indicated that peer </w:t>
            </w:r>
            <w:r w:rsidRPr="00EB04B1">
              <w:rPr>
                <w:rFonts w:eastAsia="Segoe UI" w:cs="Segoe UI"/>
                <w:sz w:val="17"/>
                <w:szCs w:val="17"/>
              </w:rPr>
              <w:lastRenderedPageBreak/>
              <w:t>support improves participant experiences of the service</w:t>
            </w:r>
            <w:r w:rsidRPr="003359EA">
              <w:rPr>
                <w:rFonts w:eastAsia="Segoe UI" w:cs="Segoe UI"/>
                <w:sz w:val="17"/>
                <w:szCs w:val="17"/>
              </w:rPr>
              <w:t>.</w:t>
            </w:r>
            <w:r w:rsidRPr="00761DB4">
              <w:rPr>
                <w:rFonts w:eastAsia="Segoe UI" w:cs="Segoe UI"/>
                <w:sz w:val="17"/>
                <w:szCs w:val="17"/>
              </w:rPr>
              <w:t xml:space="preserve"> </w:t>
            </w:r>
          </w:p>
          <w:p w14:paraId="05E125B2" w14:textId="048F137B" w:rsidR="00A66C73" w:rsidRPr="002B23C8" w:rsidRDefault="7B28A879" w:rsidP="5F0B1C35">
            <w:pPr>
              <w:spacing w:line="254" w:lineRule="auto"/>
              <w:rPr>
                <w:rFonts w:eastAsia="Segoe UI" w:cs="Segoe UI"/>
                <w:sz w:val="17"/>
                <w:szCs w:val="17"/>
              </w:rPr>
            </w:pPr>
            <w:r w:rsidRPr="003359EA">
              <w:rPr>
                <w:rFonts w:eastAsia="Segoe UI" w:cs="Segoe UI"/>
                <w:sz w:val="17"/>
                <w:szCs w:val="17"/>
              </w:rPr>
              <w:t>This evaluation found that participants value</w:t>
            </w:r>
            <w:r w:rsidR="002F6E8A">
              <w:rPr>
                <w:rFonts w:eastAsia="Segoe UI" w:cs="Segoe UI"/>
                <w:sz w:val="17"/>
                <w:szCs w:val="17"/>
              </w:rPr>
              <w:t>d</w:t>
            </w:r>
            <w:r w:rsidRPr="003359EA">
              <w:rPr>
                <w:rFonts w:eastAsia="Segoe UI" w:cs="Segoe UI"/>
                <w:sz w:val="17"/>
                <w:szCs w:val="17"/>
              </w:rPr>
              <w:t xml:space="preserve"> the lived experience of support coordinators as it makes them ‘real’ and ‘relatable’.</w:t>
            </w:r>
            <w:r w:rsidRPr="002B23C8">
              <w:rPr>
                <w:rFonts w:eastAsia="Segoe UI" w:cs="Segoe UI"/>
                <w:sz w:val="17"/>
                <w:szCs w:val="17"/>
              </w:rPr>
              <w:t xml:space="preserve"> </w:t>
            </w:r>
            <w:r w:rsidR="00EA2309">
              <w:rPr>
                <w:rFonts w:eastAsia="Segoe UI" w:cs="Segoe UI"/>
                <w:sz w:val="17"/>
                <w:szCs w:val="17"/>
              </w:rPr>
              <w:t>Participants were also significantly more likely to complete their service episode</w:t>
            </w:r>
            <w:r w:rsidR="0091160C">
              <w:rPr>
                <w:rFonts w:eastAsia="Segoe UI" w:cs="Segoe UI"/>
                <w:sz w:val="17"/>
                <w:szCs w:val="17"/>
              </w:rPr>
              <w:t xml:space="preserve"> and have a </w:t>
            </w:r>
            <w:r w:rsidR="00820E3C">
              <w:rPr>
                <w:rFonts w:eastAsia="Segoe UI" w:cs="Segoe UI"/>
                <w:sz w:val="17"/>
                <w:szCs w:val="17"/>
              </w:rPr>
              <w:t>duration of service episode greater than 12 weeks</w:t>
            </w:r>
          </w:p>
          <w:p w14:paraId="5E57AB29" w14:textId="6369F779" w:rsidR="00A66C73" w:rsidRPr="006C3A51" w:rsidRDefault="7B28A879" w:rsidP="002800E2">
            <w:pPr>
              <w:spacing w:line="254" w:lineRule="auto"/>
              <w:rPr>
                <w:rFonts w:eastAsia="Segoe UI" w:cs="Segoe UI"/>
                <w:sz w:val="17"/>
                <w:szCs w:val="17"/>
              </w:rPr>
            </w:pPr>
            <w:r w:rsidRPr="00C031A4">
              <w:rPr>
                <w:rFonts w:eastAsia="Segoe UI" w:cs="Segoe UI"/>
                <w:sz w:val="17"/>
                <w:szCs w:val="17"/>
              </w:rPr>
              <w:t>The evaluation also found that improvements to outcomes for participants who received peer support during their engagement with The Way Back did not significantly differ from the average participant. However, the evaluation was limited in its ability to comment on the extent to which peer support models impacted participant outcomes given the limited sample size available to conduct this analysis</w:t>
            </w:r>
            <w:r w:rsidRPr="00892DE5">
              <w:rPr>
                <w:rFonts w:eastAsia="Segoe UI" w:cs="Segoe UI"/>
                <w:sz w:val="17"/>
                <w:szCs w:val="17"/>
              </w:rPr>
              <w:t xml:space="preserve"> (see section </w:t>
            </w:r>
            <w:r w:rsidR="00812B76">
              <w:rPr>
                <w:rFonts w:eastAsia="Segoe UI" w:cs="Segoe UI"/>
                <w:sz w:val="17"/>
                <w:szCs w:val="17"/>
              </w:rPr>
              <w:fldChar w:fldCharType="begin"/>
            </w:r>
            <w:r w:rsidR="00812B76">
              <w:rPr>
                <w:rFonts w:eastAsia="Segoe UI" w:cs="Segoe UI"/>
                <w:sz w:val="17"/>
                <w:szCs w:val="17"/>
              </w:rPr>
              <w:instrText xml:space="preserve"> REF _Ref118284967 \n \h </w:instrText>
            </w:r>
            <w:r w:rsidR="00812B76">
              <w:rPr>
                <w:rFonts w:eastAsia="Segoe UI" w:cs="Segoe UI"/>
                <w:sz w:val="17"/>
                <w:szCs w:val="17"/>
              </w:rPr>
            </w:r>
            <w:r w:rsidR="00812B76">
              <w:rPr>
                <w:rFonts w:eastAsia="Segoe UI" w:cs="Segoe UI"/>
                <w:sz w:val="17"/>
                <w:szCs w:val="17"/>
              </w:rPr>
              <w:fldChar w:fldCharType="separate"/>
            </w:r>
            <w:r w:rsidR="00402362">
              <w:rPr>
                <w:rFonts w:eastAsia="Segoe UI" w:cs="Segoe UI"/>
                <w:sz w:val="17"/>
                <w:szCs w:val="17"/>
              </w:rPr>
              <w:t>7.3</w:t>
            </w:r>
            <w:r w:rsidR="00812B76">
              <w:rPr>
                <w:rFonts w:eastAsia="Segoe UI" w:cs="Segoe UI"/>
                <w:sz w:val="17"/>
                <w:szCs w:val="17"/>
              </w:rPr>
              <w:fldChar w:fldCharType="end"/>
            </w:r>
            <w:r w:rsidRPr="00C031A4">
              <w:rPr>
                <w:rFonts w:eastAsia="Segoe UI" w:cs="Segoe UI"/>
                <w:sz w:val="17"/>
                <w:szCs w:val="17"/>
              </w:rPr>
              <w:t>).</w:t>
            </w:r>
          </w:p>
        </w:tc>
        <w:tc>
          <w:tcPr>
            <w:tcW w:w="1508" w:type="dxa"/>
            <w:shd w:val="clear" w:color="auto" w:fill="F2F2F2" w:themeFill="background1" w:themeFillShade="F2"/>
          </w:tcPr>
          <w:p w14:paraId="0F01A558" w14:textId="77777777" w:rsidR="00BC70FB" w:rsidRPr="00565759" w:rsidRDefault="00EA2309" w:rsidP="00BC70FB">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lastRenderedPageBreak/>
              <w:t>AUSTRALIAN DEPARTMENT OF HEALTH</w:t>
            </w:r>
            <w:r w:rsidR="00BC70FB">
              <w:rPr>
                <w:rFonts w:asciiTheme="majorHAnsi" w:hAnsiTheme="majorHAnsi" w:cstheme="majorHAnsi"/>
                <w:noProof/>
                <w:color w:val="00264D" w:themeColor="background2"/>
                <w:sz w:val="16"/>
                <w:szCs w:val="16"/>
              </w:rPr>
              <w:t xml:space="preserve"> AND AGED CARE</w:t>
            </w:r>
          </w:p>
          <w:p w14:paraId="7D3DBD93" w14:textId="7AC1FD0B" w:rsidR="00EA2309" w:rsidRDefault="00DA4D17" w:rsidP="00EA2309">
            <w:pPr>
              <w:spacing w:after="60"/>
              <w:rPr>
                <w:rFonts w:asciiTheme="majorHAnsi" w:hAnsiTheme="majorHAnsi" w:cstheme="majorHAnsi"/>
                <w:noProof/>
                <w:color w:val="00264D" w:themeColor="background2"/>
                <w:sz w:val="16"/>
                <w:szCs w:val="16"/>
              </w:rPr>
            </w:pPr>
            <w:r>
              <w:rPr>
                <w:rFonts w:asciiTheme="majorHAnsi" w:hAnsiTheme="majorHAnsi" w:cstheme="majorHAnsi"/>
                <w:noProof/>
                <w:color w:val="00264D" w:themeColor="background2"/>
                <w:sz w:val="16"/>
                <w:szCs w:val="16"/>
              </w:rPr>
              <w:t xml:space="preserve">STATES AND TERRITORIES </w:t>
            </w:r>
          </w:p>
          <w:p w14:paraId="7ABD7EE7" w14:textId="269CF183" w:rsidR="00DA4D17" w:rsidRPr="00565759" w:rsidRDefault="00AF324A" w:rsidP="00EA2309">
            <w:pPr>
              <w:spacing w:after="60"/>
              <w:rPr>
                <w:rFonts w:asciiTheme="majorHAnsi" w:hAnsiTheme="majorHAnsi" w:cstheme="majorHAnsi"/>
                <w:noProof/>
                <w:color w:val="00264D" w:themeColor="background2"/>
                <w:sz w:val="16"/>
                <w:szCs w:val="16"/>
              </w:rPr>
            </w:pPr>
            <w:r>
              <w:rPr>
                <w:rFonts w:asciiTheme="majorHAnsi" w:hAnsiTheme="majorHAnsi" w:cstheme="majorHAnsi"/>
                <w:noProof/>
                <w:color w:val="00264D" w:themeColor="background2"/>
                <w:sz w:val="16"/>
                <w:szCs w:val="16"/>
              </w:rPr>
              <w:t>SERVICE COMMISSIONERS</w:t>
            </w:r>
          </w:p>
          <w:p w14:paraId="644E247A" w14:textId="449EA896" w:rsidR="00A66C73" w:rsidRPr="00565759" w:rsidRDefault="00EA2309" w:rsidP="00EA2309">
            <w:pPr>
              <w:rPr>
                <w:sz w:val="16"/>
                <w:szCs w:val="16"/>
                <w:lang w:eastAsia="en-AU"/>
              </w:rPr>
            </w:pPr>
            <w:r w:rsidRPr="00565759">
              <w:rPr>
                <w:rFonts w:asciiTheme="majorHAnsi" w:hAnsiTheme="majorHAnsi" w:cstheme="majorHAnsi"/>
                <w:noProof/>
                <w:color w:val="00264D" w:themeColor="background2"/>
                <w:sz w:val="16"/>
                <w:szCs w:val="16"/>
              </w:rPr>
              <w:t>PROVIDERS</w:t>
            </w:r>
          </w:p>
        </w:tc>
      </w:tr>
      <w:tr w:rsidR="00A66C73" w14:paraId="74F63EB6" w14:textId="77777777" w:rsidTr="006C3A51">
        <w:tc>
          <w:tcPr>
            <w:tcW w:w="7015" w:type="dxa"/>
          </w:tcPr>
          <w:p w14:paraId="1AA823A7" w14:textId="160EE6D6" w:rsidR="00A66C73" w:rsidRPr="00623868" w:rsidRDefault="003610BB" w:rsidP="00623868">
            <w:r w:rsidRPr="00623868">
              <w:t xml:space="preserve">7. </w:t>
            </w:r>
            <w:r w:rsidR="229EF9AD" w:rsidRPr="00623868">
              <w:t xml:space="preserve">Consider including the </w:t>
            </w:r>
            <w:r w:rsidR="00353A4A" w:rsidRPr="00623868">
              <w:t xml:space="preserve">option of </w:t>
            </w:r>
            <w:r w:rsidR="229EF9AD" w:rsidRPr="00623868">
              <w:t>provision of support to participant support persons (</w:t>
            </w:r>
            <w:proofErr w:type="gramStart"/>
            <w:r w:rsidR="229EF9AD" w:rsidRPr="00623868">
              <w:t>i.e.</w:t>
            </w:r>
            <w:proofErr w:type="gramEnd"/>
            <w:r w:rsidR="229EF9AD" w:rsidRPr="00623868">
              <w:t xml:space="preserve"> families, friends, and carers)</w:t>
            </w:r>
            <w:r w:rsidR="00353A4A" w:rsidRPr="00623868">
              <w:t>, subject to participant consent</w:t>
            </w:r>
            <w:r w:rsidR="00874A54" w:rsidRPr="00623868">
              <w:t>,</w:t>
            </w:r>
            <w:r w:rsidR="229EF9AD" w:rsidRPr="00623868">
              <w:t xml:space="preserve"> </w:t>
            </w:r>
            <w:r w:rsidR="3649D1A6" w:rsidRPr="00623868">
              <w:t xml:space="preserve">in </w:t>
            </w:r>
            <w:r w:rsidR="229EF9AD" w:rsidRPr="00623868">
              <w:t>the core service model for aftercare services</w:t>
            </w:r>
            <w:r w:rsidR="00EA2309" w:rsidRPr="00623868">
              <w:t xml:space="preserve">. </w:t>
            </w:r>
          </w:p>
          <w:p w14:paraId="3C21D3AE" w14:textId="0EF02C89" w:rsidR="00A66C73" w:rsidRPr="002B23C8" w:rsidRDefault="00A66C73" w:rsidP="00057A1F">
            <w:pPr>
              <w:pStyle w:val="TableNBullet"/>
              <w:numPr>
                <w:ilvl w:val="0"/>
                <w:numId w:val="0"/>
              </w:numPr>
            </w:pPr>
            <w:r w:rsidRPr="002B23C8">
              <w:t xml:space="preserve">Australian Department of Health </w:t>
            </w:r>
            <w:r w:rsidR="00672FC3">
              <w:t xml:space="preserve">and Aged Care </w:t>
            </w:r>
            <w:r w:rsidRPr="002B23C8">
              <w:t>should seek to:</w:t>
            </w:r>
          </w:p>
          <w:p w14:paraId="70A75D31" w14:textId="7EC81AA7" w:rsidR="00A66C73" w:rsidRPr="002B23C8" w:rsidRDefault="074C90BC" w:rsidP="00A66C73">
            <w:pPr>
              <w:pStyle w:val="TableNBullet"/>
            </w:pPr>
            <w:r w:rsidRPr="002B23C8">
              <w:t>establish a standard framework to deliver support to support persons of people experiencing suicidality</w:t>
            </w:r>
            <w:r w:rsidR="5C0FD137" w:rsidRPr="002B23C8">
              <w:t>.</w:t>
            </w:r>
            <w:r w:rsidRPr="002B23C8">
              <w:t xml:space="preserve"> </w:t>
            </w:r>
          </w:p>
          <w:p w14:paraId="380EB0F8" w14:textId="7347CB8C" w:rsidR="00A66C73" w:rsidRPr="002B23C8" w:rsidRDefault="0565B3E6" w:rsidP="00A66C73">
            <w:pPr>
              <w:pStyle w:val="TableNBullet"/>
            </w:pPr>
            <w:r w:rsidRPr="002B23C8">
              <w:t>f</w:t>
            </w:r>
            <w:r w:rsidR="5765FD77" w:rsidRPr="002B23C8">
              <w:t xml:space="preserve">urther investigate how the provision of </w:t>
            </w:r>
            <w:r w:rsidR="002800E2" w:rsidRPr="002B23C8">
              <w:t>support-to-support</w:t>
            </w:r>
            <w:r w:rsidR="5765FD77" w:rsidRPr="002B23C8">
              <w:t xml:space="preserve"> persons contributes to outcomes for them, and for the participant they support, including support persons’ capacity to respond to situations of distress and suicidality</w:t>
            </w:r>
            <w:r w:rsidR="202B2121" w:rsidRPr="002B23C8">
              <w:t>.</w:t>
            </w:r>
            <w:r w:rsidR="5765FD77" w:rsidRPr="002B23C8">
              <w:t xml:space="preserve"> </w:t>
            </w:r>
          </w:p>
          <w:p w14:paraId="704F8352" w14:textId="244222C7" w:rsidR="00A66C73" w:rsidRPr="002B23C8" w:rsidRDefault="00A66C73" w:rsidP="000846E2">
            <w:pPr>
              <w:pStyle w:val="TableNBullet"/>
              <w:numPr>
                <w:ilvl w:val="0"/>
                <w:numId w:val="0"/>
              </w:numPr>
              <w:ind w:left="227"/>
              <w:rPr>
                <w:rFonts w:asciiTheme="majorHAnsi" w:hAnsiTheme="majorHAnsi" w:cstheme="majorHAnsi"/>
              </w:rPr>
            </w:pPr>
          </w:p>
        </w:tc>
        <w:tc>
          <w:tcPr>
            <w:tcW w:w="4236" w:type="dxa"/>
          </w:tcPr>
          <w:p w14:paraId="3694D35A" w14:textId="0A1D4845" w:rsidR="00A66C73" w:rsidRPr="002B23C8" w:rsidRDefault="229EF9AD" w:rsidP="00A66C73">
            <w:pPr>
              <w:pStyle w:val="TableNText"/>
            </w:pPr>
            <w:r w:rsidRPr="002B23C8">
              <w:t>Interviews with support persons of people experiencing suicidality, although</w:t>
            </w:r>
            <w:r w:rsidR="00C61B07">
              <w:t xml:space="preserve"> very</w:t>
            </w:r>
            <w:r w:rsidRPr="002B23C8">
              <w:t xml:space="preserve"> limited, highlighted that receiving support through The Way Back enabled them to provide better support for the participant</w:t>
            </w:r>
            <w:r w:rsidR="00BF3789">
              <w:t>.</w:t>
            </w:r>
            <w:r w:rsidR="00DE1551">
              <w:t xml:space="preserve"> </w:t>
            </w:r>
            <w:r w:rsidR="00BF3789">
              <w:t>H</w:t>
            </w:r>
            <w:r w:rsidR="00DE1551">
              <w:t>owever</w:t>
            </w:r>
            <w:r w:rsidR="00C15698">
              <w:t>,</w:t>
            </w:r>
            <w:r w:rsidR="00DE1551">
              <w:t xml:space="preserve"> </w:t>
            </w:r>
            <w:r w:rsidR="003D0B12">
              <w:t xml:space="preserve">research </w:t>
            </w:r>
            <w:r w:rsidR="00DE1551">
              <w:t xml:space="preserve">has found that where support persons were included in </w:t>
            </w:r>
            <w:r w:rsidR="006848FE">
              <w:t>the provision of care of an aftercare service, the model was effective.</w:t>
            </w:r>
            <w:r w:rsidR="003D0B12">
              <w:rPr>
                <w:rStyle w:val="FootnoteReference"/>
              </w:rPr>
              <w:footnoteReference w:id="160"/>
            </w:r>
          </w:p>
          <w:p w14:paraId="4E522C7E" w14:textId="0A6945DB" w:rsidR="00A66C73" w:rsidRPr="002B23C8" w:rsidRDefault="229EF9AD" w:rsidP="00A66C73">
            <w:pPr>
              <w:pStyle w:val="TableNText"/>
            </w:pPr>
            <w:r w:rsidRPr="002B23C8">
              <w:t>There is limited data to understand the extent to which this support contributes to the outcomes of participants</w:t>
            </w:r>
            <w:r w:rsidR="00715357">
              <w:t>.</w:t>
            </w:r>
            <w:r w:rsidRPr="002B23C8">
              <w:t xml:space="preserve"> There is an opportunity to improve the understanding of the impact of support to the support persons of participants.</w:t>
            </w:r>
          </w:p>
          <w:p w14:paraId="356DDC6C" w14:textId="003937FF" w:rsidR="00A66C73" w:rsidRPr="002B23C8" w:rsidRDefault="229EF9AD" w:rsidP="00A66C73">
            <w:pPr>
              <w:pStyle w:val="TableNText"/>
            </w:pPr>
            <w:r w:rsidRPr="002B23C8">
              <w:t xml:space="preserve">The Way Back’s approach to supporting support </w:t>
            </w:r>
            <w:r w:rsidR="006A6584" w:rsidRPr="002B23C8">
              <w:t>persons is</w:t>
            </w:r>
            <w:r w:rsidRPr="002B23C8">
              <w:t xml:space="preserve"> not currently structured or consistent, and </w:t>
            </w:r>
            <w:r w:rsidRPr="002B23C8">
              <w:lastRenderedPageBreak/>
              <w:t xml:space="preserve">there is opportunity to clarify and </w:t>
            </w:r>
            <w:r w:rsidR="0086128C">
              <w:t>enhance</w:t>
            </w:r>
            <w:r w:rsidR="0086128C" w:rsidRPr="002B23C8">
              <w:t xml:space="preserve"> </w:t>
            </w:r>
            <w:r w:rsidRPr="002B23C8">
              <w:t xml:space="preserve">the </w:t>
            </w:r>
            <w:r w:rsidR="00F21D13">
              <w:t>assistance</w:t>
            </w:r>
            <w:r w:rsidRPr="002B23C8">
              <w:t xml:space="preserve"> to support persons in the model of service. </w:t>
            </w:r>
          </w:p>
        </w:tc>
        <w:tc>
          <w:tcPr>
            <w:tcW w:w="1508" w:type="dxa"/>
            <w:shd w:val="clear" w:color="auto" w:fill="F2F2F2" w:themeFill="background1" w:themeFillShade="F2"/>
          </w:tcPr>
          <w:p w14:paraId="0F7D8C7A" w14:textId="77777777" w:rsidR="00BC70FB" w:rsidRDefault="00EA2309" w:rsidP="00BC70FB">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lastRenderedPageBreak/>
              <w:t>AUSTRALIAN DEPARTMENT OF HEALTH</w:t>
            </w:r>
            <w:r w:rsidR="00BC70FB">
              <w:rPr>
                <w:rFonts w:asciiTheme="majorHAnsi" w:hAnsiTheme="majorHAnsi" w:cstheme="majorHAnsi"/>
                <w:noProof/>
                <w:color w:val="00264D" w:themeColor="background2"/>
                <w:sz w:val="16"/>
                <w:szCs w:val="16"/>
              </w:rPr>
              <w:t xml:space="preserve"> AND AGED CARE</w:t>
            </w:r>
          </w:p>
          <w:p w14:paraId="52ADE9FC" w14:textId="31DC1AA2" w:rsidR="00A66C73" w:rsidRPr="006D6EAB" w:rsidRDefault="00AB4CA3" w:rsidP="006D6EAB">
            <w:pPr>
              <w:spacing w:after="60"/>
              <w:rPr>
                <w:rFonts w:asciiTheme="majorHAnsi" w:hAnsiTheme="majorHAnsi" w:cstheme="majorHAnsi"/>
                <w:noProof/>
                <w:color w:val="00264D" w:themeColor="background2"/>
                <w:sz w:val="16"/>
                <w:szCs w:val="16"/>
              </w:rPr>
            </w:pPr>
            <w:r>
              <w:rPr>
                <w:rFonts w:asciiTheme="majorHAnsi" w:hAnsiTheme="majorHAnsi" w:cstheme="majorHAnsi"/>
                <w:noProof/>
                <w:color w:val="00264D" w:themeColor="background2"/>
                <w:sz w:val="16"/>
                <w:szCs w:val="16"/>
              </w:rPr>
              <w:t>STATES AND TERRITORIES</w:t>
            </w:r>
          </w:p>
        </w:tc>
      </w:tr>
      <w:tr w:rsidR="00A66C73" w14:paraId="4ECE8FCB" w14:textId="5B289045" w:rsidTr="006C3A51">
        <w:tc>
          <w:tcPr>
            <w:tcW w:w="7015" w:type="dxa"/>
            <w:shd w:val="clear" w:color="auto" w:fill="F8981D" w:themeFill="accent3"/>
          </w:tcPr>
          <w:p w14:paraId="54EBEFAC" w14:textId="4B04CD70" w:rsidR="00A66C73" w:rsidRPr="002B23C8" w:rsidRDefault="00A66C73" w:rsidP="00A66C73">
            <w:pPr>
              <w:pStyle w:val="TableNText"/>
              <w:rPr>
                <w:rFonts w:asciiTheme="majorHAnsi" w:hAnsiTheme="majorHAnsi" w:cstheme="majorHAnsi"/>
                <w:color w:val="FFFFFF" w:themeColor="background1"/>
              </w:rPr>
            </w:pPr>
            <w:r w:rsidRPr="007D7202">
              <w:rPr>
                <w:rFonts w:asciiTheme="majorHAnsi" w:hAnsiTheme="majorHAnsi" w:cstheme="majorHAnsi"/>
              </w:rPr>
              <w:t>GOVERNANCE &amp; FUNDING</w:t>
            </w:r>
          </w:p>
        </w:tc>
        <w:tc>
          <w:tcPr>
            <w:tcW w:w="4236" w:type="dxa"/>
            <w:shd w:val="clear" w:color="auto" w:fill="F8981D" w:themeFill="accent3"/>
          </w:tcPr>
          <w:p w14:paraId="7A567D23" w14:textId="77777777" w:rsidR="00A66C73" w:rsidRPr="002B23C8" w:rsidRDefault="00A66C73" w:rsidP="00A66C73">
            <w:pPr>
              <w:pStyle w:val="TableNText"/>
              <w:rPr>
                <w:color w:val="FFFFFF" w:themeColor="background1"/>
              </w:rPr>
            </w:pPr>
          </w:p>
        </w:tc>
        <w:tc>
          <w:tcPr>
            <w:tcW w:w="1508" w:type="dxa"/>
            <w:shd w:val="clear" w:color="auto" w:fill="F8981D" w:themeFill="accent3"/>
          </w:tcPr>
          <w:p w14:paraId="3E337C2F" w14:textId="77777777" w:rsidR="00A66C73" w:rsidRPr="00565759" w:rsidRDefault="00A66C73" w:rsidP="00A66C73">
            <w:pPr>
              <w:rPr>
                <w:color w:val="FFFFFF" w:themeColor="background1"/>
                <w:sz w:val="16"/>
                <w:szCs w:val="16"/>
                <w:lang w:eastAsia="en-AU"/>
              </w:rPr>
            </w:pPr>
          </w:p>
        </w:tc>
      </w:tr>
      <w:tr w:rsidR="00152FA1" w14:paraId="676F0933" w14:textId="77777777" w:rsidTr="006C3A51">
        <w:tc>
          <w:tcPr>
            <w:tcW w:w="7015" w:type="dxa"/>
          </w:tcPr>
          <w:p w14:paraId="2BD2F9D7" w14:textId="18DA5546" w:rsidR="00152FA1" w:rsidRPr="00623868" w:rsidRDefault="00951478" w:rsidP="00623868">
            <w:r w:rsidRPr="00623868">
              <w:t>8</w:t>
            </w:r>
            <w:r w:rsidR="17AA14D4" w:rsidRPr="00623868">
              <w:t xml:space="preserve">. </w:t>
            </w:r>
            <w:r w:rsidR="00874A54" w:rsidRPr="00623868">
              <w:t>P</w:t>
            </w:r>
            <w:r w:rsidR="17AA14D4" w:rsidRPr="00623868">
              <w:t>rovide greater certainty through longer duration of funding and earlier advice of commissioning intentions/service continuation at the end of existing contract</w:t>
            </w:r>
            <w:r w:rsidR="006F64C0" w:rsidRPr="00623868">
              <w:t>s</w:t>
            </w:r>
            <w:r w:rsidR="17AA14D4" w:rsidRPr="00623868">
              <w:t xml:space="preserve">. </w:t>
            </w:r>
          </w:p>
        </w:tc>
        <w:tc>
          <w:tcPr>
            <w:tcW w:w="4236" w:type="dxa"/>
          </w:tcPr>
          <w:p w14:paraId="57C77389" w14:textId="7945A789" w:rsidR="00152FA1" w:rsidRPr="002B23C8" w:rsidRDefault="00152FA1" w:rsidP="00A66C73">
            <w:pPr>
              <w:pStyle w:val="TableNText"/>
            </w:pPr>
            <w:r w:rsidRPr="002B23C8">
              <w:t xml:space="preserve">Funding arrangements have been short in duration which has had adverse implications for certainty of service continuity and workforce retention. </w:t>
            </w:r>
          </w:p>
        </w:tc>
        <w:tc>
          <w:tcPr>
            <w:tcW w:w="1508" w:type="dxa"/>
            <w:shd w:val="clear" w:color="auto" w:fill="F2F2F2" w:themeFill="background1" w:themeFillShade="F2"/>
          </w:tcPr>
          <w:p w14:paraId="49D1C830" w14:textId="07935A5C" w:rsidR="000339B6" w:rsidRPr="00565759" w:rsidRDefault="00861CA6" w:rsidP="000339B6">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sidR="000339B6">
              <w:rPr>
                <w:rFonts w:asciiTheme="majorHAnsi" w:hAnsiTheme="majorHAnsi" w:cstheme="majorHAnsi"/>
                <w:noProof/>
                <w:color w:val="00264D" w:themeColor="background2"/>
                <w:sz w:val="16"/>
                <w:szCs w:val="16"/>
              </w:rPr>
              <w:t xml:space="preserve"> AND AGED CARE</w:t>
            </w:r>
          </w:p>
          <w:p w14:paraId="4C699ED4" w14:textId="4465F55B" w:rsidR="00152FA1" w:rsidRDefault="007963D8" w:rsidP="00861CA6">
            <w:pPr>
              <w:rPr>
                <w:rFonts w:asciiTheme="majorHAnsi" w:hAnsiTheme="majorHAnsi" w:cstheme="majorHAnsi"/>
                <w:noProof/>
                <w:color w:val="00264D" w:themeColor="background2"/>
                <w:sz w:val="16"/>
                <w:szCs w:val="16"/>
              </w:rPr>
            </w:pPr>
            <w:r w:rsidRPr="00E76B25">
              <w:rPr>
                <w:rFonts w:asciiTheme="majorHAnsi" w:hAnsiTheme="majorHAnsi" w:cstheme="majorHAnsi"/>
                <w:color w:val="00264D" w:themeColor="background2"/>
                <w:sz w:val="16"/>
                <w:szCs w:val="16"/>
                <w:lang w:eastAsia="en-AU"/>
              </w:rPr>
              <w:t>STATES AND TERRITORIES</w:t>
            </w:r>
          </w:p>
          <w:p w14:paraId="19A84515" w14:textId="7EBC6FB3" w:rsidR="00874A54" w:rsidRPr="00E76B25" w:rsidRDefault="00874A54" w:rsidP="00861CA6">
            <w:pPr>
              <w:rPr>
                <w:rFonts w:asciiTheme="majorHAnsi" w:hAnsiTheme="majorHAnsi" w:cstheme="majorHAnsi"/>
                <w:sz w:val="16"/>
                <w:szCs w:val="16"/>
                <w:lang w:eastAsia="en-AU"/>
              </w:rPr>
            </w:pPr>
            <w:r w:rsidRPr="00E76B25">
              <w:rPr>
                <w:rFonts w:asciiTheme="majorHAnsi" w:hAnsiTheme="majorHAnsi" w:cstheme="majorHAnsi"/>
                <w:color w:val="00264D" w:themeColor="background2"/>
                <w:sz w:val="16"/>
                <w:szCs w:val="16"/>
                <w:lang w:eastAsia="en-AU"/>
              </w:rPr>
              <w:t>SERVICE COMMISSIONERS</w:t>
            </w:r>
          </w:p>
        </w:tc>
      </w:tr>
      <w:tr w:rsidR="00152FA1" w14:paraId="3D1EAEBC" w14:textId="1954435C" w:rsidTr="006C3A51">
        <w:tc>
          <w:tcPr>
            <w:tcW w:w="7015" w:type="dxa"/>
          </w:tcPr>
          <w:p w14:paraId="77EA3B93" w14:textId="09D975F8" w:rsidR="00152FA1" w:rsidRPr="00623868" w:rsidRDefault="00951478" w:rsidP="00623868">
            <w:r w:rsidRPr="00623868">
              <w:t>9</w:t>
            </w:r>
            <w:r w:rsidR="17AA14D4" w:rsidRPr="00623868">
              <w:t>.</w:t>
            </w:r>
            <w:r w:rsidR="00E74913" w:rsidRPr="00623868">
              <w:t>S</w:t>
            </w:r>
            <w:r w:rsidR="17AA14D4" w:rsidRPr="00623868">
              <w:t>implify and clarify funding arrangements.</w:t>
            </w:r>
            <w:r w:rsidR="412C0074" w:rsidRPr="00623868">
              <w:t xml:space="preserve"> (Interim report recommendation 15).</w:t>
            </w:r>
            <w:r w:rsidR="17AA14D4" w:rsidRPr="00623868">
              <w:t xml:space="preserve">  It is recommended that funding arrangements are revised to flow from the Australian </w:t>
            </w:r>
            <w:r w:rsidR="00672FC3" w:rsidRPr="00623868">
              <w:t>Department of Health and Aged Care</w:t>
            </w:r>
            <w:r w:rsidR="00D51639" w:rsidRPr="00623868">
              <w:t xml:space="preserve"> and </w:t>
            </w:r>
            <w:r w:rsidR="00BE7083" w:rsidRPr="00623868">
              <w:t>s</w:t>
            </w:r>
            <w:r w:rsidR="00861CA6" w:rsidRPr="00623868">
              <w:t>tate</w:t>
            </w:r>
            <w:r w:rsidR="002A4F59" w:rsidRPr="00623868">
              <w:t xml:space="preserve"> and </w:t>
            </w:r>
            <w:r w:rsidR="00BE7083" w:rsidRPr="00623868">
              <w:t>t</w:t>
            </w:r>
            <w:r w:rsidR="00861CA6" w:rsidRPr="00623868">
              <w:t xml:space="preserve">erritory </w:t>
            </w:r>
            <w:r w:rsidR="00BE7083" w:rsidRPr="00623868">
              <w:t>g</w:t>
            </w:r>
            <w:r w:rsidR="00861CA6" w:rsidRPr="00623868">
              <w:t>overnments</w:t>
            </w:r>
            <w:r w:rsidR="00E20110" w:rsidRPr="00623868">
              <w:t>, through joint commissioning</w:t>
            </w:r>
            <w:r w:rsidR="00081432" w:rsidRPr="00623868">
              <w:t>,</w:t>
            </w:r>
            <w:r w:rsidR="17AA14D4" w:rsidRPr="00623868">
              <w:t xml:space="preserve"> directly to PHNs, and PHNs to commissioned providers. </w:t>
            </w:r>
          </w:p>
        </w:tc>
        <w:tc>
          <w:tcPr>
            <w:tcW w:w="4236" w:type="dxa"/>
          </w:tcPr>
          <w:p w14:paraId="6FFC71A8" w14:textId="5C793AFB" w:rsidR="00152FA1" w:rsidRPr="002B23C8" w:rsidRDefault="00861CA6" w:rsidP="00A66C73">
            <w:pPr>
              <w:pStyle w:val="TableNText"/>
            </w:pPr>
            <w:r w:rsidRPr="002B23C8">
              <w:t xml:space="preserve">Multiple funding flows have led to </w:t>
            </w:r>
            <w:r w:rsidR="002F68D4" w:rsidRPr="002B23C8">
              <w:t>enmesh</w:t>
            </w:r>
            <w:r w:rsidR="002F68D4">
              <w:t>ed</w:t>
            </w:r>
            <w:r w:rsidR="002F68D4" w:rsidRPr="002B23C8">
              <w:t xml:space="preserve"> </w:t>
            </w:r>
            <w:r w:rsidRPr="002B23C8">
              <w:t>lines of accountability for management and performance of service provision.</w:t>
            </w:r>
            <w:r w:rsidR="00CC23BA">
              <w:t xml:space="preserve"> See section 9.3 for further </w:t>
            </w:r>
            <w:r w:rsidR="008600B4">
              <w:t>detail on these challenges.</w:t>
            </w:r>
          </w:p>
        </w:tc>
        <w:tc>
          <w:tcPr>
            <w:tcW w:w="1508" w:type="dxa"/>
            <w:shd w:val="clear" w:color="auto" w:fill="F2F2F2" w:themeFill="background1" w:themeFillShade="F2"/>
          </w:tcPr>
          <w:p w14:paraId="604E06D7" w14:textId="77777777" w:rsidR="00152FA1" w:rsidRPr="00E556B5" w:rsidRDefault="00861CA6" w:rsidP="00861CA6">
            <w:pPr>
              <w:rPr>
                <w:rFonts w:asciiTheme="majorHAnsi" w:hAnsiTheme="majorHAnsi" w:cstheme="majorHAnsi"/>
                <w:noProof/>
                <w:color w:val="00264D" w:themeColor="background2"/>
                <w:sz w:val="16"/>
                <w:szCs w:val="16"/>
              </w:rPr>
            </w:pPr>
            <w:r w:rsidRPr="00E556B5">
              <w:rPr>
                <w:rFonts w:asciiTheme="majorHAnsi" w:hAnsiTheme="majorHAnsi" w:cstheme="majorHAnsi"/>
                <w:noProof/>
                <w:color w:val="00264D" w:themeColor="background2"/>
                <w:sz w:val="16"/>
                <w:szCs w:val="16"/>
              </w:rPr>
              <w:t>AUSTRALIAN DEPARTMENT OF HEALTH</w:t>
            </w:r>
            <w:r w:rsidR="000339B6" w:rsidRPr="00E556B5">
              <w:rPr>
                <w:rFonts w:asciiTheme="majorHAnsi" w:hAnsiTheme="majorHAnsi" w:cstheme="majorHAnsi"/>
                <w:noProof/>
                <w:color w:val="00264D" w:themeColor="background2"/>
                <w:sz w:val="16"/>
                <w:szCs w:val="16"/>
              </w:rPr>
              <w:t xml:space="preserve"> AND AGED CARE</w:t>
            </w:r>
          </w:p>
          <w:p w14:paraId="50A8E3DB" w14:textId="12AE3555" w:rsidR="00E556B5" w:rsidRPr="00E556B5" w:rsidRDefault="00E556B5" w:rsidP="00861CA6">
            <w:pPr>
              <w:rPr>
                <w:rFonts w:asciiTheme="majorHAnsi" w:hAnsiTheme="majorHAnsi" w:cstheme="majorHAnsi"/>
                <w:color w:val="00264D" w:themeColor="background2"/>
                <w:sz w:val="16"/>
                <w:szCs w:val="16"/>
                <w:lang w:eastAsia="en-AU"/>
              </w:rPr>
            </w:pPr>
            <w:r w:rsidRPr="00E556B5">
              <w:rPr>
                <w:rFonts w:asciiTheme="majorHAnsi" w:hAnsiTheme="majorHAnsi" w:cstheme="majorHAnsi"/>
                <w:color w:val="00264D" w:themeColor="background2"/>
                <w:sz w:val="16"/>
                <w:szCs w:val="16"/>
                <w:lang w:eastAsia="en-AU"/>
              </w:rPr>
              <w:t>STATES AND TERRITORIES</w:t>
            </w:r>
          </w:p>
        </w:tc>
      </w:tr>
      <w:tr w:rsidR="00A66C73" w14:paraId="777B21C6" w14:textId="7C15CA6E" w:rsidTr="006C3A51">
        <w:tc>
          <w:tcPr>
            <w:tcW w:w="7015" w:type="dxa"/>
          </w:tcPr>
          <w:p w14:paraId="03C45523" w14:textId="5120432F" w:rsidR="00A66C73" w:rsidRPr="002B23C8" w:rsidRDefault="00951478" w:rsidP="5F0B1C35">
            <w:pPr>
              <w:pStyle w:val="TableNText"/>
              <w:rPr>
                <w:rFonts w:asciiTheme="minorHAnsi" w:hAnsiTheme="minorHAnsi"/>
                <w:i/>
                <w:iCs/>
              </w:rPr>
            </w:pPr>
            <w:r>
              <w:rPr>
                <w:rFonts w:asciiTheme="majorHAnsi" w:hAnsiTheme="majorHAnsi" w:cstheme="majorBidi"/>
              </w:rPr>
              <w:t>10</w:t>
            </w:r>
            <w:r w:rsidR="5765FD77" w:rsidRPr="002B23C8">
              <w:rPr>
                <w:rFonts w:asciiTheme="majorHAnsi" w:hAnsiTheme="majorHAnsi" w:cstheme="majorBidi"/>
              </w:rPr>
              <w:t xml:space="preserve">. </w:t>
            </w:r>
            <w:r w:rsidR="006C5897">
              <w:rPr>
                <w:rFonts w:asciiTheme="majorHAnsi" w:hAnsiTheme="majorHAnsi" w:cstheme="majorBidi"/>
              </w:rPr>
              <w:t>S</w:t>
            </w:r>
            <w:r w:rsidR="5765FD77" w:rsidRPr="002B23C8">
              <w:rPr>
                <w:rFonts w:asciiTheme="majorHAnsi" w:hAnsiTheme="majorHAnsi" w:cstheme="majorBidi"/>
              </w:rPr>
              <w:t xml:space="preserve">implify and strengthen future aftercare services governance to ensure roles, responsibilities and accountabilities are clear and </w:t>
            </w:r>
            <w:r w:rsidR="45C67A6F" w:rsidRPr="002B23C8">
              <w:rPr>
                <w:rFonts w:asciiTheme="majorHAnsi" w:hAnsiTheme="majorHAnsi" w:cstheme="majorBidi"/>
              </w:rPr>
              <w:t xml:space="preserve">consistently </w:t>
            </w:r>
            <w:r w:rsidR="5765FD77" w:rsidRPr="002B23C8">
              <w:rPr>
                <w:rFonts w:asciiTheme="majorHAnsi" w:hAnsiTheme="majorHAnsi" w:cstheme="majorBidi"/>
              </w:rPr>
              <w:t>understood</w:t>
            </w:r>
            <w:r w:rsidR="4F6AF5D4" w:rsidRPr="002B23C8">
              <w:rPr>
                <w:rFonts w:asciiTheme="majorHAnsi" w:hAnsiTheme="majorHAnsi" w:cstheme="majorBidi"/>
              </w:rPr>
              <w:t xml:space="preserve">. </w:t>
            </w:r>
            <w:r w:rsidR="7406D337" w:rsidRPr="002B23C8">
              <w:rPr>
                <w:rFonts w:asciiTheme="minorHAnsi" w:hAnsiTheme="minorHAnsi"/>
                <w:i/>
                <w:iCs/>
              </w:rPr>
              <w:t>(</w:t>
            </w:r>
            <w:r w:rsidR="4F6AF5D4" w:rsidRPr="002B23C8">
              <w:rPr>
                <w:rFonts w:asciiTheme="minorHAnsi" w:hAnsiTheme="minorHAnsi"/>
                <w:i/>
                <w:iCs/>
              </w:rPr>
              <w:t xml:space="preserve">Interim </w:t>
            </w:r>
            <w:r w:rsidR="7406D337" w:rsidRPr="002B23C8">
              <w:rPr>
                <w:rFonts w:asciiTheme="minorHAnsi" w:hAnsiTheme="minorHAnsi"/>
                <w:i/>
                <w:iCs/>
              </w:rPr>
              <w:t>report recommendation 6)</w:t>
            </w:r>
            <w:r w:rsidR="75EF7C13" w:rsidRPr="002B23C8">
              <w:rPr>
                <w:rFonts w:asciiTheme="minorHAnsi" w:hAnsiTheme="minorHAnsi"/>
                <w:i/>
                <w:iCs/>
              </w:rPr>
              <w:t>.</w:t>
            </w:r>
          </w:p>
          <w:p w14:paraId="720D1D76" w14:textId="5F8CE9A2" w:rsidR="00A66C73" w:rsidRPr="002B23C8" w:rsidRDefault="0565B3E6" w:rsidP="0C58547B">
            <w:pPr>
              <w:pStyle w:val="TableNBullet"/>
              <w:rPr>
                <w:rFonts w:asciiTheme="majorHAnsi" w:hAnsiTheme="majorHAnsi" w:cstheme="majorBidi"/>
              </w:rPr>
            </w:pPr>
            <w:r w:rsidRPr="002B23C8">
              <w:t>t</w:t>
            </w:r>
            <w:r w:rsidR="5765FD77" w:rsidRPr="002B23C8">
              <w:t xml:space="preserve">his should include redefining and clarifying the role of PHNs to hold accountability and authority for service performance including monitoring </w:t>
            </w:r>
            <w:r w:rsidR="09240C4A" w:rsidRPr="002B23C8">
              <w:t xml:space="preserve">of </w:t>
            </w:r>
            <w:r w:rsidR="5765FD77" w:rsidRPr="002B23C8">
              <w:t>KPIs and performance management.</w:t>
            </w:r>
            <w:r w:rsidR="5765FD77" w:rsidRPr="002B23C8">
              <w:rPr>
                <w:rFonts w:asciiTheme="majorHAnsi" w:hAnsiTheme="majorHAnsi" w:cstheme="majorBidi"/>
              </w:rPr>
              <w:t xml:space="preserve"> </w:t>
            </w:r>
          </w:p>
        </w:tc>
        <w:tc>
          <w:tcPr>
            <w:tcW w:w="4236" w:type="dxa"/>
          </w:tcPr>
          <w:p w14:paraId="7C302B41" w14:textId="2B46BDB2" w:rsidR="00A66C73" w:rsidRPr="002B23C8" w:rsidRDefault="00A66C73" w:rsidP="00A66C73">
            <w:pPr>
              <w:pStyle w:val="TableNText"/>
            </w:pPr>
            <w:r w:rsidRPr="002B23C8">
              <w:t>Existing</w:t>
            </w:r>
            <w:r w:rsidRPr="002B23C8">
              <w:rPr>
                <w:sz w:val="16"/>
                <w:szCs w:val="16"/>
              </w:rPr>
              <w:t xml:space="preserve"> </w:t>
            </w:r>
            <w:r w:rsidRPr="002B23C8">
              <w:t xml:space="preserve">governance and accountability arrangements are complex and unclear, </w:t>
            </w:r>
            <w:r w:rsidR="00487AC2" w:rsidRPr="002B23C8">
              <w:t xml:space="preserve">leading to confusion in who has </w:t>
            </w:r>
            <w:r w:rsidR="00326E96" w:rsidRPr="002B23C8">
              <w:t xml:space="preserve">responsibility </w:t>
            </w:r>
            <w:r w:rsidR="00153881" w:rsidRPr="002B23C8">
              <w:t>for</w:t>
            </w:r>
            <w:r w:rsidRPr="002B23C8">
              <w:t xml:space="preserve"> performance management, risk monitoring and reporting (as outlined in section </w:t>
            </w:r>
            <w:r w:rsidR="00861CA6" w:rsidRPr="002B23C8">
              <w:fldChar w:fldCharType="begin"/>
            </w:r>
            <w:r w:rsidR="00861CA6" w:rsidRPr="002B23C8">
              <w:instrText xml:space="preserve"> REF _Ref118127577 \n \h </w:instrText>
            </w:r>
            <w:r w:rsidR="00861CA6">
              <w:instrText xml:space="preserve"> \* MERGEFORMAT </w:instrText>
            </w:r>
            <w:r w:rsidR="00861CA6" w:rsidRPr="002B23C8">
              <w:fldChar w:fldCharType="separate"/>
            </w:r>
            <w:r w:rsidR="00402362">
              <w:t>9.3</w:t>
            </w:r>
            <w:r w:rsidR="00861CA6" w:rsidRPr="002B23C8">
              <w:fldChar w:fldCharType="end"/>
            </w:r>
            <w:r w:rsidR="00C35044" w:rsidRPr="002B23C8">
              <w:t>).</w:t>
            </w:r>
          </w:p>
        </w:tc>
        <w:tc>
          <w:tcPr>
            <w:tcW w:w="1508" w:type="dxa"/>
            <w:shd w:val="clear" w:color="auto" w:fill="F2F2F2" w:themeFill="background1" w:themeFillShade="F2"/>
          </w:tcPr>
          <w:p w14:paraId="0BB8BBCE" w14:textId="5619DAE3" w:rsidR="00A66C73" w:rsidRDefault="00861CA6" w:rsidP="00861CA6">
            <w:pPr>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sidR="000339B6">
              <w:rPr>
                <w:rFonts w:asciiTheme="majorHAnsi" w:hAnsiTheme="majorHAnsi" w:cstheme="majorHAnsi"/>
                <w:noProof/>
                <w:color w:val="00264D" w:themeColor="background2"/>
                <w:sz w:val="16"/>
                <w:szCs w:val="16"/>
              </w:rPr>
              <w:t xml:space="preserve"> AND AGED CARE</w:t>
            </w:r>
          </w:p>
          <w:p w14:paraId="6B03C8CE" w14:textId="54FD59D1" w:rsidR="006C5897" w:rsidRPr="00565759" w:rsidRDefault="006C5897" w:rsidP="00861CA6">
            <w:pPr>
              <w:rPr>
                <w:sz w:val="16"/>
                <w:szCs w:val="16"/>
                <w:lang w:eastAsia="en-AU"/>
              </w:rPr>
            </w:pPr>
            <w:r w:rsidRPr="00E76B25">
              <w:rPr>
                <w:rFonts w:asciiTheme="majorHAnsi" w:hAnsiTheme="majorHAnsi" w:cstheme="majorHAnsi"/>
                <w:color w:val="00264D" w:themeColor="background2"/>
                <w:sz w:val="16"/>
                <w:szCs w:val="16"/>
                <w:lang w:eastAsia="en-AU"/>
              </w:rPr>
              <w:t>STATES AND TERRITORIES</w:t>
            </w:r>
          </w:p>
        </w:tc>
      </w:tr>
      <w:tr w:rsidR="00A66C73" w14:paraId="1C2105E6" w14:textId="77777777" w:rsidTr="006C3A51">
        <w:tc>
          <w:tcPr>
            <w:tcW w:w="7015" w:type="dxa"/>
            <w:shd w:val="clear" w:color="auto" w:fill="E9B301" w:themeFill="accent4" w:themeFillShade="BF"/>
          </w:tcPr>
          <w:p w14:paraId="28789B24" w14:textId="6F5915EA" w:rsidR="00A66C73" w:rsidRPr="002B23C8" w:rsidRDefault="00A66C73" w:rsidP="00A66C73">
            <w:pPr>
              <w:pStyle w:val="TableNText"/>
              <w:rPr>
                <w:rFonts w:asciiTheme="majorHAnsi" w:hAnsiTheme="majorHAnsi" w:cstheme="majorHAnsi"/>
              </w:rPr>
            </w:pPr>
            <w:r w:rsidRPr="007D7202">
              <w:rPr>
                <w:rFonts w:asciiTheme="majorHAnsi" w:hAnsiTheme="majorHAnsi" w:cstheme="majorHAnsi"/>
              </w:rPr>
              <w:t>WORKFORCE</w:t>
            </w:r>
          </w:p>
        </w:tc>
        <w:tc>
          <w:tcPr>
            <w:tcW w:w="4236" w:type="dxa"/>
            <w:shd w:val="clear" w:color="auto" w:fill="E9B301" w:themeFill="accent4" w:themeFillShade="BF"/>
          </w:tcPr>
          <w:p w14:paraId="35E489A6" w14:textId="77777777" w:rsidR="00A66C73" w:rsidRPr="002B23C8" w:rsidRDefault="00A66C73" w:rsidP="00A66C73">
            <w:pPr>
              <w:pStyle w:val="TableNText"/>
            </w:pPr>
          </w:p>
        </w:tc>
        <w:tc>
          <w:tcPr>
            <w:tcW w:w="1508" w:type="dxa"/>
            <w:shd w:val="clear" w:color="auto" w:fill="E9B301" w:themeFill="accent4" w:themeFillShade="BF"/>
          </w:tcPr>
          <w:p w14:paraId="5615C485" w14:textId="77777777" w:rsidR="00A66C73" w:rsidRPr="00565759" w:rsidRDefault="00A66C73" w:rsidP="00A66C73">
            <w:pPr>
              <w:rPr>
                <w:sz w:val="16"/>
                <w:szCs w:val="16"/>
                <w:lang w:eastAsia="en-AU"/>
              </w:rPr>
            </w:pPr>
          </w:p>
        </w:tc>
      </w:tr>
      <w:tr w:rsidR="00A66C73" w14:paraId="724E9689" w14:textId="3809CC49" w:rsidTr="006C3A51">
        <w:tc>
          <w:tcPr>
            <w:tcW w:w="7015" w:type="dxa"/>
          </w:tcPr>
          <w:p w14:paraId="40D84C58" w14:textId="5B03F87C" w:rsidR="00A66C73" w:rsidRPr="002B23C8" w:rsidRDefault="10BBCD47" w:rsidP="0C58547B">
            <w:pPr>
              <w:pStyle w:val="TableNText"/>
              <w:rPr>
                <w:rFonts w:asciiTheme="majorHAnsi" w:hAnsiTheme="majorHAnsi" w:cstheme="majorBidi"/>
              </w:rPr>
            </w:pPr>
            <w:r w:rsidRPr="002B23C8">
              <w:rPr>
                <w:rFonts w:asciiTheme="majorHAnsi" w:hAnsiTheme="majorHAnsi" w:cstheme="majorBidi"/>
              </w:rPr>
              <w:t>1</w:t>
            </w:r>
            <w:r w:rsidR="00951478">
              <w:rPr>
                <w:rFonts w:asciiTheme="majorHAnsi" w:hAnsiTheme="majorHAnsi" w:cstheme="majorBidi"/>
              </w:rPr>
              <w:t>1</w:t>
            </w:r>
            <w:r w:rsidR="229EF9AD" w:rsidRPr="002B23C8">
              <w:rPr>
                <w:rFonts w:asciiTheme="majorHAnsi" w:hAnsiTheme="majorHAnsi" w:cstheme="majorBidi"/>
              </w:rPr>
              <w:t xml:space="preserve">. </w:t>
            </w:r>
            <w:r w:rsidR="006C5897">
              <w:rPr>
                <w:rFonts w:asciiTheme="majorHAnsi" w:hAnsiTheme="majorHAnsi" w:cstheme="majorBidi"/>
              </w:rPr>
              <w:t>D</w:t>
            </w:r>
            <w:r w:rsidR="229EF9AD" w:rsidRPr="002B23C8">
              <w:rPr>
                <w:rFonts w:asciiTheme="majorHAnsi" w:hAnsiTheme="majorHAnsi" w:cstheme="majorBidi"/>
              </w:rPr>
              <w:t>evelop a capability framework for support coordinators</w:t>
            </w:r>
            <w:r w:rsidR="00501510">
              <w:rPr>
                <w:rFonts w:asciiTheme="majorHAnsi" w:hAnsiTheme="majorHAnsi" w:cstheme="majorBidi"/>
              </w:rPr>
              <w:t>.</w:t>
            </w:r>
          </w:p>
          <w:p w14:paraId="132125FE" w14:textId="3D3E10AB" w:rsidR="00A66C73" w:rsidRPr="002B23C8" w:rsidRDefault="00A66C73" w:rsidP="00A66C73">
            <w:pPr>
              <w:pStyle w:val="TableNBullet"/>
              <w:numPr>
                <w:ilvl w:val="0"/>
                <w:numId w:val="0"/>
              </w:numPr>
            </w:pPr>
            <w:r w:rsidRPr="002B23C8">
              <w:rPr>
                <w:rFonts w:asciiTheme="minorHAnsi" w:hAnsiTheme="minorHAnsi" w:cstheme="minorHAnsi"/>
              </w:rPr>
              <w:t xml:space="preserve">A capability framework is used as a tool to record workforce capabilities deemed desirable or valuable within a particular role. The development of a capability framework for </w:t>
            </w:r>
            <w:r w:rsidR="00AC5D36" w:rsidRPr="002B23C8">
              <w:rPr>
                <w:rFonts w:asciiTheme="minorHAnsi" w:hAnsiTheme="minorHAnsi" w:cstheme="minorHAnsi"/>
              </w:rPr>
              <w:t>future afterc</w:t>
            </w:r>
            <w:r w:rsidR="007A377F" w:rsidRPr="002B23C8">
              <w:rPr>
                <w:rFonts w:asciiTheme="minorHAnsi" w:hAnsiTheme="minorHAnsi" w:cstheme="minorHAnsi"/>
              </w:rPr>
              <w:t xml:space="preserve">are services </w:t>
            </w:r>
            <w:r w:rsidRPr="002B23C8">
              <w:rPr>
                <w:rFonts w:asciiTheme="minorHAnsi" w:hAnsiTheme="minorHAnsi" w:cstheme="minorHAnsi"/>
              </w:rPr>
              <w:t>should i</w:t>
            </w:r>
            <w:r w:rsidRPr="002B23C8">
              <w:t>nvolve testing with a small group of existing support coordinators and other external experts in aftercare. The framework should:</w:t>
            </w:r>
          </w:p>
          <w:p w14:paraId="7A16AE91" w14:textId="11ED7304" w:rsidR="00A66C73" w:rsidRPr="002B23C8" w:rsidRDefault="036CF419" w:rsidP="00A66C73">
            <w:pPr>
              <w:pStyle w:val="TableNBullet"/>
            </w:pPr>
            <w:r w:rsidRPr="002B23C8">
              <w:lastRenderedPageBreak/>
              <w:t>b</w:t>
            </w:r>
            <w:r w:rsidR="074C90BC" w:rsidRPr="002B23C8">
              <w:t xml:space="preserve">e informed by current support coordinator job descriptions and a brief evidence review on core capabilities in aftercare services. </w:t>
            </w:r>
          </w:p>
          <w:p w14:paraId="3CECA75C" w14:textId="01A5BEEF" w:rsidR="00A66C73" w:rsidRPr="002B23C8" w:rsidRDefault="70833095" w:rsidP="00A66C73">
            <w:pPr>
              <w:pStyle w:val="TableNBullet"/>
            </w:pPr>
            <w:r>
              <w:t>r</w:t>
            </w:r>
            <w:r w:rsidR="0293D4AD">
              <w:t xml:space="preserve">eflect the desirable capabilities of support coordinators identified in this evaluation. This includes trauma-informed care practices, cultural </w:t>
            </w:r>
            <w:r w:rsidR="002800E2">
              <w:t>capability,</w:t>
            </w:r>
            <w:r w:rsidR="0293D4AD">
              <w:t xml:space="preserve"> active listening, building trust, </w:t>
            </w:r>
            <w:proofErr w:type="gramStart"/>
            <w:r w:rsidR="0293D4AD">
              <w:t>rapport</w:t>
            </w:r>
            <w:proofErr w:type="gramEnd"/>
            <w:r w:rsidR="0293D4AD">
              <w:t xml:space="preserve"> and ability to draw on own lived experience to share strategies for self-care, safety and wellbeing.    </w:t>
            </w:r>
          </w:p>
          <w:p w14:paraId="260CB78B" w14:textId="50B99375" w:rsidR="00A66C73" w:rsidRPr="002B23C8" w:rsidRDefault="036CF419" w:rsidP="00A66C73">
            <w:pPr>
              <w:pStyle w:val="TableNBullet"/>
            </w:pPr>
            <w:r w:rsidRPr="002B23C8">
              <w:t>b</w:t>
            </w:r>
            <w:r w:rsidR="074C90BC" w:rsidRPr="002B23C8">
              <w:t>e defined across levels of increasing experience and expertise (</w:t>
            </w:r>
            <w:r w:rsidR="00D76172">
              <w:t>for example,</w:t>
            </w:r>
            <w:r w:rsidR="074C90BC" w:rsidRPr="002B23C8">
              <w:t xml:space="preserve"> junior and senior support coordinators). </w:t>
            </w:r>
          </w:p>
          <w:p w14:paraId="4AF1FDC4" w14:textId="0FE958B0" w:rsidR="00A66C73" w:rsidRPr="002B23C8" w:rsidRDefault="036CF419" w:rsidP="00A66C73">
            <w:pPr>
              <w:pStyle w:val="TableNBullet"/>
            </w:pPr>
            <w:r w:rsidRPr="002B23C8">
              <w:t>a</w:t>
            </w:r>
            <w:r w:rsidR="074C90BC" w:rsidRPr="002B23C8">
              <w:t>lign with care and clinical governance requirements</w:t>
            </w:r>
          </w:p>
          <w:p w14:paraId="03A44F95" w14:textId="42EB5AE9" w:rsidR="00A66C73" w:rsidRPr="002B23C8" w:rsidRDefault="5EE48AFD" w:rsidP="00A66C73">
            <w:pPr>
              <w:pStyle w:val="TableNBullet"/>
            </w:pPr>
            <w:r w:rsidRPr="002B23C8">
              <w:t>a</w:t>
            </w:r>
            <w:r w:rsidR="5765FD77" w:rsidRPr="002B23C8">
              <w:t xml:space="preserve">lign with training and development initiatives in place for </w:t>
            </w:r>
            <w:r w:rsidR="0E4BCF25" w:rsidRPr="002B23C8">
              <w:t>future aftercare services.</w:t>
            </w:r>
          </w:p>
          <w:p w14:paraId="49D26793" w14:textId="5DF174F8" w:rsidR="00A66C73" w:rsidRPr="002B23C8" w:rsidRDefault="036CF419" w:rsidP="00A66C73">
            <w:pPr>
              <w:pStyle w:val="TableNBullet"/>
            </w:pPr>
            <w:r w:rsidRPr="002B23C8">
              <w:t>o</w:t>
            </w:r>
            <w:r w:rsidR="074C90BC" w:rsidRPr="002B23C8">
              <w:t xml:space="preserve">utline core capabilities, </w:t>
            </w:r>
            <w:proofErr w:type="gramStart"/>
            <w:r w:rsidR="074C90BC" w:rsidRPr="002B23C8">
              <w:t>responsibilities</w:t>
            </w:r>
            <w:proofErr w:type="gramEnd"/>
            <w:r w:rsidR="074C90BC" w:rsidRPr="002B23C8">
              <w:t xml:space="preserve"> and </w:t>
            </w:r>
            <w:r w:rsidR="3E3F9443">
              <w:t>cultural</w:t>
            </w:r>
            <w:r w:rsidR="65ADE3E7">
              <w:t xml:space="preserve"> </w:t>
            </w:r>
            <w:r w:rsidR="074C90BC" w:rsidRPr="002B23C8">
              <w:t>supervision for peer workers (see recommendation 2).</w:t>
            </w:r>
          </w:p>
          <w:p w14:paraId="3E23D96B" w14:textId="30B37A2A" w:rsidR="00DF67F1" w:rsidRDefault="00A66C73" w:rsidP="00DF67F1">
            <w:pPr>
              <w:pStyle w:val="TableNText"/>
            </w:pPr>
            <w:r w:rsidRPr="002B23C8">
              <w:t xml:space="preserve">The capability framework should be incorporated into existing performance review processes. This should enable support coordinators and </w:t>
            </w:r>
            <w:r w:rsidR="00DC55A8">
              <w:t>t</w:t>
            </w:r>
            <w:r w:rsidR="00DF67F1" w:rsidRPr="002B23C8">
              <w:t xml:space="preserve">eam </w:t>
            </w:r>
            <w:r w:rsidR="00DC55A8">
              <w:t>l</w:t>
            </w:r>
            <w:r w:rsidR="00DF67F1" w:rsidRPr="002B23C8">
              <w:t>eaders</w:t>
            </w:r>
            <w:r w:rsidRPr="002B23C8">
              <w:t xml:space="preserve"> to discuss performance against expected standards as well as growth and progression opportunities.</w:t>
            </w:r>
          </w:p>
          <w:p w14:paraId="58746F35" w14:textId="53C525E5" w:rsidR="00A66C73" w:rsidRPr="002B23C8" w:rsidRDefault="006535EF" w:rsidP="00A66C73">
            <w:pPr>
              <w:pStyle w:val="TableNText"/>
            </w:pPr>
            <w:r>
              <w:t>The Australian Department of Health</w:t>
            </w:r>
            <w:r w:rsidR="00672FC3">
              <w:t xml:space="preserve"> and Aged Care</w:t>
            </w:r>
            <w:r>
              <w:t xml:space="preserve"> should </w:t>
            </w:r>
            <w:r w:rsidR="00A169E4">
              <w:t xml:space="preserve">also </w:t>
            </w:r>
            <w:r w:rsidR="00A67E14">
              <w:t>consider the development of a capability framework for peer workers (</w:t>
            </w:r>
            <w:r w:rsidR="00DC55A8">
              <w:t xml:space="preserve">if it is deemed appropriate to </w:t>
            </w:r>
            <w:r w:rsidR="00A67E14">
              <w:t xml:space="preserve">include them in core aftercare service models), and </w:t>
            </w:r>
            <w:r w:rsidR="003E14DE">
              <w:t xml:space="preserve">administrative staff that support delivery of aftercare services. </w:t>
            </w:r>
          </w:p>
        </w:tc>
        <w:tc>
          <w:tcPr>
            <w:tcW w:w="4236" w:type="dxa"/>
          </w:tcPr>
          <w:p w14:paraId="26D47DF3" w14:textId="77777777" w:rsidR="002800E2" w:rsidRDefault="229EF9AD" w:rsidP="007D51BE">
            <w:pPr>
              <w:pStyle w:val="TableNBullet"/>
              <w:numPr>
                <w:ilvl w:val="0"/>
                <w:numId w:val="0"/>
              </w:numPr>
            </w:pPr>
            <w:r w:rsidRPr="002B23C8">
              <w:lastRenderedPageBreak/>
              <w:t>Providers (particularly in regional and remote si</w:t>
            </w:r>
            <w:r w:rsidR="03FDEA2B" w:rsidRPr="002B23C8">
              <w:t>t</w:t>
            </w:r>
            <w:r w:rsidRPr="002B23C8">
              <w:t xml:space="preserve">es) highlighted that there were challenges with attracting and retaining staff across sites. Providers noted that attracting and retaining staff required the need to better highlight professional development and </w:t>
            </w:r>
            <w:r w:rsidRPr="002B23C8">
              <w:lastRenderedPageBreak/>
              <w:t xml:space="preserve">accreditation opportunities (which was currently limited). There is an opportunity to </w:t>
            </w:r>
            <w:r w:rsidR="104156CC" w:rsidRPr="002B23C8">
              <w:t>s</w:t>
            </w:r>
            <w:r w:rsidR="2CE24903" w:rsidRPr="002B23C8">
              <w:t>tandardise</w:t>
            </w:r>
            <w:r w:rsidRPr="002B23C8">
              <w:t xml:space="preserve"> expectations about core capability to help ensure more consistent service delivery and participant experiences. </w:t>
            </w:r>
          </w:p>
          <w:p w14:paraId="05DB2DFB" w14:textId="4B02005B" w:rsidR="00A66C73" w:rsidRPr="002B23C8" w:rsidRDefault="00F67049" w:rsidP="007D51BE">
            <w:pPr>
              <w:pStyle w:val="TableNBullet"/>
              <w:numPr>
                <w:ilvl w:val="0"/>
                <w:numId w:val="0"/>
              </w:numPr>
            </w:pPr>
            <w:r w:rsidRPr="002B23C8">
              <w:t>There is a need to d</w:t>
            </w:r>
            <w:r w:rsidR="00A66C73" w:rsidRPr="002B23C8">
              <w:t xml:space="preserve">efine levels of capability </w:t>
            </w:r>
            <w:r w:rsidRPr="002B23C8">
              <w:t xml:space="preserve">for different roles </w:t>
            </w:r>
            <w:proofErr w:type="gramStart"/>
            <w:r w:rsidRPr="002B23C8">
              <w:t xml:space="preserve">in order </w:t>
            </w:r>
            <w:r w:rsidR="00A66C73" w:rsidRPr="002B23C8">
              <w:t>to</w:t>
            </w:r>
            <w:proofErr w:type="gramEnd"/>
            <w:r w:rsidR="00A66C73" w:rsidRPr="002B23C8">
              <w:t xml:space="preserve"> provide </w:t>
            </w:r>
            <w:r w:rsidRPr="002B23C8">
              <w:t xml:space="preserve">clear pathways for </w:t>
            </w:r>
            <w:r w:rsidR="00B12D06" w:rsidRPr="002B23C8">
              <w:t>professional development and</w:t>
            </w:r>
            <w:r w:rsidR="0073105E" w:rsidRPr="002B23C8">
              <w:t xml:space="preserve"> </w:t>
            </w:r>
            <w:r w:rsidR="00A66C73" w:rsidRPr="002B23C8">
              <w:t xml:space="preserve">progression opportunities for staff. </w:t>
            </w:r>
          </w:p>
        </w:tc>
        <w:tc>
          <w:tcPr>
            <w:tcW w:w="1508" w:type="dxa"/>
            <w:shd w:val="clear" w:color="auto" w:fill="F2F2F2" w:themeFill="background1" w:themeFillShade="F2"/>
          </w:tcPr>
          <w:p w14:paraId="6AEEDB1E" w14:textId="40BC9B7F" w:rsidR="00A66C73" w:rsidRPr="00565759" w:rsidRDefault="00DF67F1" w:rsidP="00DF67F1">
            <w:pPr>
              <w:rPr>
                <w:sz w:val="16"/>
                <w:szCs w:val="16"/>
                <w:lang w:eastAsia="en-AU"/>
              </w:rPr>
            </w:pPr>
            <w:r w:rsidRPr="00565759">
              <w:rPr>
                <w:rFonts w:asciiTheme="majorHAnsi" w:hAnsiTheme="majorHAnsi" w:cstheme="majorHAnsi"/>
                <w:noProof/>
                <w:color w:val="00264D" w:themeColor="background2"/>
                <w:sz w:val="16"/>
                <w:szCs w:val="16"/>
              </w:rPr>
              <w:lastRenderedPageBreak/>
              <w:t>AUSTRALIAN DEPARTMENT OF HEALTH</w:t>
            </w:r>
            <w:r w:rsidR="000339B6">
              <w:rPr>
                <w:rFonts w:asciiTheme="majorHAnsi" w:hAnsiTheme="majorHAnsi" w:cstheme="majorHAnsi"/>
                <w:noProof/>
                <w:color w:val="00264D" w:themeColor="background2"/>
                <w:sz w:val="16"/>
                <w:szCs w:val="16"/>
              </w:rPr>
              <w:t xml:space="preserve"> AND AGED CARE</w:t>
            </w:r>
          </w:p>
        </w:tc>
      </w:tr>
      <w:tr w:rsidR="00A66C73" w14:paraId="0B079B30" w14:textId="4FEC9CFB" w:rsidTr="006C3A51">
        <w:tc>
          <w:tcPr>
            <w:tcW w:w="7015" w:type="dxa"/>
          </w:tcPr>
          <w:p w14:paraId="655A0CCF" w14:textId="2B2A2F40" w:rsidR="00A66C73" w:rsidRDefault="00164396" w:rsidP="0C58547B">
            <w:pPr>
              <w:pStyle w:val="TableNText"/>
              <w:rPr>
                <w:rFonts w:asciiTheme="minorHAnsi" w:hAnsiTheme="minorHAnsi"/>
                <w:i/>
                <w:iCs/>
              </w:rPr>
            </w:pPr>
            <w:r>
              <w:rPr>
                <w:rFonts w:asciiTheme="majorHAnsi" w:hAnsiTheme="majorHAnsi" w:cstheme="majorBidi"/>
              </w:rPr>
              <w:t>E</w:t>
            </w:r>
            <w:r w:rsidR="229EF9AD" w:rsidRPr="0C58547B">
              <w:rPr>
                <w:rFonts w:asciiTheme="majorHAnsi" w:hAnsiTheme="majorHAnsi" w:cstheme="majorBidi"/>
              </w:rPr>
              <w:t xml:space="preserve">stablish a community of practice for future aftercare services to better share best practice, problem solve and identify ways to upskill providers, including involvement of the broader network </w:t>
            </w:r>
            <w:r w:rsidR="0A238994" w:rsidRPr="0C58547B">
              <w:rPr>
                <w:rFonts w:asciiTheme="majorHAnsi" w:hAnsiTheme="majorHAnsi" w:cstheme="majorBidi"/>
              </w:rPr>
              <w:t xml:space="preserve">of aftercare services </w:t>
            </w:r>
            <w:r w:rsidR="229EF9AD" w:rsidRPr="0C58547B">
              <w:rPr>
                <w:rFonts w:asciiTheme="majorHAnsi" w:hAnsiTheme="majorHAnsi" w:cstheme="majorBidi"/>
              </w:rPr>
              <w:t>(</w:t>
            </w:r>
            <w:r w:rsidR="00D76172">
              <w:rPr>
                <w:rFonts w:asciiTheme="majorHAnsi" w:hAnsiTheme="majorHAnsi" w:cstheme="majorBidi"/>
              </w:rPr>
              <w:t>for example,</w:t>
            </w:r>
            <w:r w:rsidR="229EF9AD" w:rsidRPr="0C58547B">
              <w:rPr>
                <w:rFonts w:asciiTheme="majorHAnsi" w:hAnsiTheme="majorHAnsi" w:cstheme="majorBidi"/>
              </w:rPr>
              <w:t xml:space="preserve"> PHNs, referring health services). </w:t>
            </w:r>
            <w:r w:rsidR="229EF9AD" w:rsidRPr="0C58547B">
              <w:rPr>
                <w:rFonts w:asciiTheme="minorHAnsi" w:hAnsiTheme="minorHAnsi"/>
                <w:i/>
                <w:iCs/>
              </w:rPr>
              <w:t>(Interim Report Recommendation 8)</w:t>
            </w:r>
          </w:p>
          <w:p w14:paraId="391A29F1" w14:textId="77777777" w:rsidR="00A66C73" w:rsidRPr="000836C1" w:rsidRDefault="00A66C73" w:rsidP="00A66C73">
            <w:pPr>
              <w:pStyle w:val="TableNText"/>
              <w:rPr>
                <w:rFonts w:asciiTheme="minorHAnsi" w:hAnsiTheme="minorHAnsi" w:cstheme="minorHAnsi"/>
              </w:rPr>
            </w:pPr>
            <w:r w:rsidRPr="000836C1">
              <w:rPr>
                <w:rFonts w:asciiTheme="minorHAnsi" w:hAnsiTheme="minorHAnsi" w:cstheme="minorHAnsi"/>
              </w:rPr>
              <w:t xml:space="preserve">Improvements to the community of practice should include: </w:t>
            </w:r>
          </w:p>
          <w:p w14:paraId="4FA3BF37" w14:textId="5A7DC6D5" w:rsidR="00A66C73" w:rsidRPr="00DB0697" w:rsidRDefault="5B2DAA47" w:rsidP="00A66C73">
            <w:pPr>
              <w:pStyle w:val="TableNBullet"/>
            </w:pPr>
            <w:r>
              <w:t>i</w:t>
            </w:r>
            <w:r w:rsidR="074C90BC">
              <w:t>ncreasing the frequency with which they meet and therefore the opportunity to share good practice, including identifying ways providers can be appropriately upskilled or adapt the service model based on their local context.</w:t>
            </w:r>
          </w:p>
          <w:p w14:paraId="57EB933F" w14:textId="12FFC853" w:rsidR="00A66C73" w:rsidRPr="00DB0697" w:rsidRDefault="7FD36445" w:rsidP="00A66C73">
            <w:pPr>
              <w:pStyle w:val="TableNBullet"/>
            </w:pPr>
            <w:r>
              <w:t>c</w:t>
            </w:r>
            <w:r w:rsidR="074C90BC">
              <w:t xml:space="preserve">ontinuing to include broader representation and greater engagement from other stakeholders across </w:t>
            </w:r>
            <w:r w:rsidR="00A41E06">
              <w:t>s</w:t>
            </w:r>
            <w:r w:rsidR="074C90BC">
              <w:t xml:space="preserve">tates and </w:t>
            </w:r>
            <w:r w:rsidR="00A41E06">
              <w:t>t</w:t>
            </w:r>
            <w:r w:rsidR="074C90BC">
              <w:t>erritories (</w:t>
            </w:r>
            <w:r w:rsidR="00D76172">
              <w:t>for example,</w:t>
            </w:r>
            <w:r w:rsidR="074C90BC">
              <w:t xml:space="preserve"> </w:t>
            </w:r>
            <w:r>
              <w:t>Australian Department of Health</w:t>
            </w:r>
            <w:r w:rsidR="00672FC3">
              <w:t xml:space="preserve"> and Aged Care</w:t>
            </w:r>
            <w:r w:rsidR="67F3FD0F">
              <w:t xml:space="preserve">, </w:t>
            </w:r>
            <w:proofErr w:type="gramStart"/>
            <w:r w:rsidR="00A41E06">
              <w:t>s</w:t>
            </w:r>
            <w:r w:rsidR="46A03F39">
              <w:t>tate</w:t>
            </w:r>
            <w:proofErr w:type="gramEnd"/>
            <w:r w:rsidR="46A03F39">
              <w:t xml:space="preserve"> and </w:t>
            </w:r>
            <w:r w:rsidR="00A41E06">
              <w:t>t</w:t>
            </w:r>
            <w:r w:rsidR="46A03F39">
              <w:t>erritory health departments</w:t>
            </w:r>
            <w:r w:rsidR="074C90BC">
              <w:t xml:space="preserve">, PHNs, LHN/LHD/HHSs, </w:t>
            </w:r>
            <w:r w:rsidR="2DFA2A50">
              <w:t>and other service providers</w:t>
            </w:r>
            <w:r w:rsidR="074C90BC">
              <w:t>).</w:t>
            </w:r>
          </w:p>
          <w:p w14:paraId="21A49A58" w14:textId="6AF57368" w:rsidR="00A66C73" w:rsidRDefault="2948CFBD" w:rsidP="00A66C73">
            <w:pPr>
              <w:pStyle w:val="TableNBullet"/>
            </w:pPr>
            <w:r>
              <w:lastRenderedPageBreak/>
              <w:t>e</w:t>
            </w:r>
            <w:r w:rsidR="074C90BC">
              <w:t xml:space="preserve">nsuring there is </w:t>
            </w:r>
            <w:r w:rsidR="0B808255">
              <w:t>appropriate</w:t>
            </w:r>
            <w:r>
              <w:t>ly</w:t>
            </w:r>
            <w:r w:rsidR="0B808255">
              <w:t xml:space="preserve"> resourc</w:t>
            </w:r>
            <w:r>
              <w:t xml:space="preserve">ed </w:t>
            </w:r>
            <w:r w:rsidR="074C90BC">
              <w:t>Secretariat to coordinate agendas on key topics (</w:t>
            </w:r>
            <w:r w:rsidR="00D76172">
              <w:t>for example,</w:t>
            </w:r>
            <w:r w:rsidR="074C90BC">
              <w:t xml:space="preserve"> </w:t>
            </w:r>
            <w:r>
              <w:t xml:space="preserve">service </w:t>
            </w:r>
            <w:r w:rsidR="074C90BC">
              <w:t>integration</w:t>
            </w:r>
            <w:r>
              <w:t xml:space="preserve"> mechanisms</w:t>
            </w:r>
            <w:r w:rsidR="074C90BC">
              <w:t xml:space="preserve">, outbound referrals, </w:t>
            </w:r>
            <w:r>
              <w:t xml:space="preserve">and </w:t>
            </w:r>
            <w:r w:rsidR="074C90BC">
              <w:t>data collection, reporting and analysis).</w:t>
            </w:r>
          </w:p>
          <w:p w14:paraId="14639FB1" w14:textId="49E4539D" w:rsidR="00A66C73" w:rsidRPr="000836C1" w:rsidRDefault="0112091C" w:rsidP="00A66C73">
            <w:pPr>
              <w:pStyle w:val="TableNBullet"/>
            </w:pPr>
            <w:r>
              <w:t>a</w:t>
            </w:r>
            <w:r w:rsidR="5765FD77">
              <w:t>ttendees that have lived experience of suicidality and were previously involved in accessing aftercare services</w:t>
            </w:r>
            <w:r w:rsidR="00C172F9">
              <w:t xml:space="preserve"> (</w:t>
            </w:r>
            <w:r w:rsidR="00D76172">
              <w:t>for example,</w:t>
            </w:r>
            <w:r w:rsidR="00E80302">
              <w:t xml:space="preserve"> </w:t>
            </w:r>
            <w:r w:rsidR="00C172F9">
              <w:t>using an expression of interest for recruitment of these attendees)</w:t>
            </w:r>
            <w:r w:rsidR="00DF67F1">
              <w:t>.</w:t>
            </w:r>
            <w:r w:rsidR="5765FD77">
              <w:t xml:space="preserve"> </w:t>
            </w:r>
          </w:p>
          <w:p w14:paraId="76539955" w14:textId="629E521C" w:rsidR="00A66C73" w:rsidRPr="00CC60E6" w:rsidRDefault="2948CFBD" w:rsidP="00A66C73">
            <w:pPr>
              <w:pStyle w:val="TableNBullet"/>
            </w:pPr>
            <w:r>
              <w:t>p</w:t>
            </w:r>
            <w:r w:rsidR="074C90BC">
              <w:t xml:space="preserve">rovide flexibility </w:t>
            </w:r>
            <w:r>
              <w:t xml:space="preserve">in </w:t>
            </w:r>
            <w:r w:rsidR="074C90BC">
              <w:t xml:space="preserve">how information and learnings are shared across </w:t>
            </w:r>
            <w:r w:rsidR="5FA25E3F">
              <w:t xml:space="preserve">aftercare services </w:t>
            </w:r>
            <w:r w:rsidR="074C90BC">
              <w:t>(</w:t>
            </w:r>
            <w:r w:rsidR="00D76172">
              <w:t>for example,</w:t>
            </w:r>
            <w:r w:rsidR="074C90BC">
              <w:t xml:space="preserve"> written documentation, presentations, working sessions etc.). </w:t>
            </w:r>
          </w:p>
        </w:tc>
        <w:tc>
          <w:tcPr>
            <w:tcW w:w="4236" w:type="dxa"/>
          </w:tcPr>
          <w:p w14:paraId="002E4114" w14:textId="14EFC0CF" w:rsidR="00A66C73" w:rsidRPr="00D16AAD" w:rsidRDefault="00A66C73" w:rsidP="00A66C73">
            <w:pPr>
              <w:pStyle w:val="TableNText"/>
            </w:pPr>
            <w:r>
              <w:lastRenderedPageBreak/>
              <w:t>Providers in consultations indicated the importance of being able to learn from more mature sites or other good practice</w:t>
            </w:r>
            <w:r w:rsidR="00CF6ED1">
              <w:t xml:space="preserve"> to further improve service </w:t>
            </w:r>
            <w:r w:rsidR="00B8542C">
              <w:t>access,</w:t>
            </w:r>
            <w:r w:rsidR="00CF6ED1">
              <w:t xml:space="preserve"> </w:t>
            </w:r>
            <w:proofErr w:type="gramStart"/>
            <w:r w:rsidR="00CF6ED1">
              <w:t>quality</w:t>
            </w:r>
            <w:proofErr w:type="gramEnd"/>
            <w:r w:rsidR="00CF6ED1">
              <w:t xml:space="preserve"> and safety</w:t>
            </w:r>
            <w:r>
              <w:t xml:space="preserve">. </w:t>
            </w:r>
          </w:p>
        </w:tc>
        <w:tc>
          <w:tcPr>
            <w:tcW w:w="1508" w:type="dxa"/>
            <w:shd w:val="clear" w:color="auto" w:fill="F2F2F2" w:themeFill="background1" w:themeFillShade="F2"/>
          </w:tcPr>
          <w:p w14:paraId="0FF9693C" w14:textId="4E573714" w:rsidR="00DF67F1" w:rsidRDefault="00DF67F1" w:rsidP="00DF67F1">
            <w:pPr>
              <w:spacing w:after="60"/>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sidR="000339B6">
              <w:rPr>
                <w:rFonts w:asciiTheme="majorHAnsi" w:hAnsiTheme="majorHAnsi" w:cstheme="majorHAnsi"/>
                <w:noProof/>
                <w:color w:val="00264D" w:themeColor="background2"/>
                <w:sz w:val="16"/>
                <w:szCs w:val="16"/>
              </w:rPr>
              <w:t xml:space="preserve"> AND AGED CARE</w:t>
            </w:r>
          </w:p>
          <w:p w14:paraId="1F874283" w14:textId="37EEBF7C" w:rsidR="00AF0B7D" w:rsidRPr="00565759" w:rsidRDefault="00AF0B7D" w:rsidP="00DF67F1">
            <w:pPr>
              <w:spacing w:after="60"/>
              <w:rPr>
                <w:rFonts w:asciiTheme="majorHAnsi" w:hAnsiTheme="majorHAnsi" w:cstheme="majorHAnsi"/>
                <w:noProof/>
                <w:color w:val="00264D" w:themeColor="background2"/>
                <w:sz w:val="16"/>
                <w:szCs w:val="16"/>
              </w:rPr>
            </w:pPr>
            <w:r>
              <w:rPr>
                <w:rFonts w:asciiTheme="majorHAnsi" w:hAnsiTheme="majorHAnsi" w:cstheme="majorHAnsi"/>
                <w:noProof/>
                <w:color w:val="00264D" w:themeColor="background2"/>
                <w:sz w:val="16"/>
                <w:szCs w:val="16"/>
              </w:rPr>
              <w:t>STATES AND TERRITORIES</w:t>
            </w:r>
          </w:p>
          <w:p w14:paraId="04F4216D" w14:textId="77777777" w:rsidR="00FE7FA2" w:rsidRDefault="00E76B25" w:rsidP="00DF67F1">
            <w:pPr>
              <w:rPr>
                <w:rFonts w:asciiTheme="majorHAnsi" w:hAnsiTheme="majorHAnsi" w:cstheme="majorHAnsi"/>
                <w:noProof/>
                <w:color w:val="00264D" w:themeColor="background2"/>
                <w:sz w:val="16"/>
                <w:szCs w:val="16"/>
              </w:rPr>
            </w:pPr>
            <w:r>
              <w:rPr>
                <w:rFonts w:asciiTheme="majorHAnsi" w:hAnsiTheme="majorHAnsi" w:cstheme="majorHAnsi"/>
                <w:noProof/>
                <w:color w:val="00264D" w:themeColor="background2"/>
                <w:sz w:val="16"/>
                <w:szCs w:val="16"/>
              </w:rPr>
              <w:t xml:space="preserve">SERVICE </w:t>
            </w:r>
            <w:r w:rsidR="00164396">
              <w:rPr>
                <w:rFonts w:asciiTheme="majorHAnsi" w:hAnsiTheme="majorHAnsi" w:cstheme="majorHAnsi"/>
                <w:noProof/>
                <w:color w:val="00264D" w:themeColor="background2"/>
                <w:sz w:val="16"/>
                <w:szCs w:val="16"/>
              </w:rPr>
              <w:t>COMMISSIONERS</w:t>
            </w:r>
            <w:r>
              <w:rPr>
                <w:rFonts w:asciiTheme="majorHAnsi" w:hAnsiTheme="majorHAnsi" w:cstheme="majorHAnsi"/>
                <w:noProof/>
                <w:color w:val="00264D" w:themeColor="background2"/>
                <w:sz w:val="16"/>
                <w:szCs w:val="16"/>
              </w:rPr>
              <w:t xml:space="preserve"> </w:t>
            </w:r>
          </w:p>
          <w:p w14:paraId="434F3275" w14:textId="5DB85DD2" w:rsidR="00A66C73" w:rsidRPr="00565759" w:rsidRDefault="00DF67F1" w:rsidP="00DF67F1">
            <w:pPr>
              <w:rPr>
                <w:sz w:val="16"/>
                <w:szCs w:val="16"/>
                <w:lang w:eastAsia="en-AU"/>
              </w:rPr>
            </w:pPr>
            <w:r w:rsidRPr="00565759">
              <w:rPr>
                <w:rFonts w:asciiTheme="majorHAnsi" w:hAnsiTheme="majorHAnsi" w:cstheme="majorHAnsi"/>
                <w:noProof/>
                <w:color w:val="00264D" w:themeColor="background2"/>
                <w:sz w:val="16"/>
                <w:szCs w:val="16"/>
              </w:rPr>
              <w:t>PROVIDERS</w:t>
            </w:r>
          </w:p>
        </w:tc>
      </w:tr>
      <w:tr w:rsidR="00A66C73" w14:paraId="278CCBB0" w14:textId="4770247D" w:rsidTr="006C3A51">
        <w:tc>
          <w:tcPr>
            <w:tcW w:w="7015" w:type="dxa"/>
          </w:tcPr>
          <w:p w14:paraId="196D567A" w14:textId="03A37066" w:rsidR="00A66C73" w:rsidRDefault="00DF67F1" w:rsidP="0C58547B">
            <w:pPr>
              <w:pStyle w:val="TableNText"/>
              <w:rPr>
                <w:rFonts w:asciiTheme="majorHAnsi" w:hAnsiTheme="majorHAnsi" w:cstheme="majorBidi"/>
              </w:rPr>
            </w:pPr>
            <w:r w:rsidRPr="0C58547B">
              <w:rPr>
                <w:rFonts w:asciiTheme="majorHAnsi" w:hAnsiTheme="majorHAnsi" w:cstheme="majorBidi"/>
              </w:rPr>
              <w:t>1</w:t>
            </w:r>
            <w:r w:rsidR="00951478">
              <w:rPr>
                <w:rFonts w:asciiTheme="majorHAnsi" w:hAnsiTheme="majorHAnsi" w:cstheme="majorBidi"/>
              </w:rPr>
              <w:t>3</w:t>
            </w:r>
            <w:r w:rsidR="229EF9AD" w:rsidRPr="0C58547B">
              <w:rPr>
                <w:rFonts w:asciiTheme="majorHAnsi" w:hAnsiTheme="majorHAnsi" w:cstheme="majorBidi"/>
              </w:rPr>
              <w:t xml:space="preserve">. </w:t>
            </w:r>
            <w:r w:rsidR="00164396">
              <w:rPr>
                <w:rFonts w:asciiTheme="majorHAnsi" w:hAnsiTheme="majorHAnsi" w:cstheme="majorBidi"/>
              </w:rPr>
              <w:t>I</w:t>
            </w:r>
            <w:r w:rsidR="229EF9AD" w:rsidRPr="0C58547B">
              <w:rPr>
                <w:rFonts w:asciiTheme="majorHAnsi" w:hAnsiTheme="majorHAnsi" w:cstheme="majorBidi"/>
              </w:rPr>
              <w:t xml:space="preserve">mprove support for aftercare services staff to better manage vicarious trauma and burnout </w:t>
            </w:r>
            <w:r w:rsidR="229EF9AD" w:rsidRPr="0C58547B">
              <w:rPr>
                <w:rFonts w:asciiTheme="minorHAnsi" w:hAnsiTheme="minorHAnsi"/>
                <w:i/>
                <w:iCs/>
              </w:rPr>
              <w:t>(Interim Report Recommendation 10).</w:t>
            </w:r>
            <w:r w:rsidR="229EF9AD" w:rsidRPr="0C58547B">
              <w:rPr>
                <w:rFonts w:asciiTheme="majorHAnsi" w:hAnsiTheme="majorHAnsi" w:cstheme="majorBidi"/>
              </w:rPr>
              <w:t xml:space="preserve"> </w:t>
            </w:r>
          </w:p>
          <w:p w14:paraId="4B0826B7" w14:textId="25D67901" w:rsidR="00A66C73" w:rsidRDefault="00A66C73" w:rsidP="00A66C73">
            <w:pPr>
              <w:pStyle w:val="TableNText"/>
              <w:rPr>
                <w:rFonts w:asciiTheme="minorHAnsi" w:hAnsiTheme="minorHAnsi" w:cstheme="minorHAnsi"/>
              </w:rPr>
            </w:pPr>
            <w:r>
              <w:rPr>
                <w:rFonts w:asciiTheme="minorHAnsi" w:hAnsiTheme="minorHAnsi" w:cstheme="minorHAnsi"/>
              </w:rPr>
              <w:t>Support mechanisms could include:</w:t>
            </w:r>
          </w:p>
          <w:p w14:paraId="1C3C785C" w14:textId="301BBE24" w:rsidR="00A66C73" w:rsidRDefault="2948CFBD" w:rsidP="00A66C73">
            <w:pPr>
              <w:pStyle w:val="TableNBullet"/>
            </w:pPr>
            <w:r>
              <w:t>a</w:t>
            </w:r>
            <w:r w:rsidR="074C90BC">
              <w:t>dditional leave allowances</w:t>
            </w:r>
            <w:r w:rsidR="00074449">
              <w:t xml:space="preserve">, </w:t>
            </w:r>
          </w:p>
          <w:p w14:paraId="0F8E50FE" w14:textId="1C59B82D" w:rsidR="00A66C73" w:rsidRDefault="0112091C" w:rsidP="00A66C73">
            <w:pPr>
              <w:pStyle w:val="TableNBullet"/>
            </w:pPr>
            <w:r>
              <w:t>a</w:t>
            </w:r>
            <w:r w:rsidR="5765FD77">
              <w:t>ccess to employee assistance programs, and</w:t>
            </w:r>
          </w:p>
          <w:p w14:paraId="5B380300" w14:textId="38FB69BE" w:rsidR="00A66C73" w:rsidRDefault="2948CFBD" w:rsidP="00A66C73">
            <w:pPr>
              <w:pStyle w:val="TableNBullet"/>
            </w:pPr>
            <w:r>
              <w:t>f</w:t>
            </w:r>
            <w:r w:rsidR="074C90BC">
              <w:t>ormal debriefing requirements for support coordinators / teams / individuals at regular intervals.</w:t>
            </w:r>
          </w:p>
          <w:p w14:paraId="3FB771EB" w14:textId="00DA2444" w:rsidR="00074449" w:rsidRDefault="003F130C" w:rsidP="00A66C73">
            <w:pPr>
              <w:pStyle w:val="TableNBullet"/>
            </w:pPr>
            <w:r>
              <w:t>Cultural supervision and leave allowances</w:t>
            </w:r>
            <w:r w:rsidR="00EB289B">
              <w:t>.</w:t>
            </w:r>
            <w:r>
              <w:t xml:space="preserve"> </w:t>
            </w:r>
          </w:p>
          <w:p w14:paraId="76AEE9B2" w14:textId="5BEC1041" w:rsidR="00A66C73" w:rsidRPr="005A0AF0" w:rsidRDefault="00A66C73" w:rsidP="00454930">
            <w:pPr>
              <w:pStyle w:val="TableNBullet"/>
              <w:numPr>
                <w:ilvl w:val="0"/>
                <w:numId w:val="0"/>
              </w:numPr>
              <w:ind w:left="227" w:hanging="227"/>
            </w:pPr>
            <w:r>
              <w:t xml:space="preserve">These mechanisms should be underpinned by </w:t>
            </w:r>
            <w:r w:rsidR="00A264EB">
              <w:t xml:space="preserve">care and </w:t>
            </w:r>
            <w:r>
              <w:t xml:space="preserve">clinical governance arrangements. </w:t>
            </w:r>
          </w:p>
        </w:tc>
        <w:tc>
          <w:tcPr>
            <w:tcW w:w="4236" w:type="dxa"/>
          </w:tcPr>
          <w:p w14:paraId="7FFC18C5" w14:textId="0C6505B2" w:rsidR="00A66C73" w:rsidRDefault="00A66C73" w:rsidP="00A66C73">
            <w:pPr>
              <w:pStyle w:val="TableNText"/>
              <w:rPr>
                <w:rFonts w:asciiTheme="minorHAnsi" w:hAnsiTheme="minorHAnsi" w:cstheme="minorHAnsi"/>
              </w:rPr>
            </w:pPr>
            <w:r w:rsidRPr="00F83B28">
              <w:rPr>
                <w:rFonts w:asciiTheme="minorHAnsi" w:hAnsiTheme="minorHAnsi" w:cstheme="minorHAnsi"/>
              </w:rPr>
              <w:t xml:space="preserve">Providers indicated this is a risk, given the nature of the work and demand on services (see section </w:t>
            </w:r>
            <w:r w:rsidR="00DF67F1">
              <w:rPr>
                <w:rFonts w:asciiTheme="minorHAnsi" w:hAnsiTheme="minorHAnsi" w:cstheme="minorHAnsi"/>
              </w:rPr>
              <w:fldChar w:fldCharType="begin"/>
            </w:r>
            <w:r w:rsidR="00DF67F1">
              <w:rPr>
                <w:rFonts w:asciiTheme="minorHAnsi" w:hAnsiTheme="minorHAnsi" w:cstheme="minorHAnsi"/>
              </w:rPr>
              <w:instrText xml:space="preserve"> REF _Ref118127577 \n \h  \* MERGEFORMAT </w:instrText>
            </w:r>
            <w:r w:rsidR="00DF67F1">
              <w:rPr>
                <w:rFonts w:asciiTheme="minorHAnsi" w:hAnsiTheme="minorHAnsi" w:cstheme="minorHAnsi"/>
              </w:rPr>
            </w:r>
            <w:r w:rsidR="00DF67F1">
              <w:rPr>
                <w:rFonts w:asciiTheme="minorHAnsi" w:hAnsiTheme="minorHAnsi" w:cstheme="minorHAnsi"/>
              </w:rPr>
              <w:fldChar w:fldCharType="separate"/>
            </w:r>
            <w:r w:rsidR="00402362">
              <w:rPr>
                <w:rFonts w:asciiTheme="minorHAnsi" w:hAnsiTheme="minorHAnsi" w:cstheme="minorHAnsi"/>
              </w:rPr>
              <w:t>9.3</w:t>
            </w:r>
            <w:r w:rsidR="00DF67F1">
              <w:rPr>
                <w:rFonts w:asciiTheme="minorHAnsi" w:hAnsiTheme="minorHAnsi" w:cstheme="minorHAnsi"/>
              </w:rPr>
              <w:fldChar w:fldCharType="end"/>
            </w:r>
            <w:r w:rsidRPr="00F83B28">
              <w:rPr>
                <w:rFonts w:asciiTheme="minorHAnsi" w:hAnsiTheme="minorHAnsi" w:cstheme="minorHAnsi"/>
              </w:rPr>
              <w:t>).</w:t>
            </w:r>
          </w:p>
          <w:p w14:paraId="2F4841C2" w14:textId="158B4018" w:rsidR="00A66C73" w:rsidRPr="00F83B28" w:rsidRDefault="003F130C" w:rsidP="00A66C73">
            <w:pPr>
              <w:pStyle w:val="TableNText"/>
              <w:rPr>
                <w:rFonts w:asciiTheme="minorHAnsi" w:hAnsiTheme="minorHAnsi" w:cstheme="minorHAnsi"/>
              </w:rPr>
            </w:pPr>
            <w:r>
              <w:rPr>
                <w:rFonts w:asciiTheme="minorHAnsi" w:hAnsiTheme="minorHAnsi" w:cstheme="minorHAnsi"/>
              </w:rPr>
              <w:t xml:space="preserve">The Aboriginal Advisory Group </w:t>
            </w:r>
            <w:r w:rsidR="00B74035">
              <w:rPr>
                <w:rFonts w:asciiTheme="minorHAnsi" w:hAnsiTheme="minorHAnsi" w:cstheme="minorHAnsi"/>
              </w:rPr>
              <w:t xml:space="preserve">also </w:t>
            </w:r>
            <w:r>
              <w:rPr>
                <w:rFonts w:asciiTheme="minorHAnsi" w:hAnsiTheme="minorHAnsi" w:cstheme="minorHAnsi"/>
              </w:rPr>
              <w:t xml:space="preserve">highlighted </w:t>
            </w:r>
            <w:r w:rsidR="00B74035">
              <w:rPr>
                <w:rFonts w:asciiTheme="minorHAnsi" w:hAnsiTheme="minorHAnsi" w:cstheme="minorHAnsi"/>
              </w:rPr>
              <w:t xml:space="preserve">the </w:t>
            </w:r>
            <w:r w:rsidR="00884CA3">
              <w:rPr>
                <w:rFonts w:asciiTheme="minorHAnsi" w:hAnsiTheme="minorHAnsi" w:cstheme="minorHAnsi"/>
              </w:rPr>
              <w:t xml:space="preserve">risks to </w:t>
            </w:r>
            <w:r w:rsidR="00B74035">
              <w:rPr>
                <w:rFonts w:asciiTheme="minorHAnsi" w:hAnsiTheme="minorHAnsi" w:cstheme="minorHAnsi"/>
              </w:rPr>
              <w:t xml:space="preserve">Aboriginal and Torres Strait Islander </w:t>
            </w:r>
            <w:r w:rsidR="00884CA3">
              <w:rPr>
                <w:rFonts w:asciiTheme="minorHAnsi" w:hAnsiTheme="minorHAnsi" w:cstheme="minorHAnsi"/>
              </w:rPr>
              <w:t xml:space="preserve">staff burnout and vicarious trauma given </w:t>
            </w:r>
            <w:r w:rsidR="0054391A">
              <w:rPr>
                <w:rFonts w:asciiTheme="minorHAnsi" w:hAnsiTheme="minorHAnsi" w:cstheme="minorHAnsi"/>
              </w:rPr>
              <w:t xml:space="preserve">the expectation to be available 24/7 (due to </w:t>
            </w:r>
            <w:r w:rsidR="00884CA3">
              <w:rPr>
                <w:rFonts w:asciiTheme="minorHAnsi" w:hAnsiTheme="minorHAnsi" w:cstheme="minorHAnsi"/>
              </w:rPr>
              <w:t xml:space="preserve">community responsibilities </w:t>
            </w:r>
            <w:r w:rsidR="0054391A">
              <w:rPr>
                <w:rFonts w:asciiTheme="minorHAnsi" w:hAnsiTheme="minorHAnsi" w:cstheme="minorHAnsi"/>
              </w:rPr>
              <w:t xml:space="preserve">and work) couple alongside the significant Aboriginal and Torres Strait Islander workforce shortages. </w:t>
            </w:r>
          </w:p>
        </w:tc>
        <w:tc>
          <w:tcPr>
            <w:tcW w:w="1508" w:type="dxa"/>
            <w:shd w:val="clear" w:color="auto" w:fill="F2F2F2" w:themeFill="background1" w:themeFillShade="F2"/>
          </w:tcPr>
          <w:p w14:paraId="4051947E" w14:textId="0B1A2BDA" w:rsidR="00CC0554" w:rsidRDefault="00CC0554" w:rsidP="00CC0554">
            <w:pPr>
              <w:rPr>
                <w:rFonts w:asciiTheme="majorHAnsi" w:hAnsiTheme="majorHAnsi" w:cstheme="majorHAnsi"/>
                <w:noProof/>
                <w:color w:val="00264D" w:themeColor="background2"/>
                <w:sz w:val="16"/>
                <w:szCs w:val="16"/>
              </w:rPr>
            </w:pPr>
            <w:r w:rsidRPr="00565759">
              <w:rPr>
                <w:rFonts w:asciiTheme="majorHAnsi" w:hAnsiTheme="majorHAnsi" w:cstheme="majorHAnsi"/>
                <w:noProof/>
                <w:color w:val="00264D" w:themeColor="background2"/>
                <w:sz w:val="16"/>
                <w:szCs w:val="16"/>
              </w:rPr>
              <w:t>AUSTRALIAN DEPARTMENT OF HEALTH</w:t>
            </w:r>
            <w:r>
              <w:rPr>
                <w:rFonts w:asciiTheme="majorHAnsi" w:hAnsiTheme="majorHAnsi" w:cstheme="majorHAnsi"/>
                <w:noProof/>
                <w:color w:val="00264D" w:themeColor="background2"/>
                <w:sz w:val="16"/>
                <w:szCs w:val="16"/>
              </w:rPr>
              <w:t xml:space="preserve"> AND AGED CARE</w:t>
            </w:r>
          </w:p>
          <w:p w14:paraId="5C97EB09" w14:textId="77777777" w:rsidR="00A66C73" w:rsidRDefault="00CC0554" w:rsidP="00CC0554">
            <w:pPr>
              <w:rPr>
                <w:rFonts w:asciiTheme="majorHAnsi" w:hAnsiTheme="majorHAnsi" w:cstheme="majorHAnsi"/>
                <w:color w:val="00264D" w:themeColor="background2"/>
                <w:sz w:val="16"/>
                <w:szCs w:val="16"/>
                <w:lang w:eastAsia="en-AU"/>
              </w:rPr>
            </w:pPr>
            <w:r w:rsidRPr="00E76B25">
              <w:rPr>
                <w:rFonts w:asciiTheme="majorHAnsi" w:hAnsiTheme="majorHAnsi" w:cstheme="majorHAnsi"/>
                <w:color w:val="00264D" w:themeColor="background2"/>
                <w:sz w:val="16"/>
                <w:szCs w:val="16"/>
                <w:lang w:eastAsia="en-AU"/>
              </w:rPr>
              <w:t>STATES AND TERRITORIES</w:t>
            </w:r>
          </w:p>
          <w:p w14:paraId="34349E9C" w14:textId="53CD6BFE" w:rsidR="00A66C73" w:rsidRPr="00565759" w:rsidRDefault="00CC0554" w:rsidP="00DF67F1">
            <w:pPr>
              <w:rPr>
                <w:sz w:val="16"/>
                <w:szCs w:val="16"/>
                <w:lang w:eastAsia="en-AU"/>
              </w:rPr>
            </w:pPr>
            <w:r w:rsidRPr="00565759">
              <w:rPr>
                <w:rFonts w:asciiTheme="majorHAnsi" w:hAnsiTheme="majorHAnsi" w:cstheme="majorHAnsi"/>
                <w:noProof/>
                <w:color w:val="00264D" w:themeColor="background2"/>
                <w:sz w:val="16"/>
                <w:szCs w:val="16"/>
              </w:rPr>
              <w:t>PROVIDERS</w:t>
            </w:r>
          </w:p>
        </w:tc>
      </w:tr>
      <w:tr w:rsidR="00A66C73" w14:paraId="1E3B3192" w14:textId="2ADA0D0F" w:rsidTr="006C3A51">
        <w:tc>
          <w:tcPr>
            <w:tcW w:w="7015" w:type="dxa"/>
            <w:shd w:val="clear" w:color="auto" w:fill="25B3E0" w:themeFill="accent6"/>
          </w:tcPr>
          <w:p w14:paraId="395FB220" w14:textId="6EA47A52" w:rsidR="00A66C73" w:rsidRPr="00BC6E64" w:rsidRDefault="00A66C73" w:rsidP="00A66C73">
            <w:pPr>
              <w:pStyle w:val="TableNText"/>
              <w:rPr>
                <w:rFonts w:asciiTheme="majorHAnsi" w:hAnsiTheme="majorHAnsi" w:cstheme="majorHAnsi"/>
                <w:color w:val="FFFFFF" w:themeColor="background1"/>
              </w:rPr>
            </w:pPr>
            <w:r w:rsidRPr="007D7202">
              <w:rPr>
                <w:rFonts w:asciiTheme="majorHAnsi" w:hAnsiTheme="majorHAnsi" w:cstheme="majorHAnsi"/>
              </w:rPr>
              <w:t>MONITORING AND CONTINUOUS IMPROVEMENT</w:t>
            </w:r>
          </w:p>
        </w:tc>
        <w:tc>
          <w:tcPr>
            <w:tcW w:w="4236" w:type="dxa"/>
            <w:shd w:val="clear" w:color="auto" w:fill="25B3E0" w:themeFill="accent6"/>
          </w:tcPr>
          <w:p w14:paraId="274147C0" w14:textId="77777777" w:rsidR="00A66C73" w:rsidRPr="00BC6E64" w:rsidRDefault="00A66C73" w:rsidP="00A66C73">
            <w:pPr>
              <w:pStyle w:val="TableNText"/>
              <w:rPr>
                <w:color w:val="FFFFFF" w:themeColor="background1"/>
              </w:rPr>
            </w:pPr>
          </w:p>
        </w:tc>
        <w:tc>
          <w:tcPr>
            <w:tcW w:w="1508" w:type="dxa"/>
            <w:shd w:val="clear" w:color="auto" w:fill="25B3E0" w:themeFill="accent6"/>
          </w:tcPr>
          <w:p w14:paraId="0A33C58E" w14:textId="77777777" w:rsidR="00A66C73" w:rsidRPr="00565759" w:rsidRDefault="00A66C73" w:rsidP="00A66C73">
            <w:pPr>
              <w:rPr>
                <w:color w:val="FFFFFF" w:themeColor="background1"/>
                <w:sz w:val="16"/>
                <w:szCs w:val="16"/>
                <w:lang w:eastAsia="en-AU"/>
              </w:rPr>
            </w:pPr>
          </w:p>
        </w:tc>
      </w:tr>
      <w:tr w:rsidR="00A66C73" w14:paraId="351E84D1" w14:textId="1FCAE4A7" w:rsidTr="006C3A51">
        <w:tc>
          <w:tcPr>
            <w:tcW w:w="7015" w:type="dxa"/>
          </w:tcPr>
          <w:p w14:paraId="5CFF47E4" w14:textId="335A30B0" w:rsidR="00A66C73" w:rsidRDefault="00233569" w:rsidP="00A66C73">
            <w:pPr>
              <w:pStyle w:val="TableNText"/>
              <w:rPr>
                <w:rFonts w:asciiTheme="majorHAnsi" w:hAnsiTheme="majorHAnsi" w:cstheme="majorHAnsi"/>
              </w:rPr>
            </w:pPr>
            <w:r>
              <w:rPr>
                <w:rFonts w:asciiTheme="majorHAnsi" w:hAnsiTheme="majorHAnsi" w:cstheme="majorHAnsi"/>
              </w:rPr>
              <w:t>1</w:t>
            </w:r>
            <w:r w:rsidR="00951478">
              <w:rPr>
                <w:rFonts w:asciiTheme="majorHAnsi" w:hAnsiTheme="majorHAnsi" w:cstheme="majorHAnsi"/>
              </w:rPr>
              <w:t>4</w:t>
            </w:r>
            <w:r w:rsidR="00A66C73">
              <w:rPr>
                <w:rFonts w:asciiTheme="majorHAnsi" w:hAnsiTheme="majorHAnsi" w:cstheme="majorHAnsi"/>
              </w:rPr>
              <w:t xml:space="preserve">. In the short-term, ensure mental health outcome measures are used </w:t>
            </w:r>
            <w:r w:rsidR="00C039E4">
              <w:rPr>
                <w:rFonts w:asciiTheme="majorHAnsi" w:hAnsiTheme="majorHAnsi" w:cstheme="majorHAnsi"/>
              </w:rPr>
              <w:t xml:space="preserve">appropriately, </w:t>
            </w:r>
            <w:proofErr w:type="gramStart"/>
            <w:r w:rsidR="00A66C73">
              <w:rPr>
                <w:rFonts w:asciiTheme="majorHAnsi" w:hAnsiTheme="majorHAnsi" w:cstheme="majorHAnsi"/>
              </w:rPr>
              <w:t>consistently</w:t>
            </w:r>
            <w:proofErr w:type="gramEnd"/>
            <w:r w:rsidR="00A66C73">
              <w:rPr>
                <w:rFonts w:asciiTheme="majorHAnsi" w:hAnsiTheme="majorHAnsi" w:cstheme="majorHAnsi"/>
              </w:rPr>
              <w:t xml:space="preserve"> and comprehensively with participants who agree to completing an assessment.</w:t>
            </w:r>
          </w:p>
          <w:p w14:paraId="750B2CA8" w14:textId="080D8D57" w:rsidR="00A66C73" w:rsidRDefault="00A66C73" w:rsidP="00A66C73">
            <w:pPr>
              <w:pStyle w:val="TableNText"/>
            </w:pPr>
            <w:r w:rsidRPr="00586F1B">
              <w:t>Providers should</w:t>
            </w:r>
            <w:r>
              <w:t>:</w:t>
            </w:r>
          </w:p>
          <w:p w14:paraId="467CAB20" w14:textId="11405DDD" w:rsidR="00A66C73" w:rsidRPr="0065173F" w:rsidRDefault="2948CFBD" w:rsidP="00A66C73">
            <w:pPr>
              <w:pStyle w:val="TableNBullet"/>
              <w:rPr>
                <w:rFonts w:cstheme="minorBidi"/>
              </w:rPr>
            </w:pPr>
            <w:r w:rsidRPr="5F0B1C35">
              <w:rPr>
                <w:rFonts w:cstheme="minorBidi"/>
              </w:rPr>
              <w:t>s</w:t>
            </w:r>
            <w:r w:rsidR="074C90BC" w:rsidRPr="5F0B1C35">
              <w:rPr>
                <w:rFonts w:cstheme="minorBidi"/>
              </w:rPr>
              <w:t>eek to understand the barriers and challenges in place that are contributing to issues with collecting data.</w:t>
            </w:r>
          </w:p>
          <w:p w14:paraId="62D920B7" w14:textId="74094A65" w:rsidR="00EA32D6" w:rsidRPr="00EA32D6" w:rsidRDefault="2948CFBD" w:rsidP="00C27960">
            <w:pPr>
              <w:pStyle w:val="TableNBullet"/>
              <w:rPr>
                <w:rFonts w:cstheme="minorBidi"/>
              </w:rPr>
            </w:pPr>
            <w:r>
              <w:t>i</w:t>
            </w:r>
            <w:r w:rsidR="074C90BC">
              <w:t>mprove the consistency with which they either complete assessments and/or record the scores to enable a better understanding of participants’ progress and outcomes.</w:t>
            </w:r>
            <w:r w:rsidR="51C8962F">
              <w:t xml:space="preserve"> </w:t>
            </w:r>
          </w:p>
          <w:p w14:paraId="293E2AF6" w14:textId="382C14CF" w:rsidR="00A66C73" w:rsidRPr="0065173F" w:rsidRDefault="51C8962F" w:rsidP="00A66C73">
            <w:pPr>
              <w:pStyle w:val="TableNBullet"/>
              <w:rPr>
                <w:rFonts w:cstheme="minorBidi"/>
              </w:rPr>
            </w:pPr>
            <w:r>
              <w:t xml:space="preserve">ensure that participants who identify as Aboriginal and Torres Strait Islander are provided with the choice to use </w:t>
            </w:r>
            <w:r w:rsidR="4F239392">
              <w:t>the</w:t>
            </w:r>
            <w:r>
              <w:t xml:space="preserve"> K5</w:t>
            </w:r>
            <w:r w:rsidR="4F239392">
              <w:t xml:space="preserve"> outcome measurement tool</w:t>
            </w:r>
            <w:r>
              <w:t>.</w:t>
            </w:r>
          </w:p>
        </w:tc>
        <w:tc>
          <w:tcPr>
            <w:tcW w:w="4236" w:type="dxa"/>
          </w:tcPr>
          <w:p w14:paraId="792A7F9C" w14:textId="7F476E65" w:rsidR="00A66C73" w:rsidRPr="00D14F4D" w:rsidRDefault="00A66C73" w:rsidP="00A66C73">
            <w:pPr>
              <w:pStyle w:val="TableNText"/>
              <w:rPr>
                <w:szCs w:val="17"/>
              </w:rPr>
            </w:pPr>
            <w:r w:rsidRPr="00D14F4D">
              <w:rPr>
                <w:szCs w:val="17"/>
              </w:rPr>
              <w:t>Only a small proportion of participants have matched pair assessments available in the PMHC MDS for the K10 (</w:t>
            </w:r>
            <w:r>
              <w:rPr>
                <w:szCs w:val="17"/>
              </w:rPr>
              <w:t>22</w:t>
            </w:r>
            <w:r w:rsidRPr="00D14F4D">
              <w:rPr>
                <w:szCs w:val="17"/>
              </w:rPr>
              <w:t>%)</w:t>
            </w:r>
            <w:r>
              <w:rPr>
                <w:szCs w:val="17"/>
              </w:rPr>
              <w:t>,</w:t>
            </w:r>
            <w:r w:rsidRPr="00D14F4D">
              <w:rPr>
                <w:szCs w:val="17"/>
              </w:rPr>
              <w:t xml:space="preserve"> WHO-5 (1</w:t>
            </w:r>
            <w:r>
              <w:rPr>
                <w:szCs w:val="17"/>
              </w:rPr>
              <w:t>7</w:t>
            </w:r>
            <w:r w:rsidRPr="00D14F4D">
              <w:rPr>
                <w:szCs w:val="17"/>
              </w:rPr>
              <w:t>%) and SIDAS (1</w:t>
            </w:r>
            <w:r>
              <w:rPr>
                <w:szCs w:val="17"/>
              </w:rPr>
              <w:t>9</w:t>
            </w:r>
            <w:r w:rsidRPr="00D14F4D">
              <w:rPr>
                <w:szCs w:val="17"/>
              </w:rPr>
              <w:t>%) due to:</w:t>
            </w:r>
          </w:p>
          <w:p w14:paraId="6E6E6B5F" w14:textId="3729EBA5" w:rsidR="00A66C73" w:rsidRPr="00D14F4D" w:rsidRDefault="074C90BC" w:rsidP="00A66C73">
            <w:pPr>
              <w:pStyle w:val="TableNBullet"/>
              <w:rPr>
                <w:szCs w:val="17"/>
              </w:rPr>
            </w:pPr>
            <w:r>
              <w:t>Incomplete records, and</w:t>
            </w:r>
          </w:p>
          <w:p w14:paraId="1D1A0457" w14:textId="03541A3B" w:rsidR="00A66C73" w:rsidRPr="00D14F4D" w:rsidRDefault="074C90BC" w:rsidP="00A66C73">
            <w:pPr>
              <w:pStyle w:val="TableNBullet"/>
              <w:rPr>
                <w:szCs w:val="17"/>
              </w:rPr>
            </w:pPr>
            <w:r w:rsidRPr="5F0B1C35">
              <w:t>Inconsistent recording of scores</w:t>
            </w:r>
            <w:r>
              <w:rPr>
                <w:szCs w:val="17"/>
              </w:rPr>
              <w:t xml:space="preserve"> </w:t>
            </w:r>
            <w:r w:rsidRPr="5F0B1C35">
              <w:t xml:space="preserve">(see section </w:t>
            </w:r>
            <w:r w:rsidR="006545C7">
              <w:fldChar w:fldCharType="begin"/>
            </w:r>
            <w:r w:rsidR="006545C7">
              <w:instrText xml:space="preserve"> REF _Ref117771511 \n \h </w:instrText>
            </w:r>
            <w:r w:rsidR="006545C7">
              <w:fldChar w:fldCharType="separate"/>
            </w:r>
            <w:r w:rsidR="00402362">
              <w:t>7</w:t>
            </w:r>
            <w:r w:rsidR="006545C7">
              <w:fldChar w:fldCharType="end"/>
            </w:r>
            <w:r w:rsidRPr="5F0B1C35">
              <w:t>.</w:t>
            </w:r>
            <w:r w:rsidR="00233569">
              <w:rPr>
                <w:szCs w:val="17"/>
              </w:rPr>
              <w:fldChar w:fldCharType="begin"/>
            </w:r>
            <w:r w:rsidR="00233569">
              <w:rPr>
                <w:szCs w:val="17"/>
              </w:rPr>
              <w:instrText xml:space="preserve"> REF _Ref118288795 \n \h  \* MERGEFORMAT </w:instrText>
            </w:r>
            <w:r w:rsidR="00233569">
              <w:rPr>
                <w:szCs w:val="17"/>
              </w:rPr>
            </w:r>
            <w:r w:rsidR="00233569">
              <w:rPr>
                <w:szCs w:val="17"/>
              </w:rPr>
              <w:fldChar w:fldCharType="separate"/>
            </w:r>
            <w:r w:rsidR="00402362">
              <w:rPr>
                <w:szCs w:val="17"/>
              </w:rPr>
              <w:t>3</w:t>
            </w:r>
            <w:r w:rsidR="00233569">
              <w:rPr>
                <w:szCs w:val="17"/>
              </w:rPr>
              <w:fldChar w:fldCharType="end"/>
            </w:r>
            <w:r w:rsidR="00233569" w:rsidRPr="001F7380">
              <w:rPr>
                <w:szCs w:val="17"/>
              </w:rPr>
              <w:t xml:space="preserve">). </w:t>
            </w:r>
          </w:p>
          <w:p w14:paraId="5102D816" w14:textId="7BFDF9EC" w:rsidR="00A66C73" w:rsidRPr="00D14F4D" w:rsidRDefault="00A66C73" w:rsidP="00FE3C1B">
            <w:pPr>
              <w:pStyle w:val="TableNText"/>
            </w:pPr>
            <w:r w:rsidRPr="00D14F4D">
              <w:rPr>
                <w:szCs w:val="17"/>
              </w:rPr>
              <w:t>An important component of care governance is to understand whether outcomes are improving for the participant.</w:t>
            </w:r>
            <w:r w:rsidR="00EA32D6" w:rsidRPr="00DC0F56">
              <w:t xml:space="preserve"> </w:t>
            </w:r>
          </w:p>
        </w:tc>
        <w:tc>
          <w:tcPr>
            <w:tcW w:w="1508" w:type="dxa"/>
            <w:shd w:val="clear" w:color="auto" w:fill="F2F2F2" w:themeFill="background1" w:themeFillShade="F2"/>
          </w:tcPr>
          <w:p w14:paraId="45B29E41" w14:textId="1F021E45" w:rsidR="00A66C73" w:rsidRPr="00565759" w:rsidRDefault="00233569" w:rsidP="00233569">
            <w:pPr>
              <w:pStyle w:val="TableNText"/>
              <w:rPr>
                <w:sz w:val="16"/>
                <w:szCs w:val="16"/>
              </w:rPr>
            </w:pPr>
            <w:r w:rsidRPr="00565759">
              <w:rPr>
                <w:rFonts w:asciiTheme="majorHAnsi" w:hAnsiTheme="majorHAnsi" w:cstheme="majorHAnsi"/>
                <w:noProof/>
                <w:color w:val="00264D" w:themeColor="background2"/>
                <w:sz w:val="16"/>
                <w:szCs w:val="16"/>
              </w:rPr>
              <w:t>PROVIDERS</w:t>
            </w:r>
          </w:p>
        </w:tc>
      </w:tr>
      <w:tr w:rsidR="00A66C73" w14:paraId="0B7DA3AF" w14:textId="5B4D45EB" w:rsidTr="006C3A51">
        <w:tc>
          <w:tcPr>
            <w:tcW w:w="7015" w:type="dxa"/>
          </w:tcPr>
          <w:p w14:paraId="0D968307" w14:textId="3CBC2661" w:rsidR="00A66C73" w:rsidRDefault="00233569" w:rsidP="00A66C73">
            <w:pPr>
              <w:pStyle w:val="TableNText"/>
              <w:rPr>
                <w:rFonts w:asciiTheme="majorHAnsi" w:hAnsiTheme="majorHAnsi" w:cstheme="majorHAnsi"/>
              </w:rPr>
            </w:pPr>
            <w:r>
              <w:rPr>
                <w:rFonts w:asciiTheme="majorHAnsi" w:hAnsiTheme="majorHAnsi" w:cstheme="majorHAnsi"/>
              </w:rPr>
              <w:lastRenderedPageBreak/>
              <w:t>1</w:t>
            </w:r>
            <w:r w:rsidR="00951478">
              <w:rPr>
                <w:rFonts w:asciiTheme="majorHAnsi" w:hAnsiTheme="majorHAnsi" w:cstheme="majorHAnsi"/>
              </w:rPr>
              <w:t>5</w:t>
            </w:r>
            <w:r w:rsidR="00A66C73">
              <w:rPr>
                <w:rFonts w:asciiTheme="majorHAnsi" w:hAnsiTheme="majorHAnsi" w:cstheme="majorHAnsi"/>
              </w:rPr>
              <w:t xml:space="preserve">. In the medium to longer term, review the appropriateness of mental health outcome measures for participants of </w:t>
            </w:r>
            <w:r w:rsidR="00D81C22">
              <w:rPr>
                <w:rFonts w:asciiTheme="majorHAnsi" w:hAnsiTheme="majorHAnsi" w:cstheme="majorHAnsi"/>
              </w:rPr>
              <w:t>future aftercare services.</w:t>
            </w:r>
          </w:p>
          <w:p w14:paraId="6A5026E4" w14:textId="79AA9D85" w:rsidR="00A66C73" w:rsidRDefault="00AC5D36" w:rsidP="00A66C73">
            <w:pPr>
              <w:pStyle w:val="TableNText"/>
            </w:pPr>
            <w:r>
              <w:t xml:space="preserve">The </w:t>
            </w:r>
            <w:r w:rsidR="00A264EB">
              <w:t>Australian</w:t>
            </w:r>
            <w:r>
              <w:t xml:space="preserve"> Department of Health</w:t>
            </w:r>
            <w:r w:rsidR="00672FC3">
              <w:t xml:space="preserve"> and Aged Care</w:t>
            </w:r>
            <w:r>
              <w:t xml:space="preserve"> </w:t>
            </w:r>
            <w:r w:rsidR="00A66C73">
              <w:t xml:space="preserve">should </w:t>
            </w:r>
            <w:r w:rsidR="00A66C73" w:rsidRPr="006906A9">
              <w:t xml:space="preserve">Identify outcome measures that are more appropriate to deliver in a psychosocial setting. </w:t>
            </w:r>
            <w:r w:rsidR="00A66C73">
              <w:t xml:space="preserve">This should involve: </w:t>
            </w:r>
          </w:p>
          <w:p w14:paraId="4989C599" w14:textId="7B628EC5" w:rsidR="00A66C73" w:rsidRDefault="3D6C408B" w:rsidP="00A66C73">
            <w:pPr>
              <w:pStyle w:val="TableNBullet"/>
            </w:pPr>
            <w:r>
              <w:t>i</w:t>
            </w:r>
            <w:r w:rsidR="074C90BC">
              <w:t>dentifying outcome measures that represent a person’s recovery (</w:t>
            </w:r>
            <w:r w:rsidR="00D76172">
              <w:t>for example,</w:t>
            </w:r>
            <w:r w:rsidR="074C90BC">
              <w:t xml:space="preserve"> the Recovery Star model) that does not result in a burdensome process of collecting information for support coordinators or participants of </w:t>
            </w:r>
            <w:r w:rsidR="5FA25E3F">
              <w:t>future aftercare services</w:t>
            </w:r>
            <w:r w:rsidR="074C90BC">
              <w:t>.</w:t>
            </w:r>
          </w:p>
          <w:p w14:paraId="651D0A11" w14:textId="6C68B576" w:rsidR="00A66C73" w:rsidRDefault="3D6C408B" w:rsidP="00A66C73">
            <w:pPr>
              <w:pStyle w:val="TableNBullet"/>
            </w:pPr>
            <w:r>
              <w:t>c</w:t>
            </w:r>
            <w:r w:rsidR="074C90BC">
              <w:t xml:space="preserve">ollecting information about </w:t>
            </w:r>
            <w:r w:rsidR="0B808255">
              <w:t>participants</w:t>
            </w:r>
            <w:r w:rsidR="5D95F2B4">
              <w:t>’</w:t>
            </w:r>
            <w:r w:rsidR="074C90BC">
              <w:t xml:space="preserve"> experience with </w:t>
            </w:r>
            <w:r w:rsidR="0AAD0369">
              <w:t>aftercare services</w:t>
            </w:r>
            <w:r w:rsidR="074C90BC">
              <w:t xml:space="preserve">. </w:t>
            </w:r>
          </w:p>
          <w:p w14:paraId="26441FE5" w14:textId="4AF7381A" w:rsidR="00A66C73" w:rsidRDefault="003F4103" w:rsidP="00A66C73">
            <w:pPr>
              <w:pStyle w:val="TableNBullet"/>
            </w:pPr>
            <w:r>
              <w:t>conducting a full review of</w:t>
            </w:r>
            <w:r w:rsidR="074C90BC">
              <w:t xml:space="preserve"> culturally appropriate outcome measures</w:t>
            </w:r>
            <w:r w:rsidR="3D6C408B">
              <w:t xml:space="preserve"> for specific population c</w:t>
            </w:r>
            <w:r w:rsidR="0C60151A">
              <w:t>o</w:t>
            </w:r>
            <w:r w:rsidR="3D6C408B">
              <w:t>horts (</w:t>
            </w:r>
            <w:r w:rsidR="6A5EADA7">
              <w:t>for example,</w:t>
            </w:r>
            <w:r w:rsidR="3D6C408B">
              <w:t xml:space="preserve"> Abor</w:t>
            </w:r>
            <w:r w:rsidR="51C8962F">
              <w:t xml:space="preserve">iginal and Torres </w:t>
            </w:r>
            <w:r w:rsidR="0C60151A">
              <w:t>Strait</w:t>
            </w:r>
            <w:r w:rsidR="51C8962F">
              <w:t xml:space="preserve"> Islander peoples)</w:t>
            </w:r>
          </w:p>
        </w:tc>
        <w:tc>
          <w:tcPr>
            <w:tcW w:w="4236" w:type="dxa"/>
          </w:tcPr>
          <w:p w14:paraId="49D77B1D" w14:textId="77777777" w:rsidR="00233569" w:rsidRDefault="00A66C73" w:rsidP="00233569">
            <w:pPr>
              <w:pStyle w:val="TableNBullet"/>
              <w:numPr>
                <w:ilvl w:val="0"/>
                <w:numId w:val="0"/>
              </w:numPr>
            </w:pPr>
            <w:r>
              <w:t xml:space="preserve">Recovery from suicidality is more than the absence of symptoms </w:t>
            </w:r>
            <w:r w:rsidR="000D3EA7">
              <w:t>of suicidality or distress</w:t>
            </w:r>
            <w:r w:rsidR="0073105E">
              <w:t xml:space="preserve"> </w:t>
            </w:r>
            <w:r>
              <w:t xml:space="preserve">– which clinical measures tend to assess. </w:t>
            </w:r>
          </w:p>
          <w:p w14:paraId="2DDDF9C7" w14:textId="602BEA96" w:rsidR="004D57BD" w:rsidRDefault="004D57BD" w:rsidP="004D57BD">
            <w:pPr>
              <w:pStyle w:val="TableNText"/>
            </w:pPr>
            <w:r>
              <w:t>Providers and the Aboriginal Advisory Group for this evaluation reported that K10, WHO-5 and SIDAS outcome measures may not be appropriate for participants of The Way Back given that</w:t>
            </w:r>
          </w:p>
          <w:p w14:paraId="37C424CE" w14:textId="77777777" w:rsidR="004D57BD" w:rsidRPr="00D36C4B" w:rsidRDefault="004D57BD" w:rsidP="00D36C4B">
            <w:pPr>
              <w:pStyle w:val="TableNBullet"/>
            </w:pPr>
            <w:r w:rsidRPr="00D36C4B">
              <w:t xml:space="preserve">The Way Back is a psychosocial service, and these measures are ‘clinical’ in nature. </w:t>
            </w:r>
          </w:p>
          <w:p w14:paraId="1E885E99" w14:textId="3B0BCF97" w:rsidR="00A66C73" w:rsidRPr="00D16AAD" w:rsidRDefault="004D57BD" w:rsidP="0001778F">
            <w:pPr>
              <w:pStyle w:val="TableNBullet"/>
            </w:pPr>
            <w:r w:rsidRPr="00D36C4B">
              <w:t xml:space="preserve">Assessments such as the K10 </w:t>
            </w:r>
            <w:r w:rsidR="001C1181">
              <w:t>may not be</w:t>
            </w:r>
            <w:r w:rsidRPr="00D36C4B">
              <w:t xml:space="preserve"> culturally appropriate for Aboriginal and Torres Strait Islander people.</w:t>
            </w:r>
            <w:r w:rsidR="00D36C4B" w:rsidRPr="00D36C4B">
              <w:t xml:space="preserve"> Note that the K5 (an alternative to the K10) is provided as an option to participants who identify as Aboriginal and Torres Strait Islander. </w:t>
            </w:r>
          </w:p>
        </w:tc>
        <w:tc>
          <w:tcPr>
            <w:tcW w:w="1508" w:type="dxa"/>
            <w:shd w:val="clear" w:color="auto" w:fill="F2F2F2" w:themeFill="background1" w:themeFillShade="F2"/>
          </w:tcPr>
          <w:p w14:paraId="3E801E3D" w14:textId="5D5E3DC9" w:rsidR="00A66C73" w:rsidRPr="00565759" w:rsidRDefault="00233569" w:rsidP="00233569">
            <w:pPr>
              <w:rPr>
                <w:sz w:val="16"/>
                <w:szCs w:val="16"/>
                <w:lang w:eastAsia="en-AU"/>
              </w:rPr>
            </w:pPr>
            <w:r w:rsidRPr="00565759">
              <w:rPr>
                <w:rFonts w:asciiTheme="majorHAnsi" w:hAnsiTheme="majorHAnsi" w:cstheme="majorHAnsi"/>
                <w:noProof/>
                <w:color w:val="00264D" w:themeColor="background2"/>
                <w:sz w:val="16"/>
                <w:szCs w:val="16"/>
              </w:rPr>
              <w:t>AUSTRALIAN DEPARTMENT OF HEALTH</w:t>
            </w:r>
            <w:r w:rsidR="000339B6">
              <w:rPr>
                <w:rFonts w:asciiTheme="majorHAnsi" w:hAnsiTheme="majorHAnsi" w:cstheme="majorHAnsi"/>
                <w:noProof/>
                <w:color w:val="00264D" w:themeColor="background2"/>
                <w:sz w:val="16"/>
                <w:szCs w:val="16"/>
              </w:rPr>
              <w:t xml:space="preserve"> AND AGED CARE</w:t>
            </w:r>
          </w:p>
        </w:tc>
      </w:tr>
      <w:tr w:rsidR="00A66C73" w14:paraId="1096BF9A" w14:textId="351D7BE9" w:rsidTr="006C3A51">
        <w:tc>
          <w:tcPr>
            <w:tcW w:w="7015" w:type="dxa"/>
          </w:tcPr>
          <w:p w14:paraId="7E485E5E" w14:textId="3AE97D98" w:rsidR="00A66C73" w:rsidRDefault="64C1F670" w:rsidP="5D141350">
            <w:pPr>
              <w:pStyle w:val="TableNText"/>
              <w:rPr>
                <w:rFonts w:asciiTheme="majorHAnsi" w:hAnsiTheme="majorHAnsi" w:cstheme="majorBidi"/>
              </w:rPr>
            </w:pPr>
            <w:r w:rsidRPr="5D141350">
              <w:rPr>
                <w:rFonts w:asciiTheme="majorHAnsi" w:hAnsiTheme="majorHAnsi" w:cstheme="majorBidi"/>
              </w:rPr>
              <w:t>1</w:t>
            </w:r>
            <w:r w:rsidR="4B99B84A" w:rsidRPr="5D141350">
              <w:rPr>
                <w:rFonts w:asciiTheme="majorHAnsi" w:hAnsiTheme="majorHAnsi" w:cstheme="majorBidi"/>
              </w:rPr>
              <w:t>6</w:t>
            </w:r>
            <w:r w:rsidR="4A4118FA" w:rsidRPr="5D141350">
              <w:rPr>
                <w:rFonts w:asciiTheme="majorHAnsi" w:hAnsiTheme="majorHAnsi" w:cstheme="majorBidi"/>
              </w:rPr>
              <w:t>. Post transition, reconcile and simplify data collection sharing</w:t>
            </w:r>
            <w:r w:rsidR="66A9CFD7" w:rsidRPr="5D141350">
              <w:rPr>
                <w:rFonts w:asciiTheme="majorHAnsi" w:hAnsiTheme="majorHAnsi" w:cstheme="majorBidi"/>
              </w:rPr>
              <w:t>,</w:t>
            </w:r>
            <w:r w:rsidR="4A4118FA" w:rsidRPr="5D141350">
              <w:rPr>
                <w:rFonts w:asciiTheme="majorHAnsi" w:hAnsiTheme="majorHAnsi" w:cstheme="majorBidi"/>
              </w:rPr>
              <w:t xml:space="preserve"> </w:t>
            </w:r>
            <w:r w:rsidRPr="5D141350">
              <w:rPr>
                <w:rFonts w:asciiTheme="majorHAnsi" w:hAnsiTheme="majorHAnsi" w:cstheme="majorBidi"/>
              </w:rPr>
              <w:t xml:space="preserve">monitoring, </w:t>
            </w:r>
            <w:r w:rsidR="4A4118FA" w:rsidRPr="5D141350">
              <w:rPr>
                <w:rFonts w:asciiTheme="majorHAnsi" w:hAnsiTheme="majorHAnsi" w:cstheme="majorBidi"/>
              </w:rPr>
              <w:t xml:space="preserve">and reporting requirements to ensure better data consistency and quality across sites. </w:t>
            </w:r>
          </w:p>
          <w:p w14:paraId="7A517BDA" w14:textId="674D006D" w:rsidR="00A66C73" w:rsidRDefault="074C90BC" w:rsidP="00D76172">
            <w:pPr>
              <w:pStyle w:val="TableNText"/>
            </w:pPr>
            <w:r>
              <w:t>This should involve:</w:t>
            </w:r>
          </w:p>
          <w:p w14:paraId="67636661" w14:textId="1D6874D3" w:rsidR="00A66C73" w:rsidRDefault="53702E17" w:rsidP="00D76172">
            <w:pPr>
              <w:pStyle w:val="TableNBullet"/>
            </w:pPr>
            <w:r>
              <w:t>r</w:t>
            </w:r>
            <w:r w:rsidR="27AC64C0">
              <w:t>eviewing all reporting requirements and associated data collection requirements</w:t>
            </w:r>
            <w:r w:rsidR="74AAF407">
              <w:t xml:space="preserve">, including PMHC MDS data </w:t>
            </w:r>
            <w:r w:rsidR="51C0F584">
              <w:t>requirements</w:t>
            </w:r>
            <w:r w:rsidR="452E1AC7">
              <w:t>,</w:t>
            </w:r>
            <w:r w:rsidR="452E1AC7" w:rsidDel="00133E66">
              <w:t xml:space="preserve"> </w:t>
            </w:r>
            <w:r w:rsidR="00133E66">
              <w:t xml:space="preserve">to </w:t>
            </w:r>
            <w:r w:rsidR="27AC64C0">
              <w:t>improve consistency and quality of data</w:t>
            </w:r>
            <w:r w:rsidR="452E1AC7">
              <w:t xml:space="preserve"> collection</w:t>
            </w:r>
            <w:r w:rsidR="27AC64C0">
              <w:t>.</w:t>
            </w:r>
          </w:p>
          <w:p w14:paraId="6B5B939E" w14:textId="5BF85076" w:rsidR="00A66C73" w:rsidRDefault="466C2B28" w:rsidP="00D76172">
            <w:pPr>
              <w:pStyle w:val="TableNBullet"/>
            </w:pPr>
            <w:r>
              <w:t>p</w:t>
            </w:r>
            <w:r w:rsidR="074C90BC">
              <w:t>roviding sites access to timely data reports and analysis to demonstrate activity</w:t>
            </w:r>
            <w:r w:rsidR="3415F279">
              <w:t>,</w:t>
            </w:r>
            <w:r w:rsidR="074C90BC">
              <w:t xml:space="preserve"> outputs, performance against KPIs, participant </w:t>
            </w:r>
            <w:r w:rsidR="3415F279">
              <w:t>experience/</w:t>
            </w:r>
            <w:r w:rsidR="074C90BC">
              <w:t>satisfaction and outcomes to support service management and continuous improvement.</w:t>
            </w:r>
          </w:p>
          <w:p w14:paraId="333B0252" w14:textId="6033AECF" w:rsidR="00A66C73" w:rsidRDefault="572FD238" w:rsidP="00D76172">
            <w:pPr>
              <w:pStyle w:val="TableNBullet"/>
            </w:pPr>
            <w:r>
              <w:t>r</w:t>
            </w:r>
            <w:r w:rsidR="074C90BC">
              <w:t>efining the minimum requirements for reporting on KPIs or for potential future evaluations (for activity, experience, and outcome data).</w:t>
            </w:r>
          </w:p>
          <w:p w14:paraId="79D4C93F" w14:textId="60CB5E53" w:rsidR="00A66C73" w:rsidRDefault="720C3C14" w:rsidP="00D76172">
            <w:pPr>
              <w:pStyle w:val="TableNBullet"/>
            </w:pPr>
            <w:r>
              <w:t>s</w:t>
            </w:r>
            <w:r w:rsidR="5765FD77">
              <w:t>upporting providers to understand the most efficient processes and system/s for data collection, reporting and analysis, and identify opportunities for shared system/s across new and existing sites.</w:t>
            </w:r>
          </w:p>
          <w:p w14:paraId="2D6CF7D7" w14:textId="77777777" w:rsidR="00A66C73" w:rsidRDefault="7E2AD50A" w:rsidP="00D76172">
            <w:pPr>
              <w:pStyle w:val="TableNBullet"/>
            </w:pPr>
            <w:r>
              <w:t>o</w:t>
            </w:r>
            <w:r w:rsidR="074C90BC">
              <w:t xml:space="preserve">ptimising the benefit of the existing community of practice (see recommendation </w:t>
            </w:r>
            <w:r w:rsidR="636E4843">
              <w:t>11</w:t>
            </w:r>
            <w:r w:rsidR="074C90BC">
              <w:t>) to provide providers with the opportunity to clarify data collection practices and the interpretation of reporting requirements.</w:t>
            </w:r>
          </w:p>
          <w:p w14:paraId="71858CD2" w14:textId="77777777" w:rsidR="00FF2E4A" w:rsidRDefault="00B001F2" w:rsidP="00FF2E4A">
            <w:pPr>
              <w:pStyle w:val="TableNBullet"/>
            </w:pPr>
            <w:r>
              <w:lastRenderedPageBreak/>
              <w:t xml:space="preserve">prioritising timely and well-resourced evaluation activities, including the establishment of an </w:t>
            </w:r>
            <w:r w:rsidR="00FF2E4A">
              <w:t>evaluation framework.</w:t>
            </w:r>
          </w:p>
          <w:p w14:paraId="4F274914" w14:textId="2D3565E8" w:rsidR="00FF2E4A" w:rsidRPr="008E02AD" w:rsidRDefault="00FF2E4A" w:rsidP="00FF2E4A">
            <w:pPr>
              <w:pStyle w:val="TableNBullet"/>
            </w:pPr>
            <w:r>
              <w:t xml:space="preserve">funding </w:t>
            </w:r>
            <w:r w:rsidR="00F63B74">
              <w:t xml:space="preserve">for </w:t>
            </w:r>
            <w:r>
              <w:t xml:space="preserve">systems </w:t>
            </w:r>
            <w:r w:rsidR="001E623B">
              <w:t xml:space="preserve">(for example, PMHC MDS portal) </w:t>
            </w:r>
            <w:r w:rsidR="00F63B74">
              <w:t xml:space="preserve">and workforce that can support improvement of </w:t>
            </w:r>
            <w:r w:rsidR="00BB2F45">
              <w:t xml:space="preserve">data collection. </w:t>
            </w:r>
          </w:p>
        </w:tc>
        <w:tc>
          <w:tcPr>
            <w:tcW w:w="4236" w:type="dxa"/>
          </w:tcPr>
          <w:p w14:paraId="312B6F90" w14:textId="7CD7E58B" w:rsidR="00A66C73" w:rsidRPr="00D16AAD" w:rsidRDefault="00A66C73" w:rsidP="00A66C73">
            <w:pPr>
              <w:pStyle w:val="TableNText"/>
            </w:pPr>
            <w:r>
              <w:lastRenderedPageBreak/>
              <w:t xml:space="preserve">Data collection on activity outputs, experiences and outcomes varies across states and territories as well as across providers due to the use of different </w:t>
            </w:r>
            <w:r w:rsidR="005D27DA">
              <w:t xml:space="preserve">CMSs </w:t>
            </w:r>
            <w:r>
              <w:t xml:space="preserve">and processes at the site level. Further, the existing data reporting requirements are extensive and burdensome on providers for </w:t>
            </w:r>
            <w:r w:rsidR="008F3A4D">
              <w:t xml:space="preserve">which there is </w:t>
            </w:r>
            <w:r>
              <w:t>little to no perceived benefit.</w:t>
            </w:r>
          </w:p>
        </w:tc>
        <w:tc>
          <w:tcPr>
            <w:tcW w:w="1508" w:type="dxa"/>
            <w:shd w:val="clear" w:color="auto" w:fill="F2F2F2" w:themeFill="background1" w:themeFillShade="F2"/>
          </w:tcPr>
          <w:p w14:paraId="776C1A0F" w14:textId="77777777" w:rsidR="001345B6" w:rsidRDefault="00233569" w:rsidP="00233569">
            <w:pPr>
              <w:rPr>
                <w:rFonts w:asciiTheme="majorHAnsi" w:hAnsiTheme="majorHAnsi" w:cstheme="majorHAnsi"/>
                <w:color w:val="00264D" w:themeColor="background2"/>
                <w:sz w:val="16"/>
                <w:szCs w:val="16"/>
                <w:lang w:eastAsia="en-AU"/>
              </w:rPr>
            </w:pPr>
            <w:r w:rsidRPr="00565759">
              <w:rPr>
                <w:rFonts w:asciiTheme="majorHAnsi" w:hAnsiTheme="majorHAnsi" w:cstheme="majorHAnsi"/>
                <w:noProof/>
                <w:color w:val="00264D" w:themeColor="background2"/>
                <w:sz w:val="16"/>
                <w:szCs w:val="16"/>
              </w:rPr>
              <w:t>AUSTRALIAN DEPARTMENT OF HEALTH</w:t>
            </w:r>
            <w:r w:rsidR="000339B6">
              <w:rPr>
                <w:rFonts w:asciiTheme="majorHAnsi" w:hAnsiTheme="majorHAnsi" w:cstheme="majorHAnsi"/>
                <w:noProof/>
                <w:color w:val="00264D" w:themeColor="background2"/>
                <w:sz w:val="16"/>
                <w:szCs w:val="16"/>
              </w:rPr>
              <w:t xml:space="preserve"> AND AGED CARE</w:t>
            </w:r>
            <w:r w:rsidR="0075623E">
              <w:rPr>
                <w:rFonts w:asciiTheme="majorHAnsi" w:hAnsiTheme="majorHAnsi" w:cstheme="majorHAnsi"/>
                <w:noProof/>
                <w:color w:val="00264D" w:themeColor="background2"/>
                <w:sz w:val="16"/>
                <w:szCs w:val="16"/>
              </w:rPr>
              <w:br/>
            </w:r>
          </w:p>
          <w:p w14:paraId="51E68AED" w14:textId="77777777" w:rsidR="001345B6" w:rsidRDefault="0075623E" w:rsidP="00233569">
            <w:pPr>
              <w:rPr>
                <w:rFonts w:asciiTheme="majorHAnsi" w:hAnsiTheme="majorHAnsi" w:cstheme="majorHAnsi"/>
                <w:noProof/>
                <w:color w:val="00264D" w:themeColor="background2"/>
                <w:sz w:val="16"/>
                <w:szCs w:val="16"/>
              </w:rPr>
            </w:pPr>
            <w:r w:rsidRPr="00E76B25">
              <w:rPr>
                <w:rFonts w:asciiTheme="majorHAnsi" w:hAnsiTheme="majorHAnsi" w:cstheme="majorHAnsi"/>
                <w:color w:val="00264D" w:themeColor="background2"/>
                <w:sz w:val="16"/>
                <w:szCs w:val="16"/>
                <w:lang w:eastAsia="en-AU"/>
              </w:rPr>
              <w:t>STATES AND TERRITORRIES</w:t>
            </w:r>
            <w:r w:rsidRPr="00E76B25">
              <w:rPr>
                <w:rFonts w:asciiTheme="majorHAnsi" w:hAnsiTheme="majorHAnsi" w:cstheme="majorHAnsi"/>
                <w:color w:val="00264D" w:themeColor="background2"/>
                <w:sz w:val="16"/>
                <w:szCs w:val="16"/>
                <w:lang w:eastAsia="en-AU"/>
              </w:rPr>
              <w:br/>
            </w:r>
          </w:p>
          <w:p w14:paraId="4727603A" w14:textId="3A971AA9" w:rsidR="00A66C73" w:rsidRPr="00E76B25" w:rsidRDefault="00E76B25" w:rsidP="00233569">
            <w:pPr>
              <w:rPr>
                <w:rFonts w:asciiTheme="majorHAnsi" w:hAnsiTheme="majorHAnsi" w:cstheme="majorHAnsi"/>
                <w:color w:val="00264D" w:themeColor="background2"/>
                <w:sz w:val="16"/>
                <w:szCs w:val="16"/>
                <w:lang w:eastAsia="en-AU"/>
              </w:rPr>
            </w:pPr>
            <w:r w:rsidRPr="00E76B25">
              <w:rPr>
                <w:rFonts w:asciiTheme="majorHAnsi" w:hAnsiTheme="majorHAnsi" w:cstheme="majorHAnsi"/>
                <w:noProof/>
                <w:color w:val="00264D" w:themeColor="background2"/>
                <w:sz w:val="16"/>
                <w:szCs w:val="16"/>
              </w:rPr>
              <w:t xml:space="preserve">SERVICE </w:t>
            </w:r>
            <w:r w:rsidR="0075623E" w:rsidRPr="00E76B25">
              <w:rPr>
                <w:rFonts w:asciiTheme="majorHAnsi" w:hAnsiTheme="majorHAnsi" w:cstheme="majorHAnsi"/>
                <w:color w:val="00264D" w:themeColor="background2"/>
                <w:sz w:val="16"/>
                <w:szCs w:val="16"/>
              </w:rPr>
              <w:t>COMMISSIONERS</w:t>
            </w:r>
          </w:p>
        </w:tc>
      </w:tr>
    </w:tbl>
    <w:p w14:paraId="32C492D8" w14:textId="06D1676C" w:rsidR="00890194" w:rsidRPr="0062015B" w:rsidRDefault="00890194" w:rsidP="00890194">
      <w:pPr>
        <w:tabs>
          <w:tab w:val="left" w:pos="6499"/>
        </w:tabs>
        <w:rPr>
          <w:rFonts w:eastAsia="Times New Roman" w:cs="Times New Roman"/>
          <w:szCs w:val="19"/>
          <w:lang w:eastAsia="en-AU"/>
        </w:rPr>
        <w:sectPr w:rsidR="00890194" w:rsidRPr="0062015B" w:rsidSect="009F2599">
          <w:headerReference w:type="default" r:id="rId122"/>
          <w:footerReference w:type="default" r:id="rId123"/>
          <w:headerReference w:type="first" r:id="rId124"/>
          <w:pgSz w:w="16839" w:h="11907" w:orient="landscape" w:code="9"/>
          <w:pgMar w:top="1134" w:right="1134" w:bottom="1134" w:left="1134" w:header="720" w:footer="720" w:gutter="0"/>
          <w:cols w:space="720"/>
          <w:titlePg/>
          <w:docGrid w:linePitch="360"/>
        </w:sectPr>
      </w:pPr>
    </w:p>
    <w:p w14:paraId="3A42240A" w14:textId="6DC3D339" w:rsidR="00CC2D14" w:rsidRDefault="00CC2D14" w:rsidP="00B729F5">
      <w:pPr>
        <w:pStyle w:val="Heading2"/>
        <w:numPr>
          <w:ilvl w:val="1"/>
          <w:numId w:val="13"/>
        </w:numPr>
      </w:pPr>
      <w:bookmarkStart w:id="187" w:name="_Ref118285223"/>
      <w:bookmarkStart w:id="188" w:name="_Toc121320701"/>
      <w:r>
        <w:lastRenderedPageBreak/>
        <w:t xml:space="preserve">Recommendations </w:t>
      </w:r>
      <w:r w:rsidR="009435DC">
        <w:t xml:space="preserve">for the handover of </w:t>
      </w:r>
      <w:r w:rsidR="006B3AE7">
        <w:t>The Way Back</w:t>
      </w:r>
      <w:bookmarkEnd w:id="187"/>
      <w:bookmarkEnd w:id="188"/>
    </w:p>
    <w:p w14:paraId="7576F22F" w14:textId="5154068B" w:rsidR="00602F7B" w:rsidRDefault="00BB2F45" w:rsidP="0001778F">
      <w:r>
        <w:t xml:space="preserve">Two </w:t>
      </w:r>
      <w:r w:rsidR="00602F7B">
        <w:t>recommendations have been developed for the handover of The Way Back</w:t>
      </w:r>
      <w:r w:rsidR="00E27E69">
        <w:t>.</w:t>
      </w:r>
    </w:p>
    <w:p w14:paraId="166D569F" w14:textId="1BB826A1" w:rsidR="00CC2D14" w:rsidRDefault="00951478" w:rsidP="00CB0C9C">
      <w:pPr>
        <w:pStyle w:val="Heading3"/>
      </w:pPr>
      <w:r>
        <w:t>17.</w:t>
      </w:r>
      <w:r>
        <w:rPr>
          <w:color w:val="auto"/>
          <w:sz w:val="17"/>
        </w:rPr>
        <w:t xml:space="preserve"> </w:t>
      </w:r>
      <w:r w:rsidR="153E6E75">
        <w:t xml:space="preserve">Beyond Blue </w:t>
      </w:r>
      <w:r w:rsidR="1FE1715B">
        <w:t xml:space="preserve">to </w:t>
      </w:r>
      <w:r w:rsidR="7021001F">
        <w:t xml:space="preserve">handover its existing role with </w:t>
      </w:r>
      <w:r w:rsidR="153E6E75">
        <w:t xml:space="preserve">The Way Back to </w:t>
      </w:r>
      <w:r w:rsidR="7021001F">
        <w:t xml:space="preserve">the </w:t>
      </w:r>
      <w:r w:rsidR="00DA3B31">
        <w:t xml:space="preserve">Australian </w:t>
      </w:r>
      <w:r w:rsidR="241B8252">
        <w:t>Department of Health</w:t>
      </w:r>
      <w:r w:rsidR="00672FC3">
        <w:t xml:space="preserve"> and Aged Care</w:t>
      </w:r>
      <w:r w:rsidR="7021001F">
        <w:t xml:space="preserve">, and </w:t>
      </w:r>
      <w:r w:rsidR="00DA3B31">
        <w:t>s</w:t>
      </w:r>
      <w:r w:rsidR="7021001F">
        <w:t xml:space="preserve">tates and </w:t>
      </w:r>
      <w:r w:rsidR="00DA3B31">
        <w:t>t</w:t>
      </w:r>
      <w:r w:rsidR="7021001F">
        <w:t>erritories</w:t>
      </w:r>
      <w:r w:rsidR="153E6E75">
        <w:t>.</w:t>
      </w:r>
    </w:p>
    <w:p w14:paraId="7BA0D412" w14:textId="0C99383A" w:rsidR="00CC2D14" w:rsidRDefault="00CC2D14" w:rsidP="00CC2D14">
      <w:pPr>
        <w:rPr>
          <w:lang w:eastAsia="en-AU"/>
        </w:rPr>
      </w:pPr>
      <w:r>
        <w:rPr>
          <w:lang w:eastAsia="en-AU"/>
        </w:rPr>
        <w:t>From June 2023, Beyond Blue will step back from their existing role in the delivery of The Way Back. Until then, Beyond Blue will continue to support the delivery of existing The Way Back services and support the transition</w:t>
      </w:r>
      <w:r w:rsidR="00A3102D">
        <w:rPr>
          <w:lang w:eastAsia="en-AU"/>
        </w:rPr>
        <w:t xml:space="preserve"> of The Way Back to </w:t>
      </w:r>
      <w:r w:rsidR="005F04BF">
        <w:rPr>
          <w:lang w:eastAsia="en-AU"/>
        </w:rPr>
        <w:t>s</w:t>
      </w:r>
      <w:r>
        <w:rPr>
          <w:lang w:eastAsia="en-AU"/>
        </w:rPr>
        <w:t xml:space="preserve">tates and </w:t>
      </w:r>
      <w:r w:rsidR="005F04BF">
        <w:rPr>
          <w:lang w:eastAsia="en-AU"/>
        </w:rPr>
        <w:t>t</w:t>
      </w:r>
      <w:r>
        <w:rPr>
          <w:lang w:eastAsia="en-AU"/>
        </w:rPr>
        <w:t xml:space="preserve">erritories. </w:t>
      </w:r>
    </w:p>
    <w:p w14:paraId="63F4AD39" w14:textId="6D74835A" w:rsidR="00CC2D14" w:rsidRDefault="006B3AE7" w:rsidP="00CC2D14">
      <w:pPr>
        <w:rPr>
          <w:lang w:eastAsia="en-AU"/>
        </w:rPr>
      </w:pPr>
      <w:r>
        <w:rPr>
          <w:lang w:eastAsia="en-AU"/>
        </w:rPr>
        <w:t>S</w:t>
      </w:r>
      <w:r w:rsidR="00CC2D14">
        <w:rPr>
          <w:lang w:eastAsia="en-AU"/>
        </w:rPr>
        <w:t xml:space="preserve">tates and territories will be able to choose the aftercare model they embed in their jurisdiction. This means states and territories may: </w:t>
      </w:r>
    </w:p>
    <w:p w14:paraId="3CA6591F" w14:textId="77777777" w:rsidR="00CC2D14" w:rsidRDefault="48D9F353" w:rsidP="00CC2D14">
      <w:pPr>
        <w:pStyle w:val="Bullet"/>
        <w:ind w:left="624"/>
      </w:pPr>
      <w:r>
        <w:t xml:space="preserve">Choose to remain with The Way Back model </w:t>
      </w:r>
    </w:p>
    <w:p w14:paraId="54B5C5F0" w14:textId="01D77779" w:rsidR="00CC2D14" w:rsidRDefault="7B3DB198" w:rsidP="00CC2D14">
      <w:pPr>
        <w:pStyle w:val="Bullet"/>
        <w:ind w:left="624"/>
      </w:pPr>
      <w:r>
        <w:t>Implement a new blended model of clinical and psychosocial support (</w:t>
      </w:r>
      <w:r w:rsidR="581FF581">
        <w:t>for example,</w:t>
      </w:r>
      <w:r>
        <w:t xml:space="preserve"> </w:t>
      </w:r>
      <w:proofErr w:type="gramStart"/>
      <w:r>
        <w:t>Victoria’s  HOPE</w:t>
      </w:r>
      <w:proofErr w:type="gramEnd"/>
      <w:r w:rsidR="00305E72">
        <w:t>)</w:t>
      </w:r>
      <w:r w:rsidR="00850C69">
        <w:rPr>
          <w:rStyle w:val="FootnoteReference"/>
        </w:rPr>
        <w:footnoteReference w:id="161"/>
      </w:r>
    </w:p>
    <w:p w14:paraId="5C77738F" w14:textId="1903BD95" w:rsidR="00CC2D14" w:rsidRDefault="22E5DF68" w:rsidP="00CC2D14">
      <w:pPr>
        <w:pStyle w:val="Bullet"/>
        <w:ind w:left="624"/>
      </w:pPr>
      <w:r>
        <w:t>Establish</w:t>
      </w:r>
      <w:r w:rsidR="48D9F353">
        <w:t xml:space="preserve"> a different </w:t>
      </w:r>
      <w:r>
        <w:t xml:space="preserve">aftercare </w:t>
      </w:r>
      <w:r w:rsidR="48D9F353">
        <w:t>mode</w:t>
      </w:r>
      <w:r w:rsidR="21434BC7">
        <w:t>l.</w:t>
      </w:r>
      <w:r w:rsidR="48D9F353">
        <w:t xml:space="preserve"> </w:t>
      </w:r>
    </w:p>
    <w:p w14:paraId="6D9919F3" w14:textId="0DFD8932" w:rsidR="00CC2D14" w:rsidRPr="00A93EEE" w:rsidRDefault="5AAD5FBC" w:rsidP="00CC2D14">
      <w:r>
        <w:t xml:space="preserve">Prior to </w:t>
      </w:r>
      <w:r w:rsidR="006E03BB">
        <w:t xml:space="preserve">December </w:t>
      </w:r>
      <w:r>
        <w:t>2023</w:t>
      </w:r>
      <w:r w:rsidR="153E6E75">
        <w:t xml:space="preserve">, </w:t>
      </w:r>
      <w:r w:rsidR="00907DC7">
        <w:t xml:space="preserve">it is recommended that </w:t>
      </w:r>
      <w:r w:rsidR="153E6E75">
        <w:t>Beyond Blue</w:t>
      </w:r>
      <w:r w:rsidR="00801D76">
        <w:t xml:space="preserve"> to the extent possible wit</w:t>
      </w:r>
      <w:r w:rsidR="00074F33">
        <w:t>h under transition funding provided</w:t>
      </w:r>
      <w:r w:rsidR="153E6E75">
        <w:t xml:space="preserve">: </w:t>
      </w:r>
    </w:p>
    <w:p w14:paraId="258579C9" w14:textId="2510E05B" w:rsidR="00CC2D14" w:rsidRPr="0050331B" w:rsidRDefault="002A5D15" w:rsidP="2CD43CA7">
      <w:pPr>
        <w:pStyle w:val="Bullet"/>
        <w:ind w:left="624"/>
        <w:rPr>
          <w:rFonts w:asciiTheme="majorHAnsi" w:hAnsiTheme="majorHAnsi" w:cstheme="majorBidi"/>
        </w:rPr>
      </w:pPr>
      <w:r w:rsidRPr="002800E2">
        <w:rPr>
          <w:rStyle w:val="Strong"/>
        </w:rPr>
        <w:t>Support</w:t>
      </w:r>
      <w:r w:rsidR="00907DC7" w:rsidRPr="002800E2">
        <w:rPr>
          <w:rStyle w:val="Strong"/>
        </w:rPr>
        <w:t>s</w:t>
      </w:r>
      <w:r w:rsidRPr="002800E2">
        <w:rPr>
          <w:rStyle w:val="Strong"/>
        </w:rPr>
        <w:t xml:space="preserve"> implementation</w:t>
      </w:r>
      <w:r w:rsidR="69C0E7A1" w:rsidRPr="002800E2">
        <w:rPr>
          <w:rStyle w:val="Strong"/>
        </w:rPr>
        <w:t xml:space="preserve"> </w:t>
      </w:r>
      <w:r w:rsidR="00C766A3" w:rsidRPr="002800E2">
        <w:rPr>
          <w:rStyle w:val="Strong"/>
        </w:rPr>
        <w:t>of</w:t>
      </w:r>
      <w:r w:rsidR="69C0E7A1" w:rsidRPr="002800E2">
        <w:rPr>
          <w:rStyle w:val="Strong"/>
        </w:rPr>
        <w:t xml:space="preserve"> recommendations from the evaluation. </w:t>
      </w:r>
      <w:r w:rsidR="69C0E7A1" w:rsidRPr="2CD43CA7">
        <w:rPr>
          <w:rFonts w:asciiTheme="minorHAnsi" w:hAnsiTheme="minorHAnsi" w:cstheme="minorBidi"/>
        </w:rPr>
        <w:t xml:space="preserve">The implementation of the recommendations made in the national evaluation of The Way Back will contribute to improved service delivery and outcomes for </w:t>
      </w:r>
      <w:r w:rsidR="3860B196" w:rsidRPr="2CD43CA7">
        <w:rPr>
          <w:rFonts w:asciiTheme="minorHAnsi" w:hAnsiTheme="minorHAnsi" w:cstheme="minorBidi"/>
        </w:rPr>
        <w:t>participants</w:t>
      </w:r>
      <w:r w:rsidR="69C0E7A1" w:rsidRPr="2CD43CA7">
        <w:rPr>
          <w:rFonts w:asciiTheme="minorHAnsi" w:hAnsiTheme="minorHAnsi" w:cstheme="minorBidi"/>
        </w:rPr>
        <w:t xml:space="preserve">. The recommendations should be implemented as a priority and shared with </w:t>
      </w:r>
      <w:r w:rsidR="00A41E06" w:rsidRPr="2CD43CA7">
        <w:rPr>
          <w:rFonts w:asciiTheme="minorHAnsi" w:hAnsiTheme="minorHAnsi" w:cstheme="minorBidi"/>
        </w:rPr>
        <w:t>s</w:t>
      </w:r>
      <w:r w:rsidR="69C0E7A1" w:rsidRPr="2CD43CA7">
        <w:rPr>
          <w:rFonts w:asciiTheme="minorHAnsi" w:hAnsiTheme="minorHAnsi" w:cstheme="minorBidi"/>
        </w:rPr>
        <w:t xml:space="preserve">tates and </w:t>
      </w:r>
      <w:r w:rsidR="00A41E06" w:rsidRPr="2CD43CA7">
        <w:rPr>
          <w:rFonts w:asciiTheme="minorHAnsi" w:hAnsiTheme="minorHAnsi" w:cstheme="minorBidi"/>
        </w:rPr>
        <w:t>t</w:t>
      </w:r>
      <w:r w:rsidR="69C0E7A1" w:rsidRPr="2CD43CA7">
        <w:rPr>
          <w:rFonts w:asciiTheme="minorHAnsi" w:hAnsiTheme="minorHAnsi" w:cstheme="minorBidi"/>
        </w:rPr>
        <w:t xml:space="preserve">erritories </w:t>
      </w:r>
      <w:r w:rsidR="792E94FE" w:rsidRPr="2CD43CA7">
        <w:rPr>
          <w:rFonts w:asciiTheme="minorHAnsi" w:hAnsiTheme="minorHAnsi" w:cstheme="minorBidi"/>
        </w:rPr>
        <w:t>and PHNs</w:t>
      </w:r>
      <w:r w:rsidR="69C0E7A1" w:rsidRPr="2CD43CA7">
        <w:rPr>
          <w:rFonts w:asciiTheme="minorHAnsi" w:hAnsiTheme="minorHAnsi" w:cstheme="minorBidi"/>
        </w:rPr>
        <w:t xml:space="preserve"> to inform </w:t>
      </w:r>
      <w:r w:rsidR="0E243A76" w:rsidRPr="2CD43CA7">
        <w:rPr>
          <w:rFonts w:asciiTheme="minorHAnsi" w:hAnsiTheme="minorHAnsi" w:cstheme="minorBidi"/>
        </w:rPr>
        <w:t xml:space="preserve">the development of </w:t>
      </w:r>
      <w:r w:rsidR="69C0E7A1" w:rsidRPr="2CD43CA7">
        <w:rPr>
          <w:rFonts w:asciiTheme="minorHAnsi" w:hAnsiTheme="minorHAnsi" w:cstheme="minorBidi"/>
        </w:rPr>
        <w:t xml:space="preserve">models of aftercare.  </w:t>
      </w:r>
    </w:p>
    <w:p w14:paraId="0C9DED43" w14:textId="1B25A1FF" w:rsidR="00CC2D14" w:rsidRPr="00F46EE8" w:rsidRDefault="69C0E7A1" w:rsidP="5F0B1C35">
      <w:pPr>
        <w:pStyle w:val="Bullet"/>
        <w:ind w:left="624"/>
        <w:rPr>
          <w:rFonts w:asciiTheme="majorHAnsi" w:hAnsiTheme="majorHAnsi" w:cstheme="majorBidi"/>
        </w:rPr>
      </w:pPr>
      <w:r w:rsidRPr="002800E2">
        <w:rPr>
          <w:rStyle w:val="Strong"/>
        </w:rPr>
        <w:t>Continue</w:t>
      </w:r>
      <w:r w:rsidR="00907DC7" w:rsidRPr="002800E2">
        <w:rPr>
          <w:rStyle w:val="Strong"/>
        </w:rPr>
        <w:t>s</w:t>
      </w:r>
      <w:r w:rsidRPr="002800E2">
        <w:rPr>
          <w:rStyle w:val="Strong"/>
        </w:rPr>
        <w:t xml:space="preserve"> to refine KPIs.</w:t>
      </w:r>
      <w:r w:rsidRPr="5F0B1C35">
        <w:rPr>
          <w:rFonts w:asciiTheme="majorHAnsi" w:hAnsiTheme="majorHAnsi" w:cstheme="majorBidi"/>
        </w:rPr>
        <w:t xml:space="preserve"> </w:t>
      </w:r>
      <w:r w:rsidRPr="5F0B1C35">
        <w:rPr>
          <w:rFonts w:asciiTheme="minorHAnsi" w:hAnsiTheme="minorHAnsi" w:cstheme="minorBidi"/>
        </w:rPr>
        <w:t xml:space="preserve">Beyond Blue should continue its work to make refinements to the KPIs as proposed and share recommendations for KPIs going forward with </w:t>
      </w:r>
      <w:r w:rsidR="00A66774">
        <w:rPr>
          <w:rFonts w:asciiTheme="minorHAnsi" w:hAnsiTheme="minorHAnsi" w:cstheme="minorBidi"/>
        </w:rPr>
        <w:t xml:space="preserve">the Australian </w:t>
      </w:r>
      <w:r w:rsidR="00672FC3">
        <w:rPr>
          <w:rFonts w:asciiTheme="minorHAnsi" w:hAnsiTheme="minorHAnsi" w:cstheme="minorBidi"/>
        </w:rPr>
        <w:t>Department of Health and Aged Care</w:t>
      </w:r>
      <w:r w:rsidR="00A66774">
        <w:rPr>
          <w:rFonts w:asciiTheme="minorHAnsi" w:hAnsiTheme="minorHAnsi" w:cstheme="minorBidi"/>
        </w:rPr>
        <w:t xml:space="preserve">, </w:t>
      </w:r>
      <w:proofErr w:type="gramStart"/>
      <w:r w:rsidR="00A66774">
        <w:rPr>
          <w:rFonts w:asciiTheme="minorHAnsi" w:hAnsiTheme="minorHAnsi" w:cstheme="minorBidi"/>
        </w:rPr>
        <w:t>s</w:t>
      </w:r>
      <w:r w:rsidRPr="5F0B1C35">
        <w:rPr>
          <w:rFonts w:asciiTheme="minorHAnsi" w:hAnsiTheme="minorHAnsi" w:cstheme="minorBidi"/>
        </w:rPr>
        <w:t>tates</w:t>
      </w:r>
      <w:proofErr w:type="gramEnd"/>
      <w:r w:rsidRPr="5F0B1C35">
        <w:rPr>
          <w:rFonts w:asciiTheme="minorHAnsi" w:hAnsiTheme="minorHAnsi" w:cstheme="minorBidi"/>
        </w:rPr>
        <w:t xml:space="preserve"> and </w:t>
      </w:r>
      <w:r w:rsidR="00A66774">
        <w:rPr>
          <w:rFonts w:asciiTheme="minorHAnsi" w:hAnsiTheme="minorHAnsi" w:cstheme="minorBidi"/>
        </w:rPr>
        <w:t>t</w:t>
      </w:r>
      <w:r w:rsidRPr="5F0B1C35">
        <w:rPr>
          <w:rFonts w:asciiTheme="minorHAnsi" w:hAnsiTheme="minorHAnsi" w:cstheme="minorBidi"/>
        </w:rPr>
        <w:t>erritories</w:t>
      </w:r>
      <w:r w:rsidR="00672FC3">
        <w:rPr>
          <w:rFonts w:asciiTheme="minorHAnsi" w:hAnsiTheme="minorHAnsi" w:cstheme="minorBidi"/>
        </w:rPr>
        <w:t>,</w:t>
      </w:r>
      <w:r w:rsidR="792E94FE" w:rsidRPr="5F0B1C35">
        <w:rPr>
          <w:rFonts w:asciiTheme="minorHAnsi" w:hAnsiTheme="minorHAnsi" w:cstheme="minorBidi"/>
        </w:rPr>
        <w:t xml:space="preserve"> and </w:t>
      </w:r>
      <w:r w:rsidR="006A6584" w:rsidRPr="5F0B1C35">
        <w:rPr>
          <w:rFonts w:asciiTheme="minorHAnsi" w:hAnsiTheme="minorHAnsi" w:cstheme="minorBidi"/>
        </w:rPr>
        <w:t>PHNs</w:t>
      </w:r>
      <w:r w:rsidR="006A6584">
        <w:rPr>
          <w:rFonts w:asciiTheme="minorHAnsi" w:hAnsiTheme="minorHAnsi" w:cstheme="minorBidi"/>
        </w:rPr>
        <w:t>.</w:t>
      </w:r>
      <w:r w:rsidRPr="5F0B1C35">
        <w:rPr>
          <w:rFonts w:asciiTheme="minorHAnsi" w:hAnsiTheme="minorHAnsi" w:cstheme="minorBidi"/>
        </w:rPr>
        <w:t xml:space="preserve"> </w:t>
      </w:r>
      <w:r w:rsidRPr="5F0B1C35">
        <w:rPr>
          <w:rFonts w:asciiTheme="majorHAnsi" w:hAnsiTheme="majorHAnsi" w:cstheme="majorBidi"/>
        </w:rPr>
        <w:t xml:space="preserve"> </w:t>
      </w:r>
    </w:p>
    <w:p w14:paraId="21A3E3A1" w14:textId="391B599B" w:rsidR="00CC2D14" w:rsidRDefault="69C0E7A1" w:rsidP="00CC2D14">
      <w:pPr>
        <w:pStyle w:val="Bullet"/>
        <w:ind w:left="624"/>
      </w:pPr>
      <w:r w:rsidRPr="002800E2">
        <w:rPr>
          <w:rStyle w:val="Strong"/>
        </w:rPr>
        <w:t>Support</w:t>
      </w:r>
      <w:r w:rsidR="00907DC7" w:rsidRPr="002800E2">
        <w:rPr>
          <w:rStyle w:val="Strong"/>
        </w:rPr>
        <w:t>s</w:t>
      </w:r>
      <w:r w:rsidRPr="002800E2">
        <w:rPr>
          <w:rStyle w:val="Strong"/>
        </w:rPr>
        <w:t xml:space="preserve"> service continuity of existing The Way Back sites</w:t>
      </w:r>
      <w:r w:rsidRPr="5F0B1C35">
        <w:rPr>
          <w:b/>
          <w:bCs/>
        </w:rPr>
        <w:t xml:space="preserve"> </w:t>
      </w:r>
      <w:r>
        <w:t xml:space="preserve">from 1 July 2022 in line with bilateral arrangements committing to The Way Back until June 2023. Beyond Blue to re-issue The Way Back License to existing sites until June 2023 including access to Beyond Blue’s resources including education and training. </w:t>
      </w:r>
    </w:p>
    <w:p w14:paraId="27606B7C" w14:textId="0F7C2997" w:rsidR="00CC2D14" w:rsidRDefault="48D9F353" w:rsidP="00CC2D14">
      <w:pPr>
        <w:pStyle w:val="Bullet"/>
        <w:ind w:left="624"/>
      </w:pPr>
      <w:r w:rsidRPr="002800E2">
        <w:rPr>
          <w:rStyle w:val="Strong"/>
        </w:rPr>
        <w:t>Share</w:t>
      </w:r>
      <w:r w:rsidR="00907DC7" w:rsidRPr="002800E2">
        <w:rPr>
          <w:rStyle w:val="Strong"/>
        </w:rPr>
        <w:t>s</w:t>
      </w:r>
      <w:r w:rsidRPr="002800E2">
        <w:rPr>
          <w:rStyle w:val="Strong"/>
        </w:rPr>
        <w:t xml:space="preserve"> learnings on aftercare. </w:t>
      </w:r>
      <w:r>
        <w:t xml:space="preserve">Beyond Blue should share all knowledge and learnings relating to service design, </w:t>
      </w:r>
      <w:proofErr w:type="gramStart"/>
      <w:r>
        <w:t>implementation</w:t>
      </w:r>
      <w:proofErr w:type="gramEnd"/>
      <w:r>
        <w:t xml:space="preserve"> and delivery since the rollout of The Way Back with </w:t>
      </w:r>
      <w:r w:rsidR="00113715">
        <w:t xml:space="preserve">the </w:t>
      </w:r>
      <w:r w:rsidR="00672FC3">
        <w:t>Australian Department of Health and Aged Care</w:t>
      </w:r>
      <w:r w:rsidR="00113715">
        <w:t>, s</w:t>
      </w:r>
      <w:r>
        <w:t xml:space="preserve">tates and </w:t>
      </w:r>
      <w:r w:rsidR="00113715">
        <w:t>t</w:t>
      </w:r>
      <w:r>
        <w:t>erritories</w:t>
      </w:r>
      <w:r w:rsidR="52EA773F">
        <w:t xml:space="preserve"> and PHNs</w:t>
      </w:r>
      <w:r>
        <w:t xml:space="preserve">. </w:t>
      </w:r>
    </w:p>
    <w:p w14:paraId="39083F47" w14:textId="651A7D86" w:rsidR="00CC2D14" w:rsidRDefault="0188F71F" w:rsidP="00CC2D14">
      <w:pPr>
        <w:pStyle w:val="Bullet"/>
        <w:ind w:left="624"/>
      </w:pPr>
      <w:r w:rsidRPr="002800E2">
        <w:rPr>
          <w:rStyle w:val="Strong"/>
        </w:rPr>
        <w:t>Determine</w:t>
      </w:r>
      <w:r w:rsidR="00907DC7" w:rsidRPr="002800E2">
        <w:rPr>
          <w:rStyle w:val="Strong"/>
        </w:rPr>
        <w:t>s</w:t>
      </w:r>
      <w:r w:rsidRPr="002800E2">
        <w:rPr>
          <w:rStyle w:val="Strong"/>
        </w:rPr>
        <w:t xml:space="preserve"> </w:t>
      </w:r>
      <w:r w:rsidR="348D0318" w:rsidRPr="002800E2">
        <w:rPr>
          <w:rStyle w:val="Strong"/>
        </w:rPr>
        <w:t xml:space="preserve">what elements of </w:t>
      </w:r>
      <w:r w:rsidR="69C0E7A1" w:rsidRPr="002800E2">
        <w:rPr>
          <w:rStyle w:val="Strong"/>
        </w:rPr>
        <w:t xml:space="preserve">The Way </w:t>
      </w:r>
      <w:r w:rsidR="001763E2" w:rsidRPr="002800E2">
        <w:rPr>
          <w:rStyle w:val="Strong"/>
        </w:rPr>
        <w:t>Back need</w:t>
      </w:r>
      <w:r w:rsidR="007E3F75" w:rsidRPr="002800E2">
        <w:rPr>
          <w:rStyle w:val="Strong"/>
        </w:rPr>
        <w:t xml:space="preserve"> to be handed over to</w:t>
      </w:r>
      <w:r w:rsidR="69C0E7A1" w:rsidRPr="002800E2">
        <w:rPr>
          <w:rStyle w:val="Strong"/>
        </w:rPr>
        <w:t xml:space="preserve"> the </w:t>
      </w:r>
      <w:r w:rsidR="792E94FE" w:rsidRPr="002800E2">
        <w:rPr>
          <w:rStyle w:val="Strong"/>
        </w:rPr>
        <w:t xml:space="preserve">Australian </w:t>
      </w:r>
      <w:r w:rsidR="69C0E7A1" w:rsidRPr="002800E2">
        <w:rPr>
          <w:rStyle w:val="Strong"/>
        </w:rPr>
        <w:t>Department of Health</w:t>
      </w:r>
      <w:r w:rsidR="00672FC3" w:rsidRPr="002800E2">
        <w:rPr>
          <w:rStyle w:val="Strong"/>
        </w:rPr>
        <w:t xml:space="preserve"> and Aged Care</w:t>
      </w:r>
      <w:r w:rsidR="69C0E7A1" w:rsidRPr="002800E2">
        <w:rPr>
          <w:rStyle w:val="Strong"/>
        </w:rPr>
        <w:t xml:space="preserve"> and </w:t>
      </w:r>
      <w:r w:rsidR="00A41E06" w:rsidRPr="002800E2">
        <w:rPr>
          <w:rStyle w:val="Strong"/>
        </w:rPr>
        <w:t>s</w:t>
      </w:r>
      <w:r w:rsidR="69C0E7A1" w:rsidRPr="002800E2">
        <w:rPr>
          <w:rStyle w:val="Strong"/>
        </w:rPr>
        <w:t xml:space="preserve">tates and </w:t>
      </w:r>
      <w:r w:rsidR="00A41E06" w:rsidRPr="002800E2">
        <w:rPr>
          <w:rStyle w:val="Strong"/>
        </w:rPr>
        <w:t>t</w:t>
      </w:r>
      <w:r w:rsidR="69C0E7A1" w:rsidRPr="002800E2">
        <w:rPr>
          <w:rStyle w:val="Strong"/>
        </w:rPr>
        <w:t>erritories</w:t>
      </w:r>
      <w:r w:rsidR="69C0E7A1" w:rsidRPr="5F0B1C35">
        <w:rPr>
          <w:rFonts w:asciiTheme="majorHAnsi" w:hAnsiTheme="majorHAnsi" w:cstheme="majorBidi"/>
        </w:rPr>
        <w:t>.</w:t>
      </w:r>
      <w:r w:rsidR="69C0E7A1">
        <w:t xml:space="preserve"> This includes governance, licensing, workforce, training and education materials and performance reporting and data capabilities. </w:t>
      </w:r>
    </w:p>
    <w:p w14:paraId="46AA78DB" w14:textId="48EF1086" w:rsidR="000F2402" w:rsidRDefault="00951478" w:rsidP="00CB0C9C">
      <w:pPr>
        <w:pStyle w:val="Heading3"/>
      </w:pPr>
      <w:r>
        <w:t xml:space="preserve">18. </w:t>
      </w:r>
      <w:r w:rsidR="009633F5">
        <w:t xml:space="preserve">Beyond Blue </w:t>
      </w:r>
      <w:r w:rsidR="00C35D9D">
        <w:t xml:space="preserve">should ensure it is </w:t>
      </w:r>
      <w:r w:rsidR="009633F5">
        <w:t>involved in appropriate transitional governance mechanisms.</w:t>
      </w:r>
      <w:r w:rsidR="16DE00C9">
        <w:t xml:space="preserve"> </w:t>
      </w:r>
    </w:p>
    <w:p w14:paraId="5AD2FC38" w14:textId="21AEEF27" w:rsidR="008F6D35" w:rsidRDefault="16DE00C9" w:rsidP="00A93B48">
      <w:r>
        <w:t>Throughout the Transition</w:t>
      </w:r>
      <w:r w:rsidR="00DD183D">
        <w:t>,</w:t>
      </w:r>
      <w:r>
        <w:t xml:space="preserve"> it will be important to have appropriate governance and accountability in place to ensure that there is smooth handover of Beyond Blue’s current role. It is recommended that </w:t>
      </w:r>
      <w:r w:rsidR="009633F5">
        <w:t xml:space="preserve">Beyond Blue </w:t>
      </w:r>
      <w:r w:rsidR="0060050E">
        <w:t xml:space="preserve">maintains its involvement in existing governance arrangements </w:t>
      </w:r>
      <w:r w:rsidR="00C35D9D">
        <w:t xml:space="preserve">to support handover of The Way Back </w:t>
      </w:r>
      <w:r w:rsidR="00C35D9D">
        <w:lastRenderedPageBreak/>
        <w:t xml:space="preserve">and support smooth transition to new models of aftercare to be in place after 30 June 2023 </w:t>
      </w:r>
      <w:r w:rsidR="00905C58">
        <w:t xml:space="preserve">(for example through membership and involvement in the </w:t>
      </w:r>
      <w:r w:rsidR="006D5C9D">
        <w:t xml:space="preserve">National Mental Health and Suicide Prevention Agreement Aftercare Steering Group convened by the Australian Department of </w:t>
      </w:r>
      <w:r w:rsidR="00C032B1">
        <w:t>Health and Aged Care</w:t>
      </w:r>
      <w:r w:rsidR="006D5C9D">
        <w:t>)</w:t>
      </w:r>
      <w:r w:rsidR="35E4E189">
        <w:t xml:space="preserve"> </w:t>
      </w:r>
    </w:p>
    <w:p w14:paraId="13F5A6CD" w14:textId="0FAE28E5" w:rsidR="00A338E5" w:rsidRPr="00325F4F" w:rsidRDefault="00A338E5" w:rsidP="00A338E5">
      <w:pPr>
        <w:pStyle w:val="Heading1"/>
        <w:rPr>
          <w:color w:val="FFFFFF" w:themeColor="background1"/>
        </w:rPr>
      </w:pPr>
      <w:bookmarkStart w:id="189" w:name="_Toc121320702"/>
      <w:r w:rsidRPr="00325F4F">
        <w:rPr>
          <w:noProof/>
          <w:color w:val="FFFFFF" w:themeColor="background1"/>
        </w:rPr>
        <w:lastRenderedPageBreak/>
        <w:drawing>
          <wp:anchor distT="0" distB="0" distL="114300" distR="114300" simplePos="0" relativeHeight="251658250" behindDoc="1" locked="0" layoutInCell="1" allowOverlap="1" wp14:anchorId="168226DC" wp14:editId="7CDB2779">
            <wp:simplePos x="0" y="0"/>
            <wp:positionH relativeFrom="page">
              <wp:align>center</wp:align>
            </wp:positionH>
            <wp:positionV relativeFrom="paragraph">
              <wp:posOffset>-758791</wp:posOffset>
            </wp:positionV>
            <wp:extent cx="7606665" cy="1367490"/>
            <wp:effectExtent l="0" t="0" r="0" b="4445"/>
            <wp:wrapNone/>
            <wp:docPr id="27783" name="Picture 27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3" name="Picture 27783">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06665" cy="1367490"/>
                    </a:xfrm>
                    <a:prstGeom prst="rect">
                      <a:avLst/>
                    </a:prstGeom>
                    <a:noFill/>
                  </pic:spPr>
                </pic:pic>
              </a:graphicData>
            </a:graphic>
            <wp14:sizeRelH relativeFrom="margin">
              <wp14:pctWidth>0</wp14:pctWidth>
            </wp14:sizeRelH>
          </wp:anchor>
        </w:drawing>
      </w:r>
      <w:r>
        <w:rPr>
          <w:color w:val="FFFFFF" w:themeColor="background1"/>
        </w:rPr>
        <w:t>Conclusions</w:t>
      </w:r>
      <w:bookmarkEnd w:id="189"/>
    </w:p>
    <w:p w14:paraId="6F523221" w14:textId="06A7FD62" w:rsidR="00A338E5" w:rsidRDefault="002800E2" w:rsidP="000500EF">
      <w:pPr>
        <w:pStyle w:val="NoteHeading"/>
        <w:spacing w:before="720"/>
      </w:pPr>
      <w:r w:rsidRPr="002800E2">
        <w:t>This section details the evaluation conclusions and implications for aftercare and mental health services in Australia.</w:t>
      </w:r>
    </w:p>
    <w:p w14:paraId="52B49639" w14:textId="63D18D81" w:rsidR="00B51BEF" w:rsidRDefault="00B51BEF" w:rsidP="00CB0C9C">
      <w:pPr>
        <w:pStyle w:val="Heading2"/>
      </w:pPr>
      <w:r>
        <w:t>The Way Back</w:t>
      </w:r>
      <w:r w:rsidR="009F0BA8">
        <w:t xml:space="preserve"> </w:t>
      </w:r>
      <w:r w:rsidR="001514C3">
        <w:t>is an effective aftercare service that improves outcomes for people who have had a suicidal crisis or attempted suicide.</w:t>
      </w:r>
    </w:p>
    <w:p w14:paraId="1B951041" w14:textId="4E6CB004" w:rsidR="001514C3" w:rsidRDefault="002239D4" w:rsidP="00CB0C9C">
      <w:pPr>
        <w:rPr>
          <w:lang w:eastAsia="en-AU"/>
        </w:rPr>
      </w:pPr>
      <w:r>
        <w:rPr>
          <w:noProof/>
        </w:rPr>
        <mc:AlternateContent>
          <mc:Choice Requires="wps">
            <w:drawing>
              <wp:anchor distT="0" distB="0" distL="114300" distR="114300" simplePos="0" relativeHeight="251658267" behindDoc="0" locked="0" layoutInCell="1" allowOverlap="1" wp14:anchorId="1E60E22F" wp14:editId="54883BF3">
                <wp:simplePos x="0" y="0"/>
                <wp:positionH relativeFrom="column">
                  <wp:posOffset>3779418</wp:posOffset>
                </wp:positionH>
                <wp:positionV relativeFrom="paragraph">
                  <wp:posOffset>243306</wp:posOffset>
                </wp:positionV>
                <wp:extent cx="1784350" cy="1076325"/>
                <wp:effectExtent l="0" t="0" r="6350" b="9525"/>
                <wp:wrapThrough wrapText="bothSides">
                  <wp:wrapPolygon edited="0">
                    <wp:start x="0" y="0"/>
                    <wp:lineTo x="0" y="21409"/>
                    <wp:lineTo x="21446" y="21409"/>
                    <wp:lineTo x="21446" y="0"/>
                    <wp:lineTo x="0" y="0"/>
                  </wp:wrapPolygon>
                </wp:wrapThrough>
                <wp:docPr id="27797" name="Text Box 27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84350" cy="1076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C4973" w14:textId="41127D35" w:rsidR="00AE690D" w:rsidRDefault="00AE690D" w:rsidP="00AE690D">
                            <w:pPr>
                              <w:pStyle w:val="Callout"/>
                            </w:pPr>
                            <w:r w:rsidRPr="00EF31BA">
                              <w:t>“</w:t>
                            </w:r>
                            <w:r w:rsidR="00FA5A34">
                              <w:t>She contributed to my wellbeing. I think I’m alive because of her</w:t>
                            </w:r>
                            <w:r w:rsidRPr="00EF31BA">
                              <w:t>.”</w:t>
                            </w:r>
                          </w:p>
                          <w:p w14:paraId="11F25AD1" w14:textId="5F943D32" w:rsidR="004D65C5" w:rsidRDefault="004D65C5" w:rsidP="00AE690D">
                            <w:pPr>
                              <w:pStyle w:val="Callout"/>
                            </w:pPr>
                            <w:r>
                              <w:t>- The Way Back Participant</w:t>
                            </w:r>
                          </w:p>
                          <w:p w14:paraId="6E3DD46A" w14:textId="77777777" w:rsidR="00CB0C9C" w:rsidRDefault="004D65C5" w:rsidP="00AE690D">
                            <w:pPr>
                              <w:pStyle w:val="Callout"/>
                            </w:pPr>
                            <w:r>
                              <w:t xml:space="preserve">- </w:t>
                            </w:r>
                          </w:p>
                          <w:p w14:paraId="65FAB2D1" w14:textId="26964766" w:rsidR="00AE690D" w:rsidRPr="00885462" w:rsidRDefault="00AE690D" w:rsidP="00AE690D"/>
                        </w:txbxContent>
                      </wps:txbx>
                      <wps:bodyPr rot="0" spcFirstLastPara="0" vertOverflow="overflow" horzOverflow="overflow" vert="horz" wrap="square" lIns="0" tIns="45720" rIns="360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60E22F" id="Text Box 27797" o:spid="_x0000_s1036" type="#_x0000_t202" alt="&quot;&quot;" style="position:absolute;margin-left:297.6pt;margin-top:19.15pt;width:140.5pt;height:84.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" fillcolor="white [3201]" stroked="f" strokeweight=".5pt">
                <v:textbox inset="0,,1mm">
                  <w:txbxContent>
                    <w:p w14:paraId="68DC4973" w14:textId="41127D35" w:rsidR="00AE690D" w:rsidRDefault="00AE690D" w:rsidP="00AE690D">
                      <w:pPr>
                        <w:pStyle w:val="Callout"/>
                      </w:pPr>
                      <w:r w:rsidRPr="00EF31BA">
                        <w:t>“</w:t>
                      </w:r>
                      <w:r w:rsidR="00FA5A34">
                        <w:t>She contributed to my wellbeing. I think I’m alive because of her</w:t>
                      </w:r>
                      <w:r w:rsidRPr="00EF31BA">
                        <w:t>.”</w:t>
                      </w:r>
                    </w:p>
                    <w:p w14:paraId="11F25AD1" w14:textId="5F943D32" w:rsidR="004D65C5" w:rsidRDefault="004D65C5" w:rsidP="00AE690D">
                      <w:pPr>
                        <w:pStyle w:val="Callout"/>
                      </w:pPr>
                      <w:r>
                        <w:t>- The Way Back Participant</w:t>
                      </w:r>
                    </w:p>
                    <w:p w14:paraId="6E3DD46A" w14:textId="77777777" w:rsidR="00CB0C9C" w:rsidRDefault="004D65C5" w:rsidP="00AE690D">
                      <w:pPr>
                        <w:pStyle w:val="Callout"/>
                      </w:pPr>
                      <w:r>
                        <w:t xml:space="preserve">- </w:t>
                      </w:r>
                    </w:p>
                    <w:p w14:paraId="65FAB2D1" w14:textId="26964766" w:rsidR="00AE690D" w:rsidRPr="00885462" w:rsidRDefault="00AE690D" w:rsidP="00AE690D"/>
                  </w:txbxContent>
                </v:textbox>
                <w10:wrap type="through"/>
              </v:shape>
            </w:pict>
          </mc:Fallback>
        </mc:AlternateContent>
      </w:r>
      <w:r w:rsidR="007A4F68">
        <w:rPr>
          <w:lang w:eastAsia="en-AU"/>
        </w:rPr>
        <w:t>Participants</w:t>
      </w:r>
      <w:r w:rsidR="00B33FDA">
        <w:rPr>
          <w:lang w:eastAsia="en-AU"/>
        </w:rPr>
        <w:t xml:space="preserve">’ suicidal ideation, psychological distress and mental wellbeing significantly improved during their engagement. In summary </w:t>
      </w:r>
      <w:r w:rsidR="00A06AE1">
        <w:rPr>
          <w:lang w:eastAsia="en-AU"/>
        </w:rPr>
        <w:t>participants experienced a:</w:t>
      </w:r>
      <w:r w:rsidR="00FA5A34">
        <w:rPr>
          <w:lang w:eastAsia="en-AU"/>
        </w:rPr>
        <w:t xml:space="preserve"> </w:t>
      </w:r>
    </w:p>
    <w:p w14:paraId="63C9E1F2" w14:textId="6E2914E5" w:rsidR="00A06AE1" w:rsidRDefault="00A06AE1" w:rsidP="00CB0C9C">
      <w:pPr>
        <w:pStyle w:val="Bullet"/>
      </w:pPr>
      <w:r>
        <w:t>63 per cent reduction in suicidal ideation</w:t>
      </w:r>
    </w:p>
    <w:p w14:paraId="4D469A6C" w14:textId="03B49398" w:rsidR="00A06AE1" w:rsidRDefault="00A06AE1" w:rsidP="00CB0C9C">
      <w:pPr>
        <w:pStyle w:val="Bullet"/>
      </w:pPr>
      <w:r>
        <w:t>28 per cent reduction in psychological distress</w:t>
      </w:r>
    </w:p>
    <w:p w14:paraId="081C8B78" w14:textId="1AE117EF" w:rsidR="00FA5A34" w:rsidRDefault="00A06AE1" w:rsidP="00CB0C9C">
      <w:pPr>
        <w:pStyle w:val="Bullet"/>
      </w:pPr>
      <w:r>
        <w:t xml:space="preserve">86 per cent improvement in wellbeing. </w:t>
      </w:r>
    </w:p>
    <w:p w14:paraId="298A9676" w14:textId="7CC71B88" w:rsidR="00FA5A34" w:rsidRPr="00936517" w:rsidRDefault="00FA5A34" w:rsidP="00CB0C9C">
      <w:pPr>
        <w:rPr>
          <w:lang w:eastAsia="en-AU"/>
        </w:rPr>
      </w:pPr>
      <w:r>
        <w:rPr>
          <w:lang w:eastAsia="en-AU"/>
        </w:rPr>
        <w:t xml:space="preserve">Participants in interviews also </w:t>
      </w:r>
      <w:r w:rsidR="00B33FDA">
        <w:rPr>
          <w:lang w:eastAsia="en-AU"/>
        </w:rPr>
        <w:t xml:space="preserve">reported </w:t>
      </w:r>
      <w:r w:rsidR="00F6585E">
        <w:rPr>
          <w:lang w:eastAsia="en-AU"/>
        </w:rPr>
        <w:t xml:space="preserve">the value of The Way Back in </w:t>
      </w:r>
      <w:r w:rsidR="004566FA">
        <w:rPr>
          <w:lang w:eastAsia="en-AU"/>
        </w:rPr>
        <w:t xml:space="preserve">contributing to </w:t>
      </w:r>
      <w:r w:rsidR="00F6585E">
        <w:rPr>
          <w:lang w:eastAsia="en-AU"/>
        </w:rPr>
        <w:t xml:space="preserve">their recovery through helping them gain hope and motivation, gain access to supports, and </w:t>
      </w:r>
      <w:r w:rsidR="00962609">
        <w:rPr>
          <w:lang w:eastAsia="en-AU"/>
        </w:rPr>
        <w:t xml:space="preserve">strengthening their capacity to cope </w:t>
      </w:r>
      <w:r w:rsidR="00F6585E">
        <w:rPr>
          <w:lang w:eastAsia="en-AU"/>
        </w:rPr>
        <w:t xml:space="preserve">and </w:t>
      </w:r>
      <w:r w:rsidR="00962609">
        <w:rPr>
          <w:lang w:eastAsia="en-AU"/>
        </w:rPr>
        <w:t xml:space="preserve">manage </w:t>
      </w:r>
      <w:r w:rsidR="004566FA">
        <w:rPr>
          <w:lang w:eastAsia="en-AU"/>
        </w:rPr>
        <w:t xml:space="preserve">their own recovery. </w:t>
      </w:r>
    </w:p>
    <w:p w14:paraId="6DAB0748" w14:textId="77777777" w:rsidR="001514C3" w:rsidRDefault="4D2E7E29" w:rsidP="00CB0C9C">
      <w:pPr>
        <w:pStyle w:val="Heading2"/>
      </w:pPr>
      <w:r>
        <w:t xml:space="preserve">What </w:t>
      </w:r>
      <w:r w:rsidR="07AAFDFB">
        <w:t>m</w:t>
      </w:r>
      <w:r w:rsidR="6AC6EF90">
        <w:t>akes</w:t>
      </w:r>
      <w:r>
        <w:t xml:space="preserve"> The Way Back effective is relevant to other aftercare and mental health services across Australia. </w:t>
      </w:r>
    </w:p>
    <w:p w14:paraId="766B3890" w14:textId="3DF15086" w:rsidR="00AA4F7D" w:rsidRDefault="0035019C" w:rsidP="00D74A4F">
      <w:r>
        <w:t xml:space="preserve">Key learnings </w:t>
      </w:r>
      <w:r w:rsidR="1F191805">
        <w:t xml:space="preserve">include: </w:t>
      </w:r>
    </w:p>
    <w:p w14:paraId="2D2987F6" w14:textId="6B09EC4D" w:rsidR="00BB18C7" w:rsidRPr="00865C5A" w:rsidRDefault="00BB18C7" w:rsidP="00BB18C7">
      <w:pPr>
        <w:pStyle w:val="Bullet"/>
      </w:pPr>
      <w:r w:rsidRPr="002800E2">
        <w:rPr>
          <w:rStyle w:val="Strong"/>
        </w:rPr>
        <w:t xml:space="preserve">Aftercare has a significant impact on people’s recovery following a suicide attempt </w:t>
      </w:r>
      <w:r w:rsidR="00262320" w:rsidRPr="002800E2">
        <w:rPr>
          <w:rStyle w:val="Strong"/>
        </w:rPr>
        <w:t>or</w:t>
      </w:r>
      <w:r w:rsidRPr="002800E2">
        <w:rPr>
          <w:rStyle w:val="Strong"/>
        </w:rPr>
        <w:t xml:space="preserve"> suicidal crisis. </w:t>
      </w:r>
      <w:r w:rsidR="000853FC">
        <w:t xml:space="preserve">The evaluation found </w:t>
      </w:r>
      <w:r w:rsidR="0035400D">
        <w:t xml:space="preserve">that during participants’ engagement with The Way Back, they experienced significant improvements to wellbeing and </w:t>
      </w:r>
      <w:r w:rsidR="009F35FC">
        <w:t>significant</w:t>
      </w:r>
      <w:r w:rsidR="0035400D">
        <w:t xml:space="preserve"> reductions to suicidality and psychological distress.</w:t>
      </w:r>
    </w:p>
    <w:p w14:paraId="2190375A" w14:textId="3AA973C7" w:rsidR="00EC693C" w:rsidRPr="00EC693C" w:rsidRDefault="3807B694" w:rsidP="00EC693C">
      <w:pPr>
        <w:pStyle w:val="Bullet"/>
      </w:pPr>
      <w:r w:rsidRPr="002800E2">
        <w:rPr>
          <w:rStyle w:val="Strong"/>
        </w:rPr>
        <w:t>There is a clear need to address social</w:t>
      </w:r>
      <w:r w:rsidR="003F4103" w:rsidRPr="002800E2">
        <w:rPr>
          <w:rStyle w:val="Strong"/>
        </w:rPr>
        <w:t xml:space="preserve">, </w:t>
      </w:r>
      <w:r w:rsidR="00BB4A21" w:rsidRPr="002800E2">
        <w:rPr>
          <w:rStyle w:val="Strong"/>
        </w:rPr>
        <w:t>economic</w:t>
      </w:r>
      <w:r w:rsidR="003F4103" w:rsidRPr="002800E2">
        <w:rPr>
          <w:rStyle w:val="Strong"/>
        </w:rPr>
        <w:t>, and cultural</w:t>
      </w:r>
      <w:r w:rsidRPr="002800E2">
        <w:rPr>
          <w:rStyle w:val="Strong"/>
        </w:rPr>
        <w:t xml:space="preserve"> determinants (for example, housing and employment).</w:t>
      </w:r>
      <w:r>
        <w:t xml:space="preserve"> The evaluation highlighted how </w:t>
      </w:r>
      <w:r w:rsidR="6F636A44">
        <w:t xml:space="preserve">people’s </w:t>
      </w:r>
      <w:r>
        <w:t xml:space="preserve">situational crises that </w:t>
      </w:r>
      <w:r w:rsidR="6F636A44">
        <w:t xml:space="preserve">led </w:t>
      </w:r>
      <w:r>
        <w:t xml:space="preserve">to </w:t>
      </w:r>
      <w:r w:rsidR="6F636A44">
        <w:t xml:space="preserve">their experiences of </w:t>
      </w:r>
      <w:r>
        <w:t xml:space="preserve">suicidality (such as homelessness) is crucial to address before </w:t>
      </w:r>
      <w:r w:rsidR="6F636A44">
        <w:t xml:space="preserve">they can </w:t>
      </w:r>
      <w:r w:rsidR="5D29094F">
        <w:t xml:space="preserve">engage in recovery that responds to their </w:t>
      </w:r>
      <w:r>
        <w:t>mental health needs.</w:t>
      </w:r>
      <w:r w:rsidR="6D6919C2">
        <w:t xml:space="preserve"> </w:t>
      </w:r>
      <w:r w:rsidR="41D4D44C">
        <w:t xml:space="preserve">It is </w:t>
      </w:r>
      <w:r w:rsidR="683087BA">
        <w:t>important</w:t>
      </w:r>
      <w:r w:rsidR="41D4D44C">
        <w:t xml:space="preserve"> for mental health services </w:t>
      </w:r>
      <w:r w:rsidR="430AE0BA">
        <w:t xml:space="preserve">and </w:t>
      </w:r>
      <w:r w:rsidR="6D6919C2">
        <w:t>social supports</w:t>
      </w:r>
      <w:r w:rsidR="09A82590">
        <w:t xml:space="preserve"> </w:t>
      </w:r>
      <w:r w:rsidR="430AE0BA">
        <w:t xml:space="preserve">to be connected </w:t>
      </w:r>
      <w:r w:rsidR="09A82590">
        <w:t xml:space="preserve">so that people’s needs are </w:t>
      </w:r>
      <w:r w:rsidR="683087BA">
        <w:t xml:space="preserve">addressed </w:t>
      </w:r>
      <w:r w:rsidR="09A82590">
        <w:t>holistically</w:t>
      </w:r>
      <w:r w:rsidR="6D6919C2">
        <w:t xml:space="preserve">. </w:t>
      </w:r>
    </w:p>
    <w:p w14:paraId="1A802A03" w14:textId="17408738" w:rsidR="00DE041E" w:rsidRDefault="2F8350EB" w:rsidP="00DE041E">
      <w:pPr>
        <w:pStyle w:val="Bullet"/>
      </w:pPr>
      <w:r w:rsidRPr="002800E2">
        <w:rPr>
          <w:rStyle w:val="Strong"/>
        </w:rPr>
        <w:t>The therapeutic alliance is an essential foundation for successful service engagement and outcomes.</w:t>
      </w:r>
      <w:r>
        <w:t xml:space="preserve"> The evaluation demonstrated the criticality of the therapeutic alliance between the participant and support coordinator, a finding supported in existing literature.</w:t>
      </w:r>
      <w:r w:rsidR="00DE041E">
        <w:rPr>
          <w:rStyle w:val="FootnoteReference"/>
        </w:rPr>
        <w:footnoteReference w:id="162"/>
      </w:r>
      <w:r>
        <w:t xml:space="preserve"> </w:t>
      </w:r>
    </w:p>
    <w:p w14:paraId="3D4D0E18" w14:textId="44773FBB" w:rsidR="00EC693C" w:rsidRDefault="550E19D0" w:rsidP="00EC693C">
      <w:pPr>
        <w:pStyle w:val="Bullet"/>
      </w:pPr>
      <w:r w:rsidRPr="002800E2">
        <w:rPr>
          <w:rStyle w:val="Strong"/>
        </w:rPr>
        <w:t xml:space="preserve">Effective mental health models of care are participant led, and flexibly respond to individual needs. </w:t>
      </w:r>
      <w:r>
        <w:t xml:space="preserve">Participants of The Way Back emphasised the importance of being provided with choices on what best responded to their needs. </w:t>
      </w:r>
    </w:p>
    <w:p w14:paraId="181AD27E" w14:textId="46B9335C" w:rsidR="004E7429" w:rsidRDefault="70E5978D" w:rsidP="00330958">
      <w:pPr>
        <w:pStyle w:val="Bullet"/>
        <w:rPr>
          <w:lang w:val="en-US"/>
        </w:rPr>
      </w:pPr>
      <w:r w:rsidRPr="002800E2">
        <w:rPr>
          <w:rStyle w:val="Strong"/>
          <w:rFonts w:eastAsia="Segoe UI Semibold"/>
        </w:rPr>
        <w:t>Participants reported that peer support was an important contributor to their experience of The Way Back service.</w:t>
      </w:r>
      <w:r w:rsidR="3EB47230" w:rsidRPr="2375EFE3">
        <w:rPr>
          <w:rFonts w:eastAsia="Segoe UI Semibold"/>
          <w:lang w:val="en-US"/>
        </w:rPr>
        <w:t xml:space="preserve"> </w:t>
      </w:r>
      <w:r w:rsidR="3EB47230" w:rsidRPr="2375EFE3">
        <w:rPr>
          <w:lang w:val="en-US"/>
        </w:rPr>
        <w:t xml:space="preserve">This evaluation highlighted </w:t>
      </w:r>
      <w:r w:rsidR="007D7202" w:rsidRPr="2375EFE3">
        <w:rPr>
          <w:lang w:val="en-US"/>
        </w:rPr>
        <w:t>that participant</w:t>
      </w:r>
      <w:r w:rsidR="3EB47230" w:rsidRPr="2375EFE3">
        <w:rPr>
          <w:lang w:val="en-US"/>
        </w:rPr>
        <w:t xml:space="preserve"> with peer support were more likely to complete their service </w:t>
      </w:r>
      <w:proofErr w:type="gramStart"/>
      <w:r w:rsidR="3EB47230" w:rsidRPr="2375EFE3">
        <w:rPr>
          <w:lang w:val="en-US"/>
        </w:rPr>
        <w:t>episode, and</w:t>
      </w:r>
      <w:proofErr w:type="gramEnd"/>
      <w:r w:rsidR="3EB47230" w:rsidRPr="2375EFE3">
        <w:rPr>
          <w:lang w:val="en-US"/>
        </w:rPr>
        <w:t xml:space="preserve"> stayed in the service for longer than participants without peer </w:t>
      </w:r>
      <w:r w:rsidR="3EB47230" w:rsidRPr="2375EFE3">
        <w:rPr>
          <w:lang w:val="en-US"/>
        </w:rPr>
        <w:lastRenderedPageBreak/>
        <w:t>support</w:t>
      </w:r>
      <w:r w:rsidR="0D5ED0A3" w:rsidRPr="2375EFE3">
        <w:rPr>
          <w:lang w:val="en-US"/>
        </w:rPr>
        <w:t xml:space="preserve"> – though there is no evidence that leads to better</w:t>
      </w:r>
      <w:r w:rsidR="3BD37765" w:rsidRPr="2375EFE3">
        <w:rPr>
          <w:lang w:val="en-US"/>
        </w:rPr>
        <w:t xml:space="preserve"> outcomes in</w:t>
      </w:r>
      <w:r w:rsidR="0D5ED0A3" w:rsidRPr="2375EFE3">
        <w:rPr>
          <w:lang w:val="en-US"/>
        </w:rPr>
        <w:t xml:space="preserve"> </w:t>
      </w:r>
      <w:r w:rsidR="1E450393" w:rsidRPr="2375EFE3">
        <w:rPr>
          <w:lang w:val="en-US"/>
        </w:rPr>
        <w:t xml:space="preserve">suicidality, distress </w:t>
      </w:r>
      <w:r w:rsidR="2E6F87C5" w:rsidRPr="2375EFE3">
        <w:rPr>
          <w:lang w:val="en-US"/>
        </w:rPr>
        <w:t>or wellbeing</w:t>
      </w:r>
      <w:r w:rsidR="00A53485" w:rsidRPr="2375EFE3">
        <w:rPr>
          <w:lang w:val="en-US"/>
        </w:rPr>
        <w:t>.</w:t>
      </w:r>
      <w:r w:rsidR="01CEFE88" w:rsidRPr="2375EFE3">
        <w:rPr>
          <w:lang w:val="en-US"/>
        </w:rPr>
        <w:t xml:space="preserve"> </w:t>
      </w:r>
      <w:bookmarkStart w:id="190" w:name="_Int_VnyeCNpO"/>
      <w:r w:rsidR="01CEFE88" w:rsidRPr="2375EFE3">
        <w:rPr>
          <w:lang w:val="en-US"/>
        </w:rPr>
        <w:t xml:space="preserve">Participants expressed that building a therapeutic rapport was a positive experience, however </w:t>
      </w:r>
      <w:r w:rsidR="756CA4EA" w:rsidRPr="2375EFE3">
        <w:rPr>
          <w:lang w:val="en-US"/>
        </w:rPr>
        <w:t>quantitatively</w:t>
      </w:r>
      <w:r w:rsidR="01CEFE88" w:rsidRPr="2375EFE3">
        <w:rPr>
          <w:lang w:val="en-US"/>
        </w:rPr>
        <w:t xml:space="preserve"> unable to identify stat</w:t>
      </w:r>
      <w:r w:rsidR="11C4FB37" w:rsidRPr="2375EFE3">
        <w:rPr>
          <w:lang w:val="en-US"/>
        </w:rPr>
        <w:t>istically</w:t>
      </w:r>
      <w:r w:rsidR="01CEFE88" w:rsidRPr="2375EFE3">
        <w:rPr>
          <w:lang w:val="en-US"/>
        </w:rPr>
        <w:t xml:space="preserve"> sig</w:t>
      </w:r>
      <w:r w:rsidR="61970B16" w:rsidRPr="2375EFE3">
        <w:rPr>
          <w:lang w:val="en-US"/>
        </w:rPr>
        <w:t>nificant</w:t>
      </w:r>
      <w:r w:rsidR="01CEFE88" w:rsidRPr="2375EFE3">
        <w:rPr>
          <w:lang w:val="en-US"/>
        </w:rPr>
        <w:t xml:space="preserve"> diff</w:t>
      </w:r>
      <w:r w:rsidR="7814F87B" w:rsidRPr="2375EFE3">
        <w:rPr>
          <w:lang w:val="en-US"/>
        </w:rPr>
        <w:t>erences</w:t>
      </w:r>
      <w:r w:rsidR="01CEFE88" w:rsidRPr="2375EFE3">
        <w:rPr>
          <w:lang w:val="en-US"/>
        </w:rPr>
        <w:t xml:space="preserve"> in outcomes.</w:t>
      </w:r>
      <w:bookmarkEnd w:id="190"/>
    </w:p>
    <w:p w14:paraId="52E7F98D" w14:textId="6EC9F5C7" w:rsidR="00330958" w:rsidRPr="00677B46" w:rsidRDefault="76963A83" w:rsidP="00330958">
      <w:pPr>
        <w:pStyle w:val="Bullet"/>
      </w:pPr>
      <w:r w:rsidRPr="002800E2">
        <w:rPr>
          <w:rStyle w:val="Strong"/>
        </w:rPr>
        <w:t>Strong partnerships supported by formal arrangements with referring partners</w:t>
      </w:r>
      <w:r w:rsidRPr="2375EFE3">
        <w:rPr>
          <w:rFonts w:asciiTheme="majorHAnsi" w:hAnsiTheme="majorHAnsi" w:cstheme="majorBidi"/>
        </w:rPr>
        <w:t xml:space="preserve">. </w:t>
      </w:r>
      <w:r w:rsidR="19795876">
        <w:t>P</w:t>
      </w:r>
      <w:r>
        <w:t xml:space="preserve">roviders highlighted the </w:t>
      </w:r>
      <w:r w:rsidR="5C8104CC">
        <w:t>importance</w:t>
      </w:r>
      <w:r>
        <w:t xml:space="preserve"> of </w:t>
      </w:r>
      <w:r w:rsidR="56CCEADE">
        <w:t>having</w:t>
      </w:r>
      <w:r>
        <w:t xml:space="preserve"> stronger referral partnerships with LHDs/LHS/HSSs. This ensures</w:t>
      </w:r>
      <w:r w:rsidR="630E3738">
        <w:t xml:space="preserve"> there</w:t>
      </w:r>
      <w:r>
        <w:t xml:space="preserve"> are timely and seamless process</w:t>
      </w:r>
      <w:r w:rsidR="381DD410">
        <w:t>es</w:t>
      </w:r>
      <w:r>
        <w:t xml:space="preserve"> for participants. </w:t>
      </w:r>
    </w:p>
    <w:p w14:paraId="09BA85C6" w14:textId="3CDD0567" w:rsidR="00A765E6" w:rsidRPr="00126207" w:rsidRDefault="1020FA1A" w:rsidP="00126207">
      <w:pPr>
        <w:pStyle w:val="Bullet"/>
      </w:pPr>
      <w:r w:rsidRPr="002800E2">
        <w:rPr>
          <w:rStyle w:val="Strong"/>
        </w:rPr>
        <w:t xml:space="preserve">There are some good examples of aftercare models that respond to (local) </w:t>
      </w:r>
      <w:proofErr w:type="gramStart"/>
      <w:r w:rsidRPr="002800E2">
        <w:rPr>
          <w:rStyle w:val="Strong"/>
        </w:rPr>
        <w:t>Aboriginal</w:t>
      </w:r>
      <w:proofErr w:type="gramEnd"/>
      <w:r w:rsidRPr="002800E2">
        <w:rPr>
          <w:rStyle w:val="Strong"/>
        </w:rPr>
        <w:t xml:space="preserve"> and Torres Strait Islander needs and preferences</w:t>
      </w:r>
      <w:r>
        <w:t xml:space="preserve">. It should not be assumed that a universal aftercare model should attempt to replace or duplicate these. There is scope to partner with Aboriginal and Torres Strait Islander organisations already delivering effective services to understand the need to expand, and at minimum ensure existing aftercare services that are not targeted to Aboriginal and Torres Strait Islander people are nonetheless culturally safe. </w:t>
      </w:r>
    </w:p>
    <w:p w14:paraId="58374BC4" w14:textId="5840701A" w:rsidR="00AA4F7D" w:rsidRDefault="3A637AD5" w:rsidP="00526F5A">
      <w:pPr>
        <w:pStyle w:val="Bullet"/>
      </w:pPr>
      <w:r w:rsidRPr="002800E2">
        <w:rPr>
          <w:rStyle w:val="Strong"/>
        </w:rPr>
        <w:t xml:space="preserve">The success of </w:t>
      </w:r>
      <w:r w:rsidR="3E267AE3" w:rsidRPr="002800E2">
        <w:rPr>
          <w:rStyle w:val="Strong"/>
        </w:rPr>
        <w:t xml:space="preserve">aftercare </w:t>
      </w:r>
      <w:r w:rsidR="27BDD360" w:rsidRPr="002800E2">
        <w:rPr>
          <w:rStyle w:val="Strong"/>
        </w:rPr>
        <w:t>services</w:t>
      </w:r>
      <w:r w:rsidR="7054DD8D" w:rsidRPr="002800E2">
        <w:rPr>
          <w:rStyle w:val="Strong"/>
        </w:rPr>
        <w:t xml:space="preserve"> </w:t>
      </w:r>
      <w:r w:rsidRPr="002800E2">
        <w:rPr>
          <w:rStyle w:val="Strong"/>
        </w:rPr>
        <w:t>as a time-limited service that holds people between acute and ongoing supports is limited by the effectiveness of the surrounding systems (acute, mental health and community systems).</w:t>
      </w:r>
      <w:r>
        <w:t xml:space="preserve"> Acute health services that refer into </w:t>
      </w:r>
      <w:r w:rsidR="7054DD8D">
        <w:t>aftercare services</w:t>
      </w:r>
      <w:r>
        <w:t xml:space="preserve"> must be culturally safe and accessible and </w:t>
      </w:r>
      <w:proofErr w:type="gramStart"/>
      <w:r>
        <w:t xml:space="preserve">have </w:t>
      </w:r>
      <w:r w:rsidR="471B3E25">
        <w:t>the</w:t>
      </w:r>
      <w:r>
        <w:t xml:space="preserve"> ability to</w:t>
      </w:r>
      <w:proofErr w:type="gramEnd"/>
      <w:r>
        <w:t xml:space="preserve"> identify and refer eligible </w:t>
      </w:r>
      <w:r w:rsidR="73F95A63">
        <w:t>participants</w:t>
      </w:r>
      <w:r>
        <w:t xml:space="preserve"> in a timely manner. </w:t>
      </w:r>
      <w:r w:rsidR="581FF581">
        <w:t>Psychosocial</w:t>
      </w:r>
      <w:r>
        <w:t xml:space="preserve"> and clinical supports must be available, of quality and have capacity to accept referrals </w:t>
      </w:r>
      <w:proofErr w:type="gramStart"/>
      <w:r>
        <w:t>in order for</w:t>
      </w:r>
      <w:proofErr w:type="gramEnd"/>
      <w:r>
        <w:t xml:space="preserve"> </w:t>
      </w:r>
      <w:r w:rsidR="3E267AE3">
        <w:t xml:space="preserve">aftercare supports </w:t>
      </w:r>
      <w:r>
        <w:t xml:space="preserve">to fulfill its role in connecting </w:t>
      </w:r>
      <w:r w:rsidR="73F95A63">
        <w:t>participants</w:t>
      </w:r>
      <w:r>
        <w:t xml:space="preserve"> to services to enable their recovery. This was reported as more of a challenge in rural and remote areas than metropolitan areas. </w:t>
      </w:r>
    </w:p>
    <w:p w14:paraId="60BF0AFE" w14:textId="33E67E35" w:rsidR="00126207" w:rsidRPr="00526F5A" w:rsidRDefault="1020FA1A" w:rsidP="00126207">
      <w:pPr>
        <w:pStyle w:val="Bullet"/>
      </w:pPr>
      <w:r w:rsidRPr="002800E2">
        <w:rPr>
          <w:rStyle w:val="Strong"/>
        </w:rPr>
        <w:t>There is still a gap for people who want access to more intensive psychosocial suicide prevention support prior to the point of crisis</w:t>
      </w:r>
      <w:r w:rsidRPr="5F0B1C35">
        <w:rPr>
          <w:rFonts w:asciiTheme="majorHAnsi" w:hAnsiTheme="majorHAnsi" w:cstheme="majorBidi"/>
        </w:rPr>
        <w:t>.</w:t>
      </w:r>
      <w:r>
        <w:t xml:space="preserve"> The evaluation found that The Way Back is responding to critical gap within the mental health system. </w:t>
      </w:r>
      <w:r w:rsidR="001B77C0">
        <w:t xml:space="preserve">Participants highlighted that they would have benefited from </w:t>
      </w:r>
      <w:r w:rsidR="00FE04C0">
        <w:t xml:space="preserve">accessing </w:t>
      </w:r>
      <w:r w:rsidR="007A6B53">
        <w:t xml:space="preserve">a service such as </w:t>
      </w:r>
      <w:r w:rsidR="00FE04C0">
        <w:t xml:space="preserve">The Way Back before their point of </w:t>
      </w:r>
      <w:r w:rsidR="006A6584">
        <w:t>crisis. However</w:t>
      </w:r>
      <w:r w:rsidR="007A6B53">
        <w:t>,</w:t>
      </w:r>
      <w:r w:rsidR="00FE04C0">
        <w:t xml:space="preserve"> </w:t>
      </w:r>
      <w:r>
        <w:t xml:space="preserve">this </w:t>
      </w:r>
      <w:r w:rsidR="007A6B53">
        <w:t xml:space="preserve">would represent a deviation </w:t>
      </w:r>
      <w:r>
        <w:t>from the purpose of an ‘aftercare’ model</w:t>
      </w:r>
      <w:r w:rsidR="007A6B53">
        <w:t xml:space="preserve"> to</w:t>
      </w:r>
      <w:r w:rsidR="0049445A">
        <w:t xml:space="preserve"> a</w:t>
      </w:r>
      <w:r w:rsidR="007A6B53">
        <w:t xml:space="preserve"> more gener</w:t>
      </w:r>
      <w:r w:rsidR="0049445A">
        <w:t>al mental health/psychosocial support service</w:t>
      </w:r>
      <w:r>
        <w:t xml:space="preserve">. The Way Back </w:t>
      </w:r>
      <w:r w:rsidR="00D76172">
        <w:t>cannot</w:t>
      </w:r>
      <w:r w:rsidR="00FE04C0">
        <w:t xml:space="preserve"> </w:t>
      </w:r>
      <w:r>
        <w:t xml:space="preserve">respond to all gaps evident in the suicide prevention space and so consideration is needed to determine what other models of </w:t>
      </w:r>
      <w:r w:rsidR="0049445A">
        <w:t xml:space="preserve">treatment, </w:t>
      </w:r>
      <w:r>
        <w:t xml:space="preserve">care </w:t>
      </w:r>
      <w:r w:rsidR="0049445A">
        <w:t xml:space="preserve">and support </w:t>
      </w:r>
      <w:r w:rsidR="443942AE">
        <w:t xml:space="preserve">are </w:t>
      </w:r>
      <w:r>
        <w:t xml:space="preserve">needed to fully support people before the point of crisis. </w:t>
      </w:r>
    </w:p>
    <w:p w14:paraId="54653327" w14:textId="3CD2C7F7" w:rsidR="00C5461E" w:rsidRPr="00526F5A" w:rsidRDefault="00AE45A4" w:rsidP="00AE45A4">
      <w:pPr>
        <w:spacing w:after="165" w:line="259" w:lineRule="auto"/>
        <w:rPr>
          <w:sz w:val="20"/>
        </w:rPr>
      </w:pPr>
      <w:r>
        <w:rPr>
          <w:rFonts w:eastAsia="Times New Roman" w:cs="Times New Roman"/>
          <w:szCs w:val="19"/>
          <w:lang w:eastAsia="en-AU"/>
        </w:rPr>
        <w:br w:type="column"/>
      </w:r>
      <w:r w:rsidR="00A016C2">
        <w:rPr>
          <w:noProof/>
        </w:rPr>
        <w:lastRenderedPageBreak/>
        <w:drawing>
          <wp:anchor distT="0" distB="0" distL="114300" distR="114300" simplePos="0" relativeHeight="251658266" behindDoc="0" locked="0" layoutInCell="1" allowOverlap="1" wp14:anchorId="0C150B10" wp14:editId="033399A9">
            <wp:simplePos x="0" y="0"/>
            <wp:positionH relativeFrom="page">
              <wp:posOffset>16188</wp:posOffset>
            </wp:positionH>
            <wp:positionV relativeFrom="page">
              <wp:posOffset>900131</wp:posOffset>
            </wp:positionV>
            <wp:extent cx="7560000" cy="9784800"/>
            <wp:effectExtent l="0" t="0" r="3175" b="6985"/>
            <wp:wrapNone/>
            <wp:docPr id="27787" name="Picture 27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 name="Picture 27787">
                      <a:extLst>
                        <a:ext uri="{C183D7F6-B498-43B3-948B-1728B52AA6E4}">
                          <adec:decorative xmlns:adec="http://schemas.microsoft.com/office/drawing/2017/decorative" val="1"/>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560000" cy="9784800"/>
                    </a:xfrm>
                    <a:prstGeom prst="rect">
                      <a:avLst/>
                    </a:prstGeom>
                  </pic:spPr>
                </pic:pic>
              </a:graphicData>
            </a:graphic>
            <wp14:sizeRelH relativeFrom="margin">
              <wp14:pctWidth>0</wp14:pctWidth>
            </wp14:sizeRelH>
            <wp14:sizeRelV relativeFrom="margin">
              <wp14:pctHeight>0</wp14:pctHeight>
            </wp14:sizeRelV>
          </wp:anchor>
        </w:drawing>
      </w:r>
    </w:p>
    <w:sectPr w:rsidR="00C5461E" w:rsidRPr="00526F5A" w:rsidSect="00AE1109">
      <w:headerReference w:type="first" r:id="rId126"/>
      <w:footerReference w:type="first" r:id="rId127"/>
      <w:pgSz w:w="11907" w:h="16839" w:code="9"/>
      <w:pgMar w:top="1418" w:right="1418" w:bottom="1701" w:left="1559"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C2AA0" w14:textId="77777777" w:rsidR="00405A8F" w:rsidRDefault="00405A8F" w:rsidP="00302076">
      <w:pPr>
        <w:spacing w:after="0"/>
      </w:pPr>
      <w:r>
        <w:separator/>
      </w:r>
    </w:p>
    <w:p w14:paraId="44E01D16" w14:textId="77777777" w:rsidR="00FF7E9B" w:rsidRDefault="00FF7E9B"/>
  </w:endnote>
  <w:endnote w:type="continuationSeparator" w:id="0">
    <w:p w14:paraId="4DBE23A5" w14:textId="77777777" w:rsidR="00405A8F" w:rsidRDefault="00405A8F" w:rsidP="00302076">
      <w:pPr>
        <w:spacing w:after="0"/>
      </w:pPr>
      <w:r>
        <w:continuationSeparator/>
      </w:r>
    </w:p>
    <w:p w14:paraId="05C98AAF" w14:textId="77777777" w:rsidR="00FF7E9B" w:rsidRDefault="00FF7E9B"/>
  </w:endnote>
  <w:endnote w:type="continuationNotice" w:id="1">
    <w:p w14:paraId="13EBBF03" w14:textId="77777777" w:rsidR="00405A8F" w:rsidRDefault="00405A8F">
      <w:pPr>
        <w:spacing w:after="0"/>
      </w:pPr>
    </w:p>
    <w:p w14:paraId="3DAD1309" w14:textId="77777777" w:rsidR="00FF7E9B" w:rsidRDefault="00FF7E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Semibold">
    <w:panose1 w:val="020B07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tka Display">
    <w:panose1 w:val="02000505000000020004"/>
    <w:charset w:val="00"/>
    <w:family w:val="auto"/>
    <w:pitch w:val="variable"/>
    <w:sig w:usb0="A00002EF" w:usb1="4000204B" w:usb2="00000000" w:usb3="00000000" w:csb0="0000019F" w:csb1="00000000"/>
  </w:font>
  <w:font w:name="Segoe UI Semilight">
    <w:panose1 w:val="020B04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E6850" w14:textId="0777D410" w:rsidR="009572B6" w:rsidRPr="00FD4AB1" w:rsidRDefault="009572B6" w:rsidP="00855715">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671915616"/>
        <w:dataBinding w:prefixMappings="xmlns:ns0='http://purl.org/dc/elements/1.1/' xmlns:ns1='http://schemas.openxmlformats.org/package/2006/metadata/core-properties' " w:xpath="/ns1:coreProperties[1]/ns0:title[1]" w:storeItemID="{6C3C8BC8-F283-45AE-878A-BAB7291924A1}"/>
        <w:text/>
      </w:sdtPr>
      <w:sdtEndPr/>
      <w:sdtContent>
        <w:r w:rsidR="00813602"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932784730"/>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C30495" w:rsidRPr="007D7202">
          <w:rPr>
            <w:szCs w:val="15"/>
            <w:lang w:eastAsia="en-AU"/>
          </w:rPr>
          <w:t>21 December 2022</w:t>
        </w:r>
      </w:sdtContent>
    </w:sdt>
    <w:r w:rsidRPr="007D7202">
      <w:rPr>
        <w:rFonts w:ascii="Segoe UI Semibold" w:hAnsi="Segoe UI Semibold" w:cs="Segoe UI"/>
      </w:rPr>
      <w:ptab w:relativeTo="margin" w:alignment="right" w:leader="none"/>
    </w:r>
    <w:r w:rsidRPr="007D7202">
      <w:rPr>
        <w:rFonts w:cs="Segoe UI"/>
      </w:rPr>
      <w:t xml:space="preserve">| </w:t>
    </w:r>
    <w:r w:rsidRPr="007D7202">
      <w:rPr>
        <w:rFonts w:cs="Segoe UI"/>
        <w:b/>
        <w:sz w:val="16"/>
        <w:szCs w:val="16"/>
      </w:rPr>
      <w:fldChar w:fldCharType="begin"/>
    </w:r>
    <w:r w:rsidRPr="007D7202">
      <w:rPr>
        <w:rFonts w:cs="Segoe UI"/>
        <w:sz w:val="16"/>
        <w:szCs w:val="16"/>
      </w:rPr>
      <w:instrText xml:space="preserve"> PAGE  \* roman  \* MERGEFORMAT </w:instrText>
    </w:r>
    <w:r w:rsidRPr="007D7202">
      <w:rPr>
        <w:rFonts w:cs="Segoe UI"/>
        <w:b/>
        <w:sz w:val="16"/>
        <w:szCs w:val="16"/>
      </w:rPr>
      <w:fldChar w:fldCharType="separate"/>
    </w:r>
    <w:r w:rsidRPr="007D7202">
      <w:rPr>
        <w:rFonts w:cs="Segoe UI"/>
        <w:b/>
        <w:noProof/>
        <w:sz w:val="16"/>
        <w:szCs w:val="16"/>
      </w:rPr>
      <w:t>i</w:t>
    </w:r>
    <w:r w:rsidRPr="007D7202">
      <w:rPr>
        <w:rFonts w:cs="Segoe UI"/>
        <w:b/>
        <w:sz w:val="16"/>
        <w:szCs w:val="16"/>
      </w:rPr>
      <w:fldChar w:fldCharType="end"/>
    </w:r>
    <w:r w:rsidRPr="003B464C">
      <w:rPr>
        <w:rFonts w:cs="Segoe UI"/>
        <w:color w:val="A5A5A5"/>
        <w:sz w:val="16"/>
        <w:szCs w:val="16"/>
      </w:rPr>
      <w:t xml:space="preserve"> </w:t>
    </w:r>
    <w:r w:rsidRPr="007D7202">
      <w:rPr>
        <w:rFonts w:cs="Segoe UI"/>
      </w:rPr>
      <w: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ED85" w14:textId="0C3E7580" w:rsidR="00A54707" w:rsidRDefault="00EA6482" w:rsidP="00037553">
    <w:pPr>
      <w:pStyle w:val="NousFooter"/>
    </w:pPr>
    <w:r w:rsidRPr="008A55C6">
      <w:t xml:space="preserve">Nous Group | </w:t>
    </w:r>
    <w:sdt>
      <w:sdtPr>
        <w:alias w:val="Title"/>
        <w:id w:val="-1621914426"/>
        <w:dataBinding w:prefixMappings="xmlns:ns0='http://purl.org/dc/elements/1.1/' xmlns:ns1='http://schemas.openxmlformats.org/package/2006/metadata/core-properties' " w:xpath="/ns1:coreProperties[1]/ns0:title[1]" w:storeItemID="{6C3C8BC8-F283-45AE-878A-BAB7291924A1}"/>
        <w:text/>
      </w:sdtPr>
      <w:sdtEndPr/>
      <w:sdtContent>
        <w:r>
          <w:t>The Way Back Support Services Evaluation | Final Evaluation Report</w:t>
        </w:r>
      </w:sdtContent>
    </w:sdt>
    <w:r w:rsidRPr="008A55C6">
      <w:t xml:space="preserve"> | </w:t>
    </w:r>
    <w:sdt>
      <w:sdtPr>
        <w:alias w:val="Publish Date"/>
        <w:id w:val="-216825670"/>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w:t>
    </w:r>
    <w:r>
      <w:fldChar w:fldCharType="end"/>
    </w:r>
    <w:r>
      <w:t xml:space="preserve"> </w:t>
    </w:r>
    <w:r w:rsidRPr="008A55C6">
      <w: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271A3" w14:textId="367AF847" w:rsidR="00A54707" w:rsidRPr="00E5719B" w:rsidRDefault="009F2599">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2119287370"/>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1239936166"/>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p w14:paraId="1EDFC373" w14:textId="77777777" w:rsidR="00FF7E9B" w:rsidRDefault="00FF7E9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FACCA" w14:textId="4ED7DE79" w:rsidR="009572B6" w:rsidRPr="00FD4AB1" w:rsidRDefault="009572B6" w:rsidP="00922A47">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1089580792"/>
        <w:dataBinding w:prefixMappings="xmlns:ns0='http://purl.org/dc/elements/1.1/' xmlns:ns1='http://schemas.openxmlformats.org/package/2006/metadata/core-properties' " w:xpath="/ns1:coreProperties[1]/ns0:title[1]" w:storeItemID="{6C3C8BC8-F283-45AE-878A-BAB7291924A1}"/>
        <w:text/>
      </w:sdtPr>
      <w:sdtEndPr/>
      <w:sdtContent>
        <w:r w:rsidR="00813602"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1085840653"/>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7D7202">
      <w:rPr>
        <w:rFonts w:ascii="Segoe UI Semibold" w:hAnsi="Segoe UI Semibold" w:cs="Segoe UI"/>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19D49" w14:textId="770C2109" w:rsidR="009572B6" w:rsidRPr="00E5719B" w:rsidRDefault="009572B6">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1931351459"/>
        <w:dataBinding w:prefixMappings="xmlns:ns0='http://purl.org/dc/elements/1.1/' xmlns:ns1='http://schemas.openxmlformats.org/package/2006/metadata/core-properties' " w:xpath="/ns1:coreProperties[1]/ns0:title[1]" w:storeItemID="{6C3C8BC8-F283-45AE-878A-BAB7291924A1}"/>
        <w:text/>
      </w:sdtPr>
      <w:sdtEndPr/>
      <w:sdtContent>
        <w:r w:rsidR="00813602"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1260803824"/>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B9C59" w14:textId="1D992442" w:rsidR="00ED6D70" w:rsidRPr="00FD4AB1" w:rsidRDefault="00ED6D70" w:rsidP="00922A47">
    <w:pPr>
      <w:pStyle w:val="Footer"/>
      <w:rPr>
        <w:rFonts w:ascii="Segoe UI Semibold" w:hAnsi="Segoe UI Semibold" w:cs="Segoe UI"/>
        <w:b/>
      </w:rPr>
    </w:pPr>
    <w:r w:rsidRPr="000500EF">
      <w:rPr>
        <w:szCs w:val="15"/>
        <w:lang w:eastAsia="en-AU"/>
      </w:rPr>
      <w:t xml:space="preserve">Nous Group | </w:t>
    </w:r>
    <w:sdt>
      <w:sdtPr>
        <w:rPr>
          <w:szCs w:val="15"/>
          <w:lang w:eastAsia="en-AU"/>
        </w:rPr>
        <w:alias w:val="Title"/>
        <w:id w:val="-1720501731"/>
        <w:dataBinding w:prefixMappings="xmlns:ns0='http://purl.org/dc/elements/1.1/' xmlns:ns1='http://schemas.openxmlformats.org/package/2006/metadata/core-properties' " w:xpath="/ns1:coreProperties[1]/ns0:title[1]" w:storeItemID="{6C3C8BC8-F283-45AE-878A-BAB7291924A1}"/>
        <w:text/>
      </w:sdtPr>
      <w:sdtEndPr/>
      <w:sdtContent>
        <w:r w:rsidRPr="000500EF">
          <w:rPr>
            <w:szCs w:val="15"/>
            <w:lang w:eastAsia="en-AU"/>
          </w:rPr>
          <w:t>The Way Back Support Services Evaluation | Final Evaluation Report</w:t>
        </w:r>
      </w:sdtContent>
    </w:sdt>
    <w:r w:rsidRPr="000500EF">
      <w:rPr>
        <w:szCs w:val="15"/>
        <w:lang w:eastAsia="en-AU"/>
      </w:rPr>
      <w:t xml:space="preserve"> | </w:t>
    </w:r>
    <w:sdt>
      <w:sdtPr>
        <w:rPr>
          <w:szCs w:val="15"/>
          <w:lang w:eastAsia="en-AU"/>
        </w:rPr>
        <w:alias w:val="Publish Date"/>
        <w:id w:val="-1030036874"/>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0500EF">
          <w:rPr>
            <w:szCs w:val="15"/>
            <w:lang w:eastAsia="en-AU"/>
          </w:rPr>
          <w:t>21 December 2022</w:t>
        </w:r>
      </w:sdtContent>
    </w:sdt>
    <w:r w:rsidRPr="000500EF">
      <w:rPr>
        <w:rFonts w:ascii="Segoe UI Semibold" w:hAnsi="Segoe UI Semibold" w:cs="Segoe UI"/>
      </w:rPr>
      <w:ptab w:relativeTo="margin" w:alignment="right" w:leader="none"/>
    </w:r>
    <w:r w:rsidRPr="000500EF">
      <w:rPr>
        <w:rFonts w:ascii="Segoe UI Semibold" w:hAnsi="Segoe UI Semibold" w:cs="Segoe UI"/>
      </w:rPr>
      <w:fldChar w:fldCharType="begin"/>
    </w:r>
    <w:r w:rsidRPr="000500EF">
      <w:rPr>
        <w:rFonts w:ascii="Segoe UI Semibold" w:hAnsi="Segoe UI Semibold" w:cs="Segoe UI"/>
      </w:rPr>
      <w:instrText xml:space="preserve"> PAGE   \* MERGEFORMAT </w:instrText>
    </w:r>
    <w:r w:rsidRPr="000500EF">
      <w:rPr>
        <w:rFonts w:ascii="Segoe UI Semibold" w:hAnsi="Segoe UI Semibold" w:cs="Segoe UI"/>
      </w:rPr>
      <w:fldChar w:fldCharType="separate"/>
    </w:r>
    <w:r w:rsidRPr="000500EF">
      <w:rPr>
        <w:rFonts w:ascii="Segoe UI Semibold" w:hAnsi="Segoe UI Semibold" w:cs="Segoe UI"/>
      </w:rPr>
      <w:t>1</w:t>
    </w:r>
    <w:r w:rsidRPr="000500EF">
      <w:rPr>
        <w:rFonts w:ascii="Segoe UI Semibold" w:hAnsi="Segoe UI Semibold" w:cs="Segoe UI"/>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6BDDA" w14:textId="758B72F0" w:rsidR="00A54707" w:rsidRPr="00E5719B" w:rsidRDefault="00A54489">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567540042"/>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51692139"/>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00732E04" w:rsidRPr="00732E04">
      <w:fldChar w:fldCharType="begin"/>
    </w:r>
    <w:r w:rsidR="00732E04" w:rsidRPr="00732E04">
      <w:instrText xml:space="preserve"> PAGE   \* MERGEFORMAT </w:instrText>
    </w:r>
    <w:r w:rsidR="00732E04" w:rsidRPr="00732E04">
      <w:fldChar w:fldCharType="separate"/>
    </w:r>
    <w:r w:rsidR="00732E04" w:rsidRPr="00732E04">
      <w:t>1</w:t>
    </w:r>
    <w:r w:rsidR="00732E04" w:rsidRPr="00732E04">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EF04E" w14:textId="0CC2E4AB" w:rsidR="00A54707" w:rsidRPr="00E5719B" w:rsidRDefault="001661C2">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167262810"/>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829673062"/>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10268" w14:textId="2A25B37C" w:rsidR="00A54707" w:rsidRPr="00E5719B" w:rsidRDefault="001661C2">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1251040911"/>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721289601"/>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8DB7" w14:textId="16CFE82F" w:rsidR="00A54707" w:rsidRPr="00E5719B" w:rsidRDefault="00927E09">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2030940176"/>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212848085"/>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01677" w14:textId="5EA6D53A" w:rsidR="00A54707" w:rsidRPr="00E5719B" w:rsidRDefault="00927E09">
    <w:pPr>
      <w:pStyle w:val="Footer"/>
      <w:rPr>
        <w:rFonts w:ascii="Segoe UI Semibold" w:hAnsi="Segoe UI Semibold" w:cs="Segoe UI"/>
        <w:b/>
      </w:rPr>
    </w:pPr>
    <w:r w:rsidRPr="007D7202">
      <w:rPr>
        <w:szCs w:val="15"/>
        <w:lang w:eastAsia="en-AU"/>
      </w:rPr>
      <w:t xml:space="preserve">Nous Group | </w:t>
    </w:r>
    <w:sdt>
      <w:sdtPr>
        <w:rPr>
          <w:szCs w:val="15"/>
          <w:lang w:eastAsia="en-AU"/>
        </w:rPr>
        <w:alias w:val="Title"/>
        <w:id w:val="-283969236"/>
        <w:dataBinding w:prefixMappings="xmlns:ns0='http://purl.org/dc/elements/1.1/' xmlns:ns1='http://schemas.openxmlformats.org/package/2006/metadata/core-properties' " w:xpath="/ns1:coreProperties[1]/ns0:title[1]" w:storeItemID="{6C3C8BC8-F283-45AE-878A-BAB7291924A1}"/>
        <w:text/>
      </w:sdtPr>
      <w:sdtEndPr/>
      <w:sdtContent>
        <w:r w:rsidRPr="007D7202">
          <w:rPr>
            <w:szCs w:val="15"/>
            <w:lang w:eastAsia="en-AU"/>
          </w:rPr>
          <w:t>The Way Back Support Services Evaluation | Final Evaluation Report</w:t>
        </w:r>
      </w:sdtContent>
    </w:sdt>
    <w:r w:rsidRPr="007D7202">
      <w:rPr>
        <w:szCs w:val="15"/>
        <w:lang w:eastAsia="en-AU"/>
      </w:rPr>
      <w:t xml:space="preserve"> | </w:t>
    </w:r>
    <w:sdt>
      <w:sdtPr>
        <w:rPr>
          <w:szCs w:val="15"/>
          <w:lang w:eastAsia="en-AU"/>
        </w:rPr>
        <w:alias w:val="Publish Date"/>
        <w:id w:val="1824857338"/>
        <w:dataBinding w:prefixMappings="xmlns:ns0='http://schemas.microsoft.com/office/2006/coverPageProps' " w:xpath="/ns0:CoverPageProperties[1]/ns0:PublishDate[1]" w:storeItemID="{55AF091B-3C7A-41E3-B477-F2FDAA23CFDA}"/>
        <w:date w:fullDate="2022-12-21T00:00:00Z">
          <w:dateFormat w:val="d MMMM yyyy"/>
          <w:lid w:val="en-AU"/>
          <w:storeMappedDataAs w:val="dateTime"/>
          <w:calendar w:val="gregorian"/>
        </w:date>
      </w:sdtPr>
      <w:sdtEndPr/>
      <w:sdtContent>
        <w:r w:rsidR="00536135" w:rsidRPr="007D7202">
          <w:rPr>
            <w:szCs w:val="15"/>
            <w:lang w:eastAsia="en-AU"/>
          </w:rPr>
          <w:t>21 December 2022</w:t>
        </w:r>
      </w:sdtContent>
    </w:sdt>
    <w:r w:rsidRPr="008A55C6">
      <w:ptab w:relativeTo="margin" w:alignment="right" w:leader="none"/>
    </w:r>
    <w:r w:rsidRPr="008A55C6">
      <w:t>|</w:t>
    </w:r>
    <w:r>
      <w:t xml:space="preserve"> </w:t>
    </w:r>
    <w:r>
      <w:fldChar w:fldCharType="begin"/>
    </w:r>
    <w:r>
      <w:instrText xml:space="preserve"> PAGE  \* Arabic  \* MERGEFORMAT </w:instrText>
    </w:r>
    <w:r>
      <w:fldChar w:fldCharType="separate"/>
    </w:r>
    <w:r>
      <w:t>18</w:t>
    </w:r>
    <w:r>
      <w:fldChar w:fldCharType="end"/>
    </w:r>
    <w:r>
      <w:t xml:space="preserve"> </w:t>
    </w:r>
    <w:r w:rsidRPr="008A55C6">
      <w:t>|</w:t>
    </w:r>
    <w:r w:rsidRPr="00FD4AB1">
      <w:rPr>
        <w:rFonts w:ascii="Segoe UI Semibold" w:hAnsi="Segoe UI Semibold" w:cs="Segoe UI"/>
        <w:color w:val="A5A5A5"/>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D0311B" w14:textId="454BBBA6" w:rsidR="00FF7E9B" w:rsidRDefault="00405A8F" w:rsidP="007A7B9F">
      <w:pPr>
        <w:spacing w:after="0"/>
      </w:pPr>
      <w:r>
        <w:separator/>
      </w:r>
    </w:p>
  </w:footnote>
  <w:footnote w:type="continuationSeparator" w:id="0">
    <w:p w14:paraId="590EB9EE" w14:textId="77777777" w:rsidR="00405A8F" w:rsidRDefault="00405A8F" w:rsidP="00302076">
      <w:pPr>
        <w:spacing w:after="0"/>
      </w:pPr>
      <w:r>
        <w:continuationSeparator/>
      </w:r>
    </w:p>
    <w:p w14:paraId="7BCD7A50" w14:textId="77777777" w:rsidR="00FF7E9B" w:rsidRDefault="00FF7E9B"/>
  </w:footnote>
  <w:footnote w:type="continuationNotice" w:id="1">
    <w:p w14:paraId="01ED4B38" w14:textId="77777777" w:rsidR="00405A8F" w:rsidRDefault="00405A8F">
      <w:pPr>
        <w:spacing w:after="0"/>
      </w:pPr>
    </w:p>
    <w:p w14:paraId="36EE6EF1" w14:textId="77777777" w:rsidR="00FF7E9B" w:rsidRDefault="00FF7E9B"/>
  </w:footnote>
  <w:footnote w:id="2">
    <w:p w14:paraId="7536FA09" w14:textId="77777777" w:rsidR="00013624" w:rsidRPr="0026704B" w:rsidRDefault="00013624" w:rsidP="00013624">
      <w:pPr>
        <w:pStyle w:val="FootnoteText"/>
        <w:rPr>
          <w:szCs w:val="13"/>
        </w:rPr>
      </w:pPr>
      <w:r w:rsidRPr="0026704B">
        <w:rPr>
          <w:rStyle w:val="FootnoteReference"/>
          <w:szCs w:val="13"/>
        </w:rPr>
        <w:footnoteRef/>
      </w:r>
      <w:r w:rsidRPr="0026704B">
        <w:rPr>
          <w:szCs w:val="13"/>
        </w:rPr>
        <w:t xml:space="preserve"> Beyond Blue. ‘The Way Back Support Service Implementation and Procurement Guide’. March 2020.</w:t>
      </w:r>
    </w:p>
  </w:footnote>
  <w:footnote w:id="3">
    <w:p w14:paraId="37193AFC" w14:textId="51BAD8A1" w:rsidR="00B60899" w:rsidRPr="0026704B" w:rsidRDefault="00B60899">
      <w:pPr>
        <w:pStyle w:val="FootnoteText"/>
        <w:rPr>
          <w:szCs w:val="13"/>
        </w:rPr>
      </w:pPr>
      <w:r w:rsidRPr="0026704B">
        <w:rPr>
          <w:rStyle w:val="FootnoteReference"/>
          <w:szCs w:val="13"/>
        </w:rPr>
        <w:footnoteRef/>
      </w:r>
      <w:r w:rsidRPr="0026704B">
        <w:rPr>
          <w:szCs w:val="13"/>
        </w:rPr>
        <w:t xml:space="preserve"> </w:t>
      </w:r>
      <w:r w:rsidR="00C260BF" w:rsidRPr="0026704B">
        <w:rPr>
          <w:szCs w:val="13"/>
        </w:rPr>
        <w:t>Australian Department of Health. 2019. Key Concepts. Retrieved from:</w:t>
      </w:r>
      <w:r w:rsidR="00D77D2C" w:rsidRPr="0026704B">
        <w:rPr>
          <w:szCs w:val="13"/>
        </w:rPr>
        <w:t xml:space="preserve"> https://docs.pmhc-mds.com/projects/data-specification-wayback/en/v3/data-specification/key-concepts.html</w:t>
      </w:r>
    </w:p>
  </w:footnote>
  <w:footnote w:id="4">
    <w:p w14:paraId="59233284" w14:textId="2EFE7032" w:rsidR="00013624" w:rsidRPr="0026704B" w:rsidRDefault="00013624" w:rsidP="00013624">
      <w:pPr>
        <w:pStyle w:val="FootnoteText"/>
        <w:rPr>
          <w:szCs w:val="13"/>
        </w:rPr>
      </w:pPr>
      <w:r w:rsidRPr="0026704B">
        <w:rPr>
          <w:rStyle w:val="FootnoteReference"/>
          <w:szCs w:val="13"/>
        </w:rPr>
        <w:footnoteRef/>
      </w:r>
      <w:r w:rsidRPr="0026704B">
        <w:rPr>
          <w:szCs w:val="13"/>
        </w:rPr>
        <w:t xml:space="preserve"> Gill </w:t>
      </w:r>
      <w:proofErr w:type="spellStart"/>
      <w:r w:rsidRPr="0026704B">
        <w:rPr>
          <w:szCs w:val="13"/>
        </w:rPr>
        <w:t>Westhorp</w:t>
      </w:r>
      <w:proofErr w:type="spellEnd"/>
      <w:r w:rsidR="00380B63" w:rsidRPr="0026704B">
        <w:rPr>
          <w:szCs w:val="13"/>
        </w:rPr>
        <w:t xml:space="preserve">, </w:t>
      </w:r>
      <w:r w:rsidRPr="0026704B">
        <w:rPr>
          <w:szCs w:val="13"/>
        </w:rPr>
        <w:t xml:space="preserve">2014, ‘Realist Impact evaluation: an introduction,’ Retrieved from: </w:t>
      </w:r>
      <w:hyperlink r:id="rId1" w:history="1">
        <w:r w:rsidRPr="0026704B">
          <w:rPr>
            <w:rStyle w:val="Hyperlink"/>
            <w:szCs w:val="13"/>
          </w:rPr>
          <w:t>cdn.odi.org/media/documents/9138.pdf</w:t>
        </w:r>
      </w:hyperlink>
      <w:r w:rsidRPr="0026704B">
        <w:rPr>
          <w:szCs w:val="13"/>
        </w:rPr>
        <w:t xml:space="preserve"> </w:t>
      </w:r>
    </w:p>
  </w:footnote>
  <w:footnote w:id="5">
    <w:p w14:paraId="3655C68C" w14:textId="77777777" w:rsidR="00013624" w:rsidRPr="0026704B" w:rsidRDefault="00013624" w:rsidP="00013624">
      <w:pPr>
        <w:pStyle w:val="FootnoteText"/>
        <w:rPr>
          <w:szCs w:val="13"/>
        </w:rPr>
      </w:pPr>
      <w:r w:rsidRPr="0026704B">
        <w:rPr>
          <w:rStyle w:val="FootnoteReference"/>
          <w:szCs w:val="13"/>
        </w:rPr>
        <w:footnoteRef/>
      </w:r>
      <w:r w:rsidRPr="0026704B">
        <w:rPr>
          <w:szCs w:val="13"/>
        </w:rPr>
        <w:t xml:space="preserve"> Australian Department of Health. Primary Mental Health Care Minimum Data set’, Retrieved from: https://pmhc-mds.com/index.html</w:t>
      </w:r>
    </w:p>
  </w:footnote>
  <w:footnote w:id="6">
    <w:p w14:paraId="13AEC579" w14:textId="77777777" w:rsidR="00013624" w:rsidRPr="0026704B" w:rsidRDefault="00013624" w:rsidP="00013624">
      <w:pPr>
        <w:pStyle w:val="FootnoteText"/>
        <w:rPr>
          <w:szCs w:val="13"/>
        </w:rPr>
      </w:pPr>
      <w:r w:rsidRPr="0026704B">
        <w:rPr>
          <w:rStyle w:val="FootnoteReference"/>
          <w:szCs w:val="13"/>
        </w:rPr>
        <w:footnoteRef/>
      </w:r>
      <w:r w:rsidRPr="0026704B">
        <w:rPr>
          <w:szCs w:val="13"/>
        </w:rPr>
        <w:t xml:space="preserve"> Beyond Blue. ‘The Way Back Support Service Implementation and Procurement Guide’. March 2020.</w:t>
      </w:r>
    </w:p>
  </w:footnote>
  <w:footnote w:id="7">
    <w:p w14:paraId="695B6F3B" w14:textId="094CC837" w:rsidR="00672FC3" w:rsidRPr="0026704B" w:rsidRDefault="00672FC3">
      <w:pPr>
        <w:pStyle w:val="FootnoteText"/>
        <w:rPr>
          <w:szCs w:val="13"/>
        </w:rPr>
      </w:pPr>
      <w:r w:rsidRPr="0026704B">
        <w:rPr>
          <w:rStyle w:val="FootnoteReference"/>
          <w:szCs w:val="13"/>
        </w:rPr>
        <w:footnoteRef/>
      </w:r>
      <w:r w:rsidRPr="0026704B">
        <w:rPr>
          <w:szCs w:val="13"/>
        </w:rPr>
        <w:t xml:space="preserve"> Australian Institute of Health and Welfare. 2013. ‘Development of prototype Australian Mental Health Intervention Classification. Retrieved from: https://www.aihw.gov.au/getmedia/fa0ddf08-c8f1-4623-8217-b65ff1290826/15389.pdf.aspx?inline=true</w:t>
      </w:r>
    </w:p>
  </w:footnote>
  <w:footnote w:id="8">
    <w:p w14:paraId="32DA79EA" w14:textId="77777777" w:rsidR="00672FC3" w:rsidRPr="0026704B" w:rsidRDefault="00672FC3" w:rsidP="00013624">
      <w:pPr>
        <w:pStyle w:val="FootnoteText"/>
        <w:rPr>
          <w:szCs w:val="13"/>
        </w:rPr>
      </w:pPr>
      <w:r w:rsidRPr="0026704B">
        <w:rPr>
          <w:rStyle w:val="FootnoteReference"/>
          <w:szCs w:val="13"/>
        </w:rPr>
        <w:footnoteRef/>
      </w:r>
      <w:r w:rsidRPr="0026704B">
        <w:rPr>
          <w:szCs w:val="13"/>
        </w:rPr>
        <w:t xml:space="preserve"> Australian Institute of Health and Welfare. 2022. ‘Psychosocial services’, Retrieved from: https://meteor.aihw.gov.au/content/522999</w:t>
      </w:r>
    </w:p>
  </w:footnote>
  <w:footnote w:id="9">
    <w:p w14:paraId="75FB2969" w14:textId="06EFE689" w:rsidR="00672FC3" w:rsidRPr="0026704B" w:rsidRDefault="00672FC3">
      <w:pPr>
        <w:pStyle w:val="FootnoteText"/>
        <w:rPr>
          <w:szCs w:val="13"/>
        </w:rPr>
      </w:pPr>
      <w:r w:rsidRPr="0026704B">
        <w:rPr>
          <w:rStyle w:val="FootnoteReference"/>
          <w:szCs w:val="13"/>
        </w:rPr>
        <w:footnoteRef/>
      </w:r>
      <w:r w:rsidRPr="0026704B">
        <w:rPr>
          <w:szCs w:val="13"/>
        </w:rPr>
        <w:t xml:space="preserve"> PMHC MDS Working Group Division. 2019. ‘Data model </w:t>
      </w:r>
      <w:proofErr w:type="gramStart"/>
      <w:r w:rsidRPr="0026704B">
        <w:rPr>
          <w:szCs w:val="13"/>
        </w:rPr>
        <w:t>specifications’</w:t>
      </w:r>
      <w:proofErr w:type="gramEnd"/>
      <w:r w:rsidRPr="0026704B">
        <w:rPr>
          <w:szCs w:val="13"/>
        </w:rPr>
        <w:t>. Retrieved from: https://strategic-data-pty-ltd-docspmhc-mdscom.readthedocs-hosted.com/projects/data-specification/en/v2/data-model-and-specifications.html#service-contact</w:t>
      </w:r>
    </w:p>
  </w:footnote>
  <w:footnote w:id="10">
    <w:p w14:paraId="0AE33A1B" w14:textId="72015EE8" w:rsidR="00672FC3" w:rsidRPr="0026704B" w:rsidRDefault="00672FC3">
      <w:pPr>
        <w:pStyle w:val="FootnoteText"/>
        <w:rPr>
          <w:szCs w:val="13"/>
        </w:rPr>
      </w:pPr>
      <w:r w:rsidRPr="0026704B">
        <w:rPr>
          <w:rStyle w:val="FootnoteReference"/>
          <w:szCs w:val="13"/>
        </w:rPr>
        <w:footnoteRef/>
      </w:r>
      <w:r w:rsidRPr="0026704B">
        <w:rPr>
          <w:szCs w:val="13"/>
        </w:rPr>
        <w:t xml:space="preserve"> Productivity Commission. 2020. Productivity Commission Inquiry Report: Volume 2. 30 June 2020</w:t>
      </w:r>
    </w:p>
  </w:footnote>
  <w:footnote w:id="11">
    <w:p w14:paraId="1CF95C76" w14:textId="77777777" w:rsidR="008A3B7E" w:rsidRPr="0026704B" w:rsidRDefault="008A3B7E" w:rsidP="00FF0077">
      <w:pPr>
        <w:pStyle w:val="FootnoteText"/>
        <w:rPr>
          <w:szCs w:val="13"/>
        </w:rPr>
      </w:pPr>
      <w:r w:rsidRPr="0026704B">
        <w:rPr>
          <w:rStyle w:val="FootnoteReference"/>
          <w:szCs w:val="13"/>
        </w:rPr>
        <w:footnoteRef/>
      </w:r>
      <w:r w:rsidRPr="0026704B">
        <w:rPr>
          <w:szCs w:val="13"/>
        </w:rPr>
        <w:t xml:space="preserve"> Beyond Blue, ‘The Way Back Support Service - Service delivery Model’, March 2020.</w:t>
      </w:r>
    </w:p>
  </w:footnote>
  <w:footnote w:id="12">
    <w:p w14:paraId="20589BE6" w14:textId="2DA12B7A" w:rsidR="008E2254" w:rsidRPr="0026704B" w:rsidRDefault="008E2254">
      <w:pPr>
        <w:pStyle w:val="FootnoteText"/>
        <w:rPr>
          <w:szCs w:val="13"/>
        </w:rPr>
      </w:pPr>
      <w:r w:rsidRPr="0026704B">
        <w:rPr>
          <w:rStyle w:val="FootnoteReference"/>
          <w:szCs w:val="13"/>
        </w:rPr>
        <w:footnoteRef/>
      </w:r>
      <w:r w:rsidRPr="0026704B">
        <w:rPr>
          <w:szCs w:val="13"/>
        </w:rPr>
        <w:t xml:space="preserve"> Beyond Blue, ‘The Way Back Support Service: aftercare following attempted suicide; 2018-19 Budget Proposal, January 2018.</w:t>
      </w:r>
    </w:p>
  </w:footnote>
  <w:footnote w:id="13">
    <w:p w14:paraId="2FE23EE9" w14:textId="3B3513D6" w:rsidR="001F3203" w:rsidRPr="0026704B" w:rsidRDefault="001F3203">
      <w:pPr>
        <w:pStyle w:val="FootnoteText"/>
        <w:rPr>
          <w:szCs w:val="13"/>
        </w:rPr>
      </w:pPr>
      <w:r w:rsidRPr="0026704B">
        <w:rPr>
          <w:rStyle w:val="FootnoteReference"/>
          <w:szCs w:val="13"/>
        </w:rPr>
        <w:footnoteRef/>
      </w:r>
      <w:r w:rsidRPr="0026704B">
        <w:rPr>
          <w:szCs w:val="13"/>
        </w:rPr>
        <w:t xml:space="preserve"> </w:t>
      </w:r>
      <w:r w:rsidR="00401E70" w:rsidRPr="0026704B">
        <w:rPr>
          <w:szCs w:val="13"/>
        </w:rPr>
        <w:t>D</w:t>
      </w:r>
      <w:r w:rsidR="00266891" w:rsidRPr="0026704B">
        <w:rPr>
          <w:szCs w:val="13"/>
        </w:rPr>
        <w:t xml:space="preserve">ata drawn directly from PMHC MDS </w:t>
      </w:r>
      <w:r w:rsidR="00E03A80" w:rsidRPr="0026704B">
        <w:rPr>
          <w:szCs w:val="13"/>
        </w:rPr>
        <w:t>was interpreted incorrectly in</w:t>
      </w:r>
      <w:r w:rsidR="00401E70" w:rsidRPr="0026704B">
        <w:rPr>
          <w:szCs w:val="13"/>
        </w:rPr>
        <w:t xml:space="preserve"> KPI</w:t>
      </w:r>
      <w:r w:rsidR="007E7F31" w:rsidRPr="0026704B">
        <w:rPr>
          <w:szCs w:val="13"/>
        </w:rPr>
        <w:t xml:space="preserve"> calculations in some</w:t>
      </w:r>
      <w:r w:rsidR="00E03A80" w:rsidRPr="0026704B">
        <w:rPr>
          <w:szCs w:val="13"/>
        </w:rPr>
        <w:t xml:space="preserve"> Quarterly Reports</w:t>
      </w:r>
      <w:r w:rsidR="00401E70" w:rsidRPr="0026704B">
        <w:rPr>
          <w:szCs w:val="13"/>
        </w:rPr>
        <w:t xml:space="preserve"> in some instances</w:t>
      </w:r>
      <w:r w:rsidR="00E03A80" w:rsidRPr="0026704B">
        <w:rPr>
          <w:szCs w:val="13"/>
        </w:rPr>
        <w:t xml:space="preserve">. This evaluation has used PMHC MDS directly to </w:t>
      </w:r>
      <w:r w:rsidR="00330A12" w:rsidRPr="0026704B">
        <w:rPr>
          <w:szCs w:val="13"/>
        </w:rPr>
        <w:t>produce the correct KPI calculations to supplement the Quarterly Reports where required.</w:t>
      </w:r>
    </w:p>
  </w:footnote>
  <w:footnote w:id="14">
    <w:p w14:paraId="1F28EF8E" w14:textId="492DE33E" w:rsidR="00E96C81" w:rsidRPr="0026704B" w:rsidRDefault="00E96C81">
      <w:pPr>
        <w:pStyle w:val="FootnoteText"/>
        <w:rPr>
          <w:szCs w:val="13"/>
        </w:rPr>
      </w:pPr>
      <w:r w:rsidRPr="0026704B">
        <w:rPr>
          <w:rStyle w:val="FootnoteReference"/>
          <w:szCs w:val="13"/>
        </w:rPr>
        <w:footnoteRef/>
      </w:r>
      <w:r w:rsidRPr="0026704B">
        <w:rPr>
          <w:szCs w:val="13"/>
        </w:rPr>
        <w:t xml:space="preserve"> It should be noted </w:t>
      </w:r>
      <w:r w:rsidR="00E60A1B" w:rsidRPr="0026704B">
        <w:rPr>
          <w:szCs w:val="13"/>
        </w:rPr>
        <w:t xml:space="preserve">that it was expected </w:t>
      </w:r>
      <w:r w:rsidR="00BB6D81" w:rsidRPr="0026704B">
        <w:rPr>
          <w:szCs w:val="13"/>
        </w:rPr>
        <w:t xml:space="preserve">that sites derive data for the quarterly reports from the PMHC MDS. However due to upload issues from sites’ CMSs to the PMHC MDS, </w:t>
      </w:r>
      <w:r w:rsidR="0047617B" w:rsidRPr="0026704B">
        <w:rPr>
          <w:szCs w:val="13"/>
        </w:rPr>
        <w:t xml:space="preserve">providers in interviews </w:t>
      </w:r>
      <w:r w:rsidR="002D54EC" w:rsidRPr="0026704B">
        <w:rPr>
          <w:szCs w:val="13"/>
        </w:rPr>
        <w:t xml:space="preserve">indicated </w:t>
      </w:r>
      <w:r w:rsidR="0047617B" w:rsidRPr="0026704B">
        <w:rPr>
          <w:szCs w:val="13"/>
        </w:rPr>
        <w:t xml:space="preserve">that </w:t>
      </w:r>
      <w:r w:rsidR="002D54EC" w:rsidRPr="0026704B">
        <w:rPr>
          <w:szCs w:val="13"/>
        </w:rPr>
        <w:t>PMHC MDS was not the most accurate representation of site activity. As such</w:t>
      </w:r>
      <w:r w:rsidR="00900033" w:rsidRPr="0026704B">
        <w:rPr>
          <w:szCs w:val="13"/>
        </w:rPr>
        <w:t>,</w:t>
      </w:r>
      <w:r w:rsidR="002D54EC" w:rsidRPr="0026704B">
        <w:rPr>
          <w:szCs w:val="13"/>
        </w:rPr>
        <w:t xml:space="preserve"> sites derived data </w:t>
      </w:r>
      <w:r w:rsidR="0047617B" w:rsidRPr="0026704B">
        <w:rPr>
          <w:szCs w:val="13"/>
        </w:rPr>
        <w:t xml:space="preserve">directly from their CMSs (as an example) as this more </w:t>
      </w:r>
      <w:r w:rsidR="002D54EC" w:rsidRPr="0026704B">
        <w:rPr>
          <w:szCs w:val="13"/>
        </w:rPr>
        <w:t xml:space="preserve">accurately represented </w:t>
      </w:r>
      <w:r w:rsidR="0047617B" w:rsidRPr="0026704B">
        <w:rPr>
          <w:szCs w:val="13"/>
        </w:rPr>
        <w:t xml:space="preserve">their </w:t>
      </w:r>
      <w:r w:rsidR="002D54EC" w:rsidRPr="0026704B">
        <w:rPr>
          <w:szCs w:val="13"/>
        </w:rPr>
        <w:t>site</w:t>
      </w:r>
      <w:r w:rsidR="0047617B" w:rsidRPr="0026704B">
        <w:rPr>
          <w:szCs w:val="13"/>
        </w:rPr>
        <w:t>’s activities.</w:t>
      </w:r>
    </w:p>
  </w:footnote>
  <w:footnote w:id="15">
    <w:p w14:paraId="117E7EEB" w14:textId="30285C8A" w:rsidR="00891945" w:rsidRPr="0026704B" w:rsidRDefault="00891945" w:rsidP="00FF0077">
      <w:pPr>
        <w:pStyle w:val="FootnoteText"/>
        <w:rPr>
          <w:szCs w:val="13"/>
        </w:rPr>
      </w:pPr>
      <w:r w:rsidRPr="0026704B">
        <w:rPr>
          <w:rStyle w:val="FootnoteReference"/>
          <w:szCs w:val="13"/>
        </w:rPr>
        <w:footnoteRef/>
      </w:r>
      <w:r w:rsidR="00541ADA" w:rsidRPr="0026704B">
        <w:rPr>
          <w:szCs w:val="13"/>
        </w:rPr>
        <w:t xml:space="preserve"> The Way Back did not collect the details of support people, nor </w:t>
      </w:r>
      <w:r w:rsidR="00A979DA" w:rsidRPr="0026704B">
        <w:rPr>
          <w:szCs w:val="13"/>
        </w:rPr>
        <w:t>did</w:t>
      </w:r>
      <w:r w:rsidR="00541ADA" w:rsidRPr="0026704B">
        <w:rPr>
          <w:szCs w:val="13"/>
        </w:rPr>
        <w:t xml:space="preserve"> they collect the permissions to contact support persons as part of the evaluation. Nous sought to capture support person input via a survey and interviews, but there was limited input. </w:t>
      </w:r>
    </w:p>
  </w:footnote>
  <w:footnote w:id="16">
    <w:p w14:paraId="478A3527" w14:textId="2319DF1A" w:rsidR="00CC46E4" w:rsidRPr="0026704B" w:rsidRDefault="00CC46E4" w:rsidP="00CC46E4">
      <w:pPr>
        <w:pStyle w:val="FootnoteText"/>
        <w:rPr>
          <w:szCs w:val="13"/>
        </w:rPr>
      </w:pPr>
      <w:r w:rsidRPr="0026704B">
        <w:rPr>
          <w:rStyle w:val="FootnoteReference"/>
          <w:szCs w:val="13"/>
        </w:rPr>
        <w:footnoteRef/>
      </w:r>
      <w:r w:rsidRPr="0026704B">
        <w:rPr>
          <w:szCs w:val="13"/>
        </w:rPr>
        <w:t xml:space="preserve"> </w:t>
      </w:r>
      <w:r w:rsidR="00320DBA" w:rsidRPr="0026704B">
        <w:rPr>
          <w:szCs w:val="13"/>
        </w:rPr>
        <w:t xml:space="preserve">Department of Health and Aged Care. 2020. </w:t>
      </w:r>
      <w:r w:rsidR="00320DBA" w:rsidRPr="0026704B">
        <w:rPr>
          <w:i/>
          <w:iCs/>
          <w:szCs w:val="13"/>
        </w:rPr>
        <w:t xml:space="preserve">Suicide prevention and </w:t>
      </w:r>
      <w:r w:rsidR="005F6EE4" w:rsidRPr="0026704B">
        <w:rPr>
          <w:i/>
          <w:iCs/>
          <w:szCs w:val="13"/>
        </w:rPr>
        <w:t>mental</w:t>
      </w:r>
      <w:r w:rsidR="00320DBA" w:rsidRPr="0026704B">
        <w:rPr>
          <w:i/>
          <w:iCs/>
          <w:szCs w:val="13"/>
        </w:rPr>
        <w:t xml:space="preserve"> health package signals once in a generation </w:t>
      </w:r>
      <w:proofErr w:type="gramStart"/>
      <w:r w:rsidR="00320DBA" w:rsidRPr="0026704B">
        <w:rPr>
          <w:i/>
          <w:iCs/>
          <w:szCs w:val="13"/>
        </w:rPr>
        <w:t>reforms</w:t>
      </w:r>
      <w:proofErr w:type="gramEnd"/>
      <w:r w:rsidR="00320DBA" w:rsidRPr="0026704B">
        <w:rPr>
          <w:i/>
          <w:iCs/>
          <w:szCs w:val="13"/>
        </w:rPr>
        <w:t xml:space="preserve">. </w:t>
      </w:r>
      <w:r w:rsidR="002A06EB" w:rsidRPr="0026704B">
        <w:rPr>
          <w:szCs w:val="13"/>
        </w:rPr>
        <w:t xml:space="preserve">Retrieved from: </w:t>
      </w:r>
      <w:r w:rsidRPr="0026704B">
        <w:rPr>
          <w:szCs w:val="13"/>
        </w:rPr>
        <w:t>https://www.health.gov.au/ministers/the-hon-greg-hunt-mp/media/suicide-prevention-and-mental-health-package-signals-once-in-a-generation-reforms</w:t>
      </w:r>
    </w:p>
  </w:footnote>
  <w:footnote w:id="17">
    <w:p w14:paraId="4404B84F" w14:textId="2442B342" w:rsidR="00A3734C" w:rsidRPr="0026704B" w:rsidRDefault="00A3734C" w:rsidP="00A3734C">
      <w:pPr>
        <w:pStyle w:val="FootnoteText"/>
        <w:rPr>
          <w:szCs w:val="13"/>
        </w:rPr>
      </w:pPr>
      <w:r w:rsidRPr="0026704B">
        <w:rPr>
          <w:rStyle w:val="FootnoteReference"/>
          <w:szCs w:val="13"/>
        </w:rPr>
        <w:footnoteRef/>
      </w:r>
      <w:r w:rsidRPr="0026704B">
        <w:rPr>
          <w:szCs w:val="13"/>
        </w:rPr>
        <w:t xml:space="preserve"> Productivity Commission</w:t>
      </w:r>
      <w:r w:rsidR="000A3FFA" w:rsidRPr="0026704B">
        <w:rPr>
          <w:szCs w:val="13"/>
        </w:rPr>
        <w:t xml:space="preserve">. </w:t>
      </w:r>
      <w:r w:rsidRPr="0026704B">
        <w:rPr>
          <w:szCs w:val="13"/>
        </w:rPr>
        <w:t>2020, Mental Health, Report no. 95, Canberra</w:t>
      </w:r>
      <w:r w:rsidR="00126711" w:rsidRPr="0026704B">
        <w:rPr>
          <w:szCs w:val="13"/>
        </w:rPr>
        <w:t>, p.432</w:t>
      </w:r>
    </w:p>
  </w:footnote>
  <w:footnote w:id="18">
    <w:p w14:paraId="04D7DBCB" w14:textId="44EDBC43" w:rsidR="00126711" w:rsidRPr="0026704B" w:rsidRDefault="00126711">
      <w:pPr>
        <w:pStyle w:val="FootnoteText"/>
        <w:rPr>
          <w:szCs w:val="13"/>
        </w:rPr>
      </w:pPr>
      <w:r w:rsidRPr="0026704B">
        <w:rPr>
          <w:rStyle w:val="FootnoteReference"/>
          <w:szCs w:val="13"/>
        </w:rPr>
        <w:footnoteRef/>
      </w:r>
      <w:r w:rsidRPr="0026704B">
        <w:rPr>
          <w:szCs w:val="13"/>
        </w:rPr>
        <w:t xml:space="preserve"> </w:t>
      </w:r>
      <w:r w:rsidR="004F545F" w:rsidRPr="0026704B">
        <w:rPr>
          <w:szCs w:val="13"/>
        </w:rPr>
        <w:t xml:space="preserve">Department of Health and Aged Care. 2020. </w:t>
      </w:r>
      <w:r w:rsidR="004F545F" w:rsidRPr="0026704B">
        <w:rPr>
          <w:i/>
          <w:szCs w:val="13"/>
        </w:rPr>
        <w:t>National Suicide Prevention Adviser – final advice</w:t>
      </w:r>
      <w:r w:rsidR="004F545F" w:rsidRPr="0026704B">
        <w:rPr>
          <w:i/>
          <w:iCs/>
          <w:szCs w:val="13"/>
        </w:rPr>
        <w:t>.</w:t>
      </w:r>
      <w:r w:rsidR="00EA00C4" w:rsidRPr="0026704B">
        <w:rPr>
          <w:i/>
          <w:iCs/>
          <w:szCs w:val="13"/>
        </w:rPr>
        <w:t xml:space="preserve"> </w:t>
      </w:r>
      <w:r w:rsidR="00EA00C4" w:rsidRPr="0026704B">
        <w:rPr>
          <w:szCs w:val="13"/>
        </w:rPr>
        <w:t>Retrieved from: https://www.health.gov.au/sites/default/files/documents/2021/05/national-suicide-prevention-adviser-final-advice-connected-and-compassionate.pdf</w:t>
      </w:r>
    </w:p>
  </w:footnote>
  <w:footnote w:id="19">
    <w:p w14:paraId="74544B07" w14:textId="639B6973" w:rsidR="006C263E" w:rsidRPr="0026704B" w:rsidRDefault="006C263E">
      <w:pPr>
        <w:pStyle w:val="FootnoteText"/>
        <w:rPr>
          <w:szCs w:val="13"/>
        </w:rPr>
      </w:pPr>
      <w:r w:rsidRPr="0026704B">
        <w:rPr>
          <w:rStyle w:val="FootnoteReference"/>
          <w:szCs w:val="13"/>
        </w:rPr>
        <w:footnoteRef/>
      </w:r>
      <w:r w:rsidRPr="0026704B">
        <w:rPr>
          <w:szCs w:val="13"/>
        </w:rPr>
        <w:t xml:space="preserve"> </w:t>
      </w:r>
      <w:r w:rsidR="00F840E3" w:rsidRPr="0026704B">
        <w:rPr>
          <w:szCs w:val="13"/>
        </w:rPr>
        <w:t>Australian Governmen</w:t>
      </w:r>
      <w:r w:rsidR="000A3FFA" w:rsidRPr="0026704B">
        <w:rPr>
          <w:szCs w:val="13"/>
        </w:rPr>
        <w:t>t. 2021</w:t>
      </w:r>
      <w:r w:rsidR="00B65A4C" w:rsidRPr="0026704B">
        <w:rPr>
          <w:szCs w:val="13"/>
        </w:rPr>
        <w:t>.</w:t>
      </w:r>
      <w:r w:rsidR="005A25B6" w:rsidRPr="0026704B">
        <w:rPr>
          <w:szCs w:val="13"/>
        </w:rPr>
        <w:t xml:space="preserve"> National Mental Health and Suicide Prevention Plan. Retrieved from: https://www.health.gov.au/sites/default/files/documents/2021/05/the-australian-government-s-national-mental-health-and-suicide-prevention-plan-national-mental-health-and-suicide-prevention-plan.pdf</w:t>
      </w:r>
    </w:p>
  </w:footnote>
  <w:footnote w:id="20">
    <w:p w14:paraId="4A944ACB" w14:textId="062A9610" w:rsidR="00B65A4C" w:rsidRPr="0026704B" w:rsidRDefault="00B65A4C">
      <w:pPr>
        <w:pStyle w:val="FootnoteText"/>
        <w:rPr>
          <w:szCs w:val="13"/>
        </w:rPr>
      </w:pPr>
      <w:r w:rsidRPr="0026704B">
        <w:rPr>
          <w:rStyle w:val="FootnoteReference"/>
          <w:szCs w:val="13"/>
        </w:rPr>
        <w:footnoteRef/>
      </w:r>
      <w:r w:rsidRPr="0026704B">
        <w:rPr>
          <w:szCs w:val="13"/>
        </w:rPr>
        <w:t xml:space="preserve"> </w:t>
      </w:r>
      <w:r w:rsidR="005A25B6" w:rsidRPr="0026704B">
        <w:rPr>
          <w:szCs w:val="13"/>
        </w:rPr>
        <w:t>Australian Government. 2021. National Mental Health and Suicide Prevention Plan. Retrieved from: https://www.health.gov.au/sites/default/files/documents/2021/05/the-australian-government-s-national-mental-health-and-suicide-prevention-plan-national-mental-health-and-suicide-prevention-plan.pdf</w:t>
      </w:r>
    </w:p>
  </w:footnote>
  <w:footnote w:id="21">
    <w:p w14:paraId="3286D1B2" w14:textId="77777777" w:rsidR="00BA54EE" w:rsidRPr="0026704B" w:rsidRDefault="00BA54EE" w:rsidP="00BA54EE">
      <w:pPr>
        <w:pStyle w:val="FootnoteText"/>
        <w:rPr>
          <w:szCs w:val="13"/>
        </w:rPr>
      </w:pPr>
      <w:r w:rsidRPr="0026704B">
        <w:rPr>
          <w:rStyle w:val="FootnoteReference"/>
          <w:szCs w:val="13"/>
        </w:rPr>
        <w:footnoteRef/>
      </w:r>
      <w:r w:rsidRPr="0026704B">
        <w:rPr>
          <w:szCs w:val="13"/>
        </w:rPr>
        <w:t xml:space="preserve"> Commonwealth of Australia (2021), Department of Health, National Mental Health and Suicide Prevention Plan https://www.health.gov.au/sites/default/files/documents/2021/05/the-australian-government-s-national-mental-health-and-suicide-prevention-plan-national-mental-health-and-suicide-prevention-plan.pdf</w:t>
      </w:r>
    </w:p>
  </w:footnote>
  <w:footnote w:id="22">
    <w:p w14:paraId="031B6DFD" w14:textId="3AC9895B" w:rsidR="00AF3F50" w:rsidRPr="0026704B" w:rsidRDefault="00AF3F50" w:rsidP="00FF0077">
      <w:pPr>
        <w:pStyle w:val="FootnoteText"/>
        <w:rPr>
          <w:szCs w:val="13"/>
        </w:rPr>
      </w:pPr>
      <w:r w:rsidRPr="0026704B">
        <w:rPr>
          <w:rStyle w:val="FootnoteReference"/>
          <w:szCs w:val="13"/>
        </w:rPr>
        <w:footnoteRef/>
      </w:r>
      <w:r w:rsidRPr="0026704B">
        <w:rPr>
          <w:szCs w:val="13"/>
        </w:rPr>
        <w:t xml:space="preserve"> Parliament of Australia, ‘Health in Australia: a quick guide’, August 2018. </w:t>
      </w:r>
    </w:p>
  </w:footnote>
  <w:footnote w:id="23">
    <w:p w14:paraId="111FF508" w14:textId="074C2F6C" w:rsidR="00031968" w:rsidRPr="0026704B" w:rsidRDefault="00031968">
      <w:pPr>
        <w:pStyle w:val="FootnoteText"/>
        <w:rPr>
          <w:szCs w:val="13"/>
        </w:rPr>
      </w:pPr>
      <w:r w:rsidRPr="0026704B">
        <w:rPr>
          <w:rStyle w:val="FootnoteReference"/>
          <w:szCs w:val="13"/>
        </w:rPr>
        <w:footnoteRef/>
      </w:r>
      <w:r w:rsidRPr="0026704B">
        <w:rPr>
          <w:szCs w:val="13"/>
        </w:rPr>
        <w:t xml:space="preserve"> </w:t>
      </w:r>
      <w:r w:rsidR="00D062F6" w:rsidRPr="0026704B">
        <w:rPr>
          <w:szCs w:val="13"/>
        </w:rPr>
        <w:t xml:space="preserve">Country SA PHN. 2020. </w:t>
      </w:r>
      <w:r w:rsidR="00D3546B" w:rsidRPr="0026704B">
        <w:rPr>
          <w:i/>
          <w:iCs/>
          <w:szCs w:val="13"/>
        </w:rPr>
        <w:t xml:space="preserve">Evaluation of an Aftercare Service Model in </w:t>
      </w:r>
      <w:proofErr w:type="gramStart"/>
      <w:r w:rsidR="00D3546B" w:rsidRPr="0026704B">
        <w:rPr>
          <w:i/>
          <w:iCs/>
          <w:szCs w:val="13"/>
        </w:rPr>
        <w:t>a</w:t>
      </w:r>
      <w:proofErr w:type="gramEnd"/>
      <w:r w:rsidR="00D3546B" w:rsidRPr="0026704B">
        <w:rPr>
          <w:i/>
          <w:iCs/>
          <w:szCs w:val="13"/>
        </w:rPr>
        <w:t xml:space="preserve"> Aboriginal Community Controlled Health Organisation. </w:t>
      </w:r>
      <w:r w:rsidR="00D3546B" w:rsidRPr="0026704B">
        <w:rPr>
          <w:szCs w:val="13"/>
        </w:rPr>
        <w:t>Retrieved from: https://www.countrysaphn.com.au/wp-content/uploads/2021/05/CSAPHN_Evaluation-Report_V4.pdf.</w:t>
      </w:r>
    </w:p>
  </w:footnote>
  <w:footnote w:id="24">
    <w:p w14:paraId="54B56690" w14:textId="756122E1" w:rsidR="0021064F" w:rsidRPr="0026704B" w:rsidRDefault="0021064F" w:rsidP="00FF0077">
      <w:pPr>
        <w:pStyle w:val="FootnoteText"/>
        <w:rPr>
          <w:szCs w:val="13"/>
        </w:rPr>
      </w:pPr>
      <w:r w:rsidRPr="0026704B">
        <w:rPr>
          <w:rStyle w:val="FootnoteReference"/>
          <w:szCs w:val="13"/>
        </w:rPr>
        <w:footnoteRef/>
      </w:r>
      <w:r w:rsidRPr="0026704B">
        <w:rPr>
          <w:szCs w:val="13"/>
        </w:rPr>
        <w:t xml:space="preserve"> </w:t>
      </w:r>
      <w:r w:rsidR="00A03B68" w:rsidRPr="0026704B">
        <w:rPr>
          <w:szCs w:val="13"/>
        </w:rPr>
        <w:t xml:space="preserve">Beyond Blue, ‘The Way Back Support Service – Service Delivery Model’, March 2020. </w:t>
      </w:r>
    </w:p>
  </w:footnote>
  <w:footnote w:id="25">
    <w:p w14:paraId="651944EB" w14:textId="4F3C796A" w:rsidR="009D71BF" w:rsidRPr="0026704B" w:rsidRDefault="009D71BF">
      <w:pPr>
        <w:pStyle w:val="FootnoteText"/>
        <w:rPr>
          <w:szCs w:val="13"/>
        </w:rPr>
      </w:pPr>
      <w:r w:rsidRPr="0026704B">
        <w:rPr>
          <w:rStyle w:val="FootnoteReference"/>
          <w:szCs w:val="13"/>
        </w:rPr>
        <w:footnoteRef/>
      </w:r>
      <w:r w:rsidRPr="0026704B">
        <w:rPr>
          <w:szCs w:val="13"/>
        </w:rPr>
        <w:t xml:space="preserve"> Beyond Blue. ‘The Way Back Support Service Implementation and Procurement Guide’. March 2020.</w:t>
      </w:r>
    </w:p>
  </w:footnote>
  <w:footnote w:id="26">
    <w:p w14:paraId="20094E87" w14:textId="49818067" w:rsidR="00087D5E" w:rsidRPr="0026704B" w:rsidRDefault="00087D5E">
      <w:pPr>
        <w:pStyle w:val="FootnoteText"/>
        <w:rPr>
          <w:szCs w:val="13"/>
        </w:rPr>
      </w:pPr>
      <w:r w:rsidRPr="0026704B">
        <w:rPr>
          <w:rStyle w:val="FootnoteReference"/>
          <w:szCs w:val="13"/>
        </w:rPr>
        <w:footnoteRef/>
      </w:r>
      <w:r w:rsidRPr="0026704B">
        <w:rPr>
          <w:szCs w:val="13"/>
        </w:rPr>
        <w:t xml:space="preserve"> Beyond Blue. ‘</w:t>
      </w:r>
      <w:r w:rsidR="00B07553" w:rsidRPr="0026704B">
        <w:rPr>
          <w:szCs w:val="13"/>
        </w:rPr>
        <w:t>The Way Back Support Service Implementation and Procurement Guide</w:t>
      </w:r>
      <w:r w:rsidR="00987910" w:rsidRPr="0026704B">
        <w:rPr>
          <w:szCs w:val="13"/>
        </w:rPr>
        <w:t>’. March 2020.</w:t>
      </w:r>
    </w:p>
  </w:footnote>
  <w:footnote w:id="27">
    <w:p w14:paraId="4E2C7C4D" w14:textId="23A7F8DA" w:rsidR="0021064F" w:rsidRPr="0026704B" w:rsidRDefault="0021064F" w:rsidP="00FF0077">
      <w:pPr>
        <w:pStyle w:val="FootnoteText"/>
        <w:rPr>
          <w:szCs w:val="13"/>
        </w:rPr>
      </w:pPr>
      <w:r w:rsidRPr="0026704B">
        <w:rPr>
          <w:rStyle w:val="FootnoteReference"/>
          <w:szCs w:val="13"/>
        </w:rPr>
        <w:footnoteRef/>
      </w:r>
      <w:r w:rsidRPr="0026704B">
        <w:rPr>
          <w:szCs w:val="13"/>
        </w:rPr>
        <w:t xml:space="preserve"> Beyond Blue. ‘The Way Back Support Service: aftercare following attempted suicide – 2018-19 Budget Proposal.’ January 2018. pp. 15-16.</w:t>
      </w:r>
      <w:r w:rsidR="0095657D" w:rsidRPr="0026704B">
        <w:rPr>
          <w:szCs w:val="13"/>
        </w:rPr>
        <w:t xml:space="preserve"> Note that some sites only accept participants with primary criteria due to </w:t>
      </w:r>
      <w:r w:rsidR="00F01653" w:rsidRPr="0026704B">
        <w:rPr>
          <w:szCs w:val="13"/>
        </w:rPr>
        <w:t xml:space="preserve">demand for the service. </w:t>
      </w:r>
    </w:p>
  </w:footnote>
  <w:footnote w:id="28">
    <w:p w14:paraId="1BA97595" w14:textId="77777777" w:rsidR="0021064F" w:rsidRPr="0026704B" w:rsidRDefault="0021064F" w:rsidP="00FF0077">
      <w:pPr>
        <w:pStyle w:val="FootnoteText"/>
        <w:rPr>
          <w:szCs w:val="13"/>
        </w:rPr>
      </w:pPr>
      <w:r w:rsidRPr="0026704B">
        <w:rPr>
          <w:rStyle w:val="FootnoteReference"/>
          <w:szCs w:val="13"/>
        </w:rPr>
        <w:footnoteRef/>
      </w:r>
      <w:r w:rsidRPr="0026704B">
        <w:rPr>
          <w:szCs w:val="13"/>
        </w:rPr>
        <w:t xml:space="preserve"> Depiction based on information captured in Beyond Blue, ‘The Way Back Support Service – Service Delivery Model’, March 2020. </w:t>
      </w:r>
    </w:p>
  </w:footnote>
  <w:footnote w:id="29">
    <w:p w14:paraId="4F10A647" w14:textId="77777777" w:rsidR="0021064F" w:rsidRPr="0026704B" w:rsidRDefault="0021064F" w:rsidP="00FF0077">
      <w:pPr>
        <w:pStyle w:val="FootnoteText"/>
        <w:rPr>
          <w:szCs w:val="13"/>
        </w:rPr>
      </w:pPr>
      <w:r w:rsidRPr="0026704B">
        <w:rPr>
          <w:rStyle w:val="FootnoteReference"/>
          <w:szCs w:val="13"/>
        </w:rPr>
        <w:footnoteRef/>
      </w:r>
      <w:r w:rsidRPr="0026704B">
        <w:rPr>
          <w:szCs w:val="13"/>
        </w:rPr>
        <w:t xml:space="preserve"> SAX Institute. ‘Suicide aftercare </w:t>
      </w:r>
      <w:proofErr w:type="gramStart"/>
      <w:r w:rsidRPr="0026704B">
        <w:rPr>
          <w:szCs w:val="13"/>
        </w:rPr>
        <w:t>services’</w:t>
      </w:r>
      <w:proofErr w:type="gramEnd"/>
      <w:r w:rsidRPr="0026704B">
        <w:rPr>
          <w:szCs w:val="13"/>
        </w:rPr>
        <w:t xml:space="preserve">. October 2019. pp. 7. </w:t>
      </w:r>
    </w:p>
  </w:footnote>
  <w:footnote w:id="30">
    <w:p w14:paraId="4CC7C0C4" w14:textId="77777777" w:rsidR="0021064F" w:rsidRPr="0026704B" w:rsidRDefault="0021064F" w:rsidP="00FF0077">
      <w:pPr>
        <w:pStyle w:val="FootnoteText"/>
        <w:rPr>
          <w:szCs w:val="13"/>
        </w:rPr>
      </w:pPr>
      <w:r w:rsidRPr="0026704B">
        <w:rPr>
          <w:rStyle w:val="FootnoteReference"/>
          <w:szCs w:val="13"/>
        </w:rPr>
        <w:footnoteRef/>
      </w:r>
      <w:r w:rsidRPr="0026704B">
        <w:rPr>
          <w:szCs w:val="13"/>
        </w:rPr>
        <w:t xml:space="preserve"> Beyond Blue. ‘The Way Back Support Service: aftercare following attempted suicide – 2018-19 Budget Proposal.’ January 2018. pp.15.</w:t>
      </w:r>
    </w:p>
  </w:footnote>
  <w:footnote w:id="31">
    <w:p w14:paraId="06E48D0D" w14:textId="77777777" w:rsidR="00B005E3" w:rsidRPr="0026704B" w:rsidRDefault="00B005E3" w:rsidP="00FF0077">
      <w:pPr>
        <w:pStyle w:val="FootnoteText"/>
        <w:rPr>
          <w:szCs w:val="13"/>
        </w:rPr>
      </w:pPr>
      <w:r w:rsidRPr="0026704B">
        <w:rPr>
          <w:rStyle w:val="FootnoteReference"/>
          <w:szCs w:val="13"/>
        </w:rPr>
        <w:footnoteRef/>
      </w:r>
      <w:r w:rsidRPr="0026704B">
        <w:rPr>
          <w:szCs w:val="13"/>
        </w:rPr>
        <w:t xml:space="preserve"> Opportunities to vary The Way Back service model are considered locally according to the needs, </w:t>
      </w:r>
      <w:proofErr w:type="gramStart"/>
      <w:r w:rsidRPr="0026704B">
        <w:rPr>
          <w:szCs w:val="13"/>
        </w:rPr>
        <w:t>priorities</w:t>
      </w:r>
      <w:proofErr w:type="gramEnd"/>
      <w:r w:rsidRPr="0026704B">
        <w:rPr>
          <w:szCs w:val="13"/>
        </w:rPr>
        <w:t xml:space="preserve"> and complimentary funding opportunities available at the local PHN level. To ensure model fidelity is maintained, it is expected that local enhancements are developed in consultation with Beyond Blue and other local stakeholders and endorsed according to the requirements of the License Agreement. This is usually in the form of a contract variation.</w:t>
      </w:r>
    </w:p>
  </w:footnote>
  <w:footnote w:id="32">
    <w:p w14:paraId="57B494E8" w14:textId="516804CB" w:rsidR="00907CD4" w:rsidRPr="0026704B" w:rsidRDefault="00907CD4" w:rsidP="00907CD4">
      <w:pPr>
        <w:pStyle w:val="FootnoteText"/>
        <w:rPr>
          <w:szCs w:val="13"/>
        </w:rPr>
      </w:pPr>
      <w:r w:rsidRPr="0026704B">
        <w:rPr>
          <w:rStyle w:val="FootnoteReference"/>
          <w:szCs w:val="13"/>
        </w:rPr>
        <w:footnoteRef/>
      </w:r>
      <w:r w:rsidRPr="0026704B">
        <w:rPr>
          <w:szCs w:val="13"/>
        </w:rPr>
        <w:t xml:space="preserve"> Beyond Blue. ‘Site Context</w:t>
      </w:r>
      <w:r w:rsidR="0050685F">
        <w:rPr>
          <w:szCs w:val="13"/>
        </w:rPr>
        <w:t>.</w:t>
      </w:r>
      <w:r w:rsidR="0026704B" w:rsidRPr="0026704B">
        <w:rPr>
          <w:szCs w:val="13"/>
        </w:rPr>
        <w:t>’ July 2020</w:t>
      </w:r>
      <w:r w:rsidRPr="0026704B">
        <w:rPr>
          <w:szCs w:val="13"/>
        </w:rPr>
        <w:t xml:space="preserve">. </w:t>
      </w:r>
    </w:p>
  </w:footnote>
  <w:footnote w:id="33">
    <w:p w14:paraId="737D2A95" w14:textId="123A551A" w:rsidR="00427347" w:rsidRDefault="00427347">
      <w:pPr>
        <w:pStyle w:val="FootnoteText"/>
      </w:pPr>
      <w:r>
        <w:rPr>
          <w:rStyle w:val="FootnoteReference"/>
        </w:rPr>
        <w:footnoteRef/>
      </w:r>
      <w:r>
        <w:t xml:space="preserve"> </w:t>
      </w:r>
      <w:r>
        <w:rPr>
          <w:lang w:eastAsia="en-AU"/>
        </w:rPr>
        <w:t xml:space="preserve"> The evaluation notes that the Newcastle site was implemented as a trial site in 2016, before being funded as a fully operational site in 2018)</w:t>
      </w:r>
    </w:p>
  </w:footnote>
  <w:footnote w:id="34">
    <w:p w14:paraId="7CBB69E8" w14:textId="1300FAC9" w:rsidR="00A63424" w:rsidRPr="0026704B" w:rsidRDefault="00A63424" w:rsidP="00A63424">
      <w:pPr>
        <w:pStyle w:val="FootnoteText"/>
        <w:rPr>
          <w:szCs w:val="13"/>
        </w:rPr>
      </w:pPr>
      <w:r w:rsidRPr="0026704B">
        <w:rPr>
          <w:rStyle w:val="FootnoteReference"/>
          <w:szCs w:val="13"/>
        </w:rPr>
        <w:footnoteRef/>
      </w:r>
      <w:r w:rsidRPr="0026704B">
        <w:rPr>
          <w:szCs w:val="13"/>
        </w:rPr>
        <w:t xml:space="preserve"> Number of participants recorded in PMHC MDS data between 1 July 2018 and 1 July 2019.</w:t>
      </w:r>
      <w:r w:rsidR="000514F1" w:rsidRPr="0026704B">
        <w:rPr>
          <w:szCs w:val="13"/>
        </w:rPr>
        <w:t xml:space="preserve"> The evaluation notes that four sites were implemented </w:t>
      </w:r>
      <w:r w:rsidR="00FE3529" w:rsidRPr="0026704B">
        <w:rPr>
          <w:szCs w:val="13"/>
        </w:rPr>
        <w:t>during</w:t>
      </w:r>
      <w:r w:rsidR="009D583C" w:rsidRPr="0026704B">
        <w:rPr>
          <w:szCs w:val="13"/>
        </w:rPr>
        <w:t xml:space="preserve"> this </w:t>
      </w:r>
      <w:proofErr w:type="gramStart"/>
      <w:r w:rsidR="009D583C" w:rsidRPr="0026704B">
        <w:rPr>
          <w:szCs w:val="13"/>
        </w:rPr>
        <w:t>time period</w:t>
      </w:r>
      <w:proofErr w:type="gramEnd"/>
      <w:r w:rsidR="00FE3529" w:rsidRPr="0026704B">
        <w:rPr>
          <w:szCs w:val="13"/>
        </w:rPr>
        <w:t xml:space="preserve"> though </w:t>
      </w:r>
      <w:r w:rsidR="00EC6509" w:rsidRPr="0026704B">
        <w:rPr>
          <w:szCs w:val="13"/>
        </w:rPr>
        <w:t xml:space="preserve">only two sites (Newcastle and Brisbane North) uploaded their data into the PMHC MDS during this time period. </w:t>
      </w:r>
      <w:r w:rsidR="00FE3529" w:rsidRPr="0026704B">
        <w:rPr>
          <w:szCs w:val="13"/>
        </w:rPr>
        <w:t xml:space="preserve"> </w:t>
      </w:r>
    </w:p>
  </w:footnote>
  <w:footnote w:id="35">
    <w:p w14:paraId="3CDAF253" w14:textId="77777777" w:rsidR="00A63424" w:rsidRPr="0026704B" w:rsidRDefault="00A63424" w:rsidP="00A63424">
      <w:pPr>
        <w:pStyle w:val="FootnoteText"/>
        <w:rPr>
          <w:szCs w:val="13"/>
        </w:rPr>
      </w:pPr>
      <w:r w:rsidRPr="0026704B">
        <w:rPr>
          <w:rStyle w:val="FootnoteReference"/>
          <w:szCs w:val="13"/>
        </w:rPr>
        <w:footnoteRef/>
      </w:r>
      <w:r w:rsidRPr="0026704B">
        <w:rPr>
          <w:szCs w:val="13"/>
        </w:rPr>
        <w:t xml:space="preserve"> Number of participants recorded in PMHC MDS data between 1 September 2021 and 1 September 2022.</w:t>
      </w:r>
    </w:p>
  </w:footnote>
  <w:footnote w:id="36">
    <w:p w14:paraId="368F3C89" w14:textId="77777777" w:rsidR="00A63424" w:rsidRPr="0026704B" w:rsidRDefault="00A63424" w:rsidP="00A63424">
      <w:pPr>
        <w:pStyle w:val="FootnoteText"/>
        <w:rPr>
          <w:szCs w:val="13"/>
        </w:rPr>
      </w:pPr>
      <w:r w:rsidRPr="0026704B">
        <w:rPr>
          <w:rStyle w:val="FootnoteReference"/>
          <w:szCs w:val="13"/>
        </w:rPr>
        <w:footnoteRef/>
      </w:r>
      <w:r w:rsidRPr="0026704B">
        <w:rPr>
          <w:szCs w:val="13"/>
        </w:rPr>
        <w:t xml:space="preserve"> Quarterly reports for in-scope sites between April 2021 and June 2022. Note, the number of FTE in the workforce when the service commenced in 2018 is not recorded in the data available for this evaluation.</w:t>
      </w:r>
    </w:p>
  </w:footnote>
  <w:footnote w:id="37">
    <w:p w14:paraId="118865EE" w14:textId="1F1F8215" w:rsidR="00101174" w:rsidRPr="0026704B" w:rsidRDefault="00101174">
      <w:pPr>
        <w:pStyle w:val="FootnoteText"/>
        <w:rPr>
          <w:szCs w:val="13"/>
        </w:rPr>
      </w:pPr>
      <w:r w:rsidRPr="0026704B">
        <w:rPr>
          <w:rStyle w:val="FootnoteReference"/>
          <w:szCs w:val="13"/>
        </w:rPr>
        <w:footnoteRef/>
      </w:r>
      <w:r w:rsidRPr="0026704B" w:rsidDel="004B677E">
        <w:rPr>
          <w:szCs w:val="13"/>
        </w:rPr>
        <w:t xml:space="preserve"> </w:t>
      </w:r>
      <w:r w:rsidR="004B677E" w:rsidRPr="0026704B">
        <w:rPr>
          <w:szCs w:val="13"/>
        </w:rPr>
        <w:t xml:space="preserve">Based on dates from </w:t>
      </w:r>
      <w:r w:rsidRPr="0026704B">
        <w:rPr>
          <w:szCs w:val="13"/>
        </w:rPr>
        <w:t>The Way Back Dashboard</w:t>
      </w:r>
    </w:p>
  </w:footnote>
  <w:footnote w:id="38">
    <w:p w14:paraId="6D9C7B7D" w14:textId="2EB0CB78" w:rsidR="00AE5F5D" w:rsidRPr="0026704B" w:rsidRDefault="00AE5F5D" w:rsidP="00FF0077">
      <w:pPr>
        <w:pStyle w:val="FootnoteText"/>
        <w:rPr>
          <w:szCs w:val="13"/>
        </w:rPr>
      </w:pPr>
      <w:r w:rsidRPr="0026704B">
        <w:rPr>
          <w:rStyle w:val="FootnoteReference"/>
          <w:szCs w:val="13"/>
        </w:rPr>
        <w:footnoteRef/>
      </w:r>
      <w:r w:rsidRPr="0026704B">
        <w:rPr>
          <w:szCs w:val="13"/>
        </w:rPr>
        <w:t xml:space="preserve"> Note that the number of outputs vary in each site and state depending on sites’ </w:t>
      </w:r>
      <w:r w:rsidR="00377F00" w:rsidRPr="0026704B">
        <w:rPr>
          <w:szCs w:val="13"/>
        </w:rPr>
        <w:t>first dat</w:t>
      </w:r>
      <w:r w:rsidR="007B77EE" w:rsidRPr="0026704B">
        <w:rPr>
          <w:szCs w:val="13"/>
        </w:rPr>
        <w:t>e</w:t>
      </w:r>
      <w:r w:rsidR="00377F00" w:rsidRPr="0026704B">
        <w:rPr>
          <w:szCs w:val="13"/>
        </w:rPr>
        <w:t xml:space="preserve"> of operation, </w:t>
      </w:r>
      <w:r w:rsidRPr="0026704B">
        <w:rPr>
          <w:szCs w:val="13"/>
        </w:rPr>
        <w:t xml:space="preserve">service maturity and local context. </w:t>
      </w:r>
      <w:r w:rsidR="00377F00" w:rsidRPr="0026704B">
        <w:rPr>
          <w:szCs w:val="13"/>
        </w:rPr>
        <w:t>For example, s</w:t>
      </w:r>
      <w:r w:rsidRPr="0026704B">
        <w:rPr>
          <w:szCs w:val="13"/>
        </w:rPr>
        <w:t>tates</w:t>
      </w:r>
      <w:r w:rsidR="00377F00" w:rsidRPr="0026704B">
        <w:rPr>
          <w:szCs w:val="13"/>
        </w:rPr>
        <w:t xml:space="preserve"> and territories</w:t>
      </w:r>
      <w:r w:rsidRPr="0026704B">
        <w:rPr>
          <w:szCs w:val="13"/>
        </w:rPr>
        <w:t xml:space="preserve"> with less mature sites will have </w:t>
      </w:r>
      <w:r w:rsidR="005121CC" w:rsidRPr="0026704B">
        <w:rPr>
          <w:szCs w:val="13"/>
        </w:rPr>
        <w:t>received fewer</w:t>
      </w:r>
      <w:r w:rsidRPr="0026704B">
        <w:rPr>
          <w:szCs w:val="13"/>
        </w:rPr>
        <w:t xml:space="preserve"> referrals, and therefore</w:t>
      </w:r>
      <w:r w:rsidR="005121CC" w:rsidRPr="0026704B">
        <w:rPr>
          <w:szCs w:val="13"/>
        </w:rPr>
        <w:t xml:space="preserve"> will likely report</w:t>
      </w:r>
      <w:r w:rsidRPr="0026704B">
        <w:rPr>
          <w:szCs w:val="13"/>
        </w:rPr>
        <w:t xml:space="preserve"> </w:t>
      </w:r>
      <w:r w:rsidR="00377F00" w:rsidRPr="0026704B">
        <w:rPr>
          <w:szCs w:val="13"/>
        </w:rPr>
        <w:t>fewer</w:t>
      </w:r>
      <w:r w:rsidRPr="0026704B">
        <w:rPr>
          <w:szCs w:val="13"/>
        </w:rPr>
        <w:t xml:space="preserve"> key outputs.</w:t>
      </w:r>
      <w:r w:rsidR="00AE59A6" w:rsidRPr="0026704B">
        <w:rPr>
          <w:szCs w:val="13"/>
        </w:rPr>
        <w:t xml:space="preserve"> </w:t>
      </w:r>
    </w:p>
  </w:footnote>
  <w:footnote w:id="39">
    <w:p w14:paraId="4A2183F2" w14:textId="170D7D64" w:rsidR="00C36386" w:rsidRPr="0026704B" w:rsidRDefault="00C36386" w:rsidP="00FF0077">
      <w:pPr>
        <w:pStyle w:val="FootnoteText"/>
        <w:rPr>
          <w:szCs w:val="13"/>
        </w:rPr>
      </w:pPr>
      <w:r w:rsidRPr="0026704B">
        <w:rPr>
          <w:rStyle w:val="FootnoteReference"/>
          <w:szCs w:val="13"/>
        </w:rPr>
        <w:footnoteRef/>
      </w:r>
      <w:r w:rsidRPr="0026704B">
        <w:rPr>
          <w:szCs w:val="13"/>
        </w:rPr>
        <w:t xml:space="preserve"> Based on PMHC MDS data for 27 in-scope sites between </w:t>
      </w:r>
      <w:r w:rsidR="005067ED" w:rsidRPr="0026704B">
        <w:rPr>
          <w:szCs w:val="13"/>
        </w:rPr>
        <w:t>July</w:t>
      </w:r>
      <w:r w:rsidRPr="0026704B">
        <w:rPr>
          <w:szCs w:val="13"/>
        </w:rPr>
        <w:t xml:space="preserve"> 2018 and </w:t>
      </w:r>
      <w:r w:rsidR="005067ED" w:rsidRPr="0026704B">
        <w:rPr>
          <w:szCs w:val="13"/>
        </w:rPr>
        <w:t>September</w:t>
      </w:r>
      <w:r w:rsidRPr="0026704B">
        <w:rPr>
          <w:szCs w:val="13"/>
        </w:rPr>
        <w:t xml:space="preserve"> 2022</w:t>
      </w:r>
      <w:r w:rsidR="005A6306" w:rsidRPr="0026704B">
        <w:rPr>
          <w:szCs w:val="13"/>
        </w:rPr>
        <w:t>,</w:t>
      </w:r>
      <w:r w:rsidR="00361DE7" w:rsidRPr="0026704B">
        <w:rPr>
          <w:szCs w:val="13"/>
        </w:rPr>
        <w:t xml:space="preserve"> supplementary data for a sample of </w:t>
      </w:r>
      <w:r w:rsidR="001A326C" w:rsidRPr="0026704B">
        <w:rPr>
          <w:szCs w:val="13"/>
        </w:rPr>
        <w:t>27</w:t>
      </w:r>
      <w:r w:rsidR="00361DE7" w:rsidRPr="0026704B">
        <w:rPr>
          <w:szCs w:val="13"/>
        </w:rPr>
        <w:t xml:space="preserve"> </w:t>
      </w:r>
      <w:r w:rsidR="001A326C" w:rsidRPr="0026704B">
        <w:rPr>
          <w:szCs w:val="13"/>
        </w:rPr>
        <w:t>in-scope</w:t>
      </w:r>
      <w:r w:rsidR="00361DE7" w:rsidRPr="0026704B">
        <w:rPr>
          <w:szCs w:val="13"/>
        </w:rPr>
        <w:t xml:space="preserve"> sites </w:t>
      </w:r>
      <w:r w:rsidR="007605A8" w:rsidRPr="0026704B">
        <w:rPr>
          <w:szCs w:val="13"/>
        </w:rPr>
        <w:t xml:space="preserve">and </w:t>
      </w:r>
      <w:r w:rsidR="001A326C" w:rsidRPr="0026704B">
        <w:rPr>
          <w:szCs w:val="13"/>
        </w:rPr>
        <w:t>6,016</w:t>
      </w:r>
      <w:r w:rsidR="0098326A" w:rsidRPr="0026704B">
        <w:rPr>
          <w:szCs w:val="13"/>
        </w:rPr>
        <w:t xml:space="preserve"> </w:t>
      </w:r>
      <w:r w:rsidR="001A326C" w:rsidRPr="0026704B">
        <w:rPr>
          <w:szCs w:val="13"/>
        </w:rPr>
        <w:t>referrals</w:t>
      </w:r>
      <w:r w:rsidR="006738ED" w:rsidRPr="0026704B">
        <w:rPr>
          <w:szCs w:val="13"/>
        </w:rPr>
        <w:t xml:space="preserve"> between </w:t>
      </w:r>
      <w:r w:rsidR="002B2BDF" w:rsidRPr="0026704B">
        <w:rPr>
          <w:szCs w:val="13"/>
        </w:rPr>
        <w:t>July 2021 and June 2022</w:t>
      </w:r>
      <w:r w:rsidR="001D399A" w:rsidRPr="0026704B">
        <w:rPr>
          <w:szCs w:val="13"/>
        </w:rPr>
        <w:t>,</w:t>
      </w:r>
      <w:r w:rsidR="003C4CD1" w:rsidRPr="0026704B">
        <w:rPr>
          <w:szCs w:val="13"/>
        </w:rPr>
        <w:t xml:space="preserve"> and </w:t>
      </w:r>
      <w:r w:rsidR="00BD63ED" w:rsidRPr="0026704B">
        <w:rPr>
          <w:szCs w:val="13"/>
        </w:rPr>
        <w:t xml:space="preserve">quarterly reports for </w:t>
      </w:r>
      <w:r w:rsidR="00F57420" w:rsidRPr="0026704B">
        <w:rPr>
          <w:szCs w:val="13"/>
        </w:rPr>
        <w:t>27 in-scope</w:t>
      </w:r>
      <w:r w:rsidR="00BD63ED" w:rsidRPr="0026704B">
        <w:rPr>
          <w:szCs w:val="13"/>
        </w:rPr>
        <w:t xml:space="preserve"> sites between </w:t>
      </w:r>
      <w:r w:rsidR="00760245" w:rsidRPr="0026704B">
        <w:rPr>
          <w:szCs w:val="13"/>
        </w:rPr>
        <w:t>April</w:t>
      </w:r>
      <w:r w:rsidR="00BD63ED" w:rsidRPr="0026704B">
        <w:rPr>
          <w:szCs w:val="13"/>
        </w:rPr>
        <w:t xml:space="preserve"> 2021 and June 2022</w:t>
      </w:r>
      <w:r w:rsidR="00361DE7" w:rsidRPr="0026704B">
        <w:rPr>
          <w:szCs w:val="13"/>
        </w:rPr>
        <w:t>.</w:t>
      </w:r>
    </w:p>
  </w:footnote>
  <w:footnote w:id="40">
    <w:p w14:paraId="7D6CF81A" w14:textId="7380C777" w:rsidR="0072736E" w:rsidRPr="0026704B" w:rsidRDefault="0072736E">
      <w:pPr>
        <w:pStyle w:val="FootnoteText"/>
        <w:rPr>
          <w:szCs w:val="13"/>
        </w:rPr>
      </w:pPr>
      <w:r w:rsidRPr="0026704B">
        <w:rPr>
          <w:rStyle w:val="FootnoteReference"/>
          <w:szCs w:val="13"/>
        </w:rPr>
        <w:footnoteRef/>
      </w:r>
      <w:r w:rsidRPr="0026704B">
        <w:rPr>
          <w:szCs w:val="13"/>
        </w:rPr>
        <w:t xml:space="preserve"> </w:t>
      </w:r>
      <w:r w:rsidR="00A52808" w:rsidRPr="0026704B">
        <w:rPr>
          <w:szCs w:val="13"/>
        </w:rPr>
        <w:t xml:space="preserve">Beyond Blue. July 2018. ‘Commonwealth Standard Agreement – Version 3’. </w:t>
      </w:r>
    </w:p>
  </w:footnote>
  <w:footnote w:id="41">
    <w:p w14:paraId="287147D0" w14:textId="22C7F31A" w:rsidR="00A52808" w:rsidRPr="0026704B" w:rsidRDefault="00A52808">
      <w:pPr>
        <w:pStyle w:val="FootnoteText"/>
        <w:rPr>
          <w:szCs w:val="13"/>
        </w:rPr>
      </w:pPr>
      <w:r w:rsidRPr="0026704B">
        <w:rPr>
          <w:rStyle w:val="FootnoteReference"/>
          <w:szCs w:val="13"/>
        </w:rPr>
        <w:footnoteRef/>
      </w:r>
      <w:r w:rsidRPr="0026704B">
        <w:rPr>
          <w:szCs w:val="13"/>
        </w:rPr>
        <w:t xml:space="preserve"> Beyond Blue. </w:t>
      </w:r>
      <w:r w:rsidR="00AE39FD" w:rsidRPr="0026704B">
        <w:rPr>
          <w:szCs w:val="13"/>
        </w:rPr>
        <w:t xml:space="preserve">September 2019. ‘Commonwealth Standard Grant Agreement – Version 5’. </w:t>
      </w:r>
    </w:p>
  </w:footnote>
  <w:footnote w:id="42">
    <w:p w14:paraId="499A3DCF" w14:textId="16C344FF" w:rsidR="000F3A13" w:rsidRPr="0026704B" w:rsidRDefault="000F3A13" w:rsidP="00FF0077">
      <w:pPr>
        <w:pStyle w:val="FootnoteText"/>
        <w:rPr>
          <w:szCs w:val="13"/>
        </w:rPr>
      </w:pPr>
      <w:r w:rsidRPr="0026704B">
        <w:rPr>
          <w:rStyle w:val="FootnoteReference"/>
          <w:szCs w:val="13"/>
        </w:rPr>
        <w:footnoteRef/>
      </w:r>
      <w:r w:rsidRPr="0026704B">
        <w:rPr>
          <w:szCs w:val="13"/>
        </w:rPr>
        <w:t xml:space="preserve"> New </w:t>
      </w:r>
      <w:r w:rsidR="002F6D7A" w:rsidRPr="0026704B">
        <w:rPr>
          <w:szCs w:val="13"/>
        </w:rPr>
        <w:t>participant</w:t>
      </w:r>
      <w:r w:rsidRPr="0026704B">
        <w:rPr>
          <w:szCs w:val="13"/>
        </w:rPr>
        <w:t xml:space="preserve"> referral targets are intended to reflect an estimation of the expected demand for the service at each site, rather than a measure of service performance or quality or contractual fulfilment.</w:t>
      </w:r>
    </w:p>
  </w:footnote>
  <w:footnote w:id="43">
    <w:p w14:paraId="67A64DC8" w14:textId="40F6B624" w:rsidR="001471FD" w:rsidRPr="0026704B" w:rsidRDefault="001471FD" w:rsidP="00FF0077">
      <w:pPr>
        <w:pStyle w:val="FootnoteText"/>
        <w:rPr>
          <w:szCs w:val="13"/>
        </w:rPr>
      </w:pPr>
      <w:r w:rsidRPr="0026704B">
        <w:rPr>
          <w:rStyle w:val="FootnoteReference"/>
          <w:szCs w:val="13"/>
        </w:rPr>
        <w:footnoteRef/>
      </w:r>
      <w:r w:rsidRPr="0026704B">
        <w:rPr>
          <w:szCs w:val="13"/>
        </w:rPr>
        <w:t xml:space="preserve"> Note that the cumulative projected target for each state and territory includes out of scope sites for Victoria. These sites contribute to approximately 10</w:t>
      </w:r>
      <w:r w:rsidR="00E650CD" w:rsidRPr="0026704B">
        <w:rPr>
          <w:szCs w:val="13"/>
        </w:rPr>
        <w:t xml:space="preserve"> per cent</w:t>
      </w:r>
      <w:r w:rsidRPr="0026704B">
        <w:rPr>
          <w:szCs w:val="13"/>
        </w:rPr>
        <w:t xml:space="preserve"> of total referrals. </w:t>
      </w:r>
    </w:p>
  </w:footnote>
  <w:footnote w:id="44">
    <w:p w14:paraId="2A7531D1" w14:textId="77777777" w:rsidR="00DC6867" w:rsidRPr="0026704B" w:rsidRDefault="00DC6867" w:rsidP="00DC6867">
      <w:pPr>
        <w:pStyle w:val="FootnoteText"/>
        <w:rPr>
          <w:szCs w:val="13"/>
        </w:rPr>
      </w:pPr>
      <w:r w:rsidRPr="0026704B">
        <w:rPr>
          <w:rStyle w:val="FootnoteReference"/>
          <w:szCs w:val="13"/>
        </w:rPr>
        <w:footnoteRef/>
      </w:r>
      <w:r w:rsidRPr="0026704B">
        <w:rPr>
          <w:szCs w:val="13"/>
        </w:rPr>
        <w:t xml:space="preserve"> The Way Back Support Service Implementation and Procurement Guide, 2020. </w:t>
      </w:r>
    </w:p>
  </w:footnote>
  <w:footnote w:id="45">
    <w:p w14:paraId="4FAFA2FF" w14:textId="77777777" w:rsidR="009114F3" w:rsidRPr="0026704B" w:rsidRDefault="009114F3" w:rsidP="009114F3">
      <w:pPr>
        <w:pStyle w:val="FootnoteText"/>
        <w:rPr>
          <w:szCs w:val="13"/>
        </w:rPr>
      </w:pPr>
      <w:r w:rsidRPr="0026704B">
        <w:rPr>
          <w:rStyle w:val="FootnoteReference"/>
          <w:szCs w:val="13"/>
        </w:rPr>
        <w:footnoteRef/>
      </w:r>
      <w:r w:rsidRPr="0026704B">
        <w:rPr>
          <w:szCs w:val="13"/>
        </w:rPr>
        <w:t xml:space="preserve"> For the 27 in-scope sites of the evaluation and based on The Way Back referral data dashboard for January 2019 to June 2022. </w:t>
      </w:r>
    </w:p>
  </w:footnote>
  <w:footnote w:id="46">
    <w:p w14:paraId="41C7C2F9" w14:textId="77777777" w:rsidR="00186BE4" w:rsidRPr="0026704B" w:rsidRDefault="00186BE4" w:rsidP="00186BE4">
      <w:pPr>
        <w:pStyle w:val="FootnoteText"/>
        <w:rPr>
          <w:szCs w:val="13"/>
        </w:rPr>
      </w:pPr>
      <w:r w:rsidRPr="0026704B">
        <w:rPr>
          <w:rStyle w:val="FootnoteReference"/>
          <w:szCs w:val="13"/>
        </w:rPr>
        <w:footnoteRef/>
      </w:r>
      <w:r w:rsidRPr="0026704B">
        <w:rPr>
          <w:szCs w:val="13"/>
        </w:rPr>
        <w:t xml:space="preserve"> Based on The Way Back referral data dashboard for January 2019 to June 2022. Targets for each state are calculated based on the proportion of cumulative projected targets by state and the 16,200 proportion of the total target for June 2022 of in-scope sites. </w:t>
      </w:r>
    </w:p>
  </w:footnote>
  <w:footnote w:id="47">
    <w:p w14:paraId="6AA15BBA" w14:textId="77777777" w:rsidR="009114F3" w:rsidRPr="0026704B" w:rsidRDefault="009114F3" w:rsidP="009114F3">
      <w:pPr>
        <w:pStyle w:val="FootnoteText"/>
        <w:rPr>
          <w:szCs w:val="13"/>
        </w:rPr>
      </w:pPr>
      <w:r w:rsidRPr="0026704B">
        <w:rPr>
          <w:rStyle w:val="FootnoteReference"/>
          <w:szCs w:val="13"/>
        </w:rPr>
        <w:footnoteRef/>
      </w:r>
      <w:r w:rsidRPr="0026704B">
        <w:rPr>
          <w:szCs w:val="13"/>
        </w:rPr>
        <w:t xml:space="preserve"> Australian Institute of Health and Welfare. 2022. </w:t>
      </w:r>
      <w:r w:rsidRPr="0026704B">
        <w:rPr>
          <w:i/>
          <w:iCs/>
          <w:szCs w:val="13"/>
        </w:rPr>
        <w:t xml:space="preserve">Suicide &amp; self-harm monitoring. </w:t>
      </w:r>
      <w:r w:rsidRPr="0026704B">
        <w:rPr>
          <w:szCs w:val="13"/>
        </w:rPr>
        <w:t>Retrieved from: https://www.aihw.gov.au/suicide-self-harm-monitoring/data/covid-19</w:t>
      </w:r>
    </w:p>
  </w:footnote>
  <w:footnote w:id="48">
    <w:p w14:paraId="09A41519" w14:textId="79E57278" w:rsidR="001600D9" w:rsidRPr="0026704B" w:rsidRDefault="001600D9" w:rsidP="00FF0077">
      <w:pPr>
        <w:pStyle w:val="FootnoteText"/>
        <w:rPr>
          <w:szCs w:val="13"/>
        </w:rPr>
      </w:pPr>
      <w:r w:rsidRPr="0026704B">
        <w:rPr>
          <w:rStyle w:val="FootnoteReference"/>
          <w:szCs w:val="13"/>
        </w:rPr>
        <w:footnoteRef/>
      </w:r>
      <w:r w:rsidRPr="0026704B">
        <w:rPr>
          <w:szCs w:val="13"/>
        </w:rPr>
        <w:t xml:space="preserve"> There was no data available to the National Evaluation to inform </w:t>
      </w:r>
      <w:r w:rsidR="002E2B0B" w:rsidRPr="0026704B">
        <w:rPr>
          <w:szCs w:val="13"/>
        </w:rPr>
        <w:t xml:space="preserve">how long </w:t>
      </w:r>
      <w:r w:rsidR="005D70C6" w:rsidRPr="0026704B">
        <w:rPr>
          <w:szCs w:val="13"/>
        </w:rPr>
        <w:t xml:space="preserve">people would wait on the waitlist before receiving the service. </w:t>
      </w:r>
      <w:r w:rsidR="00554525" w:rsidRPr="0026704B">
        <w:rPr>
          <w:szCs w:val="13"/>
        </w:rPr>
        <w:t xml:space="preserve">Beyond Blue note that the risks associated with this approach have been </w:t>
      </w:r>
      <w:r w:rsidR="00C3334A" w:rsidRPr="0026704B">
        <w:rPr>
          <w:szCs w:val="13"/>
        </w:rPr>
        <w:t>highlighted to the service provider as it does not adhere to the service model design.</w:t>
      </w:r>
    </w:p>
  </w:footnote>
  <w:footnote w:id="49">
    <w:p w14:paraId="4BC41588" w14:textId="0F5EB2A9" w:rsidR="005D607D" w:rsidRPr="0026704B" w:rsidRDefault="005D607D">
      <w:pPr>
        <w:pStyle w:val="FootnoteText"/>
        <w:rPr>
          <w:szCs w:val="13"/>
        </w:rPr>
      </w:pPr>
      <w:r w:rsidRPr="0026704B">
        <w:rPr>
          <w:rStyle w:val="FootnoteReference"/>
          <w:szCs w:val="13"/>
        </w:rPr>
        <w:footnoteRef/>
      </w:r>
      <w:r w:rsidRPr="0026704B">
        <w:rPr>
          <w:szCs w:val="13"/>
        </w:rPr>
        <w:t xml:space="preserve"> </w:t>
      </w:r>
      <w:r w:rsidR="00A319ED" w:rsidRPr="0026704B">
        <w:rPr>
          <w:szCs w:val="13"/>
        </w:rPr>
        <w:t xml:space="preserve">It is not clear from the </w:t>
      </w:r>
      <w:r w:rsidR="00DD3684" w:rsidRPr="0026704B">
        <w:rPr>
          <w:szCs w:val="13"/>
        </w:rPr>
        <w:t>information</w:t>
      </w:r>
      <w:r w:rsidR="00A319ED" w:rsidRPr="0026704B">
        <w:rPr>
          <w:szCs w:val="13"/>
        </w:rPr>
        <w:t xml:space="preserve"> available to this evaluation if </w:t>
      </w:r>
      <w:r w:rsidR="00AC796B" w:rsidRPr="0026704B">
        <w:rPr>
          <w:szCs w:val="13"/>
        </w:rPr>
        <w:t xml:space="preserve">the </w:t>
      </w:r>
      <w:r w:rsidR="00A319ED" w:rsidRPr="0026704B">
        <w:rPr>
          <w:szCs w:val="13"/>
        </w:rPr>
        <w:t>days to contact or days to service</w:t>
      </w:r>
      <w:r w:rsidR="00AC796B" w:rsidRPr="0026704B">
        <w:rPr>
          <w:szCs w:val="13"/>
        </w:rPr>
        <w:t xml:space="preserve"> start recorded in the PMHC MDS data set</w:t>
      </w:r>
      <w:r w:rsidR="00205BD8" w:rsidRPr="0026704B">
        <w:rPr>
          <w:szCs w:val="13"/>
        </w:rPr>
        <w:t xml:space="preserve"> accurately</w:t>
      </w:r>
      <w:r w:rsidR="00A319ED" w:rsidRPr="0026704B">
        <w:rPr>
          <w:szCs w:val="13"/>
        </w:rPr>
        <w:t xml:space="preserve"> correspond to wait times for allocation to a support coordinator</w:t>
      </w:r>
    </w:p>
  </w:footnote>
  <w:footnote w:id="50">
    <w:p w14:paraId="487E2A78" w14:textId="45F60856" w:rsidR="0024410E" w:rsidRPr="0026704B" w:rsidRDefault="0024410E" w:rsidP="00FF0077">
      <w:pPr>
        <w:pStyle w:val="FootnoteText"/>
        <w:rPr>
          <w:szCs w:val="13"/>
        </w:rPr>
      </w:pPr>
      <w:r w:rsidRPr="0026704B">
        <w:rPr>
          <w:rStyle w:val="FootnoteReference"/>
          <w:szCs w:val="13"/>
        </w:rPr>
        <w:footnoteRef/>
      </w:r>
      <w:r w:rsidRPr="0026704B">
        <w:rPr>
          <w:szCs w:val="13"/>
        </w:rPr>
        <w:t xml:space="preserve"> Based on analysis of PMHC MDS data for 27 in-scope sites between </w:t>
      </w:r>
      <w:r w:rsidR="00472A25" w:rsidRPr="0026704B">
        <w:rPr>
          <w:szCs w:val="13"/>
        </w:rPr>
        <w:t>July</w:t>
      </w:r>
      <w:r w:rsidRPr="0026704B">
        <w:rPr>
          <w:szCs w:val="13"/>
        </w:rPr>
        <w:t xml:space="preserve"> 2018 and </w:t>
      </w:r>
      <w:r w:rsidR="00472A25" w:rsidRPr="0026704B">
        <w:rPr>
          <w:szCs w:val="13"/>
        </w:rPr>
        <w:t>September</w:t>
      </w:r>
      <w:r w:rsidRPr="0026704B">
        <w:rPr>
          <w:szCs w:val="13"/>
        </w:rPr>
        <w:t xml:space="preserve"> 2022. The PMHC-MDS data may be under representative of true service use. </w:t>
      </w:r>
      <w:r w:rsidR="0072596F" w:rsidRPr="0026704B">
        <w:rPr>
          <w:szCs w:val="13"/>
        </w:rPr>
        <w:t>Four of the 27</w:t>
      </w:r>
      <w:r w:rsidRPr="0026704B">
        <w:rPr>
          <w:szCs w:val="13"/>
        </w:rPr>
        <w:t xml:space="preserve"> sites</w:t>
      </w:r>
      <w:r w:rsidR="003A5FE5" w:rsidRPr="0026704B">
        <w:rPr>
          <w:szCs w:val="13"/>
        </w:rPr>
        <w:t xml:space="preserve"> commenced operations from June 2021 and therefore</w:t>
      </w:r>
      <w:r w:rsidRPr="0026704B">
        <w:rPr>
          <w:szCs w:val="13"/>
        </w:rPr>
        <w:t xml:space="preserve"> have limited episodes recorded (≤ </w:t>
      </w:r>
      <w:r w:rsidR="003B0867" w:rsidRPr="0026704B">
        <w:rPr>
          <w:szCs w:val="13"/>
        </w:rPr>
        <w:t>5</w:t>
      </w:r>
      <w:r w:rsidRPr="0026704B">
        <w:rPr>
          <w:szCs w:val="13"/>
        </w:rPr>
        <w:t>0 episodes between 2018-2021)</w:t>
      </w:r>
      <w:r w:rsidR="00615E22" w:rsidRPr="0026704B">
        <w:rPr>
          <w:szCs w:val="13"/>
        </w:rPr>
        <w:t xml:space="preserve">. </w:t>
      </w:r>
      <w:r w:rsidR="008D6D79" w:rsidRPr="0026704B">
        <w:rPr>
          <w:szCs w:val="13"/>
        </w:rPr>
        <w:t>Six</w:t>
      </w:r>
      <w:r w:rsidRPr="0026704B">
        <w:rPr>
          <w:szCs w:val="13"/>
        </w:rPr>
        <w:t xml:space="preserve"> sites </w:t>
      </w:r>
      <w:r w:rsidR="008D6D79" w:rsidRPr="0026704B">
        <w:rPr>
          <w:szCs w:val="13"/>
        </w:rPr>
        <w:t xml:space="preserve">that were operational prior to June 2021 </w:t>
      </w:r>
      <w:r w:rsidRPr="0026704B">
        <w:rPr>
          <w:szCs w:val="13"/>
        </w:rPr>
        <w:t xml:space="preserve">have </w:t>
      </w:r>
      <w:r w:rsidR="008D6D79" w:rsidRPr="0026704B">
        <w:rPr>
          <w:szCs w:val="13"/>
        </w:rPr>
        <w:t>≤ 100 episodes between 2018-2021.</w:t>
      </w:r>
    </w:p>
  </w:footnote>
  <w:footnote w:id="51">
    <w:p w14:paraId="3D7175A5" w14:textId="3E5BF2F9" w:rsidR="00194E32" w:rsidRPr="0026704B" w:rsidRDefault="00194E32" w:rsidP="00FF0077">
      <w:pPr>
        <w:pStyle w:val="FootnoteText"/>
        <w:rPr>
          <w:szCs w:val="13"/>
        </w:rPr>
      </w:pPr>
      <w:r w:rsidRPr="0026704B">
        <w:rPr>
          <w:rStyle w:val="FootnoteReference"/>
          <w:szCs w:val="13"/>
        </w:rPr>
        <w:footnoteRef/>
      </w:r>
      <w:r w:rsidRPr="0026704B">
        <w:rPr>
          <w:szCs w:val="13"/>
        </w:rPr>
        <w:t xml:space="preserve"> Based on analysis of PMHC MDS data for 27 in-scope sites between </w:t>
      </w:r>
      <w:r w:rsidR="00472A25" w:rsidRPr="0026704B">
        <w:rPr>
          <w:szCs w:val="13"/>
        </w:rPr>
        <w:t>July</w:t>
      </w:r>
      <w:r w:rsidRPr="0026704B">
        <w:rPr>
          <w:szCs w:val="13"/>
        </w:rPr>
        <w:t xml:space="preserve"> 2018 and </w:t>
      </w:r>
      <w:r w:rsidR="00472A25" w:rsidRPr="0026704B">
        <w:rPr>
          <w:szCs w:val="13"/>
        </w:rPr>
        <w:t>September</w:t>
      </w:r>
      <w:r w:rsidRPr="0026704B">
        <w:rPr>
          <w:szCs w:val="13"/>
        </w:rPr>
        <w:t xml:space="preserve"> 2022.</w:t>
      </w:r>
      <w:r w:rsidR="00B07BDE" w:rsidRPr="0026704B">
        <w:rPr>
          <w:szCs w:val="13"/>
        </w:rPr>
        <w:t xml:space="preserve"> The percentage of participants </w:t>
      </w:r>
      <w:r w:rsidR="00CF1098" w:rsidRPr="0026704B">
        <w:rPr>
          <w:szCs w:val="13"/>
        </w:rPr>
        <w:t xml:space="preserve">that have made a previous suicide attempt refers to participants with </w:t>
      </w:r>
      <w:r w:rsidR="00765772" w:rsidRPr="0026704B">
        <w:rPr>
          <w:szCs w:val="13"/>
        </w:rPr>
        <w:t xml:space="preserve">suicide </w:t>
      </w:r>
      <w:r w:rsidR="004C681E" w:rsidRPr="0026704B">
        <w:rPr>
          <w:szCs w:val="13"/>
        </w:rPr>
        <w:t xml:space="preserve">attempt </w:t>
      </w:r>
      <w:r w:rsidR="00495EF3" w:rsidRPr="0026704B">
        <w:rPr>
          <w:szCs w:val="13"/>
        </w:rPr>
        <w:t>prior to and in addition to</w:t>
      </w:r>
      <w:r w:rsidR="004C681E" w:rsidRPr="0026704B">
        <w:rPr>
          <w:szCs w:val="13"/>
        </w:rPr>
        <w:t xml:space="preserve"> the </w:t>
      </w:r>
      <w:r w:rsidR="001B53F4" w:rsidRPr="0026704B">
        <w:rPr>
          <w:szCs w:val="13"/>
        </w:rPr>
        <w:t>sui</w:t>
      </w:r>
      <w:r w:rsidR="00506D24" w:rsidRPr="0026704B">
        <w:rPr>
          <w:szCs w:val="13"/>
        </w:rPr>
        <w:t>cide attempt or suicide crisis that made them eligible for referral to The Way Back.</w:t>
      </w:r>
      <w:r w:rsidR="00483901" w:rsidRPr="0026704B">
        <w:rPr>
          <w:szCs w:val="13"/>
        </w:rPr>
        <w:t xml:space="preserve"> </w:t>
      </w:r>
    </w:p>
  </w:footnote>
  <w:footnote w:id="52">
    <w:p w14:paraId="5C5D50C2" w14:textId="77777777" w:rsidR="004116F2" w:rsidRPr="0026704B" w:rsidRDefault="004116F2" w:rsidP="00FF0077">
      <w:pPr>
        <w:pStyle w:val="FootnoteText"/>
        <w:rPr>
          <w:szCs w:val="13"/>
        </w:rPr>
      </w:pPr>
      <w:r w:rsidRPr="0026704B">
        <w:rPr>
          <w:rStyle w:val="FootnoteReference"/>
          <w:szCs w:val="13"/>
        </w:rPr>
        <w:footnoteRef/>
      </w:r>
      <w:r w:rsidRPr="0026704B">
        <w:rPr>
          <w:szCs w:val="13"/>
        </w:rPr>
        <w:t xml:space="preserve"> AIHW, 2021, ‘Intentional self-harm hospitalisations by states &amp; territories’, Available from: www.aihw.gov.au/suicide-self-harm-monitoring/data/intentional-self-harm-hospitalisations/intentional-self-harm-hospitalisations-by-states.</w:t>
      </w:r>
    </w:p>
  </w:footnote>
  <w:footnote w:id="53">
    <w:p w14:paraId="162FB842" w14:textId="3A08998E" w:rsidR="00876FD5" w:rsidRPr="0026704B" w:rsidRDefault="00876FD5" w:rsidP="00876FD5">
      <w:pPr>
        <w:pStyle w:val="FootnoteText"/>
        <w:rPr>
          <w:szCs w:val="13"/>
        </w:rPr>
      </w:pPr>
      <w:r w:rsidRPr="0026704B">
        <w:rPr>
          <w:rStyle w:val="FootnoteReference"/>
          <w:szCs w:val="13"/>
        </w:rPr>
        <w:footnoteRef/>
      </w:r>
      <w:r w:rsidRPr="0026704B">
        <w:rPr>
          <w:szCs w:val="13"/>
        </w:rPr>
        <w:t xml:space="preserve"> Based of PMHC MDS and </w:t>
      </w:r>
      <w:r w:rsidR="00AA13DC" w:rsidRPr="0026704B">
        <w:rPr>
          <w:szCs w:val="13"/>
        </w:rPr>
        <w:t>The Way Back</w:t>
      </w:r>
      <w:r w:rsidRPr="0026704B">
        <w:rPr>
          <w:szCs w:val="13"/>
        </w:rPr>
        <w:t xml:space="preserve"> Extension data for 27 sites between July 2018 and February 2022 </w:t>
      </w:r>
      <w:r w:rsidR="005A17D7" w:rsidRPr="0026704B">
        <w:rPr>
          <w:szCs w:val="13"/>
        </w:rPr>
        <w:t xml:space="preserve">It should be noted that </w:t>
      </w:r>
      <w:r w:rsidR="00FE7543" w:rsidRPr="0026704B">
        <w:rPr>
          <w:szCs w:val="13"/>
        </w:rPr>
        <w:t xml:space="preserve">it was not clear to the evaluation in the PMHC-MDS data whether the language of </w:t>
      </w:r>
      <w:r w:rsidR="005A17D7" w:rsidRPr="0026704B">
        <w:rPr>
          <w:szCs w:val="13"/>
        </w:rPr>
        <w:t xml:space="preserve">‘symptoms’ </w:t>
      </w:r>
      <w:r w:rsidR="00FE7543" w:rsidRPr="0026704B">
        <w:rPr>
          <w:szCs w:val="13"/>
        </w:rPr>
        <w:t xml:space="preserve">represents </w:t>
      </w:r>
      <w:r w:rsidR="005A17D7" w:rsidRPr="0026704B">
        <w:rPr>
          <w:szCs w:val="13"/>
        </w:rPr>
        <w:t xml:space="preserve">an actual </w:t>
      </w:r>
      <w:r w:rsidR="00FE7543" w:rsidRPr="0026704B">
        <w:rPr>
          <w:szCs w:val="13"/>
        </w:rPr>
        <w:t xml:space="preserve">reported </w:t>
      </w:r>
      <w:r w:rsidR="005A17D7" w:rsidRPr="0026704B">
        <w:rPr>
          <w:szCs w:val="13"/>
        </w:rPr>
        <w:t>diagnosis</w:t>
      </w:r>
      <w:r w:rsidR="00D87DFA" w:rsidRPr="0026704B">
        <w:rPr>
          <w:szCs w:val="13"/>
        </w:rPr>
        <w:t xml:space="preserve">, or </w:t>
      </w:r>
      <w:r w:rsidR="00FE7543" w:rsidRPr="0026704B">
        <w:rPr>
          <w:szCs w:val="13"/>
        </w:rPr>
        <w:t>whether reported</w:t>
      </w:r>
      <w:r w:rsidR="00D87DFA" w:rsidRPr="0026704B">
        <w:rPr>
          <w:szCs w:val="13"/>
        </w:rPr>
        <w:t xml:space="preserve"> symptoms of </w:t>
      </w:r>
      <w:r w:rsidR="00FE7543" w:rsidRPr="0026704B">
        <w:rPr>
          <w:szCs w:val="13"/>
        </w:rPr>
        <w:t xml:space="preserve">mental illness disorders were also captured (i.e. the participant did not have a reported diagnosis, and therefore this data-overrepresents the diagnoses that may exist amongst participants. </w:t>
      </w:r>
    </w:p>
  </w:footnote>
  <w:footnote w:id="54">
    <w:p w14:paraId="50083346" w14:textId="0B19DE28" w:rsidR="00E3187A" w:rsidRPr="0026704B" w:rsidRDefault="00E3187A" w:rsidP="00FF0077">
      <w:pPr>
        <w:pStyle w:val="FootnoteText"/>
        <w:rPr>
          <w:szCs w:val="13"/>
        </w:rPr>
      </w:pPr>
      <w:r w:rsidRPr="0026704B">
        <w:rPr>
          <w:rStyle w:val="FootnoteReference"/>
          <w:szCs w:val="13"/>
        </w:rPr>
        <w:footnoteRef/>
      </w:r>
      <w:r w:rsidRPr="0026704B">
        <w:rPr>
          <w:szCs w:val="13"/>
        </w:rPr>
        <w:t xml:space="preserve"> </w:t>
      </w:r>
      <w:r w:rsidR="002E5E25" w:rsidRPr="0026704B">
        <w:rPr>
          <w:szCs w:val="13"/>
        </w:rPr>
        <w:t xml:space="preserve">Note that </w:t>
      </w:r>
      <w:r w:rsidR="002120FB" w:rsidRPr="0026704B">
        <w:rPr>
          <w:szCs w:val="13"/>
        </w:rPr>
        <w:t xml:space="preserve">PMHC MDS </w:t>
      </w:r>
      <w:r w:rsidR="002E5E25" w:rsidRPr="0026704B">
        <w:rPr>
          <w:szCs w:val="13"/>
        </w:rPr>
        <w:t xml:space="preserve">data reports separately on </w:t>
      </w:r>
      <w:r w:rsidR="00971CBF" w:rsidRPr="0026704B">
        <w:rPr>
          <w:szCs w:val="13"/>
        </w:rPr>
        <w:t xml:space="preserve">symptoms of </w:t>
      </w:r>
      <w:r w:rsidR="002E5E25" w:rsidRPr="0026704B">
        <w:rPr>
          <w:szCs w:val="13"/>
        </w:rPr>
        <w:t xml:space="preserve">depression only, and symptoms of anxiety only. </w:t>
      </w:r>
      <w:r w:rsidR="006A741F" w:rsidRPr="0026704B">
        <w:rPr>
          <w:szCs w:val="13"/>
        </w:rPr>
        <w:t>a</w:t>
      </w:r>
    </w:p>
  </w:footnote>
  <w:footnote w:id="55">
    <w:p w14:paraId="7415E253" w14:textId="3774B644" w:rsidR="00660B3D" w:rsidRPr="0026704B" w:rsidRDefault="00660B3D" w:rsidP="00FF0077">
      <w:pPr>
        <w:pStyle w:val="FootnoteText"/>
        <w:rPr>
          <w:szCs w:val="13"/>
        </w:rPr>
      </w:pPr>
      <w:r w:rsidRPr="0026704B">
        <w:rPr>
          <w:rStyle w:val="FootnoteReference"/>
          <w:szCs w:val="13"/>
        </w:rPr>
        <w:footnoteRef/>
      </w:r>
      <w:r w:rsidRPr="0026704B">
        <w:rPr>
          <w:szCs w:val="13"/>
        </w:rPr>
        <w:t xml:space="preserve"> Personality disorders includes the three types of personality disorders: eccentric personality disorders</w:t>
      </w:r>
      <w:r w:rsidR="00103215" w:rsidRPr="0026704B">
        <w:rPr>
          <w:szCs w:val="13"/>
        </w:rPr>
        <w:t xml:space="preserve"> (Cluster A)</w:t>
      </w:r>
      <w:r w:rsidRPr="0026704B">
        <w:rPr>
          <w:szCs w:val="13"/>
        </w:rPr>
        <w:t>, dramatic personality disorders</w:t>
      </w:r>
      <w:r w:rsidR="00103215" w:rsidRPr="0026704B">
        <w:rPr>
          <w:szCs w:val="13"/>
        </w:rPr>
        <w:t xml:space="preserve"> (Cluster B)</w:t>
      </w:r>
      <w:r w:rsidRPr="0026704B">
        <w:rPr>
          <w:szCs w:val="13"/>
        </w:rPr>
        <w:t xml:space="preserve"> and anxious personality disorders</w:t>
      </w:r>
      <w:r w:rsidR="00103215" w:rsidRPr="0026704B">
        <w:rPr>
          <w:szCs w:val="13"/>
        </w:rPr>
        <w:t xml:space="preserve"> (Cluster C)</w:t>
      </w:r>
      <w:r w:rsidRPr="0026704B">
        <w:rPr>
          <w:szCs w:val="13"/>
        </w:rPr>
        <w:t>.</w:t>
      </w:r>
    </w:p>
  </w:footnote>
  <w:footnote w:id="56">
    <w:p w14:paraId="61EF4C9E" w14:textId="44457190" w:rsidR="004B733C" w:rsidRPr="0026704B" w:rsidRDefault="004B733C" w:rsidP="00FF0077">
      <w:pPr>
        <w:pStyle w:val="FootnoteText"/>
        <w:rPr>
          <w:szCs w:val="13"/>
        </w:rPr>
      </w:pPr>
      <w:r w:rsidRPr="0026704B">
        <w:rPr>
          <w:rStyle w:val="FootnoteReference"/>
          <w:szCs w:val="13"/>
        </w:rPr>
        <w:footnoteRef/>
      </w:r>
      <w:r w:rsidRPr="0026704B">
        <w:rPr>
          <w:szCs w:val="13"/>
        </w:rPr>
        <w:t xml:space="preserve"> Based on PMHC MDS and </w:t>
      </w:r>
      <w:r w:rsidR="00AA13DC" w:rsidRPr="0026704B">
        <w:rPr>
          <w:szCs w:val="13"/>
        </w:rPr>
        <w:t>The Way Back</w:t>
      </w:r>
      <w:r w:rsidRPr="0026704B">
        <w:rPr>
          <w:szCs w:val="13"/>
        </w:rPr>
        <w:t xml:space="preserve"> Extension data for 27 sites between </w:t>
      </w:r>
      <w:r w:rsidR="00C83D64" w:rsidRPr="0026704B">
        <w:rPr>
          <w:szCs w:val="13"/>
        </w:rPr>
        <w:t>July</w:t>
      </w:r>
      <w:r w:rsidRPr="0026704B">
        <w:rPr>
          <w:szCs w:val="13"/>
        </w:rPr>
        <w:t xml:space="preserve"> 201</w:t>
      </w:r>
      <w:r w:rsidR="00C83D64" w:rsidRPr="0026704B">
        <w:rPr>
          <w:szCs w:val="13"/>
        </w:rPr>
        <w:t>8</w:t>
      </w:r>
      <w:r w:rsidRPr="0026704B">
        <w:rPr>
          <w:szCs w:val="13"/>
        </w:rPr>
        <w:t xml:space="preserve"> and February 2022.</w:t>
      </w:r>
    </w:p>
  </w:footnote>
  <w:footnote w:id="57">
    <w:p w14:paraId="2E3D3177" w14:textId="0EBFB038" w:rsidR="00586354" w:rsidRPr="0026704B" w:rsidRDefault="00586354">
      <w:pPr>
        <w:pStyle w:val="FootnoteText"/>
        <w:rPr>
          <w:szCs w:val="13"/>
        </w:rPr>
      </w:pPr>
      <w:r w:rsidRPr="0026704B">
        <w:rPr>
          <w:rStyle w:val="FootnoteReference"/>
          <w:szCs w:val="13"/>
        </w:rPr>
        <w:footnoteRef/>
      </w:r>
      <w:r w:rsidRPr="0026704B">
        <w:rPr>
          <w:szCs w:val="13"/>
        </w:rPr>
        <w:t xml:space="preserve"> AIHW. (2021). </w:t>
      </w:r>
      <w:r w:rsidRPr="0026704B">
        <w:rPr>
          <w:i/>
          <w:iCs/>
          <w:szCs w:val="13"/>
        </w:rPr>
        <w:t xml:space="preserve">Risk factors for intentional self-harm deaths (Suicide) in Australia. </w:t>
      </w:r>
      <w:r w:rsidR="00822160" w:rsidRPr="0026704B">
        <w:rPr>
          <w:szCs w:val="13"/>
        </w:rPr>
        <w:t>Retrieved from: https://www.abs.gov.au/statistics/health/causes-death/causes-death-australia/latest-release#risk-factors-for-intentional-self-harm-deaths-suicide-in-australia</w:t>
      </w:r>
    </w:p>
  </w:footnote>
  <w:footnote w:id="58">
    <w:p w14:paraId="5F4D705D" w14:textId="77777777" w:rsidR="00740CDD" w:rsidRPr="0026704B" w:rsidRDefault="00740CDD" w:rsidP="00740CDD">
      <w:pPr>
        <w:pStyle w:val="FootnoteText"/>
        <w:rPr>
          <w:szCs w:val="13"/>
        </w:rPr>
      </w:pPr>
      <w:r w:rsidRPr="0026704B">
        <w:rPr>
          <w:rStyle w:val="FootnoteReference"/>
          <w:szCs w:val="13"/>
        </w:rPr>
        <w:footnoteRef/>
      </w:r>
      <w:r w:rsidRPr="0026704B">
        <w:rPr>
          <w:szCs w:val="13"/>
        </w:rPr>
        <w:t xml:space="preserve"> Australian Bureau of Statistics. (2021). </w:t>
      </w:r>
      <w:r w:rsidRPr="0026704B">
        <w:rPr>
          <w:i/>
          <w:iCs/>
          <w:szCs w:val="13"/>
        </w:rPr>
        <w:t xml:space="preserve">Aboriginal and Torres Strait Islander Peoples. </w:t>
      </w:r>
      <w:r w:rsidRPr="0026704B">
        <w:rPr>
          <w:szCs w:val="13"/>
        </w:rPr>
        <w:t>Retrieved from: https://www.abs.gov.au/statistics/people/aboriginal-and-torres-strait-islander-peoples#:~:text=As%20at%2030%20June%202021,of%20the%20total%20Australian%20population.</w:t>
      </w:r>
    </w:p>
  </w:footnote>
  <w:footnote w:id="59">
    <w:p w14:paraId="38DC8623" w14:textId="77777777" w:rsidR="00740CDD" w:rsidRPr="0026704B" w:rsidRDefault="00740CDD" w:rsidP="00740CDD">
      <w:pPr>
        <w:pStyle w:val="FootnoteText"/>
        <w:rPr>
          <w:szCs w:val="13"/>
        </w:rPr>
      </w:pPr>
      <w:r w:rsidRPr="0026704B">
        <w:rPr>
          <w:rStyle w:val="FootnoteReference"/>
          <w:szCs w:val="13"/>
        </w:rPr>
        <w:footnoteRef/>
      </w:r>
      <w:r w:rsidRPr="0026704B">
        <w:rPr>
          <w:szCs w:val="13"/>
        </w:rPr>
        <w:t xml:space="preserve"> Australian Institute of Health and Welfare. (2021). </w:t>
      </w:r>
      <w:r w:rsidRPr="0026704B">
        <w:rPr>
          <w:i/>
          <w:iCs/>
          <w:szCs w:val="13"/>
        </w:rPr>
        <w:t xml:space="preserve">Deaths by suicide amongst Indigenous Australians. </w:t>
      </w:r>
      <w:r w:rsidRPr="0026704B">
        <w:rPr>
          <w:szCs w:val="13"/>
        </w:rPr>
        <w:t>Based on 2020 data. Retrieved from: https://www.aihw.gov.au/suicide-self-harm-monitoring/data/populations-age-groups/suicide-indigenous-australians</w:t>
      </w:r>
    </w:p>
  </w:footnote>
  <w:footnote w:id="60">
    <w:p w14:paraId="79C3A4C7" w14:textId="45F248C4" w:rsidR="00D1753E" w:rsidRPr="0026704B" w:rsidRDefault="00D1753E">
      <w:pPr>
        <w:pStyle w:val="FootnoteText"/>
        <w:rPr>
          <w:szCs w:val="13"/>
        </w:rPr>
      </w:pPr>
      <w:r w:rsidRPr="0026704B">
        <w:rPr>
          <w:rStyle w:val="FootnoteReference"/>
          <w:szCs w:val="13"/>
        </w:rPr>
        <w:footnoteRef/>
      </w:r>
      <w:r w:rsidRPr="0026704B">
        <w:rPr>
          <w:szCs w:val="13"/>
        </w:rPr>
        <w:t xml:space="preserve"> Informed by interviews with Beyond Blue, provider and referring health </w:t>
      </w:r>
      <w:r w:rsidR="00C838D2">
        <w:rPr>
          <w:szCs w:val="13"/>
        </w:rPr>
        <w:t>services</w:t>
      </w:r>
      <w:r w:rsidRPr="0026704B">
        <w:rPr>
          <w:szCs w:val="13"/>
        </w:rPr>
        <w:t xml:space="preserve"> staff. </w:t>
      </w:r>
    </w:p>
  </w:footnote>
  <w:footnote w:id="61">
    <w:p w14:paraId="0A35FFEB" w14:textId="78707153" w:rsidR="007678DD" w:rsidRPr="0026704B" w:rsidRDefault="007678DD" w:rsidP="00FF0077">
      <w:pPr>
        <w:pStyle w:val="FootnoteText"/>
        <w:rPr>
          <w:szCs w:val="13"/>
        </w:rPr>
      </w:pPr>
      <w:r w:rsidRPr="0026704B">
        <w:rPr>
          <w:rStyle w:val="FootnoteReference"/>
          <w:szCs w:val="13"/>
        </w:rPr>
        <w:footnoteRef/>
      </w:r>
      <w:r w:rsidRPr="0026704B">
        <w:rPr>
          <w:szCs w:val="13"/>
        </w:rPr>
        <w:t xml:space="preserve"> Gee, G., Dudgeon, P., Shultz, C., Hart, A. &amp; Kelly, K. (2014). Aboriginal and Torres Strait Islander Social and Emotional Wellbeing. Available from: https://research.bond.edu.au/en/publications/aboriginal-and-torres-strait-islander-social-and-emotional-wellbe</w:t>
      </w:r>
    </w:p>
  </w:footnote>
  <w:footnote w:id="62">
    <w:p w14:paraId="64F37D01" w14:textId="77777777" w:rsidR="007678DD" w:rsidRPr="0026704B" w:rsidRDefault="007678DD" w:rsidP="00E06CED">
      <w:pPr>
        <w:rPr>
          <w:sz w:val="13"/>
          <w:szCs w:val="13"/>
        </w:rPr>
      </w:pPr>
      <w:r w:rsidRPr="0026704B">
        <w:rPr>
          <w:rStyle w:val="FootnoteReference"/>
          <w:sz w:val="13"/>
          <w:szCs w:val="13"/>
        </w:rPr>
        <w:footnoteRef/>
      </w:r>
      <w:r w:rsidRPr="0026704B">
        <w:rPr>
          <w:sz w:val="13"/>
          <w:szCs w:val="13"/>
        </w:rPr>
        <w:t xml:space="preserve"> Productivity Commission. 2020. Productivity Commission Inquiry Report: Volume 1. No 95, 30 June 2020</w:t>
      </w:r>
    </w:p>
  </w:footnote>
  <w:footnote w:id="63">
    <w:p w14:paraId="6C28D6E3" w14:textId="1F9ABFD8" w:rsidR="00E650CD" w:rsidRPr="0026704B" w:rsidRDefault="00E650CD" w:rsidP="00FF0077">
      <w:pPr>
        <w:pStyle w:val="FootnoteText"/>
        <w:rPr>
          <w:szCs w:val="13"/>
        </w:rPr>
      </w:pPr>
      <w:r w:rsidRPr="0026704B">
        <w:rPr>
          <w:rStyle w:val="FootnoteReference"/>
          <w:szCs w:val="13"/>
        </w:rPr>
        <w:footnoteRef/>
      </w:r>
      <w:r w:rsidRPr="0026704B">
        <w:rPr>
          <w:szCs w:val="13"/>
        </w:rPr>
        <w:t xml:space="preserve"> </w:t>
      </w:r>
      <w:r w:rsidR="004D1A34" w:rsidRPr="0026704B">
        <w:rPr>
          <w:szCs w:val="13"/>
        </w:rPr>
        <w:t>Quarterly report data from March 2021 to June 2022</w:t>
      </w:r>
    </w:p>
  </w:footnote>
  <w:footnote w:id="64">
    <w:p w14:paraId="7EEBE8AD" w14:textId="43EB644D" w:rsidR="004D1A34" w:rsidRPr="0026704B" w:rsidRDefault="004D1A34" w:rsidP="00FF0077">
      <w:pPr>
        <w:pStyle w:val="FootnoteText"/>
        <w:rPr>
          <w:szCs w:val="13"/>
        </w:rPr>
      </w:pPr>
      <w:r w:rsidRPr="0026704B">
        <w:rPr>
          <w:rStyle w:val="FootnoteReference"/>
          <w:szCs w:val="13"/>
        </w:rPr>
        <w:footnoteRef/>
      </w:r>
      <w:r w:rsidRPr="0026704B">
        <w:rPr>
          <w:szCs w:val="13"/>
        </w:rPr>
        <w:t xml:space="preserve"> Quarterly report data from March 2021 to June 2022</w:t>
      </w:r>
    </w:p>
  </w:footnote>
  <w:footnote w:id="65">
    <w:p w14:paraId="38280E3C" w14:textId="444F711A" w:rsidR="0006539B" w:rsidRPr="0026704B" w:rsidDel="00A52E6A" w:rsidRDefault="0006539B" w:rsidP="00FF0077">
      <w:pPr>
        <w:pStyle w:val="FootnoteText"/>
        <w:rPr>
          <w:szCs w:val="13"/>
        </w:rPr>
      </w:pPr>
      <w:r w:rsidRPr="0026704B" w:rsidDel="00A52E6A">
        <w:rPr>
          <w:rStyle w:val="FootnoteReference"/>
          <w:szCs w:val="13"/>
        </w:rPr>
        <w:footnoteRef/>
      </w:r>
      <w:r w:rsidRPr="0026704B" w:rsidDel="00A52E6A">
        <w:rPr>
          <w:szCs w:val="13"/>
        </w:rPr>
        <w:t xml:space="preserve"> </w:t>
      </w:r>
      <w:r w:rsidR="00D0105D" w:rsidRPr="0026704B" w:rsidDel="00A52E6A">
        <w:rPr>
          <w:szCs w:val="13"/>
        </w:rPr>
        <w:t xml:space="preserve">Quarterly report data from </w:t>
      </w:r>
      <w:r w:rsidR="00A46143" w:rsidRPr="0026704B">
        <w:rPr>
          <w:szCs w:val="13"/>
        </w:rPr>
        <w:t xml:space="preserve">March </w:t>
      </w:r>
      <w:r w:rsidR="00BF66A7" w:rsidRPr="0026704B">
        <w:rPr>
          <w:szCs w:val="13"/>
        </w:rPr>
        <w:t>2021</w:t>
      </w:r>
      <w:r w:rsidR="00D0105D" w:rsidRPr="0026704B" w:rsidDel="00A52E6A">
        <w:rPr>
          <w:szCs w:val="13"/>
        </w:rPr>
        <w:t xml:space="preserve"> to </w:t>
      </w:r>
      <w:r w:rsidR="00BF66A7" w:rsidRPr="0026704B">
        <w:rPr>
          <w:szCs w:val="13"/>
        </w:rPr>
        <w:t>June 2022</w:t>
      </w:r>
    </w:p>
  </w:footnote>
  <w:footnote w:id="66">
    <w:p w14:paraId="5FFBA95D" w14:textId="26F4E4CA" w:rsidR="00A33C1C" w:rsidRPr="0026704B" w:rsidRDefault="00A33C1C">
      <w:pPr>
        <w:pStyle w:val="FootnoteText"/>
        <w:rPr>
          <w:szCs w:val="13"/>
        </w:rPr>
      </w:pPr>
      <w:r w:rsidRPr="0026704B">
        <w:rPr>
          <w:rStyle w:val="FootnoteReference"/>
          <w:szCs w:val="13"/>
        </w:rPr>
        <w:footnoteRef/>
      </w:r>
      <w:r w:rsidRPr="0026704B">
        <w:rPr>
          <w:szCs w:val="13"/>
        </w:rPr>
        <w:t xml:space="preserve"> Or for family, </w:t>
      </w:r>
      <w:proofErr w:type="gramStart"/>
      <w:r w:rsidRPr="0026704B">
        <w:rPr>
          <w:szCs w:val="13"/>
        </w:rPr>
        <w:t>friends</w:t>
      </w:r>
      <w:proofErr w:type="gramEnd"/>
      <w:r w:rsidRPr="0026704B">
        <w:rPr>
          <w:szCs w:val="13"/>
        </w:rPr>
        <w:t xml:space="preserve"> or carers to make referrals to The Way Back</w:t>
      </w:r>
      <w:r w:rsidR="00B6060F" w:rsidRPr="0026704B">
        <w:rPr>
          <w:szCs w:val="13"/>
        </w:rPr>
        <w:t>.</w:t>
      </w:r>
    </w:p>
  </w:footnote>
  <w:footnote w:id="67">
    <w:p w14:paraId="4A75A4CD" w14:textId="77777777" w:rsidR="009455B4" w:rsidRPr="0026704B" w:rsidRDefault="009455B4" w:rsidP="00FF0077">
      <w:pPr>
        <w:pStyle w:val="FootnoteText"/>
        <w:rPr>
          <w:szCs w:val="13"/>
        </w:rPr>
      </w:pPr>
      <w:r w:rsidRPr="0026704B">
        <w:rPr>
          <w:rStyle w:val="FootnoteReference"/>
          <w:szCs w:val="13"/>
        </w:rPr>
        <w:footnoteRef/>
      </w:r>
      <w:r w:rsidRPr="0026704B">
        <w:rPr>
          <w:szCs w:val="13"/>
        </w:rPr>
        <w:t xml:space="preserve"> Quarterly report data from March 2021 to June 2022</w:t>
      </w:r>
    </w:p>
  </w:footnote>
  <w:footnote w:id="68">
    <w:p w14:paraId="7033D73D" w14:textId="617CB4CA" w:rsidR="008D012E" w:rsidRPr="0026704B" w:rsidRDefault="008D012E" w:rsidP="00FF0077">
      <w:pPr>
        <w:pStyle w:val="FootnoteText"/>
        <w:rPr>
          <w:szCs w:val="13"/>
        </w:rPr>
      </w:pPr>
      <w:r w:rsidRPr="0026704B">
        <w:rPr>
          <w:rStyle w:val="FootnoteReference"/>
          <w:szCs w:val="13"/>
        </w:rPr>
        <w:footnoteRef/>
      </w:r>
      <w:r w:rsidRPr="0026704B">
        <w:rPr>
          <w:szCs w:val="13"/>
        </w:rPr>
        <w:t xml:space="preserve"> </w:t>
      </w:r>
      <w:r w:rsidR="002A07C6" w:rsidRPr="0026704B">
        <w:rPr>
          <w:szCs w:val="13"/>
        </w:rPr>
        <w:t>For additional detail on data limitation</w:t>
      </w:r>
      <w:r w:rsidR="007B0C58" w:rsidRPr="0026704B">
        <w:rPr>
          <w:szCs w:val="13"/>
        </w:rPr>
        <w:t>s and quantitative methodology</w:t>
      </w:r>
      <w:r w:rsidR="002A07C6" w:rsidRPr="0026704B">
        <w:rPr>
          <w:szCs w:val="13"/>
        </w:rPr>
        <w:t xml:space="preserve"> see Appendix </w:t>
      </w:r>
      <w:r w:rsidR="001A1D37" w:rsidRPr="0026704B">
        <w:rPr>
          <w:szCs w:val="13"/>
        </w:rPr>
        <w:t>B</w:t>
      </w:r>
      <w:r w:rsidR="004E16E7" w:rsidRPr="0026704B">
        <w:rPr>
          <w:szCs w:val="13"/>
        </w:rPr>
        <w:t xml:space="preserve">. Note that </w:t>
      </w:r>
      <w:r w:rsidR="004E16E7" w:rsidRPr="0026704B">
        <w:rPr>
          <w:szCs w:val="13"/>
          <w:lang w:eastAsia="en-AU"/>
        </w:rPr>
        <w:t>Quarterly report data for Q4 2021 indicates a higher uptake rate of eighty-two percent.</w:t>
      </w:r>
    </w:p>
  </w:footnote>
  <w:footnote w:id="69">
    <w:p w14:paraId="66CFB958" w14:textId="77777777" w:rsidR="00E05A46" w:rsidRPr="0026704B" w:rsidRDefault="00E05A46" w:rsidP="00FF0077">
      <w:pPr>
        <w:pStyle w:val="FootnoteText"/>
        <w:rPr>
          <w:szCs w:val="13"/>
        </w:rPr>
      </w:pPr>
      <w:r w:rsidRPr="0026704B">
        <w:rPr>
          <w:rStyle w:val="FootnoteReference"/>
          <w:szCs w:val="13"/>
        </w:rPr>
        <w:footnoteRef/>
      </w:r>
      <w:r w:rsidRPr="0026704B">
        <w:rPr>
          <w:szCs w:val="13"/>
        </w:rPr>
        <w:t xml:space="preserve"> University of Newcastle, ‘The NSW Way Back Support Service (Hunter): Process &amp; Effectiveness Outcomes Evaluation Report’, October 2019, p.53.</w:t>
      </w:r>
    </w:p>
  </w:footnote>
  <w:footnote w:id="70">
    <w:p w14:paraId="4A065789" w14:textId="77777777" w:rsidR="00E05A46" w:rsidRPr="0026704B" w:rsidRDefault="00E05A46" w:rsidP="00FF0077">
      <w:pPr>
        <w:pStyle w:val="FootnoteText"/>
        <w:rPr>
          <w:szCs w:val="13"/>
        </w:rPr>
      </w:pPr>
      <w:r w:rsidRPr="0026704B">
        <w:rPr>
          <w:rStyle w:val="FootnoteReference"/>
          <w:szCs w:val="13"/>
        </w:rPr>
        <w:footnoteRef/>
      </w:r>
      <w:r w:rsidRPr="0026704B">
        <w:rPr>
          <w:szCs w:val="13"/>
        </w:rPr>
        <w:t xml:space="preserve"> Productivity Commission. 2020. Productivity Commission Inquiry Report: Volume 2. No 95, 30 June 2020. </w:t>
      </w:r>
    </w:p>
  </w:footnote>
  <w:footnote w:id="71">
    <w:p w14:paraId="4B30C0DA" w14:textId="36A9364D" w:rsidR="002F6F88" w:rsidRPr="0026704B" w:rsidRDefault="002F6F88" w:rsidP="00FF0077">
      <w:pPr>
        <w:pStyle w:val="FootnoteText"/>
        <w:rPr>
          <w:szCs w:val="13"/>
        </w:rPr>
      </w:pPr>
      <w:r w:rsidRPr="0026704B">
        <w:rPr>
          <w:rStyle w:val="FootnoteReference"/>
          <w:szCs w:val="13"/>
        </w:rPr>
        <w:footnoteRef/>
      </w:r>
      <w:r w:rsidRPr="0026704B">
        <w:rPr>
          <w:szCs w:val="13"/>
        </w:rPr>
        <w:t xml:space="preserve"> Based on a sample of supplementary data between </w:t>
      </w:r>
      <w:r w:rsidR="00D81D68" w:rsidRPr="0026704B">
        <w:rPr>
          <w:szCs w:val="13"/>
        </w:rPr>
        <w:t>July</w:t>
      </w:r>
      <w:r w:rsidR="00486491" w:rsidRPr="0026704B">
        <w:rPr>
          <w:szCs w:val="13"/>
        </w:rPr>
        <w:t xml:space="preserve"> 2021</w:t>
      </w:r>
      <w:r w:rsidRPr="0026704B">
        <w:rPr>
          <w:szCs w:val="13"/>
        </w:rPr>
        <w:t xml:space="preserve"> and </w:t>
      </w:r>
      <w:r w:rsidR="00486491" w:rsidRPr="0026704B">
        <w:rPr>
          <w:szCs w:val="13"/>
        </w:rPr>
        <w:t>J</w:t>
      </w:r>
      <w:r w:rsidR="00D81D68" w:rsidRPr="0026704B">
        <w:rPr>
          <w:szCs w:val="13"/>
        </w:rPr>
        <w:t>une</w:t>
      </w:r>
      <w:r w:rsidRPr="0026704B">
        <w:rPr>
          <w:szCs w:val="13"/>
        </w:rPr>
        <w:t xml:space="preserve"> 202</w:t>
      </w:r>
      <w:r w:rsidR="00D81D68" w:rsidRPr="0026704B">
        <w:rPr>
          <w:szCs w:val="13"/>
        </w:rPr>
        <w:t>2</w:t>
      </w:r>
    </w:p>
  </w:footnote>
  <w:footnote w:id="72">
    <w:p w14:paraId="182758A1" w14:textId="4F1711A6" w:rsidR="002F6F88" w:rsidRPr="0026704B" w:rsidRDefault="002F6F88" w:rsidP="00FF0077">
      <w:pPr>
        <w:pStyle w:val="FootnoteText"/>
        <w:rPr>
          <w:szCs w:val="13"/>
        </w:rPr>
      </w:pPr>
      <w:r w:rsidRPr="0026704B">
        <w:rPr>
          <w:rStyle w:val="FootnoteReference"/>
          <w:szCs w:val="13"/>
        </w:rPr>
        <w:footnoteRef/>
      </w:r>
      <w:r w:rsidRPr="0026704B">
        <w:rPr>
          <w:szCs w:val="13"/>
        </w:rPr>
        <w:t xml:space="preserve"> </w:t>
      </w:r>
      <w:r w:rsidR="00A50665" w:rsidRPr="0026704B">
        <w:rPr>
          <w:szCs w:val="13"/>
        </w:rPr>
        <w:t xml:space="preserve">Based on analysis of supplementary data </w:t>
      </w:r>
      <w:r w:rsidR="00D81D68" w:rsidRPr="0026704B">
        <w:rPr>
          <w:szCs w:val="13"/>
        </w:rPr>
        <w:t>July</w:t>
      </w:r>
      <w:r w:rsidR="00A50665" w:rsidRPr="0026704B">
        <w:rPr>
          <w:szCs w:val="13"/>
        </w:rPr>
        <w:t xml:space="preserve"> 2021 to </w:t>
      </w:r>
      <w:r w:rsidR="00D81D68" w:rsidRPr="0026704B">
        <w:rPr>
          <w:szCs w:val="13"/>
        </w:rPr>
        <w:t>June</w:t>
      </w:r>
      <w:r w:rsidR="00A50665" w:rsidRPr="0026704B">
        <w:rPr>
          <w:szCs w:val="13"/>
        </w:rPr>
        <w:t xml:space="preserve"> 2022</w:t>
      </w:r>
    </w:p>
  </w:footnote>
  <w:footnote w:id="73">
    <w:p w14:paraId="5F16E711" w14:textId="4EDBCBF1" w:rsidR="009619F9" w:rsidRPr="0026704B" w:rsidRDefault="009619F9">
      <w:pPr>
        <w:pStyle w:val="FootnoteText"/>
        <w:rPr>
          <w:szCs w:val="13"/>
        </w:rPr>
      </w:pPr>
      <w:r w:rsidRPr="0026704B">
        <w:rPr>
          <w:rStyle w:val="FootnoteReference"/>
          <w:szCs w:val="13"/>
        </w:rPr>
        <w:footnoteRef/>
      </w:r>
      <w:r w:rsidRPr="0026704B">
        <w:rPr>
          <w:szCs w:val="13"/>
        </w:rPr>
        <w:t xml:space="preserve"> The SAX Institute for the Minister of Health NSW, ‘Evidence Check - Suicide aftercare services’, October 2019, p29.</w:t>
      </w:r>
    </w:p>
  </w:footnote>
  <w:footnote w:id="74">
    <w:p w14:paraId="2F4AC733" w14:textId="3FD6BE7A" w:rsidR="00226802" w:rsidRPr="0026704B" w:rsidRDefault="00226802" w:rsidP="00FF0077">
      <w:pPr>
        <w:pStyle w:val="FootnoteText"/>
        <w:rPr>
          <w:szCs w:val="13"/>
        </w:rPr>
      </w:pPr>
      <w:r w:rsidRPr="0026704B">
        <w:rPr>
          <w:rStyle w:val="FootnoteReference"/>
          <w:szCs w:val="13"/>
        </w:rPr>
        <w:footnoteRef/>
      </w:r>
      <w:r w:rsidR="00350590" w:rsidRPr="0026704B">
        <w:rPr>
          <w:szCs w:val="13"/>
        </w:rPr>
        <w:t xml:space="preserve"> Based o</w:t>
      </w:r>
      <w:r w:rsidR="00B2077F" w:rsidRPr="0026704B">
        <w:rPr>
          <w:szCs w:val="13"/>
        </w:rPr>
        <w:t>n</w:t>
      </w:r>
      <w:r w:rsidR="006D0681" w:rsidRPr="0026704B">
        <w:rPr>
          <w:szCs w:val="13"/>
        </w:rPr>
        <w:t xml:space="preserve"> analysis </w:t>
      </w:r>
      <w:r w:rsidR="005A7CA6" w:rsidRPr="0026704B">
        <w:rPr>
          <w:szCs w:val="13"/>
        </w:rPr>
        <w:t>(</w:t>
      </w:r>
      <w:r w:rsidR="00765331" w:rsidRPr="0026704B">
        <w:rPr>
          <w:szCs w:val="13"/>
        </w:rPr>
        <w:t>generali</w:t>
      </w:r>
      <w:r w:rsidR="005A7CA6" w:rsidRPr="0026704B">
        <w:rPr>
          <w:szCs w:val="13"/>
        </w:rPr>
        <w:t>s</w:t>
      </w:r>
      <w:r w:rsidR="00765331" w:rsidRPr="0026704B">
        <w:rPr>
          <w:szCs w:val="13"/>
        </w:rPr>
        <w:t>ed linear mixed-effects mode</w:t>
      </w:r>
      <w:r w:rsidR="005A7CA6" w:rsidRPr="0026704B">
        <w:rPr>
          <w:szCs w:val="13"/>
        </w:rPr>
        <w:t>l</w:t>
      </w:r>
      <w:r w:rsidR="00765331" w:rsidRPr="0026704B">
        <w:rPr>
          <w:szCs w:val="13"/>
        </w:rPr>
        <w:t xml:space="preserve">) </w:t>
      </w:r>
      <w:r w:rsidR="006D0681" w:rsidRPr="0026704B">
        <w:rPr>
          <w:szCs w:val="13"/>
        </w:rPr>
        <w:t>of</w:t>
      </w:r>
      <w:r w:rsidR="00350590" w:rsidRPr="0026704B">
        <w:rPr>
          <w:szCs w:val="13"/>
        </w:rPr>
        <w:t xml:space="preserve"> PMHC MDS and </w:t>
      </w:r>
      <w:r w:rsidR="00AA13DC" w:rsidRPr="0026704B">
        <w:rPr>
          <w:szCs w:val="13"/>
        </w:rPr>
        <w:t>The Way Back</w:t>
      </w:r>
      <w:r w:rsidR="00350590" w:rsidRPr="0026704B">
        <w:rPr>
          <w:szCs w:val="13"/>
        </w:rPr>
        <w:t xml:space="preserve"> Extension data for 27 sites between </w:t>
      </w:r>
      <w:r w:rsidR="006D0681" w:rsidRPr="0026704B">
        <w:rPr>
          <w:szCs w:val="13"/>
        </w:rPr>
        <w:t>July</w:t>
      </w:r>
      <w:r w:rsidR="00350590" w:rsidRPr="0026704B">
        <w:rPr>
          <w:szCs w:val="13"/>
        </w:rPr>
        <w:t xml:space="preserve"> 201</w:t>
      </w:r>
      <w:r w:rsidR="006D0681" w:rsidRPr="0026704B">
        <w:rPr>
          <w:szCs w:val="13"/>
        </w:rPr>
        <w:t>8</w:t>
      </w:r>
      <w:r w:rsidR="00350590" w:rsidRPr="0026704B">
        <w:rPr>
          <w:szCs w:val="13"/>
        </w:rPr>
        <w:t xml:space="preserve"> and February 2022</w:t>
      </w:r>
    </w:p>
  </w:footnote>
  <w:footnote w:id="75">
    <w:p w14:paraId="645CD943" w14:textId="27A19DFA" w:rsidR="00085A2B" w:rsidRPr="0026704B" w:rsidRDefault="00085A2B">
      <w:pPr>
        <w:pStyle w:val="FootnoteText"/>
        <w:rPr>
          <w:szCs w:val="13"/>
        </w:rPr>
      </w:pPr>
      <w:r w:rsidRPr="0026704B">
        <w:rPr>
          <w:rStyle w:val="FootnoteReference"/>
          <w:szCs w:val="13"/>
        </w:rPr>
        <w:footnoteRef/>
      </w:r>
      <w:r w:rsidRPr="0026704B">
        <w:rPr>
          <w:szCs w:val="13"/>
        </w:rPr>
        <w:t xml:space="preserve"> </w:t>
      </w:r>
      <w:r w:rsidR="00000EEE" w:rsidRPr="0026704B">
        <w:rPr>
          <w:szCs w:val="13"/>
        </w:rPr>
        <w:t>For this evaluation</w:t>
      </w:r>
      <w:r w:rsidR="00D36C4C" w:rsidRPr="0026704B">
        <w:rPr>
          <w:szCs w:val="13"/>
        </w:rPr>
        <w:t>,</w:t>
      </w:r>
      <w:r w:rsidR="00000EEE" w:rsidRPr="0026704B">
        <w:rPr>
          <w:szCs w:val="13"/>
        </w:rPr>
        <w:t xml:space="preserve"> a</w:t>
      </w:r>
      <w:r w:rsidR="00013FE3" w:rsidRPr="0026704B">
        <w:rPr>
          <w:szCs w:val="13"/>
        </w:rPr>
        <w:t xml:space="preserve"> participant is deemed to have access to peer support when their </w:t>
      </w:r>
      <w:r w:rsidR="003C7905" w:rsidRPr="0026704B">
        <w:rPr>
          <w:szCs w:val="13"/>
        </w:rPr>
        <w:t xml:space="preserve">service episode includes a contact with a </w:t>
      </w:r>
      <w:r w:rsidR="00D36C4C" w:rsidRPr="0026704B">
        <w:rPr>
          <w:szCs w:val="13"/>
        </w:rPr>
        <w:t>peer support worker</w:t>
      </w:r>
      <w:r w:rsidR="00F82F1D" w:rsidRPr="0026704B">
        <w:rPr>
          <w:szCs w:val="13"/>
        </w:rPr>
        <w:t xml:space="preserve"> </w:t>
      </w:r>
      <w:r w:rsidR="00847C93" w:rsidRPr="0026704B">
        <w:rPr>
          <w:szCs w:val="13"/>
        </w:rPr>
        <w:t xml:space="preserve">contained within the Murrumbidgee site </w:t>
      </w:r>
      <w:r w:rsidR="00000EEE" w:rsidRPr="0026704B">
        <w:rPr>
          <w:szCs w:val="13"/>
        </w:rPr>
        <w:t>that is recorded in PMHC MDS data</w:t>
      </w:r>
      <w:r w:rsidR="00D36C4C" w:rsidRPr="0026704B">
        <w:rPr>
          <w:szCs w:val="13"/>
        </w:rPr>
        <w:t>.</w:t>
      </w:r>
    </w:p>
  </w:footnote>
  <w:footnote w:id="76">
    <w:p w14:paraId="05D99F23" w14:textId="1EB3891F" w:rsidR="00040065" w:rsidRPr="0026704B" w:rsidRDefault="00040065" w:rsidP="00FF0077">
      <w:pPr>
        <w:pStyle w:val="FootnoteText"/>
        <w:rPr>
          <w:szCs w:val="13"/>
        </w:rPr>
      </w:pPr>
      <w:r w:rsidRPr="0026704B">
        <w:rPr>
          <w:rStyle w:val="FootnoteReference"/>
          <w:szCs w:val="13"/>
        </w:rPr>
        <w:footnoteRef/>
      </w:r>
      <w:r w:rsidRPr="0026704B">
        <w:rPr>
          <w:szCs w:val="13"/>
        </w:rPr>
        <w:t xml:space="preserve"> </w:t>
      </w:r>
      <w:r w:rsidR="00350590" w:rsidRPr="0026704B">
        <w:rPr>
          <w:szCs w:val="13"/>
        </w:rPr>
        <w:t xml:space="preserve"> Based o</w:t>
      </w:r>
      <w:r w:rsidR="00B2077F" w:rsidRPr="0026704B">
        <w:rPr>
          <w:szCs w:val="13"/>
        </w:rPr>
        <w:t>n</w:t>
      </w:r>
      <w:r w:rsidR="006D0681" w:rsidRPr="0026704B">
        <w:rPr>
          <w:szCs w:val="13"/>
        </w:rPr>
        <w:t xml:space="preserve"> analysis of</w:t>
      </w:r>
      <w:r w:rsidR="00350590" w:rsidRPr="0026704B">
        <w:rPr>
          <w:szCs w:val="13"/>
        </w:rPr>
        <w:t xml:space="preserve"> PMHC MDS and </w:t>
      </w:r>
      <w:r w:rsidR="00AA13DC" w:rsidRPr="0026704B">
        <w:rPr>
          <w:szCs w:val="13"/>
        </w:rPr>
        <w:t>The Way Back</w:t>
      </w:r>
      <w:r w:rsidR="00350590" w:rsidRPr="0026704B">
        <w:rPr>
          <w:szCs w:val="13"/>
        </w:rPr>
        <w:t xml:space="preserve"> Extension data for 27 sites between </w:t>
      </w:r>
      <w:r w:rsidR="006D0681" w:rsidRPr="0026704B">
        <w:rPr>
          <w:szCs w:val="13"/>
        </w:rPr>
        <w:t>July</w:t>
      </w:r>
      <w:r w:rsidR="00350590" w:rsidRPr="0026704B">
        <w:rPr>
          <w:szCs w:val="13"/>
        </w:rPr>
        <w:t xml:space="preserve"> 201</w:t>
      </w:r>
      <w:r w:rsidR="006D0681" w:rsidRPr="0026704B">
        <w:rPr>
          <w:szCs w:val="13"/>
        </w:rPr>
        <w:t>8</w:t>
      </w:r>
      <w:r w:rsidR="00350590" w:rsidRPr="0026704B">
        <w:rPr>
          <w:szCs w:val="13"/>
        </w:rPr>
        <w:t xml:space="preserve"> and February 2022</w:t>
      </w:r>
    </w:p>
  </w:footnote>
  <w:footnote w:id="77">
    <w:p w14:paraId="32B3C38A" w14:textId="2831C438" w:rsidR="00991EF1" w:rsidRPr="0026704B" w:rsidRDefault="00991EF1" w:rsidP="00FF0077">
      <w:pPr>
        <w:pStyle w:val="FootnoteText"/>
        <w:rPr>
          <w:szCs w:val="13"/>
        </w:rPr>
      </w:pPr>
      <w:r w:rsidRPr="0026704B">
        <w:rPr>
          <w:rStyle w:val="FootnoteReference"/>
          <w:szCs w:val="13"/>
        </w:rPr>
        <w:footnoteRef/>
      </w:r>
      <w:r w:rsidRPr="0026704B">
        <w:rPr>
          <w:szCs w:val="13"/>
        </w:rPr>
        <w:t xml:space="preserve"> </w:t>
      </w:r>
      <w:r w:rsidR="002E7B8F" w:rsidRPr="0026704B">
        <w:rPr>
          <w:szCs w:val="13"/>
        </w:rPr>
        <w:t>Based on</w:t>
      </w:r>
      <w:r w:rsidR="006D0681" w:rsidRPr="0026704B">
        <w:rPr>
          <w:szCs w:val="13"/>
        </w:rPr>
        <w:t xml:space="preserve"> analysis of</w:t>
      </w:r>
      <w:r w:rsidR="002E7B8F" w:rsidRPr="0026704B">
        <w:rPr>
          <w:szCs w:val="13"/>
        </w:rPr>
        <w:t xml:space="preserve"> PMHC MDS and </w:t>
      </w:r>
      <w:r w:rsidR="00AA13DC" w:rsidRPr="0026704B">
        <w:rPr>
          <w:szCs w:val="13"/>
        </w:rPr>
        <w:t xml:space="preserve">The Way Back </w:t>
      </w:r>
      <w:r w:rsidR="002E7B8F" w:rsidRPr="0026704B">
        <w:rPr>
          <w:szCs w:val="13"/>
        </w:rPr>
        <w:t xml:space="preserve">Extension data for 27 sites between </w:t>
      </w:r>
      <w:r w:rsidR="006D0681" w:rsidRPr="0026704B">
        <w:rPr>
          <w:szCs w:val="13"/>
        </w:rPr>
        <w:t>July</w:t>
      </w:r>
      <w:r w:rsidR="002E7B8F" w:rsidRPr="0026704B">
        <w:rPr>
          <w:szCs w:val="13"/>
        </w:rPr>
        <w:t xml:space="preserve"> 201</w:t>
      </w:r>
      <w:r w:rsidR="006D0681" w:rsidRPr="0026704B">
        <w:rPr>
          <w:szCs w:val="13"/>
        </w:rPr>
        <w:t>8</w:t>
      </w:r>
      <w:r w:rsidR="002E7B8F" w:rsidRPr="0026704B">
        <w:rPr>
          <w:szCs w:val="13"/>
        </w:rPr>
        <w:t xml:space="preserve"> and February 2022</w:t>
      </w:r>
    </w:p>
  </w:footnote>
  <w:footnote w:id="78">
    <w:p w14:paraId="6FCB3B18" w14:textId="0AB1546A" w:rsidR="008D3206" w:rsidRPr="0026704B" w:rsidRDefault="008D3206" w:rsidP="00FF0077">
      <w:pPr>
        <w:pStyle w:val="FootnoteText"/>
        <w:rPr>
          <w:szCs w:val="13"/>
        </w:rPr>
      </w:pPr>
      <w:r w:rsidRPr="0026704B">
        <w:rPr>
          <w:rStyle w:val="FootnoteReference"/>
          <w:szCs w:val="13"/>
        </w:rPr>
        <w:footnoteRef/>
      </w:r>
      <w:r w:rsidRPr="0026704B">
        <w:rPr>
          <w:szCs w:val="13"/>
        </w:rPr>
        <w:t xml:space="preserve"> Based on interviews with providers and </w:t>
      </w:r>
      <w:r w:rsidR="002F6D7A" w:rsidRPr="0026704B">
        <w:rPr>
          <w:szCs w:val="13"/>
        </w:rPr>
        <w:t>participants</w:t>
      </w:r>
      <w:r w:rsidRPr="0026704B">
        <w:rPr>
          <w:szCs w:val="13"/>
        </w:rPr>
        <w:t>, free text survey responses and quarterly reports.</w:t>
      </w:r>
    </w:p>
  </w:footnote>
  <w:footnote w:id="79">
    <w:p w14:paraId="662F2E08" w14:textId="77777777" w:rsidR="00880350" w:rsidRPr="0026704B" w:rsidRDefault="00880350" w:rsidP="00FF0077">
      <w:pPr>
        <w:pStyle w:val="FootnoteText"/>
        <w:rPr>
          <w:szCs w:val="13"/>
        </w:rPr>
      </w:pPr>
      <w:r w:rsidRPr="0026704B">
        <w:rPr>
          <w:rStyle w:val="FootnoteReference"/>
          <w:szCs w:val="13"/>
        </w:rPr>
        <w:footnoteRef/>
      </w:r>
      <w:r w:rsidRPr="0026704B">
        <w:rPr>
          <w:szCs w:val="13"/>
        </w:rPr>
        <w:t xml:space="preserve"> Based on analysis of PMHC MDS data for 27 in-scope sites between July 2018 to September 2022</w:t>
      </w:r>
    </w:p>
  </w:footnote>
  <w:footnote w:id="80">
    <w:p w14:paraId="510DBA20" w14:textId="77777777" w:rsidR="0050689D" w:rsidRPr="0026704B" w:rsidRDefault="0050689D" w:rsidP="00FF0077">
      <w:pPr>
        <w:pStyle w:val="FootnoteText"/>
        <w:rPr>
          <w:szCs w:val="13"/>
        </w:rPr>
      </w:pPr>
      <w:r w:rsidRPr="0026704B">
        <w:rPr>
          <w:rStyle w:val="FootnoteReference"/>
          <w:szCs w:val="13"/>
        </w:rPr>
        <w:footnoteRef/>
      </w:r>
      <w:r w:rsidRPr="0026704B">
        <w:rPr>
          <w:szCs w:val="13"/>
        </w:rPr>
        <w:t xml:space="preserve"> Nous Group (2021). The Way Back Support Service Peer Support Trial Evaluation, Final Report. </w:t>
      </w:r>
    </w:p>
  </w:footnote>
  <w:footnote w:id="81">
    <w:p w14:paraId="6594CD73" w14:textId="61858B75" w:rsidR="007E2434" w:rsidRPr="0026704B" w:rsidRDefault="007E2434" w:rsidP="00FF0077">
      <w:pPr>
        <w:pStyle w:val="FootnoteText"/>
        <w:rPr>
          <w:szCs w:val="13"/>
        </w:rPr>
      </w:pPr>
      <w:r w:rsidRPr="0026704B">
        <w:rPr>
          <w:rStyle w:val="FootnoteReference"/>
          <w:szCs w:val="13"/>
        </w:rPr>
        <w:footnoteRef/>
      </w:r>
      <w:r w:rsidRPr="0026704B">
        <w:rPr>
          <w:szCs w:val="13"/>
        </w:rPr>
        <w:t xml:space="preserve"> Based on analysis </w:t>
      </w:r>
      <w:r w:rsidR="00071800" w:rsidRPr="0026704B">
        <w:rPr>
          <w:szCs w:val="13"/>
        </w:rPr>
        <w:t>(generalised linear mixed-effects model)</w:t>
      </w:r>
      <w:r w:rsidRPr="0026704B">
        <w:rPr>
          <w:szCs w:val="13"/>
        </w:rPr>
        <w:t xml:space="preserve"> of PMHC MDS </w:t>
      </w:r>
      <w:r w:rsidR="009202A1" w:rsidRPr="0026704B">
        <w:rPr>
          <w:szCs w:val="13"/>
        </w:rPr>
        <w:t>data for 27 in-scope</w:t>
      </w:r>
      <w:r w:rsidRPr="0026704B">
        <w:rPr>
          <w:szCs w:val="13"/>
        </w:rPr>
        <w:t xml:space="preserve"> sites </w:t>
      </w:r>
      <w:r w:rsidR="009202A1" w:rsidRPr="0026704B">
        <w:rPr>
          <w:szCs w:val="13"/>
        </w:rPr>
        <w:t>between</w:t>
      </w:r>
      <w:r w:rsidRPr="0026704B">
        <w:rPr>
          <w:szCs w:val="13"/>
        </w:rPr>
        <w:t xml:space="preserve"> </w:t>
      </w:r>
      <w:r w:rsidR="009202A1" w:rsidRPr="0026704B">
        <w:rPr>
          <w:szCs w:val="13"/>
        </w:rPr>
        <w:t>July</w:t>
      </w:r>
      <w:r w:rsidRPr="0026704B">
        <w:rPr>
          <w:szCs w:val="13"/>
        </w:rPr>
        <w:t xml:space="preserve"> 201</w:t>
      </w:r>
      <w:r w:rsidR="009202A1" w:rsidRPr="0026704B">
        <w:rPr>
          <w:szCs w:val="13"/>
        </w:rPr>
        <w:t>8</w:t>
      </w:r>
      <w:r w:rsidRPr="0026704B">
        <w:rPr>
          <w:szCs w:val="13"/>
        </w:rPr>
        <w:t xml:space="preserve"> to </w:t>
      </w:r>
      <w:r w:rsidR="009202A1" w:rsidRPr="0026704B">
        <w:rPr>
          <w:szCs w:val="13"/>
        </w:rPr>
        <w:t>September</w:t>
      </w:r>
      <w:r w:rsidRPr="0026704B">
        <w:rPr>
          <w:szCs w:val="13"/>
        </w:rPr>
        <w:t xml:space="preserve"> 202</w:t>
      </w:r>
      <w:r w:rsidR="009202A1" w:rsidRPr="0026704B">
        <w:rPr>
          <w:szCs w:val="13"/>
        </w:rPr>
        <w:t>2</w:t>
      </w:r>
      <w:r w:rsidRPr="0026704B">
        <w:rPr>
          <w:szCs w:val="13"/>
        </w:rPr>
        <w:t>.</w:t>
      </w:r>
    </w:p>
  </w:footnote>
  <w:footnote w:id="82">
    <w:p w14:paraId="21B14EFD" w14:textId="73B676D9" w:rsidR="00650D48" w:rsidRPr="0026704B" w:rsidRDefault="00650D48" w:rsidP="00FF0077">
      <w:pPr>
        <w:pStyle w:val="FootnoteText"/>
        <w:rPr>
          <w:szCs w:val="13"/>
        </w:rPr>
      </w:pPr>
      <w:r w:rsidRPr="0026704B">
        <w:rPr>
          <w:rStyle w:val="FootnoteReference"/>
          <w:szCs w:val="13"/>
        </w:rPr>
        <w:footnoteRef/>
      </w:r>
      <w:r w:rsidRPr="0026704B">
        <w:rPr>
          <w:szCs w:val="13"/>
        </w:rPr>
        <w:t xml:space="preserve"> Based on analysis of PMHC MDS for 27 in-scope sites between </w:t>
      </w:r>
      <w:r w:rsidR="009202A1" w:rsidRPr="0026704B">
        <w:rPr>
          <w:szCs w:val="13"/>
        </w:rPr>
        <w:t>July</w:t>
      </w:r>
      <w:r w:rsidRPr="0026704B">
        <w:rPr>
          <w:szCs w:val="13"/>
        </w:rPr>
        <w:t xml:space="preserve"> 2018 and September 2022</w:t>
      </w:r>
      <w:r w:rsidR="009202A1" w:rsidRPr="0026704B">
        <w:rPr>
          <w:szCs w:val="13"/>
        </w:rPr>
        <w:t>.</w:t>
      </w:r>
    </w:p>
  </w:footnote>
  <w:footnote w:id="83">
    <w:p w14:paraId="76ED3602" w14:textId="266566B3" w:rsidR="009350D9" w:rsidRPr="0026704B" w:rsidRDefault="009350D9" w:rsidP="00FF0077">
      <w:pPr>
        <w:pStyle w:val="FootnoteText"/>
        <w:rPr>
          <w:szCs w:val="13"/>
        </w:rPr>
      </w:pPr>
      <w:r w:rsidRPr="0026704B">
        <w:rPr>
          <w:rStyle w:val="FootnoteReference"/>
          <w:szCs w:val="13"/>
        </w:rPr>
        <w:footnoteRef/>
      </w:r>
      <w:r w:rsidRPr="0026704B">
        <w:rPr>
          <w:szCs w:val="13"/>
        </w:rPr>
        <w:t xml:space="preserve"> Based on analysis of PMHC MDS for 27 in-scope sites between </w:t>
      </w:r>
      <w:r w:rsidR="00EB6799" w:rsidRPr="0026704B">
        <w:rPr>
          <w:szCs w:val="13"/>
        </w:rPr>
        <w:t>July</w:t>
      </w:r>
      <w:r w:rsidRPr="0026704B">
        <w:rPr>
          <w:szCs w:val="13"/>
        </w:rPr>
        <w:t xml:space="preserve"> 2018 and </w:t>
      </w:r>
      <w:r w:rsidR="00EB6799" w:rsidRPr="0026704B">
        <w:rPr>
          <w:szCs w:val="13"/>
        </w:rPr>
        <w:t>September</w:t>
      </w:r>
      <w:r w:rsidR="006276FC" w:rsidRPr="0026704B">
        <w:rPr>
          <w:szCs w:val="13"/>
        </w:rPr>
        <w:t xml:space="preserve"> 2022. </w:t>
      </w:r>
      <w:r w:rsidR="00853463" w:rsidRPr="0026704B">
        <w:rPr>
          <w:szCs w:val="13"/>
        </w:rPr>
        <w:t xml:space="preserve">It should be noted that there was </w:t>
      </w:r>
      <w:r w:rsidR="00411F80" w:rsidRPr="0026704B">
        <w:rPr>
          <w:szCs w:val="13"/>
        </w:rPr>
        <w:t xml:space="preserve">very limited </w:t>
      </w:r>
      <w:r w:rsidR="00A91DDF" w:rsidRPr="0026704B">
        <w:rPr>
          <w:szCs w:val="13"/>
        </w:rPr>
        <w:t xml:space="preserve">data recorded in the PMHC MDS on the </w:t>
      </w:r>
      <w:r w:rsidR="00411F80" w:rsidRPr="0026704B">
        <w:rPr>
          <w:szCs w:val="13"/>
        </w:rPr>
        <w:t xml:space="preserve">number of referrals out </w:t>
      </w:r>
      <w:r w:rsidR="00A91DDF" w:rsidRPr="0026704B">
        <w:rPr>
          <w:szCs w:val="13"/>
        </w:rPr>
        <w:t xml:space="preserve">to services and supported for some sites. </w:t>
      </w:r>
    </w:p>
  </w:footnote>
  <w:footnote w:id="84">
    <w:p w14:paraId="5CD67D4F" w14:textId="3EEC5BED" w:rsidR="0097578D" w:rsidRPr="0026704B" w:rsidRDefault="0097578D">
      <w:pPr>
        <w:pStyle w:val="FootnoteText"/>
        <w:rPr>
          <w:szCs w:val="13"/>
        </w:rPr>
      </w:pPr>
      <w:r w:rsidRPr="0026704B">
        <w:rPr>
          <w:rStyle w:val="FootnoteReference"/>
          <w:szCs w:val="13"/>
        </w:rPr>
        <w:footnoteRef/>
      </w:r>
      <w:r w:rsidRPr="0026704B">
        <w:rPr>
          <w:szCs w:val="13"/>
        </w:rPr>
        <w:t xml:space="preserve"> </w:t>
      </w:r>
      <w:r w:rsidR="00697E62" w:rsidRPr="0026704B">
        <w:rPr>
          <w:szCs w:val="13"/>
        </w:rPr>
        <w:t xml:space="preserve">Most survey respondents </w:t>
      </w:r>
      <w:r w:rsidR="005D6801" w:rsidRPr="0026704B">
        <w:rPr>
          <w:szCs w:val="13"/>
        </w:rPr>
        <w:t xml:space="preserve">(95 per cent) </w:t>
      </w:r>
      <w:r w:rsidR="00697E62" w:rsidRPr="0026704B">
        <w:rPr>
          <w:szCs w:val="13"/>
        </w:rPr>
        <w:t xml:space="preserve">had lived experience of suicidality. Survey </w:t>
      </w:r>
      <w:r w:rsidRPr="0026704B">
        <w:rPr>
          <w:szCs w:val="13"/>
        </w:rPr>
        <w:t xml:space="preserve">respondents </w:t>
      </w:r>
      <w:r w:rsidR="00697E62" w:rsidRPr="0026704B">
        <w:rPr>
          <w:szCs w:val="13"/>
        </w:rPr>
        <w:t xml:space="preserve">(n= 59) </w:t>
      </w:r>
      <w:r w:rsidRPr="0026704B">
        <w:rPr>
          <w:szCs w:val="13"/>
        </w:rPr>
        <w:t>reported that their motivation for becoming a BVRITO member (noting they could select more than one option) was that they were bereaved from suicide (16 selections</w:t>
      </w:r>
      <w:r w:rsidR="00697E62" w:rsidRPr="0026704B">
        <w:rPr>
          <w:szCs w:val="13"/>
        </w:rPr>
        <w:t xml:space="preserve"> </w:t>
      </w:r>
      <w:r w:rsidR="005D6801" w:rsidRPr="0026704B">
        <w:rPr>
          <w:szCs w:val="13"/>
        </w:rPr>
        <w:t>27 per cent</w:t>
      </w:r>
      <w:r w:rsidRPr="0026704B">
        <w:rPr>
          <w:szCs w:val="13"/>
        </w:rPr>
        <w:t>); experienced suicidal thoughts, crisis and/or attempted suicide (56 selections</w:t>
      </w:r>
      <w:r w:rsidR="005D6801" w:rsidRPr="0026704B">
        <w:rPr>
          <w:szCs w:val="13"/>
        </w:rPr>
        <w:t xml:space="preserve"> or 95 per cent</w:t>
      </w:r>
      <w:r w:rsidRPr="0026704B">
        <w:rPr>
          <w:szCs w:val="13"/>
        </w:rPr>
        <w:t xml:space="preserve">), and/or supported someone who has experienced suicidal thoughts, crisis and/or attempt (26 </w:t>
      </w:r>
      <w:r w:rsidR="005D6801" w:rsidRPr="0026704B">
        <w:rPr>
          <w:szCs w:val="13"/>
        </w:rPr>
        <w:t xml:space="preserve">selections or </w:t>
      </w:r>
      <w:proofErr w:type="gramStart"/>
      <w:r w:rsidR="005D6801" w:rsidRPr="0026704B">
        <w:rPr>
          <w:szCs w:val="13"/>
        </w:rPr>
        <w:t>44  per</w:t>
      </w:r>
      <w:proofErr w:type="gramEnd"/>
      <w:r w:rsidR="005D6801" w:rsidRPr="0026704B">
        <w:rPr>
          <w:szCs w:val="13"/>
        </w:rPr>
        <w:t xml:space="preserve"> cent</w:t>
      </w:r>
      <w:r w:rsidRPr="0026704B">
        <w:rPr>
          <w:szCs w:val="13"/>
        </w:rPr>
        <w:t xml:space="preserve">). </w:t>
      </w:r>
    </w:p>
  </w:footnote>
  <w:footnote w:id="85">
    <w:p w14:paraId="18E28490" w14:textId="23072E51" w:rsidR="00D01597" w:rsidRPr="0026704B" w:rsidRDefault="00D01597" w:rsidP="00FF0077">
      <w:pPr>
        <w:pStyle w:val="FootnoteText"/>
        <w:rPr>
          <w:szCs w:val="13"/>
        </w:rPr>
      </w:pPr>
      <w:r w:rsidRPr="0026704B">
        <w:rPr>
          <w:rStyle w:val="FootnoteReference"/>
          <w:szCs w:val="13"/>
        </w:rPr>
        <w:footnoteRef/>
      </w:r>
      <w:r w:rsidRPr="0026704B">
        <w:rPr>
          <w:szCs w:val="13"/>
        </w:rPr>
        <w:t xml:space="preserve"> </w:t>
      </w:r>
      <w:r w:rsidR="009E0F1C" w:rsidRPr="0026704B">
        <w:rPr>
          <w:szCs w:val="13"/>
        </w:rPr>
        <w:t>Based on analysis of PMHC MDS for 27 in-scope sites between July 2018 and September 2022</w:t>
      </w:r>
    </w:p>
  </w:footnote>
  <w:footnote w:id="86">
    <w:p w14:paraId="3E16830B" w14:textId="429F419F" w:rsidR="00497355" w:rsidRPr="0026704B" w:rsidRDefault="00497355" w:rsidP="00FF0077">
      <w:pPr>
        <w:pStyle w:val="FootnoteText"/>
        <w:rPr>
          <w:szCs w:val="13"/>
        </w:rPr>
      </w:pPr>
      <w:r w:rsidRPr="0026704B">
        <w:rPr>
          <w:rStyle w:val="FootnoteReference"/>
          <w:szCs w:val="13"/>
        </w:rPr>
        <w:footnoteRef/>
      </w:r>
      <w:r w:rsidRPr="0026704B">
        <w:rPr>
          <w:szCs w:val="13"/>
        </w:rPr>
        <w:t xml:space="preserve"> Based on </w:t>
      </w:r>
      <w:r w:rsidR="00310588" w:rsidRPr="0026704B">
        <w:rPr>
          <w:szCs w:val="13"/>
        </w:rPr>
        <w:t xml:space="preserve">responses to an </w:t>
      </w:r>
      <w:r w:rsidRPr="0026704B">
        <w:rPr>
          <w:szCs w:val="13"/>
        </w:rPr>
        <w:t xml:space="preserve">online survey of The Way Back </w:t>
      </w:r>
      <w:r w:rsidR="002F6D7A" w:rsidRPr="0026704B">
        <w:rPr>
          <w:szCs w:val="13"/>
        </w:rPr>
        <w:t>participants</w:t>
      </w:r>
      <w:r w:rsidRPr="0026704B">
        <w:rPr>
          <w:szCs w:val="13"/>
        </w:rPr>
        <w:t xml:space="preserve"> that was open from </w:t>
      </w:r>
      <w:r w:rsidR="00BB7CE9" w:rsidRPr="0026704B">
        <w:rPr>
          <w:szCs w:val="13"/>
        </w:rPr>
        <w:t>June 2021</w:t>
      </w:r>
      <w:r w:rsidRPr="0026704B">
        <w:rPr>
          <w:szCs w:val="13"/>
        </w:rPr>
        <w:t xml:space="preserve"> to </w:t>
      </w:r>
      <w:r w:rsidR="00BB7CE9" w:rsidRPr="0026704B">
        <w:rPr>
          <w:szCs w:val="13"/>
        </w:rPr>
        <w:t xml:space="preserve">June 2022 </w:t>
      </w:r>
      <w:r w:rsidR="00323DE1" w:rsidRPr="0026704B">
        <w:rPr>
          <w:szCs w:val="13"/>
        </w:rPr>
        <w:t xml:space="preserve">(n= </w:t>
      </w:r>
      <w:r w:rsidR="00310588" w:rsidRPr="0026704B">
        <w:rPr>
          <w:szCs w:val="13"/>
        </w:rPr>
        <w:t>79)</w:t>
      </w:r>
      <w:r w:rsidRPr="0026704B">
        <w:rPr>
          <w:szCs w:val="13"/>
        </w:rPr>
        <w:t xml:space="preserve">. </w:t>
      </w:r>
    </w:p>
  </w:footnote>
  <w:footnote w:id="87">
    <w:p w14:paraId="7AF7511A" w14:textId="08C66423" w:rsidR="0058370A" w:rsidRPr="0026704B" w:rsidRDefault="0058370A" w:rsidP="00FF0077">
      <w:pPr>
        <w:pStyle w:val="FootnoteText"/>
        <w:rPr>
          <w:szCs w:val="13"/>
        </w:rPr>
      </w:pPr>
      <w:r w:rsidRPr="0026704B">
        <w:rPr>
          <w:rStyle w:val="FootnoteReference"/>
          <w:szCs w:val="13"/>
        </w:rPr>
        <w:footnoteRef/>
      </w:r>
      <w:r w:rsidRPr="0026704B">
        <w:rPr>
          <w:szCs w:val="13"/>
        </w:rPr>
        <w:t xml:space="preserve"> Based on responses</w:t>
      </w:r>
      <w:r w:rsidR="008D6EAA" w:rsidRPr="0026704B">
        <w:rPr>
          <w:szCs w:val="13"/>
        </w:rPr>
        <w:t xml:space="preserve"> to a survey of The Way Back </w:t>
      </w:r>
      <w:r w:rsidR="002F6D7A" w:rsidRPr="0026704B">
        <w:rPr>
          <w:szCs w:val="13"/>
        </w:rPr>
        <w:t>participants</w:t>
      </w:r>
      <w:r w:rsidR="008D6EAA" w:rsidRPr="0026704B">
        <w:rPr>
          <w:szCs w:val="13"/>
        </w:rPr>
        <w:t xml:space="preserve"> conducted between </w:t>
      </w:r>
      <w:r w:rsidR="008239ED" w:rsidRPr="0026704B">
        <w:rPr>
          <w:szCs w:val="13"/>
        </w:rPr>
        <w:t>June 2021</w:t>
      </w:r>
      <w:r w:rsidR="008D6EAA" w:rsidRPr="0026704B">
        <w:rPr>
          <w:szCs w:val="13"/>
        </w:rPr>
        <w:t xml:space="preserve"> and </w:t>
      </w:r>
      <w:r w:rsidR="008239ED" w:rsidRPr="0026704B">
        <w:rPr>
          <w:szCs w:val="13"/>
        </w:rPr>
        <w:t xml:space="preserve">June 2022 </w:t>
      </w:r>
      <w:r w:rsidRPr="0026704B">
        <w:rPr>
          <w:szCs w:val="13"/>
        </w:rPr>
        <w:t xml:space="preserve">(n= </w:t>
      </w:r>
      <w:r w:rsidR="00BB7CE9" w:rsidRPr="0026704B">
        <w:rPr>
          <w:szCs w:val="13"/>
        </w:rPr>
        <w:t>79</w:t>
      </w:r>
      <w:r w:rsidRPr="0026704B">
        <w:rPr>
          <w:szCs w:val="13"/>
        </w:rPr>
        <w:t>)</w:t>
      </w:r>
      <w:r w:rsidR="00B36138" w:rsidRPr="0026704B">
        <w:rPr>
          <w:szCs w:val="13"/>
        </w:rPr>
        <w:t xml:space="preserve">. Further detail </w:t>
      </w:r>
      <w:r w:rsidR="001A7080" w:rsidRPr="0026704B">
        <w:rPr>
          <w:szCs w:val="13"/>
        </w:rPr>
        <w:t xml:space="preserve">on the survey methodology </w:t>
      </w:r>
      <w:r w:rsidR="00B36138" w:rsidRPr="0026704B">
        <w:rPr>
          <w:szCs w:val="13"/>
        </w:rPr>
        <w:t xml:space="preserve">is provided in </w:t>
      </w:r>
      <w:r w:rsidR="001A7080" w:rsidRPr="0026704B">
        <w:rPr>
          <w:szCs w:val="13"/>
        </w:rPr>
        <w:t>Appendix B.</w:t>
      </w:r>
    </w:p>
  </w:footnote>
  <w:footnote w:id="88">
    <w:p w14:paraId="56D09A48" w14:textId="109E6123" w:rsidR="00323DE1" w:rsidRPr="0026704B" w:rsidRDefault="00323DE1" w:rsidP="00FF0077">
      <w:pPr>
        <w:pStyle w:val="FootnoteText"/>
        <w:rPr>
          <w:szCs w:val="13"/>
        </w:rPr>
      </w:pPr>
      <w:r w:rsidRPr="0026704B">
        <w:rPr>
          <w:rStyle w:val="FootnoteReference"/>
          <w:szCs w:val="13"/>
        </w:rPr>
        <w:footnoteRef/>
      </w:r>
      <w:r w:rsidRPr="0026704B">
        <w:rPr>
          <w:szCs w:val="13"/>
        </w:rPr>
        <w:t xml:space="preserve"> </w:t>
      </w:r>
      <w:r w:rsidR="00B248D4" w:rsidRPr="0026704B">
        <w:rPr>
          <w:szCs w:val="13"/>
        </w:rPr>
        <w:t>Responses based on an o</w:t>
      </w:r>
      <w:r w:rsidR="00E442E0" w:rsidRPr="0026704B">
        <w:rPr>
          <w:szCs w:val="13"/>
        </w:rPr>
        <w:t xml:space="preserve">nline survey </w:t>
      </w:r>
      <w:r w:rsidR="00B248D4" w:rsidRPr="0026704B">
        <w:rPr>
          <w:szCs w:val="13"/>
        </w:rPr>
        <w:t>of The Way Back Participants c</w:t>
      </w:r>
      <w:r w:rsidR="00E442E0" w:rsidRPr="0026704B">
        <w:rPr>
          <w:szCs w:val="13"/>
        </w:rPr>
        <w:t>onducted between June 2021 and June 2022 (n=79)</w:t>
      </w:r>
      <w:r w:rsidR="00267B2C" w:rsidRPr="0026704B">
        <w:rPr>
          <w:szCs w:val="13"/>
        </w:rPr>
        <w:t xml:space="preserve">. </w:t>
      </w:r>
      <w:r w:rsidR="0032333C" w:rsidRPr="0026704B">
        <w:rPr>
          <w:szCs w:val="13"/>
        </w:rPr>
        <w:t xml:space="preserve">Seven per cent </w:t>
      </w:r>
      <w:r w:rsidR="00926A9B" w:rsidRPr="0026704B">
        <w:rPr>
          <w:szCs w:val="13"/>
        </w:rPr>
        <w:t xml:space="preserve">or </w:t>
      </w:r>
      <w:r w:rsidR="00B93336" w:rsidRPr="0026704B">
        <w:rPr>
          <w:szCs w:val="13"/>
        </w:rPr>
        <w:t xml:space="preserve">five respondents were not satisfied or very satisfied </w:t>
      </w:r>
      <w:r w:rsidR="003A0537" w:rsidRPr="0026704B">
        <w:rPr>
          <w:szCs w:val="13"/>
        </w:rPr>
        <w:t>with the service.</w:t>
      </w:r>
    </w:p>
  </w:footnote>
  <w:footnote w:id="89">
    <w:p w14:paraId="581D3165" w14:textId="4182AE47" w:rsidR="00E442E0" w:rsidRPr="0026704B" w:rsidRDefault="00E442E0" w:rsidP="00FF0077">
      <w:pPr>
        <w:pStyle w:val="FootnoteText"/>
        <w:rPr>
          <w:szCs w:val="13"/>
        </w:rPr>
      </w:pPr>
      <w:r w:rsidRPr="0026704B">
        <w:rPr>
          <w:rStyle w:val="FootnoteReference"/>
          <w:szCs w:val="13"/>
        </w:rPr>
        <w:footnoteRef/>
      </w:r>
      <w:r w:rsidRPr="0026704B">
        <w:rPr>
          <w:szCs w:val="13"/>
        </w:rPr>
        <w:t xml:space="preserve"> </w:t>
      </w:r>
      <w:r w:rsidR="00B248D4" w:rsidRPr="0026704B">
        <w:rPr>
          <w:szCs w:val="13"/>
        </w:rPr>
        <w:t>Responses based on an online survey of The Way Back Participants conducted between June 2021 and June 2022 (n=79)</w:t>
      </w:r>
    </w:p>
  </w:footnote>
  <w:footnote w:id="90">
    <w:p w14:paraId="44F311B6" w14:textId="3A8C7E6E" w:rsidR="00126BE5" w:rsidRPr="0026704B" w:rsidRDefault="00126BE5" w:rsidP="00FF0077">
      <w:pPr>
        <w:pStyle w:val="FootnoteText"/>
        <w:rPr>
          <w:szCs w:val="13"/>
        </w:rPr>
      </w:pPr>
      <w:r w:rsidRPr="0026704B">
        <w:rPr>
          <w:rStyle w:val="FootnoteReference"/>
          <w:szCs w:val="13"/>
        </w:rPr>
        <w:footnoteRef/>
      </w:r>
      <w:r w:rsidRPr="0026704B">
        <w:rPr>
          <w:szCs w:val="13"/>
        </w:rPr>
        <w:t xml:space="preserve"> The Centre of Best Practice in Aboriginal and Torres Strait Islander Suicide Prevention. (2022). Best practice screening and assessment: Mental health assessment. Retrieved from: </w:t>
      </w:r>
      <w:hyperlink r:id="rId2" w:history="1">
        <w:r w:rsidRPr="0026704B">
          <w:rPr>
            <w:rStyle w:val="Hyperlink"/>
            <w:szCs w:val="13"/>
          </w:rPr>
          <w:t>https://cbpatsisp.com.au/clearing-house/best-practice-screening-assessment/mental-health-assessment</w:t>
        </w:r>
      </w:hyperlink>
      <w:r w:rsidRPr="0026704B">
        <w:rPr>
          <w:szCs w:val="13"/>
        </w:rPr>
        <w:t xml:space="preserve">; note that The Way Back also adopted the K5 as an alternative measure used to measure outcomes for Aboriginal and Torres Strait Islander people. </w:t>
      </w:r>
    </w:p>
  </w:footnote>
  <w:footnote w:id="91">
    <w:p w14:paraId="0DD9D0E6" w14:textId="2E0B8CBF" w:rsidR="0079245F" w:rsidRPr="0026704B" w:rsidRDefault="0079245F">
      <w:pPr>
        <w:pStyle w:val="FootnoteText"/>
        <w:rPr>
          <w:szCs w:val="13"/>
        </w:rPr>
      </w:pPr>
      <w:r w:rsidRPr="0026704B">
        <w:rPr>
          <w:rStyle w:val="FootnoteReference"/>
          <w:szCs w:val="13"/>
        </w:rPr>
        <w:footnoteRef/>
      </w:r>
      <w:r w:rsidRPr="0026704B">
        <w:rPr>
          <w:szCs w:val="13"/>
        </w:rPr>
        <w:t xml:space="preserve"> A Lowell. (1998). ‘Communication in Aboriginal health care; an overview,</w:t>
      </w:r>
      <w:r w:rsidR="006220A1" w:rsidRPr="0026704B">
        <w:rPr>
          <w:szCs w:val="13"/>
        </w:rPr>
        <w:t xml:space="preserve">’ Cooperative Research Centre for Aboriginal and Tropical Health. </w:t>
      </w:r>
      <w:r w:rsidRPr="0026704B">
        <w:rPr>
          <w:szCs w:val="13"/>
        </w:rPr>
        <w:t xml:space="preserve"> </w:t>
      </w:r>
    </w:p>
  </w:footnote>
  <w:footnote w:id="92">
    <w:p w14:paraId="2CFA0FED" w14:textId="77777777" w:rsidR="00423B8D" w:rsidRPr="0026704B" w:rsidRDefault="00423B8D" w:rsidP="00423B8D">
      <w:pPr>
        <w:pStyle w:val="FootnoteText"/>
        <w:rPr>
          <w:szCs w:val="13"/>
        </w:rPr>
      </w:pPr>
      <w:r w:rsidRPr="0026704B">
        <w:rPr>
          <w:rStyle w:val="FootnoteReference"/>
          <w:szCs w:val="13"/>
        </w:rPr>
        <w:footnoteRef/>
      </w:r>
      <w:r w:rsidRPr="0026704B">
        <w:rPr>
          <w:szCs w:val="13"/>
        </w:rPr>
        <w:t xml:space="preserve"> The SIDAS is designed to screen individuals in the community for presence of suicidal thoughts and assess the severity of these thoughts. It consists of five items, each targeting an attribute of suicidal thoughts: frequency, controllability, closeness to attempt, level of distress associated with the thoughts and impact on daily functioning. Responses are measured on a 10-point scale. Items are coded so that a higher total score reflects more severe suicidal thoughts.</w:t>
      </w:r>
    </w:p>
  </w:footnote>
  <w:footnote w:id="93">
    <w:p w14:paraId="2FF22E38" w14:textId="24A84C65" w:rsidR="00233147" w:rsidRPr="0026704B" w:rsidRDefault="00233147" w:rsidP="00233147">
      <w:pPr>
        <w:pStyle w:val="FootnoteText"/>
        <w:rPr>
          <w:szCs w:val="13"/>
        </w:rPr>
      </w:pPr>
      <w:r w:rsidRPr="0026704B">
        <w:rPr>
          <w:rStyle w:val="FootnoteReference"/>
          <w:szCs w:val="13"/>
        </w:rPr>
        <w:footnoteRef/>
      </w:r>
      <w:r w:rsidRPr="0026704B">
        <w:rPr>
          <w:szCs w:val="13"/>
        </w:rPr>
        <w:t xml:space="preserve"> The K10 is widely recommended as a simple measure of psychological distress and as a measure of outcomes following treatment for common mental health disorders. The K10 uses a </w:t>
      </w:r>
      <w:proofErr w:type="gramStart"/>
      <w:r w:rsidRPr="0026704B">
        <w:rPr>
          <w:szCs w:val="13"/>
        </w:rPr>
        <w:t>five value</w:t>
      </w:r>
      <w:proofErr w:type="gramEnd"/>
      <w:r w:rsidRPr="0026704B">
        <w:rPr>
          <w:szCs w:val="13"/>
        </w:rPr>
        <w:t xml:space="preserve"> response option for each question – all of the time, most of the time,</w:t>
      </w:r>
    </w:p>
    <w:p w14:paraId="78E3DF6D" w14:textId="77777777" w:rsidR="00233147" w:rsidRPr="0026704B" w:rsidRDefault="00233147" w:rsidP="00233147">
      <w:pPr>
        <w:pStyle w:val="FootnoteText"/>
        <w:rPr>
          <w:szCs w:val="13"/>
        </w:rPr>
      </w:pPr>
      <w:r w:rsidRPr="0026704B">
        <w:rPr>
          <w:szCs w:val="13"/>
        </w:rPr>
        <w:t>some of the time, a little of the time and none of the time which can be scored from five through to one. The maximum score is 50 indicating severe distress, the minimum score is 10 indicating no distress.</w:t>
      </w:r>
    </w:p>
  </w:footnote>
  <w:footnote w:id="94">
    <w:p w14:paraId="53E4168D" w14:textId="5004BEBF" w:rsidR="00E40BF4" w:rsidRDefault="00E40BF4">
      <w:pPr>
        <w:pStyle w:val="FootnoteText"/>
      </w:pPr>
      <w:r>
        <w:rPr>
          <w:rStyle w:val="FootnoteReference"/>
        </w:rPr>
        <w:footnoteRef/>
      </w:r>
      <w:r>
        <w:t xml:space="preserve"> The </w:t>
      </w:r>
      <w:r w:rsidRPr="00E40BF4">
        <w:t>WHO-5</w:t>
      </w:r>
      <w:r w:rsidRPr="007A1AE1">
        <w:t xml:space="preserve"> is a short self-reported measure of current mental wellbeing. The WHO-5 has been found to have adequate validity in screening for depression and in measuring outcomes in clinical trials.</w:t>
      </w:r>
    </w:p>
  </w:footnote>
  <w:footnote w:id="95">
    <w:p w14:paraId="1D693E06" w14:textId="4F773A7C" w:rsidR="00F74FE6" w:rsidRPr="0026704B" w:rsidRDefault="00F74FE6">
      <w:pPr>
        <w:pStyle w:val="FootnoteText"/>
        <w:rPr>
          <w:szCs w:val="13"/>
        </w:rPr>
      </w:pPr>
      <w:r w:rsidRPr="0026704B">
        <w:rPr>
          <w:rStyle w:val="FootnoteReference"/>
          <w:szCs w:val="13"/>
        </w:rPr>
        <w:footnoteRef/>
      </w:r>
      <w:r w:rsidRPr="0026704B">
        <w:rPr>
          <w:szCs w:val="13"/>
        </w:rPr>
        <w:t xml:space="preserve"> J Cohen, ‘Statistical power analysis for the behavioural sciences</w:t>
      </w:r>
      <w:r w:rsidRPr="0026704B">
        <w:rPr>
          <w:iCs/>
          <w:szCs w:val="13"/>
        </w:rPr>
        <w:t>,’</w:t>
      </w:r>
      <w:r w:rsidRPr="0026704B">
        <w:rPr>
          <w:szCs w:val="13"/>
        </w:rPr>
        <w:t xml:space="preserve"> Lawrence Erlbaum Associates. 1988</w:t>
      </w:r>
      <w:r w:rsidR="00552A60" w:rsidRPr="0026704B">
        <w:rPr>
          <w:szCs w:val="13"/>
        </w:rPr>
        <w:t>.</w:t>
      </w:r>
    </w:p>
  </w:footnote>
  <w:footnote w:id="96">
    <w:p w14:paraId="67B8CA98" w14:textId="1602CF2D" w:rsidR="00A8740A" w:rsidRPr="0026704B" w:rsidRDefault="00A8740A">
      <w:pPr>
        <w:pStyle w:val="FootnoteText"/>
        <w:rPr>
          <w:szCs w:val="13"/>
        </w:rPr>
      </w:pPr>
      <w:r w:rsidRPr="0026704B">
        <w:rPr>
          <w:rStyle w:val="FootnoteReference"/>
          <w:szCs w:val="13"/>
        </w:rPr>
        <w:footnoteRef/>
      </w:r>
      <w:r w:rsidRPr="0026704B">
        <w:rPr>
          <w:szCs w:val="13"/>
        </w:rPr>
        <w:t xml:space="preserve"> Based on analysis of PMHC MDS data between </w:t>
      </w:r>
      <w:r w:rsidR="00D93DFB" w:rsidRPr="0026704B">
        <w:rPr>
          <w:szCs w:val="13"/>
        </w:rPr>
        <w:t xml:space="preserve">July 2018 and September 2022. </w:t>
      </w:r>
    </w:p>
  </w:footnote>
  <w:footnote w:id="97">
    <w:p w14:paraId="69F8AA1A" w14:textId="3755DF2E" w:rsidR="00725F92" w:rsidRPr="0026704B" w:rsidRDefault="00725F92" w:rsidP="00FF0077">
      <w:pPr>
        <w:pStyle w:val="FootnoteText"/>
        <w:rPr>
          <w:szCs w:val="13"/>
        </w:rPr>
      </w:pPr>
      <w:r w:rsidRPr="0026704B">
        <w:rPr>
          <w:rStyle w:val="FootnoteReference"/>
          <w:szCs w:val="13"/>
        </w:rPr>
        <w:footnoteRef/>
      </w:r>
      <w:r w:rsidRPr="0026704B">
        <w:rPr>
          <w:szCs w:val="13"/>
        </w:rPr>
        <w:t xml:space="preserve"> Based on analysis PMHC MDS data between July 2018 and September 2022</w:t>
      </w:r>
    </w:p>
  </w:footnote>
  <w:footnote w:id="98">
    <w:p w14:paraId="657B457C" w14:textId="77777777" w:rsidR="000D36C1" w:rsidRPr="0026704B" w:rsidRDefault="000D36C1" w:rsidP="00FF0077">
      <w:pPr>
        <w:pStyle w:val="FootnoteText"/>
        <w:rPr>
          <w:szCs w:val="13"/>
        </w:rPr>
      </w:pPr>
      <w:r w:rsidRPr="0026704B">
        <w:rPr>
          <w:rStyle w:val="FootnoteReference"/>
          <w:szCs w:val="13"/>
        </w:rPr>
        <w:footnoteRef/>
      </w:r>
      <w:r w:rsidRPr="0026704B">
        <w:rPr>
          <w:szCs w:val="13"/>
        </w:rPr>
        <w:t xml:space="preserve"> The change is considered statistically significant where p&lt;0.05. Effect sizes are considered small at 0.2, medium at 0.5 and large at 0.8 as per standard definitions.</w:t>
      </w:r>
    </w:p>
  </w:footnote>
  <w:footnote w:id="99">
    <w:p w14:paraId="0BD0FDAF" w14:textId="7B374204" w:rsidR="00E842C0" w:rsidRPr="0026704B" w:rsidRDefault="00E842C0" w:rsidP="00FF0077">
      <w:pPr>
        <w:pStyle w:val="FootnoteText"/>
        <w:rPr>
          <w:szCs w:val="13"/>
        </w:rPr>
      </w:pPr>
      <w:r w:rsidRPr="0026704B">
        <w:rPr>
          <w:rStyle w:val="FootnoteReference"/>
          <w:szCs w:val="13"/>
        </w:rPr>
        <w:footnoteRef/>
      </w:r>
      <w:r w:rsidRPr="0026704B" w:rsidDel="00222619">
        <w:rPr>
          <w:szCs w:val="13"/>
        </w:rPr>
        <w:t xml:space="preserve"> </w:t>
      </w:r>
      <w:proofErr w:type="spellStart"/>
      <w:r w:rsidRPr="0026704B">
        <w:rPr>
          <w:szCs w:val="13"/>
        </w:rPr>
        <w:t>Demesmaeker</w:t>
      </w:r>
      <w:proofErr w:type="spellEnd"/>
      <w:r w:rsidRPr="0026704B">
        <w:rPr>
          <w:szCs w:val="13"/>
        </w:rPr>
        <w:t xml:space="preserve"> et al., </w:t>
      </w:r>
      <w:r w:rsidR="00A66DD4" w:rsidRPr="0026704B">
        <w:rPr>
          <w:szCs w:val="13"/>
        </w:rPr>
        <w:t>‘Risk factors</w:t>
      </w:r>
      <w:r w:rsidR="00D93DFB" w:rsidRPr="0026704B">
        <w:rPr>
          <w:szCs w:val="13"/>
        </w:rPr>
        <w:t xml:space="preserve"> </w:t>
      </w:r>
      <w:r w:rsidR="00A66DD4" w:rsidRPr="0026704B">
        <w:rPr>
          <w:szCs w:val="13"/>
        </w:rPr>
        <w:t xml:space="preserve">for reattempt and suicide within 6 months after an attempt in the French ALGOS Cohort,’ Focus on Suicide. </w:t>
      </w:r>
      <w:r w:rsidRPr="0026704B">
        <w:rPr>
          <w:szCs w:val="13"/>
        </w:rPr>
        <w:t>2021</w:t>
      </w:r>
      <w:r w:rsidR="00A66DD4" w:rsidRPr="0026704B">
        <w:rPr>
          <w:szCs w:val="13"/>
        </w:rPr>
        <w:t xml:space="preserve">. </w:t>
      </w:r>
    </w:p>
  </w:footnote>
  <w:footnote w:id="100">
    <w:p w14:paraId="4D9DDD97" w14:textId="77872263" w:rsidR="006B297A" w:rsidRPr="0026704B" w:rsidRDefault="006B297A" w:rsidP="00FF0077">
      <w:pPr>
        <w:pStyle w:val="FootnoteText"/>
        <w:rPr>
          <w:szCs w:val="13"/>
        </w:rPr>
      </w:pPr>
      <w:r w:rsidRPr="0026704B">
        <w:rPr>
          <w:rStyle w:val="FootnoteReference"/>
          <w:szCs w:val="13"/>
        </w:rPr>
        <w:footnoteRef/>
      </w:r>
      <w:r w:rsidRPr="0026704B">
        <w:rPr>
          <w:szCs w:val="13"/>
        </w:rPr>
        <w:t xml:space="preserve"> Data is based on PMHC MDS and </w:t>
      </w:r>
      <w:r w:rsidR="00AA13DC" w:rsidRPr="0026704B">
        <w:rPr>
          <w:szCs w:val="13"/>
        </w:rPr>
        <w:t xml:space="preserve">The Way Back </w:t>
      </w:r>
      <w:r w:rsidRPr="0026704B">
        <w:rPr>
          <w:szCs w:val="13"/>
        </w:rPr>
        <w:t>Extension data for 2</w:t>
      </w:r>
      <w:r w:rsidR="00F009E3" w:rsidRPr="0026704B">
        <w:rPr>
          <w:szCs w:val="13"/>
        </w:rPr>
        <w:t>7</w:t>
      </w:r>
      <w:r w:rsidRPr="0026704B">
        <w:rPr>
          <w:szCs w:val="13"/>
        </w:rPr>
        <w:t xml:space="preserve"> sites between September 2019 and February 2022. </w:t>
      </w:r>
    </w:p>
  </w:footnote>
  <w:footnote w:id="101">
    <w:p w14:paraId="236AEED4" w14:textId="77777777" w:rsidR="009B5538" w:rsidRPr="0026704B" w:rsidRDefault="009B5538" w:rsidP="00FF0077">
      <w:pPr>
        <w:pStyle w:val="FootnoteText"/>
        <w:rPr>
          <w:szCs w:val="13"/>
        </w:rPr>
      </w:pPr>
      <w:r w:rsidRPr="0026704B">
        <w:rPr>
          <w:rStyle w:val="FootnoteReference"/>
          <w:szCs w:val="13"/>
        </w:rPr>
        <w:footnoteRef/>
      </w:r>
      <w:r w:rsidRPr="0026704B">
        <w:rPr>
          <w:szCs w:val="13"/>
        </w:rPr>
        <w:t xml:space="preserve"> The change is considered statistically significant where p&lt;0.05. Effect sizes are considered small at 0.2, medium at 0.5 and large at 0.8 as per standard definitions.</w:t>
      </w:r>
    </w:p>
  </w:footnote>
  <w:footnote w:id="102">
    <w:p w14:paraId="57FE5438" w14:textId="7099C071" w:rsidR="007C6D04" w:rsidRPr="0026704B" w:rsidRDefault="007C6D04" w:rsidP="00FF0077">
      <w:pPr>
        <w:pStyle w:val="FootnoteText"/>
        <w:rPr>
          <w:szCs w:val="13"/>
        </w:rPr>
      </w:pPr>
      <w:r w:rsidRPr="0026704B">
        <w:rPr>
          <w:rStyle w:val="FootnoteReference"/>
          <w:szCs w:val="13"/>
        </w:rPr>
        <w:footnoteRef/>
      </w:r>
      <w:r w:rsidRPr="0026704B">
        <w:rPr>
          <w:szCs w:val="13"/>
        </w:rPr>
        <w:t xml:space="preserve"> Data is based on PMHC MDS and </w:t>
      </w:r>
      <w:r w:rsidR="00AA13DC" w:rsidRPr="0026704B">
        <w:rPr>
          <w:szCs w:val="13"/>
        </w:rPr>
        <w:t>The Way Back</w:t>
      </w:r>
      <w:r w:rsidRPr="0026704B">
        <w:rPr>
          <w:szCs w:val="13"/>
        </w:rPr>
        <w:t xml:space="preserve"> Extension data for 27 sites between September 2019 and February 2022. </w:t>
      </w:r>
    </w:p>
  </w:footnote>
  <w:footnote w:id="103">
    <w:p w14:paraId="3DA39ED4" w14:textId="752474B0" w:rsidR="004011E9" w:rsidRPr="0026704B" w:rsidRDefault="004011E9" w:rsidP="004011E9">
      <w:pPr>
        <w:pStyle w:val="FootnoteText"/>
        <w:rPr>
          <w:szCs w:val="13"/>
        </w:rPr>
      </w:pPr>
      <w:r w:rsidRPr="0026704B">
        <w:rPr>
          <w:rStyle w:val="FootnoteReference"/>
          <w:szCs w:val="13"/>
        </w:rPr>
        <w:footnoteRef/>
      </w:r>
      <w:r w:rsidRPr="0026704B">
        <w:rPr>
          <w:szCs w:val="13"/>
        </w:rPr>
        <w:t xml:space="preserve"> Data is based on PMHC MDS and </w:t>
      </w:r>
      <w:r w:rsidR="00AA13DC" w:rsidRPr="0026704B">
        <w:rPr>
          <w:szCs w:val="13"/>
        </w:rPr>
        <w:t xml:space="preserve">The Way Back </w:t>
      </w:r>
      <w:r w:rsidRPr="0026704B">
        <w:rPr>
          <w:szCs w:val="13"/>
        </w:rPr>
        <w:t xml:space="preserve">Extension data for 27 sites between September 2019 and February 2022. </w:t>
      </w:r>
    </w:p>
  </w:footnote>
  <w:footnote w:id="104">
    <w:p w14:paraId="7ADA37BA" w14:textId="77777777" w:rsidR="0046204E" w:rsidRPr="0026704B" w:rsidRDefault="0046204E" w:rsidP="0046204E">
      <w:pPr>
        <w:pStyle w:val="FootnoteText"/>
        <w:rPr>
          <w:szCs w:val="13"/>
        </w:rPr>
      </w:pPr>
      <w:r w:rsidRPr="0026704B">
        <w:rPr>
          <w:rStyle w:val="FootnoteReference"/>
          <w:szCs w:val="13"/>
        </w:rPr>
        <w:footnoteRef/>
      </w:r>
      <w:r w:rsidRPr="0026704B">
        <w:rPr>
          <w:szCs w:val="13"/>
        </w:rPr>
        <w:t xml:space="preserve"> </w:t>
      </w:r>
      <w:proofErr w:type="spellStart"/>
      <w:r w:rsidRPr="0026704B">
        <w:rPr>
          <w:szCs w:val="13"/>
        </w:rPr>
        <w:t>Brinckley</w:t>
      </w:r>
      <w:proofErr w:type="spellEnd"/>
      <w:r w:rsidRPr="0026704B">
        <w:rPr>
          <w:szCs w:val="13"/>
        </w:rPr>
        <w:t>, MM., Calabria, B., Walker, J. et al. Reliability, validity, and clinical utility of a culturally modified Kessler scale (MK-K5) in the Aboriginal and Torres Strait Islander population. BMC Public Health 21, 1111 (2021). https://doi.org/10.1186/s12889-021-11138-4.</w:t>
      </w:r>
    </w:p>
  </w:footnote>
  <w:footnote w:id="105">
    <w:p w14:paraId="21286066" w14:textId="4C16C583" w:rsidR="00503CE1" w:rsidRPr="0026704B" w:rsidRDefault="00503CE1" w:rsidP="00FF0077">
      <w:pPr>
        <w:pStyle w:val="FootnoteText"/>
        <w:rPr>
          <w:szCs w:val="13"/>
        </w:rPr>
      </w:pPr>
      <w:r w:rsidRPr="0026704B">
        <w:rPr>
          <w:rStyle w:val="FootnoteReference"/>
          <w:szCs w:val="13"/>
        </w:rPr>
        <w:footnoteRef/>
      </w:r>
      <w:r w:rsidRPr="0026704B">
        <w:rPr>
          <w:szCs w:val="13"/>
        </w:rPr>
        <w:t xml:space="preserve"> Psychiatric Research Unit, WHO Collaborating </w:t>
      </w:r>
      <w:r w:rsidR="005F6EE4" w:rsidRPr="0026704B">
        <w:rPr>
          <w:szCs w:val="13"/>
        </w:rPr>
        <w:t>Centre</w:t>
      </w:r>
      <w:r w:rsidRPr="0026704B">
        <w:rPr>
          <w:szCs w:val="13"/>
        </w:rPr>
        <w:t xml:space="preserve"> for Mental Health, </w:t>
      </w:r>
      <w:proofErr w:type="spellStart"/>
      <w:r w:rsidRPr="0026704B">
        <w:rPr>
          <w:szCs w:val="13"/>
        </w:rPr>
        <w:t>Frederiksborg</w:t>
      </w:r>
      <w:proofErr w:type="spellEnd"/>
      <w:r w:rsidRPr="0026704B">
        <w:rPr>
          <w:szCs w:val="13"/>
        </w:rPr>
        <w:t xml:space="preserve"> General Hospital, DK-3400 </w:t>
      </w:r>
      <w:proofErr w:type="spellStart"/>
      <w:r w:rsidRPr="0026704B">
        <w:rPr>
          <w:szCs w:val="13"/>
        </w:rPr>
        <w:t>Hillerød</w:t>
      </w:r>
      <w:proofErr w:type="spellEnd"/>
      <w:r w:rsidRPr="0026704B">
        <w:rPr>
          <w:szCs w:val="13"/>
        </w:rPr>
        <w:t xml:space="preserve">; A ten per cent difference in score indicates a significant change in wellbeing however a raw score 13 indicates poor wellbeing and is an indication to test for depression under ICD-10. </w:t>
      </w:r>
    </w:p>
  </w:footnote>
  <w:footnote w:id="106">
    <w:p w14:paraId="2193B57B" w14:textId="77777777" w:rsidR="00971B4B" w:rsidRPr="0026704B" w:rsidRDefault="00971B4B" w:rsidP="00FF0077">
      <w:pPr>
        <w:pStyle w:val="FootnoteText"/>
        <w:rPr>
          <w:szCs w:val="13"/>
        </w:rPr>
      </w:pPr>
      <w:r w:rsidRPr="0026704B">
        <w:rPr>
          <w:rStyle w:val="FootnoteReference"/>
          <w:szCs w:val="13"/>
        </w:rPr>
        <w:footnoteRef/>
      </w:r>
      <w:r w:rsidRPr="0026704B">
        <w:rPr>
          <w:szCs w:val="13"/>
        </w:rPr>
        <w:t xml:space="preserve"> The change is considered statistically significant where p&lt;0.05. Effect sizes are considered small at 0.2, medium at 0.5 and large at 0.8 as per standard definitions.</w:t>
      </w:r>
    </w:p>
  </w:footnote>
  <w:footnote w:id="107">
    <w:p w14:paraId="13126E24" w14:textId="47FA57D6" w:rsidR="0048377D" w:rsidRPr="0026704B" w:rsidRDefault="0048377D" w:rsidP="00FF0077">
      <w:pPr>
        <w:pStyle w:val="FootnoteText"/>
        <w:rPr>
          <w:szCs w:val="13"/>
        </w:rPr>
      </w:pPr>
      <w:r w:rsidRPr="0026704B">
        <w:rPr>
          <w:rStyle w:val="FootnoteReference"/>
          <w:szCs w:val="13"/>
        </w:rPr>
        <w:footnoteRef/>
      </w:r>
      <w:r w:rsidRPr="0026704B">
        <w:rPr>
          <w:szCs w:val="13"/>
        </w:rPr>
        <w:t xml:space="preserve"> Data is based on PMHC MDS and </w:t>
      </w:r>
      <w:r w:rsidR="00AA13DC" w:rsidRPr="0026704B">
        <w:rPr>
          <w:szCs w:val="13"/>
        </w:rPr>
        <w:t>The Way Back</w:t>
      </w:r>
      <w:r w:rsidRPr="0026704B">
        <w:rPr>
          <w:szCs w:val="13"/>
        </w:rPr>
        <w:t xml:space="preserve"> Extension data for 27 sites between </w:t>
      </w:r>
      <w:r w:rsidR="005732BC" w:rsidRPr="0026704B">
        <w:rPr>
          <w:szCs w:val="13"/>
        </w:rPr>
        <w:t>July</w:t>
      </w:r>
      <w:r w:rsidRPr="0026704B">
        <w:rPr>
          <w:szCs w:val="13"/>
        </w:rPr>
        <w:t xml:space="preserve"> 201</w:t>
      </w:r>
      <w:r w:rsidR="005732BC" w:rsidRPr="0026704B">
        <w:rPr>
          <w:szCs w:val="13"/>
        </w:rPr>
        <w:t>8</w:t>
      </w:r>
      <w:r w:rsidRPr="0026704B">
        <w:rPr>
          <w:szCs w:val="13"/>
        </w:rPr>
        <w:t xml:space="preserve"> and September 2022. </w:t>
      </w:r>
    </w:p>
  </w:footnote>
  <w:footnote w:id="108">
    <w:p w14:paraId="3096E4E1" w14:textId="6F562ECF" w:rsidR="00F03DC9" w:rsidRPr="0026704B" w:rsidRDefault="00F03DC9" w:rsidP="00FF0077">
      <w:pPr>
        <w:pStyle w:val="FootnoteText"/>
        <w:rPr>
          <w:szCs w:val="13"/>
        </w:rPr>
      </w:pPr>
      <w:r w:rsidRPr="0026704B">
        <w:rPr>
          <w:rStyle w:val="FootnoteReference"/>
          <w:szCs w:val="13"/>
        </w:rPr>
        <w:footnoteRef/>
      </w:r>
      <w:r w:rsidRPr="0026704B">
        <w:rPr>
          <w:szCs w:val="13"/>
        </w:rPr>
        <w:t xml:space="preserve"> Only </w:t>
      </w:r>
      <w:r w:rsidR="002F6D7A" w:rsidRPr="0026704B">
        <w:rPr>
          <w:szCs w:val="13"/>
        </w:rPr>
        <w:t>participants</w:t>
      </w:r>
      <w:r w:rsidRPr="0026704B">
        <w:rPr>
          <w:szCs w:val="13"/>
        </w:rPr>
        <w:t xml:space="preserve"> who had completed The Way Back within one to four months were eligible for an evaluation interview</w:t>
      </w:r>
      <w:r w:rsidR="002340BA" w:rsidRPr="0026704B">
        <w:rPr>
          <w:szCs w:val="13"/>
        </w:rPr>
        <w:t>.</w:t>
      </w:r>
    </w:p>
  </w:footnote>
  <w:footnote w:id="109">
    <w:p w14:paraId="2A45E9C2" w14:textId="5EF0F3E2" w:rsidR="002A25A9" w:rsidRPr="0026704B" w:rsidRDefault="002A25A9">
      <w:pPr>
        <w:pStyle w:val="FootnoteText"/>
        <w:rPr>
          <w:szCs w:val="13"/>
        </w:rPr>
      </w:pPr>
      <w:r w:rsidRPr="0026704B">
        <w:rPr>
          <w:rStyle w:val="FootnoteReference"/>
          <w:szCs w:val="13"/>
        </w:rPr>
        <w:footnoteRef/>
      </w:r>
      <w:r w:rsidRPr="0026704B">
        <w:rPr>
          <w:szCs w:val="13"/>
        </w:rPr>
        <w:t xml:space="preserve"> It should </w:t>
      </w:r>
      <w:r w:rsidR="00264B7B" w:rsidRPr="0026704B">
        <w:rPr>
          <w:szCs w:val="13"/>
        </w:rPr>
        <w:t>be noted</w:t>
      </w:r>
      <w:r w:rsidR="00757DF1" w:rsidRPr="0026704B">
        <w:rPr>
          <w:szCs w:val="13"/>
        </w:rPr>
        <w:t xml:space="preserve"> that given the very small sample of support persons interviewed for the evaluation, the themes identified may not be representative of all support persons who accessed The Way Back. </w:t>
      </w:r>
    </w:p>
  </w:footnote>
  <w:footnote w:id="110">
    <w:p w14:paraId="6E6AB929" w14:textId="59B5B290" w:rsidR="00106994" w:rsidRPr="0026704B" w:rsidRDefault="00106994">
      <w:pPr>
        <w:pStyle w:val="FootnoteText"/>
        <w:rPr>
          <w:szCs w:val="13"/>
        </w:rPr>
      </w:pPr>
      <w:r w:rsidRPr="0026704B">
        <w:rPr>
          <w:rStyle w:val="FootnoteReference"/>
          <w:szCs w:val="13"/>
        </w:rPr>
        <w:footnoteRef/>
      </w:r>
      <w:r w:rsidRPr="0026704B">
        <w:rPr>
          <w:szCs w:val="13"/>
        </w:rPr>
        <w:t xml:space="preserve"> Compared to </w:t>
      </w:r>
      <w:r w:rsidR="004F3537" w:rsidRPr="0026704B">
        <w:rPr>
          <w:szCs w:val="13"/>
        </w:rPr>
        <w:t>changes in outcomes for all participants</w:t>
      </w:r>
      <w:r w:rsidR="002340BA" w:rsidRPr="0026704B">
        <w:rPr>
          <w:szCs w:val="13"/>
        </w:rPr>
        <w:t>.</w:t>
      </w:r>
    </w:p>
  </w:footnote>
  <w:footnote w:id="111">
    <w:p w14:paraId="26F62CF5" w14:textId="682105ED" w:rsidR="00F06C4B" w:rsidRPr="0026704B" w:rsidRDefault="00F06C4B">
      <w:pPr>
        <w:pStyle w:val="FootnoteText"/>
        <w:rPr>
          <w:szCs w:val="13"/>
        </w:rPr>
      </w:pPr>
      <w:r w:rsidRPr="0026704B">
        <w:rPr>
          <w:rStyle w:val="FootnoteReference"/>
          <w:szCs w:val="13"/>
        </w:rPr>
        <w:footnoteRef/>
      </w:r>
      <w:r w:rsidRPr="0026704B">
        <w:rPr>
          <w:szCs w:val="13"/>
        </w:rPr>
        <w:t xml:space="preserve"> Analysis is based on PMHC MDS and </w:t>
      </w:r>
      <w:r w:rsidR="00AA13DC" w:rsidRPr="0026704B">
        <w:rPr>
          <w:szCs w:val="13"/>
        </w:rPr>
        <w:t>The Way Back</w:t>
      </w:r>
      <w:r w:rsidRPr="0026704B">
        <w:rPr>
          <w:szCs w:val="13"/>
        </w:rPr>
        <w:t xml:space="preserve"> Extension data for 27 sites between September 2019 and February 2022. </w:t>
      </w:r>
    </w:p>
  </w:footnote>
  <w:footnote w:id="112">
    <w:p w14:paraId="73BC86DD" w14:textId="31CEE0E6" w:rsidR="00F06C4B" w:rsidRPr="0026704B" w:rsidRDefault="00F06C4B">
      <w:pPr>
        <w:pStyle w:val="FootnoteText"/>
        <w:rPr>
          <w:szCs w:val="13"/>
        </w:rPr>
      </w:pPr>
      <w:r w:rsidRPr="0026704B">
        <w:rPr>
          <w:rStyle w:val="FootnoteReference"/>
          <w:szCs w:val="13"/>
        </w:rPr>
        <w:footnoteRef/>
      </w:r>
      <w:r w:rsidRPr="0026704B">
        <w:rPr>
          <w:szCs w:val="13"/>
        </w:rPr>
        <w:t xml:space="preserve"> </w:t>
      </w:r>
      <w:r w:rsidR="001C48AF" w:rsidRPr="0026704B">
        <w:rPr>
          <w:szCs w:val="13"/>
        </w:rPr>
        <w:t>Statistical significance based on threshold probability of the observed difference being due to natural, random variability in sampling of 5 per cent.</w:t>
      </w:r>
    </w:p>
  </w:footnote>
  <w:footnote w:id="113">
    <w:p w14:paraId="0641DE52" w14:textId="357995DA" w:rsidR="001C48AF" w:rsidRPr="0026704B" w:rsidRDefault="001C48AF">
      <w:pPr>
        <w:pStyle w:val="FootnoteText"/>
        <w:rPr>
          <w:szCs w:val="13"/>
        </w:rPr>
      </w:pPr>
      <w:r w:rsidRPr="0026704B">
        <w:rPr>
          <w:rStyle w:val="FootnoteReference"/>
          <w:szCs w:val="13"/>
        </w:rPr>
        <w:footnoteRef/>
      </w:r>
      <w:r w:rsidRPr="0026704B">
        <w:rPr>
          <w:szCs w:val="13"/>
        </w:rPr>
        <w:t xml:space="preserve"> Analysis is based on PMHC MDS and </w:t>
      </w:r>
      <w:r w:rsidR="00AA13DC" w:rsidRPr="0026704B">
        <w:rPr>
          <w:szCs w:val="13"/>
        </w:rPr>
        <w:t>The Way Back</w:t>
      </w:r>
      <w:r w:rsidRPr="0026704B">
        <w:rPr>
          <w:szCs w:val="13"/>
        </w:rPr>
        <w:t xml:space="preserve"> extension data for 27 sites between September 2019 and February 2022.</w:t>
      </w:r>
    </w:p>
  </w:footnote>
  <w:footnote w:id="114">
    <w:p w14:paraId="1B12FA71" w14:textId="7D2B7147" w:rsidR="001C48AF" w:rsidRPr="0026704B" w:rsidRDefault="001C48AF">
      <w:pPr>
        <w:pStyle w:val="FootnoteText"/>
        <w:rPr>
          <w:szCs w:val="13"/>
        </w:rPr>
      </w:pPr>
      <w:r w:rsidRPr="0026704B">
        <w:rPr>
          <w:rStyle w:val="FootnoteReference"/>
          <w:szCs w:val="13"/>
        </w:rPr>
        <w:footnoteRef/>
      </w:r>
      <w:r w:rsidRPr="0026704B">
        <w:rPr>
          <w:szCs w:val="13"/>
        </w:rPr>
        <w:t xml:space="preserve"> The change is considered statistically significant where p&lt;0.05</w:t>
      </w:r>
    </w:p>
  </w:footnote>
  <w:footnote w:id="115">
    <w:p w14:paraId="6449DE09" w14:textId="33E4DD9E" w:rsidR="000E7799" w:rsidRPr="0026704B" w:rsidRDefault="00432000">
      <w:pPr>
        <w:pStyle w:val="FootnoteText"/>
        <w:rPr>
          <w:szCs w:val="13"/>
        </w:rPr>
      </w:pPr>
      <w:r w:rsidRPr="0026704B">
        <w:rPr>
          <w:rStyle w:val="FootnoteReference"/>
          <w:szCs w:val="13"/>
        </w:rPr>
        <w:footnoteRef/>
      </w:r>
      <w:r w:rsidRPr="0026704B">
        <w:rPr>
          <w:szCs w:val="13"/>
        </w:rPr>
        <w:t xml:space="preserve"> Analysis is based on PMHC MDS and The Way Back Extension data for 27 sites between September 2019 and February 2022</w:t>
      </w:r>
      <w:r w:rsidR="00276DBE" w:rsidRPr="0026704B">
        <w:rPr>
          <w:szCs w:val="13"/>
        </w:rPr>
        <w:t xml:space="preserve">. The comparison of </w:t>
      </w:r>
    </w:p>
  </w:footnote>
  <w:footnote w:id="116">
    <w:p w14:paraId="483DC8EC" w14:textId="342166C7" w:rsidR="008F76AB" w:rsidRPr="0026704B" w:rsidRDefault="008F76AB" w:rsidP="00FF0077">
      <w:pPr>
        <w:pStyle w:val="FootnoteText"/>
        <w:rPr>
          <w:szCs w:val="13"/>
        </w:rPr>
      </w:pPr>
      <w:r w:rsidRPr="0026704B">
        <w:rPr>
          <w:rStyle w:val="FootnoteReference"/>
          <w:szCs w:val="13"/>
        </w:rPr>
        <w:footnoteRef/>
      </w:r>
      <w:r w:rsidRPr="0026704B">
        <w:rPr>
          <w:szCs w:val="13"/>
        </w:rPr>
        <w:t xml:space="preserve"> The PMHC MDS data is not able to identify which individual </w:t>
      </w:r>
      <w:r w:rsidR="002F6D7A" w:rsidRPr="0026704B">
        <w:rPr>
          <w:szCs w:val="13"/>
        </w:rPr>
        <w:t>participants</w:t>
      </w:r>
      <w:r w:rsidRPr="0026704B">
        <w:rPr>
          <w:szCs w:val="13"/>
        </w:rPr>
        <w:t xml:space="preserve"> accessed peer support services at the Murrumbidgee site. The regression modelling uses a flag for Murrumbidgee as a ‘peer support site’ and compares differences in outcomes between all people who accessed The Way Back at Murrumbidgee and those at other sites. </w:t>
      </w:r>
    </w:p>
  </w:footnote>
  <w:footnote w:id="117">
    <w:p w14:paraId="73D7E62C" w14:textId="77777777" w:rsidR="004F1458" w:rsidRPr="0026704B" w:rsidRDefault="004F1458" w:rsidP="004F1458">
      <w:pPr>
        <w:pStyle w:val="FootnoteText"/>
        <w:rPr>
          <w:szCs w:val="13"/>
        </w:rPr>
      </w:pPr>
      <w:r w:rsidRPr="0026704B">
        <w:rPr>
          <w:rStyle w:val="FootnoteReference"/>
          <w:szCs w:val="13"/>
        </w:rPr>
        <w:footnoteRef/>
      </w:r>
      <w:r w:rsidRPr="0026704B">
        <w:rPr>
          <w:szCs w:val="13"/>
        </w:rPr>
        <w:t xml:space="preserve"> J Cohen, ‘Statistical power analysis for the behavioural sciences</w:t>
      </w:r>
      <w:r w:rsidRPr="0026704B">
        <w:rPr>
          <w:iCs/>
          <w:szCs w:val="13"/>
        </w:rPr>
        <w:t>,’</w:t>
      </w:r>
      <w:r w:rsidRPr="0026704B">
        <w:rPr>
          <w:szCs w:val="13"/>
        </w:rPr>
        <w:t xml:space="preserve"> Lawrence Erlbaum Associates. 1988.</w:t>
      </w:r>
    </w:p>
  </w:footnote>
  <w:footnote w:id="118">
    <w:p w14:paraId="317A4833" w14:textId="2FE5336C" w:rsidR="0054722E" w:rsidRPr="0026704B" w:rsidRDefault="0054722E" w:rsidP="00FF0077">
      <w:pPr>
        <w:pStyle w:val="FootnoteText"/>
        <w:rPr>
          <w:szCs w:val="13"/>
        </w:rPr>
      </w:pPr>
      <w:r w:rsidRPr="0026704B">
        <w:rPr>
          <w:rStyle w:val="FootnoteReference"/>
          <w:szCs w:val="13"/>
        </w:rPr>
        <w:footnoteRef/>
      </w:r>
      <w:r w:rsidRPr="0026704B">
        <w:rPr>
          <w:szCs w:val="13"/>
        </w:rPr>
        <w:t xml:space="preserve"> Figure </w:t>
      </w:r>
      <w:r w:rsidR="006307C6" w:rsidRPr="0026704B">
        <w:rPr>
          <w:szCs w:val="13"/>
        </w:rPr>
        <w:t>21</w:t>
      </w:r>
      <w:r w:rsidRPr="0026704B">
        <w:rPr>
          <w:szCs w:val="13"/>
        </w:rPr>
        <w:t xml:space="preserve"> </w:t>
      </w:r>
      <w:r w:rsidR="009A2FD6" w:rsidRPr="0026704B">
        <w:rPr>
          <w:szCs w:val="13"/>
        </w:rPr>
        <w:t>was</w:t>
      </w:r>
      <w:r w:rsidRPr="0026704B">
        <w:rPr>
          <w:szCs w:val="13"/>
        </w:rPr>
        <w:t xml:space="preserve"> informed originally by hypotheses evaluators developed about why and how change occurred for </w:t>
      </w:r>
      <w:r w:rsidR="002F6D7A" w:rsidRPr="0026704B">
        <w:rPr>
          <w:szCs w:val="13"/>
        </w:rPr>
        <w:t>participants</w:t>
      </w:r>
      <w:r w:rsidRPr="0026704B">
        <w:rPr>
          <w:szCs w:val="13"/>
        </w:rPr>
        <w:t xml:space="preserve">, in consultation with service providers, and based on existing evidence about how aftercare works for people. Evaluators tested and re-refined these hypotheses during the evaluation, including with input from The Way Back, Beyond Blue, the Aboriginal Advisory Group and </w:t>
      </w:r>
      <w:r w:rsidR="002F6D7A" w:rsidRPr="0026704B">
        <w:rPr>
          <w:szCs w:val="13"/>
        </w:rPr>
        <w:t>participants</w:t>
      </w:r>
      <w:r w:rsidRPr="0026704B">
        <w:rPr>
          <w:szCs w:val="13"/>
        </w:rPr>
        <w:t xml:space="preserve"> of The Way Back.</w:t>
      </w:r>
    </w:p>
  </w:footnote>
  <w:footnote w:id="119">
    <w:p w14:paraId="7A59CF93" w14:textId="595D7E7F" w:rsidR="00776F20" w:rsidRPr="0026704B" w:rsidRDefault="00776F20" w:rsidP="00FF0077">
      <w:pPr>
        <w:pStyle w:val="FootnoteText"/>
        <w:rPr>
          <w:szCs w:val="13"/>
        </w:rPr>
      </w:pPr>
      <w:r w:rsidRPr="0026704B">
        <w:rPr>
          <w:rStyle w:val="FootnoteReference"/>
          <w:szCs w:val="13"/>
        </w:rPr>
        <w:footnoteRef/>
      </w:r>
      <w:r w:rsidRPr="0026704B">
        <w:rPr>
          <w:szCs w:val="13"/>
        </w:rPr>
        <w:t xml:space="preserve"> </w:t>
      </w:r>
      <w:r w:rsidR="003D624B" w:rsidRPr="0026704B">
        <w:rPr>
          <w:szCs w:val="13"/>
        </w:rPr>
        <w:t xml:space="preserve">One person </w:t>
      </w:r>
      <w:r w:rsidR="00CE0054" w:rsidRPr="0026704B">
        <w:rPr>
          <w:szCs w:val="13"/>
        </w:rPr>
        <w:t>reported identified as Aboriginal and/or Torres Strait Islander in interviews</w:t>
      </w:r>
      <w:r w:rsidR="006E4252" w:rsidRPr="0026704B">
        <w:rPr>
          <w:szCs w:val="13"/>
        </w:rPr>
        <w:t xml:space="preserve"> </w:t>
      </w:r>
      <w:r w:rsidR="002C40EF" w:rsidRPr="0026704B">
        <w:rPr>
          <w:szCs w:val="13"/>
        </w:rPr>
        <w:t xml:space="preserve">and </w:t>
      </w:r>
      <w:r w:rsidR="008C2385" w:rsidRPr="0026704B">
        <w:rPr>
          <w:szCs w:val="13"/>
        </w:rPr>
        <w:t>4 respondents identified as Aboriginal in the participant survey administered between June 2021 and June 2022 (n =79).</w:t>
      </w:r>
    </w:p>
  </w:footnote>
  <w:footnote w:id="120">
    <w:p w14:paraId="2A777470" w14:textId="77777777" w:rsidR="006E625F" w:rsidRPr="0026704B" w:rsidRDefault="006E625F" w:rsidP="00FF0077">
      <w:pPr>
        <w:pStyle w:val="FootnoteText"/>
        <w:rPr>
          <w:szCs w:val="13"/>
        </w:rPr>
      </w:pPr>
      <w:r w:rsidRPr="0026704B">
        <w:rPr>
          <w:rStyle w:val="FootnoteReference"/>
          <w:szCs w:val="13"/>
        </w:rPr>
        <w:footnoteRef/>
      </w:r>
      <w:r w:rsidRPr="0026704B">
        <w:rPr>
          <w:szCs w:val="13"/>
        </w:rPr>
        <w:t xml:space="preserve"> </w:t>
      </w:r>
      <w:r w:rsidRPr="0026704B">
        <w:rPr>
          <w:szCs w:val="13"/>
          <w:lang w:eastAsia="en-AU"/>
        </w:rPr>
        <w:t>Please note, the inputs into the development of the mechanisms of change are based on input from stakeholders.</w:t>
      </w:r>
    </w:p>
  </w:footnote>
  <w:footnote w:id="121">
    <w:p w14:paraId="39A0CC1D" w14:textId="64FAD006" w:rsidR="001970B2" w:rsidRPr="0026704B" w:rsidRDefault="001970B2" w:rsidP="00FF0077">
      <w:pPr>
        <w:pStyle w:val="FootnoteText"/>
        <w:rPr>
          <w:szCs w:val="13"/>
        </w:rPr>
      </w:pPr>
      <w:r w:rsidRPr="0026704B">
        <w:rPr>
          <w:rStyle w:val="FootnoteReference"/>
          <w:szCs w:val="13"/>
        </w:rPr>
        <w:footnoteRef/>
      </w:r>
      <w:r w:rsidRPr="0026704B">
        <w:rPr>
          <w:szCs w:val="13"/>
        </w:rPr>
        <w:t xml:space="preserve"> </w:t>
      </w:r>
      <w:r w:rsidR="00EC3B9C" w:rsidRPr="0026704B">
        <w:rPr>
          <w:szCs w:val="13"/>
        </w:rPr>
        <w:t xml:space="preserve">Based on </w:t>
      </w:r>
      <w:r w:rsidR="00B678AA" w:rsidRPr="0026704B">
        <w:rPr>
          <w:szCs w:val="13"/>
        </w:rPr>
        <w:t>2021 and 2022 interviews with</w:t>
      </w:r>
      <w:r w:rsidR="00EC3B9C" w:rsidRPr="0026704B">
        <w:rPr>
          <w:szCs w:val="13"/>
        </w:rPr>
        <w:t xml:space="preserve"> </w:t>
      </w:r>
      <w:r w:rsidR="002F6D7A" w:rsidRPr="0026704B">
        <w:rPr>
          <w:szCs w:val="13"/>
        </w:rPr>
        <w:t>participants</w:t>
      </w:r>
      <w:r w:rsidR="00EC3B9C" w:rsidRPr="0026704B">
        <w:rPr>
          <w:szCs w:val="13"/>
        </w:rPr>
        <w:t xml:space="preserve"> </w:t>
      </w:r>
      <w:r w:rsidR="00B678AA" w:rsidRPr="0026704B">
        <w:rPr>
          <w:szCs w:val="13"/>
        </w:rPr>
        <w:t>who access</w:t>
      </w:r>
      <w:r w:rsidR="009A5319" w:rsidRPr="0026704B">
        <w:rPr>
          <w:szCs w:val="13"/>
        </w:rPr>
        <w:t>ed</w:t>
      </w:r>
      <w:r w:rsidR="00B678AA" w:rsidRPr="0026704B">
        <w:rPr>
          <w:szCs w:val="13"/>
        </w:rPr>
        <w:t xml:space="preserve"> The Way </w:t>
      </w:r>
      <w:proofErr w:type="gramStart"/>
      <w:r w:rsidR="00B678AA" w:rsidRPr="0026704B">
        <w:rPr>
          <w:szCs w:val="13"/>
        </w:rPr>
        <w:t>Back</w:t>
      </w:r>
      <w:r w:rsidR="00EC3B9C" w:rsidRPr="0026704B">
        <w:rPr>
          <w:szCs w:val="13"/>
        </w:rPr>
        <w:t>, and</w:t>
      </w:r>
      <w:proofErr w:type="gramEnd"/>
      <w:r w:rsidR="00EC3B9C" w:rsidRPr="0026704B">
        <w:rPr>
          <w:szCs w:val="13"/>
        </w:rPr>
        <w:t xml:space="preserve"> </w:t>
      </w:r>
      <w:r w:rsidR="00FC1A9B" w:rsidRPr="0026704B">
        <w:rPr>
          <w:szCs w:val="13"/>
        </w:rPr>
        <w:t xml:space="preserve">focus groups with </w:t>
      </w:r>
      <w:r w:rsidR="00B678AA" w:rsidRPr="0026704B">
        <w:rPr>
          <w:szCs w:val="13"/>
        </w:rPr>
        <w:t>The Way Back</w:t>
      </w:r>
      <w:r w:rsidR="00FC1A9B" w:rsidRPr="0026704B">
        <w:rPr>
          <w:szCs w:val="13"/>
        </w:rPr>
        <w:t xml:space="preserve"> staff.</w:t>
      </w:r>
    </w:p>
  </w:footnote>
  <w:footnote w:id="122">
    <w:p w14:paraId="089E5D5C" w14:textId="77777777" w:rsidR="00A03979" w:rsidRPr="0026704B" w:rsidRDefault="00A03979" w:rsidP="00FF0077">
      <w:pPr>
        <w:pStyle w:val="FootnoteText"/>
        <w:rPr>
          <w:szCs w:val="13"/>
        </w:rPr>
      </w:pPr>
      <w:r w:rsidRPr="0026704B">
        <w:rPr>
          <w:rStyle w:val="FootnoteReference"/>
          <w:szCs w:val="13"/>
        </w:rPr>
        <w:footnoteRef/>
      </w:r>
      <w:r w:rsidRPr="0026704B">
        <w:rPr>
          <w:szCs w:val="13"/>
        </w:rPr>
        <w:t xml:space="preserve"> SAX Institute. (2019). </w:t>
      </w:r>
      <w:r w:rsidRPr="0026704B">
        <w:rPr>
          <w:i/>
          <w:iCs/>
          <w:szCs w:val="13"/>
        </w:rPr>
        <w:t>Suicide aftercare services</w:t>
      </w:r>
      <w:r w:rsidRPr="0026704B">
        <w:rPr>
          <w:szCs w:val="13"/>
        </w:rPr>
        <w:t>. pp. 8. Retrieved from: https://www.saxinstitute.org.au/wp-content/uploads/2019_Suicide-Aftercare-Services-Report.pdf</w:t>
      </w:r>
    </w:p>
  </w:footnote>
  <w:footnote w:id="123">
    <w:p w14:paraId="4F33F4D3" w14:textId="5C398CA8" w:rsidR="00643D7E" w:rsidRPr="0026704B" w:rsidRDefault="00643D7E" w:rsidP="00FF0077">
      <w:pPr>
        <w:pStyle w:val="FootnoteText"/>
        <w:rPr>
          <w:szCs w:val="13"/>
        </w:rPr>
      </w:pPr>
      <w:r w:rsidRPr="0026704B">
        <w:rPr>
          <w:rStyle w:val="FootnoteReference"/>
          <w:szCs w:val="13"/>
        </w:rPr>
        <w:footnoteRef/>
      </w:r>
      <w:r w:rsidRPr="0026704B">
        <w:rPr>
          <w:szCs w:val="13"/>
        </w:rPr>
        <w:t xml:space="preserve"> </w:t>
      </w:r>
      <w:r w:rsidR="009319E7" w:rsidRPr="0026704B">
        <w:rPr>
          <w:szCs w:val="13"/>
        </w:rPr>
        <w:t xml:space="preserve">Administered </w:t>
      </w:r>
      <w:r w:rsidR="0017406C" w:rsidRPr="0026704B">
        <w:rPr>
          <w:szCs w:val="13"/>
        </w:rPr>
        <w:t>between June 2021 and June 2022 n = 79</w:t>
      </w:r>
    </w:p>
  </w:footnote>
  <w:footnote w:id="124">
    <w:p w14:paraId="2A32CCD7" w14:textId="3BA031E3" w:rsidR="0034449D" w:rsidRPr="0026704B" w:rsidRDefault="0034449D" w:rsidP="00FF0077">
      <w:pPr>
        <w:pStyle w:val="FootnoteText"/>
        <w:rPr>
          <w:szCs w:val="13"/>
        </w:rPr>
      </w:pPr>
      <w:r w:rsidRPr="0026704B">
        <w:rPr>
          <w:rStyle w:val="FootnoteReference"/>
          <w:szCs w:val="13"/>
        </w:rPr>
        <w:footnoteRef/>
      </w:r>
      <w:r w:rsidRPr="0026704B">
        <w:rPr>
          <w:szCs w:val="13"/>
        </w:rPr>
        <w:t xml:space="preserve"> </w:t>
      </w:r>
      <w:r w:rsidR="009A3B75" w:rsidRPr="0026704B">
        <w:rPr>
          <w:szCs w:val="13"/>
        </w:rPr>
        <w:t>Nous Group (2021). The Way Back Support Service Peer Support Trial Evaluation, Final Report</w:t>
      </w:r>
      <w:r w:rsidR="00D31A2F" w:rsidRPr="0026704B">
        <w:rPr>
          <w:szCs w:val="13"/>
        </w:rPr>
        <w:t xml:space="preserve">. </w:t>
      </w:r>
    </w:p>
  </w:footnote>
  <w:footnote w:id="125">
    <w:p w14:paraId="7DDBDEDF" w14:textId="18482FC1" w:rsidR="00D37330" w:rsidRPr="0026704B" w:rsidRDefault="00D37330" w:rsidP="00FF0077">
      <w:pPr>
        <w:pStyle w:val="FootnoteText"/>
        <w:rPr>
          <w:szCs w:val="13"/>
        </w:rPr>
      </w:pPr>
      <w:r w:rsidRPr="0026704B">
        <w:rPr>
          <w:rStyle w:val="FootnoteReference"/>
          <w:szCs w:val="13"/>
        </w:rPr>
        <w:footnoteRef/>
      </w:r>
      <w:r w:rsidRPr="0026704B">
        <w:rPr>
          <w:szCs w:val="13"/>
        </w:rPr>
        <w:t xml:space="preserve"> Based on responses from the Participant survey administered between June 2021 and June 2022 n =</w:t>
      </w:r>
      <w:r w:rsidR="00460ADC" w:rsidRPr="0026704B">
        <w:rPr>
          <w:szCs w:val="13"/>
        </w:rPr>
        <w:t xml:space="preserve"> 79</w:t>
      </w:r>
      <w:r w:rsidR="00DB7DCA" w:rsidRPr="0026704B">
        <w:rPr>
          <w:szCs w:val="13"/>
        </w:rPr>
        <w:t xml:space="preserve">. </w:t>
      </w:r>
    </w:p>
  </w:footnote>
  <w:footnote w:id="126">
    <w:p w14:paraId="409C3D71" w14:textId="3D9519C4" w:rsidR="00031685" w:rsidRPr="0026704B" w:rsidRDefault="00031685" w:rsidP="00FF0077">
      <w:pPr>
        <w:pStyle w:val="FootnoteText"/>
        <w:rPr>
          <w:szCs w:val="13"/>
        </w:rPr>
      </w:pPr>
      <w:r w:rsidRPr="0026704B">
        <w:rPr>
          <w:rStyle w:val="FootnoteReference"/>
          <w:szCs w:val="13"/>
        </w:rPr>
        <w:footnoteRef/>
      </w:r>
      <w:r w:rsidRPr="0026704B">
        <w:rPr>
          <w:szCs w:val="13"/>
        </w:rPr>
        <w:t xml:space="preserve"> The provider survey was administered to support coordinators or team leaders of The Way Back between June 2021 and June 2022, n =</w:t>
      </w:r>
      <w:r w:rsidR="00460ADC" w:rsidRPr="0026704B">
        <w:rPr>
          <w:szCs w:val="13"/>
        </w:rPr>
        <w:t xml:space="preserve"> </w:t>
      </w:r>
      <w:r w:rsidR="005853F3" w:rsidRPr="0026704B">
        <w:rPr>
          <w:szCs w:val="13"/>
        </w:rPr>
        <w:t>9</w:t>
      </w:r>
      <w:r w:rsidR="00460ADC" w:rsidRPr="0026704B">
        <w:rPr>
          <w:szCs w:val="13"/>
        </w:rPr>
        <w:t>5</w:t>
      </w:r>
    </w:p>
  </w:footnote>
  <w:footnote w:id="127">
    <w:p w14:paraId="3C193C56" w14:textId="6B973077" w:rsidR="001158BB" w:rsidRPr="0026704B" w:rsidRDefault="001158BB" w:rsidP="00FF0077">
      <w:pPr>
        <w:pStyle w:val="FootnoteText"/>
        <w:rPr>
          <w:szCs w:val="13"/>
        </w:rPr>
      </w:pPr>
      <w:r w:rsidRPr="0026704B">
        <w:rPr>
          <w:rStyle w:val="FootnoteReference"/>
          <w:szCs w:val="13"/>
        </w:rPr>
        <w:footnoteRef/>
      </w:r>
      <w:r w:rsidRPr="0026704B">
        <w:rPr>
          <w:szCs w:val="13"/>
        </w:rPr>
        <w:t xml:space="preserve"> SAX Institute. (2019). </w:t>
      </w:r>
      <w:r w:rsidRPr="0026704B">
        <w:rPr>
          <w:i/>
          <w:iCs/>
          <w:szCs w:val="13"/>
        </w:rPr>
        <w:t>Suicide aftercare services</w:t>
      </w:r>
      <w:r w:rsidRPr="0026704B">
        <w:rPr>
          <w:szCs w:val="13"/>
        </w:rPr>
        <w:t>. pp. 8. Retrieved from: https://www.saxinstitute.org.au/wp-content/uploads/2019_Suicide-Aftercare-Services-Report.pdf</w:t>
      </w:r>
    </w:p>
  </w:footnote>
  <w:footnote w:id="128">
    <w:p w14:paraId="3ECDEDF0" w14:textId="77777777" w:rsidR="00B57E1F" w:rsidRPr="0026704B" w:rsidRDefault="00B57E1F" w:rsidP="00FF0077">
      <w:pPr>
        <w:pStyle w:val="FootnoteText"/>
        <w:rPr>
          <w:szCs w:val="13"/>
        </w:rPr>
      </w:pPr>
      <w:r w:rsidRPr="0026704B">
        <w:rPr>
          <w:rStyle w:val="FootnoteReference"/>
          <w:szCs w:val="13"/>
        </w:rPr>
        <w:footnoteRef/>
      </w:r>
      <w:r w:rsidRPr="0026704B">
        <w:rPr>
          <w:szCs w:val="13"/>
        </w:rPr>
        <w:t xml:space="preserve"> Socratic questioning is a form of disciplined questioning that can be used to pursue thought in many directions and for many purposes, including: to explore complex ideas, to get to the truth of things, to </w:t>
      </w:r>
      <w:proofErr w:type="gramStart"/>
      <w:r w:rsidRPr="0026704B">
        <w:rPr>
          <w:szCs w:val="13"/>
        </w:rPr>
        <w:t>open up</w:t>
      </w:r>
      <w:proofErr w:type="gramEnd"/>
      <w:r w:rsidRPr="0026704B">
        <w:rPr>
          <w:szCs w:val="13"/>
        </w:rPr>
        <w:t xml:space="preserve"> issues and problems, to uncover assumptions, to analyse concepts, to distinguish what we know from what we do not know, to follow out logical consequences of thought or to control discussions.</w:t>
      </w:r>
    </w:p>
  </w:footnote>
  <w:footnote w:id="129">
    <w:p w14:paraId="55938B67" w14:textId="77777777" w:rsidR="001158BB" w:rsidRPr="0026704B" w:rsidRDefault="001158BB" w:rsidP="00FF0077">
      <w:pPr>
        <w:pStyle w:val="FootnoteText"/>
        <w:rPr>
          <w:szCs w:val="13"/>
        </w:rPr>
      </w:pPr>
      <w:r w:rsidRPr="0026704B">
        <w:rPr>
          <w:rStyle w:val="FootnoteReference"/>
          <w:szCs w:val="13"/>
        </w:rPr>
        <w:footnoteRef/>
      </w:r>
      <w:r w:rsidRPr="0026704B">
        <w:rPr>
          <w:szCs w:val="13"/>
        </w:rPr>
        <w:t xml:space="preserve"> </w:t>
      </w:r>
      <w:r w:rsidRPr="0026704B">
        <w:rPr>
          <w:rFonts w:asciiTheme="majorHAnsi" w:hAnsiTheme="majorHAnsi" w:cstheme="majorHAnsi"/>
          <w:szCs w:val="13"/>
        </w:rPr>
        <w:t>A mental health crisis</w:t>
      </w:r>
      <w:r w:rsidRPr="0026704B">
        <w:rPr>
          <w:szCs w:val="13"/>
        </w:rPr>
        <w:t xml:space="preserve"> is any situation in which a person’s actions, feelings and behaviours can lead to them hurting themselves or others and/or put them at risk of being unable to care for themselves or function in the community in a healthy manner.</w:t>
      </w:r>
    </w:p>
  </w:footnote>
  <w:footnote w:id="130">
    <w:p w14:paraId="1DA203C9" w14:textId="54F809EC" w:rsidR="001158BB" w:rsidRPr="00310C20" w:rsidRDefault="001158BB" w:rsidP="00310C20">
      <w:pPr>
        <w:pStyle w:val="FootnoteText"/>
      </w:pPr>
      <w:r w:rsidRPr="00280E9F">
        <w:rPr>
          <w:rStyle w:val="FootnoteReference"/>
        </w:rPr>
        <w:footnoteRef/>
      </w:r>
      <w:r w:rsidRPr="00280E9F">
        <w:rPr>
          <w:vertAlign w:val="superscript"/>
        </w:rPr>
        <w:t xml:space="preserve"> </w:t>
      </w:r>
      <w:r w:rsidRPr="00310C20">
        <w:t>The ‘missing middle’ is a term used to describe “people whose needs are not met by current mental</w:t>
      </w:r>
      <w:r w:rsidR="00310C20">
        <w:t xml:space="preserve"> </w:t>
      </w:r>
      <w:r w:rsidRPr="00310C20">
        <w:t>health services”. They are often too unwell for primary care, but not unwell enough for state-based</w:t>
      </w:r>
      <w:r w:rsidR="00280E9F">
        <w:t xml:space="preserve"> </w:t>
      </w:r>
      <w:r w:rsidRPr="00310C20">
        <w:t>services. They may have accessed services in the past year, however, these services were not able to</w:t>
      </w:r>
    </w:p>
    <w:p w14:paraId="395650E0" w14:textId="6684E3A5" w:rsidR="001158BB" w:rsidRPr="000C1F03" w:rsidRDefault="001158BB" w:rsidP="00310C20">
      <w:pPr>
        <w:pStyle w:val="FootnoteText"/>
      </w:pPr>
      <w:r w:rsidRPr="00310C20">
        <w:t>deliver either the duration of care, or level of specialist care appropriate for more complex and serious</w:t>
      </w:r>
      <w:r w:rsidR="00280E9F">
        <w:t xml:space="preserve"> </w:t>
      </w:r>
      <w:r w:rsidRPr="00310C20">
        <w:t xml:space="preserve">mental ill-health.” </w:t>
      </w:r>
      <w:r w:rsidR="00146E2E" w:rsidRPr="00310C20">
        <w:t xml:space="preserve">See </w:t>
      </w:r>
      <w:proofErr w:type="spellStart"/>
      <w:r w:rsidRPr="00310C20">
        <w:t>Oryg</w:t>
      </w:r>
      <w:r w:rsidRPr="000C1F03">
        <w:t>en</w:t>
      </w:r>
      <w:proofErr w:type="spellEnd"/>
      <w:r w:rsidRPr="000C1F03">
        <w:t xml:space="preserve">, </w:t>
      </w:r>
      <w:r w:rsidR="00146E2E" w:rsidRPr="000C1F03">
        <w:t>‘</w:t>
      </w:r>
      <w:r w:rsidRPr="000C1F03">
        <w:t>Defining the missing middle</w:t>
      </w:r>
      <w:r w:rsidR="00B12BA5" w:rsidRPr="000C1F03">
        <w:t>.’</w:t>
      </w:r>
      <w:r w:rsidRPr="000C1F03">
        <w:t xml:space="preserve"> </w:t>
      </w:r>
      <w:r w:rsidR="00146E2E" w:rsidRPr="000C1F03">
        <w:t>Retrieved from:</w:t>
      </w:r>
      <w:r w:rsidRPr="000C1F03">
        <w:t xml:space="preserve"> </w:t>
      </w:r>
      <w:hyperlink r:id="rId3" w:history="1">
        <w:r w:rsidRPr="000C1F03">
          <w:t>www.orygen.org.au/Policy/Policy-Areas/Government-policy-service-delivery-and-workforce/Service-delivery/Defining-the-missing-middle/orygen-defining-the-missing-middle-pdf.aspx?ext=</w:t>
        </w:r>
      </w:hyperlink>
      <w:r w:rsidRPr="000C1F03">
        <w:t xml:space="preserve">. </w:t>
      </w:r>
    </w:p>
  </w:footnote>
  <w:footnote w:id="131">
    <w:p w14:paraId="4739C82D" w14:textId="11EC9981" w:rsidR="008476C5" w:rsidRPr="0026704B" w:rsidRDefault="008476C5" w:rsidP="00FF0077">
      <w:pPr>
        <w:pStyle w:val="FootnoteText"/>
        <w:rPr>
          <w:szCs w:val="13"/>
        </w:rPr>
      </w:pPr>
      <w:r w:rsidRPr="0026704B">
        <w:rPr>
          <w:rStyle w:val="FootnoteReference"/>
          <w:szCs w:val="13"/>
        </w:rPr>
        <w:footnoteRef/>
      </w:r>
      <w:r w:rsidRPr="0026704B">
        <w:rPr>
          <w:szCs w:val="13"/>
        </w:rPr>
        <w:t xml:space="preserve"> It should be noted that as of July 2022, Beyond Blue </w:t>
      </w:r>
      <w:r w:rsidR="00A066C5" w:rsidRPr="0026704B">
        <w:rPr>
          <w:szCs w:val="13"/>
        </w:rPr>
        <w:t>implemented changes to KPIs to improve the appropriateness and clarity of KPIs</w:t>
      </w:r>
      <w:r w:rsidR="004D2E0D" w:rsidRPr="0026704B">
        <w:rPr>
          <w:szCs w:val="13"/>
        </w:rPr>
        <w:t xml:space="preserve">, including </w:t>
      </w:r>
      <w:r w:rsidR="00624B97" w:rsidRPr="0026704B">
        <w:rPr>
          <w:szCs w:val="13"/>
        </w:rPr>
        <w:t xml:space="preserve">the removal of the </w:t>
      </w:r>
      <w:r w:rsidR="00DB5710" w:rsidRPr="0026704B">
        <w:rPr>
          <w:szCs w:val="13"/>
        </w:rPr>
        <w:t>need to report against KPIs 2 and 3</w:t>
      </w:r>
    </w:p>
  </w:footnote>
  <w:footnote w:id="132">
    <w:p w14:paraId="5DF4D012" w14:textId="70A46113" w:rsidR="001519C5" w:rsidRPr="0026704B" w:rsidRDefault="001519C5" w:rsidP="00FF0077">
      <w:pPr>
        <w:pStyle w:val="FootnoteText"/>
        <w:rPr>
          <w:szCs w:val="13"/>
        </w:rPr>
      </w:pPr>
      <w:r w:rsidRPr="0026704B">
        <w:rPr>
          <w:rStyle w:val="FootnoteReference"/>
          <w:szCs w:val="13"/>
        </w:rPr>
        <w:footnoteRef/>
      </w:r>
      <w:r w:rsidRPr="0026704B">
        <w:rPr>
          <w:szCs w:val="13"/>
        </w:rPr>
        <w:t xml:space="preserve"> Based on quarterly report data for </w:t>
      </w:r>
      <w:r w:rsidR="009C3F9A" w:rsidRPr="0026704B">
        <w:rPr>
          <w:szCs w:val="13"/>
        </w:rPr>
        <w:t xml:space="preserve">the </w:t>
      </w:r>
      <w:r w:rsidRPr="0026704B">
        <w:rPr>
          <w:szCs w:val="13"/>
        </w:rPr>
        <w:t>2</w:t>
      </w:r>
      <w:r w:rsidR="00B92BA1" w:rsidRPr="0026704B">
        <w:rPr>
          <w:szCs w:val="13"/>
        </w:rPr>
        <w:t>7</w:t>
      </w:r>
      <w:r w:rsidRPr="0026704B">
        <w:rPr>
          <w:szCs w:val="13"/>
        </w:rPr>
        <w:t xml:space="preserve"> </w:t>
      </w:r>
      <w:r w:rsidR="009B625F" w:rsidRPr="0026704B">
        <w:rPr>
          <w:szCs w:val="13"/>
        </w:rPr>
        <w:t>reports</w:t>
      </w:r>
      <w:r w:rsidR="009C3F9A" w:rsidRPr="0026704B">
        <w:rPr>
          <w:szCs w:val="13"/>
        </w:rPr>
        <w:t xml:space="preserve"> received</w:t>
      </w:r>
      <w:r w:rsidR="009B625F" w:rsidRPr="0026704B">
        <w:rPr>
          <w:szCs w:val="13"/>
        </w:rPr>
        <w:t xml:space="preserve"> from </w:t>
      </w:r>
      <w:r w:rsidRPr="0026704B">
        <w:rPr>
          <w:szCs w:val="13"/>
        </w:rPr>
        <w:t xml:space="preserve">in-scope sites </w:t>
      </w:r>
      <w:r w:rsidR="001C1307" w:rsidRPr="0026704B">
        <w:rPr>
          <w:szCs w:val="13"/>
        </w:rPr>
        <w:t>in</w:t>
      </w:r>
      <w:r w:rsidRPr="0026704B">
        <w:rPr>
          <w:szCs w:val="13"/>
        </w:rPr>
        <w:t xml:space="preserve"> Q</w:t>
      </w:r>
      <w:r w:rsidR="001C1307" w:rsidRPr="0026704B">
        <w:rPr>
          <w:szCs w:val="13"/>
        </w:rPr>
        <w:t>4</w:t>
      </w:r>
      <w:r w:rsidRPr="0026704B">
        <w:rPr>
          <w:szCs w:val="13"/>
        </w:rPr>
        <w:t xml:space="preserve"> 2022</w:t>
      </w:r>
      <w:r w:rsidR="00DC46AC" w:rsidRPr="0026704B">
        <w:rPr>
          <w:szCs w:val="13"/>
        </w:rPr>
        <w:t>, supplemented with PMHC MDS data for the same sites in the same period</w:t>
      </w:r>
      <w:r w:rsidR="00650253" w:rsidRPr="0026704B">
        <w:rPr>
          <w:szCs w:val="13"/>
        </w:rPr>
        <w:t>.</w:t>
      </w:r>
    </w:p>
  </w:footnote>
  <w:footnote w:id="133">
    <w:p w14:paraId="16513912" w14:textId="23AE5255" w:rsidR="00464C55" w:rsidRPr="0026704B" w:rsidRDefault="00464C55">
      <w:pPr>
        <w:pStyle w:val="FootnoteText"/>
        <w:rPr>
          <w:szCs w:val="13"/>
        </w:rPr>
      </w:pPr>
      <w:r w:rsidRPr="0026704B">
        <w:rPr>
          <w:rStyle w:val="FootnoteReference"/>
          <w:szCs w:val="13"/>
        </w:rPr>
        <w:footnoteRef/>
      </w:r>
      <w:r w:rsidRPr="0026704B">
        <w:rPr>
          <w:szCs w:val="13"/>
        </w:rPr>
        <w:t xml:space="preserve"> With supplementary PMHC MDS data for the </w:t>
      </w:r>
      <w:r w:rsidR="00571D4F" w:rsidRPr="0026704B">
        <w:rPr>
          <w:szCs w:val="13"/>
        </w:rPr>
        <w:t xml:space="preserve">in-scope sites </w:t>
      </w:r>
      <w:r w:rsidR="0079661A" w:rsidRPr="0026704B">
        <w:rPr>
          <w:szCs w:val="13"/>
        </w:rPr>
        <w:t>in the same period.</w:t>
      </w:r>
    </w:p>
  </w:footnote>
  <w:footnote w:id="134">
    <w:p w14:paraId="24024E73" w14:textId="77777777" w:rsidR="00E53309" w:rsidRPr="0026704B" w:rsidRDefault="00E53309" w:rsidP="00E53309">
      <w:pPr>
        <w:pStyle w:val="FootnoteText"/>
        <w:rPr>
          <w:szCs w:val="13"/>
        </w:rPr>
      </w:pPr>
      <w:r w:rsidRPr="0026704B">
        <w:rPr>
          <w:rStyle w:val="FootnoteReference"/>
          <w:szCs w:val="13"/>
        </w:rPr>
        <w:footnoteRef/>
      </w:r>
      <w:r w:rsidRPr="0026704B">
        <w:rPr>
          <w:szCs w:val="13"/>
        </w:rPr>
        <w:t xml:space="preserve"> Quarterly report data Q4 2021 to Q4 2022Note </w:t>
      </w:r>
    </w:p>
  </w:footnote>
  <w:footnote w:id="135">
    <w:p w14:paraId="3CC99345" w14:textId="1D66A720" w:rsidR="0039193A" w:rsidRPr="0026704B" w:rsidRDefault="0039193A" w:rsidP="00FF0077">
      <w:pPr>
        <w:pStyle w:val="FootnoteText"/>
        <w:rPr>
          <w:szCs w:val="13"/>
        </w:rPr>
      </w:pPr>
      <w:r w:rsidRPr="0026704B">
        <w:rPr>
          <w:rStyle w:val="FootnoteReference"/>
          <w:szCs w:val="13"/>
        </w:rPr>
        <w:footnoteRef/>
      </w:r>
      <w:r w:rsidRPr="0026704B">
        <w:rPr>
          <w:szCs w:val="13"/>
        </w:rPr>
        <w:t xml:space="preserve"> </w:t>
      </w:r>
      <w:r w:rsidR="002D68ED" w:rsidRPr="0026704B">
        <w:rPr>
          <w:szCs w:val="13"/>
        </w:rPr>
        <w:t>Based on quarterly report data for 2</w:t>
      </w:r>
      <w:r w:rsidR="00884A75" w:rsidRPr="0026704B">
        <w:rPr>
          <w:szCs w:val="13"/>
        </w:rPr>
        <w:t>7</w:t>
      </w:r>
      <w:r w:rsidR="002D68ED" w:rsidRPr="0026704B">
        <w:rPr>
          <w:szCs w:val="13"/>
        </w:rPr>
        <w:t xml:space="preserve"> in</w:t>
      </w:r>
      <w:r w:rsidR="00884A75" w:rsidRPr="0026704B">
        <w:rPr>
          <w:szCs w:val="13"/>
        </w:rPr>
        <w:t>-</w:t>
      </w:r>
      <w:r w:rsidR="002D68ED" w:rsidRPr="0026704B">
        <w:rPr>
          <w:szCs w:val="13"/>
        </w:rPr>
        <w:t>scope sites between Q4 2021 and Q4 2022</w:t>
      </w:r>
      <w:r w:rsidR="008849DC" w:rsidRPr="0026704B">
        <w:rPr>
          <w:szCs w:val="13"/>
        </w:rPr>
        <w:t>, supplemented with PMHC MDS data for the same sites in the same period.</w:t>
      </w:r>
    </w:p>
  </w:footnote>
  <w:footnote w:id="136">
    <w:p w14:paraId="42AB4530" w14:textId="032F61D8" w:rsidR="007F4DA8" w:rsidRPr="0026704B" w:rsidRDefault="007F4DA8" w:rsidP="00FF0077">
      <w:pPr>
        <w:pStyle w:val="FootnoteText"/>
        <w:rPr>
          <w:szCs w:val="13"/>
        </w:rPr>
      </w:pPr>
      <w:r w:rsidRPr="0026704B">
        <w:rPr>
          <w:rStyle w:val="FootnoteReference"/>
          <w:szCs w:val="13"/>
        </w:rPr>
        <w:footnoteRef/>
      </w:r>
      <w:r w:rsidRPr="0026704B">
        <w:rPr>
          <w:szCs w:val="13"/>
        </w:rPr>
        <w:t xml:space="preserve"> Based on quarterly report data for 2</w:t>
      </w:r>
      <w:r w:rsidR="00884A75" w:rsidRPr="0026704B">
        <w:rPr>
          <w:szCs w:val="13"/>
        </w:rPr>
        <w:t>7</w:t>
      </w:r>
      <w:r w:rsidRPr="0026704B">
        <w:rPr>
          <w:szCs w:val="13"/>
        </w:rPr>
        <w:t xml:space="preserve"> in</w:t>
      </w:r>
      <w:r w:rsidR="00884A75" w:rsidRPr="0026704B">
        <w:rPr>
          <w:szCs w:val="13"/>
        </w:rPr>
        <w:t>-</w:t>
      </w:r>
      <w:r w:rsidRPr="0026704B">
        <w:rPr>
          <w:szCs w:val="13"/>
        </w:rPr>
        <w:t>scope sites between Q4 2021 and Q4 2022</w:t>
      </w:r>
      <w:r w:rsidR="008849DC" w:rsidRPr="0026704B">
        <w:rPr>
          <w:szCs w:val="13"/>
        </w:rPr>
        <w:t xml:space="preserve"> supplemented with PMHC MDS data for the same sites in the same period.</w:t>
      </w:r>
    </w:p>
  </w:footnote>
  <w:footnote w:id="137">
    <w:p w14:paraId="639E6F78" w14:textId="77777777" w:rsidR="006C6441" w:rsidRPr="0026704B" w:rsidRDefault="006C6441" w:rsidP="00FF0077">
      <w:pPr>
        <w:pStyle w:val="FootnoteText"/>
        <w:rPr>
          <w:szCs w:val="13"/>
        </w:rPr>
      </w:pPr>
      <w:r w:rsidRPr="0026704B">
        <w:rPr>
          <w:rStyle w:val="FootnoteReference"/>
          <w:szCs w:val="13"/>
        </w:rPr>
        <w:footnoteRef/>
      </w:r>
      <w:r w:rsidRPr="0026704B">
        <w:rPr>
          <w:szCs w:val="13"/>
        </w:rPr>
        <w:t xml:space="preserve"> Quarterly report data Q4 2021 to Q4 2022</w:t>
      </w:r>
    </w:p>
  </w:footnote>
  <w:footnote w:id="138">
    <w:p w14:paraId="55CBF114" w14:textId="0AA58FD0"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w:t>
      </w:r>
      <w:r w:rsidR="008D789F" w:rsidRPr="0026704B">
        <w:rPr>
          <w:szCs w:val="13"/>
        </w:rPr>
        <w:t>SAX Institute. (2019). Suicide aftercare services. pp. 28-30. Retrieved from: https://www.saxinstitute.org.au/wp-content/uploads/2019_Suicide-Aftercare-Services-Report.pdf</w:t>
      </w:r>
    </w:p>
  </w:footnote>
  <w:footnote w:id="139">
    <w:p w14:paraId="0BEC6A4E" w14:textId="77777777"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w:t>
      </w:r>
      <w:proofErr w:type="spellStart"/>
      <w:r w:rsidRPr="0026704B">
        <w:rPr>
          <w:szCs w:val="13"/>
        </w:rPr>
        <w:t>Krysinska</w:t>
      </w:r>
      <w:proofErr w:type="spellEnd"/>
      <w:r w:rsidRPr="0026704B">
        <w:rPr>
          <w:szCs w:val="13"/>
        </w:rPr>
        <w:t xml:space="preserve"> K, </w:t>
      </w:r>
      <w:proofErr w:type="spellStart"/>
      <w:r w:rsidRPr="0026704B">
        <w:rPr>
          <w:szCs w:val="13"/>
        </w:rPr>
        <w:t>Batterham</w:t>
      </w:r>
      <w:proofErr w:type="spellEnd"/>
      <w:r w:rsidRPr="0026704B">
        <w:rPr>
          <w:szCs w:val="13"/>
        </w:rPr>
        <w:t xml:space="preserve"> PJ, </w:t>
      </w:r>
      <w:proofErr w:type="spellStart"/>
      <w:r w:rsidRPr="0026704B">
        <w:rPr>
          <w:szCs w:val="13"/>
        </w:rPr>
        <w:t>Tye</w:t>
      </w:r>
      <w:proofErr w:type="spellEnd"/>
      <w:r w:rsidRPr="0026704B">
        <w:rPr>
          <w:szCs w:val="13"/>
        </w:rPr>
        <w:t xml:space="preserve"> M, Shand F, </w:t>
      </w:r>
      <w:proofErr w:type="spellStart"/>
      <w:r w:rsidRPr="0026704B">
        <w:rPr>
          <w:szCs w:val="13"/>
        </w:rPr>
        <w:t>Calear</w:t>
      </w:r>
      <w:proofErr w:type="spellEnd"/>
      <w:r w:rsidRPr="0026704B">
        <w:rPr>
          <w:szCs w:val="13"/>
        </w:rPr>
        <w:t xml:space="preserve"> AL, Cockayne N and Christensen H, ‘</w:t>
      </w:r>
      <w:r w:rsidRPr="0026704B">
        <w:rPr>
          <w:i/>
          <w:iCs/>
          <w:szCs w:val="13"/>
        </w:rPr>
        <w:t>Best strategies for reducing the suicide rate in Australia’</w:t>
      </w:r>
      <w:r w:rsidRPr="0026704B">
        <w:rPr>
          <w:szCs w:val="13"/>
        </w:rPr>
        <w:t>, Australian and New Zealand Journal of Psychiatry. 2016;50(2):115-118.</w:t>
      </w:r>
    </w:p>
  </w:footnote>
  <w:footnote w:id="140">
    <w:p w14:paraId="07B6E43E" w14:textId="77777777" w:rsidR="00B56FE6" w:rsidRPr="0026704B" w:rsidRDefault="00B56FE6" w:rsidP="00FF0077">
      <w:pPr>
        <w:pStyle w:val="FootnoteText"/>
        <w:rPr>
          <w:i/>
          <w:szCs w:val="13"/>
        </w:rPr>
      </w:pPr>
      <w:r w:rsidRPr="0026704B">
        <w:rPr>
          <w:rStyle w:val="FootnoteReference"/>
          <w:szCs w:val="13"/>
        </w:rPr>
        <w:footnoteRef/>
      </w:r>
      <w:r w:rsidRPr="0026704B">
        <w:rPr>
          <w:szCs w:val="13"/>
        </w:rPr>
        <w:t xml:space="preserve"> Hazell, T., Kay-Lambkin, K., Warren, B., </w:t>
      </w:r>
      <w:proofErr w:type="spellStart"/>
      <w:r w:rsidRPr="0026704B">
        <w:rPr>
          <w:szCs w:val="13"/>
        </w:rPr>
        <w:t>Skehan</w:t>
      </w:r>
      <w:proofErr w:type="spellEnd"/>
      <w:r w:rsidRPr="0026704B">
        <w:rPr>
          <w:szCs w:val="13"/>
        </w:rPr>
        <w:t>, J., Maxwell, K., Moore, C., &amp; Kemp, E. (2006), ‘</w:t>
      </w:r>
      <w:r w:rsidRPr="0026704B">
        <w:rPr>
          <w:i/>
          <w:szCs w:val="13"/>
        </w:rPr>
        <w:t>Safety after leaving hospital: The</w:t>
      </w:r>
    </w:p>
    <w:p w14:paraId="0E5ED0F4" w14:textId="77777777" w:rsidR="00B56FE6" w:rsidRPr="0026704B" w:rsidRDefault="00B56FE6" w:rsidP="00FF0077">
      <w:pPr>
        <w:pStyle w:val="FootnoteText"/>
        <w:rPr>
          <w:szCs w:val="13"/>
        </w:rPr>
      </w:pPr>
      <w:r w:rsidRPr="0026704B">
        <w:rPr>
          <w:szCs w:val="13"/>
        </w:rPr>
        <w:t>reduction in risk of suicide in people who are discharged from inpatient mental health care’, Hunter Institute of Mental Health</w:t>
      </w:r>
    </w:p>
  </w:footnote>
  <w:footnote w:id="141">
    <w:p w14:paraId="6682DD7B" w14:textId="7811C170"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w:t>
      </w:r>
      <w:r w:rsidR="00301B80" w:rsidRPr="0026704B">
        <w:rPr>
          <w:szCs w:val="13"/>
        </w:rPr>
        <w:t>SAX Institute. (2019). Suicide aftercare services. pp. 28-30. Retrieved from: https://www.saxinstitute.org.au/wp-content/uploads/2019_Suicide-Aftercare-Services-Report.pdf</w:t>
      </w:r>
    </w:p>
  </w:footnote>
  <w:footnote w:id="142">
    <w:p w14:paraId="4577A468" w14:textId="77777777"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Lewis R, Rosen R, Goodwin N, Dixon J. Where next for integrated care organizations in the English NHS? London: The King’s Fund; 2010.</w:t>
      </w:r>
    </w:p>
  </w:footnote>
  <w:footnote w:id="143">
    <w:p w14:paraId="19EAF2C4" w14:textId="2011EA15"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Based on insights reported by The Way Back staff, referring health services and </w:t>
      </w:r>
      <w:r w:rsidR="002F6D7A" w:rsidRPr="0026704B">
        <w:rPr>
          <w:szCs w:val="13"/>
        </w:rPr>
        <w:t>participants</w:t>
      </w:r>
      <w:r w:rsidRPr="0026704B">
        <w:rPr>
          <w:szCs w:val="13"/>
        </w:rPr>
        <w:t xml:space="preserve"> at eight The Way Back sites (deep dive sites).</w:t>
      </w:r>
    </w:p>
  </w:footnote>
  <w:footnote w:id="144">
    <w:p w14:paraId="656FF988" w14:textId="1DDCA91F"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w:t>
      </w:r>
      <w:r w:rsidR="009B0F24" w:rsidRPr="0026704B">
        <w:rPr>
          <w:szCs w:val="13"/>
        </w:rPr>
        <w:t>Isaacs, A. N. (2021). Care coordination as a collaborative element of recovery</w:t>
      </w:r>
      <w:r w:rsidR="009323F0" w:rsidRPr="0026704B">
        <w:rPr>
          <w:szCs w:val="13"/>
        </w:rPr>
        <w:t>-</w:t>
      </w:r>
      <w:r w:rsidR="009B0F24" w:rsidRPr="0026704B">
        <w:rPr>
          <w:szCs w:val="13"/>
        </w:rPr>
        <w:t xml:space="preserve">oriented services for persons with severe mental illness. </w:t>
      </w:r>
    </w:p>
  </w:footnote>
  <w:footnote w:id="145">
    <w:p w14:paraId="13C4B651" w14:textId="064B427C" w:rsidR="00B56FE6" w:rsidRPr="0026704B" w:rsidRDefault="00B56FE6" w:rsidP="00FF0077">
      <w:pPr>
        <w:pStyle w:val="FootnoteText"/>
        <w:rPr>
          <w:szCs w:val="13"/>
        </w:rPr>
      </w:pPr>
      <w:r w:rsidRPr="0026704B">
        <w:rPr>
          <w:rStyle w:val="FootnoteReference"/>
          <w:szCs w:val="13"/>
        </w:rPr>
        <w:footnoteRef/>
      </w:r>
      <w:r w:rsidRPr="0026704B">
        <w:rPr>
          <w:szCs w:val="13"/>
        </w:rPr>
        <w:t xml:space="preserve"> </w:t>
      </w:r>
      <w:r w:rsidR="009323F0" w:rsidRPr="0026704B">
        <w:rPr>
          <w:szCs w:val="13"/>
        </w:rPr>
        <w:t xml:space="preserve">Ibid. </w:t>
      </w:r>
    </w:p>
  </w:footnote>
  <w:footnote w:id="146">
    <w:p w14:paraId="002FB127" w14:textId="56B93A69" w:rsidR="002B0CB1" w:rsidRPr="0026704B" w:rsidRDefault="002B0CB1" w:rsidP="00FF0077">
      <w:pPr>
        <w:pStyle w:val="FootnoteText"/>
        <w:rPr>
          <w:szCs w:val="13"/>
        </w:rPr>
      </w:pPr>
      <w:r w:rsidRPr="0026704B">
        <w:rPr>
          <w:rStyle w:val="FootnoteReference"/>
          <w:szCs w:val="13"/>
        </w:rPr>
        <w:footnoteRef/>
      </w:r>
      <w:r w:rsidRPr="0026704B">
        <w:rPr>
          <w:szCs w:val="13"/>
        </w:rPr>
        <w:t xml:space="preserve"> The service maturity matrix measured site maturity across three domains</w:t>
      </w:r>
      <w:r w:rsidR="00240390" w:rsidRPr="0026704B">
        <w:rPr>
          <w:szCs w:val="13"/>
        </w:rPr>
        <w:t>:</w:t>
      </w:r>
      <w:r w:rsidRPr="0026704B">
        <w:rPr>
          <w:szCs w:val="13"/>
        </w:rPr>
        <w:t xml:space="preserve"> design, implementation, and service delivery.</w:t>
      </w:r>
    </w:p>
  </w:footnote>
  <w:footnote w:id="147">
    <w:p w14:paraId="1935D3E7" w14:textId="77777777" w:rsidR="002B0CB1" w:rsidRPr="0026704B" w:rsidRDefault="002B0CB1" w:rsidP="00FF0077">
      <w:pPr>
        <w:pStyle w:val="FootnoteText"/>
        <w:rPr>
          <w:szCs w:val="13"/>
        </w:rPr>
      </w:pPr>
      <w:r w:rsidRPr="0026704B">
        <w:rPr>
          <w:rStyle w:val="FootnoteReference"/>
          <w:szCs w:val="13"/>
        </w:rPr>
        <w:footnoteRef/>
      </w:r>
      <w:r w:rsidRPr="0026704B">
        <w:rPr>
          <w:szCs w:val="13"/>
        </w:rPr>
        <w:t xml:space="preserve"> Based on supplementary data between June 2021 and June 2022. </w:t>
      </w:r>
    </w:p>
  </w:footnote>
  <w:footnote w:id="148">
    <w:p w14:paraId="02A369FD" w14:textId="77777777" w:rsidR="000D43A1" w:rsidRPr="0026704B" w:rsidRDefault="000D43A1" w:rsidP="000D43A1">
      <w:pPr>
        <w:pStyle w:val="FootnoteText"/>
        <w:rPr>
          <w:szCs w:val="13"/>
        </w:rPr>
      </w:pPr>
      <w:r w:rsidRPr="0026704B">
        <w:rPr>
          <w:rStyle w:val="FootnoteReference"/>
          <w:szCs w:val="13"/>
        </w:rPr>
        <w:footnoteRef/>
      </w:r>
      <w:r w:rsidRPr="0026704B">
        <w:rPr>
          <w:szCs w:val="13"/>
        </w:rPr>
        <w:t xml:space="preserve"> Depiction based on information captured in Beyond Blue, ‘The Way Back Support Service – Service Delivery Model’, March 2020. Number of PHNs is representative of all 31 operational sites, noting some PHNs have more than 1 site in their region.</w:t>
      </w:r>
    </w:p>
  </w:footnote>
  <w:footnote w:id="149">
    <w:p w14:paraId="12F74361" w14:textId="453502F3" w:rsidR="00B52CE8" w:rsidRPr="0026704B" w:rsidRDefault="00B52CE8">
      <w:pPr>
        <w:pStyle w:val="FootnoteText"/>
        <w:rPr>
          <w:szCs w:val="13"/>
        </w:rPr>
      </w:pPr>
      <w:r w:rsidRPr="0026704B">
        <w:rPr>
          <w:rStyle w:val="FootnoteReference"/>
          <w:szCs w:val="13"/>
        </w:rPr>
        <w:footnoteRef/>
      </w:r>
      <w:r w:rsidRPr="0026704B">
        <w:rPr>
          <w:szCs w:val="13"/>
        </w:rPr>
        <w:t xml:space="preserve"> Note that a further $7 million was provided by the Australian Government </w:t>
      </w:r>
      <w:r w:rsidR="00AE718F" w:rsidRPr="0026704B">
        <w:rPr>
          <w:szCs w:val="13"/>
        </w:rPr>
        <w:t>and the Victorian Government to support the expansion of The Way Back and Hospital Ou</w:t>
      </w:r>
      <w:r w:rsidR="004A4C7E" w:rsidRPr="0026704B">
        <w:rPr>
          <w:szCs w:val="13"/>
        </w:rPr>
        <w:t>treach Post-</w:t>
      </w:r>
      <w:proofErr w:type="gramStart"/>
      <w:r w:rsidR="004A4C7E" w:rsidRPr="0026704B">
        <w:rPr>
          <w:szCs w:val="13"/>
        </w:rPr>
        <w:t>suicide</w:t>
      </w:r>
      <w:proofErr w:type="gramEnd"/>
      <w:r w:rsidR="004A4C7E" w:rsidRPr="0026704B">
        <w:rPr>
          <w:szCs w:val="13"/>
        </w:rPr>
        <w:t xml:space="preserve"> Engagement (HOPE) sites.</w:t>
      </w:r>
    </w:p>
  </w:footnote>
  <w:footnote w:id="150">
    <w:p w14:paraId="5C522260" w14:textId="77777777" w:rsidR="000A62F6" w:rsidRPr="0026704B" w:rsidRDefault="000A62F6" w:rsidP="00FF0077">
      <w:pPr>
        <w:pStyle w:val="FootnoteText"/>
        <w:rPr>
          <w:szCs w:val="13"/>
        </w:rPr>
      </w:pPr>
      <w:r w:rsidRPr="0026704B">
        <w:rPr>
          <w:rStyle w:val="FootnoteReference"/>
          <w:szCs w:val="13"/>
        </w:rPr>
        <w:footnoteRef/>
      </w:r>
      <w:r w:rsidRPr="0026704B">
        <w:rPr>
          <w:szCs w:val="13"/>
        </w:rPr>
        <w:t xml:space="preserve"> Productivity Commission. Mental Health Productivity Commission Inquiry Report Volume. (2020). Retrieved from: https://www.pc.gov.au/inquiries/completed/mental-health/report/mental-health-volume2.pdf.</w:t>
      </w:r>
    </w:p>
  </w:footnote>
  <w:footnote w:id="151">
    <w:p w14:paraId="530A86CF" w14:textId="51218243" w:rsidR="00330FBE" w:rsidRPr="0026704B" w:rsidRDefault="00330FBE" w:rsidP="00FF0077">
      <w:pPr>
        <w:pStyle w:val="FootnoteText"/>
        <w:rPr>
          <w:szCs w:val="13"/>
        </w:rPr>
      </w:pPr>
      <w:r w:rsidRPr="0026704B">
        <w:rPr>
          <w:rStyle w:val="FootnoteReference"/>
          <w:szCs w:val="13"/>
        </w:rPr>
        <w:footnoteRef/>
      </w:r>
      <w:r w:rsidRPr="0026704B">
        <w:rPr>
          <w:szCs w:val="13"/>
        </w:rPr>
        <w:t xml:space="preserve"> SAX </w:t>
      </w:r>
      <w:r w:rsidR="005F6EE4" w:rsidRPr="0026704B">
        <w:rPr>
          <w:szCs w:val="13"/>
        </w:rPr>
        <w:t>Institute</w:t>
      </w:r>
      <w:r w:rsidRPr="0026704B">
        <w:rPr>
          <w:szCs w:val="13"/>
        </w:rPr>
        <w:t>. (2019). Suicide aftercare services. pp. 28-30. Retrieved from: https://www.saxinstitute.org.au/wp-content/uploads/2019_Suicide-Aftercare-Services-Report.pdf</w:t>
      </w:r>
    </w:p>
  </w:footnote>
  <w:footnote w:id="152">
    <w:p w14:paraId="0BD77869" w14:textId="45BF454E" w:rsidR="00FB199F" w:rsidRPr="0026704B" w:rsidRDefault="00FB199F">
      <w:pPr>
        <w:pStyle w:val="FootnoteText"/>
        <w:rPr>
          <w:szCs w:val="13"/>
        </w:rPr>
      </w:pPr>
      <w:r w:rsidRPr="0026704B">
        <w:rPr>
          <w:rStyle w:val="FootnoteReference"/>
          <w:szCs w:val="13"/>
        </w:rPr>
        <w:footnoteRef/>
      </w:r>
      <w:r w:rsidRPr="0026704B">
        <w:rPr>
          <w:szCs w:val="13"/>
        </w:rPr>
        <w:t xml:space="preserve"> </w:t>
      </w:r>
      <w:r w:rsidR="00754F5B" w:rsidRPr="0026704B">
        <w:rPr>
          <w:szCs w:val="13"/>
        </w:rPr>
        <w:t xml:space="preserve">Institute for Social Science </w:t>
      </w:r>
      <w:r w:rsidR="005F6EE4" w:rsidRPr="0026704B">
        <w:rPr>
          <w:szCs w:val="13"/>
        </w:rPr>
        <w:t>Research</w:t>
      </w:r>
      <w:r w:rsidR="00754F5B" w:rsidRPr="0026704B">
        <w:rPr>
          <w:szCs w:val="13"/>
        </w:rPr>
        <w:t xml:space="preserve">. 2020. </w:t>
      </w:r>
      <w:r w:rsidR="00754F5B" w:rsidRPr="0026704B">
        <w:rPr>
          <w:i/>
          <w:iCs/>
          <w:szCs w:val="13"/>
        </w:rPr>
        <w:t>National Mental Health Workforce Strateg</w:t>
      </w:r>
      <w:r w:rsidR="00C97AE7" w:rsidRPr="0026704B">
        <w:rPr>
          <w:i/>
          <w:iCs/>
          <w:szCs w:val="13"/>
        </w:rPr>
        <w:t xml:space="preserve">y – A literature review. </w:t>
      </w:r>
      <w:r w:rsidR="00754F5B" w:rsidRPr="0026704B">
        <w:rPr>
          <w:szCs w:val="13"/>
        </w:rPr>
        <w:t xml:space="preserve">Retrieved from: </w:t>
      </w:r>
      <w:r w:rsidR="00C97AE7" w:rsidRPr="0026704B">
        <w:rPr>
          <w:szCs w:val="13"/>
        </w:rPr>
        <w:t>https://www.health.gov.au/sites/default/files/documents/2021/08/national-mental-health-workforce-strategy-a-literature-review_0.docx</w:t>
      </w:r>
    </w:p>
  </w:footnote>
  <w:footnote w:id="153">
    <w:p w14:paraId="7745391D" w14:textId="77777777" w:rsidR="001544F1" w:rsidRPr="0026704B" w:rsidRDefault="001544F1" w:rsidP="00FF0077">
      <w:pPr>
        <w:pStyle w:val="FootnoteText"/>
        <w:rPr>
          <w:szCs w:val="13"/>
        </w:rPr>
      </w:pPr>
      <w:r w:rsidRPr="0026704B">
        <w:rPr>
          <w:rStyle w:val="FootnoteReference"/>
          <w:szCs w:val="13"/>
        </w:rPr>
        <w:footnoteRef/>
      </w:r>
      <w:r w:rsidRPr="0026704B">
        <w:rPr>
          <w:szCs w:val="13"/>
        </w:rPr>
        <w:t xml:space="preserve"> Survey administered between June 2021 and June 2022, n = 95.</w:t>
      </w:r>
    </w:p>
  </w:footnote>
  <w:footnote w:id="154">
    <w:p w14:paraId="18642F0F" w14:textId="482057B9" w:rsidR="00C532E7" w:rsidRPr="0026704B" w:rsidRDefault="00C532E7" w:rsidP="00C532E7">
      <w:pPr>
        <w:pStyle w:val="FootnoteText"/>
        <w:rPr>
          <w:szCs w:val="13"/>
        </w:rPr>
      </w:pPr>
      <w:r w:rsidRPr="0026704B">
        <w:rPr>
          <w:rStyle w:val="FootnoteReference"/>
          <w:szCs w:val="13"/>
        </w:rPr>
        <w:footnoteRef/>
      </w:r>
      <w:r w:rsidRPr="0026704B">
        <w:rPr>
          <w:szCs w:val="13"/>
        </w:rPr>
        <w:t xml:space="preserve"> Note that from 1 July 2022, KPIs have been amended to better reflect service model intent. These changes are outlined in Appendix </w:t>
      </w:r>
      <w:r w:rsidR="001A1D37" w:rsidRPr="0026704B">
        <w:rPr>
          <w:szCs w:val="13"/>
        </w:rPr>
        <w:t>C</w:t>
      </w:r>
      <w:r w:rsidRPr="0026704B">
        <w:rPr>
          <w:szCs w:val="13"/>
        </w:rPr>
        <w:t>.</w:t>
      </w:r>
    </w:p>
  </w:footnote>
  <w:footnote w:id="155">
    <w:p w14:paraId="566E1356" w14:textId="77777777" w:rsidR="00C532E7" w:rsidRPr="0026704B" w:rsidRDefault="00C532E7" w:rsidP="00C532E7">
      <w:pPr>
        <w:pStyle w:val="FootnoteText"/>
        <w:rPr>
          <w:szCs w:val="13"/>
        </w:rPr>
      </w:pPr>
      <w:r w:rsidRPr="0026704B">
        <w:rPr>
          <w:rStyle w:val="FootnoteReference"/>
          <w:szCs w:val="13"/>
        </w:rPr>
        <w:footnoteRef/>
      </w:r>
      <w:r w:rsidRPr="0026704B">
        <w:rPr>
          <w:rStyle w:val="FootnoteReference"/>
          <w:szCs w:val="13"/>
        </w:rPr>
        <w:t xml:space="preserve"> </w:t>
      </w:r>
      <w:r w:rsidRPr="0026704B">
        <w:rPr>
          <w:szCs w:val="13"/>
        </w:rPr>
        <w:t>In some cases, more than one attempt at contact may be required before The Way Back Support Service is able to reach the Participant. The requirement of contact to be made within one business day relates to the first attempt at contact and not necessarily when contact is made.</w:t>
      </w:r>
    </w:p>
  </w:footnote>
  <w:footnote w:id="156">
    <w:p w14:paraId="57E8AF9E" w14:textId="77777777" w:rsidR="00C532E7" w:rsidRPr="0026704B" w:rsidRDefault="00C532E7" w:rsidP="00C532E7">
      <w:pPr>
        <w:pStyle w:val="FootnoteText"/>
        <w:rPr>
          <w:szCs w:val="13"/>
        </w:rPr>
      </w:pPr>
      <w:r w:rsidRPr="0026704B">
        <w:rPr>
          <w:rStyle w:val="FootnoteReference"/>
          <w:szCs w:val="13"/>
        </w:rPr>
        <w:footnoteRef/>
      </w:r>
      <w:r w:rsidRPr="0026704B">
        <w:rPr>
          <w:szCs w:val="13"/>
        </w:rPr>
        <w:t xml:space="preserve"> A grace period of 120 days shall be provided on achievement of the Total Annual Cases KPI. This is recognising that there will be </w:t>
      </w:r>
      <w:proofErr w:type="gramStart"/>
      <w:r w:rsidRPr="0026704B">
        <w:rPr>
          <w:szCs w:val="13"/>
        </w:rPr>
        <w:t>a period of time</w:t>
      </w:r>
      <w:proofErr w:type="gramEnd"/>
      <w:r w:rsidRPr="0026704B">
        <w:rPr>
          <w:szCs w:val="13"/>
        </w:rPr>
        <w:t xml:space="preserve"> before the Service Provider builds to full capacity and the referral pathways are efficiently established. </w:t>
      </w:r>
    </w:p>
  </w:footnote>
  <w:footnote w:id="157">
    <w:p w14:paraId="69E148AC" w14:textId="70B5FAB1" w:rsidR="0026656C" w:rsidRPr="0026704B" w:rsidRDefault="0026656C">
      <w:pPr>
        <w:pStyle w:val="FootnoteText"/>
        <w:rPr>
          <w:szCs w:val="13"/>
        </w:rPr>
      </w:pPr>
      <w:r w:rsidRPr="0026704B">
        <w:rPr>
          <w:rStyle w:val="FootnoteReference"/>
          <w:szCs w:val="13"/>
        </w:rPr>
        <w:footnoteRef/>
      </w:r>
      <w:r w:rsidRPr="0026704B">
        <w:rPr>
          <w:szCs w:val="13"/>
        </w:rPr>
        <w:t xml:space="preserve"> SAX Institute. 2019. Suicide aftercare services. Retrieved from: https://www.saxinstitute.org.au/wp-content/uploads/2019_Suicide-Aftercare-Services-Report.pdf</w:t>
      </w:r>
    </w:p>
  </w:footnote>
  <w:footnote w:id="158">
    <w:p w14:paraId="7AD641BD" w14:textId="46C671D4" w:rsidR="0061624B" w:rsidRPr="0026704B" w:rsidRDefault="0061624B">
      <w:pPr>
        <w:pStyle w:val="FootnoteText"/>
        <w:rPr>
          <w:szCs w:val="13"/>
        </w:rPr>
      </w:pPr>
      <w:r w:rsidRPr="0026704B">
        <w:rPr>
          <w:rStyle w:val="FootnoteReference"/>
          <w:szCs w:val="13"/>
        </w:rPr>
        <w:footnoteRef/>
      </w:r>
      <w:r w:rsidRPr="0026704B">
        <w:rPr>
          <w:szCs w:val="13"/>
        </w:rPr>
        <w:t xml:space="preserve"> </w:t>
      </w:r>
      <w:r w:rsidR="00D24179" w:rsidRPr="0026704B">
        <w:rPr>
          <w:szCs w:val="13"/>
        </w:rPr>
        <w:t>Black Dog Institute. 2020. Definition of Aboriginal and Torres Strait Islander Lived Experience</w:t>
      </w:r>
      <w:r w:rsidR="0060098A" w:rsidRPr="0026704B">
        <w:rPr>
          <w:szCs w:val="13"/>
        </w:rPr>
        <w:t>. Retrieved from: https://www.blackdoginstitute.org.au/education-services/aboriginal-and-torres-strait-islander-network/</w:t>
      </w:r>
    </w:p>
  </w:footnote>
  <w:footnote w:id="159">
    <w:p w14:paraId="286B0854" w14:textId="06D45EAD" w:rsidR="00EA2309" w:rsidRPr="0026704B" w:rsidRDefault="00EA2309">
      <w:pPr>
        <w:pStyle w:val="FootnoteText"/>
        <w:rPr>
          <w:szCs w:val="13"/>
        </w:rPr>
      </w:pPr>
      <w:r w:rsidRPr="0026704B">
        <w:rPr>
          <w:rStyle w:val="FootnoteReference"/>
          <w:szCs w:val="13"/>
        </w:rPr>
        <w:footnoteRef/>
      </w:r>
      <w:r w:rsidRPr="0026704B">
        <w:rPr>
          <w:szCs w:val="13"/>
        </w:rPr>
        <w:t xml:space="preserve"> SAX Institute. 2019. Suicide aftercare services. Retrieved from: https://www.saxinstitute.org.au/wp-content/uploads/2019_Suicide-Aftercare-Services-Report.pdf</w:t>
      </w:r>
    </w:p>
  </w:footnote>
  <w:footnote w:id="160">
    <w:p w14:paraId="7AF64F2F" w14:textId="0F19107A" w:rsidR="003D0B12" w:rsidRPr="0026704B" w:rsidRDefault="003D0B12">
      <w:pPr>
        <w:pStyle w:val="FootnoteText"/>
        <w:rPr>
          <w:szCs w:val="13"/>
        </w:rPr>
      </w:pPr>
      <w:r w:rsidRPr="0026704B">
        <w:rPr>
          <w:rStyle w:val="FootnoteReference"/>
          <w:szCs w:val="13"/>
        </w:rPr>
        <w:footnoteRef/>
      </w:r>
      <w:r w:rsidRPr="0026704B">
        <w:rPr>
          <w:szCs w:val="13"/>
        </w:rPr>
        <w:t xml:space="preserve"> SAX Institute. 2019. Suicide aftercare services. Retrieved from: https://www.saxinstitute.org.au/wp-content/uploads/2019_Suicide-Aftercare-Services-Report.pdf</w:t>
      </w:r>
    </w:p>
  </w:footnote>
  <w:footnote w:id="161">
    <w:p w14:paraId="09CF738A" w14:textId="0163787B" w:rsidR="00850C69" w:rsidRPr="0026704B" w:rsidRDefault="00850C69" w:rsidP="00FF0077">
      <w:pPr>
        <w:pStyle w:val="FootnoteText"/>
        <w:rPr>
          <w:szCs w:val="13"/>
        </w:rPr>
      </w:pPr>
      <w:r w:rsidRPr="0026704B">
        <w:rPr>
          <w:rStyle w:val="FootnoteReference"/>
          <w:szCs w:val="13"/>
        </w:rPr>
        <w:footnoteRef/>
      </w:r>
      <w:r w:rsidRPr="0026704B">
        <w:rPr>
          <w:szCs w:val="13"/>
        </w:rPr>
        <w:t xml:space="preserve"> The HOPE program is a follow-up and aftercare service for people who attend a hospital ED in crisis or following a suicide attempt. HOPE provides both clinical and social support to individuals and their personal support networks. </w:t>
      </w:r>
    </w:p>
  </w:footnote>
  <w:footnote w:id="162">
    <w:p w14:paraId="3589D5CF" w14:textId="77777777" w:rsidR="00DE041E" w:rsidRDefault="00DE041E" w:rsidP="00FF0077">
      <w:pPr>
        <w:pStyle w:val="FootnoteText"/>
      </w:pPr>
      <w:r w:rsidRPr="0026704B">
        <w:rPr>
          <w:rStyle w:val="FootnoteReference"/>
          <w:szCs w:val="13"/>
        </w:rPr>
        <w:footnoteRef/>
      </w:r>
      <w:r w:rsidRPr="0026704B">
        <w:rPr>
          <w:szCs w:val="13"/>
        </w:rPr>
        <w:t xml:space="preserve"> SAX Institute. (2019). Suicide aftercare services. pp. 28-30. Retrieved from: https://www.saxinstitute.org.au/wp-content/uploads/2019_Suicide-Aftercare-Services-Report.pdf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DCC86" w14:textId="77777777" w:rsidR="009572B6" w:rsidRDefault="009572B6">
    <w:pPr>
      <w:pStyle w:val="Header"/>
    </w:pPr>
    <w:r>
      <w:rPr>
        <w:noProof/>
        <w:sz w:val="20"/>
        <w:szCs w:val="20"/>
        <w:lang w:eastAsia="en-AU"/>
      </w:rPr>
      <w:drawing>
        <wp:anchor distT="0" distB="0" distL="114300" distR="114300" simplePos="0" relativeHeight="251658251" behindDoc="0" locked="0" layoutInCell="1" allowOverlap="1" wp14:anchorId="4F2FAE26" wp14:editId="2A0E9DC3">
          <wp:simplePos x="0" y="0"/>
          <wp:positionH relativeFrom="page">
            <wp:posOffset>3337</wp:posOffset>
          </wp:positionH>
          <wp:positionV relativeFrom="page">
            <wp:posOffset>-6985</wp:posOffset>
          </wp:positionV>
          <wp:extent cx="7559749" cy="116958"/>
          <wp:effectExtent l="0" t="0" r="0" b="0"/>
          <wp:wrapNone/>
          <wp:docPr id="27874" name="Picture 27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73" name="Picture 27873">
                    <a:extLst>
                      <a:ext uri="{C183D7F6-B498-43B3-948B-1728B52AA6E4}">
                        <adec:decorative xmlns:adec="http://schemas.microsoft.com/office/drawing/2017/decorative" val="1"/>
                      </a:ext>
                    </a:extLst>
                  </pic:cNvPr>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7559749" cy="116958"/>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2DD43" w14:textId="77777777" w:rsidR="00A54707" w:rsidRDefault="00D06DD4">
    <w:pPr>
      <w:pStyle w:val="Header"/>
    </w:pPr>
    <w:r w:rsidRPr="007F3F81">
      <w:rPr>
        <w:noProof/>
        <w:lang w:eastAsia="en-AU"/>
      </w:rPr>
      <w:drawing>
        <wp:anchor distT="0" distB="0" distL="114300" distR="114300" simplePos="0" relativeHeight="251658248" behindDoc="0" locked="0" layoutInCell="1" allowOverlap="1" wp14:anchorId="41BF40CF" wp14:editId="073CDEE9">
          <wp:simplePos x="0" y="0"/>
          <wp:positionH relativeFrom="page">
            <wp:posOffset>-1566408</wp:posOffset>
          </wp:positionH>
          <wp:positionV relativeFrom="page">
            <wp:align>top</wp:align>
          </wp:positionV>
          <wp:extent cx="13292599" cy="143123"/>
          <wp:effectExtent l="0" t="0" r="0" b="9525"/>
          <wp:wrapNone/>
          <wp:docPr id="278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92599" cy="14312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760C5" w14:textId="77777777" w:rsidR="00A54707" w:rsidRDefault="00EA6482">
    <w:pPr>
      <w:pStyle w:val="Header"/>
    </w:pPr>
    <w:r w:rsidRPr="007F3F81">
      <w:rPr>
        <w:noProof/>
        <w:lang w:eastAsia="en-AU"/>
      </w:rPr>
      <w:drawing>
        <wp:anchor distT="0" distB="0" distL="114300" distR="114300" simplePos="0" relativeHeight="251658246" behindDoc="0" locked="0" layoutInCell="1" allowOverlap="1" wp14:anchorId="19084374" wp14:editId="7D7ABC48">
          <wp:simplePos x="0" y="0"/>
          <wp:positionH relativeFrom="page">
            <wp:posOffset>-1566408</wp:posOffset>
          </wp:positionH>
          <wp:positionV relativeFrom="page">
            <wp:align>top</wp:align>
          </wp:positionV>
          <wp:extent cx="13292599" cy="143123"/>
          <wp:effectExtent l="0" t="0" r="0" b="9525"/>
          <wp:wrapNone/>
          <wp:docPr id="2789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92599" cy="14312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6935E" w14:textId="1D0F33C6" w:rsidR="00A54707" w:rsidRDefault="00740018">
    <w:pPr>
      <w:pStyle w:val="Header"/>
    </w:pPr>
    <w:r w:rsidRPr="009C08CE">
      <w:rPr>
        <w:noProof/>
        <w:lang w:eastAsia="en-AU"/>
      </w:rPr>
      <w:drawing>
        <wp:anchor distT="0" distB="0" distL="114300" distR="114300" simplePos="0" relativeHeight="251658247" behindDoc="1" locked="0" layoutInCell="1" allowOverlap="1" wp14:anchorId="453BCC65" wp14:editId="689614DC">
          <wp:simplePos x="0" y="0"/>
          <wp:positionH relativeFrom="page">
            <wp:align>right</wp:align>
          </wp:positionH>
          <wp:positionV relativeFrom="page">
            <wp:align>top</wp:align>
          </wp:positionV>
          <wp:extent cx="12368151" cy="106878"/>
          <wp:effectExtent l="0" t="0" r="0" b="7620"/>
          <wp:wrapNone/>
          <wp:docPr id="27899"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9"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A91F3" w14:textId="77777777" w:rsidR="00A54707" w:rsidRDefault="00EA6482">
    <w:pPr>
      <w:pStyle w:val="Header"/>
    </w:pPr>
    <w:r w:rsidRPr="009C08CE">
      <w:rPr>
        <w:noProof/>
        <w:lang w:eastAsia="en-AU"/>
      </w:rPr>
      <w:drawing>
        <wp:anchor distT="0" distB="0" distL="114300" distR="114300" simplePos="0" relativeHeight="251658244" behindDoc="1" locked="0" layoutInCell="1" allowOverlap="1" wp14:anchorId="2B1DCA28" wp14:editId="60AB1BC1">
          <wp:simplePos x="0" y="0"/>
          <wp:positionH relativeFrom="page">
            <wp:align>right</wp:align>
          </wp:positionH>
          <wp:positionV relativeFrom="page">
            <wp:align>top</wp:align>
          </wp:positionV>
          <wp:extent cx="12368151" cy="106878"/>
          <wp:effectExtent l="0" t="0" r="0" b="7620"/>
          <wp:wrapNone/>
          <wp:docPr id="85"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p w14:paraId="338F4B71" w14:textId="77777777" w:rsidR="00FF7E9B" w:rsidRDefault="00FF7E9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412A3" w14:textId="77777777" w:rsidR="009572B6" w:rsidRDefault="009572B6" w:rsidP="00855715">
    <w:pPr>
      <w:pStyle w:val="Header"/>
      <w:tabs>
        <w:tab w:val="clear" w:pos="4513"/>
        <w:tab w:val="clear" w:pos="9026"/>
        <w:tab w:val="left" w:pos="175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657EA" w14:textId="77777777" w:rsidR="009572B6" w:rsidRDefault="009572B6">
    <w:r>
      <w:rPr>
        <w:noProof/>
        <w:sz w:val="20"/>
        <w:szCs w:val="20"/>
        <w:lang w:eastAsia="en-AU"/>
      </w:rPr>
      <w:drawing>
        <wp:anchor distT="0" distB="0" distL="114300" distR="114300" simplePos="0" relativeHeight="251658240" behindDoc="0" locked="0" layoutInCell="1" allowOverlap="1" wp14:anchorId="5858CA4B" wp14:editId="0DC71863">
          <wp:simplePos x="0" y="0"/>
          <wp:positionH relativeFrom="page">
            <wp:posOffset>0</wp:posOffset>
          </wp:positionH>
          <wp:positionV relativeFrom="page">
            <wp:posOffset>0</wp:posOffset>
          </wp:positionV>
          <wp:extent cx="7562850" cy="114300"/>
          <wp:effectExtent l="0" t="0" r="0" b="0"/>
          <wp:wrapNone/>
          <wp:docPr id="27875" name="Picture 27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7738721" cy="116958"/>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F264E" w14:textId="0E06AB98" w:rsidR="009572B6" w:rsidRDefault="001B101C">
    <w:pPr>
      <w:pStyle w:val="Header"/>
    </w:pPr>
    <w:r w:rsidRPr="007F3F81">
      <w:rPr>
        <w:noProof/>
        <w:lang w:eastAsia="en-AU"/>
      </w:rPr>
      <w:drawing>
        <wp:anchor distT="0" distB="0" distL="114300" distR="114300" simplePos="0" relativeHeight="251658250" behindDoc="0" locked="0" layoutInCell="1" allowOverlap="1" wp14:anchorId="2010D802" wp14:editId="29FF3993">
          <wp:simplePos x="0" y="0"/>
          <wp:positionH relativeFrom="page">
            <wp:posOffset>-1566408</wp:posOffset>
          </wp:positionH>
          <wp:positionV relativeFrom="page">
            <wp:align>top</wp:align>
          </wp:positionV>
          <wp:extent cx="13292599" cy="143123"/>
          <wp:effectExtent l="0" t="0" r="0" b="9525"/>
          <wp:wrapNone/>
          <wp:docPr id="2788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92599" cy="14312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549CA" w14:textId="72A9583E" w:rsidR="009572B6" w:rsidRDefault="001B101C" w:rsidP="009C08CE">
    <w:pPr>
      <w:pStyle w:val="Header"/>
      <w:tabs>
        <w:tab w:val="clear" w:pos="4513"/>
        <w:tab w:val="clear" w:pos="9026"/>
      </w:tabs>
    </w:pPr>
    <w:r w:rsidRPr="009C08CE">
      <w:rPr>
        <w:noProof/>
        <w:lang w:eastAsia="en-AU"/>
      </w:rPr>
      <w:drawing>
        <wp:anchor distT="0" distB="0" distL="114300" distR="114300" simplePos="0" relativeHeight="251658249" behindDoc="1" locked="0" layoutInCell="1" allowOverlap="1" wp14:anchorId="2467B312" wp14:editId="3F508B4D">
          <wp:simplePos x="0" y="0"/>
          <wp:positionH relativeFrom="page">
            <wp:align>right</wp:align>
          </wp:positionH>
          <wp:positionV relativeFrom="page">
            <wp:align>top</wp:align>
          </wp:positionV>
          <wp:extent cx="12368151" cy="106878"/>
          <wp:effectExtent l="0" t="0" r="0" b="7620"/>
          <wp:wrapNone/>
          <wp:docPr id="27886"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1"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r w:rsidR="00A54489" w:rsidRPr="009C08CE">
      <w:rPr>
        <w:noProof/>
        <w:lang w:eastAsia="en-AU"/>
      </w:rPr>
      <w:drawing>
        <wp:anchor distT="0" distB="0" distL="114300" distR="114300" simplePos="0" relativeHeight="251658252" behindDoc="1" locked="0" layoutInCell="1" allowOverlap="1" wp14:anchorId="565CAD70" wp14:editId="0FFCED15">
          <wp:simplePos x="0" y="0"/>
          <wp:positionH relativeFrom="page">
            <wp:align>right</wp:align>
          </wp:positionH>
          <wp:positionV relativeFrom="page">
            <wp:align>top</wp:align>
          </wp:positionV>
          <wp:extent cx="12368151" cy="106878"/>
          <wp:effectExtent l="0" t="0" r="0" b="7620"/>
          <wp:wrapNone/>
          <wp:docPr id="27888"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2"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4C239" w14:textId="77777777" w:rsidR="00A54707" w:rsidRDefault="001661C2">
    <w:pPr>
      <w:pStyle w:val="Header"/>
    </w:pPr>
    <w:r w:rsidRPr="009C08CE">
      <w:rPr>
        <w:noProof/>
        <w:lang w:eastAsia="en-AU"/>
      </w:rPr>
      <w:drawing>
        <wp:anchor distT="0" distB="0" distL="114300" distR="114300" simplePos="0" relativeHeight="251658241" behindDoc="1" locked="0" layoutInCell="1" allowOverlap="1" wp14:anchorId="62CC0296" wp14:editId="09EE542B">
          <wp:simplePos x="0" y="0"/>
          <wp:positionH relativeFrom="page">
            <wp:align>right</wp:align>
          </wp:positionH>
          <wp:positionV relativeFrom="page">
            <wp:align>top</wp:align>
          </wp:positionV>
          <wp:extent cx="12368151" cy="106878"/>
          <wp:effectExtent l="0" t="0" r="0" b="7620"/>
          <wp:wrapNone/>
          <wp:docPr id="27890"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7AF3D" w14:textId="77777777" w:rsidR="00A54707" w:rsidRDefault="001661C2">
    <w:pPr>
      <w:pStyle w:val="Header"/>
    </w:pPr>
    <w:r w:rsidRPr="009C08CE">
      <w:rPr>
        <w:noProof/>
        <w:lang w:eastAsia="en-AU"/>
      </w:rPr>
      <w:drawing>
        <wp:anchor distT="0" distB="0" distL="114300" distR="114300" simplePos="0" relativeHeight="251658242" behindDoc="1" locked="0" layoutInCell="1" allowOverlap="1" wp14:anchorId="551A853C" wp14:editId="5FA036FF">
          <wp:simplePos x="0" y="0"/>
          <wp:positionH relativeFrom="page">
            <wp:align>right</wp:align>
          </wp:positionH>
          <wp:positionV relativeFrom="page">
            <wp:align>top</wp:align>
          </wp:positionV>
          <wp:extent cx="12368151" cy="106878"/>
          <wp:effectExtent l="0" t="0" r="0" b="7620"/>
          <wp:wrapNone/>
          <wp:docPr id="27891"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4"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85B26" w14:textId="77777777" w:rsidR="00A54707" w:rsidRDefault="00927E09">
    <w:pPr>
      <w:pStyle w:val="Header"/>
    </w:pPr>
    <w:r w:rsidRPr="009C08CE">
      <w:rPr>
        <w:noProof/>
        <w:lang w:eastAsia="en-AU"/>
      </w:rPr>
      <w:drawing>
        <wp:anchor distT="0" distB="0" distL="114300" distR="114300" simplePos="0" relativeHeight="251658243" behindDoc="1" locked="0" layoutInCell="1" allowOverlap="1" wp14:anchorId="0AEDA4C3" wp14:editId="1D1050C2">
          <wp:simplePos x="0" y="0"/>
          <wp:positionH relativeFrom="page">
            <wp:align>right</wp:align>
          </wp:positionH>
          <wp:positionV relativeFrom="page">
            <wp:align>top</wp:align>
          </wp:positionV>
          <wp:extent cx="12368151" cy="106878"/>
          <wp:effectExtent l="0" t="0" r="0" b="7620"/>
          <wp:wrapNone/>
          <wp:docPr id="27892"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5"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6B7A5" w14:textId="545AA4CF" w:rsidR="00A54707" w:rsidRDefault="00927E09">
    <w:pPr>
      <w:pStyle w:val="Header"/>
    </w:pPr>
    <w:r w:rsidRPr="009C08CE">
      <w:rPr>
        <w:noProof/>
        <w:lang w:eastAsia="en-AU"/>
      </w:rPr>
      <w:drawing>
        <wp:anchor distT="0" distB="0" distL="114300" distR="114300" simplePos="0" relativeHeight="251658245" behindDoc="1" locked="0" layoutInCell="1" allowOverlap="1" wp14:anchorId="076FDE02" wp14:editId="44C7D272">
          <wp:simplePos x="0" y="0"/>
          <wp:positionH relativeFrom="page">
            <wp:align>right</wp:align>
          </wp:positionH>
          <wp:positionV relativeFrom="page">
            <wp:align>top</wp:align>
          </wp:positionV>
          <wp:extent cx="12368151" cy="106878"/>
          <wp:effectExtent l="0" t="0" r="0" b="7620"/>
          <wp:wrapNone/>
          <wp:docPr id="27893"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6"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68151" cy="10687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a:effectLst/>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VnyeCNpO" int2:invalidationBookmarkName="" int2:hashCode="YOGdCB6Wipd0JM" int2:id="9QAGDafp">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35A90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4B2B76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C16660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F742C1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91836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022E20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5ACBB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CF8839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D8AA42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7506E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1315F3"/>
    <w:multiLevelType w:val="multilevel"/>
    <w:tmpl w:val="9CD6342C"/>
    <w:numStyleLink w:val="TableexpListnumberedmultilevel"/>
  </w:abstractNum>
  <w:abstractNum w:abstractNumId="11" w15:restartNumberingAfterBreak="0">
    <w:nsid w:val="05007B8F"/>
    <w:multiLevelType w:val="multilevel"/>
    <w:tmpl w:val="9CD6342C"/>
    <w:styleLink w:val="TableexpListnumberedmultilevel"/>
    <w:lvl w:ilvl="0">
      <w:start w:val="1"/>
      <w:numFmt w:val="decimal"/>
      <w:pStyle w:val="TableexpListnumbered"/>
      <w:lvlText w:val="%1."/>
      <w:lvlJc w:val="left"/>
      <w:pPr>
        <w:ind w:left="227" w:hanging="227"/>
      </w:pPr>
      <w:rPr>
        <w:rFonts w:ascii="Segoe UI" w:hAnsi="Segoe UI" w:hint="default"/>
        <w:b w:val="0"/>
        <w:i w:val="0"/>
        <w:sz w:val="16"/>
      </w:rPr>
    </w:lvl>
    <w:lvl w:ilvl="1">
      <w:start w:val="1"/>
      <w:numFmt w:val="lowerLetter"/>
      <w:lvlText w:val="%2."/>
      <w:lvlJc w:val="left"/>
      <w:pPr>
        <w:ind w:left="454" w:hanging="227"/>
      </w:pPr>
      <w:rPr>
        <w:rFonts w:ascii="Segoe UI" w:hAnsi="Segoe UI" w:hint="default"/>
        <w:sz w:val="16"/>
      </w:rPr>
    </w:lvl>
    <w:lvl w:ilvl="2">
      <w:start w:val="1"/>
      <w:numFmt w:val="lowerRoman"/>
      <w:lvlText w:val="%3."/>
      <w:lvlJc w:val="left"/>
      <w:pPr>
        <w:ind w:left="680" w:hanging="226"/>
      </w:pPr>
      <w:rPr>
        <w:rFonts w:ascii="Segoe UI" w:hAnsi="Segoe UI" w:hint="default"/>
        <w:sz w:val="16"/>
      </w:rPr>
    </w:lvl>
    <w:lvl w:ilvl="3">
      <w:start w:val="1"/>
      <w:numFmt w:val="decimal"/>
      <w:lvlText w:val="%4."/>
      <w:lvlJc w:val="left"/>
      <w:pPr>
        <w:ind w:left="5180" w:hanging="360"/>
      </w:pPr>
      <w:rPr>
        <w:rFonts w:hint="default"/>
      </w:rPr>
    </w:lvl>
    <w:lvl w:ilvl="4">
      <w:start w:val="1"/>
      <w:numFmt w:val="lowerLetter"/>
      <w:lvlText w:val="%5."/>
      <w:lvlJc w:val="left"/>
      <w:pPr>
        <w:ind w:left="5900" w:hanging="360"/>
      </w:pPr>
      <w:rPr>
        <w:rFonts w:hint="default"/>
      </w:rPr>
    </w:lvl>
    <w:lvl w:ilvl="5">
      <w:start w:val="1"/>
      <w:numFmt w:val="lowerRoman"/>
      <w:lvlText w:val="%6."/>
      <w:lvlJc w:val="right"/>
      <w:pPr>
        <w:ind w:left="6620" w:hanging="180"/>
      </w:pPr>
      <w:rPr>
        <w:rFonts w:hint="default"/>
      </w:rPr>
    </w:lvl>
    <w:lvl w:ilvl="6">
      <w:start w:val="1"/>
      <w:numFmt w:val="decimal"/>
      <w:lvlText w:val="%7."/>
      <w:lvlJc w:val="left"/>
      <w:pPr>
        <w:ind w:left="7340" w:hanging="360"/>
      </w:pPr>
      <w:rPr>
        <w:rFonts w:hint="default"/>
      </w:rPr>
    </w:lvl>
    <w:lvl w:ilvl="7">
      <w:start w:val="1"/>
      <w:numFmt w:val="lowerLetter"/>
      <w:lvlText w:val="%8."/>
      <w:lvlJc w:val="left"/>
      <w:pPr>
        <w:ind w:left="8060" w:hanging="360"/>
      </w:pPr>
      <w:rPr>
        <w:rFonts w:hint="default"/>
      </w:rPr>
    </w:lvl>
    <w:lvl w:ilvl="8">
      <w:start w:val="1"/>
      <w:numFmt w:val="lowerRoman"/>
      <w:lvlText w:val="%9."/>
      <w:lvlJc w:val="right"/>
      <w:pPr>
        <w:ind w:left="8780" w:hanging="180"/>
      </w:pPr>
      <w:rPr>
        <w:rFonts w:hint="default"/>
      </w:rPr>
    </w:lvl>
  </w:abstractNum>
  <w:abstractNum w:abstractNumId="12" w15:restartNumberingAfterBreak="0">
    <w:nsid w:val="089A31A2"/>
    <w:multiLevelType w:val="multilevel"/>
    <w:tmpl w:val="49B07332"/>
    <w:lvl w:ilvl="0">
      <w:start w:val="1"/>
      <w:numFmt w:val="decimal"/>
      <w:pStyle w:val="Heading1"/>
      <w:lvlText w:val="%1"/>
      <w:lvlJc w:val="left"/>
      <w:pPr>
        <w:ind w:left="360" w:hanging="360"/>
      </w:pPr>
      <w:rPr>
        <w:rFonts w:ascii="Segoe UI" w:hAnsi="Segoe UI" w:hint="default"/>
        <w:b/>
        <w:i w:val="0"/>
        <w:color w:val="FFFFFF" w:themeColor="background1"/>
        <w:sz w:val="36"/>
        <w:szCs w:val="96"/>
      </w:rPr>
    </w:lvl>
    <w:lvl w:ilvl="1">
      <w:start w:val="1"/>
      <w:numFmt w:val="decimal"/>
      <w:pStyle w:val="Heading2"/>
      <w:lvlText w:val="%1.%2"/>
      <w:lvlJc w:val="left"/>
      <w:pPr>
        <w:ind w:left="576" w:hanging="576"/>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130E2EF9"/>
    <w:multiLevelType w:val="hybridMultilevel"/>
    <w:tmpl w:val="A132758A"/>
    <w:lvl w:ilvl="0" w:tplc="D408B966">
      <w:start w:val="1"/>
      <w:numFmt w:val="bullet"/>
      <w:pStyle w:val="TableExp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AA13D2D"/>
    <w:multiLevelType w:val="multilevel"/>
    <w:tmpl w:val="F2D8D162"/>
    <w:styleLink w:val="Listnumberedmultilevel"/>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15" w15:restartNumberingAfterBreak="0">
    <w:nsid w:val="39D1413D"/>
    <w:multiLevelType w:val="multilevel"/>
    <w:tmpl w:val="CB6ED078"/>
    <w:lvl w:ilvl="0">
      <w:start w:val="1"/>
      <w:numFmt w:val="bullet"/>
      <w:pStyle w:val="TableNBullet"/>
      <w:lvlText w:val=""/>
      <w:lvlJc w:val="left"/>
      <w:pPr>
        <w:ind w:left="510" w:hanging="227"/>
      </w:pPr>
      <w:rPr>
        <w:rFonts w:ascii="Symbol" w:hAnsi="Symbol" w:hint="default"/>
        <w:color w:val="auto"/>
        <w:position w:val="4"/>
        <w:sz w:val="16"/>
      </w:rPr>
    </w:lvl>
    <w:lvl w:ilvl="1">
      <w:start w:val="1"/>
      <w:numFmt w:val="bullet"/>
      <w:lvlText w:val=""/>
      <w:lvlJc w:val="left"/>
      <w:pPr>
        <w:ind w:left="510" w:hanging="226"/>
      </w:pPr>
      <w:rPr>
        <w:rFonts w:ascii="Symbol" w:hAnsi="Symbol" w:hint="default"/>
        <w:color w:val="auto"/>
        <w:position w:val="4"/>
        <w:sz w:val="16"/>
      </w:rPr>
    </w:lvl>
    <w:lvl w:ilvl="2">
      <w:start w:val="1"/>
      <w:numFmt w:val="bullet"/>
      <w:lvlText w:val=""/>
      <w:lvlJc w:val="left"/>
      <w:pPr>
        <w:ind w:left="794" w:hanging="227"/>
      </w:pPr>
      <w:rPr>
        <w:rFonts w:ascii="Symbol" w:hAnsi="Symbol" w:hint="default"/>
        <w:color w:val="auto"/>
        <w:position w:val="4"/>
        <w:sz w:val="16"/>
      </w:rPr>
    </w:lvl>
    <w:lvl w:ilvl="3">
      <w:start w:val="1"/>
      <w:numFmt w:val="bullet"/>
      <w:lvlText w:val=""/>
      <w:lvlJc w:val="left"/>
      <w:pPr>
        <w:ind w:left="680" w:hanging="170"/>
      </w:pPr>
      <w:rPr>
        <w:rFonts w:ascii="Wingdings 2" w:hAnsi="Wingdings 2" w:hint="default"/>
        <w:color w:val="404040" w:themeColor="text1" w:themeTint="BF"/>
        <w:position w:val="4"/>
        <w:sz w:val="10"/>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6" w15:restartNumberingAfterBreak="0">
    <w:nsid w:val="428C2FDF"/>
    <w:multiLevelType w:val="hybridMultilevel"/>
    <w:tmpl w:val="F79E27E0"/>
    <w:lvl w:ilvl="0" w:tplc="370EA3D8">
      <w:start w:val="1"/>
      <w:numFmt w:val="bullet"/>
      <w:pStyle w:val="longformcalloutbullet"/>
      <w:lvlText w:val=""/>
      <w:lvlJc w:val="left"/>
      <w:pPr>
        <w:ind w:left="720" w:hanging="360"/>
      </w:pPr>
      <w:rPr>
        <w:rFonts w:ascii="Symbol" w:hAnsi="Symbol" w:hint="default"/>
        <w:color w:val="00264D" w:themeColor="background2"/>
        <w:sz w:val="1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9CE31D1"/>
    <w:multiLevelType w:val="hybridMultilevel"/>
    <w:tmpl w:val="D4F43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AB30710"/>
    <w:multiLevelType w:val="hybridMultilevel"/>
    <w:tmpl w:val="7DA0F9D0"/>
    <w:lvl w:ilvl="0" w:tplc="50924516">
      <w:start w:val="1"/>
      <w:numFmt w:val="decimal"/>
      <w:pStyle w:val="longformcalloutnumber"/>
      <w:lvlText w:val="%1."/>
      <w:lvlJc w:val="left"/>
      <w:pPr>
        <w:ind w:left="720" w:hanging="360"/>
      </w:pPr>
      <w:rPr>
        <w:rFonts w:hint="default"/>
        <w:b w:val="0"/>
        <w:color w:val="00264D" w:themeColor="background2"/>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B3D2157"/>
    <w:multiLevelType w:val="multilevel"/>
    <w:tmpl w:val="310876F2"/>
    <w:lvl w:ilvl="0">
      <w:start w:val="1"/>
      <w:numFmt w:val="decimal"/>
      <w:pStyle w:val="introductionlist"/>
      <w:lvlText w:val="%1."/>
      <w:lvlJc w:val="left"/>
      <w:pPr>
        <w:ind w:left="357" w:hanging="357"/>
      </w:pPr>
      <w:rPr>
        <w:rFonts w:hint="default"/>
        <w:b w:val="0"/>
      </w:rPr>
    </w:lvl>
    <w:lvl w:ilvl="1">
      <w:start w:val="1"/>
      <w:numFmt w:val="lowerLetter"/>
      <w:lvlText w:val="%2."/>
      <w:lvlJc w:val="left"/>
      <w:pPr>
        <w:ind w:left="720" w:hanging="363"/>
      </w:pPr>
      <w:rPr>
        <w:rFonts w:hint="default"/>
      </w:rPr>
    </w:lvl>
    <w:lvl w:ilvl="2">
      <w:start w:val="1"/>
      <w:numFmt w:val="lowerRoman"/>
      <w:lvlText w:val="%3."/>
      <w:lvlJc w:val="right"/>
      <w:pPr>
        <w:ind w:left="1077" w:hanging="3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4C55940"/>
    <w:multiLevelType w:val="multilevel"/>
    <w:tmpl w:val="B4941C00"/>
    <w:lvl w:ilvl="0">
      <w:start w:val="1"/>
      <w:numFmt w:val="bullet"/>
      <w:pStyle w:val="intoductionbullet"/>
      <w:lvlText w:val=""/>
      <w:lvlJc w:val="left"/>
      <w:pPr>
        <w:ind w:left="357" w:hanging="357"/>
      </w:pPr>
      <w:rPr>
        <w:rFonts w:ascii="Symbol" w:hAnsi="Symbol" w:hint="default"/>
        <w:color w:val="00264D" w:themeColor="background2"/>
        <w:sz w:val="20"/>
        <w:szCs w:val="20"/>
      </w:rPr>
    </w:lvl>
    <w:lvl w:ilvl="1">
      <w:start w:val="1"/>
      <w:numFmt w:val="bullet"/>
      <w:lvlText w:val=""/>
      <w:lvlJc w:val="left"/>
      <w:pPr>
        <w:ind w:left="720" w:hanging="363"/>
      </w:pPr>
      <w:rPr>
        <w:rFonts w:ascii="Symbol" w:hAnsi="Symbol" w:hint="default"/>
        <w:color w:val="00264D" w:themeColor="background2"/>
      </w:rPr>
    </w:lvl>
    <w:lvl w:ilvl="2">
      <w:start w:val="1"/>
      <w:numFmt w:val="bullet"/>
      <w:lvlText w:val=""/>
      <w:lvlJc w:val="left"/>
      <w:pPr>
        <w:ind w:left="1077" w:hanging="357"/>
      </w:pPr>
      <w:rPr>
        <w:rFonts w:ascii="Symbol" w:hAnsi="Symbol" w:hint="default"/>
        <w:color w:val="00264D" w:themeColor="background2"/>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8B030FE"/>
    <w:multiLevelType w:val="multilevel"/>
    <w:tmpl w:val="A40495DC"/>
    <w:styleLink w:val="TableNListnumberedmultilevel"/>
    <w:lvl w:ilvl="0">
      <w:start w:val="1"/>
      <w:numFmt w:val="decimal"/>
      <w:pStyle w:val="TableNListnumbered"/>
      <w:lvlText w:val="%1."/>
      <w:lvlJc w:val="left"/>
      <w:pPr>
        <w:ind w:left="227" w:hanging="227"/>
      </w:pPr>
      <w:rPr>
        <w:rFonts w:ascii="Segoe UI" w:hAnsi="Segoe UI" w:hint="default"/>
        <w:b w:val="0"/>
        <w:i w:val="0"/>
        <w:sz w:val="17"/>
      </w:rPr>
    </w:lvl>
    <w:lvl w:ilvl="1">
      <w:start w:val="1"/>
      <w:numFmt w:val="lowerLetter"/>
      <w:lvlText w:val="%2."/>
      <w:lvlJc w:val="left"/>
      <w:pPr>
        <w:ind w:left="454" w:hanging="227"/>
      </w:pPr>
      <w:rPr>
        <w:rFonts w:ascii="Segoe UI" w:hAnsi="Segoe UI" w:hint="default"/>
        <w:b w:val="0"/>
        <w:i w:val="0"/>
        <w:sz w:val="17"/>
      </w:rPr>
    </w:lvl>
    <w:lvl w:ilvl="2">
      <w:start w:val="1"/>
      <w:numFmt w:val="lowerRoman"/>
      <w:lvlText w:val="%3."/>
      <w:lvlJc w:val="left"/>
      <w:pPr>
        <w:ind w:left="680" w:hanging="226"/>
      </w:pPr>
      <w:rPr>
        <w:rFonts w:ascii="Segoe UI" w:hAnsi="Segoe UI" w:hint="default"/>
        <w:b w:val="0"/>
        <w:i w:val="0"/>
        <w:sz w:val="17"/>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66495DA9"/>
    <w:multiLevelType w:val="multilevel"/>
    <w:tmpl w:val="F2D8D162"/>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23" w15:restartNumberingAfterBreak="0">
    <w:nsid w:val="6DC14302"/>
    <w:multiLevelType w:val="multilevel"/>
    <w:tmpl w:val="F2D8D162"/>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24" w15:restartNumberingAfterBreak="0">
    <w:nsid w:val="71A16EBA"/>
    <w:multiLevelType w:val="multilevel"/>
    <w:tmpl w:val="2698E5C8"/>
    <w:lvl w:ilvl="0">
      <w:start w:val="1"/>
      <w:numFmt w:val="upperLetter"/>
      <w:pStyle w:val="xAppendixLevel1"/>
      <w:lvlText w:val="Appendix %1"/>
      <w:lvlJc w:val="left"/>
      <w:pPr>
        <w:ind w:left="2268" w:hanging="2268"/>
      </w:pPr>
      <w:rPr>
        <w:rFonts w:hint="default"/>
        <w:color w:val="00264D"/>
        <w:sz w:val="44"/>
        <w:szCs w:val="44"/>
      </w:rPr>
    </w:lvl>
    <w:lvl w:ilvl="1">
      <w:start w:val="1"/>
      <w:numFmt w:val="decimal"/>
      <w:pStyle w:val="xAppendixLevel2"/>
      <w:lvlText w:val="%1.%2"/>
      <w:lvlJc w:val="left"/>
      <w:pPr>
        <w:ind w:left="851" w:hanging="851"/>
      </w:pPr>
      <w:rPr>
        <w:rFonts w:hint="default"/>
        <w:color w:val="00264D"/>
        <w:sz w:val="34"/>
        <w:szCs w:val="34"/>
      </w:rPr>
    </w:lvl>
    <w:lvl w:ilvl="2">
      <w:start w:val="1"/>
      <w:numFmt w:val="decimal"/>
      <w:lvlText w:val="%1.%2.%3"/>
      <w:lvlJc w:val="left"/>
      <w:pPr>
        <w:ind w:left="851" w:hanging="851"/>
      </w:pPr>
      <w:rPr>
        <w:rFonts w:hint="default"/>
        <w:color w:val="00264D"/>
        <w:sz w:val="28"/>
        <w:szCs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5D246F7"/>
    <w:multiLevelType w:val="multilevel"/>
    <w:tmpl w:val="F2D8D162"/>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26" w15:restartNumberingAfterBreak="0">
    <w:nsid w:val="774329CC"/>
    <w:multiLevelType w:val="multilevel"/>
    <w:tmpl w:val="F2D8D162"/>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27" w15:restartNumberingAfterBreak="0">
    <w:nsid w:val="79B7218E"/>
    <w:multiLevelType w:val="multilevel"/>
    <w:tmpl w:val="3F0AC6C4"/>
    <w:lvl w:ilvl="0">
      <w:start w:val="1"/>
      <w:numFmt w:val="bullet"/>
      <w:pStyle w:val="Bullet"/>
      <w:lvlText w:val=""/>
      <w:lvlJc w:val="left"/>
      <w:pPr>
        <w:ind w:left="340" w:hanging="340"/>
      </w:pPr>
      <w:rPr>
        <w:rFonts w:ascii="Symbol" w:hAnsi="Symbol" w:hint="default"/>
        <w:color w:val="auto"/>
        <w:sz w:val="16"/>
      </w:rPr>
    </w:lvl>
    <w:lvl w:ilvl="1">
      <w:start w:val="1"/>
      <w:numFmt w:val="bullet"/>
      <w:lvlText w:val=""/>
      <w:lvlJc w:val="left"/>
      <w:pPr>
        <w:ind w:left="680" w:hanging="340"/>
      </w:pPr>
      <w:rPr>
        <w:rFonts w:ascii="Symbol" w:hAnsi="Symbol" w:hint="default"/>
        <w:sz w:val="16"/>
      </w:rPr>
    </w:lvl>
    <w:lvl w:ilvl="2">
      <w:start w:val="1"/>
      <w:numFmt w:val="bullet"/>
      <w:lvlText w:val=""/>
      <w:lvlJc w:val="left"/>
      <w:pPr>
        <w:ind w:left="1021" w:hanging="341"/>
      </w:pPr>
      <w:rPr>
        <w:rFonts w:ascii="Symbol" w:hAnsi="Symbol" w:hint="default"/>
        <w:sz w:val="16"/>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7D4B7FE3"/>
    <w:multiLevelType w:val="multilevel"/>
    <w:tmpl w:val="F2D8D162"/>
    <w:lvl w:ilvl="0">
      <w:start w:val="1"/>
      <w:numFmt w:val="decimal"/>
      <w:lvlText w:val="%1."/>
      <w:lvlJc w:val="left"/>
      <w:pPr>
        <w:ind w:left="340" w:hanging="340"/>
      </w:pPr>
      <w:rPr>
        <w:rFonts w:ascii="Segoe UI" w:hAnsi="Segoe UI" w:hint="default"/>
        <w:b w:val="0"/>
        <w:i w:val="0"/>
        <w:sz w:val="19"/>
      </w:rPr>
    </w:lvl>
    <w:lvl w:ilvl="1">
      <w:start w:val="1"/>
      <w:numFmt w:val="lowerLetter"/>
      <w:lvlText w:val="%2."/>
      <w:lvlJc w:val="left"/>
      <w:pPr>
        <w:ind w:left="680" w:hanging="340"/>
      </w:pPr>
      <w:rPr>
        <w:rFonts w:ascii="Segoe UI" w:hAnsi="Segoe UI" w:hint="default"/>
        <w:sz w:val="20"/>
      </w:rPr>
    </w:lvl>
    <w:lvl w:ilvl="2">
      <w:start w:val="1"/>
      <w:numFmt w:val="lowerRoman"/>
      <w:lvlText w:val="%3."/>
      <w:lvlJc w:val="left"/>
      <w:pPr>
        <w:ind w:left="1021" w:hanging="341"/>
      </w:pPr>
      <w:rPr>
        <w:rFonts w:ascii="Segoe UI" w:hAnsi="Segoe UI" w:hint="default"/>
        <w:sz w:val="19"/>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num w:numId="1">
    <w:abstractNumId w:val="15"/>
  </w:num>
  <w:num w:numId="2">
    <w:abstractNumId w:val="27"/>
  </w:num>
  <w:num w:numId="3">
    <w:abstractNumId w:val="11"/>
  </w:num>
  <w:num w:numId="4">
    <w:abstractNumId w:val="20"/>
  </w:num>
  <w:num w:numId="5">
    <w:abstractNumId w:val="19"/>
  </w:num>
  <w:num w:numId="6">
    <w:abstractNumId w:val="14"/>
  </w:num>
  <w:num w:numId="7">
    <w:abstractNumId w:val="16"/>
  </w:num>
  <w:num w:numId="8">
    <w:abstractNumId w:val="18"/>
  </w:num>
  <w:num w:numId="9">
    <w:abstractNumId w:val="13"/>
  </w:num>
  <w:num w:numId="10">
    <w:abstractNumId w:val="28"/>
  </w:num>
  <w:num w:numId="11">
    <w:abstractNumId w:val="21"/>
  </w:num>
  <w:num w:numId="12">
    <w:abstractNumId w:val="24"/>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10"/>
  </w:num>
  <w:num w:numId="16">
    <w:abstractNumId w:val="22"/>
  </w:num>
  <w:num w:numId="17">
    <w:abstractNumId w:val="23"/>
  </w:num>
  <w:num w:numId="18">
    <w:abstractNumId w:val="26"/>
  </w:num>
  <w:num w:numId="19">
    <w:abstractNumId w:val="25"/>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MyMjU1MDAyNjYzsjRW0lEKTi0uzszPAykwrAUAQcVomSwAAAA="/>
  </w:docVars>
  <w:rsids>
    <w:rsidRoot w:val="00347C5C"/>
    <w:rsid w:val="0000006B"/>
    <w:rsid w:val="0000046C"/>
    <w:rsid w:val="0000047C"/>
    <w:rsid w:val="00000491"/>
    <w:rsid w:val="000004B1"/>
    <w:rsid w:val="000004C8"/>
    <w:rsid w:val="000005F3"/>
    <w:rsid w:val="00000672"/>
    <w:rsid w:val="00000697"/>
    <w:rsid w:val="000008A1"/>
    <w:rsid w:val="00000927"/>
    <w:rsid w:val="00000A9B"/>
    <w:rsid w:val="00000B15"/>
    <w:rsid w:val="00000B68"/>
    <w:rsid w:val="00000BE2"/>
    <w:rsid w:val="00000C14"/>
    <w:rsid w:val="00000D0B"/>
    <w:rsid w:val="00000E23"/>
    <w:rsid w:val="00000E5D"/>
    <w:rsid w:val="00000EEE"/>
    <w:rsid w:val="00000F6D"/>
    <w:rsid w:val="00000FEA"/>
    <w:rsid w:val="00001014"/>
    <w:rsid w:val="00001063"/>
    <w:rsid w:val="0000110E"/>
    <w:rsid w:val="00001261"/>
    <w:rsid w:val="000012B4"/>
    <w:rsid w:val="000012EE"/>
    <w:rsid w:val="0000138B"/>
    <w:rsid w:val="00001548"/>
    <w:rsid w:val="00001643"/>
    <w:rsid w:val="00001682"/>
    <w:rsid w:val="000016BF"/>
    <w:rsid w:val="000017A8"/>
    <w:rsid w:val="0000181C"/>
    <w:rsid w:val="0000181D"/>
    <w:rsid w:val="00001891"/>
    <w:rsid w:val="000018B8"/>
    <w:rsid w:val="00001A50"/>
    <w:rsid w:val="00001B1D"/>
    <w:rsid w:val="00001B4A"/>
    <w:rsid w:val="00001C66"/>
    <w:rsid w:val="00001CD8"/>
    <w:rsid w:val="00001D1C"/>
    <w:rsid w:val="00001D61"/>
    <w:rsid w:val="00001D84"/>
    <w:rsid w:val="00001D94"/>
    <w:rsid w:val="00001EAC"/>
    <w:rsid w:val="00001F34"/>
    <w:rsid w:val="00001F58"/>
    <w:rsid w:val="0000210B"/>
    <w:rsid w:val="0000217C"/>
    <w:rsid w:val="00002344"/>
    <w:rsid w:val="0000239F"/>
    <w:rsid w:val="00002440"/>
    <w:rsid w:val="0000246B"/>
    <w:rsid w:val="000024B7"/>
    <w:rsid w:val="0000251F"/>
    <w:rsid w:val="00002549"/>
    <w:rsid w:val="000025AA"/>
    <w:rsid w:val="000025E8"/>
    <w:rsid w:val="0000264F"/>
    <w:rsid w:val="000026CA"/>
    <w:rsid w:val="0000278A"/>
    <w:rsid w:val="000027CA"/>
    <w:rsid w:val="00002854"/>
    <w:rsid w:val="00002859"/>
    <w:rsid w:val="00002992"/>
    <w:rsid w:val="000029AE"/>
    <w:rsid w:val="000029BE"/>
    <w:rsid w:val="000029BF"/>
    <w:rsid w:val="00002A7E"/>
    <w:rsid w:val="00002A8C"/>
    <w:rsid w:val="00002AB6"/>
    <w:rsid w:val="00002B58"/>
    <w:rsid w:val="00002B72"/>
    <w:rsid w:val="00002C36"/>
    <w:rsid w:val="00002C59"/>
    <w:rsid w:val="00002D15"/>
    <w:rsid w:val="00002D63"/>
    <w:rsid w:val="00002E72"/>
    <w:rsid w:val="00002FD6"/>
    <w:rsid w:val="00003007"/>
    <w:rsid w:val="000030D8"/>
    <w:rsid w:val="0000314E"/>
    <w:rsid w:val="000032BA"/>
    <w:rsid w:val="00003436"/>
    <w:rsid w:val="00003453"/>
    <w:rsid w:val="00003459"/>
    <w:rsid w:val="0000348D"/>
    <w:rsid w:val="000034A5"/>
    <w:rsid w:val="000034BC"/>
    <w:rsid w:val="00003665"/>
    <w:rsid w:val="0000368E"/>
    <w:rsid w:val="00003853"/>
    <w:rsid w:val="0000394B"/>
    <w:rsid w:val="00003952"/>
    <w:rsid w:val="00003A42"/>
    <w:rsid w:val="00003C7C"/>
    <w:rsid w:val="00003D0D"/>
    <w:rsid w:val="00003D13"/>
    <w:rsid w:val="00003D80"/>
    <w:rsid w:val="00003DB0"/>
    <w:rsid w:val="00003E05"/>
    <w:rsid w:val="00003E43"/>
    <w:rsid w:val="00003E8B"/>
    <w:rsid w:val="00003EF1"/>
    <w:rsid w:val="00003F65"/>
    <w:rsid w:val="00003F93"/>
    <w:rsid w:val="0000409F"/>
    <w:rsid w:val="000040A3"/>
    <w:rsid w:val="000040DB"/>
    <w:rsid w:val="000041B5"/>
    <w:rsid w:val="00004275"/>
    <w:rsid w:val="000042BE"/>
    <w:rsid w:val="000043C0"/>
    <w:rsid w:val="000043F1"/>
    <w:rsid w:val="0000457F"/>
    <w:rsid w:val="000047F5"/>
    <w:rsid w:val="0000484A"/>
    <w:rsid w:val="000048C9"/>
    <w:rsid w:val="000048FA"/>
    <w:rsid w:val="00004A14"/>
    <w:rsid w:val="00004A30"/>
    <w:rsid w:val="00004A51"/>
    <w:rsid w:val="00004B9A"/>
    <w:rsid w:val="00004BE7"/>
    <w:rsid w:val="00004BED"/>
    <w:rsid w:val="00004C73"/>
    <w:rsid w:val="00004CA1"/>
    <w:rsid w:val="00004CCF"/>
    <w:rsid w:val="00004E3C"/>
    <w:rsid w:val="00004E86"/>
    <w:rsid w:val="00004F05"/>
    <w:rsid w:val="00004F7F"/>
    <w:rsid w:val="00004F88"/>
    <w:rsid w:val="0000504E"/>
    <w:rsid w:val="00005074"/>
    <w:rsid w:val="000050B7"/>
    <w:rsid w:val="00005102"/>
    <w:rsid w:val="00005149"/>
    <w:rsid w:val="000051EC"/>
    <w:rsid w:val="00005236"/>
    <w:rsid w:val="00005265"/>
    <w:rsid w:val="00005378"/>
    <w:rsid w:val="00005389"/>
    <w:rsid w:val="000053F2"/>
    <w:rsid w:val="000054FC"/>
    <w:rsid w:val="00005511"/>
    <w:rsid w:val="000055D1"/>
    <w:rsid w:val="000056CA"/>
    <w:rsid w:val="000056D5"/>
    <w:rsid w:val="00005724"/>
    <w:rsid w:val="000057C4"/>
    <w:rsid w:val="00005851"/>
    <w:rsid w:val="000058AC"/>
    <w:rsid w:val="000058BD"/>
    <w:rsid w:val="0000599E"/>
    <w:rsid w:val="000059FF"/>
    <w:rsid w:val="00005AF7"/>
    <w:rsid w:val="00005B21"/>
    <w:rsid w:val="00005B8E"/>
    <w:rsid w:val="00005C55"/>
    <w:rsid w:val="00005C5A"/>
    <w:rsid w:val="00005DBE"/>
    <w:rsid w:val="00005DC0"/>
    <w:rsid w:val="000060FB"/>
    <w:rsid w:val="000061D8"/>
    <w:rsid w:val="00006210"/>
    <w:rsid w:val="0000629A"/>
    <w:rsid w:val="0000629E"/>
    <w:rsid w:val="000062A3"/>
    <w:rsid w:val="00006438"/>
    <w:rsid w:val="00006446"/>
    <w:rsid w:val="00006476"/>
    <w:rsid w:val="0000650F"/>
    <w:rsid w:val="0000655C"/>
    <w:rsid w:val="00006568"/>
    <w:rsid w:val="000066C3"/>
    <w:rsid w:val="000067B0"/>
    <w:rsid w:val="000067B1"/>
    <w:rsid w:val="00006819"/>
    <w:rsid w:val="000069DD"/>
    <w:rsid w:val="00006A11"/>
    <w:rsid w:val="00006AFC"/>
    <w:rsid w:val="00006B73"/>
    <w:rsid w:val="00006BBF"/>
    <w:rsid w:val="00006BCD"/>
    <w:rsid w:val="00006D14"/>
    <w:rsid w:val="00006D1F"/>
    <w:rsid w:val="00006E8C"/>
    <w:rsid w:val="00006EBF"/>
    <w:rsid w:val="00006EFF"/>
    <w:rsid w:val="00007003"/>
    <w:rsid w:val="0000700C"/>
    <w:rsid w:val="00007036"/>
    <w:rsid w:val="000071A5"/>
    <w:rsid w:val="000071D1"/>
    <w:rsid w:val="000071EE"/>
    <w:rsid w:val="00007221"/>
    <w:rsid w:val="00007229"/>
    <w:rsid w:val="000072B7"/>
    <w:rsid w:val="000072E6"/>
    <w:rsid w:val="000073BE"/>
    <w:rsid w:val="000073F3"/>
    <w:rsid w:val="00007599"/>
    <w:rsid w:val="000075A5"/>
    <w:rsid w:val="000075B5"/>
    <w:rsid w:val="000076B2"/>
    <w:rsid w:val="00007770"/>
    <w:rsid w:val="00007893"/>
    <w:rsid w:val="0000790F"/>
    <w:rsid w:val="00007954"/>
    <w:rsid w:val="00007989"/>
    <w:rsid w:val="00007CB3"/>
    <w:rsid w:val="00007D56"/>
    <w:rsid w:val="00007DB5"/>
    <w:rsid w:val="00007DD3"/>
    <w:rsid w:val="00007F42"/>
    <w:rsid w:val="00007FC7"/>
    <w:rsid w:val="0001001A"/>
    <w:rsid w:val="0001002E"/>
    <w:rsid w:val="0001003B"/>
    <w:rsid w:val="00010079"/>
    <w:rsid w:val="000100C1"/>
    <w:rsid w:val="000100F7"/>
    <w:rsid w:val="000101C5"/>
    <w:rsid w:val="00010259"/>
    <w:rsid w:val="0001042D"/>
    <w:rsid w:val="000104BA"/>
    <w:rsid w:val="000104E0"/>
    <w:rsid w:val="000104F6"/>
    <w:rsid w:val="000105BA"/>
    <w:rsid w:val="00010626"/>
    <w:rsid w:val="00010641"/>
    <w:rsid w:val="00010678"/>
    <w:rsid w:val="00010776"/>
    <w:rsid w:val="0001080A"/>
    <w:rsid w:val="0001087C"/>
    <w:rsid w:val="00010909"/>
    <w:rsid w:val="00010935"/>
    <w:rsid w:val="00010964"/>
    <w:rsid w:val="000109DB"/>
    <w:rsid w:val="00010B1D"/>
    <w:rsid w:val="00010B37"/>
    <w:rsid w:val="00010BFB"/>
    <w:rsid w:val="00010BFD"/>
    <w:rsid w:val="00010C2E"/>
    <w:rsid w:val="00010C8A"/>
    <w:rsid w:val="00010C92"/>
    <w:rsid w:val="00010CAB"/>
    <w:rsid w:val="00010D51"/>
    <w:rsid w:val="00010E89"/>
    <w:rsid w:val="00010F21"/>
    <w:rsid w:val="00011014"/>
    <w:rsid w:val="00011047"/>
    <w:rsid w:val="000110C1"/>
    <w:rsid w:val="00011175"/>
    <w:rsid w:val="0001118B"/>
    <w:rsid w:val="0001129D"/>
    <w:rsid w:val="000112D9"/>
    <w:rsid w:val="00011332"/>
    <w:rsid w:val="00011377"/>
    <w:rsid w:val="000113AB"/>
    <w:rsid w:val="0001144A"/>
    <w:rsid w:val="000114F7"/>
    <w:rsid w:val="000115D1"/>
    <w:rsid w:val="00011668"/>
    <w:rsid w:val="0001166D"/>
    <w:rsid w:val="000116D6"/>
    <w:rsid w:val="000118D7"/>
    <w:rsid w:val="0001199F"/>
    <w:rsid w:val="00011A55"/>
    <w:rsid w:val="00011AFB"/>
    <w:rsid w:val="00011CEA"/>
    <w:rsid w:val="00011D5D"/>
    <w:rsid w:val="00011D89"/>
    <w:rsid w:val="00011E3C"/>
    <w:rsid w:val="00011EA6"/>
    <w:rsid w:val="0001201C"/>
    <w:rsid w:val="000120B1"/>
    <w:rsid w:val="00012166"/>
    <w:rsid w:val="00012190"/>
    <w:rsid w:val="000121B8"/>
    <w:rsid w:val="000121D4"/>
    <w:rsid w:val="000121DB"/>
    <w:rsid w:val="000121DC"/>
    <w:rsid w:val="00012247"/>
    <w:rsid w:val="0001231D"/>
    <w:rsid w:val="0001236D"/>
    <w:rsid w:val="00012510"/>
    <w:rsid w:val="000125A2"/>
    <w:rsid w:val="000125A4"/>
    <w:rsid w:val="000126D6"/>
    <w:rsid w:val="000126DD"/>
    <w:rsid w:val="000127B4"/>
    <w:rsid w:val="000127FE"/>
    <w:rsid w:val="00012880"/>
    <w:rsid w:val="000128FF"/>
    <w:rsid w:val="00012922"/>
    <w:rsid w:val="00012985"/>
    <w:rsid w:val="00012994"/>
    <w:rsid w:val="000129C5"/>
    <w:rsid w:val="00012AD0"/>
    <w:rsid w:val="00012CC1"/>
    <w:rsid w:val="00012CD2"/>
    <w:rsid w:val="00012D74"/>
    <w:rsid w:val="00012DAA"/>
    <w:rsid w:val="00012DCD"/>
    <w:rsid w:val="00012F79"/>
    <w:rsid w:val="00013095"/>
    <w:rsid w:val="00013168"/>
    <w:rsid w:val="00013173"/>
    <w:rsid w:val="000131F9"/>
    <w:rsid w:val="00013251"/>
    <w:rsid w:val="00013252"/>
    <w:rsid w:val="000132A1"/>
    <w:rsid w:val="000132F5"/>
    <w:rsid w:val="000132F7"/>
    <w:rsid w:val="000134C4"/>
    <w:rsid w:val="000135A7"/>
    <w:rsid w:val="00013624"/>
    <w:rsid w:val="000136F4"/>
    <w:rsid w:val="0001377A"/>
    <w:rsid w:val="0001380B"/>
    <w:rsid w:val="0001382A"/>
    <w:rsid w:val="00013951"/>
    <w:rsid w:val="00013972"/>
    <w:rsid w:val="000139AD"/>
    <w:rsid w:val="000139D3"/>
    <w:rsid w:val="00013A00"/>
    <w:rsid w:val="00013A2C"/>
    <w:rsid w:val="00013A77"/>
    <w:rsid w:val="00013B5B"/>
    <w:rsid w:val="00013D79"/>
    <w:rsid w:val="00013E1A"/>
    <w:rsid w:val="00013E1C"/>
    <w:rsid w:val="00013E7F"/>
    <w:rsid w:val="00013EA5"/>
    <w:rsid w:val="00013EFD"/>
    <w:rsid w:val="00013F38"/>
    <w:rsid w:val="00013F6C"/>
    <w:rsid w:val="00013FE3"/>
    <w:rsid w:val="00014020"/>
    <w:rsid w:val="00014089"/>
    <w:rsid w:val="00014170"/>
    <w:rsid w:val="00014291"/>
    <w:rsid w:val="00014328"/>
    <w:rsid w:val="00014708"/>
    <w:rsid w:val="00014789"/>
    <w:rsid w:val="00014799"/>
    <w:rsid w:val="0001486E"/>
    <w:rsid w:val="00014876"/>
    <w:rsid w:val="00014975"/>
    <w:rsid w:val="00014A01"/>
    <w:rsid w:val="00014A89"/>
    <w:rsid w:val="00014B74"/>
    <w:rsid w:val="00014BA6"/>
    <w:rsid w:val="00014BF4"/>
    <w:rsid w:val="00014D49"/>
    <w:rsid w:val="00015012"/>
    <w:rsid w:val="00015124"/>
    <w:rsid w:val="00015137"/>
    <w:rsid w:val="000151D1"/>
    <w:rsid w:val="00015266"/>
    <w:rsid w:val="00015272"/>
    <w:rsid w:val="0001533A"/>
    <w:rsid w:val="0001533B"/>
    <w:rsid w:val="000153E2"/>
    <w:rsid w:val="00015421"/>
    <w:rsid w:val="0001542D"/>
    <w:rsid w:val="0001546C"/>
    <w:rsid w:val="0001557B"/>
    <w:rsid w:val="000155D8"/>
    <w:rsid w:val="00015688"/>
    <w:rsid w:val="000156F2"/>
    <w:rsid w:val="000157D8"/>
    <w:rsid w:val="000157F2"/>
    <w:rsid w:val="00015842"/>
    <w:rsid w:val="000158CF"/>
    <w:rsid w:val="00015A55"/>
    <w:rsid w:val="00015A7E"/>
    <w:rsid w:val="00015B15"/>
    <w:rsid w:val="00015B8E"/>
    <w:rsid w:val="00015C33"/>
    <w:rsid w:val="00015C37"/>
    <w:rsid w:val="00015CED"/>
    <w:rsid w:val="00015D3D"/>
    <w:rsid w:val="00015E72"/>
    <w:rsid w:val="00015EDF"/>
    <w:rsid w:val="00015F2B"/>
    <w:rsid w:val="00015F5F"/>
    <w:rsid w:val="00015FC8"/>
    <w:rsid w:val="00016021"/>
    <w:rsid w:val="0001613D"/>
    <w:rsid w:val="0001623E"/>
    <w:rsid w:val="000163C9"/>
    <w:rsid w:val="000165C7"/>
    <w:rsid w:val="000165F9"/>
    <w:rsid w:val="00016623"/>
    <w:rsid w:val="0001667E"/>
    <w:rsid w:val="00016711"/>
    <w:rsid w:val="00016712"/>
    <w:rsid w:val="00016773"/>
    <w:rsid w:val="00016847"/>
    <w:rsid w:val="0001693E"/>
    <w:rsid w:val="000169C3"/>
    <w:rsid w:val="000169DB"/>
    <w:rsid w:val="000169F4"/>
    <w:rsid w:val="00016A3B"/>
    <w:rsid w:val="00016AB1"/>
    <w:rsid w:val="00016AE4"/>
    <w:rsid w:val="00016CD2"/>
    <w:rsid w:val="00016DBE"/>
    <w:rsid w:val="00016E8E"/>
    <w:rsid w:val="00016F2C"/>
    <w:rsid w:val="00016FEF"/>
    <w:rsid w:val="00017081"/>
    <w:rsid w:val="000170F0"/>
    <w:rsid w:val="0001714F"/>
    <w:rsid w:val="000171D5"/>
    <w:rsid w:val="00017219"/>
    <w:rsid w:val="00017286"/>
    <w:rsid w:val="000173CE"/>
    <w:rsid w:val="00017479"/>
    <w:rsid w:val="00017626"/>
    <w:rsid w:val="00017627"/>
    <w:rsid w:val="0001765A"/>
    <w:rsid w:val="0001768E"/>
    <w:rsid w:val="000176C1"/>
    <w:rsid w:val="000176F2"/>
    <w:rsid w:val="000176FF"/>
    <w:rsid w:val="00017739"/>
    <w:rsid w:val="0001778F"/>
    <w:rsid w:val="000177DC"/>
    <w:rsid w:val="00017817"/>
    <w:rsid w:val="0001788E"/>
    <w:rsid w:val="000178C0"/>
    <w:rsid w:val="000179EA"/>
    <w:rsid w:val="00017B69"/>
    <w:rsid w:val="00017B82"/>
    <w:rsid w:val="00017FCF"/>
    <w:rsid w:val="00017FDE"/>
    <w:rsid w:val="000200E8"/>
    <w:rsid w:val="00020129"/>
    <w:rsid w:val="00020131"/>
    <w:rsid w:val="00020184"/>
    <w:rsid w:val="00020256"/>
    <w:rsid w:val="000202C5"/>
    <w:rsid w:val="00020329"/>
    <w:rsid w:val="0002034C"/>
    <w:rsid w:val="00020351"/>
    <w:rsid w:val="00020500"/>
    <w:rsid w:val="00020596"/>
    <w:rsid w:val="000205C4"/>
    <w:rsid w:val="00020636"/>
    <w:rsid w:val="00020748"/>
    <w:rsid w:val="000207BF"/>
    <w:rsid w:val="00020812"/>
    <w:rsid w:val="0002083C"/>
    <w:rsid w:val="0002086D"/>
    <w:rsid w:val="00020877"/>
    <w:rsid w:val="000208FE"/>
    <w:rsid w:val="000209E6"/>
    <w:rsid w:val="00020A68"/>
    <w:rsid w:val="00020AF8"/>
    <w:rsid w:val="00020B38"/>
    <w:rsid w:val="00020BE9"/>
    <w:rsid w:val="00020C79"/>
    <w:rsid w:val="00020CA1"/>
    <w:rsid w:val="00020CAA"/>
    <w:rsid w:val="00020DD5"/>
    <w:rsid w:val="00020E1F"/>
    <w:rsid w:val="00020E2B"/>
    <w:rsid w:val="00020EF1"/>
    <w:rsid w:val="00020F27"/>
    <w:rsid w:val="00020FA3"/>
    <w:rsid w:val="000210F8"/>
    <w:rsid w:val="00021258"/>
    <w:rsid w:val="00021294"/>
    <w:rsid w:val="00021384"/>
    <w:rsid w:val="000214A3"/>
    <w:rsid w:val="000214C6"/>
    <w:rsid w:val="000214DC"/>
    <w:rsid w:val="00021766"/>
    <w:rsid w:val="000218AA"/>
    <w:rsid w:val="000218EF"/>
    <w:rsid w:val="00021951"/>
    <w:rsid w:val="00021969"/>
    <w:rsid w:val="000219FD"/>
    <w:rsid w:val="00021A4C"/>
    <w:rsid w:val="00021AC8"/>
    <w:rsid w:val="00021B06"/>
    <w:rsid w:val="00021B7D"/>
    <w:rsid w:val="00021C07"/>
    <w:rsid w:val="00021C4A"/>
    <w:rsid w:val="00021CB6"/>
    <w:rsid w:val="00021D5B"/>
    <w:rsid w:val="00021E00"/>
    <w:rsid w:val="00021E0E"/>
    <w:rsid w:val="00021E31"/>
    <w:rsid w:val="00021F31"/>
    <w:rsid w:val="00021F4C"/>
    <w:rsid w:val="00021F62"/>
    <w:rsid w:val="00021FBE"/>
    <w:rsid w:val="00022041"/>
    <w:rsid w:val="0002206E"/>
    <w:rsid w:val="00022078"/>
    <w:rsid w:val="000220AF"/>
    <w:rsid w:val="00022150"/>
    <w:rsid w:val="000221A4"/>
    <w:rsid w:val="000221DA"/>
    <w:rsid w:val="000222D1"/>
    <w:rsid w:val="000222ED"/>
    <w:rsid w:val="00022461"/>
    <w:rsid w:val="0002247F"/>
    <w:rsid w:val="0002249A"/>
    <w:rsid w:val="00022536"/>
    <w:rsid w:val="000225B7"/>
    <w:rsid w:val="000225FA"/>
    <w:rsid w:val="0002267A"/>
    <w:rsid w:val="00022763"/>
    <w:rsid w:val="0002276A"/>
    <w:rsid w:val="000227C2"/>
    <w:rsid w:val="00022807"/>
    <w:rsid w:val="00022830"/>
    <w:rsid w:val="00022959"/>
    <w:rsid w:val="0002296E"/>
    <w:rsid w:val="000229B9"/>
    <w:rsid w:val="000229DC"/>
    <w:rsid w:val="00022A0B"/>
    <w:rsid w:val="00022A6E"/>
    <w:rsid w:val="00022AC5"/>
    <w:rsid w:val="00022B0A"/>
    <w:rsid w:val="00022B97"/>
    <w:rsid w:val="00022CA3"/>
    <w:rsid w:val="00022D95"/>
    <w:rsid w:val="00022DF8"/>
    <w:rsid w:val="00022E7D"/>
    <w:rsid w:val="00022F84"/>
    <w:rsid w:val="00022F8E"/>
    <w:rsid w:val="00023130"/>
    <w:rsid w:val="000231C4"/>
    <w:rsid w:val="000231CA"/>
    <w:rsid w:val="00023225"/>
    <w:rsid w:val="00023275"/>
    <w:rsid w:val="0002327D"/>
    <w:rsid w:val="0002337C"/>
    <w:rsid w:val="00023383"/>
    <w:rsid w:val="000233B1"/>
    <w:rsid w:val="0002351D"/>
    <w:rsid w:val="0002353B"/>
    <w:rsid w:val="00023579"/>
    <w:rsid w:val="000236DE"/>
    <w:rsid w:val="000238F0"/>
    <w:rsid w:val="00023915"/>
    <w:rsid w:val="00023A23"/>
    <w:rsid w:val="00023A8D"/>
    <w:rsid w:val="00023AAE"/>
    <w:rsid w:val="00023BCC"/>
    <w:rsid w:val="00023E0C"/>
    <w:rsid w:val="00023F67"/>
    <w:rsid w:val="00023F8F"/>
    <w:rsid w:val="00023FAF"/>
    <w:rsid w:val="00024004"/>
    <w:rsid w:val="00024125"/>
    <w:rsid w:val="00024301"/>
    <w:rsid w:val="00024352"/>
    <w:rsid w:val="000243C3"/>
    <w:rsid w:val="00024649"/>
    <w:rsid w:val="000246BB"/>
    <w:rsid w:val="00024772"/>
    <w:rsid w:val="0002477B"/>
    <w:rsid w:val="000248EF"/>
    <w:rsid w:val="00024915"/>
    <w:rsid w:val="00024A7F"/>
    <w:rsid w:val="00024B44"/>
    <w:rsid w:val="00024CAF"/>
    <w:rsid w:val="00024D34"/>
    <w:rsid w:val="00024D51"/>
    <w:rsid w:val="00024EB9"/>
    <w:rsid w:val="00024ED4"/>
    <w:rsid w:val="00024FD4"/>
    <w:rsid w:val="00025183"/>
    <w:rsid w:val="00025238"/>
    <w:rsid w:val="0002524E"/>
    <w:rsid w:val="00025273"/>
    <w:rsid w:val="000252DB"/>
    <w:rsid w:val="000253C7"/>
    <w:rsid w:val="00025504"/>
    <w:rsid w:val="000255C9"/>
    <w:rsid w:val="00025619"/>
    <w:rsid w:val="00025627"/>
    <w:rsid w:val="0002564F"/>
    <w:rsid w:val="00025652"/>
    <w:rsid w:val="0002569C"/>
    <w:rsid w:val="00025716"/>
    <w:rsid w:val="00025755"/>
    <w:rsid w:val="0002577D"/>
    <w:rsid w:val="00025873"/>
    <w:rsid w:val="000258A0"/>
    <w:rsid w:val="000258DB"/>
    <w:rsid w:val="000259A8"/>
    <w:rsid w:val="000259F9"/>
    <w:rsid w:val="00025AD0"/>
    <w:rsid w:val="00025AF0"/>
    <w:rsid w:val="00025B31"/>
    <w:rsid w:val="00025BE3"/>
    <w:rsid w:val="00025C0F"/>
    <w:rsid w:val="00025D25"/>
    <w:rsid w:val="00025EA1"/>
    <w:rsid w:val="0002622B"/>
    <w:rsid w:val="00026248"/>
    <w:rsid w:val="000262E4"/>
    <w:rsid w:val="000263A4"/>
    <w:rsid w:val="00026472"/>
    <w:rsid w:val="000264E8"/>
    <w:rsid w:val="000264F5"/>
    <w:rsid w:val="0002651F"/>
    <w:rsid w:val="000265CD"/>
    <w:rsid w:val="0002668E"/>
    <w:rsid w:val="00026709"/>
    <w:rsid w:val="0002672E"/>
    <w:rsid w:val="00026760"/>
    <w:rsid w:val="0002677C"/>
    <w:rsid w:val="000267DD"/>
    <w:rsid w:val="0002687B"/>
    <w:rsid w:val="000268B6"/>
    <w:rsid w:val="000268DE"/>
    <w:rsid w:val="00026ADC"/>
    <w:rsid w:val="00026B8B"/>
    <w:rsid w:val="00026BF3"/>
    <w:rsid w:val="00026CD9"/>
    <w:rsid w:val="00026CE9"/>
    <w:rsid w:val="00026CEC"/>
    <w:rsid w:val="00026DE0"/>
    <w:rsid w:val="00026E5E"/>
    <w:rsid w:val="00026E69"/>
    <w:rsid w:val="00026E7A"/>
    <w:rsid w:val="00026FFC"/>
    <w:rsid w:val="000270C8"/>
    <w:rsid w:val="000270F4"/>
    <w:rsid w:val="0002720D"/>
    <w:rsid w:val="00027237"/>
    <w:rsid w:val="00027326"/>
    <w:rsid w:val="00027344"/>
    <w:rsid w:val="0002737D"/>
    <w:rsid w:val="0002738F"/>
    <w:rsid w:val="00027395"/>
    <w:rsid w:val="0002741A"/>
    <w:rsid w:val="00027442"/>
    <w:rsid w:val="0002746E"/>
    <w:rsid w:val="00027498"/>
    <w:rsid w:val="00027547"/>
    <w:rsid w:val="00027635"/>
    <w:rsid w:val="000276AC"/>
    <w:rsid w:val="00027764"/>
    <w:rsid w:val="00027766"/>
    <w:rsid w:val="00027827"/>
    <w:rsid w:val="0002787F"/>
    <w:rsid w:val="000278AF"/>
    <w:rsid w:val="000278F2"/>
    <w:rsid w:val="00027918"/>
    <w:rsid w:val="0002792E"/>
    <w:rsid w:val="0002798B"/>
    <w:rsid w:val="000279E7"/>
    <w:rsid w:val="00027A5E"/>
    <w:rsid w:val="00027A8D"/>
    <w:rsid w:val="00027AA7"/>
    <w:rsid w:val="00027C2A"/>
    <w:rsid w:val="00027CC8"/>
    <w:rsid w:val="00027E1F"/>
    <w:rsid w:val="00027ED9"/>
    <w:rsid w:val="00027F57"/>
    <w:rsid w:val="0002C0E2"/>
    <w:rsid w:val="00030022"/>
    <w:rsid w:val="000300DC"/>
    <w:rsid w:val="00030317"/>
    <w:rsid w:val="0003034B"/>
    <w:rsid w:val="000304CE"/>
    <w:rsid w:val="0003056D"/>
    <w:rsid w:val="00030573"/>
    <w:rsid w:val="000305AF"/>
    <w:rsid w:val="000306C8"/>
    <w:rsid w:val="000306D2"/>
    <w:rsid w:val="000306DA"/>
    <w:rsid w:val="000306DB"/>
    <w:rsid w:val="000307A7"/>
    <w:rsid w:val="0003082D"/>
    <w:rsid w:val="00030A6F"/>
    <w:rsid w:val="00030A72"/>
    <w:rsid w:val="00030A75"/>
    <w:rsid w:val="00030ACF"/>
    <w:rsid w:val="00030B30"/>
    <w:rsid w:val="00030BBE"/>
    <w:rsid w:val="00030BD2"/>
    <w:rsid w:val="00030BEC"/>
    <w:rsid w:val="00030C15"/>
    <w:rsid w:val="00030CE5"/>
    <w:rsid w:val="00030D50"/>
    <w:rsid w:val="00030E37"/>
    <w:rsid w:val="00030EAC"/>
    <w:rsid w:val="00030FDD"/>
    <w:rsid w:val="00031005"/>
    <w:rsid w:val="000310FB"/>
    <w:rsid w:val="00031175"/>
    <w:rsid w:val="000311C3"/>
    <w:rsid w:val="00031236"/>
    <w:rsid w:val="00031285"/>
    <w:rsid w:val="00031311"/>
    <w:rsid w:val="0003132C"/>
    <w:rsid w:val="0003133D"/>
    <w:rsid w:val="00031362"/>
    <w:rsid w:val="000313BE"/>
    <w:rsid w:val="000313CC"/>
    <w:rsid w:val="0003151A"/>
    <w:rsid w:val="00031530"/>
    <w:rsid w:val="00031629"/>
    <w:rsid w:val="00031685"/>
    <w:rsid w:val="0003168A"/>
    <w:rsid w:val="000316B7"/>
    <w:rsid w:val="00031790"/>
    <w:rsid w:val="00031926"/>
    <w:rsid w:val="00031968"/>
    <w:rsid w:val="00031AEF"/>
    <w:rsid w:val="00031B79"/>
    <w:rsid w:val="00031BFD"/>
    <w:rsid w:val="00031C05"/>
    <w:rsid w:val="00031C1D"/>
    <w:rsid w:val="00031C5B"/>
    <w:rsid w:val="00031C84"/>
    <w:rsid w:val="00031C9A"/>
    <w:rsid w:val="00031CD3"/>
    <w:rsid w:val="00031E34"/>
    <w:rsid w:val="00031E7F"/>
    <w:rsid w:val="00031EC5"/>
    <w:rsid w:val="00031EE2"/>
    <w:rsid w:val="00031F65"/>
    <w:rsid w:val="00031F74"/>
    <w:rsid w:val="00031F7F"/>
    <w:rsid w:val="00031FA0"/>
    <w:rsid w:val="00031FA7"/>
    <w:rsid w:val="00031FEF"/>
    <w:rsid w:val="00031FF2"/>
    <w:rsid w:val="000322C3"/>
    <w:rsid w:val="00032365"/>
    <w:rsid w:val="00032436"/>
    <w:rsid w:val="00032547"/>
    <w:rsid w:val="00032626"/>
    <w:rsid w:val="00032627"/>
    <w:rsid w:val="00032890"/>
    <w:rsid w:val="000328AF"/>
    <w:rsid w:val="0003296E"/>
    <w:rsid w:val="00032AB8"/>
    <w:rsid w:val="00032AD7"/>
    <w:rsid w:val="00032BEC"/>
    <w:rsid w:val="00032C1D"/>
    <w:rsid w:val="00032C76"/>
    <w:rsid w:val="00032C7D"/>
    <w:rsid w:val="00032CD9"/>
    <w:rsid w:val="00032D39"/>
    <w:rsid w:val="00032D7F"/>
    <w:rsid w:val="00032D90"/>
    <w:rsid w:val="00032E42"/>
    <w:rsid w:val="00032F01"/>
    <w:rsid w:val="00032FF9"/>
    <w:rsid w:val="0003309E"/>
    <w:rsid w:val="000330D1"/>
    <w:rsid w:val="00033267"/>
    <w:rsid w:val="00033278"/>
    <w:rsid w:val="000333DC"/>
    <w:rsid w:val="0003346B"/>
    <w:rsid w:val="000334F3"/>
    <w:rsid w:val="00033529"/>
    <w:rsid w:val="00033602"/>
    <w:rsid w:val="000336B8"/>
    <w:rsid w:val="00033777"/>
    <w:rsid w:val="000337CE"/>
    <w:rsid w:val="00033827"/>
    <w:rsid w:val="000338D0"/>
    <w:rsid w:val="00033909"/>
    <w:rsid w:val="00033945"/>
    <w:rsid w:val="00033989"/>
    <w:rsid w:val="000339A6"/>
    <w:rsid w:val="000339B6"/>
    <w:rsid w:val="000339ED"/>
    <w:rsid w:val="00033AD3"/>
    <w:rsid w:val="00033DFB"/>
    <w:rsid w:val="00033EEA"/>
    <w:rsid w:val="00033F5D"/>
    <w:rsid w:val="00033FB1"/>
    <w:rsid w:val="00034007"/>
    <w:rsid w:val="00034029"/>
    <w:rsid w:val="00034109"/>
    <w:rsid w:val="00034181"/>
    <w:rsid w:val="000342A4"/>
    <w:rsid w:val="000342AB"/>
    <w:rsid w:val="00034303"/>
    <w:rsid w:val="00034407"/>
    <w:rsid w:val="000344AB"/>
    <w:rsid w:val="00034500"/>
    <w:rsid w:val="00034517"/>
    <w:rsid w:val="0003453C"/>
    <w:rsid w:val="0003458E"/>
    <w:rsid w:val="0003469F"/>
    <w:rsid w:val="00034770"/>
    <w:rsid w:val="00034800"/>
    <w:rsid w:val="0003483D"/>
    <w:rsid w:val="000349A8"/>
    <w:rsid w:val="000349B1"/>
    <w:rsid w:val="00034A9B"/>
    <w:rsid w:val="00034B3B"/>
    <w:rsid w:val="00034B9E"/>
    <w:rsid w:val="00034BBB"/>
    <w:rsid w:val="00034E7E"/>
    <w:rsid w:val="00034EA0"/>
    <w:rsid w:val="00034F05"/>
    <w:rsid w:val="00035148"/>
    <w:rsid w:val="0003515B"/>
    <w:rsid w:val="0003524F"/>
    <w:rsid w:val="000352DF"/>
    <w:rsid w:val="00035479"/>
    <w:rsid w:val="000355DF"/>
    <w:rsid w:val="000355E0"/>
    <w:rsid w:val="0003562D"/>
    <w:rsid w:val="0003565A"/>
    <w:rsid w:val="00035693"/>
    <w:rsid w:val="0003569D"/>
    <w:rsid w:val="000356E3"/>
    <w:rsid w:val="0003570C"/>
    <w:rsid w:val="000357A1"/>
    <w:rsid w:val="000357A6"/>
    <w:rsid w:val="00035814"/>
    <w:rsid w:val="00035948"/>
    <w:rsid w:val="000359CB"/>
    <w:rsid w:val="00035BA1"/>
    <w:rsid w:val="00035C57"/>
    <w:rsid w:val="00035C61"/>
    <w:rsid w:val="00035D6F"/>
    <w:rsid w:val="00035DA0"/>
    <w:rsid w:val="00035DC1"/>
    <w:rsid w:val="00035DDD"/>
    <w:rsid w:val="00035FA2"/>
    <w:rsid w:val="00036072"/>
    <w:rsid w:val="0003610B"/>
    <w:rsid w:val="0003615C"/>
    <w:rsid w:val="00036167"/>
    <w:rsid w:val="00036200"/>
    <w:rsid w:val="00036258"/>
    <w:rsid w:val="0003625D"/>
    <w:rsid w:val="0003631D"/>
    <w:rsid w:val="000363E2"/>
    <w:rsid w:val="00036434"/>
    <w:rsid w:val="00036462"/>
    <w:rsid w:val="0003658E"/>
    <w:rsid w:val="000365A8"/>
    <w:rsid w:val="000365F5"/>
    <w:rsid w:val="00036679"/>
    <w:rsid w:val="0003669B"/>
    <w:rsid w:val="0003678D"/>
    <w:rsid w:val="0003682D"/>
    <w:rsid w:val="00036840"/>
    <w:rsid w:val="000368C6"/>
    <w:rsid w:val="000368D0"/>
    <w:rsid w:val="00036940"/>
    <w:rsid w:val="00036942"/>
    <w:rsid w:val="00036949"/>
    <w:rsid w:val="00036A12"/>
    <w:rsid w:val="00036AB9"/>
    <w:rsid w:val="00036C32"/>
    <w:rsid w:val="00036D0F"/>
    <w:rsid w:val="00036DC7"/>
    <w:rsid w:val="00036DD2"/>
    <w:rsid w:val="00036DDF"/>
    <w:rsid w:val="00036E64"/>
    <w:rsid w:val="00036F1C"/>
    <w:rsid w:val="00036F4A"/>
    <w:rsid w:val="00036F97"/>
    <w:rsid w:val="000370D3"/>
    <w:rsid w:val="00037152"/>
    <w:rsid w:val="000371CA"/>
    <w:rsid w:val="0003727A"/>
    <w:rsid w:val="000372D4"/>
    <w:rsid w:val="0003741B"/>
    <w:rsid w:val="00037445"/>
    <w:rsid w:val="000374DA"/>
    <w:rsid w:val="00037529"/>
    <w:rsid w:val="00037553"/>
    <w:rsid w:val="000376F5"/>
    <w:rsid w:val="000376FF"/>
    <w:rsid w:val="00037750"/>
    <w:rsid w:val="00037A5C"/>
    <w:rsid w:val="00037B56"/>
    <w:rsid w:val="00037C2F"/>
    <w:rsid w:val="00037D6A"/>
    <w:rsid w:val="00037E17"/>
    <w:rsid w:val="00037F19"/>
    <w:rsid w:val="00037F4C"/>
    <w:rsid w:val="00037F79"/>
    <w:rsid w:val="00037F9E"/>
    <w:rsid w:val="00037FCA"/>
    <w:rsid w:val="00040065"/>
    <w:rsid w:val="000402BC"/>
    <w:rsid w:val="00040472"/>
    <w:rsid w:val="00040492"/>
    <w:rsid w:val="000404BC"/>
    <w:rsid w:val="00040511"/>
    <w:rsid w:val="00040689"/>
    <w:rsid w:val="000406FA"/>
    <w:rsid w:val="0004075A"/>
    <w:rsid w:val="00040809"/>
    <w:rsid w:val="00040893"/>
    <w:rsid w:val="000408DA"/>
    <w:rsid w:val="0004091F"/>
    <w:rsid w:val="00040979"/>
    <w:rsid w:val="000409A3"/>
    <w:rsid w:val="00040A6F"/>
    <w:rsid w:val="00040ABA"/>
    <w:rsid w:val="00040AEF"/>
    <w:rsid w:val="00040B1F"/>
    <w:rsid w:val="00040B50"/>
    <w:rsid w:val="00040BC2"/>
    <w:rsid w:val="00040C13"/>
    <w:rsid w:val="00040C79"/>
    <w:rsid w:val="00040CA2"/>
    <w:rsid w:val="00040CE8"/>
    <w:rsid w:val="00040CFC"/>
    <w:rsid w:val="00040D4B"/>
    <w:rsid w:val="00040DC2"/>
    <w:rsid w:val="00040ECD"/>
    <w:rsid w:val="00040F8B"/>
    <w:rsid w:val="00040FA8"/>
    <w:rsid w:val="00040FF0"/>
    <w:rsid w:val="00041162"/>
    <w:rsid w:val="000411EB"/>
    <w:rsid w:val="0004124D"/>
    <w:rsid w:val="00041293"/>
    <w:rsid w:val="00041341"/>
    <w:rsid w:val="0004134E"/>
    <w:rsid w:val="000413AE"/>
    <w:rsid w:val="00041448"/>
    <w:rsid w:val="000414BE"/>
    <w:rsid w:val="000414D5"/>
    <w:rsid w:val="000414DC"/>
    <w:rsid w:val="0004150E"/>
    <w:rsid w:val="000416A5"/>
    <w:rsid w:val="000416C6"/>
    <w:rsid w:val="000416F3"/>
    <w:rsid w:val="00041769"/>
    <w:rsid w:val="00041919"/>
    <w:rsid w:val="00041B99"/>
    <w:rsid w:val="00041CCE"/>
    <w:rsid w:val="00041D30"/>
    <w:rsid w:val="00041E1A"/>
    <w:rsid w:val="00041EC3"/>
    <w:rsid w:val="00041FA4"/>
    <w:rsid w:val="00042033"/>
    <w:rsid w:val="00042092"/>
    <w:rsid w:val="000420CA"/>
    <w:rsid w:val="000420E9"/>
    <w:rsid w:val="00042195"/>
    <w:rsid w:val="0004230A"/>
    <w:rsid w:val="00042320"/>
    <w:rsid w:val="00042335"/>
    <w:rsid w:val="00042363"/>
    <w:rsid w:val="00042379"/>
    <w:rsid w:val="0004242E"/>
    <w:rsid w:val="0004255A"/>
    <w:rsid w:val="000425CD"/>
    <w:rsid w:val="000425EB"/>
    <w:rsid w:val="000426D9"/>
    <w:rsid w:val="00042823"/>
    <w:rsid w:val="00042A45"/>
    <w:rsid w:val="00042A6A"/>
    <w:rsid w:val="00042AA8"/>
    <w:rsid w:val="00042AE1"/>
    <w:rsid w:val="00042AF7"/>
    <w:rsid w:val="00042C0E"/>
    <w:rsid w:val="00042D26"/>
    <w:rsid w:val="00042D6B"/>
    <w:rsid w:val="00042E6F"/>
    <w:rsid w:val="00042EB2"/>
    <w:rsid w:val="00042F31"/>
    <w:rsid w:val="00042F7A"/>
    <w:rsid w:val="00042FD9"/>
    <w:rsid w:val="000430D3"/>
    <w:rsid w:val="000430EC"/>
    <w:rsid w:val="000431D7"/>
    <w:rsid w:val="00043231"/>
    <w:rsid w:val="00043238"/>
    <w:rsid w:val="000432A3"/>
    <w:rsid w:val="0004346F"/>
    <w:rsid w:val="000434D8"/>
    <w:rsid w:val="00043561"/>
    <w:rsid w:val="0004363E"/>
    <w:rsid w:val="0004369B"/>
    <w:rsid w:val="0004369C"/>
    <w:rsid w:val="00043748"/>
    <w:rsid w:val="00043774"/>
    <w:rsid w:val="000437BE"/>
    <w:rsid w:val="00043807"/>
    <w:rsid w:val="00043916"/>
    <w:rsid w:val="0004392E"/>
    <w:rsid w:val="00043B6E"/>
    <w:rsid w:val="00043B81"/>
    <w:rsid w:val="00043BA6"/>
    <w:rsid w:val="00043C31"/>
    <w:rsid w:val="00043C6B"/>
    <w:rsid w:val="00043C78"/>
    <w:rsid w:val="00043C88"/>
    <w:rsid w:val="00043CA3"/>
    <w:rsid w:val="00043E35"/>
    <w:rsid w:val="00043E3B"/>
    <w:rsid w:val="00043E55"/>
    <w:rsid w:val="00043FA4"/>
    <w:rsid w:val="000440B9"/>
    <w:rsid w:val="00044107"/>
    <w:rsid w:val="000442FF"/>
    <w:rsid w:val="00044319"/>
    <w:rsid w:val="0004446C"/>
    <w:rsid w:val="0004449A"/>
    <w:rsid w:val="00044563"/>
    <w:rsid w:val="00044592"/>
    <w:rsid w:val="0004460C"/>
    <w:rsid w:val="00044698"/>
    <w:rsid w:val="000447FB"/>
    <w:rsid w:val="000448B8"/>
    <w:rsid w:val="00044A28"/>
    <w:rsid w:val="00044AD5"/>
    <w:rsid w:val="00044CA5"/>
    <w:rsid w:val="00044D5C"/>
    <w:rsid w:val="00044E32"/>
    <w:rsid w:val="00044FDB"/>
    <w:rsid w:val="00044FE5"/>
    <w:rsid w:val="00044FF5"/>
    <w:rsid w:val="00045002"/>
    <w:rsid w:val="000450D3"/>
    <w:rsid w:val="00045112"/>
    <w:rsid w:val="0004512C"/>
    <w:rsid w:val="00045215"/>
    <w:rsid w:val="00045382"/>
    <w:rsid w:val="000453A3"/>
    <w:rsid w:val="0004541D"/>
    <w:rsid w:val="000455AB"/>
    <w:rsid w:val="0004563B"/>
    <w:rsid w:val="00045640"/>
    <w:rsid w:val="000457BB"/>
    <w:rsid w:val="000459BB"/>
    <w:rsid w:val="00045A93"/>
    <w:rsid w:val="00045B4A"/>
    <w:rsid w:val="00045B9F"/>
    <w:rsid w:val="00045C0D"/>
    <w:rsid w:val="00045C18"/>
    <w:rsid w:val="00045C1D"/>
    <w:rsid w:val="00045CDA"/>
    <w:rsid w:val="00045CF3"/>
    <w:rsid w:val="00045D7D"/>
    <w:rsid w:val="00045DEB"/>
    <w:rsid w:val="00045E6D"/>
    <w:rsid w:val="00045F57"/>
    <w:rsid w:val="00045FED"/>
    <w:rsid w:val="0004607D"/>
    <w:rsid w:val="000460D2"/>
    <w:rsid w:val="000460DE"/>
    <w:rsid w:val="0004610E"/>
    <w:rsid w:val="00046160"/>
    <w:rsid w:val="000461A1"/>
    <w:rsid w:val="000461A9"/>
    <w:rsid w:val="0004623A"/>
    <w:rsid w:val="000463AB"/>
    <w:rsid w:val="00046623"/>
    <w:rsid w:val="0004677F"/>
    <w:rsid w:val="0004680D"/>
    <w:rsid w:val="00046876"/>
    <w:rsid w:val="000468B9"/>
    <w:rsid w:val="00046997"/>
    <w:rsid w:val="000469AF"/>
    <w:rsid w:val="00046AB9"/>
    <w:rsid w:val="00046AE1"/>
    <w:rsid w:val="00046AF2"/>
    <w:rsid w:val="00046BAC"/>
    <w:rsid w:val="00046BF8"/>
    <w:rsid w:val="00046CAF"/>
    <w:rsid w:val="00046CC4"/>
    <w:rsid w:val="00046D22"/>
    <w:rsid w:val="00046D51"/>
    <w:rsid w:val="00046D7E"/>
    <w:rsid w:val="00046D82"/>
    <w:rsid w:val="00046EAB"/>
    <w:rsid w:val="00046EDC"/>
    <w:rsid w:val="00046FA8"/>
    <w:rsid w:val="00046FBA"/>
    <w:rsid w:val="0004702F"/>
    <w:rsid w:val="000470B1"/>
    <w:rsid w:val="00047229"/>
    <w:rsid w:val="0004724D"/>
    <w:rsid w:val="00047300"/>
    <w:rsid w:val="00047314"/>
    <w:rsid w:val="00047320"/>
    <w:rsid w:val="00047332"/>
    <w:rsid w:val="00047493"/>
    <w:rsid w:val="000475AB"/>
    <w:rsid w:val="00047669"/>
    <w:rsid w:val="00047822"/>
    <w:rsid w:val="0004791F"/>
    <w:rsid w:val="00047963"/>
    <w:rsid w:val="00047A5E"/>
    <w:rsid w:val="00047A95"/>
    <w:rsid w:val="00047B0B"/>
    <w:rsid w:val="00047B25"/>
    <w:rsid w:val="00047B30"/>
    <w:rsid w:val="00047BD9"/>
    <w:rsid w:val="00047C5D"/>
    <w:rsid w:val="00047D4C"/>
    <w:rsid w:val="00047D7F"/>
    <w:rsid w:val="00047D97"/>
    <w:rsid w:val="00047DA2"/>
    <w:rsid w:val="00047FE3"/>
    <w:rsid w:val="00050031"/>
    <w:rsid w:val="00050038"/>
    <w:rsid w:val="0005005E"/>
    <w:rsid w:val="00050091"/>
    <w:rsid w:val="000500A0"/>
    <w:rsid w:val="000500BA"/>
    <w:rsid w:val="000500EF"/>
    <w:rsid w:val="00050121"/>
    <w:rsid w:val="0005018D"/>
    <w:rsid w:val="0005023C"/>
    <w:rsid w:val="00050322"/>
    <w:rsid w:val="000503F0"/>
    <w:rsid w:val="000505B7"/>
    <w:rsid w:val="000505DE"/>
    <w:rsid w:val="00050619"/>
    <w:rsid w:val="000507CE"/>
    <w:rsid w:val="000507E9"/>
    <w:rsid w:val="0005083B"/>
    <w:rsid w:val="00050891"/>
    <w:rsid w:val="0005091F"/>
    <w:rsid w:val="0005098F"/>
    <w:rsid w:val="000509FC"/>
    <w:rsid w:val="00050B3B"/>
    <w:rsid w:val="00050C79"/>
    <w:rsid w:val="00050CA9"/>
    <w:rsid w:val="00050CF8"/>
    <w:rsid w:val="00050D17"/>
    <w:rsid w:val="00050DC3"/>
    <w:rsid w:val="00050E6E"/>
    <w:rsid w:val="00050F7E"/>
    <w:rsid w:val="00050FC1"/>
    <w:rsid w:val="00050FCA"/>
    <w:rsid w:val="00051001"/>
    <w:rsid w:val="000510A0"/>
    <w:rsid w:val="000510D6"/>
    <w:rsid w:val="00051106"/>
    <w:rsid w:val="0005111F"/>
    <w:rsid w:val="0005114A"/>
    <w:rsid w:val="000511B0"/>
    <w:rsid w:val="000511F9"/>
    <w:rsid w:val="000512E2"/>
    <w:rsid w:val="00051324"/>
    <w:rsid w:val="0005135B"/>
    <w:rsid w:val="0005135D"/>
    <w:rsid w:val="000514F1"/>
    <w:rsid w:val="00051519"/>
    <w:rsid w:val="000515C4"/>
    <w:rsid w:val="00051719"/>
    <w:rsid w:val="00051786"/>
    <w:rsid w:val="000517B8"/>
    <w:rsid w:val="0005184A"/>
    <w:rsid w:val="0005195D"/>
    <w:rsid w:val="000519EC"/>
    <w:rsid w:val="00051B02"/>
    <w:rsid w:val="00051C29"/>
    <w:rsid w:val="00051C91"/>
    <w:rsid w:val="00051CC5"/>
    <w:rsid w:val="00051D8B"/>
    <w:rsid w:val="00051D9E"/>
    <w:rsid w:val="00051E7E"/>
    <w:rsid w:val="00051F6F"/>
    <w:rsid w:val="00051FA4"/>
    <w:rsid w:val="00052020"/>
    <w:rsid w:val="00052030"/>
    <w:rsid w:val="000520A0"/>
    <w:rsid w:val="000521D0"/>
    <w:rsid w:val="000522C1"/>
    <w:rsid w:val="000522E3"/>
    <w:rsid w:val="000523F4"/>
    <w:rsid w:val="00052442"/>
    <w:rsid w:val="00052480"/>
    <w:rsid w:val="00052580"/>
    <w:rsid w:val="00052592"/>
    <w:rsid w:val="000525EE"/>
    <w:rsid w:val="0005267B"/>
    <w:rsid w:val="000526D3"/>
    <w:rsid w:val="000526E1"/>
    <w:rsid w:val="00052887"/>
    <w:rsid w:val="00052982"/>
    <w:rsid w:val="00052A4E"/>
    <w:rsid w:val="00052B2C"/>
    <w:rsid w:val="00052C5C"/>
    <w:rsid w:val="00052CC4"/>
    <w:rsid w:val="00052DAC"/>
    <w:rsid w:val="00052DFC"/>
    <w:rsid w:val="00052EFC"/>
    <w:rsid w:val="000530CA"/>
    <w:rsid w:val="00053148"/>
    <w:rsid w:val="0005316A"/>
    <w:rsid w:val="000531AF"/>
    <w:rsid w:val="000531FE"/>
    <w:rsid w:val="00053221"/>
    <w:rsid w:val="0005326C"/>
    <w:rsid w:val="0005329C"/>
    <w:rsid w:val="000532E2"/>
    <w:rsid w:val="0005332C"/>
    <w:rsid w:val="00053382"/>
    <w:rsid w:val="0005338F"/>
    <w:rsid w:val="0005339C"/>
    <w:rsid w:val="00053476"/>
    <w:rsid w:val="00053569"/>
    <w:rsid w:val="000535A3"/>
    <w:rsid w:val="000535CF"/>
    <w:rsid w:val="00053790"/>
    <w:rsid w:val="0005388C"/>
    <w:rsid w:val="000538F2"/>
    <w:rsid w:val="0005390F"/>
    <w:rsid w:val="00053966"/>
    <w:rsid w:val="000539E9"/>
    <w:rsid w:val="00053A7C"/>
    <w:rsid w:val="00053AFD"/>
    <w:rsid w:val="00053B26"/>
    <w:rsid w:val="00053B64"/>
    <w:rsid w:val="00053BBC"/>
    <w:rsid w:val="00053C7C"/>
    <w:rsid w:val="00053CFE"/>
    <w:rsid w:val="00053E87"/>
    <w:rsid w:val="00053F07"/>
    <w:rsid w:val="00053F2C"/>
    <w:rsid w:val="00053F32"/>
    <w:rsid w:val="00053F4F"/>
    <w:rsid w:val="00053F9B"/>
    <w:rsid w:val="00054011"/>
    <w:rsid w:val="000540B9"/>
    <w:rsid w:val="0005410F"/>
    <w:rsid w:val="000542F8"/>
    <w:rsid w:val="00054307"/>
    <w:rsid w:val="00054333"/>
    <w:rsid w:val="00054432"/>
    <w:rsid w:val="00054592"/>
    <w:rsid w:val="000545E8"/>
    <w:rsid w:val="00054649"/>
    <w:rsid w:val="00054650"/>
    <w:rsid w:val="000546E6"/>
    <w:rsid w:val="000548E6"/>
    <w:rsid w:val="0005490C"/>
    <w:rsid w:val="00054971"/>
    <w:rsid w:val="00054A0A"/>
    <w:rsid w:val="00054A1D"/>
    <w:rsid w:val="00054A23"/>
    <w:rsid w:val="00054A9C"/>
    <w:rsid w:val="00054C12"/>
    <w:rsid w:val="00054C25"/>
    <w:rsid w:val="00054CAC"/>
    <w:rsid w:val="00054CEB"/>
    <w:rsid w:val="00054D58"/>
    <w:rsid w:val="00054D5E"/>
    <w:rsid w:val="00054E49"/>
    <w:rsid w:val="00054EF9"/>
    <w:rsid w:val="00054F0D"/>
    <w:rsid w:val="00054FA1"/>
    <w:rsid w:val="0005505A"/>
    <w:rsid w:val="00055077"/>
    <w:rsid w:val="000550C4"/>
    <w:rsid w:val="0005511A"/>
    <w:rsid w:val="00055166"/>
    <w:rsid w:val="000551B6"/>
    <w:rsid w:val="00055201"/>
    <w:rsid w:val="000553E5"/>
    <w:rsid w:val="000554D1"/>
    <w:rsid w:val="000555BA"/>
    <w:rsid w:val="000555D1"/>
    <w:rsid w:val="00055687"/>
    <w:rsid w:val="00055696"/>
    <w:rsid w:val="0005575C"/>
    <w:rsid w:val="00055829"/>
    <w:rsid w:val="000558FA"/>
    <w:rsid w:val="0005592C"/>
    <w:rsid w:val="000559BC"/>
    <w:rsid w:val="00055A4F"/>
    <w:rsid w:val="00055AD3"/>
    <w:rsid w:val="00055B28"/>
    <w:rsid w:val="00055B4A"/>
    <w:rsid w:val="00055B91"/>
    <w:rsid w:val="00055BC5"/>
    <w:rsid w:val="00055BD4"/>
    <w:rsid w:val="00055DB9"/>
    <w:rsid w:val="00055E69"/>
    <w:rsid w:val="00055ED6"/>
    <w:rsid w:val="00055FE0"/>
    <w:rsid w:val="000560AC"/>
    <w:rsid w:val="000560BE"/>
    <w:rsid w:val="000561B8"/>
    <w:rsid w:val="00056222"/>
    <w:rsid w:val="00056242"/>
    <w:rsid w:val="000562C2"/>
    <w:rsid w:val="000562E6"/>
    <w:rsid w:val="000564F2"/>
    <w:rsid w:val="00056520"/>
    <w:rsid w:val="00056530"/>
    <w:rsid w:val="00056538"/>
    <w:rsid w:val="000565C3"/>
    <w:rsid w:val="00056633"/>
    <w:rsid w:val="00056804"/>
    <w:rsid w:val="00056829"/>
    <w:rsid w:val="00056838"/>
    <w:rsid w:val="000568D4"/>
    <w:rsid w:val="00056918"/>
    <w:rsid w:val="00056A6B"/>
    <w:rsid w:val="00056A76"/>
    <w:rsid w:val="00056ADE"/>
    <w:rsid w:val="00056B4C"/>
    <w:rsid w:val="00056C1C"/>
    <w:rsid w:val="00056C23"/>
    <w:rsid w:val="00056C8D"/>
    <w:rsid w:val="00056D25"/>
    <w:rsid w:val="00056D26"/>
    <w:rsid w:val="00056D33"/>
    <w:rsid w:val="00056D59"/>
    <w:rsid w:val="00056E1A"/>
    <w:rsid w:val="00056E99"/>
    <w:rsid w:val="00056F5F"/>
    <w:rsid w:val="0005701E"/>
    <w:rsid w:val="00057253"/>
    <w:rsid w:val="00057277"/>
    <w:rsid w:val="000572A1"/>
    <w:rsid w:val="00057400"/>
    <w:rsid w:val="00057412"/>
    <w:rsid w:val="00057441"/>
    <w:rsid w:val="00057502"/>
    <w:rsid w:val="0005757E"/>
    <w:rsid w:val="00057599"/>
    <w:rsid w:val="00057644"/>
    <w:rsid w:val="0005767E"/>
    <w:rsid w:val="00057729"/>
    <w:rsid w:val="0005778A"/>
    <w:rsid w:val="000577A2"/>
    <w:rsid w:val="0005789D"/>
    <w:rsid w:val="0005793C"/>
    <w:rsid w:val="00057971"/>
    <w:rsid w:val="000579B7"/>
    <w:rsid w:val="000579C6"/>
    <w:rsid w:val="00057A18"/>
    <w:rsid w:val="00057A1F"/>
    <w:rsid w:val="00057ABA"/>
    <w:rsid w:val="00057AC8"/>
    <w:rsid w:val="00057BF1"/>
    <w:rsid w:val="00057C7E"/>
    <w:rsid w:val="00057D5E"/>
    <w:rsid w:val="00057DE1"/>
    <w:rsid w:val="00057DE6"/>
    <w:rsid w:val="00057E9D"/>
    <w:rsid w:val="00057F01"/>
    <w:rsid w:val="00057F13"/>
    <w:rsid w:val="00057F67"/>
    <w:rsid w:val="00057F86"/>
    <w:rsid w:val="00060008"/>
    <w:rsid w:val="0006029A"/>
    <w:rsid w:val="0006036D"/>
    <w:rsid w:val="00060373"/>
    <w:rsid w:val="0006039B"/>
    <w:rsid w:val="000603F5"/>
    <w:rsid w:val="00060461"/>
    <w:rsid w:val="000604EB"/>
    <w:rsid w:val="0006058D"/>
    <w:rsid w:val="0006066C"/>
    <w:rsid w:val="000606D1"/>
    <w:rsid w:val="00060750"/>
    <w:rsid w:val="00060766"/>
    <w:rsid w:val="0006079A"/>
    <w:rsid w:val="0006081A"/>
    <w:rsid w:val="0006081F"/>
    <w:rsid w:val="00060876"/>
    <w:rsid w:val="00060956"/>
    <w:rsid w:val="000609A5"/>
    <w:rsid w:val="00060B06"/>
    <w:rsid w:val="00060B5B"/>
    <w:rsid w:val="00060C05"/>
    <w:rsid w:val="00060C19"/>
    <w:rsid w:val="00060C40"/>
    <w:rsid w:val="00060C8D"/>
    <w:rsid w:val="00060C9B"/>
    <w:rsid w:val="00060D08"/>
    <w:rsid w:val="00060D80"/>
    <w:rsid w:val="00060DA5"/>
    <w:rsid w:val="00060DB1"/>
    <w:rsid w:val="00060EC7"/>
    <w:rsid w:val="00060F4C"/>
    <w:rsid w:val="00060F4E"/>
    <w:rsid w:val="00060FCC"/>
    <w:rsid w:val="000610ED"/>
    <w:rsid w:val="000611CA"/>
    <w:rsid w:val="00061259"/>
    <w:rsid w:val="000613C0"/>
    <w:rsid w:val="000613D6"/>
    <w:rsid w:val="00061401"/>
    <w:rsid w:val="00061412"/>
    <w:rsid w:val="000614C7"/>
    <w:rsid w:val="00061519"/>
    <w:rsid w:val="0006151C"/>
    <w:rsid w:val="0006151F"/>
    <w:rsid w:val="00061531"/>
    <w:rsid w:val="0006154B"/>
    <w:rsid w:val="0006157C"/>
    <w:rsid w:val="000615C9"/>
    <w:rsid w:val="00061660"/>
    <w:rsid w:val="0006167D"/>
    <w:rsid w:val="0006174C"/>
    <w:rsid w:val="000617B2"/>
    <w:rsid w:val="00061934"/>
    <w:rsid w:val="0006193F"/>
    <w:rsid w:val="00061986"/>
    <w:rsid w:val="00061B43"/>
    <w:rsid w:val="00061CA0"/>
    <w:rsid w:val="00061D62"/>
    <w:rsid w:val="00061D9E"/>
    <w:rsid w:val="00061F7E"/>
    <w:rsid w:val="000620EC"/>
    <w:rsid w:val="000620FC"/>
    <w:rsid w:val="000621BC"/>
    <w:rsid w:val="000621E9"/>
    <w:rsid w:val="000622AF"/>
    <w:rsid w:val="00062524"/>
    <w:rsid w:val="00062550"/>
    <w:rsid w:val="00062A2F"/>
    <w:rsid w:val="00062A46"/>
    <w:rsid w:val="00062AEF"/>
    <w:rsid w:val="00062BFA"/>
    <w:rsid w:val="00062C3A"/>
    <w:rsid w:val="00062C67"/>
    <w:rsid w:val="00062CB2"/>
    <w:rsid w:val="00062CF0"/>
    <w:rsid w:val="00062CF4"/>
    <w:rsid w:val="00062FB8"/>
    <w:rsid w:val="00063084"/>
    <w:rsid w:val="000630BA"/>
    <w:rsid w:val="00063222"/>
    <w:rsid w:val="00063256"/>
    <w:rsid w:val="000633CF"/>
    <w:rsid w:val="00063458"/>
    <w:rsid w:val="00063493"/>
    <w:rsid w:val="0006349A"/>
    <w:rsid w:val="00063532"/>
    <w:rsid w:val="0006355B"/>
    <w:rsid w:val="00063587"/>
    <w:rsid w:val="000635B7"/>
    <w:rsid w:val="000635F1"/>
    <w:rsid w:val="000635F7"/>
    <w:rsid w:val="000635FE"/>
    <w:rsid w:val="00063613"/>
    <w:rsid w:val="000636C5"/>
    <w:rsid w:val="000636F8"/>
    <w:rsid w:val="000637D3"/>
    <w:rsid w:val="000637DE"/>
    <w:rsid w:val="000639F5"/>
    <w:rsid w:val="00063A1C"/>
    <w:rsid w:val="00063A38"/>
    <w:rsid w:val="00063A65"/>
    <w:rsid w:val="00063A71"/>
    <w:rsid w:val="00063CF9"/>
    <w:rsid w:val="00063D3A"/>
    <w:rsid w:val="00063D95"/>
    <w:rsid w:val="00063F65"/>
    <w:rsid w:val="0006403C"/>
    <w:rsid w:val="00064040"/>
    <w:rsid w:val="000640A0"/>
    <w:rsid w:val="000640BF"/>
    <w:rsid w:val="000640EC"/>
    <w:rsid w:val="000641AE"/>
    <w:rsid w:val="00064220"/>
    <w:rsid w:val="0006439E"/>
    <w:rsid w:val="00064499"/>
    <w:rsid w:val="000644EC"/>
    <w:rsid w:val="000645A9"/>
    <w:rsid w:val="000645F9"/>
    <w:rsid w:val="000645FE"/>
    <w:rsid w:val="00064614"/>
    <w:rsid w:val="00064652"/>
    <w:rsid w:val="00064653"/>
    <w:rsid w:val="00064662"/>
    <w:rsid w:val="0006477A"/>
    <w:rsid w:val="0006481D"/>
    <w:rsid w:val="000648DC"/>
    <w:rsid w:val="00064916"/>
    <w:rsid w:val="00064984"/>
    <w:rsid w:val="000649B9"/>
    <w:rsid w:val="000649F6"/>
    <w:rsid w:val="00064A31"/>
    <w:rsid w:val="00064DC0"/>
    <w:rsid w:val="00064E4A"/>
    <w:rsid w:val="00064EE7"/>
    <w:rsid w:val="00064F8D"/>
    <w:rsid w:val="00065047"/>
    <w:rsid w:val="00065096"/>
    <w:rsid w:val="00065112"/>
    <w:rsid w:val="00065202"/>
    <w:rsid w:val="0006538C"/>
    <w:rsid w:val="0006539B"/>
    <w:rsid w:val="000653A9"/>
    <w:rsid w:val="00065421"/>
    <w:rsid w:val="00065462"/>
    <w:rsid w:val="000654CB"/>
    <w:rsid w:val="00065603"/>
    <w:rsid w:val="0006566B"/>
    <w:rsid w:val="000656B4"/>
    <w:rsid w:val="0006572D"/>
    <w:rsid w:val="000657F1"/>
    <w:rsid w:val="00065844"/>
    <w:rsid w:val="0006590A"/>
    <w:rsid w:val="000659A1"/>
    <w:rsid w:val="00065AEC"/>
    <w:rsid w:val="00065B2D"/>
    <w:rsid w:val="00065CBE"/>
    <w:rsid w:val="00065CDD"/>
    <w:rsid w:val="00065D2B"/>
    <w:rsid w:val="00065D6B"/>
    <w:rsid w:val="00065DC2"/>
    <w:rsid w:val="00065DD9"/>
    <w:rsid w:val="00065E29"/>
    <w:rsid w:val="00065E7A"/>
    <w:rsid w:val="00065EF0"/>
    <w:rsid w:val="00065F95"/>
    <w:rsid w:val="00066095"/>
    <w:rsid w:val="0006611D"/>
    <w:rsid w:val="00066156"/>
    <w:rsid w:val="00066292"/>
    <w:rsid w:val="00066312"/>
    <w:rsid w:val="00066436"/>
    <w:rsid w:val="0006646D"/>
    <w:rsid w:val="0006647E"/>
    <w:rsid w:val="00066553"/>
    <w:rsid w:val="000665EC"/>
    <w:rsid w:val="00066663"/>
    <w:rsid w:val="000667A5"/>
    <w:rsid w:val="000668EB"/>
    <w:rsid w:val="0006690F"/>
    <w:rsid w:val="000669FA"/>
    <w:rsid w:val="00066A52"/>
    <w:rsid w:val="00066A8C"/>
    <w:rsid w:val="00066A9C"/>
    <w:rsid w:val="00066BF6"/>
    <w:rsid w:val="00066C96"/>
    <w:rsid w:val="00066CEB"/>
    <w:rsid w:val="00066D47"/>
    <w:rsid w:val="00066FB9"/>
    <w:rsid w:val="00066FF9"/>
    <w:rsid w:val="00067010"/>
    <w:rsid w:val="0006703A"/>
    <w:rsid w:val="000671CA"/>
    <w:rsid w:val="0006721F"/>
    <w:rsid w:val="000673BB"/>
    <w:rsid w:val="0006741D"/>
    <w:rsid w:val="00067438"/>
    <w:rsid w:val="00067448"/>
    <w:rsid w:val="00067493"/>
    <w:rsid w:val="000674BC"/>
    <w:rsid w:val="00067528"/>
    <w:rsid w:val="00067543"/>
    <w:rsid w:val="0006754D"/>
    <w:rsid w:val="00067690"/>
    <w:rsid w:val="00067860"/>
    <w:rsid w:val="000678A5"/>
    <w:rsid w:val="00067A79"/>
    <w:rsid w:val="00067A80"/>
    <w:rsid w:val="00067ABF"/>
    <w:rsid w:val="00067C8A"/>
    <w:rsid w:val="00067C96"/>
    <w:rsid w:val="00067CFF"/>
    <w:rsid w:val="00067D1D"/>
    <w:rsid w:val="00067D6C"/>
    <w:rsid w:val="00067F30"/>
    <w:rsid w:val="00067F74"/>
    <w:rsid w:val="00067FC2"/>
    <w:rsid w:val="0007003D"/>
    <w:rsid w:val="00070058"/>
    <w:rsid w:val="000700B5"/>
    <w:rsid w:val="000700D7"/>
    <w:rsid w:val="00070184"/>
    <w:rsid w:val="00070188"/>
    <w:rsid w:val="00070223"/>
    <w:rsid w:val="00070262"/>
    <w:rsid w:val="00070281"/>
    <w:rsid w:val="0007032D"/>
    <w:rsid w:val="0007037C"/>
    <w:rsid w:val="000703FB"/>
    <w:rsid w:val="0007066E"/>
    <w:rsid w:val="0007069D"/>
    <w:rsid w:val="0007080F"/>
    <w:rsid w:val="00070924"/>
    <w:rsid w:val="000709CE"/>
    <w:rsid w:val="000709CF"/>
    <w:rsid w:val="000709DB"/>
    <w:rsid w:val="000709E9"/>
    <w:rsid w:val="00070B52"/>
    <w:rsid w:val="00070BAE"/>
    <w:rsid w:val="00070BCE"/>
    <w:rsid w:val="00070C96"/>
    <w:rsid w:val="00070CB4"/>
    <w:rsid w:val="00070E7C"/>
    <w:rsid w:val="00070EF4"/>
    <w:rsid w:val="00070F98"/>
    <w:rsid w:val="00070F99"/>
    <w:rsid w:val="00070FB4"/>
    <w:rsid w:val="000710D1"/>
    <w:rsid w:val="00071220"/>
    <w:rsid w:val="000712B6"/>
    <w:rsid w:val="000712D2"/>
    <w:rsid w:val="0007142E"/>
    <w:rsid w:val="00071475"/>
    <w:rsid w:val="0007147C"/>
    <w:rsid w:val="0007151E"/>
    <w:rsid w:val="000715AE"/>
    <w:rsid w:val="00071615"/>
    <w:rsid w:val="0007163B"/>
    <w:rsid w:val="000716FD"/>
    <w:rsid w:val="00071800"/>
    <w:rsid w:val="00071824"/>
    <w:rsid w:val="000718D1"/>
    <w:rsid w:val="00071915"/>
    <w:rsid w:val="0007194B"/>
    <w:rsid w:val="0007197D"/>
    <w:rsid w:val="000719B4"/>
    <w:rsid w:val="000719F3"/>
    <w:rsid w:val="00071A0D"/>
    <w:rsid w:val="00071C24"/>
    <w:rsid w:val="00071CB5"/>
    <w:rsid w:val="00071F07"/>
    <w:rsid w:val="00071F36"/>
    <w:rsid w:val="00071F86"/>
    <w:rsid w:val="00071F9C"/>
    <w:rsid w:val="0007216B"/>
    <w:rsid w:val="00072188"/>
    <w:rsid w:val="00072269"/>
    <w:rsid w:val="000722C8"/>
    <w:rsid w:val="00072425"/>
    <w:rsid w:val="0007256D"/>
    <w:rsid w:val="0007274D"/>
    <w:rsid w:val="00072826"/>
    <w:rsid w:val="000728C9"/>
    <w:rsid w:val="0007290A"/>
    <w:rsid w:val="000729A1"/>
    <w:rsid w:val="00072AC9"/>
    <w:rsid w:val="00072AD4"/>
    <w:rsid w:val="00072B63"/>
    <w:rsid w:val="00072BFB"/>
    <w:rsid w:val="00072C3E"/>
    <w:rsid w:val="00072CCC"/>
    <w:rsid w:val="00072D08"/>
    <w:rsid w:val="00072D77"/>
    <w:rsid w:val="00072D94"/>
    <w:rsid w:val="00072DD1"/>
    <w:rsid w:val="00072E50"/>
    <w:rsid w:val="00072E5B"/>
    <w:rsid w:val="00072F45"/>
    <w:rsid w:val="00072FA5"/>
    <w:rsid w:val="0007304E"/>
    <w:rsid w:val="00073077"/>
    <w:rsid w:val="00073081"/>
    <w:rsid w:val="0007309D"/>
    <w:rsid w:val="00073113"/>
    <w:rsid w:val="00073133"/>
    <w:rsid w:val="0007316A"/>
    <w:rsid w:val="000731CA"/>
    <w:rsid w:val="00073215"/>
    <w:rsid w:val="00073281"/>
    <w:rsid w:val="00073383"/>
    <w:rsid w:val="000733F9"/>
    <w:rsid w:val="0007341C"/>
    <w:rsid w:val="00073422"/>
    <w:rsid w:val="000734A1"/>
    <w:rsid w:val="00073645"/>
    <w:rsid w:val="00073684"/>
    <w:rsid w:val="0007375F"/>
    <w:rsid w:val="000737AB"/>
    <w:rsid w:val="00073895"/>
    <w:rsid w:val="00073897"/>
    <w:rsid w:val="000738BB"/>
    <w:rsid w:val="000738EE"/>
    <w:rsid w:val="000739C9"/>
    <w:rsid w:val="00073AF5"/>
    <w:rsid w:val="00073B4A"/>
    <w:rsid w:val="00073B75"/>
    <w:rsid w:val="00073BDB"/>
    <w:rsid w:val="00073C47"/>
    <w:rsid w:val="00073CDB"/>
    <w:rsid w:val="00073CF8"/>
    <w:rsid w:val="00073D4C"/>
    <w:rsid w:val="00073D4E"/>
    <w:rsid w:val="00073D9C"/>
    <w:rsid w:val="00073E62"/>
    <w:rsid w:val="00073F76"/>
    <w:rsid w:val="00073F80"/>
    <w:rsid w:val="0007410F"/>
    <w:rsid w:val="00074243"/>
    <w:rsid w:val="0007433F"/>
    <w:rsid w:val="00074347"/>
    <w:rsid w:val="00074449"/>
    <w:rsid w:val="00074507"/>
    <w:rsid w:val="00074558"/>
    <w:rsid w:val="000745BD"/>
    <w:rsid w:val="0007465F"/>
    <w:rsid w:val="00074717"/>
    <w:rsid w:val="000747FA"/>
    <w:rsid w:val="00074928"/>
    <w:rsid w:val="00074949"/>
    <w:rsid w:val="00074957"/>
    <w:rsid w:val="00074969"/>
    <w:rsid w:val="0007496C"/>
    <w:rsid w:val="00074A60"/>
    <w:rsid w:val="00074A6D"/>
    <w:rsid w:val="00074BA2"/>
    <w:rsid w:val="00074BB1"/>
    <w:rsid w:val="00074C0C"/>
    <w:rsid w:val="00074C9B"/>
    <w:rsid w:val="00074CAC"/>
    <w:rsid w:val="00074D9F"/>
    <w:rsid w:val="00074F33"/>
    <w:rsid w:val="00074FBE"/>
    <w:rsid w:val="00074FD4"/>
    <w:rsid w:val="0007502F"/>
    <w:rsid w:val="000751C0"/>
    <w:rsid w:val="0007520A"/>
    <w:rsid w:val="000752E3"/>
    <w:rsid w:val="000752FD"/>
    <w:rsid w:val="0007533F"/>
    <w:rsid w:val="000753C6"/>
    <w:rsid w:val="00075424"/>
    <w:rsid w:val="00075442"/>
    <w:rsid w:val="00075451"/>
    <w:rsid w:val="0007553A"/>
    <w:rsid w:val="00075569"/>
    <w:rsid w:val="000755C1"/>
    <w:rsid w:val="00075601"/>
    <w:rsid w:val="000757CC"/>
    <w:rsid w:val="0007588B"/>
    <w:rsid w:val="0007599F"/>
    <w:rsid w:val="00075A34"/>
    <w:rsid w:val="00075A96"/>
    <w:rsid w:val="00075A9F"/>
    <w:rsid w:val="00075BD9"/>
    <w:rsid w:val="00075CA6"/>
    <w:rsid w:val="00075D9B"/>
    <w:rsid w:val="00075F3E"/>
    <w:rsid w:val="00076355"/>
    <w:rsid w:val="00076709"/>
    <w:rsid w:val="0007670C"/>
    <w:rsid w:val="0007679A"/>
    <w:rsid w:val="00076855"/>
    <w:rsid w:val="00076871"/>
    <w:rsid w:val="000768A4"/>
    <w:rsid w:val="00076AC1"/>
    <w:rsid w:val="00076B11"/>
    <w:rsid w:val="00076B2E"/>
    <w:rsid w:val="00076B70"/>
    <w:rsid w:val="00076BFD"/>
    <w:rsid w:val="00076C29"/>
    <w:rsid w:val="00076C4D"/>
    <w:rsid w:val="00076CE7"/>
    <w:rsid w:val="00076F19"/>
    <w:rsid w:val="000770AE"/>
    <w:rsid w:val="000770E1"/>
    <w:rsid w:val="0007711C"/>
    <w:rsid w:val="00077180"/>
    <w:rsid w:val="000771C2"/>
    <w:rsid w:val="000771CA"/>
    <w:rsid w:val="0007721C"/>
    <w:rsid w:val="0007723E"/>
    <w:rsid w:val="000772B6"/>
    <w:rsid w:val="00077360"/>
    <w:rsid w:val="00077375"/>
    <w:rsid w:val="0007746E"/>
    <w:rsid w:val="00077595"/>
    <w:rsid w:val="00077598"/>
    <w:rsid w:val="000775EA"/>
    <w:rsid w:val="00077658"/>
    <w:rsid w:val="0007765C"/>
    <w:rsid w:val="000776D8"/>
    <w:rsid w:val="0007787C"/>
    <w:rsid w:val="000778A6"/>
    <w:rsid w:val="000778FC"/>
    <w:rsid w:val="00077963"/>
    <w:rsid w:val="00077A38"/>
    <w:rsid w:val="00077A3A"/>
    <w:rsid w:val="00077AD9"/>
    <w:rsid w:val="00077BAB"/>
    <w:rsid w:val="00077CB1"/>
    <w:rsid w:val="00077D3E"/>
    <w:rsid w:val="00077D85"/>
    <w:rsid w:val="00077D8A"/>
    <w:rsid w:val="00077E31"/>
    <w:rsid w:val="00077E32"/>
    <w:rsid w:val="00077E3A"/>
    <w:rsid w:val="00077F64"/>
    <w:rsid w:val="00080034"/>
    <w:rsid w:val="0008011C"/>
    <w:rsid w:val="000801B4"/>
    <w:rsid w:val="000801B5"/>
    <w:rsid w:val="000802AB"/>
    <w:rsid w:val="00080326"/>
    <w:rsid w:val="00080332"/>
    <w:rsid w:val="000803B0"/>
    <w:rsid w:val="000803B8"/>
    <w:rsid w:val="000804B7"/>
    <w:rsid w:val="0008071E"/>
    <w:rsid w:val="0008081B"/>
    <w:rsid w:val="000809E0"/>
    <w:rsid w:val="000809E3"/>
    <w:rsid w:val="00080A6E"/>
    <w:rsid w:val="00080A90"/>
    <w:rsid w:val="00080AB4"/>
    <w:rsid w:val="00080C2C"/>
    <w:rsid w:val="00080C48"/>
    <w:rsid w:val="00080C7E"/>
    <w:rsid w:val="00080CEF"/>
    <w:rsid w:val="00080DD0"/>
    <w:rsid w:val="00080E31"/>
    <w:rsid w:val="00080EAF"/>
    <w:rsid w:val="00080EBF"/>
    <w:rsid w:val="00080EFE"/>
    <w:rsid w:val="00080FFC"/>
    <w:rsid w:val="00081250"/>
    <w:rsid w:val="00081432"/>
    <w:rsid w:val="00081434"/>
    <w:rsid w:val="00081470"/>
    <w:rsid w:val="0008155B"/>
    <w:rsid w:val="000815F4"/>
    <w:rsid w:val="00081640"/>
    <w:rsid w:val="000816D0"/>
    <w:rsid w:val="0008176C"/>
    <w:rsid w:val="000817C4"/>
    <w:rsid w:val="000817EC"/>
    <w:rsid w:val="0008195E"/>
    <w:rsid w:val="000819E4"/>
    <w:rsid w:val="00081A94"/>
    <w:rsid w:val="00081AF0"/>
    <w:rsid w:val="00081C0A"/>
    <w:rsid w:val="00081D4D"/>
    <w:rsid w:val="00081D73"/>
    <w:rsid w:val="00081D8E"/>
    <w:rsid w:val="00081DF0"/>
    <w:rsid w:val="00081E18"/>
    <w:rsid w:val="00081EBA"/>
    <w:rsid w:val="0008203B"/>
    <w:rsid w:val="0008208D"/>
    <w:rsid w:val="000820B9"/>
    <w:rsid w:val="000821E9"/>
    <w:rsid w:val="00082214"/>
    <w:rsid w:val="0008225C"/>
    <w:rsid w:val="000822AA"/>
    <w:rsid w:val="000822AB"/>
    <w:rsid w:val="000822D5"/>
    <w:rsid w:val="00082304"/>
    <w:rsid w:val="00082322"/>
    <w:rsid w:val="0008236A"/>
    <w:rsid w:val="000823AC"/>
    <w:rsid w:val="00082434"/>
    <w:rsid w:val="0008247D"/>
    <w:rsid w:val="000825B5"/>
    <w:rsid w:val="0008264E"/>
    <w:rsid w:val="00082696"/>
    <w:rsid w:val="000826F0"/>
    <w:rsid w:val="00082708"/>
    <w:rsid w:val="00082726"/>
    <w:rsid w:val="00082739"/>
    <w:rsid w:val="00082779"/>
    <w:rsid w:val="000827A0"/>
    <w:rsid w:val="00082809"/>
    <w:rsid w:val="000828E1"/>
    <w:rsid w:val="00082957"/>
    <w:rsid w:val="000829A9"/>
    <w:rsid w:val="00082A95"/>
    <w:rsid w:val="00082AA3"/>
    <w:rsid w:val="00082B52"/>
    <w:rsid w:val="00082B86"/>
    <w:rsid w:val="00082D06"/>
    <w:rsid w:val="00082D93"/>
    <w:rsid w:val="00082DD5"/>
    <w:rsid w:val="00082DFB"/>
    <w:rsid w:val="00082E0E"/>
    <w:rsid w:val="00082E81"/>
    <w:rsid w:val="00082EDC"/>
    <w:rsid w:val="00082F43"/>
    <w:rsid w:val="00082FE2"/>
    <w:rsid w:val="00083037"/>
    <w:rsid w:val="000830EF"/>
    <w:rsid w:val="000831F1"/>
    <w:rsid w:val="0008336A"/>
    <w:rsid w:val="000834A2"/>
    <w:rsid w:val="00083577"/>
    <w:rsid w:val="00083578"/>
    <w:rsid w:val="000835C4"/>
    <w:rsid w:val="000835E0"/>
    <w:rsid w:val="00083619"/>
    <w:rsid w:val="00083698"/>
    <w:rsid w:val="000836A2"/>
    <w:rsid w:val="000836A6"/>
    <w:rsid w:val="000836C1"/>
    <w:rsid w:val="000836E7"/>
    <w:rsid w:val="000837AD"/>
    <w:rsid w:val="000837E4"/>
    <w:rsid w:val="00083951"/>
    <w:rsid w:val="00083961"/>
    <w:rsid w:val="00083992"/>
    <w:rsid w:val="000839AD"/>
    <w:rsid w:val="00083ABA"/>
    <w:rsid w:val="00083AE8"/>
    <w:rsid w:val="00083B6C"/>
    <w:rsid w:val="00083BA3"/>
    <w:rsid w:val="00083BC5"/>
    <w:rsid w:val="00083C03"/>
    <w:rsid w:val="00083C50"/>
    <w:rsid w:val="00083DF7"/>
    <w:rsid w:val="00083E66"/>
    <w:rsid w:val="00083EA2"/>
    <w:rsid w:val="00083EAE"/>
    <w:rsid w:val="00083F36"/>
    <w:rsid w:val="00084033"/>
    <w:rsid w:val="000840E1"/>
    <w:rsid w:val="00084109"/>
    <w:rsid w:val="00084121"/>
    <w:rsid w:val="00084150"/>
    <w:rsid w:val="0008419A"/>
    <w:rsid w:val="000841C6"/>
    <w:rsid w:val="00084209"/>
    <w:rsid w:val="000842A5"/>
    <w:rsid w:val="00084328"/>
    <w:rsid w:val="00084329"/>
    <w:rsid w:val="00084330"/>
    <w:rsid w:val="000843C9"/>
    <w:rsid w:val="0008445E"/>
    <w:rsid w:val="000844E9"/>
    <w:rsid w:val="00084552"/>
    <w:rsid w:val="000845B0"/>
    <w:rsid w:val="000845E5"/>
    <w:rsid w:val="0008460B"/>
    <w:rsid w:val="0008468B"/>
    <w:rsid w:val="000846E2"/>
    <w:rsid w:val="00084818"/>
    <w:rsid w:val="00084897"/>
    <w:rsid w:val="00084914"/>
    <w:rsid w:val="00084998"/>
    <w:rsid w:val="00084A62"/>
    <w:rsid w:val="00084A74"/>
    <w:rsid w:val="00084B40"/>
    <w:rsid w:val="00084BBF"/>
    <w:rsid w:val="00084BC8"/>
    <w:rsid w:val="00084CA2"/>
    <w:rsid w:val="00084E7C"/>
    <w:rsid w:val="00084EAA"/>
    <w:rsid w:val="00084EBA"/>
    <w:rsid w:val="00084F02"/>
    <w:rsid w:val="00084F05"/>
    <w:rsid w:val="00084F97"/>
    <w:rsid w:val="0008500A"/>
    <w:rsid w:val="00085017"/>
    <w:rsid w:val="000850F6"/>
    <w:rsid w:val="00085132"/>
    <w:rsid w:val="000852B8"/>
    <w:rsid w:val="0008532F"/>
    <w:rsid w:val="000853A1"/>
    <w:rsid w:val="000853FC"/>
    <w:rsid w:val="00085480"/>
    <w:rsid w:val="0008549B"/>
    <w:rsid w:val="00085636"/>
    <w:rsid w:val="0008572D"/>
    <w:rsid w:val="00085777"/>
    <w:rsid w:val="000858E2"/>
    <w:rsid w:val="0008591F"/>
    <w:rsid w:val="0008593D"/>
    <w:rsid w:val="00085992"/>
    <w:rsid w:val="00085A11"/>
    <w:rsid w:val="00085A2B"/>
    <w:rsid w:val="00085A3D"/>
    <w:rsid w:val="00085A46"/>
    <w:rsid w:val="00085A7C"/>
    <w:rsid w:val="00085A95"/>
    <w:rsid w:val="00085B0E"/>
    <w:rsid w:val="00085B35"/>
    <w:rsid w:val="00085BE2"/>
    <w:rsid w:val="00085CA3"/>
    <w:rsid w:val="00085D02"/>
    <w:rsid w:val="00085D98"/>
    <w:rsid w:val="00085DAD"/>
    <w:rsid w:val="00085DB2"/>
    <w:rsid w:val="00085EA2"/>
    <w:rsid w:val="00085EC4"/>
    <w:rsid w:val="00085EC6"/>
    <w:rsid w:val="00085F38"/>
    <w:rsid w:val="00085F5C"/>
    <w:rsid w:val="00086226"/>
    <w:rsid w:val="00086275"/>
    <w:rsid w:val="000862CC"/>
    <w:rsid w:val="00086314"/>
    <w:rsid w:val="0008653E"/>
    <w:rsid w:val="000865A9"/>
    <w:rsid w:val="00086607"/>
    <w:rsid w:val="0008666B"/>
    <w:rsid w:val="000866A6"/>
    <w:rsid w:val="0008677F"/>
    <w:rsid w:val="000867B7"/>
    <w:rsid w:val="000867ED"/>
    <w:rsid w:val="00086894"/>
    <w:rsid w:val="00086988"/>
    <w:rsid w:val="00086A3B"/>
    <w:rsid w:val="00086A9C"/>
    <w:rsid w:val="00086B18"/>
    <w:rsid w:val="00086B30"/>
    <w:rsid w:val="00086BEE"/>
    <w:rsid w:val="00086C0E"/>
    <w:rsid w:val="00086C23"/>
    <w:rsid w:val="00086CF7"/>
    <w:rsid w:val="00086D59"/>
    <w:rsid w:val="00086D70"/>
    <w:rsid w:val="00086D79"/>
    <w:rsid w:val="00086D83"/>
    <w:rsid w:val="00086EB2"/>
    <w:rsid w:val="00086ECB"/>
    <w:rsid w:val="00086EF7"/>
    <w:rsid w:val="00086F5F"/>
    <w:rsid w:val="00086F8F"/>
    <w:rsid w:val="00086FA1"/>
    <w:rsid w:val="000870AE"/>
    <w:rsid w:val="00087241"/>
    <w:rsid w:val="000872AC"/>
    <w:rsid w:val="000873D7"/>
    <w:rsid w:val="000873F2"/>
    <w:rsid w:val="00087898"/>
    <w:rsid w:val="000878BE"/>
    <w:rsid w:val="000878D1"/>
    <w:rsid w:val="00087900"/>
    <w:rsid w:val="000879AA"/>
    <w:rsid w:val="00087B40"/>
    <w:rsid w:val="00087BE7"/>
    <w:rsid w:val="00087BE9"/>
    <w:rsid w:val="00087CE3"/>
    <w:rsid w:val="00087D4A"/>
    <w:rsid w:val="00087D5E"/>
    <w:rsid w:val="00087D69"/>
    <w:rsid w:val="00087D86"/>
    <w:rsid w:val="00087DAB"/>
    <w:rsid w:val="00087DB6"/>
    <w:rsid w:val="00087DCE"/>
    <w:rsid w:val="00087EAD"/>
    <w:rsid w:val="00087ED8"/>
    <w:rsid w:val="00089AD9"/>
    <w:rsid w:val="000900D3"/>
    <w:rsid w:val="000900EC"/>
    <w:rsid w:val="00090136"/>
    <w:rsid w:val="000902B7"/>
    <w:rsid w:val="000902C8"/>
    <w:rsid w:val="000902F7"/>
    <w:rsid w:val="00090305"/>
    <w:rsid w:val="0009046D"/>
    <w:rsid w:val="000904C7"/>
    <w:rsid w:val="000904F6"/>
    <w:rsid w:val="00090586"/>
    <w:rsid w:val="000905FE"/>
    <w:rsid w:val="000906BD"/>
    <w:rsid w:val="00090747"/>
    <w:rsid w:val="00090764"/>
    <w:rsid w:val="0009090F"/>
    <w:rsid w:val="000909A4"/>
    <w:rsid w:val="00090BD6"/>
    <w:rsid w:val="00090BFB"/>
    <w:rsid w:val="00090C3B"/>
    <w:rsid w:val="00090CAE"/>
    <w:rsid w:val="00090DCE"/>
    <w:rsid w:val="00090E36"/>
    <w:rsid w:val="00090F13"/>
    <w:rsid w:val="00090F91"/>
    <w:rsid w:val="0009105F"/>
    <w:rsid w:val="0009108E"/>
    <w:rsid w:val="00091166"/>
    <w:rsid w:val="00091408"/>
    <w:rsid w:val="00091443"/>
    <w:rsid w:val="00091667"/>
    <w:rsid w:val="00091736"/>
    <w:rsid w:val="000917B8"/>
    <w:rsid w:val="00091812"/>
    <w:rsid w:val="0009181C"/>
    <w:rsid w:val="00091965"/>
    <w:rsid w:val="00091995"/>
    <w:rsid w:val="000919AB"/>
    <w:rsid w:val="00091A7A"/>
    <w:rsid w:val="00091A80"/>
    <w:rsid w:val="00091BC4"/>
    <w:rsid w:val="00091BF7"/>
    <w:rsid w:val="00091C00"/>
    <w:rsid w:val="00091C21"/>
    <w:rsid w:val="00091CCA"/>
    <w:rsid w:val="00091D0A"/>
    <w:rsid w:val="00091D21"/>
    <w:rsid w:val="00091D83"/>
    <w:rsid w:val="00091DD7"/>
    <w:rsid w:val="00091F28"/>
    <w:rsid w:val="00091F30"/>
    <w:rsid w:val="00091FE0"/>
    <w:rsid w:val="00092019"/>
    <w:rsid w:val="000920A4"/>
    <w:rsid w:val="000921E4"/>
    <w:rsid w:val="00092232"/>
    <w:rsid w:val="00092259"/>
    <w:rsid w:val="000922AD"/>
    <w:rsid w:val="000922B7"/>
    <w:rsid w:val="000923C9"/>
    <w:rsid w:val="00092446"/>
    <w:rsid w:val="00092474"/>
    <w:rsid w:val="00092708"/>
    <w:rsid w:val="00092785"/>
    <w:rsid w:val="00092796"/>
    <w:rsid w:val="00092885"/>
    <w:rsid w:val="00092894"/>
    <w:rsid w:val="000928AD"/>
    <w:rsid w:val="000929D3"/>
    <w:rsid w:val="00092A6D"/>
    <w:rsid w:val="00092ADF"/>
    <w:rsid w:val="00092AEB"/>
    <w:rsid w:val="00092B36"/>
    <w:rsid w:val="00092BB7"/>
    <w:rsid w:val="00092BFC"/>
    <w:rsid w:val="00092C23"/>
    <w:rsid w:val="00092C2E"/>
    <w:rsid w:val="00092CD5"/>
    <w:rsid w:val="00092D75"/>
    <w:rsid w:val="00092D80"/>
    <w:rsid w:val="00092DCE"/>
    <w:rsid w:val="00092E2F"/>
    <w:rsid w:val="00092E8A"/>
    <w:rsid w:val="00092EB0"/>
    <w:rsid w:val="00093034"/>
    <w:rsid w:val="00093154"/>
    <w:rsid w:val="00093164"/>
    <w:rsid w:val="000931E0"/>
    <w:rsid w:val="000931E5"/>
    <w:rsid w:val="00093248"/>
    <w:rsid w:val="0009324B"/>
    <w:rsid w:val="00093253"/>
    <w:rsid w:val="00093369"/>
    <w:rsid w:val="000933E7"/>
    <w:rsid w:val="0009344C"/>
    <w:rsid w:val="00093488"/>
    <w:rsid w:val="000934E0"/>
    <w:rsid w:val="00093605"/>
    <w:rsid w:val="0009362A"/>
    <w:rsid w:val="0009371A"/>
    <w:rsid w:val="0009374A"/>
    <w:rsid w:val="000937B0"/>
    <w:rsid w:val="00093803"/>
    <w:rsid w:val="0009394B"/>
    <w:rsid w:val="000939C6"/>
    <w:rsid w:val="00093A43"/>
    <w:rsid w:val="00093B5C"/>
    <w:rsid w:val="00093B87"/>
    <w:rsid w:val="00093C2B"/>
    <w:rsid w:val="00093C3E"/>
    <w:rsid w:val="00093C9D"/>
    <w:rsid w:val="00093D28"/>
    <w:rsid w:val="00093E04"/>
    <w:rsid w:val="00093E46"/>
    <w:rsid w:val="00093E50"/>
    <w:rsid w:val="00093FA9"/>
    <w:rsid w:val="00093FCC"/>
    <w:rsid w:val="000940E2"/>
    <w:rsid w:val="000940E6"/>
    <w:rsid w:val="0009414D"/>
    <w:rsid w:val="00094179"/>
    <w:rsid w:val="00094194"/>
    <w:rsid w:val="00094262"/>
    <w:rsid w:val="00094266"/>
    <w:rsid w:val="0009431F"/>
    <w:rsid w:val="000944B8"/>
    <w:rsid w:val="000944D8"/>
    <w:rsid w:val="00094574"/>
    <w:rsid w:val="000946A8"/>
    <w:rsid w:val="0009475F"/>
    <w:rsid w:val="000947B7"/>
    <w:rsid w:val="000947B9"/>
    <w:rsid w:val="000947F6"/>
    <w:rsid w:val="000948A2"/>
    <w:rsid w:val="00094925"/>
    <w:rsid w:val="000949FD"/>
    <w:rsid w:val="00094A27"/>
    <w:rsid w:val="00094A3D"/>
    <w:rsid w:val="00094A6D"/>
    <w:rsid w:val="00094AA1"/>
    <w:rsid w:val="00094B14"/>
    <w:rsid w:val="00094B2D"/>
    <w:rsid w:val="00094C54"/>
    <w:rsid w:val="00094CC8"/>
    <w:rsid w:val="00094F85"/>
    <w:rsid w:val="000950FB"/>
    <w:rsid w:val="0009511A"/>
    <w:rsid w:val="00095172"/>
    <w:rsid w:val="000951C5"/>
    <w:rsid w:val="00095245"/>
    <w:rsid w:val="0009527F"/>
    <w:rsid w:val="000952A3"/>
    <w:rsid w:val="000952B0"/>
    <w:rsid w:val="00095374"/>
    <w:rsid w:val="000953B2"/>
    <w:rsid w:val="000953B7"/>
    <w:rsid w:val="00095695"/>
    <w:rsid w:val="000956EE"/>
    <w:rsid w:val="0009577E"/>
    <w:rsid w:val="00095791"/>
    <w:rsid w:val="000957C8"/>
    <w:rsid w:val="00095A03"/>
    <w:rsid w:val="00095BF1"/>
    <w:rsid w:val="00095BF8"/>
    <w:rsid w:val="00095C4C"/>
    <w:rsid w:val="00095D92"/>
    <w:rsid w:val="00095DA5"/>
    <w:rsid w:val="00095DDD"/>
    <w:rsid w:val="00095E01"/>
    <w:rsid w:val="00095FA3"/>
    <w:rsid w:val="00095FC7"/>
    <w:rsid w:val="00096009"/>
    <w:rsid w:val="0009602B"/>
    <w:rsid w:val="0009629A"/>
    <w:rsid w:val="000964E8"/>
    <w:rsid w:val="000964F4"/>
    <w:rsid w:val="0009654D"/>
    <w:rsid w:val="00096688"/>
    <w:rsid w:val="000969F6"/>
    <w:rsid w:val="00096A20"/>
    <w:rsid w:val="00096A80"/>
    <w:rsid w:val="00096A84"/>
    <w:rsid w:val="00096B66"/>
    <w:rsid w:val="00096C29"/>
    <w:rsid w:val="00096C4F"/>
    <w:rsid w:val="00096C53"/>
    <w:rsid w:val="00096D63"/>
    <w:rsid w:val="00096DEC"/>
    <w:rsid w:val="00096E3C"/>
    <w:rsid w:val="00096E98"/>
    <w:rsid w:val="00096EDC"/>
    <w:rsid w:val="00096F2E"/>
    <w:rsid w:val="00096FF0"/>
    <w:rsid w:val="00096FF2"/>
    <w:rsid w:val="00097136"/>
    <w:rsid w:val="0009714D"/>
    <w:rsid w:val="00097309"/>
    <w:rsid w:val="00097312"/>
    <w:rsid w:val="00097339"/>
    <w:rsid w:val="0009734F"/>
    <w:rsid w:val="00097421"/>
    <w:rsid w:val="000975AA"/>
    <w:rsid w:val="000976E4"/>
    <w:rsid w:val="00097705"/>
    <w:rsid w:val="0009774D"/>
    <w:rsid w:val="00097750"/>
    <w:rsid w:val="0009775D"/>
    <w:rsid w:val="00097780"/>
    <w:rsid w:val="000977C5"/>
    <w:rsid w:val="00097B49"/>
    <w:rsid w:val="00097BFF"/>
    <w:rsid w:val="00097C0C"/>
    <w:rsid w:val="00097C4F"/>
    <w:rsid w:val="00097CD9"/>
    <w:rsid w:val="00097D0C"/>
    <w:rsid w:val="00097D53"/>
    <w:rsid w:val="00097D6D"/>
    <w:rsid w:val="00097DE5"/>
    <w:rsid w:val="00097EEE"/>
    <w:rsid w:val="00097F27"/>
    <w:rsid w:val="00097F58"/>
    <w:rsid w:val="00097F59"/>
    <w:rsid w:val="00097FAF"/>
    <w:rsid w:val="00097FDF"/>
    <w:rsid w:val="000A0022"/>
    <w:rsid w:val="000A0023"/>
    <w:rsid w:val="000A004C"/>
    <w:rsid w:val="000A0085"/>
    <w:rsid w:val="000A00ED"/>
    <w:rsid w:val="000A01EA"/>
    <w:rsid w:val="000A033D"/>
    <w:rsid w:val="000A045B"/>
    <w:rsid w:val="000A0460"/>
    <w:rsid w:val="000A047F"/>
    <w:rsid w:val="000A0482"/>
    <w:rsid w:val="000A04CE"/>
    <w:rsid w:val="000A04DF"/>
    <w:rsid w:val="000A054F"/>
    <w:rsid w:val="000A06B5"/>
    <w:rsid w:val="000A06D9"/>
    <w:rsid w:val="000A06EE"/>
    <w:rsid w:val="000A0747"/>
    <w:rsid w:val="000A0806"/>
    <w:rsid w:val="000A0A84"/>
    <w:rsid w:val="000A0AA6"/>
    <w:rsid w:val="000A0AAD"/>
    <w:rsid w:val="000A0B48"/>
    <w:rsid w:val="000A0BD3"/>
    <w:rsid w:val="000A0BD9"/>
    <w:rsid w:val="000A0C69"/>
    <w:rsid w:val="000A0CAB"/>
    <w:rsid w:val="000A0D1D"/>
    <w:rsid w:val="000A0EAD"/>
    <w:rsid w:val="000A0F33"/>
    <w:rsid w:val="000A0FE8"/>
    <w:rsid w:val="000A1049"/>
    <w:rsid w:val="000A1059"/>
    <w:rsid w:val="000A1145"/>
    <w:rsid w:val="000A115F"/>
    <w:rsid w:val="000A11B4"/>
    <w:rsid w:val="000A11BB"/>
    <w:rsid w:val="000A124F"/>
    <w:rsid w:val="000A1253"/>
    <w:rsid w:val="000A12D4"/>
    <w:rsid w:val="000A1312"/>
    <w:rsid w:val="000A1317"/>
    <w:rsid w:val="000A1322"/>
    <w:rsid w:val="000A133E"/>
    <w:rsid w:val="000A13C3"/>
    <w:rsid w:val="000A13F2"/>
    <w:rsid w:val="000A1420"/>
    <w:rsid w:val="000A1475"/>
    <w:rsid w:val="000A1489"/>
    <w:rsid w:val="000A154B"/>
    <w:rsid w:val="000A164C"/>
    <w:rsid w:val="000A167E"/>
    <w:rsid w:val="000A1693"/>
    <w:rsid w:val="000A17ED"/>
    <w:rsid w:val="000A1910"/>
    <w:rsid w:val="000A19A5"/>
    <w:rsid w:val="000A19B6"/>
    <w:rsid w:val="000A19D4"/>
    <w:rsid w:val="000A1AD5"/>
    <w:rsid w:val="000A1B6E"/>
    <w:rsid w:val="000A1C81"/>
    <w:rsid w:val="000A1CC8"/>
    <w:rsid w:val="000A1DFE"/>
    <w:rsid w:val="000A1E00"/>
    <w:rsid w:val="000A1E82"/>
    <w:rsid w:val="000A1FBD"/>
    <w:rsid w:val="000A1FF0"/>
    <w:rsid w:val="000A1FFE"/>
    <w:rsid w:val="000A2057"/>
    <w:rsid w:val="000A2081"/>
    <w:rsid w:val="000A21B4"/>
    <w:rsid w:val="000A21B5"/>
    <w:rsid w:val="000A2355"/>
    <w:rsid w:val="000A244D"/>
    <w:rsid w:val="000A2471"/>
    <w:rsid w:val="000A250A"/>
    <w:rsid w:val="000A26A9"/>
    <w:rsid w:val="000A26BE"/>
    <w:rsid w:val="000A26E9"/>
    <w:rsid w:val="000A2854"/>
    <w:rsid w:val="000A2892"/>
    <w:rsid w:val="000A28D6"/>
    <w:rsid w:val="000A2989"/>
    <w:rsid w:val="000A29B1"/>
    <w:rsid w:val="000A29BC"/>
    <w:rsid w:val="000A2D43"/>
    <w:rsid w:val="000A2D83"/>
    <w:rsid w:val="000A2DE4"/>
    <w:rsid w:val="000A2F04"/>
    <w:rsid w:val="000A2FCF"/>
    <w:rsid w:val="000A3075"/>
    <w:rsid w:val="000A30B7"/>
    <w:rsid w:val="000A31EF"/>
    <w:rsid w:val="000A3242"/>
    <w:rsid w:val="000A33D4"/>
    <w:rsid w:val="000A33DC"/>
    <w:rsid w:val="000A3449"/>
    <w:rsid w:val="000A347E"/>
    <w:rsid w:val="000A348B"/>
    <w:rsid w:val="000A34B0"/>
    <w:rsid w:val="000A34EA"/>
    <w:rsid w:val="000A3595"/>
    <w:rsid w:val="000A3618"/>
    <w:rsid w:val="000A3651"/>
    <w:rsid w:val="000A365E"/>
    <w:rsid w:val="000A367C"/>
    <w:rsid w:val="000A370B"/>
    <w:rsid w:val="000A3776"/>
    <w:rsid w:val="000A380E"/>
    <w:rsid w:val="000A3823"/>
    <w:rsid w:val="000A38FB"/>
    <w:rsid w:val="000A3B66"/>
    <w:rsid w:val="000A3B98"/>
    <w:rsid w:val="000A3C23"/>
    <w:rsid w:val="000A3C6B"/>
    <w:rsid w:val="000A3C84"/>
    <w:rsid w:val="000A3C87"/>
    <w:rsid w:val="000A3CA4"/>
    <w:rsid w:val="000A3CEF"/>
    <w:rsid w:val="000A3D2F"/>
    <w:rsid w:val="000A3D4C"/>
    <w:rsid w:val="000A3DB0"/>
    <w:rsid w:val="000A3E37"/>
    <w:rsid w:val="000A3FDB"/>
    <w:rsid w:val="000A3FFA"/>
    <w:rsid w:val="000A4099"/>
    <w:rsid w:val="000A40D0"/>
    <w:rsid w:val="000A4171"/>
    <w:rsid w:val="000A41FE"/>
    <w:rsid w:val="000A426B"/>
    <w:rsid w:val="000A43FD"/>
    <w:rsid w:val="000A4485"/>
    <w:rsid w:val="000A454B"/>
    <w:rsid w:val="000A456A"/>
    <w:rsid w:val="000A45DE"/>
    <w:rsid w:val="000A466B"/>
    <w:rsid w:val="000A46AE"/>
    <w:rsid w:val="000A46F4"/>
    <w:rsid w:val="000A474F"/>
    <w:rsid w:val="000A478C"/>
    <w:rsid w:val="000A483E"/>
    <w:rsid w:val="000A4863"/>
    <w:rsid w:val="000A4920"/>
    <w:rsid w:val="000A4C24"/>
    <w:rsid w:val="000A4C8D"/>
    <w:rsid w:val="000A4DDF"/>
    <w:rsid w:val="000A4E0B"/>
    <w:rsid w:val="000A4E35"/>
    <w:rsid w:val="000A4F5D"/>
    <w:rsid w:val="000A5072"/>
    <w:rsid w:val="000A507E"/>
    <w:rsid w:val="000A50C5"/>
    <w:rsid w:val="000A5121"/>
    <w:rsid w:val="000A5267"/>
    <w:rsid w:val="000A52C1"/>
    <w:rsid w:val="000A52E5"/>
    <w:rsid w:val="000A5390"/>
    <w:rsid w:val="000A53DF"/>
    <w:rsid w:val="000A54E6"/>
    <w:rsid w:val="000A5537"/>
    <w:rsid w:val="000A5665"/>
    <w:rsid w:val="000A57AF"/>
    <w:rsid w:val="000A57C5"/>
    <w:rsid w:val="000A5864"/>
    <w:rsid w:val="000A58AB"/>
    <w:rsid w:val="000A5979"/>
    <w:rsid w:val="000A59B1"/>
    <w:rsid w:val="000A59D2"/>
    <w:rsid w:val="000A5A4E"/>
    <w:rsid w:val="000A5A75"/>
    <w:rsid w:val="000A5A8D"/>
    <w:rsid w:val="000A5B00"/>
    <w:rsid w:val="000A5CDD"/>
    <w:rsid w:val="000A5D0A"/>
    <w:rsid w:val="000A5DC3"/>
    <w:rsid w:val="000A5DF3"/>
    <w:rsid w:val="000A5E24"/>
    <w:rsid w:val="000A5E58"/>
    <w:rsid w:val="000A5E61"/>
    <w:rsid w:val="000A5ED4"/>
    <w:rsid w:val="000A5F55"/>
    <w:rsid w:val="000A5F7A"/>
    <w:rsid w:val="000A5FF5"/>
    <w:rsid w:val="000A602A"/>
    <w:rsid w:val="000A6037"/>
    <w:rsid w:val="000A604E"/>
    <w:rsid w:val="000A61D8"/>
    <w:rsid w:val="000A61E4"/>
    <w:rsid w:val="000A6208"/>
    <w:rsid w:val="000A6240"/>
    <w:rsid w:val="000A624F"/>
    <w:rsid w:val="000A62F6"/>
    <w:rsid w:val="000A62F8"/>
    <w:rsid w:val="000A6408"/>
    <w:rsid w:val="000A6478"/>
    <w:rsid w:val="000A6482"/>
    <w:rsid w:val="000A64A3"/>
    <w:rsid w:val="000A656E"/>
    <w:rsid w:val="000A65E3"/>
    <w:rsid w:val="000A65FA"/>
    <w:rsid w:val="000A662C"/>
    <w:rsid w:val="000A6653"/>
    <w:rsid w:val="000A66CA"/>
    <w:rsid w:val="000A67B5"/>
    <w:rsid w:val="000A6A21"/>
    <w:rsid w:val="000A6AD4"/>
    <w:rsid w:val="000A6BC8"/>
    <w:rsid w:val="000A6C31"/>
    <w:rsid w:val="000A6CC9"/>
    <w:rsid w:val="000A6F26"/>
    <w:rsid w:val="000A6F64"/>
    <w:rsid w:val="000A6F86"/>
    <w:rsid w:val="000A6FB1"/>
    <w:rsid w:val="000A70BD"/>
    <w:rsid w:val="000A712E"/>
    <w:rsid w:val="000A7201"/>
    <w:rsid w:val="000A722B"/>
    <w:rsid w:val="000A727E"/>
    <w:rsid w:val="000A72C8"/>
    <w:rsid w:val="000A73A1"/>
    <w:rsid w:val="000A73BD"/>
    <w:rsid w:val="000A73D8"/>
    <w:rsid w:val="000A746B"/>
    <w:rsid w:val="000A74E8"/>
    <w:rsid w:val="000A7593"/>
    <w:rsid w:val="000A75AD"/>
    <w:rsid w:val="000A75B2"/>
    <w:rsid w:val="000A75F4"/>
    <w:rsid w:val="000A7691"/>
    <w:rsid w:val="000A7711"/>
    <w:rsid w:val="000A7754"/>
    <w:rsid w:val="000A77E6"/>
    <w:rsid w:val="000A78AC"/>
    <w:rsid w:val="000A7960"/>
    <w:rsid w:val="000A7A0E"/>
    <w:rsid w:val="000A7BD5"/>
    <w:rsid w:val="000A7C8B"/>
    <w:rsid w:val="000A7D7D"/>
    <w:rsid w:val="000A7E33"/>
    <w:rsid w:val="000A7F4F"/>
    <w:rsid w:val="000B006C"/>
    <w:rsid w:val="000B00FF"/>
    <w:rsid w:val="000B0190"/>
    <w:rsid w:val="000B01C4"/>
    <w:rsid w:val="000B024C"/>
    <w:rsid w:val="000B0390"/>
    <w:rsid w:val="000B03B2"/>
    <w:rsid w:val="000B03DE"/>
    <w:rsid w:val="000B03E1"/>
    <w:rsid w:val="000B0440"/>
    <w:rsid w:val="000B0447"/>
    <w:rsid w:val="000B0458"/>
    <w:rsid w:val="000B055D"/>
    <w:rsid w:val="000B05AC"/>
    <w:rsid w:val="000B0789"/>
    <w:rsid w:val="000B07C3"/>
    <w:rsid w:val="000B08FA"/>
    <w:rsid w:val="000B0929"/>
    <w:rsid w:val="000B0961"/>
    <w:rsid w:val="000B0965"/>
    <w:rsid w:val="000B0A6F"/>
    <w:rsid w:val="000B0B76"/>
    <w:rsid w:val="000B0B85"/>
    <w:rsid w:val="000B0C05"/>
    <w:rsid w:val="000B0D01"/>
    <w:rsid w:val="000B0D1D"/>
    <w:rsid w:val="000B0D60"/>
    <w:rsid w:val="000B0DAF"/>
    <w:rsid w:val="000B0DB6"/>
    <w:rsid w:val="000B0E93"/>
    <w:rsid w:val="000B0F74"/>
    <w:rsid w:val="000B1031"/>
    <w:rsid w:val="000B1033"/>
    <w:rsid w:val="000B10BE"/>
    <w:rsid w:val="000B1163"/>
    <w:rsid w:val="000B11E7"/>
    <w:rsid w:val="000B11F8"/>
    <w:rsid w:val="000B1230"/>
    <w:rsid w:val="000B126F"/>
    <w:rsid w:val="000B1457"/>
    <w:rsid w:val="000B14EB"/>
    <w:rsid w:val="000B14F1"/>
    <w:rsid w:val="000B15AC"/>
    <w:rsid w:val="000B15C1"/>
    <w:rsid w:val="000B165B"/>
    <w:rsid w:val="000B1717"/>
    <w:rsid w:val="000B1787"/>
    <w:rsid w:val="000B17F8"/>
    <w:rsid w:val="000B189E"/>
    <w:rsid w:val="000B18D6"/>
    <w:rsid w:val="000B19FB"/>
    <w:rsid w:val="000B1AE9"/>
    <w:rsid w:val="000B1AFB"/>
    <w:rsid w:val="000B1B4C"/>
    <w:rsid w:val="000B1B9D"/>
    <w:rsid w:val="000B1CFB"/>
    <w:rsid w:val="000B1E55"/>
    <w:rsid w:val="000B1E74"/>
    <w:rsid w:val="000B1E9E"/>
    <w:rsid w:val="000B1EFE"/>
    <w:rsid w:val="000B2033"/>
    <w:rsid w:val="000B2034"/>
    <w:rsid w:val="000B20B7"/>
    <w:rsid w:val="000B2113"/>
    <w:rsid w:val="000B2124"/>
    <w:rsid w:val="000B215F"/>
    <w:rsid w:val="000B21A5"/>
    <w:rsid w:val="000B21B4"/>
    <w:rsid w:val="000B21BB"/>
    <w:rsid w:val="000B21C7"/>
    <w:rsid w:val="000B221A"/>
    <w:rsid w:val="000B2459"/>
    <w:rsid w:val="000B2621"/>
    <w:rsid w:val="000B2698"/>
    <w:rsid w:val="000B2708"/>
    <w:rsid w:val="000B279B"/>
    <w:rsid w:val="000B27AE"/>
    <w:rsid w:val="000B27CD"/>
    <w:rsid w:val="000B28F7"/>
    <w:rsid w:val="000B2975"/>
    <w:rsid w:val="000B29CB"/>
    <w:rsid w:val="000B29DD"/>
    <w:rsid w:val="000B2A93"/>
    <w:rsid w:val="000B2B47"/>
    <w:rsid w:val="000B2BFB"/>
    <w:rsid w:val="000B2C6E"/>
    <w:rsid w:val="000B2CE3"/>
    <w:rsid w:val="000B2D58"/>
    <w:rsid w:val="000B2DAB"/>
    <w:rsid w:val="000B2DD5"/>
    <w:rsid w:val="000B2E06"/>
    <w:rsid w:val="000B2E5A"/>
    <w:rsid w:val="000B2ED4"/>
    <w:rsid w:val="000B2EF1"/>
    <w:rsid w:val="000B2F62"/>
    <w:rsid w:val="000B2FEE"/>
    <w:rsid w:val="000B305B"/>
    <w:rsid w:val="000B3113"/>
    <w:rsid w:val="000B3129"/>
    <w:rsid w:val="000B3286"/>
    <w:rsid w:val="000B32AE"/>
    <w:rsid w:val="000B34D5"/>
    <w:rsid w:val="000B3521"/>
    <w:rsid w:val="000B3532"/>
    <w:rsid w:val="000B354E"/>
    <w:rsid w:val="000B3635"/>
    <w:rsid w:val="000B36FD"/>
    <w:rsid w:val="000B38CF"/>
    <w:rsid w:val="000B39D3"/>
    <w:rsid w:val="000B3AA0"/>
    <w:rsid w:val="000B3AF6"/>
    <w:rsid w:val="000B3BBB"/>
    <w:rsid w:val="000B3C08"/>
    <w:rsid w:val="000B3C39"/>
    <w:rsid w:val="000B3C7D"/>
    <w:rsid w:val="000B3D8D"/>
    <w:rsid w:val="000B3E98"/>
    <w:rsid w:val="000B3F51"/>
    <w:rsid w:val="000B3F5C"/>
    <w:rsid w:val="000B3F60"/>
    <w:rsid w:val="000B3F78"/>
    <w:rsid w:val="000B3F93"/>
    <w:rsid w:val="000B3FC4"/>
    <w:rsid w:val="000B4005"/>
    <w:rsid w:val="000B401F"/>
    <w:rsid w:val="000B402A"/>
    <w:rsid w:val="000B4093"/>
    <w:rsid w:val="000B40F1"/>
    <w:rsid w:val="000B41A1"/>
    <w:rsid w:val="000B424D"/>
    <w:rsid w:val="000B42A1"/>
    <w:rsid w:val="000B43B8"/>
    <w:rsid w:val="000B4449"/>
    <w:rsid w:val="000B44A2"/>
    <w:rsid w:val="000B4594"/>
    <w:rsid w:val="000B45BF"/>
    <w:rsid w:val="000B45C9"/>
    <w:rsid w:val="000B46F6"/>
    <w:rsid w:val="000B470B"/>
    <w:rsid w:val="000B473E"/>
    <w:rsid w:val="000B47CF"/>
    <w:rsid w:val="000B487C"/>
    <w:rsid w:val="000B489B"/>
    <w:rsid w:val="000B48BC"/>
    <w:rsid w:val="000B4940"/>
    <w:rsid w:val="000B4991"/>
    <w:rsid w:val="000B4A2C"/>
    <w:rsid w:val="000B4ADB"/>
    <w:rsid w:val="000B4D17"/>
    <w:rsid w:val="000B4E1A"/>
    <w:rsid w:val="000B4E2F"/>
    <w:rsid w:val="000B4FB1"/>
    <w:rsid w:val="000B504B"/>
    <w:rsid w:val="000B505A"/>
    <w:rsid w:val="000B505E"/>
    <w:rsid w:val="000B5078"/>
    <w:rsid w:val="000B512C"/>
    <w:rsid w:val="000B5172"/>
    <w:rsid w:val="000B51A0"/>
    <w:rsid w:val="000B51AE"/>
    <w:rsid w:val="000B51DA"/>
    <w:rsid w:val="000B51EA"/>
    <w:rsid w:val="000B53A7"/>
    <w:rsid w:val="000B5491"/>
    <w:rsid w:val="000B54A1"/>
    <w:rsid w:val="000B54B6"/>
    <w:rsid w:val="000B54F9"/>
    <w:rsid w:val="000B5507"/>
    <w:rsid w:val="000B57AB"/>
    <w:rsid w:val="000B5835"/>
    <w:rsid w:val="000B5906"/>
    <w:rsid w:val="000B5AD5"/>
    <w:rsid w:val="000B5BA3"/>
    <w:rsid w:val="000B5BE1"/>
    <w:rsid w:val="000B5BED"/>
    <w:rsid w:val="000B5CF6"/>
    <w:rsid w:val="000B5DD3"/>
    <w:rsid w:val="000B5DE1"/>
    <w:rsid w:val="000B5E27"/>
    <w:rsid w:val="000B5E90"/>
    <w:rsid w:val="000B5EA2"/>
    <w:rsid w:val="000B5F11"/>
    <w:rsid w:val="000B5F93"/>
    <w:rsid w:val="000B5FCB"/>
    <w:rsid w:val="000B6075"/>
    <w:rsid w:val="000B60EB"/>
    <w:rsid w:val="000B6472"/>
    <w:rsid w:val="000B6493"/>
    <w:rsid w:val="000B6676"/>
    <w:rsid w:val="000B6783"/>
    <w:rsid w:val="000B689F"/>
    <w:rsid w:val="000B68F7"/>
    <w:rsid w:val="000B6918"/>
    <w:rsid w:val="000B692D"/>
    <w:rsid w:val="000B694F"/>
    <w:rsid w:val="000B6A86"/>
    <w:rsid w:val="000B6AED"/>
    <w:rsid w:val="000B6B13"/>
    <w:rsid w:val="000B6B60"/>
    <w:rsid w:val="000B6BAA"/>
    <w:rsid w:val="000B6C51"/>
    <w:rsid w:val="000B6CFE"/>
    <w:rsid w:val="000B6D69"/>
    <w:rsid w:val="000B6E7E"/>
    <w:rsid w:val="000B7086"/>
    <w:rsid w:val="000B70D2"/>
    <w:rsid w:val="000B7168"/>
    <w:rsid w:val="000B7258"/>
    <w:rsid w:val="000B7268"/>
    <w:rsid w:val="000B72FC"/>
    <w:rsid w:val="000B730B"/>
    <w:rsid w:val="000B7545"/>
    <w:rsid w:val="000B7564"/>
    <w:rsid w:val="000B7596"/>
    <w:rsid w:val="000B763B"/>
    <w:rsid w:val="000B76C9"/>
    <w:rsid w:val="000B7718"/>
    <w:rsid w:val="000B7B2C"/>
    <w:rsid w:val="000B7B4E"/>
    <w:rsid w:val="000B7BA4"/>
    <w:rsid w:val="000B7C42"/>
    <w:rsid w:val="000B7D64"/>
    <w:rsid w:val="000B7DFC"/>
    <w:rsid w:val="000B7E36"/>
    <w:rsid w:val="000B7F84"/>
    <w:rsid w:val="000B7FEA"/>
    <w:rsid w:val="000C019C"/>
    <w:rsid w:val="000C01A6"/>
    <w:rsid w:val="000C01D4"/>
    <w:rsid w:val="000C0216"/>
    <w:rsid w:val="000C0268"/>
    <w:rsid w:val="000C0354"/>
    <w:rsid w:val="000C035C"/>
    <w:rsid w:val="000C03B4"/>
    <w:rsid w:val="000C03D4"/>
    <w:rsid w:val="000C03EA"/>
    <w:rsid w:val="000C044D"/>
    <w:rsid w:val="000C04F3"/>
    <w:rsid w:val="000C05C2"/>
    <w:rsid w:val="000C05F3"/>
    <w:rsid w:val="000C0744"/>
    <w:rsid w:val="000C07FA"/>
    <w:rsid w:val="000C07FE"/>
    <w:rsid w:val="000C080F"/>
    <w:rsid w:val="000C0A75"/>
    <w:rsid w:val="000C0B65"/>
    <w:rsid w:val="000C0B7D"/>
    <w:rsid w:val="000C0CDF"/>
    <w:rsid w:val="000C0D30"/>
    <w:rsid w:val="000C0DA9"/>
    <w:rsid w:val="000C0E20"/>
    <w:rsid w:val="000C0F2D"/>
    <w:rsid w:val="000C0F8E"/>
    <w:rsid w:val="000C1018"/>
    <w:rsid w:val="000C1066"/>
    <w:rsid w:val="000C108B"/>
    <w:rsid w:val="000C10D6"/>
    <w:rsid w:val="000C1228"/>
    <w:rsid w:val="000C1250"/>
    <w:rsid w:val="000C1314"/>
    <w:rsid w:val="000C13D0"/>
    <w:rsid w:val="000C150F"/>
    <w:rsid w:val="000C152C"/>
    <w:rsid w:val="000C1642"/>
    <w:rsid w:val="000C16E5"/>
    <w:rsid w:val="000C16F8"/>
    <w:rsid w:val="000C1760"/>
    <w:rsid w:val="000C176E"/>
    <w:rsid w:val="000C1986"/>
    <w:rsid w:val="000C19B4"/>
    <w:rsid w:val="000C1A4D"/>
    <w:rsid w:val="000C1ADA"/>
    <w:rsid w:val="000C1AFD"/>
    <w:rsid w:val="000C1C06"/>
    <w:rsid w:val="000C1C08"/>
    <w:rsid w:val="000C1C2D"/>
    <w:rsid w:val="000C1C66"/>
    <w:rsid w:val="000C1D39"/>
    <w:rsid w:val="000C1D45"/>
    <w:rsid w:val="000C1D6A"/>
    <w:rsid w:val="000C1DE3"/>
    <w:rsid w:val="000C1EE0"/>
    <w:rsid w:val="000C1F03"/>
    <w:rsid w:val="000C1F55"/>
    <w:rsid w:val="000C21BB"/>
    <w:rsid w:val="000C236B"/>
    <w:rsid w:val="000C236F"/>
    <w:rsid w:val="000C2489"/>
    <w:rsid w:val="000C24BE"/>
    <w:rsid w:val="000C24D9"/>
    <w:rsid w:val="000C25C6"/>
    <w:rsid w:val="000C26BA"/>
    <w:rsid w:val="000C289A"/>
    <w:rsid w:val="000C28D5"/>
    <w:rsid w:val="000C2951"/>
    <w:rsid w:val="000C29A1"/>
    <w:rsid w:val="000C2A70"/>
    <w:rsid w:val="000C2B73"/>
    <w:rsid w:val="000C2BD7"/>
    <w:rsid w:val="000C2D82"/>
    <w:rsid w:val="000C2D92"/>
    <w:rsid w:val="000C2DC5"/>
    <w:rsid w:val="000C2DD7"/>
    <w:rsid w:val="000C2E3D"/>
    <w:rsid w:val="000C2ECC"/>
    <w:rsid w:val="000C2ED8"/>
    <w:rsid w:val="000C2EE5"/>
    <w:rsid w:val="000C2F43"/>
    <w:rsid w:val="000C301C"/>
    <w:rsid w:val="000C31C5"/>
    <w:rsid w:val="000C31C8"/>
    <w:rsid w:val="000C323C"/>
    <w:rsid w:val="000C3255"/>
    <w:rsid w:val="000C326E"/>
    <w:rsid w:val="000C3378"/>
    <w:rsid w:val="000C3400"/>
    <w:rsid w:val="000C36A6"/>
    <w:rsid w:val="000C36B7"/>
    <w:rsid w:val="000C3750"/>
    <w:rsid w:val="000C375C"/>
    <w:rsid w:val="000C3764"/>
    <w:rsid w:val="000C3779"/>
    <w:rsid w:val="000C37A0"/>
    <w:rsid w:val="000C383D"/>
    <w:rsid w:val="000C38EE"/>
    <w:rsid w:val="000C395E"/>
    <w:rsid w:val="000C3969"/>
    <w:rsid w:val="000C3972"/>
    <w:rsid w:val="000C39C4"/>
    <w:rsid w:val="000C3A2E"/>
    <w:rsid w:val="000C3A35"/>
    <w:rsid w:val="000C3A69"/>
    <w:rsid w:val="000C3B7A"/>
    <w:rsid w:val="000C3C02"/>
    <w:rsid w:val="000C3DDA"/>
    <w:rsid w:val="000C3E02"/>
    <w:rsid w:val="000C3E08"/>
    <w:rsid w:val="000C3EEA"/>
    <w:rsid w:val="000C3F69"/>
    <w:rsid w:val="000C3F71"/>
    <w:rsid w:val="000C40A2"/>
    <w:rsid w:val="000C40A3"/>
    <w:rsid w:val="000C40DC"/>
    <w:rsid w:val="000C4188"/>
    <w:rsid w:val="000C4261"/>
    <w:rsid w:val="000C428A"/>
    <w:rsid w:val="000C4302"/>
    <w:rsid w:val="000C437F"/>
    <w:rsid w:val="000C4433"/>
    <w:rsid w:val="000C445C"/>
    <w:rsid w:val="000C448A"/>
    <w:rsid w:val="000C462E"/>
    <w:rsid w:val="000C466C"/>
    <w:rsid w:val="000C4740"/>
    <w:rsid w:val="000C4784"/>
    <w:rsid w:val="000C48BF"/>
    <w:rsid w:val="000C4956"/>
    <w:rsid w:val="000C4969"/>
    <w:rsid w:val="000C49C9"/>
    <w:rsid w:val="000C4A18"/>
    <w:rsid w:val="000C4A51"/>
    <w:rsid w:val="000C4C29"/>
    <w:rsid w:val="000C4C7E"/>
    <w:rsid w:val="000C4C9B"/>
    <w:rsid w:val="000C4CD9"/>
    <w:rsid w:val="000C509F"/>
    <w:rsid w:val="000C5308"/>
    <w:rsid w:val="000C5422"/>
    <w:rsid w:val="000C5447"/>
    <w:rsid w:val="000C5544"/>
    <w:rsid w:val="000C5595"/>
    <w:rsid w:val="000C5647"/>
    <w:rsid w:val="000C5681"/>
    <w:rsid w:val="000C5694"/>
    <w:rsid w:val="000C5731"/>
    <w:rsid w:val="000C5880"/>
    <w:rsid w:val="000C58A2"/>
    <w:rsid w:val="000C58C8"/>
    <w:rsid w:val="000C595E"/>
    <w:rsid w:val="000C5A2E"/>
    <w:rsid w:val="000C5A33"/>
    <w:rsid w:val="000C5A38"/>
    <w:rsid w:val="000C5A6B"/>
    <w:rsid w:val="000C5AA3"/>
    <w:rsid w:val="000C5B0C"/>
    <w:rsid w:val="000C5C35"/>
    <w:rsid w:val="000C5CB2"/>
    <w:rsid w:val="000C5D6B"/>
    <w:rsid w:val="000C5DD8"/>
    <w:rsid w:val="000C5DEE"/>
    <w:rsid w:val="000C5DF8"/>
    <w:rsid w:val="000C5E12"/>
    <w:rsid w:val="000C5EAA"/>
    <w:rsid w:val="000C5F71"/>
    <w:rsid w:val="000C5FAF"/>
    <w:rsid w:val="000C5FB2"/>
    <w:rsid w:val="000C6122"/>
    <w:rsid w:val="000C614D"/>
    <w:rsid w:val="000C62C0"/>
    <w:rsid w:val="000C63C3"/>
    <w:rsid w:val="000C6463"/>
    <w:rsid w:val="000C64E6"/>
    <w:rsid w:val="000C651C"/>
    <w:rsid w:val="000C657F"/>
    <w:rsid w:val="000C65C5"/>
    <w:rsid w:val="000C65F9"/>
    <w:rsid w:val="000C6649"/>
    <w:rsid w:val="000C6665"/>
    <w:rsid w:val="000C677D"/>
    <w:rsid w:val="000C678C"/>
    <w:rsid w:val="000C679D"/>
    <w:rsid w:val="000C6918"/>
    <w:rsid w:val="000C69AF"/>
    <w:rsid w:val="000C69CC"/>
    <w:rsid w:val="000C6A1E"/>
    <w:rsid w:val="000C6AF8"/>
    <w:rsid w:val="000C6B24"/>
    <w:rsid w:val="000C6B46"/>
    <w:rsid w:val="000C6C28"/>
    <w:rsid w:val="000C6DBF"/>
    <w:rsid w:val="000C6F52"/>
    <w:rsid w:val="000C7015"/>
    <w:rsid w:val="000C7023"/>
    <w:rsid w:val="000C703A"/>
    <w:rsid w:val="000C704A"/>
    <w:rsid w:val="000C70D3"/>
    <w:rsid w:val="000C7113"/>
    <w:rsid w:val="000C7157"/>
    <w:rsid w:val="000C71E4"/>
    <w:rsid w:val="000C7303"/>
    <w:rsid w:val="000C73BF"/>
    <w:rsid w:val="000C73D3"/>
    <w:rsid w:val="000C7402"/>
    <w:rsid w:val="000C753D"/>
    <w:rsid w:val="000C7543"/>
    <w:rsid w:val="000C7567"/>
    <w:rsid w:val="000C775B"/>
    <w:rsid w:val="000C779F"/>
    <w:rsid w:val="000C77C6"/>
    <w:rsid w:val="000C7873"/>
    <w:rsid w:val="000C788E"/>
    <w:rsid w:val="000C78BB"/>
    <w:rsid w:val="000C78C1"/>
    <w:rsid w:val="000C791D"/>
    <w:rsid w:val="000C7926"/>
    <w:rsid w:val="000C797B"/>
    <w:rsid w:val="000C7AB1"/>
    <w:rsid w:val="000C7BCA"/>
    <w:rsid w:val="000C7C37"/>
    <w:rsid w:val="000C7D28"/>
    <w:rsid w:val="000C7D49"/>
    <w:rsid w:val="000C7D56"/>
    <w:rsid w:val="000C7D87"/>
    <w:rsid w:val="000D00E1"/>
    <w:rsid w:val="000D0175"/>
    <w:rsid w:val="000D019F"/>
    <w:rsid w:val="000D0277"/>
    <w:rsid w:val="000D028C"/>
    <w:rsid w:val="000D02A9"/>
    <w:rsid w:val="000D0347"/>
    <w:rsid w:val="000D0519"/>
    <w:rsid w:val="000D062E"/>
    <w:rsid w:val="000D0652"/>
    <w:rsid w:val="000D0762"/>
    <w:rsid w:val="000D0771"/>
    <w:rsid w:val="000D080F"/>
    <w:rsid w:val="000D083E"/>
    <w:rsid w:val="000D0863"/>
    <w:rsid w:val="000D08F1"/>
    <w:rsid w:val="000D09FC"/>
    <w:rsid w:val="000D0A27"/>
    <w:rsid w:val="000D0A74"/>
    <w:rsid w:val="000D0AD4"/>
    <w:rsid w:val="000D0AE7"/>
    <w:rsid w:val="000D0B0B"/>
    <w:rsid w:val="000D0CE5"/>
    <w:rsid w:val="000D0D2B"/>
    <w:rsid w:val="000D0D2C"/>
    <w:rsid w:val="000D0DE0"/>
    <w:rsid w:val="000D0DFF"/>
    <w:rsid w:val="000D0E2C"/>
    <w:rsid w:val="000D0E74"/>
    <w:rsid w:val="000D0E83"/>
    <w:rsid w:val="000D0EA9"/>
    <w:rsid w:val="000D0FAD"/>
    <w:rsid w:val="000D0FFA"/>
    <w:rsid w:val="000D107C"/>
    <w:rsid w:val="000D10EF"/>
    <w:rsid w:val="000D111C"/>
    <w:rsid w:val="000D1146"/>
    <w:rsid w:val="000D11D6"/>
    <w:rsid w:val="000D11F8"/>
    <w:rsid w:val="000D11FA"/>
    <w:rsid w:val="000D12C2"/>
    <w:rsid w:val="000D1349"/>
    <w:rsid w:val="000D13D4"/>
    <w:rsid w:val="000D13DA"/>
    <w:rsid w:val="000D142F"/>
    <w:rsid w:val="000D1521"/>
    <w:rsid w:val="000D1599"/>
    <w:rsid w:val="000D15B6"/>
    <w:rsid w:val="000D15BE"/>
    <w:rsid w:val="000D1676"/>
    <w:rsid w:val="000D16AA"/>
    <w:rsid w:val="000D1734"/>
    <w:rsid w:val="000D1770"/>
    <w:rsid w:val="000D17B3"/>
    <w:rsid w:val="000D17FB"/>
    <w:rsid w:val="000D1883"/>
    <w:rsid w:val="000D18A1"/>
    <w:rsid w:val="000D196E"/>
    <w:rsid w:val="000D19DA"/>
    <w:rsid w:val="000D1A16"/>
    <w:rsid w:val="000D1A76"/>
    <w:rsid w:val="000D1AAA"/>
    <w:rsid w:val="000D1B82"/>
    <w:rsid w:val="000D1B8F"/>
    <w:rsid w:val="000D1C7F"/>
    <w:rsid w:val="000D1CAE"/>
    <w:rsid w:val="000D1D77"/>
    <w:rsid w:val="000D1DCE"/>
    <w:rsid w:val="000D1E1F"/>
    <w:rsid w:val="000D1E92"/>
    <w:rsid w:val="000D1ECD"/>
    <w:rsid w:val="000D1F3E"/>
    <w:rsid w:val="000D1F67"/>
    <w:rsid w:val="000D1F82"/>
    <w:rsid w:val="000D2075"/>
    <w:rsid w:val="000D21F4"/>
    <w:rsid w:val="000D2298"/>
    <w:rsid w:val="000D23CA"/>
    <w:rsid w:val="000D23DE"/>
    <w:rsid w:val="000D2433"/>
    <w:rsid w:val="000D2457"/>
    <w:rsid w:val="000D25B0"/>
    <w:rsid w:val="000D2676"/>
    <w:rsid w:val="000D2683"/>
    <w:rsid w:val="000D26A9"/>
    <w:rsid w:val="000D271A"/>
    <w:rsid w:val="000D2767"/>
    <w:rsid w:val="000D276D"/>
    <w:rsid w:val="000D27E1"/>
    <w:rsid w:val="000D2828"/>
    <w:rsid w:val="000D2836"/>
    <w:rsid w:val="000D287B"/>
    <w:rsid w:val="000D2890"/>
    <w:rsid w:val="000D28C4"/>
    <w:rsid w:val="000D293F"/>
    <w:rsid w:val="000D2978"/>
    <w:rsid w:val="000D2999"/>
    <w:rsid w:val="000D2A84"/>
    <w:rsid w:val="000D2BB2"/>
    <w:rsid w:val="000D2C68"/>
    <w:rsid w:val="000D2CFD"/>
    <w:rsid w:val="000D2E2A"/>
    <w:rsid w:val="000D2EDD"/>
    <w:rsid w:val="000D2FDF"/>
    <w:rsid w:val="000D3048"/>
    <w:rsid w:val="000D308D"/>
    <w:rsid w:val="000D31DF"/>
    <w:rsid w:val="000D3216"/>
    <w:rsid w:val="000D323E"/>
    <w:rsid w:val="000D325F"/>
    <w:rsid w:val="000D328D"/>
    <w:rsid w:val="000D33F2"/>
    <w:rsid w:val="000D343D"/>
    <w:rsid w:val="000D3480"/>
    <w:rsid w:val="000D34F0"/>
    <w:rsid w:val="000D3517"/>
    <w:rsid w:val="000D36C1"/>
    <w:rsid w:val="000D36ED"/>
    <w:rsid w:val="000D3725"/>
    <w:rsid w:val="000D37E7"/>
    <w:rsid w:val="000D3863"/>
    <w:rsid w:val="000D3A42"/>
    <w:rsid w:val="000D3AB5"/>
    <w:rsid w:val="000D3B13"/>
    <w:rsid w:val="000D3B55"/>
    <w:rsid w:val="000D3BB3"/>
    <w:rsid w:val="000D3BD0"/>
    <w:rsid w:val="000D3C1F"/>
    <w:rsid w:val="000D3C92"/>
    <w:rsid w:val="000D3DBF"/>
    <w:rsid w:val="000D3E69"/>
    <w:rsid w:val="000D3EA7"/>
    <w:rsid w:val="000D3F32"/>
    <w:rsid w:val="000D4000"/>
    <w:rsid w:val="000D4022"/>
    <w:rsid w:val="000D402A"/>
    <w:rsid w:val="000D4108"/>
    <w:rsid w:val="000D414E"/>
    <w:rsid w:val="000D4158"/>
    <w:rsid w:val="000D4195"/>
    <w:rsid w:val="000D41AE"/>
    <w:rsid w:val="000D4220"/>
    <w:rsid w:val="000D42F3"/>
    <w:rsid w:val="000D4333"/>
    <w:rsid w:val="000D4344"/>
    <w:rsid w:val="000D43A1"/>
    <w:rsid w:val="000D4403"/>
    <w:rsid w:val="000D4519"/>
    <w:rsid w:val="000D470F"/>
    <w:rsid w:val="000D47B1"/>
    <w:rsid w:val="000D4975"/>
    <w:rsid w:val="000D497D"/>
    <w:rsid w:val="000D49CC"/>
    <w:rsid w:val="000D49F6"/>
    <w:rsid w:val="000D4A43"/>
    <w:rsid w:val="000D4B59"/>
    <w:rsid w:val="000D4CCA"/>
    <w:rsid w:val="000D4DF3"/>
    <w:rsid w:val="000D4E60"/>
    <w:rsid w:val="000D4ED6"/>
    <w:rsid w:val="000D4F25"/>
    <w:rsid w:val="000D4F90"/>
    <w:rsid w:val="000D4FA1"/>
    <w:rsid w:val="000D501C"/>
    <w:rsid w:val="000D5046"/>
    <w:rsid w:val="000D50C8"/>
    <w:rsid w:val="000D50F3"/>
    <w:rsid w:val="000D513E"/>
    <w:rsid w:val="000D518E"/>
    <w:rsid w:val="000D519E"/>
    <w:rsid w:val="000D527A"/>
    <w:rsid w:val="000D52C3"/>
    <w:rsid w:val="000D53CE"/>
    <w:rsid w:val="000D5531"/>
    <w:rsid w:val="000D558B"/>
    <w:rsid w:val="000D55A8"/>
    <w:rsid w:val="000D57D9"/>
    <w:rsid w:val="000D5864"/>
    <w:rsid w:val="000D58D0"/>
    <w:rsid w:val="000D5951"/>
    <w:rsid w:val="000D5CE3"/>
    <w:rsid w:val="000D5D17"/>
    <w:rsid w:val="000D5D78"/>
    <w:rsid w:val="000D5E68"/>
    <w:rsid w:val="000D5EB9"/>
    <w:rsid w:val="000D5ED7"/>
    <w:rsid w:val="000D5F1E"/>
    <w:rsid w:val="000D5F54"/>
    <w:rsid w:val="000D60DC"/>
    <w:rsid w:val="000D6127"/>
    <w:rsid w:val="000D6180"/>
    <w:rsid w:val="000D6315"/>
    <w:rsid w:val="000D6318"/>
    <w:rsid w:val="000D63F6"/>
    <w:rsid w:val="000D646F"/>
    <w:rsid w:val="000D6490"/>
    <w:rsid w:val="000D64EB"/>
    <w:rsid w:val="000D65B6"/>
    <w:rsid w:val="000D6618"/>
    <w:rsid w:val="000D672A"/>
    <w:rsid w:val="000D67DC"/>
    <w:rsid w:val="000D6901"/>
    <w:rsid w:val="000D6AB1"/>
    <w:rsid w:val="000D6B36"/>
    <w:rsid w:val="000D6BBE"/>
    <w:rsid w:val="000D6C0E"/>
    <w:rsid w:val="000D6C39"/>
    <w:rsid w:val="000D6C5F"/>
    <w:rsid w:val="000D6CCD"/>
    <w:rsid w:val="000D6D83"/>
    <w:rsid w:val="000D6DA8"/>
    <w:rsid w:val="000D6F8A"/>
    <w:rsid w:val="000D6F92"/>
    <w:rsid w:val="000D6FE0"/>
    <w:rsid w:val="000D7001"/>
    <w:rsid w:val="000D713E"/>
    <w:rsid w:val="000D719A"/>
    <w:rsid w:val="000D719C"/>
    <w:rsid w:val="000D7340"/>
    <w:rsid w:val="000D7385"/>
    <w:rsid w:val="000D73C8"/>
    <w:rsid w:val="000D746A"/>
    <w:rsid w:val="000D74C4"/>
    <w:rsid w:val="000D755C"/>
    <w:rsid w:val="000D7606"/>
    <w:rsid w:val="000D766C"/>
    <w:rsid w:val="000D7798"/>
    <w:rsid w:val="000D77CE"/>
    <w:rsid w:val="000D7A11"/>
    <w:rsid w:val="000D7A24"/>
    <w:rsid w:val="000D7BFC"/>
    <w:rsid w:val="000D7C78"/>
    <w:rsid w:val="000D7C94"/>
    <w:rsid w:val="000D7CEC"/>
    <w:rsid w:val="000D7D56"/>
    <w:rsid w:val="000D7DDF"/>
    <w:rsid w:val="000D7DFA"/>
    <w:rsid w:val="000D7E0C"/>
    <w:rsid w:val="000D7E15"/>
    <w:rsid w:val="000D7E5D"/>
    <w:rsid w:val="000D7E89"/>
    <w:rsid w:val="000D7F8F"/>
    <w:rsid w:val="000D7FBC"/>
    <w:rsid w:val="000E017F"/>
    <w:rsid w:val="000E0188"/>
    <w:rsid w:val="000E02FE"/>
    <w:rsid w:val="000E0325"/>
    <w:rsid w:val="000E0390"/>
    <w:rsid w:val="000E03F4"/>
    <w:rsid w:val="000E043F"/>
    <w:rsid w:val="000E0452"/>
    <w:rsid w:val="000E045A"/>
    <w:rsid w:val="000E046F"/>
    <w:rsid w:val="000E0663"/>
    <w:rsid w:val="000E06CA"/>
    <w:rsid w:val="000E0896"/>
    <w:rsid w:val="000E0B52"/>
    <w:rsid w:val="000E0B7E"/>
    <w:rsid w:val="000E0B86"/>
    <w:rsid w:val="000E0C7C"/>
    <w:rsid w:val="000E0D3B"/>
    <w:rsid w:val="000E0EE6"/>
    <w:rsid w:val="000E0FE5"/>
    <w:rsid w:val="000E112E"/>
    <w:rsid w:val="000E116A"/>
    <w:rsid w:val="000E11A7"/>
    <w:rsid w:val="000E11C7"/>
    <w:rsid w:val="000E1256"/>
    <w:rsid w:val="000E1263"/>
    <w:rsid w:val="000E1351"/>
    <w:rsid w:val="000E135E"/>
    <w:rsid w:val="000E1467"/>
    <w:rsid w:val="000E14A0"/>
    <w:rsid w:val="000E151B"/>
    <w:rsid w:val="000E1613"/>
    <w:rsid w:val="000E1615"/>
    <w:rsid w:val="000E16F7"/>
    <w:rsid w:val="000E173E"/>
    <w:rsid w:val="000E179C"/>
    <w:rsid w:val="000E197D"/>
    <w:rsid w:val="000E19EE"/>
    <w:rsid w:val="000E1A56"/>
    <w:rsid w:val="000E1B65"/>
    <w:rsid w:val="000E1B6D"/>
    <w:rsid w:val="000E1B7E"/>
    <w:rsid w:val="000E1CC4"/>
    <w:rsid w:val="000E1D18"/>
    <w:rsid w:val="000E1DA7"/>
    <w:rsid w:val="000E1DB0"/>
    <w:rsid w:val="000E1DE6"/>
    <w:rsid w:val="000E1E9C"/>
    <w:rsid w:val="000E1EB1"/>
    <w:rsid w:val="000E1F78"/>
    <w:rsid w:val="000E2144"/>
    <w:rsid w:val="000E2162"/>
    <w:rsid w:val="000E2271"/>
    <w:rsid w:val="000E2372"/>
    <w:rsid w:val="000E23CE"/>
    <w:rsid w:val="000E2406"/>
    <w:rsid w:val="000E2440"/>
    <w:rsid w:val="000E245A"/>
    <w:rsid w:val="000E2488"/>
    <w:rsid w:val="000E25AC"/>
    <w:rsid w:val="000E26E5"/>
    <w:rsid w:val="000E27C2"/>
    <w:rsid w:val="000E283B"/>
    <w:rsid w:val="000E2889"/>
    <w:rsid w:val="000E2901"/>
    <w:rsid w:val="000E294E"/>
    <w:rsid w:val="000E29C6"/>
    <w:rsid w:val="000E29D0"/>
    <w:rsid w:val="000E2B2B"/>
    <w:rsid w:val="000E2BB1"/>
    <w:rsid w:val="000E2C12"/>
    <w:rsid w:val="000E2C1F"/>
    <w:rsid w:val="000E2D7B"/>
    <w:rsid w:val="000E2E24"/>
    <w:rsid w:val="000E2F22"/>
    <w:rsid w:val="000E2F27"/>
    <w:rsid w:val="000E2F9E"/>
    <w:rsid w:val="000E3036"/>
    <w:rsid w:val="000E3066"/>
    <w:rsid w:val="000E310A"/>
    <w:rsid w:val="000E3160"/>
    <w:rsid w:val="000E3194"/>
    <w:rsid w:val="000E3239"/>
    <w:rsid w:val="000E3274"/>
    <w:rsid w:val="000E328A"/>
    <w:rsid w:val="000E32BE"/>
    <w:rsid w:val="000E3334"/>
    <w:rsid w:val="000E3353"/>
    <w:rsid w:val="000E3377"/>
    <w:rsid w:val="000E3394"/>
    <w:rsid w:val="000E33B3"/>
    <w:rsid w:val="000E3454"/>
    <w:rsid w:val="000E34B1"/>
    <w:rsid w:val="000E34C6"/>
    <w:rsid w:val="000E3538"/>
    <w:rsid w:val="000E353A"/>
    <w:rsid w:val="000E35F2"/>
    <w:rsid w:val="000E360E"/>
    <w:rsid w:val="000E369C"/>
    <w:rsid w:val="000E3734"/>
    <w:rsid w:val="000E3740"/>
    <w:rsid w:val="000E376D"/>
    <w:rsid w:val="000E3A3C"/>
    <w:rsid w:val="000E3A5C"/>
    <w:rsid w:val="000E3BC2"/>
    <w:rsid w:val="000E3C02"/>
    <w:rsid w:val="000E3C44"/>
    <w:rsid w:val="000E3C63"/>
    <w:rsid w:val="000E3D11"/>
    <w:rsid w:val="000E3D69"/>
    <w:rsid w:val="000E3DEA"/>
    <w:rsid w:val="000E3E23"/>
    <w:rsid w:val="000E3E4E"/>
    <w:rsid w:val="000E3EC0"/>
    <w:rsid w:val="000E3FA7"/>
    <w:rsid w:val="000E4029"/>
    <w:rsid w:val="000E4078"/>
    <w:rsid w:val="000E417C"/>
    <w:rsid w:val="000E41B3"/>
    <w:rsid w:val="000E41E8"/>
    <w:rsid w:val="000E43CB"/>
    <w:rsid w:val="000E43F5"/>
    <w:rsid w:val="000E43FB"/>
    <w:rsid w:val="000E443E"/>
    <w:rsid w:val="000E44D7"/>
    <w:rsid w:val="000E45B2"/>
    <w:rsid w:val="000E471C"/>
    <w:rsid w:val="000E4734"/>
    <w:rsid w:val="000E4902"/>
    <w:rsid w:val="000E4A56"/>
    <w:rsid w:val="000E4AB7"/>
    <w:rsid w:val="000E4BC7"/>
    <w:rsid w:val="000E4C5F"/>
    <w:rsid w:val="000E4C8A"/>
    <w:rsid w:val="000E4CDA"/>
    <w:rsid w:val="000E4D0C"/>
    <w:rsid w:val="000E4D4D"/>
    <w:rsid w:val="000E4D66"/>
    <w:rsid w:val="000E4E4F"/>
    <w:rsid w:val="000E519E"/>
    <w:rsid w:val="000E5234"/>
    <w:rsid w:val="000E52CF"/>
    <w:rsid w:val="000E52E2"/>
    <w:rsid w:val="000E52E8"/>
    <w:rsid w:val="000E52FD"/>
    <w:rsid w:val="000E547D"/>
    <w:rsid w:val="000E54E7"/>
    <w:rsid w:val="000E5551"/>
    <w:rsid w:val="000E5633"/>
    <w:rsid w:val="000E5693"/>
    <w:rsid w:val="000E5A4C"/>
    <w:rsid w:val="000E5B2F"/>
    <w:rsid w:val="000E5B43"/>
    <w:rsid w:val="000E5B92"/>
    <w:rsid w:val="000E5BD3"/>
    <w:rsid w:val="000E5C12"/>
    <w:rsid w:val="000E5C1B"/>
    <w:rsid w:val="000E5CD5"/>
    <w:rsid w:val="000E5D3D"/>
    <w:rsid w:val="000E5D7C"/>
    <w:rsid w:val="000E5D8D"/>
    <w:rsid w:val="000E5EFC"/>
    <w:rsid w:val="000E5FC4"/>
    <w:rsid w:val="000E5FDC"/>
    <w:rsid w:val="000E61C6"/>
    <w:rsid w:val="000E627D"/>
    <w:rsid w:val="000E62AB"/>
    <w:rsid w:val="000E631E"/>
    <w:rsid w:val="000E636E"/>
    <w:rsid w:val="000E64AE"/>
    <w:rsid w:val="000E651C"/>
    <w:rsid w:val="000E656C"/>
    <w:rsid w:val="000E659F"/>
    <w:rsid w:val="000E6634"/>
    <w:rsid w:val="000E6714"/>
    <w:rsid w:val="000E690A"/>
    <w:rsid w:val="000E69A3"/>
    <w:rsid w:val="000E6AAF"/>
    <w:rsid w:val="000E6B0E"/>
    <w:rsid w:val="000E6B98"/>
    <w:rsid w:val="000E6BBE"/>
    <w:rsid w:val="000E6D3D"/>
    <w:rsid w:val="000E6D4E"/>
    <w:rsid w:val="000E6F57"/>
    <w:rsid w:val="000E7050"/>
    <w:rsid w:val="000E723A"/>
    <w:rsid w:val="000E7293"/>
    <w:rsid w:val="000E7391"/>
    <w:rsid w:val="000E73B6"/>
    <w:rsid w:val="000E745C"/>
    <w:rsid w:val="000E74DF"/>
    <w:rsid w:val="000E7611"/>
    <w:rsid w:val="000E766F"/>
    <w:rsid w:val="000E76CB"/>
    <w:rsid w:val="000E76EB"/>
    <w:rsid w:val="000E772F"/>
    <w:rsid w:val="000E7799"/>
    <w:rsid w:val="000E79A1"/>
    <w:rsid w:val="000E79AF"/>
    <w:rsid w:val="000E7A13"/>
    <w:rsid w:val="000E7A16"/>
    <w:rsid w:val="000E7B8A"/>
    <w:rsid w:val="000E7BC3"/>
    <w:rsid w:val="000E7BEC"/>
    <w:rsid w:val="000E7C58"/>
    <w:rsid w:val="000E7D2C"/>
    <w:rsid w:val="000E7D69"/>
    <w:rsid w:val="000E7DD2"/>
    <w:rsid w:val="000E7E95"/>
    <w:rsid w:val="000E7EE2"/>
    <w:rsid w:val="000E7F1F"/>
    <w:rsid w:val="000E7F39"/>
    <w:rsid w:val="000F0044"/>
    <w:rsid w:val="000F00DE"/>
    <w:rsid w:val="000F00EC"/>
    <w:rsid w:val="000F00F8"/>
    <w:rsid w:val="000F01CA"/>
    <w:rsid w:val="000F01D3"/>
    <w:rsid w:val="000F0232"/>
    <w:rsid w:val="000F0250"/>
    <w:rsid w:val="000F0338"/>
    <w:rsid w:val="000F03A9"/>
    <w:rsid w:val="000F03F9"/>
    <w:rsid w:val="000F040F"/>
    <w:rsid w:val="000F05D7"/>
    <w:rsid w:val="000F06B9"/>
    <w:rsid w:val="000F07D2"/>
    <w:rsid w:val="000F07D9"/>
    <w:rsid w:val="000F0932"/>
    <w:rsid w:val="000F0A9F"/>
    <w:rsid w:val="000F0C89"/>
    <w:rsid w:val="000F0CDC"/>
    <w:rsid w:val="000F0E1A"/>
    <w:rsid w:val="000F1071"/>
    <w:rsid w:val="000F116F"/>
    <w:rsid w:val="000F1176"/>
    <w:rsid w:val="000F1189"/>
    <w:rsid w:val="000F12A1"/>
    <w:rsid w:val="000F12E0"/>
    <w:rsid w:val="000F1344"/>
    <w:rsid w:val="000F13C5"/>
    <w:rsid w:val="000F1442"/>
    <w:rsid w:val="000F1447"/>
    <w:rsid w:val="000F1467"/>
    <w:rsid w:val="000F14B3"/>
    <w:rsid w:val="000F14D7"/>
    <w:rsid w:val="000F14FF"/>
    <w:rsid w:val="000F15E5"/>
    <w:rsid w:val="000F16B2"/>
    <w:rsid w:val="000F174D"/>
    <w:rsid w:val="000F1767"/>
    <w:rsid w:val="000F1912"/>
    <w:rsid w:val="000F194F"/>
    <w:rsid w:val="000F197D"/>
    <w:rsid w:val="000F1994"/>
    <w:rsid w:val="000F1B08"/>
    <w:rsid w:val="000F1BB7"/>
    <w:rsid w:val="000F1BCC"/>
    <w:rsid w:val="000F1BCE"/>
    <w:rsid w:val="000F1C82"/>
    <w:rsid w:val="000F1CEC"/>
    <w:rsid w:val="000F1D1A"/>
    <w:rsid w:val="000F1D29"/>
    <w:rsid w:val="000F1D2B"/>
    <w:rsid w:val="000F1D47"/>
    <w:rsid w:val="000F1D93"/>
    <w:rsid w:val="000F1F56"/>
    <w:rsid w:val="000F1F93"/>
    <w:rsid w:val="000F20D7"/>
    <w:rsid w:val="000F2154"/>
    <w:rsid w:val="000F22DE"/>
    <w:rsid w:val="000F2379"/>
    <w:rsid w:val="000F2391"/>
    <w:rsid w:val="000F2402"/>
    <w:rsid w:val="000F249B"/>
    <w:rsid w:val="000F254F"/>
    <w:rsid w:val="000F2588"/>
    <w:rsid w:val="000F268F"/>
    <w:rsid w:val="000F27CC"/>
    <w:rsid w:val="000F293D"/>
    <w:rsid w:val="000F29D0"/>
    <w:rsid w:val="000F29EF"/>
    <w:rsid w:val="000F2A16"/>
    <w:rsid w:val="000F2A30"/>
    <w:rsid w:val="000F2A81"/>
    <w:rsid w:val="000F2B05"/>
    <w:rsid w:val="000F2B11"/>
    <w:rsid w:val="000F2B99"/>
    <w:rsid w:val="000F2B9F"/>
    <w:rsid w:val="000F2BBA"/>
    <w:rsid w:val="000F2BDC"/>
    <w:rsid w:val="000F2BEB"/>
    <w:rsid w:val="000F2C66"/>
    <w:rsid w:val="000F2D4C"/>
    <w:rsid w:val="000F2D68"/>
    <w:rsid w:val="000F2E7E"/>
    <w:rsid w:val="000F2FBF"/>
    <w:rsid w:val="000F302C"/>
    <w:rsid w:val="000F3032"/>
    <w:rsid w:val="000F3106"/>
    <w:rsid w:val="000F314E"/>
    <w:rsid w:val="000F31C9"/>
    <w:rsid w:val="000F327E"/>
    <w:rsid w:val="000F32F2"/>
    <w:rsid w:val="000F3408"/>
    <w:rsid w:val="000F341A"/>
    <w:rsid w:val="000F343C"/>
    <w:rsid w:val="000F34B4"/>
    <w:rsid w:val="000F34DE"/>
    <w:rsid w:val="000F3515"/>
    <w:rsid w:val="000F3544"/>
    <w:rsid w:val="000F3664"/>
    <w:rsid w:val="000F3716"/>
    <w:rsid w:val="000F3732"/>
    <w:rsid w:val="000F3896"/>
    <w:rsid w:val="000F38A4"/>
    <w:rsid w:val="000F38E7"/>
    <w:rsid w:val="000F38F4"/>
    <w:rsid w:val="000F3997"/>
    <w:rsid w:val="000F39FF"/>
    <w:rsid w:val="000F3A13"/>
    <w:rsid w:val="000F3A57"/>
    <w:rsid w:val="000F3A6C"/>
    <w:rsid w:val="000F3B09"/>
    <w:rsid w:val="000F3CB3"/>
    <w:rsid w:val="000F3CDF"/>
    <w:rsid w:val="000F3D0D"/>
    <w:rsid w:val="000F3D12"/>
    <w:rsid w:val="000F3D87"/>
    <w:rsid w:val="000F3D88"/>
    <w:rsid w:val="000F3DAB"/>
    <w:rsid w:val="000F3F08"/>
    <w:rsid w:val="000F3F24"/>
    <w:rsid w:val="000F3FD7"/>
    <w:rsid w:val="000F4140"/>
    <w:rsid w:val="000F438E"/>
    <w:rsid w:val="000F43B6"/>
    <w:rsid w:val="000F4583"/>
    <w:rsid w:val="000F45E2"/>
    <w:rsid w:val="000F463E"/>
    <w:rsid w:val="000F466A"/>
    <w:rsid w:val="000F46CE"/>
    <w:rsid w:val="000F4795"/>
    <w:rsid w:val="000F479B"/>
    <w:rsid w:val="000F479E"/>
    <w:rsid w:val="000F47A3"/>
    <w:rsid w:val="000F4A38"/>
    <w:rsid w:val="000F4A50"/>
    <w:rsid w:val="000F4AAA"/>
    <w:rsid w:val="000F4B8F"/>
    <w:rsid w:val="000F4C18"/>
    <w:rsid w:val="000F4D05"/>
    <w:rsid w:val="000F4DDE"/>
    <w:rsid w:val="000F4FEE"/>
    <w:rsid w:val="000F50E7"/>
    <w:rsid w:val="000F5110"/>
    <w:rsid w:val="000F51BE"/>
    <w:rsid w:val="000F51D7"/>
    <w:rsid w:val="000F5371"/>
    <w:rsid w:val="000F5378"/>
    <w:rsid w:val="000F53D5"/>
    <w:rsid w:val="000F53E0"/>
    <w:rsid w:val="000F550A"/>
    <w:rsid w:val="000F55B7"/>
    <w:rsid w:val="000F56B2"/>
    <w:rsid w:val="000F56C7"/>
    <w:rsid w:val="000F5845"/>
    <w:rsid w:val="000F5939"/>
    <w:rsid w:val="000F594C"/>
    <w:rsid w:val="000F5976"/>
    <w:rsid w:val="000F59C7"/>
    <w:rsid w:val="000F5B1E"/>
    <w:rsid w:val="000F5B67"/>
    <w:rsid w:val="000F5B70"/>
    <w:rsid w:val="000F5D35"/>
    <w:rsid w:val="000F5DAE"/>
    <w:rsid w:val="000F5DF0"/>
    <w:rsid w:val="000F5E86"/>
    <w:rsid w:val="000F5F86"/>
    <w:rsid w:val="000F6029"/>
    <w:rsid w:val="000F6053"/>
    <w:rsid w:val="000F60C4"/>
    <w:rsid w:val="000F619B"/>
    <w:rsid w:val="000F61DE"/>
    <w:rsid w:val="000F6227"/>
    <w:rsid w:val="000F622A"/>
    <w:rsid w:val="000F62AB"/>
    <w:rsid w:val="000F6348"/>
    <w:rsid w:val="000F6409"/>
    <w:rsid w:val="000F652E"/>
    <w:rsid w:val="000F6595"/>
    <w:rsid w:val="000F65A6"/>
    <w:rsid w:val="000F66B8"/>
    <w:rsid w:val="000F6719"/>
    <w:rsid w:val="000F672B"/>
    <w:rsid w:val="000F674C"/>
    <w:rsid w:val="000F6803"/>
    <w:rsid w:val="000F6859"/>
    <w:rsid w:val="000F699A"/>
    <w:rsid w:val="000F69DA"/>
    <w:rsid w:val="000F69FD"/>
    <w:rsid w:val="000F6ADE"/>
    <w:rsid w:val="000F6BCD"/>
    <w:rsid w:val="000F6C42"/>
    <w:rsid w:val="000F6CDF"/>
    <w:rsid w:val="000F6D69"/>
    <w:rsid w:val="000F6D84"/>
    <w:rsid w:val="000F6E60"/>
    <w:rsid w:val="000F6E75"/>
    <w:rsid w:val="000F6E92"/>
    <w:rsid w:val="000F6EBB"/>
    <w:rsid w:val="000F6EDD"/>
    <w:rsid w:val="000F6F6E"/>
    <w:rsid w:val="000F6F8F"/>
    <w:rsid w:val="000F6FDB"/>
    <w:rsid w:val="000F702A"/>
    <w:rsid w:val="000F703A"/>
    <w:rsid w:val="000F7088"/>
    <w:rsid w:val="000F7216"/>
    <w:rsid w:val="000F7258"/>
    <w:rsid w:val="000F7261"/>
    <w:rsid w:val="000F730C"/>
    <w:rsid w:val="000F739B"/>
    <w:rsid w:val="000F7412"/>
    <w:rsid w:val="000F7446"/>
    <w:rsid w:val="000F74ED"/>
    <w:rsid w:val="000F7561"/>
    <w:rsid w:val="000F7591"/>
    <w:rsid w:val="000F75DD"/>
    <w:rsid w:val="000F762D"/>
    <w:rsid w:val="000F7667"/>
    <w:rsid w:val="000F76DA"/>
    <w:rsid w:val="000F7780"/>
    <w:rsid w:val="000F7824"/>
    <w:rsid w:val="000F78A3"/>
    <w:rsid w:val="000F7917"/>
    <w:rsid w:val="000F79A5"/>
    <w:rsid w:val="000F79D5"/>
    <w:rsid w:val="000F7A0A"/>
    <w:rsid w:val="000F7AD5"/>
    <w:rsid w:val="000F7B80"/>
    <w:rsid w:val="000F7BCD"/>
    <w:rsid w:val="000F7C20"/>
    <w:rsid w:val="000F7C76"/>
    <w:rsid w:val="000F7D2F"/>
    <w:rsid w:val="000F7DC8"/>
    <w:rsid w:val="000F7E05"/>
    <w:rsid w:val="000F7E40"/>
    <w:rsid w:val="000F7E84"/>
    <w:rsid w:val="000F7F78"/>
    <w:rsid w:val="000F7F89"/>
    <w:rsid w:val="000FEF8F"/>
    <w:rsid w:val="00100017"/>
    <w:rsid w:val="00100066"/>
    <w:rsid w:val="001000F4"/>
    <w:rsid w:val="00100114"/>
    <w:rsid w:val="001001D3"/>
    <w:rsid w:val="00100206"/>
    <w:rsid w:val="00100292"/>
    <w:rsid w:val="001002A6"/>
    <w:rsid w:val="00100367"/>
    <w:rsid w:val="001003C2"/>
    <w:rsid w:val="00100445"/>
    <w:rsid w:val="0010052F"/>
    <w:rsid w:val="00100580"/>
    <w:rsid w:val="00100581"/>
    <w:rsid w:val="0010067A"/>
    <w:rsid w:val="00100687"/>
    <w:rsid w:val="00100717"/>
    <w:rsid w:val="001007C9"/>
    <w:rsid w:val="001007F8"/>
    <w:rsid w:val="0010086E"/>
    <w:rsid w:val="00100874"/>
    <w:rsid w:val="0010087A"/>
    <w:rsid w:val="00100945"/>
    <w:rsid w:val="0010097B"/>
    <w:rsid w:val="001009AD"/>
    <w:rsid w:val="00100AD9"/>
    <w:rsid w:val="00100B57"/>
    <w:rsid w:val="00100BC5"/>
    <w:rsid w:val="00100BCA"/>
    <w:rsid w:val="00100BE2"/>
    <w:rsid w:val="00100C37"/>
    <w:rsid w:val="00100CA1"/>
    <w:rsid w:val="00100DCB"/>
    <w:rsid w:val="00100EA4"/>
    <w:rsid w:val="00100FA5"/>
    <w:rsid w:val="00100FD4"/>
    <w:rsid w:val="00101041"/>
    <w:rsid w:val="0010109C"/>
    <w:rsid w:val="00101111"/>
    <w:rsid w:val="00101174"/>
    <w:rsid w:val="00101257"/>
    <w:rsid w:val="00101396"/>
    <w:rsid w:val="00101419"/>
    <w:rsid w:val="0010141D"/>
    <w:rsid w:val="00101521"/>
    <w:rsid w:val="001015A7"/>
    <w:rsid w:val="001016B7"/>
    <w:rsid w:val="001017B5"/>
    <w:rsid w:val="00101850"/>
    <w:rsid w:val="001019AA"/>
    <w:rsid w:val="00101A21"/>
    <w:rsid w:val="00101A75"/>
    <w:rsid w:val="00101AD0"/>
    <w:rsid w:val="00101C1D"/>
    <w:rsid w:val="00101C2F"/>
    <w:rsid w:val="00101C79"/>
    <w:rsid w:val="00101CD4"/>
    <w:rsid w:val="00101D26"/>
    <w:rsid w:val="00101D4F"/>
    <w:rsid w:val="00101D89"/>
    <w:rsid w:val="00101DCD"/>
    <w:rsid w:val="00101FF9"/>
    <w:rsid w:val="0010218D"/>
    <w:rsid w:val="0010240D"/>
    <w:rsid w:val="001026AD"/>
    <w:rsid w:val="001026B8"/>
    <w:rsid w:val="001027B2"/>
    <w:rsid w:val="001027E9"/>
    <w:rsid w:val="00102820"/>
    <w:rsid w:val="0010286C"/>
    <w:rsid w:val="001028E6"/>
    <w:rsid w:val="001028FC"/>
    <w:rsid w:val="001028FE"/>
    <w:rsid w:val="0010290C"/>
    <w:rsid w:val="0010291B"/>
    <w:rsid w:val="00102991"/>
    <w:rsid w:val="00102BBF"/>
    <w:rsid w:val="00102BEF"/>
    <w:rsid w:val="00102C5D"/>
    <w:rsid w:val="00102CA0"/>
    <w:rsid w:val="00102D50"/>
    <w:rsid w:val="00102E2C"/>
    <w:rsid w:val="00102FB7"/>
    <w:rsid w:val="00103010"/>
    <w:rsid w:val="00103215"/>
    <w:rsid w:val="00103300"/>
    <w:rsid w:val="001033A3"/>
    <w:rsid w:val="001033BE"/>
    <w:rsid w:val="001033FA"/>
    <w:rsid w:val="001033FB"/>
    <w:rsid w:val="00103413"/>
    <w:rsid w:val="0010347E"/>
    <w:rsid w:val="00103537"/>
    <w:rsid w:val="00103577"/>
    <w:rsid w:val="001035B3"/>
    <w:rsid w:val="001035CC"/>
    <w:rsid w:val="00103606"/>
    <w:rsid w:val="00103657"/>
    <w:rsid w:val="001036B9"/>
    <w:rsid w:val="00103771"/>
    <w:rsid w:val="001037D1"/>
    <w:rsid w:val="00103856"/>
    <w:rsid w:val="0010387A"/>
    <w:rsid w:val="001038D8"/>
    <w:rsid w:val="001039C0"/>
    <w:rsid w:val="00103A14"/>
    <w:rsid w:val="00103A42"/>
    <w:rsid w:val="00103AEB"/>
    <w:rsid w:val="00103B36"/>
    <w:rsid w:val="00103BB4"/>
    <w:rsid w:val="00103C11"/>
    <w:rsid w:val="00103CC4"/>
    <w:rsid w:val="00103D71"/>
    <w:rsid w:val="00103DCF"/>
    <w:rsid w:val="00103DF6"/>
    <w:rsid w:val="00103F6C"/>
    <w:rsid w:val="0010403F"/>
    <w:rsid w:val="00104053"/>
    <w:rsid w:val="0010405A"/>
    <w:rsid w:val="00104066"/>
    <w:rsid w:val="00104159"/>
    <w:rsid w:val="001041FA"/>
    <w:rsid w:val="001042D7"/>
    <w:rsid w:val="00104334"/>
    <w:rsid w:val="001043A5"/>
    <w:rsid w:val="00104523"/>
    <w:rsid w:val="00104552"/>
    <w:rsid w:val="0010462B"/>
    <w:rsid w:val="00104675"/>
    <w:rsid w:val="00104A38"/>
    <w:rsid w:val="00104C97"/>
    <w:rsid w:val="00104EA9"/>
    <w:rsid w:val="00104ED1"/>
    <w:rsid w:val="00104EFD"/>
    <w:rsid w:val="00104F6D"/>
    <w:rsid w:val="00104FB5"/>
    <w:rsid w:val="0010501B"/>
    <w:rsid w:val="001050B3"/>
    <w:rsid w:val="001051A0"/>
    <w:rsid w:val="001051FD"/>
    <w:rsid w:val="00105221"/>
    <w:rsid w:val="0010542C"/>
    <w:rsid w:val="001054BF"/>
    <w:rsid w:val="001055BA"/>
    <w:rsid w:val="00105745"/>
    <w:rsid w:val="001057D5"/>
    <w:rsid w:val="00105902"/>
    <w:rsid w:val="001059F5"/>
    <w:rsid w:val="00105A21"/>
    <w:rsid w:val="00105A27"/>
    <w:rsid w:val="00105A5A"/>
    <w:rsid w:val="00105A9B"/>
    <w:rsid w:val="00105B02"/>
    <w:rsid w:val="00105BA9"/>
    <w:rsid w:val="00105CE2"/>
    <w:rsid w:val="00105D6D"/>
    <w:rsid w:val="00105D73"/>
    <w:rsid w:val="00105E0A"/>
    <w:rsid w:val="00105E18"/>
    <w:rsid w:val="00105EB5"/>
    <w:rsid w:val="00106164"/>
    <w:rsid w:val="0010617E"/>
    <w:rsid w:val="001061BC"/>
    <w:rsid w:val="00106423"/>
    <w:rsid w:val="001064B1"/>
    <w:rsid w:val="001064B9"/>
    <w:rsid w:val="0010660E"/>
    <w:rsid w:val="001067A0"/>
    <w:rsid w:val="00106838"/>
    <w:rsid w:val="00106994"/>
    <w:rsid w:val="00106A89"/>
    <w:rsid w:val="00106B66"/>
    <w:rsid w:val="00106CF4"/>
    <w:rsid w:val="00106EFC"/>
    <w:rsid w:val="00106FB2"/>
    <w:rsid w:val="001070B0"/>
    <w:rsid w:val="00107142"/>
    <w:rsid w:val="001072AA"/>
    <w:rsid w:val="0010739A"/>
    <w:rsid w:val="001073E5"/>
    <w:rsid w:val="0010748F"/>
    <w:rsid w:val="0010764D"/>
    <w:rsid w:val="0010770A"/>
    <w:rsid w:val="0010779F"/>
    <w:rsid w:val="00107837"/>
    <w:rsid w:val="0010787A"/>
    <w:rsid w:val="00107889"/>
    <w:rsid w:val="00107925"/>
    <w:rsid w:val="00107B33"/>
    <w:rsid w:val="00107B4B"/>
    <w:rsid w:val="00107BD2"/>
    <w:rsid w:val="00107C62"/>
    <w:rsid w:val="00107C76"/>
    <w:rsid w:val="00107CC3"/>
    <w:rsid w:val="00107CFD"/>
    <w:rsid w:val="00107D1D"/>
    <w:rsid w:val="00107D1F"/>
    <w:rsid w:val="00107D31"/>
    <w:rsid w:val="00107D7F"/>
    <w:rsid w:val="00107DA8"/>
    <w:rsid w:val="00107E1C"/>
    <w:rsid w:val="00107EEA"/>
    <w:rsid w:val="00107F14"/>
    <w:rsid w:val="00107F6E"/>
    <w:rsid w:val="00107FA0"/>
    <w:rsid w:val="00110066"/>
    <w:rsid w:val="0011007F"/>
    <w:rsid w:val="001100FA"/>
    <w:rsid w:val="001101FF"/>
    <w:rsid w:val="0011021E"/>
    <w:rsid w:val="00110252"/>
    <w:rsid w:val="0011032D"/>
    <w:rsid w:val="00110474"/>
    <w:rsid w:val="00110481"/>
    <w:rsid w:val="001104B1"/>
    <w:rsid w:val="001104E0"/>
    <w:rsid w:val="0011050A"/>
    <w:rsid w:val="001105C1"/>
    <w:rsid w:val="0011066B"/>
    <w:rsid w:val="001106D2"/>
    <w:rsid w:val="001106EC"/>
    <w:rsid w:val="00110787"/>
    <w:rsid w:val="00110789"/>
    <w:rsid w:val="001107CC"/>
    <w:rsid w:val="00110873"/>
    <w:rsid w:val="001109C0"/>
    <w:rsid w:val="00110B01"/>
    <w:rsid w:val="00110B72"/>
    <w:rsid w:val="00110C56"/>
    <w:rsid w:val="00110C93"/>
    <w:rsid w:val="00110D60"/>
    <w:rsid w:val="00110E25"/>
    <w:rsid w:val="00110E5A"/>
    <w:rsid w:val="00110EA7"/>
    <w:rsid w:val="00110F3F"/>
    <w:rsid w:val="0011100C"/>
    <w:rsid w:val="0011106F"/>
    <w:rsid w:val="00111072"/>
    <w:rsid w:val="001111B4"/>
    <w:rsid w:val="001111BC"/>
    <w:rsid w:val="001112B2"/>
    <w:rsid w:val="001112FC"/>
    <w:rsid w:val="001114DB"/>
    <w:rsid w:val="00111543"/>
    <w:rsid w:val="001115C2"/>
    <w:rsid w:val="00111609"/>
    <w:rsid w:val="001116B1"/>
    <w:rsid w:val="001117D9"/>
    <w:rsid w:val="00111840"/>
    <w:rsid w:val="00111892"/>
    <w:rsid w:val="00111965"/>
    <w:rsid w:val="0011198B"/>
    <w:rsid w:val="00111BD4"/>
    <w:rsid w:val="00111C4C"/>
    <w:rsid w:val="00111C73"/>
    <w:rsid w:val="00111CF5"/>
    <w:rsid w:val="00111DED"/>
    <w:rsid w:val="00111E2F"/>
    <w:rsid w:val="00111F4C"/>
    <w:rsid w:val="00112032"/>
    <w:rsid w:val="00112107"/>
    <w:rsid w:val="00112187"/>
    <w:rsid w:val="00112202"/>
    <w:rsid w:val="001122A2"/>
    <w:rsid w:val="00112433"/>
    <w:rsid w:val="0011245C"/>
    <w:rsid w:val="001124E3"/>
    <w:rsid w:val="001124FA"/>
    <w:rsid w:val="00112557"/>
    <w:rsid w:val="001125C2"/>
    <w:rsid w:val="001126C1"/>
    <w:rsid w:val="001127B1"/>
    <w:rsid w:val="001128CA"/>
    <w:rsid w:val="00112993"/>
    <w:rsid w:val="00112A10"/>
    <w:rsid w:val="00112A6A"/>
    <w:rsid w:val="00112A87"/>
    <w:rsid w:val="00112BBD"/>
    <w:rsid w:val="00112BCA"/>
    <w:rsid w:val="00112CCE"/>
    <w:rsid w:val="00112D0B"/>
    <w:rsid w:val="00112D0E"/>
    <w:rsid w:val="00112E6B"/>
    <w:rsid w:val="00112EA4"/>
    <w:rsid w:val="00112FD0"/>
    <w:rsid w:val="0011310C"/>
    <w:rsid w:val="001131A8"/>
    <w:rsid w:val="001131C9"/>
    <w:rsid w:val="0011323D"/>
    <w:rsid w:val="00113251"/>
    <w:rsid w:val="001132AA"/>
    <w:rsid w:val="001132D1"/>
    <w:rsid w:val="00113467"/>
    <w:rsid w:val="00113486"/>
    <w:rsid w:val="0011355C"/>
    <w:rsid w:val="001135AC"/>
    <w:rsid w:val="00113663"/>
    <w:rsid w:val="00113700"/>
    <w:rsid w:val="0011370F"/>
    <w:rsid w:val="00113715"/>
    <w:rsid w:val="0011372D"/>
    <w:rsid w:val="001137C6"/>
    <w:rsid w:val="00113811"/>
    <w:rsid w:val="00113814"/>
    <w:rsid w:val="001138D1"/>
    <w:rsid w:val="001138DD"/>
    <w:rsid w:val="001138E3"/>
    <w:rsid w:val="001139A4"/>
    <w:rsid w:val="001139BC"/>
    <w:rsid w:val="00113A9F"/>
    <w:rsid w:val="00113AD6"/>
    <w:rsid w:val="00113B0B"/>
    <w:rsid w:val="00113B95"/>
    <w:rsid w:val="00113BC1"/>
    <w:rsid w:val="00113BC5"/>
    <w:rsid w:val="00113C2B"/>
    <w:rsid w:val="00113CF7"/>
    <w:rsid w:val="00113E42"/>
    <w:rsid w:val="00113FB0"/>
    <w:rsid w:val="00113FCA"/>
    <w:rsid w:val="00113FDF"/>
    <w:rsid w:val="001141D3"/>
    <w:rsid w:val="00114460"/>
    <w:rsid w:val="001145A6"/>
    <w:rsid w:val="001146CC"/>
    <w:rsid w:val="00114791"/>
    <w:rsid w:val="001148BA"/>
    <w:rsid w:val="001149BD"/>
    <w:rsid w:val="001149DA"/>
    <w:rsid w:val="00114A01"/>
    <w:rsid w:val="00114A7B"/>
    <w:rsid w:val="00114AAB"/>
    <w:rsid w:val="00114AF5"/>
    <w:rsid w:val="00114BD6"/>
    <w:rsid w:val="00114C99"/>
    <w:rsid w:val="00114D3B"/>
    <w:rsid w:val="00114D91"/>
    <w:rsid w:val="00114EC3"/>
    <w:rsid w:val="00114F65"/>
    <w:rsid w:val="00114FFC"/>
    <w:rsid w:val="00115114"/>
    <w:rsid w:val="0011512E"/>
    <w:rsid w:val="0011513C"/>
    <w:rsid w:val="001151D5"/>
    <w:rsid w:val="001151EA"/>
    <w:rsid w:val="001152C3"/>
    <w:rsid w:val="0011568E"/>
    <w:rsid w:val="001157E5"/>
    <w:rsid w:val="001158BB"/>
    <w:rsid w:val="001159B5"/>
    <w:rsid w:val="00115B1C"/>
    <w:rsid w:val="00115C3C"/>
    <w:rsid w:val="00115D32"/>
    <w:rsid w:val="00115DB6"/>
    <w:rsid w:val="00115E74"/>
    <w:rsid w:val="00115E8A"/>
    <w:rsid w:val="00115EAC"/>
    <w:rsid w:val="00115F20"/>
    <w:rsid w:val="00115F98"/>
    <w:rsid w:val="00116108"/>
    <w:rsid w:val="0011611C"/>
    <w:rsid w:val="0011618A"/>
    <w:rsid w:val="00116210"/>
    <w:rsid w:val="00116293"/>
    <w:rsid w:val="001162C5"/>
    <w:rsid w:val="00116329"/>
    <w:rsid w:val="0011641E"/>
    <w:rsid w:val="00116497"/>
    <w:rsid w:val="0011649F"/>
    <w:rsid w:val="00116552"/>
    <w:rsid w:val="001165DE"/>
    <w:rsid w:val="00116607"/>
    <w:rsid w:val="0011662C"/>
    <w:rsid w:val="00116665"/>
    <w:rsid w:val="0011667C"/>
    <w:rsid w:val="0011686C"/>
    <w:rsid w:val="00116917"/>
    <w:rsid w:val="00116A4F"/>
    <w:rsid w:val="00116A79"/>
    <w:rsid w:val="00116B2D"/>
    <w:rsid w:val="00116BE9"/>
    <w:rsid w:val="00116C44"/>
    <w:rsid w:val="00116DF9"/>
    <w:rsid w:val="00116E13"/>
    <w:rsid w:val="00116EE2"/>
    <w:rsid w:val="00116EFD"/>
    <w:rsid w:val="00116F71"/>
    <w:rsid w:val="0011709B"/>
    <w:rsid w:val="001170A9"/>
    <w:rsid w:val="001170CA"/>
    <w:rsid w:val="0011715B"/>
    <w:rsid w:val="00117308"/>
    <w:rsid w:val="00117385"/>
    <w:rsid w:val="001173E6"/>
    <w:rsid w:val="00117499"/>
    <w:rsid w:val="001174D8"/>
    <w:rsid w:val="00117591"/>
    <w:rsid w:val="001176DF"/>
    <w:rsid w:val="00117756"/>
    <w:rsid w:val="001177DE"/>
    <w:rsid w:val="0011781A"/>
    <w:rsid w:val="00117830"/>
    <w:rsid w:val="0011796E"/>
    <w:rsid w:val="001179D6"/>
    <w:rsid w:val="001179E4"/>
    <w:rsid w:val="001179EA"/>
    <w:rsid w:val="001179EC"/>
    <w:rsid w:val="00117A51"/>
    <w:rsid w:val="00117AAA"/>
    <w:rsid w:val="00117ACC"/>
    <w:rsid w:val="00117C3C"/>
    <w:rsid w:val="00117C7C"/>
    <w:rsid w:val="00117C8B"/>
    <w:rsid w:val="00117CB5"/>
    <w:rsid w:val="00117E01"/>
    <w:rsid w:val="00117E56"/>
    <w:rsid w:val="00117EC3"/>
    <w:rsid w:val="00117F7B"/>
    <w:rsid w:val="00117FA0"/>
    <w:rsid w:val="00120144"/>
    <w:rsid w:val="00120181"/>
    <w:rsid w:val="00120426"/>
    <w:rsid w:val="001205E3"/>
    <w:rsid w:val="0012067C"/>
    <w:rsid w:val="00120716"/>
    <w:rsid w:val="00120738"/>
    <w:rsid w:val="0012077F"/>
    <w:rsid w:val="0012079F"/>
    <w:rsid w:val="0012093C"/>
    <w:rsid w:val="0012094B"/>
    <w:rsid w:val="001209D1"/>
    <w:rsid w:val="00120A21"/>
    <w:rsid w:val="00120A47"/>
    <w:rsid w:val="00120A4E"/>
    <w:rsid w:val="00120AC1"/>
    <w:rsid w:val="00120AC3"/>
    <w:rsid w:val="00120AC6"/>
    <w:rsid w:val="00120ADD"/>
    <w:rsid w:val="00120B34"/>
    <w:rsid w:val="00120CE6"/>
    <w:rsid w:val="00120D45"/>
    <w:rsid w:val="00120D73"/>
    <w:rsid w:val="00120ED4"/>
    <w:rsid w:val="00120FD0"/>
    <w:rsid w:val="00120FFB"/>
    <w:rsid w:val="0012107E"/>
    <w:rsid w:val="001210B2"/>
    <w:rsid w:val="001210F8"/>
    <w:rsid w:val="00121170"/>
    <w:rsid w:val="00121209"/>
    <w:rsid w:val="00121213"/>
    <w:rsid w:val="00121253"/>
    <w:rsid w:val="00121289"/>
    <w:rsid w:val="00121297"/>
    <w:rsid w:val="00121298"/>
    <w:rsid w:val="001213E5"/>
    <w:rsid w:val="001214B0"/>
    <w:rsid w:val="001214E8"/>
    <w:rsid w:val="001215B9"/>
    <w:rsid w:val="00121652"/>
    <w:rsid w:val="001216B5"/>
    <w:rsid w:val="00121709"/>
    <w:rsid w:val="0012174E"/>
    <w:rsid w:val="0012179F"/>
    <w:rsid w:val="001217A0"/>
    <w:rsid w:val="001217B9"/>
    <w:rsid w:val="001217DC"/>
    <w:rsid w:val="0012185B"/>
    <w:rsid w:val="00121A5F"/>
    <w:rsid w:val="00121B10"/>
    <w:rsid w:val="00121B65"/>
    <w:rsid w:val="00121C96"/>
    <w:rsid w:val="00121E23"/>
    <w:rsid w:val="00121E38"/>
    <w:rsid w:val="00121E86"/>
    <w:rsid w:val="00121E89"/>
    <w:rsid w:val="00121F0B"/>
    <w:rsid w:val="00121F27"/>
    <w:rsid w:val="00122053"/>
    <w:rsid w:val="001220EB"/>
    <w:rsid w:val="0012218A"/>
    <w:rsid w:val="001222F8"/>
    <w:rsid w:val="001224C0"/>
    <w:rsid w:val="0012254D"/>
    <w:rsid w:val="001225E7"/>
    <w:rsid w:val="001226AE"/>
    <w:rsid w:val="001226E9"/>
    <w:rsid w:val="001226FD"/>
    <w:rsid w:val="00122720"/>
    <w:rsid w:val="00122791"/>
    <w:rsid w:val="0012288C"/>
    <w:rsid w:val="001228A8"/>
    <w:rsid w:val="00122965"/>
    <w:rsid w:val="001229B6"/>
    <w:rsid w:val="001229BC"/>
    <w:rsid w:val="00122A1A"/>
    <w:rsid w:val="00122A86"/>
    <w:rsid w:val="00122B49"/>
    <w:rsid w:val="00122C90"/>
    <w:rsid w:val="00122DB6"/>
    <w:rsid w:val="00122E0A"/>
    <w:rsid w:val="00122E45"/>
    <w:rsid w:val="00122FE4"/>
    <w:rsid w:val="0012308A"/>
    <w:rsid w:val="00123274"/>
    <w:rsid w:val="00123311"/>
    <w:rsid w:val="001233CC"/>
    <w:rsid w:val="0012349E"/>
    <w:rsid w:val="0012351B"/>
    <w:rsid w:val="0012353E"/>
    <w:rsid w:val="0012367B"/>
    <w:rsid w:val="0012369C"/>
    <w:rsid w:val="001237CB"/>
    <w:rsid w:val="00123806"/>
    <w:rsid w:val="00123819"/>
    <w:rsid w:val="00123862"/>
    <w:rsid w:val="001238F0"/>
    <w:rsid w:val="001238F5"/>
    <w:rsid w:val="0012393D"/>
    <w:rsid w:val="00123A63"/>
    <w:rsid w:val="00123AA3"/>
    <w:rsid w:val="00123ABF"/>
    <w:rsid w:val="00123B1B"/>
    <w:rsid w:val="00123B7B"/>
    <w:rsid w:val="00123BE3"/>
    <w:rsid w:val="00123CC9"/>
    <w:rsid w:val="00123CE9"/>
    <w:rsid w:val="00123D38"/>
    <w:rsid w:val="00123D86"/>
    <w:rsid w:val="00123EB1"/>
    <w:rsid w:val="00123F24"/>
    <w:rsid w:val="00123F75"/>
    <w:rsid w:val="00123FBB"/>
    <w:rsid w:val="0012402E"/>
    <w:rsid w:val="0012418C"/>
    <w:rsid w:val="001241A0"/>
    <w:rsid w:val="0012425E"/>
    <w:rsid w:val="0012429E"/>
    <w:rsid w:val="001242BF"/>
    <w:rsid w:val="0012430A"/>
    <w:rsid w:val="0012440D"/>
    <w:rsid w:val="001244A5"/>
    <w:rsid w:val="001244C5"/>
    <w:rsid w:val="001244F5"/>
    <w:rsid w:val="0012460B"/>
    <w:rsid w:val="0012463B"/>
    <w:rsid w:val="00124686"/>
    <w:rsid w:val="001246F7"/>
    <w:rsid w:val="0012473A"/>
    <w:rsid w:val="00124788"/>
    <w:rsid w:val="001247E8"/>
    <w:rsid w:val="00124810"/>
    <w:rsid w:val="001248F2"/>
    <w:rsid w:val="0012493B"/>
    <w:rsid w:val="00124AA4"/>
    <w:rsid w:val="00124AC4"/>
    <w:rsid w:val="00124B4D"/>
    <w:rsid w:val="00124BAB"/>
    <w:rsid w:val="00124C7E"/>
    <w:rsid w:val="00124CEE"/>
    <w:rsid w:val="00124D6D"/>
    <w:rsid w:val="00124D84"/>
    <w:rsid w:val="00124E56"/>
    <w:rsid w:val="00124E62"/>
    <w:rsid w:val="00124EE1"/>
    <w:rsid w:val="00124F73"/>
    <w:rsid w:val="00124F98"/>
    <w:rsid w:val="00124FDA"/>
    <w:rsid w:val="00124FF7"/>
    <w:rsid w:val="001250F0"/>
    <w:rsid w:val="00125198"/>
    <w:rsid w:val="0012521F"/>
    <w:rsid w:val="00125239"/>
    <w:rsid w:val="00125333"/>
    <w:rsid w:val="0012537D"/>
    <w:rsid w:val="001254AB"/>
    <w:rsid w:val="001254D0"/>
    <w:rsid w:val="0012558B"/>
    <w:rsid w:val="00125594"/>
    <w:rsid w:val="001255C5"/>
    <w:rsid w:val="00125604"/>
    <w:rsid w:val="00125712"/>
    <w:rsid w:val="00125741"/>
    <w:rsid w:val="00125744"/>
    <w:rsid w:val="00125814"/>
    <w:rsid w:val="00125936"/>
    <w:rsid w:val="001259D6"/>
    <w:rsid w:val="00125A63"/>
    <w:rsid w:val="00125AA8"/>
    <w:rsid w:val="00125B3B"/>
    <w:rsid w:val="00125BBC"/>
    <w:rsid w:val="00125BBF"/>
    <w:rsid w:val="00125BC8"/>
    <w:rsid w:val="00125C52"/>
    <w:rsid w:val="00125C54"/>
    <w:rsid w:val="00125DDB"/>
    <w:rsid w:val="00125EB1"/>
    <w:rsid w:val="00125EC4"/>
    <w:rsid w:val="00125F3E"/>
    <w:rsid w:val="00126005"/>
    <w:rsid w:val="0012606E"/>
    <w:rsid w:val="00126077"/>
    <w:rsid w:val="00126079"/>
    <w:rsid w:val="001260A7"/>
    <w:rsid w:val="00126171"/>
    <w:rsid w:val="00126207"/>
    <w:rsid w:val="00126294"/>
    <w:rsid w:val="001262A6"/>
    <w:rsid w:val="00126449"/>
    <w:rsid w:val="00126477"/>
    <w:rsid w:val="00126592"/>
    <w:rsid w:val="001265AC"/>
    <w:rsid w:val="00126612"/>
    <w:rsid w:val="001266A3"/>
    <w:rsid w:val="001266EA"/>
    <w:rsid w:val="00126711"/>
    <w:rsid w:val="0012671B"/>
    <w:rsid w:val="001267CB"/>
    <w:rsid w:val="001268CB"/>
    <w:rsid w:val="0012698C"/>
    <w:rsid w:val="001269F2"/>
    <w:rsid w:val="00126A71"/>
    <w:rsid w:val="00126BE5"/>
    <w:rsid w:val="00126CF1"/>
    <w:rsid w:val="00126D1E"/>
    <w:rsid w:val="00126D93"/>
    <w:rsid w:val="00126E30"/>
    <w:rsid w:val="001270AE"/>
    <w:rsid w:val="001270C2"/>
    <w:rsid w:val="00127173"/>
    <w:rsid w:val="00127186"/>
    <w:rsid w:val="00127241"/>
    <w:rsid w:val="00127254"/>
    <w:rsid w:val="001274DE"/>
    <w:rsid w:val="0012764D"/>
    <w:rsid w:val="00127705"/>
    <w:rsid w:val="00127735"/>
    <w:rsid w:val="0012784D"/>
    <w:rsid w:val="00127888"/>
    <w:rsid w:val="001278A9"/>
    <w:rsid w:val="001278AC"/>
    <w:rsid w:val="001278D3"/>
    <w:rsid w:val="0012798E"/>
    <w:rsid w:val="001279AA"/>
    <w:rsid w:val="00127A01"/>
    <w:rsid w:val="00127B84"/>
    <w:rsid w:val="00127C09"/>
    <w:rsid w:val="00127C5D"/>
    <w:rsid w:val="00127CC9"/>
    <w:rsid w:val="00127D98"/>
    <w:rsid w:val="00127E32"/>
    <w:rsid w:val="00127F06"/>
    <w:rsid w:val="00127F07"/>
    <w:rsid w:val="00127F6B"/>
    <w:rsid w:val="00130075"/>
    <w:rsid w:val="0013026C"/>
    <w:rsid w:val="00130479"/>
    <w:rsid w:val="001304A3"/>
    <w:rsid w:val="0013072E"/>
    <w:rsid w:val="0013075F"/>
    <w:rsid w:val="001308F4"/>
    <w:rsid w:val="00130900"/>
    <w:rsid w:val="00130949"/>
    <w:rsid w:val="0013098B"/>
    <w:rsid w:val="001309F5"/>
    <w:rsid w:val="00130A92"/>
    <w:rsid w:val="00130AAB"/>
    <w:rsid w:val="00130AFE"/>
    <w:rsid w:val="00130BF7"/>
    <w:rsid w:val="00130C0B"/>
    <w:rsid w:val="00130CFC"/>
    <w:rsid w:val="00130D34"/>
    <w:rsid w:val="00130D87"/>
    <w:rsid w:val="00130D99"/>
    <w:rsid w:val="00130E6A"/>
    <w:rsid w:val="00130FC3"/>
    <w:rsid w:val="00131163"/>
    <w:rsid w:val="001311A7"/>
    <w:rsid w:val="0013121B"/>
    <w:rsid w:val="00131396"/>
    <w:rsid w:val="00131486"/>
    <w:rsid w:val="00131581"/>
    <w:rsid w:val="00131626"/>
    <w:rsid w:val="001316C3"/>
    <w:rsid w:val="00131ACE"/>
    <w:rsid w:val="00131BD1"/>
    <w:rsid w:val="00131C19"/>
    <w:rsid w:val="00131C97"/>
    <w:rsid w:val="00131CFF"/>
    <w:rsid w:val="00131D51"/>
    <w:rsid w:val="00131E9E"/>
    <w:rsid w:val="00131E9F"/>
    <w:rsid w:val="00131F40"/>
    <w:rsid w:val="00132004"/>
    <w:rsid w:val="0013203D"/>
    <w:rsid w:val="00132272"/>
    <w:rsid w:val="00132293"/>
    <w:rsid w:val="00132383"/>
    <w:rsid w:val="001323A7"/>
    <w:rsid w:val="0013242D"/>
    <w:rsid w:val="0013248B"/>
    <w:rsid w:val="001325E5"/>
    <w:rsid w:val="00132648"/>
    <w:rsid w:val="001326B2"/>
    <w:rsid w:val="001326C3"/>
    <w:rsid w:val="001328D2"/>
    <w:rsid w:val="0013298D"/>
    <w:rsid w:val="00132A3B"/>
    <w:rsid w:val="00132B21"/>
    <w:rsid w:val="00132B7D"/>
    <w:rsid w:val="00132B9D"/>
    <w:rsid w:val="00132C79"/>
    <w:rsid w:val="00132E9A"/>
    <w:rsid w:val="00132F6F"/>
    <w:rsid w:val="00132FF8"/>
    <w:rsid w:val="001330E7"/>
    <w:rsid w:val="001331F5"/>
    <w:rsid w:val="00133230"/>
    <w:rsid w:val="0013323A"/>
    <w:rsid w:val="0013326A"/>
    <w:rsid w:val="00133430"/>
    <w:rsid w:val="0013361F"/>
    <w:rsid w:val="00133643"/>
    <w:rsid w:val="00133652"/>
    <w:rsid w:val="0013374B"/>
    <w:rsid w:val="00133794"/>
    <w:rsid w:val="001337A5"/>
    <w:rsid w:val="0013380B"/>
    <w:rsid w:val="00133834"/>
    <w:rsid w:val="001338B1"/>
    <w:rsid w:val="001338C0"/>
    <w:rsid w:val="00133937"/>
    <w:rsid w:val="0013399F"/>
    <w:rsid w:val="00133A39"/>
    <w:rsid w:val="00133C0F"/>
    <w:rsid w:val="00133D32"/>
    <w:rsid w:val="00133E66"/>
    <w:rsid w:val="00133EB4"/>
    <w:rsid w:val="00133F67"/>
    <w:rsid w:val="00133FA3"/>
    <w:rsid w:val="00134044"/>
    <w:rsid w:val="0013410F"/>
    <w:rsid w:val="0013413A"/>
    <w:rsid w:val="0013418E"/>
    <w:rsid w:val="00134292"/>
    <w:rsid w:val="001342F5"/>
    <w:rsid w:val="001343DB"/>
    <w:rsid w:val="00134431"/>
    <w:rsid w:val="00134481"/>
    <w:rsid w:val="0013451D"/>
    <w:rsid w:val="001345B6"/>
    <w:rsid w:val="0013468A"/>
    <w:rsid w:val="00134785"/>
    <w:rsid w:val="00134790"/>
    <w:rsid w:val="00134792"/>
    <w:rsid w:val="001347A3"/>
    <w:rsid w:val="00134935"/>
    <w:rsid w:val="00134986"/>
    <w:rsid w:val="00134A53"/>
    <w:rsid w:val="00134A89"/>
    <w:rsid w:val="00134AF3"/>
    <w:rsid w:val="00134CBA"/>
    <w:rsid w:val="00134DA4"/>
    <w:rsid w:val="00134DDB"/>
    <w:rsid w:val="00134E8E"/>
    <w:rsid w:val="00134EE1"/>
    <w:rsid w:val="00134F7A"/>
    <w:rsid w:val="00134FE4"/>
    <w:rsid w:val="001351DA"/>
    <w:rsid w:val="0013527A"/>
    <w:rsid w:val="00135376"/>
    <w:rsid w:val="00135512"/>
    <w:rsid w:val="00135529"/>
    <w:rsid w:val="001355DB"/>
    <w:rsid w:val="00135673"/>
    <w:rsid w:val="0013573F"/>
    <w:rsid w:val="00135782"/>
    <w:rsid w:val="001358A6"/>
    <w:rsid w:val="0013593C"/>
    <w:rsid w:val="00135977"/>
    <w:rsid w:val="001359ED"/>
    <w:rsid w:val="00135A0D"/>
    <w:rsid w:val="00135A22"/>
    <w:rsid w:val="00135A7E"/>
    <w:rsid w:val="00135B63"/>
    <w:rsid w:val="00135C20"/>
    <w:rsid w:val="00135C2A"/>
    <w:rsid w:val="00135C9F"/>
    <w:rsid w:val="00135CF5"/>
    <w:rsid w:val="00135D3A"/>
    <w:rsid w:val="00135D3D"/>
    <w:rsid w:val="00135D46"/>
    <w:rsid w:val="00135EC1"/>
    <w:rsid w:val="00135F1F"/>
    <w:rsid w:val="00135F43"/>
    <w:rsid w:val="00135F9A"/>
    <w:rsid w:val="00135FF3"/>
    <w:rsid w:val="00136024"/>
    <w:rsid w:val="00136104"/>
    <w:rsid w:val="00136299"/>
    <w:rsid w:val="001362F4"/>
    <w:rsid w:val="00136323"/>
    <w:rsid w:val="00136467"/>
    <w:rsid w:val="001364EE"/>
    <w:rsid w:val="00136622"/>
    <w:rsid w:val="00136817"/>
    <w:rsid w:val="001368D3"/>
    <w:rsid w:val="001369FF"/>
    <w:rsid w:val="00136A65"/>
    <w:rsid w:val="00136B00"/>
    <w:rsid w:val="00136B54"/>
    <w:rsid w:val="00136B61"/>
    <w:rsid w:val="00136BED"/>
    <w:rsid w:val="00136C7E"/>
    <w:rsid w:val="00136CA7"/>
    <w:rsid w:val="00136CAF"/>
    <w:rsid w:val="00136CEE"/>
    <w:rsid w:val="00136E57"/>
    <w:rsid w:val="00136EC4"/>
    <w:rsid w:val="00136ECE"/>
    <w:rsid w:val="00136F26"/>
    <w:rsid w:val="00136F84"/>
    <w:rsid w:val="0013711E"/>
    <w:rsid w:val="001372AC"/>
    <w:rsid w:val="001372E1"/>
    <w:rsid w:val="00137460"/>
    <w:rsid w:val="001374DC"/>
    <w:rsid w:val="00137535"/>
    <w:rsid w:val="0013759C"/>
    <w:rsid w:val="00137623"/>
    <w:rsid w:val="00137661"/>
    <w:rsid w:val="0013771F"/>
    <w:rsid w:val="001377EF"/>
    <w:rsid w:val="001378CA"/>
    <w:rsid w:val="0013795E"/>
    <w:rsid w:val="00137A69"/>
    <w:rsid w:val="00137B29"/>
    <w:rsid w:val="00137B4C"/>
    <w:rsid w:val="00137CEE"/>
    <w:rsid w:val="00137DB4"/>
    <w:rsid w:val="00137E1B"/>
    <w:rsid w:val="00137E2A"/>
    <w:rsid w:val="00137F68"/>
    <w:rsid w:val="00140001"/>
    <w:rsid w:val="00140011"/>
    <w:rsid w:val="00140060"/>
    <w:rsid w:val="001401C9"/>
    <w:rsid w:val="00140228"/>
    <w:rsid w:val="0014027B"/>
    <w:rsid w:val="00140321"/>
    <w:rsid w:val="001403D0"/>
    <w:rsid w:val="001403F5"/>
    <w:rsid w:val="001404AA"/>
    <w:rsid w:val="001404AD"/>
    <w:rsid w:val="00140506"/>
    <w:rsid w:val="0014055C"/>
    <w:rsid w:val="001405DC"/>
    <w:rsid w:val="0014064F"/>
    <w:rsid w:val="001406F4"/>
    <w:rsid w:val="00140800"/>
    <w:rsid w:val="0014094F"/>
    <w:rsid w:val="001409D6"/>
    <w:rsid w:val="00140BF1"/>
    <w:rsid w:val="00140BFD"/>
    <w:rsid w:val="00140C39"/>
    <w:rsid w:val="00140DB9"/>
    <w:rsid w:val="00140E45"/>
    <w:rsid w:val="00140E68"/>
    <w:rsid w:val="00140ED1"/>
    <w:rsid w:val="00140FD2"/>
    <w:rsid w:val="0014118C"/>
    <w:rsid w:val="001411E0"/>
    <w:rsid w:val="001411FB"/>
    <w:rsid w:val="001412DD"/>
    <w:rsid w:val="00141307"/>
    <w:rsid w:val="0014134C"/>
    <w:rsid w:val="00141351"/>
    <w:rsid w:val="001413B6"/>
    <w:rsid w:val="001413EF"/>
    <w:rsid w:val="001414D3"/>
    <w:rsid w:val="00141503"/>
    <w:rsid w:val="001416A3"/>
    <w:rsid w:val="00141816"/>
    <w:rsid w:val="001418F7"/>
    <w:rsid w:val="00141AA5"/>
    <w:rsid w:val="00141ABF"/>
    <w:rsid w:val="00141AFB"/>
    <w:rsid w:val="00141B3A"/>
    <w:rsid w:val="00141C96"/>
    <w:rsid w:val="00141CED"/>
    <w:rsid w:val="00141CF8"/>
    <w:rsid w:val="00141D17"/>
    <w:rsid w:val="00141D73"/>
    <w:rsid w:val="00141EED"/>
    <w:rsid w:val="00141EF5"/>
    <w:rsid w:val="00141F46"/>
    <w:rsid w:val="00141FA8"/>
    <w:rsid w:val="00141FA9"/>
    <w:rsid w:val="00142052"/>
    <w:rsid w:val="0014206F"/>
    <w:rsid w:val="001420A9"/>
    <w:rsid w:val="00142102"/>
    <w:rsid w:val="0014219C"/>
    <w:rsid w:val="001421B2"/>
    <w:rsid w:val="001421C4"/>
    <w:rsid w:val="001422B2"/>
    <w:rsid w:val="00142344"/>
    <w:rsid w:val="00142484"/>
    <w:rsid w:val="00142508"/>
    <w:rsid w:val="00142532"/>
    <w:rsid w:val="001425B9"/>
    <w:rsid w:val="001426D2"/>
    <w:rsid w:val="001426D7"/>
    <w:rsid w:val="001427F5"/>
    <w:rsid w:val="00142971"/>
    <w:rsid w:val="00142A67"/>
    <w:rsid w:val="00142BAA"/>
    <w:rsid w:val="00142CD3"/>
    <w:rsid w:val="00142E02"/>
    <w:rsid w:val="00142E4D"/>
    <w:rsid w:val="00142EB1"/>
    <w:rsid w:val="00142EEA"/>
    <w:rsid w:val="00143046"/>
    <w:rsid w:val="0014312D"/>
    <w:rsid w:val="00143146"/>
    <w:rsid w:val="0014317C"/>
    <w:rsid w:val="0014321B"/>
    <w:rsid w:val="001432DE"/>
    <w:rsid w:val="0014334D"/>
    <w:rsid w:val="001433AC"/>
    <w:rsid w:val="001434AD"/>
    <w:rsid w:val="001434B8"/>
    <w:rsid w:val="0014359C"/>
    <w:rsid w:val="001437E7"/>
    <w:rsid w:val="0014382A"/>
    <w:rsid w:val="0014383C"/>
    <w:rsid w:val="0014386A"/>
    <w:rsid w:val="00143878"/>
    <w:rsid w:val="00143897"/>
    <w:rsid w:val="001438A5"/>
    <w:rsid w:val="001438C9"/>
    <w:rsid w:val="001439FB"/>
    <w:rsid w:val="00143AC6"/>
    <w:rsid w:val="00143B27"/>
    <w:rsid w:val="00143C36"/>
    <w:rsid w:val="00143E82"/>
    <w:rsid w:val="00143EDC"/>
    <w:rsid w:val="00143F59"/>
    <w:rsid w:val="00143F7F"/>
    <w:rsid w:val="00144122"/>
    <w:rsid w:val="00144211"/>
    <w:rsid w:val="00144254"/>
    <w:rsid w:val="0014428A"/>
    <w:rsid w:val="001442E3"/>
    <w:rsid w:val="00144593"/>
    <w:rsid w:val="001446AA"/>
    <w:rsid w:val="00144769"/>
    <w:rsid w:val="001447BB"/>
    <w:rsid w:val="001447E8"/>
    <w:rsid w:val="00144874"/>
    <w:rsid w:val="0014497D"/>
    <w:rsid w:val="001449F5"/>
    <w:rsid w:val="00144A85"/>
    <w:rsid w:val="00144A9B"/>
    <w:rsid w:val="00144ADB"/>
    <w:rsid w:val="00144B89"/>
    <w:rsid w:val="00144BD6"/>
    <w:rsid w:val="00144C26"/>
    <w:rsid w:val="00144C46"/>
    <w:rsid w:val="00144CD1"/>
    <w:rsid w:val="00144D46"/>
    <w:rsid w:val="00144D55"/>
    <w:rsid w:val="00144E40"/>
    <w:rsid w:val="00144EF2"/>
    <w:rsid w:val="00144FE9"/>
    <w:rsid w:val="0014501B"/>
    <w:rsid w:val="00145076"/>
    <w:rsid w:val="00145078"/>
    <w:rsid w:val="00145122"/>
    <w:rsid w:val="0014512B"/>
    <w:rsid w:val="00145225"/>
    <w:rsid w:val="001452B5"/>
    <w:rsid w:val="0014530B"/>
    <w:rsid w:val="001453F7"/>
    <w:rsid w:val="0014541B"/>
    <w:rsid w:val="00145479"/>
    <w:rsid w:val="00145556"/>
    <w:rsid w:val="0014556C"/>
    <w:rsid w:val="001456E8"/>
    <w:rsid w:val="00145793"/>
    <w:rsid w:val="001457AC"/>
    <w:rsid w:val="00145870"/>
    <w:rsid w:val="00145894"/>
    <w:rsid w:val="0014589D"/>
    <w:rsid w:val="001458C9"/>
    <w:rsid w:val="001458E0"/>
    <w:rsid w:val="0014595A"/>
    <w:rsid w:val="00145A2A"/>
    <w:rsid w:val="00145ACE"/>
    <w:rsid w:val="00145AFC"/>
    <w:rsid w:val="00145B32"/>
    <w:rsid w:val="00145B90"/>
    <w:rsid w:val="00145C82"/>
    <w:rsid w:val="00145C94"/>
    <w:rsid w:val="00145FF5"/>
    <w:rsid w:val="00145FF9"/>
    <w:rsid w:val="00146064"/>
    <w:rsid w:val="00146202"/>
    <w:rsid w:val="0014638C"/>
    <w:rsid w:val="001464CF"/>
    <w:rsid w:val="001464DB"/>
    <w:rsid w:val="00146529"/>
    <w:rsid w:val="001465E2"/>
    <w:rsid w:val="0014660A"/>
    <w:rsid w:val="0014668B"/>
    <w:rsid w:val="001466E2"/>
    <w:rsid w:val="0014671B"/>
    <w:rsid w:val="0014679D"/>
    <w:rsid w:val="001467C8"/>
    <w:rsid w:val="001468F7"/>
    <w:rsid w:val="001469CB"/>
    <w:rsid w:val="001469CC"/>
    <w:rsid w:val="00146A1E"/>
    <w:rsid w:val="00146A91"/>
    <w:rsid w:val="00146B5B"/>
    <w:rsid w:val="00146BF3"/>
    <w:rsid w:val="00146CA0"/>
    <w:rsid w:val="00146D0C"/>
    <w:rsid w:val="00146D7C"/>
    <w:rsid w:val="00146DC8"/>
    <w:rsid w:val="00146DE4"/>
    <w:rsid w:val="00146DE9"/>
    <w:rsid w:val="00146E2E"/>
    <w:rsid w:val="00146F7F"/>
    <w:rsid w:val="00146FF2"/>
    <w:rsid w:val="001471FD"/>
    <w:rsid w:val="001472E2"/>
    <w:rsid w:val="001472E6"/>
    <w:rsid w:val="0014735D"/>
    <w:rsid w:val="001473AB"/>
    <w:rsid w:val="00147402"/>
    <w:rsid w:val="00147430"/>
    <w:rsid w:val="001474AF"/>
    <w:rsid w:val="001474BB"/>
    <w:rsid w:val="0014750A"/>
    <w:rsid w:val="001475AC"/>
    <w:rsid w:val="001475F5"/>
    <w:rsid w:val="00147753"/>
    <w:rsid w:val="001477BD"/>
    <w:rsid w:val="00147897"/>
    <w:rsid w:val="0014789D"/>
    <w:rsid w:val="00147900"/>
    <w:rsid w:val="0014794C"/>
    <w:rsid w:val="00147B57"/>
    <w:rsid w:val="00147C7B"/>
    <w:rsid w:val="00147C90"/>
    <w:rsid w:val="00147C91"/>
    <w:rsid w:val="00147DE1"/>
    <w:rsid w:val="00147DF1"/>
    <w:rsid w:val="00147DF8"/>
    <w:rsid w:val="00147E05"/>
    <w:rsid w:val="00150038"/>
    <w:rsid w:val="001500DB"/>
    <w:rsid w:val="00150265"/>
    <w:rsid w:val="001502AC"/>
    <w:rsid w:val="001502C4"/>
    <w:rsid w:val="00150340"/>
    <w:rsid w:val="001504E9"/>
    <w:rsid w:val="001504F8"/>
    <w:rsid w:val="001506E5"/>
    <w:rsid w:val="0015070C"/>
    <w:rsid w:val="00150848"/>
    <w:rsid w:val="00150870"/>
    <w:rsid w:val="0015099E"/>
    <w:rsid w:val="00150AF5"/>
    <w:rsid w:val="00150B12"/>
    <w:rsid w:val="00150BEA"/>
    <w:rsid w:val="00150BED"/>
    <w:rsid w:val="00150C59"/>
    <w:rsid w:val="00150DA8"/>
    <w:rsid w:val="00150DB0"/>
    <w:rsid w:val="00150FDA"/>
    <w:rsid w:val="00150FDF"/>
    <w:rsid w:val="00151029"/>
    <w:rsid w:val="0015103F"/>
    <w:rsid w:val="00151094"/>
    <w:rsid w:val="00151235"/>
    <w:rsid w:val="00151250"/>
    <w:rsid w:val="001514C3"/>
    <w:rsid w:val="0015154D"/>
    <w:rsid w:val="001515A4"/>
    <w:rsid w:val="001516B4"/>
    <w:rsid w:val="001517D7"/>
    <w:rsid w:val="0015181D"/>
    <w:rsid w:val="00151831"/>
    <w:rsid w:val="00151913"/>
    <w:rsid w:val="00151932"/>
    <w:rsid w:val="0015198A"/>
    <w:rsid w:val="001519C5"/>
    <w:rsid w:val="00151A5F"/>
    <w:rsid w:val="00151A8D"/>
    <w:rsid w:val="00151B98"/>
    <w:rsid w:val="00151BA9"/>
    <w:rsid w:val="00151E82"/>
    <w:rsid w:val="00151E96"/>
    <w:rsid w:val="00151EA8"/>
    <w:rsid w:val="00151EB4"/>
    <w:rsid w:val="00151EBC"/>
    <w:rsid w:val="001520E2"/>
    <w:rsid w:val="00152106"/>
    <w:rsid w:val="0015217F"/>
    <w:rsid w:val="00152262"/>
    <w:rsid w:val="0015226B"/>
    <w:rsid w:val="00152286"/>
    <w:rsid w:val="00152364"/>
    <w:rsid w:val="00152396"/>
    <w:rsid w:val="00152491"/>
    <w:rsid w:val="0015252E"/>
    <w:rsid w:val="001525FE"/>
    <w:rsid w:val="00152604"/>
    <w:rsid w:val="0015261B"/>
    <w:rsid w:val="001527BB"/>
    <w:rsid w:val="00152836"/>
    <w:rsid w:val="001528CA"/>
    <w:rsid w:val="001528CC"/>
    <w:rsid w:val="00152930"/>
    <w:rsid w:val="00152944"/>
    <w:rsid w:val="001529F7"/>
    <w:rsid w:val="001529FE"/>
    <w:rsid w:val="00152A07"/>
    <w:rsid w:val="00152A21"/>
    <w:rsid w:val="00152BF7"/>
    <w:rsid w:val="00152CBB"/>
    <w:rsid w:val="00152D12"/>
    <w:rsid w:val="00152D4E"/>
    <w:rsid w:val="00152DA1"/>
    <w:rsid w:val="00152E84"/>
    <w:rsid w:val="00152EB4"/>
    <w:rsid w:val="00152EC1"/>
    <w:rsid w:val="00152FA1"/>
    <w:rsid w:val="00152FB1"/>
    <w:rsid w:val="00152FEF"/>
    <w:rsid w:val="001530DE"/>
    <w:rsid w:val="001530E0"/>
    <w:rsid w:val="0015310C"/>
    <w:rsid w:val="00153219"/>
    <w:rsid w:val="001532B0"/>
    <w:rsid w:val="001533C4"/>
    <w:rsid w:val="001534A7"/>
    <w:rsid w:val="001534F7"/>
    <w:rsid w:val="00153502"/>
    <w:rsid w:val="00153595"/>
    <w:rsid w:val="001536BF"/>
    <w:rsid w:val="0015375C"/>
    <w:rsid w:val="00153881"/>
    <w:rsid w:val="00153971"/>
    <w:rsid w:val="001539B3"/>
    <w:rsid w:val="00153A09"/>
    <w:rsid w:val="00153B19"/>
    <w:rsid w:val="00153D50"/>
    <w:rsid w:val="00153D7B"/>
    <w:rsid w:val="00153E51"/>
    <w:rsid w:val="00153EA7"/>
    <w:rsid w:val="00154078"/>
    <w:rsid w:val="00154150"/>
    <w:rsid w:val="001541BB"/>
    <w:rsid w:val="0015423A"/>
    <w:rsid w:val="00154264"/>
    <w:rsid w:val="0015427C"/>
    <w:rsid w:val="001544A7"/>
    <w:rsid w:val="001544F1"/>
    <w:rsid w:val="0015453A"/>
    <w:rsid w:val="0015458D"/>
    <w:rsid w:val="001545BA"/>
    <w:rsid w:val="00154657"/>
    <w:rsid w:val="0015465F"/>
    <w:rsid w:val="001546C6"/>
    <w:rsid w:val="0015471B"/>
    <w:rsid w:val="00154816"/>
    <w:rsid w:val="0015481C"/>
    <w:rsid w:val="00154878"/>
    <w:rsid w:val="00154978"/>
    <w:rsid w:val="0015499A"/>
    <w:rsid w:val="00154A2F"/>
    <w:rsid w:val="00154B1B"/>
    <w:rsid w:val="00154DD1"/>
    <w:rsid w:val="00154ED8"/>
    <w:rsid w:val="00154EDB"/>
    <w:rsid w:val="0015508C"/>
    <w:rsid w:val="001550C8"/>
    <w:rsid w:val="0015529D"/>
    <w:rsid w:val="001552EA"/>
    <w:rsid w:val="001552FD"/>
    <w:rsid w:val="00155337"/>
    <w:rsid w:val="00155399"/>
    <w:rsid w:val="001553AE"/>
    <w:rsid w:val="001553F4"/>
    <w:rsid w:val="00155437"/>
    <w:rsid w:val="0015549B"/>
    <w:rsid w:val="001554BF"/>
    <w:rsid w:val="001554C7"/>
    <w:rsid w:val="001554D3"/>
    <w:rsid w:val="00155530"/>
    <w:rsid w:val="00155627"/>
    <w:rsid w:val="001557A6"/>
    <w:rsid w:val="001557BC"/>
    <w:rsid w:val="0015582D"/>
    <w:rsid w:val="001558D7"/>
    <w:rsid w:val="0015590A"/>
    <w:rsid w:val="00155933"/>
    <w:rsid w:val="001559EF"/>
    <w:rsid w:val="00155A0C"/>
    <w:rsid w:val="00155AD5"/>
    <w:rsid w:val="00155ADA"/>
    <w:rsid w:val="00155B12"/>
    <w:rsid w:val="00155CA2"/>
    <w:rsid w:val="00155D0E"/>
    <w:rsid w:val="00155D64"/>
    <w:rsid w:val="00155D87"/>
    <w:rsid w:val="00155D8A"/>
    <w:rsid w:val="00155E8E"/>
    <w:rsid w:val="00156098"/>
    <w:rsid w:val="001560B7"/>
    <w:rsid w:val="001560C0"/>
    <w:rsid w:val="00156234"/>
    <w:rsid w:val="0015627C"/>
    <w:rsid w:val="001562A6"/>
    <w:rsid w:val="00156354"/>
    <w:rsid w:val="00156397"/>
    <w:rsid w:val="00156538"/>
    <w:rsid w:val="0015653B"/>
    <w:rsid w:val="001565F1"/>
    <w:rsid w:val="001567C9"/>
    <w:rsid w:val="001567D2"/>
    <w:rsid w:val="001567FB"/>
    <w:rsid w:val="00156838"/>
    <w:rsid w:val="0015685E"/>
    <w:rsid w:val="00156879"/>
    <w:rsid w:val="001568CF"/>
    <w:rsid w:val="00156928"/>
    <w:rsid w:val="0015692E"/>
    <w:rsid w:val="001569C5"/>
    <w:rsid w:val="00156ADE"/>
    <w:rsid w:val="00156B2C"/>
    <w:rsid w:val="00156C9B"/>
    <w:rsid w:val="00156E4F"/>
    <w:rsid w:val="00156E6D"/>
    <w:rsid w:val="00156EA9"/>
    <w:rsid w:val="00156F7B"/>
    <w:rsid w:val="00156F83"/>
    <w:rsid w:val="00156FCC"/>
    <w:rsid w:val="0015704B"/>
    <w:rsid w:val="00157127"/>
    <w:rsid w:val="00157164"/>
    <w:rsid w:val="00157208"/>
    <w:rsid w:val="0015731C"/>
    <w:rsid w:val="0015743B"/>
    <w:rsid w:val="00157440"/>
    <w:rsid w:val="00157464"/>
    <w:rsid w:val="00157471"/>
    <w:rsid w:val="00157665"/>
    <w:rsid w:val="0015766F"/>
    <w:rsid w:val="00157687"/>
    <w:rsid w:val="0015770A"/>
    <w:rsid w:val="00157779"/>
    <w:rsid w:val="001577BC"/>
    <w:rsid w:val="00157834"/>
    <w:rsid w:val="001578FE"/>
    <w:rsid w:val="00157917"/>
    <w:rsid w:val="0015794E"/>
    <w:rsid w:val="0015794F"/>
    <w:rsid w:val="00157987"/>
    <w:rsid w:val="00157A90"/>
    <w:rsid w:val="00157B92"/>
    <w:rsid w:val="00157BA6"/>
    <w:rsid w:val="00157C69"/>
    <w:rsid w:val="00157C7F"/>
    <w:rsid w:val="00157D35"/>
    <w:rsid w:val="00157D39"/>
    <w:rsid w:val="00157D7B"/>
    <w:rsid w:val="00157F63"/>
    <w:rsid w:val="0016007A"/>
    <w:rsid w:val="001600BA"/>
    <w:rsid w:val="001600D5"/>
    <w:rsid w:val="001600D9"/>
    <w:rsid w:val="0016020D"/>
    <w:rsid w:val="00160215"/>
    <w:rsid w:val="00160557"/>
    <w:rsid w:val="0016063C"/>
    <w:rsid w:val="0016080A"/>
    <w:rsid w:val="00160839"/>
    <w:rsid w:val="0016090C"/>
    <w:rsid w:val="0016093F"/>
    <w:rsid w:val="0016099B"/>
    <w:rsid w:val="00160ABA"/>
    <w:rsid w:val="00160B61"/>
    <w:rsid w:val="00160BC1"/>
    <w:rsid w:val="00160D63"/>
    <w:rsid w:val="00160E1F"/>
    <w:rsid w:val="00160E95"/>
    <w:rsid w:val="00161068"/>
    <w:rsid w:val="001610E8"/>
    <w:rsid w:val="0016118D"/>
    <w:rsid w:val="001611A9"/>
    <w:rsid w:val="00161270"/>
    <w:rsid w:val="00161282"/>
    <w:rsid w:val="0016129A"/>
    <w:rsid w:val="00161347"/>
    <w:rsid w:val="0016142C"/>
    <w:rsid w:val="00161446"/>
    <w:rsid w:val="001614A2"/>
    <w:rsid w:val="001614E6"/>
    <w:rsid w:val="00161513"/>
    <w:rsid w:val="00161556"/>
    <w:rsid w:val="001615BA"/>
    <w:rsid w:val="00161669"/>
    <w:rsid w:val="001616A3"/>
    <w:rsid w:val="001617EF"/>
    <w:rsid w:val="00161800"/>
    <w:rsid w:val="00161855"/>
    <w:rsid w:val="001618C8"/>
    <w:rsid w:val="001618DC"/>
    <w:rsid w:val="001618EE"/>
    <w:rsid w:val="0016191D"/>
    <w:rsid w:val="001619AB"/>
    <w:rsid w:val="001619EC"/>
    <w:rsid w:val="00161A5A"/>
    <w:rsid w:val="00161A7B"/>
    <w:rsid w:val="00161BC6"/>
    <w:rsid w:val="00161C2D"/>
    <w:rsid w:val="00161CD5"/>
    <w:rsid w:val="00161DD8"/>
    <w:rsid w:val="00161F06"/>
    <w:rsid w:val="00161F3A"/>
    <w:rsid w:val="00161F9B"/>
    <w:rsid w:val="00161FBC"/>
    <w:rsid w:val="00162015"/>
    <w:rsid w:val="00162024"/>
    <w:rsid w:val="00162100"/>
    <w:rsid w:val="001621AA"/>
    <w:rsid w:val="001621E3"/>
    <w:rsid w:val="0016224F"/>
    <w:rsid w:val="001622D6"/>
    <w:rsid w:val="0016240E"/>
    <w:rsid w:val="00162459"/>
    <w:rsid w:val="0016245D"/>
    <w:rsid w:val="00162484"/>
    <w:rsid w:val="00162497"/>
    <w:rsid w:val="00162521"/>
    <w:rsid w:val="00162610"/>
    <w:rsid w:val="00162650"/>
    <w:rsid w:val="001626F9"/>
    <w:rsid w:val="001627E9"/>
    <w:rsid w:val="00162891"/>
    <w:rsid w:val="00162950"/>
    <w:rsid w:val="00162A55"/>
    <w:rsid w:val="00162AFF"/>
    <w:rsid w:val="00162B2F"/>
    <w:rsid w:val="00162BCF"/>
    <w:rsid w:val="00162C08"/>
    <w:rsid w:val="00162CEC"/>
    <w:rsid w:val="00162D23"/>
    <w:rsid w:val="00162D82"/>
    <w:rsid w:val="00162F2F"/>
    <w:rsid w:val="0016304D"/>
    <w:rsid w:val="001630F9"/>
    <w:rsid w:val="0016311F"/>
    <w:rsid w:val="001631B1"/>
    <w:rsid w:val="0016324F"/>
    <w:rsid w:val="00163309"/>
    <w:rsid w:val="00163320"/>
    <w:rsid w:val="00163341"/>
    <w:rsid w:val="001633A1"/>
    <w:rsid w:val="001633E6"/>
    <w:rsid w:val="001633F5"/>
    <w:rsid w:val="001634AE"/>
    <w:rsid w:val="001634B9"/>
    <w:rsid w:val="001634C8"/>
    <w:rsid w:val="0016377B"/>
    <w:rsid w:val="00163807"/>
    <w:rsid w:val="0016382E"/>
    <w:rsid w:val="0016393E"/>
    <w:rsid w:val="00163951"/>
    <w:rsid w:val="00163997"/>
    <w:rsid w:val="001639A1"/>
    <w:rsid w:val="00163AAD"/>
    <w:rsid w:val="00163BAB"/>
    <w:rsid w:val="00163BC4"/>
    <w:rsid w:val="00163BEC"/>
    <w:rsid w:val="00163D1C"/>
    <w:rsid w:val="00163D36"/>
    <w:rsid w:val="00163EC0"/>
    <w:rsid w:val="00163ED6"/>
    <w:rsid w:val="00163FC0"/>
    <w:rsid w:val="00163FF6"/>
    <w:rsid w:val="001640BA"/>
    <w:rsid w:val="001640BE"/>
    <w:rsid w:val="001640F1"/>
    <w:rsid w:val="00164359"/>
    <w:rsid w:val="00164381"/>
    <w:rsid w:val="00164396"/>
    <w:rsid w:val="00164407"/>
    <w:rsid w:val="00164427"/>
    <w:rsid w:val="00164435"/>
    <w:rsid w:val="00164468"/>
    <w:rsid w:val="00164603"/>
    <w:rsid w:val="00164772"/>
    <w:rsid w:val="00164777"/>
    <w:rsid w:val="00164817"/>
    <w:rsid w:val="001648AB"/>
    <w:rsid w:val="00164A04"/>
    <w:rsid w:val="00164A4E"/>
    <w:rsid w:val="00164A75"/>
    <w:rsid w:val="00164A79"/>
    <w:rsid w:val="00164B7B"/>
    <w:rsid w:val="00164B8D"/>
    <w:rsid w:val="00164C44"/>
    <w:rsid w:val="00164C47"/>
    <w:rsid w:val="00164D61"/>
    <w:rsid w:val="00164D8B"/>
    <w:rsid w:val="00164DA1"/>
    <w:rsid w:val="00164F51"/>
    <w:rsid w:val="00164F61"/>
    <w:rsid w:val="00165029"/>
    <w:rsid w:val="001650BA"/>
    <w:rsid w:val="0016527A"/>
    <w:rsid w:val="00165282"/>
    <w:rsid w:val="0016531D"/>
    <w:rsid w:val="00165355"/>
    <w:rsid w:val="0016538D"/>
    <w:rsid w:val="001654F9"/>
    <w:rsid w:val="00165503"/>
    <w:rsid w:val="001655AA"/>
    <w:rsid w:val="00165643"/>
    <w:rsid w:val="001656ED"/>
    <w:rsid w:val="0016578D"/>
    <w:rsid w:val="001657B4"/>
    <w:rsid w:val="001657BB"/>
    <w:rsid w:val="0016580D"/>
    <w:rsid w:val="0016584C"/>
    <w:rsid w:val="0016588E"/>
    <w:rsid w:val="001659F3"/>
    <w:rsid w:val="00165A7C"/>
    <w:rsid w:val="00165B05"/>
    <w:rsid w:val="00165B23"/>
    <w:rsid w:val="00165BAA"/>
    <w:rsid w:val="00165BCB"/>
    <w:rsid w:val="00165C1F"/>
    <w:rsid w:val="00165C8D"/>
    <w:rsid w:val="00165EFA"/>
    <w:rsid w:val="00165F87"/>
    <w:rsid w:val="00166011"/>
    <w:rsid w:val="001661C2"/>
    <w:rsid w:val="00166289"/>
    <w:rsid w:val="001662F9"/>
    <w:rsid w:val="0016636F"/>
    <w:rsid w:val="0016655D"/>
    <w:rsid w:val="00166578"/>
    <w:rsid w:val="001665DA"/>
    <w:rsid w:val="001666DD"/>
    <w:rsid w:val="0016684B"/>
    <w:rsid w:val="001668F8"/>
    <w:rsid w:val="00166911"/>
    <w:rsid w:val="00166937"/>
    <w:rsid w:val="00166946"/>
    <w:rsid w:val="00166A4D"/>
    <w:rsid w:val="00166A5A"/>
    <w:rsid w:val="00166AD1"/>
    <w:rsid w:val="00166BB9"/>
    <w:rsid w:val="00166BC4"/>
    <w:rsid w:val="00166C53"/>
    <w:rsid w:val="00166D53"/>
    <w:rsid w:val="00166D7B"/>
    <w:rsid w:val="00166E9C"/>
    <w:rsid w:val="00166EAE"/>
    <w:rsid w:val="00166EBD"/>
    <w:rsid w:val="00166EE6"/>
    <w:rsid w:val="00166F18"/>
    <w:rsid w:val="00166F5C"/>
    <w:rsid w:val="00166FC7"/>
    <w:rsid w:val="0016711F"/>
    <w:rsid w:val="00167123"/>
    <w:rsid w:val="001671DF"/>
    <w:rsid w:val="001672E2"/>
    <w:rsid w:val="001673C2"/>
    <w:rsid w:val="00167448"/>
    <w:rsid w:val="001674B3"/>
    <w:rsid w:val="001674C3"/>
    <w:rsid w:val="001674FA"/>
    <w:rsid w:val="001675F6"/>
    <w:rsid w:val="00167617"/>
    <w:rsid w:val="00167637"/>
    <w:rsid w:val="00167660"/>
    <w:rsid w:val="0016779E"/>
    <w:rsid w:val="001677CF"/>
    <w:rsid w:val="00167A05"/>
    <w:rsid w:val="00167A21"/>
    <w:rsid w:val="00167A71"/>
    <w:rsid w:val="00167A7E"/>
    <w:rsid w:val="00167C07"/>
    <w:rsid w:val="00167C19"/>
    <w:rsid w:val="00167C34"/>
    <w:rsid w:val="00167C96"/>
    <w:rsid w:val="00167CC0"/>
    <w:rsid w:val="00167D3E"/>
    <w:rsid w:val="00167D69"/>
    <w:rsid w:val="00167E3C"/>
    <w:rsid w:val="00167ECB"/>
    <w:rsid w:val="00167F1A"/>
    <w:rsid w:val="00167FD4"/>
    <w:rsid w:val="001700FF"/>
    <w:rsid w:val="00170128"/>
    <w:rsid w:val="00170179"/>
    <w:rsid w:val="0017029D"/>
    <w:rsid w:val="001702E9"/>
    <w:rsid w:val="001702EF"/>
    <w:rsid w:val="0017033E"/>
    <w:rsid w:val="001703C2"/>
    <w:rsid w:val="00170439"/>
    <w:rsid w:val="001705F0"/>
    <w:rsid w:val="0017060D"/>
    <w:rsid w:val="0017072A"/>
    <w:rsid w:val="00170734"/>
    <w:rsid w:val="001707E3"/>
    <w:rsid w:val="00170897"/>
    <w:rsid w:val="001708AE"/>
    <w:rsid w:val="001708B0"/>
    <w:rsid w:val="001708ED"/>
    <w:rsid w:val="00170959"/>
    <w:rsid w:val="001709A5"/>
    <w:rsid w:val="00170A05"/>
    <w:rsid w:val="00170AEB"/>
    <w:rsid w:val="00170B4C"/>
    <w:rsid w:val="00170B8F"/>
    <w:rsid w:val="00170BBF"/>
    <w:rsid w:val="00170C5F"/>
    <w:rsid w:val="00170E10"/>
    <w:rsid w:val="00170FE0"/>
    <w:rsid w:val="001711CC"/>
    <w:rsid w:val="001711E0"/>
    <w:rsid w:val="001711F8"/>
    <w:rsid w:val="0017122F"/>
    <w:rsid w:val="001712E8"/>
    <w:rsid w:val="00171327"/>
    <w:rsid w:val="00171346"/>
    <w:rsid w:val="00171465"/>
    <w:rsid w:val="001714E0"/>
    <w:rsid w:val="00171507"/>
    <w:rsid w:val="00171533"/>
    <w:rsid w:val="0017156E"/>
    <w:rsid w:val="0017181D"/>
    <w:rsid w:val="001718B5"/>
    <w:rsid w:val="00171928"/>
    <w:rsid w:val="00171948"/>
    <w:rsid w:val="001719A8"/>
    <w:rsid w:val="00171B74"/>
    <w:rsid w:val="00171C88"/>
    <w:rsid w:val="00171D31"/>
    <w:rsid w:val="00171D5E"/>
    <w:rsid w:val="00171D94"/>
    <w:rsid w:val="00171E7A"/>
    <w:rsid w:val="00171EB3"/>
    <w:rsid w:val="00171F09"/>
    <w:rsid w:val="00171F7C"/>
    <w:rsid w:val="00171FED"/>
    <w:rsid w:val="0017206C"/>
    <w:rsid w:val="00172071"/>
    <w:rsid w:val="00172072"/>
    <w:rsid w:val="0017207E"/>
    <w:rsid w:val="001720B1"/>
    <w:rsid w:val="001720CA"/>
    <w:rsid w:val="00172109"/>
    <w:rsid w:val="00172119"/>
    <w:rsid w:val="0017216D"/>
    <w:rsid w:val="00172176"/>
    <w:rsid w:val="001721D4"/>
    <w:rsid w:val="001722B6"/>
    <w:rsid w:val="001724AC"/>
    <w:rsid w:val="0017266E"/>
    <w:rsid w:val="00172685"/>
    <w:rsid w:val="0017269C"/>
    <w:rsid w:val="00172771"/>
    <w:rsid w:val="001728DB"/>
    <w:rsid w:val="0017294B"/>
    <w:rsid w:val="00172962"/>
    <w:rsid w:val="001729CF"/>
    <w:rsid w:val="00172A94"/>
    <w:rsid w:val="00172B9E"/>
    <w:rsid w:val="00172CFB"/>
    <w:rsid w:val="00172D65"/>
    <w:rsid w:val="00172E7D"/>
    <w:rsid w:val="00172EBE"/>
    <w:rsid w:val="00172EE1"/>
    <w:rsid w:val="00172F58"/>
    <w:rsid w:val="00172F62"/>
    <w:rsid w:val="00172F97"/>
    <w:rsid w:val="001730B5"/>
    <w:rsid w:val="00173279"/>
    <w:rsid w:val="0017330F"/>
    <w:rsid w:val="001733D7"/>
    <w:rsid w:val="001733DF"/>
    <w:rsid w:val="001734DC"/>
    <w:rsid w:val="0017358B"/>
    <w:rsid w:val="001735DA"/>
    <w:rsid w:val="0017380E"/>
    <w:rsid w:val="00173867"/>
    <w:rsid w:val="0017395E"/>
    <w:rsid w:val="00173961"/>
    <w:rsid w:val="00173963"/>
    <w:rsid w:val="00173A24"/>
    <w:rsid w:val="00173AA8"/>
    <w:rsid w:val="00173AF2"/>
    <w:rsid w:val="00173B09"/>
    <w:rsid w:val="00173C1B"/>
    <w:rsid w:val="00173C4D"/>
    <w:rsid w:val="00173CD3"/>
    <w:rsid w:val="00173D19"/>
    <w:rsid w:val="00173D31"/>
    <w:rsid w:val="00173D60"/>
    <w:rsid w:val="00173E03"/>
    <w:rsid w:val="00173E9B"/>
    <w:rsid w:val="00173F79"/>
    <w:rsid w:val="0017406C"/>
    <w:rsid w:val="001740BD"/>
    <w:rsid w:val="001741FA"/>
    <w:rsid w:val="001742AA"/>
    <w:rsid w:val="001742D7"/>
    <w:rsid w:val="00174355"/>
    <w:rsid w:val="00174392"/>
    <w:rsid w:val="0017460C"/>
    <w:rsid w:val="00174629"/>
    <w:rsid w:val="0017463E"/>
    <w:rsid w:val="00174654"/>
    <w:rsid w:val="001747A4"/>
    <w:rsid w:val="001748BE"/>
    <w:rsid w:val="001748E9"/>
    <w:rsid w:val="00174929"/>
    <w:rsid w:val="0017499C"/>
    <w:rsid w:val="00174A7F"/>
    <w:rsid w:val="00174B49"/>
    <w:rsid w:val="00174B53"/>
    <w:rsid w:val="00174B6A"/>
    <w:rsid w:val="00174B9F"/>
    <w:rsid w:val="00174C00"/>
    <w:rsid w:val="00174C8B"/>
    <w:rsid w:val="00174C8C"/>
    <w:rsid w:val="00174CE6"/>
    <w:rsid w:val="00174CEB"/>
    <w:rsid w:val="00174D07"/>
    <w:rsid w:val="00174E5F"/>
    <w:rsid w:val="00174E65"/>
    <w:rsid w:val="00174EA6"/>
    <w:rsid w:val="00174EDE"/>
    <w:rsid w:val="00174F19"/>
    <w:rsid w:val="00174F3B"/>
    <w:rsid w:val="00175027"/>
    <w:rsid w:val="0017506D"/>
    <w:rsid w:val="0017531C"/>
    <w:rsid w:val="001753C9"/>
    <w:rsid w:val="001753DC"/>
    <w:rsid w:val="001753EA"/>
    <w:rsid w:val="00175444"/>
    <w:rsid w:val="001754B1"/>
    <w:rsid w:val="0017555E"/>
    <w:rsid w:val="001755DC"/>
    <w:rsid w:val="001755E4"/>
    <w:rsid w:val="00175669"/>
    <w:rsid w:val="00175711"/>
    <w:rsid w:val="001757AF"/>
    <w:rsid w:val="001757F5"/>
    <w:rsid w:val="001759D7"/>
    <w:rsid w:val="00175B0E"/>
    <w:rsid w:val="00175C6D"/>
    <w:rsid w:val="00175D16"/>
    <w:rsid w:val="00175E29"/>
    <w:rsid w:val="00175EC6"/>
    <w:rsid w:val="00176026"/>
    <w:rsid w:val="0017611E"/>
    <w:rsid w:val="00176122"/>
    <w:rsid w:val="00176127"/>
    <w:rsid w:val="0017613D"/>
    <w:rsid w:val="0017614B"/>
    <w:rsid w:val="0017618E"/>
    <w:rsid w:val="00176362"/>
    <w:rsid w:val="001763E2"/>
    <w:rsid w:val="0017647D"/>
    <w:rsid w:val="001766DA"/>
    <w:rsid w:val="00176930"/>
    <w:rsid w:val="0017697C"/>
    <w:rsid w:val="00176A36"/>
    <w:rsid w:val="00176A6B"/>
    <w:rsid w:val="00176A90"/>
    <w:rsid w:val="00176A9F"/>
    <w:rsid w:val="00176AD5"/>
    <w:rsid w:val="00176AED"/>
    <w:rsid w:val="00176B62"/>
    <w:rsid w:val="00176B8B"/>
    <w:rsid w:val="00176BD0"/>
    <w:rsid w:val="00176C0D"/>
    <w:rsid w:val="00176CD3"/>
    <w:rsid w:val="00176D31"/>
    <w:rsid w:val="00176D47"/>
    <w:rsid w:val="00176DF7"/>
    <w:rsid w:val="00176E42"/>
    <w:rsid w:val="00176F5C"/>
    <w:rsid w:val="00176F6C"/>
    <w:rsid w:val="00177054"/>
    <w:rsid w:val="001770B4"/>
    <w:rsid w:val="0017714F"/>
    <w:rsid w:val="00177177"/>
    <w:rsid w:val="0017717B"/>
    <w:rsid w:val="001771D2"/>
    <w:rsid w:val="00177206"/>
    <w:rsid w:val="0017720B"/>
    <w:rsid w:val="00177239"/>
    <w:rsid w:val="00177331"/>
    <w:rsid w:val="00177365"/>
    <w:rsid w:val="0017738D"/>
    <w:rsid w:val="00177462"/>
    <w:rsid w:val="00177490"/>
    <w:rsid w:val="001774DC"/>
    <w:rsid w:val="001774DF"/>
    <w:rsid w:val="001774E5"/>
    <w:rsid w:val="00177526"/>
    <w:rsid w:val="001776BA"/>
    <w:rsid w:val="001776FC"/>
    <w:rsid w:val="0017775A"/>
    <w:rsid w:val="00177817"/>
    <w:rsid w:val="0017782D"/>
    <w:rsid w:val="0017795C"/>
    <w:rsid w:val="0017798C"/>
    <w:rsid w:val="001779F1"/>
    <w:rsid w:val="00177A60"/>
    <w:rsid w:val="00177A74"/>
    <w:rsid w:val="00177ACF"/>
    <w:rsid w:val="00177AD3"/>
    <w:rsid w:val="00177B25"/>
    <w:rsid w:val="00177C70"/>
    <w:rsid w:val="00177CBB"/>
    <w:rsid w:val="00177D92"/>
    <w:rsid w:val="00177DA0"/>
    <w:rsid w:val="00177DA9"/>
    <w:rsid w:val="00177DAB"/>
    <w:rsid w:val="00177DBC"/>
    <w:rsid w:val="00177E22"/>
    <w:rsid w:val="00177EC0"/>
    <w:rsid w:val="00177FDB"/>
    <w:rsid w:val="0018003D"/>
    <w:rsid w:val="001800C4"/>
    <w:rsid w:val="001800D3"/>
    <w:rsid w:val="001800D5"/>
    <w:rsid w:val="001801D4"/>
    <w:rsid w:val="001801EA"/>
    <w:rsid w:val="00180276"/>
    <w:rsid w:val="001802C6"/>
    <w:rsid w:val="00180594"/>
    <w:rsid w:val="001805C6"/>
    <w:rsid w:val="00180766"/>
    <w:rsid w:val="0018077D"/>
    <w:rsid w:val="00180818"/>
    <w:rsid w:val="00180890"/>
    <w:rsid w:val="001808A8"/>
    <w:rsid w:val="0018093A"/>
    <w:rsid w:val="00180960"/>
    <w:rsid w:val="00180A12"/>
    <w:rsid w:val="00180B23"/>
    <w:rsid w:val="00180B2A"/>
    <w:rsid w:val="00180C19"/>
    <w:rsid w:val="00180C20"/>
    <w:rsid w:val="00180CA6"/>
    <w:rsid w:val="00180D31"/>
    <w:rsid w:val="00180D34"/>
    <w:rsid w:val="00180D49"/>
    <w:rsid w:val="00180D59"/>
    <w:rsid w:val="00180E95"/>
    <w:rsid w:val="00180EF8"/>
    <w:rsid w:val="00181102"/>
    <w:rsid w:val="0018114C"/>
    <w:rsid w:val="0018118A"/>
    <w:rsid w:val="001812AF"/>
    <w:rsid w:val="001812DE"/>
    <w:rsid w:val="0018132F"/>
    <w:rsid w:val="001813F9"/>
    <w:rsid w:val="00181401"/>
    <w:rsid w:val="00181494"/>
    <w:rsid w:val="001814C8"/>
    <w:rsid w:val="0018159A"/>
    <w:rsid w:val="00181702"/>
    <w:rsid w:val="0018170E"/>
    <w:rsid w:val="001817AE"/>
    <w:rsid w:val="001817D1"/>
    <w:rsid w:val="00181859"/>
    <w:rsid w:val="0018185E"/>
    <w:rsid w:val="001818B4"/>
    <w:rsid w:val="001818C1"/>
    <w:rsid w:val="00181909"/>
    <w:rsid w:val="0018195F"/>
    <w:rsid w:val="00181A95"/>
    <w:rsid w:val="00181B44"/>
    <w:rsid w:val="00181C25"/>
    <w:rsid w:val="00181D0F"/>
    <w:rsid w:val="00181D38"/>
    <w:rsid w:val="00181DC9"/>
    <w:rsid w:val="00181E34"/>
    <w:rsid w:val="00181F3E"/>
    <w:rsid w:val="00181FCE"/>
    <w:rsid w:val="00181FF1"/>
    <w:rsid w:val="00182198"/>
    <w:rsid w:val="001821DC"/>
    <w:rsid w:val="00182292"/>
    <w:rsid w:val="001822AE"/>
    <w:rsid w:val="001824B4"/>
    <w:rsid w:val="001824BA"/>
    <w:rsid w:val="001824CB"/>
    <w:rsid w:val="00182548"/>
    <w:rsid w:val="001826AF"/>
    <w:rsid w:val="001827E5"/>
    <w:rsid w:val="0018285A"/>
    <w:rsid w:val="00182869"/>
    <w:rsid w:val="0018291C"/>
    <w:rsid w:val="0018297E"/>
    <w:rsid w:val="0018298B"/>
    <w:rsid w:val="001829AF"/>
    <w:rsid w:val="00182A7B"/>
    <w:rsid w:val="00182AF0"/>
    <w:rsid w:val="00182B45"/>
    <w:rsid w:val="00182BA0"/>
    <w:rsid w:val="00182BCB"/>
    <w:rsid w:val="00182CA7"/>
    <w:rsid w:val="00182CCF"/>
    <w:rsid w:val="00182DFD"/>
    <w:rsid w:val="00182FE1"/>
    <w:rsid w:val="00183049"/>
    <w:rsid w:val="0018307C"/>
    <w:rsid w:val="00183114"/>
    <w:rsid w:val="00183150"/>
    <w:rsid w:val="00183151"/>
    <w:rsid w:val="0018317E"/>
    <w:rsid w:val="00183199"/>
    <w:rsid w:val="001831EB"/>
    <w:rsid w:val="001831F5"/>
    <w:rsid w:val="00183209"/>
    <w:rsid w:val="00183247"/>
    <w:rsid w:val="0018330A"/>
    <w:rsid w:val="001833CF"/>
    <w:rsid w:val="00183439"/>
    <w:rsid w:val="001834D7"/>
    <w:rsid w:val="00183529"/>
    <w:rsid w:val="00183592"/>
    <w:rsid w:val="001836D3"/>
    <w:rsid w:val="001836D9"/>
    <w:rsid w:val="00183760"/>
    <w:rsid w:val="00183817"/>
    <w:rsid w:val="00183818"/>
    <w:rsid w:val="0018384B"/>
    <w:rsid w:val="001838F4"/>
    <w:rsid w:val="0018394D"/>
    <w:rsid w:val="00183A11"/>
    <w:rsid w:val="00183A72"/>
    <w:rsid w:val="00183AF0"/>
    <w:rsid w:val="00183B47"/>
    <w:rsid w:val="00183B8D"/>
    <w:rsid w:val="00183B97"/>
    <w:rsid w:val="00183BA6"/>
    <w:rsid w:val="00183C2D"/>
    <w:rsid w:val="00183C8A"/>
    <w:rsid w:val="00183D4E"/>
    <w:rsid w:val="00183D59"/>
    <w:rsid w:val="00183D7E"/>
    <w:rsid w:val="00183DB6"/>
    <w:rsid w:val="00183E7D"/>
    <w:rsid w:val="00183E97"/>
    <w:rsid w:val="00183F08"/>
    <w:rsid w:val="00183F89"/>
    <w:rsid w:val="00183FD2"/>
    <w:rsid w:val="00183FD9"/>
    <w:rsid w:val="00184082"/>
    <w:rsid w:val="001840D6"/>
    <w:rsid w:val="001840E2"/>
    <w:rsid w:val="00184130"/>
    <w:rsid w:val="00184179"/>
    <w:rsid w:val="0018418C"/>
    <w:rsid w:val="001841DD"/>
    <w:rsid w:val="0018426F"/>
    <w:rsid w:val="001842BD"/>
    <w:rsid w:val="001842E9"/>
    <w:rsid w:val="00184303"/>
    <w:rsid w:val="0018430A"/>
    <w:rsid w:val="00184337"/>
    <w:rsid w:val="00184340"/>
    <w:rsid w:val="001843D4"/>
    <w:rsid w:val="00184475"/>
    <w:rsid w:val="001845AF"/>
    <w:rsid w:val="001845DA"/>
    <w:rsid w:val="0018464C"/>
    <w:rsid w:val="0018481A"/>
    <w:rsid w:val="00184849"/>
    <w:rsid w:val="001848E8"/>
    <w:rsid w:val="00184941"/>
    <w:rsid w:val="001849A2"/>
    <w:rsid w:val="00184AC2"/>
    <w:rsid w:val="00184B3D"/>
    <w:rsid w:val="00184BCA"/>
    <w:rsid w:val="00184C17"/>
    <w:rsid w:val="00184C71"/>
    <w:rsid w:val="00184D0D"/>
    <w:rsid w:val="00184D4A"/>
    <w:rsid w:val="00184DB7"/>
    <w:rsid w:val="00184DB9"/>
    <w:rsid w:val="00184E41"/>
    <w:rsid w:val="00184F0D"/>
    <w:rsid w:val="00184F44"/>
    <w:rsid w:val="00184F7F"/>
    <w:rsid w:val="001850DD"/>
    <w:rsid w:val="00185136"/>
    <w:rsid w:val="001851F3"/>
    <w:rsid w:val="001853F0"/>
    <w:rsid w:val="00185438"/>
    <w:rsid w:val="0018544B"/>
    <w:rsid w:val="0018548C"/>
    <w:rsid w:val="0018551D"/>
    <w:rsid w:val="0018555E"/>
    <w:rsid w:val="00185589"/>
    <w:rsid w:val="0018560E"/>
    <w:rsid w:val="0018563F"/>
    <w:rsid w:val="001856EE"/>
    <w:rsid w:val="0018572A"/>
    <w:rsid w:val="00185778"/>
    <w:rsid w:val="001857E4"/>
    <w:rsid w:val="00185866"/>
    <w:rsid w:val="001858EA"/>
    <w:rsid w:val="001858F2"/>
    <w:rsid w:val="001859CF"/>
    <w:rsid w:val="00185BD5"/>
    <w:rsid w:val="00185BF7"/>
    <w:rsid w:val="00185CCF"/>
    <w:rsid w:val="00185CDB"/>
    <w:rsid w:val="00185D7D"/>
    <w:rsid w:val="00185F1E"/>
    <w:rsid w:val="00185F93"/>
    <w:rsid w:val="00185FFC"/>
    <w:rsid w:val="00186013"/>
    <w:rsid w:val="0018605F"/>
    <w:rsid w:val="0018606D"/>
    <w:rsid w:val="00186091"/>
    <w:rsid w:val="001861C1"/>
    <w:rsid w:val="001861CD"/>
    <w:rsid w:val="00186281"/>
    <w:rsid w:val="001862DD"/>
    <w:rsid w:val="00186340"/>
    <w:rsid w:val="0018635A"/>
    <w:rsid w:val="001864F1"/>
    <w:rsid w:val="001864F9"/>
    <w:rsid w:val="00186550"/>
    <w:rsid w:val="001865D3"/>
    <w:rsid w:val="0018662E"/>
    <w:rsid w:val="00186791"/>
    <w:rsid w:val="001867B1"/>
    <w:rsid w:val="001868E1"/>
    <w:rsid w:val="0018696C"/>
    <w:rsid w:val="001869B5"/>
    <w:rsid w:val="00186A0C"/>
    <w:rsid w:val="00186B73"/>
    <w:rsid w:val="00186BE4"/>
    <w:rsid w:val="00186C00"/>
    <w:rsid w:val="00186C67"/>
    <w:rsid w:val="00186CB5"/>
    <w:rsid w:val="00186D27"/>
    <w:rsid w:val="00186D2B"/>
    <w:rsid w:val="00186D8D"/>
    <w:rsid w:val="00186D95"/>
    <w:rsid w:val="00186D9F"/>
    <w:rsid w:val="00186F3C"/>
    <w:rsid w:val="00186F6C"/>
    <w:rsid w:val="00186F74"/>
    <w:rsid w:val="001870CE"/>
    <w:rsid w:val="00187180"/>
    <w:rsid w:val="001872DB"/>
    <w:rsid w:val="001873A0"/>
    <w:rsid w:val="001873D6"/>
    <w:rsid w:val="001874E9"/>
    <w:rsid w:val="00187545"/>
    <w:rsid w:val="001875A7"/>
    <w:rsid w:val="00187655"/>
    <w:rsid w:val="0018772C"/>
    <w:rsid w:val="001877B4"/>
    <w:rsid w:val="001877C4"/>
    <w:rsid w:val="0018781A"/>
    <w:rsid w:val="0018784B"/>
    <w:rsid w:val="001878EC"/>
    <w:rsid w:val="00187AB5"/>
    <w:rsid w:val="00187AC7"/>
    <w:rsid w:val="00187AEE"/>
    <w:rsid w:val="00187B4D"/>
    <w:rsid w:val="00187BBB"/>
    <w:rsid w:val="00187C07"/>
    <w:rsid w:val="00187DAF"/>
    <w:rsid w:val="00187EA6"/>
    <w:rsid w:val="00187FFD"/>
    <w:rsid w:val="001900C7"/>
    <w:rsid w:val="00190197"/>
    <w:rsid w:val="0019028C"/>
    <w:rsid w:val="00190353"/>
    <w:rsid w:val="001903AD"/>
    <w:rsid w:val="0019053F"/>
    <w:rsid w:val="001905A9"/>
    <w:rsid w:val="001905CA"/>
    <w:rsid w:val="00190609"/>
    <w:rsid w:val="00190662"/>
    <w:rsid w:val="0019067C"/>
    <w:rsid w:val="001906A0"/>
    <w:rsid w:val="001906AE"/>
    <w:rsid w:val="00190776"/>
    <w:rsid w:val="00190831"/>
    <w:rsid w:val="001908BE"/>
    <w:rsid w:val="001909E0"/>
    <w:rsid w:val="00190A92"/>
    <w:rsid w:val="00190AFB"/>
    <w:rsid w:val="00190BC9"/>
    <w:rsid w:val="00190BFF"/>
    <w:rsid w:val="00190C67"/>
    <w:rsid w:val="00190D3B"/>
    <w:rsid w:val="00190D48"/>
    <w:rsid w:val="00190D8B"/>
    <w:rsid w:val="00190DCB"/>
    <w:rsid w:val="00190DD5"/>
    <w:rsid w:val="00190E0F"/>
    <w:rsid w:val="00190EAC"/>
    <w:rsid w:val="00190FD1"/>
    <w:rsid w:val="0019103E"/>
    <w:rsid w:val="001910BC"/>
    <w:rsid w:val="001910D2"/>
    <w:rsid w:val="001910D9"/>
    <w:rsid w:val="00191204"/>
    <w:rsid w:val="001914D9"/>
    <w:rsid w:val="001915D6"/>
    <w:rsid w:val="001916B4"/>
    <w:rsid w:val="0019170A"/>
    <w:rsid w:val="00191734"/>
    <w:rsid w:val="00191746"/>
    <w:rsid w:val="0019178C"/>
    <w:rsid w:val="001918C6"/>
    <w:rsid w:val="001918EF"/>
    <w:rsid w:val="00191986"/>
    <w:rsid w:val="00191A56"/>
    <w:rsid w:val="00191A91"/>
    <w:rsid w:val="00191BBE"/>
    <w:rsid w:val="00191BF3"/>
    <w:rsid w:val="00191C09"/>
    <w:rsid w:val="00191CBD"/>
    <w:rsid w:val="00191D7D"/>
    <w:rsid w:val="00191DBC"/>
    <w:rsid w:val="00191E24"/>
    <w:rsid w:val="00191EBE"/>
    <w:rsid w:val="00191F60"/>
    <w:rsid w:val="00191FEF"/>
    <w:rsid w:val="00191FF2"/>
    <w:rsid w:val="001920C7"/>
    <w:rsid w:val="0019215B"/>
    <w:rsid w:val="0019216F"/>
    <w:rsid w:val="00192216"/>
    <w:rsid w:val="001922B0"/>
    <w:rsid w:val="001922C8"/>
    <w:rsid w:val="00192336"/>
    <w:rsid w:val="001923C5"/>
    <w:rsid w:val="001923FF"/>
    <w:rsid w:val="001924EA"/>
    <w:rsid w:val="0019254A"/>
    <w:rsid w:val="00192694"/>
    <w:rsid w:val="0019269A"/>
    <w:rsid w:val="00192710"/>
    <w:rsid w:val="001927F1"/>
    <w:rsid w:val="00192812"/>
    <w:rsid w:val="00192827"/>
    <w:rsid w:val="00192924"/>
    <w:rsid w:val="00192964"/>
    <w:rsid w:val="00192A89"/>
    <w:rsid w:val="00192AA0"/>
    <w:rsid w:val="00192B36"/>
    <w:rsid w:val="00192CB6"/>
    <w:rsid w:val="00192D13"/>
    <w:rsid w:val="00192D79"/>
    <w:rsid w:val="00192D98"/>
    <w:rsid w:val="00192E35"/>
    <w:rsid w:val="00192EF1"/>
    <w:rsid w:val="00193000"/>
    <w:rsid w:val="0019308A"/>
    <w:rsid w:val="001930BA"/>
    <w:rsid w:val="001930CD"/>
    <w:rsid w:val="001930D6"/>
    <w:rsid w:val="001931AC"/>
    <w:rsid w:val="0019321C"/>
    <w:rsid w:val="00193251"/>
    <w:rsid w:val="001932A3"/>
    <w:rsid w:val="001932D3"/>
    <w:rsid w:val="001932FD"/>
    <w:rsid w:val="0019332D"/>
    <w:rsid w:val="00193369"/>
    <w:rsid w:val="001933C0"/>
    <w:rsid w:val="001936AF"/>
    <w:rsid w:val="00193717"/>
    <w:rsid w:val="0019379B"/>
    <w:rsid w:val="00193830"/>
    <w:rsid w:val="001938E4"/>
    <w:rsid w:val="0019394A"/>
    <w:rsid w:val="0019394E"/>
    <w:rsid w:val="00193960"/>
    <w:rsid w:val="001939BF"/>
    <w:rsid w:val="001939DC"/>
    <w:rsid w:val="00193A08"/>
    <w:rsid w:val="00193C09"/>
    <w:rsid w:val="00193CAB"/>
    <w:rsid w:val="00193CC1"/>
    <w:rsid w:val="00193CE8"/>
    <w:rsid w:val="00193E9D"/>
    <w:rsid w:val="00193EFD"/>
    <w:rsid w:val="00193F5C"/>
    <w:rsid w:val="00193F98"/>
    <w:rsid w:val="00193FD9"/>
    <w:rsid w:val="0019405B"/>
    <w:rsid w:val="00194130"/>
    <w:rsid w:val="001941EB"/>
    <w:rsid w:val="0019430C"/>
    <w:rsid w:val="00194310"/>
    <w:rsid w:val="00194366"/>
    <w:rsid w:val="00194379"/>
    <w:rsid w:val="0019442C"/>
    <w:rsid w:val="0019443B"/>
    <w:rsid w:val="001944AC"/>
    <w:rsid w:val="001944CB"/>
    <w:rsid w:val="001944D5"/>
    <w:rsid w:val="00194532"/>
    <w:rsid w:val="00194555"/>
    <w:rsid w:val="001945A1"/>
    <w:rsid w:val="00194619"/>
    <w:rsid w:val="00194633"/>
    <w:rsid w:val="00194660"/>
    <w:rsid w:val="0019473F"/>
    <w:rsid w:val="00194792"/>
    <w:rsid w:val="00194796"/>
    <w:rsid w:val="001947FB"/>
    <w:rsid w:val="00194816"/>
    <w:rsid w:val="00194928"/>
    <w:rsid w:val="0019499D"/>
    <w:rsid w:val="00194A17"/>
    <w:rsid w:val="00194A7A"/>
    <w:rsid w:val="00194AC5"/>
    <w:rsid w:val="00194AEB"/>
    <w:rsid w:val="00194AEC"/>
    <w:rsid w:val="00194AFC"/>
    <w:rsid w:val="00194B10"/>
    <w:rsid w:val="00194B6A"/>
    <w:rsid w:val="00194CD7"/>
    <w:rsid w:val="00194CDD"/>
    <w:rsid w:val="00194D31"/>
    <w:rsid w:val="00194D5A"/>
    <w:rsid w:val="00194DB0"/>
    <w:rsid w:val="00194E32"/>
    <w:rsid w:val="001950B3"/>
    <w:rsid w:val="00195198"/>
    <w:rsid w:val="0019526D"/>
    <w:rsid w:val="00195371"/>
    <w:rsid w:val="001953AA"/>
    <w:rsid w:val="0019544A"/>
    <w:rsid w:val="00195488"/>
    <w:rsid w:val="001954EB"/>
    <w:rsid w:val="00195575"/>
    <w:rsid w:val="001955E3"/>
    <w:rsid w:val="001956DC"/>
    <w:rsid w:val="001956E6"/>
    <w:rsid w:val="0019578D"/>
    <w:rsid w:val="00195792"/>
    <w:rsid w:val="001957E8"/>
    <w:rsid w:val="00195A95"/>
    <w:rsid w:val="00195B31"/>
    <w:rsid w:val="00195BBB"/>
    <w:rsid w:val="00195CF7"/>
    <w:rsid w:val="00195D3E"/>
    <w:rsid w:val="00195D9A"/>
    <w:rsid w:val="0019606D"/>
    <w:rsid w:val="00196273"/>
    <w:rsid w:val="0019627B"/>
    <w:rsid w:val="00196337"/>
    <w:rsid w:val="001964BB"/>
    <w:rsid w:val="001965FD"/>
    <w:rsid w:val="00196648"/>
    <w:rsid w:val="001966B3"/>
    <w:rsid w:val="00196700"/>
    <w:rsid w:val="0019671C"/>
    <w:rsid w:val="0019671F"/>
    <w:rsid w:val="00196731"/>
    <w:rsid w:val="0019679E"/>
    <w:rsid w:val="001967E1"/>
    <w:rsid w:val="00196810"/>
    <w:rsid w:val="001968CB"/>
    <w:rsid w:val="00196990"/>
    <w:rsid w:val="0019699E"/>
    <w:rsid w:val="001969A7"/>
    <w:rsid w:val="001969C0"/>
    <w:rsid w:val="00196A12"/>
    <w:rsid w:val="00196A6D"/>
    <w:rsid w:val="00196AA5"/>
    <w:rsid w:val="00196BBE"/>
    <w:rsid w:val="00196C0E"/>
    <w:rsid w:val="00196C75"/>
    <w:rsid w:val="00196C98"/>
    <w:rsid w:val="00196CB5"/>
    <w:rsid w:val="00196D39"/>
    <w:rsid w:val="00196D3C"/>
    <w:rsid w:val="00196DBC"/>
    <w:rsid w:val="00196DCC"/>
    <w:rsid w:val="00196E9A"/>
    <w:rsid w:val="00196F0C"/>
    <w:rsid w:val="00196FF9"/>
    <w:rsid w:val="0019707A"/>
    <w:rsid w:val="001970B2"/>
    <w:rsid w:val="001970B7"/>
    <w:rsid w:val="001970C9"/>
    <w:rsid w:val="0019710D"/>
    <w:rsid w:val="00197200"/>
    <w:rsid w:val="00197234"/>
    <w:rsid w:val="00197398"/>
    <w:rsid w:val="001974D2"/>
    <w:rsid w:val="001974FD"/>
    <w:rsid w:val="00197512"/>
    <w:rsid w:val="00197515"/>
    <w:rsid w:val="0019761A"/>
    <w:rsid w:val="0019761D"/>
    <w:rsid w:val="001976A5"/>
    <w:rsid w:val="0019771D"/>
    <w:rsid w:val="0019774F"/>
    <w:rsid w:val="001977FB"/>
    <w:rsid w:val="0019783B"/>
    <w:rsid w:val="001978A2"/>
    <w:rsid w:val="001978EF"/>
    <w:rsid w:val="0019790D"/>
    <w:rsid w:val="00197A4F"/>
    <w:rsid w:val="00197A97"/>
    <w:rsid w:val="00197BFE"/>
    <w:rsid w:val="00197C53"/>
    <w:rsid w:val="00197C65"/>
    <w:rsid w:val="00197C6A"/>
    <w:rsid w:val="00197CE6"/>
    <w:rsid w:val="00197E36"/>
    <w:rsid w:val="00197ED2"/>
    <w:rsid w:val="00197F7E"/>
    <w:rsid w:val="001A0032"/>
    <w:rsid w:val="001A00B3"/>
    <w:rsid w:val="001A01AE"/>
    <w:rsid w:val="001A01D2"/>
    <w:rsid w:val="001A0292"/>
    <w:rsid w:val="001A02BA"/>
    <w:rsid w:val="001A032F"/>
    <w:rsid w:val="001A0498"/>
    <w:rsid w:val="001A04C4"/>
    <w:rsid w:val="001A065D"/>
    <w:rsid w:val="001A0724"/>
    <w:rsid w:val="001A078B"/>
    <w:rsid w:val="001A07C6"/>
    <w:rsid w:val="001A084A"/>
    <w:rsid w:val="001A09C7"/>
    <w:rsid w:val="001A0A4D"/>
    <w:rsid w:val="001A0B56"/>
    <w:rsid w:val="001A0B64"/>
    <w:rsid w:val="001A0B7E"/>
    <w:rsid w:val="001A0BD2"/>
    <w:rsid w:val="001A0C91"/>
    <w:rsid w:val="001A0D59"/>
    <w:rsid w:val="001A0DBB"/>
    <w:rsid w:val="001A0DC7"/>
    <w:rsid w:val="001A0E4B"/>
    <w:rsid w:val="001A0F2D"/>
    <w:rsid w:val="001A0F2E"/>
    <w:rsid w:val="001A10B6"/>
    <w:rsid w:val="001A1170"/>
    <w:rsid w:val="001A1213"/>
    <w:rsid w:val="001A12B6"/>
    <w:rsid w:val="001A13BD"/>
    <w:rsid w:val="001A151C"/>
    <w:rsid w:val="001A15CA"/>
    <w:rsid w:val="001A160D"/>
    <w:rsid w:val="001A1722"/>
    <w:rsid w:val="001A173B"/>
    <w:rsid w:val="001A174E"/>
    <w:rsid w:val="001A180B"/>
    <w:rsid w:val="001A18B7"/>
    <w:rsid w:val="001A18CE"/>
    <w:rsid w:val="001A19CD"/>
    <w:rsid w:val="001A1BF1"/>
    <w:rsid w:val="001A1CE0"/>
    <w:rsid w:val="001A1CFA"/>
    <w:rsid w:val="001A1CFD"/>
    <w:rsid w:val="001A1D37"/>
    <w:rsid w:val="001A1D5D"/>
    <w:rsid w:val="001A1D67"/>
    <w:rsid w:val="001A1E21"/>
    <w:rsid w:val="001A1E9C"/>
    <w:rsid w:val="001A1F97"/>
    <w:rsid w:val="001A1FC7"/>
    <w:rsid w:val="001A1FD9"/>
    <w:rsid w:val="001A2077"/>
    <w:rsid w:val="001A2082"/>
    <w:rsid w:val="001A21EF"/>
    <w:rsid w:val="001A2227"/>
    <w:rsid w:val="001A225D"/>
    <w:rsid w:val="001A228F"/>
    <w:rsid w:val="001A22BD"/>
    <w:rsid w:val="001A22E7"/>
    <w:rsid w:val="001A2367"/>
    <w:rsid w:val="001A23F2"/>
    <w:rsid w:val="001A243D"/>
    <w:rsid w:val="001A2471"/>
    <w:rsid w:val="001A24C9"/>
    <w:rsid w:val="001A25AB"/>
    <w:rsid w:val="001A268E"/>
    <w:rsid w:val="001A26DF"/>
    <w:rsid w:val="001A2793"/>
    <w:rsid w:val="001A2800"/>
    <w:rsid w:val="001A2849"/>
    <w:rsid w:val="001A2866"/>
    <w:rsid w:val="001A2967"/>
    <w:rsid w:val="001A29D0"/>
    <w:rsid w:val="001A29DD"/>
    <w:rsid w:val="001A2A43"/>
    <w:rsid w:val="001A2A69"/>
    <w:rsid w:val="001A2A6E"/>
    <w:rsid w:val="001A2BAE"/>
    <w:rsid w:val="001A2C2A"/>
    <w:rsid w:val="001A2CFE"/>
    <w:rsid w:val="001A2D2B"/>
    <w:rsid w:val="001A2E50"/>
    <w:rsid w:val="001A2EF0"/>
    <w:rsid w:val="001A2F76"/>
    <w:rsid w:val="001A2FFA"/>
    <w:rsid w:val="001A3015"/>
    <w:rsid w:val="001A308E"/>
    <w:rsid w:val="001A3238"/>
    <w:rsid w:val="001A326C"/>
    <w:rsid w:val="001A32FE"/>
    <w:rsid w:val="001A332D"/>
    <w:rsid w:val="001A3346"/>
    <w:rsid w:val="001A3353"/>
    <w:rsid w:val="001A335C"/>
    <w:rsid w:val="001A34D5"/>
    <w:rsid w:val="001A34EF"/>
    <w:rsid w:val="001A355D"/>
    <w:rsid w:val="001A365F"/>
    <w:rsid w:val="001A3699"/>
    <w:rsid w:val="001A36D3"/>
    <w:rsid w:val="001A3745"/>
    <w:rsid w:val="001A37A7"/>
    <w:rsid w:val="001A3946"/>
    <w:rsid w:val="001A39B4"/>
    <w:rsid w:val="001A39E9"/>
    <w:rsid w:val="001A3A96"/>
    <w:rsid w:val="001A3AA3"/>
    <w:rsid w:val="001A3B5B"/>
    <w:rsid w:val="001A3B63"/>
    <w:rsid w:val="001A3CBF"/>
    <w:rsid w:val="001A3D49"/>
    <w:rsid w:val="001A3D57"/>
    <w:rsid w:val="001A3E55"/>
    <w:rsid w:val="001A3F77"/>
    <w:rsid w:val="001A3FC3"/>
    <w:rsid w:val="001A4157"/>
    <w:rsid w:val="001A41EA"/>
    <w:rsid w:val="001A4276"/>
    <w:rsid w:val="001A427E"/>
    <w:rsid w:val="001A4313"/>
    <w:rsid w:val="001A4380"/>
    <w:rsid w:val="001A4388"/>
    <w:rsid w:val="001A4439"/>
    <w:rsid w:val="001A4549"/>
    <w:rsid w:val="001A4552"/>
    <w:rsid w:val="001A4601"/>
    <w:rsid w:val="001A465B"/>
    <w:rsid w:val="001A47E0"/>
    <w:rsid w:val="001A4825"/>
    <w:rsid w:val="001A4832"/>
    <w:rsid w:val="001A4854"/>
    <w:rsid w:val="001A4928"/>
    <w:rsid w:val="001A4A20"/>
    <w:rsid w:val="001A4A59"/>
    <w:rsid w:val="001A4BCD"/>
    <w:rsid w:val="001A4BCF"/>
    <w:rsid w:val="001A4C3B"/>
    <w:rsid w:val="001A4D21"/>
    <w:rsid w:val="001A4D30"/>
    <w:rsid w:val="001A4DB0"/>
    <w:rsid w:val="001A4EE2"/>
    <w:rsid w:val="001A50E6"/>
    <w:rsid w:val="001A525B"/>
    <w:rsid w:val="001A528F"/>
    <w:rsid w:val="001A5298"/>
    <w:rsid w:val="001A52C0"/>
    <w:rsid w:val="001A52FC"/>
    <w:rsid w:val="001A5359"/>
    <w:rsid w:val="001A548C"/>
    <w:rsid w:val="001A54AC"/>
    <w:rsid w:val="001A54C9"/>
    <w:rsid w:val="001A5552"/>
    <w:rsid w:val="001A55C3"/>
    <w:rsid w:val="001A56EB"/>
    <w:rsid w:val="001A57E5"/>
    <w:rsid w:val="001A5826"/>
    <w:rsid w:val="001A585B"/>
    <w:rsid w:val="001A58E6"/>
    <w:rsid w:val="001A595F"/>
    <w:rsid w:val="001A5ABF"/>
    <w:rsid w:val="001A5D8E"/>
    <w:rsid w:val="001A5E91"/>
    <w:rsid w:val="001A5EC1"/>
    <w:rsid w:val="001A5FF9"/>
    <w:rsid w:val="001A602D"/>
    <w:rsid w:val="001A6044"/>
    <w:rsid w:val="001A6045"/>
    <w:rsid w:val="001A6061"/>
    <w:rsid w:val="001A60F2"/>
    <w:rsid w:val="001A6193"/>
    <w:rsid w:val="001A61D0"/>
    <w:rsid w:val="001A6287"/>
    <w:rsid w:val="001A6384"/>
    <w:rsid w:val="001A639A"/>
    <w:rsid w:val="001A63B9"/>
    <w:rsid w:val="001A63F1"/>
    <w:rsid w:val="001A6447"/>
    <w:rsid w:val="001A648E"/>
    <w:rsid w:val="001A64E1"/>
    <w:rsid w:val="001A656F"/>
    <w:rsid w:val="001A657B"/>
    <w:rsid w:val="001A65F5"/>
    <w:rsid w:val="001A6637"/>
    <w:rsid w:val="001A672F"/>
    <w:rsid w:val="001A6764"/>
    <w:rsid w:val="001A67AE"/>
    <w:rsid w:val="001A67D9"/>
    <w:rsid w:val="001A692C"/>
    <w:rsid w:val="001A694D"/>
    <w:rsid w:val="001A695F"/>
    <w:rsid w:val="001A6A04"/>
    <w:rsid w:val="001A6AC9"/>
    <w:rsid w:val="001A6B1A"/>
    <w:rsid w:val="001A6B2B"/>
    <w:rsid w:val="001A6EA9"/>
    <w:rsid w:val="001A6EE6"/>
    <w:rsid w:val="001A6F41"/>
    <w:rsid w:val="001A6F4C"/>
    <w:rsid w:val="001A6F6E"/>
    <w:rsid w:val="001A6F9D"/>
    <w:rsid w:val="001A6FB5"/>
    <w:rsid w:val="001A7080"/>
    <w:rsid w:val="001A70C0"/>
    <w:rsid w:val="001A714D"/>
    <w:rsid w:val="001A7228"/>
    <w:rsid w:val="001A7240"/>
    <w:rsid w:val="001A73D4"/>
    <w:rsid w:val="001A73DA"/>
    <w:rsid w:val="001A74BF"/>
    <w:rsid w:val="001A74C9"/>
    <w:rsid w:val="001A74CB"/>
    <w:rsid w:val="001A755E"/>
    <w:rsid w:val="001A7564"/>
    <w:rsid w:val="001A7588"/>
    <w:rsid w:val="001A75AF"/>
    <w:rsid w:val="001A7646"/>
    <w:rsid w:val="001A774D"/>
    <w:rsid w:val="001A7771"/>
    <w:rsid w:val="001A77DE"/>
    <w:rsid w:val="001A77EB"/>
    <w:rsid w:val="001A77F6"/>
    <w:rsid w:val="001A7866"/>
    <w:rsid w:val="001A78CF"/>
    <w:rsid w:val="001A7936"/>
    <w:rsid w:val="001A7AA3"/>
    <w:rsid w:val="001A7AC8"/>
    <w:rsid w:val="001A7AE5"/>
    <w:rsid w:val="001A7B28"/>
    <w:rsid w:val="001A7D2A"/>
    <w:rsid w:val="001A7D37"/>
    <w:rsid w:val="001A7D4E"/>
    <w:rsid w:val="001A7DB0"/>
    <w:rsid w:val="001A7DBD"/>
    <w:rsid w:val="001A7F1D"/>
    <w:rsid w:val="001B0073"/>
    <w:rsid w:val="001B00B7"/>
    <w:rsid w:val="001B016B"/>
    <w:rsid w:val="001B024D"/>
    <w:rsid w:val="001B025E"/>
    <w:rsid w:val="001B02A8"/>
    <w:rsid w:val="001B0387"/>
    <w:rsid w:val="001B04BC"/>
    <w:rsid w:val="001B04D5"/>
    <w:rsid w:val="001B04DB"/>
    <w:rsid w:val="001B04E6"/>
    <w:rsid w:val="001B0618"/>
    <w:rsid w:val="001B06C5"/>
    <w:rsid w:val="001B06D0"/>
    <w:rsid w:val="001B06E5"/>
    <w:rsid w:val="001B0715"/>
    <w:rsid w:val="001B0844"/>
    <w:rsid w:val="001B0951"/>
    <w:rsid w:val="001B0A92"/>
    <w:rsid w:val="001B0ABA"/>
    <w:rsid w:val="001B0B78"/>
    <w:rsid w:val="001B0BDF"/>
    <w:rsid w:val="001B0CD7"/>
    <w:rsid w:val="001B0EC2"/>
    <w:rsid w:val="001B0EE3"/>
    <w:rsid w:val="001B0F8A"/>
    <w:rsid w:val="001B0FE4"/>
    <w:rsid w:val="001B0FEF"/>
    <w:rsid w:val="001B101C"/>
    <w:rsid w:val="001B118F"/>
    <w:rsid w:val="001B1265"/>
    <w:rsid w:val="001B137A"/>
    <w:rsid w:val="001B1392"/>
    <w:rsid w:val="001B14A6"/>
    <w:rsid w:val="001B15BD"/>
    <w:rsid w:val="001B166A"/>
    <w:rsid w:val="001B166E"/>
    <w:rsid w:val="001B1673"/>
    <w:rsid w:val="001B16C1"/>
    <w:rsid w:val="001B16D1"/>
    <w:rsid w:val="001B170A"/>
    <w:rsid w:val="001B174E"/>
    <w:rsid w:val="001B1943"/>
    <w:rsid w:val="001B1A7E"/>
    <w:rsid w:val="001B1BB8"/>
    <w:rsid w:val="001B1C2B"/>
    <w:rsid w:val="001B1C92"/>
    <w:rsid w:val="001B1D19"/>
    <w:rsid w:val="001B1D1F"/>
    <w:rsid w:val="001B1DFB"/>
    <w:rsid w:val="001B1E8C"/>
    <w:rsid w:val="001B1EE2"/>
    <w:rsid w:val="001B1F11"/>
    <w:rsid w:val="001B1F2C"/>
    <w:rsid w:val="001B1F5A"/>
    <w:rsid w:val="001B1FBD"/>
    <w:rsid w:val="001B205B"/>
    <w:rsid w:val="001B20DE"/>
    <w:rsid w:val="001B211E"/>
    <w:rsid w:val="001B2120"/>
    <w:rsid w:val="001B219D"/>
    <w:rsid w:val="001B2266"/>
    <w:rsid w:val="001B235D"/>
    <w:rsid w:val="001B239B"/>
    <w:rsid w:val="001B23C5"/>
    <w:rsid w:val="001B23D0"/>
    <w:rsid w:val="001B243A"/>
    <w:rsid w:val="001B244E"/>
    <w:rsid w:val="001B24A0"/>
    <w:rsid w:val="001B25C2"/>
    <w:rsid w:val="001B25DA"/>
    <w:rsid w:val="001B269E"/>
    <w:rsid w:val="001B26BC"/>
    <w:rsid w:val="001B28AA"/>
    <w:rsid w:val="001B28E8"/>
    <w:rsid w:val="001B2999"/>
    <w:rsid w:val="001B29F9"/>
    <w:rsid w:val="001B2B2C"/>
    <w:rsid w:val="001B2B93"/>
    <w:rsid w:val="001B2C18"/>
    <w:rsid w:val="001B2C3A"/>
    <w:rsid w:val="001B2E40"/>
    <w:rsid w:val="001B2E51"/>
    <w:rsid w:val="001B2E9F"/>
    <w:rsid w:val="001B2FCE"/>
    <w:rsid w:val="001B3070"/>
    <w:rsid w:val="001B3075"/>
    <w:rsid w:val="001B30C3"/>
    <w:rsid w:val="001B3116"/>
    <w:rsid w:val="001B3159"/>
    <w:rsid w:val="001B319C"/>
    <w:rsid w:val="001B31FC"/>
    <w:rsid w:val="001B326B"/>
    <w:rsid w:val="001B330B"/>
    <w:rsid w:val="001B331E"/>
    <w:rsid w:val="001B33A2"/>
    <w:rsid w:val="001B3412"/>
    <w:rsid w:val="001B343A"/>
    <w:rsid w:val="001B35BE"/>
    <w:rsid w:val="001B35DB"/>
    <w:rsid w:val="001B36BA"/>
    <w:rsid w:val="001B36C6"/>
    <w:rsid w:val="001B372F"/>
    <w:rsid w:val="001B3743"/>
    <w:rsid w:val="001B3848"/>
    <w:rsid w:val="001B385D"/>
    <w:rsid w:val="001B392F"/>
    <w:rsid w:val="001B3965"/>
    <w:rsid w:val="001B3A55"/>
    <w:rsid w:val="001B3A79"/>
    <w:rsid w:val="001B3ABA"/>
    <w:rsid w:val="001B3AC5"/>
    <w:rsid w:val="001B3B3C"/>
    <w:rsid w:val="001B3BE6"/>
    <w:rsid w:val="001B3BED"/>
    <w:rsid w:val="001B3C46"/>
    <w:rsid w:val="001B3C9F"/>
    <w:rsid w:val="001B3CE5"/>
    <w:rsid w:val="001B3DB3"/>
    <w:rsid w:val="001B3E2B"/>
    <w:rsid w:val="001B3EC9"/>
    <w:rsid w:val="001B3F49"/>
    <w:rsid w:val="001B3F4D"/>
    <w:rsid w:val="001B3F87"/>
    <w:rsid w:val="001B4091"/>
    <w:rsid w:val="001B409F"/>
    <w:rsid w:val="001B4124"/>
    <w:rsid w:val="001B4137"/>
    <w:rsid w:val="001B41BE"/>
    <w:rsid w:val="001B42C2"/>
    <w:rsid w:val="001B4336"/>
    <w:rsid w:val="001B44F4"/>
    <w:rsid w:val="001B454A"/>
    <w:rsid w:val="001B457E"/>
    <w:rsid w:val="001B458D"/>
    <w:rsid w:val="001B4593"/>
    <w:rsid w:val="001B45B6"/>
    <w:rsid w:val="001B4629"/>
    <w:rsid w:val="001B46A1"/>
    <w:rsid w:val="001B4728"/>
    <w:rsid w:val="001B48A4"/>
    <w:rsid w:val="001B48B3"/>
    <w:rsid w:val="001B48E5"/>
    <w:rsid w:val="001B4971"/>
    <w:rsid w:val="001B49EE"/>
    <w:rsid w:val="001B4A91"/>
    <w:rsid w:val="001B4AAE"/>
    <w:rsid w:val="001B4D36"/>
    <w:rsid w:val="001B4D9A"/>
    <w:rsid w:val="001B4DD3"/>
    <w:rsid w:val="001B4E39"/>
    <w:rsid w:val="001B4E53"/>
    <w:rsid w:val="001B4E86"/>
    <w:rsid w:val="001B4EDA"/>
    <w:rsid w:val="001B4F25"/>
    <w:rsid w:val="001B4F28"/>
    <w:rsid w:val="001B4F79"/>
    <w:rsid w:val="001B4FBF"/>
    <w:rsid w:val="001B5095"/>
    <w:rsid w:val="001B50B7"/>
    <w:rsid w:val="001B5114"/>
    <w:rsid w:val="001B518F"/>
    <w:rsid w:val="001B5194"/>
    <w:rsid w:val="001B5313"/>
    <w:rsid w:val="001B53D7"/>
    <w:rsid w:val="001B53F4"/>
    <w:rsid w:val="001B5549"/>
    <w:rsid w:val="001B55C1"/>
    <w:rsid w:val="001B5661"/>
    <w:rsid w:val="001B56B4"/>
    <w:rsid w:val="001B57CF"/>
    <w:rsid w:val="001B5864"/>
    <w:rsid w:val="001B58A9"/>
    <w:rsid w:val="001B59A6"/>
    <w:rsid w:val="001B5BA1"/>
    <w:rsid w:val="001B5BD8"/>
    <w:rsid w:val="001B5BFD"/>
    <w:rsid w:val="001B5CEB"/>
    <w:rsid w:val="001B5DF6"/>
    <w:rsid w:val="001B5DFE"/>
    <w:rsid w:val="001B5E42"/>
    <w:rsid w:val="001B5E90"/>
    <w:rsid w:val="001B5F94"/>
    <w:rsid w:val="001B6064"/>
    <w:rsid w:val="001B6078"/>
    <w:rsid w:val="001B6093"/>
    <w:rsid w:val="001B60CA"/>
    <w:rsid w:val="001B60DE"/>
    <w:rsid w:val="001B6166"/>
    <w:rsid w:val="001B6174"/>
    <w:rsid w:val="001B629A"/>
    <w:rsid w:val="001B62A5"/>
    <w:rsid w:val="001B63B9"/>
    <w:rsid w:val="001B6445"/>
    <w:rsid w:val="001B6506"/>
    <w:rsid w:val="001B651B"/>
    <w:rsid w:val="001B65B4"/>
    <w:rsid w:val="001B664D"/>
    <w:rsid w:val="001B6691"/>
    <w:rsid w:val="001B66B1"/>
    <w:rsid w:val="001B6708"/>
    <w:rsid w:val="001B6788"/>
    <w:rsid w:val="001B6793"/>
    <w:rsid w:val="001B67B5"/>
    <w:rsid w:val="001B67ED"/>
    <w:rsid w:val="001B6843"/>
    <w:rsid w:val="001B6951"/>
    <w:rsid w:val="001B69E4"/>
    <w:rsid w:val="001B6B2F"/>
    <w:rsid w:val="001B6B3C"/>
    <w:rsid w:val="001B6BC0"/>
    <w:rsid w:val="001B6C9F"/>
    <w:rsid w:val="001B6DBB"/>
    <w:rsid w:val="001B6DDC"/>
    <w:rsid w:val="001B6E43"/>
    <w:rsid w:val="001B6E87"/>
    <w:rsid w:val="001B6E96"/>
    <w:rsid w:val="001B6FC7"/>
    <w:rsid w:val="001B707A"/>
    <w:rsid w:val="001B70A7"/>
    <w:rsid w:val="001B7107"/>
    <w:rsid w:val="001B7201"/>
    <w:rsid w:val="001B72C4"/>
    <w:rsid w:val="001B73CC"/>
    <w:rsid w:val="001B74B3"/>
    <w:rsid w:val="001B74E2"/>
    <w:rsid w:val="001B752F"/>
    <w:rsid w:val="001B7687"/>
    <w:rsid w:val="001B7792"/>
    <w:rsid w:val="001B77C0"/>
    <w:rsid w:val="001B7842"/>
    <w:rsid w:val="001B7896"/>
    <w:rsid w:val="001B79BA"/>
    <w:rsid w:val="001B7A2B"/>
    <w:rsid w:val="001B7A6A"/>
    <w:rsid w:val="001B7AFB"/>
    <w:rsid w:val="001B7B48"/>
    <w:rsid w:val="001B7BEC"/>
    <w:rsid w:val="001B7C5F"/>
    <w:rsid w:val="001B7C81"/>
    <w:rsid w:val="001B7D83"/>
    <w:rsid w:val="001B7DDA"/>
    <w:rsid w:val="001B7E41"/>
    <w:rsid w:val="001B7F4D"/>
    <w:rsid w:val="001B7F9B"/>
    <w:rsid w:val="001C003C"/>
    <w:rsid w:val="001C02CE"/>
    <w:rsid w:val="001C02DC"/>
    <w:rsid w:val="001C03CB"/>
    <w:rsid w:val="001C055B"/>
    <w:rsid w:val="001C0607"/>
    <w:rsid w:val="001C063D"/>
    <w:rsid w:val="001C069C"/>
    <w:rsid w:val="001C0805"/>
    <w:rsid w:val="001C0868"/>
    <w:rsid w:val="001C0879"/>
    <w:rsid w:val="001C089E"/>
    <w:rsid w:val="001C08D8"/>
    <w:rsid w:val="001C08EF"/>
    <w:rsid w:val="001C092C"/>
    <w:rsid w:val="001C0A60"/>
    <w:rsid w:val="001C0AAB"/>
    <w:rsid w:val="001C0AD7"/>
    <w:rsid w:val="001C0B35"/>
    <w:rsid w:val="001C0B6B"/>
    <w:rsid w:val="001C0B71"/>
    <w:rsid w:val="001C0B90"/>
    <w:rsid w:val="001C0CED"/>
    <w:rsid w:val="001C0E28"/>
    <w:rsid w:val="001C0E33"/>
    <w:rsid w:val="001C0E76"/>
    <w:rsid w:val="001C0EF1"/>
    <w:rsid w:val="001C106D"/>
    <w:rsid w:val="001C10CC"/>
    <w:rsid w:val="001C1181"/>
    <w:rsid w:val="001C11AB"/>
    <w:rsid w:val="001C1260"/>
    <w:rsid w:val="001C1307"/>
    <w:rsid w:val="001C13A3"/>
    <w:rsid w:val="001C13DB"/>
    <w:rsid w:val="001C1414"/>
    <w:rsid w:val="001C1465"/>
    <w:rsid w:val="001C1472"/>
    <w:rsid w:val="001C1510"/>
    <w:rsid w:val="001C1526"/>
    <w:rsid w:val="001C1623"/>
    <w:rsid w:val="001C16AE"/>
    <w:rsid w:val="001C1810"/>
    <w:rsid w:val="001C1820"/>
    <w:rsid w:val="001C189B"/>
    <w:rsid w:val="001C1905"/>
    <w:rsid w:val="001C1921"/>
    <w:rsid w:val="001C1A45"/>
    <w:rsid w:val="001C1A48"/>
    <w:rsid w:val="001C1B39"/>
    <w:rsid w:val="001C1B78"/>
    <w:rsid w:val="001C1BCA"/>
    <w:rsid w:val="001C1CD1"/>
    <w:rsid w:val="001C1D9B"/>
    <w:rsid w:val="001C1DA9"/>
    <w:rsid w:val="001C1DB2"/>
    <w:rsid w:val="001C1E4B"/>
    <w:rsid w:val="001C1F05"/>
    <w:rsid w:val="001C1FD9"/>
    <w:rsid w:val="001C1FED"/>
    <w:rsid w:val="001C201F"/>
    <w:rsid w:val="001C2105"/>
    <w:rsid w:val="001C215F"/>
    <w:rsid w:val="001C21EE"/>
    <w:rsid w:val="001C227E"/>
    <w:rsid w:val="001C22E3"/>
    <w:rsid w:val="001C2329"/>
    <w:rsid w:val="001C2341"/>
    <w:rsid w:val="001C2399"/>
    <w:rsid w:val="001C23D0"/>
    <w:rsid w:val="001C241B"/>
    <w:rsid w:val="001C2422"/>
    <w:rsid w:val="001C2565"/>
    <w:rsid w:val="001C2572"/>
    <w:rsid w:val="001C25C4"/>
    <w:rsid w:val="001C26DB"/>
    <w:rsid w:val="001C274E"/>
    <w:rsid w:val="001C275A"/>
    <w:rsid w:val="001C2765"/>
    <w:rsid w:val="001C27BD"/>
    <w:rsid w:val="001C2803"/>
    <w:rsid w:val="001C289F"/>
    <w:rsid w:val="001C293A"/>
    <w:rsid w:val="001C29B5"/>
    <w:rsid w:val="001C2AE3"/>
    <w:rsid w:val="001C2B0C"/>
    <w:rsid w:val="001C2B61"/>
    <w:rsid w:val="001C2C06"/>
    <w:rsid w:val="001C2C41"/>
    <w:rsid w:val="001C2D6E"/>
    <w:rsid w:val="001C2EF5"/>
    <w:rsid w:val="001C2F79"/>
    <w:rsid w:val="001C2FBB"/>
    <w:rsid w:val="001C2FE5"/>
    <w:rsid w:val="001C3009"/>
    <w:rsid w:val="001C3078"/>
    <w:rsid w:val="001C30BC"/>
    <w:rsid w:val="001C315C"/>
    <w:rsid w:val="001C315D"/>
    <w:rsid w:val="001C3280"/>
    <w:rsid w:val="001C3292"/>
    <w:rsid w:val="001C3297"/>
    <w:rsid w:val="001C32D2"/>
    <w:rsid w:val="001C33F4"/>
    <w:rsid w:val="001C3401"/>
    <w:rsid w:val="001C3417"/>
    <w:rsid w:val="001C3461"/>
    <w:rsid w:val="001C349E"/>
    <w:rsid w:val="001C34D3"/>
    <w:rsid w:val="001C34DC"/>
    <w:rsid w:val="001C3582"/>
    <w:rsid w:val="001C3592"/>
    <w:rsid w:val="001C363D"/>
    <w:rsid w:val="001C3662"/>
    <w:rsid w:val="001C3684"/>
    <w:rsid w:val="001C3694"/>
    <w:rsid w:val="001C3892"/>
    <w:rsid w:val="001C38A3"/>
    <w:rsid w:val="001C3A46"/>
    <w:rsid w:val="001C3A6D"/>
    <w:rsid w:val="001C3AA2"/>
    <w:rsid w:val="001C3AD8"/>
    <w:rsid w:val="001C3BD2"/>
    <w:rsid w:val="001C3BE2"/>
    <w:rsid w:val="001C3C6B"/>
    <w:rsid w:val="001C3C90"/>
    <w:rsid w:val="001C3CB1"/>
    <w:rsid w:val="001C3D19"/>
    <w:rsid w:val="001C3DBB"/>
    <w:rsid w:val="001C3E44"/>
    <w:rsid w:val="001C3E90"/>
    <w:rsid w:val="001C3EF7"/>
    <w:rsid w:val="001C3FDB"/>
    <w:rsid w:val="001C3FEA"/>
    <w:rsid w:val="001C42B1"/>
    <w:rsid w:val="001C42E4"/>
    <w:rsid w:val="001C435A"/>
    <w:rsid w:val="001C44AF"/>
    <w:rsid w:val="001C44D6"/>
    <w:rsid w:val="001C4532"/>
    <w:rsid w:val="001C45F5"/>
    <w:rsid w:val="001C46D5"/>
    <w:rsid w:val="001C46D8"/>
    <w:rsid w:val="001C4747"/>
    <w:rsid w:val="001C482A"/>
    <w:rsid w:val="001C483F"/>
    <w:rsid w:val="001C48AF"/>
    <w:rsid w:val="001C4938"/>
    <w:rsid w:val="001C494F"/>
    <w:rsid w:val="001C498A"/>
    <w:rsid w:val="001C4996"/>
    <w:rsid w:val="001C49A5"/>
    <w:rsid w:val="001C4A17"/>
    <w:rsid w:val="001C4A74"/>
    <w:rsid w:val="001C4B67"/>
    <w:rsid w:val="001C4CBB"/>
    <w:rsid w:val="001C4D08"/>
    <w:rsid w:val="001C4D3E"/>
    <w:rsid w:val="001C4D85"/>
    <w:rsid w:val="001C4DBD"/>
    <w:rsid w:val="001C4E48"/>
    <w:rsid w:val="001C4EB1"/>
    <w:rsid w:val="001C4EEE"/>
    <w:rsid w:val="001C4F44"/>
    <w:rsid w:val="001C502F"/>
    <w:rsid w:val="001C51EE"/>
    <w:rsid w:val="001C523E"/>
    <w:rsid w:val="001C52D9"/>
    <w:rsid w:val="001C5383"/>
    <w:rsid w:val="001C53F9"/>
    <w:rsid w:val="001C5454"/>
    <w:rsid w:val="001C5535"/>
    <w:rsid w:val="001C5539"/>
    <w:rsid w:val="001C555F"/>
    <w:rsid w:val="001C5575"/>
    <w:rsid w:val="001C55D8"/>
    <w:rsid w:val="001C56AA"/>
    <w:rsid w:val="001C56BE"/>
    <w:rsid w:val="001C58C4"/>
    <w:rsid w:val="001C58D3"/>
    <w:rsid w:val="001C58E1"/>
    <w:rsid w:val="001C596B"/>
    <w:rsid w:val="001C596C"/>
    <w:rsid w:val="001C59C5"/>
    <w:rsid w:val="001C59E1"/>
    <w:rsid w:val="001C5A10"/>
    <w:rsid w:val="001C5A51"/>
    <w:rsid w:val="001C5AE3"/>
    <w:rsid w:val="001C5B33"/>
    <w:rsid w:val="001C5C16"/>
    <w:rsid w:val="001C5C7F"/>
    <w:rsid w:val="001C5D6B"/>
    <w:rsid w:val="001C5D79"/>
    <w:rsid w:val="001C5DAE"/>
    <w:rsid w:val="001C5E20"/>
    <w:rsid w:val="001C5E8E"/>
    <w:rsid w:val="001C5E93"/>
    <w:rsid w:val="001C5F13"/>
    <w:rsid w:val="001C5FB9"/>
    <w:rsid w:val="001C602C"/>
    <w:rsid w:val="001C60B3"/>
    <w:rsid w:val="001C61F3"/>
    <w:rsid w:val="001C620D"/>
    <w:rsid w:val="001C62E0"/>
    <w:rsid w:val="001C63F5"/>
    <w:rsid w:val="001C6413"/>
    <w:rsid w:val="001C64A3"/>
    <w:rsid w:val="001C64B4"/>
    <w:rsid w:val="001C650D"/>
    <w:rsid w:val="001C6546"/>
    <w:rsid w:val="001C65B7"/>
    <w:rsid w:val="001C65E7"/>
    <w:rsid w:val="001C664A"/>
    <w:rsid w:val="001C66DE"/>
    <w:rsid w:val="001C6788"/>
    <w:rsid w:val="001C67EA"/>
    <w:rsid w:val="001C6821"/>
    <w:rsid w:val="001C6899"/>
    <w:rsid w:val="001C68D3"/>
    <w:rsid w:val="001C6962"/>
    <w:rsid w:val="001C6975"/>
    <w:rsid w:val="001C698D"/>
    <w:rsid w:val="001C6A3C"/>
    <w:rsid w:val="001C6AC6"/>
    <w:rsid w:val="001C6AC9"/>
    <w:rsid w:val="001C6D40"/>
    <w:rsid w:val="001C6D49"/>
    <w:rsid w:val="001C6DDE"/>
    <w:rsid w:val="001C6DEB"/>
    <w:rsid w:val="001C6E26"/>
    <w:rsid w:val="001C6FB5"/>
    <w:rsid w:val="001C7006"/>
    <w:rsid w:val="001C703C"/>
    <w:rsid w:val="001C70C3"/>
    <w:rsid w:val="001C71C0"/>
    <w:rsid w:val="001C721E"/>
    <w:rsid w:val="001C73D0"/>
    <w:rsid w:val="001C77A1"/>
    <w:rsid w:val="001C77DB"/>
    <w:rsid w:val="001C7962"/>
    <w:rsid w:val="001C797E"/>
    <w:rsid w:val="001C7986"/>
    <w:rsid w:val="001C7A49"/>
    <w:rsid w:val="001C7A4F"/>
    <w:rsid w:val="001C7AA9"/>
    <w:rsid w:val="001C7C03"/>
    <w:rsid w:val="001C7D0F"/>
    <w:rsid w:val="001C7E8D"/>
    <w:rsid w:val="001C7F05"/>
    <w:rsid w:val="001C7F2D"/>
    <w:rsid w:val="001C7F79"/>
    <w:rsid w:val="001C7FB9"/>
    <w:rsid w:val="001D0037"/>
    <w:rsid w:val="001D0048"/>
    <w:rsid w:val="001D0053"/>
    <w:rsid w:val="001D00F9"/>
    <w:rsid w:val="001D0164"/>
    <w:rsid w:val="001D0167"/>
    <w:rsid w:val="001D025C"/>
    <w:rsid w:val="001D02A2"/>
    <w:rsid w:val="001D03A3"/>
    <w:rsid w:val="001D043E"/>
    <w:rsid w:val="001D0545"/>
    <w:rsid w:val="001D0635"/>
    <w:rsid w:val="001D0642"/>
    <w:rsid w:val="001D06C4"/>
    <w:rsid w:val="001D074E"/>
    <w:rsid w:val="001D0753"/>
    <w:rsid w:val="001D07BF"/>
    <w:rsid w:val="001D07E4"/>
    <w:rsid w:val="001D0816"/>
    <w:rsid w:val="001D0980"/>
    <w:rsid w:val="001D0A2B"/>
    <w:rsid w:val="001D0A7B"/>
    <w:rsid w:val="001D0A7E"/>
    <w:rsid w:val="001D0ABC"/>
    <w:rsid w:val="001D0BCA"/>
    <w:rsid w:val="001D0C34"/>
    <w:rsid w:val="001D0CB7"/>
    <w:rsid w:val="001D0CE7"/>
    <w:rsid w:val="001D0E0B"/>
    <w:rsid w:val="001D0E61"/>
    <w:rsid w:val="001D0E8E"/>
    <w:rsid w:val="001D0EAE"/>
    <w:rsid w:val="001D0EF0"/>
    <w:rsid w:val="001D0F87"/>
    <w:rsid w:val="001D0FAB"/>
    <w:rsid w:val="001D0FEC"/>
    <w:rsid w:val="001D1244"/>
    <w:rsid w:val="001D12F7"/>
    <w:rsid w:val="001D1315"/>
    <w:rsid w:val="001D13B1"/>
    <w:rsid w:val="001D13C6"/>
    <w:rsid w:val="001D1499"/>
    <w:rsid w:val="001D1513"/>
    <w:rsid w:val="001D15BA"/>
    <w:rsid w:val="001D15DA"/>
    <w:rsid w:val="001D15F9"/>
    <w:rsid w:val="001D162B"/>
    <w:rsid w:val="001D1862"/>
    <w:rsid w:val="001D194F"/>
    <w:rsid w:val="001D19B8"/>
    <w:rsid w:val="001D19C8"/>
    <w:rsid w:val="001D1A22"/>
    <w:rsid w:val="001D1A99"/>
    <w:rsid w:val="001D1AB3"/>
    <w:rsid w:val="001D1B94"/>
    <w:rsid w:val="001D1BB8"/>
    <w:rsid w:val="001D1C03"/>
    <w:rsid w:val="001D1CC3"/>
    <w:rsid w:val="001D1D82"/>
    <w:rsid w:val="001D1DD0"/>
    <w:rsid w:val="001D1DD6"/>
    <w:rsid w:val="001D1E04"/>
    <w:rsid w:val="001D1E69"/>
    <w:rsid w:val="001D1F9E"/>
    <w:rsid w:val="001D1FA6"/>
    <w:rsid w:val="001D1FD5"/>
    <w:rsid w:val="001D20B8"/>
    <w:rsid w:val="001D20D9"/>
    <w:rsid w:val="001D20E9"/>
    <w:rsid w:val="001D221B"/>
    <w:rsid w:val="001D2355"/>
    <w:rsid w:val="001D236E"/>
    <w:rsid w:val="001D23D0"/>
    <w:rsid w:val="001D23FC"/>
    <w:rsid w:val="001D248B"/>
    <w:rsid w:val="001D24AC"/>
    <w:rsid w:val="001D24E9"/>
    <w:rsid w:val="001D25D9"/>
    <w:rsid w:val="001D2665"/>
    <w:rsid w:val="001D270D"/>
    <w:rsid w:val="001D2793"/>
    <w:rsid w:val="001D27B3"/>
    <w:rsid w:val="001D2806"/>
    <w:rsid w:val="001D28C4"/>
    <w:rsid w:val="001D2954"/>
    <w:rsid w:val="001D2A0E"/>
    <w:rsid w:val="001D2B5E"/>
    <w:rsid w:val="001D2C02"/>
    <w:rsid w:val="001D2C45"/>
    <w:rsid w:val="001D2C93"/>
    <w:rsid w:val="001D2D33"/>
    <w:rsid w:val="001D2D56"/>
    <w:rsid w:val="001D2D71"/>
    <w:rsid w:val="001D2DD8"/>
    <w:rsid w:val="001D2E0F"/>
    <w:rsid w:val="001D2E3C"/>
    <w:rsid w:val="001D2EB3"/>
    <w:rsid w:val="001D2EC4"/>
    <w:rsid w:val="001D2F2B"/>
    <w:rsid w:val="001D2F8C"/>
    <w:rsid w:val="001D302C"/>
    <w:rsid w:val="001D30A3"/>
    <w:rsid w:val="001D3192"/>
    <w:rsid w:val="001D31A3"/>
    <w:rsid w:val="001D325C"/>
    <w:rsid w:val="001D325E"/>
    <w:rsid w:val="001D32B2"/>
    <w:rsid w:val="001D32B4"/>
    <w:rsid w:val="001D3699"/>
    <w:rsid w:val="001D36A8"/>
    <w:rsid w:val="001D36CB"/>
    <w:rsid w:val="001D37DE"/>
    <w:rsid w:val="001D3839"/>
    <w:rsid w:val="001D399A"/>
    <w:rsid w:val="001D3A05"/>
    <w:rsid w:val="001D3AF8"/>
    <w:rsid w:val="001D3B37"/>
    <w:rsid w:val="001D3B78"/>
    <w:rsid w:val="001D3DB8"/>
    <w:rsid w:val="001D3E66"/>
    <w:rsid w:val="001D3F25"/>
    <w:rsid w:val="001D3FDA"/>
    <w:rsid w:val="001D40FF"/>
    <w:rsid w:val="001D415D"/>
    <w:rsid w:val="001D42C6"/>
    <w:rsid w:val="001D433E"/>
    <w:rsid w:val="001D4429"/>
    <w:rsid w:val="001D452D"/>
    <w:rsid w:val="001D45A2"/>
    <w:rsid w:val="001D45B2"/>
    <w:rsid w:val="001D463F"/>
    <w:rsid w:val="001D47B9"/>
    <w:rsid w:val="001D4891"/>
    <w:rsid w:val="001D489F"/>
    <w:rsid w:val="001D4901"/>
    <w:rsid w:val="001D4961"/>
    <w:rsid w:val="001D497D"/>
    <w:rsid w:val="001D4983"/>
    <w:rsid w:val="001D49C0"/>
    <w:rsid w:val="001D49CC"/>
    <w:rsid w:val="001D4A21"/>
    <w:rsid w:val="001D4B02"/>
    <w:rsid w:val="001D4B0C"/>
    <w:rsid w:val="001D4B52"/>
    <w:rsid w:val="001D4C5C"/>
    <w:rsid w:val="001D4C8A"/>
    <w:rsid w:val="001D4D8D"/>
    <w:rsid w:val="001D4D9D"/>
    <w:rsid w:val="001D4DDD"/>
    <w:rsid w:val="001D4ECB"/>
    <w:rsid w:val="001D4F3C"/>
    <w:rsid w:val="001D4F97"/>
    <w:rsid w:val="001D50C2"/>
    <w:rsid w:val="001D51B4"/>
    <w:rsid w:val="001D5258"/>
    <w:rsid w:val="001D52DA"/>
    <w:rsid w:val="001D52FC"/>
    <w:rsid w:val="001D5443"/>
    <w:rsid w:val="001D54B2"/>
    <w:rsid w:val="001D54D8"/>
    <w:rsid w:val="001D5541"/>
    <w:rsid w:val="001D5543"/>
    <w:rsid w:val="001D567E"/>
    <w:rsid w:val="001D56A3"/>
    <w:rsid w:val="001D56C6"/>
    <w:rsid w:val="001D56C9"/>
    <w:rsid w:val="001D5801"/>
    <w:rsid w:val="001D5942"/>
    <w:rsid w:val="001D59BE"/>
    <w:rsid w:val="001D5A8B"/>
    <w:rsid w:val="001D5B58"/>
    <w:rsid w:val="001D5BCA"/>
    <w:rsid w:val="001D5C76"/>
    <w:rsid w:val="001D5CC0"/>
    <w:rsid w:val="001D5E14"/>
    <w:rsid w:val="001D5EBB"/>
    <w:rsid w:val="001D5EFE"/>
    <w:rsid w:val="001D60CE"/>
    <w:rsid w:val="001D60E6"/>
    <w:rsid w:val="001D6113"/>
    <w:rsid w:val="001D61E3"/>
    <w:rsid w:val="001D630F"/>
    <w:rsid w:val="001D636D"/>
    <w:rsid w:val="001D6447"/>
    <w:rsid w:val="001D64BE"/>
    <w:rsid w:val="001D64E9"/>
    <w:rsid w:val="001D6521"/>
    <w:rsid w:val="001D6671"/>
    <w:rsid w:val="001D6800"/>
    <w:rsid w:val="001D6823"/>
    <w:rsid w:val="001D68F2"/>
    <w:rsid w:val="001D69A4"/>
    <w:rsid w:val="001D6A09"/>
    <w:rsid w:val="001D6A89"/>
    <w:rsid w:val="001D6AA7"/>
    <w:rsid w:val="001D6ABE"/>
    <w:rsid w:val="001D6C44"/>
    <w:rsid w:val="001D6C64"/>
    <w:rsid w:val="001D6CA6"/>
    <w:rsid w:val="001D6D8B"/>
    <w:rsid w:val="001D6E13"/>
    <w:rsid w:val="001D7056"/>
    <w:rsid w:val="001D707F"/>
    <w:rsid w:val="001D70E5"/>
    <w:rsid w:val="001D710E"/>
    <w:rsid w:val="001D7151"/>
    <w:rsid w:val="001D7227"/>
    <w:rsid w:val="001D7310"/>
    <w:rsid w:val="001D7460"/>
    <w:rsid w:val="001D7471"/>
    <w:rsid w:val="001D75F3"/>
    <w:rsid w:val="001D7735"/>
    <w:rsid w:val="001D7766"/>
    <w:rsid w:val="001D785A"/>
    <w:rsid w:val="001D7A94"/>
    <w:rsid w:val="001D7B52"/>
    <w:rsid w:val="001D7C69"/>
    <w:rsid w:val="001D7C6B"/>
    <w:rsid w:val="001D7C71"/>
    <w:rsid w:val="001D7D0B"/>
    <w:rsid w:val="001D7D19"/>
    <w:rsid w:val="001D7D43"/>
    <w:rsid w:val="001D7D4B"/>
    <w:rsid w:val="001D7E10"/>
    <w:rsid w:val="001D7E28"/>
    <w:rsid w:val="001D7EA1"/>
    <w:rsid w:val="001D7EDB"/>
    <w:rsid w:val="001D7EFC"/>
    <w:rsid w:val="001D7F30"/>
    <w:rsid w:val="001E00C1"/>
    <w:rsid w:val="001E00D0"/>
    <w:rsid w:val="001E010E"/>
    <w:rsid w:val="001E0142"/>
    <w:rsid w:val="001E01A4"/>
    <w:rsid w:val="001E0234"/>
    <w:rsid w:val="001E02D8"/>
    <w:rsid w:val="001E031E"/>
    <w:rsid w:val="001E048F"/>
    <w:rsid w:val="001E0550"/>
    <w:rsid w:val="001E057F"/>
    <w:rsid w:val="001E05C6"/>
    <w:rsid w:val="001E07A4"/>
    <w:rsid w:val="001E07CB"/>
    <w:rsid w:val="001E07DD"/>
    <w:rsid w:val="001E07E1"/>
    <w:rsid w:val="001E07E7"/>
    <w:rsid w:val="001E0834"/>
    <w:rsid w:val="001E08A6"/>
    <w:rsid w:val="001E08B6"/>
    <w:rsid w:val="001E08C1"/>
    <w:rsid w:val="001E094A"/>
    <w:rsid w:val="001E0A01"/>
    <w:rsid w:val="001E0ACA"/>
    <w:rsid w:val="001E0B0C"/>
    <w:rsid w:val="001E0BC6"/>
    <w:rsid w:val="001E0CD8"/>
    <w:rsid w:val="001E0D3C"/>
    <w:rsid w:val="001E0D47"/>
    <w:rsid w:val="001E0E34"/>
    <w:rsid w:val="001E0E6B"/>
    <w:rsid w:val="001E0E9E"/>
    <w:rsid w:val="001E100A"/>
    <w:rsid w:val="001E104D"/>
    <w:rsid w:val="001E108C"/>
    <w:rsid w:val="001E10B1"/>
    <w:rsid w:val="001E1100"/>
    <w:rsid w:val="001E1356"/>
    <w:rsid w:val="001E1365"/>
    <w:rsid w:val="001E1369"/>
    <w:rsid w:val="001E1415"/>
    <w:rsid w:val="001E14B5"/>
    <w:rsid w:val="001E15E2"/>
    <w:rsid w:val="001E167C"/>
    <w:rsid w:val="001E1711"/>
    <w:rsid w:val="001E174C"/>
    <w:rsid w:val="001E1790"/>
    <w:rsid w:val="001E1799"/>
    <w:rsid w:val="001E17E7"/>
    <w:rsid w:val="001E1873"/>
    <w:rsid w:val="001E1885"/>
    <w:rsid w:val="001E192D"/>
    <w:rsid w:val="001E194A"/>
    <w:rsid w:val="001E19D7"/>
    <w:rsid w:val="001E19E1"/>
    <w:rsid w:val="001E1B05"/>
    <w:rsid w:val="001E1B54"/>
    <w:rsid w:val="001E1D0E"/>
    <w:rsid w:val="001E1DC3"/>
    <w:rsid w:val="001E1E49"/>
    <w:rsid w:val="001E1E7B"/>
    <w:rsid w:val="001E1EB4"/>
    <w:rsid w:val="001E20A9"/>
    <w:rsid w:val="001E221C"/>
    <w:rsid w:val="001E2321"/>
    <w:rsid w:val="001E2343"/>
    <w:rsid w:val="001E2356"/>
    <w:rsid w:val="001E237C"/>
    <w:rsid w:val="001E2498"/>
    <w:rsid w:val="001E259E"/>
    <w:rsid w:val="001E25AD"/>
    <w:rsid w:val="001E2601"/>
    <w:rsid w:val="001E2619"/>
    <w:rsid w:val="001E2627"/>
    <w:rsid w:val="001E277B"/>
    <w:rsid w:val="001E2782"/>
    <w:rsid w:val="001E2863"/>
    <w:rsid w:val="001E2882"/>
    <w:rsid w:val="001E28CB"/>
    <w:rsid w:val="001E29BE"/>
    <w:rsid w:val="001E2C5A"/>
    <w:rsid w:val="001E2C86"/>
    <w:rsid w:val="001E2D32"/>
    <w:rsid w:val="001E2D49"/>
    <w:rsid w:val="001E2DEB"/>
    <w:rsid w:val="001E2E1C"/>
    <w:rsid w:val="001E3155"/>
    <w:rsid w:val="001E317D"/>
    <w:rsid w:val="001E3264"/>
    <w:rsid w:val="001E3282"/>
    <w:rsid w:val="001E3309"/>
    <w:rsid w:val="001E35FA"/>
    <w:rsid w:val="001E3689"/>
    <w:rsid w:val="001E38C0"/>
    <w:rsid w:val="001E3A78"/>
    <w:rsid w:val="001E3B8C"/>
    <w:rsid w:val="001E3C1A"/>
    <w:rsid w:val="001E3C57"/>
    <w:rsid w:val="001E3C86"/>
    <w:rsid w:val="001E3DC5"/>
    <w:rsid w:val="001E3F56"/>
    <w:rsid w:val="001E3FEA"/>
    <w:rsid w:val="001E401D"/>
    <w:rsid w:val="001E403D"/>
    <w:rsid w:val="001E4105"/>
    <w:rsid w:val="001E417C"/>
    <w:rsid w:val="001E41A4"/>
    <w:rsid w:val="001E422E"/>
    <w:rsid w:val="001E424E"/>
    <w:rsid w:val="001E42E0"/>
    <w:rsid w:val="001E43C5"/>
    <w:rsid w:val="001E43E9"/>
    <w:rsid w:val="001E442C"/>
    <w:rsid w:val="001E458B"/>
    <w:rsid w:val="001E459E"/>
    <w:rsid w:val="001E4604"/>
    <w:rsid w:val="001E4723"/>
    <w:rsid w:val="001E4789"/>
    <w:rsid w:val="001E4791"/>
    <w:rsid w:val="001E47A9"/>
    <w:rsid w:val="001E48D0"/>
    <w:rsid w:val="001E4976"/>
    <w:rsid w:val="001E4996"/>
    <w:rsid w:val="001E4B8C"/>
    <w:rsid w:val="001E4D8F"/>
    <w:rsid w:val="001E4D94"/>
    <w:rsid w:val="001E4DD8"/>
    <w:rsid w:val="001E4E31"/>
    <w:rsid w:val="001E4E87"/>
    <w:rsid w:val="001E4EB4"/>
    <w:rsid w:val="001E4FD6"/>
    <w:rsid w:val="001E507B"/>
    <w:rsid w:val="001E50C0"/>
    <w:rsid w:val="001E50E8"/>
    <w:rsid w:val="001E50EF"/>
    <w:rsid w:val="001E5104"/>
    <w:rsid w:val="001E5140"/>
    <w:rsid w:val="001E519D"/>
    <w:rsid w:val="001E51D8"/>
    <w:rsid w:val="001E52FA"/>
    <w:rsid w:val="001E5304"/>
    <w:rsid w:val="001E5360"/>
    <w:rsid w:val="001E53B1"/>
    <w:rsid w:val="001E53C5"/>
    <w:rsid w:val="001E53CB"/>
    <w:rsid w:val="001E542C"/>
    <w:rsid w:val="001E542D"/>
    <w:rsid w:val="001E544A"/>
    <w:rsid w:val="001E5732"/>
    <w:rsid w:val="001E5765"/>
    <w:rsid w:val="001E59A4"/>
    <w:rsid w:val="001E5A01"/>
    <w:rsid w:val="001E5A97"/>
    <w:rsid w:val="001E5AA3"/>
    <w:rsid w:val="001E5AAF"/>
    <w:rsid w:val="001E5AB6"/>
    <w:rsid w:val="001E5AD5"/>
    <w:rsid w:val="001E5C36"/>
    <w:rsid w:val="001E5C5E"/>
    <w:rsid w:val="001E5C68"/>
    <w:rsid w:val="001E5DA7"/>
    <w:rsid w:val="001E5E40"/>
    <w:rsid w:val="001E5EE4"/>
    <w:rsid w:val="001E5FE0"/>
    <w:rsid w:val="001E6065"/>
    <w:rsid w:val="001E61A4"/>
    <w:rsid w:val="001E623B"/>
    <w:rsid w:val="001E6359"/>
    <w:rsid w:val="001E6467"/>
    <w:rsid w:val="001E6475"/>
    <w:rsid w:val="001E6487"/>
    <w:rsid w:val="001E6493"/>
    <w:rsid w:val="001E6558"/>
    <w:rsid w:val="001E65C0"/>
    <w:rsid w:val="001E663B"/>
    <w:rsid w:val="001E66A8"/>
    <w:rsid w:val="001E678C"/>
    <w:rsid w:val="001E695D"/>
    <w:rsid w:val="001E6976"/>
    <w:rsid w:val="001E6A54"/>
    <w:rsid w:val="001E6B5D"/>
    <w:rsid w:val="001E6BEB"/>
    <w:rsid w:val="001E6C5A"/>
    <w:rsid w:val="001E6CEC"/>
    <w:rsid w:val="001E6D33"/>
    <w:rsid w:val="001E6D97"/>
    <w:rsid w:val="001E6E82"/>
    <w:rsid w:val="001E6F17"/>
    <w:rsid w:val="001E6F6C"/>
    <w:rsid w:val="001E7019"/>
    <w:rsid w:val="001E7083"/>
    <w:rsid w:val="001E70C7"/>
    <w:rsid w:val="001E718C"/>
    <w:rsid w:val="001E71E0"/>
    <w:rsid w:val="001E7216"/>
    <w:rsid w:val="001E725D"/>
    <w:rsid w:val="001E7263"/>
    <w:rsid w:val="001E7332"/>
    <w:rsid w:val="001E738C"/>
    <w:rsid w:val="001E7408"/>
    <w:rsid w:val="001E7529"/>
    <w:rsid w:val="001E7584"/>
    <w:rsid w:val="001E7686"/>
    <w:rsid w:val="001E7730"/>
    <w:rsid w:val="001E7794"/>
    <w:rsid w:val="001E77A8"/>
    <w:rsid w:val="001E7804"/>
    <w:rsid w:val="001E7830"/>
    <w:rsid w:val="001E785E"/>
    <w:rsid w:val="001E78C1"/>
    <w:rsid w:val="001E793C"/>
    <w:rsid w:val="001E79B5"/>
    <w:rsid w:val="001E79D2"/>
    <w:rsid w:val="001E7AFC"/>
    <w:rsid w:val="001E7C1B"/>
    <w:rsid w:val="001E7CF8"/>
    <w:rsid w:val="001E7D65"/>
    <w:rsid w:val="001E7DA6"/>
    <w:rsid w:val="001E7EA5"/>
    <w:rsid w:val="001F001F"/>
    <w:rsid w:val="001F00E3"/>
    <w:rsid w:val="001F00EA"/>
    <w:rsid w:val="001F011E"/>
    <w:rsid w:val="001F01BB"/>
    <w:rsid w:val="001F022E"/>
    <w:rsid w:val="001F04B2"/>
    <w:rsid w:val="001F04B5"/>
    <w:rsid w:val="001F056D"/>
    <w:rsid w:val="001F06FC"/>
    <w:rsid w:val="001F074A"/>
    <w:rsid w:val="001F075A"/>
    <w:rsid w:val="001F07A4"/>
    <w:rsid w:val="001F0879"/>
    <w:rsid w:val="001F0929"/>
    <w:rsid w:val="001F094F"/>
    <w:rsid w:val="001F096F"/>
    <w:rsid w:val="001F0C70"/>
    <w:rsid w:val="001F0D09"/>
    <w:rsid w:val="001F0DAB"/>
    <w:rsid w:val="001F0E13"/>
    <w:rsid w:val="001F0E5B"/>
    <w:rsid w:val="001F0E81"/>
    <w:rsid w:val="001F0EB1"/>
    <w:rsid w:val="001F0EE4"/>
    <w:rsid w:val="001F0F83"/>
    <w:rsid w:val="001F0FB0"/>
    <w:rsid w:val="001F0FBC"/>
    <w:rsid w:val="001F0FBD"/>
    <w:rsid w:val="001F1062"/>
    <w:rsid w:val="001F11A3"/>
    <w:rsid w:val="001F1218"/>
    <w:rsid w:val="001F1266"/>
    <w:rsid w:val="001F1445"/>
    <w:rsid w:val="001F1467"/>
    <w:rsid w:val="001F1468"/>
    <w:rsid w:val="001F1607"/>
    <w:rsid w:val="001F1649"/>
    <w:rsid w:val="001F1696"/>
    <w:rsid w:val="001F1740"/>
    <w:rsid w:val="001F1837"/>
    <w:rsid w:val="001F189F"/>
    <w:rsid w:val="001F18C5"/>
    <w:rsid w:val="001F1918"/>
    <w:rsid w:val="001F194F"/>
    <w:rsid w:val="001F195F"/>
    <w:rsid w:val="001F1990"/>
    <w:rsid w:val="001F19A1"/>
    <w:rsid w:val="001F19B9"/>
    <w:rsid w:val="001F1A0E"/>
    <w:rsid w:val="001F1A33"/>
    <w:rsid w:val="001F1A3C"/>
    <w:rsid w:val="001F1AAC"/>
    <w:rsid w:val="001F1CCB"/>
    <w:rsid w:val="001F1CD8"/>
    <w:rsid w:val="001F1CF9"/>
    <w:rsid w:val="001F1D2D"/>
    <w:rsid w:val="001F1D83"/>
    <w:rsid w:val="001F1DAE"/>
    <w:rsid w:val="001F1DD7"/>
    <w:rsid w:val="001F1EC3"/>
    <w:rsid w:val="001F1F00"/>
    <w:rsid w:val="001F1F17"/>
    <w:rsid w:val="001F1F93"/>
    <w:rsid w:val="001F1FBB"/>
    <w:rsid w:val="001F2014"/>
    <w:rsid w:val="001F208B"/>
    <w:rsid w:val="001F20A7"/>
    <w:rsid w:val="001F2144"/>
    <w:rsid w:val="001F216B"/>
    <w:rsid w:val="001F2398"/>
    <w:rsid w:val="001F23C1"/>
    <w:rsid w:val="001F23DE"/>
    <w:rsid w:val="001F23E3"/>
    <w:rsid w:val="001F2550"/>
    <w:rsid w:val="001F2593"/>
    <w:rsid w:val="001F2625"/>
    <w:rsid w:val="001F276F"/>
    <w:rsid w:val="001F27F1"/>
    <w:rsid w:val="001F280D"/>
    <w:rsid w:val="001F280F"/>
    <w:rsid w:val="001F282F"/>
    <w:rsid w:val="001F2850"/>
    <w:rsid w:val="001F2968"/>
    <w:rsid w:val="001F2985"/>
    <w:rsid w:val="001F29A8"/>
    <w:rsid w:val="001F2A6A"/>
    <w:rsid w:val="001F2ABC"/>
    <w:rsid w:val="001F2AE9"/>
    <w:rsid w:val="001F2C4A"/>
    <w:rsid w:val="001F2C50"/>
    <w:rsid w:val="001F2DA8"/>
    <w:rsid w:val="001F2E5F"/>
    <w:rsid w:val="001F2EAC"/>
    <w:rsid w:val="001F2EEC"/>
    <w:rsid w:val="001F2F11"/>
    <w:rsid w:val="001F2F2A"/>
    <w:rsid w:val="001F2FDA"/>
    <w:rsid w:val="001F300D"/>
    <w:rsid w:val="001F30A0"/>
    <w:rsid w:val="001F3121"/>
    <w:rsid w:val="001F3153"/>
    <w:rsid w:val="001F3160"/>
    <w:rsid w:val="001F31C9"/>
    <w:rsid w:val="001F3203"/>
    <w:rsid w:val="001F32FA"/>
    <w:rsid w:val="001F3309"/>
    <w:rsid w:val="001F338A"/>
    <w:rsid w:val="001F3538"/>
    <w:rsid w:val="001F3551"/>
    <w:rsid w:val="001F3618"/>
    <w:rsid w:val="001F3709"/>
    <w:rsid w:val="001F3797"/>
    <w:rsid w:val="001F38D0"/>
    <w:rsid w:val="001F38DE"/>
    <w:rsid w:val="001F3919"/>
    <w:rsid w:val="001F3980"/>
    <w:rsid w:val="001F3981"/>
    <w:rsid w:val="001F39DE"/>
    <w:rsid w:val="001F39EF"/>
    <w:rsid w:val="001F39F6"/>
    <w:rsid w:val="001F3A6D"/>
    <w:rsid w:val="001F3A74"/>
    <w:rsid w:val="001F3AB8"/>
    <w:rsid w:val="001F3B94"/>
    <w:rsid w:val="001F3B96"/>
    <w:rsid w:val="001F3BB4"/>
    <w:rsid w:val="001F3BC6"/>
    <w:rsid w:val="001F3C30"/>
    <w:rsid w:val="001F3C7C"/>
    <w:rsid w:val="001F3D04"/>
    <w:rsid w:val="001F3D32"/>
    <w:rsid w:val="001F3E8A"/>
    <w:rsid w:val="001F3EA9"/>
    <w:rsid w:val="001F3F24"/>
    <w:rsid w:val="001F3FCA"/>
    <w:rsid w:val="001F4029"/>
    <w:rsid w:val="001F40F6"/>
    <w:rsid w:val="001F41D7"/>
    <w:rsid w:val="001F4220"/>
    <w:rsid w:val="001F429B"/>
    <w:rsid w:val="001F43F0"/>
    <w:rsid w:val="001F4470"/>
    <w:rsid w:val="001F448E"/>
    <w:rsid w:val="001F451D"/>
    <w:rsid w:val="001F4612"/>
    <w:rsid w:val="001F4624"/>
    <w:rsid w:val="001F469B"/>
    <w:rsid w:val="001F46CD"/>
    <w:rsid w:val="001F477B"/>
    <w:rsid w:val="001F4780"/>
    <w:rsid w:val="001F47CB"/>
    <w:rsid w:val="001F4848"/>
    <w:rsid w:val="001F48C8"/>
    <w:rsid w:val="001F4997"/>
    <w:rsid w:val="001F4A2B"/>
    <w:rsid w:val="001F4A41"/>
    <w:rsid w:val="001F4C3C"/>
    <w:rsid w:val="001F4C64"/>
    <w:rsid w:val="001F4C8A"/>
    <w:rsid w:val="001F4D14"/>
    <w:rsid w:val="001F4E07"/>
    <w:rsid w:val="001F4E09"/>
    <w:rsid w:val="001F4E67"/>
    <w:rsid w:val="001F4F10"/>
    <w:rsid w:val="001F4F2A"/>
    <w:rsid w:val="001F4F4F"/>
    <w:rsid w:val="001F4F90"/>
    <w:rsid w:val="001F50E2"/>
    <w:rsid w:val="001F510F"/>
    <w:rsid w:val="001F516E"/>
    <w:rsid w:val="001F540D"/>
    <w:rsid w:val="001F5584"/>
    <w:rsid w:val="001F5599"/>
    <w:rsid w:val="001F5687"/>
    <w:rsid w:val="001F5709"/>
    <w:rsid w:val="001F57F9"/>
    <w:rsid w:val="001F5824"/>
    <w:rsid w:val="001F585F"/>
    <w:rsid w:val="001F590C"/>
    <w:rsid w:val="001F595A"/>
    <w:rsid w:val="001F59AB"/>
    <w:rsid w:val="001F59B8"/>
    <w:rsid w:val="001F59F5"/>
    <w:rsid w:val="001F5B2C"/>
    <w:rsid w:val="001F5B3C"/>
    <w:rsid w:val="001F5C43"/>
    <w:rsid w:val="001F5C71"/>
    <w:rsid w:val="001F5CA4"/>
    <w:rsid w:val="001F5CD9"/>
    <w:rsid w:val="001F5D08"/>
    <w:rsid w:val="001F5D5D"/>
    <w:rsid w:val="001F5DEB"/>
    <w:rsid w:val="001F5E09"/>
    <w:rsid w:val="001F5E1D"/>
    <w:rsid w:val="001F5EC1"/>
    <w:rsid w:val="001F5F3B"/>
    <w:rsid w:val="001F5FA1"/>
    <w:rsid w:val="001F5FB3"/>
    <w:rsid w:val="001F61C9"/>
    <w:rsid w:val="001F622B"/>
    <w:rsid w:val="001F6257"/>
    <w:rsid w:val="001F6359"/>
    <w:rsid w:val="001F6362"/>
    <w:rsid w:val="001F6565"/>
    <w:rsid w:val="001F65F6"/>
    <w:rsid w:val="001F663F"/>
    <w:rsid w:val="001F6666"/>
    <w:rsid w:val="001F6698"/>
    <w:rsid w:val="001F66AF"/>
    <w:rsid w:val="001F66CE"/>
    <w:rsid w:val="001F6723"/>
    <w:rsid w:val="001F6745"/>
    <w:rsid w:val="001F691D"/>
    <w:rsid w:val="001F6929"/>
    <w:rsid w:val="001F6997"/>
    <w:rsid w:val="001F6A43"/>
    <w:rsid w:val="001F6A8B"/>
    <w:rsid w:val="001F6ACC"/>
    <w:rsid w:val="001F6BE7"/>
    <w:rsid w:val="001F6F6D"/>
    <w:rsid w:val="001F707F"/>
    <w:rsid w:val="001F70D5"/>
    <w:rsid w:val="001F7150"/>
    <w:rsid w:val="001F72E9"/>
    <w:rsid w:val="001F7380"/>
    <w:rsid w:val="001F73F1"/>
    <w:rsid w:val="001F7590"/>
    <w:rsid w:val="001F759B"/>
    <w:rsid w:val="001F7695"/>
    <w:rsid w:val="001F77A8"/>
    <w:rsid w:val="001F77B6"/>
    <w:rsid w:val="001F784D"/>
    <w:rsid w:val="001F78B7"/>
    <w:rsid w:val="001F79C6"/>
    <w:rsid w:val="001F79CA"/>
    <w:rsid w:val="001F7A65"/>
    <w:rsid w:val="001F7AF9"/>
    <w:rsid w:val="001F7B14"/>
    <w:rsid w:val="001F7CA7"/>
    <w:rsid w:val="001F7CE5"/>
    <w:rsid w:val="001F7D55"/>
    <w:rsid w:val="001F7D5C"/>
    <w:rsid w:val="001F7D75"/>
    <w:rsid w:val="001F7DF0"/>
    <w:rsid w:val="001F7E6D"/>
    <w:rsid w:val="001F7E82"/>
    <w:rsid w:val="001F7ED8"/>
    <w:rsid w:val="001F7EEB"/>
    <w:rsid w:val="001F7F1B"/>
    <w:rsid w:val="001F7F32"/>
    <w:rsid w:val="001F7FCB"/>
    <w:rsid w:val="0020000D"/>
    <w:rsid w:val="002000DE"/>
    <w:rsid w:val="0020011E"/>
    <w:rsid w:val="002001C9"/>
    <w:rsid w:val="002001E5"/>
    <w:rsid w:val="0020032B"/>
    <w:rsid w:val="0020033A"/>
    <w:rsid w:val="0020038E"/>
    <w:rsid w:val="002003E6"/>
    <w:rsid w:val="00200450"/>
    <w:rsid w:val="0020045F"/>
    <w:rsid w:val="002004BB"/>
    <w:rsid w:val="002004C8"/>
    <w:rsid w:val="002004D7"/>
    <w:rsid w:val="00200552"/>
    <w:rsid w:val="002005BC"/>
    <w:rsid w:val="0020065E"/>
    <w:rsid w:val="0020067D"/>
    <w:rsid w:val="002006B7"/>
    <w:rsid w:val="002006E4"/>
    <w:rsid w:val="0020082D"/>
    <w:rsid w:val="0020084A"/>
    <w:rsid w:val="002008EC"/>
    <w:rsid w:val="00200996"/>
    <w:rsid w:val="002009E5"/>
    <w:rsid w:val="00200AA4"/>
    <w:rsid w:val="00200B20"/>
    <w:rsid w:val="00200B77"/>
    <w:rsid w:val="00200C18"/>
    <w:rsid w:val="00200FC0"/>
    <w:rsid w:val="0020109E"/>
    <w:rsid w:val="0020115A"/>
    <w:rsid w:val="00201160"/>
    <w:rsid w:val="00201173"/>
    <w:rsid w:val="0020141A"/>
    <w:rsid w:val="0020144B"/>
    <w:rsid w:val="00201556"/>
    <w:rsid w:val="00201571"/>
    <w:rsid w:val="002015CE"/>
    <w:rsid w:val="002015E3"/>
    <w:rsid w:val="0020168A"/>
    <w:rsid w:val="002016C1"/>
    <w:rsid w:val="002018B0"/>
    <w:rsid w:val="002018C1"/>
    <w:rsid w:val="002018F0"/>
    <w:rsid w:val="00201982"/>
    <w:rsid w:val="00201AE2"/>
    <w:rsid w:val="00201AE7"/>
    <w:rsid w:val="00201B19"/>
    <w:rsid w:val="00201B56"/>
    <w:rsid w:val="00201B5B"/>
    <w:rsid w:val="00201BEE"/>
    <w:rsid w:val="00201C05"/>
    <w:rsid w:val="00201C0E"/>
    <w:rsid w:val="00201E1D"/>
    <w:rsid w:val="00201E70"/>
    <w:rsid w:val="00201F18"/>
    <w:rsid w:val="00201F23"/>
    <w:rsid w:val="00201F34"/>
    <w:rsid w:val="00202096"/>
    <w:rsid w:val="002020D1"/>
    <w:rsid w:val="00202102"/>
    <w:rsid w:val="00202246"/>
    <w:rsid w:val="00202293"/>
    <w:rsid w:val="002023F4"/>
    <w:rsid w:val="00202442"/>
    <w:rsid w:val="0020245F"/>
    <w:rsid w:val="00202461"/>
    <w:rsid w:val="0020265B"/>
    <w:rsid w:val="00202718"/>
    <w:rsid w:val="00202731"/>
    <w:rsid w:val="0020274C"/>
    <w:rsid w:val="00202784"/>
    <w:rsid w:val="002027E4"/>
    <w:rsid w:val="002027EB"/>
    <w:rsid w:val="002027F4"/>
    <w:rsid w:val="00202878"/>
    <w:rsid w:val="002028A3"/>
    <w:rsid w:val="002028B8"/>
    <w:rsid w:val="00202923"/>
    <w:rsid w:val="00202932"/>
    <w:rsid w:val="002029C9"/>
    <w:rsid w:val="00202A9E"/>
    <w:rsid w:val="00202B00"/>
    <w:rsid w:val="00202B29"/>
    <w:rsid w:val="00202DFF"/>
    <w:rsid w:val="00202EE5"/>
    <w:rsid w:val="00202FEA"/>
    <w:rsid w:val="002030D5"/>
    <w:rsid w:val="002030E5"/>
    <w:rsid w:val="002031AE"/>
    <w:rsid w:val="002032B6"/>
    <w:rsid w:val="002032D9"/>
    <w:rsid w:val="0020332B"/>
    <w:rsid w:val="002033A2"/>
    <w:rsid w:val="002033C7"/>
    <w:rsid w:val="002034AA"/>
    <w:rsid w:val="00203581"/>
    <w:rsid w:val="002035D7"/>
    <w:rsid w:val="00203611"/>
    <w:rsid w:val="00203633"/>
    <w:rsid w:val="002036FB"/>
    <w:rsid w:val="002037B6"/>
    <w:rsid w:val="002037F8"/>
    <w:rsid w:val="0020398B"/>
    <w:rsid w:val="002039CF"/>
    <w:rsid w:val="00203A02"/>
    <w:rsid w:val="00203A56"/>
    <w:rsid w:val="00203B73"/>
    <w:rsid w:val="00203BA8"/>
    <w:rsid w:val="00203BE3"/>
    <w:rsid w:val="00203C38"/>
    <w:rsid w:val="00203C4A"/>
    <w:rsid w:val="00203CDA"/>
    <w:rsid w:val="00203DA0"/>
    <w:rsid w:val="00203DDB"/>
    <w:rsid w:val="00203E0F"/>
    <w:rsid w:val="00203E8B"/>
    <w:rsid w:val="00203EB1"/>
    <w:rsid w:val="00203F02"/>
    <w:rsid w:val="00203F47"/>
    <w:rsid w:val="00203F9F"/>
    <w:rsid w:val="00203FE9"/>
    <w:rsid w:val="00204099"/>
    <w:rsid w:val="002040D6"/>
    <w:rsid w:val="002040D7"/>
    <w:rsid w:val="00204114"/>
    <w:rsid w:val="0020422A"/>
    <w:rsid w:val="00204246"/>
    <w:rsid w:val="0020429E"/>
    <w:rsid w:val="002042A2"/>
    <w:rsid w:val="00204324"/>
    <w:rsid w:val="00204519"/>
    <w:rsid w:val="002045A6"/>
    <w:rsid w:val="002045BF"/>
    <w:rsid w:val="00204636"/>
    <w:rsid w:val="00204663"/>
    <w:rsid w:val="00204682"/>
    <w:rsid w:val="002049D6"/>
    <w:rsid w:val="00204A4B"/>
    <w:rsid w:val="00204B0F"/>
    <w:rsid w:val="00204B30"/>
    <w:rsid w:val="00204B8C"/>
    <w:rsid w:val="00204C05"/>
    <w:rsid w:val="00204CA0"/>
    <w:rsid w:val="00204DB8"/>
    <w:rsid w:val="00204DE6"/>
    <w:rsid w:val="00204E1B"/>
    <w:rsid w:val="00204E93"/>
    <w:rsid w:val="00204F3A"/>
    <w:rsid w:val="00204F61"/>
    <w:rsid w:val="00204F79"/>
    <w:rsid w:val="00204FE0"/>
    <w:rsid w:val="00205050"/>
    <w:rsid w:val="00205077"/>
    <w:rsid w:val="00205166"/>
    <w:rsid w:val="0020518F"/>
    <w:rsid w:val="00205271"/>
    <w:rsid w:val="0020536A"/>
    <w:rsid w:val="00205389"/>
    <w:rsid w:val="002053A9"/>
    <w:rsid w:val="002053EA"/>
    <w:rsid w:val="00205545"/>
    <w:rsid w:val="002055B9"/>
    <w:rsid w:val="0020560E"/>
    <w:rsid w:val="00205621"/>
    <w:rsid w:val="00205677"/>
    <w:rsid w:val="002056DC"/>
    <w:rsid w:val="002056FB"/>
    <w:rsid w:val="00205789"/>
    <w:rsid w:val="00205808"/>
    <w:rsid w:val="00205827"/>
    <w:rsid w:val="00205885"/>
    <w:rsid w:val="00205889"/>
    <w:rsid w:val="002058C2"/>
    <w:rsid w:val="00205A2A"/>
    <w:rsid w:val="00205A30"/>
    <w:rsid w:val="00205B4E"/>
    <w:rsid w:val="00205BAA"/>
    <w:rsid w:val="00205BD8"/>
    <w:rsid w:val="00205BFF"/>
    <w:rsid w:val="00205C96"/>
    <w:rsid w:val="00205D63"/>
    <w:rsid w:val="00205DE0"/>
    <w:rsid w:val="00205F67"/>
    <w:rsid w:val="00206021"/>
    <w:rsid w:val="00206097"/>
    <w:rsid w:val="0020612E"/>
    <w:rsid w:val="0020628E"/>
    <w:rsid w:val="00206297"/>
    <w:rsid w:val="002065B7"/>
    <w:rsid w:val="002065F0"/>
    <w:rsid w:val="00206677"/>
    <w:rsid w:val="002066EA"/>
    <w:rsid w:val="00206833"/>
    <w:rsid w:val="002068CD"/>
    <w:rsid w:val="0020698C"/>
    <w:rsid w:val="002069D6"/>
    <w:rsid w:val="00206A38"/>
    <w:rsid w:val="00206B18"/>
    <w:rsid w:val="00206B35"/>
    <w:rsid w:val="00206B7A"/>
    <w:rsid w:val="00206BA4"/>
    <w:rsid w:val="00206BC4"/>
    <w:rsid w:val="00206C2D"/>
    <w:rsid w:val="00206C72"/>
    <w:rsid w:val="00206E25"/>
    <w:rsid w:val="00206E3F"/>
    <w:rsid w:val="00207059"/>
    <w:rsid w:val="0020709A"/>
    <w:rsid w:val="0020710D"/>
    <w:rsid w:val="002071D9"/>
    <w:rsid w:val="00207205"/>
    <w:rsid w:val="002072BF"/>
    <w:rsid w:val="002072E8"/>
    <w:rsid w:val="002073C2"/>
    <w:rsid w:val="00207632"/>
    <w:rsid w:val="0020766E"/>
    <w:rsid w:val="0020767B"/>
    <w:rsid w:val="00207696"/>
    <w:rsid w:val="0020770E"/>
    <w:rsid w:val="002077E7"/>
    <w:rsid w:val="00207837"/>
    <w:rsid w:val="0020783A"/>
    <w:rsid w:val="002078EF"/>
    <w:rsid w:val="00207972"/>
    <w:rsid w:val="00207A4F"/>
    <w:rsid w:val="00207C21"/>
    <w:rsid w:val="00207C32"/>
    <w:rsid w:val="00207D65"/>
    <w:rsid w:val="00207DB4"/>
    <w:rsid w:val="00207EC4"/>
    <w:rsid w:val="00207EE4"/>
    <w:rsid w:val="00210089"/>
    <w:rsid w:val="002100B2"/>
    <w:rsid w:val="00210174"/>
    <w:rsid w:val="002101F1"/>
    <w:rsid w:val="0021025A"/>
    <w:rsid w:val="00210298"/>
    <w:rsid w:val="002102E2"/>
    <w:rsid w:val="00210512"/>
    <w:rsid w:val="00210556"/>
    <w:rsid w:val="00210604"/>
    <w:rsid w:val="0021064F"/>
    <w:rsid w:val="0021077A"/>
    <w:rsid w:val="002107EB"/>
    <w:rsid w:val="0021087E"/>
    <w:rsid w:val="002108A7"/>
    <w:rsid w:val="002108AE"/>
    <w:rsid w:val="002108FC"/>
    <w:rsid w:val="0021096D"/>
    <w:rsid w:val="0021097A"/>
    <w:rsid w:val="00210A77"/>
    <w:rsid w:val="00210ADE"/>
    <w:rsid w:val="00210B06"/>
    <w:rsid w:val="00210B30"/>
    <w:rsid w:val="00210B59"/>
    <w:rsid w:val="00210B91"/>
    <w:rsid w:val="00210CB8"/>
    <w:rsid w:val="00210CCE"/>
    <w:rsid w:val="00210CD3"/>
    <w:rsid w:val="00210E04"/>
    <w:rsid w:val="00210E22"/>
    <w:rsid w:val="00210E88"/>
    <w:rsid w:val="00210EAB"/>
    <w:rsid w:val="00210EB3"/>
    <w:rsid w:val="00211046"/>
    <w:rsid w:val="00211079"/>
    <w:rsid w:val="002110E3"/>
    <w:rsid w:val="00211154"/>
    <w:rsid w:val="00211160"/>
    <w:rsid w:val="002111EA"/>
    <w:rsid w:val="0021123A"/>
    <w:rsid w:val="002112C4"/>
    <w:rsid w:val="002112E1"/>
    <w:rsid w:val="002112FB"/>
    <w:rsid w:val="00211495"/>
    <w:rsid w:val="002114C7"/>
    <w:rsid w:val="00211523"/>
    <w:rsid w:val="00211659"/>
    <w:rsid w:val="002116DB"/>
    <w:rsid w:val="00211714"/>
    <w:rsid w:val="002117F6"/>
    <w:rsid w:val="00211A20"/>
    <w:rsid w:val="00211A72"/>
    <w:rsid w:val="00211AA3"/>
    <w:rsid w:val="00211AC4"/>
    <w:rsid w:val="00211B30"/>
    <w:rsid w:val="00211B3A"/>
    <w:rsid w:val="00211BB1"/>
    <w:rsid w:val="00211BB5"/>
    <w:rsid w:val="00211C64"/>
    <w:rsid w:val="00211CA2"/>
    <w:rsid w:val="00211CA9"/>
    <w:rsid w:val="00211D1E"/>
    <w:rsid w:val="00211D27"/>
    <w:rsid w:val="00211D4E"/>
    <w:rsid w:val="00212001"/>
    <w:rsid w:val="002120FB"/>
    <w:rsid w:val="00212145"/>
    <w:rsid w:val="0021218E"/>
    <w:rsid w:val="002121C7"/>
    <w:rsid w:val="002122CB"/>
    <w:rsid w:val="00212310"/>
    <w:rsid w:val="00212371"/>
    <w:rsid w:val="002123A9"/>
    <w:rsid w:val="002123D5"/>
    <w:rsid w:val="0021240A"/>
    <w:rsid w:val="00212417"/>
    <w:rsid w:val="0021241D"/>
    <w:rsid w:val="002126AF"/>
    <w:rsid w:val="002126D7"/>
    <w:rsid w:val="002126EB"/>
    <w:rsid w:val="002127EE"/>
    <w:rsid w:val="0021295F"/>
    <w:rsid w:val="00212986"/>
    <w:rsid w:val="002129E1"/>
    <w:rsid w:val="00212B15"/>
    <w:rsid w:val="00212B1D"/>
    <w:rsid w:val="00212BA9"/>
    <w:rsid w:val="00212C19"/>
    <w:rsid w:val="00212D3A"/>
    <w:rsid w:val="00212DDA"/>
    <w:rsid w:val="00212E1F"/>
    <w:rsid w:val="00212EEB"/>
    <w:rsid w:val="00212F4B"/>
    <w:rsid w:val="00212F5D"/>
    <w:rsid w:val="00212F65"/>
    <w:rsid w:val="00212F7C"/>
    <w:rsid w:val="002130B1"/>
    <w:rsid w:val="002131B2"/>
    <w:rsid w:val="00213209"/>
    <w:rsid w:val="00213245"/>
    <w:rsid w:val="00213251"/>
    <w:rsid w:val="00213266"/>
    <w:rsid w:val="002132A9"/>
    <w:rsid w:val="00213308"/>
    <w:rsid w:val="00213428"/>
    <w:rsid w:val="00213444"/>
    <w:rsid w:val="00213484"/>
    <w:rsid w:val="00213525"/>
    <w:rsid w:val="00213528"/>
    <w:rsid w:val="00213629"/>
    <w:rsid w:val="00213722"/>
    <w:rsid w:val="00213736"/>
    <w:rsid w:val="00213761"/>
    <w:rsid w:val="002137AD"/>
    <w:rsid w:val="002138EA"/>
    <w:rsid w:val="002138ED"/>
    <w:rsid w:val="00213952"/>
    <w:rsid w:val="0021397C"/>
    <w:rsid w:val="00213B2D"/>
    <w:rsid w:val="00213B3A"/>
    <w:rsid w:val="00213B7E"/>
    <w:rsid w:val="00213BBF"/>
    <w:rsid w:val="00213C2C"/>
    <w:rsid w:val="00213C32"/>
    <w:rsid w:val="00213D1E"/>
    <w:rsid w:val="00213D29"/>
    <w:rsid w:val="00213D3C"/>
    <w:rsid w:val="00213DF6"/>
    <w:rsid w:val="00213F35"/>
    <w:rsid w:val="00213F49"/>
    <w:rsid w:val="00213FCF"/>
    <w:rsid w:val="00213FE8"/>
    <w:rsid w:val="002141E4"/>
    <w:rsid w:val="002141F7"/>
    <w:rsid w:val="00214210"/>
    <w:rsid w:val="00214263"/>
    <w:rsid w:val="00214402"/>
    <w:rsid w:val="00214405"/>
    <w:rsid w:val="0021453D"/>
    <w:rsid w:val="00214604"/>
    <w:rsid w:val="00214623"/>
    <w:rsid w:val="00214735"/>
    <w:rsid w:val="00214776"/>
    <w:rsid w:val="0021483B"/>
    <w:rsid w:val="00214854"/>
    <w:rsid w:val="00214892"/>
    <w:rsid w:val="0021496D"/>
    <w:rsid w:val="00214971"/>
    <w:rsid w:val="002149A9"/>
    <w:rsid w:val="00214A33"/>
    <w:rsid w:val="00214B0F"/>
    <w:rsid w:val="00214B64"/>
    <w:rsid w:val="00214C96"/>
    <w:rsid w:val="00214CCB"/>
    <w:rsid w:val="00214DB0"/>
    <w:rsid w:val="00214DD5"/>
    <w:rsid w:val="00215019"/>
    <w:rsid w:val="00215058"/>
    <w:rsid w:val="0021507C"/>
    <w:rsid w:val="002150B0"/>
    <w:rsid w:val="0021511E"/>
    <w:rsid w:val="002151D8"/>
    <w:rsid w:val="0021520D"/>
    <w:rsid w:val="00215277"/>
    <w:rsid w:val="002152F5"/>
    <w:rsid w:val="00215378"/>
    <w:rsid w:val="002153E4"/>
    <w:rsid w:val="00215448"/>
    <w:rsid w:val="00215551"/>
    <w:rsid w:val="00215620"/>
    <w:rsid w:val="00215702"/>
    <w:rsid w:val="00215742"/>
    <w:rsid w:val="0021575B"/>
    <w:rsid w:val="0021576E"/>
    <w:rsid w:val="002157AB"/>
    <w:rsid w:val="00215801"/>
    <w:rsid w:val="00215859"/>
    <w:rsid w:val="0021589F"/>
    <w:rsid w:val="00215950"/>
    <w:rsid w:val="0021599B"/>
    <w:rsid w:val="00215A72"/>
    <w:rsid w:val="00215AAE"/>
    <w:rsid w:val="00215B37"/>
    <w:rsid w:val="00215C33"/>
    <w:rsid w:val="00215CBD"/>
    <w:rsid w:val="00215DA9"/>
    <w:rsid w:val="00215EE5"/>
    <w:rsid w:val="00215FD1"/>
    <w:rsid w:val="00216088"/>
    <w:rsid w:val="002160CD"/>
    <w:rsid w:val="00216103"/>
    <w:rsid w:val="00216140"/>
    <w:rsid w:val="00216222"/>
    <w:rsid w:val="00216275"/>
    <w:rsid w:val="00216293"/>
    <w:rsid w:val="00216312"/>
    <w:rsid w:val="00216372"/>
    <w:rsid w:val="002163A1"/>
    <w:rsid w:val="002163CF"/>
    <w:rsid w:val="002163EA"/>
    <w:rsid w:val="00216431"/>
    <w:rsid w:val="00216450"/>
    <w:rsid w:val="00216488"/>
    <w:rsid w:val="0021662E"/>
    <w:rsid w:val="00216644"/>
    <w:rsid w:val="0021684F"/>
    <w:rsid w:val="00216971"/>
    <w:rsid w:val="00216BBC"/>
    <w:rsid w:val="00216C75"/>
    <w:rsid w:val="00216E8D"/>
    <w:rsid w:val="00216EF4"/>
    <w:rsid w:val="00216F01"/>
    <w:rsid w:val="00216FEB"/>
    <w:rsid w:val="0021716A"/>
    <w:rsid w:val="00217278"/>
    <w:rsid w:val="00217281"/>
    <w:rsid w:val="002172B6"/>
    <w:rsid w:val="002173CC"/>
    <w:rsid w:val="0021746D"/>
    <w:rsid w:val="002174D6"/>
    <w:rsid w:val="00217527"/>
    <w:rsid w:val="0021758A"/>
    <w:rsid w:val="002175DB"/>
    <w:rsid w:val="00217728"/>
    <w:rsid w:val="002177D3"/>
    <w:rsid w:val="002177DA"/>
    <w:rsid w:val="0021780F"/>
    <w:rsid w:val="0021786C"/>
    <w:rsid w:val="00217918"/>
    <w:rsid w:val="00217981"/>
    <w:rsid w:val="002179B1"/>
    <w:rsid w:val="002179DB"/>
    <w:rsid w:val="00217A98"/>
    <w:rsid w:val="00217B9C"/>
    <w:rsid w:val="00217C8E"/>
    <w:rsid w:val="00217D82"/>
    <w:rsid w:val="00217D87"/>
    <w:rsid w:val="00217DDD"/>
    <w:rsid w:val="00217DE6"/>
    <w:rsid w:val="00217E7F"/>
    <w:rsid w:val="00217EFA"/>
    <w:rsid w:val="00217F14"/>
    <w:rsid w:val="00217FA6"/>
    <w:rsid w:val="0022009E"/>
    <w:rsid w:val="00220216"/>
    <w:rsid w:val="0022023D"/>
    <w:rsid w:val="002202C8"/>
    <w:rsid w:val="00220507"/>
    <w:rsid w:val="0022057D"/>
    <w:rsid w:val="002206CE"/>
    <w:rsid w:val="002206ED"/>
    <w:rsid w:val="0022077D"/>
    <w:rsid w:val="002207D2"/>
    <w:rsid w:val="00220857"/>
    <w:rsid w:val="00220889"/>
    <w:rsid w:val="002208F5"/>
    <w:rsid w:val="00220920"/>
    <w:rsid w:val="00220A8D"/>
    <w:rsid w:val="00220B6A"/>
    <w:rsid w:val="00220C1E"/>
    <w:rsid w:val="00220C2D"/>
    <w:rsid w:val="00220C63"/>
    <w:rsid w:val="00220CAC"/>
    <w:rsid w:val="00220D22"/>
    <w:rsid w:val="00220E28"/>
    <w:rsid w:val="00220E61"/>
    <w:rsid w:val="00220E95"/>
    <w:rsid w:val="00220EB7"/>
    <w:rsid w:val="00220ED2"/>
    <w:rsid w:val="00220FDB"/>
    <w:rsid w:val="0022102A"/>
    <w:rsid w:val="00221116"/>
    <w:rsid w:val="00221183"/>
    <w:rsid w:val="002211AE"/>
    <w:rsid w:val="002211EB"/>
    <w:rsid w:val="002211F2"/>
    <w:rsid w:val="0022128B"/>
    <w:rsid w:val="0022153A"/>
    <w:rsid w:val="0022155C"/>
    <w:rsid w:val="00221565"/>
    <w:rsid w:val="0022158B"/>
    <w:rsid w:val="002215D8"/>
    <w:rsid w:val="0022168A"/>
    <w:rsid w:val="00221747"/>
    <w:rsid w:val="00221780"/>
    <w:rsid w:val="002217AD"/>
    <w:rsid w:val="002218C8"/>
    <w:rsid w:val="00221933"/>
    <w:rsid w:val="002219D0"/>
    <w:rsid w:val="00221A1E"/>
    <w:rsid w:val="00221A2A"/>
    <w:rsid w:val="00221D0F"/>
    <w:rsid w:val="00221D47"/>
    <w:rsid w:val="00221DA3"/>
    <w:rsid w:val="00221DC0"/>
    <w:rsid w:val="00221E1E"/>
    <w:rsid w:val="00221E82"/>
    <w:rsid w:val="00221FB6"/>
    <w:rsid w:val="00221FBF"/>
    <w:rsid w:val="002220EC"/>
    <w:rsid w:val="002222A5"/>
    <w:rsid w:val="0022231D"/>
    <w:rsid w:val="00222475"/>
    <w:rsid w:val="00222608"/>
    <w:rsid w:val="00222619"/>
    <w:rsid w:val="00222635"/>
    <w:rsid w:val="00222655"/>
    <w:rsid w:val="002227DA"/>
    <w:rsid w:val="0022291C"/>
    <w:rsid w:val="0022292C"/>
    <w:rsid w:val="0022298F"/>
    <w:rsid w:val="00222A77"/>
    <w:rsid w:val="00222A8D"/>
    <w:rsid w:val="00222C37"/>
    <w:rsid w:val="00222C38"/>
    <w:rsid w:val="00222CD4"/>
    <w:rsid w:val="00222CE7"/>
    <w:rsid w:val="00222D19"/>
    <w:rsid w:val="00222DA7"/>
    <w:rsid w:val="00222E7F"/>
    <w:rsid w:val="00222EC0"/>
    <w:rsid w:val="00222ED3"/>
    <w:rsid w:val="00223002"/>
    <w:rsid w:val="0022315B"/>
    <w:rsid w:val="00223278"/>
    <w:rsid w:val="0022329B"/>
    <w:rsid w:val="002232FD"/>
    <w:rsid w:val="00223357"/>
    <w:rsid w:val="00223360"/>
    <w:rsid w:val="0022336F"/>
    <w:rsid w:val="00223545"/>
    <w:rsid w:val="002236EE"/>
    <w:rsid w:val="0022370F"/>
    <w:rsid w:val="0022380F"/>
    <w:rsid w:val="0022384E"/>
    <w:rsid w:val="00223883"/>
    <w:rsid w:val="0022393C"/>
    <w:rsid w:val="002239D4"/>
    <w:rsid w:val="002239EF"/>
    <w:rsid w:val="00223AB9"/>
    <w:rsid w:val="00223BD6"/>
    <w:rsid w:val="00223BE2"/>
    <w:rsid w:val="00223C80"/>
    <w:rsid w:val="00223CEA"/>
    <w:rsid w:val="00223D02"/>
    <w:rsid w:val="00223D26"/>
    <w:rsid w:val="00223DA9"/>
    <w:rsid w:val="00223DE9"/>
    <w:rsid w:val="00223DF0"/>
    <w:rsid w:val="00223E76"/>
    <w:rsid w:val="00223F52"/>
    <w:rsid w:val="00223F57"/>
    <w:rsid w:val="00223F9F"/>
    <w:rsid w:val="00224063"/>
    <w:rsid w:val="002240CB"/>
    <w:rsid w:val="00224181"/>
    <w:rsid w:val="002241AE"/>
    <w:rsid w:val="002241F4"/>
    <w:rsid w:val="00224236"/>
    <w:rsid w:val="00224240"/>
    <w:rsid w:val="00224382"/>
    <w:rsid w:val="00224468"/>
    <w:rsid w:val="002244CC"/>
    <w:rsid w:val="00224556"/>
    <w:rsid w:val="002245C2"/>
    <w:rsid w:val="0022464B"/>
    <w:rsid w:val="00224881"/>
    <w:rsid w:val="0022489C"/>
    <w:rsid w:val="0022495D"/>
    <w:rsid w:val="002249E5"/>
    <w:rsid w:val="00224A61"/>
    <w:rsid w:val="00224A71"/>
    <w:rsid w:val="00224A84"/>
    <w:rsid w:val="00224B73"/>
    <w:rsid w:val="00224D2C"/>
    <w:rsid w:val="00224D4E"/>
    <w:rsid w:val="00224E35"/>
    <w:rsid w:val="00224E37"/>
    <w:rsid w:val="00224FF3"/>
    <w:rsid w:val="00224FF6"/>
    <w:rsid w:val="0022503D"/>
    <w:rsid w:val="0022504D"/>
    <w:rsid w:val="002250D8"/>
    <w:rsid w:val="002250F0"/>
    <w:rsid w:val="0022513C"/>
    <w:rsid w:val="00225151"/>
    <w:rsid w:val="00225210"/>
    <w:rsid w:val="0022522F"/>
    <w:rsid w:val="00225333"/>
    <w:rsid w:val="00225489"/>
    <w:rsid w:val="002254D0"/>
    <w:rsid w:val="002254E7"/>
    <w:rsid w:val="002255CC"/>
    <w:rsid w:val="002256EA"/>
    <w:rsid w:val="002257D3"/>
    <w:rsid w:val="002258E2"/>
    <w:rsid w:val="00225AC2"/>
    <w:rsid w:val="00225AC3"/>
    <w:rsid w:val="00225AD7"/>
    <w:rsid w:val="00225B05"/>
    <w:rsid w:val="00225B19"/>
    <w:rsid w:val="00225B1D"/>
    <w:rsid w:val="00225C80"/>
    <w:rsid w:val="00225CAF"/>
    <w:rsid w:val="00225CBD"/>
    <w:rsid w:val="00225CFC"/>
    <w:rsid w:val="00225D22"/>
    <w:rsid w:val="00225D26"/>
    <w:rsid w:val="00225D99"/>
    <w:rsid w:val="00225D9F"/>
    <w:rsid w:val="00225E99"/>
    <w:rsid w:val="00225EA2"/>
    <w:rsid w:val="00225EBC"/>
    <w:rsid w:val="00225EF6"/>
    <w:rsid w:val="002260A2"/>
    <w:rsid w:val="002260C6"/>
    <w:rsid w:val="00226185"/>
    <w:rsid w:val="002261E4"/>
    <w:rsid w:val="00226224"/>
    <w:rsid w:val="0022625F"/>
    <w:rsid w:val="00226310"/>
    <w:rsid w:val="002265D1"/>
    <w:rsid w:val="00226673"/>
    <w:rsid w:val="002266A1"/>
    <w:rsid w:val="002267B9"/>
    <w:rsid w:val="002267EC"/>
    <w:rsid w:val="00226802"/>
    <w:rsid w:val="00226887"/>
    <w:rsid w:val="002268F3"/>
    <w:rsid w:val="0022699D"/>
    <w:rsid w:val="002269F3"/>
    <w:rsid w:val="00226AB4"/>
    <w:rsid w:val="00226AF5"/>
    <w:rsid w:val="00226BF2"/>
    <w:rsid w:val="00226D8E"/>
    <w:rsid w:val="00226DA6"/>
    <w:rsid w:val="00226E85"/>
    <w:rsid w:val="00226E89"/>
    <w:rsid w:val="00227009"/>
    <w:rsid w:val="002270AA"/>
    <w:rsid w:val="002271A9"/>
    <w:rsid w:val="00227228"/>
    <w:rsid w:val="0022728D"/>
    <w:rsid w:val="00227305"/>
    <w:rsid w:val="00227483"/>
    <w:rsid w:val="0022753F"/>
    <w:rsid w:val="00227654"/>
    <w:rsid w:val="00227723"/>
    <w:rsid w:val="00227765"/>
    <w:rsid w:val="002278D4"/>
    <w:rsid w:val="002279F1"/>
    <w:rsid w:val="00227BE1"/>
    <w:rsid w:val="00227C27"/>
    <w:rsid w:val="00227C38"/>
    <w:rsid w:val="00227C6C"/>
    <w:rsid w:val="00227D22"/>
    <w:rsid w:val="00227D47"/>
    <w:rsid w:val="00227D84"/>
    <w:rsid w:val="00227DD6"/>
    <w:rsid w:val="00227E45"/>
    <w:rsid w:val="00227E53"/>
    <w:rsid w:val="0023008F"/>
    <w:rsid w:val="0023016A"/>
    <w:rsid w:val="0023024E"/>
    <w:rsid w:val="0023029F"/>
    <w:rsid w:val="00230325"/>
    <w:rsid w:val="0023056C"/>
    <w:rsid w:val="0023061F"/>
    <w:rsid w:val="00230634"/>
    <w:rsid w:val="00230661"/>
    <w:rsid w:val="002306CC"/>
    <w:rsid w:val="002307E9"/>
    <w:rsid w:val="00230803"/>
    <w:rsid w:val="0023086A"/>
    <w:rsid w:val="0023086C"/>
    <w:rsid w:val="00230881"/>
    <w:rsid w:val="0023088F"/>
    <w:rsid w:val="002309FE"/>
    <w:rsid w:val="00230B29"/>
    <w:rsid w:val="00230BB8"/>
    <w:rsid w:val="00230BC5"/>
    <w:rsid w:val="00230C31"/>
    <w:rsid w:val="00230C64"/>
    <w:rsid w:val="00230CCE"/>
    <w:rsid w:val="00230D1C"/>
    <w:rsid w:val="00230DFD"/>
    <w:rsid w:val="00230E5C"/>
    <w:rsid w:val="00230F4E"/>
    <w:rsid w:val="00230F84"/>
    <w:rsid w:val="00230FC5"/>
    <w:rsid w:val="0023103A"/>
    <w:rsid w:val="002311B5"/>
    <w:rsid w:val="00231266"/>
    <w:rsid w:val="0023154D"/>
    <w:rsid w:val="00231660"/>
    <w:rsid w:val="00231678"/>
    <w:rsid w:val="0023179F"/>
    <w:rsid w:val="00231803"/>
    <w:rsid w:val="002318BD"/>
    <w:rsid w:val="002318CD"/>
    <w:rsid w:val="002318E2"/>
    <w:rsid w:val="00231931"/>
    <w:rsid w:val="00231A82"/>
    <w:rsid w:val="00231ACD"/>
    <w:rsid w:val="00231AE7"/>
    <w:rsid w:val="00231BF2"/>
    <w:rsid w:val="00231C41"/>
    <w:rsid w:val="00231D14"/>
    <w:rsid w:val="00231E9E"/>
    <w:rsid w:val="00231F78"/>
    <w:rsid w:val="00231FAE"/>
    <w:rsid w:val="00231FF3"/>
    <w:rsid w:val="00232001"/>
    <w:rsid w:val="0023203E"/>
    <w:rsid w:val="002320AF"/>
    <w:rsid w:val="002320B4"/>
    <w:rsid w:val="002321E6"/>
    <w:rsid w:val="0023229C"/>
    <w:rsid w:val="002322EB"/>
    <w:rsid w:val="0023232D"/>
    <w:rsid w:val="00232353"/>
    <w:rsid w:val="002323B1"/>
    <w:rsid w:val="002323D6"/>
    <w:rsid w:val="002323DD"/>
    <w:rsid w:val="00232450"/>
    <w:rsid w:val="00232483"/>
    <w:rsid w:val="00232504"/>
    <w:rsid w:val="0023273B"/>
    <w:rsid w:val="002328DC"/>
    <w:rsid w:val="0023296B"/>
    <w:rsid w:val="00232A75"/>
    <w:rsid w:val="00232B17"/>
    <w:rsid w:val="00232B3D"/>
    <w:rsid w:val="00232BC5"/>
    <w:rsid w:val="00232BF4"/>
    <w:rsid w:val="00232CB3"/>
    <w:rsid w:val="00232CD2"/>
    <w:rsid w:val="00232CE5"/>
    <w:rsid w:val="00232F02"/>
    <w:rsid w:val="00232F46"/>
    <w:rsid w:val="00232FAF"/>
    <w:rsid w:val="00232FB8"/>
    <w:rsid w:val="0023307A"/>
    <w:rsid w:val="002330F3"/>
    <w:rsid w:val="00233147"/>
    <w:rsid w:val="0023330C"/>
    <w:rsid w:val="002333BD"/>
    <w:rsid w:val="002333CA"/>
    <w:rsid w:val="0023346F"/>
    <w:rsid w:val="00233486"/>
    <w:rsid w:val="00233495"/>
    <w:rsid w:val="00233500"/>
    <w:rsid w:val="00233553"/>
    <w:rsid w:val="00233566"/>
    <w:rsid w:val="00233569"/>
    <w:rsid w:val="002335EA"/>
    <w:rsid w:val="002335FE"/>
    <w:rsid w:val="0023364F"/>
    <w:rsid w:val="002336E4"/>
    <w:rsid w:val="00233717"/>
    <w:rsid w:val="002337F6"/>
    <w:rsid w:val="002338DD"/>
    <w:rsid w:val="00233938"/>
    <w:rsid w:val="00233939"/>
    <w:rsid w:val="00233A42"/>
    <w:rsid w:val="00233ABE"/>
    <w:rsid w:val="00233B66"/>
    <w:rsid w:val="00233BE4"/>
    <w:rsid w:val="00233C75"/>
    <w:rsid w:val="00233C7A"/>
    <w:rsid w:val="00233D0D"/>
    <w:rsid w:val="00233E39"/>
    <w:rsid w:val="00233F06"/>
    <w:rsid w:val="00233F48"/>
    <w:rsid w:val="00233F74"/>
    <w:rsid w:val="00233FB5"/>
    <w:rsid w:val="00233FD6"/>
    <w:rsid w:val="00233FEA"/>
    <w:rsid w:val="002340BA"/>
    <w:rsid w:val="002340BC"/>
    <w:rsid w:val="00234101"/>
    <w:rsid w:val="002342D4"/>
    <w:rsid w:val="00234331"/>
    <w:rsid w:val="002343CD"/>
    <w:rsid w:val="002343F5"/>
    <w:rsid w:val="0023442B"/>
    <w:rsid w:val="0023445C"/>
    <w:rsid w:val="00234494"/>
    <w:rsid w:val="002344B5"/>
    <w:rsid w:val="002344E5"/>
    <w:rsid w:val="002344EB"/>
    <w:rsid w:val="00234562"/>
    <w:rsid w:val="0023456F"/>
    <w:rsid w:val="002345D0"/>
    <w:rsid w:val="002347AA"/>
    <w:rsid w:val="002347DA"/>
    <w:rsid w:val="00234937"/>
    <w:rsid w:val="0023499D"/>
    <w:rsid w:val="00234B2D"/>
    <w:rsid w:val="00234B99"/>
    <w:rsid w:val="00234D2A"/>
    <w:rsid w:val="00234D5D"/>
    <w:rsid w:val="00234D85"/>
    <w:rsid w:val="00234E3A"/>
    <w:rsid w:val="00234EDD"/>
    <w:rsid w:val="00234FE6"/>
    <w:rsid w:val="0023505C"/>
    <w:rsid w:val="002350CF"/>
    <w:rsid w:val="0023513E"/>
    <w:rsid w:val="00235162"/>
    <w:rsid w:val="00235224"/>
    <w:rsid w:val="00235331"/>
    <w:rsid w:val="002353E6"/>
    <w:rsid w:val="00235482"/>
    <w:rsid w:val="002354FA"/>
    <w:rsid w:val="00235519"/>
    <w:rsid w:val="0023563F"/>
    <w:rsid w:val="0023570F"/>
    <w:rsid w:val="00235719"/>
    <w:rsid w:val="002357BA"/>
    <w:rsid w:val="002358AD"/>
    <w:rsid w:val="002358C7"/>
    <w:rsid w:val="002359A6"/>
    <w:rsid w:val="00235A13"/>
    <w:rsid w:val="00235A24"/>
    <w:rsid w:val="00235A4F"/>
    <w:rsid w:val="00235A76"/>
    <w:rsid w:val="00235AE1"/>
    <w:rsid w:val="00235B21"/>
    <w:rsid w:val="00235BB5"/>
    <w:rsid w:val="00235C30"/>
    <w:rsid w:val="00235CD7"/>
    <w:rsid w:val="00235D19"/>
    <w:rsid w:val="00235D1D"/>
    <w:rsid w:val="00235D4C"/>
    <w:rsid w:val="00235E8B"/>
    <w:rsid w:val="00235F87"/>
    <w:rsid w:val="00236000"/>
    <w:rsid w:val="002360D7"/>
    <w:rsid w:val="002361D3"/>
    <w:rsid w:val="002361E4"/>
    <w:rsid w:val="002363E9"/>
    <w:rsid w:val="00236406"/>
    <w:rsid w:val="00236475"/>
    <w:rsid w:val="00236618"/>
    <w:rsid w:val="002367BD"/>
    <w:rsid w:val="002367C4"/>
    <w:rsid w:val="002368F2"/>
    <w:rsid w:val="00236A7D"/>
    <w:rsid w:val="00236AA8"/>
    <w:rsid w:val="00236AAE"/>
    <w:rsid w:val="00236AB9"/>
    <w:rsid w:val="00236BDA"/>
    <w:rsid w:val="00236BE9"/>
    <w:rsid w:val="00236C20"/>
    <w:rsid w:val="00236C2A"/>
    <w:rsid w:val="00236DBC"/>
    <w:rsid w:val="00236E0B"/>
    <w:rsid w:val="00236E71"/>
    <w:rsid w:val="00236ED7"/>
    <w:rsid w:val="00236F65"/>
    <w:rsid w:val="002370E3"/>
    <w:rsid w:val="00237112"/>
    <w:rsid w:val="00237192"/>
    <w:rsid w:val="0023720B"/>
    <w:rsid w:val="002373DF"/>
    <w:rsid w:val="0023748F"/>
    <w:rsid w:val="00237567"/>
    <w:rsid w:val="0023756A"/>
    <w:rsid w:val="0023756F"/>
    <w:rsid w:val="002375CD"/>
    <w:rsid w:val="00237656"/>
    <w:rsid w:val="002376CF"/>
    <w:rsid w:val="00237744"/>
    <w:rsid w:val="00237765"/>
    <w:rsid w:val="00237812"/>
    <w:rsid w:val="00237863"/>
    <w:rsid w:val="00237B2B"/>
    <w:rsid w:val="00237C6C"/>
    <w:rsid w:val="00237CD8"/>
    <w:rsid w:val="00237D07"/>
    <w:rsid w:val="00237D27"/>
    <w:rsid w:val="00237D53"/>
    <w:rsid w:val="00237DAD"/>
    <w:rsid w:val="00237DBE"/>
    <w:rsid w:val="00237DD5"/>
    <w:rsid w:val="00237DE0"/>
    <w:rsid w:val="00237F2C"/>
    <w:rsid w:val="00237F33"/>
    <w:rsid w:val="00237F9B"/>
    <w:rsid w:val="0024003F"/>
    <w:rsid w:val="0024007D"/>
    <w:rsid w:val="0024009F"/>
    <w:rsid w:val="002400AD"/>
    <w:rsid w:val="0024020B"/>
    <w:rsid w:val="00240231"/>
    <w:rsid w:val="00240265"/>
    <w:rsid w:val="0024027A"/>
    <w:rsid w:val="002402B2"/>
    <w:rsid w:val="002402FF"/>
    <w:rsid w:val="00240384"/>
    <w:rsid w:val="00240390"/>
    <w:rsid w:val="002403B3"/>
    <w:rsid w:val="00240426"/>
    <w:rsid w:val="00240468"/>
    <w:rsid w:val="0024047E"/>
    <w:rsid w:val="002404ED"/>
    <w:rsid w:val="002405A2"/>
    <w:rsid w:val="002405D4"/>
    <w:rsid w:val="002405E8"/>
    <w:rsid w:val="00240793"/>
    <w:rsid w:val="00240797"/>
    <w:rsid w:val="00240850"/>
    <w:rsid w:val="002408DE"/>
    <w:rsid w:val="00240A28"/>
    <w:rsid w:val="00240A56"/>
    <w:rsid w:val="00240A91"/>
    <w:rsid w:val="00240AA0"/>
    <w:rsid w:val="00240ACC"/>
    <w:rsid w:val="00240AE0"/>
    <w:rsid w:val="00240B97"/>
    <w:rsid w:val="00240BBA"/>
    <w:rsid w:val="00240CDE"/>
    <w:rsid w:val="00240D7A"/>
    <w:rsid w:val="00240DDD"/>
    <w:rsid w:val="00240EFE"/>
    <w:rsid w:val="00240F08"/>
    <w:rsid w:val="00240F0C"/>
    <w:rsid w:val="00240FB2"/>
    <w:rsid w:val="00240FD2"/>
    <w:rsid w:val="002410DC"/>
    <w:rsid w:val="0024116C"/>
    <w:rsid w:val="002411A9"/>
    <w:rsid w:val="002411B4"/>
    <w:rsid w:val="002411EC"/>
    <w:rsid w:val="00241222"/>
    <w:rsid w:val="00241227"/>
    <w:rsid w:val="00241236"/>
    <w:rsid w:val="00241310"/>
    <w:rsid w:val="002413B9"/>
    <w:rsid w:val="002413DC"/>
    <w:rsid w:val="00241420"/>
    <w:rsid w:val="00241444"/>
    <w:rsid w:val="0024150C"/>
    <w:rsid w:val="0024158B"/>
    <w:rsid w:val="002415D0"/>
    <w:rsid w:val="00241653"/>
    <w:rsid w:val="0024168E"/>
    <w:rsid w:val="002416D0"/>
    <w:rsid w:val="002419B8"/>
    <w:rsid w:val="00241A59"/>
    <w:rsid w:val="00241B5B"/>
    <w:rsid w:val="00241D96"/>
    <w:rsid w:val="00241F28"/>
    <w:rsid w:val="00241F3D"/>
    <w:rsid w:val="0024200A"/>
    <w:rsid w:val="0024207B"/>
    <w:rsid w:val="0024212C"/>
    <w:rsid w:val="00242158"/>
    <w:rsid w:val="00242173"/>
    <w:rsid w:val="002421AA"/>
    <w:rsid w:val="002421D7"/>
    <w:rsid w:val="0024222B"/>
    <w:rsid w:val="00242231"/>
    <w:rsid w:val="002422EF"/>
    <w:rsid w:val="00242355"/>
    <w:rsid w:val="0024236C"/>
    <w:rsid w:val="00242420"/>
    <w:rsid w:val="00242490"/>
    <w:rsid w:val="002424E6"/>
    <w:rsid w:val="002425C7"/>
    <w:rsid w:val="00242693"/>
    <w:rsid w:val="002427F6"/>
    <w:rsid w:val="0024283E"/>
    <w:rsid w:val="00242851"/>
    <w:rsid w:val="0024285B"/>
    <w:rsid w:val="002428F0"/>
    <w:rsid w:val="002428F4"/>
    <w:rsid w:val="00242906"/>
    <w:rsid w:val="00242908"/>
    <w:rsid w:val="00242AE2"/>
    <w:rsid w:val="00242B23"/>
    <w:rsid w:val="00242B48"/>
    <w:rsid w:val="00242B59"/>
    <w:rsid w:val="00242B97"/>
    <w:rsid w:val="00242BFB"/>
    <w:rsid w:val="00242C1B"/>
    <w:rsid w:val="00242C7D"/>
    <w:rsid w:val="00242C83"/>
    <w:rsid w:val="00242C8D"/>
    <w:rsid w:val="00242CB7"/>
    <w:rsid w:val="00242D03"/>
    <w:rsid w:val="00242DE1"/>
    <w:rsid w:val="00242DE8"/>
    <w:rsid w:val="00242E11"/>
    <w:rsid w:val="00242F86"/>
    <w:rsid w:val="00242FCF"/>
    <w:rsid w:val="00242FEC"/>
    <w:rsid w:val="00243011"/>
    <w:rsid w:val="0024304A"/>
    <w:rsid w:val="00243097"/>
    <w:rsid w:val="002430B8"/>
    <w:rsid w:val="002430DC"/>
    <w:rsid w:val="0024320C"/>
    <w:rsid w:val="00243278"/>
    <w:rsid w:val="0024327D"/>
    <w:rsid w:val="00243285"/>
    <w:rsid w:val="002432B6"/>
    <w:rsid w:val="00243342"/>
    <w:rsid w:val="00243349"/>
    <w:rsid w:val="002433D1"/>
    <w:rsid w:val="002433D9"/>
    <w:rsid w:val="002433FD"/>
    <w:rsid w:val="00243559"/>
    <w:rsid w:val="002435B3"/>
    <w:rsid w:val="002435D2"/>
    <w:rsid w:val="002436F2"/>
    <w:rsid w:val="00243753"/>
    <w:rsid w:val="0024376C"/>
    <w:rsid w:val="00243774"/>
    <w:rsid w:val="002437D2"/>
    <w:rsid w:val="0024383A"/>
    <w:rsid w:val="002438DB"/>
    <w:rsid w:val="002439B5"/>
    <w:rsid w:val="00243A0A"/>
    <w:rsid w:val="00243A30"/>
    <w:rsid w:val="00243A9B"/>
    <w:rsid w:val="00243B33"/>
    <w:rsid w:val="00243BA4"/>
    <w:rsid w:val="00243C25"/>
    <w:rsid w:val="00243CA2"/>
    <w:rsid w:val="00243DDD"/>
    <w:rsid w:val="00243DF3"/>
    <w:rsid w:val="00243E2E"/>
    <w:rsid w:val="00243F0F"/>
    <w:rsid w:val="00243F16"/>
    <w:rsid w:val="00243F2D"/>
    <w:rsid w:val="0024410E"/>
    <w:rsid w:val="00244171"/>
    <w:rsid w:val="002441FD"/>
    <w:rsid w:val="0024424A"/>
    <w:rsid w:val="002442CD"/>
    <w:rsid w:val="002443BA"/>
    <w:rsid w:val="002443FD"/>
    <w:rsid w:val="0024445A"/>
    <w:rsid w:val="002444BD"/>
    <w:rsid w:val="002444EB"/>
    <w:rsid w:val="002445C1"/>
    <w:rsid w:val="002445F4"/>
    <w:rsid w:val="0024469D"/>
    <w:rsid w:val="002447AA"/>
    <w:rsid w:val="002447B7"/>
    <w:rsid w:val="00244871"/>
    <w:rsid w:val="00244A11"/>
    <w:rsid w:val="00244A64"/>
    <w:rsid w:val="00244AED"/>
    <w:rsid w:val="00244C6E"/>
    <w:rsid w:val="00244CDE"/>
    <w:rsid w:val="00244D7B"/>
    <w:rsid w:val="00244DEA"/>
    <w:rsid w:val="00244E9C"/>
    <w:rsid w:val="00244F7C"/>
    <w:rsid w:val="00244F7E"/>
    <w:rsid w:val="002450C4"/>
    <w:rsid w:val="00245125"/>
    <w:rsid w:val="002451E3"/>
    <w:rsid w:val="0024531C"/>
    <w:rsid w:val="002453A7"/>
    <w:rsid w:val="002453E4"/>
    <w:rsid w:val="002453E7"/>
    <w:rsid w:val="00245447"/>
    <w:rsid w:val="0024549C"/>
    <w:rsid w:val="002454AF"/>
    <w:rsid w:val="002454B9"/>
    <w:rsid w:val="002454D0"/>
    <w:rsid w:val="00245556"/>
    <w:rsid w:val="00245581"/>
    <w:rsid w:val="002455B6"/>
    <w:rsid w:val="0024569E"/>
    <w:rsid w:val="00245777"/>
    <w:rsid w:val="00245932"/>
    <w:rsid w:val="00245989"/>
    <w:rsid w:val="0024598F"/>
    <w:rsid w:val="00245A41"/>
    <w:rsid w:val="00245AB3"/>
    <w:rsid w:val="00245AC9"/>
    <w:rsid w:val="00245ADE"/>
    <w:rsid w:val="00245B1E"/>
    <w:rsid w:val="00245B3E"/>
    <w:rsid w:val="00245BB4"/>
    <w:rsid w:val="00245BD1"/>
    <w:rsid w:val="00245C11"/>
    <w:rsid w:val="00245C9B"/>
    <w:rsid w:val="00245CD5"/>
    <w:rsid w:val="00245E1E"/>
    <w:rsid w:val="00245E5A"/>
    <w:rsid w:val="00245E5E"/>
    <w:rsid w:val="00245EAC"/>
    <w:rsid w:val="00245EF9"/>
    <w:rsid w:val="00245FA1"/>
    <w:rsid w:val="002460E2"/>
    <w:rsid w:val="00246181"/>
    <w:rsid w:val="002461D1"/>
    <w:rsid w:val="00246216"/>
    <w:rsid w:val="002462C7"/>
    <w:rsid w:val="00246398"/>
    <w:rsid w:val="002463A2"/>
    <w:rsid w:val="00246445"/>
    <w:rsid w:val="00246506"/>
    <w:rsid w:val="0024657C"/>
    <w:rsid w:val="0024659E"/>
    <w:rsid w:val="002466B2"/>
    <w:rsid w:val="00246755"/>
    <w:rsid w:val="00246842"/>
    <w:rsid w:val="00246843"/>
    <w:rsid w:val="00246AE8"/>
    <w:rsid w:val="00246BC0"/>
    <w:rsid w:val="00246BC8"/>
    <w:rsid w:val="00246BDD"/>
    <w:rsid w:val="00246D48"/>
    <w:rsid w:val="00246E7E"/>
    <w:rsid w:val="00246E93"/>
    <w:rsid w:val="00246EF2"/>
    <w:rsid w:val="00246F19"/>
    <w:rsid w:val="00246FBF"/>
    <w:rsid w:val="00246FFA"/>
    <w:rsid w:val="00247013"/>
    <w:rsid w:val="00247025"/>
    <w:rsid w:val="00247196"/>
    <w:rsid w:val="002471F7"/>
    <w:rsid w:val="00247277"/>
    <w:rsid w:val="00247357"/>
    <w:rsid w:val="002473D9"/>
    <w:rsid w:val="002474AD"/>
    <w:rsid w:val="00247601"/>
    <w:rsid w:val="002476E3"/>
    <w:rsid w:val="00247870"/>
    <w:rsid w:val="0024788A"/>
    <w:rsid w:val="00247968"/>
    <w:rsid w:val="00247A0A"/>
    <w:rsid w:val="00247B8F"/>
    <w:rsid w:val="00247C8A"/>
    <w:rsid w:val="00247CB2"/>
    <w:rsid w:val="00247CB6"/>
    <w:rsid w:val="00247D32"/>
    <w:rsid w:val="00247D3E"/>
    <w:rsid w:val="00247DA7"/>
    <w:rsid w:val="00247E04"/>
    <w:rsid w:val="00247EA2"/>
    <w:rsid w:val="00247F36"/>
    <w:rsid w:val="00247F82"/>
    <w:rsid w:val="00250023"/>
    <w:rsid w:val="002500A3"/>
    <w:rsid w:val="002500A5"/>
    <w:rsid w:val="0025023F"/>
    <w:rsid w:val="00250321"/>
    <w:rsid w:val="002503D9"/>
    <w:rsid w:val="002504BA"/>
    <w:rsid w:val="00250528"/>
    <w:rsid w:val="002505DC"/>
    <w:rsid w:val="00250632"/>
    <w:rsid w:val="00250660"/>
    <w:rsid w:val="002506ED"/>
    <w:rsid w:val="002507CB"/>
    <w:rsid w:val="002507ED"/>
    <w:rsid w:val="002507EE"/>
    <w:rsid w:val="00250894"/>
    <w:rsid w:val="002508A9"/>
    <w:rsid w:val="002509F6"/>
    <w:rsid w:val="00250A46"/>
    <w:rsid w:val="00250ACE"/>
    <w:rsid w:val="00250AD6"/>
    <w:rsid w:val="00250B46"/>
    <w:rsid w:val="00250BC7"/>
    <w:rsid w:val="00250C3B"/>
    <w:rsid w:val="00250C3D"/>
    <w:rsid w:val="00250D58"/>
    <w:rsid w:val="00250DFE"/>
    <w:rsid w:val="00250E80"/>
    <w:rsid w:val="00250F05"/>
    <w:rsid w:val="00250F1A"/>
    <w:rsid w:val="00250F32"/>
    <w:rsid w:val="00250F8F"/>
    <w:rsid w:val="00250F91"/>
    <w:rsid w:val="00251038"/>
    <w:rsid w:val="00251135"/>
    <w:rsid w:val="00251208"/>
    <w:rsid w:val="002512A8"/>
    <w:rsid w:val="002512C9"/>
    <w:rsid w:val="0025134E"/>
    <w:rsid w:val="002513C9"/>
    <w:rsid w:val="0025143F"/>
    <w:rsid w:val="00251480"/>
    <w:rsid w:val="002515D4"/>
    <w:rsid w:val="00251682"/>
    <w:rsid w:val="0025174A"/>
    <w:rsid w:val="0025179A"/>
    <w:rsid w:val="00251824"/>
    <w:rsid w:val="00251869"/>
    <w:rsid w:val="002518FB"/>
    <w:rsid w:val="00251A73"/>
    <w:rsid w:val="00251AFB"/>
    <w:rsid w:val="00251B63"/>
    <w:rsid w:val="00251BB9"/>
    <w:rsid w:val="00251D8C"/>
    <w:rsid w:val="00251E85"/>
    <w:rsid w:val="00251EB5"/>
    <w:rsid w:val="00251FE1"/>
    <w:rsid w:val="002520A6"/>
    <w:rsid w:val="002520E8"/>
    <w:rsid w:val="00252155"/>
    <w:rsid w:val="002521B5"/>
    <w:rsid w:val="00252265"/>
    <w:rsid w:val="00252268"/>
    <w:rsid w:val="00252394"/>
    <w:rsid w:val="002523E0"/>
    <w:rsid w:val="00252411"/>
    <w:rsid w:val="0025255E"/>
    <w:rsid w:val="002525B7"/>
    <w:rsid w:val="00252767"/>
    <w:rsid w:val="00252835"/>
    <w:rsid w:val="0025289C"/>
    <w:rsid w:val="00252987"/>
    <w:rsid w:val="002529D5"/>
    <w:rsid w:val="00252A8C"/>
    <w:rsid w:val="00252A9A"/>
    <w:rsid w:val="00252B2A"/>
    <w:rsid w:val="00252B82"/>
    <w:rsid w:val="00252B90"/>
    <w:rsid w:val="00252BBB"/>
    <w:rsid w:val="00252BF0"/>
    <w:rsid w:val="00252C92"/>
    <w:rsid w:val="00252D44"/>
    <w:rsid w:val="00252DAC"/>
    <w:rsid w:val="00252F46"/>
    <w:rsid w:val="0025300B"/>
    <w:rsid w:val="00253069"/>
    <w:rsid w:val="00253128"/>
    <w:rsid w:val="002531AD"/>
    <w:rsid w:val="002531CA"/>
    <w:rsid w:val="00253251"/>
    <w:rsid w:val="00253287"/>
    <w:rsid w:val="002532AF"/>
    <w:rsid w:val="00253309"/>
    <w:rsid w:val="0025334B"/>
    <w:rsid w:val="00253394"/>
    <w:rsid w:val="002533D8"/>
    <w:rsid w:val="00253445"/>
    <w:rsid w:val="00253472"/>
    <w:rsid w:val="00253499"/>
    <w:rsid w:val="002534DC"/>
    <w:rsid w:val="0025356B"/>
    <w:rsid w:val="0025357B"/>
    <w:rsid w:val="0025363D"/>
    <w:rsid w:val="00253704"/>
    <w:rsid w:val="00253726"/>
    <w:rsid w:val="002538DA"/>
    <w:rsid w:val="00253929"/>
    <w:rsid w:val="00253A36"/>
    <w:rsid w:val="00253A6A"/>
    <w:rsid w:val="00253AC5"/>
    <w:rsid w:val="00253B3C"/>
    <w:rsid w:val="00253EC3"/>
    <w:rsid w:val="00253F80"/>
    <w:rsid w:val="00253F8B"/>
    <w:rsid w:val="00253FFD"/>
    <w:rsid w:val="0025402C"/>
    <w:rsid w:val="002540CB"/>
    <w:rsid w:val="0025410E"/>
    <w:rsid w:val="00254124"/>
    <w:rsid w:val="0025414B"/>
    <w:rsid w:val="0025417B"/>
    <w:rsid w:val="0025419D"/>
    <w:rsid w:val="00254257"/>
    <w:rsid w:val="0025426E"/>
    <w:rsid w:val="002542B4"/>
    <w:rsid w:val="002542F0"/>
    <w:rsid w:val="002542F1"/>
    <w:rsid w:val="002542F9"/>
    <w:rsid w:val="002543E6"/>
    <w:rsid w:val="002544B2"/>
    <w:rsid w:val="00254510"/>
    <w:rsid w:val="002545ED"/>
    <w:rsid w:val="002546B5"/>
    <w:rsid w:val="002546E2"/>
    <w:rsid w:val="0025472B"/>
    <w:rsid w:val="00254846"/>
    <w:rsid w:val="00254876"/>
    <w:rsid w:val="0025494B"/>
    <w:rsid w:val="0025499F"/>
    <w:rsid w:val="00254B0D"/>
    <w:rsid w:val="00254B59"/>
    <w:rsid w:val="00254B9B"/>
    <w:rsid w:val="00254C18"/>
    <w:rsid w:val="00254C2E"/>
    <w:rsid w:val="00254CFA"/>
    <w:rsid w:val="00254D57"/>
    <w:rsid w:val="00254D66"/>
    <w:rsid w:val="00254D92"/>
    <w:rsid w:val="00254D9F"/>
    <w:rsid w:val="00254DE6"/>
    <w:rsid w:val="00254E1C"/>
    <w:rsid w:val="00254FB5"/>
    <w:rsid w:val="0025500A"/>
    <w:rsid w:val="0025502D"/>
    <w:rsid w:val="0025504A"/>
    <w:rsid w:val="002550CE"/>
    <w:rsid w:val="0025512C"/>
    <w:rsid w:val="00255133"/>
    <w:rsid w:val="0025523B"/>
    <w:rsid w:val="00255262"/>
    <w:rsid w:val="002553D7"/>
    <w:rsid w:val="002553DE"/>
    <w:rsid w:val="00255449"/>
    <w:rsid w:val="0025547A"/>
    <w:rsid w:val="0025548C"/>
    <w:rsid w:val="00255549"/>
    <w:rsid w:val="00255667"/>
    <w:rsid w:val="0025566F"/>
    <w:rsid w:val="002556F3"/>
    <w:rsid w:val="00255724"/>
    <w:rsid w:val="002557FF"/>
    <w:rsid w:val="00255812"/>
    <w:rsid w:val="00255835"/>
    <w:rsid w:val="0025591E"/>
    <w:rsid w:val="0025592B"/>
    <w:rsid w:val="0025592D"/>
    <w:rsid w:val="00255964"/>
    <w:rsid w:val="00255967"/>
    <w:rsid w:val="002559CD"/>
    <w:rsid w:val="00255A96"/>
    <w:rsid w:val="00255AA5"/>
    <w:rsid w:val="00255AD5"/>
    <w:rsid w:val="00255B0E"/>
    <w:rsid w:val="00255B21"/>
    <w:rsid w:val="00255C52"/>
    <w:rsid w:val="00255CEB"/>
    <w:rsid w:val="00255D0E"/>
    <w:rsid w:val="00255D46"/>
    <w:rsid w:val="00255D63"/>
    <w:rsid w:val="00255DCC"/>
    <w:rsid w:val="00255F91"/>
    <w:rsid w:val="0025600C"/>
    <w:rsid w:val="0025607F"/>
    <w:rsid w:val="002560DA"/>
    <w:rsid w:val="002561C4"/>
    <w:rsid w:val="002561CB"/>
    <w:rsid w:val="00256372"/>
    <w:rsid w:val="002563CC"/>
    <w:rsid w:val="0025659B"/>
    <w:rsid w:val="002565CC"/>
    <w:rsid w:val="0025670B"/>
    <w:rsid w:val="00256793"/>
    <w:rsid w:val="002567D3"/>
    <w:rsid w:val="0025681D"/>
    <w:rsid w:val="00256C61"/>
    <w:rsid w:val="00256F4C"/>
    <w:rsid w:val="00256FD5"/>
    <w:rsid w:val="00256FDA"/>
    <w:rsid w:val="0025702C"/>
    <w:rsid w:val="00257083"/>
    <w:rsid w:val="00257092"/>
    <w:rsid w:val="002570F3"/>
    <w:rsid w:val="00257142"/>
    <w:rsid w:val="0025727B"/>
    <w:rsid w:val="002572AB"/>
    <w:rsid w:val="002572C3"/>
    <w:rsid w:val="00257313"/>
    <w:rsid w:val="0025734D"/>
    <w:rsid w:val="00257365"/>
    <w:rsid w:val="00257396"/>
    <w:rsid w:val="00257437"/>
    <w:rsid w:val="0025743D"/>
    <w:rsid w:val="002574A7"/>
    <w:rsid w:val="002574A9"/>
    <w:rsid w:val="002575E7"/>
    <w:rsid w:val="0025763C"/>
    <w:rsid w:val="00257666"/>
    <w:rsid w:val="0025769D"/>
    <w:rsid w:val="0025777D"/>
    <w:rsid w:val="002577F6"/>
    <w:rsid w:val="002578A6"/>
    <w:rsid w:val="002579B6"/>
    <w:rsid w:val="00257AB9"/>
    <w:rsid w:val="00257BAA"/>
    <w:rsid w:val="00257C98"/>
    <w:rsid w:val="00257DF9"/>
    <w:rsid w:val="0025E13B"/>
    <w:rsid w:val="002600A9"/>
    <w:rsid w:val="00260122"/>
    <w:rsid w:val="00260149"/>
    <w:rsid w:val="0026014A"/>
    <w:rsid w:val="0026020F"/>
    <w:rsid w:val="0026028F"/>
    <w:rsid w:val="00260314"/>
    <w:rsid w:val="00260346"/>
    <w:rsid w:val="002603C2"/>
    <w:rsid w:val="002603FA"/>
    <w:rsid w:val="00260410"/>
    <w:rsid w:val="0026045D"/>
    <w:rsid w:val="0026046B"/>
    <w:rsid w:val="002605AD"/>
    <w:rsid w:val="002605DB"/>
    <w:rsid w:val="00260761"/>
    <w:rsid w:val="00260767"/>
    <w:rsid w:val="0026086F"/>
    <w:rsid w:val="002608D0"/>
    <w:rsid w:val="002608D9"/>
    <w:rsid w:val="00260912"/>
    <w:rsid w:val="002609D7"/>
    <w:rsid w:val="002609E7"/>
    <w:rsid w:val="00260A22"/>
    <w:rsid w:val="00260BB1"/>
    <w:rsid w:val="00260BD6"/>
    <w:rsid w:val="00260C21"/>
    <w:rsid w:val="00260D03"/>
    <w:rsid w:val="00260D7F"/>
    <w:rsid w:val="00260DD2"/>
    <w:rsid w:val="00260E27"/>
    <w:rsid w:val="00260E5A"/>
    <w:rsid w:val="00260F0D"/>
    <w:rsid w:val="00260F67"/>
    <w:rsid w:val="00260F7D"/>
    <w:rsid w:val="00260F89"/>
    <w:rsid w:val="00260FF8"/>
    <w:rsid w:val="0026103D"/>
    <w:rsid w:val="00261092"/>
    <w:rsid w:val="00261219"/>
    <w:rsid w:val="002612CC"/>
    <w:rsid w:val="0026149C"/>
    <w:rsid w:val="0026161E"/>
    <w:rsid w:val="00261660"/>
    <w:rsid w:val="002616A5"/>
    <w:rsid w:val="002616B4"/>
    <w:rsid w:val="0026170B"/>
    <w:rsid w:val="00261791"/>
    <w:rsid w:val="002617DB"/>
    <w:rsid w:val="0026186D"/>
    <w:rsid w:val="00261877"/>
    <w:rsid w:val="00261964"/>
    <w:rsid w:val="002619BA"/>
    <w:rsid w:val="00261A54"/>
    <w:rsid w:val="00261AC6"/>
    <w:rsid w:val="00261B14"/>
    <w:rsid w:val="00261CF2"/>
    <w:rsid w:val="00261E1B"/>
    <w:rsid w:val="00261EAF"/>
    <w:rsid w:val="00262064"/>
    <w:rsid w:val="002620CF"/>
    <w:rsid w:val="00262167"/>
    <w:rsid w:val="002621AF"/>
    <w:rsid w:val="002621B0"/>
    <w:rsid w:val="0026222C"/>
    <w:rsid w:val="00262320"/>
    <w:rsid w:val="0026235A"/>
    <w:rsid w:val="002624B2"/>
    <w:rsid w:val="002625A4"/>
    <w:rsid w:val="00262601"/>
    <w:rsid w:val="00262694"/>
    <w:rsid w:val="002626A9"/>
    <w:rsid w:val="0026289F"/>
    <w:rsid w:val="002628E3"/>
    <w:rsid w:val="002628F1"/>
    <w:rsid w:val="002628FC"/>
    <w:rsid w:val="00262929"/>
    <w:rsid w:val="00262A7C"/>
    <w:rsid w:val="00262AA2"/>
    <w:rsid w:val="00262CDD"/>
    <w:rsid w:val="00262D96"/>
    <w:rsid w:val="00262DB4"/>
    <w:rsid w:val="00262DF2"/>
    <w:rsid w:val="00262F00"/>
    <w:rsid w:val="00263020"/>
    <w:rsid w:val="00263021"/>
    <w:rsid w:val="00263049"/>
    <w:rsid w:val="002630BC"/>
    <w:rsid w:val="002631AF"/>
    <w:rsid w:val="0026321F"/>
    <w:rsid w:val="00263247"/>
    <w:rsid w:val="002632EC"/>
    <w:rsid w:val="00263362"/>
    <w:rsid w:val="002633DA"/>
    <w:rsid w:val="0026340F"/>
    <w:rsid w:val="00263478"/>
    <w:rsid w:val="002634CD"/>
    <w:rsid w:val="00263634"/>
    <w:rsid w:val="002636DB"/>
    <w:rsid w:val="00263729"/>
    <w:rsid w:val="00263777"/>
    <w:rsid w:val="0026384A"/>
    <w:rsid w:val="00263914"/>
    <w:rsid w:val="0026391C"/>
    <w:rsid w:val="0026392A"/>
    <w:rsid w:val="00263BD6"/>
    <w:rsid w:val="00263D93"/>
    <w:rsid w:val="00263E4E"/>
    <w:rsid w:val="00263F91"/>
    <w:rsid w:val="00264021"/>
    <w:rsid w:val="00264069"/>
    <w:rsid w:val="002640AF"/>
    <w:rsid w:val="002640BD"/>
    <w:rsid w:val="0026414E"/>
    <w:rsid w:val="00264177"/>
    <w:rsid w:val="00264333"/>
    <w:rsid w:val="00264364"/>
    <w:rsid w:val="0026438D"/>
    <w:rsid w:val="002643D6"/>
    <w:rsid w:val="002643E3"/>
    <w:rsid w:val="002643F9"/>
    <w:rsid w:val="00264419"/>
    <w:rsid w:val="00264436"/>
    <w:rsid w:val="0026446A"/>
    <w:rsid w:val="00264524"/>
    <w:rsid w:val="00264553"/>
    <w:rsid w:val="00264646"/>
    <w:rsid w:val="0026466E"/>
    <w:rsid w:val="0026470B"/>
    <w:rsid w:val="00264738"/>
    <w:rsid w:val="0026480D"/>
    <w:rsid w:val="0026482E"/>
    <w:rsid w:val="00264902"/>
    <w:rsid w:val="002649DF"/>
    <w:rsid w:val="00264A05"/>
    <w:rsid w:val="00264A3E"/>
    <w:rsid w:val="00264AFB"/>
    <w:rsid w:val="00264B7B"/>
    <w:rsid w:val="00264DB4"/>
    <w:rsid w:val="00264EEF"/>
    <w:rsid w:val="00264F37"/>
    <w:rsid w:val="00264FFF"/>
    <w:rsid w:val="002650D6"/>
    <w:rsid w:val="002650E7"/>
    <w:rsid w:val="002650EA"/>
    <w:rsid w:val="0026510D"/>
    <w:rsid w:val="0026516F"/>
    <w:rsid w:val="002652A9"/>
    <w:rsid w:val="0026530C"/>
    <w:rsid w:val="0026538A"/>
    <w:rsid w:val="002653E0"/>
    <w:rsid w:val="002655A2"/>
    <w:rsid w:val="00265695"/>
    <w:rsid w:val="002656F4"/>
    <w:rsid w:val="0026578E"/>
    <w:rsid w:val="002657B1"/>
    <w:rsid w:val="002657C6"/>
    <w:rsid w:val="00265850"/>
    <w:rsid w:val="00265899"/>
    <w:rsid w:val="0026589D"/>
    <w:rsid w:val="002658BA"/>
    <w:rsid w:val="002658F9"/>
    <w:rsid w:val="00265924"/>
    <w:rsid w:val="00265956"/>
    <w:rsid w:val="002659B4"/>
    <w:rsid w:val="00265A05"/>
    <w:rsid w:val="00265A7E"/>
    <w:rsid w:val="00265A94"/>
    <w:rsid w:val="00265AAF"/>
    <w:rsid w:val="00265B12"/>
    <w:rsid w:val="00265BD8"/>
    <w:rsid w:val="00265C67"/>
    <w:rsid w:val="00265D7F"/>
    <w:rsid w:val="00265DDF"/>
    <w:rsid w:val="00265E00"/>
    <w:rsid w:val="00265E80"/>
    <w:rsid w:val="00265F93"/>
    <w:rsid w:val="0026628A"/>
    <w:rsid w:val="002662BF"/>
    <w:rsid w:val="002662FF"/>
    <w:rsid w:val="00266325"/>
    <w:rsid w:val="002663D7"/>
    <w:rsid w:val="0026643A"/>
    <w:rsid w:val="0026656C"/>
    <w:rsid w:val="002665B3"/>
    <w:rsid w:val="002666E2"/>
    <w:rsid w:val="002666EA"/>
    <w:rsid w:val="002667BC"/>
    <w:rsid w:val="002667DC"/>
    <w:rsid w:val="00266823"/>
    <w:rsid w:val="00266858"/>
    <w:rsid w:val="00266891"/>
    <w:rsid w:val="002669E4"/>
    <w:rsid w:val="00266BA0"/>
    <w:rsid w:val="00266CB4"/>
    <w:rsid w:val="00266DD0"/>
    <w:rsid w:val="0026704B"/>
    <w:rsid w:val="00267050"/>
    <w:rsid w:val="002670E9"/>
    <w:rsid w:val="0026712C"/>
    <w:rsid w:val="0026712E"/>
    <w:rsid w:val="002672A4"/>
    <w:rsid w:val="002672AF"/>
    <w:rsid w:val="0026742C"/>
    <w:rsid w:val="0026746C"/>
    <w:rsid w:val="00267526"/>
    <w:rsid w:val="0026767E"/>
    <w:rsid w:val="002676DF"/>
    <w:rsid w:val="002676F3"/>
    <w:rsid w:val="002677BC"/>
    <w:rsid w:val="002677FD"/>
    <w:rsid w:val="0026787F"/>
    <w:rsid w:val="00267894"/>
    <w:rsid w:val="00267955"/>
    <w:rsid w:val="002679B5"/>
    <w:rsid w:val="002679F8"/>
    <w:rsid w:val="00267A88"/>
    <w:rsid w:val="00267B2C"/>
    <w:rsid w:val="00267B52"/>
    <w:rsid w:val="00267B86"/>
    <w:rsid w:val="00267BBE"/>
    <w:rsid w:val="00267C4D"/>
    <w:rsid w:val="00267DE0"/>
    <w:rsid w:val="00267E1B"/>
    <w:rsid w:val="00270019"/>
    <w:rsid w:val="0027014B"/>
    <w:rsid w:val="0027015A"/>
    <w:rsid w:val="0027020A"/>
    <w:rsid w:val="002702C0"/>
    <w:rsid w:val="00270358"/>
    <w:rsid w:val="0027040D"/>
    <w:rsid w:val="0027047D"/>
    <w:rsid w:val="00270483"/>
    <w:rsid w:val="0027056B"/>
    <w:rsid w:val="00270574"/>
    <w:rsid w:val="0027068A"/>
    <w:rsid w:val="002706D4"/>
    <w:rsid w:val="00270740"/>
    <w:rsid w:val="002707AD"/>
    <w:rsid w:val="0027084C"/>
    <w:rsid w:val="0027086C"/>
    <w:rsid w:val="00270A8A"/>
    <w:rsid w:val="00270B56"/>
    <w:rsid w:val="00270BA9"/>
    <w:rsid w:val="00270EA1"/>
    <w:rsid w:val="00270EBC"/>
    <w:rsid w:val="00270F21"/>
    <w:rsid w:val="002710F1"/>
    <w:rsid w:val="0027111E"/>
    <w:rsid w:val="0027115D"/>
    <w:rsid w:val="002711C9"/>
    <w:rsid w:val="002711EC"/>
    <w:rsid w:val="0027128F"/>
    <w:rsid w:val="00271317"/>
    <w:rsid w:val="002713B5"/>
    <w:rsid w:val="0027147D"/>
    <w:rsid w:val="002714A6"/>
    <w:rsid w:val="002714B3"/>
    <w:rsid w:val="002714E9"/>
    <w:rsid w:val="0027156B"/>
    <w:rsid w:val="00271593"/>
    <w:rsid w:val="002716FF"/>
    <w:rsid w:val="00271783"/>
    <w:rsid w:val="002718D3"/>
    <w:rsid w:val="002719FD"/>
    <w:rsid w:val="00271A47"/>
    <w:rsid w:val="00271A6C"/>
    <w:rsid w:val="00271C60"/>
    <w:rsid w:val="00271D59"/>
    <w:rsid w:val="00271D79"/>
    <w:rsid w:val="00271E7F"/>
    <w:rsid w:val="00271EE1"/>
    <w:rsid w:val="00271F11"/>
    <w:rsid w:val="00271F3E"/>
    <w:rsid w:val="00271F54"/>
    <w:rsid w:val="00271F64"/>
    <w:rsid w:val="00271F6A"/>
    <w:rsid w:val="00271F8B"/>
    <w:rsid w:val="00271FBB"/>
    <w:rsid w:val="00271FC7"/>
    <w:rsid w:val="002722DA"/>
    <w:rsid w:val="00272313"/>
    <w:rsid w:val="00272330"/>
    <w:rsid w:val="00272384"/>
    <w:rsid w:val="0027239F"/>
    <w:rsid w:val="00272410"/>
    <w:rsid w:val="0027242F"/>
    <w:rsid w:val="0027250F"/>
    <w:rsid w:val="002725C1"/>
    <w:rsid w:val="00272617"/>
    <w:rsid w:val="002726B5"/>
    <w:rsid w:val="00272765"/>
    <w:rsid w:val="002727F7"/>
    <w:rsid w:val="002729B4"/>
    <w:rsid w:val="00272AAC"/>
    <w:rsid w:val="00272AEE"/>
    <w:rsid w:val="00272B09"/>
    <w:rsid w:val="00272B57"/>
    <w:rsid w:val="00272BD6"/>
    <w:rsid w:val="00272C20"/>
    <w:rsid w:val="00272CD7"/>
    <w:rsid w:val="00272CD8"/>
    <w:rsid w:val="00272EDA"/>
    <w:rsid w:val="00272F1A"/>
    <w:rsid w:val="0027319A"/>
    <w:rsid w:val="00273297"/>
    <w:rsid w:val="00273366"/>
    <w:rsid w:val="00273536"/>
    <w:rsid w:val="00273591"/>
    <w:rsid w:val="002736B4"/>
    <w:rsid w:val="0027392B"/>
    <w:rsid w:val="00273972"/>
    <w:rsid w:val="00273A0C"/>
    <w:rsid w:val="00273A2D"/>
    <w:rsid w:val="00273A32"/>
    <w:rsid w:val="00273C37"/>
    <w:rsid w:val="00273C48"/>
    <w:rsid w:val="00273D7A"/>
    <w:rsid w:val="00273DA5"/>
    <w:rsid w:val="00273E1B"/>
    <w:rsid w:val="00273E54"/>
    <w:rsid w:val="00273F4B"/>
    <w:rsid w:val="002740A0"/>
    <w:rsid w:val="002740C5"/>
    <w:rsid w:val="002740FA"/>
    <w:rsid w:val="00274204"/>
    <w:rsid w:val="00274258"/>
    <w:rsid w:val="00274417"/>
    <w:rsid w:val="0027448A"/>
    <w:rsid w:val="002745A2"/>
    <w:rsid w:val="002745AF"/>
    <w:rsid w:val="002746B4"/>
    <w:rsid w:val="0027471E"/>
    <w:rsid w:val="00274720"/>
    <w:rsid w:val="0027473C"/>
    <w:rsid w:val="002747C1"/>
    <w:rsid w:val="002747FD"/>
    <w:rsid w:val="00274909"/>
    <w:rsid w:val="0027497F"/>
    <w:rsid w:val="002749C4"/>
    <w:rsid w:val="00274AD8"/>
    <w:rsid w:val="00274AE8"/>
    <w:rsid w:val="00274B0A"/>
    <w:rsid w:val="00274B1E"/>
    <w:rsid w:val="00274B94"/>
    <w:rsid w:val="00274C41"/>
    <w:rsid w:val="00274D72"/>
    <w:rsid w:val="00274DC2"/>
    <w:rsid w:val="00274E4A"/>
    <w:rsid w:val="00274E4C"/>
    <w:rsid w:val="00274E7D"/>
    <w:rsid w:val="00274ECE"/>
    <w:rsid w:val="00274F34"/>
    <w:rsid w:val="00274FBC"/>
    <w:rsid w:val="00275026"/>
    <w:rsid w:val="00275070"/>
    <w:rsid w:val="002751A1"/>
    <w:rsid w:val="0027531C"/>
    <w:rsid w:val="002753C1"/>
    <w:rsid w:val="00275445"/>
    <w:rsid w:val="0027547B"/>
    <w:rsid w:val="002754EB"/>
    <w:rsid w:val="00275505"/>
    <w:rsid w:val="00275522"/>
    <w:rsid w:val="00275538"/>
    <w:rsid w:val="00275646"/>
    <w:rsid w:val="00275688"/>
    <w:rsid w:val="00275697"/>
    <w:rsid w:val="00275705"/>
    <w:rsid w:val="0027573A"/>
    <w:rsid w:val="00275824"/>
    <w:rsid w:val="00275837"/>
    <w:rsid w:val="002758CB"/>
    <w:rsid w:val="0027590A"/>
    <w:rsid w:val="00275957"/>
    <w:rsid w:val="00275972"/>
    <w:rsid w:val="00275994"/>
    <w:rsid w:val="002759F4"/>
    <w:rsid w:val="00275A85"/>
    <w:rsid w:val="00275B23"/>
    <w:rsid w:val="00275B88"/>
    <w:rsid w:val="00275D08"/>
    <w:rsid w:val="00275D56"/>
    <w:rsid w:val="00275D7A"/>
    <w:rsid w:val="00275D83"/>
    <w:rsid w:val="00275E77"/>
    <w:rsid w:val="00275EC0"/>
    <w:rsid w:val="00275F67"/>
    <w:rsid w:val="00275FD5"/>
    <w:rsid w:val="00276074"/>
    <w:rsid w:val="0027608E"/>
    <w:rsid w:val="002760A9"/>
    <w:rsid w:val="00276136"/>
    <w:rsid w:val="002762DE"/>
    <w:rsid w:val="0027630A"/>
    <w:rsid w:val="00276317"/>
    <w:rsid w:val="002763C3"/>
    <w:rsid w:val="00276438"/>
    <w:rsid w:val="00276447"/>
    <w:rsid w:val="00276508"/>
    <w:rsid w:val="00276539"/>
    <w:rsid w:val="0027656F"/>
    <w:rsid w:val="002765FD"/>
    <w:rsid w:val="00276730"/>
    <w:rsid w:val="00276761"/>
    <w:rsid w:val="0027676A"/>
    <w:rsid w:val="00276783"/>
    <w:rsid w:val="002767B5"/>
    <w:rsid w:val="00276807"/>
    <w:rsid w:val="00276850"/>
    <w:rsid w:val="0027685F"/>
    <w:rsid w:val="002769B6"/>
    <w:rsid w:val="002769C6"/>
    <w:rsid w:val="00276A12"/>
    <w:rsid w:val="00276A33"/>
    <w:rsid w:val="00276AC3"/>
    <w:rsid w:val="00276AC4"/>
    <w:rsid w:val="00276B58"/>
    <w:rsid w:val="00276B80"/>
    <w:rsid w:val="00276BB9"/>
    <w:rsid w:val="00276C6B"/>
    <w:rsid w:val="00276C87"/>
    <w:rsid w:val="00276DB2"/>
    <w:rsid w:val="00276DBE"/>
    <w:rsid w:val="00276E4B"/>
    <w:rsid w:val="00276EC5"/>
    <w:rsid w:val="00276EDE"/>
    <w:rsid w:val="00276F4E"/>
    <w:rsid w:val="00276F70"/>
    <w:rsid w:val="00276F91"/>
    <w:rsid w:val="00276FAD"/>
    <w:rsid w:val="00276FD1"/>
    <w:rsid w:val="00277016"/>
    <w:rsid w:val="0027701C"/>
    <w:rsid w:val="00277032"/>
    <w:rsid w:val="00277107"/>
    <w:rsid w:val="0027713F"/>
    <w:rsid w:val="00277154"/>
    <w:rsid w:val="0027716A"/>
    <w:rsid w:val="002771E9"/>
    <w:rsid w:val="00277257"/>
    <w:rsid w:val="002772F0"/>
    <w:rsid w:val="00277350"/>
    <w:rsid w:val="002773B5"/>
    <w:rsid w:val="00277435"/>
    <w:rsid w:val="00277504"/>
    <w:rsid w:val="00277850"/>
    <w:rsid w:val="00277858"/>
    <w:rsid w:val="0027787F"/>
    <w:rsid w:val="002778E1"/>
    <w:rsid w:val="00277B43"/>
    <w:rsid w:val="00277B5B"/>
    <w:rsid w:val="00277CBA"/>
    <w:rsid w:val="00277E54"/>
    <w:rsid w:val="00277EBE"/>
    <w:rsid w:val="00277F7D"/>
    <w:rsid w:val="00277FD1"/>
    <w:rsid w:val="00277FE8"/>
    <w:rsid w:val="0028001E"/>
    <w:rsid w:val="00280039"/>
    <w:rsid w:val="00280089"/>
    <w:rsid w:val="002800E2"/>
    <w:rsid w:val="002801D7"/>
    <w:rsid w:val="002801DA"/>
    <w:rsid w:val="00280257"/>
    <w:rsid w:val="0028034D"/>
    <w:rsid w:val="0028043E"/>
    <w:rsid w:val="0028049F"/>
    <w:rsid w:val="002804E4"/>
    <w:rsid w:val="002804FE"/>
    <w:rsid w:val="002805FC"/>
    <w:rsid w:val="00280620"/>
    <w:rsid w:val="0028065F"/>
    <w:rsid w:val="002806CF"/>
    <w:rsid w:val="002806E7"/>
    <w:rsid w:val="0028076F"/>
    <w:rsid w:val="0028078F"/>
    <w:rsid w:val="00280802"/>
    <w:rsid w:val="0028086F"/>
    <w:rsid w:val="002808A9"/>
    <w:rsid w:val="002808F4"/>
    <w:rsid w:val="00280AB0"/>
    <w:rsid w:val="00280BF2"/>
    <w:rsid w:val="00280C30"/>
    <w:rsid w:val="00280D2A"/>
    <w:rsid w:val="00280D69"/>
    <w:rsid w:val="00280D85"/>
    <w:rsid w:val="00280E1C"/>
    <w:rsid w:val="00280E9F"/>
    <w:rsid w:val="00280EF0"/>
    <w:rsid w:val="00280EFD"/>
    <w:rsid w:val="00280F05"/>
    <w:rsid w:val="00281015"/>
    <w:rsid w:val="002810F7"/>
    <w:rsid w:val="00281121"/>
    <w:rsid w:val="00281247"/>
    <w:rsid w:val="002812EA"/>
    <w:rsid w:val="0028136C"/>
    <w:rsid w:val="0028149F"/>
    <w:rsid w:val="00281529"/>
    <w:rsid w:val="002815C5"/>
    <w:rsid w:val="00281609"/>
    <w:rsid w:val="00281641"/>
    <w:rsid w:val="00281783"/>
    <w:rsid w:val="002817AC"/>
    <w:rsid w:val="002817CE"/>
    <w:rsid w:val="00281AE1"/>
    <w:rsid w:val="00281B28"/>
    <w:rsid w:val="00281C40"/>
    <w:rsid w:val="00281D42"/>
    <w:rsid w:val="00281D89"/>
    <w:rsid w:val="00281E24"/>
    <w:rsid w:val="00281E54"/>
    <w:rsid w:val="00281F2A"/>
    <w:rsid w:val="00281F39"/>
    <w:rsid w:val="00282096"/>
    <w:rsid w:val="002820FE"/>
    <w:rsid w:val="0028218B"/>
    <w:rsid w:val="002821A7"/>
    <w:rsid w:val="00282209"/>
    <w:rsid w:val="00282237"/>
    <w:rsid w:val="00282255"/>
    <w:rsid w:val="00282299"/>
    <w:rsid w:val="00282422"/>
    <w:rsid w:val="00282500"/>
    <w:rsid w:val="0028254D"/>
    <w:rsid w:val="00282670"/>
    <w:rsid w:val="002826AE"/>
    <w:rsid w:val="00282718"/>
    <w:rsid w:val="00282724"/>
    <w:rsid w:val="0028276D"/>
    <w:rsid w:val="00282989"/>
    <w:rsid w:val="00282A33"/>
    <w:rsid w:val="00282AAB"/>
    <w:rsid w:val="00282ABE"/>
    <w:rsid w:val="00282BB7"/>
    <w:rsid w:val="00282BC6"/>
    <w:rsid w:val="00282BDA"/>
    <w:rsid w:val="00282C17"/>
    <w:rsid w:val="00282C1E"/>
    <w:rsid w:val="00282C22"/>
    <w:rsid w:val="00282CD7"/>
    <w:rsid w:val="00282D34"/>
    <w:rsid w:val="00282D3F"/>
    <w:rsid w:val="00282DDC"/>
    <w:rsid w:val="00282E28"/>
    <w:rsid w:val="00282E48"/>
    <w:rsid w:val="00282E73"/>
    <w:rsid w:val="00282EAB"/>
    <w:rsid w:val="00282ED7"/>
    <w:rsid w:val="00282F3E"/>
    <w:rsid w:val="00282F9A"/>
    <w:rsid w:val="00282FC2"/>
    <w:rsid w:val="00282FF5"/>
    <w:rsid w:val="002830C5"/>
    <w:rsid w:val="002830DA"/>
    <w:rsid w:val="002830DF"/>
    <w:rsid w:val="00283282"/>
    <w:rsid w:val="00283308"/>
    <w:rsid w:val="002833A6"/>
    <w:rsid w:val="002833BE"/>
    <w:rsid w:val="002833CA"/>
    <w:rsid w:val="00283471"/>
    <w:rsid w:val="00283506"/>
    <w:rsid w:val="002835A5"/>
    <w:rsid w:val="00283715"/>
    <w:rsid w:val="00283979"/>
    <w:rsid w:val="00283B91"/>
    <w:rsid w:val="00283BAD"/>
    <w:rsid w:val="00283DC1"/>
    <w:rsid w:val="00283DD6"/>
    <w:rsid w:val="00283E43"/>
    <w:rsid w:val="00283F0E"/>
    <w:rsid w:val="00283FDD"/>
    <w:rsid w:val="00283FF9"/>
    <w:rsid w:val="002840A0"/>
    <w:rsid w:val="00284122"/>
    <w:rsid w:val="00284179"/>
    <w:rsid w:val="002841C6"/>
    <w:rsid w:val="00284398"/>
    <w:rsid w:val="00284473"/>
    <w:rsid w:val="0028477A"/>
    <w:rsid w:val="002847EA"/>
    <w:rsid w:val="002848FD"/>
    <w:rsid w:val="00284C2F"/>
    <w:rsid w:val="00284C3B"/>
    <w:rsid w:val="00284CCF"/>
    <w:rsid w:val="00284DB5"/>
    <w:rsid w:val="00284E63"/>
    <w:rsid w:val="00284FB6"/>
    <w:rsid w:val="002851DE"/>
    <w:rsid w:val="00285208"/>
    <w:rsid w:val="0028521E"/>
    <w:rsid w:val="00285225"/>
    <w:rsid w:val="00285238"/>
    <w:rsid w:val="0028536B"/>
    <w:rsid w:val="002853B5"/>
    <w:rsid w:val="00285447"/>
    <w:rsid w:val="002854C4"/>
    <w:rsid w:val="002854C6"/>
    <w:rsid w:val="00285515"/>
    <w:rsid w:val="00285596"/>
    <w:rsid w:val="0028561F"/>
    <w:rsid w:val="00285640"/>
    <w:rsid w:val="00285748"/>
    <w:rsid w:val="00285751"/>
    <w:rsid w:val="00285868"/>
    <w:rsid w:val="002858CE"/>
    <w:rsid w:val="002859A3"/>
    <w:rsid w:val="00285A15"/>
    <w:rsid w:val="00285A88"/>
    <w:rsid w:val="00285B12"/>
    <w:rsid w:val="00285B9C"/>
    <w:rsid w:val="00285C45"/>
    <w:rsid w:val="00285D1B"/>
    <w:rsid w:val="00285D5C"/>
    <w:rsid w:val="00285DB4"/>
    <w:rsid w:val="00285E03"/>
    <w:rsid w:val="00285E26"/>
    <w:rsid w:val="00285EBA"/>
    <w:rsid w:val="00285F88"/>
    <w:rsid w:val="0028601B"/>
    <w:rsid w:val="0028602F"/>
    <w:rsid w:val="0028607D"/>
    <w:rsid w:val="002860C7"/>
    <w:rsid w:val="002860CE"/>
    <w:rsid w:val="0028612E"/>
    <w:rsid w:val="00286165"/>
    <w:rsid w:val="00286226"/>
    <w:rsid w:val="00286284"/>
    <w:rsid w:val="002862F7"/>
    <w:rsid w:val="00286314"/>
    <w:rsid w:val="00286358"/>
    <w:rsid w:val="0028649F"/>
    <w:rsid w:val="002864E1"/>
    <w:rsid w:val="002865F3"/>
    <w:rsid w:val="002866E0"/>
    <w:rsid w:val="00286826"/>
    <w:rsid w:val="00286844"/>
    <w:rsid w:val="0028695E"/>
    <w:rsid w:val="0028699B"/>
    <w:rsid w:val="00286A07"/>
    <w:rsid w:val="00286A08"/>
    <w:rsid w:val="00286A3C"/>
    <w:rsid w:val="00286B95"/>
    <w:rsid w:val="00286BA1"/>
    <w:rsid w:val="00286BF7"/>
    <w:rsid w:val="00286C47"/>
    <w:rsid w:val="00286D72"/>
    <w:rsid w:val="00286E51"/>
    <w:rsid w:val="00286EF1"/>
    <w:rsid w:val="00286F59"/>
    <w:rsid w:val="0028700A"/>
    <w:rsid w:val="00287109"/>
    <w:rsid w:val="00287145"/>
    <w:rsid w:val="002871A5"/>
    <w:rsid w:val="0028726C"/>
    <w:rsid w:val="00287359"/>
    <w:rsid w:val="0028736B"/>
    <w:rsid w:val="002873C7"/>
    <w:rsid w:val="002873D3"/>
    <w:rsid w:val="002874AA"/>
    <w:rsid w:val="002874D3"/>
    <w:rsid w:val="0028754F"/>
    <w:rsid w:val="0028762E"/>
    <w:rsid w:val="00287645"/>
    <w:rsid w:val="00287663"/>
    <w:rsid w:val="00287724"/>
    <w:rsid w:val="00287734"/>
    <w:rsid w:val="00287859"/>
    <w:rsid w:val="002878AF"/>
    <w:rsid w:val="002878B1"/>
    <w:rsid w:val="00287984"/>
    <w:rsid w:val="0028799D"/>
    <w:rsid w:val="00287A9E"/>
    <w:rsid w:val="00287B56"/>
    <w:rsid w:val="00287B57"/>
    <w:rsid w:val="00287B63"/>
    <w:rsid w:val="00287C60"/>
    <w:rsid w:val="00287E1B"/>
    <w:rsid w:val="00287E4B"/>
    <w:rsid w:val="00287ECA"/>
    <w:rsid w:val="00290007"/>
    <w:rsid w:val="002900D0"/>
    <w:rsid w:val="0029034A"/>
    <w:rsid w:val="0029038C"/>
    <w:rsid w:val="002903B9"/>
    <w:rsid w:val="002903F5"/>
    <w:rsid w:val="00290454"/>
    <w:rsid w:val="00290477"/>
    <w:rsid w:val="0029049F"/>
    <w:rsid w:val="002904DF"/>
    <w:rsid w:val="002905BF"/>
    <w:rsid w:val="002905DC"/>
    <w:rsid w:val="00290705"/>
    <w:rsid w:val="002907BA"/>
    <w:rsid w:val="002907CB"/>
    <w:rsid w:val="002907DA"/>
    <w:rsid w:val="002907EF"/>
    <w:rsid w:val="0029082F"/>
    <w:rsid w:val="00290904"/>
    <w:rsid w:val="00290A15"/>
    <w:rsid w:val="00290A76"/>
    <w:rsid w:val="00290A80"/>
    <w:rsid w:val="00290B2A"/>
    <w:rsid w:val="00290B2B"/>
    <w:rsid w:val="00290BF0"/>
    <w:rsid w:val="00290BFF"/>
    <w:rsid w:val="00290C64"/>
    <w:rsid w:val="00290CCC"/>
    <w:rsid w:val="00290E25"/>
    <w:rsid w:val="00290EA2"/>
    <w:rsid w:val="00290F0E"/>
    <w:rsid w:val="00290F77"/>
    <w:rsid w:val="002910C8"/>
    <w:rsid w:val="00291168"/>
    <w:rsid w:val="002911E8"/>
    <w:rsid w:val="0029135F"/>
    <w:rsid w:val="00291562"/>
    <w:rsid w:val="0029164F"/>
    <w:rsid w:val="0029168D"/>
    <w:rsid w:val="002916F6"/>
    <w:rsid w:val="0029176A"/>
    <w:rsid w:val="002917A8"/>
    <w:rsid w:val="002918B8"/>
    <w:rsid w:val="0029194B"/>
    <w:rsid w:val="0029196F"/>
    <w:rsid w:val="00291970"/>
    <w:rsid w:val="00291999"/>
    <w:rsid w:val="002919EA"/>
    <w:rsid w:val="00291A21"/>
    <w:rsid w:val="00291A35"/>
    <w:rsid w:val="00291B0D"/>
    <w:rsid w:val="00291BE0"/>
    <w:rsid w:val="00291C66"/>
    <w:rsid w:val="00291CD2"/>
    <w:rsid w:val="00291D1E"/>
    <w:rsid w:val="00291DB0"/>
    <w:rsid w:val="00291DC1"/>
    <w:rsid w:val="00291E1D"/>
    <w:rsid w:val="00291EE1"/>
    <w:rsid w:val="00291F15"/>
    <w:rsid w:val="00291F80"/>
    <w:rsid w:val="00291F9C"/>
    <w:rsid w:val="00291FEA"/>
    <w:rsid w:val="00292048"/>
    <w:rsid w:val="0029209A"/>
    <w:rsid w:val="002920CC"/>
    <w:rsid w:val="002920DB"/>
    <w:rsid w:val="00292121"/>
    <w:rsid w:val="0029216A"/>
    <w:rsid w:val="0029223B"/>
    <w:rsid w:val="002922CB"/>
    <w:rsid w:val="00292300"/>
    <w:rsid w:val="00292376"/>
    <w:rsid w:val="0029245D"/>
    <w:rsid w:val="0029249C"/>
    <w:rsid w:val="002924F2"/>
    <w:rsid w:val="00292500"/>
    <w:rsid w:val="00292591"/>
    <w:rsid w:val="0029267F"/>
    <w:rsid w:val="0029271B"/>
    <w:rsid w:val="00292727"/>
    <w:rsid w:val="00292788"/>
    <w:rsid w:val="00292826"/>
    <w:rsid w:val="002928C8"/>
    <w:rsid w:val="002928FF"/>
    <w:rsid w:val="00292965"/>
    <w:rsid w:val="00292A12"/>
    <w:rsid w:val="00292A34"/>
    <w:rsid w:val="00292C79"/>
    <w:rsid w:val="00292D32"/>
    <w:rsid w:val="00292E59"/>
    <w:rsid w:val="00292F88"/>
    <w:rsid w:val="00293107"/>
    <w:rsid w:val="00293209"/>
    <w:rsid w:val="0029320C"/>
    <w:rsid w:val="0029327C"/>
    <w:rsid w:val="002933D6"/>
    <w:rsid w:val="00293439"/>
    <w:rsid w:val="002936DC"/>
    <w:rsid w:val="00293830"/>
    <w:rsid w:val="00293856"/>
    <w:rsid w:val="002938D3"/>
    <w:rsid w:val="00293912"/>
    <w:rsid w:val="002939B3"/>
    <w:rsid w:val="00293A03"/>
    <w:rsid w:val="00293A20"/>
    <w:rsid w:val="00293A9C"/>
    <w:rsid w:val="00293ADB"/>
    <w:rsid w:val="00293B1B"/>
    <w:rsid w:val="00293B93"/>
    <w:rsid w:val="00293BF2"/>
    <w:rsid w:val="00293C3F"/>
    <w:rsid w:val="00293CA3"/>
    <w:rsid w:val="00293CAA"/>
    <w:rsid w:val="00293CE1"/>
    <w:rsid w:val="00293CE9"/>
    <w:rsid w:val="00293D80"/>
    <w:rsid w:val="00293DD4"/>
    <w:rsid w:val="00293E55"/>
    <w:rsid w:val="00293EE2"/>
    <w:rsid w:val="00293F6A"/>
    <w:rsid w:val="00293FB9"/>
    <w:rsid w:val="00293FFD"/>
    <w:rsid w:val="002940D7"/>
    <w:rsid w:val="00294292"/>
    <w:rsid w:val="002942DC"/>
    <w:rsid w:val="002942E7"/>
    <w:rsid w:val="002943ED"/>
    <w:rsid w:val="0029444D"/>
    <w:rsid w:val="0029449E"/>
    <w:rsid w:val="002945AE"/>
    <w:rsid w:val="002945EA"/>
    <w:rsid w:val="0029466F"/>
    <w:rsid w:val="00294674"/>
    <w:rsid w:val="00294687"/>
    <w:rsid w:val="0029486A"/>
    <w:rsid w:val="0029488F"/>
    <w:rsid w:val="002948E0"/>
    <w:rsid w:val="0029492A"/>
    <w:rsid w:val="00294A17"/>
    <w:rsid w:val="00294B8F"/>
    <w:rsid w:val="00294BDC"/>
    <w:rsid w:val="00294C0F"/>
    <w:rsid w:val="00294C99"/>
    <w:rsid w:val="00294E16"/>
    <w:rsid w:val="00294E54"/>
    <w:rsid w:val="00294FF3"/>
    <w:rsid w:val="0029504D"/>
    <w:rsid w:val="00295186"/>
    <w:rsid w:val="002953AB"/>
    <w:rsid w:val="0029554A"/>
    <w:rsid w:val="002955DF"/>
    <w:rsid w:val="00295661"/>
    <w:rsid w:val="00295746"/>
    <w:rsid w:val="00295762"/>
    <w:rsid w:val="002957DE"/>
    <w:rsid w:val="002957F6"/>
    <w:rsid w:val="00295816"/>
    <w:rsid w:val="0029594F"/>
    <w:rsid w:val="00295973"/>
    <w:rsid w:val="002959D7"/>
    <w:rsid w:val="002959F1"/>
    <w:rsid w:val="00295A25"/>
    <w:rsid w:val="00295BDE"/>
    <w:rsid w:val="00295CB0"/>
    <w:rsid w:val="00295D4C"/>
    <w:rsid w:val="00295D78"/>
    <w:rsid w:val="00295D7D"/>
    <w:rsid w:val="00295DC6"/>
    <w:rsid w:val="00295F69"/>
    <w:rsid w:val="00295FBC"/>
    <w:rsid w:val="00295FD3"/>
    <w:rsid w:val="00295FF3"/>
    <w:rsid w:val="002960E3"/>
    <w:rsid w:val="0029619B"/>
    <w:rsid w:val="00296233"/>
    <w:rsid w:val="00296389"/>
    <w:rsid w:val="002963AD"/>
    <w:rsid w:val="002965F7"/>
    <w:rsid w:val="00296697"/>
    <w:rsid w:val="00296698"/>
    <w:rsid w:val="002966A1"/>
    <w:rsid w:val="002966B0"/>
    <w:rsid w:val="002966C5"/>
    <w:rsid w:val="002966D9"/>
    <w:rsid w:val="00296846"/>
    <w:rsid w:val="002968FF"/>
    <w:rsid w:val="00296991"/>
    <w:rsid w:val="002969B7"/>
    <w:rsid w:val="00296AE1"/>
    <w:rsid w:val="00296AFF"/>
    <w:rsid w:val="00296BEA"/>
    <w:rsid w:val="00296BF0"/>
    <w:rsid w:val="00296D18"/>
    <w:rsid w:val="00296D9D"/>
    <w:rsid w:val="00296DCA"/>
    <w:rsid w:val="00296DD8"/>
    <w:rsid w:val="00296DFA"/>
    <w:rsid w:val="00296F13"/>
    <w:rsid w:val="00296FDD"/>
    <w:rsid w:val="00296FE6"/>
    <w:rsid w:val="00297027"/>
    <w:rsid w:val="002970F4"/>
    <w:rsid w:val="00297196"/>
    <w:rsid w:val="00297209"/>
    <w:rsid w:val="00297245"/>
    <w:rsid w:val="00297256"/>
    <w:rsid w:val="002972B0"/>
    <w:rsid w:val="00297316"/>
    <w:rsid w:val="0029753F"/>
    <w:rsid w:val="00297657"/>
    <w:rsid w:val="002976F1"/>
    <w:rsid w:val="0029784E"/>
    <w:rsid w:val="00297856"/>
    <w:rsid w:val="0029786B"/>
    <w:rsid w:val="00297A7F"/>
    <w:rsid w:val="00297ABE"/>
    <w:rsid w:val="00297C06"/>
    <w:rsid w:val="00297CEB"/>
    <w:rsid w:val="00297D32"/>
    <w:rsid w:val="00297D3B"/>
    <w:rsid w:val="00297D41"/>
    <w:rsid w:val="00297DEB"/>
    <w:rsid w:val="00297DF0"/>
    <w:rsid w:val="00297EC7"/>
    <w:rsid w:val="00297ECF"/>
    <w:rsid w:val="00297F0C"/>
    <w:rsid w:val="00297F82"/>
    <w:rsid w:val="00297F97"/>
    <w:rsid w:val="00297FEA"/>
    <w:rsid w:val="002A0104"/>
    <w:rsid w:val="002A0129"/>
    <w:rsid w:val="002A0177"/>
    <w:rsid w:val="002A01C3"/>
    <w:rsid w:val="002A021E"/>
    <w:rsid w:val="002A02C3"/>
    <w:rsid w:val="002A02ED"/>
    <w:rsid w:val="002A0329"/>
    <w:rsid w:val="002A034B"/>
    <w:rsid w:val="002A03B4"/>
    <w:rsid w:val="002A0401"/>
    <w:rsid w:val="002A04B9"/>
    <w:rsid w:val="002A04E3"/>
    <w:rsid w:val="002A04E7"/>
    <w:rsid w:val="002A0516"/>
    <w:rsid w:val="002A06B7"/>
    <w:rsid w:val="002A06D2"/>
    <w:rsid w:val="002A06DB"/>
    <w:rsid w:val="002A06EB"/>
    <w:rsid w:val="002A06F0"/>
    <w:rsid w:val="002A06F1"/>
    <w:rsid w:val="002A07AB"/>
    <w:rsid w:val="002A07C6"/>
    <w:rsid w:val="002A07F7"/>
    <w:rsid w:val="002A0971"/>
    <w:rsid w:val="002A09FD"/>
    <w:rsid w:val="002A09FE"/>
    <w:rsid w:val="002A0A3C"/>
    <w:rsid w:val="002A0A74"/>
    <w:rsid w:val="002A0A88"/>
    <w:rsid w:val="002A0B82"/>
    <w:rsid w:val="002A0CE2"/>
    <w:rsid w:val="002A0CF1"/>
    <w:rsid w:val="002A0E1E"/>
    <w:rsid w:val="002A0E2D"/>
    <w:rsid w:val="002A0EB6"/>
    <w:rsid w:val="002A0EE5"/>
    <w:rsid w:val="002A0F7F"/>
    <w:rsid w:val="002A0FCC"/>
    <w:rsid w:val="002A103C"/>
    <w:rsid w:val="002A10EA"/>
    <w:rsid w:val="002A10F8"/>
    <w:rsid w:val="002A1143"/>
    <w:rsid w:val="002A11BF"/>
    <w:rsid w:val="002A12A3"/>
    <w:rsid w:val="002A1313"/>
    <w:rsid w:val="002A131E"/>
    <w:rsid w:val="002A1347"/>
    <w:rsid w:val="002A134D"/>
    <w:rsid w:val="002A1387"/>
    <w:rsid w:val="002A1399"/>
    <w:rsid w:val="002A13AE"/>
    <w:rsid w:val="002A1455"/>
    <w:rsid w:val="002A14B6"/>
    <w:rsid w:val="002A171A"/>
    <w:rsid w:val="002A1793"/>
    <w:rsid w:val="002A1804"/>
    <w:rsid w:val="002A189B"/>
    <w:rsid w:val="002A18CD"/>
    <w:rsid w:val="002A19F6"/>
    <w:rsid w:val="002A1A18"/>
    <w:rsid w:val="002A1B59"/>
    <w:rsid w:val="002A1C7D"/>
    <w:rsid w:val="002A1C84"/>
    <w:rsid w:val="002A1C9C"/>
    <w:rsid w:val="002A1DA5"/>
    <w:rsid w:val="002A1E0E"/>
    <w:rsid w:val="002A1E4F"/>
    <w:rsid w:val="002A1F41"/>
    <w:rsid w:val="002A1F8F"/>
    <w:rsid w:val="002A1FAD"/>
    <w:rsid w:val="002A1FC4"/>
    <w:rsid w:val="002A2015"/>
    <w:rsid w:val="002A222A"/>
    <w:rsid w:val="002A232A"/>
    <w:rsid w:val="002A2394"/>
    <w:rsid w:val="002A23EA"/>
    <w:rsid w:val="002A24EE"/>
    <w:rsid w:val="002A2534"/>
    <w:rsid w:val="002A25A9"/>
    <w:rsid w:val="002A2775"/>
    <w:rsid w:val="002A299E"/>
    <w:rsid w:val="002A29A2"/>
    <w:rsid w:val="002A2A22"/>
    <w:rsid w:val="002A2B1A"/>
    <w:rsid w:val="002A2BE1"/>
    <w:rsid w:val="002A2BF4"/>
    <w:rsid w:val="002A2CF7"/>
    <w:rsid w:val="002A2D3A"/>
    <w:rsid w:val="002A2D53"/>
    <w:rsid w:val="002A2D5E"/>
    <w:rsid w:val="002A2D80"/>
    <w:rsid w:val="002A2E05"/>
    <w:rsid w:val="002A2F7D"/>
    <w:rsid w:val="002A31BC"/>
    <w:rsid w:val="002A31E1"/>
    <w:rsid w:val="002A32B1"/>
    <w:rsid w:val="002A32C8"/>
    <w:rsid w:val="002A32E3"/>
    <w:rsid w:val="002A3315"/>
    <w:rsid w:val="002A33DA"/>
    <w:rsid w:val="002A33F9"/>
    <w:rsid w:val="002A3470"/>
    <w:rsid w:val="002A34F4"/>
    <w:rsid w:val="002A350C"/>
    <w:rsid w:val="002A36C1"/>
    <w:rsid w:val="002A3747"/>
    <w:rsid w:val="002A374F"/>
    <w:rsid w:val="002A3840"/>
    <w:rsid w:val="002A389B"/>
    <w:rsid w:val="002A39D8"/>
    <w:rsid w:val="002A3A03"/>
    <w:rsid w:val="002A3B3E"/>
    <w:rsid w:val="002A3B42"/>
    <w:rsid w:val="002A3BCC"/>
    <w:rsid w:val="002A3C30"/>
    <w:rsid w:val="002A3CAD"/>
    <w:rsid w:val="002A3D52"/>
    <w:rsid w:val="002A3E47"/>
    <w:rsid w:val="002A3EA5"/>
    <w:rsid w:val="002A3ED0"/>
    <w:rsid w:val="002A3F05"/>
    <w:rsid w:val="002A3FB5"/>
    <w:rsid w:val="002A4031"/>
    <w:rsid w:val="002A40AD"/>
    <w:rsid w:val="002A40F0"/>
    <w:rsid w:val="002A4234"/>
    <w:rsid w:val="002A423C"/>
    <w:rsid w:val="002A42CE"/>
    <w:rsid w:val="002A431E"/>
    <w:rsid w:val="002A4417"/>
    <w:rsid w:val="002A442B"/>
    <w:rsid w:val="002A4476"/>
    <w:rsid w:val="002A449B"/>
    <w:rsid w:val="002A44A3"/>
    <w:rsid w:val="002A44AB"/>
    <w:rsid w:val="002A469E"/>
    <w:rsid w:val="002A471B"/>
    <w:rsid w:val="002A4783"/>
    <w:rsid w:val="002A480C"/>
    <w:rsid w:val="002A48E5"/>
    <w:rsid w:val="002A4946"/>
    <w:rsid w:val="002A49D6"/>
    <w:rsid w:val="002A4A41"/>
    <w:rsid w:val="002A4AE9"/>
    <w:rsid w:val="002A4D1F"/>
    <w:rsid w:val="002A4DD9"/>
    <w:rsid w:val="002A4E78"/>
    <w:rsid w:val="002A4F54"/>
    <w:rsid w:val="002A4F59"/>
    <w:rsid w:val="002A4FD6"/>
    <w:rsid w:val="002A502E"/>
    <w:rsid w:val="002A5070"/>
    <w:rsid w:val="002A5090"/>
    <w:rsid w:val="002A50A4"/>
    <w:rsid w:val="002A50C5"/>
    <w:rsid w:val="002A51F7"/>
    <w:rsid w:val="002A534C"/>
    <w:rsid w:val="002A5497"/>
    <w:rsid w:val="002A54AA"/>
    <w:rsid w:val="002A5578"/>
    <w:rsid w:val="002A56C1"/>
    <w:rsid w:val="002A578F"/>
    <w:rsid w:val="002A5883"/>
    <w:rsid w:val="002A5919"/>
    <w:rsid w:val="002A5A40"/>
    <w:rsid w:val="002A5AD0"/>
    <w:rsid w:val="002A5B02"/>
    <w:rsid w:val="002A5B78"/>
    <w:rsid w:val="002A5C20"/>
    <w:rsid w:val="002A5D15"/>
    <w:rsid w:val="002A5D2D"/>
    <w:rsid w:val="002A5DC1"/>
    <w:rsid w:val="002A5EA5"/>
    <w:rsid w:val="002A5EC1"/>
    <w:rsid w:val="002A5EDD"/>
    <w:rsid w:val="002A5FB9"/>
    <w:rsid w:val="002A6032"/>
    <w:rsid w:val="002A611C"/>
    <w:rsid w:val="002A6150"/>
    <w:rsid w:val="002A61AD"/>
    <w:rsid w:val="002A6294"/>
    <w:rsid w:val="002A62ED"/>
    <w:rsid w:val="002A635F"/>
    <w:rsid w:val="002A639F"/>
    <w:rsid w:val="002A63AD"/>
    <w:rsid w:val="002A63AE"/>
    <w:rsid w:val="002A6412"/>
    <w:rsid w:val="002A64D1"/>
    <w:rsid w:val="002A662A"/>
    <w:rsid w:val="002A6794"/>
    <w:rsid w:val="002A67A4"/>
    <w:rsid w:val="002A67B1"/>
    <w:rsid w:val="002A67D7"/>
    <w:rsid w:val="002A6888"/>
    <w:rsid w:val="002A68B3"/>
    <w:rsid w:val="002A68DC"/>
    <w:rsid w:val="002A68E5"/>
    <w:rsid w:val="002A690A"/>
    <w:rsid w:val="002A69D0"/>
    <w:rsid w:val="002A6B31"/>
    <w:rsid w:val="002A6BC0"/>
    <w:rsid w:val="002A6C20"/>
    <w:rsid w:val="002A6C7A"/>
    <w:rsid w:val="002A6DD0"/>
    <w:rsid w:val="002A6DE9"/>
    <w:rsid w:val="002A6E9D"/>
    <w:rsid w:val="002A6F32"/>
    <w:rsid w:val="002A6F9C"/>
    <w:rsid w:val="002A6FC1"/>
    <w:rsid w:val="002A704D"/>
    <w:rsid w:val="002A705C"/>
    <w:rsid w:val="002A7080"/>
    <w:rsid w:val="002A73EF"/>
    <w:rsid w:val="002A7412"/>
    <w:rsid w:val="002A7451"/>
    <w:rsid w:val="002A74CE"/>
    <w:rsid w:val="002A74F7"/>
    <w:rsid w:val="002A7501"/>
    <w:rsid w:val="002A757E"/>
    <w:rsid w:val="002A7608"/>
    <w:rsid w:val="002A7609"/>
    <w:rsid w:val="002A7635"/>
    <w:rsid w:val="002A76CD"/>
    <w:rsid w:val="002A7799"/>
    <w:rsid w:val="002A78D4"/>
    <w:rsid w:val="002A7926"/>
    <w:rsid w:val="002A7B54"/>
    <w:rsid w:val="002A7B6D"/>
    <w:rsid w:val="002A7B97"/>
    <w:rsid w:val="002A7C10"/>
    <w:rsid w:val="002A7C3C"/>
    <w:rsid w:val="002A7CC0"/>
    <w:rsid w:val="002A7D99"/>
    <w:rsid w:val="002A7E74"/>
    <w:rsid w:val="002A7E9A"/>
    <w:rsid w:val="002B0099"/>
    <w:rsid w:val="002B00EB"/>
    <w:rsid w:val="002B00FB"/>
    <w:rsid w:val="002B0137"/>
    <w:rsid w:val="002B0175"/>
    <w:rsid w:val="002B019A"/>
    <w:rsid w:val="002B01BC"/>
    <w:rsid w:val="002B0232"/>
    <w:rsid w:val="002B0255"/>
    <w:rsid w:val="002B035B"/>
    <w:rsid w:val="002B050D"/>
    <w:rsid w:val="002B05E2"/>
    <w:rsid w:val="002B068F"/>
    <w:rsid w:val="002B0893"/>
    <w:rsid w:val="002B08BB"/>
    <w:rsid w:val="002B08DF"/>
    <w:rsid w:val="002B08FF"/>
    <w:rsid w:val="002B0A77"/>
    <w:rsid w:val="002B0A86"/>
    <w:rsid w:val="002B0B0C"/>
    <w:rsid w:val="002B0B91"/>
    <w:rsid w:val="002B0BF9"/>
    <w:rsid w:val="002B0C1E"/>
    <w:rsid w:val="002B0CB1"/>
    <w:rsid w:val="002B0CF9"/>
    <w:rsid w:val="002B0D04"/>
    <w:rsid w:val="002B0EF8"/>
    <w:rsid w:val="002B0F2B"/>
    <w:rsid w:val="002B1041"/>
    <w:rsid w:val="002B10A9"/>
    <w:rsid w:val="002B10EA"/>
    <w:rsid w:val="002B1150"/>
    <w:rsid w:val="002B11D4"/>
    <w:rsid w:val="002B1214"/>
    <w:rsid w:val="002B1273"/>
    <w:rsid w:val="002B1321"/>
    <w:rsid w:val="002B1378"/>
    <w:rsid w:val="002B13F5"/>
    <w:rsid w:val="002B1448"/>
    <w:rsid w:val="002B14A9"/>
    <w:rsid w:val="002B14DC"/>
    <w:rsid w:val="002B15E9"/>
    <w:rsid w:val="002B1640"/>
    <w:rsid w:val="002B1663"/>
    <w:rsid w:val="002B1688"/>
    <w:rsid w:val="002B1713"/>
    <w:rsid w:val="002B17F2"/>
    <w:rsid w:val="002B180A"/>
    <w:rsid w:val="002B189B"/>
    <w:rsid w:val="002B18DE"/>
    <w:rsid w:val="002B18F9"/>
    <w:rsid w:val="002B19DD"/>
    <w:rsid w:val="002B1A02"/>
    <w:rsid w:val="002B1AB3"/>
    <w:rsid w:val="002B1ABB"/>
    <w:rsid w:val="002B1AEF"/>
    <w:rsid w:val="002B1B4F"/>
    <w:rsid w:val="002B1B99"/>
    <w:rsid w:val="002B1BB1"/>
    <w:rsid w:val="002B1CDD"/>
    <w:rsid w:val="002B1CEF"/>
    <w:rsid w:val="002B1D43"/>
    <w:rsid w:val="002B1D62"/>
    <w:rsid w:val="002B1F33"/>
    <w:rsid w:val="002B1F59"/>
    <w:rsid w:val="002B1F6D"/>
    <w:rsid w:val="002B1FB9"/>
    <w:rsid w:val="002B2012"/>
    <w:rsid w:val="002B203B"/>
    <w:rsid w:val="002B20E1"/>
    <w:rsid w:val="002B20E7"/>
    <w:rsid w:val="002B2119"/>
    <w:rsid w:val="002B2149"/>
    <w:rsid w:val="002B214B"/>
    <w:rsid w:val="002B2242"/>
    <w:rsid w:val="002B2254"/>
    <w:rsid w:val="002B23AF"/>
    <w:rsid w:val="002B23C8"/>
    <w:rsid w:val="002B24B4"/>
    <w:rsid w:val="002B24F3"/>
    <w:rsid w:val="002B24F6"/>
    <w:rsid w:val="002B26D3"/>
    <w:rsid w:val="002B26E6"/>
    <w:rsid w:val="002B2729"/>
    <w:rsid w:val="002B28A5"/>
    <w:rsid w:val="002B2906"/>
    <w:rsid w:val="002B291C"/>
    <w:rsid w:val="002B2981"/>
    <w:rsid w:val="002B2990"/>
    <w:rsid w:val="002B2AEF"/>
    <w:rsid w:val="002B2B84"/>
    <w:rsid w:val="002B2BDF"/>
    <w:rsid w:val="002B2C54"/>
    <w:rsid w:val="002B2C7D"/>
    <w:rsid w:val="002B2C85"/>
    <w:rsid w:val="002B2E1B"/>
    <w:rsid w:val="002B2E6A"/>
    <w:rsid w:val="002B2EF5"/>
    <w:rsid w:val="002B2F07"/>
    <w:rsid w:val="002B2F66"/>
    <w:rsid w:val="002B3073"/>
    <w:rsid w:val="002B3077"/>
    <w:rsid w:val="002B3082"/>
    <w:rsid w:val="002B30BB"/>
    <w:rsid w:val="002B30CD"/>
    <w:rsid w:val="002B311F"/>
    <w:rsid w:val="002B317B"/>
    <w:rsid w:val="002B319A"/>
    <w:rsid w:val="002B31A5"/>
    <w:rsid w:val="002B3269"/>
    <w:rsid w:val="002B349E"/>
    <w:rsid w:val="002B34EA"/>
    <w:rsid w:val="002B34FE"/>
    <w:rsid w:val="002B357B"/>
    <w:rsid w:val="002B3602"/>
    <w:rsid w:val="002B3644"/>
    <w:rsid w:val="002B36FA"/>
    <w:rsid w:val="002B3722"/>
    <w:rsid w:val="002B37B5"/>
    <w:rsid w:val="002B37DE"/>
    <w:rsid w:val="002B38D3"/>
    <w:rsid w:val="002B38DC"/>
    <w:rsid w:val="002B38F9"/>
    <w:rsid w:val="002B3965"/>
    <w:rsid w:val="002B39FE"/>
    <w:rsid w:val="002B3A2B"/>
    <w:rsid w:val="002B3A5D"/>
    <w:rsid w:val="002B3AE0"/>
    <w:rsid w:val="002B3B06"/>
    <w:rsid w:val="002B3B23"/>
    <w:rsid w:val="002B3B3B"/>
    <w:rsid w:val="002B3D15"/>
    <w:rsid w:val="002B3DC6"/>
    <w:rsid w:val="002B3DCC"/>
    <w:rsid w:val="002B3FCE"/>
    <w:rsid w:val="002B40CC"/>
    <w:rsid w:val="002B414B"/>
    <w:rsid w:val="002B4154"/>
    <w:rsid w:val="002B438B"/>
    <w:rsid w:val="002B44F9"/>
    <w:rsid w:val="002B45F5"/>
    <w:rsid w:val="002B46CB"/>
    <w:rsid w:val="002B46D0"/>
    <w:rsid w:val="002B47E0"/>
    <w:rsid w:val="002B47F1"/>
    <w:rsid w:val="002B47FF"/>
    <w:rsid w:val="002B487E"/>
    <w:rsid w:val="002B48DC"/>
    <w:rsid w:val="002B49FC"/>
    <w:rsid w:val="002B4B9E"/>
    <w:rsid w:val="002B4CDF"/>
    <w:rsid w:val="002B4DE6"/>
    <w:rsid w:val="002B4E65"/>
    <w:rsid w:val="002B4ED0"/>
    <w:rsid w:val="002B4F73"/>
    <w:rsid w:val="002B4FEA"/>
    <w:rsid w:val="002B502C"/>
    <w:rsid w:val="002B505D"/>
    <w:rsid w:val="002B50DB"/>
    <w:rsid w:val="002B50E2"/>
    <w:rsid w:val="002B5130"/>
    <w:rsid w:val="002B51AF"/>
    <w:rsid w:val="002B5272"/>
    <w:rsid w:val="002B5294"/>
    <w:rsid w:val="002B537A"/>
    <w:rsid w:val="002B5381"/>
    <w:rsid w:val="002B5414"/>
    <w:rsid w:val="002B544B"/>
    <w:rsid w:val="002B5533"/>
    <w:rsid w:val="002B5538"/>
    <w:rsid w:val="002B554D"/>
    <w:rsid w:val="002B55CE"/>
    <w:rsid w:val="002B5782"/>
    <w:rsid w:val="002B57C6"/>
    <w:rsid w:val="002B57CF"/>
    <w:rsid w:val="002B5822"/>
    <w:rsid w:val="002B587A"/>
    <w:rsid w:val="002B59A0"/>
    <w:rsid w:val="002B59CF"/>
    <w:rsid w:val="002B59F1"/>
    <w:rsid w:val="002B5A95"/>
    <w:rsid w:val="002B5B16"/>
    <w:rsid w:val="002B5B63"/>
    <w:rsid w:val="002B5C56"/>
    <w:rsid w:val="002B5C68"/>
    <w:rsid w:val="002B5C94"/>
    <w:rsid w:val="002B5CD3"/>
    <w:rsid w:val="002B5D31"/>
    <w:rsid w:val="002B5E0A"/>
    <w:rsid w:val="002B5EED"/>
    <w:rsid w:val="002B5F29"/>
    <w:rsid w:val="002B5FC2"/>
    <w:rsid w:val="002B6014"/>
    <w:rsid w:val="002B6046"/>
    <w:rsid w:val="002B6095"/>
    <w:rsid w:val="002B613D"/>
    <w:rsid w:val="002B615D"/>
    <w:rsid w:val="002B61E8"/>
    <w:rsid w:val="002B6249"/>
    <w:rsid w:val="002B6343"/>
    <w:rsid w:val="002B6346"/>
    <w:rsid w:val="002B63B4"/>
    <w:rsid w:val="002B63B5"/>
    <w:rsid w:val="002B63BB"/>
    <w:rsid w:val="002B63F1"/>
    <w:rsid w:val="002B640C"/>
    <w:rsid w:val="002B643C"/>
    <w:rsid w:val="002B6493"/>
    <w:rsid w:val="002B663D"/>
    <w:rsid w:val="002B666E"/>
    <w:rsid w:val="002B6827"/>
    <w:rsid w:val="002B6959"/>
    <w:rsid w:val="002B69BB"/>
    <w:rsid w:val="002B6A57"/>
    <w:rsid w:val="002B6A66"/>
    <w:rsid w:val="002B6B4A"/>
    <w:rsid w:val="002B6D06"/>
    <w:rsid w:val="002B6DDD"/>
    <w:rsid w:val="002B6EB9"/>
    <w:rsid w:val="002B6EDF"/>
    <w:rsid w:val="002B6FD5"/>
    <w:rsid w:val="002B704A"/>
    <w:rsid w:val="002B7199"/>
    <w:rsid w:val="002B733C"/>
    <w:rsid w:val="002B7565"/>
    <w:rsid w:val="002B75EA"/>
    <w:rsid w:val="002B7685"/>
    <w:rsid w:val="002B76BA"/>
    <w:rsid w:val="002B76C5"/>
    <w:rsid w:val="002B76E4"/>
    <w:rsid w:val="002B77A7"/>
    <w:rsid w:val="002B77BB"/>
    <w:rsid w:val="002B78B2"/>
    <w:rsid w:val="002B793D"/>
    <w:rsid w:val="002B794B"/>
    <w:rsid w:val="002B7A6E"/>
    <w:rsid w:val="002B7B9C"/>
    <w:rsid w:val="002B7C20"/>
    <w:rsid w:val="002B7C3E"/>
    <w:rsid w:val="002B7C9C"/>
    <w:rsid w:val="002B7CD9"/>
    <w:rsid w:val="002B7E83"/>
    <w:rsid w:val="002B7E94"/>
    <w:rsid w:val="002B7FD4"/>
    <w:rsid w:val="002BBDD2"/>
    <w:rsid w:val="002C0000"/>
    <w:rsid w:val="002C000A"/>
    <w:rsid w:val="002C00AB"/>
    <w:rsid w:val="002C0105"/>
    <w:rsid w:val="002C0108"/>
    <w:rsid w:val="002C011B"/>
    <w:rsid w:val="002C016A"/>
    <w:rsid w:val="002C01C6"/>
    <w:rsid w:val="002C0200"/>
    <w:rsid w:val="002C027A"/>
    <w:rsid w:val="002C03EF"/>
    <w:rsid w:val="002C0540"/>
    <w:rsid w:val="002C069B"/>
    <w:rsid w:val="002C06D3"/>
    <w:rsid w:val="002C0785"/>
    <w:rsid w:val="002C0906"/>
    <w:rsid w:val="002C0942"/>
    <w:rsid w:val="002C0A76"/>
    <w:rsid w:val="002C0A7F"/>
    <w:rsid w:val="002C0B22"/>
    <w:rsid w:val="002C0BAF"/>
    <w:rsid w:val="002C0C0D"/>
    <w:rsid w:val="002C0C42"/>
    <w:rsid w:val="002C0CF9"/>
    <w:rsid w:val="002C0D2C"/>
    <w:rsid w:val="002C0D38"/>
    <w:rsid w:val="002C0D58"/>
    <w:rsid w:val="002C0D9A"/>
    <w:rsid w:val="002C0DA9"/>
    <w:rsid w:val="002C0E93"/>
    <w:rsid w:val="002C0ECD"/>
    <w:rsid w:val="002C0F26"/>
    <w:rsid w:val="002C0FCB"/>
    <w:rsid w:val="002C0FFA"/>
    <w:rsid w:val="002C1035"/>
    <w:rsid w:val="002C1079"/>
    <w:rsid w:val="002C109E"/>
    <w:rsid w:val="002C10E1"/>
    <w:rsid w:val="002C117C"/>
    <w:rsid w:val="002C11C2"/>
    <w:rsid w:val="002C1242"/>
    <w:rsid w:val="002C1379"/>
    <w:rsid w:val="002C140A"/>
    <w:rsid w:val="002C150A"/>
    <w:rsid w:val="002C156C"/>
    <w:rsid w:val="002C1577"/>
    <w:rsid w:val="002C15BF"/>
    <w:rsid w:val="002C1661"/>
    <w:rsid w:val="002C166A"/>
    <w:rsid w:val="002C1671"/>
    <w:rsid w:val="002C1758"/>
    <w:rsid w:val="002C1967"/>
    <w:rsid w:val="002C196C"/>
    <w:rsid w:val="002C19E0"/>
    <w:rsid w:val="002C1A8F"/>
    <w:rsid w:val="002C1AD0"/>
    <w:rsid w:val="002C1B59"/>
    <w:rsid w:val="002C1D10"/>
    <w:rsid w:val="002C1DA9"/>
    <w:rsid w:val="002C1EF0"/>
    <w:rsid w:val="002C1F1C"/>
    <w:rsid w:val="002C1F44"/>
    <w:rsid w:val="002C1F4C"/>
    <w:rsid w:val="002C1FE2"/>
    <w:rsid w:val="002C2007"/>
    <w:rsid w:val="002C2041"/>
    <w:rsid w:val="002C207B"/>
    <w:rsid w:val="002C209B"/>
    <w:rsid w:val="002C213F"/>
    <w:rsid w:val="002C2194"/>
    <w:rsid w:val="002C25A0"/>
    <w:rsid w:val="002C268C"/>
    <w:rsid w:val="002C26E1"/>
    <w:rsid w:val="002C2776"/>
    <w:rsid w:val="002C27CA"/>
    <w:rsid w:val="002C2800"/>
    <w:rsid w:val="002C284E"/>
    <w:rsid w:val="002C2866"/>
    <w:rsid w:val="002C2869"/>
    <w:rsid w:val="002C28ED"/>
    <w:rsid w:val="002C2952"/>
    <w:rsid w:val="002C2958"/>
    <w:rsid w:val="002C2976"/>
    <w:rsid w:val="002C29BF"/>
    <w:rsid w:val="002C2A19"/>
    <w:rsid w:val="002C2A77"/>
    <w:rsid w:val="002C2B29"/>
    <w:rsid w:val="002C2BA6"/>
    <w:rsid w:val="002C2BAA"/>
    <w:rsid w:val="002C2BDB"/>
    <w:rsid w:val="002C2BE8"/>
    <w:rsid w:val="002C2C4A"/>
    <w:rsid w:val="002C2D72"/>
    <w:rsid w:val="002C2D95"/>
    <w:rsid w:val="002C2DD4"/>
    <w:rsid w:val="002C2E4B"/>
    <w:rsid w:val="002C2E8F"/>
    <w:rsid w:val="002C2EFA"/>
    <w:rsid w:val="002C2F57"/>
    <w:rsid w:val="002C2FF5"/>
    <w:rsid w:val="002C304D"/>
    <w:rsid w:val="002C310E"/>
    <w:rsid w:val="002C317F"/>
    <w:rsid w:val="002C3234"/>
    <w:rsid w:val="002C3360"/>
    <w:rsid w:val="002C353D"/>
    <w:rsid w:val="002C375A"/>
    <w:rsid w:val="002C37CB"/>
    <w:rsid w:val="002C37EE"/>
    <w:rsid w:val="002C3880"/>
    <w:rsid w:val="002C39A3"/>
    <w:rsid w:val="002C39BF"/>
    <w:rsid w:val="002C3A21"/>
    <w:rsid w:val="002C3B1E"/>
    <w:rsid w:val="002C3B37"/>
    <w:rsid w:val="002C3B8E"/>
    <w:rsid w:val="002C3BAF"/>
    <w:rsid w:val="002C3CCD"/>
    <w:rsid w:val="002C3D69"/>
    <w:rsid w:val="002C3D8E"/>
    <w:rsid w:val="002C3E02"/>
    <w:rsid w:val="002C4045"/>
    <w:rsid w:val="002C40EF"/>
    <w:rsid w:val="002C418F"/>
    <w:rsid w:val="002C41B0"/>
    <w:rsid w:val="002C41DC"/>
    <w:rsid w:val="002C43AC"/>
    <w:rsid w:val="002C4407"/>
    <w:rsid w:val="002C4416"/>
    <w:rsid w:val="002C459B"/>
    <w:rsid w:val="002C45DA"/>
    <w:rsid w:val="002C4634"/>
    <w:rsid w:val="002C4670"/>
    <w:rsid w:val="002C4672"/>
    <w:rsid w:val="002C4781"/>
    <w:rsid w:val="002C4814"/>
    <w:rsid w:val="002C488F"/>
    <w:rsid w:val="002C4A1B"/>
    <w:rsid w:val="002C4B26"/>
    <w:rsid w:val="002C4B8B"/>
    <w:rsid w:val="002C4BB1"/>
    <w:rsid w:val="002C4D20"/>
    <w:rsid w:val="002C4D92"/>
    <w:rsid w:val="002C4DA8"/>
    <w:rsid w:val="002C4F8B"/>
    <w:rsid w:val="002C5048"/>
    <w:rsid w:val="002C50E8"/>
    <w:rsid w:val="002C50F2"/>
    <w:rsid w:val="002C5254"/>
    <w:rsid w:val="002C52B3"/>
    <w:rsid w:val="002C52D9"/>
    <w:rsid w:val="002C52DA"/>
    <w:rsid w:val="002C53EE"/>
    <w:rsid w:val="002C5426"/>
    <w:rsid w:val="002C5452"/>
    <w:rsid w:val="002C5453"/>
    <w:rsid w:val="002C55D6"/>
    <w:rsid w:val="002C5642"/>
    <w:rsid w:val="002C56BB"/>
    <w:rsid w:val="002C5710"/>
    <w:rsid w:val="002C577C"/>
    <w:rsid w:val="002C592E"/>
    <w:rsid w:val="002C5935"/>
    <w:rsid w:val="002C5AA3"/>
    <w:rsid w:val="002C5B09"/>
    <w:rsid w:val="002C5B44"/>
    <w:rsid w:val="002C5CE9"/>
    <w:rsid w:val="002C5D5F"/>
    <w:rsid w:val="002C5DFB"/>
    <w:rsid w:val="002C5E2F"/>
    <w:rsid w:val="002C5E94"/>
    <w:rsid w:val="002C5EDB"/>
    <w:rsid w:val="002C5F1B"/>
    <w:rsid w:val="002C5FAE"/>
    <w:rsid w:val="002C6036"/>
    <w:rsid w:val="002C6125"/>
    <w:rsid w:val="002C6209"/>
    <w:rsid w:val="002C62FF"/>
    <w:rsid w:val="002C6326"/>
    <w:rsid w:val="002C6465"/>
    <w:rsid w:val="002C64B0"/>
    <w:rsid w:val="002C650F"/>
    <w:rsid w:val="002C653B"/>
    <w:rsid w:val="002C6579"/>
    <w:rsid w:val="002C657F"/>
    <w:rsid w:val="002C65A4"/>
    <w:rsid w:val="002C65CF"/>
    <w:rsid w:val="002C65EF"/>
    <w:rsid w:val="002C665B"/>
    <w:rsid w:val="002C66B3"/>
    <w:rsid w:val="002C66B5"/>
    <w:rsid w:val="002C66E3"/>
    <w:rsid w:val="002C673F"/>
    <w:rsid w:val="002C68DA"/>
    <w:rsid w:val="002C69C3"/>
    <w:rsid w:val="002C69D6"/>
    <w:rsid w:val="002C6AAB"/>
    <w:rsid w:val="002C6AFB"/>
    <w:rsid w:val="002C6CA6"/>
    <w:rsid w:val="002C6CB1"/>
    <w:rsid w:val="002C6CCD"/>
    <w:rsid w:val="002C6CE6"/>
    <w:rsid w:val="002C6CFC"/>
    <w:rsid w:val="002C6DCA"/>
    <w:rsid w:val="002C6E37"/>
    <w:rsid w:val="002C6EF7"/>
    <w:rsid w:val="002C6FE1"/>
    <w:rsid w:val="002C7124"/>
    <w:rsid w:val="002C719B"/>
    <w:rsid w:val="002C71C9"/>
    <w:rsid w:val="002C72C1"/>
    <w:rsid w:val="002C72EA"/>
    <w:rsid w:val="002C735F"/>
    <w:rsid w:val="002C73D5"/>
    <w:rsid w:val="002C744C"/>
    <w:rsid w:val="002C7464"/>
    <w:rsid w:val="002C74A7"/>
    <w:rsid w:val="002C74C3"/>
    <w:rsid w:val="002C74CA"/>
    <w:rsid w:val="002C7586"/>
    <w:rsid w:val="002C7617"/>
    <w:rsid w:val="002C784F"/>
    <w:rsid w:val="002C7908"/>
    <w:rsid w:val="002C79CF"/>
    <w:rsid w:val="002C79DB"/>
    <w:rsid w:val="002C7A19"/>
    <w:rsid w:val="002C7A38"/>
    <w:rsid w:val="002C7B45"/>
    <w:rsid w:val="002C7BE3"/>
    <w:rsid w:val="002C7D64"/>
    <w:rsid w:val="002C7E37"/>
    <w:rsid w:val="002C7F0A"/>
    <w:rsid w:val="002C7F38"/>
    <w:rsid w:val="002D003F"/>
    <w:rsid w:val="002D01D1"/>
    <w:rsid w:val="002D0294"/>
    <w:rsid w:val="002D02A8"/>
    <w:rsid w:val="002D0350"/>
    <w:rsid w:val="002D0389"/>
    <w:rsid w:val="002D0412"/>
    <w:rsid w:val="002D04E0"/>
    <w:rsid w:val="002D0728"/>
    <w:rsid w:val="002D083B"/>
    <w:rsid w:val="002D0879"/>
    <w:rsid w:val="002D08C0"/>
    <w:rsid w:val="002D0957"/>
    <w:rsid w:val="002D0966"/>
    <w:rsid w:val="002D0975"/>
    <w:rsid w:val="002D0A22"/>
    <w:rsid w:val="002D0A58"/>
    <w:rsid w:val="002D0A5A"/>
    <w:rsid w:val="002D0B1A"/>
    <w:rsid w:val="002D0BBC"/>
    <w:rsid w:val="002D0C69"/>
    <w:rsid w:val="002D0D33"/>
    <w:rsid w:val="002D0D44"/>
    <w:rsid w:val="002D0EA6"/>
    <w:rsid w:val="002D0FBC"/>
    <w:rsid w:val="002D100C"/>
    <w:rsid w:val="002D1036"/>
    <w:rsid w:val="002D1096"/>
    <w:rsid w:val="002D12C1"/>
    <w:rsid w:val="002D1341"/>
    <w:rsid w:val="002D1389"/>
    <w:rsid w:val="002D13C2"/>
    <w:rsid w:val="002D1410"/>
    <w:rsid w:val="002D1442"/>
    <w:rsid w:val="002D146E"/>
    <w:rsid w:val="002D157C"/>
    <w:rsid w:val="002D170C"/>
    <w:rsid w:val="002D173D"/>
    <w:rsid w:val="002D1772"/>
    <w:rsid w:val="002D187E"/>
    <w:rsid w:val="002D18A7"/>
    <w:rsid w:val="002D18BA"/>
    <w:rsid w:val="002D194E"/>
    <w:rsid w:val="002D19C1"/>
    <w:rsid w:val="002D1A5F"/>
    <w:rsid w:val="002D1B1E"/>
    <w:rsid w:val="002D1C2E"/>
    <w:rsid w:val="002D1CF5"/>
    <w:rsid w:val="002D1F6D"/>
    <w:rsid w:val="002D1FAF"/>
    <w:rsid w:val="002D203A"/>
    <w:rsid w:val="002D2109"/>
    <w:rsid w:val="002D22C6"/>
    <w:rsid w:val="002D2303"/>
    <w:rsid w:val="002D23AA"/>
    <w:rsid w:val="002D2443"/>
    <w:rsid w:val="002D2468"/>
    <w:rsid w:val="002D2540"/>
    <w:rsid w:val="002D2594"/>
    <w:rsid w:val="002D25D2"/>
    <w:rsid w:val="002D25DC"/>
    <w:rsid w:val="002D2703"/>
    <w:rsid w:val="002D2837"/>
    <w:rsid w:val="002D286C"/>
    <w:rsid w:val="002D2996"/>
    <w:rsid w:val="002D29B7"/>
    <w:rsid w:val="002D2B2A"/>
    <w:rsid w:val="002D2C09"/>
    <w:rsid w:val="002D2CD3"/>
    <w:rsid w:val="002D2CE8"/>
    <w:rsid w:val="002D2D59"/>
    <w:rsid w:val="002D2DA9"/>
    <w:rsid w:val="002D2E01"/>
    <w:rsid w:val="002D2E7B"/>
    <w:rsid w:val="002D2EA7"/>
    <w:rsid w:val="002D2FFD"/>
    <w:rsid w:val="002D3031"/>
    <w:rsid w:val="002D3072"/>
    <w:rsid w:val="002D30BA"/>
    <w:rsid w:val="002D330C"/>
    <w:rsid w:val="002D33AF"/>
    <w:rsid w:val="002D346E"/>
    <w:rsid w:val="002D3473"/>
    <w:rsid w:val="002D3592"/>
    <w:rsid w:val="002D3627"/>
    <w:rsid w:val="002D366B"/>
    <w:rsid w:val="002D3762"/>
    <w:rsid w:val="002D376B"/>
    <w:rsid w:val="002D3803"/>
    <w:rsid w:val="002D3867"/>
    <w:rsid w:val="002D3914"/>
    <w:rsid w:val="002D3945"/>
    <w:rsid w:val="002D39D4"/>
    <w:rsid w:val="002D3A41"/>
    <w:rsid w:val="002D3A87"/>
    <w:rsid w:val="002D3C79"/>
    <w:rsid w:val="002D3CBE"/>
    <w:rsid w:val="002D3CCA"/>
    <w:rsid w:val="002D3DB3"/>
    <w:rsid w:val="002D3EDD"/>
    <w:rsid w:val="002D3FC5"/>
    <w:rsid w:val="002D400E"/>
    <w:rsid w:val="002D4015"/>
    <w:rsid w:val="002D4269"/>
    <w:rsid w:val="002D42B2"/>
    <w:rsid w:val="002D4382"/>
    <w:rsid w:val="002D442D"/>
    <w:rsid w:val="002D443C"/>
    <w:rsid w:val="002D4495"/>
    <w:rsid w:val="002D455F"/>
    <w:rsid w:val="002D45EF"/>
    <w:rsid w:val="002D4636"/>
    <w:rsid w:val="002D4662"/>
    <w:rsid w:val="002D46AE"/>
    <w:rsid w:val="002D46FE"/>
    <w:rsid w:val="002D4808"/>
    <w:rsid w:val="002D4817"/>
    <w:rsid w:val="002D489D"/>
    <w:rsid w:val="002D48FE"/>
    <w:rsid w:val="002D4972"/>
    <w:rsid w:val="002D499C"/>
    <w:rsid w:val="002D49A1"/>
    <w:rsid w:val="002D49E8"/>
    <w:rsid w:val="002D4A2B"/>
    <w:rsid w:val="002D4B52"/>
    <w:rsid w:val="002D4BED"/>
    <w:rsid w:val="002D4D72"/>
    <w:rsid w:val="002D4DDD"/>
    <w:rsid w:val="002D4E17"/>
    <w:rsid w:val="002D4E96"/>
    <w:rsid w:val="002D4EFA"/>
    <w:rsid w:val="002D4F80"/>
    <w:rsid w:val="002D508B"/>
    <w:rsid w:val="002D50FB"/>
    <w:rsid w:val="002D51A1"/>
    <w:rsid w:val="002D51A6"/>
    <w:rsid w:val="002D5397"/>
    <w:rsid w:val="002D54EC"/>
    <w:rsid w:val="002D5510"/>
    <w:rsid w:val="002D55F9"/>
    <w:rsid w:val="002D56B1"/>
    <w:rsid w:val="002D5794"/>
    <w:rsid w:val="002D57E2"/>
    <w:rsid w:val="002D5A5E"/>
    <w:rsid w:val="002D5BDE"/>
    <w:rsid w:val="002D5CB4"/>
    <w:rsid w:val="002D5CE5"/>
    <w:rsid w:val="002D5CEE"/>
    <w:rsid w:val="002D5D13"/>
    <w:rsid w:val="002D5E8E"/>
    <w:rsid w:val="002D5EFF"/>
    <w:rsid w:val="002D5F25"/>
    <w:rsid w:val="002D5FB1"/>
    <w:rsid w:val="002D5FF4"/>
    <w:rsid w:val="002D60AB"/>
    <w:rsid w:val="002D60BC"/>
    <w:rsid w:val="002D61B7"/>
    <w:rsid w:val="002D6375"/>
    <w:rsid w:val="002D63BF"/>
    <w:rsid w:val="002D6641"/>
    <w:rsid w:val="002D6649"/>
    <w:rsid w:val="002D68A7"/>
    <w:rsid w:val="002D68ED"/>
    <w:rsid w:val="002D6902"/>
    <w:rsid w:val="002D6A13"/>
    <w:rsid w:val="002D6A21"/>
    <w:rsid w:val="002D6AF8"/>
    <w:rsid w:val="002D6B39"/>
    <w:rsid w:val="002D6C27"/>
    <w:rsid w:val="002D6E8B"/>
    <w:rsid w:val="002D701B"/>
    <w:rsid w:val="002D705E"/>
    <w:rsid w:val="002D70A5"/>
    <w:rsid w:val="002D70B4"/>
    <w:rsid w:val="002D70BA"/>
    <w:rsid w:val="002D70F3"/>
    <w:rsid w:val="002D70FC"/>
    <w:rsid w:val="002D71AA"/>
    <w:rsid w:val="002D71B8"/>
    <w:rsid w:val="002D73ED"/>
    <w:rsid w:val="002D73EE"/>
    <w:rsid w:val="002D7458"/>
    <w:rsid w:val="002D748A"/>
    <w:rsid w:val="002D7492"/>
    <w:rsid w:val="002D74E4"/>
    <w:rsid w:val="002D74ED"/>
    <w:rsid w:val="002D7659"/>
    <w:rsid w:val="002D76DD"/>
    <w:rsid w:val="002D76F4"/>
    <w:rsid w:val="002D7828"/>
    <w:rsid w:val="002D7852"/>
    <w:rsid w:val="002D79EA"/>
    <w:rsid w:val="002D7A47"/>
    <w:rsid w:val="002D7A96"/>
    <w:rsid w:val="002D7AAE"/>
    <w:rsid w:val="002D7B15"/>
    <w:rsid w:val="002D7B30"/>
    <w:rsid w:val="002D7B96"/>
    <w:rsid w:val="002D7CE6"/>
    <w:rsid w:val="002D7D09"/>
    <w:rsid w:val="002D7F43"/>
    <w:rsid w:val="002D7FDC"/>
    <w:rsid w:val="002D7FF1"/>
    <w:rsid w:val="002E002E"/>
    <w:rsid w:val="002E009C"/>
    <w:rsid w:val="002E00BE"/>
    <w:rsid w:val="002E01DC"/>
    <w:rsid w:val="002E0222"/>
    <w:rsid w:val="002E0226"/>
    <w:rsid w:val="002E028D"/>
    <w:rsid w:val="002E02D4"/>
    <w:rsid w:val="002E02D5"/>
    <w:rsid w:val="002E02F6"/>
    <w:rsid w:val="002E04B2"/>
    <w:rsid w:val="002E0529"/>
    <w:rsid w:val="002E0597"/>
    <w:rsid w:val="002E05E9"/>
    <w:rsid w:val="002E0631"/>
    <w:rsid w:val="002E0682"/>
    <w:rsid w:val="002E068C"/>
    <w:rsid w:val="002E06D7"/>
    <w:rsid w:val="002E076A"/>
    <w:rsid w:val="002E07C4"/>
    <w:rsid w:val="002E0800"/>
    <w:rsid w:val="002E08A6"/>
    <w:rsid w:val="002E094B"/>
    <w:rsid w:val="002E09B4"/>
    <w:rsid w:val="002E09C7"/>
    <w:rsid w:val="002E0AF7"/>
    <w:rsid w:val="002E0B51"/>
    <w:rsid w:val="002E0CAA"/>
    <w:rsid w:val="002E0CCF"/>
    <w:rsid w:val="002E0DB2"/>
    <w:rsid w:val="002E0E38"/>
    <w:rsid w:val="002E0E9D"/>
    <w:rsid w:val="002E0FA3"/>
    <w:rsid w:val="002E0FF6"/>
    <w:rsid w:val="002E1081"/>
    <w:rsid w:val="002E1188"/>
    <w:rsid w:val="002E1194"/>
    <w:rsid w:val="002E11E1"/>
    <w:rsid w:val="002E11F7"/>
    <w:rsid w:val="002E12BF"/>
    <w:rsid w:val="002E131A"/>
    <w:rsid w:val="002E1434"/>
    <w:rsid w:val="002E143E"/>
    <w:rsid w:val="002E14CD"/>
    <w:rsid w:val="002E14D5"/>
    <w:rsid w:val="002E14DD"/>
    <w:rsid w:val="002E14F3"/>
    <w:rsid w:val="002E14FE"/>
    <w:rsid w:val="002E1616"/>
    <w:rsid w:val="002E1669"/>
    <w:rsid w:val="002E16DF"/>
    <w:rsid w:val="002E171C"/>
    <w:rsid w:val="002E17BA"/>
    <w:rsid w:val="002E185B"/>
    <w:rsid w:val="002E191A"/>
    <w:rsid w:val="002E19ED"/>
    <w:rsid w:val="002E1B1B"/>
    <w:rsid w:val="002E1BC7"/>
    <w:rsid w:val="002E1BF5"/>
    <w:rsid w:val="002E1CBA"/>
    <w:rsid w:val="002E1CC4"/>
    <w:rsid w:val="002E1D7C"/>
    <w:rsid w:val="002E1E0C"/>
    <w:rsid w:val="002E1EB7"/>
    <w:rsid w:val="002E1EBF"/>
    <w:rsid w:val="002E1F31"/>
    <w:rsid w:val="002E1FFC"/>
    <w:rsid w:val="002E203A"/>
    <w:rsid w:val="002E2240"/>
    <w:rsid w:val="002E2292"/>
    <w:rsid w:val="002E229C"/>
    <w:rsid w:val="002E23DC"/>
    <w:rsid w:val="002E24C4"/>
    <w:rsid w:val="002E2519"/>
    <w:rsid w:val="002E2628"/>
    <w:rsid w:val="002E264D"/>
    <w:rsid w:val="002E269D"/>
    <w:rsid w:val="002E26D4"/>
    <w:rsid w:val="002E28D2"/>
    <w:rsid w:val="002E2A67"/>
    <w:rsid w:val="002E2B0B"/>
    <w:rsid w:val="002E2B9C"/>
    <w:rsid w:val="002E2D20"/>
    <w:rsid w:val="002E2D38"/>
    <w:rsid w:val="002E2EB5"/>
    <w:rsid w:val="002E2ED3"/>
    <w:rsid w:val="002E2ED5"/>
    <w:rsid w:val="002E2FCB"/>
    <w:rsid w:val="002E2FFC"/>
    <w:rsid w:val="002E3094"/>
    <w:rsid w:val="002E30A4"/>
    <w:rsid w:val="002E30CF"/>
    <w:rsid w:val="002E3154"/>
    <w:rsid w:val="002E32DA"/>
    <w:rsid w:val="002E3368"/>
    <w:rsid w:val="002E3445"/>
    <w:rsid w:val="002E365C"/>
    <w:rsid w:val="002E367A"/>
    <w:rsid w:val="002E37C3"/>
    <w:rsid w:val="002E3833"/>
    <w:rsid w:val="002E3855"/>
    <w:rsid w:val="002E395B"/>
    <w:rsid w:val="002E3C81"/>
    <w:rsid w:val="002E3D94"/>
    <w:rsid w:val="002E3DA6"/>
    <w:rsid w:val="002E3DCD"/>
    <w:rsid w:val="002E3DFB"/>
    <w:rsid w:val="002E3E72"/>
    <w:rsid w:val="002E3F11"/>
    <w:rsid w:val="002E3F7A"/>
    <w:rsid w:val="002E3F7C"/>
    <w:rsid w:val="002E403D"/>
    <w:rsid w:val="002E40DA"/>
    <w:rsid w:val="002E4310"/>
    <w:rsid w:val="002E447E"/>
    <w:rsid w:val="002E454E"/>
    <w:rsid w:val="002E478B"/>
    <w:rsid w:val="002E47EF"/>
    <w:rsid w:val="002E4909"/>
    <w:rsid w:val="002E4985"/>
    <w:rsid w:val="002E4AAE"/>
    <w:rsid w:val="002E4AD5"/>
    <w:rsid w:val="002E4C88"/>
    <w:rsid w:val="002E4D2D"/>
    <w:rsid w:val="002E4D97"/>
    <w:rsid w:val="002E4DBB"/>
    <w:rsid w:val="002E502C"/>
    <w:rsid w:val="002E50BA"/>
    <w:rsid w:val="002E5337"/>
    <w:rsid w:val="002E5343"/>
    <w:rsid w:val="002E534C"/>
    <w:rsid w:val="002E54B2"/>
    <w:rsid w:val="002E54CB"/>
    <w:rsid w:val="002E558A"/>
    <w:rsid w:val="002E55DB"/>
    <w:rsid w:val="002E55E8"/>
    <w:rsid w:val="002E5629"/>
    <w:rsid w:val="002E5644"/>
    <w:rsid w:val="002E568F"/>
    <w:rsid w:val="002E56C5"/>
    <w:rsid w:val="002E56E1"/>
    <w:rsid w:val="002E57D8"/>
    <w:rsid w:val="002E57F6"/>
    <w:rsid w:val="002E5886"/>
    <w:rsid w:val="002E58A5"/>
    <w:rsid w:val="002E5954"/>
    <w:rsid w:val="002E597C"/>
    <w:rsid w:val="002E59CC"/>
    <w:rsid w:val="002E5A25"/>
    <w:rsid w:val="002E5A44"/>
    <w:rsid w:val="002E5B24"/>
    <w:rsid w:val="002E5B94"/>
    <w:rsid w:val="002E5B9A"/>
    <w:rsid w:val="002E5C5F"/>
    <w:rsid w:val="002E5C90"/>
    <w:rsid w:val="002E5D43"/>
    <w:rsid w:val="002E5D9D"/>
    <w:rsid w:val="002E5E25"/>
    <w:rsid w:val="002E5EAE"/>
    <w:rsid w:val="002E6071"/>
    <w:rsid w:val="002E60A9"/>
    <w:rsid w:val="002E6115"/>
    <w:rsid w:val="002E6119"/>
    <w:rsid w:val="002E612D"/>
    <w:rsid w:val="002E62C2"/>
    <w:rsid w:val="002E62EC"/>
    <w:rsid w:val="002E63B2"/>
    <w:rsid w:val="002E649D"/>
    <w:rsid w:val="002E6502"/>
    <w:rsid w:val="002E6689"/>
    <w:rsid w:val="002E6709"/>
    <w:rsid w:val="002E678A"/>
    <w:rsid w:val="002E68D3"/>
    <w:rsid w:val="002E6936"/>
    <w:rsid w:val="002E6A72"/>
    <w:rsid w:val="002E6B33"/>
    <w:rsid w:val="002E6B5B"/>
    <w:rsid w:val="002E6BA1"/>
    <w:rsid w:val="002E6C5D"/>
    <w:rsid w:val="002E6CA7"/>
    <w:rsid w:val="002E6CF3"/>
    <w:rsid w:val="002E6D2E"/>
    <w:rsid w:val="002E6DD8"/>
    <w:rsid w:val="002E6DDC"/>
    <w:rsid w:val="002E6EBE"/>
    <w:rsid w:val="002E6ED6"/>
    <w:rsid w:val="002E6F33"/>
    <w:rsid w:val="002E7088"/>
    <w:rsid w:val="002E70E5"/>
    <w:rsid w:val="002E7109"/>
    <w:rsid w:val="002E718F"/>
    <w:rsid w:val="002E72FA"/>
    <w:rsid w:val="002E733B"/>
    <w:rsid w:val="002E746B"/>
    <w:rsid w:val="002E7471"/>
    <w:rsid w:val="002E74A9"/>
    <w:rsid w:val="002E7534"/>
    <w:rsid w:val="002E7562"/>
    <w:rsid w:val="002E75C4"/>
    <w:rsid w:val="002E75DB"/>
    <w:rsid w:val="002E7637"/>
    <w:rsid w:val="002E7646"/>
    <w:rsid w:val="002E76A3"/>
    <w:rsid w:val="002E7809"/>
    <w:rsid w:val="002E798C"/>
    <w:rsid w:val="002E7995"/>
    <w:rsid w:val="002E79C6"/>
    <w:rsid w:val="002E7AD8"/>
    <w:rsid w:val="002E7B8F"/>
    <w:rsid w:val="002E7C2C"/>
    <w:rsid w:val="002E7C34"/>
    <w:rsid w:val="002E7DB4"/>
    <w:rsid w:val="002E7F43"/>
    <w:rsid w:val="002F00C4"/>
    <w:rsid w:val="002F0181"/>
    <w:rsid w:val="002F022F"/>
    <w:rsid w:val="002F0283"/>
    <w:rsid w:val="002F032A"/>
    <w:rsid w:val="002F043F"/>
    <w:rsid w:val="002F046C"/>
    <w:rsid w:val="002F04CC"/>
    <w:rsid w:val="002F0596"/>
    <w:rsid w:val="002F05A7"/>
    <w:rsid w:val="002F06C7"/>
    <w:rsid w:val="002F0878"/>
    <w:rsid w:val="002F0A28"/>
    <w:rsid w:val="002F0BEC"/>
    <w:rsid w:val="002F0C36"/>
    <w:rsid w:val="002F0C6D"/>
    <w:rsid w:val="002F0C74"/>
    <w:rsid w:val="002F0CC8"/>
    <w:rsid w:val="002F0CCC"/>
    <w:rsid w:val="002F0D42"/>
    <w:rsid w:val="002F0F4A"/>
    <w:rsid w:val="002F0FD1"/>
    <w:rsid w:val="002F1001"/>
    <w:rsid w:val="002F10B1"/>
    <w:rsid w:val="002F10F1"/>
    <w:rsid w:val="002F1159"/>
    <w:rsid w:val="002F116D"/>
    <w:rsid w:val="002F11D3"/>
    <w:rsid w:val="002F12E3"/>
    <w:rsid w:val="002F1309"/>
    <w:rsid w:val="002F130F"/>
    <w:rsid w:val="002F1393"/>
    <w:rsid w:val="002F149A"/>
    <w:rsid w:val="002F1507"/>
    <w:rsid w:val="002F1563"/>
    <w:rsid w:val="002F161E"/>
    <w:rsid w:val="002F1644"/>
    <w:rsid w:val="002F1A14"/>
    <w:rsid w:val="002F1A89"/>
    <w:rsid w:val="002F1BEA"/>
    <w:rsid w:val="002F1C72"/>
    <w:rsid w:val="002F1C91"/>
    <w:rsid w:val="002F1CA5"/>
    <w:rsid w:val="002F1DF2"/>
    <w:rsid w:val="002F1E2C"/>
    <w:rsid w:val="002F1E61"/>
    <w:rsid w:val="002F1EA9"/>
    <w:rsid w:val="002F1EFD"/>
    <w:rsid w:val="002F2011"/>
    <w:rsid w:val="002F204C"/>
    <w:rsid w:val="002F204F"/>
    <w:rsid w:val="002F20B5"/>
    <w:rsid w:val="002F20D3"/>
    <w:rsid w:val="002F2295"/>
    <w:rsid w:val="002F2343"/>
    <w:rsid w:val="002F246E"/>
    <w:rsid w:val="002F2568"/>
    <w:rsid w:val="002F26E9"/>
    <w:rsid w:val="002F270D"/>
    <w:rsid w:val="002F2807"/>
    <w:rsid w:val="002F2AE1"/>
    <w:rsid w:val="002F2AE4"/>
    <w:rsid w:val="002F2B20"/>
    <w:rsid w:val="002F2B33"/>
    <w:rsid w:val="002F2B5F"/>
    <w:rsid w:val="002F2BA4"/>
    <w:rsid w:val="002F2BDE"/>
    <w:rsid w:val="002F2C2A"/>
    <w:rsid w:val="002F2D0D"/>
    <w:rsid w:val="002F2DB5"/>
    <w:rsid w:val="002F2E1A"/>
    <w:rsid w:val="002F2EA5"/>
    <w:rsid w:val="002F2FF2"/>
    <w:rsid w:val="002F30D2"/>
    <w:rsid w:val="002F30F2"/>
    <w:rsid w:val="002F31E9"/>
    <w:rsid w:val="002F32CC"/>
    <w:rsid w:val="002F330B"/>
    <w:rsid w:val="002F3430"/>
    <w:rsid w:val="002F3610"/>
    <w:rsid w:val="002F368A"/>
    <w:rsid w:val="002F371F"/>
    <w:rsid w:val="002F3760"/>
    <w:rsid w:val="002F376D"/>
    <w:rsid w:val="002F3822"/>
    <w:rsid w:val="002F38D5"/>
    <w:rsid w:val="002F3959"/>
    <w:rsid w:val="002F3969"/>
    <w:rsid w:val="002F396F"/>
    <w:rsid w:val="002F3984"/>
    <w:rsid w:val="002F3B25"/>
    <w:rsid w:val="002F3BD9"/>
    <w:rsid w:val="002F3BF7"/>
    <w:rsid w:val="002F3C75"/>
    <w:rsid w:val="002F3CE5"/>
    <w:rsid w:val="002F3CFD"/>
    <w:rsid w:val="002F3D15"/>
    <w:rsid w:val="002F3E30"/>
    <w:rsid w:val="002F3E3E"/>
    <w:rsid w:val="002F3EF3"/>
    <w:rsid w:val="002F3F64"/>
    <w:rsid w:val="002F3F7F"/>
    <w:rsid w:val="002F4091"/>
    <w:rsid w:val="002F423E"/>
    <w:rsid w:val="002F43F4"/>
    <w:rsid w:val="002F4451"/>
    <w:rsid w:val="002F4521"/>
    <w:rsid w:val="002F4532"/>
    <w:rsid w:val="002F4538"/>
    <w:rsid w:val="002F45EC"/>
    <w:rsid w:val="002F45F3"/>
    <w:rsid w:val="002F46A9"/>
    <w:rsid w:val="002F485F"/>
    <w:rsid w:val="002F4A91"/>
    <w:rsid w:val="002F4C25"/>
    <w:rsid w:val="002F4D02"/>
    <w:rsid w:val="002F4E85"/>
    <w:rsid w:val="002F4F06"/>
    <w:rsid w:val="002F4F11"/>
    <w:rsid w:val="002F4F1D"/>
    <w:rsid w:val="002F4FF3"/>
    <w:rsid w:val="002F5043"/>
    <w:rsid w:val="002F5085"/>
    <w:rsid w:val="002F50CA"/>
    <w:rsid w:val="002F512C"/>
    <w:rsid w:val="002F5184"/>
    <w:rsid w:val="002F51DE"/>
    <w:rsid w:val="002F5225"/>
    <w:rsid w:val="002F5231"/>
    <w:rsid w:val="002F5250"/>
    <w:rsid w:val="002F528B"/>
    <w:rsid w:val="002F52A1"/>
    <w:rsid w:val="002F52A7"/>
    <w:rsid w:val="002F53A5"/>
    <w:rsid w:val="002F53C2"/>
    <w:rsid w:val="002F54C0"/>
    <w:rsid w:val="002F552F"/>
    <w:rsid w:val="002F5553"/>
    <w:rsid w:val="002F5555"/>
    <w:rsid w:val="002F5566"/>
    <w:rsid w:val="002F57BB"/>
    <w:rsid w:val="002F57E6"/>
    <w:rsid w:val="002F595B"/>
    <w:rsid w:val="002F5968"/>
    <w:rsid w:val="002F5979"/>
    <w:rsid w:val="002F597C"/>
    <w:rsid w:val="002F59F2"/>
    <w:rsid w:val="002F5A33"/>
    <w:rsid w:val="002F5A3B"/>
    <w:rsid w:val="002F5C3B"/>
    <w:rsid w:val="002F5C6F"/>
    <w:rsid w:val="002F5C70"/>
    <w:rsid w:val="002F5C82"/>
    <w:rsid w:val="002F5CA5"/>
    <w:rsid w:val="002F5CE2"/>
    <w:rsid w:val="002F5D71"/>
    <w:rsid w:val="002F5DF0"/>
    <w:rsid w:val="002F5E9E"/>
    <w:rsid w:val="002F5F4C"/>
    <w:rsid w:val="002F5F7B"/>
    <w:rsid w:val="002F5F96"/>
    <w:rsid w:val="002F6135"/>
    <w:rsid w:val="002F6152"/>
    <w:rsid w:val="002F617A"/>
    <w:rsid w:val="002F6212"/>
    <w:rsid w:val="002F62B7"/>
    <w:rsid w:val="002F62DA"/>
    <w:rsid w:val="002F635D"/>
    <w:rsid w:val="002F63DD"/>
    <w:rsid w:val="002F6501"/>
    <w:rsid w:val="002F6540"/>
    <w:rsid w:val="002F6590"/>
    <w:rsid w:val="002F660A"/>
    <w:rsid w:val="002F6651"/>
    <w:rsid w:val="002F66E4"/>
    <w:rsid w:val="002F670A"/>
    <w:rsid w:val="002F6749"/>
    <w:rsid w:val="002F6764"/>
    <w:rsid w:val="002F67EC"/>
    <w:rsid w:val="002F68D4"/>
    <w:rsid w:val="002F695A"/>
    <w:rsid w:val="002F69B0"/>
    <w:rsid w:val="002F6A4A"/>
    <w:rsid w:val="002F6A5B"/>
    <w:rsid w:val="002F6A80"/>
    <w:rsid w:val="002F6B7A"/>
    <w:rsid w:val="002F6BA6"/>
    <w:rsid w:val="002F6C66"/>
    <w:rsid w:val="002F6D7A"/>
    <w:rsid w:val="002F6DCA"/>
    <w:rsid w:val="002F6E8A"/>
    <w:rsid w:val="002F6EA2"/>
    <w:rsid w:val="002F6ED0"/>
    <w:rsid w:val="002F6F88"/>
    <w:rsid w:val="002F7101"/>
    <w:rsid w:val="002F725F"/>
    <w:rsid w:val="002F7286"/>
    <w:rsid w:val="002F7324"/>
    <w:rsid w:val="002F7390"/>
    <w:rsid w:val="002F739D"/>
    <w:rsid w:val="002F73E6"/>
    <w:rsid w:val="002F73F9"/>
    <w:rsid w:val="002F7489"/>
    <w:rsid w:val="002F7509"/>
    <w:rsid w:val="002F7593"/>
    <w:rsid w:val="002F75C5"/>
    <w:rsid w:val="002F76E5"/>
    <w:rsid w:val="002F770F"/>
    <w:rsid w:val="002F7826"/>
    <w:rsid w:val="002F7835"/>
    <w:rsid w:val="002F78BB"/>
    <w:rsid w:val="002F7923"/>
    <w:rsid w:val="002F79DD"/>
    <w:rsid w:val="002F7A60"/>
    <w:rsid w:val="002F7A83"/>
    <w:rsid w:val="002F7B37"/>
    <w:rsid w:val="002F7B56"/>
    <w:rsid w:val="002F7BC5"/>
    <w:rsid w:val="002F7BC6"/>
    <w:rsid w:val="002F7BF0"/>
    <w:rsid w:val="002F7BF6"/>
    <w:rsid w:val="002F7C15"/>
    <w:rsid w:val="002F7CB8"/>
    <w:rsid w:val="002F7CBB"/>
    <w:rsid w:val="002F7D4F"/>
    <w:rsid w:val="002F7D6C"/>
    <w:rsid w:val="002F7DBC"/>
    <w:rsid w:val="002F7E06"/>
    <w:rsid w:val="002F7E62"/>
    <w:rsid w:val="002F7F78"/>
    <w:rsid w:val="002F7FA9"/>
    <w:rsid w:val="003000F4"/>
    <w:rsid w:val="00300108"/>
    <w:rsid w:val="00300121"/>
    <w:rsid w:val="00300124"/>
    <w:rsid w:val="0030026C"/>
    <w:rsid w:val="003002C7"/>
    <w:rsid w:val="00300377"/>
    <w:rsid w:val="00300392"/>
    <w:rsid w:val="003005BA"/>
    <w:rsid w:val="003005F1"/>
    <w:rsid w:val="003005F8"/>
    <w:rsid w:val="00300762"/>
    <w:rsid w:val="003007A0"/>
    <w:rsid w:val="00300820"/>
    <w:rsid w:val="00300856"/>
    <w:rsid w:val="00300961"/>
    <w:rsid w:val="00300A37"/>
    <w:rsid w:val="00300A4A"/>
    <w:rsid w:val="00300AC6"/>
    <w:rsid w:val="00300AE0"/>
    <w:rsid w:val="00300C53"/>
    <w:rsid w:val="00300CCA"/>
    <w:rsid w:val="00300D6F"/>
    <w:rsid w:val="00300E64"/>
    <w:rsid w:val="00300EF3"/>
    <w:rsid w:val="00300F5D"/>
    <w:rsid w:val="00301015"/>
    <w:rsid w:val="0030105B"/>
    <w:rsid w:val="0030105E"/>
    <w:rsid w:val="003011BA"/>
    <w:rsid w:val="003011F8"/>
    <w:rsid w:val="003013B5"/>
    <w:rsid w:val="0030148E"/>
    <w:rsid w:val="00301611"/>
    <w:rsid w:val="003016D7"/>
    <w:rsid w:val="003016F6"/>
    <w:rsid w:val="00301733"/>
    <w:rsid w:val="00301753"/>
    <w:rsid w:val="00301770"/>
    <w:rsid w:val="003018CD"/>
    <w:rsid w:val="0030197A"/>
    <w:rsid w:val="00301A04"/>
    <w:rsid w:val="00301A0D"/>
    <w:rsid w:val="00301B4D"/>
    <w:rsid w:val="00301B80"/>
    <w:rsid w:val="00301E76"/>
    <w:rsid w:val="00301FBD"/>
    <w:rsid w:val="00302011"/>
    <w:rsid w:val="00302022"/>
    <w:rsid w:val="00302023"/>
    <w:rsid w:val="00302076"/>
    <w:rsid w:val="003021DA"/>
    <w:rsid w:val="003021E7"/>
    <w:rsid w:val="00302205"/>
    <w:rsid w:val="0030225A"/>
    <w:rsid w:val="00302386"/>
    <w:rsid w:val="00302513"/>
    <w:rsid w:val="00302546"/>
    <w:rsid w:val="003025B2"/>
    <w:rsid w:val="0030260E"/>
    <w:rsid w:val="00302664"/>
    <w:rsid w:val="0030268F"/>
    <w:rsid w:val="0030276D"/>
    <w:rsid w:val="003027FB"/>
    <w:rsid w:val="0030280D"/>
    <w:rsid w:val="003028FC"/>
    <w:rsid w:val="0030291B"/>
    <w:rsid w:val="00302968"/>
    <w:rsid w:val="00302A6A"/>
    <w:rsid w:val="00302B28"/>
    <w:rsid w:val="00302B58"/>
    <w:rsid w:val="00302B7B"/>
    <w:rsid w:val="00302C6A"/>
    <w:rsid w:val="00302C8F"/>
    <w:rsid w:val="00302CCA"/>
    <w:rsid w:val="00302D89"/>
    <w:rsid w:val="00302DA2"/>
    <w:rsid w:val="00302DAB"/>
    <w:rsid w:val="00302E06"/>
    <w:rsid w:val="00302E85"/>
    <w:rsid w:val="00302EB5"/>
    <w:rsid w:val="00302EE9"/>
    <w:rsid w:val="00302EF7"/>
    <w:rsid w:val="00302F1E"/>
    <w:rsid w:val="00302F31"/>
    <w:rsid w:val="00302F6A"/>
    <w:rsid w:val="00303038"/>
    <w:rsid w:val="00303131"/>
    <w:rsid w:val="0030315D"/>
    <w:rsid w:val="003031B8"/>
    <w:rsid w:val="0030322E"/>
    <w:rsid w:val="0030326A"/>
    <w:rsid w:val="003032B2"/>
    <w:rsid w:val="003033DD"/>
    <w:rsid w:val="003033FC"/>
    <w:rsid w:val="003034BE"/>
    <w:rsid w:val="00303517"/>
    <w:rsid w:val="003035DC"/>
    <w:rsid w:val="003035EB"/>
    <w:rsid w:val="003036C5"/>
    <w:rsid w:val="003036CD"/>
    <w:rsid w:val="003036FE"/>
    <w:rsid w:val="00303737"/>
    <w:rsid w:val="00303862"/>
    <w:rsid w:val="00303891"/>
    <w:rsid w:val="003039AF"/>
    <w:rsid w:val="00303A83"/>
    <w:rsid w:val="00303AEE"/>
    <w:rsid w:val="00303B2F"/>
    <w:rsid w:val="00303B57"/>
    <w:rsid w:val="00303B58"/>
    <w:rsid w:val="00303B5D"/>
    <w:rsid w:val="00303B7A"/>
    <w:rsid w:val="00303C5A"/>
    <w:rsid w:val="00303D68"/>
    <w:rsid w:val="00303DFE"/>
    <w:rsid w:val="00303E3E"/>
    <w:rsid w:val="00303E79"/>
    <w:rsid w:val="00303F4D"/>
    <w:rsid w:val="00303FBD"/>
    <w:rsid w:val="00304017"/>
    <w:rsid w:val="00304057"/>
    <w:rsid w:val="00304098"/>
    <w:rsid w:val="003040F9"/>
    <w:rsid w:val="00304292"/>
    <w:rsid w:val="003042E0"/>
    <w:rsid w:val="00304370"/>
    <w:rsid w:val="003043C9"/>
    <w:rsid w:val="00304477"/>
    <w:rsid w:val="003044AF"/>
    <w:rsid w:val="0030452A"/>
    <w:rsid w:val="003045A1"/>
    <w:rsid w:val="003045D4"/>
    <w:rsid w:val="003045E2"/>
    <w:rsid w:val="0030461E"/>
    <w:rsid w:val="003046B6"/>
    <w:rsid w:val="0030473E"/>
    <w:rsid w:val="00304957"/>
    <w:rsid w:val="00304A37"/>
    <w:rsid w:val="00304A54"/>
    <w:rsid w:val="00304A5A"/>
    <w:rsid w:val="00304AF3"/>
    <w:rsid w:val="00304B08"/>
    <w:rsid w:val="00304CBA"/>
    <w:rsid w:val="00304D12"/>
    <w:rsid w:val="00304DA1"/>
    <w:rsid w:val="00304DCB"/>
    <w:rsid w:val="00304EE2"/>
    <w:rsid w:val="00304F6D"/>
    <w:rsid w:val="00305105"/>
    <w:rsid w:val="00305128"/>
    <w:rsid w:val="00305349"/>
    <w:rsid w:val="00305393"/>
    <w:rsid w:val="00305488"/>
    <w:rsid w:val="003054F6"/>
    <w:rsid w:val="00305549"/>
    <w:rsid w:val="0030559B"/>
    <w:rsid w:val="00305685"/>
    <w:rsid w:val="0030581D"/>
    <w:rsid w:val="0030585B"/>
    <w:rsid w:val="003058B5"/>
    <w:rsid w:val="003058E7"/>
    <w:rsid w:val="003058F8"/>
    <w:rsid w:val="00305967"/>
    <w:rsid w:val="003059D1"/>
    <w:rsid w:val="00305A70"/>
    <w:rsid w:val="00305B52"/>
    <w:rsid w:val="00305BCB"/>
    <w:rsid w:val="00305BE1"/>
    <w:rsid w:val="00305C93"/>
    <w:rsid w:val="00305CCD"/>
    <w:rsid w:val="00305D0A"/>
    <w:rsid w:val="00305D1A"/>
    <w:rsid w:val="00305D44"/>
    <w:rsid w:val="00305D74"/>
    <w:rsid w:val="00305E72"/>
    <w:rsid w:val="00305EB4"/>
    <w:rsid w:val="00305EB9"/>
    <w:rsid w:val="00305EE5"/>
    <w:rsid w:val="00305F80"/>
    <w:rsid w:val="00305FFB"/>
    <w:rsid w:val="003060AD"/>
    <w:rsid w:val="00306103"/>
    <w:rsid w:val="00306285"/>
    <w:rsid w:val="003064AE"/>
    <w:rsid w:val="00306591"/>
    <w:rsid w:val="003065C5"/>
    <w:rsid w:val="003065C6"/>
    <w:rsid w:val="0030663C"/>
    <w:rsid w:val="0030666B"/>
    <w:rsid w:val="0030670C"/>
    <w:rsid w:val="0030675E"/>
    <w:rsid w:val="00306811"/>
    <w:rsid w:val="003069F5"/>
    <w:rsid w:val="00306A31"/>
    <w:rsid w:val="00306B54"/>
    <w:rsid w:val="00306B89"/>
    <w:rsid w:val="00306C0D"/>
    <w:rsid w:val="00306C8D"/>
    <w:rsid w:val="00306E66"/>
    <w:rsid w:val="00306F50"/>
    <w:rsid w:val="00306F54"/>
    <w:rsid w:val="00307045"/>
    <w:rsid w:val="003070E3"/>
    <w:rsid w:val="00307174"/>
    <w:rsid w:val="00307189"/>
    <w:rsid w:val="003071F6"/>
    <w:rsid w:val="00307207"/>
    <w:rsid w:val="00307260"/>
    <w:rsid w:val="00307316"/>
    <w:rsid w:val="003073C1"/>
    <w:rsid w:val="00307436"/>
    <w:rsid w:val="00307491"/>
    <w:rsid w:val="003075CD"/>
    <w:rsid w:val="003077D5"/>
    <w:rsid w:val="003078B2"/>
    <w:rsid w:val="0030791B"/>
    <w:rsid w:val="00307942"/>
    <w:rsid w:val="003079B7"/>
    <w:rsid w:val="003079C4"/>
    <w:rsid w:val="003079DC"/>
    <w:rsid w:val="00307A96"/>
    <w:rsid w:val="00307B68"/>
    <w:rsid w:val="00307D7A"/>
    <w:rsid w:val="0031006E"/>
    <w:rsid w:val="00310159"/>
    <w:rsid w:val="0031016A"/>
    <w:rsid w:val="003101F6"/>
    <w:rsid w:val="0031028C"/>
    <w:rsid w:val="0031028F"/>
    <w:rsid w:val="00310459"/>
    <w:rsid w:val="00310498"/>
    <w:rsid w:val="00310526"/>
    <w:rsid w:val="0031054B"/>
    <w:rsid w:val="00310579"/>
    <w:rsid w:val="00310588"/>
    <w:rsid w:val="00310671"/>
    <w:rsid w:val="00310782"/>
    <w:rsid w:val="003107C0"/>
    <w:rsid w:val="003107E3"/>
    <w:rsid w:val="0031084B"/>
    <w:rsid w:val="00310982"/>
    <w:rsid w:val="00310C20"/>
    <w:rsid w:val="00310C2C"/>
    <w:rsid w:val="00310C35"/>
    <w:rsid w:val="00310C6E"/>
    <w:rsid w:val="00310CEC"/>
    <w:rsid w:val="00310D7B"/>
    <w:rsid w:val="00310EB0"/>
    <w:rsid w:val="00310FAB"/>
    <w:rsid w:val="0031111C"/>
    <w:rsid w:val="00311146"/>
    <w:rsid w:val="00311151"/>
    <w:rsid w:val="00311270"/>
    <w:rsid w:val="00311379"/>
    <w:rsid w:val="00311416"/>
    <w:rsid w:val="0031145E"/>
    <w:rsid w:val="00311476"/>
    <w:rsid w:val="003114BA"/>
    <w:rsid w:val="00311580"/>
    <w:rsid w:val="003115AF"/>
    <w:rsid w:val="003115D1"/>
    <w:rsid w:val="00311642"/>
    <w:rsid w:val="0031165E"/>
    <w:rsid w:val="00311663"/>
    <w:rsid w:val="00311751"/>
    <w:rsid w:val="00311752"/>
    <w:rsid w:val="00311764"/>
    <w:rsid w:val="003117F3"/>
    <w:rsid w:val="0031187A"/>
    <w:rsid w:val="003118AA"/>
    <w:rsid w:val="00311A0A"/>
    <w:rsid w:val="00311A12"/>
    <w:rsid w:val="00311AB2"/>
    <w:rsid w:val="00311B41"/>
    <w:rsid w:val="00311B8E"/>
    <w:rsid w:val="00311C18"/>
    <w:rsid w:val="00311C36"/>
    <w:rsid w:val="00311D08"/>
    <w:rsid w:val="00311D5E"/>
    <w:rsid w:val="00311D7A"/>
    <w:rsid w:val="00312000"/>
    <w:rsid w:val="00312005"/>
    <w:rsid w:val="0031203F"/>
    <w:rsid w:val="0031206C"/>
    <w:rsid w:val="00312136"/>
    <w:rsid w:val="0031213C"/>
    <w:rsid w:val="00312169"/>
    <w:rsid w:val="0031216D"/>
    <w:rsid w:val="00312232"/>
    <w:rsid w:val="0031231C"/>
    <w:rsid w:val="003123BF"/>
    <w:rsid w:val="0031243F"/>
    <w:rsid w:val="00312484"/>
    <w:rsid w:val="003124CC"/>
    <w:rsid w:val="003124EC"/>
    <w:rsid w:val="00312566"/>
    <w:rsid w:val="00312582"/>
    <w:rsid w:val="00312661"/>
    <w:rsid w:val="0031280F"/>
    <w:rsid w:val="00312827"/>
    <w:rsid w:val="00312848"/>
    <w:rsid w:val="003128E2"/>
    <w:rsid w:val="00312919"/>
    <w:rsid w:val="003129D9"/>
    <w:rsid w:val="003129F3"/>
    <w:rsid w:val="00312A10"/>
    <w:rsid w:val="00312A15"/>
    <w:rsid w:val="00312A2E"/>
    <w:rsid w:val="00312B46"/>
    <w:rsid w:val="00312B4B"/>
    <w:rsid w:val="00312B7D"/>
    <w:rsid w:val="00312C13"/>
    <w:rsid w:val="00312CD7"/>
    <w:rsid w:val="00312D09"/>
    <w:rsid w:val="00312E1E"/>
    <w:rsid w:val="00312EF9"/>
    <w:rsid w:val="00312F56"/>
    <w:rsid w:val="003130F9"/>
    <w:rsid w:val="003131C9"/>
    <w:rsid w:val="00313210"/>
    <w:rsid w:val="0031325E"/>
    <w:rsid w:val="00313539"/>
    <w:rsid w:val="00313627"/>
    <w:rsid w:val="0031377C"/>
    <w:rsid w:val="003137EF"/>
    <w:rsid w:val="0031386D"/>
    <w:rsid w:val="003138C9"/>
    <w:rsid w:val="00313937"/>
    <w:rsid w:val="00313B07"/>
    <w:rsid w:val="00313B9B"/>
    <w:rsid w:val="00313C8A"/>
    <w:rsid w:val="00313C93"/>
    <w:rsid w:val="00313D21"/>
    <w:rsid w:val="00313D67"/>
    <w:rsid w:val="00313DBC"/>
    <w:rsid w:val="00313E07"/>
    <w:rsid w:val="00313E17"/>
    <w:rsid w:val="00313E77"/>
    <w:rsid w:val="00313E81"/>
    <w:rsid w:val="00313FB6"/>
    <w:rsid w:val="003140B2"/>
    <w:rsid w:val="00314168"/>
    <w:rsid w:val="003141E6"/>
    <w:rsid w:val="0031421F"/>
    <w:rsid w:val="003143E4"/>
    <w:rsid w:val="00314558"/>
    <w:rsid w:val="003145AA"/>
    <w:rsid w:val="003145BF"/>
    <w:rsid w:val="00314649"/>
    <w:rsid w:val="003146CE"/>
    <w:rsid w:val="0031472C"/>
    <w:rsid w:val="00314776"/>
    <w:rsid w:val="003147D5"/>
    <w:rsid w:val="00314853"/>
    <w:rsid w:val="0031490B"/>
    <w:rsid w:val="0031499E"/>
    <w:rsid w:val="00314A37"/>
    <w:rsid w:val="00314B24"/>
    <w:rsid w:val="00314B29"/>
    <w:rsid w:val="00314BB2"/>
    <w:rsid w:val="00314BD0"/>
    <w:rsid w:val="00314CD6"/>
    <w:rsid w:val="00314DE3"/>
    <w:rsid w:val="00314EBA"/>
    <w:rsid w:val="00314FB6"/>
    <w:rsid w:val="00314FDA"/>
    <w:rsid w:val="00315028"/>
    <w:rsid w:val="0031507A"/>
    <w:rsid w:val="003150C5"/>
    <w:rsid w:val="0031513B"/>
    <w:rsid w:val="0031523A"/>
    <w:rsid w:val="00315268"/>
    <w:rsid w:val="003153FE"/>
    <w:rsid w:val="00315543"/>
    <w:rsid w:val="00315587"/>
    <w:rsid w:val="003155A0"/>
    <w:rsid w:val="00315677"/>
    <w:rsid w:val="00315982"/>
    <w:rsid w:val="003159BA"/>
    <w:rsid w:val="00315A0B"/>
    <w:rsid w:val="00315AC7"/>
    <w:rsid w:val="00315AC9"/>
    <w:rsid w:val="00315B14"/>
    <w:rsid w:val="00315BEE"/>
    <w:rsid w:val="00315D3D"/>
    <w:rsid w:val="00315D7F"/>
    <w:rsid w:val="00315DD7"/>
    <w:rsid w:val="00315EA0"/>
    <w:rsid w:val="00315ECD"/>
    <w:rsid w:val="00316040"/>
    <w:rsid w:val="003160DD"/>
    <w:rsid w:val="003161F6"/>
    <w:rsid w:val="003162D1"/>
    <w:rsid w:val="003162EC"/>
    <w:rsid w:val="00316326"/>
    <w:rsid w:val="003163DF"/>
    <w:rsid w:val="0031653C"/>
    <w:rsid w:val="00316568"/>
    <w:rsid w:val="0031663D"/>
    <w:rsid w:val="003166BB"/>
    <w:rsid w:val="00316891"/>
    <w:rsid w:val="0031698B"/>
    <w:rsid w:val="00316A73"/>
    <w:rsid w:val="00316A94"/>
    <w:rsid w:val="00316A9F"/>
    <w:rsid w:val="00316AE8"/>
    <w:rsid w:val="00316BCD"/>
    <w:rsid w:val="00316BE9"/>
    <w:rsid w:val="00316BEE"/>
    <w:rsid w:val="00316BFD"/>
    <w:rsid w:val="00316D58"/>
    <w:rsid w:val="00316E04"/>
    <w:rsid w:val="00316E11"/>
    <w:rsid w:val="00316FB4"/>
    <w:rsid w:val="00317023"/>
    <w:rsid w:val="00317159"/>
    <w:rsid w:val="0031716D"/>
    <w:rsid w:val="0031723F"/>
    <w:rsid w:val="00317246"/>
    <w:rsid w:val="00317290"/>
    <w:rsid w:val="00317294"/>
    <w:rsid w:val="003173EB"/>
    <w:rsid w:val="00317402"/>
    <w:rsid w:val="00317436"/>
    <w:rsid w:val="0031744C"/>
    <w:rsid w:val="00317515"/>
    <w:rsid w:val="00317589"/>
    <w:rsid w:val="0031776D"/>
    <w:rsid w:val="00317870"/>
    <w:rsid w:val="00317909"/>
    <w:rsid w:val="003179EA"/>
    <w:rsid w:val="00317A0E"/>
    <w:rsid w:val="00317AC9"/>
    <w:rsid w:val="00317B83"/>
    <w:rsid w:val="00317B95"/>
    <w:rsid w:val="00317BEE"/>
    <w:rsid w:val="00317C09"/>
    <w:rsid w:val="00317CD1"/>
    <w:rsid w:val="00317D12"/>
    <w:rsid w:val="00317D62"/>
    <w:rsid w:val="00317DCC"/>
    <w:rsid w:val="00317E6C"/>
    <w:rsid w:val="00317E78"/>
    <w:rsid w:val="00317EAF"/>
    <w:rsid w:val="00317EEF"/>
    <w:rsid w:val="00317F56"/>
    <w:rsid w:val="00320086"/>
    <w:rsid w:val="00320094"/>
    <w:rsid w:val="003200BB"/>
    <w:rsid w:val="003200C7"/>
    <w:rsid w:val="00320142"/>
    <w:rsid w:val="003201A2"/>
    <w:rsid w:val="003201D5"/>
    <w:rsid w:val="003202A0"/>
    <w:rsid w:val="00320445"/>
    <w:rsid w:val="0032048F"/>
    <w:rsid w:val="00320558"/>
    <w:rsid w:val="003206A9"/>
    <w:rsid w:val="00320773"/>
    <w:rsid w:val="0032081F"/>
    <w:rsid w:val="0032088E"/>
    <w:rsid w:val="003208C3"/>
    <w:rsid w:val="003208E9"/>
    <w:rsid w:val="00320908"/>
    <w:rsid w:val="0032093A"/>
    <w:rsid w:val="0032099A"/>
    <w:rsid w:val="0032099F"/>
    <w:rsid w:val="00320A8D"/>
    <w:rsid w:val="00320B32"/>
    <w:rsid w:val="00320C4E"/>
    <w:rsid w:val="00320DBA"/>
    <w:rsid w:val="00320DC2"/>
    <w:rsid w:val="00320E81"/>
    <w:rsid w:val="00320F99"/>
    <w:rsid w:val="00321071"/>
    <w:rsid w:val="00321078"/>
    <w:rsid w:val="003210A1"/>
    <w:rsid w:val="0032121F"/>
    <w:rsid w:val="00321247"/>
    <w:rsid w:val="0032127D"/>
    <w:rsid w:val="003212B6"/>
    <w:rsid w:val="0032138A"/>
    <w:rsid w:val="003214F8"/>
    <w:rsid w:val="0032160C"/>
    <w:rsid w:val="003216AE"/>
    <w:rsid w:val="003216C0"/>
    <w:rsid w:val="003216C6"/>
    <w:rsid w:val="00321745"/>
    <w:rsid w:val="00321967"/>
    <w:rsid w:val="00321974"/>
    <w:rsid w:val="003219E3"/>
    <w:rsid w:val="003219F1"/>
    <w:rsid w:val="00321A3C"/>
    <w:rsid w:val="00321A41"/>
    <w:rsid w:val="00321B8E"/>
    <w:rsid w:val="00321D90"/>
    <w:rsid w:val="00321DCD"/>
    <w:rsid w:val="00321DEA"/>
    <w:rsid w:val="00321EA4"/>
    <w:rsid w:val="00321FD7"/>
    <w:rsid w:val="00321FEE"/>
    <w:rsid w:val="0032202C"/>
    <w:rsid w:val="0032204E"/>
    <w:rsid w:val="00322057"/>
    <w:rsid w:val="003220B9"/>
    <w:rsid w:val="003220FB"/>
    <w:rsid w:val="00322172"/>
    <w:rsid w:val="00322291"/>
    <w:rsid w:val="003222AB"/>
    <w:rsid w:val="00322324"/>
    <w:rsid w:val="00322328"/>
    <w:rsid w:val="0032235C"/>
    <w:rsid w:val="003223B0"/>
    <w:rsid w:val="003224E5"/>
    <w:rsid w:val="00322541"/>
    <w:rsid w:val="00322714"/>
    <w:rsid w:val="0032273D"/>
    <w:rsid w:val="00322A2C"/>
    <w:rsid w:val="00322AA6"/>
    <w:rsid w:val="00322D11"/>
    <w:rsid w:val="00322E2F"/>
    <w:rsid w:val="00322F1E"/>
    <w:rsid w:val="00323046"/>
    <w:rsid w:val="00323124"/>
    <w:rsid w:val="003231EB"/>
    <w:rsid w:val="00323287"/>
    <w:rsid w:val="003232E2"/>
    <w:rsid w:val="00323300"/>
    <w:rsid w:val="0032333C"/>
    <w:rsid w:val="0032333F"/>
    <w:rsid w:val="00323353"/>
    <w:rsid w:val="0032336C"/>
    <w:rsid w:val="003234ED"/>
    <w:rsid w:val="003234F0"/>
    <w:rsid w:val="0032364C"/>
    <w:rsid w:val="003236AC"/>
    <w:rsid w:val="00323766"/>
    <w:rsid w:val="003237AD"/>
    <w:rsid w:val="003238BB"/>
    <w:rsid w:val="00323915"/>
    <w:rsid w:val="003239DA"/>
    <w:rsid w:val="00323B38"/>
    <w:rsid w:val="00323B99"/>
    <w:rsid w:val="00323C42"/>
    <w:rsid w:val="00323CC7"/>
    <w:rsid w:val="00323DE1"/>
    <w:rsid w:val="00323E48"/>
    <w:rsid w:val="00323E4D"/>
    <w:rsid w:val="00323E61"/>
    <w:rsid w:val="00323EB3"/>
    <w:rsid w:val="00323F42"/>
    <w:rsid w:val="003240FF"/>
    <w:rsid w:val="00324133"/>
    <w:rsid w:val="00324159"/>
    <w:rsid w:val="0032415F"/>
    <w:rsid w:val="00324165"/>
    <w:rsid w:val="003241EC"/>
    <w:rsid w:val="003241F4"/>
    <w:rsid w:val="00324200"/>
    <w:rsid w:val="00324390"/>
    <w:rsid w:val="00324429"/>
    <w:rsid w:val="00324432"/>
    <w:rsid w:val="0032448B"/>
    <w:rsid w:val="003244AD"/>
    <w:rsid w:val="00324504"/>
    <w:rsid w:val="00324511"/>
    <w:rsid w:val="0032453E"/>
    <w:rsid w:val="00324660"/>
    <w:rsid w:val="003246B2"/>
    <w:rsid w:val="003246F9"/>
    <w:rsid w:val="00324779"/>
    <w:rsid w:val="0032479B"/>
    <w:rsid w:val="003247B0"/>
    <w:rsid w:val="0032480C"/>
    <w:rsid w:val="0032482E"/>
    <w:rsid w:val="0032486A"/>
    <w:rsid w:val="00324908"/>
    <w:rsid w:val="00324911"/>
    <w:rsid w:val="00324AF0"/>
    <w:rsid w:val="00324B89"/>
    <w:rsid w:val="00324B9A"/>
    <w:rsid w:val="00324BE6"/>
    <w:rsid w:val="00324C43"/>
    <w:rsid w:val="00324C57"/>
    <w:rsid w:val="00324CF8"/>
    <w:rsid w:val="00324D2C"/>
    <w:rsid w:val="00324D5C"/>
    <w:rsid w:val="00324D69"/>
    <w:rsid w:val="00324DBC"/>
    <w:rsid w:val="00324E4E"/>
    <w:rsid w:val="00324EF2"/>
    <w:rsid w:val="00324F5F"/>
    <w:rsid w:val="00324FA5"/>
    <w:rsid w:val="003250BE"/>
    <w:rsid w:val="0032512C"/>
    <w:rsid w:val="003251A0"/>
    <w:rsid w:val="003251DB"/>
    <w:rsid w:val="0032520F"/>
    <w:rsid w:val="00325234"/>
    <w:rsid w:val="00325291"/>
    <w:rsid w:val="003254C4"/>
    <w:rsid w:val="003254DB"/>
    <w:rsid w:val="00325597"/>
    <w:rsid w:val="003255C6"/>
    <w:rsid w:val="00325601"/>
    <w:rsid w:val="003256B5"/>
    <w:rsid w:val="0032578F"/>
    <w:rsid w:val="00325842"/>
    <w:rsid w:val="00325935"/>
    <w:rsid w:val="003259DB"/>
    <w:rsid w:val="00325A04"/>
    <w:rsid w:val="00325AAF"/>
    <w:rsid w:val="00325AE3"/>
    <w:rsid w:val="00325B19"/>
    <w:rsid w:val="00325CCD"/>
    <w:rsid w:val="00325DC5"/>
    <w:rsid w:val="00325E26"/>
    <w:rsid w:val="00325E43"/>
    <w:rsid w:val="00325F4F"/>
    <w:rsid w:val="00325F8F"/>
    <w:rsid w:val="003260A5"/>
    <w:rsid w:val="00326117"/>
    <w:rsid w:val="00326204"/>
    <w:rsid w:val="0032620B"/>
    <w:rsid w:val="00326220"/>
    <w:rsid w:val="003262B1"/>
    <w:rsid w:val="003262B7"/>
    <w:rsid w:val="00326337"/>
    <w:rsid w:val="0032633E"/>
    <w:rsid w:val="00326343"/>
    <w:rsid w:val="003263A3"/>
    <w:rsid w:val="0032649C"/>
    <w:rsid w:val="003264CA"/>
    <w:rsid w:val="0032652D"/>
    <w:rsid w:val="00326705"/>
    <w:rsid w:val="003267AC"/>
    <w:rsid w:val="00326833"/>
    <w:rsid w:val="00326858"/>
    <w:rsid w:val="003268E5"/>
    <w:rsid w:val="00326A2A"/>
    <w:rsid w:val="00326A67"/>
    <w:rsid w:val="00326BDE"/>
    <w:rsid w:val="00326BE8"/>
    <w:rsid w:val="00326E96"/>
    <w:rsid w:val="00326FB7"/>
    <w:rsid w:val="00327070"/>
    <w:rsid w:val="003270D3"/>
    <w:rsid w:val="003271AD"/>
    <w:rsid w:val="003271C2"/>
    <w:rsid w:val="003272C2"/>
    <w:rsid w:val="00327402"/>
    <w:rsid w:val="00327422"/>
    <w:rsid w:val="00327537"/>
    <w:rsid w:val="00327544"/>
    <w:rsid w:val="00327582"/>
    <w:rsid w:val="003275F9"/>
    <w:rsid w:val="00327697"/>
    <w:rsid w:val="00327735"/>
    <w:rsid w:val="003278D8"/>
    <w:rsid w:val="0032791C"/>
    <w:rsid w:val="00327969"/>
    <w:rsid w:val="0032796D"/>
    <w:rsid w:val="00327972"/>
    <w:rsid w:val="00327A02"/>
    <w:rsid w:val="00327A2C"/>
    <w:rsid w:val="00327A40"/>
    <w:rsid w:val="00327B99"/>
    <w:rsid w:val="00327C50"/>
    <w:rsid w:val="00327C97"/>
    <w:rsid w:val="00327CC1"/>
    <w:rsid w:val="00327CC2"/>
    <w:rsid w:val="00327D41"/>
    <w:rsid w:val="00327DFF"/>
    <w:rsid w:val="00327F89"/>
    <w:rsid w:val="00327F8C"/>
    <w:rsid w:val="00327FEC"/>
    <w:rsid w:val="0033002F"/>
    <w:rsid w:val="0033028D"/>
    <w:rsid w:val="003302B5"/>
    <w:rsid w:val="00330350"/>
    <w:rsid w:val="0033037D"/>
    <w:rsid w:val="0033041A"/>
    <w:rsid w:val="003305CC"/>
    <w:rsid w:val="003306F7"/>
    <w:rsid w:val="0033086D"/>
    <w:rsid w:val="0033088C"/>
    <w:rsid w:val="003308FE"/>
    <w:rsid w:val="00330958"/>
    <w:rsid w:val="003309A8"/>
    <w:rsid w:val="00330A02"/>
    <w:rsid w:val="00330A12"/>
    <w:rsid w:val="00330B05"/>
    <w:rsid w:val="00330B0B"/>
    <w:rsid w:val="00330C22"/>
    <w:rsid w:val="00330CEF"/>
    <w:rsid w:val="00330D63"/>
    <w:rsid w:val="00330D69"/>
    <w:rsid w:val="00330DE4"/>
    <w:rsid w:val="00330E76"/>
    <w:rsid w:val="00330F06"/>
    <w:rsid w:val="00330F33"/>
    <w:rsid w:val="00330F58"/>
    <w:rsid w:val="00330FBE"/>
    <w:rsid w:val="0033106B"/>
    <w:rsid w:val="0033109F"/>
    <w:rsid w:val="00331156"/>
    <w:rsid w:val="0033119B"/>
    <w:rsid w:val="00331229"/>
    <w:rsid w:val="003312A3"/>
    <w:rsid w:val="003312E8"/>
    <w:rsid w:val="0033137D"/>
    <w:rsid w:val="003313CB"/>
    <w:rsid w:val="00331628"/>
    <w:rsid w:val="0033162F"/>
    <w:rsid w:val="0033168C"/>
    <w:rsid w:val="00331729"/>
    <w:rsid w:val="0033172C"/>
    <w:rsid w:val="00331766"/>
    <w:rsid w:val="003317DF"/>
    <w:rsid w:val="00331815"/>
    <w:rsid w:val="00331920"/>
    <w:rsid w:val="003319E2"/>
    <w:rsid w:val="00331AAB"/>
    <w:rsid w:val="00331B4D"/>
    <w:rsid w:val="00331B92"/>
    <w:rsid w:val="00331EDF"/>
    <w:rsid w:val="00331F36"/>
    <w:rsid w:val="00331F8B"/>
    <w:rsid w:val="00331FAC"/>
    <w:rsid w:val="00331FB8"/>
    <w:rsid w:val="00332047"/>
    <w:rsid w:val="003320E0"/>
    <w:rsid w:val="00332130"/>
    <w:rsid w:val="00332172"/>
    <w:rsid w:val="003321AD"/>
    <w:rsid w:val="003321FA"/>
    <w:rsid w:val="00332244"/>
    <w:rsid w:val="003322C1"/>
    <w:rsid w:val="00332345"/>
    <w:rsid w:val="00332538"/>
    <w:rsid w:val="00332568"/>
    <w:rsid w:val="0033256A"/>
    <w:rsid w:val="00332658"/>
    <w:rsid w:val="00332661"/>
    <w:rsid w:val="00332666"/>
    <w:rsid w:val="0033272D"/>
    <w:rsid w:val="003328EA"/>
    <w:rsid w:val="00332959"/>
    <w:rsid w:val="00332972"/>
    <w:rsid w:val="00332976"/>
    <w:rsid w:val="003329DF"/>
    <w:rsid w:val="00332A26"/>
    <w:rsid w:val="00332A38"/>
    <w:rsid w:val="00332A4B"/>
    <w:rsid w:val="00332A87"/>
    <w:rsid w:val="00332B02"/>
    <w:rsid w:val="00332BA8"/>
    <w:rsid w:val="00332CBB"/>
    <w:rsid w:val="00332D37"/>
    <w:rsid w:val="00332E4F"/>
    <w:rsid w:val="00332ED9"/>
    <w:rsid w:val="0033311A"/>
    <w:rsid w:val="00333161"/>
    <w:rsid w:val="003331BC"/>
    <w:rsid w:val="003331EB"/>
    <w:rsid w:val="0033329D"/>
    <w:rsid w:val="003332B1"/>
    <w:rsid w:val="00333364"/>
    <w:rsid w:val="0033339E"/>
    <w:rsid w:val="003333CC"/>
    <w:rsid w:val="00333443"/>
    <w:rsid w:val="00333583"/>
    <w:rsid w:val="003335C8"/>
    <w:rsid w:val="00333678"/>
    <w:rsid w:val="00333681"/>
    <w:rsid w:val="003336C3"/>
    <w:rsid w:val="00333790"/>
    <w:rsid w:val="003337E0"/>
    <w:rsid w:val="00333AD3"/>
    <w:rsid w:val="00333B7B"/>
    <w:rsid w:val="00333C5C"/>
    <w:rsid w:val="00333C79"/>
    <w:rsid w:val="00333CF6"/>
    <w:rsid w:val="00333DBA"/>
    <w:rsid w:val="00333DEF"/>
    <w:rsid w:val="00333E36"/>
    <w:rsid w:val="00333F07"/>
    <w:rsid w:val="00333FB4"/>
    <w:rsid w:val="00334018"/>
    <w:rsid w:val="00334134"/>
    <w:rsid w:val="00334142"/>
    <w:rsid w:val="003342BB"/>
    <w:rsid w:val="003342CA"/>
    <w:rsid w:val="003342CE"/>
    <w:rsid w:val="003343D2"/>
    <w:rsid w:val="00334481"/>
    <w:rsid w:val="003344B0"/>
    <w:rsid w:val="0033451C"/>
    <w:rsid w:val="00334541"/>
    <w:rsid w:val="00334543"/>
    <w:rsid w:val="00334555"/>
    <w:rsid w:val="00334587"/>
    <w:rsid w:val="003347DE"/>
    <w:rsid w:val="00334856"/>
    <w:rsid w:val="0033495A"/>
    <w:rsid w:val="00334A0D"/>
    <w:rsid w:val="00334A6B"/>
    <w:rsid w:val="00334A7E"/>
    <w:rsid w:val="00334B9F"/>
    <w:rsid w:val="00334BB0"/>
    <w:rsid w:val="00334C6C"/>
    <w:rsid w:val="00334D76"/>
    <w:rsid w:val="00334F20"/>
    <w:rsid w:val="00334F56"/>
    <w:rsid w:val="00334F76"/>
    <w:rsid w:val="003352CE"/>
    <w:rsid w:val="003353C1"/>
    <w:rsid w:val="00335503"/>
    <w:rsid w:val="00335558"/>
    <w:rsid w:val="003355C2"/>
    <w:rsid w:val="003355E7"/>
    <w:rsid w:val="00335666"/>
    <w:rsid w:val="003356B3"/>
    <w:rsid w:val="00335718"/>
    <w:rsid w:val="0033571C"/>
    <w:rsid w:val="00335774"/>
    <w:rsid w:val="00335781"/>
    <w:rsid w:val="003357A9"/>
    <w:rsid w:val="003358FF"/>
    <w:rsid w:val="00335970"/>
    <w:rsid w:val="003359EA"/>
    <w:rsid w:val="00335B6F"/>
    <w:rsid w:val="00335BA7"/>
    <w:rsid w:val="00335C60"/>
    <w:rsid w:val="00335CF6"/>
    <w:rsid w:val="00335D6D"/>
    <w:rsid w:val="00335D9F"/>
    <w:rsid w:val="00335ECF"/>
    <w:rsid w:val="00335F3B"/>
    <w:rsid w:val="00335FE8"/>
    <w:rsid w:val="003360DA"/>
    <w:rsid w:val="003362D1"/>
    <w:rsid w:val="00336396"/>
    <w:rsid w:val="003363EA"/>
    <w:rsid w:val="003363F5"/>
    <w:rsid w:val="003364C4"/>
    <w:rsid w:val="0033657B"/>
    <w:rsid w:val="00336642"/>
    <w:rsid w:val="0033669C"/>
    <w:rsid w:val="003366AA"/>
    <w:rsid w:val="00336737"/>
    <w:rsid w:val="003367D7"/>
    <w:rsid w:val="003367FC"/>
    <w:rsid w:val="003369E2"/>
    <w:rsid w:val="00336A79"/>
    <w:rsid w:val="00336AAA"/>
    <w:rsid w:val="00336AFD"/>
    <w:rsid w:val="00336B31"/>
    <w:rsid w:val="00336BF0"/>
    <w:rsid w:val="00336C83"/>
    <w:rsid w:val="00336EFB"/>
    <w:rsid w:val="00336FD4"/>
    <w:rsid w:val="00337086"/>
    <w:rsid w:val="00337093"/>
    <w:rsid w:val="003370B3"/>
    <w:rsid w:val="003370B8"/>
    <w:rsid w:val="003370C5"/>
    <w:rsid w:val="003370EA"/>
    <w:rsid w:val="003370ED"/>
    <w:rsid w:val="00337157"/>
    <w:rsid w:val="003371AD"/>
    <w:rsid w:val="00337338"/>
    <w:rsid w:val="003373AA"/>
    <w:rsid w:val="0033742B"/>
    <w:rsid w:val="0033742E"/>
    <w:rsid w:val="00337551"/>
    <w:rsid w:val="0033756F"/>
    <w:rsid w:val="00337609"/>
    <w:rsid w:val="0033764B"/>
    <w:rsid w:val="003377E3"/>
    <w:rsid w:val="00337808"/>
    <w:rsid w:val="00337835"/>
    <w:rsid w:val="00337943"/>
    <w:rsid w:val="00337960"/>
    <w:rsid w:val="003379E6"/>
    <w:rsid w:val="003379EF"/>
    <w:rsid w:val="00337A21"/>
    <w:rsid w:val="00337B02"/>
    <w:rsid w:val="00337CA9"/>
    <w:rsid w:val="00337D60"/>
    <w:rsid w:val="00337D7D"/>
    <w:rsid w:val="00337DB3"/>
    <w:rsid w:val="00337E7D"/>
    <w:rsid w:val="00337F1E"/>
    <w:rsid w:val="00337F7E"/>
    <w:rsid w:val="003400A5"/>
    <w:rsid w:val="003400A7"/>
    <w:rsid w:val="00340228"/>
    <w:rsid w:val="00340267"/>
    <w:rsid w:val="00340285"/>
    <w:rsid w:val="00340343"/>
    <w:rsid w:val="003403BF"/>
    <w:rsid w:val="00340447"/>
    <w:rsid w:val="003404D3"/>
    <w:rsid w:val="003405D1"/>
    <w:rsid w:val="003406D5"/>
    <w:rsid w:val="003406FF"/>
    <w:rsid w:val="003407BA"/>
    <w:rsid w:val="003407BC"/>
    <w:rsid w:val="00340A9D"/>
    <w:rsid w:val="00340AEB"/>
    <w:rsid w:val="00340B3B"/>
    <w:rsid w:val="00340BE3"/>
    <w:rsid w:val="00340C31"/>
    <w:rsid w:val="00340C46"/>
    <w:rsid w:val="00340D1B"/>
    <w:rsid w:val="00340F8C"/>
    <w:rsid w:val="00341017"/>
    <w:rsid w:val="00341137"/>
    <w:rsid w:val="00341187"/>
    <w:rsid w:val="003412A6"/>
    <w:rsid w:val="003412E3"/>
    <w:rsid w:val="00341392"/>
    <w:rsid w:val="0034148C"/>
    <w:rsid w:val="003414A2"/>
    <w:rsid w:val="003414A4"/>
    <w:rsid w:val="003414C7"/>
    <w:rsid w:val="00341529"/>
    <w:rsid w:val="0034165E"/>
    <w:rsid w:val="0034167D"/>
    <w:rsid w:val="00341735"/>
    <w:rsid w:val="003417BB"/>
    <w:rsid w:val="003417C3"/>
    <w:rsid w:val="0034186A"/>
    <w:rsid w:val="0034189C"/>
    <w:rsid w:val="003418CD"/>
    <w:rsid w:val="003418E4"/>
    <w:rsid w:val="00341963"/>
    <w:rsid w:val="00341997"/>
    <w:rsid w:val="003419F6"/>
    <w:rsid w:val="00341ADA"/>
    <w:rsid w:val="00341B45"/>
    <w:rsid w:val="00341BEC"/>
    <w:rsid w:val="00341C94"/>
    <w:rsid w:val="00341D1C"/>
    <w:rsid w:val="00341D49"/>
    <w:rsid w:val="00341E97"/>
    <w:rsid w:val="00341F21"/>
    <w:rsid w:val="00342099"/>
    <w:rsid w:val="0034209C"/>
    <w:rsid w:val="003420C7"/>
    <w:rsid w:val="003420D5"/>
    <w:rsid w:val="003420DE"/>
    <w:rsid w:val="00342173"/>
    <w:rsid w:val="003421FF"/>
    <w:rsid w:val="0034222B"/>
    <w:rsid w:val="00342230"/>
    <w:rsid w:val="0034228F"/>
    <w:rsid w:val="003422DA"/>
    <w:rsid w:val="003422E5"/>
    <w:rsid w:val="0034230F"/>
    <w:rsid w:val="003423A1"/>
    <w:rsid w:val="003423CF"/>
    <w:rsid w:val="003423DA"/>
    <w:rsid w:val="00342436"/>
    <w:rsid w:val="0034273D"/>
    <w:rsid w:val="003427D9"/>
    <w:rsid w:val="0034286A"/>
    <w:rsid w:val="003428BE"/>
    <w:rsid w:val="00342980"/>
    <w:rsid w:val="0034298A"/>
    <w:rsid w:val="00342A2B"/>
    <w:rsid w:val="00342ABA"/>
    <w:rsid w:val="00342B01"/>
    <w:rsid w:val="00342B3B"/>
    <w:rsid w:val="00342BB1"/>
    <w:rsid w:val="00342BCF"/>
    <w:rsid w:val="00342C1A"/>
    <w:rsid w:val="00342C50"/>
    <w:rsid w:val="00342CA4"/>
    <w:rsid w:val="00342D77"/>
    <w:rsid w:val="00342F43"/>
    <w:rsid w:val="00342F4E"/>
    <w:rsid w:val="00342FF3"/>
    <w:rsid w:val="00343011"/>
    <w:rsid w:val="0034301D"/>
    <w:rsid w:val="0034304A"/>
    <w:rsid w:val="00343054"/>
    <w:rsid w:val="00343111"/>
    <w:rsid w:val="0034315B"/>
    <w:rsid w:val="0034317C"/>
    <w:rsid w:val="0034318B"/>
    <w:rsid w:val="003431AA"/>
    <w:rsid w:val="0034321D"/>
    <w:rsid w:val="00343221"/>
    <w:rsid w:val="00343261"/>
    <w:rsid w:val="0034327E"/>
    <w:rsid w:val="003432B0"/>
    <w:rsid w:val="003432D9"/>
    <w:rsid w:val="00343341"/>
    <w:rsid w:val="003433C3"/>
    <w:rsid w:val="003434C4"/>
    <w:rsid w:val="0034357C"/>
    <w:rsid w:val="00343619"/>
    <w:rsid w:val="003436E3"/>
    <w:rsid w:val="003436EF"/>
    <w:rsid w:val="003437C2"/>
    <w:rsid w:val="00343853"/>
    <w:rsid w:val="0034395A"/>
    <w:rsid w:val="003439F6"/>
    <w:rsid w:val="00343A1C"/>
    <w:rsid w:val="00343A4B"/>
    <w:rsid w:val="00343B54"/>
    <w:rsid w:val="00343BA0"/>
    <w:rsid w:val="00343CAE"/>
    <w:rsid w:val="00343ED5"/>
    <w:rsid w:val="00343EED"/>
    <w:rsid w:val="00343F39"/>
    <w:rsid w:val="00343F6F"/>
    <w:rsid w:val="00344007"/>
    <w:rsid w:val="00344029"/>
    <w:rsid w:val="00344043"/>
    <w:rsid w:val="0034417A"/>
    <w:rsid w:val="003441A5"/>
    <w:rsid w:val="003441DB"/>
    <w:rsid w:val="003442B6"/>
    <w:rsid w:val="00344356"/>
    <w:rsid w:val="00344373"/>
    <w:rsid w:val="00344417"/>
    <w:rsid w:val="0034445A"/>
    <w:rsid w:val="0034449A"/>
    <w:rsid w:val="0034449D"/>
    <w:rsid w:val="003444B9"/>
    <w:rsid w:val="003444F1"/>
    <w:rsid w:val="0034451B"/>
    <w:rsid w:val="00344572"/>
    <w:rsid w:val="003445C8"/>
    <w:rsid w:val="00344617"/>
    <w:rsid w:val="003446E0"/>
    <w:rsid w:val="003446F1"/>
    <w:rsid w:val="00344780"/>
    <w:rsid w:val="00344847"/>
    <w:rsid w:val="00344871"/>
    <w:rsid w:val="003448BC"/>
    <w:rsid w:val="003448FC"/>
    <w:rsid w:val="00344943"/>
    <w:rsid w:val="00344974"/>
    <w:rsid w:val="00344C35"/>
    <w:rsid w:val="00344D00"/>
    <w:rsid w:val="00344EA9"/>
    <w:rsid w:val="00344EB3"/>
    <w:rsid w:val="00344F25"/>
    <w:rsid w:val="00344FE2"/>
    <w:rsid w:val="0034506F"/>
    <w:rsid w:val="003450C2"/>
    <w:rsid w:val="00345171"/>
    <w:rsid w:val="003451A6"/>
    <w:rsid w:val="0034524B"/>
    <w:rsid w:val="003452A1"/>
    <w:rsid w:val="003453A4"/>
    <w:rsid w:val="003453AA"/>
    <w:rsid w:val="0034541A"/>
    <w:rsid w:val="00345430"/>
    <w:rsid w:val="003454FA"/>
    <w:rsid w:val="0034556A"/>
    <w:rsid w:val="0034559D"/>
    <w:rsid w:val="003455F9"/>
    <w:rsid w:val="00345698"/>
    <w:rsid w:val="0034569C"/>
    <w:rsid w:val="003456BB"/>
    <w:rsid w:val="003456EC"/>
    <w:rsid w:val="00345890"/>
    <w:rsid w:val="0034589D"/>
    <w:rsid w:val="0034590D"/>
    <w:rsid w:val="003459C3"/>
    <w:rsid w:val="003459F8"/>
    <w:rsid w:val="00345A43"/>
    <w:rsid w:val="00345A6A"/>
    <w:rsid w:val="00345AA0"/>
    <w:rsid w:val="00345B7D"/>
    <w:rsid w:val="00345CEF"/>
    <w:rsid w:val="00345D3B"/>
    <w:rsid w:val="00345D75"/>
    <w:rsid w:val="00345DFB"/>
    <w:rsid w:val="00345E2F"/>
    <w:rsid w:val="00345EC3"/>
    <w:rsid w:val="00345EE4"/>
    <w:rsid w:val="00345F66"/>
    <w:rsid w:val="0034620E"/>
    <w:rsid w:val="0034620F"/>
    <w:rsid w:val="00346399"/>
    <w:rsid w:val="0034641E"/>
    <w:rsid w:val="00346430"/>
    <w:rsid w:val="003464BF"/>
    <w:rsid w:val="00346530"/>
    <w:rsid w:val="003466A5"/>
    <w:rsid w:val="0034679C"/>
    <w:rsid w:val="003467F3"/>
    <w:rsid w:val="00346853"/>
    <w:rsid w:val="003468B5"/>
    <w:rsid w:val="003468B6"/>
    <w:rsid w:val="003468BC"/>
    <w:rsid w:val="00346948"/>
    <w:rsid w:val="003469A5"/>
    <w:rsid w:val="003469EE"/>
    <w:rsid w:val="00346A50"/>
    <w:rsid w:val="00346A66"/>
    <w:rsid w:val="00346A7A"/>
    <w:rsid w:val="00346AAA"/>
    <w:rsid w:val="00346AE2"/>
    <w:rsid w:val="00346B0A"/>
    <w:rsid w:val="00346C37"/>
    <w:rsid w:val="00346CF9"/>
    <w:rsid w:val="00346D71"/>
    <w:rsid w:val="00346E63"/>
    <w:rsid w:val="00347115"/>
    <w:rsid w:val="003471A5"/>
    <w:rsid w:val="003471A6"/>
    <w:rsid w:val="0034720C"/>
    <w:rsid w:val="0034720F"/>
    <w:rsid w:val="00347233"/>
    <w:rsid w:val="003473BC"/>
    <w:rsid w:val="00347522"/>
    <w:rsid w:val="0034754E"/>
    <w:rsid w:val="003475B8"/>
    <w:rsid w:val="00347608"/>
    <w:rsid w:val="003476FE"/>
    <w:rsid w:val="003477F8"/>
    <w:rsid w:val="0034788B"/>
    <w:rsid w:val="003478F1"/>
    <w:rsid w:val="00347920"/>
    <w:rsid w:val="00347924"/>
    <w:rsid w:val="00347949"/>
    <w:rsid w:val="00347990"/>
    <w:rsid w:val="003479C8"/>
    <w:rsid w:val="00347A9A"/>
    <w:rsid w:val="00347B5B"/>
    <w:rsid w:val="00347BC5"/>
    <w:rsid w:val="00347C5C"/>
    <w:rsid w:val="00347CEF"/>
    <w:rsid w:val="00347D33"/>
    <w:rsid w:val="00347DBE"/>
    <w:rsid w:val="00347E0B"/>
    <w:rsid w:val="00347E8F"/>
    <w:rsid w:val="00347EDF"/>
    <w:rsid w:val="00347FCE"/>
    <w:rsid w:val="00347FD3"/>
    <w:rsid w:val="0035010D"/>
    <w:rsid w:val="0035011E"/>
    <w:rsid w:val="0035019C"/>
    <w:rsid w:val="00350235"/>
    <w:rsid w:val="003502A6"/>
    <w:rsid w:val="003502C1"/>
    <w:rsid w:val="003502CF"/>
    <w:rsid w:val="003502E8"/>
    <w:rsid w:val="00350324"/>
    <w:rsid w:val="00350363"/>
    <w:rsid w:val="00350386"/>
    <w:rsid w:val="0035045C"/>
    <w:rsid w:val="00350463"/>
    <w:rsid w:val="0035053B"/>
    <w:rsid w:val="00350590"/>
    <w:rsid w:val="003505C2"/>
    <w:rsid w:val="003505E0"/>
    <w:rsid w:val="003505E1"/>
    <w:rsid w:val="003506AC"/>
    <w:rsid w:val="00350711"/>
    <w:rsid w:val="003508F3"/>
    <w:rsid w:val="00350924"/>
    <w:rsid w:val="00350A95"/>
    <w:rsid w:val="00350B05"/>
    <w:rsid w:val="00350B62"/>
    <w:rsid w:val="00350DB9"/>
    <w:rsid w:val="00350DD2"/>
    <w:rsid w:val="00350E6D"/>
    <w:rsid w:val="00350ED6"/>
    <w:rsid w:val="00350EE4"/>
    <w:rsid w:val="00350F77"/>
    <w:rsid w:val="00350F7D"/>
    <w:rsid w:val="00350F88"/>
    <w:rsid w:val="00350FB9"/>
    <w:rsid w:val="00351066"/>
    <w:rsid w:val="003510B1"/>
    <w:rsid w:val="00351165"/>
    <w:rsid w:val="003511DF"/>
    <w:rsid w:val="0035121A"/>
    <w:rsid w:val="003513AE"/>
    <w:rsid w:val="00351412"/>
    <w:rsid w:val="0035145D"/>
    <w:rsid w:val="00351495"/>
    <w:rsid w:val="003514BC"/>
    <w:rsid w:val="0035152D"/>
    <w:rsid w:val="00351574"/>
    <w:rsid w:val="0035164B"/>
    <w:rsid w:val="0035164E"/>
    <w:rsid w:val="00351658"/>
    <w:rsid w:val="003516F1"/>
    <w:rsid w:val="0035181A"/>
    <w:rsid w:val="0035182B"/>
    <w:rsid w:val="00351845"/>
    <w:rsid w:val="00351897"/>
    <w:rsid w:val="003518ED"/>
    <w:rsid w:val="00351907"/>
    <w:rsid w:val="00351A2E"/>
    <w:rsid w:val="00351A56"/>
    <w:rsid w:val="00351A59"/>
    <w:rsid w:val="00351AC2"/>
    <w:rsid w:val="00351B0C"/>
    <w:rsid w:val="00351B44"/>
    <w:rsid w:val="00351B74"/>
    <w:rsid w:val="00351C4F"/>
    <w:rsid w:val="00351DCE"/>
    <w:rsid w:val="00351DF6"/>
    <w:rsid w:val="00351F84"/>
    <w:rsid w:val="00352047"/>
    <w:rsid w:val="0035209C"/>
    <w:rsid w:val="0035209E"/>
    <w:rsid w:val="003520EA"/>
    <w:rsid w:val="00352411"/>
    <w:rsid w:val="003524EC"/>
    <w:rsid w:val="00352531"/>
    <w:rsid w:val="003525DB"/>
    <w:rsid w:val="0035261E"/>
    <w:rsid w:val="0035262D"/>
    <w:rsid w:val="00352712"/>
    <w:rsid w:val="00352718"/>
    <w:rsid w:val="0035277A"/>
    <w:rsid w:val="003527EF"/>
    <w:rsid w:val="00352812"/>
    <w:rsid w:val="00352865"/>
    <w:rsid w:val="00352872"/>
    <w:rsid w:val="003528DC"/>
    <w:rsid w:val="0035297F"/>
    <w:rsid w:val="00352AD4"/>
    <w:rsid w:val="00352C13"/>
    <w:rsid w:val="00352EAD"/>
    <w:rsid w:val="00352F3E"/>
    <w:rsid w:val="0035306B"/>
    <w:rsid w:val="0035309F"/>
    <w:rsid w:val="0035318B"/>
    <w:rsid w:val="003531F2"/>
    <w:rsid w:val="00353428"/>
    <w:rsid w:val="0035348D"/>
    <w:rsid w:val="00353490"/>
    <w:rsid w:val="00353598"/>
    <w:rsid w:val="003535C6"/>
    <w:rsid w:val="00353677"/>
    <w:rsid w:val="003537E2"/>
    <w:rsid w:val="003537E3"/>
    <w:rsid w:val="00353891"/>
    <w:rsid w:val="0035389A"/>
    <w:rsid w:val="003538A2"/>
    <w:rsid w:val="003538BC"/>
    <w:rsid w:val="003539BA"/>
    <w:rsid w:val="003539BE"/>
    <w:rsid w:val="00353A37"/>
    <w:rsid w:val="00353A4A"/>
    <w:rsid w:val="00353A51"/>
    <w:rsid w:val="00353A54"/>
    <w:rsid w:val="00353AAB"/>
    <w:rsid w:val="00353DB9"/>
    <w:rsid w:val="00353DCC"/>
    <w:rsid w:val="00353DD9"/>
    <w:rsid w:val="00353E24"/>
    <w:rsid w:val="00353EC3"/>
    <w:rsid w:val="00353ECC"/>
    <w:rsid w:val="00353F4F"/>
    <w:rsid w:val="00353FA7"/>
    <w:rsid w:val="00353FBC"/>
    <w:rsid w:val="0035400D"/>
    <w:rsid w:val="0035408C"/>
    <w:rsid w:val="003541C6"/>
    <w:rsid w:val="003544ED"/>
    <w:rsid w:val="003545B9"/>
    <w:rsid w:val="00354635"/>
    <w:rsid w:val="0035465D"/>
    <w:rsid w:val="00354707"/>
    <w:rsid w:val="00354723"/>
    <w:rsid w:val="00354814"/>
    <w:rsid w:val="0035492D"/>
    <w:rsid w:val="003549F5"/>
    <w:rsid w:val="00354A58"/>
    <w:rsid w:val="00354A87"/>
    <w:rsid w:val="00354ADB"/>
    <w:rsid w:val="00354BA2"/>
    <w:rsid w:val="00354C31"/>
    <w:rsid w:val="00354C68"/>
    <w:rsid w:val="00354CAF"/>
    <w:rsid w:val="00354F33"/>
    <w:rsid w:val="00354FA1"/>
    <w:rsid w:val="00354FC3"/>
    <w:rsid w:val="0035507F"/>
    <w:rsid w:val="00355114"/>
    <w:rsid w:val="0035515E"/>
    <w:rsid w:val="00355183"/>
    <w:rsid w:val="003551F4"/>
    <w:rsid w:val="003552D6"/>
    <w:rsid w:val="003552DD"/>
    <w:rsid w:val="00355361"/>
    <w:rsid w:val="00355373"/>
    <w:rsid w:val="003553AD"/>
    <w:rsid w:val="00355457"/>
    <w:rsid w:val="00355482"/>
    <w:rsid w:val="003554F1"/>
    <w:rsid w:val="003555C5"/>
    <w:rsid w:val="0035566B"/>
    <w:rsid w:val="00355749"/>
    <w:rsid w:val="0035579A"/>
    <w:rsid w:val="003557D6"/>
    <w:rsid w:val="00355884"/>
    <w:rsid w:val="00355894"/>
    <w:rsid w:val="00355909"/>
    <w:rsid w:val="0035591B"/>
    <w:rsid w:val="0035591F"/>
    <w:rsid w:val="00355963"/>
    <w:rsid w:val="00355B26"/>
    <w:rsid w:val="00355CD2"/>
    <w:rsid w:val="00355CF0"/>
    <w:rsid w:val="00355E0D"/>
    <w:rsid w:val="00355F90"/>
    <w:rsid w:val="00356085"/>
    <w:rsid w:val="00356114"/>
    <w:rsid w:val="00356214"/>
    <w:rsid w:val="0035621B"/>
    <w:rsid w:val="00356309"/>
    <w:rsid w:val="00356386"/>
    <w:rsid w:val="003563EB"/>
    <w:rsid w:val="00356495"/>
    <w:rsid w:val="003564EE"/>
    <w:rsid w:val="00356673"/>
    <w:rsid w:val="00356694"/>
    <w:rsid w:val="003567C1"/>
    <w:rsid w:val="003567C5"/>
    <w:rsid w:val="0035684F"/>
    <w:rsid w:val="00356883"/>
    <w:rsid w:val="00356887"/>
    <w:rsid w:val="003568C7"/>
    <w:rsid w:val="0035690E"/>
    <w:rsid w:val="003569AA"/>
    <w:rsid w:val="003569D9"/>
    <w:rsid w:val="00356A05"/>
    <w:rsid w:val="00356A45"/>
    <w:rsid w:val="00356AB6"/>
    <w:rsid w:val="00356D6A"/>
    <w:rsid w:val="00356D79"/>
    <w:rsid w:val="00356F1C"/>
    <w:rsid w:val="00356F44"/>
    <w:rsid w:val="00356F48"/>
    <w:rsid w:val="00356F54"/>
    <w:rsid w:val="00356F6B"/>
    <w:rsid w:val="00357023"/>
    <w:rsid w:val="00357140"/>
    <w:rsid w:val="0035715F"/>
    <w:rsid w:val="003571BE"/>
    <w:rsid w:val="00357210"/>
    <w:rsid w:val="003572AD"/>
    <w:rsid w:val="00357443"/>
    <w:rsid w:val="0035745A"/>
    <w:rsid w:val="00357577"/>
    <w:rsid w:val="003575D2"/>
    <w:rsid w:val="003576A2"/>
    <w:rsid w:val="003576FA"/>
    <w:rsid w:val="00357803"/>
    <w:rsid w:val="0035784A"/>
    <w:rsid w:val="0035787E"/>
    <w:rsid w:val="00357892"/>
    <w:rsid w:val="0035789D"/>
    <w:rsid w:val="00357912"/>
    <w:rsid w:val="00357993"/>
    <w:rsid w:val="00357A5E"/>
    <w:rsid w:val="00357B1D"/>
    <w:rsid w:val="00357B3E"/>
    <w:rsid w:val="00357CFE"/>
    <w:rsid w:val="00357D5C"/>
    <w:rsid w:val="00357DB6"/>
    <w:rsid w:val="00357E32"/>
    <w:rsid w:val="00357F56"/>
    <w:rsid w:val="00357FC3"/>
    <w:rsid w:val="0035E816"/>
    <w:rsid w:val="003600B4"/>
    <w:rsid w:val="00360114"/>
    <w:rsid w:val="0036011C"/>
    <w:rsid w:val="00360200"/>
    <w:rsid w:val="00360218"/>
    <w:rsid w:val="00360295"/>
    <w:rsid w:val="00360334"/>
    <w:rsid w:val="00360408"/>
    <w:rsid w:val="00360475"/>
    <w:rsid w:val="003605A0"/>
    <w:rsid w:val="003605CE"/>
    <w:rsid w:val="0036064E"/>
    <w:rsid w:val="003606D2"/>
    <w:rsid w:val="00360701"/>
    <w:rsid w:val="00360756"/>
    <w:rsid w:val="00360789"/>
    <w:rsid w:val="00360837"/>
    <w:rsid w:val="003608D3"/>
    <w:rsid w:val="00360910"/>
    <w:rsid w:val="003609AE"/>
    <w:rsid w:val="003609FD"/>
    <w:rsid w:val="00360A3A"/>
    <w:rsid w:val="00360AD7"/>
    <w:rsid w:val="00360BBD"/>
    <w:rsid w:val="00360C6B"/>
    <w:rsid w:val="00360D54"/>
    <w:rsid w:val="00360E4E"/>
    <w:rsid w:val="00360EDF"/>
    <w:rsid w:val="00360F09"/>
    <w:rsid w:val="00360F99"/>
    <w:rsid w:val="00361083"/>
    <w:rsid w:val="003610BB"/>
    <w:rsid w:val="003610C3"/>
    <w:rsid w:val="0036110F"/>
    <w:rsid w:val="00361197"/>
    <w:rsid w:val="003611CA"/>
    <w:rsid w:val="003611DC"/>
    <w:rsid w:val="00361263"/>
    <w:rsid w:val="003612B7"/>
    <w:rsid w:val="003613A0"/>
    <w:rsid w:val="003613EC"/>
    <w:rsid w:val="003613EF"/>
    <w:rsid w:val="003614AA"/>
    <w:rsid w:val="003614C4"/>
    <w:rsid w:val="003614E2"/>
    <w:rsid w:val="0036152D"/>
    <w:rsid w:val="00361535"/>
    <w:rsid w:val="00361608"/>
    <w:rsid w:val="0036160C"/>
    <w:rsid w:val="003616A8"/>
    <w:rsid w:val="0036171A"/>
    <w:rsid w:val="0036178D"/>
    <w:rsid w:val="0036198B"/>
    <w:rsid w:val="003619B4"/>
    <w:rsid w:val="003619F6"/>
    <w:rsid w:val="00361A0D"/>
    <w:rsid w:val="00361A1C"/>
    <w:rsid w:val="00361A2E"/>
    <w:rsid w:val="00361B4E"/>
    <w:rsid w:val="00361B72"/>
    <w:rsid w:val="00361B96"/>
    <w:rsid w:val="00361BB4"/>
    <w:rsid w:val="00361BC1"/>
    <w:rsid w:val="00361C2A"/>
    <w:rsid w:val="00361C2D"/>
    <w:rsid w:val="00361D7B"/>
    <w:rsid w:val="00361D80"/>
    <w:rsid w:val="00361D96"/>
    <w:rsid w:val="00361DE7"/>
    <w:rsid w:val="00361EF4"/>
    <w:rsid w:val="00361F25"/>
    <w:rsid w:val="00362097"/>
    <w:rsid w:val="003620C6"/>
    <w:rsid w:val="00362135"/>
    <w:rsid w:val="00362185"/>
    <w:rsid w:val="003621F8"/>
    <w:rsid w:val="00362216"/>
    <w:rsid w:val="0036230B"/>
    <w:rsid w:val="0036233C"/>
    <w:rsid w:val="003623F4"/>
    <w:rsid w:val="003624F9"/>
    <w:rsid w:val="003625A5"/>
    <w:rsid w:val="003626B9"/>
    <w:rsid w:val="00362935"/>
    <w:rsid w:val="0036293A"/>
    <w:rsid w:val="00362A30"/>
    <w:rsid w:val="00362A92"/>
    <w:rsid w:val="00362A9D"/>
    <w:rsid w:val="00362ADC"/>
    <w:rsid w:val="00362B04"/>
    <w:rsid w:val="00362BBF"/>
    <w:rsid w:val="00362BEB"/>
    <w:rsid w:val="00362DAC"/>
    <w:rsid w:val="00362E45"/>
    <w:rsid w:val="00362E6E"/>
    <w:rsid w:val="00362E82"/>
    <w:rsid w:val="00362E98"/>
    <w:rsid w:val="00362EA1"/>
    <w:rsid w:val="00362F4E"/>
    <w:rsid w:val="0036307E"/>
    <w:rsid w:val="00363141"/>
    <w:rsid w:val="00363172"/>
    <w:rsid w:val="003632B5"/>
    <w:rsid w:val="003632FD"/>
    <w:rsid w:val="00363350"/>
    <w:rsid w:val="00363354"/>
    <w:rsid w:val="00363397"/>
    <w:rsid w:val="003634AB"/>
    <w:rsid w:val="003634EF"/>
    <w:rsid w:val="003634F9"/>
    <w:rsid w:val="003635B9"/>
    <w:rsid w:val="00363716"/>
    <w:rsid w:val="00363759"/>
    <w:rsid w:val="00363879"/>
    <w:rsid w:val="003638AD"/>
    <w:rsid w:val="003639C1"/>
    <w:rsid w:val="003639CB"/>
    <w:rsid w:val="003639F2"/>
    <w:rsid w:val="00363AA6"/>
    <w:rsid w:val="00363AB4"/>
    <w:rsid w:val="00363B34"/>
    <w:rsid w:val="00363B50"/>
    <w:rsid w:val="00363C66"/>
    <w:rsid w:val="00363CF4"/>
    <w:rsid w:val="00363CFD"/>
    <w:rsid w:val="00363D12"/>
    <w:rsid w:val="00363D14"/>
    <w:rsid w:val="00363E02"/>
    <w:rsid w:val="00363E28"/>
    <w:rsid w:val="00363E2D"/>
    <w:rsid w:val="00363E46"/>
    <w:rsid w:val="00363E5E"/>
    <w:rsid w:val="00363FC4"/>
    <w:rsid w:val="00363FC6"/>
    <w:rsid w:val="0036400B"/>
    <w:rsid w:val="00364088"/>
    <w:rsid w:val="003640A5"/>
    <w:rsid w:val="003640E1"/>
    <w:rsid w:val="00364119"/>
    <w:rsid w:val="00364173"/>
    <w:rsid w:val="0036417E"/>
    <w:rsid w:val="0036423F"/>
    <w:rsid w:val="00364283"/>
    <w:rsid w:val="00364297"/>
    <w:rsid w:val="003643F8"/>
    <w:rsid w:val="0036441B"/>
    <w:rsid w:val="00364434"/>
    <w:rsid w:val="003644A3"/>
    <w:rsid w:val="00364509"/>
    <w:rsid w:val="00364586"/>
    <w:rsid w:val="0036458B"/>
    <w:rsid w:val="00364627"/>
    <w:rsid w:val="00364667"/>
    <w:rsid w:val="003646AF"/>
    <w:rsid w:val="003646BA"/>
    <w:rsid w:val="00364717"/>
    <w:rsid w:val="00364758"/>
    <w:rsid w:val="0036475B"/>
    <w:rsid w:val="00364797"/>
    <w:rsid w:val="003647C8"/>
    <w:rsid w:val="00364868"/>
    <w:rsid w:val="003648B7"/>
    <w:rsid w:val="00364914"/>
    <w:rsid w:val="003649B5"/>
    <w:rsid w:val="00364AA5"/>
    <w:rsid w:val="00364AE3"/>
    <w:rsid w:val="00364B80"/>
    <w:rsid w:val="00364BF9"/>
    <w:rsid w:val="00364C09"/>
    <w:rsid w:val="00364C36"/>
    <w:rsid w:val="00364C79"/>
    <w:rsid w:val="00364DA5"/>
    <w:rsid w:val="00364DD3"/>
    <w:rsid w:val="00364E1B"/>
    <w:rsid w:val="00364EBB"/>
    <w:rsid w:val="00364F47"/>
    <w:rsid w:val="00365062"/>
    <w:rsid w:val="00365084"/>
    <w:rsid w:val="00365216"/>
    <w:rsid w:val="00365261"/>
    <w:rsid w:val="003652B7"/>
    <w:rsid w:val="00365318"/>
    <w:rsid w:val="00365325"/>
    <w:rsid w:val="00365383"/>
    <w:rsid w:val="003653D9"/>
    <w:rsid w:val="00365404"/>
    <w:rsid w:val="003654BE"/>
    <w:rsid w:val="003654C4"/>
    <w:rsid w:val="00365545"/>
    <w:rsid w:val="0036561A"/>
    <w:rsid w:val="00365625"/>
    <w:rsid w:val="0036565F"/>
    <w:rsid w:val="003656F3"/>
    <w:rsid w:val="00365719"/>
    <w:rsid w:val="003657C5"/>
    <w:rsid w:val="003657D2"/>
    <w:rsid w:val="00365844"/>
    <w:rsid w:val="003658B1"/>
    <w:rsid w:val="003658C2"/>
    <w:rsid w:val="00365932"/>
    <w:rsid w:val="003659DC"/>
    <w:rsid w:val="00365A06"/>
    <w:rsid w:val="00365A14"/>
    <w:rsid w:val="00365B9B"/>
    <w:rsid w:val="00365BA7"/>
    <w:rsid w:val="00365BD3"/>
    <w:rsid w:val="00365C5C"/>
    <w:rsid w:val="00365C91"/>
    <w:rsid w:val="00365CD8"/>
    <w:rsid w:val="00365CDA"/>
    <w:rsid w:val="00365CEB"/>
    <w:rsid w:val="00365D69"/>
    <w:rsid w:val="00365E92"/>
    <w:rsid w:val="00365EE7"/>
    <w:rsid w:val="00365F1A"/>
    <w:rsid w:val="00365FE1"/>
    <w:rsid w:val="003660CA"/>
    <w:rsid w:val="003660D7"/>
    <w:rsid w:val="003660E3"/>
    <w:rsid w:val="00366290"/>
    <w:rsid w:val="00366332"/>
    <w:rsid w:val="00366375"/>
    <w:rsid w:val="00366485"/>
    <w:rsid w:val="003664D2"/>
    <w:rsid w:val="003665A8"/>
    <w:rsid w:val="00366641"/>
    <w:rsid w:val="00366660"/>
    <w:rsid w:val="003666C7"/>
    <w:rsid w:val="0036670A"/>
    <w:rsid w:val="003667A6"/>
    <w:rsid w:val="003667CA"/>
    <w:rsid w:val="00366878"/>
    <w:rsid w:val="0036691F"/>
    <w:rsid w:val="0036699A"/>
    <w:rsid w:val="003669F6"/>
    <w:rsid w:val="00366AA6"/>
    <w:rsid w:val="00366B4F"/>
    <w:rsid w:val="00366B53"/>
    <w:rsid w:val="00366C4C"/>
    <w:rsid w:val="00366C6E"/>
    <w:rsid w:val="00366CD5"/>
    <w:rsid w:val="00366D6F"/>
    <w:rsid w:val="00366EC3"/>
    <w:rsid w:val="00366ED6"/>
    <w:rsid w:val="00366F6A"/>
    <w:rsid w:val="00366F72"/>
    <w:rsid w:val="00366F9D"/>
    <w:rsid w:val="0036709D"/>
    <w:rsid w:val="003670CB"/>
    <w:rsid w:val="00367188"/>
    <w:rsid w:val="00367237"/>
    <w:rsid w:val="003672E5"/>
    <w:rsid w:val="00367348"/>
    <w:rsid w:val="00367429"/>
    <w:rsid w:val="003674AB"/>
    <w:rsid w:val="003674B9"/>
    <w:rsid w:val="00367557"/>
    <w:rsid w:val="0036764C"/>
    <w:rsid w:val="00367684"/>
    <w:rsid w:val="0036774D"/>
    <w:rsid w:val="00367768"/>
    <w:rsid w:val="00367929"/>
    <w:rsid w:val="00367974"/>
    <w:rsid w:val="003679AE"/>
    <w:rsid w:val="003679D5"/>
    <w:rsid w:val="00367B23"/>
    <w:rsid w:val="00367C10"/>
    <w:rsid w:val="00367C92"/>
    <w:rsid w:val="00367CE3"/>
    <w:rsid w:val="00367DAA"/>
    <w:rsid w:val="00367E8E"/>
    <w:rsid w:val="00367F09"/>
    <w:rsid w:val="00370097"/>
    <w:rsid w:val="003700B3"/>
    <w:rsid w:val="003700B4"/>
    <w:rsid w:val="003700C1"/>
    <w:rsid w:val="003700DA"/>
    <w:rsid w:val="0037014A"/>
    <w:rsid w:val="0037014B"/>
    <w:rsid w:val="0037026D"/>
    <w:rsid w:val="00370299"/>
    <w:rsid w:val="003702F1"/>
    <w:rsid w:val="003702F7"/>
    <w:rsid w:val="00370375"/>
    <w:rsid w:val="0037039E"/>
    <w:rsid w:val="00370440"/>
    <w:rsid w:val="0037048B"/>
    <w:rsid w:val="00370496"/>
    <w:rsid w:val="003704F1"/>
    <w:rsid w:val="00370521"/>
    <w:rsid w:val="0037057D"/>
    <w:rsid w:val="0037058F"/>
    <w:rsid w:val="003705F3"/>
    <w:rsid w:val="00370690"/>
    <w:rsid w:val="00370716"/>
    <w:rsid w:val="00370803"/>
    <w:rsid w:val="00370899"/>
    <w:rsid w:val="00370904"/>
    <w:rsid w:val="003709BE"/>
    <w:rsid w:val="00370B5B"/>
    <w:rsid w:val="00370C06"/>
    <w:rsid w:val="00370E6F"/>
    <w:rsid w:val="00370F6A"/>
    <w:rsid w:val="00370FDE"/>
    <w:rsid w:val="00371081"/>
    <w:rsid w:val="003711F8"/>
    <w:rsid w:val="00371307"/>
    <w:rsid w:val="0037149F"/>
    <w:rsid w:val="00371640"/>
    <w:rsid w:val="003716B8"/>
    <w:rsid w:val="003716E4"/>
    <w:rsid w:val="0037171D"/>
    <w:rsid w:val="0037175D"/>
    <w:rsid w:val="003717D2"/>
    <w:rsid w:val="003719C4"/>
    <w:rsid w:val="003719FD"/>
    <w:rsid w:val="00371A8F"/>
    <w:rsid w:val="00371AE5"/>
    <w:rsid w:val="00371B2A"/>
    <w:rsid w:val="00371B75"/>
    <w:rsid w:val="00371B8B"/>
    <w:rsid w:val="00371C5F"/>
    <w:rsid w:val="00371C7C"/>
    <w:rsid w:val="00371CA3"/>
    <w:rsid w:val="00371CAC"/>
    <w:rsid w:val="00371DE4"/>
    <w:rsid w:val="00371E79"/>
    <w:rsid w:val="00371E85"/>
    <w:rsid w:val="00371EC4"/>
    <w:rsid w:val="00371FF7"/>
    <w:rsid w:val="0037207D"/>
    <w:rsid w:val="00372129"/>
    <w:rsid w:val="0037214F"/>
    <w:rsid w:val="003721A5"/>
    <w:rsid w:val="003721E5"/>
    <w:rsid w:val="00372262"/>
    <w:rsid w:val="00372273"/>
    <w:rsid w:val="0037228F"/>
    <w:rsid w:val="003722D2"/>
    <w:rsid w:val="00372320"/>
    <w:rsid w:val="0037237E"/>
    <w:rsid w:val="003723D2"/>
    <w:rsid w:val="0037244E"/>
    <w:rsid w:val="0037247B"/>
    <w:rsid w:val="00372486"/>
    <w:rsid w:val="00372599"/>
    <w:rsid w:val="003725F7"/>
    <w:rsid w:val="00372619"/>
    <w:rsid w:val="0037267F"/>
    <w:rsid w:val="00372682"/>
    <w:rsid w:val="003726CC"/>
    <w:rsid w:val="00372712"/>
    <w:rsid w:val="00372715"/>
    <w:rsid w:val="003728EF"/>
    <w:rsid w:val="00372927"/>
    <w:rsid w:val="003729AF"/>
    <w:rsid w:val="003729BB"/>
    <w:rsid w:val="003729ED"/>
    <w:rsid w:val="003729F6"/>
    <w:rsid w:val="00372AC1"/>
    <w:rsid w:val="00372B27"/>
    <w:rsid w:val="00372C26"/>
    <w:rsid w:val="00372CAA"/>
    <w:rsid w:val="00372CD1"/>
    <w:rsid w:val="00372D4C"/>
    <w:rsid w:val="00372DA1"/>
    <w:rsid w:val="00372E0E"/>
    <w:rsid w:val="00372E6A"/>
    <w:rsid w:val="00372E85"/>
    <w:rsid w:val="00372F66"/>
    <w:rsid w:val="00372F94"/>
    <w:rsid w:val="00372FD4"/>
    <w:rsid w:val="0037304D"/>
    <w:rsid w:val="0037308D"/>
    <w:rsid w:val="003730B8"/>
    <w:rsid w:val="003730F9"/>
    <w:rsid w:val="00373111"/>
    <w:rsid w:val="00373181"/>
    <w:rsid w:val="0037326D"/>
    <w:rsid w:val="0037327B"/>
    <w:rsid w:val="0037332A"/>
    <w:rsid w:val="003734C7"/>
    <w:rsid w:val="003735AD"/>
    <w:rsid w:val="00373695"/>
    <w:rsid w:val="00373706"/>
    <w:rsid w:val="00373718"/>
    <w:rsid w:val="00373755"/>
    <w:rsid w:val="003737A8"/>
    <w:rsid w:val="00373836"/>
    <w:rsid w:val="00373877"/>
    <w:rsid w:val="003738FB"/>
    <w:rsid w:val="00373915"/>
    <w:rsid w:val="00373A96"/>
    <w:rsid w:val="00373D12"/>
    <w:rsid w:val="00373DD0"/>
    <w:rsid w:val="00373E94"/>
    <w:rsid w:val="00373F70"/>
    <w:rsid w:val="00374016"/>
    <w:rsid w:val="00374019"/>
    <w:rsid w:val="0037404F"/>
    <w:rsid w:val="00374081"/>
    <w:rsid w:val="003740D7"/>
    <w:rsid w:val="00374263"/>
    <w:rsid w:val="003742A6"/>
    <w:rsid w:val="00374335"/>
    <w:rsid w:val="00374461"/>
    <w:rsid w:val="00374504"/>
    <w:rsid w:val="0037450D"/>
    <w:rsid w:val="003745DB"/>
    <w:rsid w:val="003746B6"/>
    <w:rsid w:val="003746D2"/>
    <w:rsid w:val="00374755"/>
    <w:rsid w:val="00374770"/>
    <w:rsid w:val="003748EE"/>
    <w:rsid w:val="003749B9"/>
    <w:rsid w:val="00374A41"/>
    <w:rsid w:val="00374CE2"/>
    <w:rsid w:val="00374E70"/>
    <w:rsid w:val="00374E9D"/>
    <w:rsid w:val="00374F84"/>
    <w:rsid w:val="00374F96"/>
    <w:rsid w:val="00374FB7"/>
    <w:rsid w:val="00374FF8"/>
    <w:rsid w:val="0037503E"/>
    <w:rsid w:val="003750BC"/>
    <w:rsid w:val="003750C2"/>
    <w:rsid w:val="003751BD"/>
    <w:rsid w:val="003754BB"/>
    <w:rsid w:val="00375572"/>
    <w:rsid w:val="00375579"/>
    <w:rsid w:val="003755CC"/>
    <w:rsid w:val="003757D8"/>
    <w:rsid w:val="003758A5"/>
    <w:rsid w:val="00375956"/>
    <w:rsid w:val="003759FC"/>
    <w:rsid w:val="00375A9E"/>
    <w:rsid w:val="00375AE4"/>
    <w:rsid w:val="00375B88"/>
    <w:rsid w:val="00375BD9"/>
    <w:rsid w:val="00375DB6"/>
    <w:rsid w:val="00375E85"/>
    <w:rsid w:val="00375E89"/>
    <w:rsid w:val="00375EE1"/>
    <w:rsid w:val="00375F47"/>
    <w:rsid w:val="00375FAA"/>
    <w:rsid w:val="00376049"/>
    <w:rsid w:val="003760ED"/>
    <w:rsid w:val="0037610F"/>
    <w:rsid w:val="00376135"/>
    <w:rsid w:val="003761BC"/>
    <w:rsid w:val="003761E9"/>
    <w:rsid w:val="00376236"/>
    <w:rsid w:val="003762A5"/>
    <w:rsid w:val="0037639B"/>
    <w:rsid w:val="003763E5"/>
    <w:rsid w:val="0037646D"/>
    <w:rsid w:val="00376539"/>
    <w:rsid w:val="003765E1"/>
    <w:rsid w:val="003765F7"/>
    <w:rsid w:val="0037666A"/>
    <w:rsid w:val="003766DC"/>
    <w:rsid w:val="003766F3"/>
    <w:rsid w:val="0037672E"/>
    <w:rsid w:val="00376826"/>
    <w:rsid w:val="00376837"/>
    <w:rsid w:val="00376887"/>
    <w:rsid w:val="0037689D"/>
    <w:rsid w:val="00376940"/>
    <w:rsid w:val="00376956"/>
    <w:rsid w:val="00376987"/>
    <w:rsid w:val="003769F8"/>
    <w:rsid w:val="00376AA5"/>
    <w:rsid w:val="00376AEA"/>
    <w:rsid w:val="00376B18"/>
    <w:rsid w:val="00376B2D"/>
    <w:rsid w:val="00376B32"/>
    <w:rsid w:val="00376B5E"/>
    <w:rsid w:val="00376B60"/>
    <w:rsid w:val="00376BE2"/>
    <w:rsid w:val="00376C9E"/>
    <w:rsid w:val="00376CAB"/>
    <w:rsid w:val="00376DF3"/>
    <w:rsid w:val="00376F3E"/>
    <w:rsid w:val="00376F59"/>
    <w:rsid w:val="00376F81"/>
    <w:rsid w:val="00377054"/>
    <w:rsid w:val="0037706A"/>
    <w:rsid w:val="0037707F"/>
    <w:rsid w:val="00377094"/>
    <w:rsid w:val="003770A5"/>
    <w:rsid w:val="003770F7"/>
    <w:rsid w:val="003771F3"/>
    <w:rsid w:val="003772AE"/>
    <w:rsid w:val="0037741D"/>
    <w:rsid w:val="0037742E"/>
    <w:rsid w:val="00377713"/>
    <w:rsid w:val="00377791"/>
    <w:rsid w:val="0037784F"/>
    <w:rsid w:val="003779DE"/>
    <w:rsid w:val="00377A09"/>
    <w:rsid w:val="00377A19"/>
    <w:rsid w:val="00377A48"/>
    <w:rsid w:val="00377B5A"/>
    <w:rsid w:val="00377C7C"/>
    <w:rsid w:val="00377CB9"/>
    <w:rsid w:val="00377D30"/>
    <w:rsid w:val="00377DE5"/>
    <w:rsid w:val="00377E66"/>
    <w:rsid w:val="00377E9F"/>
    <w:rsid w:val="00377F00"/>
    <w:rsid w:val="00377F31"/>
    <w:rsid w:val="00377F45"/>
    <w:rsid w:val="00377F56"/>
    <w:rsid w:val="00380198"/>
    <w:rsid w:val="00380200"/>
    <w:rsid w:val="00380216"/>
    <w:rsid w:val="003802E5"/>
    <w:rsid w:val="00380325"/>
    <w:rsid w:val="0038038E"/>
    <w:rsid w:val="003803BC"/>
    <w:rsid w:val="00380470"/>
    <w:rsid w:val="003804E0"/>
    <w:rsid w:val="003804FD"/>
    <w:rsid w:val="00380551"/>
    <w:rsid w:val="00380562"/>
    <w:rsid w:val="003805A4"/>
    <w:rsid w:val="00380622"/>
    <w:rsid w:val="00380729"/>
    <w:rsid w:val="00380748"/>
    <w:rsid w:val="003807B8"/>
    <w:rsid w:val="00380875"/>
    <w:rsid w:val="003808E4"/>
    <w:rsid w:val="0038092D"/>
    <w:rsid w:val="003809B4"/>
    <w:rsid w:val="00380B12"/>
    <w:rsid w:val="00380B63"/>
    <w:rsid w:val="00380BF2"/>
    <w:rsid w:val="00380C25"/>
    <w:rsid w:val="00380C69"/>
    <w:rsid w:val="00380D9C"/>
    <w:rsid w:val="00380DCA"/>
    <w:rsid w:val="00380F72"/>
    <w:rsid w:val="00381104"/>
    <w:rsid w:val="00381202"/>
    <w:rsid w:val="00381205"/>
    <w:rsid w:val="00381294"/>
    <w:rsid w:val="003814CB"/>
    <w:rsid w:val="00381501"/>
    <w:rsid w:val="00381621"/>
    <w:rsid w:val="00381633"/>
    <w:rsid w:val="00381653"/>
    <w:rsid w:val="00381714"/>
    <w:rsid w:val="0038178B"/>
    <w:rsid w:val="003817E5"/>
    <w:rsid w:val="00381815"/>
    <w:rsid w:val="00381823"/>
    <w:rsid w:val="0038191D"/>
    <w:rsid w:val="00381963"/>
    <w:rsid w:val="00381980"/>
    <w:rsid w:val="0038198F"/>
    <w:rsid w:val="00381AB5"/>
    <w:rsid w:val="00381AFA"/>
    <w:rsid w:val="00381B41"/>
    <w:rsid w:val="00381BB1"/>
    <w:rsid w:val="00381BC2"/>
    <w:rsid w:val="00381D08"/>
    <w:rsid w:val="00382003"/>
    <w:rsid w:val="00382016"/>
    <w:rsid w:val="00382025"/>
    <w:rsid w:val="00382039"/>
    <w:rsid w:val="003820C1"/>
    <w:rsid w:val="003820D5"/>
    <w:rsid w:val="003820FC"/>
    <w:rsid w:val="00382150"/>
    <w:rsid w:val="00382191"/>
    <w:rsid w:val="003821F9"/>
    <w:rsid w:val="003822A5"/>
    <w:rsid w:val="0038232C"/>
    <w:rsid w:val="003823E4"/>
    <w:rsid w:val="00382443"/>
    <w:rsid w:val="0038244D"/>
    <w:rsid w:val="0038248F"/>
    <w:rsid w:val="003825B5"/>
    <w:rsid w:val="00382685"/>
    <w:rsid w:val="0038269C"/>
    <w:rsid w:val="003826A3"/>
    <w:rsid w:val="003826F8"/>
    <w:rsid w:val="0038280C"/>
    <w:rsid w:val="00382935"/>
    <w:rsid w:val="00382ADA"/>
    <w:rsid w:val="00382B13"/>
    <w:rsid w:val="00382BF2"/>
    <w:rsid w:val="00382C09"/>
    <w:rsid w:val="00382C67"/>
    <w:rsid w:val="00382DEA"/>
    <w:rsid w:val="00382E98"/>
    <w:rsid w:val="00382EF4"/>
    <w:rsid w:val="00382FBE"/>
    <w:rsid w:val="00383033"/>
    <w:rsid w:val="0038327A"/>
    <w:rsid w:val="003832AB"/>
    <w:rsid w:val="003832DB"/>
    <w:rsid w:val="0038335A"/>
    <w:rsid w:val="0038337B"/>
    <w:rsid w:val="0038338F"/>
    <w:rsid w:val="00383432"/>
    <w:rsid w:val="00383443"/>
    <w:rsid w:val="00383451"/>
    <w:rsid w:val="00383485"/>
    <w:rsid w:val="003835B8"/>
    <w:rsid w:val="00383640"/>
    <w:rsid w:val="00383715"/>
    <w:rsid w:val="00383747"/>
    <w:rsid w:val="003839C3"/>
    <w:rsid w:val="00383BA7"/>
    <w:rsid w:val="00383BD7"/>
    <w:rsid w:val="00383BE9"/>
    <w:rsid w:val="00383C41"/>
    <w:rsid w:val="00383D09"/>
    <w:rsid w:val="00383DE2"/>
    <w:rsid w:val="00383F3A"/>
    <w:rsid w:val="00383FCB"/>
    <w:rsid w:val="0038406B"/>
    <w:rsid w:val="00384147"/>
    <w:rsid w:val="00384224"/>
    <w:rsid w:val="00384225"/>
    <w:rsid w:val="00384340"/>
    <w:rsid w:val="003843AE"/>
    <w:rsid w:val="003844D4"/>
    <w:rsid w:val="0038455A"/>
    <w:rsid w:val="00384634"/>
    <w:rsid w:val="0038463D"/>
    <w:rsid w:val="00384674"/>
    <w:rsid w:val="0038469A"/>
    <w:rsid w:val="0038473D"/>
    <w:rsid w:val="0038488F"/>
    <w:rsid w:val="00384953"/>
    <w:rsid w:val="003849E3"/>
    <w:rsid w:val="00384A44"/>
    <w:rsid w:val="00384A56"/>
    <w:rsid w:val="00384A68"/>
    <w:rsid w:val="00384BCC"/>
    <w:rsid w:val="00384D35"/>
    <w:rsid w:val="00384DA2"/>
    <w:rsid w:val="00384DE7"/>
    <w:rsid w:val="00384EDC"/>
    <w:rsid w:val="00384EF2"/>
    <w:rsid w:val="00384F0C"/>
    <w:rsid w:val="00384FD7"/>
    <w:rsid w:val="00384FE0"/>
    <w:rsid w:val="003850B4"/>
    <w:rsid w:val="003850ED"/>
    <w:rsid w:val="003850EF"/>
    <w:rsid w:val="00385176"/>
    <w:rsid w:val="003851A0"/>
    <w:rsid w:val="003851D9"/>
    <w:rsid w:val="00385212"/>
    <w:rsid w:val="0038522B"/>
    <w:rsid w:val="00385298"/>
    <w:rsid w:val="003852B7"/>
    <w:rsid w:val="00385309"/>
    <w:rsid w:val="003853C3"/>
    <w:rsid w:val="00385547"/>
    <w:rsid w:val="003855B1"/>
    <w:rsid w:val="00385684"/>
    <w:rsid w:val="003856B5"/>
    <w:rsid w:val="0038581F"/>
    <w:rsid w:val="003858AC"/>
    <w:rsid w:val="003858B8"/>
    <w:rsid w:val="00385923"/>
    <w:rsid w:val="0038597B"/>
    <w:rsid w:val="00385992"/>
    <w:rsid w:val="003859B2"/>
    <w:rsid w:val="00385A76"/>
    <w:rsid w:val="00385A95"/>
    <w:rsid w:val="00385B4B"/>
    <w:rsid w:val="00385B67"/>
    <w:rsid w:val="00385BD7"/>
    <w:rsid w:val="00385BFE"/>
    <w:rsid w:val="00385C78"/>
    <w:rsid w:val="00385CE9"/>
    <w:rsid w:val="00385DD6"/>
    <w:rsid w:val="00385DFE"/>
    <w:rsid w:val="00385E0F"/>
    <w:rsid w:val="00385EDB"/>
    <w:rsid w:val="00385FA4"/>
    <w:rsid w:val="00385FB6"/>
    <w:rsid w:val="00385FF5"/>
    <w:rsid w:val="00386021"/>
    <w:rsid w:val="0038614D"/>
    <w:rsid w:val="00386188"/>
    <w:rsid w:val="00386250"/>
    <w:rsid w:val="003862B6"/>
    <w:rsid w:val="003862C2"/>
    <w:rsid w:val="003862DF"/>
    <w:rsid w:val="00386376"/>
    <w:rsid w:val="003863BD"/>
    <w:rsid w:val="00386472"/>
    <w:rsid w:val="003864D1"/>
    <w:rsid w:val="00386506"/>
    <w:rsid w:val="00386525"/>
    <w:rsid w:val="00386544"/>
    <w:rsid w:val="003865FD"/>
    <w:rsid w:val="003867F5"/>
    <w:rsid w:val="003867FF"/>
    <w:rsid w:val="00386860"/>
    <w:rsid w:val="00386863"/>
    <w:rsid w:val="00386915"/>
    <w:rsid w:val="003869DD"/>
    <w:rsid w:val="00386A60"/>
    <w:rsid w:val="00386AFD"/>
    <w:rsid w:val="00386B0E"/>
    <w:rsid w:val="00386CF4"/>
    <w:rsid w:val="00386D1F"/>
    <w:rsid w:val="00386D98"/>
    <w:rsid w:val="00386ECC"/>
    <w:rsid w:val="00386EE1"/>
    <w:rsid w:val="00386F3C"/>
    <w:rsid w:val="00386F54"/>
    <w:rsid w:val="00386F58"/>
    <w:rsid w:val="00386F7E"/>
    <w:rsid w:val="003871BE"/>
    <w:rsid w:val="00387289"/>
    <w:rsid w:val="003872A7"/>
    <w:rsid w:val="003873E8"/>
    <w:rsid w:val="00387400"/>
    <w:rsid w:val="0038749A"/>
    <w:rsid w:val="00387513"/>
    <w:rsid w:val="003875F2"/>
    <w:rsid w:val="003876B3"/>
    <w:rsid w:val="0038786E"/>
    <w:rsid w:val="003878FD"/>
    <w:rsid w:val="0038795B"/>
    <w:rsid w:val="00387960"/>
    <w:rsid w:val="0038796E"/>
    <w:rsid w:val="00387997"/>
    <w:rsid w:val="00387AFE"/>
    <w:rsid w:val="00387B70"/>
    <w:rsid w:val="00387B8A"/>
    <w:rsid w:val="00387C00"/>
    <w:rsid w:val="00387C6A"/>
    <w:rsid w:val="00387CF0"/>
    <w:rsid w:val="00387CF9"/>
    <w:rsid w:val="00387D67"/>
    <w:rsid w:val="00387DC2"/>
    <w:rsid w:val="00387E20"/>
    <w:rsid w:val="00387E85"/>
    <w:rsid w:val="00387E90"/>
    <w:rsid w:val="00387EF4"/>
    <w:rsid w:val="00387F44"/>
    <w:rsid w:val="00390002"/>
    <w:rsid w:val="0039009A"/>
    <w:rsid w:val="003900E6"/>
    <w:rsid w:val="00390107"/>
    <w:rsid w:val="003902B7"/>
    <w:rsid w:val="003902F1"/>
    <w:rsid w:val="003902F8"/>
    <w:rsid w:val="00390318"/>
    <w:rsid w:val="003903AF"/>
    <w:rsid w:val="003903F9"/>
    <w:rsid w:val="00390673"/>
    <w:rsid w:val="003906A5"/>
    <w:rsid w:val="0039075A"/>
    <w:rsid w:val="003907A6"/>
    <w:rsid w:val="00390826"/>
    <w:rsid w:val="0039088B"/>
    <w:rsid w:val="003908C2"/>
    <w:rsid w:val="00390916"/>
    <w:rsid w:val="00390B04"/>
    <w:rsid w:val="00390B0F"/>
    <w:rsid w:val="00390BDF"/>
    <w:rsid w:val="00390CF9"/>
    <w:rsid w:val="00390D62"/>
    <w:rsid w:val="00390E2D"/>
    <w:rsid w:val="00390E55"/>
    <w:rsid w:val="00391026"/>
    <w:rsid w:val="00391036"/>
    <w:rsid w:val="003910E2"/>
    <w:rsid w:val="00391194"/>
    <w:rsid w:val="00391243"/>
    <w:rsid w:val="0039125E"/>
    <w:rsid w:val="00391312"/>
    <w:rsid w:val="0039136F"/>
    <w:rsid w:val="0039137B"/>
    <w:rsid w:val="003913B5"/>
    <w:rsid w:val="003914CE"/>
    <w:rsid w:val="003914D8"/>
    <w:rsid w:val="0039153A"/>
    <w:rsid w:val="00391653"/>
    <w:rsid w:val="0039175A"/>
    <w:rsid w:val="0039193A"/>
    <w:rsid w:val="0039193E"/>
    <w:rsid w:val="00391AC8"/>
    <w:rsid w:val="00391AE0"/>
    <w:rsid w:val="00391AEA"/>
    <w:rsid w:val="00391B18"/>
    <w:rsid w:val="00391B80"/>
    <w:rsid w:val="00391CAD"/>
    <w:rsid w:val="00391D63"/>
    <w:rsid w:val="00391DEE"/>
    <w:rsid w:val="00391E0F"/>
    <w:rsid w:val="00391E13"/>
    <w:rsid w:val="00391E58"/>
    <w:rsid w:val="00391E71"/>
    <w:rsid w:val="00391E83"/>
    <w:rsid w:val="00392029"/>
    <w:rsid w:val="00392060"/>
    <w:rsid w:val="00392159"/>
    <w:rsid w:val="00392177"/>
    <w:rsid w:val="0039217D"/>
    <w:rsid w:val="00392243"/>
    <w:rsid w:val="00392331"/>
    <w:rsid w:val="00392379"/>
    <w:rsid w:val="003923E4"/>
    <w:rsid w:val="00392498"/>
    <w:rsid w:val="003924D1"/>
    <w:rsid w:val="00392539"/>
    <w:rsid w:val="0039257E"/>
    <w:rsid w:val="0039272A"/>
    <w:rsid w:val="0039276A"/>
    <w:rsid w:val="0039279A"/>
    <w:rsid w:val="003929A9"/>
    <w:rsid w:val="00392B69"/>
    <w:rsid w:val="00392B84"/>
    <w:rsid w:val="00392BAC"/>
    <w:rsid w:val="00392C03"/>
    <w:rsid w:val="00392C33"/>
    <w:rsid w:val="00392CD7"/>
    <w:rsid w:val="00392D14"/>
    <w:rsid w:val="00392D17"/>
    <w:rsid w:val="00392D2A"/>
    <w:rsid w:val="00392D9B"/>
    <w:rsid w:val="00393047"/>
    <w:rsid w:val="0039308D"/>
    <w:rsid w:val="003930AE"/>
    <w:rsid w:val="003930E0"/>
    <w:rsid w:val="003930FD"/>
    <w:rsid w:val="00393135"/>
    <w:rsid w:val="003931C3"/>
    <w:rsid w:val="0039320F"/>
    <w:rsid w:val="0039324F"/>
    <w:rsid w:val="0039339C"/>
    <w:rsid w:val="0039342D"/>
    <w:rsid w:val="003935AE"/>
    <w:rsid w:val="003936BE"/>
    <w:rsid w:val="00393701"/>
    <w:rsid w:val="003937C1"/>
    <w:rsid w:val="003939C4"/>
    <w:rsid w:val="00393AA3"/>
    <w:rsid w:val="00393AF1"/>
    <w:rsid w:val="00393B71"/>
    <w:rsid w:val="00393BF6"/>
    <w:rsid w:val="00393C35"/>
    <w:rsid w:val="00393CED"/>
    <w:rsid w:val="00393CF8"/>
    <w:rsid w:val="00393D5B"/>
    <w:rsid w:val="00393D70"/>
    <w:rsid w:val="00393EA8"/>
    <w:rsid w:val="00393FAA"/>
    <w:rsid w:val="00393FDC"/>
    <w:rsid w:val="0039408F"/>
    <w:rsid w:val="003940F3"/>
    <w:rsid w:val="0039417F"/>
    <w:rsid w:val="0039418F"/>
    <w:rsid w:val="003941BB"/>
    <w:rsid w:val="003941C4"/>
    <w:rsid w:val="00394201"/>
    <w:rsid w:val="00394235"/>
    <w:rsid w:val="0039425E"/>
    <w:rsid w:val="00394365"/>
    <w:rsid w:val="0039446E"/>
    <w:rsid w:val="003944B4"/>
    <w:rsid w:val="003944CC"/>
    <w:rsid w:val="00394577"/>
    <w:rsid w:val="003945A9"/>
    <w:rsid w:val="003945DA"/>
    <w:rsid w:val="003945E2"/>
    <w:rsid w:val="00394740"/>
    <w:rsid w:val="00394799"/>
    <w:rsid w:val="003947C3"/>
    <w:rsid w:val="00394857"/>
    <w:rsid w:val="00394A92"/>
    <w:rsid w:val="00394B17"/>
    <w:rsid w:val="00394BB5"/>
    <w:rsid w:val="00394C84"/>
    <w:rsid w:val="00394CB3"/>
    <w:rsid w:val="00394E2B"/>
    <w:rsid w:val="00394F2A"/>
    <w:rsid w:val="00394F2F"/>
    <w:rsid w:val="00395052"/>
    <w:rsid w:val="0039521C"/>
    <w:rsid w:val="0039527B"/>
    <w:rsid w:val="0039547F"/>
    <w:rsid w:val="0039555D"/>
    <w:rsid w:val="00395582"/>
    <w:rsid w:val="003955AC"/>
    <w:rsid w:val="00395848"/>
    <w:rsid w:val="0039589E"/>
    <w:rsid w:val="00395937"/>
    <w:rsid w:val="00395953"/>
    <w:rsid w:val="0039599C"/>
    <w:rsid w:val="0039599F"/>
    <w:rsid w:val="00395A71"/>
    <w:rsid w:val="00395AE7"/>
    <w:rsid w:val="00395C28"/>
    <w:rsid w:val="00395C9B"/>
    <w:rsid w:val="00395CCD"/>
    <w:rsid w:val="00395D21"/>
    <w:rsid w:val="00395F6C"/>
    <w:rsid w:val="00396041"/>
    <w:rsid w:val="00396124"/>
    <w:rsid w:val="00396139"/>
    <w:rsid w:val="00396150"/>
    <w:rsid w:val="003961A2"/>
    <w:rsid w:val="003961AD"/>
    <w:rsid w:val="003961EE"/>
    <w:rsid w:val="00396229"/>
    <w:rsid w:val="0039624D"/>
    <w:rsid w:val="00396269"/>
    <w:rsid w:val="0039628F"/>
    <w:rsid w:val="003962A1"/>
    <w:rsid w:val="003962A3"/>
    <w:rsid w:val="003963C3"/>
    <w:rsid w:val="0039649D"/>
    <w:rsid w:val="003964F6"/>
    <w:rsid w:val="00396712"/>
    <w:rsid w:val="0039677C"/>
    <w:rsid w:val="0039678F"/>
    <w:rsid w:val="003967F2"/>
    <w:rsid w:val="0039683B"/>
    <w:rsid w:val="00396952"/>
    <w:rsid w:val="00396CE9"/>
    <w:rsid w:val="00396D9E"/>
    <w:rsid w:val="00396E1D"/>
    <w:rsid w:val="00396E6E"/>
    <w:rsid w:val="00396F4F"/>
    <w:rsid w:val="00396FA7"/>
    <w:rsid w:val="00396FF4"/>
    <w:rsid w:val="00397017"/>
    <w:rsid w:val="003970A4"/>
    <w:rsid w:val="003971E3"/>
    <w:rsid w:val="00397216"/>
    <w:rsid w:val="00397218"/>
    <w:rsid w:val="0039726E"/>
    <w:rsid w:val="00397397"/>
    <w:rsid w:val="003973A1"/>
    <w:rsid w:val="003973A2"/>
    <w:rsid w:val="003973BE"/>
    <w:rsid w:val="003973D9"/>
    <w:rsid w:val="003974DB"/>
    <w:rsid w:val="003975FC"/>
    <w:rsid w:val="003976F7"/>
    <w:rsid w:val="003977A9"/>
    <w:rsid w:val="003977C6"/>
    <w:rsid w:val="00397817"/>
    <w:rsid w:val="00397823"/>
    <w:rsid w:val="003978D4"/>
    <w:rsid w:val="00397911"/>
    <w:rsid w:val="00397978"/>
    <w:rsid w:val="00397984"/>
    <w:rsid w:val="003979E6"/>
    <w:rsid w:val="00397A18"/>
    <w:rsid w:val="00397B86"/>
    <w:rsid w:val="00397E42"/>
    <w:rsid w:val="00397EE8"/>
    <w:rsid w:val="00397F79"/>
    <w:rsid w:val="003A0075"/>
    <w:rsid w:val="003A00A2"/>
    <w:rsid w:val="003A0177"/>
    <w:rsid w:val="003A020B"/>
    <w:rsid w:val="003A022D"/>
    <w:rsid w:val="003A0251"/>
    <w:rsid w:val="003A032F"/>
    <w:rsid w:val="003A0414"/>
    <w:rsid w:val="003A04DE"/>
    <w:rsid w:val="003A0537"/>
    <w:rsid w:val="003A0582"/>
    <w:rsid w:val="003A0588"/>
    <w:rsid w:val="003A05AF"/>
    <w:rsid w:val="003A069E"/>
    <w:rsid w:val="003A073A"/>
    <w:rsid w:val="003A07E3"/>
    <w:rsid w:val="003A0842"/>
    <w:rsid w:val="003A08DA"/>
    <w:rsid w:val="003A09F2"/>
    <w:rsid w:val="003A0A3A"/>
    <w:rsid w:val="003A0CD7"/>
    <w:rsid w:val="003A0D50"/>
    <w:rsid w:val="003A1042"/>
    <w:rsid w:val="003A106A"/>
    <w:rsid w:val="003A115D"/>
    <w:rsid w:val="003A12BD"/>
    <w:rsid w:val="003A134B"/>
    <w:rsid w:val="003A13A8"/>
    <w:rsid w:val="003A13CF"/>
    <w:rsid w:val="003A1470"/>
    <w:rsid w:val="003A14D1"/>
    <w:rsid w:val="003A15F5"/>
    <w:rsid w:val="003A160E"/>
    <w:rsid w:val="003A1777"/>
    <w:rsid w:val="003A1783"/>
    <w:rsid w:val="003A193A"/>
    <w:rsid w:val="003A1A30"/>
    <w:rsid w:val="003A1ACE"/>
    <w:rsid w:val="003A1ADE"/>
    <w:rsid w:val="003A1B1E"/>
    <w:rsid w:val="003A1B34"/>
    <w:rsid w:val="003A1B4A"/>
    <w:rsid w:val="003A1B4B"/>
    <w:rsid w:val="003A1B50"/>
    <w:rsid w:val="003A1B7E"/>
    <w:rsid w:val="003A1C45"/>
    <w:rsid w:val="003A1C5E"/>
    <w:rsid w:val="003A1C8A"/>
    <w:rsid w:val="003A1CEE"/>
    <w:rsid w:val="003A1D4D"/>
    <w:rsid w:val="003A1DB3"/>
    <w:rsid w:val="003A1DFC"/>
    <w:rsid w:val="003A1E08"/>
    <w:rsid w:val="003A1E14"/>
    <w:rsid w:val="003A1F04"/>
    <w:rsid w:val="003A1FBA"/>
    <w:rsid w:val="003A2120"/>
    <w:rsid w:val="003A22C6"/>
    <w:rsid w:val="003A2386"/>
    <w:rsid w:val="003A23B2"/>
    <w:rsid w:val="003A23FA"/>
    <w:rsid w:val="003A2421"/>
    <w:rsid w:val="003A2439"/>
    <w:rsid w:val="003A2537"/>
    <w:rsid w:val="003A28C6"/>
    <w:rsid w:val="003A28CD"/>
    <w:rsid w:val="003A29B0"/>
    <w:rsid w:val="003A29DF"/>
    <w:rsid w:val="003A29F0"/>
    <w:rsid w:val="003A2A63"/>
    <w:rsid w:val="003A2C07"/>
    <w:rsid w:val="003A2C1C"/>
    <w:rsid w:val="003A2CD1"/>
    <w:rsid w:val="003A2CFB"/>
    <w:rsid w:val="003A2D58"/>
    <w:rsid w:val="003A2D94"/>
    <w:rsid w:val="003A2DCA"/>
    <w:rsid w:val="003A2DD2"/>
    <w:rsid w:val="003A2DE8"/>
    <w:rsid w:val="003A2E17"/>
    <w:rsid w:val="003A2E33"/>
    <w:rsid w:val="003A2E74"/>
    <w:rsid w:val="003A2E9C"/>
    <w:rsid w:val="003A3026"/>
    <w:rsid w:val="003A3078"/>
    <w:rsid w:val="003A30A7"/>
    <w:rsid w:val="003A3122"/>
    <w:rsid w:val="003A3133"/>
    <w:rsid w:val="003A313D"/>
    <w:rsid w:val="003A3176"/>
    <w:rsid w:val="003A3328"/>
    <w:rsid w:val="003A3444"/>
    <w:rsid w:val="003A34D1"/>
    <w:rsid w:val="003A35E1"/>
    <w:rsid w:val="003A3621"/>
    <w:rsid w:val="003A36DB"/>
    <w:rsid w:val="003A3897"/>
    <w:rsid w:val="003A38E6"/>
    <w:rsid w:val="003A3988"/>
    <w:rsid w:val="003A39EB"/>
    <w:rsid w:val="003A3AD7"/>
    <w:rsid w:val="003A3B4F"/>
    <w:rsid w:val="003A3CE5"/>
    <w:rsid w:val="003A3DC1"/>
    <w:rsid w:val="003A3F99"/>
    <w:rsid w:val="003A3FEF"/>
    <w:rsid w:val="003A4027"/>
    <w:rsid w:val="003A41AD"/>
    <w:rsid w:val="003A41AF"/>
    <w:rsid w:val="003A4218"/>
    <w:rsid w:val="003A423A"/>
    <w:rsid w:val="003A428B"/>
    <w:rsid w:val="003A444D"/>
    <w:rsid w:val="003A45C8"/>
    <w:rsid w:val="003A45FB"/>
    <w:rsid w:val="003A46CC"/>
    <w:rsid w:val="003A474C"/>
    <w:rsid w:val="003A4780"/>
    <w:rsid w:val="003A47BE"/>
    <w:rsid w:val="003A48F2"/>
    <w:rsid w:val="003A4901"/>
    <w:rsid w:val="003A49DB"/>
    <w:rsid w:val="003A4ABE"/>
    <w:rsid w:val="003A4B4A"/>
    <w:rsid w:val="003A4D5F"/>
    <w:rsid w:val="003A4DD6"/>
    <w:rsid w:val="003A4E16"/>
    <w:rsid w:val="003A4EE9"/>
    <w:rsid w:val="003A4F02"/>
    <w:rsid w:val="003A4F10"/>
    <w:rsid w:val="003A4F1C"/>
    <w:rsid w:val="003A4FD2"/>
    <w:rsid w:val="003A5028"/>
    <w:rsid w:val="003A5204"/>
    <w:rsid w:val="003A527E"/>
    <w:rsid w:val="003A5289"/>
    <w:rsid w:val="003A52CE"/>
    <w:rsid w:val="003A536A"/>
    <w:rsid w:val="003A5456"/>
    <w:rsid w:val="003A54B5"/>
    <w:rsid w:val="003A5545"/>
    <w:rsid w:val="003A5640"/>
    <w:rsid w:val="003A5732"/>
    <w:rsid w:val="003A5976"/>
    <w:rsid w:val="003A5A45"/>
    <w:rsid w:val="003A5A77"/>
    <w:rsid w:val="003A5A9B"/>
    <w:rsid w:val="003A5AB7"/>
    <w:rsid w:val="003A5AF7"/>
    <w:rsid w:val="003A5B4E"/>
    <w:rsid w:val="003A5B9C"/>
    <w:rsid w:val="003A5C11"/>
    <w:rsid w:val="003A5CFA"/>
    <w:rsid w:val="003A5E04"/>
    <w:rsid w:val="003A5E5A"/>
    <w:rsid w:val="003A5E76"/>
    <w:rsid w:val="003A5ED9"/>
    <w:rsid w:val="003A5F01"/>
    <w:rsid w:val="003A5F55"/>
    <w:rsid w:val="003A5FE5"/>
    <w:rsid w:val="003A6027"/>
    <w:rsid w:val="003A6028"/>
    <w:rsid w:val="003A602B"/>
    <w:rsid w:val="003A605E"/>
    <w:rsid w:val="003A60A2"/>
    <w:rsid w:val="003A615A"/>
    <w:rsid w:val="003A61BB"/>
    <w:rsid w:val="003A6285"/>
    <w:rsid w:val="003A6299"/>
    <w:rsid w:val="003A6346"/>
    <w:rsid w:val="003A65D2"/>
    <w:rsid w:val="003A6643"/>
    <w:rsid w:val="003A66F6"/>
    <w:rsid w:val="003A66FB"/>
    <w:rsid w:val="003A6A25"/>
    <w:rsid w:val="003A6C07"/>
    <w:rsid w:val="003A6C32"/>
    <w:rsid w:val="003A6D1F"/>
    <w:rsid w:val="003A6E42"/>
    <w:rsid w:val="003A6F3E"/>
    <w:rsid w:val="003A70A1"/>
    <w:rsid w:val="003A70E5"/>
    <w:rsid w:val="003A70F8"/>
    <w:rsid w:val="003A715F"/>
    <w:rsid w:val="003A7164"/>
    <w:rsid w:val="003A723A"/>
    <w:rsid w:val="003A73BB"/>
    <w:rsid w:val="003A7410"/>
    <w:rsid w:val="003A7517"/>
    <w:rsid w:val="003A757A"/>
    <w:rsid w:val="003A75A0"/>
    <w:rsid w:val="003A7621"/>
    <w:rsid w:val="003A76A6"/>
    <w:rsid w:val="003A76CA"/>
    <w:rsid w:val="003A7768"/>
    <w:rsid w:val="003A77A2"/>
    <w:rsid w:val="003A783C"/>
    <w:rsid w:val="003A7870"/>
    <w:rsid w:val="003A787F"/>
    <w:rsid w:val="003A78A9"/>
    <w:rsid w:val="003A7ADC"/>
    <w:rsid w:val="003A7B29"/>
    <w:rsid w:val="003A7B4D"/>
    <w:rsid w:val="003A7B58"/>
    <w:rsid w:val="003A7BA8"/>
    <w:rsid w:val="003A7C44"/>
    <w:rsid w:val="003A7C4C"/>
    <w:rsid w:val="003A7CA0"/>
    <w:rsid w:val="003A7CA6"/>
    <w:rsid w:val="003A7DCC"/>
    <w:rsid w:val="003A7E90"/>
    <w:rsid w:val="003A7EEE"/>
    <w:rsid w:val="003B000A"/>
    <w:rsid w:val="003B005E"/>
    <w:rsid w:val="003B01E8"/>
    <w:rsid w:val="003B032B"/>
    <w:rsid w:val="003B0516"/>
    <w:rsid w:val="003B05B9"/>
    <w:rsid w:val="003B05D3"/>
    <w:rsid w:val="003B05D6"/>
    <w:rsid w:val="003B0628"/>
    <w:rsid w:val="003B06E5"/>
    <w:rsid w:val="003B07D1"/>
    <w:rsid w:val="003B0800"/>
    <w:rsid w:val="003B0867"/>
    <w:rsid w:val="003B09C1"/>
    <w:rsid w:val="003B0A51"/>
    <w:rsid w:val="003B0AC6"/>
    <w:rsid w:val="003B0AEB"/>
    <w:rsid w:val="003B0C1B"/>
    <w:rsid w:val="003B0CC1"/>
    <w:rsid w:val="003B0CE5"/>
    <w:rsid w:val="003B0CE8"/>
    <w:rsid w:val="003B0D94"/>
    <w:rsid w:val="003B0DE4"/>
    <w:rsid w:val="003B0E0B"/>
    <w:rsid w:val="003B0E2B"/>
    <w:rsid w:val="003B0F3C"/>
    <w:rsid w:val="003B103B"/>
    <w:rsid w:val="003B1079"/>
    <w:rsid w:val="003B1098"/>
    <w:rsid w:val="003B11D3"/>
    <w:rsid w:val="003B1297"/>
    <w:rsid w:val="003B133D"/>
    <w:rsid w:val="003B1441"/>
    <w:rsid w:val="003B149C"/>
    <w:rsid w:val="003B1566"/>
    <w:rsid w:val="003B16C7"/>
    <w:rsid w:val="003B174A"/>
    <w:rsid w:val="003B17A3"/>
    <w:rsid w:val="003B180B"/>
    <w:rsid w:val="003B18A9"/>
    <w:rsid w:val="003B19A9"/>
    <w:rsid w:val="003B1A4E"/>
    <w:rsid w:val="003B1A89"/>
    <w:rsid w:val="003B1B46"/>
    <w:rsid w:val="003B1BD5"/>
    <w:rsid w:val="003B1C0F"/>
    <w:rsid w:val="003B1CB2"/>
    <w:rsid w:val="003B1CC8"/>
    <w:rsid w:val="003B1E6D"/>
    <w:rsid w:val="003B1EBD"/>
    <w:rsid w:val="003B1FB0"/>
    <w:rsid w:val="003B20E9"/>
    <w:rsid w:val="003B2134"/>
    <w:rsid w:val="003B2357"/>
    <w:rsid w:val="003B239C"/>
    <w:rsid w:val="003B23EB"/>
    <w:rsid w:val="003B24A5"/>
    <w:rsid w:val="003B24BF"/>
    <w:rsid w:val="003B250E"/>
    <w:rsid w:val="003B2659"/>
    <w:rsid w:val="003B272E"/>
    <w:rsid w:val="003B2736"/>
    <w:rsid w:val="003B27A5"/>
    <w:rsid w:val="003B27F5"/>
    <w:rsid w:val="003B28C0"/>
    <w:rsid w:val="003B28F7"/>
    <w:rsid w:val="003B290E"/>
    <w:rsid w:val="003B29EB"/>
    <w:rsid w:val="003B2A6B"/>
    <w:rsid w:val="003B2AAB"/>
    <w:rsid w:val="003B2B49"/>
    <w:rsid w:val="003B2B6D"/>
    <w:rsid w:val="003B2B6E"/>
    <w:rsid w:val="003B2CEC"/>
    <w:rsid w:val="003B2D08"/>
    <w:rsid w:val="003B2D75"/>
    <w:rsid w:val="003B2DE4"/>
    <w:rsid w:val="003B2E23"/>
    <w:rsid w:val="003B2E63"/>
    <w:rsid w:val="003B2E80"/>
    <w:rsid w:val="003B2F2D"/>
    <w:rsid w:val="003B2F5A"/>
    <w:rsid w:val="003B2F5C"/>
    <w:rsid w:val="003B302E"/>
    <w:rsid w:val="003B3082"/>
    <w:rsid w:val="003B312D"/>
    <w:rsid w:val="003B3155"/>
    <w:rsid w:val="003B31B8"/>
    <w:rsid w:val="003B32F4"/>
    <w:rsid w:val="003B3380"/>
    <w:rsid w:val="003B3435"/>
    <w:rsid w:val="003B34DD"/>
    <w:rsid w:val="003B3517"/>
    <w:rsid w:val="003B3546"/>
    <w:rsid w:val="003B36DC"/>
    <w:rsid w:val="003B375E"/>
    <w:rsid w:val="003B37B4"/>
    <w:rsid w:val="003B387C"/>
    <w:rsid w:val="003B39B3"/>
    <w:rsid w:val="003B3A47"/>
    <w:rsid w:val="003B3A54"/>
    <w:rsid w:val="003B3A96"/>
    <w:rsid w:val="003B3AB3"/>
    <w:rsid w:val="003B3AD4"/>
    <w:rsid w:val="003B3B13"/>
    <w:rsid w:val="003B3BAA"/>
    <w:rsid w:val="003B3BDE"/>
    <w:rsid w:val="003B3BF1"/>
    <w:rsid w:val="003B3BF9"/>
    <w:rsid w:val="003B3C87"/>
    <w:rsid w:val="003B3F04"/>
    <w:rsid w:val="003B3F71"/>
    <w:rsid w:val="003B3F80"/>
    <w:rsid w:val="003B4035"/>
    <w:rsid w:val="003B4049"/>
    <w:rsid w:val="003B4067"/>
    <w:rsid w:val="003B4186"/>
    <w:rsid w:val="003B428C"/>
    <w:rsid w:val="003B42A7"/>
    <w:rsid w:val="003B4365"/>
    <w:rsid w:val="003B440B"/>
    <w:rsid w:val="003B4497"/>
    <w:rsid w:val="003B44C1"/>
    <w:rsid w:val="003B44C7"/>
    <w:rsid w:val="003B4542"/>
    <w:rsid w:val="003B4549"/>
    <w:rsid w:val="003B4606"/>
    <w:rsid w:val="003B4685"/>
    <w:rsid w:val="003B4710"/>
    <w:rsid w:val="003B47A1"/>
    <w:rsid w:val="003B4991"/>
    <w:rsid w:val="003B49FB"/>
    <w:rsid w:val="003B4A39"/>
    <w:rsid w:val="003B4AEF"/>
    <w:rsid w:val="003B4BC3"/>
    <w:rsid w:val="003B4D7E"/>
    <w:rsid w:val="003B4E6D"/>
    <w:rsid w:val="003B4EA1"/>
    <w:rsid w:val="003B4F2D"/>
    <w:rsid w:val="003B4F96"/>
    <w:rsid w:val="003B5097"/>
    <w:rsid w:val="003B5169"/>
    <w:rsid w:val="003B516D"/>
    <w:rsid w:val="003B5268"/>
    <w:rsid w:val="003B5287"/>
    <w:rsid w:val="003B5441"/>
    <w:rsid w:val="003B5517"/>
    <w:rsid w:val="003B5687"/>
    <w:rsid w:val="003B56AD"/>
    <w:rsid w:val="003B5755"/>
    <w:rsid w:val="003B5808"/>
    <w:rsid w:val="003B580F"/>
    <w:rsid w:val="003B58CB"/>
    <w:rsid w:val="003B58DF"/>
    <w:rsid w:val="003B59D5"/>
    <w:rsid w:val="003B5A10"/>
    <w:rsid w:val="003B5A23"/>
    <w:rsid w:val="003B5B5E"/>
    <w:rsid w:val="003B5C8B"/>
    <w:rsid w:val="003B5D8C"/>
    <w:rsid w:val="003B5DA5"/>
    <w:rsid w:val="003B5DBF"/>
    <w:rsid w:val="003B5E15"/>
    <w:rsid w:val="003B5F0D"/>
    <w:rsid w:val="003B5F58"/>
    <w:rsid w:val="003B6014"/>
    <w:rsid w:val="003B6175"/>
    <w:rsid w:val="003B61D0"/>
    <w:rsid w:val="003B6224"/>
    <w:rsid w:val="003B63B6"/>
    <w:rsid w:val="003B63ED"/>
    <w:rsid w:val="003B6477"/>
    <w:rsid w:val="003B6493"/>
    <w:rsid w:val="003B6679"/>
    <w:rsid w:val="003B66BE"/>
    <w:rsid w:val="003B6770"/>
    <w:rsid w:val="003B67BB"/>
    <w:rsid w:val="003B6925"/>
    <w:rsid w:val="003B6944"/>
    <w:rsid w:val="003B6982"/>
    <w:rsid w:val="003B69EA"/>
    <w:rsid w:val="003B6A01"/>
    <w:rsid w:val="003B6A0F"/>
    <w:rsid w:val="003B6A42"/>
    <w:rsid w:val="003B6A67"/>
    <w:rsid w:val="003B6B2A"/>
    <w:rsid w:val="003B6B64"/>
    <w:rsid w:val="003B6BA9"/>
    <w:rsid w:val="003B6C83"/>
    <w:rsid w:val="003B6CEA"/>
    <w:rsid w:val="003B6D26"/>
    <w:rsid w:val="003B6D33"/>
    <w:rsid w:val="003B6D6A"/>
    <w:rsid w:val="003B6DAF"/>
    <w:rsid w:val="003B6ECC"/>
    <w:rsid w:val="003B6EEE"/>
    <w:rsid w:val="003B711B"/>
    <w:rsid w:val="003B717A"/>
    <w:rsid w:val="003B717C"/>
    <w:rsid w:val="003B7230"/>
    <w:rsid w:val="003B7499"/>
    <w:rsid w:val="003B74B5"/>
    <w:rsid w:val="003B74C1"/>
    <w:rsid w:val="003B7545"/>
    <w:rsid w:val="003B76A4"/>
    <w:rsid w:val="003B7783"/>
    <w:rsid w:val="003B77A9"/>
    <w:rsid w:val="003B7925"/>
    <w:rsid w:val="003B799D"/>
    <w:rsid w:val="003B7ADC"/>
    <w:rsid w:val="003B7B10"/>
    <w:rsid w:val="003B7B4D"/>
    <w:rsid w:val="003B7BD2"/>
    <w:rsid w:val="003B7BD4"/>
    <w:rsid w:val="003B7C07"/>
    <w:rsid w:val="003B7C0D"/>
    <w:rsid w:val="003B7CF6"/>
    <w:rsid w:val="003B7D49"/>
    <w:rsid w:val="003B7E6D"/>
    <w:rsid w:val="003B7EFE"/>
    <w:rsid w:val="003B7FAF"/>
    <w:rsid w:val="003B7FE1"/>
    <w:rsid w:val="003C0052"/>
    <w:rsid w:val="003C008D"/>
    <w:rsid w:val="003C0175"/>
    <w:rsid w:val="003C01DA"/>
    <w:rsid w:val="003C0258"/>
    <w:rsid w:val="003C0325"/>
    <w:rsid w:val="003C0386"/>
    <w:rsid w:val="003C039C"/>
    <w:rsid w:val="003C03BA"/>
    <w:rsid w:val="003C047E"/>
    <w:rsid w:val="003C0484"/>
    <w:rsid w:val="003C051E"/>
    <w:rsid w:val="003C0597"/>
    <w:rsid w:val="003C0653"/>
    <w:rsid w:val="003C073E"/>
    <w:rsid w:val="003C07F1"/>
    <w:rsid w:val="003C0888"/>
    <w:rsid w:val="003C08BA"/>
    <w:rsid w:val="003C09D0"/>
    <w:rsid w:val="003C0BE7"/>
    <w:rsid w:val="003C0BF6"/>
    <w:rsid w:val="003C0BFB"/>
    <w:rsid w:val="003C0D48"/>
    <w:rsid w:val="003C0D63"/>
    <w:rsid w:val="003C0D7A"/>
    <w:rsid w:val="003C0DCC"/>
    <w:rsid w:val="003C0E1F"/>
    <w:rsid w:val="003C0E5B"/>
    <w:rsid w:val="003C0E9F"/>
    <w:rsid w:val="003C0F21"/>
    <w:rsid w:val="003C1118"/>
    <w:rsid w:val="003C118F"/>
    <w:rsid w:val="003C11C0"/>
    <w:rsid w:val="003C1249"/>
    <w:rsid w:val="003C126F"/>
    <w:rsid w:val="003C129C"/>
    <w:rsid w:val="003C1372"/>
    <w:rsid w:val="003C1392"/>
    <w:rsid w:val="003C139A"/>
    <w:rsid w:val="003C1588"/>
    <w:rsid w:val="003C15A6"/>
    <w:rsid w:val="003C1625"/>
    <w:rsid w:val="003C168A"/>
    <w:rsid w:val="003C17F8"/>
    <w:rsid w:val="003C1904"/>
    <w:rsid w:val="003C1915"/>
    <w:rsid w:val="003C1944"/>
    <w:rsid w:val="003C19DF"/>
    <w:rsid w:val="003C1A4E"/>
    <w:rsid w:val="003C1A8E"/>
    <w:rsid w:val="003C1B20"/>
    <w:rsid w:val="003C1B3F"/>
    <w:rsid w:val="003C1B4A"/>
    <w:rsid w:val="003C1B58"/>
    <w:rsid w:val="003C1D54"/>
    <w:rsid w:val="003C1D68"/>
    <w:rsid w:val="003C1D6C"/>
    <w:rsid w:val="003C1E4B"/>
    <w:rsid w:val="003C1EE6"/>
    <w:rsid w:val="003C1EF0"/>
    <w:rsid w:val="003C1EF7"/>
    <w:rsid w:val="003C1FC5"/>
    <w:rsid w:val="003C2074"/>
    <w:rsid w:val="003C2079"/>
    <w:rsid w:val="003C2114"/>
    <w:rsid w:val="003C2132"/>
    <w:rsid w:val="003C214D"/>
    <w:rsid w:val="003C2161"/>
    <w:rsid w:val="003C2294"/>
    <w:rsid w:val="003C22CB"/>
    <w:rsid w:val="003C2384"/>
    <w:rsid w:val="003C2392"/>
    <w:rsid w:val="003C2404"/>
    <w:rsid w:val="003C252A"/>
    <w:rsid w:val="003C252B"/>
    <w:rsid w:val="003C262B"/>
    <w:rsid w:val="003C2700"/>
    <w:rsid w:val="003C2834"/>
    <w:rsid w:val="003C284F"/>
    <w:rsid w:val="003C28DD"/>
    <w:rsid w:val="003C2902"/>
    <w:rsid w:val="003C2992"/>
    <w:rsid w:val="003C2AC0"/>
    <w:rsid w:val="003C2AD4"/>
    <w:rsid w:val="003C2CD8"/>
    <w:rsid w:val="003C2DD0"/>
    <w:rsid w:val="003C2DED"/>
    <w:rsid w:val="003C2FB4"/>
    <w:rsid w:val="003C2FFB"/>
    <w:rsid w:val="003C3200"/>
    <w:rsid w:val="003C3233"/>
    <w:rsid w:val="003C3254"/>
    <w:rsid w:val="003C3292"/>
    <w:rsid w:val="003C32AC"/>
    <w:rsid w:val="003C32D0"/>
    <w:rsid w:val="003C32F0"/>
    <w:rsid w:val="003C3306"/>
    <w:rsid w:val="003C3317"/>
    <w:rsid w:val="003C33C7"/>
    <w:rsid w:val="003C34EA"/>
    <w:rsid w:val="003C34EF"/>
    <w:rsid w:val="003C3546"/>
    <w:rsid w:val="003C3644"/>
    <w:rsid w:val="003C37D4"/>
    <w:rsid w:val="003C38B0"/>
    <w:rsid w:val="003C3904"/>
    <w:rsid w:val="003C394C"/>
    <w:rsid w:val="003C3A29"/>
    <w:rsid w:val="003C3A40"/>
    <w:rsid w:val="003C3B82"/>
    <w:rsid w:val="003C3BC4"/>
    <w:rsid w:val="003C3BE2"/>
    <w:rsid w:val="003C3CFF"/>
    <w:rsid w:val="003C3D5F"/>
    <w:rsid w:val="003C3E15"/>
    <w:rsid w:val="003C3E1B"/>
    <w:rsid w:val="003C3FE0"/>
    <w:rsid w:val="003C3FF4"/>
    <w:rsid w:val="003C402D"/>
    <w:rsid w:val="003C40B3"/>
    <w:rsid w:val="003C4112"/>
    <w:rsid w:val="003C4115"/>
    <w:rsid w:val="003C41E4"/>
    <w:rsid w:val="003C4236"/>
    <w:rsid w:val="003C433F"/>
    <w:rsid w:val="003C4343"/>
    <w:rsid w:val="003C438D"/>
    <w:rsid w:val="003C43AC"/>
    <w:rsid w:val="003C44C5"/>
    <w:rsid w:val="003C452D"/>
    <w:rsid w:val="003C4634"/>
    <w:rsid w:val="003C4796"/>
    <w:rsid w:val="003C47FA"/>
    <w:rsid w:val="003C4870"/>
    <w:rsid w:val="003C48FA"/>
    <w:rsid w:val="003C491F"/>
    <w:rsid w:val="003C493F"/>
    <w:rsid w:val="003C4A78"/>
    <w:rsid w:val="003C4B30"/>
    <w:rsid w:val="003C4BC9"/>
    <w:rsid w:val="003C4CD1"/>
    <w:rsid w:val="003C501F"/>
    <w:rsid w:val="003C50E3"/>
    <w:rsid w:val="003C5113"/>
    <w:rsid w:val="003C5120"/>
    <w:rsid w:val="003C519F"/>
    <w:rsid w:val="003C5200"/>
    <w:rsid w:val="003C52F6"/>
    <w:rsid w:val="003C5307"/>
    <w:rsid w:val="003C5365"/>
    <w:rsid w:val="003C53BA"/>
    <w:rsid w:val="003C53F2"/>
    <w:rsid w:val="003C53F6"/>
    <w:rsid w:val="003C541E"/>
    <w:rsid w:val="003C547C"/>
    <w:rsid w:val="003C5544"/>
    <w:rsid w:val="003C5551"/>
    <w:rsid w:val="003C5622"/>
    <w:rsid w:val="003C566C"/>
    <w:rsid w:val="003C57B1"/>
    <w:rsid w:val="003C582B"/>
    <w:rsid w:val="003C586A"/>
    <w:rsid w:val="003C58A2"/>
    <w:rsid w:val="003C58FB"/>
    <w:rsid w:val="003C5953"/>
    <w:rsid w:val="003C59B6"/>
    <w:rsid w:val="003C59CF"/>
    <w:rsid w:val="003C5A62"/>
    <w:rsid w:val="003C5ACF"/>
    <w:rsid w:val="003C5AE1"/>
    <w:rsid w:val="003C5AFC"/>
    <w:rsid w:val="003C5AFF"/>
    <w:rsid w:val="003C5B1C"/>
    <w:rsid w:val="003C5B9C"/>
    <w:rsid w:val="003C5BE2"/>
    <w:rsid w:val="003C5D42"/>
    <w:rsid w:val="003C5EA8"/>
    <w:rsid w:val="003C5F12"/>
    <w:rsid w:val="003C5F66"/>
    <w:rsid w:val="003C5F9E"/>
    <w:rsid w:val="003C5FD7"/>
    <w:rsid w:val="003C605C"/>
    <w:rsid w:val="003C608B"/>
    <w:rsid w:val="003C61BE"/>
    <w:rsid w:val="003C64D1"/>
    <w:rsid w:val="003C64E5"/>
    <w:rsid w:val="003C64E6"/>
    <w:rsid w:val="003C659D"/>
    <w:rsid w:val="003C66BD"/>
    <w:rsid w:val="003C67EE"/>
    <w:rsid w:val="003C68A5"/>
    <w:rsid w:val="003C68A7"/>
    <w:rsid w:val="003C696D"/>
    <w:rsid w:val="003C6A01"/>
    <w:rsid w:val="003C6AA7"/>
    <w:rsid w:val="003C6AF6"/>
    <w:rsid w:val="003C6C23"/>
    <w:rsid w:val="003C6CE7"/>
    <w:rsid w:val="003C6CF7"/>
    <w:rsid w:val="003C6E2E"/>
    <w:rsid w:val="003C6E3A"/>
    <w:rsid w:val="003C6E42"/>
    <w:rsid w:val="003C6EA4"/>
    <w:rsid w:val="003C6F92"/>
    <w:rsid w:val="003C70B6"/>
    <w:rsid w:val="003C70EF"/>
    <w:rsid w:val="003C70FD"/>
    <w:rsid w:val="003C7102"/>
    <w:rsid w:val="003C710D"/>
    <w:rsid w:val="003C71D0"/>
    <w:rsid w:val="003C71E7"/>
    <w:rsid w:val="003C7217"/>
    <w:rsid w:val="003C726F"/>
    <w:rsid w:val="003C72DA"/>
    <w:rsid w:val="003C7306"/>
    <w:rsid w:val="003C74DE"/>
    <w:rsid w:val="003C74F3"/>
    <w:rsid w:val="003C7556"/>
    <w:rsid w:val="003C75C4"/>
    <w:rsid w:val="003C76E5"/>
    <w:rsid w:val="003C76EB"/>
    <w:rsid w:val="003C780C"/>
    <w:rsid w:val="003C7890"/>
    <w:rsid w:val="003C78F6"/>
    <w:rsid w:val="003C7905"/>
    <w:rsid w:val="003C79DF"/>
    <w:rsid w:val="003C7A7D"/>
    <w:rsid w:val="003C7A92"/>
    <w:rsid w:val="003C7A94"/>
    <w:rsid w:val="003C7AFA"/>
    <w:rsid w:val="003C7B5B"/>
    <w:rsid w:val="003C7C25"/>
    <w:rsid w:val="003C7C2B"/>
    <w:rsid w:val="003C7C46"/>
    <w:rsid w:val="003C7CB9"/>
    <w:rsid w:val="003C7E86"/>
    <w:rsid w:val="003D005C"/>
    <w:rsid w:val="003D0166"/>
    <w:rsid w:val="003D0182"/>
    <w:rsid w:val="003D0235"/>
    <w:rsid w:val="003D02D2"/>
    <w:rsid w:val="003D02EC"/>
    <w:rsid w:val="003D02F3"/>
    <w:rsid w:val="003D02F9"/>
    <w:rsid w:val="003D032B"/>
    <w:rsid w:val="003D0457"/>
    <w:rsid w:val="003D04CB"/>
    <w:rsid w:val="003D04D2"/>
    <w:rsid w:val="003D0577"/>
    <w:rsid w:val="003D05D0"/>
    <w:rsid w:val="003D065E"/>
    <w:rsid w:val="003D0796"/>
    <w:rsid w:val="003D0905"/>
    <w:rsid w:val="003D0960"/>
    <w:rsid w:val="003D09D6"/>
    <w:rsid w:val="003D09DA"/>
    <w:rsid w:val="003D0B12"/>
    <w:rsid w:val="003D0BF0"/>
    <w:rsid w:val="003D0C1C"/>
    <w:rsid w:val="003D0C54"/>
    <w:rsid w:val="003D0C8E"/>
    <w:rsid w:val="003D0D76"/>
    <w:rsid w:val="003D0DB7"/>
    <w:rsid w:val="003D0DE7"/>
    <w:rsid w:val="003D0DFD"/>
    <w:rsid w:val="003D0E21"/>
    <w:rsid w:val="003D0ECC"/>
    <w:rsid w:val="003D0F22"/>
    <w:rsid w:val="003D0F93"/>
    <w:rsid w:val="003D0FA3"/>
    <w:rsid w:val="003D1049"/>
    <w:rsid w:val="003D10E1"/>
    <w:rsid w:val="003D1110"/>
    <w:rsid w:val="003D12A8"/>
    <w:rsid w:val="003D132C"/>
    <w:rsid w:val="003D148A"/>
    <w:rsid w:val="003D1561"/>
    <w:rsid w:val="003D163F"/>
    <w:rsid w:val="003D17CB"/>
    <w:rsid w:val="003D184B"/>
    <w:rsid w:val="003D18D8"/>
    <w:rsid w:val="003D18F4"/>
    <w:rsid w:val="003D1925"/>
    <w:rsid w:val="003D195D"/>
    <w:rsid w:val="003D19B7"/>
    <w:rsid w:val="003D1A00"/>
    <w:rsid w:val="003D1A02"/>
    <w:rsid w:val="003D1AB3"/>
    <w:rsid w:val="003D1B89"/>
    <w:rsid w:val="003D1C02"/>
    <w:rsid w:val="003D1C06"/>
    <w:rsid w:val="003D1C43"/>
    <w:rsid w:val="003D1E2B"/>
    <w:rsid w:val="003D1F71"/>
    <w:rsid w:val="003D1FF3"/>
    <w:rsid w:val="003D2013"/>
    <w:rsid w:val="003D2034"/>
    <w:rsid w:val="003D2092"/>
    <w:rsid w:val="003D2121"/>
    <w:rsid w:val="003D21CB"/>
    <w:rsid w:val="003D2251"/>
    <w:rsid w:val="003D2270"/>
    <w:rsid w:val="003D2381"/>
    <w:rsid w:val="003D2382"/>
    <w:rsid w:val="003D23E9"/>
    <w:rsid w:val="003D24AA"/>
    <w:rsid w:val="003D255B"/>
    <w:rsid w:val="003D2597"/>
    <w:rsid w:val="003D2602"/>
    <w:rsid w:val="003D26CC"/>
    <w:rsid w:val="003D26D3"/>
    <w:rsid w:val="003D26FB"/>
    <w:rsid w:val="003D2758"/>
    <w:rsid w:val="003D27B4"/>
    <w:rsid w:val="003D2869"/>
    <w:rsid w:val="003D296B"/>
    <w:rsid w:val="003D29A1"/>
    <w:rsid w:val="003D29AB"/>
    <w:rsid w:val="003D29C5"/>
    <w:rsid w:val="003D2A99"/>
    <w:rsid w:val="003D2AE0"/>
    <w:rsid w:val="003D2E8A"/>
    <w:rsid w:val="003D2EDC"/>
    <w:rsid w:val="003D2FF8"/>
    <w:rsid w:val="003D31FF"/>
    <w:rsid w:val="003D32B6"/>
    <w:rsid w:val="003D3316"/>
    <w:rsid w:val="003D33DC"/>
    <w:rsid w:val="003D34E5"/>
    <w:rsid w:val="003D354C"/>
    <w:rsid w:val="003D3570"/>
    <w:rsid w:val="003D35DB"/>
    <w:rsid w:val="003D3674"/>
    <w:rsid w:val="003D36EE"/>
    <w:rsid w:val="003D36F3"/>
    <w:rsid w:val="003D376A"/>
    <w:rsid w:val="003D382B"/>
    <w:rsid w:val="003D392C"/>
    <w:rsid w:val="003D3946"/>
    <w:rsid w:val="003D398C"/>
    <w:rsid w:val="003D3A83"/>
    <w:rsid w:val="003D3B9F"/>
    <w:rsid w:val="003D3BCF"/>
    <w:rsid w:val="003D3BF5"/>
    <w:rsid w:val="003D3C98"/>
    <w:rsid w:val="003D3D49"/>
    <w:rsid w:val="003D3D6F"/>
    <w:rsid w:val="003D3DCA"/>
    <w:rsid w:val="003D3EE2"/>
    <w:rsid w:val="003D3EF5"/>
    <w:rsid w:val="003D3F5F"/>
    <w:rsid w:val="003D403F"/>
    <w:rsid w:val="003D4191"/>
    <w:rsid w:val="003D41D7"/>
    <w:rsid w:val="003D41F3"/>
    <w:rsid w:val="003D4212"/>
    <w:rsid w:val="003D42E9"/>
    <w:rsid w:val="003D4315"/>
    <w:rsid w:val="003D43B4"/>
    <w:rsid w:val="003D43D0"/>
    <w:rsid w:val="003D4436"/>
    <w:rsid w:val="003D444F"/>
    <w:rsid w:val="003D4467"/>
    <w:rsid w:val="003D44E6"/>
    <w:rsid w:val="003D456A"/>
    <w:rsid w:val="003D4597"/>
    <w:rsid w:val="003D45E6"/>
    <w:rsid w:val="003D45F0"/>
    <w:rsid w:val="003D4662"/>
    <w:rsid w:val="003D474B"/>
    <w:rsid w:val="003D4750"/>
    <w:rsid w:val="003D47E5"/>
    <w:rsid w:val="003D4810"/>
    <w:rsid w:val="003D487B"/>
    <w:rsid w:val="003D4932"/>
    <w:rsid w:val="003D4B3C"/>
    <w:rsid w:val="003D4C82"/>
    <w:rsid w:val="003D4CAD"/>
    <w:rsid w:val="003D4CD9"/>
    <w:rsid w:val="003D4D0C"/>
    <w:rsid w:val="003D4DB4"/>
    <w:rsid w:val="003D4F05"/>
    <w:rsid w:val="003D50F2"/>
    <w:rsid w:val="003D5158"/>
    <w:rsid w:val="003D5171"/>
    <w:rsid w:val="003D5203"/>
    <w:rsid w:val="003D528D"/>
    <w:rsid w:val="003D52CB"/>
    <w:rsid w:val="003D5382"/>
    <w:rsid w:val="003D54F9"/>
    <w:rsid w:val="003D55EA"/>
    <w:rsid w:val="003D55EE"/>
    <w:rsid w:val="003D5696"/>
    <w:rsid w:val="003D56C6"/>
    <w:rsid w:val="003D56F3"/>
    <w:rsid w:val="003D575F"/>
    <w:rsid w:val="003D5819"/>
    <w:rsid w:val="003D5853"/>
    <w:rsid w:val="003D58B4"/>
    <w:rsid w:val="003D5A8F"/>
    <w:rsid w:val="003D5AA5"/>
    <w:rsid w:val="003D5AE2"/>
    <w:rsid w:val="003D5B6C"/>
    <w:rsid w:val="003D5CAC"/>
    <w:rsid w:val="003D5D2C"/>
    <w:rsid w:val="003D5D75"/>
    <w:rsid w:val="003D5D7F"/>
    <w:rsid w:val="003D5DA3"/>
    <w:rsid w:val="003D5DC3"/>
    <w:rsid w:val="003D5DD0"/>
    <w:rsid w:val="003D5F7B"/>
    <w:rsid w:val="003D5F9D"/>
    <w:rsid w:val="003D6022"/>
    <w:rsid w:val="003D602D"/>
    <w:rsid w:val="003D6213"/>
    <w:rsid w:val="003D624B"/>
    <w:rsid w:val="003D6292"/>
    <w:rsid w:val="003D6350"/>
    <w:rsid w:val="003D644F"/>
    <w:rsid w:val="003D64C3"/>
    <w:rsid w:val="003D6500"/>
    <w:rsid w:val="003D6709"/>
    <w:rsid w:val="003D6776"/>
    <w:rsid w:val="003D67D5"/>
    <w:rsid w:val="003D6876"/>
    <w:rsid w:val="003D689A"/>
    <w:rsid w:val="003D6966"/>
    <w:rsid w:val="003D6A3A"/>
    <w:rsid w:val="003D6A46"/>
    <w:rsid w:val="003D6A79"/>
    <w:rsid w:val="003D6AAD"/>
    <w:rsid w:val="003D6ABC"/>
    <w:rsid w:val="003D6AE1"/>
    <w:rsid w:val="003D6CE7"/>
    <w:rsid w:val="003D6DBE"/>
    <w:rsid w:val="003D6DC3"/>
    <w:rsid w:val="003D6EBC"/>
    <w:rsid w:val="003D6F0A"/>
    <w:rsid w:val="003D6F1F"/>
    <w:rsid w:val="003D6F80"/>
    <w:rsid w:val="003D700A"/>
    <w:rsid w:val="003D708E"/>
    <w:rsid w:val="003D70B6"/>
    <w:rsid w:val="003D70F0"/>
    <w:rsid w:val="003D71EF"/>
    <w:rsid w:val="003D73B5"/>
    <w:rsid w:val="003D73BA"/>
    <w:rsid w:val="003D73D5"/>
    <w:rsid w:val="003D73E0"/>
    <w:rsid w:val="003D73F3"/>
    <w:rsid w:val="003D7415"/>
    <w:rsid w:val="003D743B"/>
    <w:rsid w:val="003D746A"/>
    <w:rsid w:val="003D74A4"/>
    <w:rsid w:val="003D74CA"/>
    <w:rsid w:val="003D7538"/>
    <w:rsid w:val="003D7579"/>
    <w:rsid w:val="003D75E0"/>
    <w:rsid w:val="003D75FA"/>
    <w:rsid w:val="003D7603"/>
    <w:rsid w:val="003D7622"/>
    <w:rsid w:val="003D781D"/>
    <w:rsid w:val="003D79D9"/>
    <w:rsid w:val="003D7A15"/>
    <w:rsid w:val="003D7A2E"/>
    <w:rsid w:val="003D7A41"/>
    <w:rsid w:val="003D7A83"/>
    <w:rsid w:val="003D7ACD"/>
    <w:rsid w:val="003D7AE5"/>
    <w:rsid w:val="003D7AFC"/>
    <w:rsid w:val="003D7B9E"/>
    <w:rsid w:val="003D7C06"/>
    <w:rsid w:val="003D7C07"/>
    <w:rsid w:val="003D7C55"/>
    <w:rsid w:val="003D7D4C"/>
    <w:rsid w:val="003D7DBD"/>
    <w:rsid w:val="003D7E02"/>
    <w:rsid w:val="003D7ECD"/>
    <w:rsid w:val="003D7EE3"/>
    <w:rsid w:val="003D7F61"/>
    <w:rsid w:val="003E010C"/>
    <w:rsid w:val="003E0390"/>
    <w:rsid w:val="003E0395"/>
    <w:rsid w:val="003E044B"/>
    <w:rsid w:val="003E050C"/>
    <w:rsid w:val="003E0516"/>
    <w:rsid w:val="003E08DB"/>
    <w:rsid w:val="003E0914"/>
    <w:rsid w:val="003E0976"/>
    <w:rsid w:val="003E0986"/>
    <w:rsid w:val="003E0B00"/>
    <w:rsid w:val="003E0B0E"/>
    <w:rsid w:val="003E0B82"/>
    <w:rsid w:val="003E0BB9"/>
    <w:rsid w:val="003E0D78"/>
    <w:rsid w:val="003E0DD5"/>
    <w:rsid w:val="003E0E33"/>
    <w:rsid w:val="003E0EC2"/>
    <w:rsid w:val="003E0EF6"/>
    <w:rsid w:val="003E0F4D"/>
    <w:rsid w:val="003E0FC5"/>
    <w:rsid w:val="003E101B"/>
    <w:rsid w:val="003E1146"/>
    <w:rsid w:val="003E118B"/>
    <w:rsid w:val="003E1299"/>
    <w:rsid w:val="003E1381"/>
    <w:rsid w:val="003E13CC"/>
    <w:rsid w:val="003E140D"/>
    <w:rsid w:val="003E14DE"/>
    <w:rsid w:val="003E1531"/>
    <w:rsid w:val="003E158A"/>
    <w:rsid w:val="003E15A6"/>
    <w:rsid w:val="003E1660"/>
    <w:rsid w:val="003E1704"/>
    <w:rsid w:val="003E181F"/>
    <w:rsid w:val="003E195A"/>
    <w:rsid w:val="003E19AE"/>
    <w:rsid w:val="003E1AAD"/>
    <w:rsid w:val="003E1AB8"/>
    <w:rsid w:val="003E1B41"/>
    <w:rsid w:val="003E1BAD"/>
    <w:rsid w:val="003E1DCD"/>
    <w:rsid w:val="003E1DD8"/>
    <w:rsid w:val="003E1E0E"/>
    <w:rsid w:val="003E1E27"/>
    <w:rsid w:val="003E1E8C"/>
    <w:rsid w:val="003E1EB1"/>
    <w:rsid w:val="003E1EC3"/>
    <w:rsid w:val="003E1FD1"/>
    <w:rsid w:val="003E2085"/>
    <w:rsid w:val="003E21FE"/>
    <w:rsid w:val="003E226C"/>
    <w:rsid w:val="003E2316"/>
    <w:rsid w:val="003E237C"/>
    <w:rsid w:val="003E2386"/>
    <w:rsid w:val="003E2425"/>
    <w:rsid w:val="003E243F"/>
    <w:rsid w:val="003E2468"/>
    <w:rsid w:val="003E24EA"/>
    <w:rsid w:val="003E261E"/>
    <w:rsid w:val="003E2657"/>
    <w:rsid w:val="003E26F1"/>
    <w:rsid w:val="003E2776"/>
    <w:rsid w:val="003E2867"/>
    <w:rsid w:val="003E29F1"/>
    <w:rsid w:val="003E2B2A"/>
    <w:rsid w:val="003E2B48"/>
    <w:rsid w:val="003E2BC5"/>
    <w:rsid w:val="003E2C4F"/>
    <w:rsid w:val="003E2DD2"/>
    <w:rsid w:val="003E2E45"/>
    <w:rsid w:val="003E2FB1"/>
    <w:rsid w:val="003E301E"/>
    <w:rsid w:val="003E307F"/>
    <w:rsid w:val="003E30EB"/>
    <w:rsid w:val="003E31D6"/>
    <w:rsid w:val="003E3281"/>
    <w:rsid w:val="003E3419"/>
    <w:rsid w:val="003E342B"/>
    <w:rsid w:val="003E3463"/>
    <w:rsid w:val="003E3485"/>
    <w:rsid w:val="003E34AA"/>
    <w:rsid w:val="003E3560"/>
    <w:rsid w:val="003E35CA"/>
    <w:rsid w:val="003E35FB"/>
    <w:rsid w:val="003E3606"/>
    <w:rsid w:val="003E3612"/>
    <w:rsid w:val="003E364B"/>
    <w:rsid w:val="003E37EA"/>
    <w:rsid w:val="003E37FC"/>
    <w:rsid w:val="003E3885"/>
    <w:rsid w:val="003E3929"/>
    <w:rsid w:val="003E394C"/>
    <w:rsid w:val="003E394E"/>
    <w:rsid w:val="003E3966"/>
    <w:rsid w:val="003E3A17"/>
    <w:rsid w:val="003E3A97"/>
    <w:rsid w:val="003E3AC9"/>
    <w:rsid w:val="003E3B6C"/>
    <w:rsid w:val="003E3BB0"/>
    <w:rsid w:val="003E3C94"/>
    <w:rsid w:val="003E3CE4"/>
    <w:rsid w:val="003E3DEB"/>
    <w:rsid w:val="003E3FC2"/>
    <w:rsid w:val="003E414E"/>
    <w:rsid w:val="003E41ED"/>
    <w:rsid w:val="003E4225"/>
    <w:rsid w:val="003E4327"/>
    <w:rsid w:val="003E4334"/>
    <w:rsid w:val="003E4373"/>
    <w:rsid w:val="003E43BD"/>
    <w:rsid w:val="003E4455"/>
    <w:rsid w:val="003E446A"/>
    <w:rsid w:val="003E44DA"/>
    <w:rsid w:val="003E450F"/>
    <w:rsid w:val="003E454B"/>
    <w:rsid w:val="003E45EF"/>
    <w:rsid w:val="003E45F6"/>
    <w:rsid w:val="003E4628"/>
    <w:rsid w:val="003E46A8"/>
    <w:rsid w:val="003E46FB"/>
    <w:rsid w:val="003E4731"/>
    <w:rsid w:val="003E473E"/>
    <w:rsid w:val="003E4802"/>
    <w:rsid w:val="003E4844"/>
    <w:rsid w:val="003E48A9"/>
    <w:rsid w:val="003E4941"/>
    <w:rsid w:val="003E4A69"/>
    <w:rsid w:val="003E4B93"/>
    <w:rsid w:val="003E4BFB"/>
    <w:rsid w:val="003E4C6E"/>
    <w:rsid w:val="003E4D3D"/>
    <w:rsid w:val="003E4D86"/>
    <w:rsid w:val="003E4DF7"/>
    <w:rsid w:val="003E4E8F"/>
    <w:rsid w:val="003E4F22"/>
    <w:rsid w:val="003E5121"/>
    <w:rsid w:val="003E51AA"/>
    <w:rsid w:val="003E5204"/>
    <w:rsid w:val="003E5337"/>
    <w:rsid w:val="003E5377"/>
    <w:rsid w:val="003E540E"/>
    <w:rsid w:val="003E5454"/>
    <w:rsid w:val="003E546E"/>
    <w:rsid w:val="003E549D"/>
    <w:rsid w:val="003E5552"/>
    <w:rsid w:val="003E55EE"/>
    <w:rsid w:val="003E5613"/>
    <w:rsid w:val="003E5679"/>
    <w:rsid w:val="003E56AC"/>
    <w:rsid w:val="003E5704"/>
    <w:rsid w:val="003E57E5"/>
    <w:rsid w:val="003E587C"/>
    <w:rsid w:val="003E5930"/>
    <w:rsid w:val="003E5C44"/>
    <w:rsid w:val="003E5CE7"/>
    <w:rsid w:val="003E5DE4"/>
    <w:rsid w:val="003E5E01"/>
    <w:rsid w:val="003E5E46"/>
    <w:rsid w:val="003E5EA3"/>
    <w:rsid w:val="003E5FC4"/>
    <w:rsid w:val="003E611C"/>
    <w:rsid w:val="003E6161"/>
    <w:rsid w:val="003E61FF"/>
    <w:rsid w:val="003E6418"/>
    <w:rsid w:val="003E6556"/>
    <w:rsid w:val="003E65D8"/>
    <w:rsid w:val="003E6616"/>
    <w:rsid w:val="003E66C7"/>
    <w:rsid w:val="003E66FC"/>
    <w:rsid w:val="003E67A0"/>
    <w:rsid w:val="003E6849"/>
    <w:rsid w:val="003E68FD"/>
    <w:rsid w:val="003E6950"/>
    <w:rsid w:val="003E696D"/>
    <w:rsid w:val="003E699F"/>
    <w:rsid w:val="003E6A80"/>
    <w:rsid w:val="003E6B32"/>
    <w:rsid w:val="003E6BD9"/>
    <w:rsid w:val="003E6C0A"/>
    <w:rsid w:val="003E6C99"/>
    <w:rsid w:val="003E6CBC"/>
    <w:rsid w:val="003E6D49"/>
    <w:rsid w:val="003E6E00"/>
    <w:rsid w:val="003E6E13"/>
    <w:rsid w:val="003E6F12"/>
    <w:rsid w:val="003E702E"/>
    <w:rsid w:val="003E7142"/>
    <w:rsid w:val="003E72D3"/>
    <w:rsid w:val="003E73AD"/>
    <w:rsid w:val="003E73E1"/>
    <w:rsid w:val="003E74B2"/>
    <w:rsid w:val="003E74EF"/>
    <w:rsid w:val="003E7531"/>
    <w:rsid w:val="003E7565"/>
    <w:rsid w:val="003E75BA"/>
    <w:rsid w:val="003E75D9"/>
    <w:rsid w:val="003E765E"/>
    <w:rsid w:val="003E769D"/>
    <w:rsid w:val="003E77AB"/>
    <w:rsid w:val="003E7832"/>
    <w:rsid w:val="003E7909"/>
    <w:rsid w:val="003E795C"/>
    <w:rsid w:val="003E7AEA"/>
    <w:rsid w:val="003E7B22"/>
    <w:rsid w:val="003E7B48"/>
    <w:rsid w:val="003E7B5A"/>
    <w:rsid w:val="003E7D0D"/>
    <w:rsid w:val="003E7DD3"/>
    <w:rsid w:val="003E7E14"/>
    <w:rsid w:val="003E7E2D"/>
    <w:rsid w:val="003E7E75"/>
    <w:rsid w:val="003E7EB7"/>
    <w:rsid w:val="003F003D"/>
    <w:rsid w:val="003F0059"/>
    <w:rsid w:val="003F0060"/>
    <w:rsid w:val="003F00D5"/>
    <w:rsid w:val="003F00F7"/>
    <w:rsid w:val="003F018F"/>
    <w:rsid w:val="003F031A"/>
    <w:rsid w:val="003F0362"/>
    <w:rsid w:val="003F0364"/>
    <w:rsid w:val="003F03A6"/>
    <w:rsid w:val="003F03BF"/>
    <w:rsid w:val="003F03C2"/>
    <w:rsid w:val="003F0439"/>
    <w:rsid w:val="003F048B"/>
    <w:rsid w:val="003F0641"/>
    <w:rsid w:val="003F06AE"/>
    <w:rsid w:val="003F0707"/>
    <w:rsid w:val="003F081C"/>
    <w:rsid w:val="003F0824"/>
    <w:rsid w:val="003F086E"/>
    <w:rsid w:val="003F08F4"/>
    <w:rsid w:val="003F08FE"/>
    <w:rsid w:val="003F0934"/>
    <w:rsid w:val="003F0CAB"/>
    <w:rsid w:val="003F0CC8"/>
    <w:rsid w:val="003F0D15"/>
    <w:rsid w:val="003F0DB8"/>
    <w:rsid w:val="003F0EC1"/>
    <w:rsid w:val="003F0EDC"/>
    <w:rsid w:val="003F0F08"/>
    <w:rsid w:val="003F0F6B"/>
    <w:rsid w:val="003F0FF6"/>
    <w:rsid w:val="003F1096"/>
    <w:rsid w:val="003F11CD"/>
    <w:rsid w:val="003F1206"/>
    <w:rsid w:val="003F12D3"/>
    <w:rsid w:val="003F130C"/>
    <w:rsid w:val="003F1323"/>
    <w:rsid w:val="003F1324"/>
    <w:rsid w:val="003F137A"/>
    <w:rsid w:val="003F13AB"/>
    <w:rsid w:val="003F13F8"/>
    <w:rsid w:val="003F14A8"/>
    <w:rsid w:val="003F1636"/>
    <w:rsid w:val="003F166A"/>
    <w:rsid w:val="003F168A"/>
    <w:rsid w:val="003F1698"/>
    <w:rsid w:val="003F1800"/>
    <w:rsid w:val="003F1933"/>
    <w:rsid w:val="003F1A21"/>
    <w:rsid w:val="003F1A9E"/>
    <w:rsid w:val="003F1C97"/>
    <w:rsid w:val="003F1D6B"/>
    <w:rsid w:val="003F1E5B"/>
    <w:rsid w:val="003F1E6E"/>
    <w:rsid w:val="003F1FA9"/>
    <w:rsid w:val="003F2003"/>
    <w:rsid w:val="003F2086"/>
    <w:rsid w:val="003F20D2"/>
    <w:rsid w:val="003F2177"/>
    <w:rsid w:val="003F2257"/>
    <w:rsid w:val="003F2334"/>
    <w:rsid w:val="003F2422"/>
    <w:rsid w:val="003F251A"/>
    <w:rsid w:val="003F2537"/>
    <w:rsid w:val="003F2556"/>
    <w:rsid w:val="003F272D"/>
    <w:rsid w:val="003F2779"/>
    <w:rsid w:val="003F283F"/>
    <w:rsid w:val="003F2851"/>
    <w:rsid w:val="003F2AA0"/>
    <w:rsid w:val="003F2C62"/>
    <w:rsid w:val="003F2D53"/>
    <w:rsid w:val="003F2E26"/>
    <w:rsid w:val="003F2EB6"/>
    <w:rsid w:val="003F2F46"/>
    <w:rsid w:val="003F2F7A"/>
    <w:rsid w:val="003F2F95"/>
    <w:rsid w:val="003F3043"/>
    <w:rsid w:val="003F3044"/>
    <w:rsid w:val="003F30A3"/>
    <w:rsid w:val="003F3197"/>
    <w:rsid w:val="003F31C6"/>
    <w:rsid w:val="003F31E5"/>
    <w:rsid w:val="003F31F3"/>
    <w:rsid w:val="003F32A0"/>
    <w:rsid w:val="003F32FA"/>
    <w:rsid w:val="003F3312"/>
    <w:rsid w:val="003F335A"/>
    <w:rsid w:val="003F3368"/>
    <w:rsid w:val="003F339B"/>
    <w:rsid w:val="003F3601"/>
    <w:rsid w:val="003F3627"/>
    <w:rsid w:val="003F3628"/>
    <w:rsid w:val="003F36B0"/>
    <w:rsid w:val="003F36B1"/>
    <w:rsid w:val="003F3858"/>
    <w:rsid w:val="003F38FF"/>
    <w:rsid w:val="003F39CF"/>
    <w:rsid w:val="003F3A4D"/>
    <w:rsid w:val="003F3A55"/>
    <w:rsid w:val="003F3ADF"/>
    <w:rsid w:val="003F3B04"/>
    <w:rsid w:val="003F3B9E"/>
    <w:rsid w:val="003F3BBB"/>
    <w:rsid w:val="003F3BC2"/>
    <w:rsid w:val="003F3C79"/>
    <w:rsid w:val="003F3D70"/>
    <w:rsid w:val="003F3DAC"/>
    <w:rsid w:val="003F3E7A"/>
    <w:rsid w:val="003F3EA7"/>
    <w:rsid w:val="003F3EF6"/>
    <w:rsid w:val="003F3FB3"/>
    <w:rsid w:val="003F3FBB"/>
    <w:rsid w:val="003F40B3"/>
    <w:rsid w:val="003F4103"/>
    <w:rsid w:val="003F41B8"/>
    <w:rsid w:val="003F423D"/>
    <w:rsid w:val="003F4241"/>
    <w:rsid w:val="003F4662"/>
    <w:rsid w:val="003F4750"/>
    <w:rsid w:val="003F47A2"/>
    <w:rsid w:val="003F48BD"/>
    <w:rsid w:val="003F4AA2"/>
    <w:rsid w:val="003F4B7C"/>
    <w:rsid w:val="003F4C42"/>
    <w:rsid w:val="003F4D04"/>
    <w:rsid w:val="003F4DAE"/>
    <w:rsid w:val="003F4E3E"/>
    <w:rsid w:val="003F4E46"/>
    <w:rsid w:val="003F4F2C"/>
    <w:rsid w:val="003F4F50"/>
    <w:rsid w:val="003F4F7A"/>
    <w:rsid w:val="003F50F7"/>
    <w:rsid w:val="003F511A"/>
    <w:rsid w:val="003F5294"/>
    <w:rsid w:val="003F5299"/>
    <w:rsid w:val="003F53B5"/>
    <w:rsid w:val="003F53EE"/>
    <w:rsid w:val="003F5496"/>
    <w:rsid w:val="003F54AC"/>
    <w:rsid w:val="003F55F1"/>
    <w:rsid w:val="003F56F7"/>
    <w:rsid w:val="003F5737"/>
    <w:rsid w:val="003F5787"/>
    <w:rsid w:val="003F57BC"/>
    <w:rsid w:val="003F5833"/>
    <w:rsid w:val="003F594F"/>
    <w:rsid w:val="003F599C"/>
    <w:rsid w:val="003F59E6"/>
    <w:rsid w:val="003F5A14"/>
    <w:rsid w:val="003F5B3E"/>
    <w:rsid w:val="003F5B7F"/>
    <w:rsid w:val="003F5BD5"/>
    <w:rsid w:val="003F5CCD"/>
    <w:rsid w:val="003F5F22"/>
    <w:rsid w:val="003F5F86"/>
    <w:rsid w:val="003F5F98"/>
    <w:rsid w:val="003F5FAA"/>
    <w:rsid w:val="003F5FE5"/>
    <w:rsid w:val="003F603B"/>
    <w:rsid w:val="003F6092"/>
    <w:rsid w:val="003F61F6"/>
    <w:rsid w:val="003F62B7"/>
    <w:rsid w:val="003F62D8"/>
    <w:rsid w:val="003F639B"/>
    <w:rsid w:val="003F63BE"/>
    <w:rsid w:val="003F6505"/>
    <w:rsid w:val="003F6519"/>
    <w:rsid w:val="003F6783"/>
    <w:rsid w:val="003F67F5"/>
    <w:rsid w:val="003F68BE"/>
    <w:rsid w:val="003F6969"/>
    <w:rsid w:val="003F69AB"/>
    <w:rsid w:val="003F6A97"/>
    <w:rsid w:val="003F6AE8"/>
    <w:rsid w:val="003F6AFE"/>
    <w:rsid w:val="003F6B1C"/>
    <w:rsid w:val="003F6B76"/>
    <w:rsid w:val="003F6BE9"/>
    <w:rsid w:val="003F6DF9"/>
    <w:rsid w:val="003F6EB7"/>
    <w:rsid w:val="003F710B"/>
    <w:rsid w:val="003F7138"/>
    <w:rsid w:val="003F7141"/>
    <w:rsid w:val="003F753F"/>
    <w:rsid w:val="003F7660"/>
    <w:rsid w:val="003F7721"/>
    <w:rsid w:val="003F772B"/>
    <w:rsid w:val="003F77FD"/>
    <w:rsid w:val="003F78E5"/>
    <w:rsid w:val="003F79CD"/>
    <w:rsid w:val="003F7A1B"/>
    <w:rsid w:val="003F7AEE"/>
    <w:rsid w:val="003F7BDD"/>
    <w:rsid w:val="003F7D2A"/>
    <w:rsid w:val="003F7D8F"/>
    <w:rsid w:val="003F7DA6"/>
    <w:rsid w:val="003F7E0A"/>
    <w:rsid w:val="003F7FA4"/>
    <w:rsid w:val="0040006E"/>
    <w:rsid w:val="004000C3"/>
    <w:rsid w:val="0040019A"/>
    <w:rsid w:val="004001BA"/>
    <w:rsid w:val="004001D1"/>
    <w:rsid w:val="00400355"/>
    <w:rsid w:val="004003B3"/>
    <w:rsid w:val="0040047D"/>
    <w:rsid w:val="004004ED"/>
    <w:rsid w:val="0040063B"/>
    <w:rsid w:val="00400689"/>
    <w:rsid w:val="004006E0"/>
    <w:rsid w:val="00400708"/>
    <w:rsid w:val="00400725"/>
    <w:rsid w:val="0040078E"/>
    <w:rsid w:val="00400797"/>
    <w:rsid w:val="0040079D"/>
    <w:rsid w:val="004007C9"/>
    <w:rsid w:val="00400820"/>
    <w:rsid w:val="0040084C"/>
    <w:rsid w:val="00400852"/>
    <w:rsid w:val="00400967"/>
    <w:rsid w:val="00400978"/>
    <w:rsid w:val="004009F5"/>
    <w:rsid w:val="00400A83"/>
    <w:rsid w:val="00400A96"/>
    <w:rsid w:val="00400B5D"/>
    <w:rsid w:val="00400C0C"/>
    <w:rsid w:val="00400D08"/>
    <w:rsid w:val="00400E46"/>
    <w:rsid w:val="00400E86"/>
    <w:rsid w:val="00400EAF"/>
    <w:rsid w:val="00400EB3"/>
    <w:rsid w:val="00400F0C"/>
    <w:rsid w:val="00400F6B"/>
    <w:rsid w:val="00400FDA"/>
    <w:rsid w:val="00400FF3"/>
    <w:rsid w:val="004011E9"/>
    <w:rsid w:val="00401207"/>
    <w:rsid w:val="00401328"/>
    <w:rsid w:val="004013AC"/>
    <w:rsid w:val="004013FD"/>
    <w:rsid w:val="00401467"/>
    <w:rsid w:val="0040149A"/>
    <w:rsid w:val="004014AA"/>
    <w:rsid w:val="004014AF"/>
    <w:rsid w:val="00401550"/>
    <w:rsid w:val="0040156E"/>
    <w:rsid w:val="0040170E"/>
    <w:rsid w:val="00401746"/>
    <w:rsid w:val="0040179D"/>
    <w:rsid w:val="004017F8"/>
    <w:rsid w:val="0040182E"/>
    <w:rsid w:val="004018A1"/>
    <w:rsid w:val="004018CC"/>
    <w:rsid w:val="00401925"/>
    <w:rsid w:val="004019D7"/>
    <w:rsid w:val="00401AC9"/>
    <w:rsid w:val="00401ADB"/>
    <w:rsid w:val="00401C27"/>
    <w:rsid w:val="00401D53"/>
    <w:rsid w:val="00401DDC"/>
    <w:rsid w:val="00401DF0"/>
    <w:rsid w:val="00401E70"/>
    <w:rsid w:val="00401EA3"/>
    <w:rsid w:val="00401EE6"/>
    <w:rsid w:val="00401F46"/>
    <w:rsid w:val="00401F89"/>
    <w:rsid w:val="00401F8C"/>
    <w:rsid w:val="00401FCC"/>
    <w:rsid w:val="00401FEB"/>
    <w:rsid w:val="00402013"/>
    <w:rsid w:val="004020FD"/>
    <w:rsid w:val="00402185"/>
    <w:rsid w:val="0040218D"/>
    <w:rsid w:val="004021B9"/>
    <w:rsid w:val="004021D7"/>
    <w:rsid w:val="00402209"/>
    <w:rsid w:val="00402244"/>
    <w:rsid w:val="0040226B"/>
    <w:rsid w:val="0040227C"/>
    <w:rsid w:val="0040228C"/>
    <w:rsid w:val="00402362"/>
    <w:rsid w:val="004023CF"/>
    <w:rsid w:val="004023D1"/>
    <w:rsid w:val="00402447"/>
    <w:rsid w:val="00402482"/>
    <w:rsid w:val="00402499"/>
    <w:rsid w:val="00402513"/>
    <w:rsid w:val="00402584"/>
    <w:rsid w:val="004025B7"/>
    <w:rsid w:val="00402660"/>
    <w:rsid w:val="00402971"/>
    <w:rsid w:val="00402999"/>
    <w:rsid w:val="004029D5"/>
    <w:rsid w:val="00402A4C"/>
    <w:rsid w:val="00402BE2"/>
    <w:rsid w:val="00402C0C"/>
    <w:rsid w:val="00402C1F"/>
    <w:rsid w:val="00402C31"/>
    <w:rsid w:val="00402CD3"/>
    <w:rsid w:val="00402CF2"/>
    <w:rsid w:val="00402D2C"/>
    <w:rsid w:val="00402D32"/>
    <w:rsid w:val="00402D81"/>
    <w:rsid w:val="00402DE7"/>
    <w:rsid w:val="00402E83"/>
    <w:rsid w:val="00402F2B"/>
    <w:rsid w:val="00402F65"/>
    <w:rsid w:val="00402FA9"/>
    <w:rsid w:val="00403011"/>
    <w:rsid w:val="004030E2"/>
    <w:rsid w:val="0040315A"/>
    <w:rsid w:val="004031EA"/>
    <w:rsid w:val="0040326F"/>
    <w:rsid w:val="004032C5"/>
    <w:rsid w:val="00403379"/>
    <w:rsid w:val="0040342F"/>
    <w:rsid w:val="00403495"/>
    <w:rsid w:val="004035A1"/>
    <w:rsid w:val="00403633"/>
    <w:rsid w:val="004037AF"/>
    <w:rsid w:val="004037F3"/>
    <w:rsid w:val="004038A3"/>
    <w:rsid w:val="0040394B"/>
    <w:rsid w:val="00403ABE"/>
    <w:rsid w:val="00403AD0"/>
    <w:rsid w:val="00403B14"/>
    <w:rsid w:val="00403B2E"/>
    <w:rsid w:val="00403C13"/>
    <w:rsid w:val="00403CAC"/>
    <w:rsid w:val="00403D21"/>
    <w:rsid w:val="00403D8A"/>
    <w:rsid w:val="00403DD6"/>
    <w:rsid w:val="00403E08"/>
    <w:rsid w:val="00403E9C"/>
    <w:rsid w:val="00403ED6"/>
    <w:rsid w:val="00403F22"/>
    <w:rsid w:val="00403F5F"/>
    <w:rsid w:val="00403FAC"/>
    <w:rsid w:val="00404070"/>
    <w:rsid w:val="004040C8"/>
    <w:rsid w:val="004040CF"/>
    <w:rsid w:val="004040E7"/>
    <w:rsid w:val="00404154"/>
    <w:rsid w:val="00404162"/>
    <w:rsid w:val="00404270"/>
    <w:rsid w:val="00404424"/>
    <w:rsid w:val="00404464"/>
    <w:rsid w:val="004044F7"/>
    <w:rsid w:val="00404505"/>
    <w:rsid w:val="00404519"/>
    <w:rsid w:val="00404547"/>
    <w:rsid w:val="00404631"/>
    <w:rsid w:val="004046A0"/>
    <w:rsid w:val="00404768"/>
    <w:rsid w:val="0040478B"/>
    <w:rsid w:val="00404793"/>
    <w:rsid w:val="004047CA"/>
    <w:rsid w:val="004047E0"/>
    <w:rsid w:val="004047F0"/>
    <w:rsid w:val="004047F1"/>
    <w:rsid w:val="00404801"/>
    <w:rsid w:val="0040494F"/>
    <w:rsid w:val="004049BF"/>
    <w:rsid w:val="004049D1"/>
    <w:rsid w:val="00404A63"/>
    <w:rsid w:val="00404A87"/>
    <w:rsid w:val="00404AA4"/>
    <w:rsid w:val="00404BAE"/>
    <w:rsid w:val="00404C07"/>
    <w:rsid w:val="00404C69"/>
    <w:rsid w:val="00404D2A"/>
    <w:rsid w:val="00404DE3"/>
    <w:rsid w:val="00404E27"/>
    <w:rsid w:val="00404F0D"/>
    <w:rsid w:val="00404F4A"/>
    <w:rsid w:val="00404F8C"/>
    <w:rsid w:val="00404FD1"/>
    <w:rsid w:val="00405099"/>
    <w:rsid w:val="004050B9"/>
    <w:rsid w:val="004050E6"/>
    <w:rsid w:val="004050F4"/>
    <w:rsid w:val="004051F1"/>
    <w:rsid w:val="004051F4"/>
    <w:rsid w:val="0040528E"/>
    <w:rsid w:val="004052DD"/>
    <w:rsid w:val="004052EE"/>
    <w:rsid w:val="004052F2"/>
    <w:rsid w:val="00405342"/>
    <w:rsid w:val="00405385"/>
    <w:rsid w:val="004053BA"/>
    <w:rsid w:val="00405429"/>
    <w:rsid w:val="00405540"/>
    <w:rsid w:val="0040560F"/>
    <w:rsid w:val="004057C7"/>
    <w:rsid w:val="0040580D"/>
    <w:rsid w:val="00405894"/>
    <w:rsid w:val="004058CC"/>
    <w:rsid w:val="004058F0"/>
    <w:rsid w:val="0040591B"/>
    <w:rsid w:val="0040596B"/>
    <w:rsid w:val="004059F3"/>
    <w:rsid w:val="00405A13"/>
    <w:rsid w:val="00405A8F"/>
    <w:rsid w:val="00405CBA"/>
    <w:rsid w:val="00405D17"/>
    <w:rsid w:val="00405D32"/>
    <w:rsid w:val="00405D38"/>
    <w:rsid w:val="00405D8C"/>
    <w:rsid w:val="00405D92"/>
    <w:rsid w:val="00405DCE"/>
    <w:rsid w:val="00405EB0"/>
    <w:rsid w:val="00405EB7"/>
    <w:rsid w:val="00405F1E"/>
    <w:rsid w:val="00405F6A"/>
    <w:rsid w:val="0040609B"/>
    <w:rsid w:val="004062CE"/>
    <w:rsid w:val="004063BA"/>
    <w:rsid w:val="00406401"/>
    <w:rsid w:val="0040641B"/>
    <w:rsid w:val="004065B2"/>
    <w:rsid w:val="004065D4"/>
    <w:rsid w:val="004065D8"/>
    <w:rsid w:val="00406634"/>
    <w:rsid w:val="00406745"/>
    <w:rsid w:val="0040675B"/>
    <w:rsid w:val="00406762"/>
    <w:rsid w:val="004067CC"/>
    <w:rsid w:val="004067F8"/>
    <w:rsid w:val="00406917"/>
    <w:rsid w:val="0040693F"/>
    <w:rsid w:val="004069B7"/>
    <w:rsid w:val="00406A48"/>
    <w:rsid w:val="00406B5E"/>
    <w:rsid w:val="00406B8A"/>
    <w:rsid w:val="00406BF3"/>
    <w:rsid w:val="00406BF7"/>
    <w:rsid w:val="00406D11"/>
    <w:rsid w:val="00406D6D"/>
    <w:rsid w:val="00406DF9"/>
    <w:rsid w:val="00406E59"/>
    <w:rsid w:val="00406F65"/>
    <w:rsid w:val="0040706F"/>
    <w:rsid w:val="00407076"/>
    <w:rsid w:val="004070C2"/>
    <w:rsid w:val="004071B2"/>
    <w:rsid w:val="00407225"/>
    <w:rsid w:val="0040722A"/>
    <w:rsid w:val="004072D8"/>
    <w:rsid w:val="004072E7"/>
    <w:rsid w:val="00407371"/>
    <w:rsid w:val="00407393"/>
    <w:rsid w:val="00407485"/>
    <w:rsid w:val="004074B5"/>
    <w:rsid w:val="00407574"/>
    <w:rsid w:val="00407633"/>
    <w:rsid w:val="00407649"/>
    <w:rsid w:val="004076D0"/>
    <w:rsid w:val="004076E4"/>
    <w:rsid w:val="00407742"/>
    <w:rsid w:val="00407754"/>
    <w:rsid w:val="00407788"/>
    <w:rsid w:val="00407798"/>
    <w:rsid w:val="0040782D"/>
    <w:rsid w:val="00407860"/>
    <w:rsid w:val="00407880"/>
    <w:rsid w:val="004078D5"/>
    <w:rsid w:val="00407909"/>
    <w:rsid w:val="004079D8"/>
    <w:rsid w:val="00407BC2"/>
    <w:rsid w:val="00407C41"/>
    <w:rsid w:val="00407C65"/>
    <w:rsid w:val="00407CB7"/>
    <w:rsid w:val="00407D3C"/>
    <w:rsid w:val="00407DA3"/>
    <w:rsid w:val="00407DAB"/>
    <w:rsid w:val="00407DBD"/>
    <w:rsid w:val="00407E0F"/>
    <w:rsid w:val="00407EA5"/>
    <w:rsid w:val="00407F9F"/>
    <w:rsid w:val="004100CF"/>
    <w:rsid w:val="0041014A"/>
    <w:rsid w:val="00410288"/>
    <w:rsid w:val="004102C0"/>
    <w:rsid w:val="00410307"/>
    <w:rsid w:val="00410335"/>
    <w:rsid w:val="00410391"/>
    <w:rsid w:val="0041051E"/>
    <w:rsid w:val="00410563"/>
    <w:rsid w:val="0041057E"/>
    <w:rsid w:val="0041061E"/>
    <w:rsid w:val="0041082B"/>
    <w:rsid w:val="0041085C"/>
    <w:rsid w:val="0041088B"/>
    <w:rsid w:val="004108C8"/>
    <w:rsid w:val="004109A3"/>
    <w:rsid w:val="00410A42"/>
    <w:rsid w:val="00410A5F"/>
    <w:rsid w:val="00410A9A"/>
    <w:rsid w:val="00410B5A"/>
    <w:rsid w:val="00410C08"/>
    <w:rsid w:val="00410C50"/>
    <w:rsid w:val="00410C7C"/>
    <w:rsid w:val="00410CD4"/>
    <w:rsid w:val="00410E0C"/>
    <w:rsid w:val="00410ED2"/>
    <w:rsid w:val="00410ED7"/>
    <w:rsid w:val="00410F71"/>
    <w:rsid w:val="00410FE7"/>
    <w:rsid w:val="00410FE9"/>
    <w:rsid w:val="004110CE"/>
    <w:rsid w:val="004110D3"/>
    <w:rsid w:val="004110E5"/>
    <w:rsid w:val="0041112A"/>
    <w:rsid w:val="004112DA"/>
    <w:rsid w:val="0041130E"/>
    <w:rsid w:val="004113ED"/>
    <w:rsid w:val="00411491"/>
    <w:rsid w:val="004114A8"/>
    <w:rsid w:val="004114B9"/>
    <w:rsid w:val="004114EE"/>
    <w:rsid w:val="00411529"/>
    <w:rsid w:val="0041154F"/>
    <w:rsid w:val="0041158E"/>
    <w:rsid w:val="00411593"/>
    <w:rsid w:val="0041159D"/>
    <w:rsid w:val="004115DF"/>
    <w:rsid w:val="0041167D"/>
    <w:rsid w:val="004116F2"/>
    <w:rsid w:val="004117F0"/>
    <w:rsid w:val="00411925"/>
    <w:rsid w:val="004119F0"/>
    <w:rsid w:val="00411A25"/>
    <w:rsid w:val="00411AC1"/>
    <w:rsid w:val="00411BB9"/>
    <w:rsid w:val="00411DCD"/>
    <w:rsid w:val="00411E67"/>
    <w:rsid w:val="00411F70"/>
    <w:rsid w:val="00411F80"/>
    <w:rsid w:val="00411FB7"/>
    <w:rsid w:val="00411FD6"/>
    <w:rsid w:val="00412030"/>
    <w:rsid w:val="0041203F"/>
    <w:rsid w:val="004120BB"/>
    <w:rsid w:val="0041210F"/>
    <w:rsid w:val="004122DD"/>
    <w:rsid w:val="0041233B"/>
    <w:rsid w:val="004123D7"/>
    <w:rsid w:val="004123FB"/>
    <w:rsid w:val="0041251C"/>
    <w:rsid w:val="00412542"/>
    <w:rsid w:val="00412606"/>
    <w:rsid w:val="004127B1"/>
    <w:rsid w:val="004128BD"/>
    <w:rsid w:val="0041290B"/>
    <w:rsid w:val="00412968"/>
    <w:rsid w:val="00412A1B"/>
    <w:rsid w:val="00412AA9"/>
    <w:rsid w:val="00412ADB"/>
    <w:rsid w:val="00412BBC"/>
    <w:rsid w:val="00412C32"/>
    <w:rsid w:val="00412D2F"/>
    <w:rsid w:val="00412D88"/>
    <w:rsid w:val="00412EAB"/>
    <w:rsid w:val="00412FD2"/>
    <w:rsid w:val="0041305F"/>
    <w:rsid w:val="00413081"/>
    <w:rsid w:val="00413083"/>
    <w:rsid w:val="004130E2"/>
    <w:rsid w:val="004131C2"/>
    <w:rsid w:val="0041325A"/>
    <w:rsid w:val="0041328F"/>
    <w:rsid w:val="004132D8"/>
    <w:rsid w:val="00413320"/>
    <w:rsid w:val="00413331"/>
    <w:rsid w:val="00413447"/>
    <w:rsid w:val="00413458"/>
    <w:rsid w:val="00413493"/>
    <w:rsid w:val="004134C1"/>
    <w:rsid w:val="004134FC"/>
    <w:rsid w:val="004135CB"/>
    <w:rsid w:val="00413621"/>
    <w:rsid w:val="0041362A"/>
    <w:rsid w:val="00413632"/>
    <w:rsid w:val="00413705"/>
    <w:rsid w:val="00413722"/>
    <w:rsid w:val="00413760"/>
    <w:rsid w:val="004137C3"/>
    <w:rsid w:val="004138A0"/>
    <w:rsid w:val="00413A01"/>
    <w:rsid w:val="00413A52"/>
    <w:rsid w:val="00413BA4"/>
    <w:rsid w:val="00413BE5"/>
    <w:rsid w:val="00413C78"/>
    <w:rsid w:val="00413CCC"/>
    <w:rsid w:val="00413D18"/>
    <w:rsid w:val="00413E0C"/>
    <w:rsid w:val="00413E85"/>
    <w:rsid w:val="00413EFF"/>
    <w:rsid w:val="00414010"/>
    <w:rsid w:val="0041409E"/>
    <w:rsid w:val="004142CE"/>
    <w:rsid w:val="004142E9"/>
    <w:rsid w:val="004143B5"/>
    <w:rsid w:val="004143D0"/>
    <w:rsid w:val="00414413"/>
    <w:rsid w:val="0041458A"/>
    <w:rsid w:val="004145E9"/>
    <w:rsid w:val="00414623"/>
    <w:rsid w:val="00414687"/>
    <w:rsid w:val="0041468A"/>
    <w:rsid w:val="0041471F"/>
    <w:rsid w:val="00414782"/>
    <w:rsid w:val="004147A8"/>
    <w:rsid w:val="0041499E"/>
    <w:rsid w:val="00414AB9"/>
    <w:rsid w:val="00414AEC"/>
    <w:rsid w:val="00414AFF"/>
    <w:rsid w:val="00414B70"/>
    <w:rsid w:val="00414B9E"/>
    <w:rsid w:val="00414BE9"/>
    <w:rsid w:val="00414C2A"/>
    <w:rsid w:val="00414C88"/>
    <w:rsid w:val="00414D0F"/>
    <w:rsid w:val="00414E02"/>
    <w:rsid w:val="00414E1C"/>
    <w:rsid w:val="00414E45"/>
    <w:rsid w:val="00414F99"/>
    <w:rsid w:val="00414FF8"/>
    <w:rsid w:val="00415159"/>
    <w:rsid w:val="004151D9"/>
    <w:rsid w:val="0041525E"/>
    <w:rsid w:val="004152F1"/>
    <w:rsid w:val="0041532A"/>
    <w:rsid w:val="0041537E"/>
    <w:rsid w:val="004153E2"/>
    <w:rsid w:val="00415454"/>
    <w:rsid w:val="00415534"/>
    <w:rsid w:val="00415591"/>
    <w:rsid w:val="004155ED"/>
    <w:rsid w:val="0041581F"/>
    <w:rsid w:val="0041583F"/>
    <w:rsid w:val="00415861"/>
    <w:rsid w:val="00415870"/>
    <w:rsid w:val="00415A55"/>
    <w:rsid w:val="00415A63"/>
    <w:rsid w:val="00415AE8"/>
    <w:rsid w:val="00415AF6"/>
    <w:rsid w:val="00415B5A"/>
    <w:rsid w:val="00415BFC"/>
    <w:rsid w:val="00415C11"/>
    <w:rsid w:val="00415CB9"/>
    <w:rsid w:val="00415D97"/>
    <w:rsid w:val="00415E12"/>
    <w:rsid w:val="00415E5D"/>
    <w:rsid w:val="00415EF1"/>
    <w:rsid w:val="00415FE9"/>
    <w:rsid w:val="00416054"/>
    <w:rsid w:val="00416065"/>
    <w:rsid w:val="00416078"/>
    <w:rsid w:val="00416093"/>
    <w:rsid w:val="004160FF"/>
    <w:rsid w:val="00416159"/>
    <w:rsid w:val="00416174"/>
    <w:rsid w:val="004161DD"/>
    <w:rsid w:val="0041621F"/>
    <w:rsid w:val="00416249"/>
    <w:rsid w:val="0041632B"/>
    <w:rsid w:val="0041663C"/>
    <w:rsid w:val="00416714"/>
    <w:rsid w:val="004167E0"/>
    <w:rsid w:val="00416849"/>
    <w:rsid w:val="004168F8"/>
    <w:rsid w:val="004169D5"/>
    <w:rsid w:val="00416A3E"/>
    <w:rsid w:val="00416AC0"/>
    <w:rsid w:val="00416B33"/>
    <w:rsid w:val="00416C2D"/>
    <w:rsid w:val="00416C53"/>
    <w:rsid w:val="00416CD0"/>
    <w:rsid w:val="00416D0C"/>
    <w:rsid w:val="00416D33"/>
    <w:rsid w:val="00416D5D"/>
    <w:rsid w:val="00416D8A"/>
    <w:rsid w:val="00416DC1"/>
    <w:rsid w:val="00416F14"/>
    <w:rsid w:val="00417117"/>
    <w:rsid w:val="0041713E"/>
    <w:rsid w:val="0041718A"/>
    <w:rsid w:val="004171A0"/>
    <w:rsid w:val="004171BB"/>
    <w:rsid w:val="00417211"/>
    <w:rsid w:val="00417232"/>
    <w:rsid w:val="004172C2"/>
    <w:rsid w:val="00417313"/>
    <w:rsid w:val="004174CD"/>
    <w:rsid w:val="004174D1"/>
    <w:rsid w:val="00417576"/>
    <w:rsid w:val="004176A3"/>
    <w:rsid w:val="004176E5"/>
    <w:rsid w:val="004176F8"/>
    <w:rsid w:val="00417721"/>
    <w:rsid w:val="004177B1"/>
    <w:rsid w:val="00417840"/>
    <w:rsid w:val="004178C4"/>
    <w:rsid w:val="00417928"/>
    <w:rsid w:val="00417959"/>
    <w:rsid w:val="0041795B"/>
    <w:rsid w:val="004179D1"/>
    <w:rsid w:val="004179D3"/>
    <w:rsid w:val="00417A0A"/>
    <w:rsid w:val="00417AB4"/>
    <w:rsid w:val="00417AEE"/>
    <w:rsid w:val="00417B46"/>
    <w:rsid w:val="00417BA2"/>
    <w:rsid w:val="00417BDB"/>
    <w:rsid w:val="00417C7B"/>
    <w:rsid w:val="00417CAE"/>
    <w:rsid w:val="00417E28"/>
    <w:rsid w:val="00417E55"/>
    <w:rsid w:val="00417E70"/>
    <w:rsid w:val="00417FEC"/>
    <w:rsid w:val="0041C45B"/>
    <w:rsid w:val="00420025"/>
    <w:rsid w:val="00420028"/>
    <w:rsid w:val="0042006F"/>
    <w:rsid w:val="00420140"/>
    <w:rsid w:val="004201F1"/>
    <w:rsid w:val="00420220"/>
    <w:rsid w:val="00420230"/>
    <w:rsid w:val="004202C7"/>
    <w:rsid w:val="00420376"/>
    <w:rsid w:val="00420380"/>
    <w:rsid w:val="0042040F"/>
    <w:rsid w:val="00420490"/>
    <w:rsid w:val="004204DA"/>
    <w:rsid w:val="004206F1"/>
    <w:rsid w:val="0042078F"/>
    <w:rsid w:val="004207C0"/>
    <w:rsid w:val="0042094E"/>
    <w:rsid w:val="00420952"/>
    <w:rsid w:val="004209BE"/>
    <w:rsid w:val="00420A19"/>
    <w:rsid w:val="00420A29"/>
    <w:rsid w:val="00420A5A"/>
    <w:rsid w:val="00420A6C"/>
    <w:rsid w:val="00420B17"/>
    <w:rsid w:val="00420BEC"/>
    <w:rsid w:val="00420C2F"/>
    <w:rsid w:val="00420C59"/>
    <w:rsid w:val="00420C6C"/>
    <w:rsid w:val="00420C6E"/>
    <w:rsid w:val="00420C90"/>
    <w:rsid w:val="00420CBD"/>
    <w:rsid w:val="00420DCD"/>
    <w:rsid w:val="00420DDC"/>
    <w:rsid w:val="00420EB4"/>
    <w:rsid w:val="00420F93"/>
    <w:rsid w:val="004210CD"/>
    <w:rsid w:val="004210F1"/>
    <w:rsid w:val="004211B2"/>
    <w:rsid w:val="004211E5"/>
    <w:rsid w:val="004212C7"/>
    <w:rsid w:val="004214D2"/>
    <w:rsid w:val="004214FC"/>
    <w:rsid w:val="0042155C"/>
    <w:rsid w:val="004215A7"/>
    <w:rsid w:val="00421675"/>
    <w:rsid w:val="004216E2"/>
    <w:rsid w:val="004217CE"/>
    <w:rsid w:val="00421A1D"/>
    <w:rsid w:val="00421BA1"/>
    <w:rsid w:val="00421C9C"/>
    <w:rsid w:val="00421CE2"/>
    <w:rsid w:val="00421D8C"/>
    <w:rsid w:val="00421E5F"/>
    <w:rsid w:val="00421E9E"/>
    <w:rsid w:val="00421ED0"/>
    <w:rsid w:val="00421EE5"/>
    <w:rsid w:val="00421F5F"/>
    <w:rsid w:val="00421FFE"/>
    <w:rsid w:val="00422013"/>
    <w:rsid w:val="004220C2"/>
    <w:rsid w:val="004221A4"/>
    <w:rsid w:val="004221D4"/>
    <w:rsid w:val="00422295"/>
    <w:rsid w:val="00422347"/>
    <w:rsid w:val="00422363"/>
    <w:rsid w:val="00422394"/>
    <w:rsid w:val="004223B9"/>
    <w:rsid w:val="004225DB"/>
    <w:rsid w:val="004227F8"/>
    <w:rsid w:val="004227FF"/>
    <w:rsid w:val="00422845"/>
    <w:rsid w:val="00422A06"/>
    <w:rsid w:val="00422ABD"/>
    <w:rsid w:val="00422B2E"/>
    <w:rsid w:val="00422BB8"/>
    <w:rsid w:val="00422C1E"/>
    <w:rsid w:val="00422C7A"/>
    <w:rsid w:val="00422CCD"/>
    <w:rsid w:val="00422CE8"/>
    <w:rsid w:val="00422DDF"/>
    <w:rsid w:val="00422E3A"/>
    <w:rsid w:val="00422EEB"/>
    <w:rsid w:val="00422FC4"/>
    <w:rsid w:val="00422FD9"/>
    <w:rsid w:val="00423074"/>
    <w:rsid w:val="004231E0"/>
    <w:rsid w:val="00423340"/>
    <w:rsid w:val="00423356"/>
    <w:rsid w:val="0042337B"/>
    <w:rsid w:val="0042346D"/>
    <w:rsid w:val="00423515"/>
    <w:rsid w:val="004235BB"/>
    <w:rsid w:val="004235F3"/>
    <w:rsid w:val="00423700"/>
    <w:rsid w:val="00423800"/>
    <w:rsid w:val="004238A3"/>
    <w:rsid w:val="0042393E"/>
    <w:rsid w:val="004239F7"/>
    <w:rsid w:val="00423A2E"/>
    <w:rsid w:val="00423AB8"/>
    <w:rsid w:val="00423B44"/>
    <w:rsid w:val="00423B8D"/>
    <w:rsid w:val="00423BD4"/>
    <w:rsid w:val="00423C12"/>
    <w:rsid w:val="00423CA6"/>
    <w:rsid w:val="00423DF0"/>
    <w:rsid w:val="00423E6F"/>
    <w:rsid w:val="00423F1C"/>
    <w:rsid w:val="00423F51"/>
    <w:rsid w:val="00423F83"/>
    <w:rsid w:val="00423FE2"/>
    <w:rsid w:val="00424037"/>
    <w:rsid w:val="0042408A"/>
    <w:rsid w:val="0042408B"/>
    <w:rsid w:val="00424271"/>
    <w:rsid w:val="004242D4"/>
    <w:rsid w:val="004242F0"/>
    <w:rsid w:val="00424356"/>
    <w:rsid w:val="004244EA"/>
    <w:rsid w:val="00424520"/>
    <w:rsid w:val="0042452C"/>
    <w:rsid w:val="00424599"/>
    <w:rsid w:val="00424694"/>
    <w:rsid w:val="004246C6"/>
    <w:rsid w:val="004246E9"/>
    <w:rsid w:val="00424765"/>
    <w:rsid w:val="004248C9"/>
    <w:rsid w:val="00424A6A"/>
    <w:rsid w:val="00424A6F"/>
    <w:rsid w:val="00424C89"/>
    <w:rsid w:val="00424CDC"/>
    <w:rsid w:val="00424CEB"/>
    <w:rsid w:val="00424D1A"/>
    <w:rsid w:val="00424D5D"/>
    <w:rsid w:val="00424D6C"/>
    <w:rsid w:val="00424E5E"/>
    <w:rsid w:val="00424E97"/>
    <w:rsid w:val="00424EB7"/>
    <w:rsid w:val="00424EC8"/>
    <w:rsid w:val="00424EEF"/>
    <w:rsid w:val="00424F52"/>
    <w:rsid w:val="00424F64"/>
    <w:rsid w:val="00424FD8"/>
    <w:rsid w:val="00424FFD"/>
    <w:rsid w:val="00425018"/>
    <w:rsid w:val="00425069"/>
    <w:rsid w:val="00425159"/>
    <w:rsid w:val="00425205"/>
    <w:rsid w:val="0042522B"/>
    <w:rsid w:val="004252CD"/>
    <w:rsid w:val="00425302"/>
    <w:rsid w:val="00425382"/>
    <w:rsid w:val="004253BD"/>
    <w:rsid w:val="004253FC"/>
    <w:rsid w:val="004254C0"/>
    <w:rsid w:val="0042555F"/>
    <w:rsid w:val="004255E5"/>
    <w:rsid w:val="00425613"/>
    <w:rsid w:val="00425644"/>
    <w:rsid w:val="0042569D"/>
    <w:rsid w:val="004256C7"/>
    <w:rsid w:val="00425719"/>
    <w:rsid w:val="0042577E"/>
    <w:rsid w:val="0042579D"/>
    <w:rsid w:val="00425833"/>
    <w:rsid w:val="0042584D"/>
    <w:rsid w:val="00425878"/>
    <w:rsid w:val="004258A6"/>
    <w:rsid w:val="004258D4"/>
    <w:rsid w:val="004258DE"/>
    <w:rsid w:val="00425954"/>
    <w:rsid w:val="0042596D"/>
    <w:rsid w:val="004259E7"/>
    <w:rsid w:val="00425A48"/>
    <w:rsid w:val="00425ACF"/>
    <w:rsid w:val="00425B86"/>
    <w:rsid w:val="00425BB8"/>
    <w:rsid w:val="00425C31"/>
    <w:rsid w:val="00425CCC"/>
    <w:rsid w:val="00425CD9"/>
    <w:rsid w:val="00425D0E"/>
    <w:rsid w:val="00425D14"/>
    <w:rsid w:val="00425E15"/>
    <w:rsid w:val="00425EBD"/>
    <w:rsid w:val="004260BB"/>
    <w:rsid w:val="00426160"/>
    <w:rsid w:val="004261AB"/>
    <w:rsid w:val="004261C0"/>
    <w:rsid w:val="0042631E"/>
    <w:rsid w:val="00426332"/>
    <w:rsid w:val="0042640E"/>
    <w:rsid w:val="0042641F"/>
    <w:rsid w:val="00426420"/>
    <w:rsid w:val="00426466"/>
    <w:rsid w:val="004264B7"/>
    <w:rsid w:val="0042653F"/>
    <w:rsid w:val="004265BD"/>
    <w:rsid w:val="004267EA"/>
    <w:rsid w:val="00426928"/>
    <w:rsid w:val="00426AB4"/>
    <w:rsid w:val="00426B60"/>
    <w:rsid w:val="00426C4E"/>
    <w:rsid w:val="00426DAA"/>
    <w:rsid w:val="00426E0F"/>
    <w:rsid w:val="00426E71"/>
    <w:rsid w:val="00426EB6"/>
    <w:rsid w:val="00426EBC"/>
    <w:rsid w:val="00426EF5"/>
    <w:rsid w:val="00426F15"/>
    <w:rsid w:val="004272A4"/>
    <w:rsid w:val="004272B2"/>
    <w:rsid w:val="004272CB"/>
    <w:rsid w:val="00427322"/>
    <w:rsid w:val="00427347"/>
    <w:rsid w:val="004274A5"/>
    <w:rsid w:val="00427549"/>
    <w:rsid w:val="00427723"/>
    <w:rsid w:val="00427797"/>
    <w:rsid w:val="004277C9"/>
    <w:rsid w:val="004278AA"/>
    <w:rsid w:val="004278D4"/>
    <w:rsid w:val="00427998"/>
    <w:rsid w:val="00427A5A"/>
    <w:rsid w:val="00427A5D"/>
    <w:rsid w:val="00427A82"/>
    <w:rsid w:val="00427C9F"/>
    <w:rsid w:val="00427E2C"/>
    <w:rsid w:val="00427FEF"/>
    <w:rsid w:val="0043007B"/>
    <w:rsid w:val="0043012D"/>
    <w:rsid w:val="0043013B"/>
    <w:rsid w:val="0043026E"/>
    <w:rsid w:val="00430370"/>
    <w:rsid w:val="00430390"/>
    <w:rsid w:val="0043039D"/>
    <w:rsid w:val="00430439"/>
    <w:rsid w:val="00430456"/>
    <w:rsid w:val="0043048D"/>
    <w:rsid w:val="00430497"/>
    <w:rsid w:val="00430499"/>
    <w:rsid w:val="004304DF"/>
    <w:rsid w:val="004304E5"/>
    <w:rsid w:val="00430563"/>
    <w:rsid w:val="0043059A"/>
    <w:rsid w:val="004305DA"/>
    <w:rsid w:val="004305F8"/>
    <w:rsid w:val="00430619"/>
    <w:rsid w:val="004306F0"/>
    <w:rsid w:val="00430793"/>
    <w:rsid w:val="004307A3"/>
    <w:rsid w:val="004308A2"/>
    <w:rsid w:val="0043097D"/>
    <w:rsid w:val="004309A1"/>
    <w:rsid w:val="00430ABC"/>
    <w:rsid w:val="00430B07"/>
    <w:rsid w:val="00430B08"/>
    <w:rsid w:val="00430B3D"/>
    <w:rsid w:val="00430C28"/>
    <w:rsid w:val="00430C3D"/>
    <w:rsid w:val="00430C45"/>
    <w:rsid w:val="00430C4D"/>
    <w:rsid w:val="00430C5B"/>
    <w:rsid w:val="00430D35"/>
    <w:rsid w:val="00430D45"/>
    <w:rsid w:val="00430D70"/>
    <w:rsid w:val="00430DD8"/>
    <w:rsid w:val="00430DF4"/>
    <w:rsid w:val="00431253"/>
    <w:rsid w:val="00431255"/>
    <w:rsid w:val="0043127F"/>
    <w:rsid w:val="00431302"/>
    <w:rsid w:val="00431325"/>
    <w:rsid w:val="00431381"/>
    <w:rsid w:val="004313EE"/>
    <w:rsid w:val="00431450"/>
    <w:rsid w:val="004315CC"/>
    <w:rsid w:val="004315CE"/>
    <w:rsid w:val="00431688"/>
    <w:rsid w:val="0043174C"/>
    <w:rsid w:val="00431839"/>
    <w:rsid w:val="0043185C"/>
    <w:rsid w:val="004319B8"/>
    <w:rsid w:val="00431A34"/>
    <w:rsid w:val="00431B59"/>
    <w:rsid w:val="00431B95"/>
    <w:rsid w:val="00431BF4"/>
    <w:rsid w:val="00431C01"/>
    <w:rsid w:val="00431C79"/>
    <w:rsid w:val="00431CEE"/>
    <w:rsid w:val="00431D18"/>
    <w:rsid w:val="00431D73"/>
    <w:rsid w:val="00431D78"/>
    <w:rsid w:val="00431D83"/>
    <w:rsid w:val="00431E22"/>
    <w:rsid w:val="00431EA5"/>
    <w:rsid w:val="00431F03"/>
    <w:rsid w:val="00431FD3"/>
    <w:rsid w:val="00432000"/>
    <w:rsid w:val="0043216D"/>
    <w:rsid w:val="004321A6"/>
    <w:rsid w:val="00432272"/>
    <w:rsid w:val="004322E8"/>
    <w:rsid w:val="004322F5"/>
    <w:rsid w:val="004323AD"/>
    <w:rsid w:val="004323E8"/>
    <w:rsid w:val="00432483"/>
    <w:rsid w:val="004324C3"/>
    <w:rsid w:val="0043250E"/>
    <w:rsid w:val="00432547"/>
    <w:rsid w:val="004325B5"/>
    <w:rsid w:val="004325E0"/>
    <w:rsid w:val="004325F3"/>
    <w:rsid w:val="0043279B"/>
    <w:rsid w:val="004327AD"/>
    <w:rsid w:val="0043284D"/>
    <w:rsid w:val="0043288B"/>
    <w:rsid w:val="004328CD"/>
    <w:rsid w:val="00432916"/>
    <w:rsid w:val="00432990"/>
    <w:rsid w:val="004329F2"/>
    <w:rsid w:val="00432BE6"/>
    <w:rsid w:val="00432DDD"/>
    <w:rsid w:val="00432E76"/>
    <w:rsid w:val="00432ED1"/>
    <w:rsid w:val="00432F46"/>
    <w:rsid w:val="004330C3"/>
    <w:rsid w:val="00433123"/>
    <w:rsid w:val="00433158"/>
    <w:rsid w:val="0043316F"/>
    <w:rsid w:val="004331A6"/>
    <w:rsid w:val="00433252"/>
    <w:rsid w:val="0043366E"/>
    <w:rsid w:val="0043368D"/>
    <w:rsid w:val="00433770"/>
    <w:rsid w:val="00433818"/>
    <w:rsid w:val="0043388B"/>
    <w:rsid w:val="00433909"/>
    <w:rsid w:val="004339B9"/>
    <w:rsid w:val="00433AE3"/>
    <w:rsid w:val="00433B27"/>
    <w:rsid w:val="00433B45"/>
    <w:rsid w:val="00433B4A"/>
    <w:rsid w:val="00433BA2"/>
    <w:rsid w:val="00433BE6"/>
    <w:rsid w:val="00433C5C"/>
    <w:rsid w:val="00433CCE"/>
    <w:rsid w:val="00433D69"/>
    <w:rsid w:val="00433F00"/>
    <w:rsid w:val="00433F5B"/>
    <w:rsid w:val="00434021"/>
    <w:rsid w:val="00434022"/>
    <w:rsid w:val="00434233"/>
    <w:rsid w:val="00434265"/>
    <w:rsid w:val="004342AE"/>
    <w:rsid w:val="004342C1"/>
    <w:rsid w:val="00434381"/>
    <w:rsid w:val="00434447"/>
    <w:rsid w:val="004344E8"/>
    <w:rsid w:val="004345BE"/>
    <w:rsid w:val="004348AE"/>
    <w:rsid w:val="004349DF"/>
    <w:rsid w:val="00434A5D"/>
    <w:rsid w:val="00434B52"/>
    <w:rsid w:val="00434B55"/>
    <w:rsid w:val="00434B8D"/>
    <w:rsid w:val="00434C28"/>
    <w:rsid w:val="00434D79"/>
    <w:rsid w:val="00434DD6"/>
    <w:rsid w:val="00434E12"/>
    <w:rsid w:val="00434E14"/>
    <w:rsid w:val="00434E4F"/>
    <w:rsid w:val="00434ED0"/>
    <w:rsid w:val="00434EFC"/>
    <w:rsid w:val="00434F37"/>
    <w:rsid w:val="00434F65"/>
    <w:rsid w:val="00434F66"/>
    <w:rsid w:val="00435266"/>
    <w:rsid w:val="004352C4"/>
    <w:rsid w:val="004352F9"/>
    <w:rsid w:val="004353F6"/>
    <w:rsid w:val="0043568A"/>
    <w:rsid w:val="004356A6"/>
    <w:rsid w:val="004356B2"/>
    <w:rsid w:val="00435745"/>
    <w:rsid w:val="0043579B"/>
    <w:rsid w:val="004357BA"/>
    <w:rsid w:val="004357EA"/>
    <w:rsid w:val="0043583D"/>
    <w:rsid w:val="00435886"/>
    <w:rsid w:val="004359D4"/>
    <w:rsid w:val="00435ABA"/>
    <w:rsid w:val="00435ABC"/>
    <w:rsid w:val="00435AFE"/>
    <w:rsid w:val="00435B06"/>
    <w:rsid w:val="00435B1B"/>
    <w:rsid w:val="00435C23"/>
    <w:rsid w:val="00435C4C"/>
    <w:rsid w:val="00435CD2"/>
    <w:rsid w:val="0043607C"/>
    <w:rsid w:val="004360BD"/>
    <w:rsid w:val="004360FB"/>
    <w:rsid w:val="00436108"/>
    <w:rsid w:val="00436166"/>
    <w:rsid w:val="00436197"/>
    <w:rsid w:val="00436242"/>
    <w:rsid w:val="00436284"/>
    <w:rsid w:val="004362A1"/>
    <w:rsid w:val="00436562"/>
    <w:rsid w:val="00436579"/>
    <w:rsid w:val="004365F1"/>
    <w:rsid w:val="00436699"/>
    <w:rsid w:val="00436713"/>
    <w:rsid w:val="00436791"/>
    <w:rsid w:val="00436792"/>
    <w:rsid w:val="004367A8"/>
    <w:rsid w:val="00436873"/>
    <w:rsid w:val="00436A33"/>
    <w:rsid w:val="00436B05"/>
    <w:rsid w:val="00436B2E"/>
    <w:rsid w:val="00436B42"/>
    <w:rsid w:val="00436D13"/>
    <w:rsid w:val="00436E25"/>
    <w:rsid w:val="00436E2E"/>
    <w:rsid w:val="00436EA2"/>
    <w:rsid w:val="00436ECA"/>
    <w:rsid w:val="00436F15"/>
    <w:rsid w:val="00436F94"/>
    <w:rsid w:val="00436FA7"/>
    <w:rsid w:val="004370C6"/>
    <w:rsid w:val="00437142"/>
    <w:rsid w:val="004371B7"/>
    <w:rsid w:val="004372BD"/>
    <w:rsid w:val="004373F8"/>
    <w:rsid w:val="004375F1"/>
    <w:rsid w:val="00437623"/>
    <w:rsid w:val="004376A1"/>
    <w:rsid w:val="004376E3"/>
    <w:rsid w:val="0043773E"/>
    <w:rsid w:val="00437743"/>
    <w:rsid w:val="00437807"/>
    <w:rsid w:val="00437814"/>
    <w:rsid w:val="0043781F"/>
    <w:rsid w:val="00437843"/>
    <w:rsid w:val="0043785B"/>
    <w:rsid w:val="00437881"/>
    <w:rsid w:val="00437AA7"/>
    <w:rsid w:val="00437AA9"/>
    <w:rsid w:val="00437AD7"/>
    <w:rsid w:val="00437B0A"/>
    <w:rsid w:val="00437B67"/>
    <w:rsid w:val="00437BF0"/>
    <w:rsid w:val="00437C2F"/>
    <w:rsid w:val="00437E15"/>
    <w:rsid w:val="00437E3B"/>
    <w:rsid w:val="0044001E"/>
    <w:rsid w:val="00440075"/>
    <w:rsid w:val="0044014D"/>
    <w:rsid w:val="00440218"/>
    <w:rsid w:val="0044026C"/>
    <w:rsid w:val="00440297"/>
    <w:rsid w:val="004402D5"/>
    <w:rsid w:val="004402E5"/>
    <w:rsid w:val="0044034B"/>
    <w:rsid w:val="00440400"/>
    <w:rsid w:val="00440481"/>
    <w:rsid w:val="00440493"/>
    <w:rsid w:val="004404B9"/>
    <w:rsid w:val="004404C2"/>
    <w:rsid w:val="00440554"/>
    <w:rsid w:val="004406B8"/>
    <w:rsid w:val="0044074A"/>
    <w:rsid w:val="004407D8"/>
    <w:rsid w:val="004407EF"/>
    <w:rsid w:val="0044083B"/>
    <w:rsid w:val="0044096B"/>
    <w:rsid w:val="004409C8"/>
    <w:rsid w:val="004409D4"/>
    <w:rsid w:val="004409D7"/>
    <w:rsid w:val="00440A02"/>
    <w:rsid w:val="00440A5F"/>
    <w:rsid w:val="00440B29"/>
    <w:rsid w:val="00440B95"/>
    <w:rsid w:val="00440BD0"/>
    <w:rsid w:val="00440BF8"/>
    <w:rsid w:val="00440BFC"/>
    <w:rsid w:val="00440CDE"/>
    <w:rsid w:val="00440D56"/>
    <w:rsid w:val="00440DA5"/>
    <w:rsid w:val="00440DDF"/>
    <w:rsid w:val="00440F4B"/>
    <w:rsid w:val="00440FA3"/>
    <w:rsid w:val="00440FE2"/>
    <w:rsid w:val="00441268"/>
    <w:rsid w:val="00441292"/>
    <w:rsid w:val="004412DF"/>
    <w:rsid w:val="004412E5"/>
    <w:rsid w:val="0044133C"/>
    <w:rsid w:val="00441484"/>
    <w:rsid w:val="0044153E"/>
    <w:rsid w:val="0044154A"/>
    <w:rsid w:val="0044158D"/>
    <w:rsid w:val="0044162B"/>
    <w:rsid w:val="00441649"/>
    <w:rsid w:val="0044165B"/>
    <w:rsid w:val="00441703"/>
    <w:rsid w:val="004417AA"/>
    <w:rsid w:val="004417CB"/>
    <w:rsid w:val="00441820"/>
    <w:rsid w:val="00441835"/>
    <w:rsid w:val="0044187B"/>
    <w:rsid w:val="00441A59"/>
    <w:rsid w:val="00441A5C"/>
    <w:rsid w:val="00441B2F"/>
    <w:rsid w:val="00441B3C"/>
    <w:rsid w:val="00441B5A"/>
    <w:rsid w:val="00441BAB"/>
    <w:rsid w:val="00441C05"/>
    <w:rsid w:val="00441C06"/>
    <w:rsid w:val="00441C59"/>
    <w:rsid w:val="00441D39"/>
    <w:rsid w:val="00441FDD"/>
    <w:rsid w:val="00442000"/>
    <w:rsid w:val="00442076"/>
    <w:rsid w:val="004420E1"/>
    <w:rsid w:val="00442127"/>
    <w:rsid w:val="00442141"/>
    <w:rsid w:val="004421CB"/>
    <w:rsid w:val="004421D3"/>
    <w:rsid w:val="00442383"/>
    <w:rsid w:val="004424B3"/>
    <w:rsid w:val="004424C7"/>
    <w:rsid w:val="004425BA"/>
    <w:rsid w:val="0044260D"/>
    <w:rsid w:val="0044262C"/>
    <w:rsid w:val="0044267A"/>
    <w:rsid w:val="0044276D"/>
    <w:rsid w:val="0044277B"/>
    <w:rsid w:val="0044278D"/>
    <w:rsid w:val="004427A1"/>
    <w:rsid w:val="0044282E"/>
    <w:rsid w:val="004428EA"/>
    <w:rsid w:val="00442924"/>
    <w:rsid w:val="004429AC"/>
    <w:rsid w:val="00442A72"/>
    <w:rsid w:val="00442BFF"/>
    <w:rsid w:val="00442CAC"/>
    <w:rsid w:val="00442CED"/>
    <w:rsid w:val="00442D3F"/>
    <w:rsid w:val="00442D82"/>
    <w:rsid w:val="00442E37"/>
    <w:rsid w:val="00442F01"/>
    <w:rsid w:val="00443038"/>
    <w:rsid w:val="00443073"/>
    <w:rsid w:val="00443205"/>
    <w:rsid w:val="0044326C"/>
    <w:rsid w:val="00443273"/>
    <w:rsid w:val="004433DD"/>
    <w:rsid w:val="00443562"/>
    <w:rsid w:val="004435C4"/>
    <w:rsid w:val="004435EA"/>
    <w:rsid w:val="004435FC"/>
    <w:rsid w:val="00443641"/>
    <w:rsid w:val="00443657"/>
    <w:rsid w:val="0044366C"/>
    <w:rsid w:val="004436AF"/>
    <w:rsid w:val="004436DD"/>
    <w:rsid w:val="00443874"/>
    <w:rsid w:val="00443878"/>
    <w:rsid w:val="0044391A"/>
    <w:rsid w:val="00443939"/>
    <w:rsid w:val="00443A25"/>
    <w:rsid w:val="00443A67"/>
    <w:rsid w:val="00443ACB"/>
    <w:rsid w:val="00443AFC"/>
    <w:rsid w:val="00443B61"/>
    <w:rsid w:val="00443BB6"/>
    <w:rsid w:val="00443BE3"/>
    <w:rsid w:val="00443DA2"/>
    <w:rsid w:val="00443DD5"/>
    <w:rsid w:val="00443E11"/>
    <w:rsid w:val="00443ED1"/>
    <w:rsid w:val="00443F6D"/>
    <w:rsid w:val="0044415D"/>
    <w:rsid w:val="004442C0"/>
    <w:rsid w:val="00444311"/>
    <w:rsid w:val="0044431D"/>
    <w:rsid w:val="004443A1"/>
    <w:rsid w:val="004443C1"/>
    <w:rsid w:val="00444539"/>
    <w:rsid w:val="00444577"/>
    <w:rsid w:val="00444623"/>
    <w:rsid w:val="004446C7"/>
    <w:rsid w:val="004446E6"/>
    <w:rsid w:val="004446F7"/>
    <w:rsid w:val="00444713"/>
    <w:rsid w:val="0044474F"/>
    <w:rsid w:val="0044486A"/>
    <w:rsid w:val="0044493C"/>
    <w:rsid w:val="00444AA0"/>
    <w:rsid w:val="00444BBB"/>
    <w:rsid w:val="00444BFA"/>
    <w:rsid w:val="00444C27"/>
    <w:rsid w:val="00444C38"/>
    <w:rsid w:val="00444C79"/>
    <w:rsid w:val="00444C9B"/>
    <w:rsid w:val="00444CB5"/>
    <w:rsid w:val="00444CBB"/>
    <w:rsid w:val="00444CE8"/>
    <w:rsid w:val="00444D49"/>
    <w:rsid w:val="00444D70"/>
    <w:rsid w:val="00444DAB"/>
    <w:rsid w:val="00444E24"/>
    <w:rsid w:val="00444E2F"/>
    <w:rsid w:val="00444E85"/>
    <w:rsid w:val="004450BE"/>
    <w:rsid w:val="0044514C"/>
    <w:rsid w:val="00445218"/>
    <w:rsid w:val="0044521F"/>
    <w:rsid w:val="004452A1"/>
    <w:rsid w:val="00445306"/>
    <w:rsid w:val="00445315"/>
    <w:rsid w:val="004453ED"/>
    <w:rsid w:val="00445423"/>
    <w:rsid w:val="004454EA"/>
    <w:rsid w:val="004454ED"/>
    <w:rsid w:val="00445528"/>
    <w:rsid w:val="004455AE"/>
    <w:rsid w:val="00445601"/>
    <w:rsid w:val="00445633"/>
    <w:rsid w:val="004456B7"/>
    <w:rsid w:val="00445871"/>
    <w:rsid w:val="004458B0"/>
    <w:rsid w:val="0044597E"/>
    <w:rsid w:val="00445983"/>
    <w:rsid w:val="00445B1A"/>
    <w:rsid w:val="00445CA9"/>
    <w:rsid w:val="00445CC1"/>
    <w:rsid w:val="00445CE5"/>
    <w:rsid w:val="00445D06"/>
    <w:rsid w:val="00445D0F"/>
    <w:rsid w:val="00445D39"/>
    <w:rsid w:val="00445D60"/>
    <w:rsid w:val="00445D6C"/>
    <w:rsid w:val="00445E29"/>
    <w:rsid w:val="00445EBE"/>
    <w:rsid w:val="00445F2C"/>
    <w:rsid w:val="00446089"/>
    <w:rsid w:val="004460D6"/>
    <w:rsid w:val="0044611D"/>
    <w:rsid w:val="004462D2"/>
    <w:rsid w:val="004463A4"/>
    <w:rsid w:val="004463F9"/>
    <w:rsid w:val="0044641C"/>
    <w:rsid w:val="004464C1"/>
    <w:rsid w:val="00446500"/>
    <w:rsid w:val="0044656C"/>
    <w:rsid w:val="004465C1"/>
    <w:rsid w:val="004465C6"/>
    <w:rsid w:val="004465DF"/>
    <w:rsid w:val="0044661F"/>
    <w:rsid w:val="004466C3"/>
    <w:rsid w:val="0044688B"/>
    <w:rsid w:val="004468D1"/>
    <w:rsid w:val="0044695F"/>
    <w:rsid w:val="004469F1"/>
    <w:rsid w:val="004469FD"/>
    <w:rsid w:val="00446A00"/>
    <w:rsid w:val="00446BAF"/>
    <w:rsid w:val="00446BC3"/>
    <w:rsid w:val="00446C8A"/>
    <w:rsid w:val="00446CA0"/>
    <w:rsid w:val="00446CC4"/>
    <w:rsid w:val="00446DB9"/>
    <w:rsid w:val="00446E39"/>
    <w:rsid w:val="00446E8B"/>
    <w:rsid w:val="00446E9B"/>
    <w:rsid w:val="00446EF7"/>
    <w:rsid w:val="00446F67"/>
    <w:rsid w:val="00446FD2"/>
    <w:rsid w:val="004472E8"/>
    <w:rsid w:val="00447373"/>
    <w:rsid w:val="0044738F"/>
    <w:rsid w:val="0044741E"/>
    <w:rsid w:val="004475EA"/>
    <w:rsid w:val="00447818"/>
    <w:rsid w:val="00447823"/>
    <w:rsid w:val="0044787D"/>
    <w:rsid w:val="00447896"/>
    <w:rsid w:val="0044796E"/>
    <w:rsid w:val="00447A22"/>
    <w:rsid w:val="00447B76"/>
    <w:rsid w:val="00447BC2"/>
    <w:rsid w:val="00447C86"/>
    <w:rsid w:val="00447D29"/>
    <w:rsid w:val="00447D46"/>
    <w:rsid w:val="00447D7A"/>
    <w:rsid w:val="00447F94"/>
    <w:rsid w:val="0044AE08"/>
    <w:rsid w:val="0045009E"/>
    <w:rsid w:val="00450195"/>
    <w:rsid w:val="0045022A"/>
    <w:rsid w:val="00450230"/>
    <w:rsid w:val="004502A8"/>
    <w:rsid w:val="00450325"/>
    <w:rsid w:val="004503F6"/>
    <w:rsid w:val="00450452"/>
    <w:rsid w:val="00450562"/>
    <w:rsid w:val="00450586"/>
    <w:rsid w:val="004505B2"/>
    <w:rsid w:val="0045064F"/>
    <w:rsid w:val="004506D5"/>
    <w:rsid w:val="00450775"/>
    <w:rsid w:val="004507DB"/>
    <w:rsid w:val="004507E9"/>
    <w:rsid w:val="00450858"/>
    <w:rsid w:val="0045086A"/>
    <w:rsid w:val="004508F6"/>
    <w:rsid w:val="0045091F"/>
    <w:rsid w:val="004509B5"/>
    <w:rsid w:val="00450A2E"/>
    <w:rsid w:val="00450BB9"/>
    <w:rsid w:val="00450BDE"/>
    <w:rsid w:val="00450C01"/>
    <w:rsid w:val="00450CBA"/>
    <w:rsid w:val="00450CC9"/>
    <w:rsid w:val="00450E7C"/>
    <w:rsid w:val="00450E97"/>
    <w:rsid w:val="00450F20"/>
    <w:rsid w:val="00450F82"/>
    <w:rsid w:val="00450F84"/>
    <w:rsid w:val="0045100C"/>
    <w:rsid w:val="0045128A"/>
    <w:rsid w:val="0045136C"/>
    <w:rsid w:val="004514B2"/>
    <w:rsid w:val="004514E1"/>
    <w:rsid w:val="0045155D"/>
    <w:rsid w:val="00451580"/>
    <w:rsid w:val="0045165D"/>
    <w:rsid w:val="00451660"/>
    <w:rsid w:val="00451683"/>
    <w:rsid w:val="0045169A"/>
    <w:rsid w:val="00451760"/>
    <w:rsid w:val="0045176C"/>
    <w:rsid w:val="004517CB"/>
    <w:rsid w:val="004517F4"/>
    <w:rsid w:val="0045199B"/>
    <w:rsid w:val="00451B14"/>
    <w:rsid w:val="00451BA3"/>
    <w:rsid w:val="00451CA0"/>
    <w:rsid w:val="00451CB1"/>
    <w:rsid w:val="00451D55"/>
    <w:rsid w:val="00451DD0"/>
    <w:rsid w:val="00451E2E"/>
    <w:rsid w:val="00451F3F"/>
    <w:rsid w:val="00451F5C"/>
    <w:rsid w:val="0045215C"/>
    <w:rsid w:val="004521D2"/>
    <w:rsid w:val="004521D6"/>
    <w:rsid w:val="004522D1"/>
    <w:rsid w:val="004522E7"/>
    <w:rsid w:val="00452350"/>
    <w:rsid w:val="00452377"/>
    <w:rsid w:val="004523BA"/>
    <w:rsid w:val="004523C8"/>
    <w:rsid w:val="0045244F"/>
    <w:rsid w:val="0045253E"/>
    <w:rsid w:val="0045254C"/>
    <w:rsid w:val="00452602"/>
    <w:rsid w:val="00452695"/>
    <w:rsid w:val="0045269A"/>
    <w:rsid w:val="00452763"/>
    <w:rsid w:val="00452781"/>
    <w:rsid w:val="00452855"/>
    <w:rsid w:val="004528F1"/>
    <w:rsid w:val="004529B8"/>
    <w:rsid w:val="00452A01"/>
    <w:rsid w:val="00452AC3"/>
    <w:rsid w:val="00452C13"/>
    <w:rsid w:val="00452C36"/>
    <w:rsid w:val="00452D0A"/>
    <w:rsid w:val="00452D27"/>
    <w:rsid w:val="00452DDA"/>
    <w:rsid w:val="00452EFD"/>
    <w:rsid w:val="00452F0D"/>
    <w:rsid w:val="00452FD7"/>
    <w:rsid w:val="00453030"/>
    <w:rsid w:val="00453133"/>
    <w:rsid w:val="00453183"/>
    <w:rsid w:val="004533B7"/>
    <w:rsid w:val="0045340A"/>
    <w:rsid w:val="0045341F"/>
    <w:rsid w:val="00453573"/>
    <w:rsid w:val="0045372C"/>
    <w:rsid w:val="004537B3"/>
    <w:rsid w:val="00453874"/>
    <w:rsid w:val="00453876"/>
    <w:rsid w:val="0045387A"/>
    <w:rsid w:val="004538F3"/>
    <w:rsid w:val="004539B0"/>
    <w:rsid w:val="00453A58"/>
    <w:rsid w:val="00453AB9"/>
    <w:rsid w:val="00453AF7"/>
    <w:rsid w:val="00453C47"/>
    <w:rsid w:val="00453D40"/>
    <w:rsid w:val="00453D53"/>
    <w:rsid w:val="00453DC8"/>
    <w:rsid w:val="00453E43"/>
    <w:rsid w:val="00453E6C"/>
    <w:rsid w:val="00453FBD"/>
    <w:rsid w:val="00453FF7"/>
    <w:rsid w:val="0045423C"/>
    <w:rsid w:val="00454257"/>
    <w:rsid w:val="0045432E"/>
    <w:rsid w:val="0045446A"/>
    <w:rsid w:val="00454539"/>
    <w:rsid w:val="0045453C"/>
    <w:rsid w:val="004545CA"/>
    <w:rsid w:val="004545E6"/>
    <w:rsid w:val="004546D5"/>
    <w:rsid w:val="0045470C"/>
    <w:rsid w:val="00454748"/>
    <w:rsid w:val="004547CC"/>
    <w:rsid w:val="004548C7"/>
    <w:rsid w:val="00454930"/>
    <w:rsid w:val="00454A0E"/>
    <w:rsid w:val="00454A99"/>
    <w:rsid w:val="00454BFB"/>
    <w:rsid w:val="00454C0C"/>
    <w:rsid w:val="00454D35"/>
    <w:rsid w:val="00454E36"/>
    <w:rsid w:val="00454EFB"/>
    <w:rsid w:val="00454F18"/>
    <w:rsid w:val="00454F9B"/>
    <w:rsid w:val="00455124"/>
    <w:rsid w:val="0045512E"/>
    <w:rsid w:val="00455136"/>
    <w:rsid w:val="00455231"/>
    <w:rsid w:val="0045527A"/>
    <w:rsid w:val="0045528C"/>
    <w:rsid w:val="004552BD"/>
    <w:rsid w:val="004553B0"/>
    <w:rsid w:val="004553DD"/>
    <w:rsid w:val="0045546E"/>
    <w:rsid w:val="00455507"/>
    <w:rsid w:val="00455742"/>
    <w:rsid w:val="00455750"/>
    <w:rsid w:val="00455774"/>
    <w:rsid w:val="0045587C"/>
    <w:rsid w:val="004559F4"/>
    <w:rsid w:val="00455ABE"/>
    <w:rsid w:val="00455B56"/>
    <w:rsid w:val="00455B96"/>
    <w:rsid w:val="00455C3C"/>
    <w:rsid w:val="00455C5A"/>
    <w:rsid w:val="00455C72"/>
    <w:rsid w:val="00455D52"/>
    <w:rsid w:val="00455E24"/>
    <w:rsid w:val="00455E3D"/>
    <w:rsid w:val="00455EA9"/>
    <w:rsid w:val="00455F1C"/>
    <w:rsid w:val="00455FF7"/>
    <w:rsid w:val="00456073"/>
    <w:rsid w:val="004560D0"/>
    <w:rsid w:val="00456130"/>
    <w:rsid w:val="00456153"/>
    <w:rsid w:val="004562A5"/>
    <w:rsid w:val="004562F6"/>
    <w:rsid w:val="00456396"/>
    <w:rsid w:val="00456489"/>
    <w:rsid w:val="0045648C"/>
    <w:rsid w:val="004564B8"/>
    <w:rsid w:val="004564E1"/>
    <w:rsid w:val="0045657A"/>
    <w:rsid w:val="00456671"/>
    <w:rsid w:val="004566FA"/>
    <w:rsid w:val="0045674E"/>
    <w:rsid w:val="00456789"/>
    <w:rsid w:val="00456823"/>
    <w:rsid w:val="0045684A"/>
    <w:rsid w:val="00456871"/>
    <w:rsid w:val="00456937"/>
    <w:rsid w:val="00456949"/>
    <w:rsid w:val="0045695F"/>
    <w:rsid w:val="00456A1A"/>
    <w:rsid w:val="00456A33"/>
    <w:rsid w:val="00456A8F"/>
    <w:rsid w:val="00456A93"/>
    <w:rsid w:val="00456C25"/>
    <w:rsid w:val="00456C3E"/>
    <w:rsid w:val="00456C4F"/>
    <w:rsid w:val="00456D5E"/>
    <w:rsid w:val="00456D97"/>
    <w:rsid w:val="00456E1C"/>
    <w:rsid w:val="00456EE0"/>
    <w:rsid w:val="00456EF5"/>
    <w:rsid w:val="00456EFE"/>
    <w:rsid w:val="00456F01"/>
    <w:rsid w:val="00456F10"/>
    <w:rsid w:val="00456F2F"/>
    <w:rsid w:val="00456F62"/>
    <w:rsid w:val="00456F77"/>
    <w:rsid w:val="00457026"/>
    <w:rsid w:val="004572CA"/>
    <w:rsid w:val="0045739E"/>
    <w:rsid w:val="004574ED"/>
    <w:rsid w:val="004576CE"/>
    <w:rsid w:val="004576E9"/>
    <w:rsid w:val="0045773E"/>
    <w:rsid w:val="00457804"/>
    <w:rsid w:val="00457872"/>
    <w:rsid w:val="004578DA"/>
    <w:rsid w:val="0045791A"/>
    <w:rsid w:val="004579BA"/>
    <w:rsid w:val="00457A34"/>
    <w:rsid w:val="00457A6A"/>
    <w:rsid w:val="00457AEB"/>
    <w:rsid w:val="00457AED"/>
    <w:rsid w:val="00457B39"/>
    <w:rsid w:val="00457BF9"/>
    <w:rsid w:val="00457E9F"/>
    <w:rsid w:val="00457F3B"/>
    <w:rsid w:val="00457F85"/>
    <w:rsid w:val="00457FA1"/>
    <w:rsid w:val="0046003B"/>
    <w:rsid w:val="0046007E"/>
    <w:rsid w:val="00460191"/>
    <w:rsid w:val="004604A4"/>
    <w:rsid w:val="004605E3"/>
    <w:rsid w:val="00460615"/>
    <w:rsid w:val="00460686"/>
    <w:rsid w:val="0046075B"/>
    <w:rsid w:val="00460823"/>
    <w:rsid w:val="00460931"/>
    <w:rsid w:val="00460ADC"/>
    <w:rsid w:val="00460B28"/>
    <w:rsid w:val="00460B3F"/>
    <w:rsid w:val="00460B7D"/>
    <w:rsid w:val="00460B81"/>
    <w:rsid w:val="00460B8F"/>
    <w:rsid w:val="00460C16"/>
    <w:rsid w:val="00460C5F"/>
    <w:rsid w:val="00460CDB"/>
    <w:rsid w:val="00460D50"/>
    <w:rsid w:val="00460DC4"/>
    <w:rsid w:val="00460E48"/>
    <w:rsid w:val="00460EAB"/>
    <w:rsid w:val="00460EE9"/>
    <w:rsid w:val="00461006"/>
    <w:rsid w:val="00461071"/>
    <w:rsid w:val="00461096"/>
    <w:rsid w:val="004611C1"/>
    <w:rsid w:val="00461209"/>
    <w:rsid w:val="00461212"/>
    <w:rsid w:val="0046122E"/>
    <w:rsid w:val="00461377"/>
    <w:rsid w:val="004613A8"/>
    <w:rsid w:val="00461465"/>
    <w:rsid w:val="004615E1"/>
    <w:rsid w:val="0046165E"/>
    <w:rsid w:val="0046173F"/>
    <w:rsid w:val="004617EC"/>
    <w:rsid w:val="00461812"/>
    <w:rsid w:val="00461865"/>
    <w:rsid w:val="004618AA"/>
    <w:rsid w:val="00461944"/>
    <w:rsid w:val="00461A27"/>
    <w:rsid w:val="00461A2E"/>
    <w:rsid w:val="00461B67"/>
    <w:rsid w:val="00461BA5"/>
    <w:rsid w:val="00461BAE"/>
    <w:rsid w:val="00461D69"/>
    <w:rsid w:val="00461ECB"/>
    <w:rsid w:val="00461EEC"/>
    <w:rsid w:val="00461F7C"/>
    <w:rsid w:val="00462039"/>
    <w:rsid w:val="0046204E"/>
    <w:rsid w:val="0046207F"/>
    <w:rsid w:val="004622F2"/>
    <w:rsid w:val="00462351"/>
    <w:rsid w:val="0046236E"/>
    <w:rsid w:val="004623C8"/>
    <w:rsid w:val="0046242B"/>
    <w:rsid w:val="00462432"/>
    <w:rsid w:val="004624B8"/>
    <w:rsid w:val="004624BE"/>
    <w:rsid w:val="00462544"/>
    <w:rsid w:val="0046259E"/>
    <w:rsid w:val="004625C3"/>
    <w:rsid w:val="00462657"/>
    <w:rsid w:val="004626C6"/>
    <w:rsid w:val="004626F5"/>
    <w:rsid w:val="004627B3"/>
    <w:rsid w:val="00462850"/>
    <w:rsid w:val="004628BF"/>
    <w:rsid w:val="00462947"/>
    <w:rsid w:val="00462996"/>
    <w:rsid w:val="004629F6"/>
    <w:rsid w:val="00462A59"/>
    <w:rsid w:val="00462CA3"/>
    <w:rsid w:val="00462D4D"/>
    <w:rsid w:val="00462EF6"/>
    <w:rsid w:val="00462F31"/>
    <w:rsid w:val="00462F53"/>
    <w:rsid w:val="00462F94"/>
    <w:rsid w:val="00462FF1"/>
    <w:rsid w:val="004630E1"/>
    <w:rsid w:val="004631AC"/>
    <w:rsid w:val="004631D6"/>
    <w:rsid w:val="0046323B"/>
    <w:rsid w:val="0046337E"/>
    <w:rsid w:val="004633C2"/>
    <w:rsid w:val="00463426"/>
    <w:rsid w:val="004634C1"/>
    <w:rsid w:val="004634EB"/>
    <w:rsid w:val="00463532"/>
    <w:rsid w:val="004635EB"/>
    <w:rsid w:val="004635FE"/>
    <w:rsid w:val="00463805"/>
    <w:rsid w:val="00463857"/>
    <w:rsid w:val="004638AA"/>
    <w:rsid w:val="00463A84"/>
    <w:rsid w:val="00463A8B"/>
    <w:rsid w:val="00463A9C"/>
    <w:rsid w:val="00463AF1"/>
    <w:rsid w:val="00463BE8"/>
    <w:rsid w:val="00463D49"/>
    <w:rsid w:val="00463DD9"/>
    <w:rsid w:val="00463DE2"/>
    <w:rsid w:val="00463E73"/>
    <w:rsid w:val="00463EBF"/>
    <w:rsid w:val="00463ECD"/>
    <w:rsid w:val="00463ED1"/>
    <w:rsid w:val="00463F02"/>
    <w:rsid w:val="00463F6B"/>
    <w:rsid w:val="00463F88"/>
    <w:rsid w:val="00463FD6"/>
    <w:rsid w:val="0046416C"/>
    <w:rsid w:val="004641C1"/>
    <w:rsid w:val="00464259"/>
    <w:rsid w:val="0046425D"/>
    <w:rsid w:val="00464287"/>
    <w:rsid w:val="0046433D"/>
    <w:rsid w:val="00464368"/>
    <w:rsid w:val="00464379"/>
    <w:rsid w:val="0046445F"/>
    <w:rsid w:val="004644E2"/>
    <w:rsid w:val="00464516"/>
    <w:rsid w:val="00464576"/>
    <w:rsid w:val="004645F6"/>
    <w:rsid w:val="00464644"/>
    <w:rsid w:val="00464658"/>
    <w:rsid w:val="0046466E"/>
    <w:rsid w:val="00464677"/>
    <w:rsid w:val="004647FC"/>
    <w:rsid w:val="0046491C"/>
    <w:rsid w:val="00464964"/>
    <w:rsid w:val="0046497A"/>
    <w:rsid w:val="00464AAE"/>
    <w:rsid w:val="00464B1F"/>
    <w:rsid w:val="00464C55"/>
    <w:rsid w:val="00464CF4"/>
    <w:rsid w:val="00464DE4"/>
    <w:rsid w:val="00464E10"/>
    <w:rsid w:val="00464E55"/>
    <w:rsid w:val="00464FA1"/>
    <w:rsid w:val="00465084"/>
    <w:rsid w:val="0046508F"/>
    <w:rsid w:val="004650A3"/>
    <w:rsid w:val="004650F0"/>
    <w:rsid w:val="004652B4"/>
    <w:rsid w:val="004652C7"/>
    <w:rsid w:val="004652D3"/>
    <w:rsid w:val="0046534F"/>
    <w:rsid w:val="00465378"/>
    <w:rsid w:val="0046538E"/>
    <w:rsid w:val="004653B1"/>
    <w:rsid w:val="004653BE"/>
    <w:rsid w:val="004653C8"/>
    <w:rsid w:val="00465410"/>
    <w:rsid w:val="00465420"/>
    <w:rsid w:val="00465519"/>
    <w:rsid w:val="0046557A"/>
    <w:rsid w:val="00465613"/>
    <w:rsid w:val="00465678"/>
    <w:rsid w:val="004656B7"/>
    <w:rsid w:val="0046582A"/>
    <w:rsid w:val="004658A9"/>
    <w:rsid w:val="0046590F"/>
    <w:rsid w:val="004659B7"/>
    <w:rsid w:val="00465A79"/>
    <w:rsid w:val="00465BA7"/>
    <w:rsid w:val="00465BF7"/>
    <w:rsid w:val="00465E72"/>
    <w:rsid w:val="00465FA0"/>
    <w:rsid w:val="00465FDA"/>
    <w:rsid w:val="00466001"/>
    <w:rsid w:val="004660CE"/>
    <w:rsid w:val="004660FC"/>
    <w:rsid w:val="00466158"/>
    <w:rsid w:val="00466172"/>
    <w:rsid w:val="00466178"/>
    <w:rsid w:val="004661B3"/>
    <w:rsid w:val="004661DF"/>
    <w:rsid w:val="0046629F"/>
    <w:rsid w:val="0046632D"/>
    <w:rsid w:val="00466369"/>
    <w:rsid w:val="0046637B"/>
    <w:rsid w:val="0046646F"/>
    <w:rsid w:val="004664F6"/>
    <w:rsid w:val="004665AF"/>
    <w:rsid w:val="00466637"/>
    <w:rsid w:val="0046687E"/>
    <w:rsid w:val="00466A20"/>
    <w:rsid w:val="00466A72"/>
    <w:rsid w:val="00466B05"/>
    <w:rsid w:val="00466BDE"/>
    <w:rsid w:val="00466C31"/>
    <w:rsid w:val="00466D08"/>
    <w:rsid w:val="00466D9E"/>
    <w:rsid w:val="00466DCE"/>
    <w:rsid w:val="00466E1C"/>
    <w:rsid w:val="00466E22"/>
    <w:rsid w:val="00466E37"/>
    <w:rsid w:val="00466E80"/>
    <w:rsid w:val="00466E90"/>
    <w:rsid w:val="00466EB0"/>
    <w:rsid w:val="00466EC3"/>
    <w:rsid w:val="00466F7E"/>
    <w:rsid w:val="00466FBB"/>
    <w:rsid w:val="0046706E"/>
    <w:rsid w:val="004670B9"/>
    <w:rsid w:val="004671DD"/>
    <w:rsid w:val="004672CC"/>
    <w:rsid w:val="004672D8"/>
    <w:rsid w:val="0046731F"/>
    <w:rsid w:val="0046738E"/>
    <w:rsid w:val="00467732"/>
    <w:rsid w:val="00467765"/>
    <w:rsid w:val="004677A9"/>
    <w:rsid w:val="00467811"/>
    <w:rsid w:val="004678A8"/>
    <w:rsid w:val="004678EF"/>
    <w:rsid w:val="00467981"/>
    <w:rsid w:val="0046799E"/>
    <w:rsid w:val="00467A4C"/>
    <w:rsid w:val="00467A80"/>
    <w:rsid w:val="00467AB0"/>
    <w:rsid w:val="00467ACC"/>
    <w:rsid w:val="00467B43"/>
    <w:rsid w:val="00467BCB"/>
    <w:rsid w:val="00467C59"/>
    <w:rsid w:val="00467C77"/>
    <w:rsid w:val="00467C98"/>
    <w:rsid w:val="00467E8C"/>
    <w:rsid w:val="00467EBC"/>
    <w:rsid w:val="00467F8A"/>
    <w:rsid w:val="00467F91"/>
    <w:rsid w:val="00467FD9"/>
    <w:rsid w:val="00467FFD"/>
    <w:rsid w:val="00470083"/>
    <w:rsid w:val="0047015B"/>
    <w:rsid w:val="004701B2"/>
    <w:rsid w:val="004701C0"/>
    <w:rsid w:val="00470248"/>
    <w:rsid w:val="00470287"/>
    <w:rsid w:val="00470359"/>
    <w:rsid w:val="004703D1"/>
    <w:rsid w:val="004703F2"/>
    <w:rsid w:val="00470487"/>
    <w:rsid w:val="0047054A"/>
    <w:rsid w:val="00470639"/>
    <w:rsid w:val="00470643"/>
    <w:rsid w:val="00470822"/>
    <w:rsid w:val="0047088D"/>
    <w:rsid w:val="004708E8"/>
    <w:rsid w:val="004708F8"/>
    <w:rsid w:val="00470982"/>
    <w:rsid w:val="00470A12"/>
    <w:rsid w:val="00470AEB"/>
    <w:rsid w:val="00470B38"/>
    <w:rsid w:val="00470B7B"/>
    <w:rsid w:val="00470BAF"/>
    <w:rsid w:val="00470BCF"/>
    <w:rsid w:val="00470C23"/>
    <w:rsid w:val="00470D81"/>
    <w:rsid w:val="00470DF3"/>
    <w:rsid w:val="00470E8D"/>
    <w:rsid w:val="00470E96"/>
    <w:rsid w:val="00470F50"/>
    <w:rsid w:val="00471032"/>
    <w:rsid w:val="0047103F"/>
    <w:rsid w:val="00471090"/>
    <w:rsid w:val="004710C1"/>
    <w:rsid w:val="004710C4"/>
    <w:rsid w:val="0047128C"/>
    <w:rsid w:val="00471349"/>
    <w:rsid w:val="00471360"/>
    <w:rsid w:val="00471461"/>
    <w:rsid w:val="004714AD"/>
    <w:rsid w:val="004714E4"/>
    <w:rsid w:val="00471571"/>
    <w:rsid w:val="004715B0"/>
    <w:rsid w:val="00471669"/>
    <w:rsid w:val="00471692"/>
    <w:rsid w:val="004716D8"/>
    <w:rsid w:val="004716F5"/>
    <w:rsid w:val="00471705"/>
    <w:rsid w:val="00471709"/>
    <w:rsid w:val="0047173D"/>
    <w:rsid w:val="004717E8"/>
    <w:rsid w:val="0047181D"/>
    <w:rsid w:val="00471906"/>
    <w:rsid w:val="00471917"/>
    <w:rsid w:val="0047191C"/>
    <w:rsid w:val="004719AC"/>
    <w:rsid w:val="00471A11"/>
    <w:rsid w:val="00471A45"/>
    <w:rsid w:val="00471A7A"/>
    <w:rsid w:val="00471CE4"/>
    <w:rsid w:val="00471D08"/>
    <w:rsid w:val="00471DF8"/>
    <w:rsid w:val="00471E1A"/>
    <w:rsid w:val="00471E22"/>
    <w:rsid w:val="00471E64"/>
    <w:rsid w:val="00471E76"/>
    <w:rsid w:val="00471F72"/>
    <w:rsid w:val="00471FDC"/>
    <w:rsid w:val="00472013"/>
    <w:rsid w:val="0047206D"/>
    <w:rsid w:val="004720DC"/>
    <w:rsid w:val="004720F1"/>
    <w:rsid w:val="00472122"/>
    <w:rsid w:val="0047218F"/>
    <w:rsid w:val="0047219D"/>
    <w:rsid w:val="00472260"/>
    <w:rsid w:val="004725D7"/>
    <w:rsid w:val="00472606"/>
    <w:rsid w:val="0047287D"/>
    <w:rsid w:val="00472903"/>
    <w:rsid w:val="0047297E"/>
    <w:rsid w:val="00472A25"/>
    <w:rsid w:val="00472A30"/>
    <w:rsid w:val="00472AD0"/>
    <w:rsid w:val="00472AD6"/>
    <w:rsid w:val="00472B68"/>
    <w:rsid w:val="00472B87"/>
    <w:rsid w:val="00472B8B"/>
    <w:rsid w:val="00472BC5"/>
    <w:rsid w:val="00472BE6"/>
    <w:rsid w:val="00472BE7"/>
    <w:rsid w:val="00472C06"/>
    <w:rsid w:val="00472CE1"/>
    <w:rsid w:val="00472D14"/>
    <w:rsid w:val="00472D97"/>
    <w:rsid w:val="00472DB4"/>
    <w:rsid w:val="00472E88"/>
    <w:rsid w:val="00472ED8"/>
    <w:rsid w:val="00472EF3"/>
    <w:rsid w:val="00472EFB"/>
    <w:rsid w:val="00472F50"/>
    <w:rsid w:val="00472FAB"/>
    <w:rsid w:val="00472FAE"/>
    <w:rsid w:val="00472FC5"/>
    <w:rsid w:val="00473076"/>
    <w:rsid w:val="00473104"/>
    <w:rsid w:val="00473318"/>
    <w:rsid w:val="0047332F"/>
    <w:rsid w:val="004733AA"/>
    <w:rsid w:val="004733EE"/>
    <w:rsid w:val="004733FA"/>
    <w:rsid w:val="00473429"/>
    <w:rsid w:val="00473434"/>
    <w:rsid w:val="00473474"/>
    <w:rsid w:val="004734C2"/>
    <w:rsid w:val="00473540"/>
    <w:rsid w:val="0047354A"/>
    <w:rsid w:val="0047361E"/>
    <w:rsid w:val="0047362C"/>
    <w:rsid w:val="00473663"/>
    <w:rsid w:val="0047366F"/>
    <w:rsid w:val="0047367D"/>
    <w:rsid w:val="004736BF"/>
    <w:rsid w:val="004736CD"/>
    <w:rsid w:val="004737C1"/>
    <w:rsid w:val="0047382D"/>
    <w:rsid w:val="00473976"/>
    <w:rsid w:val="00473A9D"/>
    <w:rsid w:val="00473B25"/>
    <w:rsid w:val="00473B3E"/>
    <w:rsid w:val="00473BAF"/>
    <w:rsid w:val="00473CF3"/>
    <w:rsid w:val="00473CF8"/>
    <w:rsid w:val="00473CFD"/>
    <w:rsid w:val="00473E05"/>
    <w:rsid w:val="00473E39"/>
    <w:rsid w:val="00473E69"/>
    <w:rsid w:val="00473EBA"/>
    <w:rsid w:val="00473F35"/>
    <w:rsid w:val="00473F41"/>
    <w:rsid w:val="00474047"/>
    <w:rsid w:val="00474097"/>
    <w:rsid w:val="00474116"/>
    <w:rsid w:val="00474139"/>
    <w:rsid w:val="0047422E"/>
    <w:rsid w:val="0047427D"/>
    <w:rsid w:val="00474385"/>
    <w:rsid w:val="00474606"/>
    <w:rsid w:val="0047460D"/>
    <w:rsid w:val="00474868"/>
    <w:rsid w:val="0047498F"/>
    <w:rsid w:val="00474A94"/>
    <w:rsid w:val="00474B2B"/>
    <w:rsid w:val="00474B2F"/>
    <w:rsid w:val="00474D9A"/>
    <w:rsid w:val="00474EAA"/>
    <w:rsid w:val="00474EC5"/>
    <w:rsid w:val="00474FAC"/>
    <w:rsid w:val="00474FCA"/>
    <w:rsid w:val="00475036"/>
    <w:rsid w:val="00475045"/>
    <w:rsid w:val="004751E6"/>
    <w:rsid w:val="0047527B"/>
    <w:rsid w:val="00475289"/>
    <w:rsid w:val="00475321"/>
    <w:rsid w:val="004753D5"/>
    <w:rsid w:val="0047548E"/>
    <w:rsid w:val="004754EE"/>
    <w:rsid w:val="0047550A"/>
    <w:rsid w:val="00475572"/>
    <w:rsid w:val="00475574"/>
    <w:rsid w:val="004755CA"/>
    <w:rsid w:val="00475728"/>
    <w:rsid w:val="00475759"/>
    <w:rsid w:val="004757A3"/>
    <w:rsid w:val="004757DB"/>
    <w:rsid w:val="004757EA"/>
    <w:rsid w:val="00475832"/>
    <w:rsid w:val="00475968"/>
    <w:rsid w:val="00475A33"/>
    <w:rsid w:val="00475A8D"/>
    <w:rsid w:val="00475AD5"/>
    <w:rsid w:val="00475B24"/>
    <w:rsid w:val="00475B4D"/>
    <w:rsid w:val="00475B4E"/>
    <w:rsid w:val="00475B8C"/>
    <w:rsid w:val="00475BA5"/>
    <w:rsid w:val="00475C1B"/>
    <w:rsid w:val="00475DF9"/>
    <w:rsid w:val="00475E2A"/>
    <w:rsid w:val="00475F6B"/>
    <w:rsid w:val="00476016"/>
    <w:rsid w:val="0047601E"/>
    <w:rsid w:val="00476039"/>
    <w:rsid w:val="004760A0"/>
    <w:rsid w:val="004760C5"/>
    <w:rsid w:val="0047617B"/>
    <w:rsid w:val="0047620E"/>
    <w:rsid w:val="0047629D"/>
    <w:rsid w:val="004762E3"/>
    <w:rsid w:val="00476316"/>
    <w:rsid w:val="00476380"/>
    <w:rsid w:val="00476418"/>
    <w:rsid w:val="00476508"/>
    <w:rsid w:val="0047661E"/>
    <w:rsid w:val="00476736"/>
    <w:rsid w:val="0047678D"/>
    <w:rsid w:val="0047682A"/>
    <w:rsid w:val="00476862"/>
    <w:rsid w:val="0047687B"/>
    <w:rsid w:val="0047689D"/>
    <w:rsid w:val="004768A7"/>
    <w:rsid w:val="004768E8"/>
    <w:rsid w:val="0047695B"/>
    <w:rsid w:val="00476A89"/>
    <w:rsid w:val="00476BB2"/>
    <w:rsid w:val="00476BB4"/>
    <w:rsid w:val="00476D40"/>
    <w:rsid w:val="00476D67"/>
    <w:rsid w:val="00476E33"/>
    <w:rsid w:val="00476E7F"/>
    <w:rsid w:val="00476EE0"/>
    <w:rsid w:val="00476F4F"/>
    <w:rsid w:val="00477018"/>
    <w:rsid w:val="0047701E"/>
    <w:rsid w:val="00477079"/>
    <w:rsid w:val="0047709A"/>
    <w:rsid w:val="004770C7"/>
    <w:rsid w:val="004770F9"/>
    <w:rsid w:val="00477130"/>
    <w:rsid w:val="0047721C"/>
    <w:rsid w:val="004772E4"/>
    <w:rsid w:val="00477327"/>
    <w:rsid w:val="00477379"/>
    <w:rsid w:val="00477393"/>
    <w:rsid w:val="004773A9"/>
    <w:rsid w:val="00477403"/>
    <w:rsid w:val="0047751C"/>
    <w:rsid w:val="0047757A"/>
    <w:rsid w:val="004777E6"/>
    <w:rsid w:val="004778C9"/>
    <w:rsid w:val="004779A9"/>
    <w:rsid w:val="00477A04"/>
    <w:rsid w:val="00477B47"/>
    <w:rsid w:val="00477B9F"/>
    <w:rsid w:val="00477BAB"/>
    <w:rsid w:val="00477C77"/>
    <w:rsid w:val="00477D49"/>
    <w:rsid w:val="00477E7F"/>
    <w:rsid w:val="00477EC6"/>
    <w:rsid w:val="00477EFD"/>
    <w:rsid w:val="00477F83"/>
    <w:rsid w:val="00477FAB"/>
    <w:rsid w:val="00477FC9"/>
    <w:rsid w:val="00480032"/>
    <w:rsid w:val="0048006D"/>
    <w:rsid w:val="00480088"/>
    <w:rsid w:val="00480158"/>
    <w:rsid w:val="004801E2"/>
    <w:rsid w:val="004801ED"/>
    <w:rsid w:val="0048021D"/>
    <w:rsid w:val="004803C5"/>
    <w:rsid w:val="0048044F"/>
    <w:rsid w:val="004804F0"/>
    <w:rsid w:val="00480532"/>
    <w:rsid w:val="00480534"/>
    <w:rsid w:val="00480557"/>
    <w:rsid w:val="004805A2"/>
    <w:rsid w:val="0048066F"/>
    <w:rsid w:val="00480699"/>
    <w:rsid w:val="0048073C"/>
    <w:rsid w:val="0048079E"/>
    <w:rsid w:val="0048086F"/>
    <w:rsid w:val="0048087F"/>
    <w:rsid w:val="00480BE1"/>
    <w:rsid w:val="00480E56"/>
    <w:rsid w:val="00480EB6"/>
    <w:rsid w:val="00480FF9"/>
    <w:rsid w:val="00481202"/>
    <w:rsid w:val="00481291"/>
    <w:rsid w:val="0048137A"/>
    <w:rsid w:val="0048141C"/>
    <w:rsid w:val="00481440"/>
    <w:rsid w:val="004815A3"/>
    <w:rsid w:val="0048160A"/>
    <w:rsid w:val="0048166B"/>
    <w:rsid w:val="00481686"/>
    <w:rsid w:val="004817A9"/>
    <w:rsid w:val="0048183B"/>
    <w:rsid w:val="00481848"/>
    <w:rsid w:val="00481967"/>
    <w:rsid w:val="004819A1"/>
    <w:rsid w:val="00481AB0"/>
    <w:rsid w:val="00481B61"/>
    <w:rsid w:val="00481C80"/>
    <w:rsid w:val="00481CAC"/>
    <w:rsid w:val="00481D77"/>
    <w:rsid w:val="00481DD1"/>
    <w:rsid w:val="00481DEF"/>
    <w:rsid w:val="00481E65"/>
    <w:rsid w:val="00481EF7"/>
    <w:rsid w:val="00481FDF"/>
    <w:rsid w:val="00482032"/>
    <w:rsid w:val="00482040"/>
    <w:rsid w:val="004820CB"/>
    <w:rsid w:val="00482161"/>
    <w:rsid w:val="004821E4"/>
    <w:rsid w:val="004822BB"/>
    <w:rsid w:val="00482321"/>
    <w:rsid w:val="00482340"/>
    <w:rsid w:val="00482438"/>
    <w:rsid w:val="00482476"/>
    <w:rsid w:val="004824E6"/>
    <w:rsid w:val="00482569"/>
    <w:rsid w:val="00482633"/>
    <w:rsid w:val="0048264E"/>
    <w:rsid w:val="0048265F"/>
    <w:rsid w:val="00482772"/>
    <w:rsid w:val="0048277E"/>
    <w:rsid w:val="004827D5"/>
    <w:rsid w:val="0048284E"/>
    <w:rsid w:val="0048286A"/>
    <w:rsid w:val="00482986"/>
    <w:rsid w:val="004829A8"/>
    <w:rsid w:val="004829B3"/>
    <w:rsid w:val="00482A53"/>
    <w:rsid w:val="00482A8C"/>
    <w:rsid w:val="00482AA8"/>
    <w:rsid w:val="00482B19"/>
    <w:rsid w:val="00482B60"/>
    <w:rsid w:val="00482C47"/>
    <w:rsid w:val="00482D0D"/>
    <w:rsid w:val="00482DC6"/>
    <w:rsid w:val="00482DF2"/>
    <w:rsid w:val="00482E3F"/>
    <w:rsid w:val="00482E5E"/>
    <w:rsid w:val="00482F5A"/>
    <w:rsid w:val="00482FDD"/>
    <w:rsid w:val="00483011"/>
    <w:rsid w:val="00483014"/>
    <w:rsid w:val="00483047"/>
    <w:rsid w:val="00483091"/>
    <w:rsid w:val="00483097"/>
    <w:rsid w:val="004830BB"/>
    <w:rsid w:val="00483249"/>
    <w:rsid w:val="004832AF"/>
    <w:rsid w:val="0048347D"/>
    <w:rsid w:val="00483493"/>
    <w:rsid w:val="0048349E"/>
    <w:rsid w:val="0048354C"/>
    <w:rsid w:val="0048355D"/>
    <w:rsid w:val="0048357C"/>
    <w:rsid w:val="00483580"/>
    <w:rsid w:val="004835AA"/>
    <w:rsid w:val="0048360E"/>
    <w:rsid w:val="0048371E"/>
    <w:rsid w:val="00483753"/>
    <w:rsid w:val="0048377D"/>
    <w:rsid w:val="00483799"/>
    <w:rsid w:val="00483888"/>
    <w:rsid w:val="00483893"/>
    <w:rsid w:val="004838AB"/>
    <w:rsid w:val="00483901"/>
    <w:rsid w:val="0048398B"/>
    <w:rsid w:val="00483A90"/>
    <w:rsid w:val="00483AA7"/>
    <w:rsid w:val="00483AE3"/>
    <w:rsid w:val="00483B00"/>
    <w:rsid w:val="00483BA7"/>
    <w:rsid w:val="00483D1E"/>
    <w:rsid w:val="00483F20"/>
    <w:rsid w:val="00483FA2"/>
    <w:rsid w:val="00484022"/>
    <w:rsid w:val="00484080"/>
    <w:rsid w:val="0048413E"/>
    <w:rsid w:val="00484171"/>
    <w:rsid w:val="004842FE"/>
    <w:rsid w:val="0048433A"/>
    <w:rsid w:val="00484345"/>
    <w:rsid w:val="0048435E"/>
    <w:rsid w:val="00484380"/>
    <w:rsid w:val="004843B2"/>
    <w:rsid w:val="00484539"/>
    <w:rsid w:val="00484618"/>
    <w:rsid w:val="0048466A"/>
    <w:rsid w:val="00484716"/>
    <w:rsid w:val="00484762"/>
    <w:rsid w:val="004847C2"/>
    <w:rsid w:val="0048490A"/>
    <w:rsid w:val="00484990"/>
    <w:rsid w:val="0048499D"/>
    <w:rsid w:val="004849A1"/>
    <w:rsid w:val="004849BE"/>
    <w:rsid w:val="004849FB"/>
    <w:rsid w:val="00484A1A"/>
    <w:rsid w:val="00484A38"/>
    <w:rsid w:val="00484C1A"/>
    <w:rsid w:val="00484CBA"/>
    <w:rsid w:val="00484E8C"/>
    <w:rsid w:val="00484EDB"/>
    <w:rsid w:val="00484F67"/>
    <w:rsid w:val="004850E4"/>
    <w:rsid w:val="004850E6"/>
    <w:rsid w:val="00485207"/>
    <w:rsid w:val="0048535F"/>
    <w:rsid w:val="00485436"/>
    <w:rsid w:val="00485455"/>
    <w:rsid w:val="004854AE"/>
    <w:rsid w:val="00485648"/>
    <w:rsid w:val="004857D0"/>
    <w:rsid w:val="0048580C"/>
    <w:rsid w:val="00485920"/>
    <w:rsid w:val="00485958"/>
    <w:rsid w:val="004859E6"/>
    <w:rsid w:val="00485B67"/>
    <w:rsid w:val="00485BDE"/>
    <w:rsid w:val="00485BF2"/>
    <w:rsid w:val="00485CB9"/>
    <w:rsid w:val="00485D9E"/>
    <w:rsid w:val="00485EC9"/>
    <w:rsid w:val="00486040"/>
    <w:rsid w:val="00486066"/>
    <w:rsid w:val="0048612C"/>
    <w:rsid w:val="00486182"/>
    <w:rsid w:val="004861BF"/>
    <w:rsid w:val="00486229"/>
    <w:rsid w:val="00486246"/>
    <w:rsid w:val="00486297"/>
    <w:rsid w:val="004862E5"/>
    <w:rsid w:val="004863AE"/>
    <w:rsid w:val="004863E4"/>
    <w:rsid w:val="0048646C"/>
    <w:rsid w:val="00486491"/>
    <w:rsid w:val="004864C0"/>
    <w:rsid w:val="004866A1"/>
    <w:rsid w:val="004868F2"/>
    <w:rsid w:val="00486981"/>
    <w:rsid w:val="00486BE1"/>
    <w:rsid w:val="00486D5C"/>
    <w:rsid w:val="00486D76"/>
    <w:rsid w:val="00486E0F"/>
    <w:rsid w:val="00486E4A"/>
    <w:rsid w:val="00486E6F"/>
    <w:rsid w:val="00486E90"/>
    <w:rsid w:val="0048714F"/>
    <w:rsid w:val="00487267"/>
    <w:rsid w:val="00487271"/>
    <w:rsid w:val="004872C6"/>
    <w:rsid w:val="004872DA"/>
    <w:rsid w:val="00487316"/>
    <w:rsid w:val="00487429"/>
    <w:rsid w:val="0048758D"/>
    <w:rsid w:val="0048762D"/>
    <w:rsid w:val="0048765F"/>
    <w:rsid w:val="004876FC"/>
    <w:rsid w:val="00487720"/>
    <w:rsid w:val="00487729"/>
    <w:rsid w:val="00487754"/>
    <w:rsid w:val="00487813"/>
    <w:rsid w:val="004878AA"/>
    <w:rsid w:val="00487918"/>
    <w:rsid w:val="00487943"/>
    <w:rsid w:val="0048796D"/>
    <w:rsid w:val="004879F9"/>
    <w:rsid w:val="00487A28"/>
    <w:rsid w:val="00487A59"/>
    <w:rsid w:val="00487AC2"/>
    <w:rsid w:val="00487BD8"/>
    <w:rsid w:val="00487C03"/>
    <w:rsid w:val="00487D86"/>
    <w:rsid w:val="00487DA9"/>
    <w:rsid w:val="00487E9C"/>
    <w:rsid w:val="00487EB0"/>
    <w:rsid w:val="00487FEB"/>
    <w:rsid w:val="004900A0"/>
    <w:rsid w:val="004900C2"/>
    <w:rsid w:val="004901CC"/>
    <w:rsid w:val="004901E4"/>
    <w:rsid w:val="00490238"/>
    <w:rsid w:val="0049027B"/>
    <w:rsid w:val="0049031F"/>
    <w:rsid w:val="00490386"/>
    <w:rsid w:val="004903CB"/>
    <w:rsid w:val="00490449"/>
    <w:rsid w:val="004904DE"/>
    <w:rsid w:val="0049068B"/>
    <w:rsid w:val="004906C5"/>
    <w:rsid w:val="004906D6"/>
    <w:rsid w:val="004906E7"/>
    <w:rsid w:val="004907C7"/>
    <w:rsid w:val="004909AB"/>
    <w:rsid w:val="004909E4"/>
    <w:rsid w:val="00490A3E"/>
    <w:rsid w:val="00490AC7"/>
    <w:rsid w:val="00490B2B"/>
    <w:rsid w:val="00490C9E"/>
    <w:rsid w:val="00490CB2"/>
    <w:rsid w:val="00490F75"/>
    <w:rsid w:val="00490F9F"/>
    <w:rsid w:val="0049111C"/>
    <w:rsid w:val="00491183"/>
    <w:rsid w:val="0049118F"/>
    <w:rsid w:val="00491216"/>
    <w:rsid w:val="0049132D"/>
    <w:rsid w:val="0049134A"/>
    <w:rsid w:val="00491448"/>
    <w:rsid w:val="00491533"/>
    <w:rsid w:val="004915AE"/>
    <w:rsid w:val="0049161A"/>
    <w:rsid w:val="00491629"/>
    <w:rsid w:val="00491744"/>
    <w:rsid w:val="0049174F"/>
    <w:rsid w:val="00491803"/>
    <w:rsid w:val="0049188F"/>
    <w:rsid w:val="00491916"/>
    <w:rsid w:val="00491A0E"/>
    <w:rsid w:val="00491B04"/>
    <w:rsid w:val="00491BBC"/>
    <w:rsid w:val="00491BDE"/>
    <w:rsid w:val="00491C36"/>
    <w:rsid w:val="00491D9D"/>
    <w:rsid w:val="00491DBD"/>
    <w:rsid w:val="0049201F"/>
    <w:rsid w:val="004920B2"/>
    <w:rsid w:val="00492209"/>
    <w:rsid w:val="00492296"/>
    <w:rsid w:val="004923DD"/>
    <w:rsid w:val="0049240E"/>
    <w:rsid w:val="0049241E"/>
    <w:rsid w:val="004925C2"/>
    <w:rsid w:val="004925E0"/>
    <w:rsid w:val="004925E2"/>
    <w:rsid w:val="00492644"/>
    <w:rsid w:val="00492669"/>
    <w:rsid w:val="004926CB"/>
    <w:rsid w:val="004926FC"/>
    <w:rsid w:val="00492715"/>
    <w:rsid w:val="00492812"/>
    <w:rsid w:val="0049281F"/>
    <w:rsid w:val="004929AB"/>
    <w:rsid w:val="004929D5"/>
    <w:rsid w:val="00492A31"/>
    <w:rsid w:val="00492A3C"/>
    <w:rsid w:val="00492A4E"/>
    <w:rsid w:val="00492ADE"/>
    <w:rsid w:val="00492B9F"/>
    <w:rsid w:val="00492BDC"/>
    <w:rsid w:val="00492CA9"/>
    <w:rsid w:val="00492D22"/>
    <w:rsid w:val="00492DC6"/>
    <w:rsid w:val="00492E2D"/>
    <w:rsid w:val="00492F85"/>
    <w:rsid w:val="0049306A"/>
    <w:rsid w:val="004930CD"/>
    <w:rsid w:val="004930D4"/>
    <w:rsid w:val="004930FE"/>
    <w:rsid w:val="00493155"/>
    <w:rsid w:val="0049332B"/>
    <w:rsid w:val="00493394"/>
    <w:rsid w:val="00493398"/>
    <w:rsid w:val="0049344B"/>
    <w:rsid w:val="00493470"/>
    <w:rsid w:val="004935DF"/>
    <w:rsid w:val="0049367B"/>
    <w:rsid w:val="0049369C"/>
    <w:rsid w:val="00493731"/>
    <w:rsid w:val="004937EF"/>
    <w:rsid w:val="0049380F"/>
    <w:rsid w:val="004938B1"/>
    <w:rsid w:val="00493A07"/>
    <w:rsid w:val="00493A87"/>
    <w:rsid w:val="00493AAD"/>
    <w:rsid w:val="00493ACA"/>
    <w:rsid w:val="00493AD0"/>
    <w:rsid w:val="00493B04"/>
    <w:rsid w:val="00493C59"/>
    <w:rsid w:val="00493C82"/>
    <w:rsid w:val="00493D0D"/>
    <w:rsid w:val="00493D3B"/>
    <w:rsid w:val="00493D92"/>
    <w:rsid w:val="00493E60"/>
    <w:rsid w:val="00493E74"/>
    <w:rsid w:val="00493EA3"/>
    <w:rsid w:val="00493FFD"/>
    <w:rsid w:val="0049408F"/>
    <w:rsid w:val="004940CE"/>
    <w:rsid w:val="0049419A"/>
    <w:rsid w:val="004943AF"/>
    <w:rsid w:val="004943B4"/>
    <w:rsid w:val="004943D1"/>
    <w:rsid w:val="004943F6"/>
    <w:rsid w:val="00494448"/>
    <w:rsid w:val="0049444C"/>
    <w:rsid w:val="0049445A"/>
    <w:rsid w:val="00494473"/>
    <w:rsid w:val="00494568"/>
    <w:rsid w:val="00494586"/>
    <w:rsid w:val="004945CF"/>
    <w:rsid w:val="00494650"/>
    <w:rsid w:val="00494677"/>
    <w:rsid w:val="004946E6"/>
    <w:rsid w:val="00494719"/>
    <w:rsid w:val="004947B3"/>
    <w:rsid w:val="004947CB"/>
    <w:rsid w:val="00494853"/>
    <w:rsid w:val="00494884"/>
    <w:rsid w:val="004949C2"/>
    <w:rsid w:val="00494B94"/>
    <w:rsid w:val="00494C04"/>
    <w:rsid w:val="00494C6B"/>
    <w:rsid w:val="00494CDD"/>
    <w:rsid w:val="00494DF8"/>
    <w:rsid w:val="00494ED6"/>
    <w:rsid w:val="00494EFB"/>
    <w:rsid w:val="00494F25"/>
    <w:rsid w:val="00494FCD"/>
    <w:rsid w:val="0049502B"/>
    <w:rsid w:val="00495091"/>
    <w:rsid w:val="004950B8"/>
    <w:rsid w:val="004950C6"/>
    <w:rsid w:val="0049510A"/>
    <w:rsid w:val="004954C7"/>
    <w:rsid w:val="004954DB"/>
    <w:rsid w:val="00495597"/>
    <w:rsid w:val="004955D3"/>
    <w:rsid w:val="004955F1"/>
    <w:rsid w:val="00495642"/>
    <w:rsid w:val="0049565B"/>
    <w:rsid w:val="00495765"/>
    <w:rsid w:val="0049599E"/>
    <w:rsid w:val="0049599F"/>
    <w:rsid w:val="00495A30"/>
    <w:rsid w:val="00495A91"/>
    <w:rsid w:val="00495AE6"/>
    <w:rsid w:val="00495B38"/>
    <w:rsid w:val="00495B42"/>
    <w:rsid w:val="00495C6E"/>
    <w:rsid w:val="00495D37"/>
    <w:rsid w:val="00495EF3"/>
    <w:rsid w:val="00495F5A"/>
    <w:rsid w:val="004960A0"/>
    <w:rsid w:val="004960DA"/>
    <w:rsid w:val="00496134"/>
    <w:rsid w:val="004961A1"/>
    <w:rsid w:val="0049627F"/>
    <w:rsid w:val="004965DA"/>
    <w:rsid w:val="00496669"/>
    <w:rsid w:val="004966B6"/>
    <w:rsid w:val="004966B7"/>
    <w:rsid w:val="004966D0"/>
    <w:rsid w:val="0049677A"/>
    <w:rsid w:val="004968E9"/>
    <w:rsid w:val="004969E4"/>
    <w:rsid w:val="004969F3"/>
    <w:rsid w:val="00496A92"/>
    <w:rsid w:val="00496AB3"/>
    <w:rsid w:val="00496B32"/>
    <w:rsid w:val="00496BC0"/>
    <w:rsid w:val="00496C03"/>
    <w:rsid w:val="00496C99"/>
    <w:rsid w:val="00496D2F"/>
    <w:rsid w:val="00496F54"/>
    <w:rsid w:val="00496F8F"/>
    <w:rsid w:val="00496F96"/>
    <w:rsid w:val="00496FFC"/>
    <w:rsid w:val="00497051"/>
    <w:rsid w:val="00497079"/>
    <w:rsid w:val="00497089"/>
    <w:rsid w:val="00497355"/>
    <w:rsid w:val="00497394"/>
    <w:rsid w:val="0049742A"/>
    <w:rsid w:val="004974CA"/>
    <w:rsid w:val="00497520"/>
    <w:rsid w:val="004975A0"/>
    <w:rsid w:val="0049764A"/>
    <w:rsid w:val="00497680"/>
    <w:rsid w:val="004976ED"/>
    <w:rsid w:val="004976F0"/>
    <w:rsid w:val="0049774F"/>
    <w:rsid w:val="00497768"/>
    <w:rsid w:val="004977A9"/>
    <w:rsid w:val="00497A69"/>
    <w:rsid w:val="00497AE6"/>
    <w:rsid w:val="00497B38"/>
    <w:rsid w:val="00497BBF"/>
    <w:rsid w:val="00497C18"/>
    <w:rsid w:val="00497C52"/>
    <w:rsid w:val="00497DAA"/>
    <w:rsid w:val="00497E5B"/>
    <w:rsid w:val="00497EE7"/>
    <w:rsid w:val="00497EFC"/>
    <w:rsid w:val="00497F1E"/>
    <w:rsid w:val="00497F64"/>
    <w:rsid w:val="00498925"/>
    <w:rsid w:val="004A0021"/>
    <w:rsid w:val="004A0074"/>
    <w:rsid w:val="004A00DA"/>
    <w:rsid w:val="004A0150"/>
    <w:rsid w:val="004A035D"/>
    <w:rsid w:val="004A0377"/>
    <w:rsid w:val="004A04C8"/>
    <w:rsid w:val="004A04D7"/>
    <w:rsid w:val="004A0664"/>
    <w:rsid w:val="004A0675"/>
    <w:rsid w:val="004A06D8"/>
    <w:rsid w:val="004A0732"/>
    <w:rsid w:val="004A079E"/>
    <w:rsid w:val="004A080E"/>
    <w:rsid w:val="004A0CAB"/>
    <w:rsid w:val="004A0EB3"/>
    <w:rsid w:val="004A0EEE"/>
    <w:rsid w:val="004A0FB0"/>
    <w:rsid w:val="004A1074"/>
    <w:rsid w:val="004A1151"/>
    <w:rsid w:val="004A1193"/>
    <w:rsid w:val="004A1228"/>
    <w:rsid w:val="004A122E"/>
    <w:rsid w:val="004A1245"/>
    <w:rsid w:val="004A12B7"/>
    <w:rsid w:val="004A1343"/>
    <w:rsid w:val="004A1432"/>
    <w:rsid w:val="004A1487"/>
    <w:rsid w:val="004A15B4"/>
    <w:rsid w:val="004A16C3"/>
    <w:rsid w:val="004A16FC"/>
    <w:rsid w:val="004A1730"/>
    <w:rsid w:val="004A17B6"/>
    <w:rsid w:val="004A17BB"/>
    <w:rsid w:val="004A17C3"/>
    <w:rsid w:val="004A189F"/>
    <w:rsid w:val="004A18CE"/>
    <w:rsid w:val="004A193D"/>
    <w:rsid w:val="004A197D"/>
    <w:rsid w:val="004A19BF"/>
    <w:rsid w:val="004A19C4"/>
    <w:rsid w:val="004A1A05"/>
    <w:rsid w:val="004A1A60"/>
    <w:rsid w:val="004A1B96"/>
    <w:rsid w:val="004A1C7C"/>
    <w:rsid w:val="004A1CB2"/>
    <w:rsid w:val="004A1CF5"/>
    <w:rsid w:val="004A1D71"/>
    <w:rsid w:val="004A1DFC"/>
    <w:rsid w:val="004A1E01"/>
    <w:rsid w:val="004A1F69"/>
    <w:rsid w:val="004A2092"/>
    <w:rsid w:val="004A2119"/>
    <w:rsid w:val="004A21A9"/>
    <w:rsid w:val="004A21DD"/>
    <w:rsid w:val="004A221B"/>
    <w:rsid w:val="004A223D"/>
    <w:rsid w:val="004A22EB"/>
    <w:rsid w:val="004A244A"/>
    <w:rsid w:val="004A248C"/>
    <w:rsid w:val="004A2535"/>
    <w:rsid w:val="004A25FE"/>
    <w:rsid w:val="004A2601"/>
    <w:rsid w:val="004A2652"/>
    <w:rsid w:val="004A273A"/>
    <w:rsid w:val="004A2764"/>
    <w:rsid w:val="004A2911"/>
    <w:rsid w:val="004A291D"/>
    <w:rsid w:val="004A2997"/>
    <w:rsid w:val="004A29E1"/>
    <w:rsid w:val="004A2A33"/>
    <w:rsid w:val="004A2A4D"/>
    <w:rsid w:val="004A2AFD"/>
    <w:rsid w:val="004A2B77"/>
    <w:rsid w:val="004A2B86"/>
    <w:rsid w:val="004A2CEB"/>
    <w:rsid w:val="004A2D60"/>
    <w:rsid w:val="004A2E85"/>
    <w:rsid w:val="004A2F14"/>
    <w:rsid w:val="004A2F59"/>
    <w:rsid w:val="004A2F5E"/>
    <w:rsid w:val="004A2F9E"/>
    <w:rsid w:val="004A2FB0"/>
    <w:rsid w:val="004A313F"/>
    <w:rsid w:val="004A31E6"/>
    <w:rsid w:val="004A3247"/>
    <w:rsid w:val="004A3287"/>
    <w:rsid w:val="004A32A7"/>
    <w:rsid w:val="004A3448"/>
    <w:rsid w:val="004A346F"/>
    <w:rsid w:val="004A3554"/>
    <w:rsid w:val="004A36F3"/>
    <w:rsid w:val="004A3799"/>
    <w:rsid w:val="004A3825"/>
    <w:rsid w:val="004A3870"/>
    <w:rsid w:val="004A38A1"/>
    <w:rsid w:val="004A38D1"/>
    <w:rsid w:val="004A391E"/>
    <w:rsid w:val="004A393F"/>
    <w:rsid w:val="004A3A4F"/>
    <w:rsid w:val="004A3AC4"/>
    <w:rsid w:val="004A3BB2"/>
    <w:rsid w:val="004A3CEA"/>
    <w:rsid w:val="004A3DCF"/>
    <w:rsid w:val="004A3DDB"/>
    <w:rsid w:val="004A3E3A"/>
    <w:rsid w:val="004A3E3C"/>
    <w:rsid w:val="004A3E98"/>
    <w:rsid w:val="004A3F6C"/>
    <w:rsid w:val="004A400B"/>
    <w:rsid w:val="004A4030"/>
    <w:rsid w:val="004A40DD"/>
    <w:rsid w:val="004A415C"/>
    <w:rsid w:val="004A41BF"/>
    <w:rsid w:val="004A429F"/>
    <w:rsid w:val="004A4340"/>
    <w:rsid w:val="004A440A"/>
    <w:rsid w:val="004A4477"/>
    <w:rsid w:val="004A44FB"/>
    <w:rsid w:val="004A450F"/>
    <w:rsid w:val="004A4518"/>
    <w:rsid w:val="004A47F3"/>
    <w:rsid w:val="004A4860"/>
    <w:rsid w:val="004A4885"/>
    <w:rsid w:val="004A48AD"/>
    <w:rsid w:val="004A4A3D"/>
    <w:rsid w:val="004A4B0A"/>
    <w:rsid w:val="004A4B40"/>
    <w:rsid w:val="004A4C5B"/>
    <w:rsid w:val="004A4C7E"/>
    <w:rsid w:val="004A4D83"/>
    <w:rsid w:val="004A4F92"/>
    <w:rsid w:val="004A4FD8"/>
    <w:rsid w:val="004A502B"/>
    <w:rsid w:val="004A5058"/>
    <w:rsid w:val="004A5070"/>
    <w:rsid w:val="004A50BB"/>
    <w:rsid w:val="004A517B"/>
    <w:rsid w:val="004A51AA"/>
    <w:rsid w:val="004A5254"/>
    <w:rsid w:val="004A5275"/>
    <w:rsid w:val="004A52BE"/>
    <w:rsid w:val="004A532A"/>
    <w:rsid w:val="004A539B"/>
    <w:rsid w:val="004A5577"/>
    <w:rsid w:val="004A55C8"/>
    <w:rsid w:val="004A5613"/>
    <w:rsid w:val="004A5700"/>
    <w:rsid w:val="004A5710"/>
    <w:rsid w:val="004A579B"/>
    <w:rsid w:val="004A57E4"/>
    <w:rsid w:val="004A5858"/>
    <w:rsid w:val="004A5A75"/>
    <w:rsid w:val="004A5A8D"/>
    <w:rsid w:val="004A5AF0"/>
    <w:rsid w:val="004A5BB4"/>
    <w:rsid w:val="004A5C9B"/>
    <w:rsid w:val="004A5C9C"/>
    <w:rsid w:val="004A5CB0"/>
    <w:rsid w:val="004A5CED"/>
    <w:rsid w:val="004A5D3A"/>
    <w:rsid w:val="004A5D63"/>
    <w:rsid w:val="004A5E8C"/>
    <w:rsid w:val="004A5F66"/>
    <w:rsid w:val="004A5FE0"/>
    <w:rsid w:val="004A5FE8"/>
    <w:rsid w:val="004A5FF9"/>
    <w:rsid w:val="004A6073"/>
    <w:rsid w:val="004A6083"/>
    <w:rsid w:val="004A6255"/>
    <w:rsid w:val="004A62AA"/>
    <w:rsid w:val="004A62E4"/>
    <w:rsid w:val="004A6371"/>
    <w:rsid w:val="004A63B4"/>
    <w:rsid w:val="004A64F2"/>
    <w:rsid w:val="004A654C"/>
    <w:rsid w:val="004A659A"/>
    <w:rsid w:val="004A6613"/>
    <w:rsid w:val="004A6633"/>
    <w:rsid w:val="004A66B4"/>
    <w:rsid w:val="004A6762"/>
    <w:rsid w:val="004A686E"/>
    <w:rsid w:val="004A68B5"/>
    <w:rsid w:val="004A68DE"/>
    <w:rsid w:val="004A6995"/>
    <w:rsid w:val="004A69CA"/>
    <w:rsid w:val="004A69E1"/>
    <w:rsid w:val="004A6A4C"/>
    <w:rsid w:val="004A6A51"/>
    <w:rsid w:val="004A6A55"/>
    <w:rsid w:val="004A6A67"/>
    <w:rsid w:val="004A6A7D"/>
    <w:rsid w:val="004A6A94"/>
    <w:rsid w:val="004A6B19"/>
    <w:rsid w:val="004A6B85"/>
    <w:rsid w:val="004A6BDE"/>
    <w:rsid w:val="004A6C36"/>
    <w:rsid w:val="004A6CB1"/>
    <w:rsid w:val="004A6CD9"/>
    <w:rsid w:val="004A6D3F"/>
    <w:rsid w:val="004A6D49"/>
    <w:rsid w:val="004A6DB9"/>
    <w:rsid w:val="004A6E30"/>
    <w:rsid w:val="004A6E4D"/>
    <w:rsid w:val="004A6E9F"/>
    <w:rsid w:val="004A6F9E"/>
    <w:rsid w:val="004A6FDB"/>
    <w:rsid w:val="004A6FF9"/>
    <w:rsid w:val="004A715B"/>
    <w:rsid w:val="004A71A6"/>
    <w:rsid w:val="004A71E7"/>
    <w:rsid w:val="004A71F9"/>
    <w:rsid w:val="004A73CD"/>
    <w:rsid w:val="004A73EB"/>
    <w:rsid w:val="004A74B2"/>
    <w:rsid w:val="004A74CA"/>
    <w:rsid w:val="004A75A6"/>
    <w:rsid w:val="004A75B4"/>
    <w:rsid w:val="004A7609"/>
    <w:rsid w:val="004A769C"/>
    <w:rsid w:val="004A76B3"/>
    <w:rsid w:val="004A7701"/>
    <w:rsid w:val="004A77C4"/>
    <w:rsid w:val="004A7819"/>
    <w:rsid w:val="004A79C5"/>
    <w:rsid w:val="004A79D9"/>
    <w:rsid w:val="004A79DF"/>
    <w:rsid w:val="004A7AA3"/>
    <w:rsid w:val="004A7ACF"/>
    <w:rsid w:val="004A7B63"/>
    <w:rsid w:val="004A7B8B"/>
    <w:rsid w:val="004A7C0F"/>
    <w:rsid w:val="004A7C51"/>
    <w:rsid w:val="004A7CE9"/>
    <w:rsid w:val="004A7DD7"/>
    <w:rsid w:val="004A7E02"/>
    <w:rsid w:val="004A7E1C"/>
    <w:rsid w:val="004A7E4C"/>
    <w:rsid w:val="004A7E59"/>
    <w:rsid w:val="004A7EA5"/>
    <w:rsid w:val="004A7EBE"/>
    <w:rsid w:val="004A7F15"/>
    <w:rsid w:val="004B0065"/>
    <w:rsid w:val="004B0071"/>
    <w:rsid w:val="004B007B"/>
    <w:rsid w:val="004B00F3"/>
    <w:rsid w:val="004B0225"/>
    <w:rsid w:val="004B022A"/>
    <w:rsid w:val="004B0235"/>
    <w:rsid w:val="004B02F5"/>
    <w:rsid w:val="004B0345"/>
    <w:rsid w:val="004B043D"/>
    <w:rsid w:val="004B0461"/>
    <w:rsid w:val="004B04B7"/>
    <w:rsid w:val="004B04DF"/>
    <w:rsid w:val="004B055E"/>
    <w:rsid w:val="004B0585"/>
    <w:rsid w:val="004B069F"/>
    <w:rsid w:val="004B06A9"/>
    <w:rsid w:val="004B077E"/>
    <w:rsid w:val="004B07A0"/>
    <w:rsid w:val="004B0820"/>
    <w:rsid w:val="004B08F1"/>
    <w:rsid w:val="004B0951"/>
    <w:rsid w:val="004B0967"/>
    <w:rsid w:val="004B0976"/>
    <w:rsid w:val="004B09D1"/>
    <w:rsid w:val="004B09D2"/>
    <w:rsid w:val="004B0A18"/>
    <w:rsid w:val="004B0B28"/>
    <w:rsid w:val="004B0B6A"/>
    <w:rsid w:val="004B0B6F"/>
    <w:rsid w:val="004B0BAF"/>
    <w:rsid w:val="004B0C4A"/>
    <w:rsid w:val="004B0E81"/>
    <w:rsid w:val="004B0EA8"/>
    <w:rsid w:val="004B0EDD"/>
    <w:rsid w:val="004B0F1D"/>
    <w:rsid w:val="004B0F64"/>
    <w:rsid w:val="004B0F8C"/>
    <w:rsid w:val="004B0FDF"/>
    <w:rsid w:val="004B1048"/>
    <w:rsid w:val="004B1052"/>
    <w:rsid w:val="004B1058"/>
    <w:rsid w:val="004B106A"/>
    <w:rsid w:val="004B106B"/>
    <w:rsid w:val="004B11FF"/>
    <w:rsid w:val="004B13D4"/>
    <w:rsid w:val="004B14E4"/>
    <w:rsid w:val="004B1693"/>
    <w:rsid w:val="004B1706"/>
    <w:rsid w:val="004B1719"/>
    <w:rsid w:val="004B1798"/>
    <w:rsid w:val="004B1945"/>
    <w:rsid w:val="004B1981"/>
    <w:rsid w:val="004B1ADA"/>
    <w:rsid w:val="004B1AF0"/>
    <w:rsid w:val="004B1B35"/>
    <w:rsid w:val="004B1B59"/>
    <w:rsid w:val="004B1B9A"/>
    <w:rsid w:val="004B1C72"/>
    <w:rsid w:val="004B1DFF"/>
    <w:rsid w:val="004B1E32"/>
    <w:rsid w:val="004B1E86"/>
    <w:rsid w:val="004B1E95"/>
    <w:rsid w:val="004B1EBE"/>
    <w:rsid w:val="004B1FA0"/>
    <w:rsid w:val="004B200B"/>
    <w:rsid w:val="004B207B"/>
    <w:rsid w:val="004B219E"/>
    <w:rsid w:val="004B226D"/>
    <w:rsid w:val="004B2282"/>
    <w:rsid w:val="004B2393"/>
    <w:rsid w:val="004B2528"/>
    <w:rsid w:val="004B25B6"/>
    <w:rsid w:val="004B25E2"/>
    <w:rsid w:val="004B264B"/>
    <w:rsid w:val="004B26F8"/>
    <w:rsid w:val="004B276F"/>
    <w:rsid w:val="004B2814"/>
    <w:rsid w:val="004B28B5"/>
    <w:rsid w:val="004B2908"/>
    <w:rsid w:val="004B2933"/>
    <w:rsid w:val="004B29D4"/>
    <w:rsid w:val="004B2A0D"/>
    <w:rsid w:val="004B2A72"/>
    <w:rsid w:val="004B2ADC"/>
    <w:rsid w:val="004B2B09"/>
    <w:rsid w:val="004B2B8D"/>
    <w:rsid w:val="004B2C2E"/>
    <w:rsid w:val="004B2D84"/>
    <w:rsid w:val="004B2E59"/>
    <w:rsid w:val="004B2F65"/>
    <w:rsid w:val="004B3035"/>
    <w:rsid w:val="004B30C7"/>
    <w:rsid w:val="004B310E"/>
    <w:rsid w:val="004B31C5"/>
    <w:rsid w:val="004B31D8"/>
    <w:rsid w:val="004B3202"/>
    <w:rsid w:val="004B3270"/>
    <w:rsid w:val="004B329C"/>
    <w:rsid w:val="004B3487"/>
    <w:rsid w:val="004B352C"/>
    <w:rsid w:val="004B3555"/>
    <w:rsid w:val="004B355A"/>
    <w:rsid w:val="004B35E9"/>
    <w:rsid w:val="004B35EB"/>
    <w:rsid w:val="004B35EF"/>
    <w:rsid w:val="004B3644"/>
    <w:rsid w:val="004B370D"/>
    <w:rsid w:val="004B3723"/>
    <w:rsid w:val="004B3732"/>
    <w:rsid w:val="004B376C"/>
    <w:rsid w:val="004B37EF"/>
    <w:rsid w:val="004B3892"/>
    <w:rsid w:val="004B38D8"/>
    <w:rsid w:val="004B38D9"/>
    <w:rsid w:val="004B3909"/>
    <w:rsid w:val="004B3917"/>
    <w:rsid w:val="004B3972"/>
    <w:rsid w:val="004B3A05"/>
    <w:rsid w:val="004B3AD9"/>
    <w:rsid w:val="004B3B4B"/>
    <w:rsid w:val="004B3BCA"/>
    <w:rsid w:val="004B3BFB"/>
    <w:rsid w:val="004B3C78"/>
    <w:rsid w:val="004B3DAF"/>
    <w:rsid w:val="004B3E1F"/>
    <w:rsid w:val="004B3E80"/>
    <w:rsid w:val="004B3F90"/>
    <w:rsid w:val="004B4016"/>
    <w:rsid w:val="004B416D"/>
    <w:rsid w:val="004B41BC"/>
    <w:rsid w:val="004B421E"/>
    <w:rsid w:val="004B4222"/>
    <w:rsid w:val="004B4266"/>
    <w:rsid w:val="004B42A9"/>
    <w:rsid w:val="004B4384"/>
    <w:rsid w:val="004B4401"/>
    <w:rsid w:val="004B4499"/>
    <w:rsid w:val="004B44AA"/>
    <w:rsid w:val="004B44F6"/>
    <w:rsid w:val="004B44FB"/>
    <w:rsid w:val="004B45A2"/>
    <w:rsid w:val="004B4638"/>
    <w:rsid w:val="004B4676"/>
    <w:rsid w:val="004B4841"/>
    <w:rsid w:val="004B484B"/>
    <w:rsid w:val="004B48B2"/>
    <w:rsid w:val="004B48FD"/>
    <w:rsid w:val="004B4965"/>
    <w:rsid w:val="004B4967"/>
    <w:rsid w:val="004B4A81"/>
    <w:rsid w:val="004B4AA0"/>
    <w:rsid w:val="004B4B38"/>
    <w:rsid w:val="004B4C15"/>
    <w:rsid w:val="004B4C17"/>
    <w:rsid w:val="004B4DB1"/>
    <w:rsid w:val="004B4E23"/>
    <w:rsid w:val="004B4EA6"/>
    <w:rsid w:val="004B4EF3"/>
    <w:rsid w:val="004B4F94"/>
    <w:rsid w:val="004B4FF0"/>
    <w:rsid w:val="004B5025"/>
    <w:rsid w:val="004B5080"/>
    <w:rsid w:val="004B5098"/>
    <w:rsid w:val="004B52F9"/>
    <w:rsid w:val="004B5375"/>
    <w:rsid w:val="004B5391"/>
    <w:rsid w:val="004B5520"/>
    <w:rsid w:val="004B55A5"/>
    <w:rsid w:val="004B5640"/>
    <w:rsid w:val="004B56C0"/>
    <w:rsid w:val="004B56F1"/>
    <w:rsid w:val="004B576A"/>
    <w:rsid w:val="004B5810"/>
    <w:rsid w:val="004B5972"/>
    <w:rsid w:val="004B597B"/>
    <w:rsid w:val="004B59D4"/>
    <w:rsid w:val="004B5A49"/>
    <w:rsid w:val="004B5BA6"/>
    <w:rsid w:val="004B5BC8"/>
    <w:rsid w:val="004B5C86"/>
    <w:rsid w:val="004B5C87"/>
    <w:rsid w:val="004B5CCE"/>
    <w:rsid w:val="004B5D2B"/>
    <w:rsid w:val="004B5D8D"/>
    <w:rsid w:val="004B5DAE"/>
    <w:rsid w:val="004B5DD3"/>
    <w:rsid w:val="004B5F37"/>
    <w:rsid w:val="004B5FE4"/>
    <w:rsid w:val="004B6088"/>
    <w:rsid w:val="004B60FB"/>
    <w:rsid w:val="004B6202"/>
    <w:rsid w:val="004B627A"/>
    <w:rsid w:val="004B62E9"/>
    <w:rsid w:val="004B630A"/>
    <w:rsid w:val="004B6339"/>
    <w:rsid w:val="004B63B1"/>
    <w:rsid w:val="004B64A8"/>
    <w:rsid w:val="004B64B6"/>
    <w:rsid w:val="004B64E9"/>
    <w:rsid w:val="004B653C"/>
    <w:rsid w:val="004B655C"/>
    <w:rsid w:val="004B65E1"/>
    <w:rsid w:val="004B664B"/>
    <w:rsid w:val="004B6758"/>
    <w:rsid w:val="004B677E"/>
    <w:rsid w:val="004B67D0"/>
    <w:rsid w:val="004B684C"/>
    <w:rsid w:val="004B68B4"/>
    <w:rsid w:val="004B6901"/>
    <w:rsid w:val="004B691A"/>
    <w:rsid w:val="004B69D0"/>
    <w:rsid w:val="004B6A07"/>
    <w:rsid w:val="004B6AB3"/>
    <w:rsid w:val="004B6B26"/>
    <w:rsid w:val="004B6B37"/>
    <w:rsid w:val="004B6C29"/>
    <w:rsid w:val="004B6CD5"/>
    <w:rsid w:val="004B6CDA"/>
    <w:rsid w:val="004B6DEE"/>
    <w:rsid w:val="004B6E7A"/>
    <w:rsid w:val="004B6F56"/>
    <w:rsid w:val="004B6F5F"/>
    <w:rsid w:val="004B6F6B"/>
    <w:rsid w:val="004B6F92"/>
    <w:rsid w:val="004B7166"/>
    <w:rsid w:val="004B726F"/>
    <w:rsid w:val="004B728E"/>
    <w:rsid w:val="004B72D8"/>
    <w:rsid w:val="004B7329"/>
    <w:rsid w:val="004B733C"/>
    <w:rsid w:val="004B736D"/>
    <w:rsid w:val="004B7389"/>
    <w:rsid w:val="004B73F5"/>
    <w:rsid w:val="004B740C"/>
    <w:rsid w:val="004B7464"/>
    <w:rsid w:val="004B7493"/>
    <w:rsid w:val="004B754D"/>
    <w:rsid w:val="004B760B"/>
    <w:rsid w:val="004B773E"/>
    <w:rsid w:val="004B7803"/>
    <w:rsid w:val="004B7808"/>
    <w:rsid w:val="004B79C6"/>
    <w:rsid w:val="004B7A9B"/>
    <w:rsid w:val="004B7AA2"/>
    <w:rsid w:val="004B7AD3"/>
    <w:rsid w:val="004B7B1A"/>
    <w:rsid w:val="004B7BFE"/>
    <w:rsid w:val="004B7CF5"/>
    <w:rsid w:val="004B7D3E"/>
    <w:rsid w:val="004B7DB7"/>
    <w:rsid w:val="004B7DFB"/>
    <w:rsid w:val="004B7E2D"/>
    <w:rsid w:val="004B7E4C"/>
    <w:rsid w:val="004B7E94"/>
    <w:rsid w:val="004B7FB8"/>
    <w:rsid w:val="004C0087"/>
    <w:rsid w:val="004C00A2"/>
    <w:rsid w:val="004C00B0"/>
    <w:rsid w:val="004C010A"/>
    <w:rsid w:val="004C0180"/>
    <w:rsid w:val="004C02E1"/>
    <w:rsid w:val="004C03AC"/>
    <w:rsid w:val="004C0506"/>
    <w:rsid w:val="004C0666"/>
    <w:rsid w:val="004C075B"/>
    <w:rsid w:val="004C093E"/>
    <w:rsid w:val="004C09B8"/>
    <w:rsid w:val="004C0A13"/>
    <w:rsid w:val="004C0A4D"/>
    <w:rsid w:val="004C0A74"/>
    <w:rsid w:val="004C0B0B"/>
    <w:rsid w:val="004C0BBF"/>
    <w:rsid w:val="004C0C0C"/>
    <w:rsid w:val="004C0C3C"/>
    <w:rsid w:val="004C0EBF"/>
    <w:rsid w:val="004C0ED9"/>
    <w:rsid w:val="004C0EF5"/>
    <w:rsid w:val="004C0F8D"/>
    <w:rsid w:val="004C1025"/>
    <w:rsid w:val="004C1204"/>
    <w:rsid w:val="004C1205"/>
    <w:rsid w:val="004C125F"/>
    <w:rsid w:val="004C137E"/>
    <w:rsid w:val="004C145A"/>
    <w:rsid w:val="004C156D"/>
    <w:rsid w:val="004C1592"/>
    <w:rsid w:val="004C168D"/>
    <w:rsid w:val="004C168E"/>
    <w:rsid w:val="004C1703"/>
    <w:rsid w:val="004C1824"/>
    <w:rsid w:val="004C18A7"/>
    <w:rsid w:val="004C19A0"/>
    <w:rsid w:val="004C19C7"/>
    <w:rsid w:val="004C1A55"/>
    <w:rsid w:val="004C1A57"/>
    <w:rsid w:val="004C1B02"/>
    <w:rsid w:val="004C1B64"/>
    <w:rsid w:val="004C1B7F"/>
    <w:rsid w:val="004C1E2F"/>
    <w:rsid w:val="004C1E51"/>
    <w:rsid w:val="004C1E77"/>
    <w:rsid w:val="004C1E99"/>
    <w:rsid w:val="004C1EDD"/>
    <w:rsid w:val="004C1EDF"/>
    <w:rsid w:val="004C1F11"/>
    <w:rsid w:val="004C1FF6"/>
    <w:rsid w:val="004C211B"/>
    <w:rsid w:val="004C2121"/>
    <w:rsid w:val="004C21FC"/>
    <w:rsid w:val="004C226B"/>
    <w:rsid w:val="004C2295"/>
    <w:rsid w:val="004C234F"/>
    <w:rsid w:val="004C236F"/>
    <w:rsid w:val="004C2484"/>
    <w:rsid w:val="004C249B"/>
    <w:rsid w:val="004C24EE"/>
    <w:rsid w:val="004C250F"/>
    <w:rsid w:val="004C254E"/>
    <w:rsid w:val="004C25DB"/>
    <w:rsid w:val="004C26A8"/>
    <w:rsid w:val="004C2751"/>
    <w:rsid w:val="004C28D8"/>
    <w:rsid w:val="004C28F0"/>
    <w:rsid w:val="004C2939"/>
    <w:rsid w:val="004C2993"/>
    <w:rsid w:val="004C29C2"/>
    <w:rsid w:val="004C2A2D"/>
    <w:rsid w:val="004C2ACD"/>
    <w:rsid w:val="004C2C6F"/>
    <w:rsid w:val="004C2D2E"/>
    <w:rsid w:val="004C2D41"/>
    <w:rsid w:val="004C2D74"/>
    <w:rsid w:val="004C2E01"/>
    <w:rsid w:val="004C2E32"/>
    <w:rsid w:val="004C2F0F"/>
    <w:rsid w:val="004C2FC9"/>
    <w:rsid w:val="004C3001"/>
    <w:rsid w:val="004C301D"/>
    <w:rsid w:val="004C3022"/>
    <w:rsid w:val="004C3068"/>
    <w:rsid w:val="004C311A"/>
    <w:rsid w:val="004C3139"/>
    <w:rsid w:val="004C3185"/>
    <w:rsid w:val="004C324C"/>
    <w:rsid w:val="004C3267"/>
    <w:rsid w:val="004C3294"/>
    <w:rsid w:val="004C340B"/>
    <w:rsid w:val="004C340F"/>
    <w:rsid w:val="004C35D9"/>
    <w:rsid w:val="004C35E9"/>
    <w:rsid w:val="004C3603"/>
    <w:rsid w:val="004C3630"/>
    <w:rsid w:val="004C36A7"/>
    <w:rsid w:val="004C3754"/>
    <w:rsid w:val="004C37BB"/>
    <w:rsid w:val="004C383D"/>
    <w:rsid w:val="004C3854"/>
    <w:rsid w:val="004C38B7"/>
    <w:rsid w:val="004C3A23"/>
    <w:rsid w:val="004C3B96"/>
    <w:rsid w:val="004C3CF5"/>
    <w:rsid w:val="004C3E08"/>
    <w:rsid w:val="004C3F1F"/>
    <w:rsid w:val="004C3F33"/>
    <w:rsid w:val="004C3F51"/>
    <w:rsid w:val="004C3F61"/>
    <w:rsid w:val="004C3FE3"/>
    <w:rsid w:val="004C41B7"/>
    <w:rsid w:val="004C425A"/>
    <w:rsid w:val="004C426C"/>
    <w:rsid w:val="004C42D4"/>
    <w:rsid w:val="004C44C5"/>
    <w:rsid w:val="004C44CB"/>
    <w:rsid w:val="004C44EE"/>
    <w:rsid w:val="004C44FE"/>
    <w:rsid w:val="004C4526"/>
    <w:rsid w:val="004C462A"/>
    <w:rsid w:val="004C4704"/>
    <w:rsid w:val="004C4713"/>
    <w:rsid w:val="004C489A"/>
    <w:rsid w:val="004C48EA"/>
    <w:rsid w:val="004C495D"/>
    <w:rsid w:val="004C49C7"/>
    <w:rsid w:val="004C49FC"/>
    <w:rsid w:val="004C4A9C"/>
    <w:rsid w:val="004C4B31"/>
    <w:rsid w:val="004C4C1A"/>
    <w:rsid w:val="004C4C43"/>
    <w:rsid w:val="004C4D95"/>
    <w:rsid w:val="004C4EDF"/>
    <w:rsid w:val="004C4F21"/>
    <w:rsid w:val="004C50E6"/>
    <w:rsid w:val="004C510F"/>
    <w:rsid w:val="004C5110"/>
    <w:rsid w:val="004C511E"/>
    <w:rsid w:val="004C53AD"/>
    <w:rsid w:val="004C542A"/>
    <w:rsid w:val="004C54BB"/>
    <w:rsid w:val="004C55C6"/>
    <w:rsid w:val="004C5619"/>
    <w:rsid w:val="004C5632"/>
    <w:rsid w:val="004C5660"/>
    <w:rsid w:val="004C56FE"/>
    <w:rsid w:val="004C5727"/>
    <w:rsid w:val="004C5755"/>
    <w:rsid w:val="004C57C6"/>
    <w:rsid w:val="004C59A8"/>
    <w:rsid w:val="004C59F7"/>
    <w:rsid w:val="004C5B59"/>
    <w:rsid w:val="004C5B74"/>
    <w:rsid w:val="004C5BA5"/>
    <w:rsid w:val="004C5BED"/>
    <w:rsid w:val="004C5CD6"/>
    <w:rsid w:val="004C5D84"/>
    <w:rsid w:val="004C5E1E"/>
    <w:rsid w:val="004C5F23"/>
    <w:rsid w:val="004C5FB8"/>
    <w:rsid w:val="004C5FDF"/>
    <w:rsid w:val="004C5FEF"/>
    <w:rsid w:val="004C607B"/>
    <w:rsid w:val="004C60B4"/>
    <w:rsid w:val="004C61F4"/>
    <w:rsid w:val="004C622B"/>
    <w:rsid w:val="004C626D"/>
    <w:rsid w:val="004C62C5"/>
    <w:rsid w:val="004C631B"/>
    <w:rsid w:val="004C63D9"/>
    <w:rsid w:val="004C64C5"/>
    <w:rsid w:val="004C6693"/>
    <w:rsid w:val="004C66A7"/>
    <w:rsid w:val="004C676C"/>
    <w:rsid w:val="004C681E"/>
    <w:rsid w:val="004C6912"/>
    <w:rsid w:val="004C691E"/>
    <w:rsid w:val="004C69AE"/>
    <w:rsid w:val="004C69E0"/>
    <w:rsid w:val="004C6AF0"/>
    <w:rsid w:val="004C6C26"/>
    <w:rsid w:val="004C6C7A"/>
    <w:rsid w:val="004C6C87"/>
    <w:rsid w:val="004C6DCE"/>
    <w:rsid w:val="004C6E4A"/>
    <w:rsid w:val="004C6E8A"/>
    <w:rsid w:val="004C6E97"/>
    <w:rsid w:val="004C6FBD"/>
    <w:rsid w:val="004C70F9"/>
    <w:rsid w:val="004C7140"/>
    <w:rsid w:val="004C7172"/>
    <w:rsid w:val="004C7280"/>
    <w:rsid w:val="004C72EE"/>
    <w:rsid w:val="004C730F"/>
    <w:rsid w:val="004C7396"/>
    <w:rsid w:val="004C7426"/>
    <w:rsid w:val="004C7546"/>
    <w:rsid w:val="004C7554"/>
    <w:rsid w:val="004C75A5"/>
    <w:rsid w:val="004C763E"/>
    <w:rsid w:val="004C76ED"/>
    <w:rsid w:val="004C779C"/>
    <w:rsid w:val="004C787A"/>
    <w:rsid w:val="004C7914"/>
    <w:rsid w:val="004C7930"/>
    <w:rsid w:val="004C798E"/>
    <w:rsid w:val="004C799F"/>
    <w:rsid w:val="004C7BF8"/>
    <w:rsid w:val="004C7C9B"/>
    <w:rsid w:val="004C7CF1"/>
    <w:rsid w:val="004C7D10"/>
    <w:rsid w:val="004C7DA2"/>
    <w:rsid w:val="004C7E45"/>
    <w:rsid w:val="004C7E9D"/>
    <w:rsid w:val="004C7EC5"/>
    <w:rsid w:val="004C7F01"/>
    <w:rsid w:val="004D0005"/>
    <w:rsid w:val="004D001C"/>
    <w:rsid w:val="004D002A"/>
    <w:rsid w:val="004D008A"/>
    <w:rsid w:val="004D0103"/>
    <w:rsid w:val="004D0333"/>
    <w:rsid w:val="004D040E"/>
    <w:rsid w:val="004D045C"/>
    <w:rsid w:val="004D046E"/>
    <w:rsid w:val="004D04DA"/>
    <w:rsid w:val="004D059C"/>
    <w:rsid w:val="004D0669"/>
    <w:rsid w:val="004D06C1"/>
    <w:rsid w:val="004D06CC"/>
    <w:rsid w:val="004D083A"/>
    <w:rsid w:val="004D086F"/>
    <w:rsid w:val="004D0949"/>
    <w:rsid w:val="004D0C9A"/>
    <w:rsid w:val="004D0CF6"/>
    <w:rsid w:val="004D0D38"/>
    <w:rsid w:val="004D0D4C"/>
    <w:rsid w:val="004D0D50"/>
    <w:rsid w:val="004D0E14"/>
    <w:rsid w:val="004D0E7C"/>
    <w:rsid w:val="004D0E7D"/>
    <w:rsid w:val="004D0FCD"/>
    <w:rsid w:val="004D10E0"/>
    <w:rsid w:val="004D114A"/>
    <w:rsid w:val="004D11DF"/>
    <w:rsid w:val="004D1344"/>
    <w:rsid w:val="004D14E3"/>
    <w:rsid w:val="004D1563"/>
    <w:rsid w:val="004D15D8"/>
    <w:rsid w:val="004D1692"/>
    <w:rsid w:val="004D16B9"/>
    <w:rsid w:val="004D16FE"/>
    <w:rsid w:val="004D175C"/>
    <w:rsid w:val="004D1774"/>
    <w:rsid w:val="004D1807"/>
    <w:rsid w:val="004D181F"/>
    <w:rsid w:val="004D189F"/>
    <w:rsid w:val="004D195B"/>
    <w:rsid w:val="004D1A34"/>
    <w:rsid w:val="004D1AE9"/>
    <w:rsid w:val="004D1B28"/>
    <w:rsid w:val="004D1B37"/>
    <w:rsid w:val="004D1BB3"/>
    <w:rsid w:val="004D1BD6"/>
    <w:rsid w:val="004D1C2E"/>
    <w:rsid w:val="004D1CC0"/>
    <w:rsid w:val="004D1D82"/>
    <w:rsid w:val="004D1F5C"/>
    <w:rsid w:val="004D2021"/>
    <w:rsid w:val="004D2076"/>
    <w:rsid w:val="004D209A"/>
    <w:rsid w:val="004D21B2"/>
    <w:rsid w:val="004D221C"/>
    <w:rsid w:val="004D2254"/>
    <w:rsid w:val="004D22AE"/>
    <w:rsid w:val="004D231A"/>
    <w:rsid w:val="004D2328"/>
    <w:rsid w:val="004D2678"/>
    <w:rsid w:val="004D270E"/>
    <w:rsid w:val="004D2757"/>
    <w:rsid w:val="004D2787"/>
    <w:rsid w:val="004D2863"/>
    <w:rsid w:val="004D28CA"/>
    <w:rsid w:val="004D2A18"/>
    <w:rsid w:val="004D2A24"/>
    <w:rsid w:val="004D2A64"/>
    <w:rsid w:val="004D2A77"/>
    <w:rsid w:val="004D2AA2"/>
    <w:rsid w:val="004D2ADE"/>
    <w:rsid w:val="004D2B62"/>
    <w:rsid w:val="004D2E0D"/>
    <w:rsid w:val="004D2F1B"/>
    <w:rsid w:val="004D30B2"/>
    <w:rsid w:val="004D3113"/>
    <w:rsid w:val="004D3173"/>
    <w:rsid w:val="004D3185"/>
    <w:rsid w:val="004D3190"/>
    <w:rsid w:val="004D321C"/>
    <w:rsid w:val="004D328F"/>
    <w:rsid w:val="004D3423"/>
    <w:rsid w:val="004D35D2"/>
    <w:rsid w:val="004D35F0"/>
    <w:rsid w:val="004D36E7"/>
    <w:rsid w:val="004D370A"/>
    <w:rsid w:val="004D3759"/>
    <w:rsid w:val="004D379E"/>
    <w:rsid w:val="004D386A"/>
    <w:rsid w:val="004D39CE"/>
    <w:rsid w:val="004D3AC3"/>
    <w:rsid w:val="004D3C61"/>
    <w:rsid w:val="004D3C6A"/>
    <w:rsid w:val="004D3D32"/>
    <w:rsid w:val="004D3D4F"/>
    <w:rsid w:val="004D3EF9"/>
    <w:rsid w:val="004D3F7E"/>
    <w:rsid w:val="004D3FAF"/>
    <w:rsid w:val="004D4204"/>
    <w:rsid w:val="004D4223"/>
    <w:rsid w:val="004D422C"/>
    <w:rsid w:val="004D4291"/>
    <w:rsid w:val="004D42CB"/>
    <w:rsid w:val="004D434E"/>
    <w:rsid w:val="004D43F2"/>
    <w:rsid w:val="004D44BE"/>
    <w:rsid w:val="004D44D0"/>
    <w:rsid w:val="004D44E2"/>
    <w:rsid w:val="004D4571"/>
    <w:rsid w:val="004D462D"/>
    <w:rsid w:val="004D4754"/>
    <w:rsid w:val="004D47AE"/>
    <w:rsid w:val="004D4807"/>
    <w:rsid w:val="004D4821"/>
    <w:rsid w:val="004D48E8"/>
    <w:rsid w:val="004D49D0"/>
    <w:rsid w:val="004D4B22"/>
    <w:rsid w:val="004D4B70"/>
    <w:rsid w:val="004D4B9F"/>
    <w:rsid w:val="004D4CF0"/>
    <w:rsid w:val="004D4D38"/>
    <w:rsid w:val="004D4DC7"/>
    <w:rsid w:val="004D4EC0"/>
    <w:rsid w:val="004D4F42"/>
    <w:rsid w:val="004D4F82"/>
    <w:rsid w:val="004D4FC3"/>
    <w:rsid w:val="004D503E"/>
    <w:rsid w:val="004D5117"/>
    <w:rsid w:val="004D5252"/>
    <w:rsid w:val="004D54CD"/>
    <w:rsid w:val="004D55A0"/>
    <w:rsid w:val="004D564F"/>
    <w:rsid w:val="004D56C6"/>
    <w:rsid w:val="004D56DE"/>
    <w:rsid w:val="004D5726"/>
    <w:rsid w:val="004D57BD"/>
    <w:rsid w:val="004D57F6"/>
    <w:rsid w:val="004D5A56"/>
    <w:rsid w:val="004D5AD8"/>
    <w:rsid w:val="004D5B88"/>
    <w:rsid w:val="004D5BB4"/>
    <w:rsid w:val="004D5BB8"/>
    <w:rsid w:val="004D5C35"/>
    <w:rsid w:val="004D5C6D"/>
    <w:rsid w:val="004D5CEA"/>
    <w:rsid w:val="004D5CF2"/>
    <w:rsid w:val="004D5D03"/>
    <w:rsid w:val="004D5D35"/>
    <w:rsid w:val="004D5E27"/>
    <w:rsid w:val="004D604E"/>
    <w:rsid w:val="004D609F"/>
    <w:rsid w:val="004D60F2"/>
    <w:rsid w:val="004D611A"/>
    <w:rsid w:val="004D6197"/>
    <w:rsid w:val="004D61C5"/>
    <w:rsid w:val="004D657C"/>
    <w:rsid w:val="004D6588"/>
    <w:rsid w:val="004D65AE"/>
    <w:rsid w:val="004D65C5"/>
    <w:rsid w:val="004D663E"/>
    <w:rsid w:val="004D66C9"/>
    <w:rsid w:val="004D66F2"/>
    <w:rsid w:val="004D67E3"/>
    <w:rsid w:val="004D681D"/>
    <w:rsid w:val="004D6840"/>
    <w:rsid w:val="004D6846"/>
    <w:rsid w:val="004D689C"/>
    <w:rsid w:val="004D6917"/>
    <w:rsid w:val="004D6988"/>
    <w:rsid w:val="004D6994"/>
    <w:rsid w:val="004D69FC"/>
    <w:rsid w:val="004D6AB5"/>
    <w:rsid w:val="004D6AE1"/>
    <w:rsid w:val="004D6B8E"/>
    <w:rsid w:val="004D6BAF"/>
    <w:rsid w:val="004D6C28"/>
    <w:rsid w:val="004D6C76"/>
    <w:rsid w:val="004D6D70"/>
    <w:rsid w:val="004D6E2F"/>
    <w:rsid w:val="004D6EC0"/>
    <w:rsid w:val="004D6FDF"/>
    <w:rsid w:val="004D7059"/>
    <w:rsid w:val="004D70F7"/>
    <w:rsid w:val="004D7102"/>
    <w:rsid w:val="004D7107"/>
    <w:rsid w:val="004D7230"/>
    <w:rsid w:val="004D7240"/>
    <w:rsid w:val="004D7303"/>
    <w:rsid w:val="004D7305"/>
    <w:rsid w:val="004D7419"/>
    <w:rsid w:val="004D741B"/>
    <w:rsid w:val="004D746A"/>
    <w:rsid w:val="004D7539"/>
    <w:rsid w:val="004D75BB"/>
    <w:rsid w:val="004D763B"/>
    <w:rsid w:val="004D77B0"/>
    <w:rsid w:val="004D792F"/>
    <w:rsid w:val="004D7932"/>
    <w:rsid w:val="004D7A72"/>
    <w:rsid w:val="004D7D21"/>
    <w:rsid w:val="004D7D2B"/>
    <w:rsid w:val="004D7D97"/>
    <w:rsid w:val="004D7E35"/>
    <w:rsid w:val="004D7E97"/>
    <w:rsid w:val="004E004F"/>
    <w:rsid w:val="004E0065"/>
    <w:rsid w:val="004E0085"/>
    <w:rsid w:val="004E0153"/>
    <w:rsid w:val="004E0164"/>
    <w:rsid w:val="004E0174"/>
    <w:rsid w:val="004E0189"/>
    <w:rsid w:val="004E018E"/>
    <w:rsid w:val="004E01B9"/>
    <w:rsid w:val="004E0266"/>
    <w:rsid w:val="004E0382"/>
    <w:rsid w:val="004E04B4"/>
    <w:rsid w:val="004E04C1"/>
    <w:rsid w:val="004E06BA"/>
    <w:rsid w:val="004E06BF"/>
    <w:rsid w:val="004E06C7"/>
    <w:rsid w:val="004E07FD"/>
    <w:rsid w:val="004E091C"/>
    <w:rsid w:val="004E0969"/>
    <w:rsid w:val="004E099A"/>
    <w:rsid w:val="004E0B81"/>
    <w:rsid w:val="004E0C3C"/>
    <w:rsid w:val="004E0C6F"/>
    <w:rsid w:val="004E0CFD"/>
    <w:rsid w:val="004E0D57"/>
    <w:rsid w:val="004E0D72"/>
    <w:rsid w:val="004E0DA4"/>
    <w:rsid w:val="004E0DE1"/>
    <w:rsid w:val="004E0E1C"/>
    <w:rsid w:val="004E0EA6"/>
    <w:rsid w:val="004E0EE0"/>
    <w:rsid w:val="004E0F06"/>
    <w:rsid w:val="004E0FA6"/>
    <w:rsid w:val="004E100E"/>
    <w:rsid w:val="004E101C"/>
    <w:rsid w:val="004E10AC"/>
    <w:rsid w:val="004E119F"/>
    <w:rsid w:val="004E1267"/>
    <w:rsid w:val="004E1328"/>
    <w:rsid w:val="004E1330"/>
    <w:rsid w:val="004E1478"/>
    <w:rsid w:val="004E14A1"/>
    <w:rsid w:val="004E14A8"/>
    <w:rsid w:val="004E14F9"/>
    <w:rsid w:val="004E15CE"/>
    <w:rsid w:val="004E15DB"/>
    <w:rsid w:val="004E15E0"/>
    <w:rsid w:val="004E166F"/>
    <w:rsid w:val="004E16B7"/>
    <w:rsid w:val="004E16E1"/>
    <w:rsid w:val="004E16E7"/>
    <w:rsid w:val="004E1751"/>
    <w:rsid w:val="004E1763"/>
    <w:rsid w:val="004E1768"/>
    <w:rsid w:val="004E197C"/>
    <w:rsid w:val="004E1B45"/>
    <w:rsid w:val="004E1BD0"/>
    <w:rsid w:val="004E1C47"/>
    <w:rsid w:val="004E1CBF"/>
    <w:rsid w:val="004E1CCB"/>
    <w:rsid w:val="004E1D3B"/>
    <w:rsid w:val="004E1DBA"/>
    <w:rsid w:val="004E1F38"/>
    <w:rsid w:val="004E1FA8"/>
    <w:rsid w:val="004E20E5"/>
    <w:rsid w:val="004E2116"/>
    <w:rsid w:val="004E216A"/>
    <w:rsid w:val="004E2182"/>
    <w:rsid w:val="004E21CC"/>
    <w:rsid w:val="004E22AB"/>
    <w:rsid w:val="004E22B3"/>
    <w:rsid w:val="004E2436"/>
    <w:rsid w:val="004E2460"/>
    <w:rsid w:val="004E24CF"/>
    <w:rsid w:val="004E25ED"/>
    <w:rsid w:val="004E263D"/>
    <w:rsid w:val="004E2656"/>
    <w:rsid w:val="004E2687"/>
    <w:rsid w:val="004E275B"/>
    <w:rsid w:val="004E27E8"/>
    <w:rsid w:val="004E286C"/>
    <w:rsid w:val="004E2879"/>
    <w:rsid w:val="004E28EB"/>
    <w:rsid w:val="004E29A6"/>
    <w:rsid w:val="004E29D8"/>
    <w:rsid w:val="004E2A09"/>
    <w:rsid w:val="004E2A2E"/>
    <w:rsid w:val="004E2A4D"/>
    <w:rsid w:val="004E2B4E"/>
    <w:rsid w:val="004E2B58"/>
    <w:rsid w:val="004E2B9C"/>
    <w:rsid w:val="004E2CAC"/>
    <w:rsid w:val="004E2CD4"/>
    <w:rsid w:val="004E2E45"/>
    <w:rsid w:val="004E2EBA"/>
    <w:rsid w:val="004E2F20"/>
    <w:rsid w:val="004E2F6B"/>
    <w:rsid w:val="004E306D"/>
    <w:rsid w:val="004E30D8"/>
    <w:rsid w:val="004E30EA"/>
    <w:rsid w:val="004E327B"/>
    <w:rsid w:val="004E335F"/>
    <w:rsid w:val="004E3405"/>
    <w:rsid w:val="004E3449"/>
    <w:rsid w:val="004E3566"/>
    <w:rsid w:val="004E3606"/>
    <w:rsid w:val="004E37D2"/>
    <w:rsid w:val="004E383A"/>
    <w:rsid w:val="004E385F"/>
    <w:rsid w:val="004E38FB"/>
    <w:rsid w:val="004E39E1"/>
    <w:rsid w:val="004E3A60"/>
    <w:rsid w:val="004E3AD5"/>
    <w:rsid w:val="004E3B0F"/>
    <w:rsid w:val="004E3E25"/>
    <w:rsid w:val="004E3EB0"/>
    <w:rsid w:val="004E3EF3"/>
    <w:rsid w:val="004E3F79"/>
    <w:rsid w:val="004E4040"/>
    <w:rsid w:val="004E404C"/>
    <w:rsid w:val="004E4082"/>
    <w:rsid w:val="004E40B0"/>
    <w:rsid w:val="004E41E5"/>
    <w:rsid w:val="004E4271"/>
    <w:rsid w:val="004E4329"/>
    <w:rsid w:val="004E435D"/>
    <w:rsid w:val="004E43E3"/>
    <w:rsid w:val="004E441C"/>
    <w:rsid w:val="004E44E6"/>
    <w:rsid w:val="004E45F5"/>
    <w:rsid w:val="004E4620"/>
    <w:rsid w:val="004E46AE"/>
    <w:rsid w:val="004E4858"/>
    <w:rsid w:val="004E496B"/>
    <w:rsid w:val="004E4A36"/>
    <w:rsid w:val="004E4B9D"/>
    <w:rsid w:val="004E4BDE"/>
    <w:rsid w:val="004E4C5B"/>
    <w:rsid w:val="004E4CDA"/>
    <w:rsid w:val="004E4D63"/>
    <w:rsid w:val="004E4D6B"/>
    <w:rsid w:val="004E4EA2"/>
    <w:rsid w:val="004E4FD6"/>
    <w:rsid w:val="004E5023"/>
    <w:rsid w:val="004E502D"/>
    <w:rsid w:val="004E5039"/>
    <w:rsid w:val="004E50CB"/>
    <w:rsid w:val="004E511E"/>
    <w:rsid w:val="004E5126"/>
    <w:rsid w:val="004E5166"/>
    <w:rsid w:val="004E521E"/>
    <w:rsid w:val="004E5268"/>
    <w:rsid w:val="004E52AE"/>
    <w:rsid w:val="004E53ED"/>
    <w:rsid w:val="004E5419"/>
    <w:rsid w:val="004E5430"/>
    <w:rsid w:val="004E5460"/>
    <w:rsid w:val="004E5472"/>
    <w:rsid w:val="004E5572"/>
    <w:rsid w:val="004E5622"/>
    <w:rsid w:val="004E58BE"/>
    <w:rsid w:val="004E58D9"/>
    <w:rsid w:val="004E595C"/>
    <w:rsid w:val="004E5974"/>
    <w:rsid w:val="004E5976"/>
    <w:rsid w:val="004E598D"/>
    <w:rsid w:val="004E5AC7"/>
    <w:rsid w:val="004E5BF9"/>
    <w:rsid w:val="004E5C08"/>
    <w:rsid w:val="004E5CA0"/>
    <w:rsid w:val="004E5D04"/>
    <w:rsid w:val="004E5F1A"/>
    <w:rsid w:val="004E5F9E"/>
    <w:rsid w:val="004E5FBA"/>
    <w:rsid w:val="004E5FF1"/>
    <w:rsid w:val="004E6031"/>
    <w:rsid w:val="004E603F"/>
    <w:rsid w:val="004E612B"/>
    <w:rsid w:val="004E615A"/>
    <w:rsid w:val="004E61CD"/>
    <w:rsid w:val="004E6271"/>
    <w:rsid w:val="004E629D"/>
    <w:rsid w:val="004E62DC"/>
    <w:rsid w:val="004E65F9"/>
    <w:rsid w:val="004E660C"/>
    <w:rsid w:val="004E6615"/>
    <w:rsid w:val="004E662A"/>
    <w:rsid w:val="004E6655"/>
    <w:rsid w:val="004E66E7"/>
    <w:rsid w:val="004E6769"/>
    <w:rsid w:val="004E67E6"/>
    <w:rsid w:val="004E68B3"/>
    <w:rsid w:val="004E68C1"/>
    <w:rsid w:val="004E6907"/>
    <w:rsid w:val="004E6928"/>
    <w:rsid w:val="004E69A6"/>
    <w:rsid w:val="004E6A78"/>
    <w:rsid w:val="004E6BB0"/>
    <w:rsid w:val="004E6CF4"/>
    <w:rsid w:val="004E6D68"/>
    <w:rsid w:val="004E6D8A"/>
    <w:rsid w:val="004E6DB8"/>
    <w:rsid w:val="004E6E38"/>
    <w:rsid w:val="004E6E45"/>
    <w:rsid w:val="004E6F58"/>
    <w:rsid w:val="004E6FF2"/>
    <w:rsid w:val="004E705A"/>
    <w:rsid w:val="004E706E"/>
    <w:rsid w:val="004E7075"/>
    <w:rsid w:val="004E7099"/>
    <w:rsid w:val="004E713C"/>
    <w:rsid w:val="004E721F"/>
    <w:rsid w:val="004E7296"/>
    <w:rsid w:val="004E73A3"/>
    <w:rsid w:val="004E73C4"/>
    <w:rsid w:val="004E73CE"/>
    <w:rsid w:val="004E73FD"/>
    <w:rsid w:val="004E741E"/>
    <w:rsid w:val="004E7429"/>
    <w:rsid w:val="004E7472"/>
    <w:rsid w:val="004E74D9"/>
    <w:rsid w:val="004E75A4"/>
    <w:rsid w:val="004E7617"/>
    <w:rsid w:val="004E769B"/>
    <w:rsid w:val="004E76E1"/>
    <w:rsid w:val="004E7736"/>
    <w:rsid w:val="004E7738"/>
    <w:rsid w:val="004E775B"/>
    <w:rsid w:val="004E7779"/>
    <w:rsid w:val="004E77F5"/>
    <w:rsid w:val="004E787A"/>
    <w:rsid w:val="004E788F"/>
    <w:rsid w:val="004E7961"/>
    <w:rsid w:val="004E79F2"/>
    <w:rsid w:val="004E7A28"/>
    <w:rsid w:val="004E7B27"/>
    <w:rsid w:val="004E7B5E"/>
    <w:rsid w:val="004E7BC1"/>
    <w:rsid w:val="004E7BD2"/>
    <w:rsid w:val="004E7CF4"/>
    <w:rsid w:val="004E7D9E"/>
    <w:rsid w:val="004E7DC5"/>
    <w:rsid w:val="004E7E20"/>
    <w:rsid w:val="004E7E4F"/>
    <w:rsid w:val="004E7F49"/>
    <w:rsid w:val="004E7F82"/>
    <w:rsid w:val="004F0036"/>
    <w:rsid w:val="004F00E8"/>
    <w:rsid w:val="004F01A7"/>
    <w:rsid w:val="004F03C0"/>
    <w:rsid w:val="004F03C7"/>
    <w:rsid w:val="004F03EA"/>
    <w:rsid w:val="004F040B"/>
    <w:rsid w:val="004F0438"/>
    <w:rsid w:val="004F04DB"/>
    <w:rsid w:val="004F052B"/>
    <w:rsid w:val="004F056C"/>
    <w:rsid w:val="004F05BF"/>
    <w:rsid w:val="004F06C5"/>
    <w:rsid w:val="004F06D0"/>
    <w:rsid w:val="004F06DC"/>
    <w:rsid w:val="004F06E8"/>
    <w:rsid w:val="004F06F3"/>
    <w:rsid w:val="004F0703"/>
    <w:rsid w:val="004F07CC"/>
    <w:rsid w:val="004F07EE"/>
    <w:rsid w:val="004F081B"/>
    <w:rsid w:val="004F0999"/>
    <w:rsid w:val="004F0A97"/>
    <w:rsid w:val="004F0B4A"/>
    <w:rsid w:val="004F0B63"/>
    <w:rsid w:val="004F0B93"/>
    <w:rsid w:val="004F0D16"/>
    <w:rsid w:val="004F0E9D"/>
    <w:rsid w:val="004F0EB8"/>
    <w:rsid w:val="004F1020"/>
    <w:rsid w:val="004F103C"/>
    <w:rsid w:val="004F10AA"/>
    <w:rsid w:val="004F1355"/>
    <w:rsid w:val="004F1394"/>
    <w:rsid w:val="004F1423"/>
    <w:rsid w:val="004F1458"/>
    <w:rsid w:val="004F14C7"/>
    <w:rsid w:val="004F14CA"/>
    <w:rsid w:val="004F1517"/>
    <w:rsid w:val="004F1541"/>
    <w:rsid w:val="004F1544"/>
    <w:rsid w:val="004F1584"/>
    <w:rsid w:val="004F15D7"/>
    <w:rsid w:val="004F1661"/>
    <w:rsid w:val="004F16AD"/>
    <w:rsid w:val="004F16BD"/>
    <w:rsid w:val="004F1719"/>
    <w:rsid w:val="004F1991"/>
    <w:rsid w:val="004F1B50"/>
    <w:rsid w:val="004F1C61"/>
    <w:rsid w:val="004F1DB8"/>
    <w:rsid w:val="004F1DC1"/>
    <w:rsid w:val="004F1E5A"/>
    <w:rsid w:val="004F1E66"/>
    <w:rsid w:val="004F2032"/>
    <w:rsid w:val="004F204C"/>
    <w:rsid w:val="004F208A"/>
    <w:rsid w:val="004F2104"/>
    <w:rsid w:val="004F2109"/>
    <w:rsid w:val="004F216A"/>
    <w:rsid w:val="004F223C"/>
    <w:rsid w:val="004F2243"/>
    <w:rsid w:val="004F2372"/>
    <w:rsid w:val="004F23C3"/>
    <w:rsid w:val="004F23DC"/>
    <w:rsid w:val="004F244E"/>
    <w:rsid w:val="004F2484"/>
    <w:rsid w:val="004F2497"/>
    <w:rsid w:val="004F249A"/>
    <w:rsid w:val="004F249B"/>
    <w:rsid w:val="004F249E"/>
    <w:rsid w:val="004F2521"/>
    <w:rsid w:val="004F2772"/>
    <w:rsid w:val="004F286B"/>
    <w:rsid w:val="004F29C1"/>
    <w:rsid w:val="004F2AA2"/>
    <w:rsid w:val="004F2BA3"/>
    <w:rsid w:val="004F2BD1"/>
    <w:rsid w:val="004F2D2C"/>
    <w:rsid w:val="004F2D3B"/>
    <w:rsid w:val="004F2F62"/>
    <w:rsid w:val="004F31B6"/>
    <w:rsid w:val="004F332A"/>
    <w:rsid w:val="004F33DE"/>
    <w:rsid w:val="004F340C"/>
    <w:rsid w:val="004F34CF"/>
    <w:rsid w:val="004F3537"/>
    <w:rsid w:val="004F35D2"/>
    <w:rsid w:val="004F3720"/>
    <w:rsid w:val="004F3818"/>
    <w:rsid w:val="004F3AB3"/>
    <w:rsid w:val="004F3AD0"/>
    <w:rsid w:val="004F3AEE"/>
    <w:rsid w:val="004F3BCE"/>
    <w:rsid w:val="004F3C0C"/>
    <w:rsid w:val="004F3DAE"/>
    <w:rsid w:val="004F40C7"/>
    <w:rsid w:val="004F40D8"/>
    <w:rsid w:val="004F413F"/>
    <w:rsid w:val="004F416D"/>
    <w:rsid w:val="004F419B"/>
    <w:rsid w:val="004F41A7"/>
    <w:rsid w:val="004F42FD"/>
    <w:rsid w:val="004F4362"/>
    <w:rsid w:val="004F4478"/>
    <w:rsid w:val="004F44AF"/>
    <w:rsid w:val="004F44B4"/>
    <w:rsid w:val="004F44D0"/>
    <w:rsid w:val="004F44E1"/>
    <w:rsid w:val="004F4540"/>
    <w:rsid w:val="004F4597"/>
    <w:rsid w:val="004F45C8"/>
    <w:rsid w:val="004F4691"/>
    <w:rsid w:val="004F46B0"/>
    <w:rsid w:val="004F46B7"/>
    <w:rsid w:val="004F46EF"/>
    <w:rsid w:val="004F46F1"/>
    <w:rsid w:val="004F47F0"/>
    <w:rsid w:val="004F47F6"/>
    <w:rsid w:val="004F4971"/>
    <w:rsid w:val="004F49CC"/>
    <w:rsid w:val="004F4A0C"/>
    <w:rsid w:val="004F4A32"/>
    <w:rsid w:val="004F4A54"/>
    <w:rsid w:val="004F4A63"/>
    <w:rsid w:val="004F4A7C"/>
    <w:rsid w:val="004F4A8D"/>
    <w:rsid w:val="004F4C1D"/>
    <w:rsid w:val="004F4C69"/>
    <w:rsid w:val="004F4E84"/>
    <w:rsid w:val="004F4F8D"/>
    <w:rsid w:val="004F4FB2"/>
    <w:rsid w:val="004F5235"/>
    <w:rsid w:val="004F52E7"/>
    <w:rsid w:val="004F53F2"/>
    <w:rsid w:val="004F545F"/>
    <w:rsid w:val="004F54F3"/>
    <w:rsid w:val="004F5529"/>
    <w:rsid w:val="004F552F"/>
    <w:rsid w:val="004F562C"/>
    <w:rsid w:val="004F56D4"/>
    <w:rsid w:val="004F570A"/>
    <w:rsid w:val="004F587C"/>
    <w:rsid w:val="004F594C"/>
    <w:rsid w:val="004F59A0"/>
    <w:rsid w:val="004F59D1"/>
    <w:rsid w:val="004F59D7"/>
    <w:rsid w:val="004F5B3B"/>
    <w:rsid w:val="004F5BD9"/>
    <w:rsid w:val="004F5BE9"/>
    <w:rsid w:val="004F5C0C"/>
    <w:rsid w:val="004F5C70"/>
    <w:rsid w:val="004F5CB5"/>
    <w:rsid w:val="004F5CF1"/>
    <w:rsid w:val="004F5E7A"/>
    <w:rsid w:val="004F5EEA"/>
    <w:rsid w:val="004F5F47"/>
    <w:rsid w:val="004F5F62"/>
    <w:rsid w:val="004F5F64"/>
    <w:rsid w:val="004F600C"/>
    <w:rsid w:val="004F60D1"/>
    <w:rsid w:val="004F60D5"/>
    <w:rsid w:val="004F60D7"/>
    <w:rsid w:val="004F6169"/>
    <w:rsid w:val="004F62CB"/>
    <w:rsid w:val="004F62FA"/>
    <w:rsid w:val="004F64E5"/>
    <w:rsid w:val="004F6584"/>
    <w:rsid w:val="004F66BF"/>
    <w:rsid w:val="004F66E8"/>
    <w:rsid w:val="004F6717"/>
    <w:rsid w:val="004F67BB"/>
    <w:rsid w:val="004F67F0"/>
    <w:rsid w:val="004F6831"/>
    <w:rsid w:val="004F6843"/>
    <w:rsid w:val="004F687C"/>
    <w:rsid w:val="004F68E8"/>
    <w:rsid w:val="004F6926"/>
    <w:rsid w:val="004F693B"/>
    <w:rsid w:val="004F6952"/>
    <w:rsid w:val="004F6A45"/>
    <w:rsid w:val="004F6AA9"/>
    <w:rsid w:val="004F6AC6"/>
    <w:rsid w:val="004F6BD1"/>
    <w:rsid w:val="004F6BEF"/>
    <w:rsid w:val="004F6C47"/>
    <w:rsid w:val="004F6C62"/>
    <w:rsid w:val="004F6CBB"/>
    <w:rsid w:val="004F6D58"/>
    <w:rsid w:val="004F6DBD"/>
    <w:rsid w:val="004F6EB4"/>
    <w:rsid w:val="004F6EC2"/>
    <w:rsid w:val="004F6F2B"/>
    <w:rsid w:val="004F6FBE"/>
    <w:rsid w:val="004F6FE1"/>
    <w:rsid w:val="004F702C"/>
    <w:rsid w:val="004F70C6"/>
    <w:rsid w:val="004F7129"/>
    <w:rsid w:val="004F713A"/>
    <w:rsid w:val="004F743C"/>
    <w:rsid w:val="004F7538"/>
    <w:rsid w:val="004F7580"/>
    <w:rsid w:val="004F762E"/>
    <w:rsid w:val="004F76D5"/>
    <w:rsid w:val="004F7766"/>
    <w:rsid w:val="004F7873"/>
    <w:rsid w:val="004F789C"/>
    <w:rsid w:val="004F78FC"/>
    <w:rsid w:val="004F791F"/>
    <w:rsid w:val="004F79CE"/>
    <w:rsid w:val="004F79D3"/>
    <w:rsid w:val="004F7A0F"/>
    <w:rsid w:val="004F7AAD"/>
    <w:rsid w:val="004F7AB7"/>
    <w:rsid w:val="004F7CC2"/>
    <w:rsid w:val="004F7D15"/>
    <w:rsid w:val="004F7DC5"/>
    <w:rsid w:val="004F7E2A"/>
    <w:rsid w:val="0050002F"/>
    <w:rsid w:val="0050007B"/>
    <w:rsid w:val="0050007C"/>
    <w:rsid w:val="005000C7"/>
    <w:rsid w:val="0050011D"/>
    <w:rsid w:val="00500126"/>
    <w:rsid w:val="00500137"/>
    <w:rsid w:val="00500146"/>
    <w:rsid w:val="00500210"/>
    <w:rsid w:val="0050028C"/>
    <w:rsid w:val="005002ED"/>
    <w:rsid w:val="00500384"/>
    <w:rsid w:val="00500436"/>
    <w:rsid w:val="00500457"/>
    <w:rsid w:val="005004E7"/>
    <w:rsid w:val="005004F4"/>
    <w:rsid w:val="00500550"/>
    <w:rsid w:val="005005A8"/>
    <w:rsid w:val="0050062D"/>
    <w:rsid w:val="00500715"/>
    <w:rsid w:val="005007B0"/>
    <w:rsid w:val="00500896"/>
    <w:rsid w:val="005008CC"/>
    <w:rsid w:val="005008D4"/>
    <w:rsid w:val="00500913"/>
    <w:rsid w:val="00500918"/>
    <w:rsid w:val="00500965"/>
    <w:rsid w:val="005009AD"/>
    <w:rsid w:val="005009C0"/>
    <w:rsid w:val="00500B27"/>
    <w:rsid w:val="00500BEC"/>
    <w:rsid w:val="00500D26"/>
    <w:rsid w:val="00500E4B"/>
    <w:rsid w:val="00500FE5"/>
    <w:rsid w:val="005011B3"/>
    <w:rsid w:val="0050130C"/>
    <w:rsid w:val="0050135A"/>
    <w:rsid w:val="005013D5"/>
    <w:rsid w:val="00501419"/>
    <w:rsid w:val="00501510"/>
    <w:rsid w:val="00501658"/>
    <w:rsid w:val="00501683"/>
    <w:rsid w:val="0050169D"/>
    <w:rsid w:val="0050179B"/>
    <w:rsid w:val="00501801"/>
    <w:rsid w:val="0050183C"/>
    <w:rsid w:val="00501857"/>
    <w:rsid w:val="00501887"/>
    <w:rsid w:val="005018E3"/>
    <w:rsid w:val="00501A75"/>
    <w:rsid w:val="00501AEF"/>
    <w:rsid w:val="00501CCF"/>
    <w:rsid w:val="00501D70"/>
    <w:rsid w:val="00502011"/>
    <w:rsid w:val="0050202B"/>
    <w:rsid w:val="00502057"/>
    <w:rsid w:val="005020A8"/>
    <w:rsid w:val="00502124"/>
    <w:rsid w:val="005021AB"/>
    <w:rsid w:val="005021CB"/>
    <w:rsid w:val="00502266"/>
    <w:rsid w:val="00502282"/>
    <w:rsid w:val="005022BE"/>
    <w:rsid w:val="005023BC"/>
    <w:rsid w:val="005023FE"/>
    <w:rsid w:val="005025BB"/>
    <w:rsid w:val="0050261F"/>
    <w:rsid w:val="0050271A"/>
    <w:rsid w:val="0050273E"/>
    <w:rsid w:val="00502A2D"/>
    <w:rsid w:val="00502A64"/>
    <w:rsid w:val="00502A97"/>
    <w:rsid w:val="00502AD9"/>
    <w:rsid w:val="00502B11"/>
    <w:rsid w:val="00502B14"/>
    <w:rsid w:val="00502B61"/>
    <w:rsid w:val="00502BF6"/>
    <w:rsid w:val="00502D5F"/>
    <w:rsid w:val="00502DCF"/>
    <w:rsid w:val="00502E65"/>
    <w:rsid w:val="00502E9E"/>
    <w:rsid w:val="00502EE7"/>
    <w:rsid w:val="00502F4F"/>
    <w:rsid w:val="00502F51"/>
    <w:rsid w:val="00503051"/>
    <w:rsid w:val="005030CE"/>
    <w:rsid w:val="005030DE"/>
    <w:rsid w:val="005031E6"/>
    <w:rsid w:val="00503286"/>
    <w:rsid w:val="005032EF"/>
    <w:rsid w:val="005033A6"/>
    <w:rsid w:val="005034BE"/>
    <w:rsid w:val="005034F8"/>
    <w:rsid w:val="005035DE"/>
    <w:rsid w:val="0050360F"/>
    <w:rsid w:val="0050369E"/>
    <w:rsid w:val="005036D2"/>
    <w:rsid w:val="00503707"/>
    <w:rsid w:val="0050373B"/>
    <w:rsid w:val="00503777"/>
    <w:rsid w:val="0050382D"/>
    <w:rsid w:val="00503887"/>
    <w:rsid w:val="005038AA"/>
    <w:rsid w:val="005038FE"/>
    <w:rsid w:val="005038FF"/>
    <w:rsid w:val="00503A50"/>
    <w:rsid w:val="00503AE6"/>
    <w:rsid w:val="00503BF9"/>
    <w:rsid w:val="00503C01"/>
    <w:rsid w:val="00503C8E"/>
    <w:rsid w:val="00503CE1"/>
    <w:rsid w:val="00503D97"/>
    <w:rsid w:val="00503E51"/>
    <w:rsid w:val="00503EE6"/>
    <w:rsid w:val="00503FB7"/>
    <w:rsid w:val="00504001"/>
    <w:rsid w:val="0050401D"/>
    <w:rsid w:val="005040E2"/>
    <w:rsid w:val="00504222"/>
    <w:rsid w:val="0050422D"/>
    <w:rsid w:val="0050426C"/>
    <w:rsid w:val="005042F9"/>
    <w:rsid w:val="00504377"/>
    <w:rsid w:val="00504384"/>
    <w:rsid w:val="00504487"/>
    <w:rsid w:val="005045EB"/>
    <w:rsid w:val="0050460C"/>
    <w:rsid w:val="005046F1"/>
    <w:rsid w:val="00504717"/>
    <w:rsid w:val="0050479B"/>
    <w:rsid w:val="005047DD"/>
    <w:rsid w:val="005047FA"/>
    <w:rsid w:val="005048EF"/>
    <w:rsid w:val="005049A8"/>
    <w:rsid w:val="00504A8B"/>
    <w:rsid w:val="00504AC9"/>
    <w:rsid w:val="00504B55"/>
    <w:rsid w:val="00504BF1"/>
    <w:rsid w:val="00504C15"/>
    <w:rsid w:val="00504C58"/>
    <w:rsid w:val="00504CF4"/>
    <w:rsid w:val="00504D86"/>
    <w:rsid w:val="00504DA1"/>
    <w:rsid w:val="00504EEA"/>
    <w:rsid w:val="00504FAB"/>
    <w:rsid w:val="005051EF"/>
    <w:rsid w:val="00505398"/>
    <w:rsid w:val="0050541A"/>
    <w:rsid w:val="0050542D"/>
    <w:rsid w:val="005054D1"/>
    <w:rsid w:val="005054FE"/>
    <w:rsid w:val="0050558E"/>
    <w:rsid w:val="005055CE"/>
    <w:rsid w:val="0050563E"/>
    <w:rsid w:val="00505691"/>
    <w:rsid w:val="005056AF"/>
    <w:rsid w:val="005056FB"/>
    <w:rsid w:val="00505716"/>
    <w:rsid w:val="00505725"/>
    <w:rsid w:val="005057B6"/>
    <w:rsid w:val="005057FE"/>
    <w:rsid w:val="005058F5"/>
    <w:rsid w:val="0050595D"/>
    <w:rsid w:val="005059BE"/>
    <w:rsid w:val="00505A19"/>
    <w:rsid w:val="00505A59"/>
    <w:rsid w:val="00505B2D"/>
    <w:rsid w:val="00505B64"/>
    <w:rsid w:val="00505BB8"/>
    <w:rsid w:val="00505C20"/>
    <w:rsid w:val="00505C2B"/>
    <w:rsid w:val="00505CAC"/>
    <w:rsid w:val="00505CCA"/>
    <w:rsid w:val="00505D0F"/>
    <w:rsid w:val="00505E65"/>
    <w:rsid w:val="00505E9D"/>
    <w:rsid w:val="0050604C"/>
    <w:rsid w:val="005060CF"/>
    <w:rsid w:val="00506154"/>
    <w:rsid w:val="00506218"/>
    <w:rsid w:val="0050629A"/>
    <w:rsid w:val="005062AF"/>
    <w:rsid w:val="00506500"/>
    <w:rsid w:val="00506545"/>
    <w:rsid w:val="0050655E"/>
    <w:rsid w:val="00506620"/>
    <w:rsid w:val="00506696"/>
    <w:rsid w:val="00506725"/>
    <w:rsid w:val="0050673B"/>
    <w:rsid w:val="00506741"/>
    <w:rsid w:val="00506778"/>
    <w:rsid w:val="005067ED"/>
    <w:rsid w:val="00506815"/>
    <w:rsid w:val="0050685F"/>
    <w:rsid w:val="0050689D"/>
    <w:rsid w:val="005068D3"/>
    <w:rsid w:val="00506928"/>
    <w:rsid w:val="00506965"/>
    <w:rsid w:val="0050697B"/>
    <w:rsid w:val="005069CC"/>
    <w:rsid w:val="00506ABE"/>
    <w:rsid w:val="00506B3F"/>
    <w:rsid w:val="00506B60"/>
    <w:rsid w:val="00506BC7"/>
    <w:rsid w:val="00506BEF"/>
    <w:rsid w:val="00506C4B"/>
    <w:rsid w:val="00506D24"/>
    <w:rsid w:val="00506D3A"/>
    <w:rsid w:val="00506D90"/>
    <w:rsid w:val="00506E9F"/>
    <w:rsid w:val="005070DD"/>
    <w:rsid w:val="00507179"/>
    <w:rsid w:val="005071E6"/>
    <w:rsid w:val="0050724D"/>
    <w:rsid w:val="0050727F"/>
    <w:rsid w:val="0050728E"/>
    <w:rsid w:val="005072B4"/>
    <w:rsid w:val="005072F7"/>
    <w:rsid w:val="00507340"/>
    <w:rsid w:val="00507407"/>
    <w:rsid w:val="0050756A"/>
    <w:rsid w:val="005077B1"/>
    <w:rsid w:val="005078C2"/>
    <w:rsid w:val="0050795E"/>
    <w:rsid w:val="00507AE9"/>
    <w:rsid w:val="00507D41"/>
    <w:rsid w:val="00507D48"/>
    <w:rsid w:val="00507DD5"/>
    <w:rsid w:val="00507F7B"/>
    <w:rsid w:val="00507FE3"/>
    <w:rsid w:val="0050891B"/>
    <w:rsid w:val="005100EA"/>
    <w:rsid w:val="005101D5"/>
    <w:rsid w:val="00510204"/>
    <w:rsid w:val="005102DA"/>
    <w:rsid w:val="00510309"/>
    <w:rsid w:val="00510370"/>
    <w:rsid w:val="0051037E"/>
    <w:rsid w:val="005105C0"/>
    <w:rsid w:val="0051066F"/>
    <w:rsid w:val="005106B4"/>
    <w:rsid w:val="00510756"/>
    <w:rsid w:val="00510801"/>
    <w:rsid w:val="005108D7"/>
    <w:rsid w:val="005108F9"/>
    <w:rsid w:val="005109DF"/>
    <w:rsid w:val="00510A3D"/>
    <w:rsid w:val="00510AB3"/>
    <w:rsid w:val="00510AD3"/>
    <w:rsid w:val="00510B0B"/>
    <w:rsid w:val="00510C24"/>
    <w:rsid w:val="00510C70"/>
    <w:rsid w:val="00510CB9"/>
    <w:rsid w:val="00510E7E"/>
    <w:rsid w:val="00510F79"/>
    <w:rsid w:val="0051102E"/>
    <w:rsid w:val="005110B1"/>
    <w:rsid w:val="005110CA"/>
    <w:rsid w:val="005110D1"/>
    <w:rsid w:val="00511216"/>
    <w:rsid w:val="0051124E"/>
    <w:rsid w:val="0051129B"/>
    <w:rsid w:val="005112C1"/>
    <w:rsid w:val="00511309"/>
    <w:rsid w:val="0051130D"/>
    <w:rsid w:val="0051137D"/>
    <w:rsid w:val="005113F6"/>
    <w:rsid w:val="0051154A"/>
    <w:rsid w:val="005116D8"/>
    <w:rsid w:val="005117B8"/>
    <w:rsid w:val="005117CD"/>
    <w:rsid w:val="005117E0"/>
    <w:rsid w:val="0051182C"/>
    <w:rsid w:val="00511860"/>
    <w:rsid w:val="005118E3"/>
    <w:rsid w:val="00511A31"/>
    <w:rsid w:val="00511A7A"/>
    <w:rsid w:val="00511A98"/>
    <w:rsid w:val="00511DE9"/>
    <w:rsid w:val="00511E7A"/>
    <w:rsid w:val="00511E95"/>
    <w:rsid w:val="00511ED5"/>
    <w:rsid w:val="00511EEC"/>
    <w:rsid w:val="005120DC"/>
    <w:rsid w:val="0051217A"/>
    <w:rsid w:val="005121CC"/>
    <w:rsid w:val="00512225"/>
    <w:rsid w:val="00512247"/>
    <w:rsid w:val="005122CA"/>
    <w:rsid w:val="005122D2"/>
    <w:rsid w:val="005123C6"/>
    <w:rsid w:val="00512463"/>
    <w:rsid w:val="0051260D"/>
    <w:rsid w:val="00512690"/>
    <w:rsid w:val="005128C3"/>
    <w:rsid w:val="00512B13"/>
    <w:rsid w:val="00512B76"/>
    <w:rsid w:val="00512BBE"/>
    <w:rsid w:val="00512BFD"/>
    <w:rsid w:val="00512C97"/>
    <w:rsid w:val="00512D0E"/>
    <w:rsid w:val="00512DCA"/>
    <w:rsid w:val="00512E0A"/>
    <w:rsid w:val="00512E3C"/>
    <w:rsid w:val="00512E3E"/>
    <w:rsid w:val="00512E98"/>
    <w:rsid w:val="00512F64"/>
    <w:rsid w:val="00512F66"/>
    <w:rsid w:val="00512FAD"/>
    <w:rsid w:val="00512FEC"/>
    <w:rsid w:val="005131AE"/>
    <w:rsid w:val="005131AF"/>
    <w:rsid w:val="00513221"/>
    <w:rsid w:val="00513241"/>
    <w:rsid w:val="00513290"/>
    <w:rsid w:val="005132B4"/>
    <w:rsid w:val="00513328"/>
    <w:rsid w:val="0051341D"/>
    <w:rsid w:val="00513497"/>
    <w:rsid w:val="0051352D"/>
    <w:rsid w:val="00513549"/>
    <w:rsid w:val="00513579"/>
    <w:rsid w:val="005135A5"/>
    <w:rsid w:val="00513618"/>
    <w:rsid w:val="00513674"/>
    <w:rsid w:val="0051367C"/>
    <w:rsid w:val="005136CA"/>
    <w:rsid w:val="00513758"/>
    <w:rsid w:val="005137AC"/>
    <w:rsid w:val="00513825"/>
    <w:rsid w:val="00513945"/>
    <w:rsid w:val="00513A2A"/>
    <w:rsid w:val="00513B10"/>
    <w:rsid w:val="00513B89"/>
    <w:rsid w:val="00513BF1"/>
    <w:rsid w:val="00513C24"/>
    <w:rsid w:val="00513CEE"/>
    <w:rsid w:val="00513F4E"/>
    <w:rsid w:val="00513FF7"/>
    <w:rsid w:val="00514025"/>
    <w:rsid w:val="00514170"/>
    <w:rsid w:val="00514206"/>
    <w:rsid w:val="0051430E"/>
    <w:rsid w:val="00514353"/>
    <w:rsid w:val="00514426"/>
    <w:rsid w:val="0051445C"/>
    <w:rsid w:val="0051447E"/>
    <w:rsid w:val="0051469A"/>
    <w:rsid w:val="0051474C"/>
    <w:rsid w:val="00514889"/>
    <w:rsid w:val="005148BF"/>
    <w:rsid w:val="005148C0"/>
    <w:rsid w:val="005149ED"/>
    <w:rsid w:val="00514B15"/>
    <w:rsid w:val="00514DAC"/>
    <w:rsid w:val="00514DED"/>
    <w:rsid w:val="00514E67"/>
    <w:rsid w:val="00515093"/>
    <w:rsid w:val="00515208"/>
    <w:rsid w:val="00515251"/>
    <w:rsid w:val="00515280"/>
    <w:rsid w:val="0051533E"/>
    <w:rsid w:val="0051548E"/>
    <w:rsid w:val="00515513"/>
    <w:rsid w:val="00515531"/>
    <w:rsid w:val="005155A6"/>
    <w:rsid w:val="005155C7"/>
    <w:rsid w:val="0051560C"/>
    <w:rsid w:val="00515660"/>
    <w:rsid w:val="00515688"/>
    <w:rsid w:val="005157CE"/>
    <w:rsid w:val="00515909"/>
    <w:rsid w:val="00515916"/>
    <w:rsid w:val="00515998"/>
    <w:rsid w:val="005159AD"/>
    <w:rsid w:val="00515A06"/>
    <w:rsid w:val="00515A34"/>
    <w:rsid w:val="00515A6B"/>
    <w:rsid w:val="00515AB2"/>
    <w:rsid w:val="00515B5E"/>
    <w:rsid w:val="00515C51"/>
    <w:rsid w:val="00515C5F"/>
    <w:rsid w:val="00515DB4"/>
    <w:rsid w:val="00515EDC"/>
    <w:rsid w:val="00515F4B"/>
    <w:rsid w:val="00515F5A"/>
    <w:rsid w:val="00515FE4"/>
    <w:rsid w:val="00516053"/>
    <w:rsid w:val="005160C8"/>
    <w:rsid w:val="00516103"/>
    <w:rsid w:val="00516219"/>
    <w:rsid w:val="005162B5"/>
    <w:rsid w:val="005162B6"/>
    <w:rsid w:val="005162EA"/>
    <w:rsid w:val="005163C0"/>
    <w:rsid w:val="00516532"/>
    <w:rsid w:val="005166E4"/>
    <w:rsid w:val="005167B5"/>
    <w:rsid w:val="00516961"/>
    <w:rsid w:val="0051698C"/>
    <w:rsid w:val="00516B0D"/>
    <w:rsid w:val="00516BAF"/>
    <w:rsid w:val="00516BFD"/>
    <w:rsid w:val="00516C06"/>
    <w:rsid w:val="00516C19"/>
    <w:rsid w:val="00516C37"/>
    <w:rsid w:val="00516CDF"/>
    <w:rsid w:val="00516E7A"/>
    <w:rsid w:val="00516F5E"/>
    <w:rsid w:val="0051715C"/>
    <w:rsid w:val="00517162"/>
    <w:rsid w:val="00517169"/>
    <w:rsid w:val="0051718E"/>
    <w:rsid w:val="005171F2"/>
    <w:rsid w:val="0051720C"/>
    <w:rsid w:val="005173A2"/>
    <w:rsid w:val="00517445"/>
    <w:rsid w:val="0051745F"/>
    <w:rsid w:val="005174C9"/>
    <w:rsid w:val="00517576"/>
    <w:rsid w:val="00517602"/>
    <w:rsid w:val="00517620"/>
    <w:rsid w:val="0051762D"/>
    <w:rsid w:val="0051764C"/>
    <w:rsid w:val="00517674"/>
    <w:rsid w:val="005177B6"/>
    <w:rsid w:val="005177D9"/>
    <w:rsid w:val="00517851"/>
    <w:rsid w:val="005179CD"/>
    <w:rsid w:val="005179F5"/>
    <w:rsid w:val="00517AB2"/>
    <w:rsid w:val="00517C0C"/>
    <w:rsid w:val="00517C58"/>
    <w:rsid w:val="00517DF5"/>
    <w:rsid w:val="00517E31"/>
    <w:rsid w:val="00517E6D"/>
    <w:rsid w:val="00517EAF"/>
    <w:rsid w:val="00517F1B"/>
    <w:rsid w:val="00517FC4"/>
    <w:rsid w:val="005200B8"/>
    <w:rsid w:val="005200CC"/>
    <w:rsid w:val="00520156"/>
    <w:rsid w:val="005201D0"/>
    <w:rsid w:val="00520206"/>
    <w:rsid w:val="00520243"/>
    <w:rsid w:val="00520249"/>
    <w:rsid w:val="0052038F"/>
    <w:rsid w:val="005203C7"/>
    <w:rsid w:val="0052040B"/>
    <w:rsid w:val="00520420"/>
    <w:rsid w:val="00520448"/>
    <w:rsid w:val="00520465"/>
    <w:rsid w:val="00520471"/>
    <w:rsid w:val="00520480"/>
    <w:rsid w:val="0052059F"/>
    <w:rsid w:val="005205B0"/>
    <w:rsid w:val="00520650"/>
    <w:rsid w:val="00520661"/>
    <w:rsid w:val="005206DF"/>
    <w:rsid w:val="0052071C"/>
    <w:rsid w:val="005207A2"/>
    <w:rsid w:val="005207DD"/>
    <w:rsid w:val="005207E5"/>
    <w:rsid w:val="005207EA"/>
    <w:rsid w:val="005209C2"/>
    <w:rsid w:val="00520B61"/>
    <w:rsid w:val="00520B6D"/>
    <w:rsid w:val="00520C63"/>
    <w:rsid w:val="00520D43"/>
    <w:rsid w:val="00520E56"/>
    <w:rsid w:val="00520F50"/>
    <w:rsid w:val="00521011"/>
    <w:rsid w:val="00521019"/>
    <w:rsid w:val="00521024"/>
    <w:rsid w:val="0052113A"/>
    <w:rsid w:val="005211E7"/>
    <w:rsid w:val="005212AF"/>
    <w:rsid w:val="0052151C"/>
    <w:rsid w:val="00521564"/>
    <w:rsid w:val="005215AE"/>
    <w:rsid w:val="005215B0"/>
    <w:rsid w:val="00521659"/>
    <w:rsid w:val="005216BD"/>
    <w:rsid w:val="005216D7"/>
    <w:rsid w:val="00521784"/>
    <w:rsid w:val="005217EF"/>
    <w:rsid w:val="00521880"/>
    <w:rsid w:val="005218B1"/>
    <w:rsid w:val="005218C3"/>
    <w:rsid w:val="005218F3"/>
    <w:rsid w:val="0052192E"/>
    <w:rsid w:val="0052197F"/>
    <w:rsid w:val="00521A3A"/>
    <w:rsid w:val="00521A8C"/>
    <w:rsid w:val="00521B06"/>
    <w:rsid w:val="00521B0D"/>
    <w:rsid w:val="00521BDB"/>
    <w:rsid w:val="00521C30"/>
    <w:rsid w:val="00521D75"/>
    <w:rsid w:val="00521D78"/>
    <w:rsid w:val="00521D81"/>
    <w:rsid w:val="00521E14"/>
    <w:rsid w:val="00521E37"/>
    <w:rsid w:val="00521F0B"/>
    <w:rsid w:val="00521F53"/>
    <w:rsid w:val="005220B0"/>
    <w:rsid w:val="00522141"/>
    <w:rsid w:val="00522191"/>
    <w:rsid w:val="0052226B"/>
    <w:rsid w:val="00522384"/>
    <w:rsid w:val="005223D6"/>
    <w:rsid w:val="005224F5"/>
    <w:rsid w:val="0052251B"/>
    <w:rsid w:val="00522530"/>
    <w:rsid w:val="0052253A"/>
    <w:rsid w:val="0052254A"/>
    <w:rsid w:val="00522581"/>
    <w:rsid w:val="00522589"/>
    <w:rsid w:val="00522699"/>
    <w:rsid w:val="005226AE"/>
    <w:rsid w:val="005226D9"/>
    <w:rsid w:val="005226EA"/>
    <w:rsid w:val="00522795"/>
    <w:rsid w:val="0052293F"/>
    <w:rsid w:val="00522A2C"/>
    <w:rsid w:val="00522B0A"/>
    <w:rsid w:val="00522D95"/>
    <w:rsid w:val="00522DEB"/>
    <w:rsid w:val="00522E24"/>
    <w:rsid w:val="00522E63"/>
    <w:rsid w:val="00522E9C"/>
    <w:rsid w:val="00522F07"/>
    <w:rsid w:val="00522F35"/>
    <w:rsid w:val="00523043"/>
    <w:rsid w:val="00523097"/>
    <w:rsid w:val="005230C4"/>
    <w:rsid w:val="0052310D"/>
    <w:rsid w:val="005231C4"/>
    <w:rsid w:val="005231C5"/>
    <w:rsid w:val="005231D4"/>
    <w:rsid w:val="0052324A"/>
    <w:rsid w:val="005233FC"/>
    <w:rsid w:val="005234AF"/>
    <w:rsid w:val="00523509"/>
    <w:rsid w:val="0052353B"/>
    <w:rsid w:val="005235B1"/>
    <w:rsid w:val="005235B3"/>
    <w:rsid w:val="00523680"/>
    <w:rsid w:val="005236AE"/>
    <w:rsid w:val="00523709"/>
    <w:rsid w:val="00523727"/>
    <w:rsid w:val="005237B4"/>
    <w:rsid w:val="00523854"/>
    <w:rsid w:val="005238A7"/>
    <w:rsid w:val="0052397D"/>
    <w:rsid w:val="00523A29"/>
    <w:rsid w:val="00523A2F"/>
    <w:rsid w:val="00523AC2"/>
    <w:rsid w:val="00523B34"/>
    <w:rsid w:val="00523C57"/>
    <w:rsid w:val="00523C98"/>
    <w:rsid w:val="00523D20"/>
    <w:rsid w:val="00523F03"/>
    <w:rsid w:val="00523F53"/>
    <w:rsid w:val="00523F9F"/>
    <w:rsid w:val="00524075"/>
    <w:rsid w:val="005240BD"/>
    <w:rsid w:val="005240EE"/>
    <w:rsid w:val="00524200"/>
    <w:rsid w:val="00524243"/>
    <w:rsid w:val="005242DD"/>
    <w:rsid w:val="0052433A"/>
    <w:rsid w:val="0052436B"/>
    <w:rsid w:val="0052439D"/>
    <w:rsid w:val="00524410"/>
    <w:rsid w:val="00524430"/>
    <w:rsid w:val="005244D6"/>
    <w:rsid w:val="00524543"/>
    <w:rsid w:val="005245A2"/>
    <w:rsid w:val="00524611"/>
    <w:rsid w:val="0052469E"/>
    <w:rsid w:val="005247C3"/>
    <w:rsid w:val="00524847"/>
    <w:rsid w:val="0052487D"/>
    <w:rsid w:val="005248AD"/>
    <w:rsid w:val="005248D8"/>
    <w:rsid w:val="00524938"/>
    <w:rsid w:val="0052495E"/>
    <w:rsid w:val="00524B25"/>
    <w:rsid w:val="00524B35"/>
    <w:rsid w:val="00524B46"/>
    <w:rsid w:val="00524B65"/>
    <w:rsid w:val="00524BC1"/>
    <w:rsid w:val="00524D43"/>
    <w:rsid w:val="00524DAF"/>
    <w:rsid w:val="00524DDC"/>
    <w:rsid w:val="00524F58"/>
    <w:rsid w:val="00524F85"/>
    <w:rsid w:val="00525125"/>
    <w:rsid w:val="005251D2"/>
    <w:rsid w:val="0052527C"/>
    <w:rsid w:val="0052539E"/>
    <w:rsid w:val="0052547F"/>
    <w:rsid w:val="005254A8"/>
    <w:rsid w:val="005254CE"/>
    <w:rsid w:val="005254DE"/>
    <w:rsid w:val="0052552C"/>
    <w:rsid w:val="005255EC"/>
    <w:rsid w:val="0052565F"/>
    <w:rsid w:val="00525728"/>
    <w:rsid w:val="00525755"/>
    <w:rsid w:val="00525760"/>
    <w:rsid w:val="00525803"/>
    <w:rsid w:val="005258D9"/>
    <w:rsid w:val="00525B62"/>
    <w:rsid w:val="00525C40"/>
    <w:rsid w:val="00525C62"/>
    <w:rsid w:val="00525CD8"/>
    <w:rsid w:val="00525D27"/>
    <w:rsid w:val="00525D73"/>
    <w:rsid w:val="00525F66"/>
    <w:rsid w:val="00525FBA"/>
    <w:rsid w:val="005260D0"/>
    <w:rsid w:val="005260E8"/>
    <w:rsid w:val="00526104"/>
    <w:rsid w:val="00526154"/>
    <w:rsid w:val="00526167"/>
    <w:rsid w:val="005261D6"/>
    <w:rsid w:val="005262D8"/>
    <w:rsid w:val="00526340"/>
    <w:rsid w:val="0052635E"/>
    <w:rsid w:val="0052639B"/>
    <w:rsid w:val="005265AC"/>
    <w:rsid w:val="005265EC"/>
    <w:rsid w:val="00526613"/>
    <w:rsid w:val="00526640"/>
    <w:rsid w:val="0052667F"/>
    <w:rsid w:val="005266B4"/>
    <w:rsid w:val="005266DF"/>
    <w:rsid w:val="00526723"/>
    <w:rsid w:val="005267D0"/>
    <w:rsid w:val="005268C9"/>
    <w:rsid w:val="005268E2"/>
    <w:rsid w:val="00526900"/>
    <w:rsid w:val="00526925"/>
    <w:rsid w:val="005269B9"/>
    <w:rsid w:val="005269BF"/>
    <w:rsid w:val="005269DF"/>
    <w:rsid w:val="00526A9D"/>
    <w:rsid w:val="00526ADC"/>
    <w:rsid w:val="00526B77"/>
    <w:rsid w:val="00526B89"/>
    <w:rsid w:val="00526C05"/>
    <w:rsid w:val="00526C23"/>
    <w:rsid w:val="00526C50"/>
    <w:rsid w:val="00526D46"/>
    <w:rsid w:val="00526DE9"/>
    <w:rsid w:val="00526EDD"/>
    <w:rsid w:val="00526EE9"/>
    <w:rsid w:val="00526EED"/>
    <w:rsid w:val="00526F5A"/>
    <w:rsid w:val="0052708E"/>
    <w:rsid w:val="005270CA"/>
    <w:rsid w:val="005270F2"/>
    <w:rsid w:val="00527156"/>
    <w:rsid w:val="0052715F"/>
    <w:rsid w:val="005271CC"/>
    <w:rsid w:val="00527245"/>
    <w:rsid w:val="00527260"/>
    <w:rsid w:val="005273CD"/>
    <w:rsid w:val="0052740A"/>
    <w:rsid w:val="0052740F"/>
    <w:rsid w:val="00527413"/>
    <w:rsid w:val="00527496"/>
    <w:rsid w:val="0052759A"/>
    <w:rsid w:val="005275AC"/>
    <w:rsid w:val="005275C2"/>
    <w:rsid w:val="005275F3"/>
    <w:rsid w:val="00527603"/>
    <w:rsid w:val="005276B3"/>
    <w:rsid w:val="00527709"/>
    <w:rsid w:val="0052777C"/>
    <w:rsid w:val="0052778B"/>
    <w:rsid w:val="0052780A"/>
    <w:rsid w:val="00527869"/>
    <w:rsid w:val="005278F6"/>
    <w:rsid w:val="005279FA"/>
    <w:rsid w:val="00527A0F"/>
    <w:rsid w:val="00527A18"/>
    <w:rsid w:val="00527AB7"/>
    <w:rsid w:val="00527B4B"/>
    <w:rsid w:val="00527B97"/>
    <w:rsid w:val="00527BA3"/>
    <w:rsid w:val="00527CB7"/>
    <w:rsid w:val="00527D2D"/>
    <w:rsid w:val="00527DB7"/>
    <w:rsid w:val="00527DBE"/>
    <w:rsid w:val="00527E07"/>
    <w:rsid w:val="00527E9C"/>
    <w:rsid w:val="00527F0A"/>
    <w:rsid w:val="00527FA3"/>
    <w:rsid w:val="00527FE3"/>
    <w:rsid w:val="005282C4"/>
    <w:rsid w:val="0053017D"/>
    <w:rsid w:val="005301D5"/>
    <w:rsid w:val="0053031E"/>
    <w:rsid w:val="00530368"/>
    <w:rsid w:val="005303E5"/>
    <w:rsid w:val="00530434"/>
    <w:rsid w:val="0053051E"/>
    <w:rsid w:val="005305F5"/>
    <w:rsid w:val="005306FA"/>
    <w:rsid w:val="0053071A"/>
    <w:rsid w:val="005307B4"/>
    <w:rsid w:val="005307D9"/>
    <w:rsid w:val="0053081A"/>
    <w:rsid w:val="0053084B"/>
    <w:rsid w:val="00530901"/>
    <w:rsid w:val="00530943"/>
    <w:rsid w:val="00530968"/>
    <w:rsid w:val="00530990"/>
    <w:rsid w:val="005309D7"/>
    <w:rsid w:val="00530A11"/>
    <w:rsid w:val="00530AAB"/>
    <w:rsid w:val="00530AB9"/>
    <w:rsid w:val="00530AC2"/>
    <w:rsid w:val="00530B9A"/>
    <w:rsid w:val="00530D00"/>
    <w:rsid w:val="00530D3B"/>
    <w:rsid w:val="00530F8E"/>
    <w:rsid w:val="00530FD5"/>
    <w:rsid w:val="00531068"/>
    <w:rsid w:val="00531071"/>
    <w:rsid w:val="005310AD"/>
    <w:rsid w:val="00531100"/>
    <w:rsid w:val="00531123"/>
    <w:rsid w:val="005311C3"/>
    <w:rsid w:val="005311FD"/>
    <w:rsid w:val="0053133F"/>
    <w:rsid w:val="00531498"/>
    <w:rsid w:val="005314EE"/>
    <w:rsid w:val="00531520"/>
    <w:rsid w:val="005315CD"/>
    <w:rsid w:val="005315FF"/>
    <w:rsid w:val="00531603"/>
    <w:rsid w:val="0053162F"/>
    <w:rsid w:val="00531670"/>
    <w:rsid w:val="00531762"/>
    <w:rsid w:val="005317A9"/>
    <w:rsid w:val="005317D5"/>
    <w:rsid w:val="00531887"/>
    <w:rsid w:val="0053188B"/>
    <w:rsid w:val="005318F7"/>
    <w:rsid w:val="0053193E"/>
    <w:rsid w:val="005319A2"/>
    <w:rsid w:val="00531AF2"/>
    <w:rsid w:val="00531BA0"/>
    <w:rsid w:val="00531BA3"/>
    <w:rsid w:val="00531BA7"/>
    <w:rsid w:val="00531C81"/>
    <w:rsid w:val="00531D7C"/>
    <w:rsid w:val="00531DD7"/>
    <w:rsid w:val="00531E0C"/>
    <w:rsid w:val="00531E19"/>
    <w:rsid w:val="00531E20"/>
    <w:rsid w:val="00531E79"/>
    <w:rsid w:val="00531FAE"/>
    <w:rsid w:val="00531FDA"/>
    <w:rsid w:val="00531FE4"/>
    <w:rsid w:val="00532070"/>
    <w:rsid w:val="00532099"/>
    <w:rsid w:val="005320C4"/>
    <w:rsid w:val="00532129"/>
    <w:rsid w:val="00532209"/>
    <w:rsid w:val="00532214"/>
    <w:rsid w:val="0053226C"/>
    <w:rsid w:val="0053235B"/>
    <w:rsid w:val="0053245A"/>
    <w:rsid w:val="0053245E"/>
    <w:rsid w:val="00532485"/>
    <w:rsid w:val="00532513"/>
    <w:rsid w:val="00532543"/>
    <w:rsid w:val="005325C8"/>
    <w:rsid w:val="005325FA"/>
    <w:rsid w:val="0053263C"/>
    <w:rsid w:val="00532678"/>
    <w:rsid w:val="00532740"/>
    <w:rsid w:val="00532767"/>
    <w:rsid w:val="005327AF"/>
    <w:rsid w:val="00532833"/>
    <w:rsid w:val="00532855"/>
    <w:rsid w:val="00532877"/>
    <w:rsid w:val="0053287E"/>
    <w:rsid w:val="005328B3"/>
    <w:rsid w:val="0053291C"/>
    <w:rsid w:val="0053294D"/>
    <w:rsid w:val="00532973"/>
    <w:rsid w:val="00532991"/>
    <w:rsid w:val="005329CB"/>
    <w:rsid w:val="00532A9F"/>
    <w:rsid w:val="00532B31"/>
    <w:rsid w:val="00532B51"/>
    <w:rsid w:val="00532C3E"/>
    <w:rsid w:val="00532C43"/>
    <w:rsid w:val="00532D5E"/>
    <w:rsid w:val="00532DC1"/>
    <w:rsid w:val="00532E58"/>
    <w:rsid w:val="00532F87"/>
    <w:rsid w:val="00532F93"/>
    <w:rsid w:val="00532F98"/>
    <w:rsid w:val="00532FAD"/>
    <w:rsid w:val="00533102"/>
    <w:rsid w:val="005332D8"/>
    <w:rsid w:val="005333A7"/>
    <w:rsid w:val="005333E0"/>
    <w:rsid w:val="0053354B"/>
    <w:rsid w:val="00533723"/>
    <w:rsid w:val="00533772"/>
    <w:rsid w:val="005337D6"/>
    <w:rsid w:val="00533857"/>
    <w:rsid w:val="00533A42"/>
    <w:rsid w:val="00533BA0"/>
    <w:rsid w:val="00533C8B"/>
    <w:rsid w:val="00533D96"/>
    <w:rsid w:val="00533E38"/>
    <w:rsid w:val="00533ECF"/>
    <w:rsid w:val="00533F6F"/>
    <w:rsid w:val="00533FBA"/>
    <w:rsid w:val="00533FF4"/>
    <w:rsid w:val="00534015"/>
    <w:rsid w:val="0053406C"/>
    <w:rsid w:val="00534078"/>
    <w:rsid w:val="005341C5"/>
    <w:rsid w:val="0053422A"/>
    <w:rsid w:val="00534477"/>
    <w:rsid w:val="00534602"/>
    <w:rsid w:val="00534632"/>
    <w:rsid w:val="00534670"/>
    <w:rsid w:val="005349B3"/>
    <w:rsid w:val="00534B99"/>
    <w:rsid w:val="00534BA7"/>
    <w:rsid w:val="00534BCC"/>
    <w:rsid w:val="00534C20"/>
    <w:rsid w:val="00534DFA"/>
    <w:rsid w:val="00534E0D"/>
    <w:rsid w:val="00534E1E"/>
    <w:rsid w:val="00534E4A"/>
    <w:rsid w:val="00534E54"/>
    <w:rsid w:val="00534E71"/>
    <w:rsid w:val="00534EA5"/>
    <w:rsid w:val="00534EB9"/>
    <w:rsid w:val="00535020"/>
    <w:rsid w:val="00535023"/>
    <w:rsid w:val="00535112"/>
    <w:rsid w:val="0053516F"/>
    <w:rsid w:val="00535172"/>
    <w:rsid w:val="0053517C"/>
    <w:rsid w:val="005351EF"/>
    <w:rsid w:val="00535239"/>
    <w:rsid w:val="0053526D"/>
    <w:rsid w:val="005352C7"/>
    <w:rsid w:val="005352CA"/>
    <w:rsid w:val="00535354"/>
    <w:rsid w:val="00535389"/>
    <w:rsid w:val="005353C7"/>
    <w:rsid w:val="0053544E"/>
    <w:rsid w:val="005354CC"/>
    <w:rsid w:val="005354FA"/>
    <w:rsid w:val="0053569B"/>
    <w:rsid w:val="0053569D"/>
    <w:rsid w:val="0053569F"/>
    <w:rsid w:val="005356E6"/>
    <w:rsid w:val="00535719"/>
    <w:rsid w:val="00535747"/>
    <w:rsid w:val="0053574A"/>
    <w:rsid w:val="00535788"/>
    <w:rsid w:val="005357D9"/>
    <w:rsid w:val="005357E6"/>
    <w:rsid w:val="0053580A"/>
    <w:rsid w:val="005358D6"/>
    <w:rsid w:val="00535922"/>
    <w:rsid w:val="00535952"/>
    <w:rsid w:val="00535AC3"/>
    <w:rsid w:val="00535C73"/>
    <w:rsid w:val="00535CE0"/>
    <w:rsid w:val="00535D45"/>
    <w:rsid w:val="00535DA4"/>
    <w:rsid w:val="00535E44"/>
    <w:rsid w:val="00535EC5"/>
    <w:rsid w:val="00535F98"/>
    <w:rsid w:val="00535FDE"/>
    <w:rsid w:val="0053601F"/>
    <w:rsid w:val="00536135"/>
    <w:rsid w:val="00536195"/>
    <w:rsid w:val="0053619C"/>
    <w:rsid w:val="0053620D"/>
    <w:rsid w:val="00536245"/>
    <w:rsid w:val="005362EE"/>
    <w:rsid w:val="00536307"/>
    <w:rsid w:val="005363AC"/>
    <w:rsid w:val="005363C4"/>
    <w:rsid w:val="00536411"/>
    <w:rsid w:val="00536416"/>
    <w:rsid w:val="0053645E"/>
    <w:rsid w:val="005364CA"/>
    <w:rsid w:val="00536626"/>
    <w:rsid w:val="00536656"/>
    <w:rsid w:val="0053665A"/>
    <w:rsid w:val="00536692"/>
    <w:rsid w:val="005366C0"/>
    <w:rsid w:val="005366DE"/>
    <w:rsid w:val="00536791"/>
    <w:rsid w:val="0053679A"/>
    <w:rsid w:val="00536843"/>
    <w:rsid w:val="0053688C"/>
    <w:rsid w:val="00536892"/>
    <w:rsid w:val="00536955"/>
    <w:rsid w:val="005369A1"/>
    <w:rsid w:val="005369FB"/>
    <w:rsid w:val="00536AB7"/>
    <w:rsid w:val="00536C9C"/>
    <w:rsid w:val="00536D0E"/>
    <w:rsid w:val="00536D39"/>
    <w:rsid w:val="00536D99"/>
    <w:rsid w:val="00536DDB"/>
    <w:rsid w:val="00536EA3"/>
    <w:rsid w:val="00536F38"/>
    <w:rsid w:val="00536F46"/>
    <w:rsid w:val="00536F70"/>
    <w:rsid w:val="005370A6"/>
    <w:rsid w:val="00537162"/>
    <w:rsid w:val="00537197"/>
    <w:rsid w:val="0053730B"/>
    <w:rsid w:val="005373B3"/>
    <w:rsid w:val="00537423"/>
    <w:rsid w:val="0053744C"/>
    <w:rsid w:val="005376FC"/>
    <w:rsid w:val="00537757"/>
    <w:rsid w:val="00537795"/>
    <w:rsid w:val="005377FE"/>
    <w:rsid w:val="00537853"/>
    <w:rsid w:val="00537909"/>
    <w:rsid w:val="0053791B"/>
    <w:rsid w:val="00537A24"/>
    <w:rsid w:val="00537AF1"/>
    <w:rsid w:val="00537B21"/>
    <w:rsid w:val="00537B24"/>
    <w:rsid w:val="00537B6D"/>
    <w:rsid w:val="00537C21"/>
    <w:rsid w:val="00537CA2"/>
    <w:rsid w:val="00537CC1"/>
    <w:rsid w:val="00537D47"/>
    <w:rsid w:val="00537E20"/>
    <w:rsid w:val="00537ED6"/>
    <w:rsid w:val="00537FA8"/>
    <w:rsid w:val="00537FF3"/>
    <w:rsid w:val="00537FFE"/>
    <w:rsid w:val="00540028"/>
    <w:rsid w:val="005400B4"/>
    <w:rsid w:val="00540123"/>
    <w:rsid w:val="005401AB"/>
    <w:rsid w:val="005401D3"/>
    <w:rsid w:val="00540269"/>
    <w:rsid w:val="005402EC"/>
    <w:rsid w:val="005405A9"/>
    <w:rsid w:val="005405EB"/>
    <w:rsid w:val="005406AD"/>
    <w:rsid w:val="00540790"/>
    <w:rsid w:val="0054079E"/>
    <w:rsid w:val="00540812"/>
    <w:rsid w:val="0054082F"/>
    <w:rsid w:val="00540899"/>
    <w:rsid w:val="005408F3"/>
    <w:rsid w:val="00540B1A"/>
    <w:rsid w:val="00540B79"/>
    <w:rsid w:val="00540C5C"/>
    <w:rsid w:val="00540C63"/>
    <w:rsid w:val="00540C99"/>
    <w:rsid w:val="00540CA5"/>
    <w:rsid w:val="00540CFC"/>
    <w:rsid w:val="00540D3A"/>
    <w:rsid w:val="00540D46"/>
    <w:rsid w:val="00540DFC"/>
    <w:rsid w:val="00540E05"/>
    <w:rsid w:val="00540ED9"/>
    <w:rsid w:val="00540EEA"/>
    <w:rsid w:val="00540F2D"/>
    <w:rsid w:val="00540FCB"/>
    <w:rsid w:val="00540FDF"/>
    <w:rsid w:val="00541066"/>
    <w:rsid w:val="00541109"/>
    <w:rsid w:val="00541155"/>
    <w:rsid w:val="00541181"/>
    <w:rsid w:val="00541208"/>
    <w:rsid w:val="00541248"/>
    <w:rsid w:val="005412DE"/>
    <w:rsid w:val="0054135A"/>
    <w:rsid w:val="00541371"/>
    <w:rsid w:val="005413AC"/>
    <w:rsid w:val="00541458"/>
    <w:rsid w:val="00541554"/>
    <w:rsid w:val="00541619"/>
    <w:rsid w:val="00541787"/>
    <w:rsid w:val="00541897"/>
    <w:rsid w:val="0054193E"/>
    <w:rsid w:val="00541953"/>
    <w:rsid w:val="00541ADA"/>
    <w:rsid w:val="00541B27"/>
    <w:rsid w:val="00541B2F"/>
    <w:rsid w:val="00541B44"/>
    <w:rsid w:val="00541C03"/>
    <w:rsid w:val="00541C54"/>
    <w:rsid w:val="00541CA5"/>
    <w:rsid w:val="00541DCB"/>
    <w:rsid w:val="00541E79"/>
    <w:rsid w:val="00541F76"/>
    <w:rsid w:val="00542031"/>
    <w:rsid w:val="005420D3"/>
    <w:rsid w:val="005420FA"/>
    <w:rsid w:val="00542166"/>
    <w:rsid w:val="0054217A"/>
    <w:rsid w:val="005421A3"/>
    <w:rsid w:val="00542205"/>
    <w:rsid w:val="00542228"/>
    <w:rsid w:val="0054225C"/>
    <w:rsid w:val="0054230D"/>
    <w:rsid w:val="005423D6"/>
    <w:rsid w:val="005424C7"/>
    <w:rsid w:val="00542589"/>
    <w:rsid w:val="00542685"/>
    <w:rsid w:val="00542701"/>
    <w:rsid w:val="005427BA"/>
    <w:rsid w:val="00542803"/>
    <w:rsid w:val="0054285E"/>
    <w:rsid w:val="00542897"/>
    <w:rsid w:val="005428C6"/>
    <w:rsid w:val="005428EC"/>
    <w:rsid w:val="00542B6B"/>
    <w:rsid w:val="00542BA1"/>
    <w:rsid w:val="00542BB5"/>
    <w:rsid w:val="00542BE9"/>
    <w:rsid w:val="00542CA6"/>
    <w:rsid w:val="00542CDB"/>
    <w:rsid w:val="00542D68"/>
    <w:rsid w:val="00542DBE"/>
    <w:rsid w:val="00542DEA"/>
    <w:rsid w:val="00542E53"/>
    <w:rsid w:val="00542EBC"/>
    <w:rsid w:val="00542FB2"/>
    <w:rsid w:val="00543042"/>
    <w:rsid w:val="005430EB"/>
    <w:rsid w:val="005430F6"/>
    <w:rsid w:val="00543103"/>
    <w:rsid w:val="00543208"/>
    <w:rsid w:val="0054322F"/>
    <w:rsid w:val="005433F8"/>
    <w:rsid w:val="005434A6"/>
    <w:rsid w:val="00543501"/>
    <w:rsid w:val="0054355F"/>
    <w:rsid w:val="0054359E"/>
    <w:rsid w:val="005436B6"/>
    <w:rsid w:val="005436DF"/>
    <w:rsid w:val="005436E2"/>
    <w:rsid w:val="00543772"/>
    <w:rsid w:val="00543792"/>
    <w:rsid w:val="0054380F"/>
    <w:rsid w:val="00543837"/>
    <w:rsid w:val="0054383A"/>
    <w:rsid w:val="0054391A"/>
    <w:rsid w:val="00543983"/>
    <w:rsid w:val="00543A5E"/>
    <w:rsid w:val="00543ABF"/>
    <w:rsid w:val="00543AF0"/>
    <w:rsid w:val="00543B2E"/>
    <w:rsid w:val="00543BF3"/>
    <w:rsid w:val="00543C0B"/>
    <w:rsid w:val="00543C58"/>
    <w:rsid w:val="00543CF3"/>
    <w:rsid w:val="00543D39"/>
    <w:rsid w:val="00543E4B"/>
    <w:rsid w:val="00543EE4"/>
    <w:rsid w:val="005440B0"/>
    <w:rsid w:val="005440F1"/>
    <w:rsid w:val="00544147"/>
    <w:rsid w:val="0054421D"/>
    <w:rsid w:val="00544271"/>
    <w:rsid w:val="00544357"/>
    <w:rsid w:val="0054449B"/>
    <w:rsid w:val="00544505"/>
    <w:rsid w:val="0054452C"/>
    <w:rsid w:val="005445A2"/>
    <w:rsid w:val="005446C4"/>
    <w:rsid w:val="005446F6"/>
    <w:rsid w:val="00544703"/>
    <w:rsid w:val="005447F3"/>
    <w:rsid w:val="0054490D"/>
    <w:rsid w:val="005449D3"/>
    <w:rsid w:val="005449E8"/>
    <w:rsid w:val="00544A6E"/>
    <w:rsid w:val="00544BA0"/>
    <w:rsid w:val="00544CA5"/>
    <w:rsid w:val="00544D37"/>
    <w:rsid w:val="00544D46"/>
    <w:rsid w:val="00544D8F"/>
    <w:rsid w:val="00544F96"/>
    <w:rsid w:val="00544F9C"/>
    <w:rsid w:val="00544FA7"/>
    <w:rsid w:val="005450CC"/>
    <w:rsid w:val="005451EC"/>
    <w:rsid w:val="00545206"/>
    <w:rsid w:val="00545245"/>
    <w:rsid w:val="005452A6"/>
    <w:rsid w:val="005452C5"/>
    <w:rsid w:val="0054534E"/>
    <w:rsid w:val="005453C5"/>
    <w:rsid w:val="005453D4"/>
    <w:rsid w:val="00545401"/>
    <w:rsid w:val="00545553"/>
    <w:rsid w:val="005455A3"/>
    <w:rsid w:val="00545625"/>
    <w:rsid w:val="00545633"/>
    <w:rsid w:val="0054568D"/>
    <w:rsid w:val="0054578A"/>
    <w:rsid w:val="00545896"/>
    <w:rsid w:val="00545936"/>
    <w:rsid w:val="005459EC"/>
    <w:rsid w:val="00545A71"/>
    <w:rsid w:val="00545B52"/>
    <w:rsid w:val="00545B96"/>
    <w:rsid w:val="00545D01"/>
    <w:rsid w:val="00545E60"/>
    <w:rsid w:val="00545F17"/>
    <w:rsid w:val="00545F6C"/>
    <w:rsid w:val="00545FC0"/>
    <w:rsid w:val="0054600B"/>
    <w:rsid w:val="00546198"/>
    <w:rsid w:val="0054619D"/>
    <w:rsid w:val="005462AA"/>
    <w:rsid w:val="005462AF"/>
    <w:rsid w:val="0054635B"/>
    <w:rsid w:val="0054636C"/>
    <w:rsid w:val="00546460"/>
    <w:rsid w:val="005464A5"/>
    <w:rsid w:val="00546507"/>
    <w:rsid w:val="00546525"/>
    <w:rsid w:val="00546544"/>
    <w:rsid w:val="00546613"/>
    <w:rsid w:val="005467F1"/>
    <w:rsid w:val="0054686D"/>
    <w:rsid w:val="005469FE"/>
    <w:rsid w:val="00546B8E"/>
    <w:rsid w:val="00546C33"/>
    <w:rsid w:val="00546D6F"/>
    <w:rsid w:val="00546DBA"/>
    <w:rsid w:val="00546EE9"/>
    <w:rsid w:val="00546FB9"/>
    <w:rsid w:val="00546FE1"/>
    <w:rsid w:val="00546FFE"/>
    <w:rsid w:val="00547013"/>
    <w:rsid w:val="00547036"/>
    <w:rsid w:val="005470B4"/>
    <w:rsid w:val="00547141"/>
    <w:rsid w:val="0054722E"/>
    <w:rsid w:val="0054727D"/>
    <w:rsid w:val="005472FC"/>
    <w:rsid w:val="0054735B"/>
    <w:rsid w:val="0054742F"/>
    <w:rsid w:val="0054745F"/>
    <w:rsid w:val="00547460"/>
    <w:rsid w:val="005476A9"/>
    <w:rsid w:val="00547827"/>
    <w:rsid w:val="00547A11"/>
    <w:rsid w:val="00547B6D"/>
    <w:rsid w:val="00547B73"/>
    <w:rsid w:val="00547B90"/>
    <w:rsid w:val="00547C34"/>
    <w:rsid w:val="00547CA2"/>
    <w:rsid w:val="00547CEE"/>
    <w:rsid w:val="00547D52"/>
    <w:rsid w:val="00547EB7"/>
    <w:rsid w:val="00547EDC"/>
    <w:rsid w:val="00547EF5"/>
    <w:rsid w:val="00547F16"/>
    <w:rsid w:val="00547FDB"/>
    <w:rsid w:val="005500C3"/>
    <w:rsid w:val="00550186"/>
    <w:rsid w:val="005501A2"/>
    <w:rsid w:val="005501CD"/>
    <w:rsid w:val="005501F5"/>
    <w:rsid w:val="00550268"/>
    <w:rsid w:val="00550289"/>
    <w:rsid w:val="005503DB"/>
    <w:rsid w:val="005504AD"/>
    <w:rsid w:val="00550788"/>
    <w:rsid w:val="00550800"/>
    <w:rsid w:val="00550843"/>
    <w:rsid w:val="005508CA"/>
    <w:rsid w:val="00550929"/>
    <w:rsid w:val="0055094B"/>
    <w:rsid w:val="00550B4B"/>
    <w:rsid w:val="00550B96"/>
    <w:rsid w:val="00550C72"/>
    <w:rsid w:val="00550C94"/>
    <w:rsid w:val="00550D15"/>
    <w:rsid w:val="00550D24"/>
    <w:rsid w:val="00550D3B"/>
    <w:rsid w:val="00550DB4"/>
    <w:rsid w:val="00550E4A"/>
    <w:rsid w:val="00550F2F"/>
    <w:rsid w:val="00551083"/>
    <w:rsid w:val="005510CF"/>
    <w:rsid w:val="005511B5"/>
    <w:rsid w:val="00551221"/>
    <w:rsid w:val="00551244"/>
    <w:rsid w:val="005513F2"/>
    <w:rsid w:val="00551404"/>
    <w:rsid w:val="00551419"/>
    <w:rsid w:val="00551488"/>
    <w:rsid w:val="0055148B"/>
    <w:rsid w:val="005514FD"/>
    <w:rsid w:val="00551528"/>
    <w:rsid w:val="00551561"/>
    <w:rsid w:val="0055162A"/>
    <w:rsid w:val="0055177F"/>
    <w:rsid w:val="005517A9"/>
    <w:rsid w:val="005517AD"/>
    <w:rsid w:val="005519AA"/>
    <w:rsid w:val="00551A04"/>
    <w:rsid w:val="00551AD4"/>
    <w:rsid w:val="00551BB5"/>
    <w:rsid w:val="00551BCA"/>
    <w:rsid w:val="00551C62"/>
    <w:rsid w:val="00551E56"/>
    <w:rsid w:val="00551ED2"/>
    <w:rsid w:val="00551F78"/>
    <w:rsid w:val="00552157"/>
    <w:rsid w:val="0055226F"/>
    <w:rsid w:val="005522F2"/>
    <w:rsid w:val="0055240C"/>
    <w:rsid w:val="0055242A"/>
    <w:rsid w:val="0055243C"/>
    <w:rsid w:val="00552521"/>
    <w:rsid w:val="00552733"/>
    <w:rsid w:val="0055273D"/>
    <w:rsid w:val="005527D8"/>
    <w:rsid w:val="005527F0"/>
    <w:rsid w:val="005528A9"/>
    <w:rsid w:val="0055296B"/>
    <w:rsid w:val="00552A57"/>
    <w:rsid w:val="00552A60"/>
    <w:rsid w:val="00552B3E"/>
    <w:rsid w:val="00552BA0"/>
    <w:rsid w:val="00552BB4"/>
    <w:rsid w:val="00552BD3"/>
    <w:rsid w:val="00552BD7"/>
    <w:rsid w:val="00552C5E"/>
    <w:rsid w:val="00552CC6"/>
    <w:rsid w:val="00552D78"/>
    <w:rsid w:val="00552EB1"/>
    <w:rsid w:val="00552ED7"/>
    <w:rsid w:val="00553152"/>
    <w:rsid w:val="00553172"/>
    <w:rsid w:val="0055317A"/>
    <w:rsid w:val="005531BF"/>
    <w:rsid w:val="005531E6"/>
    <w:rsid w:val="00553225"/>
    <w:rsid w:val="0055322F"/>
    <w:rsid w:val="005532C6"/>
    <w:rsid w:val="0055344B"/>
    <w:rsid w:val="005535F2"/>
    <w:rsid w:val="00553670"/>
    <w:rsid w:val="005536A1"/>
    <w:rsid w:val="00553724"/>
    <w:rsid w:val="005538A4"/>
    <w:rsid w:val="00553900"/>
    <w:rsid w:val="00553947"/>
    <w:rsid w:val="00553A33"/>
    <w:rsid w:val="00553A45"/>
    <w:rsid w:val="00553A82"/>
    <w:rsid w:val="00553A94"/>
    <w:rsid w:val="00553ADD"/>
    <w:rsid w:val="00553C34"/>
    <w:rsid w:val="00553CAC"/>
    <w:rsid w:val="00553DCE"/>
    <w:rsid w:val="00553E66"/>
    <w:rsid w:val="00553ED6"/>
    <w:rsid w:val="00553ED7"/>
    <w:rsid w:val="00553F31"/>
    <w:rsid w:val="00553F46"/>
    <w:rsid w:val="0055400E"/>
    <w:rsid w:val="0055409A"/>
    <w:rsid w:val="00554120"/>
    <w:rsid w:val="0055416F"/>
    <w:rsid w:val="00554171"/>
    <w:rsid w:val="0055418B"/>
    <w:rsid w:val="0055423A"/>
    <w:rsid w:val="00554255"/>
    <w:rsid w:val="00554270"/>
    <w:rsid w:val="0055428E"/>
    <w:rsid w:val="00554335"/>
    <w:rsid w:val="005543F8"/>
    <w:rsid w:val="00554525"/>
    <w:rsid w:val="0055456D"/>
    <w:rsid w:val="005545EE"/>
    <w:rsid w:val="00554668"/>
    <w:rsid w:val="00554763"/>
    <w:rsid w:val="00554815"/>
    <w:rsid w:val="00554871"/>
    <w:rsid w:val="0055488A"/>
    <w:rsid w:val="00554925"/>
    <w:rsid w:val="0055497F"/>
    <w:rsid w:val="00554A72"/>
    <w:rsid w:val="00554AE3"/>
    <w:rsid w:val="00554CCA"/>
    <w:rsid w:val="00554D3A"/>
    <w:rsid w:val="00554D63"/>
    <w:rsid w:val="00554D70"/>
    <w:rsid w:val="00554D7C"/>
    <w:rsid w:val="00554D8B"/>
    <w:rsid w:val="00554E36"/>
    <w:rsid w:val="00554E63"/>
    <w:rsid w:val="00554F0F"/>
    <w:rsid w:val="00554F2F"/>
    <w:rsid w:val="00554FD7"/>
    <w:rsid w:val="00555027"/>
    <w:rsid w:val="00555095"/>
    <w:rsid w:val="005550AD"/>
    <w:rsid w:val="005550B5"/>
    <w:rsid w:val="00555114"/>
    <w:rsid w:val="00555151"/>
    <w:rsid w:val="00555155"/>
    <w:rsid w:val="005551FF"/>
    <w:rsid w:val="00555276"/>
    <w:rsid w:val="00555300"/>
    <w:rsid w:val="0055531D"/>
    <w:rsid w:val="00555435"/>
    <w:rsid w:val="0055549F"/>
    <w:rsid w:val="005554A8"/>
    <w:rsid w:val="00555664"/>
    <w:rsid w:val="005556DC"/>
    <w:rsid w:val="005556EA"/>
    <w:rsid w:val="00555748"/>
    <w:rsid w:val="0055575D"/>
    <w:rsid w:val="005557C2"/>
    <w:rsid w:val="005558E5"/>
    <w:rsid w:val="00555934"/>
    <w:rsid w:val="0055594E"/>
    <w:rsid w:val="00555996"/>
    <w:rsid w:val="0055599A"/>
    <w:rsid w:val="005559D3"/>
    <w:rsid w:val="00555A93"/>
    <w:rsid w:val="00555BB6"/>
    <w:rsid w:val="00555C77"/>
    <w:rsid w:val="00555E09"/>
    <w:rsid w:val="00555E2A"/>
    <w:rsid w:val="00555E61"/>
    <w:rsid w:val="00555EB7"/>
    <w:rsid w:val="00555ECF"/>
    <w:rsid w:val="0055603F"/>
    <w:rsid w:val="005561DD"/>
    <w:rsid w:val="00556214"/>
    <w:rsid w:val="0055627F"/>
    <w:rsid w:val="005562A7"/>
    <w:rsid w:val="005562F6"/>
    <w:rsid w:val="005564DD"/>
    <w:rsid w:val="005565FD"/>
    <w:rsid w:val="00556604"/>
    <w:rsid w:val="0055668E"/>
    <w:rsid w:val="00556713"/>
    <w:rsid w:val="005567D2"/>
    <w:rsid w:val="0055687C"/>
    <w:rsid w:val="005568E0"/>
    <w:rsid w:val="005569D9"/>
    <w:rsid w:val="00556A07"/>
    <w:rsid w:val="00556A54"/>
    <w:rsid w:val="00556B56"/>
    <w:rsid w:val="00556C2C"/>
    <w:rsid w:val="00556C67"/>
    <w:rsid w:val="00556C6A"/>
    <w:rsid w:val="00556CCE"/>
    <w:rsid w:val="00556D2C"/>
    <w:rsid w:val="00556DA9"/>
    <w:rsid w:val="00556EAD"/>
    <w:rsid w:val="00556F0A"/>
    <w:rsid w:val="00556F82"/>
    <w:rsid w:val="00557056"/>
    <w:rsid w:val="005570DF"/>
    <w:rsid w:val="00557195"/>
    <w:rsid w:val="005571CC"/>
    <w:rsid w:val="005571E4"/>
    <w:rsid w:val="0055735A"/>
    <w:rsid w:val="005573A0"/>
    <w:rsid w:val="00557481"/>
    <w:rsid w:val="00557482"/>
    <w:rsid w:val="005574F1"/>
    <w:rsid w:val="005575B4"/>
    <w:rsid w:val="005575F8"/>
    <w:rsid w:val="00557609"/>
    <w:rsid w:val="0055760E"/>
    <w:rsid w:val="00557640"/>
    <w:rsid w:val="005576C2"/>
    <w:rsid w:val="00557717"/>
    <w:rsid w:val="00557924"/>
    <w:rsid w:val="0055797B"/>
    <w:rsid w:val="005579A7"/>
    <w:rsid w:val="00557ABF"/>
    <w:rsid w:val="00557AE7"/>
    <w:rsid w:val="00557C38"/>
    <w:rsid w:val="00557C98"/>
    <w:rsid w:val="00557E9F"/>
    <w:rsid w:val="00557FC9"/>
    <w:rsid w:val="0056001F"/>
    <w:rsid w:val="005600D4"/>
    <w:rsid w:val="00560164"/>
    <w:rsid w:val="005602AA"/>
    <w:rsid w:val="005602FD"/>
    <w:rsid w:val="00560392"/>
    <w:rsid w:val="00560494"/>
    <w:rsid w:val="00560591"/>
    <w:rsid w:val="005605B1"/>
    <w:rsid w:val="005605EB"/>
    <w:rsid w:val="00560728"/>
    <w:rsid w:val="00560747"/>
    <w:rsid w:val="005607D7"/>
    <w:rsid w:val="005607DF"/>
    <w:rsid w:val="005607E2"/>
    <w:rsid w:val="00560823"/>
    <w:rsid w:val="0056089F"/>
    <w:rsid w:val="005608B3"/>
    <w:rsid w:val="00560A07"/>
    <w:rsid w:val="00560A1D"/>
    <w:rsid w:val="00560C10"/>
    <w:rsid w:val="00560C5B"/>
    <w:rsid w:val="00560D69"/>
    <w:rsid w:val="00560DEF"/>
    <w:rsid w:val="00560EA9"/>
    <w:rsid w:val="00560EE1"/>
    <w:rsid w:val="00560F07"/>
    <w:rsid w:val="00560F2D"/>
    <w:rsid w:val="005610C6"/>
    <w:rsid w:val="005611EC"/>
    <w:rsid w:val="005611F4"/>
    <w:rsid w:val="005612E0"/>
    <w:rsid w:val="0056131E"/>
    <w:rsid w:val="00561395"/>
    <w:rsid w:val="00561465"/>
    <w:rsid w:val="005614FD"/>
    <w:rsid w:val="00561548"/>
    <w:rsid w:val="0056154A"/>
    <w:rsid w:val="0056157B"/>
    <w:rsid w:val="00561592"/>
    <w:rsid w:val="005615BA"/>
    <w:rsid w:val="0056162B"/>
    <w:rsid w:val="00561863"/>
    <w:rsid w:val="00561874"/>
    <w:rsid w:val="005618EF"/>
    <w:rsid w:val="005618F4"/>
    <w:rsid w:val="00561B37"/>
    <w:rsid w:val="00561BB8"/>
    <w:rsid w:val="00561BD8"/>
    <w:rsid w:val="00561BDB"/>
    <w:rsid w:val="00561C33"/>
    <w:rsid w:val="00561C9C"/>
    <w:rsid w:val="00561D0A"/>
    <w:rsid w:val="00561D4F"/>
    <w:rsid w:val="00561E8D"/>
    <w:rsid w:val="00561F65"/>
    <w:rsid w:val="00561FC6"/>
    <w:rsid w:val="00562074"/>
    <w:rsid w:val="0056207B"/>
    <w:rsid w:val="005620F3"/>
    <w:rsid w:val="005621B2"/>
    <w:rsid w:val="005622FD"/>
    <w:rsid w:val="005623CB"/>
    <w:rsid w:val="0056256E"/>
    <w:rsid w:val="00562590"/>
    <w:rsid w:val="005625E3"/>
    <w:rsid w:val="00562831"/>
    <w:rsid w:val="00562856"/>
    <w:rsid w:val="00562869"/>
    <w:rsid w:val="0056295E"/>
    <w:rsid w:val="005629AD"/>
    <w:rsid w:val="005629B8"/>
    <w:rsid w:val="005629B9"/>
    <w:rsid w:val="00562AC6"/>
    <w:rsid w:val="00562B6C"/>
    <w:rsid w:val="00562C03"/>
    <w:rsid w:val="00562C18"/>
    <w:rsid w:val="00562DC0"/>
    <w:rsid w:val="00562DE0"/>
    <w:rsid w:val="00562E07"/>
    <w:rsid w:val="00562E56"/>
    <w:rsid w:val="00562EAD"/>
    <w:rsid w:val="00562EBE"/>
    <w:rsid w:val="00562ED1"/>
    <w:rsid w:val="00562FB6"/>
    <w:rsid w:val="00562FE4"/>
    <w:rsid w:val="00562FF6"/>
    <w:rsid w:val="00563034"/>
    <w:rsid w:val="00563119"/>
    <w:rsid w:val="005632AD"/>
    <w:rsid w:val="005632EC"/>
    <w:rsid w:val="00563404"/>
    <w:rsid w:val="00563474"/>
    <w:rsid w:val="005636BF"/>
    <w:rsid w:val="00563762"/>
    <w:rsid w:val="005637A5"/>
    <w:rsid w:val="005637B1"/>
    <w:rsid w:val="005637DF"/>
    <w:rsid w:val="00563800"/>
    <w:rsid w:val="00563824"/>
    <w:rsid w:val="005638D2"/>
    <w:rsid w:val="00563948"/>
    <w:rsid w:val="0056395E"/>
    <w:rsid w:val="00563B5E"/>
    <w:rsid w:val="00563B65"/>
    <w:rsid w:val="00563BC9"/>
    <w:rsid w:val="00563BFA"/>
    <w:rsid w:val="00563C43"/>
    <w:rsid w:val="00563C71"/>
    <w:rsid w:val="00563E31"/>
    <w:rsid w:val="00563E61"/>
    <w:rsid w:val="00563EDE"/>
    <w:rsid w:val="00563EE9"/>
    <w:rsid w:val="00563FDA"/>
    <w:rsid w:val="005640F7"/>
    <w:rsid w:val="0056423D"/>
    <w:rsid w:val="0056426F"/>
    <w:rsid w:val="005642C4"/>
    <w:rsid w:val="005642EA"/>
    <w:rsid w:val="0056433D"/>
    <w:rsid w:val="00564348"/>
    <w:rsid w:val="00564376"/>
    <w:rsid w:val="00564414"/>
    <w:rsid w:val="005644BE"/>
    <w:rsid w:val="005644C1"/>
    <w:rsid w:val="005644CD"/>
    <w:rsid w:val="005645CF"/>
    <w:rsid w:val="005646BA"/>
    <w:rsid w:val="005646F0"/>
    <w:rsid w:val="0056470B"/>
    <w:rsid w:val="00564805"/>
    <w:rsid w:val="0056482C"/>
    <w:rsid w:val="00564991"/>
    <w:rsid w:val="00564A23"/>
    <w:rsid w:val="00564A3A"/>
    <w:rsid w:val="00564A6B"/>
    <w:rsid w:val="00564B65"/>
    <w:rsid w:val="00564BF0"/>
    <w:rsid w:val="00564C69"/>
    <w:rsid w:val="00564C91"/>
    <w:rsid w:val="00564D39"/>
    <w:rsid w:val="00564D58"/>
    <w:rsid w:val="00564E78"/>
    <w:rsid w:val="00565011"/>
    <w:rsid w:val="00565032"/>
    <w:rsid w:val="005650FF"/>
    <w:rsid w:val="005651DB"/>
    <w:rsid w:val="0056520C"/>
    <w:rsid w:val="00565248"/>
    <w:rsid w:val="00565298"/>
    <w:rsid w:val="00565368"/>
    <w:rsid w:val="005653DD"/>
    <w:rsid w:val="00565435"/>
    <w:rsid w:val="005654BA"/>
    <w:rsid w:val="005655E8"/>
    <w:rsid w:val="005656CE"/>
    <w:rsid w:val="005656F2"/>
    <w:rsid w:val="0056573C"/>
    <w:rsid w:val="00565759"/>
    <w:rsid w:val="005658AA"/>
    <w:rsid w:val="005659F4"/>
    <w:rsid w:val="00565A92"/>
    <w:rsid w:val="00565B48"/>
    <w:rsid w:val="00565B5F"/>
    <w:rsid w:val="00565B95"/>
    <w:rsid w:val="00565BB2"/>
    <w:rsid w:val="00565BC2"/>
    <w:rsid w:val="00565BC5"/>
    <w:rsid w:val="00565CB8"/>
    <w:rsid w:val="00565D0C"/>
    <w:rsid w:val="00565D72"/>
    <w:rsid w:val="00565EE7"/>
    <w:rsid w:val="00565F5C"/>
    <w:rsid w:val="00565FC1"/>
    <w:rsid w:val="00565FC3"/>
    <w:rsid w:val="00565FC4"/>
    <w:rsid w:val="00565FF6"/>
    <w:rsid w:val="00566056"/>
    <w:rsid w:val="00566090"/>
    <w:rsid w:val="0056620B"/>
    <w:rsid w:val="00566245"/>
    <w:rsid w:val="00566343"/>
    <w:rsid w:val="005663B7"/>
    <w:rsid w:val="00566547"/>
    <w:rsid w:val="00566582"/>
    <w:rsid w:val="00566614"/>
    <w:rsid w:val="0056661D"/>
    <w:rsid w:val="00566689"/>
    <w:rsid w:val="0056668A"/>
    <w:rsid w:val="005669B2"/>
    <w:rsid w:val="00566A0B"/>
    <w:rsid w:val="00566A73"/>
    <w:rsid w:val="00566ADF"/>
    <w:rsid w:val="00566B77"/>
    <w:rsid w:val="00566D2C"/>
    <w:rsid w:val="00566D60"/>
    <w:rsid w:val="00566DD9"/>
    <w:rsid w:val="00566EB7"/>
    <w:rsid w:val="00566F02"/>
    <w:rsid w:val="00566F5D"/>
    <w:rsid w:val="00566F8F"/>
    <w:rsid w:val="00566FB6"/>
    <w:rsid w:val="00567028"/>
    <w:rsid w:val="0056704F"/>
    <w:rsid w:val="005670D4"/>
    <w:rsid w:val="005670DB"/>
    <w:rsid w:val="0056713C"/>
    <w:rsid w:val="00567149"/>
    <w:rsid w:val="005672F1"/>
    <w:rsid w:val="005673CC"/>
    <w:rsid w:val="005673CE"/>
    <w:rsid w:val="005675B1"/>
    <w:rsid w:val="005677B5"/>
    <w:rsid w:val="005677B7"/>
    <w:rsid w:val="0056786E"/>
    <w:rsid w:val="00567938"/>
    <w:rsid w:val="0056798E"/>
    <w:rsid w:val="00567A69"/>
    <w:rsid w:val="00567B50"/>
    <w:rsid w:val="00567BDC"/>
    <w:rsid w:val="00567C2A"/>
    <w:rsid w:val="00567C61"/>
    <w:rsid w:val="00567CB5"/>
    <w:rsid w:val="00567DC2"/>
    <w:rsid w:val="00567E23"/>
    <w:rsid w:val="00567E8D"/>
    <w:rsid w:val="00567EA0"/>
    <w:rsid w:val="00567F37"/>
    <w:rsid w:val="00567FFD"/>
    <w:rsid w:val="00570108"/>
    <w:rsid w:val="00570151"/>
    <w:rsid w:val="00570157"/>
    <w:rsid w:val="00570166"/>
    <w:rsid w:val="00570211"/>
    <w:rsid w:val="005702F5"/>
    <w:rsid w:val="005703AA"/>
    <w:rsid w:val="005703C9"/>
    <w:rsid w:val="005704C0"/>
    <w:rsid w:val="005708F5"/>
    <w:rsid w:val="00570AA1"/>
    <w:rsid w:val="00570B82"/>
    <w:rsid w:val="00570BF9"/>
    <w:rsid w:val="00570C5C"/>
    <w:rsid w:val="00570C7F"/>
    <w:rsid w:val="00570DAD"/>
    <w:rsid w:val="00570E8F"/>
    <w:rsid w:val="00571024"/>
    <w:rsid w:val="00571051"/>
    <w:rsid w:val="00571098"/>
    <w:rsid w:val="00571173"/>
    <w:rsid w:val="005711C3"/>
    <w:rsid w:val="005711CD"/>
    <w:rsid w:val="00571245"/>
    <w:rsid w:val="00571249"/>
    <w:rsid w:val="0057126A"/>
    <w:rsid w:val="005713C6"/>
    <w:rsid w:val="0057141C"/>
    <w:rsid w:val="00571462"/>
    <w:rsid w:val="00571512"/>
    <w:rsid w:val="005715FA"/>
    <w:rsid w:val="00571640"/>
    <w:rsid w:val="005716B2"/>
    <w:rsid w:val="005717B2"/>
    <w:rsid w:val="0057196E"/>
    <w:rsid w:val="00571A56"/>
    <w:rsid w:val="00571C6D"/>
    <w:rsid w:val="00571C7A"/>
    <w:rsid w:val="00571D4F"/>
    <w:rsid w:val="00571D85"/>
    <w:rsid w:val="00571F62"/>
    <w:rsid w:val="0057206C"/>
    <w:rsid w:val="005720BB"/>
    <w:rsid w:val="005722FE"/>
    <w:rsid w:val="00572357"/>
    <w:rsid w:val="005723FA"/>
    <w:rsid w:val="00572437"/>
    <w:rsid w:val="005724CA"/>
    <w:rsid w:val="005725CC"/>
    <w:rsid w:val="00572613"/>
    <w:rsid w:val="005726CD"/>
    <w:rsid w:val="005726DF"/>
    <w:rsid w:val="00572706"/>
    <w:rsid w:val="00572773"/>
    <w:rsid w:val="00572783"/>
    <w:rsid w:val="0057279D"/>
    <w:rsid w:val="0057283D"/>
    <w:rsid w:val="00572979"/>
    <w:rsid w:val="005729F3"/>
    <w:rsid w:val="00572A11"/>
    <w:rsid w:val="00572B87"/>
    <w:rsid w:val="00572C41"/>
    <w:rsid w:val="00572C83"/>
    <w:rsid w:val="00572D1D"/>
    <w:rsid w:val="00572EB6"/>
    <w:rsid w:val="00572ED7"/>
    <w:rsid w:val="00572FBF"/>
    <w:rsid w:val="00572FD8"/>
    <w:rsid w:val="00573028"/>
    <w:rsid w:val="005730C4"/>
    <w:rsid w:val="005730EB"/>
    <w:rsid w:val="005731B8"/>
    <w:rsid w:val="00573209"/>
    <w:rsid w:val="00573222"/>
    <w:rsid w:val="0057329F"/>
    <w:rsid w:val="005732BC"/>
    <w:rsid w:val="0057335F"/>
    <w:rsid w:val="005733D5"/>
    <w:rsid w:val="00573470"/>
    <w:rsid w:val="0057361A"/>
    <w:rsid w:val="005737AD"/>
    <w:rsid w:val="005737B4"/>
    <w:rsid w:val="00573818"/>
    <w:rsid w:val="0057385B"/>
    <w:rsid w:val="00573948"/>
    <w:rsid w:val="0057399C"/>
    <w:rsid w:val="00573A0E"/>
    <w:rsid w:val="00573ADF"/>
    <w:rsid w:val="00573B76"/>
    <w:rsid w:val="00573C84"/>
    <w:rsid w:val="00573CAC"/>
    <w:rsid w:val="00573D07"/>
    <w:rsid w:val="00573DDB"/>
    <w:rsid w:val="00573DF1"/>
    <w:rsid w:val="00573E08"/>
    <w:rsid w:val="00573E8F"/>
    <w:rsid w:val="00573EAD"/>
    <w:rsid w:val="00573F00"/>
    <w:rsid w:val="00573F40"/>
    <w:rsid w:val="00573F54"/>
    <w:rsid w:val="00574078"/>
    <w:rsid w:val="00574187"/>
    <w:rsid w:val="0057422A"/>
    <w:rsid w:val="00574257"/>
    <w:rsid w:val="0057427B"/>
    <w:rsid w:val="005742A5"/>
    <w:rsid w:val="005742C1"/>
    <w:rsid w:val="00574325"/>
    <w:rsid w:val="005743DF"/>
    <w:rsid w:val="00574472"/>
    <w:rsid w:val="005744C5"/>
    <w:rsid w:val="00574520"/>
    <w:rsid w:val="0057452D"/>
    <w:rsid w:val="00574542"/>
    <w:rsid w:val="00574544"/>
    <w:rsid w:val="005745BA"/>
    <w:rsid w:val="0057462E"/>
    <w:rsid w:val="00574786"/>
    <w:rsid w:val="005748AD"/>
    <w:rsid w:val="00574966"/>
    <w:rsid w:val="005749D7"/>
    <w:rsid w:val="005749E4"/>
    <w:rsid w:val="00574A3F"/>
    <w:rsid w:val="00574A4C"/>
    <w:rsid w:val="00574A85"/>
    <w:rsid w:val="00574ADC"/>
    <w:rsid w:val="00574B4E"/>
    <w:rsid w:val="00574CF4"/>
    <w:rsid w:val="00574D61"/>
    <w:rsid w:val="00574DB9"/>
    <w:rsid w:val="00574E93"/>
    <w:rsid w:val="00574F77"/>
    <w:rsid w:val="00575128"/>
    <w:rsid w:val="00575156"/>
    <w:rsid w:val="005751D3"/>
    <w:rsid w:val="005751EA"/>
    <w:rsid w:val="005752B5"/>
    <w:rsid w:val="005753FE"/>
    <w:rsid w:val="0057543F"/>
    <w:rsid w:val="0057563A"/>
    <w:rsid w:val="005756DB"/>
    <w:rsid w:val="00575739"/>
    <w:rsid w:val="005757A4"/>
    <w:rsid w:val="00575895"/>
    <w:rsid w:val="005758BD"/>
    <w:rsid w:val="00575990"/>
    <w:rsid w:val="005759A3"/>
    <w:rsid w:val="00575A19"/>
    <w:rsid w:val="00575BC5"/>
    <w:rsid w:val="00575C31"/>
    <w:rsid w:val="00575C49"/>
    <w:rsid w:val="00575C7D"/>
    <w:rsid w:val="00575E3A"/>
    <w:rsid w:val="00575E3D"/>
    <w:rsid w:val="005760AD"/>
    <w:rsid w:val="00576106"/>
    <w:rsid w:val="0057620A"/>
    <w:rsid w:val="00576251"/>
    <w:rsid w:val="0057626D"/>
    <w:rsid w:val="005762AE"/>
    <w:rsid w:val="0057630E"/>
    <w:rsid w:val="00576366"/>
    <w:rsid w:val="005764A3"/>
    <w:rsid w:val="00576500"/>
    <w:rsid w:val="0057658A"/>
    <w:rsid w:val="00576591"/>
    <w:rsid w:val="005765C5"/>
    <w:rsid w:val="005765FC"/>
    <w:rsid w:val="00576658"/>
    <w:rsid w:val="005766C3"/>
    <w:rsid w:val="00576711"/>
    <w:rsid w:val="00576766"/>
    <w:rsid w:val="00576796"/>
    <w:rsid w:val="005768AF"/>
    <w:rsid w:val="005768EC"/>
    <w:rsid w:val="0057693B"/>
    <w:rsid w:val="005769D0"/>
    <w:rsid w:val="00576AA5"/>
    <w:rsid w:val="00576B67"/>
    <w:rsid w:val="00576BA0"/>
    <w:rsid w:val="00576C9A"/>
    <w:rsid w:val="00576DF0"/>
    <w:rsid w:val="00576ED2"/>
    <w:rsid w:val="00576F76"/>
    <w:rsid w:val="00576FF2"/>
    <w:rsid w:val="00577076"/>
    <w:rsid w:val="00577086"/>
    <w:rsid w:val="005770A4"/>
    <w:rsid w:val="00577141"/>
    <w:rsid w:val="00577175"/>
    <w:rsid w:val="005771A8"/>
    <w:rsid w:val="0057720F"/>
    <w:rsid w:val="0057728C"/>
    <w:rsid w:val="005772B5"/>
    <w:rsid w:val="00577311"/>
    <w:rsid w:val="00577512"/>
    <w:rsid w:val="005776D1"/>
    <w:rsid w:val="0057775A"/>
    <w:rsid w:val="00577769"/>
    <w:rsid w:val="00577B14"/>
    <w:rsid w:val="00577C5C"/>
    <w:rsid w:val="00577C62"/>
    <w:rsid w:val="00577CAD"/>
    <w:rsid w:val="00577CB7"/>
    <w:rsid w:val="00577F24"/>
    <w:rsid w:val="00577F8F"/>
    <w:rsid w:val="00577FBB"/>
    <w:rsid w:val="0057DA21"/>
    <w:rsid w:val="0058010F"/>
    <w:rsid w:val="00580422"/>
    <w:rsid w:val="0058048D"/>
    <w:rsid w:val="005804AB"/>
    <w:rsid w:val="00580519"/>
    <w:rsid w:val="00580556"/>
    <w:rsid w:val="00580626"/>
    <w:rsid w:val="00580667"/>
    <w:rsid w:val="00580681"/>
    <w:rsid w:val="0058081A"/>
    <w:rsid w:val="0058087C"/>
    <w:rsid w:val="005808FE"/>
    <w:rsid w:val="00580914"/>
    <w:rsid w:val="00580948"/>
    <w:rsid w:val="00580967"/>
    <w:rsid w:val="0058098E"/>
    <w:rsid w:val="005809AB"/>
    <w:rsid w:val="005809E2"/>
    <w:rsid w:val="00580A8A"/>
    <w:rsid w:val="00580A9F"/>
    <w:rsid w:val="00580ACF"/>
    <w:rsid w:val="00580B47"/>
    <w:rsid w:val="00580BDF"/>
    <w:rsid w:val="00580D8C"/>
    <w:rsid w:val="00580E91"/>
    <w:rsid w:val="00580EFE"/>
    <w:rsid w:val="00580FF5"/>
    <w:rsid w:val="00581018"/>
    <w:rsid w:val="0058102B"/>
    <w:rsid w:val="0058105C"/>
    <w:rsid w:val="005810C4"/>
    <w:rsid w:val="005810D0"/>
    <w:rsid w:val="005811D7"/>
    <w:rsid w:val="00581247"/>
    <w:rsid w:val="0058130B"/>
    <w:rsid w:val="00581326"/>
    <w:rsid w:val="00581397"/>
    <w:rsid w:val="0058139B"/>
    <w:rsid w:val="005813FA"/>
    <w:rsid w:val="00581421"/>
    <w:rsid w:val="005814DF"/>
    <w:rsid w:val="00581500"/>
    <w:rsid w:val="0058155D"/>
    <w:rsid w:val="005815A8"/>
    <w:rsid w:val="00581715"/>
    <w:rsid w:val="00581755"/>
    <w:rsid w:val="005817E9"/>
    <w:rsid w:val="005818C3"/>
    <w:rsid w:val="0058192A"/>
    <w:rsid w:val="00581979"/>
    <w:rsid w:val="005819DD"/>
    <w:rsid w:val="005819FD"/>
    <w:rsid w:val="00581A1F"/>
    <w:rsid w:val="00581C0A"/>
    <w:rsid w:val="00581C87"/>
    <w:rsid w:val="00581C91"/>
    <w:rsid w:val="00581CAD"/>
    <w:rsid w:val="00581D30"/>
    <w:rsid w:val="00581D4D"/>
    <w:rsid w:val="00581D5A"/>
    <w:rsid w:val="00581E6F"/>
    <w:rsid w:val="00581EC5"/>
    <w:rsid w:val="00581F06"/>
    <w:rsid w:val="00581F25"/>
    <w:rsid w:val="00581F58"/>
    <w:rsid w:val="00581FB8"/>
    <w:rsid w:val="00582018"/>
    <w:rsid w:val="00582034"/>
    <w:rsid w:val="0058214A"/>
    <w:rsid w:val="0058238C"/>
    <w:rsid w:val="005823BC"/>
    <w:rsid w:val="00582411"/>
    <w:rsid w:val="00582423"/>
    <w:rsid w:val="0058249F"/>
    <w:rsid w:val="005824D7"/>
    <w:rsid w:val="00582519"/>
    <w:rsid w:val="00582547"/>
    <w:rsid w:val="005825A7"/>
    <w:rsid w:val="005825BD"/>
    <w:rsid w:val="00582615"/>
    <w:rsid w:val="00582663"/>
    <w:rsid w:val="00582684"/>
    <w:rsid w:val="00582740"/>
    <w:rsid w:val="0058279A"/>
    <w:rsid w:val="005827F2"/>
    <w:rsid w:val="005828C2"/>
    <w:rsid w:val="0058290E"/>
    <w:rsid w:val="00582910"/>
    <w:rsid w:val="00582925"/>
    <w:rsid w:val="00582966"/>
    <w:rsid w:val="00582A3B"/>
    <w:rsid w:val="00582B6D"/>
    <w:rsid w:val="00582B88"/>
    <w:rsid w:val="00582D00"/>
    <w:rsid w:val="00582D02"/>
    <w:rsid w:val="00582DBB"/>
    <w:rsid w:val="00582E73"/>
    <w:rsid w:val="00582F37"/>
    <w:rsid w:val="00582FB8"/>
    <w:rsid w:val="00582FBD"/>
    <w:rsid w:val="00582FCE"/>
    <w:rsid w:val="00583067"/>
    <w:rsid w:val="0058309A"/>
    <w:rsid w:val="005832AD"/>
    <w:rsid w:val="0058345B"/>
    <w:rsid w:val="005834E8"/>
    <w:rsid w:val="0058370A"/>
    <w:rsid w:val="0058372A"/>
    <w:rsid w:val="00583832"/>
    <w:rsid w:val="0058390C"/>
    <w:rsid w:val="00583978"/>
    <w:rsid w:val="005839BC"/>
    <w:rsid w:val="00583B1D"/>
    <w:rsid w:val="00583BA7"/>
    <w:rsid w:val="00583BED"/>
    <w:rsid w:val="00583C18"/>
    <w:rsid w:val="00583C46"/>
    <w:rsid w:val="00583CD5"/>
    <w:rsid w:val="00583EB4"/>
    <w:rsid w:val="00583EF4"/>
    <w:rsid w:val="00583F4F"/>
    <w:rsid w:val="00584051"/>
    <w:rsid w:val="005841D7"/>
    <w:rsid w:val="00584217"/>
    <w:rsid w:val="00584259"/>
    <w:rsid w:val="00584298"/>
    <w:rsid w:val="005842CE"/>
    <w:rsid w:val="005842DF"/>
    <w:rsid w:val="00584300"/>
    <w:rsid w:val="00584356"/>
    <w:rsid w:val="0058443A"/>
    <w:rsid w:val="005844CD"/>
    <w:rsid w:val="0058456D"/>
    <w:rsid w:val="005845A0"/>
    <w:rsid w:val="005845C5"/>
    <w:rsid w:val="00584752"/>
    <w:rsid w:val="005847E2"/>
    <w:rsid w:val="005848B4"/>
    <w:rsid w:val="005849B2"/>
    <w:rsid w:val="00584B2F"/>
    <w:rsid w:val="00584B40"/>
    <w:rsid w:val="00584B91"/>
    <w:rsid w:val="00584CC8"/>
    <w:rsid w:val="00584D6D"/>
    <w:rsid w:val="00584E1B"/>
    <w:rsid w:val="00584E7D"/>
    <w:rsid w:val="00584E81"/>
    <w:rsid w:val="00584EB3"/>
    <w:rsid w:val="00584EED"/>
    <w:rsid w:val="00584F25"/>
    <w:rsid w:val="00584F34"/>
    <w:rsid w:val="00584F7A"/>
    <w:rsid w:val="005851EA"/>
    <w:rsid w:val="005853F3"/>
    <w:rsid w:val="005853F4"/>
    <w:rsid w:val="005854EF"/>
    <w:rsid w:val="005857D6"/>
    <w:rsid w:val="005857F3"/>
    <w:rsid w:val="0058580E"/>
    <w:rsid w:val="00585896"/>
    <w:rsid w:val="0058598B"/>
    <w:rsid w:val="005859C7"/>
    <w:rsid w:val="00585AFF"/>
    <w:rsid w:val="00585B91"/>
    <w:rsid w:val="00585C88"/>
    <w:rsid w:val="00585CFA"/>
    <w:rsid w:val="00585D62"/>
    <w:rsid w:val="00585D7C"/>
    <w:rsid w:val="00585DC2"/>
    <w:rsid w:val="00585DF4"/>
    <w:rsid w:val="00585E56"/>
    <w:rsid w:val="00585EAB"/>
    <w:rsid w:val="00585F83"/>
    <w:rsid w:val="00586314"/>
    <w:rsid w:val="00586354"/>
    <w:rsid w:val="00586360"/>
    <w:rsid w:val="005863B7"/>
    <w:rsid w:val="005863FD"/>
    <w:rsid w:val="0058644E"/>
    <w:rsid w:val="00586490"/>
    <w:rsid w:val="0058649B"/>
    <w:rsid w:val="00586501"/>
    <w:rsid w:val="00586574"/>
    <w:rsid w:val="005866E9"/>
    <w:rsid w:val="00586796"/>
    <w:rsid w:val="005867C2"/>
    <w:rsid w:val="005867D1"/>
    <w:rsid w:val="00586842"/>
    <w:rsid w:val="00586891"/>
    <w:rsid w:val="0058692D"/>
    <w:rsid w:val="005869FC"/>
    <w:rsid w:val="00586B81"/>
    <w:rsid w:val="00586BC0"/>
    <w:rsid w:val="00586C7C"/>
    <w:rsid w:val="00586D1B"/>
    <w:rsid w:val="00586D46"/>
    <w:rsid w:val="00586DE7"/>
    <w:rsid w:val="00586DFE"/>
    <w:rsid w:val="00586E87"/>
    <w:rsid w:val="00586F14"/>
    <w:rsid w:val="00586F1B"/>
    <w:rsid w:val="00586F25"/>
    <w:rsid w:val="00586F68"/>
    <w:rsid w:val="00586FB3"/>
    <w:rsid w:val="00586FC5"/>
    <w:rsid w:val="00586FF1"/>
    <w:rsid w:val="0058708F"/>
    <w:rsid w:val="00587188"/>
    <w:rsid w:val="0058725D"/>
    <w:rsid w:val="005872CC"/>
    <w:rsid w:val="0058730F"/>
    <w:rsid w:val="00587377"/>
    <w:rsid w:val="0058743C"/>
    <w:rsid w:val="005876D5"/>
    <w:rsid w:val="0058773F"/>
    <w:rsid w:val="0058778D"/>
    <w:rsid w:val="00587916"/>
    <w:rsid w:val="00587A0E"/>
    <w:rsid w:val="00587A9D"/>
    <w:rsid w:val="00587AF1"/>
    <w:rsid w:val="00587BD6"/>
    <w:rsid w:val="00587C50"/>
    <w:rsid w:val="00587C6E"/>
    <w:rsid w:val="00587CC9"/>
    <w:rsid w:val="00587CE9"/>
    <w:rsid w:val="00587D62"/>
    <w:rsid w:val="00587D67"/>
    <w:rsid w:val="00587EA0"/>
    <w:rsid w:val="00587F25"/>
    <w:rsid w:val="00587F54"/>
    <w:rsid w:val="00587F79"/>
    <w:rsid w:val="00587F8F"/>
    <w:rsid w:val="0059001D"/>
    <w:rsid w:val="00590030"/>
    <w:rsid w:val="00590062"/>
    <w:rsid w:val="00590066"/>
    <w:rsid w:val="00590093"/>
    <w:rsid w:val="00590096"/>
    <w:rsid w:val="0059011B"/>
    <w:rsid w:val="005901A8"/>
    <w:rsid w:val="005901D7"/>
    <w:rsid w:val="00590200"/>
    <w:rsid w:val="005902D2"/>
    <w:rsid w:val="005902D3"/>
    <w:rsid w:val="005902E4"/>
    <w:rsid w:val="0059033E"/>
    <w:rsid w:val="0059038F"/>
    <w:rsid w:val="0059045C"/>
    <w:rsid w:val="00590477"/>
    <w:rsid w:val="005904DC"/>
    <w:rsid w:val="0059055A"/>
    <w:rsid w:val="0059061D"/>
    <w:rsid w:val="00590635"/>
    <w:rsid w:val="005906DA"/>
    <w:rsid w:val="005907D3"/>
    <w:rsid w:val="00590823"/>
    <w:rsid w:val="0059082D"/>
    <w:rsid w:val="00590954"/>
    <w:rsid w:val="00590989"/>
    <w:rsid w:val="0059099F"/>
    <w:rsid w:val="00590A6C"/>
    <w:rsid w:val="00590ADE"/>
    <w:rsid w:val="00590AFF"/>
    <w:rsid w:val="00590B1B"/>
    <w:rsid w:val="00590B85"/>
    <w:rsid w:val="00590C00"/>
    <w:rsid w:val="00590C3C"/>
    <w:rsid w:val="00590C48"/>
    <w:rsid w:val="00590C97"/>
    <w:rsid w:val="00590CEE"/>
    <w:rsid w:val="00590D20"/>
    <w:rsid w:val="00590DD0"/>
    <w:rsid w:val="00590EE2"/>
    <w:rsid w:val="00590F0F"/>
    <w:rsid w:val="00590F31"/>
    <w:rsid w:val="00590FFB"/>
    <w:rsid w:val="005910AB"/>
    <w:rsid w:val="00591134"/>
    <w:rsid w:val="00591380"/>
    <w:rsid w:val="005913B4"/>
    <w:rsid w:val="005913E7"/>
    <w:rsid w:val="005913EA"/>
    <w:rsid w:val="00591427"/>
    <w:rsid w:val="00591445"/>
    <w:rsid w:val="00591467"/>
    <w:rsid w:val="0059148D"/>
    <w:rsid w:val="0059153E"/>
    <w:rsid w:val="00591563"/>
    <w:rsid w:val="00591572"/>
    <w:rsid w:val="0059157E"/>
    <w:rsid w:val="00591585"/>
    <w:rsid w:val="005917BB"/>
    <w:rsid w:val="0059182A"/>
    <w:rsid w:val="00591838"/>
    <w:rsid w:val="00591918"/>
    <w:rsid w:val="0059194E"/>
    <w:rsid w:val="00591A33"/>
    <w:rsid w:val="00591A35"/>
    <w:rsid w:val="00591AE9"/>
    <w:rsid w:val="00591B72"/>
    <w:rsid w:val="00591BCE"/>
    <w:rsid w:val="00591C1E"/>
    <w:rsid w:val="00591D39"/>
    <w:rsid w:val="00591D58"/>
    <w:rsid w:val="00591E43"/>
    <w:rsid w:val="00591ECE"/>
    <w:rsid w:val="00591EFA"/>
    <w:rsid w:val="00591F3D"/>
    <w:rsid w:val="00591F46"/>
    <w:rsid w:val="00591F55"/>
    <w:rsid w:val="00591FE9"/>
    <w:rsid w:val="00592171"/>
    <w:rsid w:val="00592222"/>
    <w:rsid w:val="00592290"/>
    <w:rsid w:val="005922A5"/>
    <w:rsid w:val="005922E6"/>
    <w:rsid w:val="00592390"/>
    <w:rsid w:val="005923C2"/>
    <w:rsid w:val="005925AC"/>
    <w:rsid w:val="0059268D"/>
    <w:rsid w:val="005926C8"/>
    <w:rsid w:val="0059271C"/>
    <w:rsid w:val="00592840"/>
    <w:rsid w:val="00592861"/>
    <w:rsid w:val="005928EC"/>
    <w:rsid w:val="0059296D"/>
    <w:rsid w:val="00592984"/>
    <w:rsid w:val="00592A55"/>
    <w:rsid w:val="00592ABE"/>
    <w:rsid w:val="00592B1B"/>
    <w:rsid w:val="00592B85"/>
    <w:rsid w:val="00592C18"/>
    <w:rsid w:val="00592C8C"/>
    <w:rsid w:val="00592CB3"/>
    <w:rsid w:val="00592CC7"/>
    <w:rsid w:val="00592D3F"/>
    <w:rsid w:val="00592D68"/>
    <w:rsid w:val="00592E04"/>
    <w:rsid w:val="00592F1B"/>
    <w:rsid w:val="0059311A"/>
    <w:rsid w:val="005931E7"/>
    <w:rsid w:val="00593288"/>
    <w:rsid w:val="00593504"/>
    <w:rsid w:val="005935E8"/>
    <w:rsid w:val="0059375F"/>
    <w:rsid w:val="00593A92"/>
    <w:rsid w:val="00593B6F"/>
    <w:rsid w:val="00593B7B"/>
    <w:rsid w:val="00593BA5"/>
    <w:rsid w:val="00593C4E"/>
    <w:rsid w:val="00593C72"/>
    <w:rsid w:val="00593CB2"/>
    <w:rsid w:val="00593D53"/>
    <w:rsid w:val="00593DE3"/>
    <w:rsid w:val="00593EEB"/>
    <w:rsid w:val="00593F9C"/>
    <w:rsid w:val="00594015"/>
    <w:rsid w:val="00594107"/>
    <w:rsid w:val="00594153"/>
    <w:rsid w:val="00594221"/>
    <w:rsid w:val="00594225"/>
    <w:rsid w:val="0059431C"/>
    <w:rsid w:val="00594469"/>
    <w:rsid w:val="005945B2"/>
    <w:rsid w:val="005946A3"/>
    <w:rsid w:val="005946E8"/>
    <w:rsid w:val="005946FB"/>
    <w:rsid w:val="00594723"/>
    <w:rsid w:val="0059479B"/>
    <w:rsid w:val="005947FF"/>
    <w:rsid w:val="00594845"/>
    <w:rsid w:val="005948E5"/>
    <w:rsid w:val="00594913"/>
    <w:rsid w:val="00594A4E"/>
    <w:rsid w:val="00594A94"/>
    <w:rsid w:val="00594B54"/>
    <w:rsid w:val="00594B5F"/>
    <w:rsid w:val="00594BC5"/>
    <w:rsid w:val="00594C76"/>
    <w:rsid w:val="00594C97"/>
    <w:rsid w:val="00594D3B"/>
    <w:rsid w:val="00594E53"/>
    <w:rsid w:val="00594F09"/>
    <w:rsid w:val="00595013"/>
    <w:rsid w:val="00595066"/>
    <w:rsid w:val="005950E3"/>
    <w:rsid w:val="005951E2"/>
    <w:rsid w:val="005951FD"/>
    <w:rsid w:val="005952AE"/>
    <w:rsid w:val="005952E0"/>
    <w:rsid w:val="00595300"/>
    <w:rsid w:val="0059544C"/>
    <w:rsid w:val="0059549D"/>
    <w:rsid w:val="00595550"/>
    <w:rsid w:val="0059557E"/>
    <w:rsid w:val="005955E6"/>
    <w:rsid w:val="00595730"/>
    <w:rsid w:val="0059574A"/>
    <w:rsid w:val="005957FF"/>
    <w:rsid w:val="00595835"/>
    <w:rsid w:val="00595841"/>
    <w:rsid w:val="0059584F"/>
    <w:rsid w:val="005958E8"/>
    <w:rsid w:val="00595C09"/>
    <w:rsid w:val="00595C3F"/>
    <w:rsid w:val="00595C94"/>
    <w:rsid w:val="00595CC3"/>
    <w:rsid w:val="00595D40"/>
    <w:rsid w:val="00595DAC"/>
    <w:rsid w:val="00595DEC"/>
    <w:rsid w:val="00595E33"/>
    <w:rsid w:val="00595E92"/>
    <w:rsid w:val="00595EB1"/>
    <w:rsid w:val="00595EC4"/>
    <w:rsid w:val="00595F05"/>
    <w:rsid w:val="00595F6E"/>
    <w:rsid w:val="00595F85"/>
    <w:rsid w:val="00595FC0"/>
    <w:rsid w:val="005960F2"/>
    <w:rsid w:val="0059612E"/>
    <w:rsid w:val="005961B1"/>
    <w:rsid w:val="0059634E"/>
    <w:rsid w:val="005963C3"/>
    <w:rsid w:val="0059654B"/>
    <w:rsid w:val="0059659F"/>
    <w:rsid w:val="0059664B"/>
    <w:rsid w:val="0059667A"/>
    <w:rsid w:val="005966A3"/>
    <w:rsid w:val="005966F9"/>
    <w:rsid w:val="00596788"/>
    <w:rsid w:val="005967B5"/>
    <w:rsid w:val="0059687B"/>
    <w:rsid w:val="0059689D"/>
    <w:rsid w:val="00596978"/>
    <w:rsid w:val="00596A13"/>
    <w:rsid w:val="00596A30"/>
    <w:rsid w:val="00596A33"/>
    <w:rsid w:val="00596A68"/>
    <w:rsid w:val="00596AC5"/>
    <w:rsid w:val="00596B12"/>
    <w:rsid w:val="00596B4A"/>
    <w:rsid w:val="00596B54"/>
    <w:rsid w:val="00596C12"/>
    <w:rsid w:val="00596CB5"/>
    <w:rsid w:val="00596D53"/>
    <w:rsid w:val="00596D7D"/>
    <w:rsid w:val="00596D95"/>
    <w:rsid w:val="00596DE3"/>
    <w:rsid w:val="00596E8F"/>
    <w:rsid w:val="00596F4C"/>
    <w:rsid w:val="00596FAB"/>
    <w:rsid w:val="00596FE0"/>
    <w:rsid w:val="005970AF"/>
    <w:rsid w:val="0059711B"/>
    <w:rsid w:val="0059723F"/>
    <w:rsid w:val="00597549"/>
    <w:rsid w:val="005975B8"/>
    <w:rsid w:val="00597687"/>
    <w:rsid w:val="00597751"/>
    <w:rsid w:val="005977DA"/>
    <w:rsid w:val="005977F3"/>
    <w:rsid w:val="00597857"/>
    <w:rsid w:val="00597861"/>
    <w:rsid w:val="005978E8"/>
    <w:rsid w:val="00597961"/>
    <w:rsid w:val="005979C3"/>
    <w:rsid w:val="00597B22"/>
    <w:rsid w:val="00597B82"/>
    <w:rsid w:val="00597CA7"/>
    <w:rsid w:val="00597EA1"/>
    <w:rsid w:val="00597ED5"/>
    <w:rsid w:val="00597F38"/>
    <w:rsid w:val="00597F84"/>
    <w:rsid w:val="00597FB3"/>
    <w:rsid w:val="005A0026"/>
    <w:rsid w:val="005A00D0"/>
    <w:rsid w:val="005A0201"/>
    <w:rsid w:val="005A0219"/>
    <w:rsid w:val="005A02B5"/>
    <w:rsid w:val="005A02C4"/>
    <w:rsid w:val="005A0443"/>
    <w:rsid w:val="005A04B5"/>
    <w:rsid w:val="005A04DF"/>
    <w:rsid w:val="005A053E"/>
    <w:rsid w:val="005A0549"/>
    <w:rsid w:val="005A055F"/>
    <w:rsid w:val="005A05B6"/>
    <w:rsid w:val="005A0612"/>
    <w:rsid w:val="005A08ED"/>
    <w:rsid w:val="005A0995"/>
    <w:rsid w:val="005A0A65"/>
    <w:rsid w:val="005A0AF0"/>
    <w:rsid w:val="005A0B80"/>
    <w:rsid w:val="005A0BBB"/>
    <w:rsid w:val="005A0BF0"/>
    <w:rsid w:val="005A0E55"/>
    <w:rsid w:val="005A0E7E"/>
    <w:rsid w:val="005A0E98"/>
    <w:rsid w:val="005A0EDD"/>
    <w:rsid w:val="005A0F21"/>
    <w:rsid w:val="005A0F96"/>
    <w:rsid w:val="005A0FC0"/>
    <w:rsid w:val="005A1087"/>
    <w:rsid w:val="005A10F8"/>
    <w:rsid w:val="005A1119"/>
    <w:rsid w:val="005A1272"/>
    <w:rsid w:val="005A12D2"/>
    <w:rsid w:val="005A143C"/>
    <w:rsid w:val="005A14AF"/>
    <w:rsid w:val="005A15AC"/>
    <w:rsid w:val="005A165E"/>
    <w:rsid w:val="005A1667"/>
    <w:rsid w:val="005A16E4"/>
    <w:rsid w:val="005A178A"/>
    <w:rsid w:val="005A17C6"/>
    <w:rsid w:val="005A17D7"/>
    <w:rsid w:val="005A1A0C"/>
    <w:rsid w:val="005A1A25"/>
    <w:rsid w:val="005A1A68"/>
    <w:rsid w:val="005A1A82"/>
    <w:rsid w:val="005A1BBF"/>
    <w:rsid w:val="005A1CC2"/>
    <w:rsid w:val="005A1D92"/>
    <w:rsid w:val="005A1DA0"/>
    <w:rsid w:val="005A1E20"/>
    <w:rsid w:val="005A1E6A"/>
    <w:rsid w:val="005A1E91"/>
    <w:rsid w:val="005A1EAA"/>
    <w:rsid w:val="005A1F55"/>
    <w:rsid w:val="005A21FD"/>
    <w:rsid w:val="005A2383"/>
    <w:rsid w:val="005A23B2"/>
    <w:rsid w:val="005A24C6"/>
    <w:rsid w:val="005A250C"/>
    <w:rsid w:val="005A2524"/>
    <w:rsid w:val="005A25B6"/>
    <w:rsid w:val="005A25C2"/>
    <w:rsid w:val="005A2732"/>
    <w:rsid w:val="005A2770"/>
    <w:rsid w:val="005A27FF"/>
    <w:rsid w:val="005A28DD"/>
    <w:rsid w:val="005A2905"/>
    <w:rsid w:val="005A2B39"/>
    <w:rsid w:val="005A2CDF"/>
    <w:rsid w:val="005A2DBE"/>
    <w:rsid w:val="005A2DD9"/>
    <w:rsid w:val="005A2F04"/>
    <w:rsid w:val="005A2F3D"/>
    <w:rsid w:val="005A2F74"/>
    <w:rsid w:val="005A300E"/>
    <w:rsid w:val="005A3112"/>
    <w:rsid w:val="005A31A4"/>
    <w:rsid w:val="005A33FF"/>
    <w:rsid w:val="005A34BF"/>
    <w:rsid w:val="005A3582"/>
    <w:rsid w:val="005A35E0"/>
    <w:rsid w:val="005A36A6"/>
    <w:rsid w:val="005A37AB"/>
    <w:rsid w:val="005A3940"/>
    <w:rsid w:val="005A3961"/>
    <w:rsid w:val="005A399E"/>
    <w:rsid w:val="005A39B7"/>
    <w:rsid w:val="005A3ACE"/>
    <w:rsid w:val="005A3B20"/>
    <w:rsid w:val="005A3B41"/>
    <w:rsid w:val="005A3B6E"/>
    <w:rsid w:val="005A3BCB"/>
    <w:rsid w:val="005A3CD4"/>
    <w:rsid w:val="005A3D65"/>
    <w:rsid w:val="005A3DA4"/>
    <w:rsid w:val="005A3E41"/>
    <w:rsid w:val="005A3ECE"/>
    <w:rsid w:val="005A3F2F"/>
    <w:rsid w:val="005A4047"/>
    <w:rsid w:val="005A4089"/>
    <w:rsid w:val="005A40CF"/>
    <w:rsid w:val="005A4136"/>
    <w:rsid w:val="005A41DC"/>
    <w:rsid w:val="005A4211"/>
    <w:rsid w:val="005A4279"/>
    <w:rsid w:val="005A438B"/>
    <w:rsid w:val="005A439A"/>
    <w:rsid w:val="005A43B3"/>
    <w:rsid w:val="005A43F7"/>
    <w:rsid w:val="005A459A"/>
    <w:rsid w:val="005A45A7"/>
    <w:rsid w:val="005A468D"/>
    <w:rsid w:val="005A4794"/>
    <w:rsid w:val="005A47DB"/>
    <w:rsid w:val="005A4854"/>
    <w:rsid w:val="005A48D0"/>
    <w:rsid w:val="005A4B96"/>
    <w:rsid w:val="005A4CE0"/>
    <w:rsid w:val="005A4D01"/>
    <w:rsid w:val="005A4DCE"/>
    <w:rsid w:val="005A4DF1"/>
    <w:rsid w:val="005A50B1"/>
    <w:rsid w:val="005A50C0"/>
    <w:rsid w:val="005A5141"/>
    <w:rsid w:val="005A515A"/>
    <w:rsid w:val="005A51CF"/>
    <w:rsid w:val="005A5200"/>
    <w:rsid w:val="005A52A4"/>
    <w:rsid w:val="005A52B5"/>
    <w:rsid w:val="005A52D8"/>
    <w:rsid w:val="005A5420"/>
    <w:rsid w:val="005A546A"/>
    <w:rsid w:val="005A5490"/>
    <w:rsid w:val="005A549C"/>
    <w:rsid w:val="005A5593"/>
    <w:rsid w:val="005A5667"/>
    <w:rsid w:val="005A56B8"/>
    <w:rsid w:val="005A56CA"/>
    <w:rsid w:val="005A5757"/>
    <w:rsid w:val="005A57BE"/>
    <w:rsid w:val="005A5859"/>
    <w:rsid w:val="005A596A"/>
    <w:rsid w:val="005A59D2"/>
    <w:rsid w:val="005A5A24"/>
    <w:rsid w:val="005A5A97"/>
    <w:rsid w:val="005A5AD5"/>
    <w:rsid w:val="005A5B16"/>
    <w:rsid w:val="005A5B28"/>
    <w:rsid w:val="005A5D5E"/>
    <w:rsid w:val="005A5D70"/>
    <w:rsid w:val="005A5E6C"/>
    <w:rsid w:val="005A5E71"/>
    <w:rsid w:val="005A5E9D"/>
    <w:rsid w:val="005A5EBF"/>
    <w:rsid w:val="005A6019"/>
    <w:rsid w:val="005A612C"/>
    <w:rsid w:val="005A615E"/>
    <w:rsid w:val="005A6306"/>
    <w:rsid w:val="005A633F"/>
    <w:rsid w:val="005A6364"/>
    <w:rsid w:val="005A6385"/>
    <w:rsid w:val="005A63E4"/>
    <w:rsid w:val="005A6485"/>
    <w:rsid w:val="005A6511"/>
    <w:rsid w:val="005A655F"/>
    <w:rsid w:val="005A67AF"/>
    <w:rsid w:val="005A67C2"/>
    <w:rsid w:val="005A68BE"/>
    <w:rsid w:val="005A69F7"/>
    <w:rsid w:val="005A6A25"/>
    <w:rsid w:val="005A6A8F"/>
    <w:rsid w:val="005A6AB0"/>
    <w:rsid w:val="005A6AB9"/>
    <w:rsid w:val="005A6B7D"/>
    <w:rsid w:val="005A6BA2"/>
    <w:rsid w:val="005A6C32"/>
    <w:rsid w:val="005A6D4B"/>
    <w:rsid w:val="005A6F69"/>
    <w:rsid w:val="005A709D"/>
    <w:rsid w:val="005A70A5"/>
    <w:rsid w:val="005A7160"/>
    <w:rsid w:val="005A71D1"/>
    <w:rsid w:val="005A726A"/>
    <w:rsid w:val="005A7311"/>
    <w:rsid w:val="005A750C"/>
    <w:rsid w:val="005A7568"/>
    <w:rsid w:val="005A76EE"/>
    <w:rsid w:val="005A7741"/>
    <w:rsid w:val="005A774D"/>
    <w:rsid w:val="005A776A"/>
    <w:rsid w:val="005A79CF"/>
    <w:rsid w:val="005A79DF"/>
    <w:rsid w:val="005A7A11"/>
    <w:rsid w:val="005A7AF6"/>
    <w:rsid w:val="005A7BB3"/>
    <w:rsid w:val="005A7BD3"/>
    <w:rsid w:val="005A7CA6"/>
    <w:rsid w:val="005A7E29"/>
    <w:rsid w:val="005A7E81"/>
    <w:rsid w:val="005A7E87"/>
    <w:rsid w:val="005B0051"/>
    <w:rsid w:val="005B0057"/>
    <w:rsid w:val="005B00F4"/>
    <w:rsid w:val="005B016D"/>
    <w:rsid w:val="005B02EF"/>
    <w:rsid w:val="005B0377"/>
    <w:rsid w:val="005B03BC"/>
    <w:rsid w:val="005B03CB"/>
    <w:rsid w:val="005B0415"/>
    <w:rsid w:val="005B048E"/>
    <w:rsid w:val="005B04F4"/>
    <w:rsid w:val="005B0528"/>
    <w:rsid w:val="005B0542"/>
    <w:rsid w:val="005B056F"/>
    <w:rsid w:val="005B0580"/>
    <w:rsid w:val="005B0599"/>
    <w:rsid w:val="005B062F"/>
    <w:rsid w:val="005B064E"/>
    <w:rsid w:val="005B0719"/>
    <w:rsid w:val="005B07F7"/>
    <w:rsid w:val="005B094B"/>
    <w:rsid w:val="005B0969"/>
    <w:rsid w:val="005B0A2F"/>
    <w:rsid w:val="005B0AB0"/>
    <w:rsid w:val="005B0CCE"/>
    <w:rsid w:val="005B0E03"/>
    <w:rsid w:val="005B0E0A"/>
    <w:rsid w:val="005B0FCE"/>
    <w:rsid w:val="005B1068"/>
    <w:rsid w:val="005B11BE"/>
    <w:rsid w:val="005B128E"/>
    <w:rsid w:val="005B12B0"/>
    <w:rsid w:val="005B13BE"/>
    <w:rsid w:val="005B1544"/>
    <w:rsid w:val="005B15A2"/>
    <w:rsid w:val="005B1714"/>
    <w:rsid w:val="005B17F7"/>
    <w:rsid w:val="005B1802"/>
    <w:rsid w:val="005B1868"/>
    <w:rsid w:val="005B1870"/>
    <w:rsid w:val="005B19CD"/>
    <w:rsid w:val="005B1A36"/>
    <w:rsid w:val="005B1ABE"/>
    <w:rsid w:val="005B1AC0"/>
    <w:rsid w:val="005B1B17"/>
    <w:rsid w:val="005B1B7B"/>
    <w:rsid w:val="005B1B92"/>
    <w:rsid w:val="005B1BBB"/>
    <w:rsid w:val="005B1C33"/>
    <w:rsid w:val="005B1C43"/>
    <w:rsid w:val="005B1CE0"/>
    <w:rsid w:val="005B1D03"/>
    <w:rsid w:val="005B1E6C"/>
    <w:rsid w:val="005B1EBE"/>
    <w:rsid w:val="005B1ED8"/>
    <w:rsid w:val="005B1F1C"/>
    <w:rsid w:val="005B1F76"/>
    <w:rsid w:val="005B20AE"/>
    <w:rsid w:val="005B210F"/>
    <w:rsid w:val="005B21BB"/>
    <w:rsid w:val="005B228A"/>
    <w:rsid w:val="005B228F"/>
    <w:rsid w:val="005B229D"/>
    <w:rsid w:val="005B22CD"/>
    <w:rsid w:val="005B2371"/>
    <w:rsid w:val="005B237C"/>
    <w:rsid w:val="005B23BA"/>
    <w:rsid w:val="005B2661"/>
    <w:rsid w:val="005B2787"/>
    <w:rsid w:val="005B2804"/>
    <w:rsid w:val="005B297B"/>
    <w:rsid w:val="005B2B95"/>
    <w:rsid w:val="005B2B9D"/>
    <w:rsid w:val="005B2CB6"/>
    <w:rsid w:val="005B2DEB"/>
    <w:rsid w:val="005B2EF5"/>
    <w:rsid w:val="005B2F03"/>
    <w:rsid w:val="005B2F77"/>
    <w:rsid w:val="005B2F93"/>
    <w:rsid w:val="005B2FEA"/>
    <w:rsid w:val="005B2FF0"/>
    <w:rsid w:val="005B30BC"/>
    <w:rsid w:val="005B3169"/>
    <w:rsid w:val="005B322D"/>
    <w:rsid w:val="005B32EC"/>
    <w:rsid w:val="005B3445"/>
    <w:rsid w:val="005B3476"/>
    <w:rsid w:val="005B3480"/>
    <w:rsid w:val="005B386A"/>
    <w:rsid w:val="005B387C"/>
    <w:rsid w:val="005B3945"/>
    <w:rsid w:val="005B3CE4"/>
    <w:rsid w:val="005B3D17"/>
    <w:rsid w:val="005B3E20"/>
    <w:rsid w:val="005B3EA8"/>
    <w:rsid w:val="005B3EB6"/>
    <w:rsid w:val="005B3F11"/>
    <w:rsid w:val="005B40B9"/>
    <w:rsid w:val="005B40C7"/>
    <w:rsid w:val="005B43CB"/>
    <w:rsid w:val="005B43FD"/>
    <w:rsid w:val="005B458A"/>
    <w:rsid w:val="005B460C"/>
    <w:rsid w:val="005B4729"/>
    <w:rsid w:val="005B48CB"/>
    <w:rsid w:val="005B4943"/>
    <w:rsid w:val="005B497B"/>
    <w:rsid w:val="005B49A2"/>
    <w:rsid w:val="005B49CE"/>
    <w:rsid w:val="005B4B3A"/>
    <w:rsid w:val="005B4CA7"/>
    <w:rsid w:val="005B4CBA"/>
    <w:rsid w:val="005B4CDF"/>
    <w:rsid w:val="005B4E3E"/>
    <w:rsid w:val="005B4F8E"/>
    <w:rsid w:val="005B5063"/>
    <w:rsid w:val="005B5131"/>
    <w:rsid w:val="005B51DA"/>
    <w:rsid w:val="005B53AD"/>
    <w:rsid w:val="005B5480"/>
    <w:rsid w:val="005B54D0"/>
    <w:rsid w:val="005B558A"/>
    <w:rsid w:val="005B5733"/>
    <w:rsid w:val="005B5790"/>
    <w:rsid w:val="005B5836"/>
    <w:rsid w:val="005B5973"/>
    <w:rsid w:val="005B5CBC"/>
    <w:rsid w:val="005B5D30"/>
    <w:rsid w:val="005B5D5C"/>
    <w:rsid w:val="005B5E1B"/>
    <w:rsid w:val="005B609C"/>
    <w:rsid w:val="005B60A0"/>
    <w:rsid w:val="005B60EC"/>
    <w:rsid w:val="005B618A"/>
    <w:rsid w:val="005B6237"/>
    <w:rsid w:val="005B626D"/>
    <w:rsid w:val="005B6289"/>
    <w:rsid w:val="005B6290"/>
    <w:rsid w:val="005B6326"/>
    <w:rsid w:val="005B637B"/>
    <w:rsid w:val="005B63DD"/>
    <w:rsid w:val="005B64BD"/>
    <w:rsid w:val="005B6526"/>
    <w:rsid w:val="005B65A2"/>
    <w:rsid w:val="005B6641"/>
    <w:rsid w:val="005B675B"/>
    <w:rsid w:val="005B6803"/>
    <w:rsid w:val="005B68AD"/>
    <w:rsid w:val="005B68B2"/>
    <w:rsid w:val="005B693C"/>
    <w:rsid w:val="005B6963"/>
    <w:rsid w:val="005B697D"/>
    <w:rsid w:val="005B69BA"/>
    <w:rsid w:val="005B69EB"/>
    <w:rsid w:val="005B6A1C"/>
    <w:rsid w:val="005B6A2A"/>
    <w:rsid w:val="005B6A85"/>
    <w:rsid w:val="005B6ADE"/>
    <w:rsid w:val="005B6B07"/>
    <w:rsid w:val="005B6B9D"/>
    <w:rsid w:val="005B6C4F"/>
    <w:rsid w:val="005B6C90"/>
    <w:rsid w:val="005B6D16"/>
    <w:rsid w:val="005B6D83"/>
    <w:rsid w:val="005B6D98"/>
    <w:rsid w:val="005B6E69"/>
    <w:rsid w:val="005B6E77"/>
    <w:rsid w:val="005B6E7E"/>
    <w:rsid w:val="005B6E9B"/>
    <w:rsid w:val="005B6F64"/>
    <w:rsid w:val="005B6FCF"/>
    <w:rsid w:val="005B7164"/>
    <w:rsid w:val="005B7322"/>
    <w:rsid w:val="005B7352"/>
    <w:rsid w:val="005B7391"/>
    <w:rsid w:val="005B7677"/>
    <w:rsid w:val="005B77CE"/>
    <w:rsid w:val="005B78AB"/>
    <w:rsid w:val="005B79CB"/>
    <w:rsid w:val="005B7B56"/>
    <w:rsid w:val="005B7B74"/>
    <w:rsid w:val="005B7C63"/>
    <w:rsid w:val="005B7C84"/>
    <w:rsid w:val="005B7CC1"/>
    <w:rsid w:val="005B7CDA"/>
    <w:rsid w:val="005B7E3F"/>
    <w:rsid w:val="005B7F15"/>
    <w:rsid w:val="005B7F31"/>
    <w:rsid w:val="005BA571"/>
    <w:rsid w:val="005C01FF"/>
    <w:rsid w:val="005C0210"/>
    <w:rsid w:val="005C03DF"/>
    <w:rsid w:val="005C0423"/>
    <w:rsid w:val="005C04F6"/>
    <w:rsid w:val="005C0621"/>
    <w:rsid w:val="005C065F"/>
    <w:rsid w:val="005C0660"/>
    <w:rsid w:val="005C06A7"/>
    <w:rsid w:val="005C072E"/>
    <w:rsid w:val="005C0774"/>
    <w:rsid w:val="005C0872"/>
    <w:rsid w:val="005C0955"/>
    <w:rsid w:val="005C0967"/>
    <w:rsid w:val="005C0A45"/>
    <w:rsid w:val="005C0A4F"/>
    <w:rsid w:val="005C0B4F"/>
    <w:rsid w:val="005C0B9E"/>
    <w:rsid w:val="005C0C21"/>
    <w:rsid w:val="005C0C2C"/>
    <w:rsid w:val="005C0C34"/>
    <w:rsid w:val="005C0C56"/>
    <w:rsid w:val="005C0C70"/>
    <w:rsid w:val="005C0D24"/>
    <w:rsid w:val="005C0FA2"/>
    <w:rsid w:val="005C1009"/>
    <w:rsid w:val="005C1081"/>
    <w:rsid w:val="005C1114"/>
    <w:rsid w:val="005C124C"/>
    <w:rsid w:val="005C12E9"/>
    <w:rsid w:val="005C134A"/>
    <w:rsid w:val="005C13D3"/>
    <w:rsid w:val="005C1490"/>
    <w:rsid w:val="005C151D"/>
    <w:rsid w:val="005C1662"/>
    <w:rsid w:val="005C167B"/>
    <w:rsid w:val="005C1682"/>
    <w:rsid w:val="005C16C5"/>
    <w:rsid w:val="005C16E0"/>
    <w:rsid w:val="005C1704"/>
    <w:rsid w:val="005C18A7"/>
    <w:rsid w:val="005C18F6"/>
    <w:rsid w:val="005C190D"/>
    <w:rsid w:val="005C196A"/>
    <w:rsid w:val="005C19A6"/>
    <w:rsid w:val="005C1A6B"/>
    <w:rsid w:val="005C1ADC"/>
    <w:rsid w:val="005C1AFF"/>
    <w:rsid w:val="005C1B20"/>
    <w:rsid w:val="005C1B94"/>
    <w:rsid w:val="005C1C3E"/>
    <w:rsid w:val="005C1D2E"/>
    <w:rsid w:val="005C1ED4"/>
    <w:rsid w:val="005C1ED9"/>
    <w:rsid w:val="005C1FA8"/>
    <w:rsid w:val="005C1FCD"/>
    <w:rsid w:val="005C20E2"/>
    <w:rsid w:val="005C20F2"/>
    <w:rsid w:val="005C222E"/>
    <w:rsid w:val="005C22A3"/>
    <w:rsid w:val="005C22EA"/>
    <w:rsid w:val="005C2353"/>
    <w:rsid w:val="005C2375"/>
    <w:rsid w:val="005C24B1"/>
    <w:rsid w:val="005C24FC"/>
    <w:rsid w:val="005C2521"/>
    <w:rsid w:val="005C2563"/>
    <w:rsid w:val="005C2598"/>
    <w:rsid w:val="005C260B"/>
    <w:rsid w:val="005C27CB"/>
    <w:rsid w:val="005C27FB"/>
    <w:rsid w:val="005C288D"/>
    <w:rsid w:val="005C2913"/>
    <w:rsid w:val="005C2927"/>
    <w:rsid w:val="005C297B"/>
    <w:rsid w:val="005C29DC"/>
    <w:rsid w:val="005C29E8"/>
    <w:rsid w:val="005C2A9E"/>
    <w:rsid w:val="005C2B44"/>
    <w:rsid w:val="005C2B48"/>
    <w:rsid w:val="005C2B7F"/>
    <w:rsid w:val="005C2EF9"/>
    <w:rsid w:val="005C2F2C"/>
    <w:rsid w:val="005C2FBE"/>
    <w:rsid w:val="005C307A"/>
    <w:rsid w:val="005C3090"/>
    <w:rsid w:val="005C30BD"/>
    <w:rsid w:val="005C3161"/>
    <w:rsid w:val="005C317C"/>
    <w:rsid w:val="005C31AE"/>
    <w:rsid w:val="005C33BE"/>
    <w:rsid w:val="005C33C3"/>
    <w:rsid w:val="005C3455"/>
    <w:rsid w:val="005C346C"/>
    <w:rsid w:val="005C34E4"/>
    <w:rsid w:val="005C353B"/>
    <w:rsid w:val="005C3578"/>
    <w:rsid w:val="005C35BE"/>
    <w:rsid w:val="005C35EA"/>
    <w:rsid w:val="005C36A0"/>
    <w:rsid w:val="005C36EC"/>
    <w:rsid w:val="005C38BF"/>
    <w:rsid w:val="005C3923"/>
    <w:rsid w:val="005C3958"/>
    <w:rsid w:val="005C3AEB"/>
    <w:rsid w:val="005C3B3E"/>
    <w:rsid w:val="005C3B96"/>
    <w:rsid w:val="005C3C2A"/>
    <w:rsid w:val="005C3E0D"/>
    <w:rsid w:val="005C3EFE"/>
    <w:rsid w:val="005C3F5F"/>
    <w:rsid w:val="005C3FF4"/>
    <w:rsid w:val="005C40AC"/>
    <w:rsid w:val="005C40CD"/>
    <w:rsid w:val="005C4148"/>
    <w:rsid w:val="005C41F0"/>
    <w:rsid w:val="005C42C8"/>
    <w:rsid w:val="005C42DD"/>
    <w:rsid w:val="005C43B1"/>
    <w:rsid w:val="005C4452"/>
    <w:rsid w:val="005C44DF"/>
    <w:rsid w:val="005C4566"/>
    <w:rsid w:val="005C4572"/>
    <w:rsid w:val="005C45D9"/>
    <w:rsid w:val="005C4622"/>
    <w:rsid w:val="005C46B5"/>
    <w:rsid w:val="005C4707"/>
    <w:rsid w:val="005C471B"/>
    <w:rsid w:val="005C4762"/>
    <w:rsid w:val="005C478B"/>
    <w:rsid w:val="005C4855"/>
    <w:rsid w:val="005C4943"/>
    <w:rsid w:val="005C49F1"/>
    <w:rsid w:val="005C4AAF"/>
    <w:rsid w:val="005C4B1F"/>
    <w:rsid w:val="005C4BA5"/>
    <w:rsid w:val="005C4C14"/>
    <w:rsid w:val="005C4CFD"/>
    <w:rsid w:val="005C4D00"/>
    <w:rsid w:val="005C4D5F"/>
    <w:rsid w:val="005C4D97"/>
    <w:rsid w:val="005C4DAA"/>
    <w:rsid w:val="005C4E4D"/>
    <w:rsid w:val="005C4E94"/>
    <w:rsid w:val="005C4F39"/>
    <w:rsid w:val="005C5003"/>
    <w:rsid w:val="005C507C"/>
    <w:rsid w:val="005C508F"/>
    <w:rsid w:val="005C512F"/>
    <w:rsid w:val="005C51D4"/>
    <w:rsid w:val="005C5256"/>
    <w:rsid w:val="005C528B"/>
    <w:rsid w:val="005C52C5"/>
    <w:rsid w:val="005C530C"/>
    <w:rsid w:val="005C5408"/>
    <w:rsid w:val="005C5411"/>
    <w:rsid w:val="005C546B"/>
    <w:rsid w:val="005C548A"/>
    <w:rsid w:val="005C54BE"/>
    <w:rsid w:val="005C54EB"/>
    <w:rsid w:val="005C5500"/>
    <w:rsid w:val="005C558E"/>
    <w:rsid w:val="005C55AC"/>
    <w:rsid w:val="005C594E"/>
    <w:rsid w:val="005C5A86"/>
    <w:rsid w:val="005C5AC9"/>
    <w:rsid w:val="005C5CC8"/>
    <w:rsid w:val="005C5D65"/>
    <w:rsid w:val="005C5EC2"/>
    <w:rsid w:val="005C5F28"/>
    <w:rsid w:val="005C5FC5"/>
    <w:rsid w:val="005C6167"/>
    <w:rsid w:val="005C6190"/>
    <w:rsid w:val="005C61B4"/>
    <w:rsid w:val="005C61D5"/>
    <w:rsid w:val="005C62AB"/>
    <w:rsid w:val="005C6310"/>
    <w:rsid w:val="005C6455"/>
    <w:rsid w:val="005C6501"/>
    <w:rsid w:val="005C6585"/>
    <w:rsid w:val="005C65FC"/>
    <w:rsid w:val="005C6632"/>
    <w:rsid w:val="005C67DD"/>
    <w:rsid w:val="005C685D"/>
    <w:rsid w:val="005C687A"/>
    <w:rsid w:val="005C697B"/>
    <w:rsid w:val="005C69AE"/>
    <w:rsid w:val="005C69E7"/>
    <w:rsid w:val="005C69F8"/>
    <w:rsid w:val="005C6ABF"/>
    <w:rsid w:val="005C6BA9"/>
    <w:rsid w:val="005C6D27"/>
    <w:rsid w:val="005C6D9A"/>
    <w:rsid w:val="005C6F2A"/>
    <w:rsid w:val="005C707F"/>
    <w:rsid w:val="005C709E"/>
    <w:rsid w:val="005C70EF"/>
    <w:rsid w:val="005C7100"/>
    <w:rsid w:val="005C71FD"/>
    <w:rsid w:val="005C7284"/>
    <w:rsid w:val="005C72C0"/>
    <w:rsid w:val="005C736A"/>
    <w:rsid w:val="005C7380"/>
    <w:rsid w:val="005C741E"/>
    <w:rsid w:val="005C7455"/>
    <w:rsid w:val="005C74EF"/>
    <w:rsid w:val="005C7592"/>
    <w:rsid w:val="005C7689"/>
    <w:rsid w:val="005C7698"/>
    <w:rsid w:val="005C76AB"/>
    <w:rsid w:val="005C7709"/>
    <w:rsid w:val="005C77ED"/>
    <w:rsid w:val="005C7836"/>
    <w:rsid w:val="005C78A4"/>
    <w:rsid w:val="005C78A6"/>
    <w:rsid w:val="005C78C4"/>
    <w:rsid w:val="005C7A64"/>
    <w:rsid w:val="005C7B8F"/>
    <w:rsid w:val="005C7C11"/>
    <w:rsid w:val="005C7D47"/>
    <w:rsid w:val="005C7DCF"/>
    <w:rsid w:val="005C7FD0"/>
    <w:rsid w:val="005C7FDC"/>
    <w:rsid w:val="005D0090"/>
    <w:rsid w:val="005D0220"/>
    <w:rsid w:val="005D0251"/>
    <w:rsid w:val="005D0382"/>
    <w:rsid w:val="005D03B1"/>
    <w:rsid w:val="005D04CB"/>
    <w:rsid w:val="005D05AD"/>
    <w:rsid w:val="005D05BB"/>
    <w:rsid w:val="005D06ED"/>
    <w:rsid w:val="005D071A"/>
    <w:rsid w:val="005D071D"/>
    <w:rsid w:val="005D074E"/>
    <w:rsid w:val="005D07BD"/>
    <w:rsid w:val="005D0813"/>
    <w:rsid w:val="005D096F"/>
    <w:rsid w:val="005D0984"/>
    <w:rsid w:val="005D0AA2"/>
    <w:rsid w:val="005D0B60"/>
    <w:rsid w:val="005D0BDC"/>
    <w:rsid w:val="005D0C10"/>
    <w:rsid w:val="005D0C3C"/>
    <w:rsid w:val="005D0C9C"/>
    <w:rsid w:val="005D0DE1"/>
    <w:rsid w:val="005D0E09"/>
    <w:rsid w:val="005D0E2C"/>
    <w:rsid w:val="005D0E51"/>
    <w:rsid w:val="005D0ECE"/>
    <w:rsid w:val="005D0F73"/>
    <w:rsid w:val="005D0F79"/>
    <w:rsid w:val="005D10A6"/>
    <w:rsid w:val="005D111B"/>
    <w:rsid w:val="005D1294"/>
    <w:rsid w:val="005D1363"/>
    <w:rsid w:val="005D1436"/>
    <w:rsid w:val="005D1466"/>
    <w:rsid w:val="005D14C0"/>
    <w:rsid w:val="005D1541"/>
    <w:rsid w:val="005D154E"/>
    <w:rsid w:val="005D15C7"/>
    <w:rsid w:val="005D15F2"/>
    <w:rsid w:val="005D1627"/>
    <w:rsid w:val="005D169F"/>
    <w:rsid w:val="005D17AB"/>
    <w:rsid w:val="005D1837"/>
    <w:rsid w:val="005D1983"/>
    <w:rsid w:val="005D19A2"/>
    <w:rsid w:val="005D19AD"/>
    <w:rsid w:val="005D1AD6"/>
    <w:rsid w:val="005D1B17"/>
    <w:rsid w:val="005D1BCE"/>
    <w:rsid w:val="005D1C36"/>
    <w:rsid w:val="005D1C37"/>
    <w:rsid w:val="005D1C8C"/>
    <w:rsid w:val="005D1CED"/>
    <w:rsid w:val="005D1CF8"/>
    <w:rsid w:val="005D1D48"/>
    <w:rsid w:val="005D1D82"/>
    <w:rsid w:val="005D1DDB"/>
    <w:rsid w:val="005D1EE5"/>
    <w:rsid w:val="005D1FD7"/>
    <w:rsid w:val="005D2058"/>
    <w:rsid w:val="005D2073"/>
    <w:rsid w:val="005D208A"/>
    <w:rsid w:val="005D20EF"/>
    <w:rsid w:val="005D2112"/>
    <w:rsid w:val="005D2293"/>
    <w:rsid w:val="005D233B"/>
    <w:rsid w:val="005D23A1"/>
    <w:rsid w:val="005D2404"/>
    <w:rsid w:val="005D253C"/>
    <w:rsid w:val="005D2622"/>
    <w:rsid w:val="005D278F"/>
    <w:rsid w:val="005D27AE"/>
    <w:rsid w:val="005D27DA"/>
    <w:rsid w:val="005D287A"/>
    <w:rsid w:val="005D2914"/>
    <w:rsid w:val="005D297B"/>
    <w:rsid w:val="005D29DD"/>
    <w:rsid w:val="005D2A4F"/>
    <w:rsid w:val="005D2A62"/>
    <w:rsid w:val="005D2AD6"/>
    <w:rsid w:val="005D2B3F"/>
    <w:rsid w:val="005D2BFD"/>
    <w:rsid w:val="005D2C62"/>
    <w:rsid w:val="005D2D6A"/>
    <w:rsid w:val="005D2E0D"/>
    <w:rsid w:val="005D2E78"/>
    <w:rsid w:val="005D2EA7"/>
    <w:rsid w:val="005D2FB4"/>
    <w:rsid w:val="005D2FFC"/>
    <w:rsid w:val="005D30BA"/>
    <w:rsid w:val="005D3164"/>
    <w:rsid w:val="005D31BC"/>
    <w:rsid w:val="005D31C1"/>
    <w:rsid w:val="005D31E7"/>
    <w:rsid w:val="005D31F1"/>
    <w:rsid w:val="005D3235"/>
    <w:rsid w:val="005D329D"/>
    <w:rsid w:val="005D32C0"/>
    <w:rsid w:val="005D33BF"/>
    <w:rsid w:val="005D33CC"/>
    <w:rsid w:val="005D3540"/>
    <w:rsid w:val="005D3557"/>
    <w:rsid w:val="005D35DA"/>
    <w:rsid w:val="005D3606"/>
    <w:rsid w:val="005D3677"/>
    <w:rsid w:val="005D36D8"/>
    <w:rsid w:val="005D3797"/>
    <w:rsid w:val="005D37A7"/>
    <w:rsid w:val="005D3810"/>
    <w:rsid w:val="005D38D3"/>
    <w:rsid w:val="005D3AAA"/>
    <w:rsid w:val="005D3B0D"/>
    <w:rsid w:val="005D3C32"/>
    <w:rsid w:val="005D3D12"/>
    <w:rsid w:val="005D3DF7"/>
    <w:rsid w:val="005D3E9C"/>
    <w:rsid w:val="005D3ED5"/>
    <w:rsid w:val="005D3EDC"/>
    <w:rsid w:val="005D3F12"/>
    <w:rsid w:val="005D4038"/>
    <w:rsid w:val="005D4051"/>
    <w:rsid w:val="005D40DA"/>
    <w:rsid w:val="005D4103"/>
    <w:rsid w:val="005D4189"/>
    <w:rsid w:val="005D4287"/>
    <w:rsid w:val="005D432B"/>
    <w:rsid w:val="005D43A3"/>
    <w:rsid w:val="005D4484"/>
    <w:rsid w:val="005D44D3"/>
    <w:rsid w:val="005D459B"/>
    <w:rsid w:val="005D464D"/>
    <w:rsid w:val="005D4876"/>
    <w:rsid w:val="005D4AC2"/>
    <w:rsid w:val="005D4B63"/>
    <w:rsid w:val="005D4B8B"/>
    <w:rsid w:val="005D4BE1"/>
    <w:rsid w:val="005D4C46"/>
    <w:rsid w:val="005D4D7E"/>
    <w:rsid w:val="005D4EEE"/>
    <w:rsid w:val="005D4F37"/>
    <w:rsid w:val="005D4F41"/>
    <w:rsid w:val="005D4F47"/>
    <w:rsid w:val="005D4FFE"/>
    <w:rsid w:val="005D5067"/>
    <w:rsid w:val="005D50DE"/>
    <w:rsid w:val="005D512E"/>
    <w:rsid w:val="005D5150"/>
    <w:rsid w:val="005D5182"/>
    <w:rsid w:val="005D51C5"/>
    <w:rsid w:val="005D529D"/>
    <w:rsid w:val="005D5354"/>
    <w:rsid w:val="005D53A7"/>
    <w:rsid w:val="005D542B"/>
    <w:rsid w:val="005D55D8"/>
    <w:rsid w:val="005D5640"/>
    <w:rsid w:val="005D56B6"/>
    <w:rsid w:val="005D56BF"/>
    <w:rsid w:val="005D56C2"/>
    <w:rsid w:val="005D57F4"/>
    <w:rsid w:val="005D57F6"/>
    <w:rsid w:val="005D590E"/>
    <w:rsid w:val="005D5996"/>
    <w:rsid w:val="005D59D9"/>
    <w:rsid w:val="005D59E6"/>
    <w:rsid w:val="005D59F0"/>
    <w:rsid w:val="005D5A0F"/>
    <w:rsid w:val="005D5A91"/>
    <w:rsid w:val="005D5D40"/>
    <w:rsid w:val="005D5E2C"/>
    <w:rsid w:val="005D5E37"/>
    <w:rsid w:val="005D5E3D"/>
    <w:rsid w:val="005D5EDD"/>
    <w:rsid w:val="005D5F7B"/>
    <w:rsid w:val="005D5F8B"/>
    <w:rsid w:val="005D606E"/>
    <w:rsid w:val="005D607D"/>
    <w:rsid w:val="005D60D8"/>
    <w:rsid w:val="005D60E5"/>
    <w:rsid w:val="005D60F7"/>
    <w:rsid w:val="005D6208"/>
    <w:rsid w:val="005D627F"/>
    <w:rsid w:val="005D628E"/>
    <w:rsid w:val="005D6329"/>
    <w:rsid w:val="005D632A"/>
    <w:rsid w:val="005D6490"/>
    <w:rsid w:val="005D64BA"/>
    <w:rsid w:val="005D66A2"/>
    <w:rsid w:val="005D67BB"/>
    <w:rsid w:val="005D67D7"/>
    <w:rsid w:val="005D6801"/>
    <w:rsid w:val="005D6B38"/>
    <w:rsid w:val="005D6B6C"/>
    <w:rsid w:val="005D6BB0"/>
    <w:rsid w:val="005D6BF8"/>
    <w:rsid w:val="005D6CCD"/>
    <w:rsid w:val="005D6D82"/>
    <w:rsid w:val="005D6DFB"/>
    <w:rsid w:val="005D6E00"/>
    <w:rsid w:val="005D6E79"/>
    <w:rsid w:val="005D6EB1"/>
    <w:rsid w:val="005D6FF4"/>
    <w:rsid w:val="005D702B"/>
    <w:rsid w:val="005D708D"/>
    <w:rsid w:val="005D70A5"/>
    <w:rsid w:val="005D70C1"/>
    <w:rsid w:val="005D70C6"/>
    <w:rsid w:val="005D70C8"/>
    <w:rsid w:val="005D70F7"/>
    <w:rsid w:val="005D7112"/>
    <w:rsid w:val="005D719F"/>
    <w:rsid w:val="005D72DF"/>
    <w:rsid w:val="005D72F6"/>
    <w:rsid w:val="005D7367"/>
    <w:rsid w:val="005D7371"/>
    <w:rsid w:val="005D7432"/>
    <w:rsid w:val="005D7485"/>
    <w:rsid w:val="005D753B"/>
    <w:rsid w:val="005D764D"/>
    <w:rsid w:val="005D7659"/>
    <w:rsid w:val="005D7690"/>
    <w:rsid w:val="005D76CC"/>
    <w:rsid w:val="005D774A"/>
    <w:rsid w:val="005D7759"/>
    <w:rsid w:val="005D7787"/>
    <w:rsid w:val="005D77AF"/>
    <w:rsid w:val="005D77C9"/>
    <w:rsid w:val="005D7839"/>
    <w:rsid w:val="005D79B2"/>
    <w:rsid w:val="005D79FB"/>
    <w:rsid w:val="005D7AEE"/>
    <w:rsid w:val="005D7B3E"/>
    <w:rsid w:val="005D7BBF"/>
    <w:rsid w:val="005D7C39"/>
    <w:rsid w:val="005D7CE1"/>
    <w:rsid w:val="005D7D7A"/>
    <w:rsid w:val="005D7D90"/>
    <w:rsid w:val="005D7F35"/>
    <w:rsid w:val="005D7F70"/>
    <w:rsid w:val="005D7FC0"/>
    <w:rsid w:val="005E0062"/>
    <w:rsid w:val="005E00A9"/>
    <w:rsid w:val="005E0262"/>
    <w:rsid w:val="005E02BF"/>
    <w:rsid w:val="005E02DD"/>
    <w:rsid w:val="005E02FA"/>
    <w:rsid w:val="005E032A"/>
    <w:rsid w:val="005E037E"/>
    <w:rsid w:val="005E03BA"/>
    <w:rsid w:val="005E04E8"/>
    <w:rsid w:val="005E0534"/>
    <w:rsid w:val="005E0577"/>
    <w:rsid w:val="005E060E"/>
    <w:rsid w:val="005E0635"/>
    <w:rsid w:val="005E0780"/>
    <w:rsid w:val="005E07B2"/>
    <w:rsid w:val="005E07C9"/>
    <w:rsid w:val="005E07F2"/>
    <w:rsid w:val="005E0921"/>
    <w:rsid w:val="005E0A78"/>
    <w:rsid w:val="005E0ADC"/>
    <w:rsid w:val="005E0B0E"/>
    <w:rsid w:val="005E0B86"/>
    <w:rsid w:val="005E0C23"/>
    <w:rsid w:val="005E0CC3"/>
    <w:rsid w:val="005E0EE3"/>
    <w:rsid w:val="005E0EF2"/>
    <w:rsid w:val="005E104D"/>
    <w:rsid w:val="005E1065"/>
    <w:rsid w:val="005E1119"/>
    <w:rsid w:val="005E1261"/>
    <w:rsid w:val="005E129C"/>
    <w:rsid w:val="005E12D6"/>
    <w:rsid w:val="005E13F3"/>
    <w:rsid w:val="005E14AC"/>
    <w:rsid w:val="005E14BF"/>
    <w:rsid w:val="005E1501"/>
    <w:rsid w:val="005E156C"/>
    <w:rsid w:val="005E1779"/>
    <w:rsid w:val="005E1842"/>
    <w:rsid w:val="005E18E5"/>
    <w:rsid w:val="005E19A2"/>
    <w:rsid w:val="005E1B3B"/>
    <w:rsid w:val="005E1B71"/>
    <w:rsid w:val="005E1B72"/>
    <w:rsid w:val="005E1D20"/>
    <w:rsid w:val="005E1D27"/>
    <w:rsid w:val="005E1DAA"/>
    <w:rsid w:val="005E1E12"/>
    <w:rsid w:val="005E1EBE"/>
    <w:rsid w:val="005E1F65"/>
    <w:rsid w:val="005E2087"/>
    <w:rsid w:val="005E2162"/>
    <w:rsid w:val="005E2184"/>
    <w:rsid w:val="005E230E"/>
    <w:rsid w:val="005E2314"/>
    <w:rsid w:val="005E2377"/>
    <w:rsid w:val="005E24CD"/>
    <w:rsid w:val="005E25E6"/>
    <w:rsid w:val="005E2702"/>
    <w:rsid w:val="005E2749"/>
    <w:rsid w:val="005E2765"/>
    <w:rsid w:val="005E27A8"/>
    <w:rsid w:val="005E27F5"/>
    <w:rsid w:val="005E2852"/>
    <w:rsid w:val="005E2942"/>
    <w:rsid w:val="005E2954"/>
    <w:rsid w:val="005E2959"/>
    <w:rsid w:val="005E2A33"/>
    <w:rsid w:val="005E2A99"/>
    <w:rsid w:val="005E2B06"/>
    <w:rsid w:val="005E2B43"/>
    <w:rsid w:val="005E2B91"/>
    <w:rsid w:val="005E2D2B"/>
    <w:rsid w:val="005E2F4D"/>
    <w:rsid w:val="005E2F87"/>
    <w:rsid w:val="005E319D"/>
    <w:rsid w:val="005E31CC"/>
    <w:rsid w:val="005E326B"/>
    <w:rsid w:val="005E32BB"/>
    <w:rsid w:val="005E33D3"/>
    <w:rsid w:val="005E33F2"/>
    <w:rsid w:val="005E33F7"/>
    <w:rsid w:val="005E340A"/>
    <w:rsid w:val="005E344E"/>
    <w:rsid w:val="005E34EF"/>
    <w:rsid w:val="005E3504"/>
    <w:rsid w:val="005E3567"/>
    <w:rsid w:val="005E3634"/>
    <w:rsid w:val="005E3667"/>
    <w:rsid w:val="005E36C5"/>
    <w:rsid w:val="005E372A"/>
    <w:rsid w:val="005E3774"/>
    <w:rsid w:val="005E379F"/>
    <w:rsid w:val="005E3800"/>
    <w:rsid w:val="005E3810"/>
    <w:rsid w:val="005E3880"/>
    <w:rsid w:val="005E38F3"/>
    <w:rsid w:val="005E391E"/>
    <w:rsid w:val="005E3968"/>
    <w:rsid w:val="005E39AD"/>
    <w:rsid w:val="005E3A6A"/>
    <w:rsid w:val="005E3BB9"/>
    <w:rsid w:val="005E3BCC"/>
    <w:rsid w:val="005E3BE3"/>
    <w:rsid w:val="005E3C9B"/>
    <w:rsid w:val="005E3CDA"/>
    <w:rsid w:val="005E3D2D"/>
    <w:rsid w:val="005E3D42"/>
    <w:rsid w:val="005E3D6E"/>
    <w:rsid w:val="005E3E5F"/>
    <w:rsid w:val="005E3EB0"/>
    <w:rsid w:val="005E3F01"/>
    <w:rsid w:val="005E4091"/>
    <w:rsid w:val="005E40DF"/>
    <w:rsid w:val="005E4119"/>
    <w:rsid w:val="005E4159"/>
    <w:rsid w:val="005E416D"/>
    <w:rsid w:val="005E41A5"/>
    <w:rsid w:val="005E41F3"/>
    <w:rsid w:val="005E42BD"/>
    <w:rsid w:val="005E42FD"/>
    <w:rsid w:val="005E4394"/>
    <w:rsid w:val="005E43AB"/>
    <w:rsid w:val="005E4461"/>
    <w:rsid w:val="005E4502"/>
    <w:rsid w:val="005E45AC"/>
    <w:rsid w:val="005E462A"/>
    <w:rsid w:val="005E4683"/>
    <w:rsid w:val="005E477C"/>
    <w:rsid w:val="005E4782"/>
    <w:rsid w:val="005E48EF"/>
    <w:rsid w:val="005E492B"/>
    <w:rsid w:val="005E49D5"/>
    <w:rsid w:val="005E4A1F"/>
    <w:rsid w:val="005E4A42"/>
    <w:rsid w:val="005E4B2C"/>
    <w:rsid w:val="005E4C0F"/>
    <w:rsid w:val="005E4DED"/>
    <w:rsid w:val="005E4E52"/>
    <w:rsid w:val="005E4E6A"/>
    <w:rsid w:val="005E4E83"/>
    <w:rsid w:val="005E4E95"/>
    <w:rsid w:val="005E4EF3"/>
    <w:rsid w:val="005E4FCE"/>
    <w:rsid w:val="005E5036"/>
    <w:rsid w:val="005E51E2"/>
    <w:rsid w:val="005E51EC"/>
    <w:rsid w:val="005E51F6"/>
    <w:rsid w:val="005E5323"/>
    <w:rsid w:val="005E533C"/>
    <w:rsid w:val="005E5388"/>
    <w:rsid w:val="005E56CC"/>
    <w:rsid w:val="005E57AD"/>
    <w:rsid w:val="005E57CE"/>
    <w:rsid w:val="005E57F7"/>
    <w:rsid w:val="005E57F8"/>
    <w:rsid w:val="005E5817"/>
    <w:rsid w:val="005E5934"/>
    <w:rsid w:val="005E5A63"/>
    <w:rsid w:val="005E5AB1"/>
    <w:rsid w:val="005E5C13"/>
    <w:rsid w:val="005E5D1C"/>
    <w:rsid w:val="005E5DA8"/>
    <w:rsid w:val="005E5DB5"/>
    <w:rsid w:val="005E5DCD"/>
    <w:rsid w:val="005E5FB5"/>
    <w:rsid w:val="005E6061"/>
    <w:rsid w:val="005E611D"/>
    <w:rsid w:val="005E6167"/>
    <w:rsid w:val="005E616B"/>
    <w:rsid w:val="005E6171"/>
    <w:rsid w:val="005E61A9"/>
    <w:rsid w:val="005E61BE"/>
    <w:rsid w:val="005E626F"/>
    <w:rsid w:val="005E62CD"/>
    <w:rsid w:val="005E64B7"/>
    <w:rsid w:val="005E64F3"/>
    <w:rsid w:val="005E64F4"/>
    <w:rsid w:val="005E65E7"/>
    <w:rsid w:val="005E6732"/>
    <w:rsid w:val="005E6735"/>
    <w:rsid w:val="005E682C"/>
    <w:rsid w:val="005E691A"/>
    <w:rsid w:val="005E6A42"/>
    <w:rsid w:val="005E6A80"/>
    <w:rsid w:val="005E6AE9"/>
    <w:rsid w:val="005E6B8C"/>
    <w:rsid w:val="005E6BB4"/>
    <w:rsid w:val="005E6C21"/>
    <w:rsid w:val="005E6D47"/>
    <w:rsid w:val="005E6E0C"/>
    <w:rsid w:val="005E6E95"/>
    <w:rsid w:val="005E6EFB"/>
    <w:rsid w:val="005E6F36"/>
    <w:rsid w:val="005E6F6E"/>
    <w:rsid w:val="005E6FE0"/>
    <w:rsid w:val="005E7002"/>
    <w:rsid w:val="005E7019"/>
    <w:rsid w:val="005E711F"/>
    <w:rsid w:val="005E7154"/>
    <w:rsid w:val="005E7175"/>
    <w:rsid w:val="005E7179"/>
    <w:rsid w:val="005E728F"/>
    <w:rsid w:val="005E7387"/>
    <w:rsid w:val="005E73A6"/>
    <w:rsid w:val="005E73AD"/>
    <w:rsid w:val="005E7431"/>
    <w:rsid w:val="005E749E"/>
    <w:rsid w:val="005E74E6"/>
    <w:rsid w:val="005E754B"/>
    <w:rsid w:val="005E761C"/>
    <w:rsid w:val="005E7672"/>
    <w:rsid w:val="005E767D"/>
    <w:rsid w:val="005E7798"/>
    <w:rsid w:val="005E77E9"/>
    <w:rsid w:val="005E7815"/>
    <w:rsid w:val="005E78AC"/>
    <w:rsid w:val="005E794D"/>
    <w:rsid w:val="005E7993"/>
    <w:rsid w:val="005E79D5"/>
    <w:rsid w:val="005E7A23"/>
    <w:rsid w:val="005E7B4E"/>
    <w:rsid w:val="005E7C22"/>
    <w:rsid w:val="005E7C2F"/>
    <w:rsid w:val="005E7C71"/>
    <w:rsid w:val="005E7CB3"/>
    <w:rsid w:val="005E7E80"/>
    <w:rsid w:val="005E7F24"/>
    <w:rsid w:val="005E7F3E"/>
    <w:rsid w:val="005F0067"/>
    <w:rsid w:val="005F008F"/>
    <w:rsid w:val="005F00A7"/>
    <w:rsid w:val="005F00AF"/>
    <w:rsid w:val="005F010B"/>
    <w:rsid w:val="005F0141"/>
    <w:rsid w:val="005F03A7"/>
    <w:rsid w:val="005F0435"/>
    <w:rsid w:val="005F04B1"/>
    <w:rsid w:val="005F04BF"/>
    <w:rsid w:val="005F04EE"/>
    <w:rsid w:val="005F06E0"/>
    <w:rsid w:val="005F070A"/>
    <w:rsid w:val="005F07FD"/>
    <w:rsid w:val="005F0828"/>
    <w:rsid w:val="005F0850"/>
    <w:rsid w:val="005F0926"/>
    <w:rsid w:val="005F0928"/>
    <w:rsid w:val="005F0930"/>
    <w:rsid w:val="005F0AB3"/>
    <w:rsid w:val="005F0AEC"/>
    <w:rsid w:val="005F0B1C"/>
    <w:rsid w:val="005F0C70"/>
    <w:rsid w:val="005F0DA0"/>
    <w:rsid w:val="005F0DD5"/>
    <w:rsid w:val="005F0E89"/>
    <w:rsid w:val="005F0E93"/>
    <w:rsid w:val="005F0E9C"/>
    <w:rsid w:val="005F0F12"/>
    <w:rsid w:val="005F0FDE"/>
    <w:rsid w:val="005F110A"/>
    <w:rsid w:val="005F112E"/>
    <w:rsid w:val="005F1152"/>
    <w:rsid w:val="005F11C5"/>
    <w:rsid w:val="005F11ED"/>
    <w:rsid w:val="005F11FB"/>
    <w:rsid w:val="005F1264"/>
    <w:rsid w:val="005F1294"/>
    <w:rsid w:val="005F12AA"/>
    <w:rsid w:val="005F12F5"/>
    <w:rsid w:val="005F1328"/>
    <w:rsid w:val="005F156C"/>
    <w:rsid w:val="005F15F4"/>
    <w:rsid w:val="005F1614"/>
    <w:rsid w:val="005F162A"/>
    <w:rsid w:val="005F1679"/>
    <w:rsid w:val="005F16B7"/>
    <w:rsid w:val="005F16F9"/>
    <w:rsid w:val="005F1763"/>
    <w:rsid w:val="005F17CB"/>
    <w:rsid w:val="005F188A"/>
    <w:rsid w:val="005F1915"/>
    <w:rsid w:val="005F19CF"/>
    <w:rsid w:val="005F19D2"/>
    <w:rsid w:val="005F19D7"/>
    <w:rsid w:val="005F1A37"/>
    <w:rsid w:val="005F1AE8"/>
    <w:rsid w:val="005F1BE7"/>
    <w:rsid w:val="005F1C44"/>
    <w:rsid w:val="005F1E16"/>
    <w:rsid w:val="005F20D6"/>
    <w:rsid w:val="005F2285"/>
    <w:rsid w:val="005F22DA"/>
    <w:rsid w:val="005F2352"/>
    <w:rsid w:val="005F2516"/>
    <w:rsid w:val="005F2532"/>
    <w:rsid w:val="005F2536"/>
    <w:rsid w:val="005F25B0"/>
    <w:rsid w:val="005F26EC"/>
    <w:rsid w:val="005F26F2"/>
    <w:rsid w:val="005F272B"/>
    <w:rsid w:val="005F2793"/>
    <w:rsid w:val="005F285C"/>
    <w:rsid w:val="005F2899"/>
    <w:rsid w:val="005F2AC9"/>
    <w:rsid w:val="005F2ACE"/>
    <w:rsid w:val="005F2AEA"/>
    <w:rsid w:val="005F2B06"/>
    <w:rsid w:val="005F2C3F"/>
    <w:rsid w:val="005F2C6E"/>
    <w:rsid w:val="005F2C94"/>
    <w:rsid w:val="005F2DDE"/>
    <w:rsid w:val="005F2DF5"/>
    <w:rsid w:val="005F2EE1"/>
    <w:rsid w:val="005F2F09"/>
    <w:rsid w:val="005F2F8C"/>
    <w:rsid w:val="005F3004"/>
    <w:rsid w:val="005F3018"/>
    <w:rsid w:val="005F30C2"/>
    <w:rsid w:val="005F30D6"/>
    <w:rsid w:val="005F3145"/>
    <w:rsid w:val="005F3191"/>
    <w:rsid w:val="005F31B7"/>
    <w:rsid w:val="005F31BC"/>
    <w:rsid w:val="005F31C4"/>
    <w:rsid w:val="005F3357"/>
    <w:rsid w:val="005F3390"/>
    <w:rsid w:val="005F33C3"/>
    <w:rsid w:val="005F33DF"/>
    <w:rsid w:val="005F3485"/>
    <w:rsid w:val="005F3494"/>
    <w:rsid w:val="005F35FA"/>
    <w:rsid w:val="005F3679"/>
    <w:rsid w:val="005F36E2"/>
    <w:rsid w:val="005F36E4"/>
    <w:rsid w:val="005F37AC"/>
    <w:rsid w:val="005F382F"/>
    <w:rsid w:val="005F38A2"/>
    <w:rsid w:val="005F38A5"/>
    <w:rsid w:val="005F38D2"/>
    <w:rsid w:val="005F3933"/>
    <w:rsid w:val="005F3999"/>
    <w:rsid w:val="005F3A64"/>
    <w:rsid w:val="005F3A72"/>
    <w:rsid w:val="005F3A84"/>
    <w:rsid w:val="005F3AD2"/>
    <w:rsid w:val="005F3B84"/>
    <w:rsid w:val="005F3C61"/>
    <w:rsid w:val="005F3D13"/>
    <w:rsid w:val="005F3DA9"/>
    <w:rsid w:val="005F3E08"/>
    <w:rsid w:val="005F3E1F"/>
    <w:rsid w:val="005F3E49"/>
    <w:rsid w:val="005F3F6D"/>
    <w:rsid w:val="005F3F98"/>
    <w:rsid w:val="005F3FC3"/>
    <w:rsid w:val="005F4012"/>
    <w:rsid w:val="005F408B"/>
    <w:rsid w:val="005F40BA"/>
    <w:rsid w:val="005F413A"/>
    <w:rsid w:val="005F4322"/>
    <w:rsid w:val="005F432C"/>
    <w:rsid w:val="005F43B1"/>
    <w:rsid w:val="005F43B9"/>
    <w:rsid w:val="005F44C2"/>
    <w:rsid w:val="005F4577"/>
    <w:rsid w:val="005F462A"/>
    <w:rsid w:val="005F4649"/>
    <w:rsid w:val="005F468C"/>
    <w:rsid w:val="005F4832"/>
    <w:rsid w:val="005F49F2"/>
    <w:rsid w:val="005F4ADB"/>
    <w:rsid w:val="005F4B4E"/>
    <w:rsid w:val="005F4B80"/>
    <w:rsid w:val="005F4B95"/>
    <w:rsid w:val="005F4BE9"/>
    <w:rsid w:val="005F4C89"/>
    <w:rsid w:val="005F4C92"/>
    <w:rsid w:val="005F4CFC"/>
    <w:rsid w:val="005F4D09"/>
    <w:rsid w:val="005F4D69"/>
    <w:rsid w:val="005F4D79"/>
    <w:rsid w:val="005F4DF7"/>
    <w:rsid w:val="005F4E12"/>
    <w:rsid w:val="005F4E2B"/>
    <w:rsid w:val="005F4F07"/>
    <w:rsid w:val="005F5049"/>
    <w:rsid w:val="005F5076"/>
    <w:rsid w:val="005F51DC"/>
    <w:rsid w:val="005F51DD"/>
    <w:rsid w:val="005F523B"/>
    <w:rsid w:val="005F52EE"/>
    <w:rsid w:val="005F52FE"/>
    <w:rsid w:val="005F5351"/>
    <w:rsid w:val="005F5412"/>
    <w:rsid w:val="005F569A"/>
    <w:rsid w:val="005F5769"/>
    <w:rsid w:val="005F59DF"/>
    <w:rsid w:val="005F5A4B"/>
    <w:rsid w:val="005F5A78"/>
    <w:rsid w:val="005F5BB7"/>
    <w:rsid w:val="005F5BC2"/>
    <w:rsid w:val="005F5C2E"/>
    <w:rsid w:val="005F5C91"/>
    <w:rsid w:val="005F5D89"/>
    <w:rsid w:val="005F5E41"/>
    <w:rsid w:val="005F5E96"/>
    <w:rsid w:val="005F5F6D"/>
    <w:rsid w:val="005F60ED"/>
    <w:rsid w:val="005F6104"/>
    <w:rsid w:val="005F61D5"/>
    <w:rsid w:val="005F6213"/>
    <w:rsid w:val="005F6285"/>
    <w:rsid w:val="005F645B"/>
    <w:rsid w:val="005F658B"/>
    <w:rsid w:val="005F6603"/>
    <w:rsid w:val="005F660A"/>
    <w:rsid w:val="005F6632"/>
    <w:rsid w:val="005F6633"/>
    <w:rsid w:val="005F667A"/>
    <w:rsid w:val="005F67DD"/>
    <w:rsid w:val="005F68EB"/>
    <w:rsid w:val="005F6A2D"/>
    <w:rsid w:val="005F6A44"/>
    <w:rsid w:val="005F6B16"/>
    <w:rsid w:val="005F6BBB"/>
    <w:rsid w:val="005F6BF4"/>
    <w:rsid w:val="005F6C69"/>
    <w:rsid w:val="005F6C6E"/>
    <w:rsid w:val="005F6C81"/>
    <w:rsid w:val="005F6D5D"/>
    <w:rsid w:val="005F6D94"/>
    <w:rsid w:val="005F6DA9"/>
    <w:rsid w:val="005F6E0A"/>
    <w:rsid w:val="005F6E3A"/>
    <w:rsid w:val="005F6E51"/>
    <w:rsid w:val="005F6E54"/>
    <w:rsid w:val="005F6EE4"/>
    <w:rsid w:val="005F6F8E"/>
    <w:rsid w:val="005F6FE1"/>
    <w:rsid w:val="005F6FF8"/>
    <w:rsid w:val="005F700C"/>
    <w:rsid w:val="005F7306"/>
    <w:rsid w:val="005F730B"/>
    <w:rsid w:val="005F737E"/>
    <w:rsid w:val="005F7499"/>
    <w:rsid w:val="005F74CF"/>
    <w:rsid w:val="005F75CF"/>
    <w:rsid w:val="005F767B"/>
    <w:rsid w:val="005F76E2"/>
    <w:rsid w:val="005F772A"/>
    <w:rsid w:val="005F7865"/>
    <w:rsid w:val="005F7ADC"/>
    <w:rsid w:val="005F7BC0"/>
    <w:rsid w:val="005F7D16"/>
    <w:rsid w:val="005F7D39"/>
    <w:rsid w:val="005F7D40"/>
    <w:rsid w:val="005F7D8D"/>
    <w:rsid w:val="005F7E7F"/>
    <w:rsid w:val="005F7F08"/>
    <w:rsid w:val="005F7F4E"/>
    <w:rsid w:val="005F7F95"/>
    <w:rsid w:val="006000AE"/>
    <w:rsid w:val="006000B3"/>
    <w:rsid w:val="0060013F"/>
    <w:rsid w:val="0060018D"/>
    <w:rsid w:val="006001F1"/>
    <w:rsid w:val="0060024B"/>
    <w:rsid w:val="00600343"/>
    <w:rsid w:val="006004F7"/>
    <w:rsid w:val="0060050E"/>
    <w:rsid w:val="006005DF"/>
    <w:rsid w:val="0060064A"/>
    <w:rsid w:val="006006BA"/>
    <w:rsid w:val="006007F8"/>
    <w:rsid w:val="0060090C"/>
    <w:rsid w:val="0060098A"/>
    <w:rsid w:val="006009FC"/>
    <w:rsid w:val="00600A14"/>
    <w:rsid w:val="00600A36"/>
    <w:rsid w:val="00600B26"/>
    <w:rsid w:val="00600D3D"/>
    <w:rsid w:val="00600D5A"/>
    <w:rsid w:val="00600DA7"/>
    <w:rsid w:val="00600E74"/>
    <w:rsid w:val="00600EFF"/>
    <w:rsid w:val="00600FEA"/>
    <w:rsid w:val="0060107D"/>
    <w:rsid w:val="00601086"/>
    <w:rsid w:val="0060109E"/>
    <w:rsid w:val="006010DE"/>
    <w:rsid w:val="00601105"/>
    <w:rsid w:val="00601170"/>
    <w:rsid w:val="006011EB"/>
    <w:rsid w:val="00601211"/>
    <w:rsid w:val="0060124B"/>
    <w:rsid w:val="00601353"/>
    <w:rsid w:val="00601410"/>
    <w:rsid w:val="00601439"/>
    <w:rsid w:val="006016A5"/>
    <w:rsid w:val="006016D2"/>
    <w:rsid w:val="006017EF"/>
    <w:rsid w:val="00601879"/>
    <w:rsid w:val="006018C7"/>
    <w:rsid w:val="006018FF"/>
    <w:rsid w:val="00601ABB"/>
    <w:rsid w:val="00601AFF"/>
    <w:rsid w:val="00601B01"/>
    <w:rsid w:val="00601BEB"/>
    <w:rsid w:val="00601DD5"/>
    <w:rsid w:val="00601E5D"/>
    <w:rsid w:val="00601E6A"/>
    <w:rsid w:val="00601F25"/>
    <w:rsid w:val="00601F38"/>
    <w:rsid w:val="00601FDD"/>
    <w:rsid w:val="006020C5"/>
    <w:rsid w:val="0060211C"/>
    <w:rsid w:val="00602150"/>
    <w:rsid w:val="006021D3"/>
    <w:rsid w:val="00602228"/>
    <w:rsid w:val="00602236"/>
    <w:rsid w:val="00602297"/>
    <w:rsid w:val="006022A0"/>
    <w:rsid w:val="0060231E"/>
    <w:rsid w:val="00602345"/>
    <w:rsid w:val="0060235B"/>
    <w:rsid w:val="0060236A"/>
    <w:rsid w:val="0060243B"/>
    <w:rsid w:val="00602482"/>
    <w:rsid w:val="00602513"/>
    <w:rsid w:val="00602521"/>
    <w:rsid w:val="00602761"/>
    <w:rsid w:val="00602839"/>
    <w:rsid w:val="006028ED"/>
    <w:rsid w:val="00602910"/>
    <w:rsid w:val="006029A1"/>
    <w:rsid w:val="00602A80"/>
    <w:rsid w:val="00602BF7"/>
    <w:rsid w:val="00602C0E"/>
    <w:rsid w:val="00602C73"/>
    <w:rsid w:val="00602CA5"/>
    <w:rsid w:val="00602CCC"/>
    <w:rsid w:val="00602D80"/>
    <w:rsid w:val="00602E0E"/>
    <w:rsid w:val="00602E2F"/>
    <w:rsid w:val="00602E8B"/>
    <w:rsid w:val="00602F38"/>
    <w:rsid w:val="00602F43"/>
    <w:rsid w:val="00602F55"/>
    <w:rsid w:val="00602F5C"/>
    <w:rsid w:val="00602F7B"/>
    <w:rsid w:val="00602FD4"/>
    <w:rsid w:val="00602FFD"/>
    <w:rsid w:val="0060312D"/>
    <w:rsid w:val="00603326"/>
    <w:rsid w:val="00603487"/>
    <w:rsid w:val="006034AA"/>
    <w:rsid w:val="006034BD"/>
    <w:rsid w:val="006034DF"/>
    <w:rsid w:val="006034E9"/>
    <w:rsid w:val="0060354A"/>
    <w:rsid w:val="0060356A"/>
    <w:rsid w:val="006035FF"/>
    <w:rsid w:val="00603808"/>
    <w:rsid w:val="00603810"/>
    <w:rsid w:val="00603959"/>
    <w:rsid w:val="0060395D"/>
    <w:rsid w:val="006039BD"/>
    <w:rsid w:val="00603A03"/>
    <w:rsid w:val="00603A41"/>
    <w:rsid w:val="00603B1A"/>
    <w:rsid w:val="00603B5E"/>
    <w:rsid w:val="00603BA9"/>
    <w:rsid w:val="00603C0A"/>
    <w:rsid w:val="00603C58"/>
    <w:rsid w:val="00603CE5"/>
    <w:rsid w:val="00603D29"/>
    <w:rsid w:val="00603D5F"/>
    <w:rsid w:val="00603D7C"/>
    <w:rsid w:val="00603D91"/>
    <w:rsid w:val="00603D93"/>
    <w:rsid w:val="00603DFB"/>
    <w:rsid w:val="00604012"/>
    <w:rsid w:val="006040AD"/>
    <w:rsid w:val="006040E6"/>
    <w:rsid w:val="00604182"/>
    <w:rsid w:val="0060418C"/>
    <w:rsid w:val="00604225"/>
    <w:rsid w:val="006043CB"/>
    <w:rsid w:val="006043CD"/>
    <w:rsid w:val="00604603"/>
    <w:rsid w:val="0060483B"/>
    <w:rsid w:val="00604846"/>
    <w:rsid w:val="0060485B"/>
    <w:rsid w:val="00604865"/>
    <w:rsid w:val="0060495E"/>
    <w:rsid w:val="0060496A"/>
    <w:rsid w:val="00604A46"/>
    <w:rsid w:val="00604B79"/>
    <w:rsid w:val="00604CD6"/>
    <w:rsid w:val="00604D74"/>
    <w:rsid w:val="00604E9C"/>
    <w:rsid w:val="00605118"/>
    <w:rsid w:val="00605170"/>
    <w:rsid w:val="0060519E"/>
    <w:rsid w:val="00605250"/>
    <w:rsid w:val="006053FF"/>
    <w:rsid w:val="006054AB"/>
    <w:rsid w:val="006054B1"/>
    <w:rsid w:val="0060555A"/>
    <w:rsid w:val="00605599"/>
    <w:rsid w:val="006055F8"/>
    <w:rsid w:val="006056D0"/>
    <w:rsid w:val="006057EC"/>
    <w:rsid w:val="006058A8"/>
    <w:rsid w:val="006058C2"/>
    <w:rsid w:val="00605964"/>
    <w:rsid w:val="006059D2"/>
    <w:rsid w:val="006059EB"/>
    <w:rsid w:val="00605AC9"/>
    <w:rsid w:val="00605B01"/>
    <w:rsid w:val="00605B2E"/>
    <w:rsid w:val="00605B77"/>
    <w:rsid w:val="00605C20"/>
    <w:rsid w:val="00605C5C"/>
    <w:rsid w:val="00605D25"/>
    <w:rsid w:val="00605EE0"/>
    <w:rsid w:val="0060600B"/>
    <w:rsid w:val="00606066"/>
    <w:rsid w:val="0060609A"/>
    <w:rsid w:val="006060FB"/>
    <w:rsid w:val="0060633C"/>
    <w:rsid w:val="00606345"/>
    <w:rsid w:val="006063BE"/>
    <w:rsid w:val="00606407"/>
    <w:rsid w:val="00606517"/>
    <w:rsid w:val="0060652E"/>
    <w:rsid w:val="006065AC"/>
    <w:rsid w:val="006065F9"/>
    <w:rsid w:val="006067A9"/>
    <w:rsid w:val="006067D6"/>
    <w:rsid w:val="006067E4"/>
    <w:rsid w:val="0060682D"/>
    <w:rsid w:val="006069B8"/>
    <w:rsid w:val="006069D3"/>
    <w:rsid w:val="00606A2A"/>
    <w:rsid w:val="00606A91"/>
    <w:rsid w:val="00606AD1"/>
    <w:rsid w:val="00606B82"/>
    <w:rsid w:val="00606C01"/>
    <w:rsid w:val="00606CBB"/>
    <w:rsid w:val="00606D22"/>
    <w:rsid w:val="00606D43"/>
    <w:rsid w:val="00606D92"/>
    <w:rsid w:val="00606E06"/>
    <w:rsid w:val="00606EAB"/>
    <w:rsid w:val="00607007"/>
    <w:rsid w:val="006070BC"/>
    <w:rsid w:val="006070CE"/>
    <w:rsid w:val="0060714F"/>
    <w:rsid w:val="0060719B"/>
    <w:rsid w:val="006072DB"/>
    <w:rsid w:val="006072E8"/>
    <w:rsid w:val="006073C5"/>
    <w:rsid w:val="00607429"/>
    <w:rsid w:val="00607437"/>
    <w:rsid w:val="006074DE"/>
    <w:rsid w:val="006074F4"/>
    <w:rsid w:val="0060754B"/>
    <w:rsid w:val="006075BB"/>
    <w:rsid w:val="006075FB"/>
    <w:rsid w:val="00607622"/>
    <w:rsid w:val="00607727"/>
    <w:rsid w:val="0060775E"/>
    <w:rsid w:val="00607856"/>
    <w:rsid w:val="006078C1"/>
    <w:rsid w:val="006078E4"/>
    <w:rsid w:val="006079D3"/>
    <w:rsid w:val="00607AC8"/>
    <w:rsid w:val="00607B1F"/>
    <w:rsid w:val="00607C2D"/>
    <w:rsid w:val="00607D40"/>
    <w:rsid w:val="00607D6B"/>
    <w:rsid w:val="00607DD6"/>
    <w:rsid w:val="00607E49"/>
    <w:rsid w:val="00607E6C"/>
    <w:rsid w:val="00607E97"/>
    <w:rsid w:val="00607F28"/>
    <w:rsid w:val="006100BE"/>
    <w:rsid w:val="006100E9"/>
    <w:rsid w:val="0061015B"/>
    <w:rsid w:val="0061017B"/>
    <w:rsid w:val="00610189"/>
    <w:rsid w:val="0061026D"/>
    <w:rsid w:val="00610364"/>
    <w:rsid w:val="006103B7"/>
    <w:rsid w:val="006103D4"/>
    <w:rsid w:val="0061043C"/>
    <w:rsid w:val="006104BD"/>
    <w:rsid w:val="006104C3"/>
    <w:rsid w:val="006104FC"/>
    <w:rsid w:val="00610538"/>
    <w:rsid w:val="00610566"/>
    <w:rsid w:val="006105BB"/>
    <w:rsid w:val="00610601"/>
    <w:rsid w:val="0061064D"/>
    <w:rsid w:val="0061068A"/>
    <w:rsid w:val="00610701"/>
    <w:rsid w:val="00610711"/>
    <w:rsid w:val="006107AC"/>
    <w:rsid w:val="006107D5"/>
    <w:rsid w:val="006108A0"/>
    <w:rsid w:val="006108E0"/>
    <w:rsid w:val="0061099A"/>
    <w:rsid w:val="006109A5"/>
    <w:rsid w:val="006109E9"/>
    <w:rsid w:val="00610B78"/>
    <w:rsid w:val="00610D2B"/>
    <w:rsid w:val="00610D52"/>
    <w:rsid w:val="00610DEC"/>
    <w:rsid w:val="00610E15"/>
    <w:rsid w:val="00610E55"/>
    <w:rsid w:val="00610E84"/>
    <w:rsid w:val="00610EA8"/>
    <w:rsid w:val="00610F96"/>
    <w:rsid w:val="00610FD5"/>
    <w:rsid w:val="00610FD9"/>
    <w:rsid w:val="00610FDF"/>
    <w:rsid w:val="00611099"/>
    <w:rsid w:val="006111E6"/>
    <w:rsid w:val="0061124C"/>
    <w:rsid w:val="0061136C"/>
    <w:rsid w:val="006113A6"/>
    <w:rsid w:val="006114B5"/>
    <w:rsid w:val="006114D4"/>
    <w:rsid w:val="006114E3"/>
    <w:rsid w:val="00611586"/>
    <w:rsid w:val="00611596"/>
    <w:rsid w:val="006115F8"/>
    <w:rsid w:val="0061160D"/>
    <w:rsid w:val="006116D0"/>
    <w:rsid w:val="006116D6"/>
    <w:rsid w:val="00611718"/>
    <w:rsid w:val="0061171A"/>
    <w:rsid w:val="00611751"/>
    <w:rsid w:val="00611767"/>
    <w:rsid w:val="006117EB"/>
    <w:rsid w:val="00611859"/>
    <w:rsid w:val="00611936"/>
    <w:rsid w:val="0061194C"/>
    <w:rsid w:val="006119AE"/>
    <w:rsid w:val="006119B3"/>
    <w:rsid w:val="006119B7"/>
    <w:rsid w:val="00611A15"/>
    <w:rsid w:val="00611AB9"/>
    <w:rsid w:val="00611C07"/>
    <w:rsid w:val="00611E5E"/>
    <w:rsid w:val="00611FCD"/>
    <w:rsid w:val="00612062"/>
    <w:rsid w:val="00612090"/>
    <w:rsid w:val="006120E9"/>
    <w:rsid w:val="00612147"/>
    <w:rsid w:val="0061222A"/>
    <w:rsid w:val="00612349"/>
    <w:rsid w:val="006123B5"/>
    <w:rsid w:val="006123CA"/>
    <w:rsid w:val="0061251D"/>
    <w:rsid w:val="006125FB"/>
    <w:rsid w:val="006126DC"/>
    <w:rsid w:val="00612760"/>
    <w:rsid w:val="006127C0"/>
    <w:rsid w:val="006127E0"/>
    <w:rsid w:val="00612893"/>
    <w:rsid w:val="006128C8"/>
    <w:rsid w:val="0061299B"/>
    <w:rsid w:val="006129AD"/>
    <w:rsid w:val="00612A17"/>
    <w:rsid w:val="00612A84"/>
    <w:rsid w:val="00612AD5"/>
    <w:rsid w:val="00612ADD"/>
    <w:rsid w:val="00612C70"/>
    <w:rsid w:val="00612DA3"/>
    <w:rsid w:val="00612E8D"/>
    <w:rsid w:val="00612EBD"/>
    <w:rsid w:val="00612F2F"/>
    <w:rsid w:val="0061300E"/>
    <w:rsid w:val="00613096"/>
    <w:rsid w:val="00613193"/>
    <w:rsid w:val="00613249"/>
    <w:rsid w:val="00613308"/>
    <w:rsid w:val="006133B3"/>
    <w:rsid w:val="006134F7"/>
    <w:rsid w:val="00613516"/>
    <w:rsid w:val="0061363C"/>
    <w:rsid w:val="006137AF"/>
    <w:rsid w:val="006139BE"/>
    <w:rsid w:val="00613A1A"/>
    <w:rsid w:val="00613ACB"/>
    <w:rsid w:val="00613B99"/>
    <w:rsid w:val="00613C0D"/>
    <w:rsid w:val="00613C59"/>
    <w:rsid w:val="00613C74"/>
    <w:rsid w:val="00613DAD"/>
    <w:rsid w:val="00613DE1"/>
    <w:rsid w:val="00613E22"/>
    <w:rsid w:val="00613EFB"/>
    <w:rsid w:val="00613F5A"/>
    <w:rsid w:val="00613F6B"/>
    <w:rsid w:val="00613F73"/>
    <w:rsid w:val="00614019"/>
    <w:rsid w:val="006140E8"/>
    <w:rsid w:val="0061412E"/>
    <w:rsid w:val="006142F2"/>
    <w:rsid w:val="006143B4"/>
    <w:rsid w:val="006143CB"/>
    <w:rsid w:val="006145AB"/>
    <w:rsid w:val="006145F4"/>
    <w:rsid w:val="00614721"/>
    <w:rsid w:val="0061474B"/>
    <w:rsid w:val="00614773"/>
    <w:rsid w:val="006147AA"/>
    <w:rsid w:val="006147CF"/>
    <w:rsid w:val="006147EC"/>
    <w:rsid w:val="00614865"/>
    <w:rsid w:val="006148BD"/>
    <w:rsid w:val="006148F3"/>
    <w:rsid w:val="00614995"/>
    <w:rsid w:val="00614A07"/>
    <w:rsid w:val="00614A1F"/>
    <w:rsid w:val="00614AB3"/>
    <w:rsid w:val="00614ADC"/>
    <w:rsid w:val="00614B3C"/>
    <w:rsid w:val="00614BBE"/>
    <w:rsid w:val="00614E3F"/>
    <w:rsid w:val="00614E64"/>
    <w:rsid w:val="00614E6E"/>
    <w:rsid w:val="00614E76"/>
    <w:rsid w:val="00614EF3"/>
    <w:rsid w:val="00614F39"/>
    <w:rsid w:val="00614FD0"/>
    <w:rsid w:val="00614FDD"/>
    <w:rsid w:val="006151D7"/>
    <w:rsid w:val="0061523E"/>
    <w:rsid w:val="006152B7"/>
    <w:rsid w:val="006152F9"/>
    <w:rsid w:val="0061537D"/>
    <w:rsid w:val="006153AF"/>
    <w:rsid w:val="0061542B"/>
    <w:rsid w:val="00615443"/>
    <w:rsid w:val="0061545C"/>
    <w:rsid w:val="006154BD"/>
    <w:rsid w:val="006154D1"/>
    <w:rsid w:val="006155CB"/>
    <w:rsid w:val="006155FF"/>
    <w:rsid w:val="0061566F"/>
    <w:rsid w:val="00615714"/>
    <w:rsid w:val="00615768"/>
    <w:rsid w:val="00615836"/>
    <w:rsid w:val="00615985"/>
    <w:rsid w:val="006159F2"/>
    <w:rsid w:val="00615A8A"/>
    <w:rsid w:val="00615A8B"/>
    <w:rsid w:val="00615D88"/>
    <w:rsid w:val="00615DF9"/>
    <w:rsid w:val="00615E22"/>
    <w:rsid w:val="00615E4B"/>
    <w:rsid w:val="00615E8A"/>
    <w:rsid w:val="00615E8C"/>
    <w:rsid w:val="00615EA8"/>
    <w:rsid w:val="00615ECB"/>
    <w:rsid w:val="00615F74"/>
    <w:rsid w:val="00616082"/>
    <w:rsid w:val="006160BE"/>
    <w:rsid w:val="00616227"/>
    <w:rsid w:val="0061624B"/>
    <w:rsid w:val="00616410"/>
    <w:rsid w:val="0061655A"/>
    <w:rsid w:val="0061665C"/>
    <w:rsid w:val="00616671"/>
    <w:rsid w:val="0061667A"/>
    <w:rsid w:val="006168A8"/>
    <w:rsid w:val="00616A4A"/>
    <w:rsid w:val="00616AEE"/>
    <w:rsid w:val="00616B60"/>
    <w:rsid w:val="00616C1A"/>
    <w:rsid w:val="00616D08"/>
    <w:rsid w:val="00616DF6"/>
    <w:rsid w:val="00616DF8"/>
    <w:rsid w:val="00616E46"/>
    <w:rsid w:val="00616F33"/>
    <w:rsid w:val="00616F85"/>
    <w:rsid w:val="0061708E"/>
    <w:rsid w:val="0061709B"/>
    <w:rsid w:val="006170EB"/>
    <w:rsid w:val="006170ED"/>
    <w:rsid w:val="0061712C"/>
    <w:rsid w:val="00617141"/>
    <w:rsid w:val="0061714A"/>
    <w:rsid w:val="0061722F"/>
    <w:rsid w:val="00617303"/>
    <w:rsid w:val="00617475"/>
    <w:rsid w:val="006175EE"/>
    <w:rsid w:val="00617638"/>
    <w:rsid w:val="0061765D"/>
    <w:rsid w:val="00617686"/>
    <w:rsid w:val="00617777"/>
    <w:rsid w:val="0061779A"/>
    <w:rsid w:val="006177FC"/>
    <w:rsid w:val="0061794B"/>
    <w:rsid w:val="00617A08"/>
    <w:rsid w:val="00617A1E"/>
    <w:rsid w:val="00617A33"/>
    <w:rsid w:val="00617AAC"/>
    <w:rsid w:val="00617AF4"/>
    <w:rsid w:val="00617C8E"/>
    <w:rsid w:val="00617D0E"/>
    <w:rsid w:val="00617EA2"/>
    <w:rsid w:val="00617EB7"/>
    <w:rsid w:val="00617F76"/>
    <w:rsid w:val="00617FEB"/>
    <w:rsid w:val="00620153"/>
    <w:rsid w:val="0062015B"/>
    <w:rsid w:val="006201B7"/>
    <w:rsid w:val="00620218"/>
    <w:rsid w:val="00620267"/>
    <w:rsid w:val="006202AA"/>
    <w:rsid w:val="006202ED"/>
    <w:rsid w:val="006204D1"/>
    <w:rsid w:val="0062054C"/>
    <w:rsid w:val="0062059A"/>
    <w:rsid w:val="006206BE"/>
    <w:rsid w:val="0062090C"/>
    <w:rsid w:val="0062095D"/>
    <w:rsid w:val="00620A3F"/>
    <w:rsid w:val="00620B29"/>
    <w:rsid w:val="00620BA7"/>
    <w:rsid w:val="00620CAD"/>
    <w:rsid w:val="00620D15"/>
    <w:rsid w:val="00620E07"/>
    <w:rsid w:val="00620ED0"/>
    <w:rsid w:val="00620F35"/>
    <w:rsid w:val="00620F44"/>
    <w:rsid w:val="00620FCC"/>
    <w:rsid w:val="0062107D"/>
    <w:rsid w:val="0062124B"/>
    <w:rsid w:val="00621295"/>
    <w:rsid w:val="00621703"/>
    <w:rsid w:val="00621737"/>
    <w:rsid w:val="00621825"/>
    <w:rsid w:val="00621A97"/>
    <w:rsid w:val="00621ACB"/>
    <w:rsid w:val="00621C40"/>
    <w:rsid w:val="00621E3C"/>
    <w:rsid w:val="00621E7F"/>
    <w:rsid w:val="00621ED5"/>
    <w:rsid w:val="00621F72"/>
    <w:rsid w:val="00622002"/>
    <w:rsid w:val="00622016"/>
    <w:rsid w:val="006220A1"/>
    <w:rsid w:val="006221C2"/>
    <w:rsid w:val="006222BF"/>
    <w:rsid w:val="006222CA"/>
    <w:rsid w:val="006222DB"/>
    <w:rsid w:val="0062230A"/>
    <w:rsid w:val="0062245E"/>
    <w:rsid w:val="00622504"/>
    <w:rsid w:val="00622593"/>
    <w:rsid w:val="006227D9"/>
    <w:rsid w:val="00622835"/>
    <w:rsid w:val="006228C9"/>
    <w:rsid w:val="00622936"/>
    <w:rsid w:val="0062293B"/>
    <w:rsid w:val="006229CE"/>
    <w:rsid w:val="006229F4"/>
    <w:rsid w:val="00622A6C"/>
    <w:rsid w:val="00622AB5"/>
    <w:rsid w:val="00622AC8"/>
    <w:rsid w:val="00622ACE"/>
    <w:rsid w:val="00622B45"/>
    <w:rsid w:val="00622BBC"/>
    <w:rsid w:val="00622BF6"/>
    <w:rsid w:val="00622C24"/>
    <w:rsid w:val="00622C9C"/>
    <w:rsid w:val="00622CD2"/>
    <w:rsid w:val="00622D0C"/>
    <w:rsid w:val="00622D96"/>
    <w:rsid w:val="00622EF2"/>
    <w:rsid w:val="00622F43"/>
    <w:rsid w:val="00622F87"/>
    <w:rsid w:val="00622FE4"/>
    <w:rsid w:val="00623144"/>
    <w:rsid w:val="006231AC"/>
    <w:rsid w:val="0062320E"/>
    <w:rsid w:val="00623252"/>
    <w:rsid w:val="0062328E"/>
    <w:rsid w:val="00623367"/>
    <w:rsid w:val="0062341D"/>
    <w:rsid w:val="00623532"/>
    <w:rsid w:val="006235D0"/>
    <w:rsid w:val="0062369F"/>
    <w:rsid w:val="006236A5"/>
    <w:rsid w:val="006236CD"/>
    <w:rsid w:val="006236E4"/>
    <w:rsid w:val="0062371A"/>
    <w:rsid w:val="00623868"/>
    <w:rsid w:val="00623A8C"/>
    <w:rsid w:val="00623BB6"/>
    <w:rsid w:val="00623C12"/>
    <w:rsid w:val="00623C6F"/>
    <w:rsid w:val="00623C99"/>
    <w:rsid w:val="00623DAF"/>
    <w:rsid w:val="00623DD6"/>
    <w:rsid w:val="00623F00"/>
    <w:rsid w:val="00623F52"/>
    <w:rsid w:val="00623FB1"/>
    <w:rsid w:val="0062404E"/>
    <w:rsid w:val="00624100"/>
    <w:rsid w:val="0062417D"/>
    <w:rsid w:val="0062426E"/>
    <w:rsid w:val="0062434F"/>
    <w:rsid w:val="006243B3"/>
    <w:rsid w:val="006243C4"/>
    <w:rsid w:val="0062441E"/>
    <w:rsid w:val="00624484"/>
    <w:rsid w:val="00624531"/>
    <w:rsid w:val="0062456E"/>
    <w:rsid w:val="0062461F"/>
    <w:rsid w:val="0062466E"/>
    <w:rsid w:val="006246FB"/>
    <w:rsid w:val="0062471C"/>
    <w:rsid w:val="00624732"/>
    <w:rsid w:val="0062477A"/>
    <w:rsid w:val="0062494A"/>
    <w:rsid w:val="00624B91"/>
    <w:rsid w:val="00624B97"/>
    <w:rsid w:val="00624C8B"/>
    <w:rsid w:val="00624C97"/>
    <w:rsid w:val="00624C98"/>
    <w:rsid w:val="00624D70"/>
    <w:rsid w:val="00624DB3"/>
    <w:rsid w:val="00624DCD"/>
    <w:rsid w:val="00624E35"/>
    <w:rsid w:val="00624E58"/>
    <w:rsid w:val="00624FF6"/>
    <w:rsid w:val="006250FB"/>
    <w:rsid w:val="00625169"/>
    <w:rsid w:val="00625270"/>
    <w:rsid w:val="0062527F"/>
    <w:rsid w:val="006252E3"/>
    <w:rsid w:val="0062537D"/>
    <w:rsid w:val="0062549D"/>
    <w:rsid w:val="006254E7"/>
    <w:rsid w:val="006255DA"/>
    <w:rsid w:val="0062560A"/>
    <w:rsid w:val="00625791"/>
    <w:rsid w:val="006257A2"/>
    <w:rsid w:val="006257A4"/>
    <w:rsid w:val="006258C0"/>
    <w:rsid w:val="006258F4"/>
    <w:rsid w:val="00625967"/>
    <w:rsid w:val="006259A8"/>
    <w:rsid w:val="006259CD"/>
    <w:rsid w:val="006259D9"/>
    <w:rsid w:val="00625A47"/>
    <w:rsid w:val="00625A48"/>
    <w:rsid w:val="00625B18"/>
    <w:rsid w:val="00625B8C"/>
    <w:rsid w:val="00625BF5"/>
    <w:rsid w:val="00625CE2"/>
    <w:rsid w:val="00625D8B"/>
    <w:rsid w:val="00625D9A"/>
    <w:rsid w:val="00625DCF"/>
    <w:rsid w:val="00625DFA"/>
    <w:rsid w:val="00625E0B"/>
    <w:rsid w:val="00625E55"/>
    <w:rsid w:val="00625EA1"/>
    <w:rsid w:val="00625EAE"/>
    <w:rsid w:val="00625F8B"/>
    <w:rsid w:val="00625FFF"/>
    <w:rsid w:val="00626167"/>
    <w:rsid w:val="00626198"/>
    <w:rsid w:val="006261A6"/>
    <w:rsid w:val="006261F6"/>
    <w:rsid w:val="006261F7"/>
    <w:rsid w:val="00626234"/>
    <w:rsid w:val="0062627A"/>
    <w:rsid w:val="006262BC"/>
    <w:rsid w:val="006263F0"/>
    <w:rsid w:val="0062643B"/>
    <w:rsid w:val="0062647F"/>
    <w:rsid w:val="0062661E"/>
    <w:rsid w:val="0062665E"/>
    <w:rsid w:val="00626781"/>
    <w:rsid w:val="0062683F"/>
    <w:rsid w:val="006268EC"/>
    <w:rsid w:val="00626958"/>
    <w:rsid w:val="006269C4"/>
    <w:rsid w:val="00626ADE"/>
    <w:rsid w:val="00626CC0"/>
    <w:rsid w:val="00626D3F"/>
    <w:rsid w:val="00626DA4"/>
    <w:rsid w:val="00626E7A"/>
    <w:rsid w:val="00626F55"/>
    <w:rsid w:val="0062710E"/>
    <w:rsid w:val="00627199"/>
    <w:rsid w:val="006271A4"/>
    <w:rsid w:val="006271AF"/>
    <w:rsid w:val="00627396"/>
    <w:rsid w:val="0062739D"/>
    <w:rsid w:val="006273D7"/>
    <w:rsid w:val="00627417"/>
    <w:rsid w:val="006275E7"/>
    <w:rsid w:val="00627640"/>
    <w:rsid w:val="006276FC"/>
    <w:rsid w:val="0062775A"/>
    <w:rsid w:val="006277A7"/>
    <w:rsid w:val="006277C6"/>
    <w:rsid w:val="00627803"/>
    <w:rsid w:val="0062789C"/>
    <w:rsid w:val="006278BA"/>
    <w:rsid w:val="006278EC"/>
    <w:rsid w:val="00627995"/>
    <w:rsid w:val="00627A03"/>
    <w:rsid w:val="00627AD1"/>
    <w:rsid w:val="00627B42"/>
    <w:rsid w:val="00627B4F"/>
    <w:rsid w:val="00627BF2"/>
    <w:rsid w:val="00627CF8"/>
    <w:rsid w:val="00627D1B"/>
    <w:rsid w:val="00627D75"/>
    <w:rsid w:val="00627DBA"/>
    <w:rsid w:val="00627E16"/>
    <w:rsid w:val="00627E62"/>
    <w:rsid w:val="0062EA5A"/>
    <w:rsid w:val="00630021"/>
    <w:rsid w:val="00630241"/>
    <w:rsid w:val="0063028D"/>
    <w:rsid w:val="00630290"/>
    <w:rsid w:val="00630292"/>
    <w:rsid w:val="0063029D"/>
    <w:rsid w:val="006302D1"/>
    <w:rsid w:val="006302D6"/>
    <w:rsid w:val="006302F0"/>
    <w:rsid w:val="006304AC"/>
    <w:rsid w:val="006304B5"/>
    <w:rsid w:val="006304F8"/>
    <w:rsid w:val="0063056F"/>
    <w:rsid w:val="006305B6"/>
    <w:rsid w:val="00630668"/>
    <w:rsid w:val="0063072D"/>
    <w:rsid w:val="00630733"/>
    <w:rsid w:val="0063079B"/>
    <w:rsid w:val="006307C6"/>
    <w:rsid w:val="0063081A"/>
    <w:rsid w:val="00630870"/>
    <w:rsid w:val="006308B8"/>
    <w:rsid w:val="0063095A"/>
    <w:rsid w:val="00630996"/>
    <w:rsid w:val="006309A8"/>
    <w:rsid w:val="00630A0D"/>
    <w:rsid w:val="00630A27"/>
    <w:rsid w:val="00630C12"/>
    <w:rsid w:val="00630C6B"/>
    <w:rsid w:val="00630D0E"/>
    <w:rsid w:val="00630DC4"/>
    <w:rsid w:val="00630E00"/>
    <w:rsid w:val="00630E95"/>
    <w:rsid w:val="00630F1F"/>
    <w:rsid w:val="00630FFD"/>
    <w:rsid w:val="00631204"/>
    <w:rsid w:val="006312EB"/>
    <w:rsid w:val="006314F6"/>
    <w:rsid w:val="00631534"/>
    <w:rsid w:val="0063155F"/>
    <w:rsid w:val="00631566"/>
    <w:rsid w:val="00631589"/>
    <w:rsid w:val="006315CA"/>
    <w:rsid w:val="006315FC"/>
    <w:rsid w:val="00631706"/>
    <w:rsid w:val="006317A6"/>
    <w:rsid w:val="0063183D"/>
    <w:rsid w:val="006318C9"/>
    <w:rsid w:val="00631947"/>
    <w:rsid w:val="0063195B"/>
    <w:rsid w:val="0063198B"/>
    <w:rsid w:val="0063199F"/>
    <w:rsid w:val="00631B66"/>
    <w:rsid w:val="00631C32"/>
    <w:rsid w:val="00631C7B"/>
    <w:rsid w:val="00631E8C"/>
    <w:rsid w:val="00631FAF"/>
    <w:rsid w:val="006320CA"/>
    <w:rsid w:val="00632123"/>
    <w:rsid w:val="006321EE"/>
    <w:rsid w:val="00632261"/>
    <w:rsid w:val="006322A1"/>
    <w:rsid w:val="006322B9"/>
    <w:rsid w:val="006322C1"/>
    <w:rsid w:val="00632387"/>
    <w:rsid w:val="006323F1"/>
    <w:rsid w:val="00632594"/>
    <w:rsid w:val="006326B7"/>
    <w:rsid w:val="00632756"/>
    <w:rsid w:val="00632773"/>
    <w:rsid w:val="006328E9"/>
    <w:rsid w:val="006329A7"/>
    <w:rsid w:val="00632A5F"/>
    <w:rsid w:val="00632AD1"/>
    <w:rsid w:val="00632C1D"/>
    <w:rsid w:val="00632C5E"/>
    <w:rsid w:val="00632C90"/>
    <w:rsid w:val="00632D45"/>
    <w:rsid w:val="00632E01"/>
    <w:rsid w:val="00632E52"/>
    <w:rsid w:val="00632EFA"/>
    <w:rsid w:val="00633061"/>
    <w:rsid w:val="006330AC"/>
    <w:rsid w:val="0063313A"/>
    <w:rsid w:val="006331C0"/>
    <w:rsid w:val="006331E7"/>
    <w:rsid w:val="00633285"/>
    <w:rsid w:val="006332D9"/>
    <w:rsid w:val="0063330D"/>
    <w:rsid w:val="00633373"/>
    <w:rsid w:val="006333AB"/>
    <w:rsid w:val="00633433"/>
    <w:rsid w:val="006334BE"/>
    <w:rsid w:val="00633590"/>
    <w:rsid w:val="006336C7"/>
    <w:rsid w:val="006337CC"/>
    <w:rsid w:val="006337FF"/>
    <w:rsid w:val="00633841"/>
    <w:rsid w:val="0063386C"/>
    <w:rsid w:val="006338A9"/>
    <w:rsid w:val="006338FA"/>
    <w:rsid w:val="006339DD"/>
    <w:rsid w:val="00633A0F"/>
    <w:rsid w:val="00633A24"/>
    <w:rsid w:val="00633A9D"/>
    <w:rsid w:val="00633B71"/>
    <w:rsid w:val="00633B93"/>
    <w:rsid w:val="00633BD8"/>
    <w:rsid w:val="00633C6E"/>
    <w:rsid w:val="00633D23"/>
    <w:rsid w:val="00633E6F"/>
    <w:rsid w:val="00633F28"/>
    <w:rsid w:val="00633F3C"/>
    <w:rsid w:val="00633F9D"/>
    <w:rsid w:val="00634032"/>
    <w:rsid w:val="006340A2"/>
    <w:rsid w:val="006340AD"/>
    <w:rsid w:val="006340C6"/>
    <w:rsid w:val="00634105"/>
    <w:rsid w:val="0063410C"/>
    <w:rsid w:val="00634317"/>
    <w:rsid w:val="00634329"/>
    <w:rsid w:val="0063434C"/>
    <w:rsid w:val="00634404"/>
    <w:rsid w:val="00634423"/>
    <w:rsid w:val="00634442"/>
    <w:rsid w:val="00634483"/>
    <w:rsid w:val="00634768"/>
    <w:rsid w:val="0063479A"/>
    <w:rsid w:val="00634844"/>
    <w:rsid w:val="006348EF"/>
    <w:rsid w:val="00634904"/>
    <w:rsid w:val="00634937"/>
    <w:rsid w:val="00634955"/>
    <w:rsid w:val="00634A92"/>
    <w:rsid w:val="00634A9F"/>
    <w:rsid w:val="00634B3B"/>
    <w:rsid w:val="00634B6E"/>
    <w:rsid w:val="00634BBB"/>
    <w:rsid w:val="00634C21"/>
    <w:rsid w:val="00634E54"/>
    <w:rsid w:val="00634F0A"/>
    <w:rsid w:val="00634F0C"/>
    <w:rsid w:val="00635072"/>
    <w:rsid w:val="00635146"/>
    <w:rsid w:val="00635149"/>
    <w:rsid w:val="00635214"/>
    <w:rsid w:val="006352E2"/>
    <w:rsid w:val="006353BA"/>
    <w:rsid w:val="006353D5"/>
    <w:rsid w:val="006353EF"/>
    <w:rsid w:val="006353FC"/>
    <w:rsid w:val="0063557D"/>
    <w:rsid w:val="006355F4"/>
    <w:rsid w:val="006356C2"/>
    <w:rsid w:val="00635728"/>
    <w:rsid w:val="00635768"/>
    <w:rsid w:val="00635793"/>
    <w:rsid w:val="006357AF"/>
    <w:rsid w:val="00635972"/>
    <w:rsid w:val="00635A1E"/>
    <w:rsid w:val="00635B2D"/>
    <w:rsid w:val="00635BA2"/>
    <w:rsid w:val="00635BC2"/>
    <w:rsid w:val="00635C06"/>
    <w:rsid w:val="00635E3D"/>
    <w:rsid w:val="00635E75"/>
    <w:rsid w:val="00635F7B"/>
    <w:rsid w:val="00635F9E"/>
    <w:rsid w:val="00635FC8"/>
    <w:rsid w:val="00636030"/>
    <w:rsid w:val="00636070"/>
    <w:rsid w:val="00636099"/>
    <w:rsid w:val="0063613E"/>
    <w:rsid w:val="00636153"/>
    <w:rsid w:val="00636290"/>
    <w:rsid w:val="006362CA"/>
    <w:rsid w:val="006362DF"/>
    <w:rsid w:val="006363C7"/>
    <w:rsid w:val="006364BC"/>
    <w:rsid w:val="0063673D"/>
    <w:rsid w:val="00636741"/>
    <w:rsid w:val="00636769"/>
    <w:rsid w:val="006367BC"/>
    <w:rsid w:val="006367DC"/>
    <w:rsid w:val="00636830"/>
    <w:rsid w:val="0063686D"/>
    <w:rsid w:val="00636889"/>
    <w:rsid w:val="006368B6"/>
    <w:rsid w:val="006368D6"/>
    <w:rsid w:val="006368D8"/>
    <w:rsid w:val="006368E7"/>
    <w:rsid w:val="006368EE"/>
    <w:rsid w:val="00636919"/>
    <w:rsid w:val="00636BB3"/>
    <w:rsid w:val="00636CE9"/>
    <w:rsid w:val="00636E67"/>
    <w:rsid w:val="00636E91"/>
    <w:rsid w:val="00636EAF"/>
    <w:rsid w:val="00636F55"/>
    <w:rsid w:val="00636F6D"/>
    <w:rsid w:val="00637073"/>
    <w:rsid w:val="006371C5"/>
    <w:rsid w:val="006371E6"/>
    <w:rsid w:val="00637372"/>
    <w:rsid w:val="0063740D"/>
    <w:rsid w:val="0063745B"/>
    <w:rsid w:val="00637468"/>
    <w:rsid w:val="00637480"/>
    <w:rsid w:val="0063749D"/>
    <w:rsid w:val="00637512"/>
    <w:rsid w:val="00637543"/>
    <w:rsid w:val="0063756C"/>
    <w:rsid w:val="0063757A"/>
    <w:rsid w:val="006375B7"/>
    <w:rsid w:val="006376F8"/>
    <w:rsid w:val="006376FE"/>
    <w:rsid w:val="0063781B"/>
    <w:rsid w:val="00637992"/>
    <w:rsid w:val="006379CB"/>
    <w:rsid w:val="006379F4"/>
    <w:rsid w:val="00637A57"/>
    <w:rsid w:val="00637B4C"/>
    <w:rsid w:val="00637BC8"/>
    <w:rsid w:val="00637BE9"/>
    <w:rsid w:val="00637C59"/>
    <w:rsid w:val="00637C79"/>
    <w:rsid w:val="00637C91"/>
    <w:rsid w:val="00637C9B"/>
    <w:rsid w:val="00637CA5"/>
    <w:rsid w:val="00637CD4"/>
    <w:rsid w:val="00637DFC"/>
    <w:rsid w:val="00637E9F"/>
    <w:rsid w:val="00637F26"/>
    <w:rsid w:val="00637F8F"/>
    <w:rsid w:val="0064000F"/>
    <w:rsid w:val="00640021"/>
    <w:rsid w:val="00640383"/>
    <w:rsid w:val="006403DB"/>
    <w:rsid w:val="006404CB"/>
    <w:rsid w:val="0064050B"/>
    <w:rsid w:val="0064052F"/>
    <w:rsid w:val="00640564"/>
    <w:rsid w:val="0064062C"/>
    <w:rsid w:val="0064064A"/>
    <w:rsid w:val="006408D2"/>
    <w:rsid w:val="006408EE"/>
    <w:rsid w:val="00640930"/>
    <w:rsid w:val="00640A91"/>
    <w:rsid w:val="00640ABE"/>
    <w:rsid w:val="00640AD3"/>
    <w:rsid w:val="00640B86"/>
    <w:rsid w:val="00640BBD"/>
    <w:rsid w:val="00640BD9"/>
    <w:rsid w:val="00640CB1"/>
    <w:rsid w:val="00640CBC"/>
    <w:rsid w:val="00640D04"/>
    <w:rsid w:val="00640D83"/>
    <w:rsid w:val="00640E38"/>
    <w:rsid w:val="00641041"/>
    <w:rsid w:val="0064106A"/>
    <w:rsid w:val="00641106"/>
    <w:rsid w:val="006412F1"/>
    <w:rsid w:val="0064131A"/>
    <w:rsid w:val="0064136D"/>
    <w:rsid w:val="006413F1"/>
    <w:rsid w:val="00641488"/>
    <w:rsid w:val="00641491"/>
    <w:rsid w:val="006414E5"/>
    <w:rsid w:val="006414F6"/>
    <w:rsid w:val="0064151F"/>
    <w:rsid w:val="0064164D"/>
    <w:rsid w:val="00641792"/>
    <w:rsid w:val="00641829"/>
    <w:rsid w:val="0064182A"/>
    <w:rsid w:val="0064183F"/>
    <w:rsid w:val="0064184A"/>
    <w:rsid w:val="006418B5"/>
    <w:rsid w:val="006418EB"/>
    <w:rsid w:val="00641954"/>
    <w:rsid w:val="0064196E"/>
    <w:rsid w:val="00641992"/>
    <w:rsid w:val="00641A68"/>
    <w:rsid w:val="00641AE2"/>
    <w:rsid w:val="00641B30"/>
    <w:rsid w:val="00641B88"/>
    <w:rsid w:val="00641C4E"/>
    <w:rsid w:val="00641C6F"/>
    <w:rsid w:val="00641CB9"/>
    <w:rsid w:val="00641E83"/>
    <w:rsid w:val="00641F24"/>
    <w:rsid w:val="00641F5F"/>
    <w:rsid w:val="00641FAB"/>
    <w:rsid w:val="0064200D"/>
    <w:rsid w:val="00642027"/>
    <w:rsid w:val="0064204A"/>
    <w:rsid w:val="00642065"/>
    <w:rsid w:val="0064209A"/>
    <w:rsid w:val="0064211F"/>
    <w:rsid w:val="006421BE"/>
    <w:rsid w:val="006421D3"/>
    <w:rsid w:val="006422B2"/>
    <w:rsid w:val="0064236E"/>
    <w:rsid w:val="0064237F"/>
    <w:rsid w:val="006423B2"/>
    <w:rsid w:val="006423BF"/>
    <w:rsid w:val="006423DD"/>
    <w:rsid w:val="006424B5"/>
    <w:rsid w:val="006424B8"/>
    <w:rsid w:val="006425F7"/>
    <w:rsid w:val="00642686"/>
    <w:rsid w:val="006426C4"/>
    <w:rsid w:val="0064273D"/>
    <w:rsid w:val="00642842"/>
    <w:rsid w:val="006429FD"/>
    <w:rsid w:val="00642A02"/>
    <w:rsid w:val="00642A60"/>
    <w:rsid w:val="00642A8D"/>
    <w:rsid w:val="00642B45"/>
    <w:rsid w:val="00642B53"/>
    <w:rsid w:val="00642B7C"/>
    <w:rsid w:val="00642C2C"/>
    <w:rsid w:val="00642C63"/>
    <w:rsid w:val="00642C9E"/>
    <w:rsid w:val="00642EBB"/>
    <w:rsid w:val="00642F87"/>
    <w:rsid w:val="00642FD8"/>
    <w:rsid w:val="006430B8"/>
    <w:rsid w:val="00643108"/>
    <w:rsid w:val="0064315B"/>
    <w:rsid w:val="00643223"/>
    <w:rsid w:val="006432A1"/>
    <w:rsid w:val="006433B0"/>
    <w:rsid w:val="00643436"/>
    <w:rsid w:val="006434DA"/>
    <w:rsid w:val="006434E8"/>
    <w:rsid w:val="00643522"/>
    <w:rsid w:val="0064352D"/>
    <w:rsid w:val="00643582"/>
    <w:rsid w:val="00643681"/>
    <w:rsid w:val="00643724"/>
    <w:rsid w:val="00643798"/>
    <w:rsid w:val="00643801"/>
    <w:rsid w:val="00643947"/>
    <w:rsid w:val="0064394D"/>
    <w:rsid w:val="00643951"/>
    <w:rsid w:val="00643967"/>
    <w:rsid w:val="00643989"/>
    <w:rsid w:val="00643AA5"/>
    <w:rsid w:val="00643B19"/>
    <w:rsid w:val="00643B22"/>
    <w:rsid w:val="00643B31"/>
    <w:rsid w:val="00643B5F"/>
    <w:rsid w:val="00643B76"/>
    <w:rsid w:val="00643CF7"/>
    <w:rsid w:val="00643D35"/>
    <w:rsid w:val="00643D7E"/>
    <w:rsid w:val="00643D83"/>
    <w:rsid w:val="00643EAD"/>
    <w:rsid w:val="00643EE4"/>
    <w:rsid w:val="00643EF1"/>
    <w:rsid w:val="00643FA8"/>
    <w:rsid w:val="00643FED"/>
    <w:rsid w:val="00644070"/>
    <w:rsid w:val="006440D4"/>
    <w:rsid w:val="006440DE"/>
    <w:rsid w:val="00644173"/>
    <w:rsid w:val="006441A3"/>
    <w:rsid w:val="006441EC"/>
    <w:rsid w:val="00644214"/>
    <w:rsid w:val="00644243"/>
    <w:rsid w:val="006442A0"/>
    <w:rsid w:val="006442EB"/>
    <w:rsid w:val="00644368"/>
    <w:rsid w:val="006443E8"/>
    <w:rsid w:val="006443EE"/>
    <w:rsid w:val="00644415"/>
    <w:rsid w:val="0064456D"/>
    <w:rsid w:val="00644644"/>
    <w:rsid w:val="006446ED"/>
    <w:rsid w:val="00644746"/>
    <w:rsid w:val="0064478C"/>
    <w:rsid w:val="0064483D"/>
    <w:rsid w:val="0064488D"/>
    <w:rsid w:val="006449E0"/>
    <w:rsid w:val="00644ADC"/>
    <w:rsid w:val="00644B62"/>
    <w:rsid w:val="00644B97"/>
    <w:rsid w:val="00644BD7"/>
    <w:rsid w:val="00644BF3"/>
    <w:rsid w:val="00644C6B"/>
    <w:rsid w:val="00644D1D"/>
    <w:rsid w:val="00644D31"/>
    <w:rsid w:val="00644D50"/>
    <w:rsid w:val="00644D5F"/>
    <w:rsid w:val="00644D7E"/>
    <w:rsid w:val="00644E85"/>
    <w:rsid w:val="00644EAC"/>
    <w:rsid w:val="00644F52"/>
    <w:rsid w:val="006450BB"/>
    <w:rsid w:val="00645245"/>
    <w:rsid w:val="0064534A"/>
    <w:rsid w:val="0064537C"/>
    <w:rsid w:val="00645465"/>
    <w:rsid w:val="0064546B"/>
    <w:rsid w:val="006454A1"/>
    <w:rsid w:val="0064550B"/>
    <w:rsid w:val="00645606"/>
    <w:rsid w:val="0064566B"/>
    <w:rsid w:val="00645676"/>
    <w:rsid w:val="0064567E"/>
    <w:rsid w:val="00645689"/>
    <w:rsid w:val="006457B6"/>
    <w:rsid w:val="006458A8"/>
    <w:rsid w:val="0064594E"/>
    <w:rsid w:val="006459F0"/>
    <w:rsid w:val="00645A76"/>
    <w:rsid w:val="00645B4B"/>
    <w:rsid w:val="00645C63"/>
    <w:rsid w:val="00645C9C"/>
    <w:rsid w:val="00645C9D"/>
    <w:rsid w:val="00645D24"/>
    <w:rsid w:val="00645D53"/>
    <w:rsid w:val="00645E44"/>
    <w:rsid w:val="00645E5A"/>
    <w:rsid w:val="00645F7D"/>
    <w:rsid w:val="00646025"/>
    <w:rsid w:val="00646040"/>
    <w:rsid w:val="0064619D"/>
    <w:rsid w:val="006461B1"/>
    <w:rsid w:val="006461F4"/>
    <w:rsid w:val="00646224"/>
    <w:rsid w:val="0064623F"/>
    <w:rsid w:val="006462B1"/>
    <w:rsid w:val="006462D6"/>
    <w:rsid w:val="006462EA"/>
    <w:rsid w:val="00646403"/>
    <w:rsid w:val="00646473"/>
    <w:rsid w:val="006464D8"/>
    <w:rsid w:val="006464F8"/>
    <w:rsid w:val="0064655D"/>
    <w:rsid w:val="006465C9"/>
    <w:rsid w:val="006465EC"/>
    <w:rsid w:val="00646630"/>
    <w:rsid w:val="006467F4"/>
    <w:rsid w:val="0064681B"/>
    <w:rsid w:val="0064694D"/>
    <w:rsid w:val="006469F2"/>
    <w:rsid w:val="00646A5F"/>
    <w:rsid w:val="00646AB9"/>
    <w:rsid w:val="00646AE1"/>
    <w:rsid w:val="00646BE5"/>
    <w:rsid w:val="00646C93"/>
    <w:rsid w:val="00646CE4"/>
    <w:rsid w:val="00646D8A"/>
    <w:rsid w:val="00646E22"/>
    <w:rsid w:val="00646E97"/>
    <w:rsid w:val="00646ECD"/>
    <w:rsid w:val="00646ED2"/>
    <w:rsid w:val="00646F02"/>
    <w:rsid w:val="00646FB4"/>
    <w:rsid w:val="00647059"/>
    <w:rsid w:val="0064718A"/>
    <w:rsid w:val="006471BC"/>
    <w:rsid w:val="006471E8"/>
    <w:rsid w:val="00647226"/>
    <w:rsid w:val="006473E3"/>
    <w:rsid w:val="006473EA"/>
    <w:rsid w:val="006473FB"/>
    <w:rsid w:val="00647423"/>
    <w:rsid w:val="00647446"/>
    <w:rsid w:val="00647571"/>
    <w:rsid w:val="006475D4"/>
    <w:rsid w:val="006476CB"/>
    <w:rsid w:val="006478D3"/>
    <w:rsid w:val="00647970"/>
    <w:rsid w:val="00647A43"/>
    <w:rsid w:val="00647A5F"/>
    <w:rsid w:val="00647A6A"/>
    <w:rsid w:val="00647A84"/>
    <w:rsid w:val="00647AF8"/>
    <w:rsid w:val="00647B1C"/>
    <w:rsid w:val="00647BD8"/>
    <w:rsid w:val="00647C11"/>
    <w:rsid w:val="00647CE0"/>
    <w:rsid w:val="00647CE7"/>
    <w:rsid w:val="00647D81"/>
    <w:rsid w:val="00647DC6"/>
    <w:rsid w:val="00647E73"/>
    <w:rsid w:val="00647FCB"/>
    <w:rsid w:val="0065002B"/>
    <w:rsid w:val="006500A8"/>
    <w:rsid w:val="00650147"/>
    <w:rsid w:val="00650178"/>
    <w:rsid w:val="00650229"/>
    <w:rsid w:val="00650253"/>
    <w:rsid w:val="006502EF"/>
    <w:rsid w:val="00650336"/>
    <w:rsid w:val="00650358"/>
    <w:rsid w:val="006503EC"/>
    <w:rsid w:val="00650440"/>
    <w:rsid w:val="0065047E"/>
    <w:rsid w:val="006504B7"/>
    <w:rsid w:val="00650652"/>
    <w:rsid w:val="0065069A"/>
    <w:rsid w:val="006506EB"/>
    <w:rsid w:val="00650795"/>
    <w:rsid w:val="006507B9"/>
    <w:rsid w:val="006508E4"/>
    <w:rsid w:val="00650912"/>
    <w:rsid w:val="00650947"/>
    <w:rsid w:val="00650955"/>
    <w:rsid w:val="006509C0"/>
    <w:rsid w:val="00650AD6"/>
    <w:rsid w:val="00650B00"/>
    <w:rsid w:val="00650B1B"/>
    <w:rsid w:val="00650B7C"/>
    <w:rsid w:val="00650BF2"/>
    <w:rsid w:val="00650C1A"/>
    <w:rsid w:val="00650CD1"/>
    <w:rsid w:val="00650D35"/>
    <w:rsid w:val="00650D48"/>
    <w:rsid w:val="00650E5D"/>
    <w:rsid w:val="00650F7E"/>
    <w:rsid w:val="00650FED"/>
    <w:rsid w:val="006510A1"/>
    <w:rsid w:val="006510C5"/>
    <w:rsid w:val="00651120"/>
    <w:rsid w:val="00651144"/>
    <w:rsid w:val="006511ED"/>
    <w:rsid w:val="006512D5"/>
    <w:rsid w:val="006513C9"/>
    <w:rsid w:val="00651422"/>
    <w:rsid w:val="0065142D"/>
    <w:rsid w:val="006514CD"/>
    <w:rsid w:val="00651671"/>
    <w:rsid w:val="0065167D"/>
    <w:rsid w:val="0065170C"/>
    <w:rsid w:val="0065172A"/>
    <w:rsid w:val="0065173F"/>
    <w:rsid w:val="00651794"/>
    <w:rsid w:val="006517EB"/>
    <w:rsid w:val="006517EF"/>
    <w:rsid w:val="006518D8"/>
    <w:rsid w:val="00651938"/>
    <w:rsid w:val="00651A49"/>
    <w:rsid w:val="00651A72"/>
    <w:rsid w:val="00651B5F"/>
    <w:rsid w:val="00651BD1"/>
    <w:rsid w:val="00651D7A"/>
    <w:rsid w:val="00651FF7"/>
    <w:rsid w:val="0065223A"/>
    <w:rsid w:val="0065224D"/>
    <w:rsid w:val="006522C7"/>
    <w:rsid w:val="00652396"/>
    <w:rsid w:val="006523AA"/>
    <w:rsid w:val="00652445"/>
    <w:rsid w:val="00652462"/>
    <w:rsid w:val="00652477"/>
    <w:rsid w:val="00652572"/>
    <w:rsid w:val="00652648"/>
    <w:rsid w:val="006526C0"/>
    <w:rsid w:val="00652746"/>
    <w:rsid w:val="00652854"/>
    <w:rsid w:val="006528C3"/>
    <w:rsid w:val="0065293D"/>
    <w:rsid w:val="0065294D"/>
    <w:rsid w:val="00652AE4"/>
    <w:rsid w:val="00652D47"/>
    <w:rsid w:val="00652D9C"/>
    <w:rsid w:val="00652DA3"/>
    <w:rsid w:val="00652DFC"/>
    <w:rsid w:val="00652F67"/>
    <w:rsid w:val="00652FF0"/>
    <w:rsid w:val="00653001"/>
    <w:rsid w:val="0065302E"/>
    <w:rsid w:val="00653039"/>
    <w:rsid w:val="006530B3"/>
    <w:rsid w:val="006530DF"/>
    <w:rsid w:val="006531C7"/>
    <w:rsid w:val="006531F2"/>
    <w:rsid w:val="0065320F"/>
    <w:rsid w:val="00653294"/>
    <w:rsid w:val="0065334D"/>
    <w:rsid w:val="006533F3"/>
    <w:rsid w:val="00653531"/>
    <w:rsid w:val="006535EF"/>
    <w:rsid w:val="006536C3"/>
    <w:rsid w:val="00653703"/>
    <w:rsid w:val="00653916"/>
    <w:rsid w:val="006539B7"/>
    <w:rsid w:val="00653A14"/>
    <w:rsid w:val="00653A7D"/>
    <w:rsid w:val="00653BA5"/>
    <w:rsid w:val="00653BB9"/>
    <w:rsid w:val="00653BD9"/>
    <w:rsid w:val="00653C24"/>
    <w:rsid w:val="00653D26"/>
    <w:rsid w:val="00653D44"/>
    <w:rsid w:val="00653D79"/>
    <w:rsid w:val="00653D81"/>
    <w:rsid w:val="00653E97"/>
    <w:rsid w:val="00653EF7"/>
    <w:rsid w:val="00653F41"/>
    <w:rsid w:val="00654098"/>
    <w:rsid w:val="00654105"/>
    <w:rsid w:val="0065417D"/>
    <w:rsid w:val="00654230"/>
    <w:rsid w:val="006542A7"/>
    <w:rsid w:val="006542D2"/>
    <w:rsid w:val="0065431D"/>
    <w:rsid w:val="00654451"/>
    <w:rsid w:val="0065456E"/>
    <w:rsid w:val="006545C7"/>
    <w:rsid w:val="00654614"/>
    <w:rsid w:val="00654642"/>
    <w:rsid w:val="00654708"/>
    <w:rsid w:val="006547F8"/>
    <w:rsid w:val="00654803"/>
    <w:rsid w:val="00654813"/>
    <w:rsid w:val="006548BA"/>
    <w:rsid w:val="006548EF"/>
    <w:rsid w:val="006549C4"/>
    <w:rsid w:val="00654ABA"/>
    <w:rsid w:val="00654AF2"/>
    <w:rsid w:val="00654B85"/>
    <w:rsid w:val="00654CE1"/>
    <w:rsid w:val="00654D58"/>
    <w:rsid w:val="00654E92"/>
    <w:rsid w:val="00654F83"/>
    <w:rsid w:val="00654FA0"/>
    <w:rsid w:val="0065510E"/>
    <w:rsid w:val="00655141"/>
    <w:rsid w:val="00655273"/>
    <w:rsid w:val="006552AE"/>
    <w:rsid w:val="006552CA"/>
    <w:rsid w:val="0065534A"/>
    <w:rsid w:val="006553E9"/>
    <w:rsid w:val="006553F9"/>
    <w:rsid w:val="00655442"/>
    <w:rsid w:val="00655513"/>
    <w:rsid w:val="0065558F"/>
    <w:rsid w:val="006556F4"/>
    <w:rsid w:val="00655718"/>
    <w:rsid w:val="00655786"/>
    <w:rsid w:val="006558C6"/>
    <w:rsid w:val="0065594B"/>
    <w:rsid w:val="00655973"/>
    <w:rsid w:val="006559F2"/>
    <w:rsid w:val="00655AE9"/>
    <w:rsid w:val="00655AF2"/>
    <w:rsid w:val="00655B36"/>
    <w:rsid w:val="00655C05"/>
    <w:rsid w:val="00655C9C"/>
    <w:rsid w:val="00655CEE"/>
    <w:rsid w:val="00655DC1"/>
    <w:rsid w:val="00655E10"/>
    <w:rsid w:val="00655ECE"/>
    <w:rsid w:val="00655F15"/>
    <w:rsid w:val="00655F32"/>
    <w:rsid w:val="0065606C"/>
    <w:rsid w:val="006561BC"/>
    <w:rsid w:val="006563CC"/>
    <w:rsid w:val="00656443"/>
    <w:rsid w:val="00656477"/>
    <w:rsid w:val="006564DA"/>
    <w:rsid w:val="00656541"/>
    <w:rsid w:val="006565FA"/>
    <w:rsid w:val="0065670D"/>
    <w:rsid w:val="00656726"/>
    <w:rsid w:val="0065672A"/>
    <w:rsid w:val="006567B7"/>
    <w:rsid w:val="006567D6"/>
    <w:rsid w:val="0065682F"/>
    <w:rsid w:val="0065684B"/>
    <w:rsid w:val="00656983"/>
    <w:rsid w:val="00656A63"/>
    <w:rsid w:val="00656A8B"/>
    <w:rsid w:val="00656ACB"/>
    <w:rsid w:val="00656B0A"/>
    <w:rsid w:val="00656B23"/>
    <w:rsid w:val="00656B85"/>
    <w:rsid w:val="00656C75"/>
    <w:rsid w:val="00656C92"/>
    <w:rsid w:val="00656CB2"/>
    <w:rsid w:val="00656D35"/>
    <w:rsid w:val="00656DF4"/>
    <w:rsid w:val="00656E03"/>
    <w:rsid w:val="00656E64"/>
    <w:rsid w:val="006571A7"/>
    <w:rsid w:val="0065721B"/>
    <w:rsid w:val="006572F1"/>
    <w:rsid w:val="00657366"/>
    <w:rsid w:val="00657420"/>
    <w:rsid w:val="006575CB"/>
    <w:rsid w:val="00657628"/>
    <w:rsid w:val="006576B0"/>
    <w:rsid w:val="006576FD"/>
    <w:rsid w:val="00657715"/>
    <w:rsid w:val="0065778B"/>
    <w:rsid w:val="006577EF"/>
    <w:rsid w:val="0065783F"/>
    <w:rsid w:val="00657B9B"/>
    <w:rsid w:val="00657C31"/>
    <w:rsid w:val="00657CF4"/>
    <w:rsid w:val="00657E0E"/>
    <w:rsid w:val="00657FAD"/>
    <w:rsid w:val="00660230"/>
    <w:rsid w:val="006602AE"/>
    <w:rsid w:val="00660345"/>
    <w:rsid w:val="00660366"/>
    <w:rsid w:val="006603A6"/>
    <w:rsid w:val="00660444"/>
    <w:rsid w:val="006605FE"/>
    <w:rsid w:val="0066060E"/>
    <w:rsid w:val="006606CB"/>
    <w:rsid w:val="006607B2"/>
    <w:rsid w:val="006608AE"/>
    <w:rsid w:val="0066090E"/>
    <w:rsid w:val="00660B3D"/>
    <w:rsid w:val="00660CDA"/>
    <w:rsid w:val="00660D5F"/>
    <w:rsid w:val="00660E1A"/>
    <w:rsid w:val="00660E84"/>
    <w:rsid w:val="00660F7B"/>
    <w:rsid w:val="00660FA8"/>
    <w:rsid w:val="00660FAC"/>
    <w:rsid w:val="00661048"/>
    <w:rsid w:val="006610EF"/>
    <w:rsid w:val="0066110F"/>
    <w:rsid w:val="0066114F"/>
    <w:rsid w:val="006611C9"/>
    <w:rsid w:val="00661208"/>
    <w:rsid w:val="00661303"/>
    <w:rsid w:val="006613B9"/>
    <w:rsid w:val="0066143D"/>
    <w:rsid w:val="006614D8"/>
    <w:rsid w:val="0066165F"/>
    <w:rsid w:val="0066178F"/>
    <w:rsid w:val="006617A7"/>
    <w:rsid w:val="006617FA"/>
    <w:rsid w:val="006618C3"/>
    <w:rsid w:val="00661A2E"/>
    <w:rsid w:val="00661A74"/>
    <w:rsid w:val="00661AD7"/>
    <w:rsid w:val="00661AF4"/>
    <w:rsid w:val="00661C48"/>
    <w:rsid w:val="00661CA7"/>
    <w:rsid w:val="00661CCA"/>
    <w:rsid w:val="00661CFC"/>
    <w:rsid w:val="00661D15"/>
    <w:rsid w:val="00661DBD"/>
    <w:rsid w:val="00661F38"/>
    <w:rsid w:val="00661FD7"/>
    <w:rsid w:val="00661FE1"/>
    <w:rsid w:val="0066204C"/>
    <w:rsid w:val="00662159"/>
    <w:rsid w:val="0066219C"/>
    <w:rsid w:val="006621A4"/>
    <w:rsid w:val="006621E7"/>
    <w:rsid w:val="00662217"/>
    <w:rsid w:val="00662246"/>
    <w:rsid w:val="00662299"/>
    <w:rsid w:val="0066233E"/>
    <w:rsid w:val="006623C9"/>
    <w:rsid w:val="00662406"/>
    <w:rsid w:val="0066247A"/>
    <w:rsid w:val="006624F9"/>
    <w:rsid w:val="0066250F"/>
    <w:rsid w:val="00662536"/>
    <w:rsid w:val="0066268C"/>
    <w:rsid w:val="006626D1"/>
    <w:rsid w:val="006627E2"/>
    <w:rsid w:val="00662806"/>
    <w:rsid w:val="0066283E"/>
    <w:rsid w:val="00662891"/>
    <w:rsid w:val="0066293E"/>
    <w:rsid w:val="00662964"/>
    <w:rsid w:val="00662A61"/>
    <w:rsid w:val="00662B55"/>
    <w:rsid w:val="00662BDD"/>
    <w:rsid w:val="00662CA2"/>
    <w:rsid w:val="00662CB9"/>
    <w:rsid w:val="00662D39"/>
    <w:rsid w:val="00662DBE"/>
    <w:rsid w:val="00662DFA"/>
    <w:rsid w:val="00662E2E"/>
    <w:rsid w:val="00662EBA"/>
    <w:rsid w:val="0066300F"/>
    <w:rsid w:val="0066308E"/>
    <w:rsid w:val="00663101"/>
    <w:rsid w:val="00663148"/>
    <w:rsid w:val="0066315A"/>
    <w:rsid w:val="00663213"/>
    <w:rsid w:val="00663261"/>
    <w:rsid w:val="00663283"/>
    <w:rsid w:val="006632A0"/>
    <w:rsid w:val="006632F3"/>
    <w:rsid w:val="006633ED"/>
    <w:rsid w:val="0066345E"/>
    <w:rsid w:val="00663477"/>
    <w:rsid w:val="00663533"/>
    <w:rsid w:val="00663604"/>
    <w:rsid w:val="0066370A"/>
    <w:rsid w:val="00663724"/>
    <w:rsid w:val="006637DB"/>
    <w:rsid w:val="006639CC"/>
    <w:rsid w:val="00663A39"/>
    <w:rsid w:val="00663A67"/>
    <w:rsid w:val="00663A70"/>
    <w:rsid w:val="00663B64"/>
    <w:rsid w:val="00663BB8"/>
    <w:rsid w:val="00663C3C"/>
    <w:rsid w:val="00663C53"/>
    <w:rsid w:val="00663C6A"/>
    <w:rsid w:val="00663CD3"/>
    <w:rsid w:val="00663CF4"/>
    <w:rsid w:val="00663D0F"/>
    <w:rsid w:val="00663DF4"/>
    <w:rsid w:val="00663FF2"/>
    <w:rsid w:val="0066400B"/>
    <w:rsid w:val="0066402D"/>
    <w:rsid w:val="0066405F"/>
    <w:rsid w:val="0066406C"/>
    <w:rsid w:val="006640C6"/>
    <w:rsid w:val="00664196"/>
    <w:rsid w:val="00664289"/>
    <w:rsid w:val="006642E8"/>
    <w:rsid w:val="006644A0"/>
    <w:rsid w:val="006644EF"/>
    <w:rsid w:val="006645D7"/>
    <w:rsid w:val="006646E4"/>
    <w:rsid w:val="00664713"/>
    <w:rsid w:val="0066473A"/>
    <w:rsid w:val="0066479B"/>
    <w:rsid w:val="0066480B"/>
    <w:rsid w:val="00664827"/>
    <w:rsid w:val="006648A9"/>
    <w:rsid w:val="006648D6"/>
    <w:rsid w:val="0066493A"/>
    <w:rsid w:val="00664A05"/>
    <w:rsid w:val="00664A3F"/>
    <w:rsid w:val="00664AA9"/>
    <w:rsid w:val="00664AC4"/>
    <w:rsid w:val="00664B7C"/>
    <w:rsid w:val="00664BDF"/>
    <w:rsid w:val="00664E01"/>
    <w:rsid w:val="00664E80"/>
    <w:rsid w:val="00664F56"/>
    <w:rsid w:val="00664F83"/>
    <w:rsid w:val="00664FE5"/>
    <w:rsid w:val="00665152"/>
    <w:rsid w:val="00665199"/>
    <w:rsid w:val="0066521C"/>
    <w:rsid w:val="00665242"/>
    <w:rsid w:val="006652F5"/>
    <w:rsid w:val="00665373"/>
    <w:rsid w:val="006653AF"/>
    <w:rsid w:val="006653B4"/>
    <w:rsid w:val="00665533"/>
    <w:rsid w:val="0066558D"/>
    <w:rsid w:val="006655C7"/>
    <w:rsid w:val="006655EE"/>
    <w:rsid w:val="006656BE"/>
    <w:rsid w:val="006656EE"/>
    <w:rsid w:val="0066573F"/>
    <w:rsid w:val="006657BF"/>
    <w:rsid w:val="0066590B"/>
    <w:rsid w:val="0066599A"/>
    <w:rsid w:val="00665A4B"/>
    <w:rsid w:val="00665B15"/>
    <w:rsid w:val="00665C05"/>
    <w:rsid w:val="00665C6E"/>
    <w:rsid w:val="00665D2C"/>
    <w:rsid w:val="00665D51"/>
    <w:rsid w:val="00665E1E"/>
    <w:rsid w:val="00665F0D"/>
    <w:rsid w:val="00665F5E"/>
    <w:rsid w:val="00666086"/>
    <w:rsid w:val="006660C5"/>
    <w:rsid w:val="0066611D"/>
    <w:rsid w:val="0066612C"/>
    <w:rsid w:val="0066615E"/>
    <w:rsid w:val="00666227"/>
    <w:rsid w:val="0066626B"/>
    <w:rsid w:val="00666291"/>
    <w:rsid w:val="006663D4"/>
    <w:rsid w:val="0066643A"/>
    <w:rsid w:val="00666481"/>
    <w:rsid w:val="006664F9"/>
    <w:rsid w:val="006665D3"/>
    <w:rsid w:val="006665DE"/>
    <w:rsid w:val="0066662E"/>
    <w:rsid w:val="00666720"/>
    <w:rsid w:val="00666743"/>
    <w:rsid w:val="0066677B"/>
    <w:rsid w:val="0066677E"/>
    <w:rsid w:val="00666795"/>
    <w:rsid w:val="00666798"/>
    <w:rsid w:val="006667CC"/>
    <w:rsid w:val="0066680D"/>
    <w:rsid w:val="00666859"/>
    <w:rsid w:val="00666863"/>
    <w:rsid w:val="00666931"/>
    <w:rsid w:val="00666956"/>
    <w:rsid w:val="00666972"/>
    <w:rsid w:val="00666B67"/>
    <w:rsid w:val="00666C57"/>
    <w:rsid w:val="00666CB7"/>
    <w:rsid w:val="00666D9A"/>
    <w:rsid w:val="00666E67"/>
    <w:rsid w:val="00667108"/>
    <w:rsid w:val="00667110"/>
    <w:rsid w:val="0066717A"/>
    <w:rsid w:val="006672E5"/>
    <w:rsid w:val="00667316"/>
    <w:rsid w:val="00667446"/>
    <w:rsid w:val="0066746F"/>
    <w:rsid w:val="006674E8"/>
    <w:rsid w:val="006674EE"/>
    <w:rsid w:val="0066752E"/>
    <w:rsid w:val="0066755E"/>
    <w:rsid w:val="00667678"/>
    <w:rsid w:val="006676A8"/>
    <w:rsid w:val="0066775F"/>
    <w:rsid w:val="00667778"/>
    <w:rsid w:val="00667786"/>
    <w:rsid w:val="006677FB"/>
    <w:rsid w:val="0066781F"/>
    <w:rsid w:val="00667984"/>
    <w:rsid w:val="00667990"/>
    <w:rsid w:val="00667B03"/>
    <w:rsid w:val="00667B73"/>
    <w:rsid w:val="00667BCC"/>
    <w:rsid w:val="00667C4B"/>
    <w:rsid w:val="00667CFF"/>
    <w:rsid w:val="00667ECC"/>
    <w:rsid w:val="00667F52"/>
    <w:rsid w:val="0066F06A"/>
    <w:rsid w:val="00670031"/>
    <w:rsid w:val="00670034"/>
    <w:rsid w:val="0067015D"/>
    <w:rsid w:val="0067029A"/>
    <w:rsid w:val="0067032B"/>
    <w:rsid w:val="006703B9"/>
    <w:rsid w:val="0067048A"/>
    <w:rsid w:val="00670505"/>
    <w:rsid w:val="0067056E"/>
    <w:rsid w:val="006706BC"/>
    <w:rsid w:val="006706C5"/>
    <w:rsid w:val="006706F4"/>
    <w:rsid w:val="00670712"/>
    <w:rsid w:val="0067087F"/>
    <w:rsid w:val="006709A0"/>
    <w:rsid w:val="006709FA"/>
    <w:rsid w:val="00670AB0"/>
    <w:rsid w:val="00670AB6"/>
    <w:rsid w:val="00670B4A"/>
    <w:rsid w:val="00670BFF"/>
    <w:rsid w:val="00670C90"/>
    <w:rsid w:val="00670CF0"/>
    <w:rsid w:val="00670D37"/>
    <w:rsid w:val="00670EDD"/>
    <w:rsid w:val="00670F17"/>
    <w:rsid w:val="00670F4A"/>
    <w:rsid w:val="00670F59"/>
    <w:rsid w:val="00670F65"/>
    <w:rsid w:val="00670FF2"/>
    <w:rsid w:val="006710DA"/>
    <w:rsid w:val="006710EA"/>
    <w:rsid w:val="00671100"/>
    <w:rsid w:val="00671112"/>
    <w:rsid w:val="00671142"/>
    <w:rsid w:val="006711FD"/>
    <w:rsid w:val="0067122E"/>
    <w:rsid w:val="0067135A"/>
    <w:rsid w:val="006713A6"/>
    <w:rsid w:val="006713EC"/>
    <w:rsid w:val="00671508"/>
    <w:rsid w:val="006715B9"/>
    <w:rsid w:val="006715BE"/>
    <w:rsid w:val="006715E0"/>
    <w:rsid w:val="0067173D"/>
    <w:rsid w:val="00671749"/>
    <w:rsid w:val="00671754"/>
    <w:rsid w:val="00671864"/>
    <w:rsid w:val="0067193C"/>
    <w:rsid w:val="0067196A"/>
    <w:rsid w:val="00671A51"/>
    <w:rsid w:val="00671A94"/>
    <w:rsid w:val="00671ACA"/>
    <w:rsid w:val="00671B03"/>
    <w:rsid w:val="00671C3E"/>
    <w:rsid w:val="00671C65"/>
    <w:rsid w:val="00671C8A"/>
    <w:rsid w:val="00671CA2"/>
    <w:rsid w:val="00671CEE"/>
    <w:rsid w:val="00671D7C"/>
    <w:rsid w:val="00671FA9"/>
    <w:rsid w:val="00672002"/>
    <w:rsid w:val="0067200C"/>
    <w:rsid w:val="0067202E"/>
    <w:rsid w:val="00672043"/>
    <w:rsid w:val="00672058"/>
    <w:rsid w:val="00672194"/>
    <w:rsid w:val="006722F3"/>
    <w:rsid w:val="006722F7"/>
    <w:rsid w:val="00672309"/>
    <w:rsid w:val="00672440"/>
    <w:rsid w:val="00672564"/>
    <w:rsid w:val="0067260E"/>
    <w:rsid w:val="0067281D"/>
    <w:rsid w:val="00672931"/>
    <w:rsid w:val="00672A4E"/>
    <w:rsid w:val="00672A51"/>
    <w:rsid w:val="00672AAD"/>
    <w:rsid w:val="00672B32"/>
    <w:rsid w:val="00672C9B"/>
    <w:rsid w:val="00672E11"/>
    <w:rsid w:val="00672EA6"/>
    <w:rsid w:val="00672F12"/>
    <w:rsid w:val="00672FC3"/>
    <w:rsid w:val="0067305A"/>
    <w:rsid w:val="006730D1"/>
    <w:rsid w:val="00673169"/>
    <w:rsid w:val="00673346"/>
    <w:rsid w:val="006735D9"/>
    <w:rsid w:val="006735E2"/>
    <w:rsid w:val="006735EC"/>
    <w:rsid w:val="00673776"/>
    <w:rsid w:val="006737B7"/>
    <w:rsid w:val="006737C4"/>
    <w:rsid w:val="00673801"/>
    <w:rsid w:val="00673833"/>
    <w:rsid w:val="0067385C"/>
    <w:rsid w:val="00673892"/>
    <w:rsid w:val="006738A0"/>
    <w:rsid w:val="006738ED"/>
    <w:rsid w:val="00673934"/>
    <w:rsid w:val="00673950"/>
    <w:rsid w:val="00673994"/>
    <w:rsid w:val="00673999"/>
    <w:rsid w:val="006739DA"/>
    <w:rsid w:val="00673A13"/>
    <w:rsid w:val="00673B53"/>
    <w:rsid w:val="00673CB8"/>
    <w:rsid w:val="00673CCE"/>
    <w:rsid w:val="00673D83"/>
    <w:rsid w:val="00673D90"/>
    <w:rsid w:val="00673DAE"/>
    <w:rsid w:val="00673E8E"/>
    <w:rsid w:val="00673E95"/>
    <w:rsid w:val="00673F3D"/>
    <w:rsid w:val="00673F6C"/>
    <w:rsid w:val="00673FAA"/>
    <w:rsid w:val="00673FCC"/>
    <w:rsid w:val="00674160"/>
    <w:rsid w:val="00674289"/>
    <w:rsid w:val="006742C7"/>
    <w:rsid w:val="0067434D"/>
    <w:rsid w:val="00674657"/>
    <w:rsid w:val="006746C0"/>
    <w:rsid w:val="006746EF"/>
    <w:rsid w:val="00674726"/>
    <w:rsid w:val="00674916"/>
    <w:rsid w:val="00674987"/>
    <w:rsid w:val="00674B20"/>
    <w:rsid w:val="00674C6B"/>
    <w:rsid w:val="00674C7C"/>
    <w:rsid w:val="00674D35"/>
    <w:rsid w:val="00674D46"/>
    <w:rsid w:val="00674DB9"/>
    <w:rsid w:val="00674E19"/>
    <w:rsid w:val="00674EE9"/>
    <w:rsid w:val="00674FC9"/>
    <w:rsid w:val="0067503E"/>
    <w:rsid w:val="0067508F"/>
    <w:rsid w:val="006750B3"/>
    <w:rsid w:val="0067526C"/>
    <w:rsid w:val="00675270"/>
    <w:rsid w:val="006752B9"/>
    <w:rsid w:val="00675356"/>
    <w:rsid w:val="00675444"/>
    <w:rsid w:val="006754A0"/>
    <w:rsid w:val="00675603"/>
    <w:rsid w:val="006756DF"/>
    <w:rsid w:val="00675715"/>
    <w:rsid w:val="00675744"/>
    <w:rsid w:val="00675765"/>
    <w:rsid w:val="006757CF"/>
    <w:rsid w:val="00675863"/>
    <w:rsid w:val="00675877"/>
    <w:rsid w:val="0067599D"/>
    <w:rsid w:val="00675A2A"/>
    <w:rsid w:val="00675BEF"/>
    <w:rsid w:val="00675C1F"/>
    <w:rsid w:val="00675C52"/>
    <w:rsid w:val="00675C54"/>
    <w:rsid w:val="00675C99"/>
    <w:rsid w:val="00675CDE"/>
    <w:rsid w:val="00675CEB"/>
    <w:rsid w:val="00675D35"/>
    <w:rsid w:val="00675D5D"/>
    <w:rsid w:val="00675DD6"/>
    <w:rsid w:val="00675E22"/>
    <w:rsid w:val="00675EC6"/>
    <w:rsid w:val="00675EF1"/>
    <w:rsid w:val="00675F4E"/>
    <w:rsid w:val="00675F5B"/>
    <w:rsid w:val="00675FB2"/>
    <w:rsid w:val="00675FC0"/>
    <w:rsid w:val="006760A2"/>
    <w:rsid w:val="00676304"/>
    <w:rsid w:val="00676388"/>
    <w:rsid w:val="006763C1"/>
    <w:rsid w:val="00676424"/>
    <w:rsid w:val="00676478"/>
    <w:rsid w:val="006764E2"/>
    <w:rsid w:val="00676519"/>
    <w:rsid w:val="00676661"/>
    <w:rsid w:val="00676683"/>
    <w:rsid w:val="00676743"/>
    <w:rsid w:val="006767A9"/>
    <w:rsid w:val="00676814"/>
    <w:rsid w:val="00676861"/>
    <w:rsid w:val="00676900"/>
    <w:rsid w:val="00676951"/>
    <w:rsid w:val="006769AC"/>
    <w:rsid w:val="00676C0E"/>
    <w:rsid w:val="00676D2E"/>
    <w:rsid w:val="00676DBB"/>
    <w:rsid w:val="00676E19"/>
    <w:rsid w:val="00676EFB"/>
    <w:rsid w:val="00676F4A"/>
    <w:rsid w:val="00676F51"/>
    <w:rsid w:val="00676F7E"/>
    <w:rsid w:val="00676FE5"/>
    <w:rsid w:val="0067701A"/>
    <w:rsid w:val="0067707E"/>
    <w:rsid w:val="00677214"/>
    <w:rsid w:val="00677287"/>
    <w:rsid w:val="00677336"/>
    <w:rsid w:val="0067736E"/>
    <w:rsid w:val="006773D1"/>
    <w:rsid w:val="0067740E"/>
    <w:rsid w:val="006774AB"/>
    <w:rsid w:val="0067770F"/>
    <w:rsid w:val="00677748"/>
    <w:rsid w:val="0067775F"/>
    <w:rsid w:val="0067777D"/>
    <w:rsid w:val="006777F9"/>
    <w:rsid w:val="006778EE"/>
    <w:rsid w:val="00677930"/>
    <w:rsid w:val="0067793B"/>
    <w:rsid w:val="00677991"/>
    <w:rsid w:val="00677AC2"/>
    <w:rsid w:val="00677AD5"/>
    <w:rsid w:val="00677B46"/>
    <w:rsid w:val="00677BD5"/>
    <w:rsid w:val="00677BE8"/>
    <w:rsid w:val="00677C12"/>
    <w:rsid w:val="00677C39"/>
    <w:rsid w:val="00677D1B"/>
    <w:rsid w:val="00677DC6"/>
    <w:rsid w:val="00677F57"/>
    <w:rsid w:val="00677F8A"/>
    <w:rsid w:val="00677FEF"/>
    <w:rsid w:val="0068002F"/>
    <w:rsid w:val="00680057"/>
    <w:rsid w:val="00680118"/>
    <w:rsid w:val="00680122"/>
    <w:rsid w:val="00680193"/>
    <w:rsid w:val="006801F2"/>
    <w:rsid w:val="00680217"/>
    <w:rsid w:val="00680299"/>
    <w:rsid w:val="00680340"/>
    <w:rsid w:val="006803BD"/>
    <w:rsid w:val="006803EE"/>
    <w:rsid w:val="0068050A"/>
    <w:rsid w:val="006805A5"/>
    <w:rsid w:val="00680686"/>
    <w:rsid w:val="0068080F"/>
    <w:rsid w:val="006808CE"/>
    <w:rsid w:val="006808D9"/>
    <w:rsid w:val="006808FF"/>
    <w:rsid w:val="0068095F"/>
    <w:rsid w:val="00680A70"/>
    <w:rsid w:val="00680B8F"/>
    <w:rsid w:val="00680BBB"/>
    <w:rsid w:val="00680BDC"/>
    <w:rsid w:val="00680C52"/>
    <w:rsid w:val="00680D46"/>
    <w:rsid w:val="00680DA1"/>
    <w:rsid w:val="00680E02"/>
    <w:rsid w:val="00680E67"/>
    <w:rsid w:val="00680E74"/>
    <w:rsid w:val="00680EA4"/>
    <w:rsid w:val="00680F10"/>
    <w:rsid w:val="00680F47"/>
    <w:rsid w:val="00680F5A"/>
    <w:rsid w:val="006810CB"/>
    <w:rsid w:val="006810FF"/>
    <w:rsid w:val="00681168"/>
    <w:rsid w:val="006811BD"/>
    <w:rsid w:val="0068126A"/>
    <w:rsid w:val="006813E2"/>
    <w:rsid w:val="0068142B"/>
    <w:rsid w:val="006814AE"/>
    <w:rsid w:val="00681541"/>
    <w:rsid w:val="006815E8"/>
    <w:rsid w:val="0068160C"/>
    <w:rsid w:val="00681626"/>
    <w:rsid w:val="00681643"/>
    <w:rsid w:val="006816B1"/>
    <w:rsid w:val="00681717"/>
    <w:rsid w:val="00681757"/>
    <w:rsid w:val="006817CB"/>
    <w:rsid w:val="00681851"/>
    <w:rsid w:val="006818D9"/>
    <w:rsid w:val="0068193B"/>
    <w:rsid w:val="00681965"/>
    <w:rsid w:val="00681976"/>
    <w:rsid w:val="0068199E"/>
    <w:rsid w:val="006819EB"/>
    <w:rsid w:val="00681A46"/>
    <w:rsid w:val="00681AED"/>
    <w:rsid w:val="00681B6B"/>
    <w:rsid w:val="00681BC5"/>
    <w:rsid w:val="00681C01"/>
    <w:rsid w:val="00681CC8"/>
    <w:rsid w:val="00681CED"/>
    <w:rsid w:val="00681D5D"/>
    <w:rsid w:val="00681DE8"/>
    <w:rsid w:val="00681EA5"/>
    <w:rsid w:val="00681F1B"/>
    <w:rsid w:val="0068209E"/>
    <w:rsid w:val="00682254"/>
    <w:rsid w:val="006823BE"/>
    <w:rsid w:val="006823DC"/>
    <w:rsid w:val="0068241E"/>
    <w:rsid w:val="006824D4"/>
    <w:rsid w:val="00682528"/>
    <w:rsid w:val="00682529"/>
    <w:rsid w:val="00682537"/>
    <w:rsid w:val="0068253F"/>
    <w:rsid w:val="0068257A"/>
    <w:rsid w:val="006825CB"/>
    <w:rsid w:val="0068272B"/>
    <w:rsid w:val="006828AC"/>
    <w:rsid w:val="00682940"/>
    <w:rsid w:val="00682A1A"/>
    <w:rsid w:val="00682A4B"/>
    <w:rsid w:val="00682A7B"/>
    <w:rsid w:val="00682C31"/>
    <w:rsid w:val="00682C92"/>
    <w:rsid w:val="00682DEF"/>
    <w:rsid w:val="00682E11"/>
    <w:rsid w:val="00682F20"/>
    <w:rsid w:val="00682F43"/>
    <w:rsid w:val="00682F73"/>
    <w:rsid w:val="00682FAE"/>
    <w:rsid w:val="00682FCE"/>
    <w:rsid w:val="00682FDC"/>
    <w:rsid w:val="00683017"/>
    <w:rsid w:val="00683069"/>
    <w:rsid w:val="0068308F"/>
    <w:rsid w:val="006832AB"/>
    <w:rsid w:val="006832E5"/>
    <w:rsid w:val="00683311"/>
    <w:rsid w:val="0068334E"/>
    <w:rsid w:val="006833B0"/>
    <w:rsid w:val="006833CC"/>
    <w:rsid w:val="006833F1"/>
    <w:rsid w:val="006834AE"/>
    <w:rsid w:val="006834E1"/>
    <w:rsid w:val="006834FC"/>
    <w:rsid w:val="00683543"/>
    <w:rsid w:val="00683583"/>
    <w:rsid w:val="006836A6"/>
    <w:rsid w:val="00683740"/>
    <w:rsid w:val="00683779"/>
    <w:rsid w:val="00683785"/>
    <w:rsid w:val="00683819"/>
    <w:rsid w:val="00683936"/>
    <w:rsid w:val="0068394A"/>
    <w:rsid w:val="006839E0"/>
    <w:rsid w:val="006839ED"/>
    <w:rsid w:val="00683A1B"/>
    <w:rsid w:val="00683A28"/>
    <w:rsid w:val="00683A57"/>
    <w:rsid w:val="00683B66"/>
    <w:rsid w:val="00683C8C"/>
    <w:rsid w:val="00683CA9"/>
    <w:rsid w:val="00683CCE"/>
    <w:rsid w:val="00683D6F"/>
    <w:rsid w:val="00683E6D"/>
    <w:rsid w:val="00683FD8"/>
    <w:rsid w:val="00684058"/>
    <w:rsid w:val="0068405B"/>
    <w:rsid w:val="00684064"/>
    <w:rsid w:val="00684093"/>
    <w:rsid w:val="0068418E"/>
    <w:rsid w:val="006841D1"/>
    <w:rsid w:val="00684340"/>
    <w:rsid w:val="006843B4"/>
    <w:rsid w:val="006843D3"/>
    <w:rsid w:val="0068450C"/>
    <w:rsid w:val="006846A9"/>
    <w:rsid w:val="00684715"/>
    <w:rsid w:val="006848FE"/>
    <w:rsid w:val="00684A4E"/>
    <w:rsid w:val="00684B27"/>
    <w:rsid w:val="00684B70"/>
    <w:rsid w:val="00684B75"/>
    <w:rsid w:val="00684BB9"/>
    <w:rsid w:val="00684C4F"/>
    <w:rsid w:val="00684C5C"/>
    <w:rsid w:val="00684C67"/>
    <w:rsid w:val="00684F2C"/>
    <w:rsid w:val="00684F57"/>
    <w:rsid w:val="00684FB8"/>
    <w:rsid w:val="00685092"/>
    <w:rsid w:val="00685158"/>
    <w:rsid w:val="006851F2"/>
    <w:rsid w:val="00685206"/>
    <w:rsid w:val="00685289"/>
    <w:rsid w:val="006852A4"/>
    <w:rsid w:val="00685347"/>
    <w:rsid w:val="006853A7"/>
    <w:rsid w:val="006853EB"/>
    <w:rsid w:val="00685540"/>
    <w:rsid w:val="00685753"/>
    <w:rsid w:val="006857DD"/>
    <w:rsid w:val="0068581A"/>
    <w:rsid w:val="00685841"/>
    <w:rsid w:val="006859E6"/>
    <w:rsid w:val="00685B0F"/>
    <w:rsid w:val="00685BA7"/>
    <w:rsid w:val="00685E2D"/>
    <w:rsid w:val="00685ED8"/>
    <w:rsid w:val="00685F19"/>
    <w:rsid w:val="00685F5A"/>
    <w:rsid w:val="006860DD"/>
    <w:rsid w:val="006861D8"/>
    <w:rsid w:val="006861FB"/>
    <w:rsid w:val="00686281"/>
    <w:rsid w:val="0068629A"/>
    <w:rsid w:val="00686307"/>
    <w:rsid w:val="00686376"/>
    <w:rsid w:val="00686462"/>
    <w:rsid w:val="00686538"/>
    <w:rsid w:val="0068661D"/>
    <w:rsid w:val="0068664C"/>
    <w:rsid w:val="0068668C"/>
    <w:rsid w:val="0068679F"/>
    <w:rsid w:val="006868DA"/>
    <w:rsid w:val="00686AA1"/>
    <w:rsid w:val="00686AA2"/>
    <w:rsid w:val="00686B98"/>
    <w:rsid w:val="00686BD4"/>
    <w:rsid w:val="00686C72"/>
    <w:rsid w:val="00686C7B"/>
    <w:rsid w:val="00686CAD"/>
    <w:rsid w:val="00686CFC"/>
    <w:rsid w:val="00686DC9"/>
    <w:rsid w:val="00686EBD"/>
    <w:rsid w:val="00686ECD"/>
    <w:rsid w:val="00686F22"/>
    <w:rsid w:val="00686FAB"/>
    <w:rsid w:val="00686FD4"/>
    <w:rsid w:val="00687060"/>
    <w:rsid w:val="00687093"/>
    <w:rsid w:val="006870CF"/>
    <w:rsid w:val="0068724A"/>
    <w:rsid w:val="00687321"/>
    <w:rsid w:val="0068734C"/>
    <w:rsid w:val="00687403"/>
    <w:rsid w:val="00687420"/>
    <w:rsid w:val="006874DD"/>
    <w:rsid w:val="006875D4"/>
    <w:rsid w:val="00687718"/>
    <w:rsid w:val="0068774A"/>
    <w:rsid w:val="006877AD"/>
    <w:rsid w:val="006878D2"/>
    <w:rsid w:val="00687A7F"/>
    <w:rsid w:val="00687ACF"/>
    <w:rsid w:val="00687AD2"/>
    <w:rsid w:val="00687AD7"/>
    <w:rsid w:val="00687B03"/>
    <w:rsid w:val="00687C68"/>
    <w:rsid w:val="00687D69"/>
    <w:rsid w:val="00687DB3"/>
    <w:rsid w:val="00687E17"/>
    <w:rsid w:val="00687ED3"/>
    <w:rsid w:val="00687F59"/>
    <w:rsid w:val="00687FC6"/>
    <w:rsid w:val="00690059"/>
    <w:rsid w:val="00690103"/>
    <w:rsid w:val="00690215"/>
    <w:rsid w:val="0069024B"/>
    <w:rsid w:val="006902DF"/>
    <w:rsid w:val="0069050C"/>
    <w:rsid w:val="006906A9"/>
    <w:rsid w:val="0069085B"/>
    <w:rsid w:val="00690901"/>
    <w:rsid w:val="00690919"/>
    <w:rsid w:val="00690B99"/>
    <w:rsid w:val="00690E58"/>
    <w:rsid w:val="00690E6E"/>
    <w:rsid w:val="00690F3B"/>
    <w:rsid w:val="00690FB4"/>
    <w:rsid w:val="0069100A"/>
    <w:rsid w:val="0069102C"/>
    <w:rsid w:val="006910E5"/>
    <w:rsid w:val="0069118E"/>
    <w:rsid w:val="00691201"/>
    <w:rsid w:val="006912D1"/>
    <w:rsid w:val="0069131C"/>
    <w:rsid w:val="006913BD"/>
    <w:rsid w:val="00691450"/>
    <w:rsid w:val="0069149F"/>
    <w:rsid w:val="006914B4"/>
    <w:rsid w:val="006914E3"/>
    <w:rsid w:val="0069150F"/>
    <w:rsid w:val="006917C2"/>
    <w:rsid w:val="006917F7"/>
    <w:rsid w:val="0069181E"/>
    <w:rsid w:val="00691853"/>
    <w:rsid w:val="006918CC"/>
    <w:rsid w:val="006918DA"/>
    <w:rsid w:val="006918E4"/>
    <w:rsid w:val="00691905"/>
    <w:rsid w:val="00691AB5"/>
    <w:rsid w:val="00691C4D"/>
    <w:rsid w:val="00691D8C"/>
    <w:rsid w:val="00691DD0"/>
    <w:rsid w:val="00691E6D"/>
    <w:rsid w:val="00691EA8"/>
    <w:rsid w:val="00691F1B"/>
    <w:rsid w:val="00692002"/>
    <w:rsid w:val="00692012"/>
    <w:rsid w:val="006920CD"/>
    <w:rsid w:val="00692238"/>
    <w:rsid w:val="00692248"/>
    <w:rsid w:val="0069224C"/>
    <w:rsid w:val="00692288"/>
    <w:rsid w:val="0069232F"/>
    <w:rsid w:val="006923C7"/>
    <w:rsid w:val="006925A0"/>
    <w:rsid w:val="006925A9"/>
    <w:rsid w:val="00692708"/>
    <w:rsid w:val="0069275F"/>
    <w:rsid w:val="006927A6"/>
    <w:rsid w:val="006927AB"/>
    <w:rsid w:val="006927BF"/>
    <w:rsid w:val="006927D9"/>
    <w:rsid w:val="006929BF"/>
    <w:rsid w:val="006929DB"/>
    <w:rsid w:val="00692A64"/>
    <w:rsid w:val="00692A7B"/>
    <w:rsid w:val="00692AD6"/>
    <w:rsid w:val="00692B0B"/>
    <w:rsid w:val="00692B12"/>
    <w:rsid w:val="00692B81"/>
    <w:rsid w:val="00692D27"/>
    <w:rsid w:val="00692D33"/>
    <w:rsid w:val="00692E06"/>
    <w:rsid w:val="00692E81"/>
    <w:rsid w:val="00692EDB"/>
    <w:rsid w:val="00692FE4"/>
    <w:rsid w:val="00693030"/>
    <w:rsid w:val="006932A8"/>
    <w:rsid w:val="006932F1"/>
    <w:rsid w:val="006934D5"/>
    <w:rsid w:val="00693546"/>
    <w:rsid w:val="006935DA"/>
    <w:rsid w:val="00693653"/>
    <w:rsid w:val="0069373E"/>
    <w:rsid w:val="00693789"/>
    <w:rsid w:val="0069381F"/>
    <w:rsid w:val="006939D6"/>
    <w:rsid w:val="00693A50"/>
    <w:rsid w:val="00693ABE"/>
    <w:rsid w:val="00693AC7"/>
    <w:rsid w:val="00693ADD"/>
    <w:rsid w:val="00693B63"/>
    <w:rsid w:val="00693BE3"/>
    <w:rsid w:val="00693C95"/>
    <w:rsid w:val="00693E2F"/>
    <w:rsid w:val="00693E49"/>
    <w:rsid w:val="00693F7B"/>
    <w:rsid w:val="00693F9A"/>
    <w:rsid w:val="00693FE5"/>
    <w:rsid w:val="006940BD"/>
    <w:rsid w:val="00694120"/>
    <w:rsid w:val="0069415F"/>
    <w:rsid w:val="006941A6"/>
    <w:rsid w:val="006941AD"/>
    <w:rsid w:val="00694221"/>
    <w:rsid w:val="00694228"/>
    <w:rsid w:val="006944B7"/>
    <w:rsid w:val="006944BA"/>
    <w:rsid w:val="006944D9"/>
    <w:rsid w:val="0069455C"/>
    <w:rsid w:val="006945B1"/>
    <w:rsid w:val="0069461E"/>
    <w:rsid w:val="00694683"/>
    <w:rsid w:val="00694778"/>
    <w:rsid w:val="0069482F"/>
    <w:rsid w:val="00694865"/>
    <w:rsid w:val="006948A5"/>
    <w:rsid w:val="006948BA"/>
    <w:rsid w:val="006948E5"/>
    <w:rsid w:val="0069496C"/>
    <w:rsid w:val="00694A43"/>
    <w:rsid w:val="00694A5E"/>
    <w:rsid w:val="00694AC4"/>
    <w:rsid w:val="00694BEB"/>
    <w:rsid w:val="00694C7F"/>
    <w:rsid w:val="00694D36"/>
    <w:rsid w:val="00694E4D"/>
    <w:rsid w:val="00694E97"/>
    <w:rsid w:val="00694F4B"/>
    <w:rsid w:val="006950A1"/>
    <w:rsid w:val="006950EF"/>
    <w:rsid w:val="006950FA"/>
    <w:rsid w:val="00695132"/>
    <w:rsid w:val="0069524C"/>
    <w:rsid w:val="0069539D"/>
    <w:rsid w:val="006953B1"/>
    <w:rsid w:val="00695430"/>
    <w:rsid w:val="00695458"/>
    <w:rsid w:val="00695519"/>
    <w:rsid w:val="00695657"/>
    <w:rsid w:val="0069565D"/>
    <w:rsid w:val="006956EE"/>
    <w:rsid w:val="00695713"/>
    <w:rsid w:val="00695743"/>
    <w:rsid w:val="00695843"/>
    <w:rsid w:val="006958E8"/>
    <w:rsid w:val="006959E1"/>
    <w:rsid w:val="00695A3C"/>
    <w:rsid w:val="00695A5F"/>
    <w:rsid w:val="00695AB9"/>
    <w:rsid w:val="00695B9A"/>
    <w:rsid w:val="00695C62"/>
    <w:rsid w:val="00695D77"/>
    <w:rsid w:val="00695DA0"/>
    <w:rsid w:val="00695DD9"/>
    <w:rsid w:val="00695DEF"/>
    <w:rsid w:val="0069602D"/>
    <w:rsid w:val="00696046"/>
    <w:rsid w:val="006960CB"/>
    <w:rsid w:val="00696251"/>
    <w:rsid w:val="00696262"/>
    <w:rsid w:val="006963CD"/>
    <w:rsid w:val="006964BA"/>
    <w:rsid w:val="006964CE"/>
    <w:rsid w:val="0069655E"/>
    <w:rsid w:val="006965A2"/>
    <w:rsid w:val="00696619"/>
    <w:rsid w:val="00696621"/>
    <w:rsid w:val="0069662B"/>
    <w:rsid w:val="00696694"/>
    <w:rsid w:val="0069669E"/>
    <w:rsid w:val="006967AF"/>
    <w:rsid w:val="0069684A"/>
    <w:rsid w:val="00696851"/>
    <w:rsid w:val="006968FB"/>
    <w:rsid w:val="0069693E"/>
    <w:rsid w:val="00696952"/>
    <w:rsid w:val="006969A6"/>
    <w:rsid w:val="006969E3"/>
    <w:rsid w:val="00696A61"/>
    <w:rsid w:val="00696ABC"/>
    <w:rsid w:val="00696AF0"/>
    <w:rsid w:val="00696BC5"/>
    <w:rsid w:val="00696C17"/>
    <w:rsid w:val="00696C3C"/>
    <w:rsid w:val="00696C3F"/>
    <w:rsid w:val="00696CE3"/>
    <w:rsid w:val="00696D80"/>
    <w:rsid w:val="00696F13"/>
    <w:rsid w:val="00696F65"/>
    <w:rsid w:val="00696F6E"/>
    <w:rsid w:val="0069713D"/>
    <w:rsid w:val="00697151"/>
    <w:rsid w:val="0069729B"/>
    <w:rsid w:val="00697309"/>
    <w:rsid w:val="00697333"/>
    <w:rsid w:val="0069737F"/>
    <w:rsid w:val="006973EB"/>
    <w:rsid w:val="00697417"/>
    <w:rsid w:val="006975D5"/>
    <w:rsid w:val="00697658"/>
    <w:rsid w:val="0069765E"/>
    <w:rsid w:val="0069768E"/>
    <w:rsid w:val="00697722"/>
    <w:rsid w:val="006977B2"/>
    <w:rsid w:val="0069780A"/>
    <w:rsid w:val="00697847"/>
    <w:rsid w:val="006978A4"/>
    <w:rsid w:val="006978C7"/>
    <w:rsid w:val="0069793C"/>
    <w:rsid w:val="00697A14"/>
    <w:rsid w:val="00697AD7"/>
    <w:rsid w:val="00697B3C"/>
    <w:rsid w:val="00697BBF"/>
    <w:rsid w:val="00697BCA"/>
    <w:rsid w:val="00697C18"/>
    <w:rsid w:val="00697C5C"/>
    <w:rsid w:val="00697CC0"/>
    <w:rsid w:val="00697DB9"/>
    <w:rsid w:val="00697E62"/>
    <w:rsid w:val="00697EC6"/>
    <w:rsid w:val="006A0029"/>
    <w:rsid w:val="006A0056"/>
    <w:rsid w:val="006A00A9"/>
    <w:rsid w:val="006A0109"/>
    <w:rsid w:val="006A011A"/>
    <w:rsid w:val="006A0178"/>
    <w:rsid w:val="006A0281"/>
    <w:rsid w:val="006A02A0"/>
    <w:rsid w:val="006A02B7"/>
    <w:rsid w:val="006A0383"/>
    <w:rsid w:val="006A0646"/>
    <w:rsid w:val="006A0671"/>
    <w:rsid w:val="006A06A6"/>
    <w:rsid w:val="006A0721"/>
    <w:rsid w:val="006A07FD"/>
    <w:rsid w:val="006A08B2"/>
    <w:rsid w:val="006A09DE"/>
    <w:rsid w:val="006A09E1"/>
    <w:rsid w:val="006A0A27"/>
    <w:rsid w:val="006A0AD1"/>
    <w:rsid w:val="006A0AFB"/>
    <w:rsid w:val="006A0B3D"/>
    <w:rsid w:val="006A0C86"/>
    <w:rsid w:val="006A0D76"/>
    <w:rsid w:val="006A0DDC"/>
    <w:rsid w:val="006A1054"/>
    <w:rsid w:val="006A10A3"/>
    <w:rsid w:val="006A1366"/>
    <w:rsid w:val="006A13E6"/>
    <w:rsid w:val="006A148C"/>
    <w:rsid w:val="006A157B"/>
    <w:rsid w:val="006A15F1"/>
    <w:rsid w:val="006A166C"/>
    <w:rsid w:val="006A16FF"/>
    <w:rsid w:val="006A17AF"/>
    <w:rsid w:val="006A17D8"/>
    <w:rsid w:val="006A1804"/>
    <w:rsid w:val="006A1835"/>
    <w:rsid w:val="006A1876"/>
    <w:rsid w:val="006A187D"/>
    <w:rsid w:val="006A1A89"/>
    <w:rsid w:val="006A1A91"/>
    <w:rsid w:val="006A1BF3"/>
    <w:rsid w:val="006A1BF8"/>
    <w:rsid w:val="006A1C31"/>
    <w:rsid w:val="006A1C95"/>
    <w:rsid w:val="006A1E01"/>
    <w:rsid w:val="006A1E82"/>
    <w:rsid w:val="006A1EC5"/>
    <w:rsid w:val="006A1F54"/>
    <w:rsid w:val="006A1F81"/>
    <w:rsid w:val="006A201F"/>
    <w:rsid w:val="006A2057"/>
    <w:rsid w:val="006A210D"/>
    <w:rsid w:val="006A2196"/>
    <w:rsid w:val="006A223F"/>
    <w:rsid w:val="006A228A"/>
    <w:rsid w:val="006A229E"/>
    <w:rsid w:val="006A2318"/>
    <w:rsid w:val="006A2345"/>
    <w:rsid w:val="006A2358"/>
    <w:rsid w:val="006A24F5"/>
    <w:rsid w:val="006A24FB"/>
    <w:rsid w:val="006A264C"/>
    <w:rsid w:val="006A2746"/>
    <w:rsid w:val="006A2748"/>
    <w:rsid w:val="006A275E"/>
    <w:rsid w:val="006A2788"/>
    <w:rsid w:val="006A28FB"/>
    <w:rsid w:val="006A292E"/>
    <w:rsid w:val="006A29AE"/>
    <w:rsid w:val="006A29E4"/>
    <w:rsid w:val="006A2A76"/>
    <w:rsid w:val="006A2AE6"/>
    <w:rsid w:val="006A2B8D"/>
    <w:rsid w:val="006A2B92"/>
    <w:rsid w:val="006A2BA8"/>
    <w:rsid w:val="006A2BD1"/>
    <w:rsid w:val="006A2C13"/>
    <w:rsid w:val="006A2C52"/>
    <w:rsid w:val="006A2C67"/>
    <w:rsid w:val="006A2C86"/>
    <w:rsid w:val="006A2C98"/>
    <w:rsid w:val="006A2D2A"/>
    <w:rsid w:val="006A2D4D"/>
    <w:rsid w:val="006A2D52"/>
    <w:rsid w:val="006A2DCA"/>
    <w:rsid w:val="006A2E4A"/>
    <w:rsid w:val="006A2E62"/>
    <w:rsid w:val="006A2E87"/>
    <w:rsid w:val="006A2F7A"/>
    <w:rsid w:val="006A2FD8"/>
    <w:rsid w:val="006A3011"/>
    <w:rsid w:val="006A302F"/>
    <w:rsid w:val="006A3087"/>
    <w:rsid w:val="006A30CA"/>
    <w:rsid w:val="006A3105"/>
    <w:rsid w:val="006A31E4"/>
    <w:rsid w:val="006A329F"/>
    <w:rsid w:val="006A32A5"/>
    <w:rsid w:val="006A32C1"/>
    <w:rsid w:val="006A32C9"/>
    <w:rsid w:val="006A32F2"/>
    <w:rsid w:val="006A3351"/>
    <w:rsid w:val="006A335A"/>
    <w:rsid w:val="006A3363"/>
    <w:rsid w:val="006A342F"/>
    <w:rsid w:val="006A3466"/>
    <w:rsid w:val="006A3479"/>
    <w:rsid w:val="006A348A"/>
    <w:rsid w:val="006A3520"/>
    <w:rsid w:val="006A35EA"/>
    <w:rsid w:val="006A3617"/>
    <w:rsid w:val="006A3627"/>
    <w:rsid w:val="006A3646"/>
    <w:rsid w:val="006A3653"/>
    <w:rsid w:val="006A36EF"/>
    <w:rsid w:val="006A3746"/>
    <w:rsid w:val="006A379D"/>
    <w:rsid w:val="006A3881"/>
    <w:rsid w:val="006A391E"/>
    <w:rsid w:val="006A39AC"/>
    <w:rsid w:val="006A3A49"/>
    <w:rsid w:val="006A3AE8"/>
    <w:rsid w:val="006A3B17"/>
    <w:rsid w:val="006A3C12"/>
    <w:rsid w:val="006A3CA0"/>
    <w:rsid w:val="006A3D1C"/>
    <w:rsid w:val="006A3DA7"/>
    <w:rsid w:val="006A3E05"/>
    <w:rsid w:val="006A3E99"/>
    <w:rsid w:val="006A3FA8"/>
    <w:rsid w:val="006A40EC"/>
    <w:rsid w:val="006A40F6"/>
    <w:rsid w:val="006A4151"/>
    <w:rsid w:val="006A4201"/>
    <w:rsid w:val="006A4278"/>
    <w:rsid w:val="006A4313"/>
    <w:rsid w:val="006A4383"/>
    <w:rsid w:val="006A4586"/>
    <w:rsid w:val="006A45E5"/>
    <w:rsid w:val="006A4688"/>
    <w:rsid w:val="006A46D8"/>
    <w:rsid w:val="006A479A"/>
    <w:rsid w:val="006A485F"/>
    <w:rsid w:val="006A4A81"/>
    <w:rsid w:val="006A4B06"/>
    <w:rsid w:val="006A4B10"/>
    <w:rsid w:val="006A4C2F"/>
    <w:rsid w:val="006A4DBB"/>
    <w:rsid w:val="006A4E33"/>
    <w:rsid w:val="006A4EF6"/>
    <w:rsid w:val="006A509A"/>
    <w:rsid w:val="006A50F3"/>
    <w:rsid w:val="006A50F8"/>
    <w:rsid w:val="006A5118"/>
    <w:rsid w:val="006A51FE"/>
    <w:rsid w:val="006A526F"/>
    <w:rsid w:val="006A530A"/>
    <w:rsid w:val="006A53A3"/>
    <w:rsid w:val="006A53E5"/>
    <w:rsid w:val="006A5404"/>
    <w:rsid w:val="006A5571"/>
    <w:rsid w:val="006A558E"/>
    <w:rsid w:val="006A5600"/>
    <w:rsid w:val="006A569A"/>
    <w:rsid w:val="006A56E2"/>
    <w:rsid w:val="006A5746"/>
    <w:rsid w:val="006A57AD"/>
    <w:rsid w:val="006A5801"/>
    <w:rsid w:val="006A5872"/>
    <w:rsid w:val="006A58DB"/>
    <w:rsid w:val="006A5985"/>
    <w:rsid w:val="006A5A43"/>
    <w:rsid w:val="006A5A57"/>
    <w:rsid w:val="006A5B64"/>
    <w:rsid w:val="006A5C26"/>
    <w:rsid w:val="006A5C6C"/>
    <w:rsid w:val="006A5C7C"/>
    <w:rsid w:val="006A5CB0"/>
    <w:rsid w:val="006A5D01"/>
    <w:rsid w:val="006A5D0F"/>
    <w:rsid w:val="006A5D7A"/>
    <w:rsid w:val="006A5EEA"/>
    <w:rsid w:val="006A5F37"/>
    <w:rsid w:val="006A5F41"/>
    <w:rsid w:val="006A5FE3"/>
    <w:rsid w:val="006A6080"/>
    <w:rsid w:val="006A60DF"/>
    <w:rsid w:val="006A613C"/>
    <w:rsid w:val="006A6171"/>
    <w:rsid w:val="006A61E8"/>
    <w:rsid w:val="006A6260"/>
    <w:rsid w:val="006A638D"/>
    <w:rsid w:val="006A63E7"/>
    <w:rsid w:val="006A646A"/>
    <w:rsid w:val="006A647B"/>
    <w:rsid w:val="006A6491"/>
    <w:rsid w:val="006A6509"/>
    <w:rsid w:val="006A6584"/>
    <w:rsid w:val="006A659C"/>
    <w:rsid w:val="006A65A1"/>
    <w:rsid w:val="006A663F"/>
    <w:rsid w:val="006A66FA"/>
    <w:rsid w:val="006A677C"/>
    <w:rsid w:val="006A677D"/>
    <w:rsid w:val="006A679F"/>
    <w:rsid w:val="006A68B0"/>
    <w:rsid w:val="006A6A3F"/>
    <w:rsid w:val="006A6A7E"/>
    <w:rsid w:val="006A6AB9"/>
    <w:rsid w:val="006A6BAA"/>
    <w:rsid w:val="006A6CA8"/>
    <w:rsid w:val="006A6E38"/>
    <w:rsid w:val="006A6E68"/>
    <w:rsid w:val="006A6E6C"/>
    <w:rsid w:val="006A6E71"/>
    <w:rsid w:val="006A6EEB"/>
    <w:rsid w:val="006A6F55"/>
    <w:rsid w:val="006A6FD8"/>
    <w:rsid w:val="006A7004"/>
    <w:rsid w:val="006A7096"/>
    <w:rsid w:val="006A7128"/>
    <w:rsid w:val="006A71C8"/>
    <w:rsid w:val="006A71D8"/>
    <w:rsid w:val="006A7289"/>
    <w:rsid w:val="006A7330"/>
    <w:rsid w:val="006A739A"/>
    <w:rsid w:val="006A7410"/>
    <w:rsid w:val="006A741F"/>
    <w:rsid w:val="006A7496"/>
    <w:rsid w:val="006A7504"/>
    <w:rsid w:val="006A750A"/>
    <w:rsid w:val="006A75E0"/>
    <w:rsid w:val="006A7643"/>
    <w:rsid w:val="006A76F8"/>
    <w:rsid w:val="006A7701"/>
    <w:rsid w:val="006A77DB"/>
    <w:rsid w:val="006A77EC"/>
    <w:rsid w:val="006A781B"/>
    <w:rsid w:val="006A7879"/>
    <w:rsid w:val="006A7A04"/>
    <w:rsid w:val="006A7BEA"/>
    <w:rsid w:val="006A7D2E"/>
    <w:rsid w:val="006A7D9B"/>
    <w:rsid w:val="006A7D9C"/>
    <w:rsid w:val="006A7DA2"/>
    <w:rsid w:val="006A7E3F"/>
    <w:rsid w:val="006A7E49"/>
    <w:rsid w:val="006A7E5D"/>
    <w:rsid w:val="006A7F95"/>
    <w:rsid w:val="006A7FA2"/>
    <w:rsid w:val="006B0053"/>
    <w:rsid w:val="006B02C8"/>
    <w:rsid w:val="006B02D6"/>
    <w:rsid w:val="006B034E"/>
    <w:rsid w:val="006B0409"/>
    <w:rsid w:val="006B05AD"/>
    <w:rsid w:val="006B074F"/>
    <w:rsid w:val="006B076F"/>
    <w:rsid w:val="006B07B6"/>
    <w:rsid w:val="006B08AB"/>
    <w:rsid w:val="006B0928"/>
    <w:rsid w:val="006B0973"/>
    <w:rsid w:val="006B0991"/>
    <w:rsid w:val="006B0A3E"/>
    <w:rsid w:val="006B0B60"/>
    <w:rsid w:val="006B0B6A"/>
    <w:rsid w:val="006B0D48"/>
    <w:rsid w:val="006B0EDC"/>
    <w:rsid w:val="006B0F5F"/>
    <w:rsid w:val="006B0FB3"/>
    <w:rsid w:val="006B102E"/>
    <w:rsid w:val="006B1062"/>
    <w:rsid w:val="006B10C2"/>
    <w:rsid w:val="006B119B"/>
    <w:rsid w:val="006B11A0"/>
    <w:rsid w:val="006B11E6"/>
    <w:rsid w:val="006B1267"/>
    <w:rsid w:val="006B12EC"/>
    <w:rsid w:val="006B13EC"/>
    <w:rsid w:val="006B1536"/>
    <w:rsid w:val="006B1551"/>
    <w:rsid w:val="006B1711"/>
    <w:rsid w:val="006B1764"/>
    <w:rsid w:val="006B17F7"/>
    <w:rsid w:val="006B1887"/>
    <w:rsid w:val="006B1924"/>
    <w:rsid w:val="006B195B"/>
    <w:rsid w:val="006B19F6"/>
    <w:rsid w:val="006B1AC6"/>
    <w:rsid w:val="006B1B97"/>
    <w:rsid w:val="006B1D98"/>
    <w:rsid w:val="006B1E7C"/>
    <w:rsid w:val="006B1E7D"/>
    <w:rsid w:val="006B1F33"/>
    <w:rsid w:val="006B2062"/>
    <w:rsid w:val="006B20A4"/>
    <w:rsid w:val="006B20CB"/>
    <w:rsid w:val="006B20D2"/>
    <w:rsid w:val="006B20DE"/>
    <w:rsid w:val="006B218B"/>
    <w:rsid w:val="006B21D0"/>
    <w:rsid w:val="006B2313"/>
    <w:rsid w:val="006B2394"/>
    <w:rsid w:val="006B23D8"/>
    <w:rsid w:val="006B249E"/>
    <w:rsid w:val="006B24CB"/>
    <w:rsid w:val="006B258E"/>
    <w:rsid w:val="006B25E9"/>
    <w:rsid w:val="006B2607"/>
    <w:rsid w:val="006B2612"/>
    <w:rsid w:val="006B26D0"/>
    <w:rsid w:val="006B28BE"/>
    <w:rsid w:val="006B2903"/>
    <w:rsid w:val="006B2922"/>
    <w:rsid w:val="006B2935"/>
    <w:rsid w:val="006B297A"/>
    <w:rsid w:val="006B29D1"/>
    <w:rsid w:val="006B2A2C"/>
    <w:rsid w:val="006B2CEF"/>
    <w:rsid w:val="006B2EB2"/>
    <w:rsid w:val="006B2FC7"/>
    <w:rsid w:val="006B3051"/>
    <w:rsid w:val="006B30E8"/>
    <w:rsid w:val="006B3121"/>
    <w:rsid w:val="006B313E"/>
    <w:rsid w:val="006B31B7"/>
    <w:rsid w:val="006B327D"/>
    <w:rsid w:val="006B32EB"/>
    <w:rsid w:val="006B3358"/>
    <w:rsid w:val="006B3394"/>
    <w:rsid w:val="006B33E8"/>
    <w:rsid w:val="006B343A"/>
    <w:rsid w:val="006B34E6"/>
    <w:rsid w:val="006B35F5"/>
    <w:rsid w:val="006B36C2"/>
    <w:rsid w:val="006B377E"/>
    <w:rsid w:val="006B37C3"/>
    <w:rsid w:val="006B3850"/>
    <w:rsid w:val="006B38DD"/>
    <w:rsid w:val="006B39EA"/>
    <w:rsid w:val="006B3AE0"/>
    <w:rsid w:val="006B3AE7"/>
    <w:rsid w:val="006B3B60"/>
    <w:rsid w:val="006B3B6C"/>
    <w:rsid w:val="006B3B94"/>
    <w:rsid w:val="006B3C49"/>
    <w:rsid w:val="006B3CAB"/>
    <w:rsid w:val="006B3D45"/>
    <w:rsid w:val="006B3E0B"/>
    <w:rsid w:val="006B3E6C"/>
    <w:rsid w:val="006B3F15"/>
    <w:rsid w:val="006B3FA0"/>
    <w:rsid w:val="006B404A"/>
    <w:rsid w:val="006B41E5"/>
    <w:rsid w:val="006B424F"/>
    <w:rsid w:val="006B4256"/>
    <w:rsid w:val="006B42BE"/>
    <w:rsid w:val="006B4326"/>
    <w:rsid w:val="006B4340"/>
    <w:rsid w:val="006B4458"/>
    <w:rsid w:val="006B462E"/>
    <w:rsid w:val="006B4750"/>
    <w:rsid w:val="006B4752"/>
    <w:rsid w:val="006B4768"/>
    <w:rsid w:val="006B477E"/>
    <w:rsid w:val="006B47CE"/>
    <w:rsid w:val="006B4844"/>
    <w:rsid w:val="006B485A"/>
    <w:rsid w:val="006B4995"/>
    <w:rsid w:val="006B49B5"/>
    <w:rsid w:val="006B49FC"/>
    <w:rsid w:val="006B4A5C"/>
    <w:rsid w:val="006B4AAA"/>
    <w:rsid w:val="006B4AAD"/>
    <w:rsid w:val="006B4ACD"/>
    <w:rsid w:val="006B4AF0"/>
    <w:rsid w:val="006B4C57"/>
    <w:rsid w:val="006B4CCD"/>
    <w:rsid w:val="006B4D1E"/>
    <w:rsid w:val="006B4D63"/>
    <w:rsid w:val="006B4D86"/>
    <w:rsid w:val="006B4DB8"/>
    <w:rsid w:val="006B4ECE"/>
    <w:rsid w:val="006B4F85"/>
    <w:rsid w:val="006B5102"/>
    <w:rsid w:val="006B5166"/>
    <w:rsid w:val="006B5182"/>
    <w:rsid w:val="006B5215"/>
    <w:rsid w:val="006B5409"/>
    <w:rsid w:val="006B544B"/>
    <w:rsid w:val="006B5473"/>
    <w:rsid w:val="006B5496"/>
    <w:rsid w:val="006B54E4"/>
    <w:rsid w:val="006B551A"/>
    <w:rsid w:val="006B5578"/>
    <w:rsid w:val="006B557A"/>
    <w:rsid w:val="006B55B8"/>
    <w:rsid w:val="006B5716"/>
    <w:rsid w:val="006B571C"/>
    <w:rsid w:val="006B574C"/>
    <w:rsid w:val="006B587C"/>
    <w:rsid w:val="006B5AA4"/>
    <w:rsid w:val="006B5B59"/>
    <w:rsid w:val="006B5C8B"/>
    <w:rsid w:val="006B5D87"/>
    <w:rsid w:val="006B5D8C"/>
    <w:rsid w:val="006B5DED"/>
    <w:rsid w:val="006B5E26"/>
    <w:rsid w:val="006B5EB4"/>
    <w:rsid w:val="006B5EBF"/>
    <w:rsid w:val="006B5ED4"/>
    <w:rsid w:val="006B5EE7"/>
    <w:rsid w:val="006B5F64"/>
    <w:rsid w:val="006B60BD"/>
    <w:rsid w:val="006B60D6"/>
    <w:rsid w:val="006B61E8"/>
    <w:rsid w:val="006B6253"/>
    <w:rsid w:val="006B6292"/>
    <w:rsid w:val="006B642C"/>
    <w:rsid w:val="006B6434"/>
    <w:rsid w:val="006B643C"/>
    <w:rsid w:val="006B6474"/>
    <w:rsid w:val="006B64A8"/>
    <w:rsid w:val="006B64D6"/>
    <w:rsid w:val="006B653E"/>
    <w:rsid w:val="006B65B4"/>
    <w:rsid w:val="006B65DB"/>
    <w:rsid w:val="006B6665"/>
    <w:rsid w:val="006B680E"/>
    <w:rsid w:val="006B6836"/>
    <w:rsid w:val="006B683D"/>
    <w:rsid w:val="006B694C"/>
    <w:rsid w:val="006B6998"/>
    <w:rsid w:val="006B69D3"/>
    <w:rsid w:val="006B6A47"/>
    <w:rsid w:val="006B6A6D"/>
    <w:rsid w:val="006B6AA8"/>
    <w:rsid w:val="006B6C12"/>
    <w:rsid w:val="006B6C13"/>
    <w:rsid w:val="006B6C9F"/>
    <w:rsid w:val="006B6CB2"/>
    <w:rsid w:val="006B6CDF"/>
    <w:rsid w:val="006B6D75"/>
    <w:rsid w:val="006B6DBD"/>
    <w:rsid w:val="006B6F5F"/>
    <w:rsid w:val="006B7036"/>
    <w:rsid w:val="006B7114"/>
    <w:rsid w:val="006B71B0"/>
    <w:rsid w:val="006B7206"/>
    <w:rsid w:val="006B72FD"/>
    <w:rsid w:val="006B742E"/>
    <w:rsid w:val="006B74BA"/>
    <w:rsid w:val="006B74C2"/>
    <w:rsid w:val="006B7525"/>
    <w:rsid w:val="006B75B9"/>
    <w:rsid w:val="006B75C9"/>
    <w:rsid w:val="006B75DA"/>
    <w:rsid w:val="006B75E6"/>
    <w:rsid w:val="006B7805"/>
    <w:rsid w:val="006B7828"/>
    <w:rsid w:val="006B7864"/>
    <w:rsid w:val="006B7894"/>
    <w:rsid w:val="006B78B4"/>
    <w:rsid w:val="006B7A11"/>
    <w:rsid w:val="006B7A8E"/>
    <w:rsid w:val="006B7AC4"/>
    <w:rsid w:val="006B7AC8"/>
    <w:rsid w:val="006B7B83"/>
    <w:rsid w:val="006B7BBD"/>
    <w:rsid w:val="006B7BCF"/>
    <w:rsid w:val="006B7C0F"/>
    <w:rsid w:val="006B7CE4"/>
    <w:rsid w:val="006B7E35"/>
    <w:rsid w:val="006B7F00"/>
    <w:rsid w:val="006B7F88"/>
    <w:rsid w:val="006B7FBE"/>
    <w:rsid w:val="006B7FEB"/>
    <w:rsid w:val="006C002B"/>
    <w:rsid w:val="006C0051"/>
    <w:rsid w:val="006C0091"/>
    <w:rsid w:val="006C0206"/>
    <w:rsid w:val="006C020B"/>
    <w:rsid w:val="006C02AC"/>
    <w:rsid w:val="006C02E5"/>
    <w:rsid w:val="006C0318"/>
    <w:rsid w:val="006C03AD"/>
    <w:rsid w:val="006C03E9"/>
    <w:rsid w:val="006C0454"/>
    <w:rsid w:val="006C0492"/>
    <w:rsid w:val="006C049F"/>
    <w:rsid w:val="006C0520"/>
    <w:rsid w:val="006C059B"/>
    <w:rsid w:val="006C05B0"/>
    <w:rsid w:val="006C060A"/>
    <w:rsid w:val="006C061A"/>
    <w:rsid w:val="006C062B"/>
    <w:rsid w:val="006C0679"/>
    <w:rsid w:val="006C06B8"/>
    <w:rsid w:val="006C079D"/>
    <w:rsid w:val="006C0810"/>
    <w:rsid w:val="006C0980"/>
    <w:rsid w:val="006C09E2"/>
    <w:rsid w:val="006C0A1A"/>
    <w:rsid w:val="006C0AD9"/>
    <w:rsid w:val="006C0AEA"/>
    <w:rsid w:val="006C0B41"/>
    <w:rsid w:val="006C0C77"/>
    <w:rsid w:val="006C0C9A"/>
    <w:rsid w:val="006C0CB1"/>
    <w:rsid w:val="006C0CD1"/>
    <w:rsid w:val="006C0D6D"/>
    <w:rsid w:val="006C0EC1"/>
    <w:rsid w:val="006C0F89"/>
    <w:rsid w:val="006C0FE5"/>
    <w:rsid w:val="006C1008"/>
    <w:rsid w:val="006C1009"/>
    <w:rsid w:val="006C1036"/>
    <w:rsid w:val="006C11A1"/>
    <w:rsid w:val="006C11C8"/>
    <w:rsid w:val="006C11DE"/>
    <w:rsid w:val="006C128E"/>
    <w:rsid w:val="006C12D9"/>
    <w:rsid w:val="006C134B"/>
    <w:rsid w:val="006C1513"/>
    <w:rsid w:val="006C151B"/>
    <w:rsid w:val="006C155D"/>
    <w:rsid w:val="006C1593"/>
    <w:rsid w:val="006C166A"/>
    <w:rsid w:val="006C18E1"/>
    <w:rsid w:val="006C1929"/>
    <w:rsid w:val="006C1939"/>
    <w:rsid w:val="006C1948"/>
    <w:rsid w:val="006C1A1C"/>
    <w:rsid w:val="006C1B19"/>
    <w:rsid w:val="006C1B77"/>
    <w:rsid w:val="006C1DB7"/>
    <w:rsid w:val="006C1DFA"/>
    <w:rsid w:val="006C1E53"/>
    <w:rsid w:val="006C1E92"/>
    <w:rsid w:val="006C2011"/>
    <w:rsid w:val="006C2027"/>
    <w:rsid w:val="006C20B8"/>
    <w:rsid w:val="006C21EF"/>
    <w:rsid w:val="006C2259"/>
    <w:rsid w:val="006C237C"/>
    <w:rsid w:val="006C23A5"/>
    <w:rsid w:val="006C241A"/>
    <w:rsid w:val="006C2442"/>
    <w:rsid w:val="006C24E8"/>
    <w:rsid w:val="006C25B8"/>
    <w:rsid w:val="006C263E"/>
    <w:rsid w:val="006C26CE"/>
    <w:rsid w:val="006C28A2"/>
    <w:rsid w:val="006C2965"/>
    <w:rsid w:val="006C2995"/>
    <w:rsid w:val="006C2A02"/>
    <w:rsid w:val="006C2A16"/>
    <w:rsid w:val="006C2A5D"/>
    <w:rsid w:val="006C2ABA"/>
    <w:rsid w:val="006C2AD4"/>
    <w:rsid w:val="006C2B5C"/>
    <w:rsid w:val="006C2D9F"/>
    <w:rsid w:val="006C2E62"/>
    <w:rsid w:val="006C2EB5"/>
    <w:rsid w:val="006C2F6F"/>
    <w:rsid w:val="006C2FE7"/>
    <w:rsid w:val="006C2FFC"/>
    <w:rsid w:val="006C3208"/>
    <w:rsid w:val="006C32A2"/>
    <w:rsid w:val="006C32E1"/>
    <w:rsid w:val="006C32FE"/>
    <w:rsid w:val="006C3323"/>
    <w:rsid w:val="006C33C6"/>
    <w:rsid w:val="006C33CE"/>
    <w:rsid w:val="006C3574"/>
    <w:rsid w:val="006C358C"/>
    <w:rsid w:val="006C35CF"/>
    <w:rsid w:val="006C3684"/>
    <w:rsid w:val="006C372A"/>
    <w:rsid w:val="006C3820"/>
    <w:rsid w:val="006C3837"/>
    <w:rsid w:val="006C3860"/>
    <w:rsid w:val="006C386C"/>
    <w:rsid w:val="006C389A"/>
    <w:rsid w:val="006C38FD"/>
    <w:rsid w:val="006C3A51"/>
    <w:rsid w:val="006C3AFC"/>
    <w:rsid w:val="006C3B3F"/>
    <w:rsid w:val="006C3B46"/>
    <w:rsid w:val="006C3BAE"/>
    <w:rsid w:val="006C3BD5"/>
    <w:rsid w:val="006C3D3C"/>
    <w:rsid w:val="006C3D62"/>
    <w:rsid w:val="006C3E65"/>
    <w:rsid w:val="006C3E75"/>
    <w:rsid w:val="006C3FF3"/>
    <w:rsid w:val="006C4017"/>
    <w:rsid w:val="006C4032"/>
    <w:rsid w:val="006C409F"/>
    <w:rsid w:val="006C4105"/>
    <w:rsid w:val="006C42FB"/>
    <w:rsid w:val="006C44C2"/>
    <w:rsid w:val="006C44D5"/>
    <w:rsid w:val="006C45D0"/>
    <w:rsid w:val="006C46F2"/>
    <w:rsid w:val="006C4765"/>
    <w:rsid w:val="006C4810"/>
    <w:rsid w:val="006C4AB0"/>
    <w:rsid w:val="006C4AD3"/>
    <w:rsid w:val="006C4B09"/>
    <w:rsid w:val="006C4B50"/>
    <w:rsid w:val="006C4B72"/>
    <w:rsid w:val="006C4C42"/>
    <w:rsid w:val="006C4EE3"/>
    <w:rsid w:val="006C501D"/>
    <w:rsid w:val="006C5060"/>
    <w:rsid w:val="006C508B"/>
    <w:rsid w:val="006C50EE"/>
    <w:rsid w:val="006C5199"/>
    <w:rsid w:val="006C5223"/>
    <w:rsid w:val="006C5386"/>
    <w:rsid w:val="006C5393"/>
    <w:rsid w:val="006C540A"/>
    <w:rsid w:val="006C5492"/>
    <w:rsid w:val="006C5525"/>
    <w:rsid w:val="006C55EB"/>
    <w:rsid w:val="006C563F"/>
    <w:rsid w:val="006C565C"/>
    <w:rsid w:val="006C5674"/>
    <w:rsid w:val="006C572A"/>
    <w:rsid w:val="006C5750"/>
    <w:rsid w:val="006C57BF"/>
    <w:rsid w:val="006C5850"/>
    <w:rsid w:val="006C5897"/>
    <w:rsid w:val="006C5929"/>
    <w:rsid w:val="006C593B"/>
    <w:rsid w:val="006C59AF"/>
    <w:rsid w:val="006C5A62"/>
    <w:rsid w:val="006C5A96"/>
    <w:rsid w:val="006C5A9A"/>
    <w:rsid w:val="006C5AEE"/>
    <w:rsid w:val="006C5B26"/>
    <w:rsid w:val="006C5B66"/>
    <w:rsid w:val="006C5C95"/>
    <w:rsid w:val="006C5CE8"/>
    <w:rsid w:val="006C5DEA"/>
    <w:rsid w:val="006C5EB9"/>
    <w:rsid w:val="006C5F9F"/>
    <w:rsid w:val="006C5FDF"/>
    <w:rsid w:val="006C6018"/>
    <w:rsid w:val="006C6130"/>
    <w:rsid w:val="006C6194"/>
    <w:rsid w:val="006C6238"/>
    <w:rsid w:val="006C627F"/>
    <w:rsid w:val="006C62C9"/>
    <w:rsid w:val="006C6323"/>
    <w:rsid w:val="006C63F2"/>
    <w:rsid w:val="006C6438"/>
    <w:rsid w:val="006C6441"/>
    <w:rsid w:val="006C64E9"/>
    <w:rsid w:val="006C650E"/>
    <w:rsid w:val="006C653F"/>
    <w:rsid w:val="006C657A"/>
    <w:rsid w:val="006C6742"/>
    <w:rsid w:val="006C67EE"/>
    <w:rsid w:val="006C6809"/>
    <w:rsid w:val="006C6863"/>
    <w:rsid w:val="006C68E0"/>
    <w:rsid w:val="006C68F0"/>
    <w:rsid w:val="006C698D"/>
    <w:rsid w:val="006C69C5"/>
    <w:rsid w:val="006C6A15"/>
    <w:rsid w:val="006C6A17"/>
    <w:rsid w:val="006C6B54"/>
    <w:rsid w:val="006C6CF4"/>
    <w:rsid w:val="006C6D4F"/>
    <w:rsid w:val="006C6D68"/>
    <w:rsid w:val="006C6D6D"/>
    <w:rsid w:val="006C6D8B"/>
    <w:rsid w:val="006C6DEC"/>
    <w:rsid w:val="006C6E84"/>
    <w:rsid w:val="006C6EA0"/>
    <w:rsid w:val="006C6F13"/>
    <w:rsid w:val="006C6F82"/>
    <w:rsid w:val="006C708D"/>
    <w:rsid w:val="006C70B5"/>
    <w:rsid w:val="006C710A"/>
    <w:rsid w:val="006C713D"/>
    <w:rsid w:val="006C716F"/>
    <w:rsid w:val="006C7172"/>
    <w:rsid w:val="006C7343"/>
    <w:rsid w:val="006C7385"/>
    <w:rsid w:val="006C73A4"/>
    <w:rsid w:val="006C73C9"/>
    <w:rsid w:val="006C73E4"/>
    <w:rsid w:val="006C744D"/>
    <w:rsid w:val="006C7502"/>
    <w:rsid w:val="006C7628"/>
    <w:rsid w:val="006C78FE"/>
    <w:rsid w:val="006C79E8"/>
    <w:rsid w:val="006C79E9"/>
    <w:rsid w:val="006C7B7A"/>
    <w:rsid w:val="006C7C79"/>
    <w:rsid w:val="006C7CCA"/>
    <w:rsid w:val="006C7D34"/>
    <w:rsid w:val="006C7D4D"/>
    <w:rsid w:val="006C7D66"/>
    <w:rsid w:val="006C7DC6"/>
    <w:rsid w:val="006C7DE6"/>
    <w:rsid w:val="006C7EF3"/>
    <w:rsid w:val="006C7FA0"/>
    <w:rsid w:val="006D0058"/>
    <w:rsid w:val="006D0163"/>
    <w:rsid w:val="006D0245"/>
    <w:rsid w:val="006D0246"/>
    <w:rsid w:val="006D0375"/>
    <w:rsid w:val="006D0380"/>
    <w:rsid w:val="006D046B"/>
    <w:rsid w:val="006D04F9"/>
    <w:rsid w:val="006D0594"/>
    <w:rsid w:val="006D05AB"/>
    <w:rsid w:val="006D05EA"/>
    <w:rsid w:val="006D060E"/>
    <w:rsid w:val="006D0681"/>
    <w:rsid w:val="006D06B7"/>
    <w:rsid w:val="006D06BE"/>
    <w:rsid w:val="006D0718"/>
    <w:rsid w:val="006D0753"/>
    <w:rsid w:val="006D079A"/>
    <w:rsid w:val="006D0A04"/>
    <w:rsid w:val="006D0A37"/>
    <w:rsid w:val="006D0B21"/>
    <w:rsid w:val="006D0B4F"/>
    <w:rsid w:val="006D0D26"/>
    <w:rsid w:val="006D0DA6"/>
    <w:rsid w:val="006D0DFF"/>
    <w:rsid w:val="006D0E59"/>
    <w:rsid w:val="006D0F7D"/>
    <w:rsid w:val="006D102E"/>
    <w:rsid w:val="006D1078"/>
    <w:rsid w:val="006D107D"/>
    <w:rsid w:val="006D10C9"/>
    <w:rsid w:val="006D10E8"/>
    <w:rsid w:val="006D1110"/>
    <w:rsid w:val="006D112A"/>
    <w:rsid w:val="006D121F"/>
    <w:rsid w:val="006D123C"/>
    <w:rsid w:val="006D1282"/>
    <w:rsid w:val="006D1291"/>
    <w:rsid w:val="006D12C1"/>
    <w:rsid w:val="006D131F"/>
    <w:rsid w:val="006D1339"/>
    <w:rsid w:val="006D14BB"/>
    <w:rsid w:val="006D151A"/>
    <w:rsid w:val="006D152A"/>
    <w:rsid w:val="006D15D2"/>
    <w:rsid w:val="006D178B"/>
    <w:rsid w:val="006D179D"/>
    <w:rsid w:val="006D1816"/>
    <w:rsid w:val="006D181A"/>
    <w:rsid w:val="006D187B"/>
    <w:rsid w:val="006D1905"/>
    <w:rsid w:val="006D195A"/>
    <w:rsid w:val="006D19AF"/>
    <w:rsid w:val="006D19EA"/>
    <w:rsid w:val="006D1A36"/>
    <w:rsid w:val="006D1C5E"/>
    <w:rsid w:val="006D1C83"/>
    <w:rsid w:val="006D1CCD"/>
    <w:rsid w:val="006D1E26"/>
    <w:rsid w:val="006D1EFF"/>
    <w:rsid w:val="006D1F9B"/>
    <w:rsid w:val="006D2014"/>
    <w:rsid w:val="006D2086"/>
    <w:rsid w:val="006D20FD"/>
    <w:rsid w:val="006D2262"/>
    <w:rsid w:val="006D2295"/>
    <w:rsid w:val="006D2297"/>
    <w:rsid w:val="006D22C4"/>
    <w:rsid w:val="006D22F2"/>
    <w:rsid w:val="006D22FC"/>
    <w:rsid w:val="006D2329"/>
    <w:rsid w:val="006D24D8"/>
    <w:rsid w:val="006D2566"/>
    <w:rsid w:val="006D2590"/>
    <w:rsid w:val="006D25AC"/>
    <w:rsid w:val="006D2622"/>
    <w:rsid w:val="006D2629"/>
    <w:rsid w:val="006D271A"/>
    <w:rsid w:val="006D275A"/>
    <w:rsid w:val="006D2799"/>
    <w:rsid w:val="006D2894"/>
    <w:rsid w:val="006D291D"/>
    <w:rsid w:val="006D2A38"/>
    <w:rsid w:val="006D2A5D"/>
    <w:rsid w:val="006D2A64"/>
    <w:rsid w:val="006D2B06"/>
    <w:rsid w:val="006D2B67"/>
    <w:rsid w:val="006D2D55"/>
    <w:rsid w:val="006D2D78"/>
    <w:rsid w:val="006D2D93"/>
    <w:rsid w:val="006D2E04"/>
    <w:rsid w:val="006D2E5A"/>
    <w:rsid w:val="006D2E7D"/>
    <w:rsid w:val="006D2F6F"/>
    <w:rsid w:val="006D2F75"/>
    <w:rsid w:val="006D2FC9"/>
    <w:rsid w:val="006D31A3"/>
    <w:rsid w:val="006D33F8"/>
    <w:rsid w:val="006D34FA"/>
    <w:rsid w:val="006D3510"/>
    <w:rsid w:val="006D351F"/>
    <w:rsid w:val="006D3789"/>
    <w:rsid w:val="006D3813"/>
    <w:rsid w:val="006D381B"/>
    <w:rsid w:val="006D38F8"/>
    <w:rsid w:val="006D3929"/>
    <w:rsid w:val="006D399C"/>
    <w:rsid w:val="006D3B2A"/>
    <w:rsid w:val="006D3B53"/>
    <w:rsid w:val="006D3BB1"/>
    <w:rsid w:val="006D3BD4"/>
    <w:rsid w:val="006D3BD9"/>
    <w:rsid w:val="006D3CFB"/>
    <w:rsid w:val="006D3D5E"/>
    <w:rsid w:val="006D3DB5"/>
    <w:rsid w:val="006D3DDC"/>
    <w:rsid w:val="006D3E91"/>
    <w:rsid w:val="006D3EAF"/>
    <w:rsid w:val="006D3ECB"/>
    <w:rsid w:val="006D3F1A"/>
    <w:rsid w:val="006D3FCA"/>
    <w:rsid w:val="006D3FD9"/>
    <w:rsid w:val="006D42F9"/>
    <w:rsid w:val="006D43B7"/>
    <w:rsid w:val="006D4490"/>
    <w:rsid w:val="006D4499"/>
    <w:rsid w:val="006D4699"/>
    <w:rsid w:val="006D477B"/>
    <w:rsid w:val="006D47E3"/>
    <w:rsid w:val="006D480C"/>
    <w:rsid w:val="006D4831"/>
    <w:rsid w:val="006D484C"/>
    <w:rsid w:val="006D4887"/>
    <w:rsid w:val="006D48B9"/>
    <w:rsid w:val="006D492A"/>
    <w:rsid w:val="006D4994"/>
    <w:rsid w:val="006D49A9"/>
    <w:rsid w:val="006D4C4A"/>
    <w:rsid w:val="006D4C54"/>
    <w:rsid w:val="006D4E0A"/>
    <w:rsid w:val="006D4E29"/>
    <w:rsid w:val="006D4E3D"/>
    <w:rsid w:val="006D4F40"/>
    <w:rsid w:val="006D4FA5"/>
    <w:rsid w:val="006D4FB2"/>
    <w:rsid w:val="006D505D"/>
    <w:rsid w:val="006D51C2"/>
    <w:rsid w:val="006D51DC"/>
    <w:rsid w:val="006D5239"/>
    <w:rsid w:val="006D526F"/>
    <w:rsid w:val="006D52AF"/>
    <w:rsid w:val="006D52E4"/>
    <w:rsid w:val="006D5311"/>
    <w:rsid w:val="006D54AD"/>
    <w:rsid w:val="006D5599"/>
    <w:rsid w:val="006D5673"/>
    <w:rsid w:val="006D5720"/>
    <w:rsid w:val="006D573D"/>
    <w:rsid w:val="006D58AD"/>
    <w:rsid w:val="006D58BC"/>
    <w:rsid w:val="006D5968"/>
    <w:rsid w:val="006D59CD"/>
    <w:rsid w:val="006D5A35"/>
    <w:rsid w:val="006D5A41"/>
    <w:rsid w:val="006D5A60"/>
    <w:rsid w:val="006D5A8C"/>
    <w:rsid w:val="006D5AAD"/>
    <w:rsid w:val="006D5B5C"/>
    <w:rsid w:val="006D5BA0"/>
    <w:rsid w:val="006D5BB4"/>
    <w:rsid w:val="006D5C7B"/>
    <w:rsid w:val="006D5C88"/>
    <w:rsid w:val="006D5C9D"/>
    <w:rsid w:val="006D5E3E"/>
    <w:rsid w:val="006D5F5C"/>
    <w:rsid w:val="006D60B6"/>
    <w:rsid w:val="006D615E"/>
    <w:rsid w:val="006D6184"/>
    <w:rsid w:val="006D6290"/>
    <w:rsid w:val="006D62B1"/>
    <w:rsid w:val="006D64AD"/>
    <w:rsid w:val="006D64E2"/>
    <w:rsid w:val="006D65AB"/>
    <w:rsid w:val="006D666B"/>
    <w:rsid w:val="006D66B2"/>
    <w:rsid w:val="006D66FA"/>
    <w:rsid w:val="006D677A"/>
    <w:rsid w:val="006D6812"/>
    <w:rsid w:val="006D6829"/>
    <w:rsid w:val="006D698F"/>
    <w:rsid w:val="006D69AE"/>
    <w:rsid w:val="006D69C5"/>
    <w:rsid w:val="006D69DA"/>
    <w:rsid w:val="006D6AC5"/>
    <w:rsid w:val="006D6C33"/>
    <w:rsid w:val="006D6CEC"/>
    <w:rsid w:val="006D6DA2"/>
    <w:rsid w:val="006D6DEB"/>
    <w:rsid w:val="006D6E6B"/>
    <w:rsid w:val="006D6EAB"/>
    <w:rsid w:val="006D6EE0"/>
    <w:rsid w:val="006D6EFD"/>
    <w:rsid w:val="006D6F6B"/>
    <w:rsid w:val="006D702A"/>
    <w:rsid w:val="006D70C4"/>
    <w:rsid w:val="006D710D"/>
    <w:rsid w:val="006D72AD"/>
    <w:rsid w:val="006D73E3"/>
    <w:rsid w:val="006D742C"/>
    <w:rsid w:val="006D7463"/>
    <w:rsid w:val="006D75AC"/>
    <w:rsid w:val="006D75BB"/>
    <w:rsid w:val="006D7735"/>
    <w:rsid w:val="006D78C5"/>
    <w:rsid w:val="006D78FA"/>
    <w:rsid w:val="006D7941"/>
    <w:rsid w:val="006D79A1"/>
    <w:rsid w:val="006D79D3"/>
    <w:rsid w:val="006D7A3F"/>
    <w:rsid w:val="006D7ABB"/>
    <w:rsid w:val="006D7AC3"/>
    <w:rsid w:val="006D7BCE"/>
    <w:rsid w:val="006D7C54"/>
    <w:rsid w:val="006D7D9C"/>
    <w:rsid w:val="006D7DCC"/>
    <w:rsid w:val="006D7E39"/>
    <w:rsid w:val="006D7E8C"/>
    <w:rsid w:val="006E003B"/>
    <w:rsid w:val="006E00D9"/>
    <w:rsid w:val="006E0205"/>
    <w:rsid w:val="006E027B"/>
    <w:rsid w:val="006E0288"/>
    <w:rsid w:val="006E02E8"/>
    <w:rsid w:val="006E0308"/>
    <w:rsid w:val="006E03A6"/>
    <w:rsid w:val="006E03BB"/>
    <w:rsid w:val="006E03F3"/>
    <w:rsid w:val="006E0416"/>
    <w:rsid w:val="006E04C5"/>
    <w:rsid w:val="006E059F"/>
    <w:rsid w:val="006E0773"/>
    <w:rsid w:val="006E0818"/>
    <w:rsid w:val="006E084C"/>
    <w:rsid w:val="006E095E"/>
    <w:rsid w:val="006E0982"/>
    <w:rsid w:val="006E0ABB"/>
    <w:rsid w:val="006E0B68"/>
    <w:rsid w:val="006E0B71"/>
    <w:rsid w:val="006E0B88"/>
    <w:rsid w:val="006E0C7C"/>
    <w:rsid w:val="006E0C8D"/>
    <w:rsid w:val="006E0CFA"/>
    <w:rsid w:val="006E0D2C"/>
    <w:rsid w:val="006E0EF9"/>
    <w:rsid w:val="006E0F19"/>
    <w:rsid w:val="006E0FAE"/>
    <w:rsid w:val="006E10E4"/>
    <w:rsid w:val="006E1119"/>
    <w:rsid w:val="006E11AE"/>
    <w:rsid w:val="006E1200"/>
    <w:rsid w:val="006E12B6"/>
    <w:rsid w:val="006E12FC"/>
    <w:rsid w:val="006E139B"/>
    <w:rsid w:val="006E1490"/>
    <w:rsid w:val="006E1494"/>
    <w:rsid w:val="006E14D6"/>
    <w:rsid w:val="006E14EC"/>
    <w:rsid w:val="006E15E5"/>
    <w:rsid w:val="006E1615"/>
    <w:rsid w:val="006E1632"/>
    <w:rsid w:val="006E170C"/>
    <w:rsid w:val="006E187F"/>
    <w:rsid w:val="006E199C"/>
    <w:rsid w:val="006E19E5"/>
    <w:rsid w:val="006E1A18"/>
    <w:rsid w:val="006E1A82"/>
    <w:rsid w:val="006E1A99"/>
    <w:rsid w:val="006E1AA4"/>
    <w:rsid w:val="006E1AAA"/>
    <w:rsid w:val="006E1ABB"/>
    <w:rsid w:val="006E1BBB"/>
    <w:rsid w:val="006E1CF4"/>
    <w:rsid w:val="006E1D23"/>
    <w:rsid w:val="006E1D63"/>
    <w:rsid w:val="006E1DA8"/>
    <w:rsid w:val="006E206D"/>
    <w:rsid w:val="006E20D0"/>
    <w:rsid w:val="006E216B"/>
    <w:rsid w:val="006E2182"/>
    <w:rsid w:val="006E21E4"/>
    <w:rsid w:val="006E234B"/>
    <w:rsid w:val="006E2596"/>
    <w:rsid w:val="006E2599"/>
    <w:rsid w:val="006E267E"/>
    <w:rsid w:val="006E268E"/>
    <w:rsid w:val="006E26EB"/>
    <w:rsid w:val="006E26F9"/>
    <w:rsid w:val="006E280D"/>
    <w:rsid w:val="006E2820"/>
    <w:rsid w:val="006E28A2"/>
    <w:rsid w:val="006E28F6"/>
    <w:rsid w:val="006E2972"/>
    <w:rsid w:val="006E2A61"/>
    <w:rsid w:val="006E2CE8"/>
    <w:rsid w:val="006E2DC3"/>
    <w:rsid w:val="006E2EDC"/>
    <w:rsid w:val="006E2FBC"/>
    <w:rsid w:val="006E2FEF"/>
    <w:rsid w:val="006E3033"/>
    <w:rsid w:val="006E3161"/>
    <w:rsid w:val="006E31DD"/>
    <w:rsid w:val="006E3286"/>
    <w:rsid w:val="006E328E"/>
    <w:rsid w:val="006E3348"/>
    <w:rsid w:val="006E342D"/>
    <w:rsid w:val="006E34AE"/>
    <w:rsid w:val="006E3533"/>
    <w:rsid w:val="006E35BF"/>
    <w:rsid w:val="006E36C5"/>
    <w:rsid w:val="006E36FB"/>
    <w:rsid w:val="006E3830"/>
    <w:rsid w:val="006E38DF"/>
    <w:rsid w:val="006E38E8"/>
    <w:rsid w:val="006E39D2"/>
    <w:rsid w:val="006E3A7F"/>
    <w:rsid w:val="006E3BB5"/>
    <w:rsid w:val="006E3C1B"/>
    <w:rsid w:val="006E3C2D"/>
    <w:rsid w:val="006E3C34"/>
    <w:rsid w:val="006E3C5F"/>
    <w:rsid w:val="006E3C8E"/>
    <w:rsid w:val="006E3CD9"/>
    <w:rsid w:val="006E3CF8"/>
    <w:rsid w:val="006E3F9C"/>
    <w:rsid w:val="006E3FA3"/>
    <w:rsid w:val="006E3FB0"/>
    <w:rsid w:val="006E3FFC"/>
    <w:rsid w:val="006E40EB"/>
    <w:rsid w:val="006E4156"/>
    <w:rsid w:val="006E41A2"/>
    <w:rsid w:val="006E41C4"/>
    <w:rsid w:val="006E4252"/>
    <w:rsid w:val="006E43BE"/>
    <w:rsid w:val="006E43E2"/>
    <w:rsid w:val="006E43E4"/>
    <w:rsid w:val="006E4464"/>
    <w:rsid w:val="006E45B2"/>
    <w:rsid w:val="006E45BE"/>
    <w:rsid w:val="006E45E5"/>
    <w:rsid w:val="006E460B"/>
    <w:rsid w:val="006E467D"/>
    <w:rsid w:val="006E468B"/>
    <w:rsid w:val="006E46EF"/>
    <w:rsid w:val="006E4757"/>
    <w:rsid w:val="006E4AC3"/>
    <w:rsid w:val="006E4B43"/>
    <w:rsid w:val="006E4BC3"/>
    <w:rsid w:val="006E4D50"/>
    <w:rsid w:val="006E4DD4"/>
    <w:rsid w:val="006E4EAB"/>
    <w:rsid w:val="006E4F1F"/>
    <w:rsid w:val="006E4F60"/>
    <w:rsid w:val="006E4F67"/>
    <w:rsid w:val="006E4FAA"/>
    <w:rsid w:val="006E4FB8"/>
    <w:rsid w:val="006E506D"/>
    <w:rsid w:val="006E528F"/>
    <w:rsid w:val="006E5307"/>
    <w:rsid w:val="006E5382"/>
    <w:rsid w:val="006E5447"/>
    <w:rsid w:val="006E54ED"/>
    <w:rsid w:val="006E5521"/>
    <w:rsid w:val="006E559F"/>
    <w:rsid w:val="006E561A"/>
    <w:rsid w:val="006E5625"/>
    <w:rsid w:val="006E5637"/>
    <w:rsid w:val="006E565E"/>
    <w:rsid w:val="006E567D"/>
    <w:rsid w:val="006E596F"/>
    <w:rsid w:val="006E59C9"/>
    <w:rsid w:val="006E5A54"/>
    <w:rsid w:val="006E5B4C"/>
    <w:rsid w:val="006E5B8C"/>
    <w:rsid w:val="006E5DC0"/>
    <w:rsid w:val="006E5E1E"/>
    <w:rsid w:val="006E5F6D"/>
    <w:rsid w:val="006E5FA5"/>
    <w:rsid w:val="006E5FEE"/>
    <w:rsid w:val="006E605F"/>
    <w:rsid w:val="006E6133"/>
    <w:rsid w:val="006E61F9"/>
    <w:rsid w:val="006E623D"/>
    <w:rsid w:val="006E625F"/>
    <w:rsid w:val="006E641D"/>
    <w:rsid w:val="006E6426"/>
    <w:rsid w:val="006E653E"/>
    <w:rsid w:val="006E6603"/>
    <w:rsid w:val="006E662A"/>
    <w:rsid w:val="006E66C2"/>
    <w:rsid w:val="006E6939"/>
    <w:rsid w:val="006E6992"/>
    <w:rsid w:val="006E69E2"/>
    <w:rsid w:val="006E6A01"/>
    <w:rsid w:val="006E6A25"/>
    <w:rsid w:val="006E6A2A"/>
    <w:rsid w:val="006E6A5F"/>
    <w:rsid w:val="006E6AD1"/>
    <w:rsid w:val="006E6B10"/>
    <w:rsid w:val="006E6C99"/>
    <w:rsid w:val="006E6CBD"/>
    <w:rsid w:val="006E6D6E"/>
    <w:rsid w:val="006E6D81"/>
    <w:rsid w:val="006E6E91"/>
    <w:rsid w:val="006E6EDD"/>
    <w:rsid w:val="006E6F65"/>
    <w:rsid w:val="006E6F85"/>
    <w:rsid w:val="006E708A"/>
    <w:rsid w:val="006E7113"/>
    <w:rsid w:val="006E7214"/>
    <w:rsid w:val="006E732D"/>
    <w:rsid w:val="006E738E"/>
    <w:rsid w:val="006E73BD"/>
    <w:rsid w:val="006E7474"/>
    <w:rsid w:val="006E749A"/>
    <w:rsid w:val="006E7535"/>
    <w:rsid w:val="006E75CE"/>
    <w:rsid w:val="006E76F2"/>
    <w:rsid w:val="006E7719"/>
    <w:rsid w:val="006E771D"/>
    <w:rsid w:val="006E773B"/>
    <w:rsid w:val="006E778F"/>
    <w:rsid w:val="006E78A5"/>
    <w:rsid w:val="006E78AE"/>
    <w:rsid w:val="006E78D0"/>
    <w:rsid w:val="006E78FF"/>
    <w:rsid w:val="006E7906"/>
    <w:rsid w:val="006E799C"/>
    <w:rsid w:val="006E7A5A"/>
    <w:rsid w:val="006E7A9B"/>
    <w:rsid w:val="006E7C62"/>
    <w:rsid w:val="006E7CDA"/>
    <w:rsid w:val="006E7D0B"/>
    <w:rsid w:val="006E7E7F"/>
    <w:rsid w:val="006E7FCC"/>
    <w:rsid w:val="006F0024"/>
    <w:rsid w:val="006F0066"/>
    <w:rsid w:val="006F00BC"/>
    <w:rsid w:val="006F0123"/>
    <w:rsid w:val="006F014E"/>
    <w:rsid w:val="006F0191"/>
    <w:rsid w:val="006F01BB"/>
    <w:rsid w:val="006F0249"/>
    <w:rsid w:val="006F0263"/>
    <w:rsid w:val="006F02A5"/>
    <w:rsid w:val="006F02CF"/>
    <w:rsid w:val="006F0330"/>
    <w:rsid w:val="006F03D5"/>
    <w:rsid w:val="006F047D"/>
    <w:rsid w:val="006F059C"/>
    <w:rsid w:val="006F05F3"/>
    <w:rsid w:val="006F06A6"/>
    <w:rsid w:val="006F06BD"/>
    <w:rsid w:val="006F077F"/>
    <w:rsid w:val="006F079A"/>
    <w:rsid w:val="006F07C0"/>
    <w:rsid w:val="006F087F"/>
    <w:rsid w:val="006F0930"/>
    <w:rsid w:val="006F0997"/>
    <w:rsid w:val="006F09DD"/>
    <w:rsid w:val="006F0C3F"/>
    <w:rsid w:val="006F0C46"/>
    <w:rsid w:val="006F0C4B"/>
    <w:rsid w:val="006F0C58"/>
    <w:rsid w:val="006F0D2D"/>
    <w:rsid w:val="006F0DBF"/>
    <w:rsid w:val="006F0DCA"/>
    <w:rsid w:val="006F0DF1"/>
    <w:rsid w:val="006F0E3C"/>
    <w:rsid w:val="006F0FC7"/>
    <w:rsid w:val="006F1040"/>
    <w:rsid w:val="006F10BE"/>
    <w:rsid w:val="006F1145"/>
    <w:rsid w:val="006F11BC"/>
    <w:rsid w:val="006F1283"/>
    <w:rsid w:val="006F12CB"/>
    <w:rsid w:val="006F144E"/>
    <w:rsid w:val="006F14E3"/>
    <w:rsid w:val="006F150A"/>
    <w:rsid w:val="006F1510"/>
    <w:rsid w:val="006F158E"/>
    <w:rsid w:val="006F1595"/>
    <w:rsid w:val="006F15EF"/>
    <w:rsid w:val="006F161D"/>
    <w:rsid w:val="006F1652"/>
    <w:rsid w:val="006F166E"/>
    <w:rsid w:val="006F179C"/>
    <w:rsid w:val="006F1ACA"/>
    <w:rsid w:val="006F1B12"/>
    <w:rsid w:val="006F1BC2"/>
    <w:rsid w:val="006F1BF1"/>
    <w:rsid w:val="006F1CEC"/>
    <w:rsid w:val="006F1D04"/>
    <w:rsid w:val="006F1D32"/>
    <w:rsid w:val="006F1D40"/>
    <w:rsid w:val="006F1D51"/>
    <w:rsid w:val="006F1DB9"/>
    <w:rsid w:val="006F1DC6"/>
    <w:rsid w:val="006F1DD2"/>
    <w:rsid w:val="006F1DD8"/>
    <w:rsid w:val="006F1FA3"/>
    <w:rsid w:val="006F204D"/>
    <w:rsid w:val="006F20E0"/>
    <w:rsid w:val="006F20E3"/>
    <w:rsid w:val="006F20E8"/>
    <w:rsid w:val="006F2152"/>
    <w:rsid w:val="006F2181"/>
    <w:rsid w:val="006F21A6"/>
    <w:rsid w:val="006F223A"/>
    <w:rsid w:val="006F22B0"/>
    <w:rsid w:val="006F2322"/>
    <w:rsid w:val="006F247D"/>
    <w:rsid w:val="006F24C7"/>
    <w:rsid w:val="006F24E9"/>
    <w:rsid w:val="006F2549"/>
    <w:rsid w:val="006F2614"/>
    <w:rsid w:val="006F266E"/>
    <w:rsid w:val="006F2681"/>
    <w:rsid w:val="006F26E0"/>
    <w:rsid w:val="006F26E1"/>
    <w:rsid w:val="006F281E"/>
    <w:rsid w:val="006F2845"/>
    <w:rsid w:val="006F28E4"/>
    <w:rsid w:val="006F29C4"/>
    <w:rsid w:val="006F2A66"/>
    <w:rsid w:val="006F2AFB"/>
    <w:rsid w:val="006F2C00"/>
    <w:rsid w:val="006F2C37"/>
    <w:rsid w:val="006F2C56"/>
    <w:rsid w:val="006F2CF5"/>
    <w:rsid w:val="006F2D4D"/>
    <w:rsid w:val="006F2DD2"/>
    <w:rsid w:val="006F2E98"/>
    <w:rsid w:val="006F2EDB"/>
    <w:rsid w:val="006F2EFF"/>
    <w:rsid w:val="006F2F89"/>
    <w:rsid w:val="006F2FB9"/>
    <w:rsid w:val="006F3006"/>
    <w:rsid w:val="006F30E4"/>
    <w:rsid w:val="006F3343"/>
    <w:rsid w:val="006F34A5"/>
    <w:rsid w:val="006F34EB"/>
    <w:rsid w:val="006F35FE"/>
    <w:rsid w:val="006F36D1"/>
    <w:rsid w:val="006F38D2"/>
    <w:rsid w:val="006F39F3"/>
    <w:rsid w:val="006F3A99"/>
    <w:rsid w:val="006F3D56"/>
    <w:rsid w:val="006F3DF4"/>
    <w:rsid w:val="006F3E6A"/>
    <w:rsid w:val="006F3FA5"/>
    <w:rsid w:val="006F4069"/>
    <w:rsid w:val="006F4100"/>
    <w:rsid w:val="006F412A"/>
    <w:rsid w:val="006F412C"/>
    <w:rsid w:val="006F4187"/>
    <w:rsid w:val="006F41AB"/>
    <w:rsid w:val="006F41CD"/>
    <w:rsid w:val="006F427B"/>
    <w:rsid w:val="006F42A5"/>
    <w:rsid w:val="006F435B"/>
    <w:rsid w:val="006F437B"/>
    <w:rsid w:val="006F4433"/>
    <w:rsid w:val="006F448C"/>
    <w:rsid w:val="006F4534"/>
    <w:rsid w:val="006F463A"/>
    <w:rsid w:val="006F469F"/>
    <w:rsid w:val="006F4731"/>
    <w:rsid w:val="006F4768"/>
    <w:rsid w:val="006F47E7"/>
    <w:rsid w:val="006F486A"/>
    <w:rsid w:val="006F4870"/>
    <w:rsid w:val="006F4881"/>
    <w:rsid w:val="006F48C9"/>
    <w:rsid w:val="006F4906"/>
    <w:rsid w:val="006F4A10"/>
    <w:rsid w:val="006F4A84"/>
    <w:rsid w:val="006F4A8C"/>
    <w:rsid w:val="006F4B64"/>
    <w:rsid w:val="006F4C4C"/>
    <w:rsid w:val="006F4C5C"/>
    <w:rsid w:val="006F4CFE"/>
    <w:rsid w:val="006F4D9E"/>
    <w:rsid w:val="006F4EE8"/>
    <w:rsid w:val="006F4F3A"/>
    <w:rsid w:val="006F4F7A"/>
    <w:rsid w:val="006F4FA1"/>
    <w:rsid w:val="006F4FE0"/>
    <w:rsid w:val="006F5066"/>
    <w:rsid w:val="006F5135"/>
    <w:rsid w:val="006F518D"/>
    <w:rsid w:val="006F52EF"/>
    <w:rsid w:val="006F5316"/>
    <w:rsid w:val="006F5320"/>
    <w:rsid w:val="006F534A"/>
    <w:rsid w:val="006F545C"/>
    <w:rsid w:val="006F545F"/>
    <w:rsid w:val="006F54B3"/>
    <w:rsid w:val="006F54B7"/>
    <w:rsid w:val="006F5517"/>
    <w:rsid w:val="006F55D7"/>
    <w:rsid w:val="006F564A"/>
    <w:rsid w:val="006F56AA"/>
    <w:rsid w:val="006F57C7"/>
    <w:rsid w:val="006F58D8"/>
    <w:rsid w:val="006F59FE"/>
    <w:rsid w:val="006F5A29"/>
    <w:rsid w:val="006F5AEE"/>
    <w:rsid w:val="006F5B5A"/>
    <w:rsid w:val="006F5C55"/>
    <w:rsid w:val="006F5C73"/>
    <w:rsid w:val="006F5CCB"/>
    <w:rsid w:val="006F5D28"/>
    <w:rsid w:val="006F5DC9"/>
    <w:rsid w:val="006F5E20"/>
    <w:rsid w:val="006F5FC1"/>
    <w:rsid w:val="006F60BE"/>
    <w:rsid w:val="006F60DF"/>
    <w:rsid w:val="006F6248"/>
    <w:rsid w:val="006F635A"/>
    <w:rsid w:val="006F63A6"/>
    <w:rsid w:val="006F6441"/>
    <w:rsid w:val="006F6451"/>
    <w:rsid w:val="006F64C0"/>
    <w:rsid w:val="006F6521"/>
    <w:rsid w:val="006F654B"/>
    <w:rsid w:val="006F66F5"/>
    <w:rsid w:val="006F66F8"/>
    <w:rsid w:val="006F6735"/>
    <w:rsid w:val="006F6779"/>
    <w:rsid w:val="006F6789"/>
    <w:rsid w:val="006F678A"/>
    <w:rsid w:val="006F6793"/>
    <w:rsid w:val="006F67A2"/>
    <w:rsid w:val="006F67D8"/>
    <w:rsid w:val="006F6834"/>
    <w:rsid w:val="006F6846"/>
    <w:rsid w:val="006F691A"/>
    <w:rsid w:val="006F694C"/>
    <w:rsid w:val="006F6950"/>
    <w:rsid w:val="006F6A9A"/>
    <w:rsid w:val="006F6B4E"/>
    <w:rsid w:val="006F6BB8"/>
    <w:rsid w:val="006F6BCC"/>
    <w:rsid w:val="006F6BDF"/>
    <w:rsid w:val="006F6CD3"/>
    <w:rsid w:val="006F6E0D"/>
    <w:rsid w:val="006F6E29"/>
    <w:rsid w:val="006F6F8C"/>
    <w:rsid w:val="006F71B8"/>
    <w:rsid w:val="006F72D8"/>
    <w:rsid w:val="006F7346"/>
    <w:rsid w:val="006F737B"/>
    <w:rsid w:val="006F7480"/>
    <w:rsid w:val="006F7530"/>
    <w:rsid w:val="006F76CD"/>
    <w:rsid w:val="006F7736"/>
    <w:rsid w:val="006F78AE"/>
    <w:rsid w:val="006F7926"/>
    <w:rsid w:val="006F797F"/>
    <w:rsid w:val="006F7A11"/>
    <w:rsid w:val="006F7A61"/>
    <w:rsid w:val="006F7B00"/>
    <w:rsid w:val="006F7B05"/>
    <w:rsid w:val="006F7BCF"/>
    <w:rsid w:val="006F7C04"/>
    <w:rsid w:val="006F7C71"/>
    <w:rsid w:val="006F7CEC"/>
    <w:rsid w:val="006F7D35"/>
    <w:rsid w:val="006F7D65"/>
    <w:rsid w:val="006F7E19"/>
    <w:rsid w:val="006F7EDE"/>
    <w:rsid w:val="006F7F70"/>
    <w:rsid w:val="006F7F97"/>
    <w:rsid w:val="006F7FAE"/>
    <w:rsid w:val="006F7FD2"/>
    <w:rsid w:val="006F7FDB"/>
    <w:rsid w:val="006FFDE5"/>
    <w:rsid w:val="00700037"/>
    <w:rsid w:val="0070010D"/>
    <w:rsid w:val="0070015F"/>
    <w:rsid w:val="0070021D"/>
    <w:rsid w:val="007003B2"/>
    <w:rsid w:val="007004B8"/>
    <w:rsid w:val="007004DF"/>
    <w:rsid w:val="00700539"/>
    <w:rsid w:val="007005CE"/>
    <w:rsid w:val="007006DE"/>
    <w:rsid w:val="0070080F"/>
    <w:rsid w:val="0070083F"/>
    <w:rsid w:val="00700870"/>
    <w:rsid w:val="0070091F"/>
    <w:rsid w:val="007009CE"/>
    <w:rsid w:val="007009EF"/>
    <w:rsid w:val="00700A43"/>
    <w:rsid w:val="00700B26"/>
    <w:rsid w:val="00700B72"/>
    <w:rsid w:val="00700C18"/>
    <w:rsid w:val="00700C5D"/>
    <w:rsid w:val="00700D58"/>
    <w:rsid w:val="00700D5C"/>
    <w:rsid w:val="00700DE2"/>
    <w:rsid w:val="00700F36"/>
    <w:rsid w:val="00701020"/>
    <w:rsid w:val="007010A2"/>
    <w:rsid w:val="007011AA"/>
    <w:rsid w:val="007011B2"/>
    <w:rsid w:val="0070124A"/>
    <w:rsid w:val="00701330"/>
    <w:rsid w:val="007014C1"/>
    <w:rsid w:val="00701512"/>
    <w:rsid w:val="00701574"/>
    <w:rsid w:val="0070159D"/>
    <w:rsid w:val="00701685"/>
    <w:rsid w:val="00701689"/>
    <w:rsid w:val="007016A0"/>
    <w:rsid w:val="007016B3"/>
    <w:rsid w:val="007017E5"/>
    <w:rsid w:val="007018BD"/>
    <w:rsid w:val="00701926"/>
    <w:rsid w:val="0070196D"/>
    <w:rsid w:val="007019CB"/>
    <w:rsid w:val="00701A49"/>
    <w:rsid w:val="00701A6F"/>
    <w:rsid w:val="00701AAC"/>
    <w:rsid w:val="00701ACF"/>
    <w:rsid w:val="00701B87"/>
    <w:rsid w:val="00701B8A"/>
    <w:rsid w:val="00701CA4"/>
    <w:rsid w:val="00701D0F"/>
    <w:rsid w:val="00701DC6"/>
    <w:rsid w:val="00701E89"/>
    <w:rsid w:val="00701EC2"/>
    <w:rsid w:val="00701ED0"/>
    <w:rsid w:val="00701F0B"/>
    <w:rsid w:val="00701FB7"/>
    <w:rsid w:val="00701FD3"/>
    <w:rsid w:val="0070204C"/>
    <w:rsid w:val="00702065"/>
    <w:rsid w:val="007020EE"/>
    <w:rsid w:val="00702139"/>
    <w:rsid w:val="00702258"/>
    <w:rsid w:val="007022CE"/>
    <w:rsid w:val="0070257A"/>
    <w:rsid w:val="00702616"/>
    <w:rsid w:val="00702619"/>
    <w:rsid w:val="00702676"/>
    <w:rsid w:val="0070267F"/>
    <w:rsid w:val="007026A9"/>
    <w:rsid w:val="007026B6"/>
    <w:rsid w:val="007028B9"/>
    <w:rsid w:val="007029A2"/>
    <w:rsid w:val="007029F9"/>
    <w:rsid w:val="00702A20"/>
    <w:rsid w:val="00702A67"/>
    <w:rsid w:val="00702A7F"/>
    <w:rsid w:val="00702B52"/>
    <w:rsid w:val="00702B5A"/>
    <w:rsid w:val="00702B62"/>
    <w:rsid w:val="00702B9C"/>
    <w:rsid w:val="00702BFF"/>
    <w:rsid w:val="00702D23"/>
    <w:rsid w:val="00702D5A"/>
    <w:rsid w:val="00702E0E"/>
    <w:rsid w:val="00702EE7"/>
    <w:rsid w:val="00702F78"/>
    <w:rsid w:val="00703059"/>
    <w:rsid w:val="00703160"/>
    <w:rsid w:val="007031C3"/>
    <w:rsid w:val="00703224"/>
    <w:rsid w:val="007032C1"/>
    <w:rsid w:val="00703366"/>
    <w:rsid w:val="00703388"/>
    <w:rsid w:val="007033F6"/>
    <w:rsid w:val="00703531"/>
    <w:rsid w:val="00703748"/>
    <w:rsid w:val="007038D3"/>
    <w:rsid w:val="00703967"/>
    <w:rsid w:val="00703A22"/>
    <w:rsid w:val="00703A8D"/>
    <w:rsid w:val="00703C65"/>
    <w:rsid w:val="00703CB6"/>
    <w:rsid w:val="00703CEF"/>
    <w:rsid w:val="00703DB9"/>
    <w:rsid w:val="00703E68"/>
    <w:rsid w:val="00703E86"/>
    <w:rsid w:val="00703E92"/>
    <w:rsid w:val="00703EB0"/>
    <w:rsid w:val="00703EEC"/>
    <w:rsid w:val="00703F27"/>
    <w:rsid w:val="00704028"/>
    <w:rsid w:val="0070403E"/>
    <w:rsid w:val="007041CC"/>
    <w:rsid w:val="0070425E"/>
    <w:rsid w:val="007042EC"/>
    <w:rsid w:val="0070437A"/>
    <w:rsid w:val="0070438A"/>
    <w:rsid w:val="00704444"/>
    <w:rsid w:val="0070449B"/>
    <w:rsid w:val="007045C5"/>
    <w:rsid w:val="007045DB"/>
    <w:rsid w:val="00704611"/>
    <w:rsid w:val="0070465C"/>
    <w:rsid w:val="00704677"/>
    <w:rsid w:val="0070481B"/>
    <w:rsid w:val="00704829"/>
    <w:rsid w:val="00704851"/>
    <w:rsid w:val="007048A3"/>
    <w:rsid w:val="00704AE8"/>
    <w:rsid w:val="00704AF9"/>
    <w:rsid w:val="00704B83"/>
    <w:rsid w:val="00704BB6"/>
    <w:rsid w:val="00704C18"/>
    <w:rsid w:val="00704C9A"/>
    <w:rsid w:val="00704F32"/>
    <w:rsid w:val="00704FA1"/>
    <w:rsid w:val="0070503F"/>
    <w:rsid w:val="0070509C"/>
    <w:rsid w:val="00705158"/>
    <w:rsid w:val="00705192"/>
    <w:rsid w:val="0070519D"/>
    <w:rsid w:val="007051B4"/>
    <w:rsid w:val="007051C8"/>
    <w:rsid w:val="007053AA"/>
    <w:rsid w:val="007053FF"/>
    <w:rsid w:val="0070553D"/>
    <w:rsid w:val="007055B9"/>
    <w:rsid w:val="00705666"/>
    <w:rsid w:val="007056DB"/>
    <w:rsid w:val="00705722"/>
    <w:rsid w:val="00705758"/>
    <w:rsid w:val="0070578F"/>
    <w:rsid w:val="007057BB"/>
    <w:rsid w:val="007057EF"/>
    <w:rsid w:val="007058B3"/>
    <w:rsid w:val="007058EE"/>
    <w:rsid w:val="007058FE"/>
    <w:rsid w:val="00705963"/>
    <w:rsid w:val="007059C2"/>
    <w:rsid w:val="007059D2"/>
    <w:rsid w:val="007059D4"/>
    <w:rsid w:val="007059DF"/>
    <w:rsid w:val="00705AD2"/>
    <w:rsid w:val="00705B2B"/>
    <w:rsid w:val="00705BD4"/>
    <w:rsid w:val="00705C89"/>
    <w:rsid w:val="00705CDD"/>
    <w:rsid w:val="00705D5E"/>
    <w:rsid w:val="00705E2C"/>
    <w:rsid w:val="00705E7E"/>
    <w:rsid w:val="00705F9A"/>
    <w:rsid w:val="00706030"/>
    <w:rsid w:val="007060D2"/>
    <w:rsid w:val="007060E6"/>
    <w:rsid w:val="00706259"/>
    <w:rsid w:val="007062AE"/>
    <w:rsid w:val="007062D2"/>
    <w:rsid w:val="0070634F"/>
    <w:rsid w:val="007063A3"/>
    <w:rsid w:val="007063BC"/>
    <w:rsid w:val="00706433"/>
    <w:rsid w:val="0070647D"/>
    <w:rsid w:val="00706537"/>
    <w:rsid w:val="007065E0"/>
    <w:rsid w:val="0070664D"/>
    <w:rsid w:val="0070675C"/>
    <w:rsid w:val="0070692E"/>
    <w:rsid w:val="00706A04"/>
    <w:rsid w:val="00706A98"/>
    <w:rsid w:val="00706B0B"/>
    <w:rsid w:val="00706B9E"/>
    <w:rsid w:val="00706BEC"/>
    <w:rsid w:val="00706C3A"/>
    <w:rsid w:val="00706DD7"/>
    <w:rsid w:val="00706E76"/>
    <w:rsid w:val="00706F6B"/>
    <w:rsid w:val="0070704D"/>
    <w:rsid w:val="00707088"/>
    <w:rsid w:val="007070FE"/>
    <w:rsid w:val="0070721B"/>
    <w:rsid w:val="007072B3"/>
    <w:rsid w:val="007072CD"/>
    <w:rsid w:val="007073A8"/>
    <w:rsid w:val="0070750B"/>
    <w:rsid w:val="00707533"/>
    <w:rsid w:val="0070755B"/>
    <w:rsid w:val="0070757D"/>
    <w:rsid w:val="00707602"/>
    <w:rsid w:val="0070762A"/>
    <w:rsid w:val="0070763F"/>
    <w:rsid w:val="007079F7"/>
    <w:rsid w:val="00707C6A"/>
    <w:rsid w:val="00707C8A"/>
    <w:rsid w:val="00707CA6"/>
    <w:rsid w:val="00707CD9"/>
    <w:rsid w:val="00707DB5"/>
    <w:rsid w:val="00707DCB"/>
    <w:rsid w:val="00707E11"/>
    <w:rsid w:val="00707EDC"/>
    <w:rsid w:val="00707F24"/>
    <w:rsid w:val="00707FFC"/>
    <w:rsid w:val="0071004B"/>
    <w:rsid w:val="0071014C"/>
    <w:rsid w:val="00710153"/>
    <w:rsid w:val="007101CD"/>
    <w:rsid w:val="00710215"/>
    <w:rsid w:val="0071022B"/>
    <w:rsid w:val="00710264"/>
    <w:rsid w:val="0071036D"/>
    <w:rsid w:val="00710452"/>
    <w:rsid w:val="0071059D"/>
    <w:rsid w:val="007105E2"/>
    <w:rsid w:val="00710649"/>
    <w:rsid w:val="0071068A"/>
    <w:rsid w:val="00710690"/>
    <w:rsid w:val="00710726"/>
    <w:rsid w:val="007107E9"/>
    <w:rsid w:val="00710816"/>
    <w:rsid w:val="0071084E"/>
    <w:rsid w:val="007108ED"/>
    <w:rsid w:val="00710951"/>
    <w:rsid w:val="00710958"/>
    <w:rsid w:val="0071095F"/>
    <w:rsid w:val="007109AD"/>
    <w:rsid w:val="007109DA"/>
    <w:rsid w:val="007109FE"/>
    <w:rsid w:val="00710A11"/>
    <w:rsid w:val="00710A45"/>
    <w:rsid w:val="00710BD7"/>
    <w:rsid w:val="00710BF8"/>
    <w:rsid w:val="00710C50"/>
    <w:rsid w:val="00710CD4"/>
    <w:rsid w:val="00710D91"/>
    <w:rsid w:val="00710DD5"/>
    <w:rsid w:val="00710E52"/>
    <w:rsid w:val="00710F65"/>
    <w:rsid w:val="00710FA5"/>
    <w:rsid w:val="00710FCC"/>
    <w:rsid w:val="00711085"/>
    <w:rsid w:val="007110CF"/>
    <w:rsid w:val="007110F4"/>
    <w:rsid w:val="00711135"/>
    <w:rsid w:val="00711138"/>
    <w:rsid w:val="00711168"/>
    <w:rsid w:val="007111D9"/>
    <w:rsid w:val="00711212"/>
    <w:rsid w:val="00711240"/>
    <w:rsid w:val="00711258"/>
    <w:rsid w:val="007112D6"/>
    <w:rsid w:val="0071137E"/>
    <w:rsid w:val="0071137F"/>
    <w:rsid w:val="00711411"/>
    <w:rsid w:val="007117D0"/>
    <w:rsid w:val="007118B3"/>
    <w:rsid w:val="007118E2"/>
    <w:rsid w:val="0071198B"/>
    <w:rsid w:val="007119FD"/>
    <w:rsid w:val="00711B3D"/>
    <w:rsid w:val="00711B98"/>
    <w:rsid w:val="00711C1D"/>
    <w:rsid w:val="00711CCC"/>
    <w:rsid w:val="00711CF8"/>
    <w:rsid w:val="00711DC5"/>
    <w:rsid w:val="00711F22"/>
    <w:rsid w:val="00711F29"/>
    <w:rsid w:val="00711F2F"/>
    <w:rsid w:val="00711F83"/>
    <w:rsid w:val="00711FF4"/>
    <w:rsid w:val="0071220B"/>
    <w:rsid w:val="00712262"/>
    <w:rsid w:val="0071226A"/>
    <w:rsid w:val="007122A2"/>
    <w:rsid w:val="00712303"/>
    <w:rsid w:val="007123B1"/>
    <w:rsid w:val="007123EA"/>
    <w:rsid w:val="00712427"/>
    <w:rsid w:val="00712499"/>
    <w:rsid w:val="007124B5"/>
    <w:rsid w:val="007124BD"/>
    <w:rsid w:val="0071256B"/>
    <w:rsid w:val="007125E5"/>
    <w:rsid w:val="00712671"/>
    <w:rsid w:val="00712709"/>
    <w:rsid w:val="00712893"/>
    <w:rsid w:val="00712898"/>
    <w:rsid w:val="007128B5"/>
    <w:rsid w:val="0071299E"/>
    <w:rsid w:val="00712A34"/>
    <w:rsid w:val="00712B0A"/>
    <w:rsid w:val="00712B82"/>
    <w:rsid w:val="00712BF6"/>
    <w:rsid w:val="00712C8E"/>
    <w:rsid w:val="00712CE5"/>
    <w:rsid w:val="00712D03"/>
    <w:rsid w:val="00712D06"/>
    <w:rsid w:val="00712DFC"/>
    <w:rsid w:val="00712EFB"/>
    <w:rsid w:val="00712F52"/>
    <w:rsid w:val="00712F56"/>
    <w:rsid w:val="00712F7B"/>
    <w:rsid w:val="00712F98"/>
    <w:rsid w:val="007130FC"/>
    <w:rsid w:val="00713134"/>
    <w:rsid w:val="007131EF"/>
    <w:rsid w:val="0071332D"/>
    <w:rsid w:val="00713381"/>
    <w:rsid w:val="00713393"/>
    <w:rsid w:val="007133E1"/>
    <w:rsid w:val="007134E3"/>
    <w:rsid w:val="0071354E"/>
    <w:rsid w:val="0071368C"/>
    <w:rsid w:val="007136C3"/>
    <w:rsid w:val="00713936"/>
    <w:rsid w:val="00713961"/>
    <w:rsid w:val="0071398E"/>
    <w:rsid w:val="00713A99"/>
    <w:rsid w:val="00713AEF"/>
    <w:rsid w:val="00713BFE"/>
    <w:rsid w:val="00713D4A"/>
    <w:rsid w:val="00713D6F"/>
    <w:rsid w:val="00713EB6"/>
    <w:rsid w:val="00713F74"/>
    <w:rsid w:val="007140FB"/>
    <w:rsid w:val="0071421F"/>
    <w:rsid w:val="00714227"/>
    <w:rsid w:val="0071426B"/>
    <w:rsid w:val="00714430"/>
    <w:rsid w:val="00714453"/>
    <w:rsid w:val="0071459F"/>
    <w:rsid w:val="007145C8"/>
    <w:rsid w:val="00714623"/>
    <w:rsid w:val="0071474A"/>
    <w:rsid w:val="0071481E"/>
    <w:rsid w:val="00714931"/>
    <w:rsid w:val="0071493B"/>
    <w:rsid w:val="00714949"/>
    <w:rsid w:val="0071496D"/>
    <w:rsid w:val="00714984"/>
    <w:rsid w:val="007149CC"/>
    <w:rsid w:val="00714A54"/>
    <w:rsid w:val="00714A55"/>
    <w:rsid w:val="00714AF1"/>
    <w:rsid w:val="00714B6B"/>
    <w:rsid w:val="00714B87"/>
    <w:rsid w:val="00714D58"/>
    <w:rsid w:val="00714D6D"/>
    <w:rsid w:val="00714D7C"/>
    <w:rsid w:val="00714D86"/>
    <w:rsid w:val="00714E50"/>
    <w:rsid w:val="0071504A"/>
    <w:rsid w:val="00715081"/>
    <w:rsid w:val="0071511B"/>
    <w:rsid w:val="00715190"/>
    <w:rsid w:val="0071527E"/>
    <w:rsid w:val="00715335"/>
    <w:rsid w:val="00715357"/>
    <w:rsid w:val="00715384"/>
    <w:rsid w:val="00715446"/>
    <w:rsid w:val="007154BB"/>
    <w:rsid w:val="00715547"/>
    <w:rsid w:val="00715552"/>
    <w:rsid w:val="007156E0"/>
    <w:rsid w:val="007158AF"/>
    <w:rsid w:val="00715B65"/>
    <w:rsid w:val="00715C52"/>
    <w:rsid w:val="00715C98"/>
    <w:rsid w:val="00715D3A"/>
    <w:rsid w:val="00715D5A"/>
    <w:rsid w:val="00715DFE"/>
    <w:rsid w:val="00715E37"/>
    <w:rsid w:val="00715E40"/>
    <w:rsid w:val="00715E6E"/>
    <w:rsid w:val="00715F28"/>
    <w:rsid w:val="00715FB0"/>
    <w:rsid w:val="00716042"/>
    <w:rsid w:val="007160D8"/>
    <w:rsid w:val="007160E1"/>
    <w:rsid w:val="0071611C"/>
    <w:rsid w:val="0071615D"/>
    <w:rsid w:val="007161A0"/>
    <w:rsid w:val="007162BA"/>
    <w:rsid w:val="0071632A"/>
    <w:rsid w:val="00716335"/>
    <w:rsid w:val="0071644D"/>
    <w:rsid w:val="0071649C"/>
    <w:rsid w:val="007164B8"/>
    <w:rsid w:val="007164CA"/>
    <w:rsid w:val="0071664B"/>
    <w:rsid w:val="00716760"/>
    <w:rsid w:val="007167A1"/>
    <w:rsid w:val="007169FE"/>
    <w:rsid w:val="00716A51"/>
    <w:rsid w:val="00716A74"/>
    <w:rsid w:val="00716A87"/>
    <w:rsid w:val="00716B72"/>
    <w:rsid w:val="00716B9E"/>
    <w:rsid w:val="00716BDB"/>
    <w:rsid w:val="00716C0D"/>
    <w:rsid w:val="00716C6E"/>
    <w:rsid w:val="00716D1C"/>
    <w:rsid w:val="00716DD6"/>
    <w:rsid w:val="00716DF1"/>
    <w:rsid w:val="00716F10"/>
    <w:rsid w:val="00716F14"/>
    <w:rsid w:val="00716F5D"/>
    <w:rsid w:val="00716F76"/>
    <w:rsid w:val="00717028"/>
    <w:rsid w:val="00717074"/>
    <w:rsid w:val="00717103"/>
    <w:rsid w:val="0071710E"/>
    <w:rsid w:val="0071715B"/>
    <w:rsid w:val="00717259"/>
    <w:rsid w:val="00717272"/>
    <w:rsid w:val="007172E0"/>
    <w:rsid w:val="007173E8"/>
    <w:rsid w:val="0071742C"/>
    <w:rsid w:val="00717431"/>
    <w:rsid w:val="00717486"/>
    <w:rsid w:val="007174B7"/>
    <w:rsid w:val="00717540"/>
    <w:rsid w:val="00717559"/>
    <w:rsid w:val="007175CE"/>
    <w:rsid w:val="007178AA"/>
    <w:rsid w:val="007178BC"/>
    <w:rsid w:val="00717911"/>
    <w:rsid w:val="007179AA"/>
    <w:rsid w:val="007179BA"/>
    <w:rsid w:val="00717AD8"/>
    <w:rsid w:val="00717AE5"/>
    <w:rsid w:val="00717B06"/>
    <w:rsid w:val="00717B96"/>
    <w:rsid w:val="00717BF1"/>
    <w:rsid w:val="00717C52"/>
    <w:rsid w:val="00717E4B"/>
    <w:rsid w:val="00717F30"/>
    <w:rsid w:val="00717F50"/>
    <w:rsid w:val="00720050"/>
    <w:rsid w:val="00720151"/>
    <w:rsid w:val="007201EC"/>
    <w:rsid w:val="00720237"/>
    <w:rsid w:val="00720347"/>
    <w:rsid w:val="00720376"/>
    <w:rsid w:val="0072038B"/>
    <w:rsid w:val="007203FD"/>
    <w:rsid w:val="0072049E"/>
    <w:rsid w:val="0072061B"/>
    <w:rsid w:val="00720641"/>
    <w:rsid w:val="00720684"/>
    <w:rsid w:val="00720691"/>
    <w:rsid w:val="0072072B"/>
    <w:rsid w:val="00720744"/>
    <w:rsid w:val="007207AA"/>
    <w:rsid w:val="007207AF"/>
    <w:rsid w:val="0072087E"/>
    <w:rsid w:val="00720896"/>
    <w:rsid w:val="007208B8"/>
    <w:rsid w:val="0072093C"/>
    <w:rsid w:val="00720AD9"/>
    <w:rsid w:val="00720ADA"/>
    <w:rsid w:val="00720B37"/>
    <w:rsid w:val="00720B82"/>
    <w:rsid w:val="00720BF2"/>
    <w:rsid w:val="00720CDB"/>
    <w:rsid w:val="00720D52"/>
    <w:rsid w:val="00720D78"/>
    <w:rsid w:val="00720F29"/>
    <w:rsid w:val="0072118E"/>
    <w:rsid w:val="00721200"/>
    <w:rsid w:val="0072122E"/>
    <w:rsid w:val="007212DF"/>
    <w:rsid w:val="0072130A"/>
    <w:rsid w:val="0072134D"/>
    <w:rsid w:val="00721482"/>
    <w:rsid w:val="007215A9"/>
    <w:rsid w:val="007215F3"/>
    <w:rsid w:val="00721661"/>
    <w:rsid w:val="0072176D"/>
    <w:rsid w:val="00721771"/>
    <w:rsid w:val="0072193C"/>
    <w:rsid w:val="00721952"/>
    <w:rsid w:val="0072197C"/>
    <w:rsid w:val="007219B4"/>
    <w:rsid w:val="00721B4D"/>
    <w:rsid w:val="00721B53"/>
    <w:rsid w:val="00721B9C"/>
    <w:rsid w:val="00721C60"/>
    <w:rsid w:val="00721CA4"/>
    <w:rsid w:val="00721CA8"/>
    <w:rsid w:val="00721D6E"/>
    <w:rsid w:val="00721DCE"/>
    <w:rsid w:val="00721E3E"/>
    <w:rsid w:val="00721F48"/>
    <w:rsid w:val="00721F66"/>
    <w:rsid w:val="0072200F"/>
    <w:rsid w:val="0072204E"/>
    <w:rsid w:val="00722099"/>
    <w:rsid w:val="007220BF"/>
    <w:rsid w:val="007220C0"/>
    <w:rsid w:val="00722179"/>
    <w:rsid w:val="0072218E"/>
    <w:rsid w:val="007223DC"/>
    <w:rsid w:val="00722433"/>
    <w:rsid w:val="0072246B"/>
    <w:rsid w:val="00722488"/>
    <w:rsid w:val="007225C4"/>
    <w:rsid w:val="00722634"/>
    <w:rsid w:val="007226A2"/>
    <w:rsid w:val="007226AC"/>
    <w:rsid w:val="007226B3"/>
    <w:rsid w:val="0072273A"/>
    <w:rsid w:val="00722943"/>
    <w:rsid w:val="007229C8"/>
    <w:rsid w:val="00722A07"/>
    <w:rsid w:val="00722A31"/>
    <w:rsid w:val="00722A38"/>
    <w:rsid w:val="00722A5F"/>
    <w:rsid w:val="00722ACE"/>
    <w:rsid w:val="00722AE0"/>
    <w:rsid w:val="00722BA7"/>
    <w:rsid w:val="00722BD8"/>
    <w:rsid w:val="00722C0C"/>
    <w:rsid w:val="00722C43"/>
    <w:rsid w:val="00722C66"/>
    <w:rsid w:val="00722CD4"/>
    <w:rsid w:val="00722E7D"/>
    <w:rsid w:val="00722F7D"/>
    <w:rsid w:val="00722FA5"/>
    <w:rsid w:val="00722FDF"/>
    <w:rsid w:val="0072325B"/>
    <w:rsid w:val="0072327A"/>
    <w:rsid w:val="00723368"/>
    <w:rsid w:val="00723402"/>
    <w:rsid w:val="007234D4"/>
    <w:rsid w:val="0072350A"/>
    <w:rsid w:val="00723629"/>
    <w:rsid w:val="00723664"/>
    <w:rsid w:val="00723687"/>
    <w:rsid w:val="007236A5"/>
    <w:rsid w:val="007236AB"/>
    <w:rsid w:val="007236AC"/>
    <w:rsid w:val="007236B8"/>
    <w:rsid w:val="00723722"/>
    <w:rsid w:val="0072382D"/>
    <w:rsid w:val="007238CA"/>
    <w:rsid w:val="007239C1"/>
    <w:rsid w:val="00723A87"/>
    <w:rsid w:val="00723B3B"/>
    <w:rsid w:val="00723D42"/>
    <w:rsid w:val="00723D83"/>
    <w:rsid w:val="00723DED"/>
    <w:rsid w:val="0072415B"/>
    <w:rsid w:val="0072420F"/>
    <w:rsid w:val="00724289"/>
    <w:rsid w:val="007243D6"/>
    <w:rsid w:val="007244FE"/>
    <w:rsid w:val="00724548"/>
    <w:rsid w:val="0072457E"/>
    <w:rsid w:val="0072458A"/>
    <w:rsid w:val="007246A4"/>
    <w:rsid w:val="007246B0"/>
    <w:rsid w:val="00724719"/>
    <w:rsid w:val="007247EF"/>
    <w:rsid w:val="00724994"/>
    <w:rsid w:val="007249C1"/>
    <w:rsid w:val="007249D8"/>
    <w:rsid w:val="00724C44"/>
    <w:rsid w:val="00724CF1"/>
    <w:rsid w:val="00724D4A"/>
    <w:rsid w:val="00724D98"/>
    <w:rsid w:val="00724DE5"/>
    <w:rsid w:val="00724ECD"/>
    <w:rsid w:val="00724F07"/>
    <w:rsid w:val="00724FA0"/>
    <w:rsid w:val="00724FE6"/>
    <w:rsid w:val="00725012"/>
    <w:rsid w:val="007251A9"/>
    <w:rsid w:val="00725200"/>
    <w:rsid w:val="0072522F"/>
    <w:rsid w:val="007252ED"/>
    <w:rsid w:val="00725322"/>
    <w:rsid w:val="0072557A"/>
    <w:rsid w:val="007255C2"/>
    <w:rsid w:val="00725670"/>
    <w:rsid w:val="007256AC"/>
    <w:rsid w:val="0072578E"/>
    <w:rsid w:val="00725844"/>
    <w:rsid w:val="00725846"/>
    <w:rsid w:val="0072586D"/>
    <w:rsid w:val="00725954"/>
    <w:rsid w:val="0072596F"/>
    <w:rsid w:val="00725A6E"/>
    <w:rsid w:val="00725A7B"/>
    <w:rsid w:val="00725ABF"/>
    <w:rsid w:val="00725C24"/>
    <w:rsid w:val="00725C6B"/>
    <w:rsid w:val="00725D76"/>
    <w:rsid w:val="00725DA9"/>
    <w:rsid w:val="00725E6E"/>
    <w:rsid w:val="00725F0E"/>
    <w:rsid w:val="00725F61"/>
    <w:rsid w:val="00725F92"/>
    <w:rsid w:val="00725FE2"/>
    <w:rsid w:val="00726055"/>
    <w:rsid w:val="007260C1"/>
    <w:rsid w:val="0072611D"/>
    <w:rsid w:val="00726169"/>
    <w:rsid w:val="00726228"/>
    <w:rsid w:val="00726305"/>
    <w:rsid w:val="00726337"/>
    <w:rsid w:val="00726348"/>
    <w:rsid w:val="007263B4"/>
    <w:rsid w:val="007263B8"/>
    <w:rsid w:val="007263D3"/>
    <w:rsid w:val="007264F7"/>
    <w:rsid w:val="00726518"/>
    <w:rsid w:val="00726522"/>
    <w:rsid w:val="0072656B"/>
    <w:rsid w:val="0072663E"/>
    <w:rsid w:val="00726684"/>
    <w:rsid w:val="00726697"/>
    <w:rsid w:val="00726890"/>
    <w:rsid w:val="00726A1D"/>
    <w:rsid w:val="00726A27"/>
    <w:rsid w:val="00726A3F"/>
    <w:rsid w:val="00726A67"/>
    <w:rsid w:val="00726A6D"/>
    <w:rsid w:val="00726BB8"/>
    <w:rsid w:val="00726C06"/>
    <w:rsid w:val="00726C1D"/>
    <w:rsid w:val="00726C86"/>
    <w:rsid w:val="00726DE4"/>
    <w:rsid w:val="00726DF8"/>
    <w:rsid w:val="00726F06"/>
    <w:rsid w:val="00726FA9"/>
    <w:rsid w:val="00726FCF"/>
    <w:rsid w:val="007271AB"/>
    <w:rsid w:val="007272BF"/>
    <w:rsid w:val="007272C6"/>
    <w:rsid w:val="00727313"/>
    <w:rsid w:val="0072736E"/>
    <w:rsid w:val="007273AE"/>
    <w:rsid w:val="007273C5"/>
    <w:rsid w:val="00727422"/>
    <w:rsid w:val="00727452"/>
    <w:rsid w:val="00727630"/>
    <w:rsid w:val="0072769F"/>
    <w:rsid w:val="00727781"/>
    <w:rsid w:val="00727811"/>
    <w:rsid w:val="00727856"/>
    <w:rsid w:val="0072788B"/>
    <w:rsid w:val="0072797A"/>
    <w:rsid w:val="00727A63"/>
    <w:rsid w:val="00727B5E"/>
    <w:rsid w:val="00727BB6"/>
    <w:rsid w:val="00727CB6"/>
    <w:rsid w:val="00727CFC"/>
    <w:rsid w:val="00727D68"/>
    <w:rsid w:val="00727DEB"/>
    <w:rsid w:val="00727ECF"/>
    <w:rsid w:val="00727F60"/>
    <w:rsid w:val="00727FA6"/>
    <w:rsid w:val="00727FE2"/>
    <w:rsid w:val="0073005C"/>
    <w:rsid w:val="0073025E"/>
    <w:rsid w:val="0073032E"/>
    <w:rsid w:val="0073033D"/>
    <w:rsid w:val="0073041C"/>
    <w:rsid w:val="007304D9"/>
    <w:rsid w:val="00730501"/>
    <w:rsid w:val="0073057B"/>
    <w:rsid w:val="007305F1"/>
    <w:rsid w:val="00730680"/>
    <w:rsid w:val="0073068B"/>
    <w:rsid w:val="00730752"/>
    <w:rsid w:val="00730861"/>
    <w:rsid w:val="007308E6"/>
    <w:rsid w:val="00730926"/>
    <w:rsid w:val="0073098F"/>
    <w:rsid w:val="007309AC"/>
    <w:rsid w:val="007309C5"/>
    <w:rsid w:val="007309F8"/>
    <w:rsid w:val="00730A82"/>
    <w:rsid w:val="00730AA1"/>
    <w:rsid w:val="00730AD5"/>
    <w:rsid w:val="00730B18"/>
    <w:rsid w:val="00730B27"/>
    <w:rsid w:val="00730BD1"/>
    <w:rsid w:val="00730CD4"/>
    <w:rsid w:val="00730D37"/>
    <w:rsid w:val="00730D5E"/>
    <w:rsid w:val="00730DBA"/>
    <w:rsid w:val="00730E4E"/>
    <w:rsid w:val="00730EC3"/>
    <w:rsid w:val="00730F01"/>
    <w:rsid w:val="00730F4A"/>
    <w:rsid w:val="00730F89"/>
    <w:rsid w:val="00730F9B"/>
    <w:rsid w:val="00731045"/>
    <w:rsid w:val="0073105E"/>
    <w:rsid w:val="007310C2"/>
    <w:rsid w:val="007310E6"/>
    <w:rsid w:val="007310EB"/>
    <w:rsid w:val="007311DC"/>
    <w:rsid w:val="00731284"/>
    <w:rsid w:val="00731316"/>
    <w:rsid w:val="00731365"/>
    <w:rsid w:val="00731379"/>
    <w:rsid w:val="0073137C"/>
    <w:rsid w:val="007313B7"/>
    <w:rsid w:val="00731443"/>
    <w:rsid w:val="00731495"/>
    <w:rsid w:val="007314D6"/>
    <w:rsid w:val="0073164A"/>
    <w:rsid w:val="007316AF"/>
    <w:rsid w:val="00731782"/>
    <w:rsid w:val="00731C23"/>
    <w:rsid w:val="00731CC3"/>
    <w:rsid w:val="00731CED"/>
    <w:rsid w:val="00731D07"/>
    <w:rsid w:val="00731DE3"/>
    <w:rsid w:val="00731DF5"/>
    <w:rsid w:val="00731E33"/>
    <w:rsid w:val="00731E71"/>
    <w:rsid w:val="00731EBD"/>
    <w:rsid w:val="00731FD5"/>
    <w:rsid w:val="00731FFE"/>
    <w:rsid w:val="00732062"/>
    <w:rsid w:val="0073207A"/>
    <w:rsid w:val="00732086"/>
    <w:rsid w:val="00732331"/>
    <w:rsid w:val="00732384"/>
    <w:rsid w:val="00732432"/>
    <w:rsid w:val="00732434"/>
    <w:rsid w:val="00732509"/>
    <w:rsid w:val="0073263B"/>
    <w:rsid w:val="007326FA"/>
    <w:rsid w:val="0073273A"/>
    <w:rsid w:val="0073276A"/>
    <w:rsid w:val="00732833"/>
    <w:rsid w:val="00732867"/>
    <w:rsid w:val="00732941"/>
    <w:rsid w:val="00732970"/>
    <w:rsid w:val="00732A02"/>
    <w:rsid w:val="00732A15"/>
    <w:rsid w:val="00732A25"/>
    <w:rsid w:val="00732A7D"/>
    <w:rsid w:val="00732B3C"/>
    <w:rsid w:val="00732B50"/>
    <w:rsid w:val="00732C2A"/>
    <w:rsid w:val="00732CE8"/>
    <w:rsid w:val="00732E04"/>
    <w:rsid w:val="00732E3E"/>
    <w:rsid w:val="00732F39"/>
    <w:rsid w:val="00732F65"/>
    <w:rsid w:val="00732F85"/>
    <w:rsid w:val="00732FCB"/>
    <w:rsid w:val="0073303E"/>
    <w:rsid w:val="0073308F"/>
    <w:rsid w:val="007330AC"/>
    <w:rsid w:val="007332CC"/>
    <w:rsid w:val="007332D2"/>
    <w:rsid w:val="00733307"/>
    <w:rsid w:val="0073331B"/>
    <w:rsid w:val="007334E9"/>
    <w:rsid w:val="0073357F"/>
    <w:rsid w:val="0073369D"/>
    <w:rsid w:val="007336BA"/>
    <w:rsid w:val="007336D6"/>
    <w:rsid w:val="0073388F"/>
    <w:rsid w:val="00733919"/>
    <w:rsid w:val="00733939"/>
    <w:rsid w:val="00733B21"/>
    <w:rsid w:val="00733C69"/>
    <w:rsid w:val="00733D07"/>
    <w:rsid w:val="00733DF4"/>
    <w:rsid w:val="00733E3B"/>
    <w:rsid w:val="00733F1A"/>
    <w:rsid w:val="00733F67"/>
    <w:rsid w:val="00734039"/>
    <w:rsid w:val="007340A5"/>
    <w:rsid w:val="00734104"/>
    <w:rsid w:val="00734126"/>
    <w:rsid w:val="0073422D"/>
    <w:rsid w:val="0073424D"/>
    <w:rsid w:val="0073425C"/>
    <w:rsid w:val="00734265"/>
    <w:rsid w:val="0073427E"/>
    <w:rsid w:val="0073453F"/>
    <w:rsid w:val="0073454D"/>
    <w:rsid w:val="00734651"/>
    <w:rsid w:val="00734670"/>
    <w:rsid w:val="007347B9"/>
    <w:rsid w:val="00734872"/>
    <w:rsid w:val="0073490B"/>
    <w:rsid w:val="00734A38"/>
    <w:rsid w:val="00734B6A"/>
    <w:rsid w:val="00734B8B"/>
    <w:rsid w:val="00734C06"/>
    <w:rsid w:val="00734C26"/>
    <w:rsid w:val="00734C2F"/>
    <w:rsid w:val="00734C4A"/>
    <w:rsid w:val="00734CC5"/>
    <w:rsid w:val="00734D0F"/>
    <w:rsid w:val="00734DBA"/>
    <w:rsid w:val="00734E74"/>
    <w:rsid w:val="00734F06"/>
    <w:rsid w:val="00734F65"/>
    <w:rsid w:val="00735063"/>
    <w:rsid w:val="007350AB"/>
    <w:rsid w:val="0073517A"/>
    <w:rsid w:val="007352F3"/>
    <w:rsid w:val="00735369"/>
    <w:rsid w:val="007353F2"/>
    <w:rsid w:val="007354DA"/>
    <w:rsid w:val="00735783"/>
    <w:rsid w:val="00735792"/>
    <w:rsid w:val="0073579D"/>
    <w:rsid w:val="007357C0"/>
    <w:rsid w:val="007357CE"/>
    <w:rsid w:val="00735862"/>
    <w:rsid w:val="00735887"/>
    <w:rsid w:val="007358C5"/>
    <w:rsid w:val="007358CB"/>
    <w:rsid w:val="00735977"/>
    <w:rsid w:val="00735A95"/>
    <w:rsid w:val="00735B67"/>
    <w:rsid w:val="00735B85"/>
    <w:rsid w:val="00735B9B"/>
    <w:rsid w:val="00735C3F"/>
    <w:rsid w:val="00735C88"/>
    <w:rsid w:val="00735C97"/>
    <w:rsid w:val="00735D0D"/>
    <w:rsid w:val="00735D30"/>
    <w:rsid w:val="00735D32"/>
    <w:rsid w:val="00735D74"/>
    <w:rsid w:val="00735E65"/>
    <w:rsid w:val="00735F0F"/>
    <w:rsid w:val="00735F9F"/>
    <w:rsid w:val="00736100"/>
    <w:rsid w:val="0073636C"/>
    <w:rsid w:val="007363D8"/>
    <w:rsid w:val="00736466"/>
    <w:rsid w:val="0073651B"/>
    <w:rsid w:val="0073653C"/>
    <w:rsid w:val="00736607"/>
    <w:rsid w:val="0073662C"/>
    <w:rsid w:val="00736635"/>
    <w:rsid w:val="00736747"/>
    <w:rsid w:val="00736796"/>
    <w:rsid w:val="007367A9"/>
    <w:rsid w:val="007367BF"/>
    <w:rsid w:val="00736A5C"/>
    <w:rsid w:val="00736A99"/>
    <w:rsid w:val="00736B73"/>
    <w:rsid w:val="00736B96"/>
    <w:rsid w:val="00736C09"/>
    <w:rsid w:val="00736C0C"/>
    <w:rsid w:val="00736C9B"/>
    <w:rsid w:val="00736D84"/>
    <w:rsid w:val="00736D93"/>
    <w:rsid w:val="00736DC8"/>
    <w:rsid w:val="00736DEA"/>
    <w:rsid w:val="00736E8B"/>
    <w:rsid w:val="00736EA1"/>
    <w:rsid w:val="00736F1E"/>
    <w:rsid w:val="00736F24"/>
    <w:rsid w:val="007370CC"/>
    <w:rsid w:val="00737131"/>
    <w:rsid w:val="00737189"/>
    <w:rsid w:val="007371AB"/>
    <w:rsid w:val="0073724C"/>
    <w:rsid w:val="007372B7"/>
    <w:rsid w:val="00737346"/>
    <w:rsid w:val="00737353"/>
    <w:rsid w:val="00737483"/>
    <w:rsid w:val="00737488"/>
    <w:rsid w:val="0073751B"/>
    <w:rsid w:val="00737522"/>
    <w:rsid w:val="00737545"/>
    <w:rsid w:val="0073759E"/>
    <w:rsid w:val="007376AD"/>
    <w:rsid w:val="0073772E"/>
    <w:rsid w:val="00737777"/>
    <w:rsid w:val="00737A61"/>
    <w:rsid w:val="00737ACB"/>
    <w:rsid w:val="00737B7C"/>
    <w:rsid w:val="00737CBD"/>
    <w:rsid w:val="00737EF3"/>
    <w:rsid w:val="00737F6A"/>
    <w:rsid w:val="00740018"/>
    <w:rsid w:val="007401D3"/>
    <w:rsid w:val="0074023F"/>
    <w:rsid w:val="0074024D"/>
    <w:rsid w:val="00740265"/>
    <w:rsid w:val="007402BC"/>
    <w:rsid w:val="00740318"/>
    <w:rsid w:val="007403A9"/>
    <w:rsid w:val="00740421"/>
    <w:rsid w:val="00740475"/>
    <w:rsid w:val="007404A0"/>
    <w:rsid w:val="007404A2"/>
    <w:rsid w:val="007404AF"/>
    <w:rsid w:val="007404E9"/>
    <w:rsid w:val="00740514"/>
    <w:rsid w:val="007405B6"/>
    <w:rsid w:val="007405D1"/>
    <w:rsid w:val="0074072A"/>
    <w:rsid w:val="00740784"/>
    <w:rsid w:val="0074079F"/>
    <w:rsid w:val="00740803"/>
    <w:rsid w:val="00740810"/>
    <w:rsid w:val="00740998"/>
    <w:rsid w:val="00740A4C"/>
    <w:rsid w:val="00740A89"/>
    <w:rsid w:val="00740A90"/>
    <w:rsid w:val="00740AD0"/>
    <w:rsid w:val="00740BC2"/>
    <w:rsid w:val="00740C0B"/>
    <w:rsid w:val="00740CDD"/>
    <w:rsid w:val="00740D2D"/>
    <w:rsid w:val="00740D4A"/>
    <w:rsid w:val="00740D7C"/>
    <w:rsid w:val="00740DD8"/>
    <w:rsid w:val="00740EB1"/>
    <w:rsid w:val="00740F24"/>
    <w:rsid w:val="00740F93"/>
    <w:rsid w:val="00741012"/>
    <w:rsid w:val="0074113E"/>
    <w:rsid w:val="007411B2"/>
    <w:rsid w:val="007411E8"/>
    <w:rsid w:val="007412FC"/>
    <w:rsid w:val="00741464"/>
    <w:rsid w:val="0074151E"/>
    <w:rsid w:val="00741542"/>
    <w:rsid w:val="0074165C"/>
    <w:rsid w:val="007416A2"/>
    <w:rsid w:val="0074191A"/>
    <w:rsid w:val="0074197A"/>
    <w:rsid w:val="00741993"/>
    <w:rsid w:val="00741CD3"/>
    <w:rsid w:val="00741D82"/>
    <w:rsid w:val="00741F93"/>
    <w:rsid w:val="007420B2"/>
    <w:rsid w:val="0074213F"/>
    <w:rsid w:val="00742234"/>
    <w:rsid w:val="00742344"/>
    <w:rsid w:val="00742546"/>
    <w:rsid w:val="0074255B"/>
    <w:rsid w:val="00742566"/>
    <w:rsid w:val="00742574"/>
    <w:rsid w:val="007425F2"/>
    <w:rsid w:val="0074260E"/>
    <w:rsid w:val="00742632"/>
    <w:rsid w:val="007426EC"/>
    <w:rsid w:val="0074274E"/>
    <w:rsid w:val="00742784"/>
    <w:rsid w:val="007427B7"/>
    <w:rsid w:val="00742826"/>
    <w:rsid w:val="0074292A"/>
    <w:rsid w:val="00742934"/>
    <w:rsid w:val="007429DF"/>
    <w:rsid w:val="00742ABD"/>
    <w:rsid w:val="00742C0B"/>
    <w:rsid w:val="00742C3B"/>
    <w:rsid w:val="00742C51"/>
    <w:rsid w:val="00742C9A"/>
    <w:rsid w:val="00742D43"/>
    <w:rsid w:val="00742D7A"/>
    <w:rsid w:val="00742DB3"/>
    <w:rsid w:val="00742DFA"/>
    <w:rsid w:val="00742E7F"/>
    <w:rsid w:val="00742E83"/>
    <w:rsid w:val="00742EA1"/>
    <w:rsid w:val="0074302E"/>
    <w:rsid w:val="00743105"/>
    <w:rsid w:val="0074317D"/>
    <w:rsid w:val="007432E2"/>
    <w:rsid w:val="007432F2"/>
    <w:rsid w:val="007433A7"/>
    <w:rsid w:val="00743415"/>
    <w:rsid w:val="00743445"/>
    <w:rsid w:val="0074346D"/>
    <w:rsid w:val="007434E7"/>
    <w:rsid w:val="0074372E"/>
    <w:rsid w:val="007437A9"/>
    <w:rsid w:val="00743850"/>
    <w:rsid w:val="007438A6"/>
    <w:rsid w:val="007438AC"/>
    <w:rsid w:val="007438D6"/>
    <w:rsid w:val="00743ABC"/>
    <w:rsid w:val="00743C27"/>
    <w:rsid w:val="00743C71"/>
    <w:rsid w:val="00743C95"/>
    <w:rsid w:val="00743D61"/>
    <w:rsid w:val="00743D8A"/>
    <w:rsid w:val="00743E02"/>
    <w:rsid w:val="00743E5C"/>
    <w:rsid w:val="00743FB9"/>
    <w:rsid w:val="00743FCA"/>
    <w:rsid w:val="00744049"/>
    <w:rsid w:val="007440A9"/>
    <w:rsid w:val="007440C9"/>
    <w:rsid w:val="007440F1"/>
    <w:rsid w:val="00744101"/>
    <w:rsid w:val="0074414A"/>
    <w:rsid w:val="007441C2"/>
    <w:rsid w:val="0074442E"/>
    <w:rsid w:val="0074443F"/>
    <w:rsid w:val="00744478"/>
    <w:rsid w:val="007444F0"/>
    <w:rsid w:val="00744590"/>
    <w:rsid w:val="00744661"/>
    <w:rsid w:val="0074466D"/>
    <w:rsid w:val="00744711"/>
    <w:rsid w:val="00744722"/>
    <w:rsid w:val="00744733"/>
    <w:rsid w:val="00744794"/>
    <w:rsid w:val="00744923"/>
    <w:rsid w:val="00744A33"/>
    <w:rsid w:val="00744A36"/>
    <w:rsid w:val="00744B89"/>
    <w:rsid w:val="00744BB8"/>
    <w:rsid w:val="00744BE0"/>
    <w:rsid w:val="00744C18"/>
    <w:rsid w:val="00744C2E"/>
    <w:rsid w:val="00744CA3"/>
    <w:rsid w:val="00744D77"/>
    <w:rsid w:val="00744DD4"/>
    <w:rsid w:val="00744EA7"/>
    <w:rsid w:val="0074504F"/>
    <w:rsid w:val="00745050"/>
    <w:rsid w:val="00745176"/>
    <w:rsid w:val="00745250"/>
    <w:rsid w:val="007452E8"/>
    <w:rsid w:val="00745567"/>
    <w:rsid w:val="007455F1"/>
    <w:rsid w:val="00745628"/>
    <w:rsid w:val="0074571D"/>
    <w:rsid w:val="00745779"/>
    <w:rsid w:val="0074579C"/>
    <w:rsid w:val="007457F7"/>
    <w:rsid w:val="00745821"/>
    <w:rsid w:val="007459BB"/>
    <w:rsid w:val="007459CF"/>
    <w:rsid w:val="00745A18"/>
    <w:rsid w:val="00745A24"/>
    <w:rsid w:val="00745A81"/>
    <w:rsid w:val="00745B51"/>
    <w:rsid w:val="00745B5F"/>
    <w:rsid w:val="00745C1A"/>
    <w:rsid w:val="00745C3E"/>
    <w:rsid w:val="00745C87"/>
    <w:rsid w:val="00745CC2"/>
    <w:rsid w:val="00745CF5"/>
    <w:rsid w:val="00745D90"/>
    <w:rsid w:val="00745DFE"/>
    <w:rsid w:val="00745E04"/>
    <w:rsid w:val="00745E0F"/>
    <w:rsid w:val="00745E81"/>
    <w:rsid w:val="00745EA8"/>
    <w:rsid w:val="00745EC7"/>
    <w:rsid w:val="00745EC8"/>
    <w:rsid w:val="00745EF5"/>
    <w:rsid w:val="00745F2B"/>
    <w:rsid w:val="0074604A"/>
    <w:rsid w:val="00746050"/>
    <w:rsid w:val="007460A6"/>
    <w:rsid w:val="0074632A"/>
    <w:rsid w:val="0074635C"/>
    <w:rsid w:val="0074638F"/>
    <w:rsid w:val="007463BD"/>
    <w:rsid w:val="0074649F"/>
    <w:rsid w:val="007465DD"/>
    <w:rsid w:val="007466F4"/>
    <w:rsid w:val="00746770"/>
    <w:rsid w:val="00746774"/>
    <w:rsid w:val="00746783"/>
    <w:rsid w:val="0074678F"/>
    <w:rsid w:val="00746992"/>
    <w:rsid w:val="007469C1"/>
    <w:rsid w:val="00746AB3"/>
    <w:rsid w:val="00746B12"/>
    <w:rsid w:val="00746B78"/>
    <w:rsid w:val="00746BB4"/>
    <w:rsid w:val="00746BBE"/>
    <w:rsid w:val="00746BED"/>
    <w:rsid w:val="00746C04"/>
    <w:rsid w:val="00746C92"/>
    <w:rsid w:val="00746DBA"/>
    <w:rsid w:val="00746E3F"/>
    <w:rsid w:val="00746E6C"/>
    <w:rsid w:val="00746E71"/>
    <w:rsid w:val="00746F82"/>
    <w:rsid w:val="00747077"/>
    <w:rsid w:val="007470D2"/>
    <w:rsid w:val="00747107"/>
    <w:rsid w:val="0074730B"/>
    <w:rsid w:val="00747345"/>
    <w:rsid w:val="007473C4"/>
    <w:rsid w:val="007473EB"/>
    <w:rsid w:val="00747529"/>
    <w:rsid w:val="00747581"/>
    <w:rsid w:val="00747603"/>
    <w:rsid w:val="00747624"/>
    <w:rsid w:val="007476F7"/>
    <w:rsid w:val="00747948"/>
    <w:rsid w:val="00747983"/>
    <w:rsid w:val="007479B3"/>
    <w:rsid w:val="00747A02"/>
    <w:rsid w:val="00747CE4"/>
    <w:rsid w:val="00747D54"/>
    <w:rsid w:val="00747E2E"/>
    <w:rsid w:val="00747F5C"/>
    <w:rsid w:val="00750009"/>
    <w:rsid w:val="007500AD"/>
    <w:rsid w:val="00750134"/>
    <w:rsid w:val="00750141"/>
    <w:rsid w:val="00750255"/>
    <w:rsid w:val="007502E5"/>
    <w:rsid w:val="00750343"/>
    <w:rsid w:val="00750368"/>
    <w:rsid w:val="007503AE"/>
    <w:rsid w:val="00750459"/>
    <w:rsid w:val="00750598"/>
    <w:rsid w:val="00750994"/>
    <w:rsid w:val="007509CC"/>
    <w:rsid w:val="00750A87"/>
    <w:rsid w:val="00750AA2"/>
    <w:rsid w:val="00750AFC"/>
    <w:rsid w:val="00750B1E"/>
    <w:rsid w:val="00750BD9"/>
    <w:rsid w:val="00750BEC"/>
    <w:rsid w:val="00750C70"/>
    <w:rsid w:val="00750CAB"/>
    <w:rsid w:val="00750CF5"/>
    <w:rsid w:val="00750D93"/>
    <w:rsid w:val="00750E79"/>
    <w:rsid w:val="00750E9C"/>
    <w:rsid w:val="00750FD3"/>
    <w:rsid w:val="00750FF6"/>
    <w:rsid w:val="0075104A"/>
    <w:rsid w:val="007510C1"/>
    <w:rsid w:val="007510C7"/>
    <w:rsid w:val="007510C8"/>
    <w:rsid w:val="007510DE"/>
    <w:rsid w:val="0075110C"/>
    <w:rsid w:val="00751136"/>
    <w:rsid w:val="00751255"/>
    <w:rsid w:val="007512E4"/>
    <w:rsid w:val="007512E9"/>
    <w:rsid w:val="0075138F"/>
    <w:rsid w:val="007513E5"/>
    <w:rsid w:val="0075143E"/>
    <w:rsid w:val="00751440"/>
    <w:rsid w:val="00751467"/>
    <w:rsid w:val="007514E0"/>
    <w:rsid w:val="007514E1"/>
    <w:rsid w:val="007514F8"/>
    <w:rsid w:val="007515F2"/>
    <w:rsid w:val="0075175E"/>
    <w:rsid w:val="0075176F"/>
    <w:rsid w:val="007517B8"/>
    <w:rsid w:val="007517D8"/>
    <w:rsid w:val="00751809"/>
    <w:rsid w:val="007518DF"/>
    <w:rsid w:val="007519D6"/>
    <w:rsid w:val="007519FE"/>
    <w:rsid w:val="00751A98"/>
    <w:rsid w:val="00751AB9"/>
    <w:rsid w:val="00751BD1"/>
    <w:rsid w:val="00751CF5"/>
    <w:rsid w:val="00751CFC"/>
    <w:rsid w:val="00751D37"/>
    <w:rsid w:val="00751D9F"/>
    <w:rsid w:val="00751E91"/>
    <w:rsid w:val="00751EBF"/>
    <w:rsid w:val="00751FC6"/>
    <w:rsid w:val="00752080"/>
    <w:rsid w:val="007520BB"/>
    <w:rsid w:val="00752159"/>
    <w:rsid w:val="007521C5"/>
    <w:rsid w:val="007521CA"/>
    <w:rsid w:val="007521E0"/>
    <w:rsid w:val="0075221F"/>
    <w:rsid w:val="007522E1"/>
    <w:rsid w:val="0075234C"/>
    <w:rsid w:val="007523B0"/>
    <w:rsid w:val="007523CA"/>
    <w:rsid w:val="007523DA"/>
    <w:rsid w:val="007523EE"/>
    <w:rsid w:val="0075243F"/>
    <w:rsid w:val="00752441"/>
    <w:rsid w:val="007526B0"/>
    <w:rsid w:val="00752706"/>
    <w:rsid w:val="0075276F"/>
    <w:rsid w:val="00752798"/>
    <w:rsid w:val="007527FF"/>
    <w:rsid w:val="007528CC"/>
    <w:rsid w:val="00752936"/>
    <w:rsid w:val="00752A46"/>
    <w:rsid w:val="00752AB7"/>
    <w:rsid w:val="00752B15"/>
    <w:rsid w:val="00752B3D"/>
    <w:rsid w:val="00752B59"/>
    <w:rsid w:val="00752B86"/>
    <w:rsid w:val="00752BF0"/>
    <w:rsid w:val="00752C40"/>
    <w:rsid w:val="00752C62"/>
    <w:rsid w:val="00752C73"/>
    <w:rsid w:val="00752CB0"/>
    <w:rsid w:val="00752D6A"/>
    <w:rsid w:val="00752DCA"/>
    <w:rsid w:val="00752E1B"/>
    <w:rsid w:val="00752E97"/>
    <w:rsid w:val="00752FE1"/>
    <w:rsid w:val="007531B5"/>
    <w:rsid w:val="00753280"/>
    <w:rsid w:val="00753396"/>
    <w:rsid w:val="00753595"/>
    <w:rsid w:val="007536FD"/>
    <w:rsid w:val="00753793"/>
    <w:rsid w:val="0075380C"/>
    <w:rsid w:val="00753A32"/>
    <w:rsid w:val="00753A39"/>
    <w:rsid w:val="00753AF7"/>
    <w:rsid w:val="00753B8D"/>
    <w:rsid w:val="00753C10"/>
    <w:rsid w:val="00753C6D"/>
    <w:rsid w:val="00753C76"/>
    <w:rsid w:val="00753C98"/>
    <w:rsid w:val="00753D41"/>
    <w:rsid w:val="00753D4E"/>
    <w:rsid w:val="00753EFA"/>
    <w:rsid w:val="00753F4D"/>
    <w:rsid w:val="00753FB5"/>
    <w:rsid w:val="00754048"/>
    <w:rsid w:val="00754079"/>
    <w:rsid w:val="007540B7"/>
    <w:rsid w:val="00754133"/>
    <w:rsid w:val="00754149"/>
    <w:rsid w:val="00754248"/>
    <w:rsid w:val="007542BD"/>
    <w:rsid w:val="007542EC"/>
    <w:rsid w:val="00754327"/>
    <w:rsid w:val="007543F4"/>
    <w:rsid w:val="00754468"/>
    <w:rsid w:val="0075446F"/>
    <w:rsid w:val="007545A8"/>
    <w:rsid w:val="00754660"/>
    <w:rsid w:val="0075470B"/>
    <w:rsid w:val="00754789"/>
    <w:rsid w:val="007547DB"/>
    <w:rsid w:val="00754828"/>
    <w:rsid w:val="0075484B"/>
    <w:rsid w:val="0075489E"/>
    <w:rsid w:val="007548AD"/>
    <w:rsid w:val="00754926"/>
    <w:rsid w:val="00754927"/>
    <w:rsid w:val="00754934"/>
    <w:rsid w:val="007549AE"/>
    <w:rsid w:val="00754A25"/>
    <w:rsid w:val="00754AD5"/>
    <w:rsid w:val="00754AFB"/>
    <w:rsid w:val="00754B52"/>
    <w:rsid w:val="00754BAF"/>
    <w:rsid w:val="00754BBE"/>
    <w:rsid w:val="00754BDC"/>
    <w:rsid w:val="00754BE3"/>
    <w:rsid w:val="00754C38"/>
    <w:rsid w:val="00754C3F"/>
    <w:rsid w:val="00754EC0"/>
    <w:rsid w:val="00754F44"/>
    <w:rsid w:val="00754F5B"/>
    <w:rsid w:val="0075505E"/>
    <w:rsid w:val="0075511B"/>
    <w:rsid w:val="00755188"/>
    <w:rsid w:val="007551F1"/>
    <w:rsid w:val="007553AA"/>
    <w:rsid w:val="007553C5"/>
    <w:rsid w:val="0075542C"/>
    <w:rsid w:val="00755457"/>
    <w:rsid w:val="0075550C"/>
    <w:rsid w:val="00755514"/>
    <w:rsid w:val="007555E7"/>
    <w:rsid w:val="007555EF"/>
    <w:rsid w:val="00755634"/>
    <w:rsid w:val="007556A8"/>
    <w:rsid w:val="007556D7"/>
    <w:rsid w:val="007556D8"/>
    <w:rsid w:val="007556E3"/>
    <w:rsid w:val="0075585F"/>
    <w:rsid w:val="0075588F"/>
    <w:rsid w:val="007558E7"/>
    <w:rsid w:val="00755946"/>
    <w:rsid w:val="007559F4"/>
    <w:rsid w:val="00755A1C"/>
    <w:rsid w:val="00755B5C"/>
    <w:rsid w:val="00755BE1"/>
    <w:rsid w:val="00755BE7"/>
    <w:rsid w:val="00755CCA"/>
    <w:rsid w:val="00755CDF"/>
    <w:rsid w:val="00755CF3"/>
    <w:rsid w:val="00755CF9"/>
    <w:rsid w:val="00755D2E"/>
    <w:rsid w:val="00755D65"/>
    <w:rsid w:val="00755D75"/>
    <w:rsid w:val="00755E28"/>
    <w:rsid w:val="00755E59"/>
    <w:rsid w:val="00755E7A"/>
    <w:rsid w:val="00755F57"/>
    <w:rsid w:val="00755FAF"/>
    <w:rsid w:val="00755FC7"/>
    <w:rsid w:val="007560CC"/>
    <w:rsid w:val="007560E2"/>
    <w:rsid w:val="007561F3"/>
    <w:rsid w:val="0075623E"/>
    <w:rsid w:val="0075629C"/>
    <w:rsid w:val="00756368"/>
    <w:rsid w:val="00756386"/>
    <w:rsid w:val="007564FD"/>
    <w:rsid w:val="0075658F"/>
    <w:rsid w:val="0075662F"/>
    <w:rsid w:val="0075663D"/>
    <w:rsid w:val="00756679"/>
    <w:rsid w:val="0075675A"/>
    <w:rsid w:val="00756A08"/>
    <w:rsid w:val="00756B29"/>
    <w:rsid w:val="00756B94"/>
    <w:rsid w:val="00756BD9"/>
    <w:rsid w:val="00756C92"/>
    <w:rsid w:val="00756DF2"/>
    <w:rsid w:val="00756DFB"/>
    <w:rsid w:val="00756E70"/>
    <w:rsid w:val="00756F11"/>
    <w:rsid w:val="00756F84"/>
    <w:rsid w:val="00756F87"/>
    <w:rsid w:val="00756FAE"/>
    <w:rsid w:val="007570D1"/>
    <w:rsid w:val="007570E9"/>
    <w:rsid w:val="007571F1"/>
    <w:rsid w:val="0075720F"/>
    <w:rsid w:val="00757341"/>
    <w:rsid w:val="0075737E"/>
    <w:rsid w:val="0075739B"/>
    <w:rsid w:val="007573CE"/>
    <w:rsid w:val="00757499"/>
    <w:rsid w:val="007575E8"/>
    <w:rsid w:val="007575E9"/>
    <w:rsid w:val="0075762A"/>
    <w:rsid w:val="00757638"/>
    <w:rsid w:val="007576E5"/>
    <w:rsid w:val="0075772B"/>
    <w:rsid w:val="00757773"/>
    <w:rsid w:val="00757882"/>
    <w:rsid w:val="00757894"/>
    <w:rsid w:val="00757963"/>
    <w:rsid w:val="00757999"/>
    <w:rsid w:val="007579F6"/>
    <w:rsid w:val="00757A0D"/>
    <w:rsid w:val="00757A35"/>
    <w:rsid w:val="00757AD7"/>
    <w:rsid w:val="00757ADC"/>
    <w:rsid w:val="00757AED"/>
    <w:rsid w:val="00757B36"/>
    <w:rsid w:val="00757BB3"/>
    <w:rsid w:val="00757C3D"/>
    <w:rsid w:val="00757CD8"/>
    <w:rsid w:val="00757DBB"/>
    <w:rsid w:val="00757DF1"/>
    <w:rsid w:val="00757F53"/>
    <w:rsid w:val="00757F8F"/>
    <w:rsid w:val="00757FA2"/>
    <w:rsid w:val="00760015"/>
    <w:rsid w:val="007600BD"/>
    <w:rsid w:val="007600C6"/>
    <w:rsid w:val="0076021C"/>
    <w:rsid w:val="0076021F"/>
    <w:rsid w:val="00760245"/>
    <w:rsid w:val="007602B3"/>
    <w:rsid w:val="00760426"/>
    <w:rsid w:val="00760430"/>
    <w:rsid w:val="007604B2"/>
    <w:rsid w:val="00760520"/>
    <w:rsid w:val="0076056E"/>
    <w:rsid w:val="007605A8"/>
    <w:rsid w:val="00760677"/>
    <w:rsid w:val="007606D1"/>
    <w:rsid w:val="00760748"/>
    <w:rsid w:val="007607B5"/>
    <w:rsid w:val="00760822"/>
    <w:rsid w:val="00760879"/>
    <w:rsid w:val="007609AA"/>
    <w:rsid w:val="007609FB"/>
    <w:rsid w:val="00760A8F"/>
    <w:rsid w:val="00760C96"/>
    <w:rsid w:val="00760CCB"/>
    <w:rsid w:val="00760CCC"/>
    <w:rsid w:val="00760DA4"/>
    <w:rsid w:val="00760DFE"/>
    <w:rsid w:val="00760E49"/>
    <w:rsid w:val="00760E69"/>
    <w:rsid w:val="00760EDF"/>
    <w:rsid w:val="00760F9D"/>
    <w:rsid w:val="0076105A"/>
    <w:rsid w:val="007610BA"/>
    <w:rsid w:val="00761157"/>
    <w:rsid w:val="007611AA"/>
    <w:rsid w:val="007612BB"/>
    <w:rsid w:val="0076137E"/>
    <w:rsid w:val="0076139A"/>
    <w:rsid w:val="00761436"/>
    <w:rsid w:val="0076149F"/>
    <w:rsid w:val="0076165B"/>
    <w:rsid w:val="007616D9"/>
    <w:rsid w:val="00761703"/>
    <w:rsid w:val="00761852"/>
    <w:rsid w:val="00761A7F"/>
    <w:rsid w:val="00761B6C"/>
    <w:rsid w:val="00761B7E"/>
    <w:rsid w:val="00761B86"/>
    <w:rsid w:val="00761BCD"/>
    <w:rsid w:val="00761DB4"/>
    <w:rsid w:val="00761DD2"/>
    <w:rsid w:val="00761DEB"/>
    <w:rsid w:val="00761E0C"/>
    <w:rsid w:val="00761E45"/>
    <w:rsid w:val="00761F48"/>
    <w:rsid w:val="00762025"/>
    <w:rsid w:val="0076204B"/>
    <w:rsid w:val="00762085"/>
    <w:rsid w:val="007620F9"/>
    <w:rsid w:val="007621BD"/>
    <w:rsid w:val="00762333"/>
    <w:rsid w:val="007623C0"/>
    <w:rsid w:val="0076243D"/>
    <w:rsid w:val="007624D3"/>
    <w:rsid w:val="007624F1"/>
    <w:rsid w:val="0076258E"/>
    <w:rsid w:val="00762600"/>
    <w:rsid w:val="00762728"/>
    <w:rsid w:val="00762743"/>
    <w:rsid w:val="00762819"/>
    <w:rsid w:val="007628A9"/>
    <w:rsid w:val="00762A3F"/>
    <w:rsid w:val="00762ADF"/>
    <w:rsid w:val="00762C14"/>
    <w:rsid w:val="00762C76"/>
    <w:rsid w:val="00762C85"/>
    <w:rsid w:val="00762CAA"/>
    <w:rsid w:val="00762CB1"/>
    <w:rsid w:val="00762D06"/>
    <w:rsid w:val="00762EAF"/>
    <w:rsid w:val="00762EC9"/>
    <w:rsid w:val="00762F42"/>
    <w:rsid w:val="00762F57"/>
    <w:rsid w:val="00762F65"/>
    <w:rsid w:val="00762F9F"/>
    <w:rsid w:val="00762FCC"/>
    <w:rsid w:val="00762FDB"/>
    <w:rsid w:val="0076303A"/>
    <w:rsid w:val="00763081"/>
    <w:rsid w:val="007630BA"/>
    <w:rsid w:val="0076312B"/>
    <w:rsid w:val="0076314C"/>
    <w:rsid w:val="00763211"/>
    <w:rsid w:val="00763239"/>
    <w:rsid w:val="0076336E"/>
    <w:rsid w:val="00763390"/>
    <w:rsid w:val="0076347C"/>
    <w:rsid w:val="00763675"/>
    <w:rsid w:val="007636B4"/>
    <w:rsid w:val="00763753"/>
    <w:rsid w:val="0076383C"/>
    <w:rsid w:val="007638A1"/>
    <w:rsid w:val="007638FF"/>
    <w:rsid w:val="007639AE"/>
    <w:rsid w:val="00763A4E"/>
    <w:rsid w:val="00763AED"/>
    <w:rsid w:val="00763CA0"/>
    <w:rsid w:val="00763CE3"/>
    <w:rsid w:val="00763D01"/>
    <w:rsid w:val="00763F36"/>
    <w:rsid w:val="007640BF"/>
    <w:rsid w:val="007640CB"/>
    <w:rsid w:val="00764147"/>
    <w:rsid w:val="007642A2"/>
    <w:rsid w:val="007642FB"/>
    <w:rsid w:val="00764367"/>
    <w:rsid w:val="00764376"/>
    <w:rsid w:val="007643D2"/>
    <w:rsid w:val="0076474F"/>
    <w:rsid w:val="007647ED"/>
    <w:rsid w:val="007647F1"/>
    <w:rsid w:val="00764847"/>
    <w:rsid w:val="0076486F"/>
    <w:rsid w:val="0076488E"/>
    <w:rsid w:val="00764970"/>
    <w:rsid w:val="007649B0"/>
    <w:rsid w:val="007649B7"/>
    <w:rsid w:val="00764AC3"/>
    <w:rsid w:val="00764B0B"/>
    <w:rsid w:val="00764B7C"/>
    <w:rsid w:val="00764BEC"/>
    <w:rsid w:val="00764C01"/>
    <w:rsid w:val="00764C08"/>
    <w:rsid w:val="00764C23"/>
    <w:rsid w:val="00764C6B"/>
    <w:rsid w:val="00764CA2"/>
    <w:rsid w:val="00764E5B"/>
    <w:rsid w:val="00764E6F"/>
    <w:rsid w:val="00764E86"/>
    <w:rsid w:val="00764EE3"/>
    <w:rsid w:val="00764F68"/>
    <w:rsid w:val="00764F8D"/>
    <w:rsid w:val="0076507D"/>
    <w:rsid w:val="007650A7"/>
    <w:rsid w:val="007650F2"/>
    <w:rsid w:val="0076519E"/>
    <w:rsid w:val="007651E2"/>
    <w:rsid w:val="00765289"/>
    <w:rsid w:val="0076529D"/>
    <w:rsid w:val="007652DC"/>
    <w:rsid w:val="00765331"/>
    <w:rsid w:val="0076534E"/>
    <w:rsid w:val="00765403"/>
    <w:rsid w:val="00765517"/>
    <w:rsid w:val="00765595"/>
    <w:rsid w:val="00765649"/>
    <w:rsid w:val="007656D5"/>
    <w:rsid w:val="00765772"/>
    <w:rsid w:val="00765875"/>
    <w:rsid w:val="00765919"/>
    <w:rsid w:val="0076599A"/>
    <w:rsid w:val="007659B8"/>
    <w:rsid w:val="007659C8"/>
    <w:rsid w:val="007659DD"/>
    <w:rsid w:val="007659F6"/>
    <w:rsid w:val="00765ABC"/>
    <w:rsid w:val="00765AC6"/>
    <w:rsid w:val="00765AFA"/>
    <w:rsid w:val="00765BFE"/>
    <w:rsid w:val="00765C00"/>
    <w:rsid w:val="00765D1F"/>
    <w:rsid w:val="00765EE5"/>
    <w:rsid w:val="00765FEF"/>
    <w:rsid w:val="0076604E"/>
    <w:rsid w:val="007660B2"/>
    <w:rsid w:val="00766295"/>
    <w:rsid w:val="007662FD"/>
    <w:rsid w:val="00766300"/>
    <w:rsid w:val="00766425"/>
    <w:rsid w:val="007664E9"/>
    <w:rsid w:val="007666AA"/>
    <w:rsid w:val="007666BD"/>
    <w:rsid w:val="00766711"/>
    <w:rsid w:val="00766733"/>
    <w:rsid w:val="007667F1"/>
    <w:rsid w:val="00766816"/>
    <w:rsid w:val="00766887"/>
    <w:rsid w:val="007668CD"/>
    <w:rsid w:val="007668D3"/>
    <w:rsid w:val="00766940"/>
    <w:rsid w:val="00766A0C"/>
    <w:rsid w:val="00766A5A"/>
    <w:rsid w:val="00766A73"/>
    <w:rsid w:val="00766B91"/>
    <w:rsid w:val="00766BC0"/>
    <w:rsid w:val="00766C47"/>
    <w:rsid w:val="00766D3F"/>
    <w:rsid w:val="00766F07"/>
    <w:rsid w:val="00766F22"/>
    <w:rsid w:val="00766FC1"/>
    <w:rsid w:val="00767085"/>
    <w:rsid w:val="0076708E"/>
    <w:rsid w:val="007672FC"/>
    <w:rsid w:val="0076731A"/>
    <w:rsid w:val="0076736C"/>
    <w:rsid w:val="00767370"/>
    <w:rsid w:val="00767383"/>
    <w:rsid w:val="0076756E"/>
    <w:rsid w:val="0076759D"/>
    <w:rsid w:val="007675B3"/>
    <w:rsid w:val="007676CD"/>
    <w:rsid w:val="00767856"/>
    <w:rsid w:val="007678CE"/>
    <w:rsid w:val="007678DD"/>
    <w:rsid w:val="007679E6"/>
    <w:rsid w:val="00767A6B"/>
    <w:rsid w:val="00767AAC"/>
    <w:rsid w:val="00767AE3"/>
    <w:rsid w:val="00767B7F"/>
    <w:rsid w:val="00767C51"/>
    <w:rsid w:val="00767C57"/>
    <w:rsid w:val="00767D0A"/>
    <w:rsid w:val="00767F09"/>
    <w:rsid w:val="00767F83"/>
    <w:rsid w:val="00767FC7"/>
    <w:rsid w:val="0077000C"/>
    <w:rsid w:val="00770026"/>
    <w:rsid w:val="00770053"/>
    <w:rsid w:val="00770178"/>
    <w:rsid w:val="007701B5"/>
    <w:rsid w:val="007701C7"/>
    <w:rsid w:val="00770253"/>
    <w:rsid w:val="0077039A"/>
    <w:rsid w:val="0077041D"/>
    <w:rsid w:val="007705CF"/>
    <w:rsid w:val="00770666"/>
    <w:rsid w:val="007707A9"/>
    <w:rsid w:val="00770960"/>
    <w:rsid w:val="00770985"/>
    <w:rsid w:val="0077099A"/>
    <w:rsid w:val="007709FB"/>
    <w:rsid w:val="00770AD9"/>
    <w:rsid w:val="00770AFE"/>
    <w:rsid w:val="00770B77"/>
    <w:rsid w:val="00770B99"/>
    <w:rsid w:val="00770BE9"/>
    <w:rsid w:val="00770BF3"/>
    <w:rsid w:val="00770BF5"/>
    <w:rsid w:val="00770C28"/>
    <w:rsid w:val="00770C3A"/>
    <w:rsid w:val="00770D58"/>
    <w:rsid w:val="00770DD6"/>
    <w:rsid w:val="00770E2F"/>
    <w:rsid w:val="00770E5A"/>
    <w:rsid w:val="00770F32"/>
    <w:rsid w:val="00770F5D"/>
    <w:rsid w:val="0077125E"/>
    <w:rsid w:val="007712C5"/>
    <w:rsid w:val="007712D7"/>
    <w:rsid w:val="00771413"/>
    <w:rsid w:val="007714E4"/>
    <w:rsid w:val="00771515"/>
    <w:rsid w:val="00771531"/>
    <w:rsid w:val="007716EC"/>
    <w:rsid w:val="00771743"/>
    <w:rsid w:val="007717D8"/>
    <w:rsid w:val="007717FA"/>
    <w:rsid w:val="007718A9"/>
    <w:rsid w:val="007718AF"/>
    <w:rsid w:val="007718D7"/>
    <w:rsid w:val="00771994"/>
    <w:rsid w:val="00771A8B"/>
    <w:rsid w:val="00771ADC"/>
    <w:rsid w:val="00771AE1"/>
    <w:rsid w:val="00771B1D"/>
    <w:rsid w:val="00771B3C"/>
    <w:rsid w:val="00771BDD"/>
    <w:rsid w:val="00771CB8"/>
    <w:rsid w:val="00771D51"/>
    <w:rsid w:val="00771DE0"/>
    <w:rsid w:val="00771DE7"/>
    <w:rsid w:val="00771F45"/>
    <w:rsid w:val="00771F5F"/>
    <w:rsid w:val="00771F70"/>
    <w:rsid w:val="00771F89"/>
    <w:rsid w:val="00771FA1"/>
    <w:rsid w:val="007720D2"/>
    <w:rsid w:val="007720EC"/>
    <w:rsid w:val="00772166"/>
    <w:rsid w:val="00772187"/>
    <w:rsid w:val="007722A2"/>
    <w:rsid w:val="007722CC"/>
    <w:rsid w:val="007722F9"/>
    <w:rsid w:val="007723D3"/>
    <w:rsid w:val="00772471"/>
    <w:rsid w:val="0077254E"/>
    <w:rsid w:val="00772853"/>
    <w:rsid w:val="0077285D"/>
    <w:rsid w:val="007728A8"/>
    <w:rsid w:val="0077298B"/>
    <w:rsid w:val="007729FD"/>
    <w:rsid w:val="00772A1B"/>
    <w:rsid w:val="00772A3A"/>
    <w:rsid w:val="00772A74"/>
    <w:rsid w:val="00772ABD"/>
    <w:rsid w:val="00772ACB"/>
    <w:rsid w:val="00772C93"/>
    <w:rsid w:val="00772DE7"/>
    <w:rsid w:val="00772ECF"/>
    <w:rsid w:val="00772F02"/>
    <w:rsid w:val="00773048"/>
    <w:rsid w:val="00773052"/>
    <w:rsid w:val="00773099"/>
    <w:rsid w:val="007730A4"/>
    <w:rsid w:val="00773122"/>
    <w:rsid w:val="00773185"/>
    <w:rsid w:val="00773226"/>
    <w:rsid w:val="0077326B"/>
    <w:rsid w:val="007733BE"/>
    <w:rsid w:val="007733E5"/>
    <w:rsid w:val="00773409"/>
    <w:rsid w:val="00773473"/>
    <w:rsid w:val="007734BF"/>
    <w:rsid w:val="007734C7"/>
    <w:rsid w:val="0077351A"/>
    <w:rsid w:val="0077357F"/>
    <w:rsid w:val="00773697"/>
    <w:rsid w:val="00773736"/>
    <w:rsid w:val="0077388C"/>
    <w:rsid w:val="007738A7"/>
    <w:rsid w:val="00773971"/>
    <w:rsid w:val="007739B2"/>
    <w:rsid w:val="00773A22"/>
    <w:rsid w:val="00773A8E"/>
    <w:rsid w:val="00773BB2"/>
    <w:rsid w:val="00773BC5"/>
    <w:rsid w:val="00773BDB"/>
    <w:rsid w:val="00773C69"/>
    <w:rsid w:val="00773CB2"/>
    <w:rsid w:val="00773E1C"/>
    <w:rsid w:val="00773E6E"/>
    <w:rsid w:val="00774021"/>
    <w:rsid w:val="007740FA"/>
    <w:rsid w:val="00774206"/>
    <w:rsid w:val="00774287"/>
    <w:rsid w:val="0077428C"/>
    <w:rsid w:val="00774300"/>
    <w:rsid w:val="00774304"/>
    <w:rsid w:val="0077430B"/>
    <w:rsid w:val="00774322"/>
    <w:rsid w:val="0077441A"/>
    <w:rsid w:val="007744D7"/>
    <w:rsid w:val="0077451E"/>
    <w:rsid w:val="0077452B"/>
    <w:rsid w:val="007746B7"/>
    <w:rsid w:val="00774872"/>
    <w:rsid w:val="0077488A"/>
    <w:rsid w:val="007748C3"/>
    <w:rsid w:val="007748ED"/>
    <w:rsid w:val="00774991"/>
    <w:rsid w:val="00774AE4"/>
    <w:rsid w:val="00774B13"/>
    <w:rsid w:val="00774BEE"/>
    <w:rsid w:val="00774C2C"/>
    <w:rsid w:val="00774D01"/>
    <w:rsid w:val="00774D04"/>
    <w:rsid w:val="00774EDE"/>
    <w:rsid w:val="00774F0C"/>
    <w:rsid w:val="0077508C"/>
    <w:rsid w:val="0077509D"/>
    <w:rsid w:val="0077510F"/>
    <w:rsid w:val="0077512D"/>
    <w:rsid w:val="0077516A"/>
    <w:rsid w:val="007751A5"/>
    <w:rsid w:val="00775327"/>
    <w:rsid w:val="007753C0"/>
    <w:rsid w:val="00775486"/>
    <w:rsid w:val="0077551F"/>
    <w:rsid w:val="0077554C"/>
    <w:rsid w:val="00775607"/>
    <w:rsid w:val="00775633"/>
    <w:rsid w:val="00775675"/>
    <w:rsid w:val="007756FE"/>
    <w:rsid w:val="0077577C"/>
    <w:rsid w:val="00775783"/>
    <w:rsid w:val="0077579E"/>
    <w:rsid w:val="007757CE"/>
    <w:rsid w:val="007758A3"/>
    <w:rsid w:val="00775919"/>
    <w:rsid w:val="00775974"/>
    <w:rsid w:val="00775A0C"/>
    <w:rsid w:val="00775B0A"/>
    <w:rsid w:val="00775BAA"/>
    <w:rsid w:val="00775C32"/>
    <w:rsid w:val="00775C62"/>
    <w:rsid w:val="00775F5A"/>
    <w:rsid w:val="00775FCE"/>
    <w:rsid w:val="0077607F"/>
    <w:rsid w:val="007760E8"/>
    <w:rsid w:val="0077611A"/>
    <w:rsid w:val="0077639F"/>
    <w:rsid w:val="00776500"/>
    <w:rsid w:val="00776513"/>
    <w:rsid w:val="007765D9"/>
    <w:rsid w:val="007765F5"/>
    <w:rsid w:val="00776654"/>
    <w:rsid w:val="00776684"/>
    <w:rsid w:val="00776698"/>
    <w:rsid w:val="00776742"/>
    <w:rsid w:val="00776753"/>
    <w:rsid w:val="00776762"/>
    <w:rsid w:val="007767DD"/>
    <w:rsid w:val="007768CF"/>
    <w:rsid w:val="0077690B"/>
    <w:rsid w:val="00776954"/>
    <w:rsid w:val="00776980"/>
    <w:rsid w:val="00776A74"/>
    <w:rsid w:val="00776B17"/>
    <w:rsid w:val="00776F20"/>
    <w:rsid w:val="00776FA7"/>
    <w:rsid w:val="0077704D"/>
    <w:rsid w:val="007770BA"/>
    <w:rsid w:val="007770F2"/>
    <w:rsid w:val="007770FF"/>
    <w:rsid w:val="00777144"/>
    <w:rsid w:val="00777157"/>
    <w:rsid w:val="007771C7"/>
    <w:rsid w:val="0077729A"/>
    <w:rsid w:val="0077729B"/>
    <w:rsid w:val="00777353"/>
    <w:rsid w:val="00777427"/>
    <w:rsid w:val="007774E3"/>
    <w:rsid w:val="007774E4"/>
    <w:rsid w:val="0077753A"/>
    <w:rsid w:val="0077754C"/>
    <w:rsid w:val="0077778A"/>
    <w:rsid w:val="00777803"/>
    <w:rsid w:val="00777841"/>
    <w:rsid w:val="007779B3"/>
    <w:rsid w:val="00777B49"/>
    <w:rsid w:val="00777DA4"/>
    <w:rsid w:val="00777DD4"/>
    <w:rsid w:val="00777E08"/>
    <w:rsid w:val="00777E2E"/>
    <w:rsid w:val="00777EAF"/>
    <w:rsid w:val="00777F22"/>
    <w:rsid w:val="0078001D"/>
    <w:rsid w:val="0078007E"/>
    <w:rsid w:val="007800A4"/>
    <w:rsid w:val="007800C1"/>
    <w:rsid w:val="00780153"/>
    <w:rsid w:val="007801CF"/>
    <w:rsid w:val="0078026C"/>
    <w:rsid w:val="0078030C"/>
    <w:rsid w:val="007803F0"/>
    <w:rsid w:val="00780438"/>
    <w:rsid w:val="007804E9"/>
    <w:rsid w:val="007805F4"/>
    <w:rsid w:val="007807B4"/>
    <w:rsid w:val="00780844"/>
    <w:rsid w:val="00780896"/>
    <w:rsid w:val="0078091A"/>
    <w:rsid w:val="00780947"/>
    <w:rsid w:val="00780973"/>
    <w:rsid w:val="007809A6"/>
    <w:rsid w:val="007809BA"/>
    <w:rsid w:val="00780A1E"/>
    <w:rsid w:val="00780A75"/>
    <w:rsid w:val="00780ACF"/>
    <w:rsid w:val="00780B0F"/>
    <w:rsid w:val="00780B1B"/>
    <w:rsid w:val="00780BE4"/>
    <w:rsid w:val="00780C3A"/>
    <w:rsid w:val="00780C77"/>
    <w:rsid w:val="00780D7F"/>
    <w:rsid w:val="00780DBE"/>
    <w:rsid w:val="00780E1C"/>
    <w:rsid w:val="00780E8C"/>
    <w:rsid w:val="00780E91"/>
    <w:rsid w:val="00780E9D"/>
    <w:rsid w:val="00780EF3"/>
    <w:rsid w:val="00780F91"/>
    <w:rsid w:val="00781008"/>
    <w:rsid w:val="0078101E"/>
    <w:rsid w:val="0078102C"/>
    <w:rsid w:val="00781030"/>
    <w:rsid w:val="00781070"/>
    <w:rsid w:val="00781169"/>
    <w:rsid w:val="0078118E"/>
    <w:rsid w:val="007811C9"/>
    <w:rsid w:val="0078120E"/>
    <w:rsid w:val="0078121B"/>
    <w:rsid w:val="00781261"/>
    <w:rsid w:val="007812CB"/>
    <w:rsid w:val="00781429"/>
    <w:rsid w:val="00781483"/>
    <w:rsid w:val="007814AA"/>
    <w:rsid w:val="00781563"/>
    <w:rsid w:val="00781591"/>
    <w:rsid w:val="007816EA"/>
    <w:rsid w:val="007816F2"/>
    <w:rsid w:val="00781760"/>
    <w:rsid w:val="007817CD"/>
    <w:rsid w:val="00781860"/>
    <w:rsid w:val="00781910"/>
    <w:rsid w:val="00781946"/>
    <w:rsid w:val="00781969"/>
    <w:rsid w:val="00781984"/>
    <w:rsid w:val="00781985"/>
    <w:rsid w:val="00781991"/>
    <w:rsid w:val="00781A8F"/>
    <w:rsid w:val="00781B3F"/>
    <w:rsid w:val="00781CB0"/>
    <w:rsid w:val="00781E33"/>
    <w:rsid w:val="00781E48"/>
    <w:rsid w:val="00781F8B"/>
    <w:rsid w:val="00782007"/>
    <w:rsid w:val="0078212D"/>
    <w:rsid w:val="00782247"/>
    <w:rsid w:val="00782367"/>
    <w:rsid w:val="007824B8"/>
    <w:rsid w:val="00782558"/>
    <w:rsid w:val="0078273C"/>
    <w:rsid w:val="0078277D"/>
    <w:rsid w:val="00782851"/>
    <w:rsid w:val="007829C9"/>
    <w:rsid w:val="00782A33"/>
    <w:rsid w:val="00782A35"/>
    <w:rsid w:val="00782B5A"/>
    <w:rsid w:val="00782B9F"/>
    <w:rsid w:val="00782D52"/>
    <w:rsid w:val="00782D56"/>
    <w:rsid w:val="00782EE3"/>
    <w:rsid w:val="00782FEE"/>
    <w:rsid w:val="00783048"/>
    <w:rsid w:val="007830AA"/>
    <w:rsid w:val="007830CC"/>
    <w:rsid w:val="00783148"/>
    <w:rsid w:val="00783218"/>
    <w:rsid w:val="007832CF"/>
    <w:rsid w:val="00783382"/>
    <w:rsid w:val="00783385"/>
    <w:rsid w:val="0078346C"/>
    <w:rsid w:val="00783585"/>
    <w:rsid w:val="00783619"/>
    <w:rsid w:val="007836C9"/>
    <w:rsid w:val="00783710"/>
    <w:rsid w:val="0078373E"/>
    <w:rsid w:val="007837F9"/>
    <w:rsid w:val="007838FE"/>
    <w:rsid w:val="007839B7"/>
    <w:rsid w:val="00783AAC"/>
    <w:rsid w:val="00783B12"/>
    <w:rsid w:val="00783B17"/>
    <w:rsid w:val="00783B50"/>
    <w:rsid w:val="00783CC6"/>
    <w:rsid w:val="00783CFE"/>
    <w:rsid w:val="00783D19"/>
    <w:rsid w:val="00783D23"/>
    <w:rsid w:val="00783D80"/>
    <w:rsid w:val="00783EB5"/>
    <w:rsid w:val="0078400B"/>
    <w:rsid w:val="0078404A"/>
    <w:rsid w:val="0078411F"/>
    <w:rsid w:val="00784121"/>
    <w:rsid w:val="00784262"/>
    <w:rsid w:val="0078427C"/>
    <w:rsid w:val="007842C4"/>
    <w:rsid w:val="0078437A"/>
    <w:rsid w:val="0078438E"/>
    <w:rsid w:val="00784494"/>
    <w:rsid w:val="007844F3"/>
    <w:rsid w:val="0078457C"/>
    <w:rsid w:val="00784771"/>
    <w:rsid w:val="00784897"/>
    <w:rsid w:val="007849AA"/>
    <w:rsid w:val="007849EB"/>
    <w:rsid w:val="00784A22"/>
    <w:rsid w:val="00784A4F"/>
    <w:rsid w:val="00784ACD"/>
    <w:rsid w:val="00784C6E"/>
    <w:rsid w:val="00784DDE"/>
    <w:rsid w:val="00785013"/>
    <w:rsid w:val="00785032"/>
    <w:rsid w:val="00785074"/>
    <w:rsid w:val="007851A9"/>
    <w:rsid w:val="00785235"/>
    <w:rsid w:val="007852DA"/>
    <w:rsid w:val="0078531B"/>
    <w:rsid w:val="007853A2"/>
    <w:rsid w:val="007853F3"/>
    <w:rsid w:val="007854B4"/>
    <w:rsid w:val="00785628"/>
    <w:rsid w:val="0078569D"/>
    <w:rsid w:val="007856CA"/>
    <w:rsid w:val="007856D5"/>
    <w:rsid w:val="007856F2"/>
    <w:rsid w:val="00785720"/>
    <w:rsid w:val="0078574A"/>
    <w:rsid w:val="0078577D"/>
    <w:rsid w:val="0078595E"/>
    <w:rsid w:val="0078596E"/>
    <w:rsid w:val="007859C6"/>
    <w:rsid w:val="007859D1"/>
    <w:rsid w:val="00785A05"/>
    <w:rsid w:val="00785C11"/>
    <w:rsid w:val="00785CF0"/>
    <w:rsid w:val="00785CFB"/>
    <w:rsid w:val="00785DEC"/>
    <w:rsid w:val="00785E68"/>
    <w:rsid w:val="00785EB1"/>
    <w:rsid w:val="00785EED"/>
    <w:rsid w:val="00785F75"/>
    <w:rsid w:val="00785FDB"/>
    <w:rsid w:val="00786070"/>
    <w:rsid w:val="007860C7"/>
    <w:rsid w:val="00786157"/>
    <w:rsid w:val="007861D3"/>
    <w:rsid w:val="0078623E"/>
    <w:rsid w:val="00786326"/>
    <w:rsid w:val="00786341"/>
    <w:rsid w:val="00786460"/>
    <w:rsid w:val="007864BD"/>
    <w:rsid w:val="007864D9"/>
    <w:rsid w:val="007864DD"/>
    <w:rsid w:val="00786559"/>
    <w:rsid w:val="007865D4"/>
    <w:rsid w:val="00786673"/>
    <w:rsid w:val="007866B0"/>
    <w:rsid w:val="007866B6"/>
    <w:rsid w:val="0078672B"/>
    <w:rsid w:val="007868B2"/>
    <w:rsid w:val="00786933"/>
    <w:rsid w:val="00786A6C"/>
    <w:rsid w:val="00786A8D"/>
    <w:rsid w:val="00786ABE"/>
    <w:rsid w:val="00786ADD"/>
    <w:rsid w:val="00786B5C"/>
    <w:rsid w:val="00786B8B"/>
    <w:rsid w:val="00786B98"/>
    <w:rsid w:val="00786BC1"/>
    <w:rsid w:val="00786BE1"/>
    <w:rsid w:val="00786C7E"/>
    <w:rsid w:val="00786CD1"/>
    <w:rsid w:val="00786D39"/>
    <w:rsid w:val="00786D8D"/>
    <w:rsid w:val="00786D8E"/>
    <w:rsid w:val="00786DD8"/>
    <w:rsid w:val="00786DEC"/>
    <w:rsid w:val="00786F00"/>
    <w:rsid w:val="00786F2C"/>
    <w:rsid w:val="00786F4E"/>
    <w:rsid w:val="00786FAA"/>
    <w:rsid w:val="00786FDF"/>
    <w:rsid w:val="00786FEB"/>
    <w:rsid w:val="007871E7"/>
    <w:rsid w:val="00787236"/>
    <w:rsid w:val="00787246"/>
    <w:rsid w:val="0078728F"/>
    <w:rsid w:val="007872F3"/>
    <w:rsid w:val="00787300"/>
    <w:rsid w:val="00787314"/>
    <w:rsid w:val="0078735C"/>
    <w:rsid w:val="00787366"/>
    <w:rsid w:val="0078745E"/>
    <w:rsid w:val="0078747D"/>
    <w:rsid w:val="0078753C"/>
    <w:rsid w:val="00787558"/>
    <w:rsid w:val="00787570"/>
    <w:rsid w:val="00787694"/>
    <w:rsid w:val="007876D1"/>
    <w:rsid w:val="007878C3"/>
    <w:rsid w:val="0078790A"/>
    <w:rsid w:val="007879D7"/>
    <w:rsid w:val="007879E4"/>
    <w:rsid w:val="00787A12"/>
    <w:rsid w:val="00787A14"/>
    <w:rsid w:val="00787B6A"/>
    <w:rsid w:val="00787B84"/>
    <w:rsid w:val="00787BB1"/>
    <w:rsid w:val="00787C05"/>
    <w:rsid w:val="00787C07"/>
    <w:rsid w:val="00787C4A"/>
    <w:rsid w:val="00787CD5"/>
    <w:rsid w:val="00787E6A"/>
    <w:rsid w:val="00787E7F"/>
    <w:rsid w:val="00787F08"/>
    <w:rsid w:val="0079016B"/>
    <w:rsid w:val="007901D7"/>
    <w:rsid w:val="007901FC"/>
    <w:rsid w:val="00790231"/>
    <w:rsid w:val="00790284"/>
    <w:rsid w:val="00790298"/>
    <w:rsid w:val="0079039F"/>
    <w:rsid w:val="007903D2"/>
    <w:rsid w:val="007903F5"/>
    <w:rsid w:val="0079042F"/>
    <w:rsid w:val="0079048E"/>
    <w:rsid w:val="0079049E"/>
    <w:rsid w:val="007904EC"/>
    <w:rsid w:val="007905A5"/>
    <w:rsid w:val="007905ED"/>
    <w:rsid w:val="007905F6"/>
    <w:rsid w:val="007906C9"/>
    <w:rsid w:val="007907A4"/>
    <w:rsid w:val="00790882"/>
    <w:rsid w:val="007908AD"/>
    <w:rsid w:val="00790978"/>
    <w:rsid w:val="00790A32"/>
    <w:rsid w:val="00790AA9"/>
    <w:rsid w:val="00790B0E"/>
    <w:rsid w:val="00790CD3"/>
    <w:rsid w:val="00790D0B"/>
    <w:rsid w:val="00790D25"/>
    <w:rsid w:val="00790DB0"/>
    <w:rsid w:val="00790DE0"/>
    <w:rsid w:val="00790F03"/>
    <w:rsid w:val="00790F45"/>
    <w:rsid w:val="00790FDA"/>
    <w:rsid w:val="00790FFB"/>
    <w:rsid w:val="007910DA"/>
    <w:rsid w:val="0079119B"/>
    <w:rsid w:val="00791225"/>
    <w:rsid w:val="007912F6"/>
    <w:rsid w:val="007912FD"/>
    <w:rsid w:val="00791349"/>
    <w:rsid w:val="00791391"/>
    <w:rsid w:val="007913D7"/>
    <w:rsid w:val="007913E6"/>
    <w:rsid w:val="00791424"/>
    <w:rsid w:val="0079143B"/>
    <w:rsid w:val="0079153C"/>
    <w:rsid w:val="00791545"/>
    <w:rsid w:val="0079155E"/>
    <w:rsid w:val="007916E9"/>
    <w:rsid w:val="007917E2"/>
    <w:rsid w:val="00791898"/>
    <w:rsid w:val="007918F7"/>
    <w:rsid w:val="00791A2F"/>
    <w:rsid w:val="00791A3F"/>
    <w:rsid w:val="00791ABF"/>
    <w:rsid w:val="00791B41"/>
    <w:rsid w:val="00791B52"/>
    <w:rsid w:val="00791B99"/>
    <w:rsid w:val="00791C17"/>
    <w:rsid w:val="00791C4D"/>
    <w:rsid w:val="00791C5E"/>
    <w:rsid w:val="00791C66"/>
    <w:rsid w:val="00791C6A"/>
    <w:rsid w:val="00791C92"/>
    <w:rsid w:val="00791CC5"/>
    <w:rsid w:val="00791D84"/>
    <w:rsid w:val="00791FC5"/>
    <w:rsid w:val="00791FC7"/>
    <w:rsid w:val="00791FD0"/>
    <w:rsid w:val="007920F6"/>
    <w:rsid w:val="007921C1"/>
    <w:rsid w:val="00792200"/>
    <w:rsid w:val="007922B1"/>
    <w:rsid w:val="00792323"/>
    <w:rsid w:val="00792362"/>
    <w:rsid w:val="0079238B"/>
    <w:rsid w:val="00792393"/>
    <w:rsid w:val="007923CB"/>
    <w:rsid w:val="007923E3"/>
    <w:rsid w:val="00792402"/>
    <w:rsid w:val="00792431"/>
    <w:rsid w:val="0079245F"/>
    <w:rsid w:val="00792464"/>
    <w:rsid w:val="00792466"/>
    <w:rsid w:val="007924A5"/>
    <w:rsid w:val="0079258E"/>
    <w:rsid w:val="007925B3"/>
    <w:rsid w:val="007925CF"/>
    <w:rsid w:val="00792630"/>
    <w:rsid w:val="007927A3"/>
    <w:rsid w:val="00792835"/>
    <w:rsid w:val="007928E3"/>
    <w:rsid w:val="007929C4"/>
    <w:rsid w:val="007929EB"/>
    <w:rsid w:val="00792AD7"/>
    <w:rsid w:val="00792BF0"/>
    <w:rsid w:val="00792C1C"/>
    <w:rsid w:val="00792C28"/>
    <w:rsid w:val="00792D8B"/>
    <w:rsid w:val="00792DC6"/>
    <w:rsid w:val="00792E2C"/>
    <w:rsid w:val="00792E5E"/>
    <w:rsid w:val="00792EA2"/>
    <w:rsid w:val="00792F08"/>
    <w:rsid w:val="00792F88"/>
    <w:rsid w:val="00792F94"/>
    <w:rsid w:val="00793011"/>
    <w:rsid w:val="0079306F"/>
    <w:rsid w:val="00793127"/>
    <w:rsid w:val="00793129"/>
    <w:rsid w:val="00793275"/>
    <w:rsid w:val="007932FB"/>
    <w:rsid w:val="00793309"/>
    <w:rsid w:val="0079331D"/>
    <w:rsid w:val="00793368"/>
    <w:rsid w:val="0079339A"/>
    <w:rsid w:val="007933B0"/>
    <w:rsid w:val="007934D3"/>
    <w:rsid w:val="007935CE"/>
    <w:rsid w:val="007935FD"/>
    <w:rsid w:val="00793662"/>
    <w:rsid w:val="00793756"/>
    <w:rsid w:val="00793AA2"/>
    <w:rsid w:val="00793B1C"/>
    <w:rsid w:val="00793B4C"/>
    <w:rsid w:val="00793B85"/>
    <w:rsid w:val="00793BB3"/>
    <w:rsid w:val="00793BF1"/>
    <w:rsid w:val="00793BFF"/>
    <w:rsid w:val="00793C9C"/>
    <w:rsid w:val="00793D2F"/>
    <w:rsid w:val="00793D81"/>
    <w:rsid w:val="00793DC6"/>
    <w:rsid w:val="00793DFE"/>
    <w:rsid w:val="00793E19"/>
    <w:rsid w:val="00793E8F"/>
    <w:rsid w:val="00793E98"/>
    <w:rsid w:val="00793F29"/>
    <w:rsid w:val="00794041"/>
    <w:rsid w:val="00794065"/>
    <w:rsid w:val="0079408D"/>
    <w:rsid w:val="007940D0"/>
    <w:rsid w:val="007940F0"/>
    <w:rsid w:val="007941A1"/>
    <w:rsid w:val="007942D6"/>
    <w:rsid w:val="007943A3"/>
    <w:rsid w:val="00794464"/>
    <w:rsid w:val="00794520"/>
    <w:rsid w:val="00794537"/>
    <w:rsid w:val="00794559"/>
    <w:rsid w:val="00794560"/>
    <w:rsid w:val="007945B8"/>
    <w:rsid w:val="00794621"/>
    <w:rsid w:val="00794622"/>
    <w:rsid w:val="0079465B"/>
    <w:rsid w:val="00794792"/>
    <w:rsid w:val="007947C5"/>
    <w:rsid w:val="007948C9"/>
    <w:rsid w:val="00794941"/>
    <w:rsid w:val="007949EA"/>
    <w:rsid w:val="00794A10"/>
    <w:rsid w:val="00794B31"/>
    <w:rsid w:val="00794BA3"/>
    <w:rsid w:val="00794C61"/>
    <w:rsid w:val="00794D72"/>
    <w:rsid w:val="00794D95"/>
    <w:rsid w:val="00794E66"/>
    <w:rsid w:val="00794E8C"/>
    <w:rsid w:val="00794F68"/>
    <w:rsid w:val="00795041"/>
    <w:rsid w:val="007950FE"/>
    <w:rsid w:val="00795150"/>
    <w:rsid w:val="00795196"/>
    <w:rsid w:val="0079521D"/>
    <w:rsid w:val="00795250"/>
    <w:rsid w:val="007952D6"/>
    <w:rsid w:val="007952F1"/>
    <w:rsid w:val="0079530A"/>
    <w:rsid w:val="00795365"/>
    <w:rsid w:val="007953CF"/>
    <w:rsid w:val="007953DB"/>
    <w:rsid w:val="007953F3"/>
    <w:rsid w:val="00795446"/>
    <w:rsid w:val="007954AB"/>
    <w:rsid w:val="00795653"/>
    <w:rsid w:val="007956D0"/>
    <w:rsid w:val="007956F6"/>
    <w:rsid w:val="00795746"/>
    <w:rsid w:val="007957E7"/>
    <w:rsid w:val="007957EC"/>
    <w:rsid w:val="007957F7"/>
    <w:rsid w:val="00795845"/>
    <w:rsid w:val="00795922"/>
    <w:rsid w:val="00795976"/>
    <w:rsid w:val="00795987"/>
    <w:rsid w:val="00795A7B"/>
    <w:rsid w:val="00795A8F"/>
    <w:rsid w:val="00795AB0"/>
    <w:rsid w:val="00795BC3"/>
    <w:rsid w:val="00795D73"/>
    <w:rsid w:val="00795D99"/>
    <w:rsid w:val="00795E28"/>
    <w:rsid w:val="00795E85"/>
    <w:rsid w:val="00795EA1"/>
    <w:rsid w:val="00795EB3"/>
    <w:rsid w:val="00795EE8"/>
    <w:rsid w:val="00795F6A"/>
    <w:rsid w:val="0079601F"/>
    <w:rsid w:val="0079606E"/>
    <w:rsid w:val="007960B1"/>
    <w:rsid w:val="00796228"/>
    <w:rsid w:val="00796255"/>
    <w:rsid w:val="0079627C"/>
    <w:rsid w:val="007962E5"/>
    <w:rsid w:val="007962F2"/>
    <w:rsid w:val="007963A4"/>
    <w:rsid w:val="007963D8"/>
    <w:rsid w:val="00796510"/>
    <w:rsid w:val="0079659F"/>
    <w:rsid w:val="0079661A"/>
    <w:rsid w:val="0079663E"/>
    <w:rsid w:val="00796785"/>
    <w:rsid w:val="007967EA"/>
    <w:rsid w:val="00796883"/>
    <w:rsid w:val="0079691F"/>
    <w:rsid w:val="00796936"/>
    <w:rsid w:val="00796A3D"/>
    <w:rsid w:val="00796A85"/>
    <w:rsid w:val="00796B20"/>
    <w:rsid w:val="00796B3B"/>
    <w:rsid w:val="00796C5D"/>
    <w:rsid w:val="00796D7E"/>
    <w:rsid w:val="00796D8E"/>
    <w:rsid w:val="00796DB0"/>
    <w:rsid w:val="00796DC0"/>
    <w:rsid w:val="00796E18"/>
    <w:rsid w:val="00796EBE"/>
    <w:rsid w:val="00796F02"/>
    <w:rsid w:val="00796FFB"/>
    <w:rsid w:val="00797039"/>
    <w:rsid w:val="0079703C"/>
    <w:rsid w:val="00797082"/>
    <w:rsid w:val="007971BE"/>
    <w:rsid w:val="007972A9"/>
    <w:rsid w:val="00797416"/>
    <w:rsid w:val="007974CF"/>
    <w:rsid w:val="00797531"/>
    <w:rsid w:val="007976C6"/>
    <w:rsid w:val="007976D5"/>
    <w:rsid w:val="00797706"/>
    <w:rsid w:val="007977A0"/>
    <w:rsid w:val="007977A1"/>
    <w:rsid w:val="007977E2"/>
    <w:rsid w:val="007977EC"/>
    <w:rsid w:val="0079780C"/>
    <w:rsid w:val="00797810"/>
    <w:rsid w:val="007978D3"/>
    <w:rsid w:val="007978E7"/>
    <w:rsid w:val="00797910"/>
    <w:rsid w:val="00797A01"/>
    <w:rsid w:val="00797A7D"/>
    <w:rsid w:val="00797BB5"/>
    <w:rsid w:val="00797C4F"/>
    <w:rsid w:val="00797C5C"/>
    <w:rsid w:val="00797CE8"/>
    <w:rsid w:val="00797DC8"/>
    <w:rsid w:val="007A002E"/>
    <w:rsid w:val="007A0076"/>
    <w:rsid w:val="007A007A"/>
    <w:rsid w:val="007A00F5"/>
    <w:rsid w:val="007A017C"/>
    <w:rsid w:val="007A0188"/>
    <w:rsid w:val="007A0294"/>
    <w:rsid w:val="007A0349"/>
    <w:rsid w:val="007A034D"/>
    <w:rsid w:val="007A0362"/>
    <w:rsid w:val="007A0412"/>
    <w:rsid w:val="007A041C"/>
    <w:rsid w:val="007A055A"/>
    <w:rsid w:val="007A0659"/>
    <w:rsid w:val="007A0674"/>
    <w:rsid w:val="007A068A"/>
    <w:rsid w:val="007A0724"/>
    <w:rsid w:val="007A08D3"/>
    <w:rsid w:val="007A0947"/>
    <w:rsid w:val="007A095B"/>
    <w:rsid w:val="007A099F"/>
    <w:rsid w:val="007A09AB"/>
    <w:rsid w:val="007A09AC"/>
    <w:rsid w:val="007A0A2C"/>
    <w:rsid w:val="007A0AEE"/>
    <w:rsid w:val="007A0B11"/>
    <w:rsid w:val="007A0C56"/>
    <w:rsid w:val="007A0CFC"/>
    <w:rsid w:val="007A0D45"/>
    <w:rsid w:val="007A0DAD"/>
    <w:rsid w:val="007A1066"/>
    <w:rsid w:val="007A11BF"/>
    <w:rsid w:val="007A11C1"/>
    <w:rsid w:val="007A1265"/>
    <w:rsid w:val="007A12AD"/>
    <w:rsid w:val="007A12E4"/>
    <w:rsid w:val="007A1311"/>
    <w:rsid w:val="007A134B"/>
    <w:rsid w:val="007A1493"/>
    <w:rsid w:val="007A14B1"/>
    <w:rsid w:val="007A1640"/>
    <w:rsid w:val="007A167C"/>
    <w:rsid w:val="007A16CE"/>
    <w:rsid w:val="007A16F8"/>
    <w:rsid w:val="007A1713"/>
    <w:rsid w:val="007A171A"/>
    <w:rsid w:val="007A1830"/>
    <w:rsid w:val="007A1836"/>
    <w:rsid w:val="007A18C4"/>
    <w:rsid w:val="007A18D6"/>
    <w:rsid w:val="007A1979"/>
    <w:rsid w:val="007A19D4"/>
    <w:rsid w:val="007A1A0B"/>
    <w:rsid w:val="007A1A32"/>
    <w:rsid w:val="007A1A4E"/>
    <w:rsid w:val="007A1A60"/>
    <w:rsid w:val="007A1AE1"/>
    <w:rsid w:val="007A1B0C"/>
    <w:rsid w:val="007A1C05"/>
    <w:rsid w:val="007A1DE3"/>
    <w:rsid w:val="007A1E39"/>
    <w:rsid w:val="007A1F34"/>
    <w:rsid w:val="007A200A"/>
    <w:rsid w:val="007A212E"/>
    <w:rsid w:val="007A2222"/>
    <w:rsid w:val="007A225A"/>
    <w:rsid w:val="007A22CF"/>
    <w:rsid w:val="007A2319"/>
    <w:rsid w:val="007A2357"/>
    <w:rsid w:val="007A2389"/>
    <w:rsid w:val="007A23BB"/>
    <w:rsid w:val="007A2507"/>
    <w:rsid w:val="007A2628"/>
    <w:rsid w:val="007A2655"/>
    <w:rsid w:val="007A2692"/>
    <w:rsid w:val="007A27B0"/>
    <w:rsid w:val="007A2902"/>
    <w:rsid w:val="007A2943"/>
    <w:rsid w:val="007A2952"/>
    <w:rsid w:val="007A2B73"/>
    <w:rsid w:val="007A2B80"/>
    <w:rsid w:val="007A2CAC"/>
    <w:rsid w:val="007A2CD8"/>
    <w:rsid w:val="007A2CDF"/>
    <w:rsid w:val="007A2E97"/>
    <w:rsid w:val="007A30C1"/>
    <w:rsid w:val="007A3103"/>
    <w:rsid w:val="007A31BF"/>
    <w:rsid w:val="007A3237"/>
    <w:rsid w:val="007A3283"/>
    <w:rsid w:val="007A32A6"/>
    <w:rsid w:val="007A33F0"/>
    <w:rsid w:val="007A34FE"/>
    <w:rsid w:val="007A3583"/>
    <w:rsid w:val="007A377F"/>
    <w:rsid w:val="007A37F0"/>
    <w:rsid w:val="007A381A"/>
    <w:rsid w:val="007A3842"/>
    <w:rsid w:val="007A385F"/>
    <w:rsid w:val="007A39E1"/>
    <w:rsid w:val="007A3A08"/>
    <w:rsid w:val="007A3A6D"/>
    <w:rsid w:val="007A3C1E"/>
    <w:rsid w:val="007A3D98"/>
    <w:rsid w:val="007A3EFD"/>
    <w:rsid w:val="007A3F43"/>
    <w:rsid w:val="007A40F9"/>
    <w:rsid w:val="007A418B"/>
    <w:rsid w:val="007A41DC"/>
    <w:rsid w:val="007A4239"/>
    <w:rsid w:val="007A4327"/>
    <w:rsid w:val="007A4334"/>
    <w:rsid w:val="007A4381"/>
    <w:rsid w:val="007A43C0"/>
    <w:rsid w:val="007A445C"/>
    <w:rsid w:val="007A45F1"/>
    <w:rsid w:val="007A466A"/>
    <w:rsid w:val="007A46E8"/>
    <w:rsid w:val="007A476A"/>
    <w:rsid w:val="007A47CD"/>
    <w:rsid w:val="007A497F"/>
    <w:rsid w:val="007A4A0A"/>
    <w:rsid w:val="007A4A72"/>
    <w:rsid w:val="007A4B2C"/>
    <w:rsid w:val="007A4C2D"/>
    <w:rsid w:val="007A4F68"/>
    <w:rsid w:val="007A4F6A"/>
    <w:rsid w:val="007A4F87"/>
    <w:rsid w:val="007A5030"/>
    <w:rsid w:val="007A503F"/>
    <w:rsid w:val="007A508F"/>
    <w:rsid w:val="007A50BC"/>
    <w:rsid w:val="007A50D7"/>
    <w:rsid w:val="007A50F9"/>
    <w:rsid w:val="007A5104"/>
    <w:rsid w:val="007A515A"/>
    <w:rsid w:val="007A5253"/>
    <w:rsid w:val="007A52CC"/>
    <w:rsid w:val="007A52D3"/>
    <w:rsid w:val="007A52D6"/>
    <w:rsid w:val="007A52DD"/>
    <w:rsid w:val="007A534E"/>
    <w:rsid w:val="007A535A"/>
    <w:rsid w:val="007A54AF"/>
    <w:rsid w:val="007A55DF"/>
    <w:rsid w:val="007A5649"/>
    <w:rsid w:val="007A5779"/>
    <w:rsid w:val="007A5822"/>
    <w:rsid w:val="007A58E5"/>
    <w:rsid w:val="007A5962"/>
    <w:rsid w:val="007A59AD"/>
    <w:rsid w:val="007A59B6"/>
    <w:rsid w:val="007A5ABE"/>
    <w:rsid w:val="007A5B0D"/>
    <w:rsid w:val="007A5B94"/>
    <w:rsid w:val="007A5CFD"/>
    <w:rsid w:val="007A5D49"/>
    <w:rsid w:val="007A5D9D"/>
    <w:rsid w:val="007A5E0E"/>
    <w:rsid w:val="007A5ED3"/>
    <w:rsid w:val="007A5F25"/>
    <w:rsid w:val="007A6004"/>
    <w:rsid w:val="007A60DE"/>
    <w:rsid w:val="007A613E"/>
    <w:rsid w:val="007A6149"/>
    <w:rsid w:val="007A6245"/>
    <w:rsid w:val="007A624C"/>
    <w:rsid w:val="007A6334"/>
    <w:rsid w:val="007A6464"/>
    <w:rsid w:val="007A64C1"/>
    <w:rsid w:val="007A64CD"/>
    <w:rsid w:val="007A64EA"/>
    <w:rsid w:val="007A64F4"/>
    <w:rsid w:val="007A64F6"/>
    <w:rsid w:val="007A6513"/>
    <w:rsid w:val="007A652D"/>
    <w:rsid w:val="007A65B1"/>
    <w:rsid w:val="007A65DB"/>
    <w:rsid w:val="007A6633"/>
    <w:rsid w:val="007A6649"/>
    <w:rsid w:val="007A6770"/>
    <w:rsid w:val="007A6805"/>
    <w:rsid w:val="007A68CA"/>
    <w:rsid w:val="007A6973"/>
    <w:rsid w:val="007A69F5"/>
    <w:rsid w:val="007A6B10"/>
    <w:rsid w:val="007A6B52"/>
    <w:rsid w:val="007A6B53"/>
    <w:rsid w:val="007A6B77"/>
    <w:rsid w:val="007A6B7D"/>
    <w:rsid w:val="007A6B8F"/>
    <w:rsid w:val="007A6C5A"/>
    <w:rsid w:val="007A6CE1"/>
    <w:rsid w:val="007A6D6B"/>
    <w:rsid w:val="007A6E2A"/>
    <w:rsid w:val="007A6E49"/>
    <w:rsid w:val="007A6FCF"/>
    <w:rsid w:val="007A700B"/>
    <w:rsid w:val="007A704B"/>
    <w:rsid w:val="007A7142"/>
    <w:rsid w:val="007A7186"/>
    <w:rsid w:val="007A7255"/>
    <w:rsid w:val="007A758F"/>
    <w:rsid w:val="007A7629"/>
    <w:rsid w:val="007A774F"/>
    <w:rsid w:val="007A77C3"/>
    <w:rsid w:val="007A7822"/>
    <w:rsid w:val="007A78D7"/>
    <w:rsid w:val="007A7924"/>
    <w:rsid w:val="007A793B"/>
    <w:rsid w:val="007A797D"/>
    <w:rsid w:val="007A79AE"/>
    <w:rsid w:val="007A79BA"/>
    <w:rsid w:val="007A79F7"/>
    <w:rsid w:val="007A7AED"/>
    <w:rsid w:val="007A7B9F"/>
    <w:rsid w:val="007A7C74"/>
    <w:rsid w:val="007A7DF5"/>
    <w:rsid w:val="007A7E2C"/>
    <w:rsid w:val="007A7E41"/>
    <w:rsid w:val="007A7E76"/>
    <w:rsid w:val="007A7E88"/>
    <w:rsid w:val="007A7EFF"/>
    <w:rsid w:val="007A7F78"/>
    <w:rsid w:val="007A7F7D"/>
    <w:rsid w:val="007B007D"/>
    <w:rsid w:val="007B0087"/>
    <w:rsid w:val="007B00EA"/>
    <w:rsid w:val="007B01CE"/>
    <w:rsid w:val="007B0315"/>
    <w:rsid w:val="007B0328"/>
    <w:rsid w:val="007B038E"/>
    <w:rsid w:val="007B03CB"/>
    <w:rsid w:val="007B0425"/>
    <w:rsid w:val="007B047D"/>
    <w:rsid w:val="007B053F"/>
    <w:rsid w:val="007B0590"/>
    <w:rsid w:val="007B05CE"/>
    <w:rsid w:val="007B05FA"/>
    <w:rsid w:val="007B062A"/>
    <w:rsid w:val="007B084C"/>
    <w:rsid w:val="007B0934"/>
    <w:rsid w:val="007B0958"/>
    <w:rsid w:val="007B0B10"/>
    <w:rsid w:val="007B0B2A"/>
    <w:rsid w:val="007B0BB0"/>
    <w:rsid w:val="007B0BCF"/>
    <w:rsid w:val="007B0BEB"/>
    <w:rsid w:val="007B0C40"/>
    <w:rsid w:val="007B0C58"/>
    <w:rsid w:val="007B0CF3"/>
    <w:rsid w:val="007B0DDE"/>
    <w:rsid w:val="007B0E30"/>
    <w:rsid w:val="007B0E6F"/>
    <w:rsid w:val="007B0EE3"/>
    <w:rsid w:val="007B0F35"/>
    <w:rsid w:val="007B1048"/>
    <w:rsid w:val="007B1072"/>
    <w:rsid w:val="007B1178"/>
    <w:rsid w:val="007B12DF"/>
    <w:rsid w:val="007B12F4"/>
    <w:rsid w:val="007B1395"/>
    <w:rsid w:val="007B141D"/>
    <w:rsid w:val="007B1421"/>
    <w:rsid w:val="007B14BE"/>
    <w:rsid w:val="007B1546"/>
    <w:rsid w:val="007B1577"/>
    <w:rsid w:val="007B159B"/>
    <w:rsid w:val="007B1608"/>
    <w:rsid w:val="007B189A"/>
    <w:rsid w:val="007B18D8"/>
    <w:rsid w:val="007B19E4"/>
    <w:rsid w:val="007B1ACD"/>
    <w:rsid w:val="007B1B31"/>
    <w:rsid w:val="007B1BC2"/>
    <w:rsid w:val="007B1C70"/>
    <w:rsid w:val="007B1CC1"/>
    <w:rsid w:val="007B1D3C"/>
    <w:rsid w:val="007B1E04"/>
    <w:rsid w:val="007B1F46"/>
    <w:rsid w:val="007B1F99"/>
    <w:rsid w:val="007B20FD"/>
    <w:rsid w:val="007B21E4"/>
    <w:rsid w:val="007B2261"/>
    <w:rsid w:val="007B2354"/>
    <w:rsid w:val="007B2647"/>
    <w:rsid w:val="007B26C4"/>
    <w:rsid w:val="007B26F1"/>
    <w:rsid w:val="007B2775"/>
    <w:rsid w:val="007B27D2"/>
    <w:rsid w:val="007B28FC"/>
    <w:rsid w:val="007B2A12"/>
    <w:rsid w:val="007B2A60"/>
    <w:rsid w:val="007B2A78"/>
    <w:rsid w:val="007B2ADE"/>
    <w:rsid w:val="007B2B38"/>
    <w:rsid w:val="007B2B83"/>
    <w:rsid w:val="007B2C7D"/>
    <w:rsid w:val="007B2D03"/>
    <w:rsid w:val="007B2D99"/>
    <w:rsid w:val="007B2DBD"/>
    <w:rsid w:val="007B2F31"/>
    <w:rsid w:val="007B2FCD"/>
    <w:rsid w:val="007B2FE2"/>
    <w:rsid w:val="007B3035"/>
    <w:rsid w:val="007B304E"/>
    <w:rsid w:val="007B3052"/>
    <w:rsid w:val="007B30A2"/>
    <w:rsid w:val="007B3157"/>
    <w:rsid w:val="007B3318"/>
    <w:rsid w:val="007B3349"/>
    <w:rsid w:val="007B3376"/>
    <w:rsid w:val="007B33C7"/>
    <w:rsid w:val="007B348D"/>
    <w:rsid w:val="007B35FF"/>
    <w:rsid w:val="007B369C"/>
    <w:rsid w:val="007B3749"/>
    <w:rsid w:val="007B374F"/>
    <w:rsid w:val="007B375F"/>
    <w:rsid w:val="007B37F6"/>
    <w:rsid w:val="007B3821"/>
    <w:rsid w:val="007B3843"/>
    <w:rsid w:val="007B388A"/>
    <w:rsid w:val="007B38A7"/>
    <w:rsid w:val="007B38B3"/>
    <w:rsid w:val="007B38C1"/>
    <w:rsid w:val="007B38E5"/>
    <w:rsid w:val="007B39E0"/>
    <w:rsid w:val="007B3A42"/>
    <w:rsid w:val="007B3BA0"/>
    <w:rsid w:val="007B3C0C"/>
    <w:rsid w:val="007B3C81"/>
    <w:rsid w:val="007B3CC9"/>
    <w:rsid w:val="007B3D88"/>
    <w:rsid w:val="007B3DB6"/>
    <w:rsid w:val="007B3DF5"/>
    <w:rsid w:val="007B3E10"/>
    <w:rsid w:val="007B3E51"/>
    <w:rsid w:val="007B3E7F"/>
    <w:rsid w:val="007B3EFD"/>
    <w:rsid w:val="007B3F27"/>
    <w:rsid w:val="007B40C5"/>
    <w:rsid w:val="007B413F"/>
    <w:rsid w:val="007B41BB"/>
    <w:rsid w:val="007B41EC"/>
    <w:rsid w:val="007B42F4"/>
    <w:rsid w:val="007B42F7"/>
    <w:rsid w:val="007B43D2"/>
    <w:rsid w:val="007B450A"/>
    <w:rsid w:val="007B453C"/>
    <w:rsid w:val="007B4573"/>
    <w:rsid w:val="007B4576"/>
    <w:rsid w:val="007B45D7"/>
    <w:rsid w:val="007B45E8"/>
    <w:rsid w:val="007B4718"/>
    <w:rsid w:val="007B478B"/>
    <w:rsid w:val="007B4828"/>
    <w:rsid w:val="007B4856"/>
    <w:rsid w:val="007B487B"/>
    <w:rsid w:val="007B48AC"/>
    <w:rsid w:val="007B4A2B"/>
    <w:rsid w:val="007B4A4E"/>
    <w:rsid w:val="007B4A81"/>
    <w:rsid w:val="007B4A93"/>
    <w:rsid w:val="007B4A9B"/>
    <w:rsid w:val="007B4BAE"/>
    <w:rsid w:val="007B4BB2"/>
    <w:rsid w:val="007B4CE9"/>
    <w:rsid w:val="007B4D1C"/>
    <w:rsid w:val="007B4D63"/>
    <w:rsid w:val="007B4F5D"/>
    <w:rsid w:val="007B4FEE"/>
    <w:rsid w:val="007B4FFB"/>
    <w:rsid w:val="007B5028"/>
    <w:rsid w:val="007B5073"/>
    <w:rsid w:val="007B5108"/>
    <w:rsid w:val="007B5296"/>
    <w:rsid w:val="007B5343"/>
    <w:rsid w:val="007B535A"/>
    <w:rsid w:val="007B543C"/>
    <w:rsid w:val="007B55DA"/>
    <w:rsid w:val="007B561E"/>
    <w:rsid w:val="007B562D"/>
    <w:rsid w:val="007B56D0"/>
    <w:rsid w:val="007B580A"/>
    <w:rsid w:val="007B5974"/>
    <w:rsid w:val="007B59AD"/>
    <w:rsid w:val="007B59AE"/>
    <w:rsid w:val="007B5A84"/>
    <w:rsid w:val="007B5C23"/>
    <w:rsid w:val="007B5C3B"/>
    <w:rsid w:val="007B5CB0"/>
    <w:rsid w:val="007B5CC5"/>
    <w:rsid w:val="007B5D49"/>
    <w:rsid w:val="007B5E3C"/>
    <w:rsid w:val="007B5EA5"/>
    <w:rsid w:val="007B5F51"/>
    <w:rsid w:val="007B6014"/>
    <w:rsid w:val="007B607B"/>
    <w:rsid w:val="007B6087"/>
    <w:rsid w:val="007B60F4"/>
    <w:rsid w:val="007B60F9"/>
    <w:rsid w:val="007B61EC"/>
    <w:rsid w:val="007B6295"/>
    <w:rsid w:val="007B62A3"/>
    <w:rsid w:val="007B62FB"/>
    <w:rsid w:val="007B633A"/>
    <w:rsid w:val="007B6354"/>
    <w:rsid w:val="007B637E"/>
    <w:rsid w:val="007B63D4"/>
    <w:rsid w:val="007B6492"/>
    <w:rsid w:val="007B64CD"/>
    <w:rsid w:val="007B6503"/>
    <w:rsid w:val="007B675E"/>
    <w:rsid w:val="007B6792"/>
    <w:rsid w:val="007B6897"/>
    <w:rsid w:val="007B68BA"/>
    <w:rsid w:val="007B6ABD"/>
    <w:rsid w:val="007B6AF8"/>
    <w:rsid w:val="007B6C07"/>
    <w:rsid w:val="007B6C55"/>
    <w:rsid w:val="007B6C59"/>
    <w:rsid w:val="007B6C87"/>
    <w:rsid w:val="007B6D28"/>
    <w:rsid w:val="007B6D32"/>
    <w:rsid w:val="007B6DAA"/>
    <w:rsid w:val="007B6DD6"/>
    <w:rsid w:val="007B6F54"/>
    <w:rsid w:val="007B707D"/>
    <w:rsid w:val="007B70ED"/>
    <w:rsid w:val="007B720D"/>
    <w:rsid w:val="007B725F"/>
    <w:rsid w:val="007B7281"/>
    <w:rsid w:val="007B73C9"/>
    <w:rsid w:val="007B74B4"/>
    <w:rsid w:val="007B759F"/>
    <w:rsid w:val="007B760D"/>
    <w:rsid w:val="007B773B"/>
    <w:rsid w:val="007B77AF"/>
    <w:rsid w:val="007B77EE"/>
    <w:rsid w:val="007B7805"/>
    <w:rsid w:val="007B790F"/>
    <w:rsid w:val="007B793D"/>
    <w:rsid w:val="007B7A27"/>
    <w:rsid w:val="007B7B50"/>
    <w:rsid w:val="007B7B6B"/>
    <w:rsid w:val="007B7B89"/>
    <w:rsid w:val="007B7C7A"/>
    <w:rsid w:val="007B7EFA"/>
    <w:rsid w:val="007B888D"/>
    <w:rsid w:val="007C0071"/>
    <w:rsid w:val="007C00C9"/>
    <w:rsid w:val="007C010C"/>
    <w:rsid w:val="007C011C"/>
    <w:rsid w:val="007C0155"/>
    <w:rsid w:val="007C02C6"/>
    <w:rsid w:val="007C037F"/>
    <w:rsid w:val="007C0448"/>
    <w:rsid w:val="007C04F3"/>
    <w:rsid w:val="007C0509"/>
    <w:rsid w:val="007C05F0"/>
    <w:rsid w:val="007C0617"/>
    <w:rsid w:val="007C0634"/>
    <w:rsid w:val="007C0636"/>
    <w:rsid w:val="007C0699"/>
    <w:rsid w:val="007C06AA"/>
    <w:rsid w:val="007C076B"/>
    <w:rsid w:val="007C0785"/>
    <w:rsid w:val="007C07A3"/>
    <w:rsid w:val="007C082D"/>
    <w:rsid w:val="007C0985"/>
    <w:rsid w:val="007C09B3"/>
    <w:rsid w:val="007C0A3E"/>
    <w:rsid w:val="007C0A73"/>
    <w:rsid w:val="007C0A95"/>
    <w:rsid w:val="007C0AC0"/>
    <w:rsid w:val="007C0B42"/>
    <w:rsid w:val="007C0DC0"/>
    <w:rsid w:val="007C0E4F"/>
    <w:rsid w:val="007C0F3E"/>
    <w:rsid w:val="007C102B"/>
    <w:rsid w:val="007C1063"/>
    <w:rsid w:val="007C109B"/>
    <w:rsid w:val="007C10CC"/>
    <w:rsid w:val="007C1159"/>
    <w:rsid w:val="007C1195"/>
    <w:rsid w:val="007C119A"/>
    <w:rsid w:val="007C11AA"/>
    <w:rsid w:val="007C11B4"/>
    <w:rsid w:val="007C1377"/>
    <w:rsid w:val="007C13DD"/>
    <w:rsid w:val="007C145C"/>
    <w:rsid w:val="007C147A"/>
    <w:rsid w:val="007C16C0"/>
    <w:rsid w:val="007C179D"/>
    <w:rsid w:val="007C17F1"/>
    <w:rsid w:val="007C19E1"/>
    <w:rsid w:val="007C1AE1"/>
    <w:rsid w:val="007C1B6B"/>
    <w:rsid w:val="007C1BF4"/>
    <w:rsid w:val="007C1C32"/>
    <w:rsid w:val="007C1C4D"/>
    <w:rsid w:val="007C1D22"/>
    <w:rsid w:val="007C1DB7"/>
    <w:rsid w:val="007C1DCE"/>
    <w:rsid w:val="007C1ED0"/>
    <w:rsid w:val="007C1F6C"/>
    <w:rsid w:val="007C1FD1"/>
    <w:rsid w:val="007C2126"/>
    <w:rsid w:val="007C2146"/>
    <w:rsid w:val="007C2161"/>
    <w:rsid w:val="007C224F"/>
    <w:rsid w:val="007C225E"/>
    <w:rsid w:val="007C232E"/>
    <w:rsid w:val="007C2375"/>
    <w:rsid w:val="007C239C"/>
    <w:rsid w:val="007C23D1"/>
    <w:rsid w:val="007C257E"/>
    <w:rsid w:val="007C2580"/>
    <w:rsid w:val="007C2632"/>
    <w:rsid w:val="007C2710"/>
    <w:rsid w:val="007C2727"/>
    <w:rsid w:val="007C2783"/>
    <w:rsid w:val="007C280D"/>
    <w:rsid w:val="007C2855"/>
    <w:rsid w:val="007C2874"/>
    <w:rsid w:val="007C287B"/>
    <w:rsid w:val="007C2886"/>
    <w:rsid w:val="007C288F"/>
    <w:rsid w:val="007C2914"/>
    <w:rsid w:val="007C2933"/>
    <w:rsid w:val="007C2968"/>
    <w:rsid w:val="007C2992"/>
    <w:rsid w:val="007C299B"/>
    <w:rsid w:val="007C2B3C"/>
    <w:rsid w:val="007C2BFD"/>
    <w:rsid w:val="007C2C07"/>
    <w:rsid w:val="007C2C0E"/>
    <w:rsid w:val="007C2EFE"/>
    <w:rsid w:val="007C2F6F"/>
    <w:rsid w:val="007C3047"/>
    <w:rsid w:val="007C30DE"/>
    <w:rsid w:val="007C319A"/>
    <w:rsid w:val="007C31AB"/>
    <w:rsid w:val="007C32F7"/>
    <w:rsid w:val="007C33FB"/>
    <w:rsid w:val="007C3433"/>
    <w:rsid w:val="007C3444"/>
    <w:rsid w:val="007C344C"/>
    <w:rsid w:val="007C34AB"/>
    <w:rsid w:val="007C354B"/>
    <w:rsid w:val="007C35A9"/>
    <w:rsid w:val="007C37C6"/>
    <w:rsid w:val="007C381C"/>
    <w:rsid w:val="007C383F"/>
    <w:rsid w:val="007C396F"/>
    <w:rsid w:val="007C3A34"/>
    <w:rsid w:val="007C3C1E"/>
    <w:rsid w:val="007C3CF2"/>
    <w:rsid w:val="007C3E8B"/>
    <w:rsid w:val="007C40D8"/>
    <w:rsid w:val="007C416A"/>
    <w:rsid w:val="007C419B"/>
    <w:rsid w:val="007C41EF"/>
    <w:rsid w:val="007C4267"/>
    <w:rsid w:val="007C42AE"/>
    <w:rsid w:val="007C42D1"/>
    <w:rsid w:val="007C437B"/>
    <w:rsid w:val="007C438A"/>
    <w:rsid w:val="007C4399"/>
    <w:rsid w:val="007C4405"/>
    <w:rsid w:val="007C442E"/>
    <w:rsid w:val="007C44D5"/>
    <w:rsid w:val="007C4541"/>
    <w:rsid w:val="007C45A3"/>
    <w:rsid w:val="007C45C1"/>
    <w:rsid w:val="007C45F9"/>
    <w:rsid w:val="007C4666"/>
    <w:rsid w:val="007C46A5"/>
    <w:rsid w:val="007C46AB"/>
    <w:rsid w:val="007C47D0"/>
    <w:rsid w:val="007C4834"/>
    <w:rsid w:val="007C4862"/>
    <w:rsid w:val="007C4882"/>
    <w:rsid w:val="007C48E2"/>
    <w:rsid w:val="007C49E1"/>
    <w:rsid w:val="007C4A5A"/>
    <w:rsid w:val="007C4AF3"/>
    <w:rsid w:val="007C4B9C"/>
    <w:rsid w:val="007C4BB0"/>
    <w:rsid w:val="007C4C27"/>
    <w:rsid w:val="007C4C55"/>
    <w:rsid w:val="007C4D90"/>
    <w:rsid w:val="007C4E4F"/>
    <w:rsid w:val="007C4FDC"/>
    <w:rsid w:val="007C5015"/>
    <w:rsid w:val="007C5016"/>
    <w:rsid w:val="007C5038"/>
    <w:rsid w:val="007C509B"/>
    <w:rsid w:val="007C5110"/>
    <w:rsid w:val="007C527F"/>
    <w:rsid w:val="007C52E5"/>
    <w:rsid w:val="007C5353"/>
    <w:rsid w:val="007C545F"/>
    <w:rsid w:val="007C54A5"/>
    <w:rsid w:val="007C5509"/>
    <w:rsid w:val="007C563A"/>
    <w:rsid w:val="007C56B8"/>
    <w:rsid w:val="007C5720"/>
    <w:rsid w:val="007C5730"/>
    <w:rsid w:val="007C57F7"/>
    <w:rsid w:val="007C5846"/>
    <w:rsid w:val="007C58B2"/>
    <w:rsid w:val="007C597C"/>
    <w:rsid w:val="007C5A77"/>
    <w:rsid w:val="007C5A7C"/>
    <w:rsid w:val="007C5AF3"/>
    <w:rsid w:val="007C5D63"/>
    <w:rsid w:val="007C5E9F"/>
    <w:rsid w:val="007C5F1C"/>
    <w:rsid w:val="007C60DE"/>
    <w:rsid w:val="007C6197"/>
    <w:rsid w:val="007C61A2"/>
    <w:rsid w:val="007C6218"/>
    <w:rsid w:val="007C62A4"/>
    <w:rsid w:val="007C6338"/>
    <w:rsid w:val="007C636E"/>
    <w:rsid w:val="007C640B"/>
    <w:rsid w:val="007C6452"/>
    <w:rsid w:val="007C64A6"/>
    <w:rsid w:val="007C64B3"/>
    <w:rsid w:val="007C64D3"/>
    <w:rsid w:val="007C64E5"/>
    <w:rsid w:val="007C6511"/>
    <w:rsid w:val="007C6560"/>
    <w:rsid w:val="007C65AD"/>
    <w:rsid w:val="007C6626"/>
    <w:rsid w:val="007C668E"/>
    <w:rsid w:val="007C675B"/>
    <w:rsid w:val="007C6769"/>
    <w:rsid w:val="007C67E5"/>
    <w:rsid w:val="007C68CF"/>
    <w:rsid w:val="007C6A37"/>
    <w:rsid w:val="007C6AE2"/>
    <w:rsid w:val="007C6B4F"/>
    <w:rsid w:val="007C6BCE"/>
    <w:rsid w:val="007C6D04"/>
    <w:rsid w:val="007C6D3E"/>
    <w:rsid w:val="007C6D47"/>
    <w:rsid w:val="007C6DE7"/>
    <w:rsid w:val="007C6DE8"/>
    <w:rsid w:val="007C6F54"/>
    <w:rsid w:val="007C6F67"/>
    <w:rsid w:val="007C6F7A"/>
    <w:rsid w:val="007C6FB4"/>
    <w:rsid w:val="007C7028"/>
    <w:rsid w:val="007C7063"/>
    <w:rsid w:val="007C70C7"/>
    <w:rsid w:val="007C70CF"/>
    <w:rsid w:val="007C7139"/>
    <w:rsid w:val="007C72A7"/>
    <w:rsid w:val="007C72AE"/>
    <w:rsid w:val="007C736A"/>
    <w:rsid w:val="007C744F"/>
    <w:rsid w:val="007C7574"/>
    <w:rsid w:val="007C75AF"/>
    <w:rsid w:val="007C75BA"/>
    <w:rsid w:val="007C75F1"/>
    <w:rsid w:val="007C76BE"/>
    <w:rsid w:val="007C76C3"/>
    <w:rsid w:val="007C76C8"/>
    <w:rsid w:val="007C770F"/>
    <w:rsid w:val="007C786D"/>
    <w:rsid w:val="007C7877"/>
    <w:rsid w:val="007C78DA"/>
    <w:rsid w:val="007C7922"/>
    <w:rsid w:val="007C7930"/>
    <w:rsid w:val="007C7965"/>
    <w:rsid w:val="007C797D"/>
    <w:rsid w:val="007C799A"/>
    <w:rsid w:val="007C7A3A"/>
    <w:rsid w:val="007C7A5D"/>
    <w:rsid w:val="007C7AE8"/>
    <w:rsid w:val="007C7B22"/>
    <w:rsid w:val="007C7B7B"/>
    <w:rsid w:val="007C7BE3"/>
    <w:rsid w:val="007C7D48"/>
    <w:rsid w:val="007C7D4C"/>
    <w:rsid w:val="007C7DAE"/>
    <w:rsid w:val="007C7DC0"/>
    <w:rsid w:val="007C7E05"/>
    <w:rsid w:val="007C7EE8"/>
    <w:rsid w:val="007C7F8F"/>
    <w:rsid w:val="007C7FE3"/>
    <w:rsid w:val="007D0114"/>
    <w:rsid w:val="007D011A"/>
    <w:rsid w:val="007D0319"/>
    <w:rsid w:val="007D03C3"/>
    <w:rsid w:val="007D0401"/>
    <w:rsid w:val="007D0430"/>
    <w:rsid w:val="007D0468"/>
    <w:rsid w:val="007D04C6"/>
    <w:rsid w:val="007D04DC"/>
    <w:rsid w:val="007D0528"/>
    <w:rsid w:val="007D0543"/>
    <w:rsid w:val="007D0626"/>
    <w:rsid w:val="007D0671"/>
    <w:rsid w:val="007D06EA"/>
    <w:rsid w:val="007D070E"/>
    <w:rsid w:val="007D07D0"/>
    <w:rsid w:val="007D07DB"/>
    <w:rsid w:val="007D07FC"/>
    <w:rsid w:val="007D080E"/>
    <w:rsid w:val="007D0926"/>
    <w:rsid w:val="007D0931"/>
    <w:rsid w:val="007D095E"/>
    <w:rsid w:val="007D0ADC"/>
    <w:rsid w:val="007D0B27"/>
    <w:rsid w:val="007D0BBB"/>
    <w:rsid w:val="007D0C2E"/>
    <w:rsid w:val="007D0C65"/>
    <w:rsid w:val="007D0D84"/>
    <w:rsid w:val="007D0DDE"/>
    <w:rsid w:val="007D0DF4"/>
    <w:rsid w:val="007D0E1A"/>
    <w:rsid w:val="007D0E27"/>
    <w:rsid w:val="007D0E2C"/>
    <w:rsid w:val="007D0EB7"/>
    <w:rsid w:val="007D10A4"/>
    <w:rsid w:val="007D10C1"/>
    <w:rsid w:val="007D113E"/>
    <w:rsid w:val="007D1263"/>
    <w:rsid w:val="007D1369"/>
    <w:rsid w:val="007D13B4"/>
    <w:rsid w:val="007D14EE"/>
    <w:rsid w:val="007D161F"/>
    <w:rsid w:val="007D16CB"/>
    <w:rsid w:val="007D16F0"/>
    <w:rsid w:val="007D171A"/>
    <w:rsid w:val="007D174C"/>
    <w:rsid w:val="007D176A"/>
    <w:rsid w:val="007D1808"/>
    <w:rsid w:val="007D183A"/>
    <w:rsid w:val="007D185C"/>
    <w:rsid w:val="007D1861"/>
    <w:rsid w:val="007D18D6"/>
    <w:rsid w:val="007D190D"/>
    <w:rsid w:val="007D1C10"/>
    <w:rsid w:val="007D1C5A"/>
    <w:rsid w:val="007D1CA5"/>
    <w:rsid w:val="007D1DA1"/>
    <w:rsid w:val="007D1DD0"/>
    <w:rsid w:val="007D1E2A"/>
    <w:rsid w:val="007D1EEB"/>
    <w:rsid w:val="007D1F44"/>
    <w:rsid w:val="007D1FA1"/>
    <w:rsid w:val="007D2014"/>
    <w:rsid w:val="007D204F"/>
    <w:rsid w:val="007D2081"/>
    <w:rsid w:val="007D211C"/>
    <w:rsid w:val="007D222C"/>
    <w:rsid w:val="007D22FB"/>
    <w:rsid w:val="007D25C3"/>
    <w:rsid w:val="007D264C"/>
    <w:rsid w:val="007D275C"/>
    <w:rsid w:val="007D2762"/>
    <w:rsid w:val="007D279A"/>
    <w:rsid w:val="007D2878"/>
    <w:rsid w:val="007D2942"/>
    <w:rsid w:val="007D29AD"/>
    <w:rsid w:val="007D2A65"/>
    <w:rsid w:val="007D2AC9"/>
    <w:rsid w:val="007D2BA8"/>
    <w:rsid w:val="007D2BE7"/>
    <w:rsid w:val="007D2C17"/>
    <w:rsid w:val="007D2C24"/>
    <w:rsid w:val="007D2D02"/>
    <w:rsid w:val="007D2D92"/>
    <w:rsid w:val="007D2DED"/>
    <w:rsid w:val="007D2E59"/>
    <w:rsid w:val="007D2E5C"/>
    <w:rsid w:val="007D2E90"/>
    <w:rsid w:val="007D2F0D"/>
    <w:rsid w:val="007D2F15"/>
    <w:rsid w:val="007D2FAC"/>
    <w:rsid w:val="007D3027"/>
    <w:rsid w:val="007D315B"/>
    <w:rsid w:val="007D31DC"/>
    <w:rsid w:val="007D321C"/>
    <w:rsid w:val="007D33C9"/>
    <w:rsid w:val="007D3400"/>
    <w:rsid w:val="007D35EE"/>
    <w:rsid w:val="007D3601"/>
    <w:rsid w:val="007D36EF"/>
    <w:rsid w:val="007D3703"/>
    <w:rsid w:val="007D3773"/>
    <w:rsid w:val="007D37E6"/>
    <w:rsid w:val="007D3832"/>
    <w:rsid w:val="007D387F"/>
    <w:rsid w:val="007D388D"/>
    <w:rsid w:val="007D38BA"/>
    <w:rsid w:val="007D3906"/>
    <w:rsid w:val="007D3964"/>
    <w:rsid w:val="007D3979"/>
    <w:rsid w:val="007D39E3"/>
    <w:rsid w:val="007D3A73"/>
    <w:rsid w:val="007D3AA1"/>
    <w:rsid w:val="007D3AC6"/>
    <w:rsid w:val="007D3CCF"/>
    <w:rsid w:val="007D3D27"/>
    <w:rsid w:val="007D3D73"/>
    <w:rsid w:val="007D3DD7"/>
    <w:rsid w:val="007D3E2E"/>
    <w:rsid w:val="007D3EAE"/>
    <w:rsid w:val="007D3F26"/>
    <w:rsid w:val="007D3F95"/>
    <w:rsid w:val="007D3FE6"/>
    <w:rsid w:val="007D4099"/>
    <w:rsid w:val="007D40F0"/>
    <w:rsid w:val="007D41DE"/>
    <w:rsid w:val="007D421B"/>
    <w:rsid w:val="007D42DE"/>
    <w:rsid w:val="007D42E8"/>
    <w:rsid w:val="007D42EE"/>
    <w:rsid w:val="007D431F"/>
    <w:rsid w:val="007D4390"/>
    <w:rsid w:val="007D43DC"/>
    <w:rsid w:val="007D440C"/>
    <w:rsid w:val="007D4464"/>
    <w:rsid w:val="007D44B5"/>
    <w:rsid w:val="007D457C"/>
    <w:rsid w:val="007D4580"/>
    <w:rsid w:val="007D4583"/>
    <w:rsid w:val="007D48C1"/>
    <w:rsid w:val="007D4907"/>
    <w:rsid w:val="007D4947"/>
    <w:rsid w:val="007D4989"/>
    <w:rsid w:val="007D49AE"/>
    <w:rsid w:val="007D49F0"/>
    <w:rsid w:val="007D4A21"/>
    <w:rsid w:val="007D4BE5"/>
    <w:rsid w:val="007D4CD4"/>
    <w:rsid w:val="007D4D75"/>
    <w:rsid w:val="007D4D7C"/>
    <w:rsid w:val="007D4D9B"/>
    <w:rsid w:val="007D4DC9"/>
    <w:rsid w:val="007D4DDB"/>
    <w:rsid w:val="007D4E75"/>
    <w:rsid w:val="007D4E88"/>
    <w:rsid w:val="007D4F3F"/>
    <w:rsid w:val="007D5111"/>
    <w:rsid w:val="007D5169"/>
    <w:rsid w:val="007D51BE"/>
    <w:rsid w:val="007D5301"/>
    <w:rsid w:val="007D5324"/>
    <w:rsid w:val="007D5329"/>
    <w:rsid w:val="007D5402"/>
    <w:rsid w:val="007D546D"/>
    <w:rsid w:val="007D548C"/>
    <w:rsid w:val="007D554E"/>
    <w:rsid w:val="007D5689"/>
    <w:rsid w:val="007D585D"/>
    <w:rsid w:val="007D5893"/>
    <w:rsid w:val="007D58F4"/>
    <w:rsid w:val="007D5A04"/>
    <w:rsid w:val="007D5B7B"/>
    <w:rsid w:val="007D5B81"/>
    <w:rsid w:val="007D5BF7"/>
    <w:rsid w:val="007D5C1F"/>
    <w:rsid w:val="007D5C5F"/>
    <w:rsid w:val="007D5C9E"/>
    <w:rsid w:val="007D5CC4"/>
    <w:rsid w:val="007D5D51"/>
    <w:rsid w:val="007D5DEB"/>
    <w:rsid w:val="007D5E6F"/>
    <w:rsid w:val="007D5EBC"/>
    <w:rsid w:val="007D5FD9"/>
    <w:rsid w:val="007D6225"/>
    <w:rsid w:val="007D630F"/>
    <w:rsid w:val="007D63B4"/>
    <w:rsid w:val="007D63E1"/>
    <w:rsid w:val="007D6421"/>
    <w:rsid w:val="007D6429"/>
    <w:rsid w:val="007D642D"/>
    <w:rsid w:val="007D6819"/>
    <w:rsid w:val="007D6887"/>
    <w:rsid w:val="007D6897"/>
    <w:rsid w:val="007D69CC"/>
    <w:rsid w:val="007D69E2"/>
    <w:rsid w:val="007D69E5"/>
    <w:rsid w:val="007D6A7D"/>
    <w:rsid w:val="007D6B02"/>
    <w:rsid w:val="007D6B05"/>
    <w:rsid w:val="007D6BD1"/>
    <w:rsid w:val="007D6C0D"/>
    <w:rsid w:val="007D6C5A"/>
    <w:rsid w:val="007D6D0C"/>
    <w:rsid w:val="007D6D0D"/>
    <w:rsid w:val="007D6D85"/>
    <w:rsid w:val="007D6DB6"/>
    <w:rsid w:val="007D6EEE"/>
    <w:rsid w:val="007D6F05"/>
    <w:rsid w:val="007D6F27"/>
    <w:rsid w:val="007D6F42"/>
    <w:rsid w:val="007D6F5F"/>
    <w:rsid w:val="007D6F6B"/>
    <w:rsid w:val="007D6F72"/>
    <w:rsid w:val="007D6FA2"/>
    <w:rsid w:val="007D6FA5"/>
    <w:rsid w:val="007D6FDC"/>
    <w:rsid w:val="007D702F"/>
    <w:rsid w:val="007D7038"/>
    <w:rsid w:val="007D7074"/>
    <w:rsid w:val="007D70A4"/>
    <w:rsid w:val="007D7134"/>
    <w:rsid w:val="007D717E"/>
    <w:rsid w:val="007D7202"/>
    <w:rsid w:val="007D728E"/>
    <w:rsid w:val="007D72CE"/>
    <w:rsid w:val="007D7315"/>
    <w:rsid w:val="007D742E"/>
    <w:rsid w:val="007D7447"/>
    <w:rsid w:val="007D744D"/>
    <w:rsid w:val="007D750D"/>
    <w:rsid w:val="007D7612"/>
    <w:rsid w:val="007D762B"/>
    <w:rsid w:val="007D76D8"/>
    <w:rsid w:val="007D785F"/>
    <w:rsid w:val="007D78DC"/>
    <w:rsid w:val="007D7903"/>
    <w:rsid w:val="007D791B"/>
    <w:rsid w:val="007D7980"/>
    <w:rsid w:val="007D7C38"/>
    <w:rsid w:val="007D7C9C"/>
    <w:rsid w:val="007D7D12"/>
    <w:rsid w:val="007D7D39"/>
    <w:rsid w:val="007D7D47"/>
    <w:rsid w:val="007D7F91"/>
    <w:rsid w:val="007E0019"/>
    <w:rsid w:val="007E0048"/>
    <w:rsid w:val="007E010C"/>
    <w:rsid w:val="007E011C"/>
    <w:rsid w:val="007E01FE"/>
    <w:rsid w:val="007E0258"/>
    <w:rsid w:val="007E0281"/>
    <w:rsid w:val="007E0284"/>
    <w:rsid w:val="007E0321"/>
    <w:rsid w:val="007E0388"/>
    <w:rsid w:val="007E03B6"/>
    <w:rsid w:val="007E03BE"/>
    <w:rsid w:val="007E03FE"/>
    <w:rsid w:val="007E0493"/>
    <w:rsid w:val="007E0528"/>
    <w:rsid w:val="007E05AF"/>
    <w:rsid w:val="007E06FA"/>
    <w:rsid w:val="007E0704"/>
    <w:rsid w:val="007E0751"/>
    <w:rsid w:val="007E07A0"/>
    <w:rsid w:val="007E07E4"/>
    <w:rsid w:val="007E0923"/>
    <w:rsid w:val="007E09A8"/>
    <w:rsid w:val="007E09FD"/>
    <w:rsid w:val="007E0A6C"/>
    <w:rsid w:val="007E0A77"/>
    <w:rsid w:val="007E0B3B"/>
    <w:rsid w:val="007E0C86"/>
    <w:rsid w:val="007E0C94"/>
    <w:rsid w:val="007E0D0D"/>
    <w:rsid w:val="007E0EF1"/>
    <w:rsid w:val="007E102E"/>
    <w:rsid w:val="007E1124"/>
    <w:rsid w:val="007E1129"/>
    <w:rsid w:val="007E11D2"/>
    <w:rsid w:val="007E1247"/>
    <w:rsid w:val="007E1257"/>
    <w:rsid w:val="007E1424"/>
    <w:rsid w:val="007E1429"/>
    <w:rsid w:val="007E1437"/>
    <w:rsid w:val="007E145E"/>
    <w:rsid w:val="007E14FD"/>
    <w:rsid w:val="007E151D"/>
    <w:rsid w:val="007E15D6"/>
    <w:rsid w:val="007E1898"/>
    <w:rsid w:val="007E190F"/>
    <w:rsid w:val="007E19EB"/>
    <w:rsid w:val="007E1C3E"/>
    <w:rsid w:val="007E1CA5"/>
    <w:rsid w:val="007E1D0B"/>
    <w:rsid w:val="007E1D10"/>
    <w:rsid w:val="007E1D49"/>
    <w:rsid w:val="007E1D54"/>
    <w:rsid w:val="007E1D99"/>
    <w:rsid w:val="007E1E3B"/>
    <w:rsid w:val="007E1E94"/>
    <w:rsid w:val="007E1F1B"/>
    <w:rsid w:val="007E1F76"/>
    <w:rsid w:val="007E2090"/>
    <w:rsid w:val="007E20E2"/>
    <w:rsid w:val="007E2158"/>
    <w:rsid w:val="007E21EF"/>
    <w:rsid w:val="007E21FD"/>
    <w:rsid w:val="007E2277"/>
    <w:rsid w:val="007E22B4"/>
    <w:rsid w:val="007E232D"/>
    <w:rsid w:val="007E2386"/>
    <w:rsid w:val="007E2434"/>
    <w:rsid w:val="007E2502"/>
    <w:rsid w:val="007E257E"/>
    <w:rsid w:val="007E25E6"/>
    <w:rsid w:val="007E27BB"/>
    <w:rsid w:val="007E2ADE"/>
    <w:rsid w:val="007E2BAD"/>
    <w:rsid w:val="007E2BC1"/>
    <w:rsid w:val="007E2BF7"/>
    <w:rsid w:val="007E2CA8"/>
    <w:rsid w:val="007E2CB4"/>
    <w:rsid w:val="007E2CEB"/>
    <w:rsid w:val="007E2D36"/>
    <w:rsid w:val="007E2DA6"/>
    <w:rsid w:val="007E2E50"/>
    <w:rsid w:val="007E2E8A"/>
    <w:rsid w:val="007E2FA5"/>
    <w:rsid w:val="007E2FE4"/>
    <w:rsid w:val="007E30E7"/>
    <w:rsid w:val="007E317D"/>
    <w:rsid w:val="007E321E"/>
    <w:rsid w:val="007E325D"/>
    <w:rsid w:val="007E326E"/>
    <w:rsid w:val="007E32F0"/>
    <w:rsid w:val="007E342A"/>
    <w:rsid w:val="007E343A"/>
    <w:rsid w:val="007E345F"/>
    <w:rsid w:val="007E3478"/>
    <w:rsid w:val="007E3482"/>
    <w:rsid w:val="007E3497"/>
    <w:rsid w:val="007E35F5"/>
    <w:rsid w:val="007E37C5"/>
    <w:rsid w:val="007E3913"/>
    <w:rsid w:val="007E3946"/>
    <w:rsid w:val="007E3991"/>
    <w:rsid w:val="007E39AE"/>
    <w:rsid w:val="007E3A66"/>
    <w:rsid w:val="007E3AA2"/>
    <w:rsid w:val="007E3AA9"/>
    <w:rsid w:val="007E3B3B"/>
    <w:rsid w:val="007E3C00"/>
    <w:rsid w:val="007E3CA6"/>
    <w:rsid w:val="007E3D13"/>
    <w:rsid w:val="007E3D5A"/>
    <w:rsid w:val="007E3DC6"/>
    <w:rsid w:val="007E3DEF"/>
    <w:rsid w:val="007E3E46"/>
    <w:rsid w:val="007E3E6B"/>
    <w:rsid w:val="007E3F75"/>
    <w:rsid w:val="007E3F76"/>
    <w:rsid w:val="007E3F7A"/>
    <w:rsid w:val="007E3FA3"/>
    <w:rsid w:val="007E4166"/>
    <w:rsid w:val="007E4237"/>
    <w:rsid w:val="007E4343"/>
    <w:rsid w:val="007E435B"/>
    <w:rsid w:val="007E435D"/>
    <w:rsid w:val="007E43E8"/>
    <w:rsid w:val="007E440E"/>
    <w:rsid w:val="007E45B7"/>
    <w:rsid w:val="007E4621"/>
    <w:rsid w:val="007E4645"/>
    <w:rsid w:val="007E4649"/>
    <w:rsid w:val="007E464F"/>
    <w:rsid w:val="007E47BA"/>
    <w:rsid w:val="007E4849"/>
    <w:rsid w:val="007E4880"/>
    <w:rsid w:val="007E489F"/>
    <w:rsid w:val="007E4997"/>
    <w:rsid w:val="007E4B6B"/>
    <w:rsid w:val="007E4CE2"/>
    <w:rsid w:val="007E4D7F"/>
    <w:rsid w:val="007E4E13"/>
    <w:rsid w:val="007E5033"/>
    <w:rsid w:val="007E512D"/>
    <w:rsid w:val="007E5224"/>
    <w:rsid w:val="007E52B8"/>
    <w:rsid w:val="007E530A"/>
    <w:rsid w:val="007E5314"/>
    <w:rsid w:val="007E53C9"/>
    <w:rsid w:val="007E5452"/>
    <w:rsid w:val="007E55D4"/>
    <w:rsid w:val="007E5670"/>
    <w:rsid w:val="007E568B"/>
    <w:rsid w:val="007E5828"/>
    <w:rsid w:val="007E5881"/>
    <w:rsid w:val="007E5905"/>
    <w:rsid w:val="007E591B"/>
    <w:rsid w:val="007E5950"/>
    <w:rsid w:val="007E5995"/>
    <w:rsid w:val="007E5A0A"/>
    <w:rsid w:val="007E5A6E"/>
    <w:rsid w:val="007E5A7B"/>
    <w:rsid w:val="007E5AC7"/>
    <w:rsid w:val="007E5AF6"/>
    <w:rsid w:val="007E5B7F"/>
    <w:rsid w:val="007E5C2F"/>
    <w:rsid w:val="007E5C45"/>
    <w:rsid w:val="007E5C4E"/>
    <w:rsid w:val="007E5C6F"/>
    <w:rsid w:val="007E5C81"/>
    <w:rsid w:val="007E5DCF"/>
    <w:rsid w:val="007E5E04"/>
    <w:rsid w:val="007E5E42"/>
    <w:rsid w:val="007E5E4C"/>
    <w:rsid w:val="007E5EEF"/>
    <w:rsid w:val="007E5F17"/>
    <w:rsid w:val="007E5F85"/>
    <w:rsid w:val="007E5FBC"/>
    <w:rsid w:val="007E5FC5"/>
    <w:rsid w:val="007E5FCD"/>
    <w:rsid w:val="007E6099"/>
    <w:rsid w:val="007E60E2"/>
    <w:rsid w:val="007E610B"/>
    <w:rsid w:val="007E6164"/>
    <w:rsid w:val="007E6235"/>
    <w:rsid w:val="007E644A"/>
    <w:rsid w:val="007E659F"/>
    <w:rsid w:val="007E665E"/>
    <w:rsid w:val="007E666D"/>
    <w:rsid w:val="007E66BA"/>
    <w:rsid w:val="007E6753"/>
    <w:rsid w:val="007E6863"/>
    <w:rsid w:val="007E687A"/>
    <w:rsid w:val="007E68F7"/>
    <w:rsid w:val="007E693E"/>
    <w:rsid w:val="007E6999"/>
    <w:rsid w:val="007E69A1"/>
    <w:rsid w:val="007E6AD7"/>
    <w:rsid w:val="007E6C5E"/>
    <w:rsid w:val="007E6C72"/>
    <w:rsid w:val="007E6C9E"/>
    <w:rsid w:val="007E6E52"/>
    <w:rsid w:val="007E7068"/>
    <w:rsid w:val="007E7084"/>
    <w:rsid w:val="007E7151"/>
    <w:rsid w:val="007E729B"/>
    <w:rsid w:val="007E730E"/>
    <w:rsid w:val="007E74DA"/>
    <w:rsid w:val="007E750F"/>
    <w:rsid w:val="007E7583"/>
    <w:rsid w:val="007E7594"/>
    <w:rsid w:val="007E76FD"/>
    <w:rsid w:val="007E78B2"/>
    <w:rsid w:val="007E7A2A"/>
    <w:rsid w:val="007E7A73"/>
    <w:rsid w:val="007E7AB6"/>
    <w:rsid w:val="007E7AC7"/>
    <w:rsid w:val="007E7B30"/>
    <w:rsid w:val="007E7D75"/>
    <w:rsid w:val="007E7DD4"/>
    <w:rsid w:val="007E7E60"/>
    <w:rsid w:val="007E7E80"/>
    <w:rsid w:val="007E7EDF"/>
    <w:rsid w:val="007E7F12"/>
    <w:rsid w:val="007E7F31"/>
    <w:rsid w:val="007F0107"/>
    <w:rsid w:val="007F012A"/>
    <w:rsid w:val="007F0358"/>
    <w:rsid w:val="007F03B5"/>
    <w:rsid w:val="007F04AF"/>
    <w:rsid w:val="007F04BE"/>
    <w:rsid w:val="007F055D"/>
    <w:rsid w:val="007F063D"/>
    <w:rsid w:val="007F06F3"/>
    <w:rsid w:val="007F0764"/>
    <w:rsid w:val="007F080D"/>
    <w:rsid w:val="007F090A"/>
    <w:rsid w:val="007F0954"/>
    <w:rsid w:val="007F09AF"/>
    <w:rsid w:val="007F0A3F"/>
    <w:rsid w:val="007F0B35"/>
    <w:rsid w:val="007F0C22"/>
    <w:rsid w:val="007F0CD7"/>
    <w:rsid w:val="007F0D3A"/>
    <w:rsid w:val="007F0DBB"/>
    <w:rsid w:val="007F0E4C"/>
    <w:rsid w:val="007F1026"/>
    <w:rsid w:val="007F108F"/>
    <w:rsid w:val="007F10F3"/>
    <w:rsid w:val="007F118B"/>
    <w:rsid w:val="007F1283"/>
    <w:rsid w:val="007F12C9"/>
    <w:rsid w:val="007F12E3"/>
    <w:rsid w:val="007F1363"/>
    <w:rsid w:val="007F1456"/>
    <w:rsid w:val="007F1464"/>
    <w:rsid w:val="007F1478"/>
    <w:rsid w:val="007F14CB"/>
    <w:rsid w:val="007F14DF"/>
    <w:rsid w:val="007F1517"/>
    <w:rsid w:val="007F161A"/>
    <w:rsid w:val="007F1636"/>
    <w:rsid w:val="007F171B"/>
    <w:rsid w:val="007F173D"/>
    <w:rsid w:val="007F178A"/>
    <w:rsid w:val="007F17FB"/>
    <w:rsid w:val="007F1807"/>
    <w:rsid w:val="007F1908"/>
    <w:rsid w:val="007F1959"/>
    <w:rsid w:val="007F19D9"/>
    <w:rsid w:val="007F1A44"/>
    <w:rsid w:val="007F1A80"/>
    <w:rsid w:val="007F1B81"/>
    <w:rsid w:val="007F1C4F"/>
    <w:rsid w:val="007F1C9A"/>
    <w:rsid w:val="007F1CB2"/>
    <w:rsid w:val="007F1D05"/>
    <w:rsid w:val="007F1D0D"/>
    <w:rsid w:val="007F1D15"/>
    <w:rsid w:val="007F1D32"/>
    <w:rsid w:val="007F1D69"/>
    <w:rsid w:val="007F1D77"/>
    <w:rsid w:val="007F1E62"/>
    <w:rsid w:val="007F1F57"/>
    <w:rsid w:val="007F1FAA"/>
    <w:rsid w:val="007F204E"/>
    <w:rsid w:val="007F2093"/>
    <w:rsid w:val="007F2155"/>
    <w:rsid w:val="007F21E0"/>
    <w:rsid w:val="007F2233"/>
    <w:rsid w:val="007F229A"/>
    <w:rsid w:val="007F22AD"/>
    <w:rsid w:val="007F2302"/>
    <w:rsid w:val="007F234E"/>
    <w:rsid w:val="007F2413"/>
    <w:rsid w:val="007F2438"/>
    <w:rsid w:val="007F24BF"/>
    <w:rsid w:val="007F25EB"/>
    <w:rsid w:val="007F2694"/>
    <w:rsid w:val="007F26A7"/>
    <w:rsid w:val="007F26D0"/>
    <w:rsid w:val="007F274D"/>
    <w:rsid w:val="007F285F"/>
    <w:rsid w:val="007F2921"/>
    <w:rsid w:val="007F2A67"/>
    <w:rsid w:val="007F2BC0"/>
    <w:rsid w:val="007F2BCE"/>
    <w:rsid w:val="007F2C1B"/>
    <w:rsid w:val="007F2C27"/>
    <w:rsid w:val="007F2C59"/>
    <w:rsid w:val="007F2CE8"/>
    <w:rsid w:val="007F2E7B"/>
    <w:rsid w:val="007F2ED2"/>
    <w:rsid w:val="007F2F4B"/>
    <w:rsid w:val="007F3034"/>
    <w:rsid w:val="007F3110"/>
    <w:rsid w:val="007F3227"/>
    <w:rsid w:val="007F3283"/>
    <w:rsid w:val="007F32A1"/>
    <w:rsid w:val="007F3376"/>
    <w:rsid w:val="007F33F0"/>
    <w:rsid w:val="007F3462"/>
    <w:rsid w:val="007F3599"/>
    <w:rsid w:val="007F3604"/>
    <w:rsid w:val="007F373F"/>
    <w:rsid w:val="007F384D"/>
    <w:rsid w:val="007F3856"/>
    <w:rsid w:val="007F3953"/>
    <w:rsid w:val="007F3A57"/>
    <w:rsid w:val="007F3B57"/>
    <w:rsid w:val="007F3BB8"/>
    <w:rsid w:val="007F3BE3"/>
    <w:rsid w:val="007F3C0B"/>
    <w:rsid w:val="007F3C67"/>
    <w:rsid w:val="007F3D68"/>
    <w:rsid w:val="007F3DD6"/>
    <w:rsid w:val="007F3F2A"/>
    <w:rsid w:val="007F3FC3"/>
    <w:rsid w:val="007F3FDD"/>
    <w:rsid w:val="007F3FF2"/>
    <w:rsid w:val="007F40CF"/>
    <w:rsid w:val="007F412A"/>
    <w:rsid w:val="007F4198"/>
    <w:rsid w:val="007F441F"/>
    <w:rsid w:val="007F4533"/>
    <w:rsid w:val="007F45E1"/>
    <w:rsid w:val="007F4606"/>
    <w:rsid w:val="007F4660"/>
    <w:rsid w:val="007F47D6"/>
    <w:rsid w:val="007F4805"/>
    <w:rsid w:val="007F482F"/>
    <w:rsid w:val="007F483A"/>
    <w:rsid w:val="007F489D"/>
    <w:rsid w:val="007F48AE"/>
    <w:rsid w:val="007F4A27"/>
    <w:rsid w:val="007F4A89"/>
    <w:rsid w:val="007F4ADC"/>
    <w:rsid w:val="007F4B40"/>
    <w:rsid w:val="007F4B92"/>
    <w:rsid w:val="007F4BD8"/>
    <w:rsid w:val="007F4C09"/>
    <w:rsid w:val="007F4DA8"/>
    <w:rsid w:val="007F4DB4"/>
    <w:rsid w:val="007F50A0"/>
    <w:rsid w:val="007F50ED"/>
    <w:rsid w:val="007F5138"/>
    <w:rsid w:val="007F5171"/>
    <w:rsid w:val="007F5279"/>
    <w:rsid w:val="007F52CE"/>
    <w:rsid w:val="007F52F6"/>
    <w:rsid w:val="007F52FF"/>
    <w:rsid w:val="007F537A"/>
    <w:rsid w:val="007F5387"/>
    <w:rsid w:val="007F53A5"/>
    <w:rsid w:val="007F53BA"/>
    <w:rsid w:val="007F53C2"/>
    <w:rsid w:val="007F53F4"/>
    <w:rsid w:val="007F53F6"/>
    <w:rsid w:val="007F5440"/>
    <w:rsid w:val="007F5532"/>
    <w:rsid w:val="007F55A0"/>
    <w:rsid w:val="007F56B3"/>
    <w:rsid w:val="007F581B"/>
    <w:rsid w:val="007F5840"/>
    <w:rsid w:val="007F58DB"/>
    <w:rsid w:val="007F5979"/>
    <w:rsid w:val="007F5A6A"/>
    <w:rsid w:val="007F5B30"/>
    <w:rsid w:val="007F5B60"/>
    <w:rsid w:val="007F5BB0"/>
    <w:rsid w:val="007F5C06"/>
    <w:rsid w:val="007F5C76"/>
    <w:rsid w:val="007F5C9A"/>
    <w:rsid w:val="007F5D16"/>
    <w:rsid w:val="007F5D37"/>
    <w:rsid w:val="007F5F16"/>
    <w:rsid w:val="007F5F23"/>
    <w:rsid w:val="007F5F5F"/>
    <w:rsid w:val="007F6090"/>
    <w:rsid w:val="007F6111"/>
    <w:rsid w:val="007F6127"/>
    <w:rsid w:val="007F6297"/>
    <w:rsid w:val="007F6396"/>
    <w:rsid w:val="007F6419"/>
    <w:rsid w:val="007F64E9"/>
    <w:rsid w:val="007F6618"/>
    <w:rsid w:val="007F664A"/>
    <w:rsid w:val="007F6837"/>
    <w:rsid w:val="007F691D"/>
    <w:rsid w:val="007F69E4"/>
    <w:rsid w:val="007F6C59"/>
    <w:rsid w:val="007F6D2F"/>
    <w:rsid w:val="007F6E4F"/>
    <w:rsid w:val="007F6E5D"/>
    <w:rsid w:val="007F6E6C"/>
    <w:rsid w:val="007F6E7A"/>
    <w:rsid w:val="007F6F48"/>
    <w:rsid w:val="007F6F52"/>
    <w:rsid w:val="007F6F62"/>
    <w:rsid w:val="007F6F7B"/>
    <w:rsid w:val="007F6FB5"/>
    <w:rsid w:val="007F6FC9"/>
    <w:rsid w:val="007F6FDC"/>
    <w:rsid w:val="007F7054"/>
    <w:rsid w:val="007F70A4"/>
    <w:rsid w:val="007F70BE"/>
    <w:rsid w:val="007F70BF"/>
    <w:rsid w:val="007F70E2"/>
    <w:rsid w:val="007F70F0"/>
    <w:rsid w:val="007F7152"/>
    <w:rsid w:val="007F7153"/>
    <w:rsid w:val="007F7361"/>
    <w:rsid w:val="007F73D9"/>
    <w:rsid w:val="007F7513"/>
    <w:rsid w:val="007F7547"/>
    <w:rsid w:val="007F7590"/>
    <w:rsid w:val="007F7621"/>
    <w:rsid w:val="007F7642"/>
    <w:rsid w:val="007F77B0"/>
    <w:rsid w:val="007F77DA"/>
    <w:rsid w:val="007F7805"/>
    <w:rsid w:val="007F7877"/>
    <w:rsid w:val="007F7893"/>
    <w:rsid w:val="007F797A"/>
    <w:rsid w:val="007F79C9"/>
    <w:rsid w:val="007F7A43"/>
    <w:rsid w:val="007F7AE3"/>
    <w:rsid w:val="007F7B82"/>
    <w:rsid w:val="007F7B9F"/>
    <w:rsid w:val="007F7C6D"/>
    <w:rsid w:val="007F7CAF"/>
    <w:rsid w:val="007F7CFA"/>
    <w:rsid w:val="007F7DBC"/>
    <w:rsid w:val="007F7DFF"/>
    <w:rsid w:val="007F7EFB"/>
    <w:rsid w:val="007F7F46"/>
    <w:rsid w:val="007F7F49"/>
    <w:rsid w:val="007F7F5C"/>
    <w:rsid w:val="007F7F64"/>
    <w:rsid w:val="007F7F89"/>
    <w:rsid w:val="008000E4"/>
    <w:rsid w:val="00800190"/>
    <w:rsid w:val="008001FF"/>
    <w:rsid w:val="00800356"/>
    <w:rsid w:val="00800384"/>
    <w:rsid w:val="008003B0"/>
    <w:rsid w:val="008003F8"/>
    <w:rsid w:val="00800410"/>
    <w:rsid w:val="0080049F"/>
    <w:rsid w:val="00800688"/>
    <w:rsid w:val="00800792"/>
    <w:rsid w:val="0080087B"/>
    <w:rsid w:val="008008B9"/>
    <w:rsid w:val="008008EF"/>
    <w:rsid w:val="008008F1"/>
    <w:rsid w:val="008009B5"/>
    <w:rsid w:val="008009FA"/>
    <w:rsid w:val="00800A4E"/>
    <w:rsid w:val="00800A56"/>
    <w:rsid w:val="00800A5B"/>
    <w:rsid w:val="00800BBE"/>
    <w:rsid w:val="00800C48"/>
    <w:rsid w:val="00800C59"/>
    <w:rsid w:val="00800CE3"/>
    <w:rsid w:val="00800D4F"/>
    <w:rsid w:val="00800E45"/>
    <w:rsid w:val="00800EFC"/>
    <w:rsid w:val="00800FA9"/>
    <w:rsid w:val="008010B5"/>
    <w:rsid w:val="008010F6"/>
    <w:rsid w:val="008012B4"/>
    <w:rsid w:val="008012F5"/>
    <w:rsid w:val="00801320"/>
    <w:rsid w:val="00801325"/>
    <w:rsid w:val="00801378"/>
    <w:rsid w:val="008013A1"/>
    <w:rsid w:val="008014F0"/>
    <w:rsid w:val="008014FE"/>
    <w:rsid w:val="0080151A"/>
    <w:rsid w:val="0080152D"/>
    <w:rsid w:val="008015CE"/>
    <w:rsid w:val="008015F3"/>
    <w:rsid w:val="00801812"/>
    <w:rsid w:val="00801815"/>
    <w:rsid w:val="008019F2"/>
    <w:rsid w:val="00801A6D"/>
    <w:rsid w:val="00801B97"/>
    <w:rsid w:val="00801BCB"/>
    <w:rsid w:val="00801C1D"/>
    <w:rsid w:val="00801C21"/>
    <w:rsid w:val="00801C77"/>
    <w:rsid w:val="00801D11"/>
    <w:rsid w:val="00801D76"/>
    <w:rsid w:val="00801DB3"/>
    <w:rsid w:val="00801DF6"/>
    <w:rsid w:val="00801E04"/>
    <w:rsid w:val="00801E47"/>
    <w:rsid w:val="00801FE5"/>
    <w:rsid w:val="0080201F"/>
    <w:rsid w:val="0080209E"/>
    <w:rsid w:val="008020CC"/>
    <w:rsid w:val="008020EE"/>
    <w:rsid w:val="008020F1"/>
    <w:rsid w:val="0080210B"/>
    <w:rsid w:val="00802161"/>
    <w:rsid w:val="008021D1"/>
    <w:rsid w:val="00802349"/>
    <w:rsid w:val="0080236C"/>
    <w:rsid w:val="008023EA"/>
    <w:rsid w:val="00802507"/>
    <w:rsid w:val="008025A8"/>
    <w:rsid w:val="0080261C"/>
    <w:rsid w:val="0080262D"/>
    <w:rsid w:val="00802749"/>
    <w:rsid w:val="0080279F"/>
    <w:rsid w:val="008027F6"/>
    <w:rsid w:val="00802957"/>
    <w:rsid w:val="00802985"/>
    <w:rsid w:val="00802994"/>
    <w:rsid w:val="008029D4"/>
    <w:rsid w:val="008029E2"/>
    <w:rsid w:val="00802A39"/>
    <w:rsid w:val="00802AF6"/>
    <w:rsid w:val="00802B2C"/>
    <w:rsid w:val="00802C32"/>
    <w:rsid w:val="00802D2C"/>
    <w:rsid w:val="00802D42"/>
    <w:rsid w:val="00802D61"/>
    <w:rsid w:val="00802D6E"/>
    <w:rsid w:val="00802DD2"/>
    <w:rsid w:val="00802E40"/>
    <w:rsid w:val="00802FE5"/>
    <w:rsid w:val="0080305E"/>
    <w:rsid w:val="008030CC"/>
    <w:rsid w:val="008030F1"/>
    <w:rsid w:val="008031CF"/>
    <w:rsid w:val="0080332A"/>
    <w:rsid w:val="00803359"/>
    <w:rsid w:val="00803378"/>
    <w:rsid w:val="00803381"/>
    <w:rsid w:val="00803571"/>
    <w:rsid w:val="008035C1"/>
    <w:rsid w:val="008035E5"/>
    <w:rsid w:val="0080364F"/>
    <w:rsid w:val="0080368C"/>
    <w:rsid w:val="0080389B"/>
    <w:rsid w:val="00803A31"/>
    <w:rsid w:val="00803A3B"/>
    <w:rsid w:val="00803A4C"/>
    <w:rsid w:val="00803A6B"/>
    <w:rsid w:val="00803AEF"/>
    <w:rsid w:val="00803B39"/>
    <w:rsid w:val="00803B40"/>
    <w:rsid w:val="00803B7D"/>
    <w:rsid w:val="00803C3B"/>
    <w:rsid w:val="00803C7D"/>
    <w:rsid w:val="00803CCB"/>
    <w:rsid w:val="00803D3D"/>
    <w:rsid w:val="00803D81"/>
    <w:rsid w:val="00803DC3"/>
    <w:rsid w:val="00803DDE"/>
    <w:rsid w:val="00803EEE"/>
    <w:rsid w:val="00803F00"/>
    <w:rsid w:val="0080412D"/>
    <w:rsid w:val="0080423F"/>
    <w:rsid w:val="00804267"/>
    <w:rsid w:val="0080436D"/>
    <w:rsid w:val="008043B7"/>
    <w:rsid w:val="008043E7"/>
    <w:rsid w:val="008043F7"/>
    <w:rsid w:val="008044B9"/>
    <w:rsid w:val="00804558"/>
    <w:rsid w:val="00804565"/>
    <w:rsid w:val="00804567"/>
    <w:rsid w:val="00804624"/>
    <w:rsid w:val="00804649"/>
    <w:rsid w:val="008046D3"/>
    <w:rsid w:val="00804801"/>
    <w:rsid w:val="0080481A"/>
    <w:rsid w:val="0080482B"/>
    <w:rsid w:val="00804941"/>
    <w:rsid w:val="00804944"/>
    <w:rsid w:val="00804AFF"/>
    <w:rsid w:val="00804B00"/>
    <w:rsid w:val="00804B58"/>
    <w:rsid w:val="00804BB6"/>
    <w:rsid w:val="00804C2E"/>
    <w:rsid w:val="00804E39"/>
    <w:rsid w:val="00804E5F"/>
    <w:rsid w:val="00804E62"/>
    <w:rsid w:val="0080511C"/>
    <w:rsid w:val="008051EC"/>
    <w:rsid w:val="00805243"/>
    <w:rsid w:val="0080525E"/>
    <w:rsid w:val="0080532A"/>
    <w:rsid w:val="008053C2"/>
    <w:rsid w:val="008054DA"/>
    <w:rsid w:val="00805597"/>
    <w:rsid w:val="008055D5"/>
    <w:rsid w:val="0080581E"/>
    <w:rsid w:val="008058BE"/>
    <w:rsid w:val="0080594D"/>
    <w:rsid w:val="00805A6C"/>
    <w:rsid w:val="00805AF1"/>
    <w:rsid w:val="00805B03"/>
    <w:rsid w:val="00805BBD"/>
    <w:rsid w:val="00805CBF"/>
    <w:rsid w:val="00805D76"/>
    <w:rsid w:val="00805DEC"/>
    <w:rsid w:val="00805E55"/>
    <w:rsid w:val="00805E7C"/>
    <w:rsid w:val="00805EDD"/>
    <w:rsid w:val="00805F4D"/>
    <w:rsid w:val="0080602F"/>
    <w:rsid w:val="00806030"/>
    <w:rsid w:val="008060C1"/>
    <w:rsid w:val="008061AE"/>
    <w:rsid w:val="00806276"/>
    <w:rsid w:val="00806284"/>
    <w:rsid w:val="0080629F"/>
    <w:rsid w:val="0080645B"/>
    <w:rsid w:val="008064CB"/>
    <w:rsid w:val="0080656C"/>
    <w:rsid w:val="00806596"/>
    <w:rsid w:val="0080664E"/>
    <w:rsid w:val="0080666E"/>
    <w:rsid w:val="00806834"/>
    <w:rsid w:val="00806840"/>
    <w:rsid w:val="008068A4"/>
    <w:rsid w:val="00806993"/>
    <w:rsid w:val="00806A8C"/>
    <w:rsid w:val="00806AA6"/>
    <w:rsid w:val="00806C2E"/>
    <w:rsid w:val="00806C72"/>
    <w:rsid w:val="00806D55"/>
    <w:rsid w:val="00806D63"/>
    <w:rsid w:val="00806D8B"/>
    <w:rsid w:val="00806F9F"/>
    <w:rsid w:val="00806FD3"/>
    <w:rsid w:val="00807080"/>
    <w:rsid w:val="0080709A"/>
    <w:rsid w:val="00807215"/>
    <w:rsid w:val="00807376"/>
    <w:rsid w:val="008073A0"/>
    <w:rsid w:val="008074D4"/>
    <w:rsid w:val="00807502"/>
    <w:rsid w:val="008075B9"/>
    <w:rsid w:val="008075E3"/>
    <w:rsid w:val="00807678"/>
    <w:rsid w:val="008076BF"/>
    <w:rsid w:val="0080771B"/>
    <w:rsid w:val="00807884"/>
    <w:rsid w:val="00807B10"/>
    <w:rsid w:val="00807BE7"/>
    <w:rsid w:val="00807C6E"/>
    <w:rsid w:val="00807C79"/>
    <w:rsid w:val="00807CB7"/>
    <w:rsid w:val="00807D3C"/>
    <w:rsid w:val="00807DA0"/>
    <w:rsid w:val="00807DB6"/>
    <w:rsid w:val="00807F2D"/>
    <w:rsid w:val="00807F50"/>
    <w:rsid w:val="00810039"/>
    <w:rsid w:val="008100B9"/>
    <w:rsid w:val="0081025B"/>
    <w:rsid w:val="008102C8"/>
    <w:rsid w:val="008102EC"/>
    <w:rsid w:val="008102F0"/>
    <w:rsid w:val="00810498"/>
    <w:rsid w:val="0081055A"/>
    <w:rsid w:val="008105B5"/>
    <w:rsid w:val="008106AA"/>
    <w:rsid w:val="008106F7"/>
    <w:rsid w:val="00810793"/>
    <w:rsid w:val="008107BA"/>
    <w:rsid w:val="008107D8"/>
    <w:rsid w:val="008108A0"/>
    <w:rsid w:val="008108D1"/>
    <w:rsid w:val="0081090B"/>
    <w:rsid w:val="00810929"/>
    <w:rsid w:val="008109AC"/>
    <w:rsid w:val="008109E6"/>
    <w:rsid w:val="008109F2"/>
    <w:rsid w:val="00810A7B"/>
    <w:rsid w:val="00810BA3"/>
    <w:rsid w:val="00810CFC"/>
    <w:rsid w:val="00810D1A"/>
    <w:rsid w:val="00810D2D"/>
    <w:rsid w:val="00810E3C"/>
    <w:rsid w:val="00810E95"/>
    <w:rsid w:val="008111BD"/>
    <w:rsid w:val="0081131E"/>
    <w:rsid w:val="008113CA"/>
    <w:rsid w:val="008113D0"/>
    <w:rsid w:val="00811634"/>
    <w:rsid w:val="00811699"/>
    <w:rsid w:val="008116CF"/>
    <w:rsid w:val="00811756"/>
    <w:rsid w:val="00811782"/>
    <w:rsid w:val="00811811"/>
    <w:rsid w:val="0081181C"/>
    <w:rsid w:val="008119AE"/>
    <w:rsid w:val="00811A00"/>
    <w:rsid w:val="00811A6F"/>
    <w:rsid w:val="00811A70"/>
    <w:rsid w:val="00811C05"/>
    <w:rsid w:val="00811C08"/>
    <w:rsid w:val="00811CB9"/>
    <w:rsid w:val="00811D30"/>
    <w:rsid w:val="00811EEF"/>
    <w:rsid w:val="00811F5C"/>
    <w:rsid w:val="00811F9F"/>
    <w:rsid w:val="00812004"/>
    <w:rsid w:val="0081203E"/>
    <w:rsid w:val="008122FC"/>
    <w:rsid w:val="0081230F"/>
    <w:rsid w:val="00812387"/>
    <w:rsid w:val="008124E8"/>
    <w:rsid w:val="00812510"/>
    <w:rsid w:val="00812561"/>
    <w:rsid w:val="008125C9"/>
    <w:rsid w:val="0081260F"/>
    <w:rsid w:val="008126C9"/>
    <w:rsid w:val="0081277F"/>
    <w:rsid w:val="0081292C"/>
    <w:rsid w:val="00812A1C"/>
    <w:rsid w:val="00812B1B"/>
    <w:rsid w:val="00812B76"/>
    <w:rsid w:val="00812CFB"/>
    <w:rsid w:val="00812D09"/>
    <w:rsid w:val="00812D13"/>
    <w:rsid w:val="00812D64"/>
    <w:rsid w:val="00812D8B"/>
    <w:rsid w:val="00812DCD"/>
    <w:rsid w:val="00812E2D"/>
    <w:rsid w:val="00812F9B"/>
    <w:rsid w:val="0081307D"/>
    <w:rsid w:val="008130E3"/>
    <w:rsid w:val="00813131"/>
    <w:rsid w:val="00813194"/>
    <w:rsid w:val="008131A3"/>
    <w:rsid w:val="0081321E"/>
    <w:rsid w:val="00813260"/>
    <w:rsid w:val="00813270"/>
    <w:rsid w:val="008132AD"/>
    <w:rsid w:val="0081347B"/>
    <w:rsid w:val="00813517"/>
    <w:rsid w:val="0081355D"/>
    <w:rsid w:val="00813602"/>
    <w:rsid w:val="0081361A"/>
    <w:rsid w:val="008136C7"/>
    <w:rsid w:val="008136D5"/>
    <w:rsid w:val="008137B2"/>
    <w:rsid w:val="008137F4"/>
    <w:rsid w:val="0081387F"/>
    <w:rsid w:val="0081394D"/>
    <w:rsid w:val="00813966"/>
    <w:rsid w:val="00813B80"/>
    <w:rsid w:val="00813B95"/>
    <w:rsid w:val="00813BCD"/>
    <w:rsid w:val="00813C2B"/>
    <w:rsid w:val="00813DD9"/>
    <w:rsid w:val="00813DFB"/>
    <w:rsid w:val="00813E1E"/>
    <w:rsid w:val="00813E27"/>
    <w:rsid w:val="00813E37"/>
    <w:rsid w:val="00813EBA"/>
    <w:rsid w:val="00813EF9"/>
    <w:rsid w:val="00813F71"/>
    <w:rsid w:val="008140F5"/>
    <w:rsid w:val="00814108"/>
    <w:rsid w:val="0081419D"/>
    <w:rsid w:val="008142CE"/>
    <w:rsid w:val="0081432D"/>
    <w:rsid w:val="00814375"/>
    <w:rsid w:val="008143AA"/>
    <w:rsid w:val="008143F3"/>
    <w:rsid w:val="0081451E"/>
    <w:rsid w:val="0081452B"/>
    <w:rsid w:val="00814564"/>
    <w:rsid w:val="0081472D"/>
    <w:rsid w:val="00814736"/>
    <w:rsid w:val="008147D5"/>
    <w:rsid w:val="00814883"/>
    <w:rsid w:val="00814994"/>
    <w:rsid w:val="008149F0"/>
    <w:rsid w:val="00814A53"/>
    <w:rsid w:val="00814A80"/>
    <w:rsid w:val="00814BFC"/>
    <w:rsid w:val="00814C0F"/>
    <w:rsid w:val="00814C6C"/>
    <w:rsid w:val="00814F3A"/>
    <w:rsid w:val="00814FF0"/>
    <w:rsid w:val="00815086"/>
    <w:rsid w:val="008150E0"/>
    <w:rsid w:val="008150F1"/>
    <w:rsid w:val="00815111"/>
    <w:rsid w:val="00815131"/>
    <w:rsid w:val="0081517B"/>
    <w:rsid w:val="00815197"/>
    <w:rsid w:val="008152B9"/>
    <w:rsid w:val="008152FF"/>
    <w:rsid w:val="0081537C"/>
    <w:rsid w:val="008153A8"/>
    <w:rsid w:val="00815479"/>
    <w:rsid w:val="00815483"/>
    <w:rsid w:val="0081548C"/>
    <w:rsid w:val="008154D1"/>
    <w:rsid w:val="00815513"/>
    <w:rsid w:val="00815529"/>
    <w:rsid w:val="0081558A"/>
    <w:rsid w:val="00815675"/>
    <w:rsid w:val="008156A1"/>
    <w:rsid w:val="008156DE"/>
    <w:rsid w:val="008157B2"/>
    <w:rsid w:val="008158AD"/>
    <w:rsid w:val="008158C3"/>
    <w:rsid w:val="008158C8"/>
    <w:rsid w:val="00815B56"/>
    <w:rsid w:val="00815BA4"/>
    <w:rsid w:val="00815D26"/>
    <w:rsid w:val="00815E4C"/>
    <w:rsid w:val="00815E4E"/>
    <w:rsid w:val="00815F3B"/>
    <w:rsid w:val="00815F65"/>
    <w:rsid w:val="00815F75"/>
    <w:rsid w:val="00815FD9"/>
    <w:rsid w:val="00815FFD"/>
    <w:rsid w:val="00816078"/>
    <w:rsid w:val="0081608F"/>
    <w:rsid w:val="008161A1"/>
    <w:rsid w:val="008162EF"/>
    <w:rsid w:val="0081637E"/>
    <w:rsid w:val="0081649C"/>
    <w:rsid w:val="008164C7"/>
    <w:rsid w:val="0081650F"/>
    <w:rsid w:val="00816594"/>
    <w:rsid w:val="008165CF"/>
    <w:rsid w:val="0081664E"/>
    <w:rsid w:val="0081671D"/>
    <w:rsid w:val="008167B9"/>
    <w:rsid w:val="008167E7"/>
    <w:rsid w:val="00816838"/>
    <w:rsid w:val="00816909"/>
    <w:rsid w:val="00816933"/>
    <w:rsid w:val="00816AEE"/>
    <w:rsid w:val="00816B5D"/>
    <w:rsid w:val="00816BEF"/>
    <w:rsid w:val="00816C11"/>
    <w:rsid w:val="00816F25"/>
    <w:rsid w:val="00816F48"/>
    <w:rsid w:val="00816F5D"/>
    <w:rsid w:val="00816FC5"/>
    <w:rsid w:val="00816FD3"/>
    <w:rsid w:val="00816FD5"/>
    <w:rsid w:val="0081701D"/>
    <w:rsid w:val="008170CC"/>
    <w:rsid w:val="00817101"/>
    <w:rsid w:val="00817161"/>
    <w:rsid w:val="0081723F"/>
    <w:rsid w:val="0081726B"/>
    <w:rsid w:val="008172A3"/>
    <w:rsid w:val="008172A8"/>
    <w:rsid w:val="00817306"/>
    <w:rsid w:val="0081733C"/>
    <w:rsid w:val="00817341"/>
    <w:rsid w:val="0081743C"/>
    <w:rsid w:val="00817449"/>
    <w:rsid w:val="008174B6"/>
    <w:rsid w:val="00817579"/>
    <w:rsid w:val="0081758E"/>
    <w:rsid w:val="008175E7"/>
    <w:rsid w:val="00817783"/>
    <w:rsid w:val="00817799"/>
    <w:rsid w:val="00817859"/>
    <w:rsid w:val="008178AC"/>
    <w:rsid w:val="008178C7"/>
    <w:rsid w:val="00817917"/>
    <w:rsid w:val="00817927"/>
    <w:rsid w:val="0081796F"/>
    <w:rsid w:val="008179D8"/>
    <w:rsid w:val="00817AAB"/>
    <w:rsid w:val="00817AFE"/>
    <w:rsid w:val="00817B8B"/>
    <w:rsid w:val="00817BD0"/>
    <w:rsid w:val="00817C8C"/>
    <w:rsid w:val="00817D01"/>
    <w:rsid w:val="00817E67"/>
    <w:rsid w:val="00817FCE"/>
    <w:rsid w:val="0082005F"/>
    <w:rsid w:val="008200F7"/>
    <w:rsid w:val="00820120"/>
    <w:rsid w:val="0082023D"/>
    <w:rsid w:val="0082024C"/>
    <w:rsid w:val="0082025D"/>
    <w:rsid w:val="00820269"/>
    <w:rsid w:val="00820297"/>
    <w:rsid w:val="008202FB"/>
    <w:rsid w:val="008203C0"/>
    <w:rsid w:val="008203C6"/>
    <w:rsid w:val="00820608"/>
    <w:rsid w:val="008206B6"/>
    <w:rsid w:val="00820776"/>
    <w:rsid w:val="00820840"/>
    <w:rsid w:val="00820857"/>
    <w:rsid w:val="00820B75"/>
    <w:rsid w:val="00820B7B"/>
    <w:rsid w:val="00820C67"/>
    <w:rsid w:val="00820D08"/>
    <w:rsid w:val="00820E15"/>
    <w:rsid w:val="00820E3C"/>
    <w:rsid w:val="00820F04"/>
    <w:rsid w:val="00820FA5"/>
    <w:rsid w:val="0082102B"/>
    <w:rsid w:val="0082102F"/>
    <w:rsid w:val="00821071"/>
    <w:rsid w:val="00821188"/>
    <w:rsid w:val="0082122B"/>
    <w:rsid w:val="0082127F"/>
    <w:rsid w:val="00821393"/>
    <w:rsid w:val="008213C8"/>
    <w:rsid w:val="0082144B"/>
    <w:rsid w:val="008214C5"/>
    <w:rsid w:val="00821541"/>
    <w:rsid w:val="0082154A"/>
    <w:rsid w:val="008215AF"/>
    <w:rsid w:val="00821612"/>
    <w:rsid w:val="00821642"/>
    <w:rsid w:val="0082164F"/>
    <w:rsid w:val="00821898"/>
    <w:rsid w:val="008218CE"/>
    <w:rsid w:val="0082190B"/>
    <w:rsid w:val="0082193C"/>
    <w:rsid w:val="00821959"/>
    <w:rsid w:val="008219A7"/>
    <w:rsid w:val="008219DD"/>
    <w:rsid w:val="00821AEA"/>
    <w:rsid w:val="00821B2E"/>
    <w:rsid w:val="00821B67"/>
    <w:rsid w:val="00821BC2"/>
    <w:rsid w:val="00821BF7"/>
    <w:rsid w:val="00821CAB"/>
    <w:rsid w:val="00821CF3"/>
    <w:rsid w:val="00821DDF"/>
    <w:rsid w:val="00821E46"/>
    <w:rsid w:val="00821F5D"/>
    <w:rsid w:val="00821F97"/>
    <w:rsid w:val="00822002"/>
    <w:rsid w:val="0082207E"/>
    <w:rsid w:val="00822105"/>
    <w:rsid w:val="00822155"/>
    <w:rsid w:val="00822160"/>
    <w:rsid w:val="0082221B"/>
    <w:rsid w:val="008222A8"/>
    <w:rsid w:val="008222A9"/>
    <w:rsid w:val="0082230D"/>
    <w:rsid w:val="0082234F"/>
    <w:rsid w:val="008223C6"/>
    <w:rsid w:val="00822418"/>
    <w:rsid w:val="0082243A"/>
    <w:rsid w:val="00822598"/>
    <w:rsid w:val="00822601"/>
    <w:rsid w:val="008226F9"/>
    <w:rsid w:val="00822728"/>
    <w:rsid w:val="00822873"/>
    <w:rsid w:val="00822897"/>
    <w:rsid w:val="008229C0"/>
    <w:rsid w:val="00822A8C"/>
    <w:rsid w:val="00822C68"/>
    <w:rsid w:val="00822D05"/>
    <w:rsid w:val="00822D19"/>
    <w:rsid w:val="00822D24"/>
    <w:rsid w:val="00822DE4"/>
    <w:rsid w:val="00822E15"/>
    <w:rsid w:val="00822E7F"/>
    <w:rsid w:val="00822F18"/>
    <w:rsid w:val="00822FBB"/>
    <w:rsid w:val="0082300D"/>
    <w:rsid w:val="00823091"/>
    <w:rsid w:val="008230AB"/>
    <w:rsid w:val="00823184"/>
    <w:rsid w:val="0082327A"/>
    <w:rsid w:val="00823339"/>
    <w:rsid w:val="00823368"/>
    <w:rsid w:val="008233D1"/>
    <w:rsid w:val="00823420"/>
    <w:rsid w:val="00823485"/>
    <w:rsid w:val="008234CF"/>
    <w:rsid w:val="00823548"/>
    <w:rsid w:val="00823550"/>
    <w:rsid w:val="0082357F"/>
    <w:rsid w:val="00823639"/>
    <w:rsid w:val="00823660"/>
    <w:rsid w:val="00823690"/>
    <w:rsid w:val="00823756"/>
    <w:rsid w:val="00823795"/>
    <w:rsid w:val="008237A1"/>
    <w:rsid w:val="00823960"/>
    <w:rsid w:val="008239ED"/>
    <w:rsid w:val="00823A2A"/>
    <w:rsid w:val="00823A83"/>
    <w:rsid w:val="00823AE1"/>
    <w:rsid w:val="00823AEB"/>
    <w:rsid w:val="00823B9C"/>
    <w:rsid w:val="00823C00"/>
    <w:rsid w:val="00823CAB"/>
    <w:rsid w:val="00823D54"/>
    <w:rsid w:val="00823E4D"/>
    <w:rsid w:val="00823E77"/>
    <w:rsid w:val="00823EC0"/>
    <w:rsid w:val="00823FAC"/>
    <w:rsid w:val="00823FD8"/>
    <w:rsid w:val="00824261"/>
    <w:rsid w:val="00824445"/>
    <w:rsid w:val="0082456C"/>
    <w:rsid w:val="00824634"/>
    <w:rsid w:val="00824911"/>
    <w:rsid w:val="00824979"/>
    <w:rsid w:val="00824990"/>
    <w:rsid w:val="008249A4"/>
    <w:rsid w:val="008249CE"/>
    <w:rsid w:val="00824A2B"/>
    <w:rsid w:val="00824A64"/>
    <w:rsid w:val="00824BA7"/>
    <w:rsid w:val="00824D22"/>
    <w:rsid w:val="00824D46"/>
    <w:rsid w:val="00824DE4"/>
    <w:rsid w:val="00824ECB"/>
    <w:rsid w:val="00824F5C"/>
    <w:rsid w:val="00824F64"/>
    <w:rsid w:val="00824F84"/>
    <w:rsid w:val="00824FEB"/>
    <w:rsid w:val="00825077"/>
    <w:rsid w:val="0082510C"/>
    <w:rsid w:val="00825140"/>
    <w:rsid w:val="00825336"/>
    <w:rsid w:val="008253AA"/>
    <w:rsid w:val="0082540C"/>
    <w:rsid w:val="00825696"/>
    <w:rsid w:val="008257FB"/>
    <w:rsid w:val="0082581C"/>
    <w:rsid w:val="00825897"/>
    <w:rsid w:val="008258DB"/>
    <w:rsid w:val="0082595D"/>
    <w:rsid w:val="00825C40"/>
    <w:rsid w:val="00825CA3"/>
    <w:rsid w:val="00825CB3"/>
    <w:rsid w:val="00825D1D"/>
    <w:rsid w:val="00825D57"/>
    <w:rsid w:val="00825DC1"/>
    <w:rsid w:val="00825E04"/>
    <w:rsid w:val="00825E8A"/>
    <w:rsid w:val="00825FD6"/>
    <w:rsid w:val="00826146"/>
    <w:rsid w:val="00826172"/>
    <w:rsid w:val="008261B9"/>
    <w:rsid w:val="008261FC"/>
    <w:rsid w:val="0082624E"/>
    <w:rsid w:val="0082636D"/>
    <w:rsid w:val="008263A5"/>
    <w:rsid w:val="008263F8"/>
    <w:rsid w:val="0082641F"/>
    <w:rsid w:val="00826435"/>
    <w:rsid w:val="00826499"/>
    <w:rsid w:val="00826624"/>
    <w:rsid w:val="00826675"/>
    <w:rsid w:val="00826678"/>
    <w:rsid w:val="0082667A"/>
    <w:rsid w:val="0082675D"/>
    <w:rsid w:val="0082681F"/>
    <w:rsid w:val="008268A8"/>
    <w:rsid w:val="00826918"/>
    <w:rsid w:val="008269ED"/>
    <w:rsid w:val="00826A66"/>
    <w:rsid w:val="00826A93"/>
    <w:rsid w:val="00826B11"/>
    <w:rsid w:val="00826BDC"/>
    <w:rsid w:val="00826C24"/>
    <w:rsid w:val="00826D6A"/>
    <w:rsid w:val="00826F2D"/>
    <w:rsid w:val="00826FD3"/>
    <w:rsid w:val="0082709B"/>
    <w:rsid w:val="00827150"/>
    <w:rsid w:val="008271FF"/>
    <w:rsid w:val="0082727B"/>
    <w:rsid w:val="008272A9"/>
    <w:rsid w:val="008272AB"/>
    <w:rsid w:val="0082736C"/>
    <w:rsid w:val="00827374"/>
    <w:rsid w:val="008273E0"/>
    <w:rsid w:val="00827426"/>
    <w:rsid w:val="00827516"/>
    <w:rsid w:val="00827598"/>
    <w:rsid w:val="0082759C"/>
    <w:rsid w:val="00827635"/>
    <w:rsid w:val="00827847"/>
    <w:rsid w:val="008278F5"/>
    <w:rsid w:val="00827909"/>
    <w:rsid w:val="0082796A"/>
    <w:rsid w:val="00827972"/>
    <w:rsid w:val="00827992"/>
    <w:rsid w:val="008279BE"/>
    <w:rsid w:val="008279DA"/>
    <w:rsid w:val="00827A55"/>
    <w:rsid w:val="00827A73"/>
    <w:rsid w:val="00827AC9"/>
    <w:rsid w:val="00827AD5"/>
    <w:rsid w:val="00827C41"/>
    <w:rsid w:val="00827C65"/>
    <w:rsid w:val="00827E55"/>
    <w:rsid w:val="00827E71"/>
    <w:rsid w:val="00827E7C"/>
    <w:rsid w:val="00827EEF"/>
    <w:rsid w:val="00827FCF"/>
    <w:rsid w:val="00830081"/>
    <w:rsid w:val="0083008B"/>
    <w:rsid w:val="008300A8"/>
    <w:rsid w:val="008300B6"/>
    <w:rsid w:val="0083012B"/>
    <w:rsid w:val="00830178"/>
    <w:rsid w:val="0083018A"/>
    <w:rsid w:val="00830263"/>
    <w:rsid w:val="0083027B"/>
    <w:rsid w:val="0083029C"/>
    <w:rsid w:val="008303A3"/>
    <w:rsid w:val="008303DC"/>
    <w:rsid w:val="00830415"/>
    <w:rsid w:val="00830594"/>
    <w:rsid w:val="0083064F"/>
    <w:rsid w:val="00830662"/>
    <w:rsid w:val="00830712"/>
    <w:rsid w:val="00830716"/>
    <w:rsid w:val="00830783"/>
    <w:rsid w:val="00830822"/>
    <w:rsid w:val="00830892"/>
    <w:rsid w:val="00830952"/>
    <w:rsid w:val="00830B9C"/>
    <w:rsid w:val="00830D74"/>
    <w:rsid w:val="00830E45"/>
    <w:rsid w:val="00830EDF"/>
    <w:rsid w:val="00830EEC"/>
    <w:rsid w:val="00831082"/>
    <w:rsid w:val="008311C7"/>
    <w:rsid w:val="00831252"/>
    <w:rsid w:val="00831499"/>
    <w:rsid w:val="008316A4"/>
    <w:rsid w:val="008316B8"/>
    <w:rsid w:val="0083177C"/>
    <w:rsid w:val="0083178C"/>
    <w:rsid w:val="008317E8"/>
    <w:rsid w:val="008317EE"/>
    <w:rsid w:val="0083184D"/>
    <w:rsid w:val="00831899"/>
    <w:rsid w:val="008318DE"/>
    <w:rsid w:val="0083190A"/>
    <w:rsid w:val="008319FD"/>
    <w:rsid w:val="00831A92"/>
    <w:rsid w:val="00831B7B"/>
    <w:rsid w:val="00831C1F"/>
    <w:rsid w:val="00831C25"/>
    <w:rsid w:val="00831C82"/>
    <w:rsid w:val="00831CA9"/>
    <w:rsid w:val="00831CDD"/>
    <w:rsid w:val="00831D2E"/>
    <w:rsid w:val="00831DBF"/>
    <w:rsid w:val="00831EE1"/>
    <w:rsid w:val="00831F34"/>
    <w:rsid w:val="00831F4D"/>
    <w:rsid w:val="00831F52"/>
    <w:rsid w:val="00831F59"/>
    <w:rsid w:val="00831FA5"/>
    <w:rsid w:val="00831FD5"/>
    <w:rsid w:val="0083204C"/>
    <w:rsid w:val="00832093"/>
    <w:rsid w:val="008321DA"/>
    <w:rsid w:val="00832246"/>
    <w:rsid w:val="00832262"/>
    <w:rsid w:val="008322DD"/>
    <w:rsid w:val="008322F5"/>
    <w:rsid w:val="00832363"/>
    <w:rsid w:val="00832451"/>
    <w:rsid w:val="00832566"/>
    <w:rsid w:val="00832599"/>
    <w:rsid w:val="008326D1"/>
    <w:rsid w:val="008327CB"/>
    <w:rsid w:val="008327FF"/>
    <w:rsid w:val="0083281B"/>
    <w:rsid w:val="00832822"/>
    <w:rsid w:val="00832966"/>
    <w:rsid w:val="008329A9"/>
    <w:rsid w:val="00832A62"/>
    <w:rsid w:val="00832A88"/>
    <w:rsid w:val="00832AD4"/>
    <w:rsid w:val="00832AE9"/>
    <w:rsid w:val="00832BDA"/>
    <w:rsid w:val="00832BDD"/>
    <w:rsid w:val="00832BF4"/>
    <w:rsid w:val="00832BFD"/>
    <w:rsid w:val="00832C15"/>
    <w:rsid w:val="00832DF9"/>
    <w:rsid w:val="00832E7D"/>
    <w:rsid w:val="00832E8C"/>
    <w:rsid w:val="00832EEB"/>
    <w:rsid w:val="00832EF1"/>
    <w:rsid w:val="00832F0B"/>
    <w:rsid w:val="00832F2B"/>
    <w:rsid w:val="00833004"/>
    <w:rsid w:val="00833081"/>
    <w:rsid w:val="00833131"/>
    <w:rsid w:val="008331D6"/>
    <w:rsid w:val="008332E2"/>
    <w:rsid w:val="0083338B"/>
    <w:rsid w:val="008333B8"/>
    <w:rsid w:val="00833452"/>
    <w:rsid w:val="008336EA"/>
    <w:rsid w:val="00833701"/>
    <w:rsid w:val="0083372B"/>
    <w:rsid w:val="008338BE"/>
    <w:rsid w:val="00833A2C"/>
    <w:rsid w:val="00833B29"/>
    <w:rsid w:val="00833B44"/>
    <w:rsid w:val="00833B7F"/>
    <w:rsid w:val="00833C42"/>
    <w:rsid w:val="00833C52"/>
    <w:rsid w:val="00833C97"/>
    <w:rsid w:val="00833D69"/>
    <w:rsid w:val="00833F90"/>
    <w:rsid w:val="0083418B"/>
    <w:rsid w:val="008341EC"/>
    <w:rsid w:val="008342BA"/>
    <w:rsid w:val="008342C9"/>
    <w:rsid w:val="008342FA"/>
    <w:rsid w:val="00834315"/>
    <w:rsid w:val="008343C2"/>
    <w:rsid w:val="0083440C"/>
    <w:rsid w:val="0083455F"/>
    <w:rsid w:val="008346EF"/>
    <w:rsid w:val="00834714"/>
    <w:rsid w:val="00834772"/>
    <w:rsid w:val="0083478B"/>
    <w:rsid w:val="0083478D"/>
    <w:rsid w:val="00834920"/>
    <w:rsid w:val="008349E8"/>
    <w:rsid w:val="00834B7C"/>
    <w:rsid w:val="00834C2B"/>
    <w:rsid w:val="00834CF2"/>
    <w:rsid w:val="00834D15"/>
    <w:rsid w:val="00834D19"/>
    <w:rsid w:val="00834D1F"/>
    <w:rsid w:val="00834DBE"/>
    <w:rsid w:val="00834E14"/>
    <w:rsid w:val="00834EED"/>
    <w:rsid w:val="00834EF0"/>
    <w:rsid w:val="00834F55"/>
    <w:rsid w:val="00834F9D"/>
    <w:rsid w:val="00834FDD"/>
    <w:rsid w:val="00834FF4"/>
    <w:rsid w:val="008351E2"/>
    <w:rsid w:val="00835258"/>
    <w:rsid w:val="0083525F"/>
    <w:rsid w:val="008352FD"/>
    <w:rsid w:val="00835557"/>
    <w:rsid w:val="0083562F"/>
    <w:rsid w:val="00835639"/>
    <w:rsid w:val="008356A2"/>
    <w:rsid w:val="00835725"/>
    <w:rsid w:val="008357D0"/>
    <w:rsid w:val="0083589D"/>
    <w:rsid w:val="00835990"/>
    <w:rsid w:val="008359C4"/>
    <w:rsid w:val="00835A31"/>
    <w:rsid w:val="00835A5C"/>
    <w:rsid w:val="00835C43"/>
    <w:rsid w:val="00835C6C"/>
    <w:rsid w:val="00835C6E"/>
    <w:rsid w:val="00835D42"/>
    <w:rsid w:val="00835DD2"/>
    <w:rsid w:val="00835E6B"/>
    <w:rsid w:val="00835F0C"/>
    <w:rsid w:val="00835F0F"/>
    <w:rsid w:val="00835F78"/>
    <w:rsid w:val="00836041"/>
    <w:rsid w:val="008360B8"/>
    <w:rsid w:val="008360D3"/>
    <w:rsid w:val="00836140"/>
    <w:rsid w:val="00836289"/>
    <w:rsid w:val="0083633B"/>
    <w:rsid w:val="00836340"/>
    <w:rsid w:val="008363D9"/>
    <w:rsid w:val="00836492"/>
    <w:rsid w:val="008366E5"/>
    <w:rsid w:val="00836742"/>
    <w:rsid w:val="00836744"/>
    <w:rsid w:val="00836763"/>
    <w:rsid w:val="008367A8"/>
    <w:rsid w:val="008367B2"/>
    <w:rsid w:val="008367C9"/>
    <w:rsid w:val="0083680B"/>
    <w:rsid w:val="0083692B"/>
    <w:rsid w:val="008369F8"/>
    <w:rsid w:val="00836AD8"/>
    <w:rsid w:val="00836BAD"/>
    <w:rsid w:val="00836BEE"/>
    <w:rsid w:val="00836C90"/>
    <w:rsid w:val="00836CD6"/>
    <w:rsid w:val="00836E20"/>
    <w:rsid w:val="00836E65"/>
    <w:rsid w:val="00836EAA"/>
    <w:rsid w:val="00836F48"/>
    <w:rsid w:val="00837006"/>
    <w:rsid w:val="0083710C"/>
    <w:rsid w:val="008371DD"/>
    <w:rsid w:val="0083722D"/>
    <w:rsid w:val="0083722F"/>
    <w:rsid w:val="008372BD"/>
    <w:rsid w:val="0083750F"/>
    <w:rsid w:val="0083752D"/>
    <w:rsid w:val="00837583"/>
    <w:rsid w:val="008378DF"/>
    <w:rsid w:val="00837C7D"/>
    <w:rsid w:val="00837D65"/>
    <w:rsid w:val="00837DE7"/>
    <w:rsid w:val="00837E90"/>
    <w:rsid w:val="00837EE7"/>
    <w:rsid w:val="00837F34"/>
    <w:rsid w:val="00837F49"/>
    <w:rsid w:val="00840011"/>
    <w:rsid w:val="00840122"/>
    <w:rsid w:val="00840147"/>
    <w:rsid w:val="008401B9"/>
    <w:rsid w:val="008401CA"/>
    <w:rsid w:val="008401FA"/>
    <w:rsid w:val="008402D9"/>
    <w:rsid w:val="00840301"/>
    <w:rsid w:val="008403D6"/>
    <w:rsid w:val="00840534"/>
    <w:rsid w:val="00840535"/>
    <w:rsid w:val="0084058D"/>
    <w:rsid w:val="00840603"/>
    <w:rsid w:val="00840644"/>
    <w:rsid w:val="008406FA"/>
    <w:rsid w:val="00840747"/>
    <w:rsid w:val="0084079C"/>
    <w:rsid w:val="00840808"/>
    <w:rsid w:val="00840825"/>
    <w:rsid w:val="00840851"/>
    <w:rsid w:val="00840871"/>
    <w:rsid w:val="008408C1"/>
    <w:rsid w:val="008408DA"/>
    <w:rsid w:val="00840985"/>
    <w:rsid w:val="00840999"/>
    <w:rsid w:val="00840BFA"/>
    <w:rsid w:val="00840C0B"/>
    <w:rsid w:val="00840E8C"/>
    <w:rsid w:val="00840FB6"/>
    <w:rsid w:val="00840FF7"/>
    <w:rsid w:val="008410B0"/>
    <w:rsid w:val="008410D2"/>
    <w:rsid w:val="0084111D"/>
    <w:rsid w:val="00841142"/>
    <w:rsid w:val="00841265"/>
    <w:rsid w:val="008412D2"/>
    <w:rsid w:val="0084136C"/>
    <w:rsid w:val="0084139A"/>
    <w:rsid w:val="008413E6"/>
    <w:rsid w:val="00841404"/>
    <w:rsid w:val="008415DC"/>
    <w:rsid w:val="00841663"/>
    <w:rsid w:val="008416B4"/>
    <w:rsid w:val="008416E7"/>
    <w:rsid w:val="00841880"/>
    <w:rsid w:val="0084189B"/>
    <w:rsid w:val="00841946"/>
    <w:rsid w:val="008419BB"/>
    <w:rsid w:val="008419F2"/>
    <w:rsid w:val="00841A45"/>
    <w:rsid w:val="00841A7C"/>
    <w:rsid w:val="00841B01"/>
    <w:rsid w:val="00841B2A"/>
    <w:rsid w:val="00841D95"/>
    <w:rsid w:val="00841DE1"/>
    <w:rsid w:val="00841F63"/>
    <w:rsid w:val="00842072"/>
    <w:rsid w:val="0084207F"/>
    <w:rsid w:val="00842089"/>
    <w:rsid w:val="0084208E"/>
    <w:rsid w:val="0084219C"/>
    <w:rsid w:val="0084221E"/>
    <w:rsid w:val="00842245"/>
    <w:rsid w:val="008422D4"/>
    <w:rsid w:val="008423D2"/>
    <w:rsid w:val="00842403"/>
    <w:rsid w:val="0084245C"/>
    <w:rsid w:val="008424ED"/>
    <w:rsid w:val="00842546"/>
    <w:rsid w:val="00842590"/>
    <w:rsid w:val="0084282C"/>
    <w:rsid w:val="00842869"/>
    <w:rsid w:val="00842872"/>
    <w:rsid w:val="00842B2B"/>
    <w:rsid w:val="00842B73"/>
    <w:rsid w:val="00842B90"/>
    <w:rsid w:val="00842B99"/>
    <w:rsid w:val="00842BAD"/>
    <w:rsid w:val="00842BC7"/>
    <w:rsid w:val="00842BCD"/>
    <w:rsid w:val="00842BE4"/>
    <w:rsid w:val="00842FB8"/>
    <w:rsid w:val="00843083"/>
    <w:rsid w:val="00843162"/>
    <w:rsid w:val="00843178"/>
    <w:rsid w:val="008431F9"/>
    <w:rsid w:val="008431FB"/>
    <w:rsid w:val="0084329F"/>
    <w:rsid w:val="00843440"/>
    <w:rsid w:val="0084345E"/>
    <w:rsid w:val="00843539"/>
    <w:rsid w:val="00843587"/>
    <w:rsid w:val="008435A7"/>
    <w:rsid w:val="008435B9"/>
    <w:rsid w:val="008435DD"/>
    <w:rsid w:val="008435F9"/>
    <w:rsid w:val="0084360F"/>
    <w:rsid w:val="00843612"/>
    <w:rsid w:val="00843694"/>
    <w:rsid w:val="008436B2"/>
    <w:rsid w:val="008436B9"/>
    <w:rsid w:val="00843743"/>
    <w:rsid w:val="00843823"/>
    <w:rsid w:val="00843847"/>
    <w:rsid w:val="0084389B"/>
    <w:rsid w:val="00843961"/>
    <w:rsid w:val="0084397C"/>
    <w:rsid w:val="00843A81"/>
    <w:rsid w:val="00843AC5"/>
    <w:rsid w:val="00843BFF"/>
    <w:rsid w:val="00843CCD"/>
    <w:rsid w:val="00843D02"/>
    <w:rsid w:val="00843E30"/>
    <w:rsid w:val="00843E7A"/>
    <w:rsid w:val="00843F53"/>
    <w:rsid w:val="008440A2"/>
    <w:rsid w:val="00844109"/>
    <w:rsid w:val="0084411F"/>
    <w:rsid w:val="008441F9"/>
    <w:rsid w:val="0084428C"/>
    <w:rsid w:val="00844302"/>
    <w:rsid w:val="00844332"/>
    <w:rsid w:val="008443C8"/>
    <w:rsid w:val="008443D0"/>
    <w:rsid w:val="00844474"/>
    <w:rsid w:val="00844497"/>
    <w:rsid w:val="00844537"/>
    <w:rsid w:val="008445E9"/>
    <w:rsid w:val="008446CC"/>
    <w:rsid w:val="00844744"/>
    <w:rsid w:val="0084481D"/>
    <w:rsid w:val="0084488C"/>
    <w:rsid w:val="00844937"/>
    <w:rsid w:val="008449C0"/>
    <w:rsid w:val="00844A87"/>
    <w:rsid w:val="00844B08"/>
    <w:rsid w:val="00844BB3"/>
    <w:rsid w:val="00844C5E"/>
    <w:rsid w:val="00844DAB"/>
    <w:rsid w:val="00844EB5"/>
    <w:rsid w:val="00844EC7"/>
    <w:rsid w:val="00844F86"/>
    <w:rsid w:val="00844FD4"/>
    <w:rsid w:val="00845057"/>
    <w:rsid w:val="008450A4"/>
    <w:rsid w:val="00845140"/>
    <w:rsid w:val="00845152"/>
    <w:rsid w:val="0084518D"/>
    <w:rsid w:val="008451E2"/>
    <w:rsid w:val="008452E3"/>
    <w:rsid w:val="0084534A"/>
    <w:rsid w:val="008453B1"/>
    <w:rsid w:val="00845537"/>
    <w:rsid w:val="00845644"/>
    <w:rsid w:val="00845672"/>
    <w:rsid w:val="0084567A"/>
    <w:rsid w:val="00845688"/>
    <w:rsid w:val="00845716"/>
    <w:rsid w:val="00845797"/>
    <w:rsid w:val="008457CE"/>
    <w:rsid w:val="008457DD"/>
    <w:rsid w:val="00845813"/>
    <w:rsid w:val="0084586E"/>
    <w:rsid w:val="00845910"/>
    <w:rsid w:val="00845A2F"/>
    <w:rsid w:val="00845A68"/>
    <w:rsid w:val="00845A72"/>
    <w:rsid w:val="00845A7E"/>
    <w:rsid w:val="00845A8F"/>
    <w:rsid w:val="00845A91"/>
    <w:rsid w:val="00845B1A"/>
    <w:rsid w:val="00845B73"/>
    <w:rsid w:val="00845CFB"/>
    <w:rsid w:val="00845E5E"/>
    <w:rsid w:val="00845E8E"/>
    <w:rsid w:val="00845F95"/>
    <w:rsid w:val="0084603C"/>
    <w:rsid w:val="0084608B"/>
    <w:rsid w:val="00846090"/>
    <w:rsid w:val="00846101"/>
    <w:rsid w:val="00846128"/>
    <w:rsid w:val="00846277"/>
    <w:rsid w:val="008462B6"/>
    <w:rsid w:val="00846303"/>
    <w:rsid w:val="00846329"/>
    <w:rsid w:val="008465D3"/>
    <w:rsid w:val="00846682"/>
    <w:rsid w:val="008467C2"/>
    <w:rsid w:val="00846814"/>
    <w:rsid w:val="0084685F"/>
    <w:rsid w:val="00846A01"/>
    <w:rsid w:val="00846A2F"/>
    <w:rsid w:val="00846A76"/>
    <w:rsid w:val="00846AAA"/>
    <w:rsid w:val="00846BA8"/>
    <w:rsid w:val="00846BE2"/>
    <w:rsid w:val="00846C09"/>
    <w:rsid w:val="00846CA9"/>
    <w:rsid w:val="00846D4C"/>
    <w:rsid w:val="00846D5D"/>
    <w:rsid w:val="00846DC3"/>
    <w:rsid w:val="00846DFC"/>
    <w:rsid w:val="00846DFF"/>
    <w:rsid w:val="00846E0B"/>
    <w:rsid w:val="00846E62"/>
    <w:rsid w:val="00846EB2"/>
    <w:rsid w:val="00846F2E"/>
    <w:rsid w:val="00847113"/>
    <w:rsid w:val="00847129"/>
    <w:rsid w:val="00847267"/>
    <w:rsid w:val="008473CA"/>
    <w:rsid w:val="008473D9"/>
    <w:rsid w:val="00847486"/>
    <w:rsid w:val="008475B9"/>
    <w:rsid w:val="008476AF"/>
    <w:rsid w:val="008476B5"/>
    <w:rsid w:val="008476C5"/>
    <w:rsid w:val="008476EE"/>
    <w:rsid w:val="0084780F"/>
    <w:rsid w:val="008478F0"/>
    <w:rsid w:val="008479E1"/>
    <w:rsid w:val="00847A86"/>
    <w:rsid w:val="00847B2B"/>
    <w:rsid w:val="00847BBB"/>
    <w:rsid w:val="00847C93"/>
    <w:rsid w:val="00847C99"/>
    <w:rsid w:val="00847CE9"/>
    <w:rsid w:val="00847D03"/>
    <w:rsid w:val="00847DD4"/>
    <w:rsid w:val="00847EC7"/>
    <w:rsid w:val="00847F21"/>
    <w:rsid w:val="008500ED"/>
    <w:rsid w:val="008505FA"/>
    <w:rsid w:val="0085062B"/>
    <w:rsid w:val="00850694"/>
    <w:rsid w:val="00850708"/>
    <w:rsid w:val="00850848"/>
    <w:rsid w:val="0085084F"/>
    <w:rsid w:val="00850851"/>
    <w:rsid w:val="0085092F"/>
    <w:rsid w:val="00850A71"/>
    <w:rsid w:val="00850AB6"/>
    <w:rsid w:val="00850BD6"/>
    <w:rsid w:val="00850C69"/>
    <w:rsid w:val="00850CDC"/>
    <w:rsid w:val="00850D85"/>
    <w:rsid w:val="00850DBD"/>
    <w:rsid w:val="00850E34"/>
    <w:rsid w:val="00850E74"/>
    <w:rsid w:val="00850F63"/>
    <w:rsid w:val="008511E3"/>
    <w:rsid w:val="008511E6"/>
    <w:rsid w:val="00851218"/>
    <w:rsid w:val="0085125B"/>
    <w:rsid w:val="0085125D"/>
    <w:rsid w:val="00851274"/>
    <w:rsid w:val="008512C6"/>
    <w:rsid w:val="0085132C"/>
    <w:rsid w:val="008513DF"/>
    <w:rsid w:val="008513E9"/>
    <w:rsid w:val="0085167B"/>
    <w:rsid w:val="008516C7"/>
    <w:rsid w:val="008516DE"/>
    <w:rsid w:val="008517F7"/>
    <w:rsid w:val="00851829"/>
    <w:rsid w:val="0085192C"/>
    <w:rsid w:val="008519E3"/>
    <w:rsid w:val="00851A0B"/>
    <w:rsid w:val="00851A6B"/>
    <w:rsid w:val="00851A86"/>
    <w:rsid w:val="00851B9A"/>
    <w:rsid w:val="00851E8D"/>
    <w:rsid w:val="00851E93"/>
    <w:rsid w:val="00851EEC"/>
    <w:rsid w:val="00851EFC"/>
    <w:rsid w:val="00851FF7"/>
    <w:rsid w:val="00852022"/>
    <w:rsid w:val="00852051"/>
    <w:rsid w:val="008520E5"/>
    <w:rsid w:val="0085214A"/>
    <w:rsid w:val="0085214D"/>
    <w:rsid w:val="008521DC"/>
    <w:rsid w:val="008523A3"/>
    <w:rsid w:val="008523BB"/>
    <w:rsid w:val="008523DE"/>
    <w:rsid w:val="00852489"/>
    <w:rsid w:val="008524F4"/>
    <w:rsid w:val="00852527"/>
    <w:rsid w:val="008525AC"/>
    <w:rsid w:val="00852787"/>
    <w:rsid w:val="00852861"/>
    <w:rsid w:val="00852A0D"/>
    <w:rsid w:val="00852A3C"/>
    <w:rsid w:val="00852AB6"/>
    <w:rsid w:val="00852AC1"/>
    <w:rsid w:val="00852ADE"/>
    <w:rsid w:val="00852B45"/>
    <w:rsid w:val="00852D6B"/>
    <w:rsid w:val="00852DAF"/>
    <w:rsid w:val="00852E39"/>
    <w:rsid w:val="00852E5C"/>
    <w:rsid w:val="00852EE6"/>
    <w:rsid w:val="00853043"/>
    <w:rsid w:val="0085309F"/>
    <w:rsid w:val="00853154"/>
    <w:rsid w:val="008532A2"/>
    <w:rsid w:val="008532DA"/>
    <w:rsid w:val="0085334B"/>
    <w:rsid w:val="008533F6"/>
    <w:rsid w:val="00853430"/>
    <w:rsid w:val="00853439"/>
    <w:rsid w:val="00853456"/>
    <w:rsid w:val="00853463"/>
    <w:rsid w:val="008534BC"/>
    <w:rsid w:val="008534E4"/>
    <w:rsid w:val="00853748"/>
    <w:rsid w:val="008537B4"/>
    <w:rsid w:val="008537C7"/>
    <w:rsid w:val="008537DD"/>
    <w:rsid w:val="00853895"/>
    <w:rsid w:val="00853955"/>
    <w:rsid w:val="00853A0B"/>
    <w:rsid w:val="00853AA8"/>
    <w:rsid w:val="00853B0C"/>
    <w:rsid w:val="00853BAD"/>
    <w:rsid w:val="00853C73"/>
    <w:rsid w:val="00853DF0"/>
    <w:rsid w:val="00853F56"/>
    <w:rsid w:val="00853FA1"/>
    <w:rsid w:val="008540B2"/>
    <w:rsid w:val="0085413E"/>
    <w:rsid w:val="00854142"/>
    <w:rsid w:val="00854171"/>
    <w:rsid w:val="00854213"/>
    <w:rsid w:val="00854229"/>
    <w:rsid w:val="00854269"/>
    <w:rsid w:val="0085428C"/>
    <w:rsid w:val="008542CA"/>
    <w:rsid w:val="008542DA"/>
    <w:rsid w:val="008543F7"/>
    <w:rsid w:val="00854425"/>
    <w:rsid w:val="0085442A"/>
    <w:rsid w:val="00854440"/>
    <w:rsid w:val="00854453"/>
    <w:rsid w:val="0085452E"/>
    <w:rsid w:val="008545B8"/>
    <w:rsid w:val="008545E9"/>
    <w:rsid w:val="00854730"/>
    <w:rsid w:val="008547BF"/>
    <w:rsid w:val="008549BC"/>
    <w:rsid w:val="00854A99"/>
    <w:rsid w:val="00854AA5"/>
    <w:rsid w:val="00854D97"/>
    <w:rsid w:val="00854E54"/>
    <w:rsid w:val="00854E76"/>
    <w:rsid w:val="00854EBE"/>
    <w:rsid w:val="00854F56"/>
    <w:rsid w:val="00854FD4"/>
    <w:rsid w:val="00855025"/>
    <w:rsid w:val="00855064"/>
    <w:rsid w:val="008550D5"/>
    <w:rsid w:val="0085520A"/>
    <w:rsid w:val="008552F0"/>
    <w:rsid w:val="00855471"/>
    <w:rsid w:val="00855565"/>
    <w:rsid w:val="008556DE"/>
    <w:rsid w:val="00855715"/>
    <w:rsid w:val="00855741"/>
    <w:rsid w:val="0085585B"/>
    <w:rsid w:val="00855966"/>
    <w:rsid w:val="00855B9C"/>
    <w:rsid w:val="00855D06"/>
    <w:rsid w:val="00855D67"/>
    <w:rsid w:val="00855E4F"/>
    <w:rsid w:val="00855EA8"/>
    <w:rsid w:val="00855F75"/>
    <w:rsid w:val="00855FE8"/>
    <w:rsid w:val="00856110"/>
    <w:rsid w:val="0085622E"/>
    <w:rsid w:val="00856257"/>
    <w:rsid w:val="008562CD"/>
    <w:rsid w:val="0085632E"/>
    <w:rsid w:val="00856430"/>
    <w:rsid w:val="0085652C"/>
    <w:rsid w:val="00856581"/>
    <w:rsid w:val="008566A6"/>
    <w:rsid w:val="00856702"/>
    <w:rsid w:val="00856845"/>
    <w:rsid w:val="00856853"/>
    <w:rsid w:val="00856872"/>
    <w:rsid w:val="008568D0"/>
    <w:rsid w:val="008568DA"/>
    <w:rsid w:val="0085696E"/>
    <w:rsid w:val="00856A07"/>
    <w:rsid w:val="00856A6E"/>
    <w:rsid w:val="00856B71"/>
    <w:rsid w:val="00856EC1"/>
    <w:rsid w:val="00857137"/>
    <w:rsid w:val="0085715A"/>
    <w:rsid w:val="008571F9"/>
    <w:rsid w:val="008572CF"/>
    <w:rsid w:val="0085749D"/>
    <w:rsid w:val="008574C7"/>
    <w:rsid w:val="008575C0"/>
    <w:rsid w:val="00857731"/>
    <w:rsid w:val="008577CF"/>
    <w:rsid w:val="00857801"/>
    <w:rsid w:val="00857831"/>
    <w:rsid w:val="008578CC"/>
    <w:rsid w:val="008578EA"/>
    <w:rsid w:val="00857AD2"/>
    <w:rsid w:val="00857B2D"/>
    <w:rsid w:val="00857B7C"/>
    <w:rsid w:val="00857BFE"/>
    <w:rsid w:val="00857C06"/>
    <w:rsid w:val="00857D3C"/>
    <w:rsid w:val="00857D41"/>
    <w:rsid w:val="00857D6B"/>
    <w:rsid w:val="00857D93"/>
    <w:rsid w:val="00857D97"/>
    <w:rsid w:val="00857E8D"/>
    <w:rsid w:val="00857EA2"/>
    <w:rsid w:val="00857EBE"/>
    <w:rsid w:val="0085EF13"/>
    <w:rsid w:val="008600B4"/>
    <w:rsid w:val="00860100"/>
    <w:rsid w:val="008602A4"/>
    <w:rsid w:val="008602F6"/>
    <w:rsid w:val="00860319"/>
    <w:rsid w:val="0086036E"/>
    <w:rsid w:val="00860383"/>
    <w:rsid w:val="0086042C"/>
    <w:rsid w:val="008604B7"/>
    <w:rsid w:val="00860507"/>
    <w:rsid w:val="0086056C"/>
    <w:rsid w:val="00860619"/>
    <w:rsid w:val="00860623"/>
    <w:rsid w:val="00860767"/>
    <w:rsid w:val="00860802"/>
    <w:rsid w:val="0086080C"/>
    <w:rsid w:val="00860890"/>
    <w:rsid w:val="008609E3"/>
    <w:rsid w:val="00860A54"/>
    <w:rsid w:val="00860C2C"/>
    <w:rsid w:val="00860C5B"/>
    <w:rsid w:val="00860D6E"/>
    <w:rsid w:val="00860DED"/>
    <w:rsid w:val="00860E6E"/>
    <w:rsid w:val="00860EC1"/>
    <w:rsid w:val="00860F08"/>
    <w:rsid w:val="00860F38"/>
    <w:rsid w:val="00860F7B"/>
    <w:rsid w:val="0086117E"/>
    <w:rsid w:val="008611A2"/>
    <w:rsid w:val="008611BC"/>
    <w:rsid w:val="0086128C"/>
    <w:rsid w:val="008612F0"/>
    <w:rsid w:val="00861362"/>
    <w:rsid w:val="008613FE"/>
    <w:rsid w:val="00861470"/>
    <w:rsid w:val="0086149A"/>
    <w:rsid w:val="008614A6"/>
    <w:rsid w:val="008614AC"/>
    <w:rsid w:val="0086150A"/>
    <w:rsid w:val="00861592"/>
    <w:rsid w:val="00861673"/>
    <w:rsid w:val="00861794"/>
    <w:rsid w:val="00861798"/>
    <w:rsid w:val="00861904"/>
    <w:rsid w:val="0086194D"/>
    <w:rsid w:val="008619A2"/>
    <w:rsid w:val="00861A41"/>
    <w:rsid w:val="00861BF3"/>
    <w:rsid w:val="00861C1A"/>
    <w:rsid w:val="00861C8E"/>
    <w:rsid w:val="00861CA6"/>
    <w:rsid w:val="00861E15"/>
    <w:rsid w:val="00861E6F"/>
    <w:rsid w:val="00861EDB"/>
    <w:rsid w:val="00861EDD"/>
    <w:rsid w:val="00862059"/>
    <w:rsid w:val="0086210E"/>
    <w:rsid w:val="0086219A"/>
    <w:rsid w:val="00862253"/>
    <w:rsid w:val="008624BE"/>
    <w:rsid w:val="008625C2"/>
    <w:rsid w:val="008625D7"/>
    <w:rsid w:val="00862632"/>
    <w:rsid w:val="0086275F"/>
    <w:rsid w:val="00862779"/>
    <w:rsid w:val="00862788"/>
    <w:rsid w:val="00862824"/>
    <w:rsid w:val="0086299C"/>
    <w:rsid w:val="00862A14"/>
    <w:rsid w:val="00862A38"/>
    <w:rsid w:val="00862B43"/>
    <w:rsid w:val="00862BF2"/>
    <w:rsid w:val="00862CB3"/>
    <w:rsid w:val="00862CD7"/>
    <w:rsid w:val="00862D65"/>
    <w:rsid w:val="00862DCD"/>
    <w:rsid w:val="00862DE0"/>
    <w:rsid w:val="00862EFB"/>
    <w:rsid w:val="00863004"/>
    <w:rsid w:val="008630C1"/>
    <w:rsid w:val="0086311A"/>
    <w:rsid w:val="00863190"/>
    <w:rsid w:val="008631F9"/>
    <w:rsid w:val="00863242"/>
    <w:rsid w:val="00863265"/>
    <w:rsid w:val="008633CD"/>
    <w:rsid w:val="008634A1"/>
    <w:rsid w:val="00863551"/>
    <w:rsid w:val="008635C6"/>
    <w:rsid w:val="0086361E"/>
    <w:rsid w:val="0086362A"/>
    <w:rsid w:val="008636AA"/>
    <w:rsid w:val="00863728"/>
    <w:rsid w:val="00863741"/>
    <w:rsid w:val="008637C7"/>
    <w:rsid w:val="0086381F"/>
    <w:rsid w:val="00863832"/>
    <w:rsid w:val="00863879"/>
    <w:rsid w:val="0086390A"/>
    <w:rsid w:val="008639DE"/>
    <w:rsid w:val="00863A27"/>
    <w:rsid w:val="00863AA1"/>
    <w:rsid w:val="00863B96"/>
    <w:rsid w:val="00863CCA"/>
    <w:rsid w:val="00863D23"/>
    <w:rsid w:val="00863DBE"/>
    <w:rsid w:val="00863DC8"/>
    <w:rsid w:val="00863F47"/>
    <w:rsid w:val="00863F9E"/>
    <w:rsid w:val="00864014"/>
    <w:rsid w:val="00864069"/>
    <w:rsid w:val="0086407C"/>
    <w:rsid w:val="008641C8"/>
    <w:rsid w:val="0086431C"/>
    <w:rsid w:val="00864394"/>
    <w:rsid w:val="00864397"/>
    <w:rsid w:val="008643C9"/>
    <w:rsid w:val="00864402"/>
    <w:rsid w:val="00864431"/>
    <w:rsid w:val="008644D0"/>
    <w:rsid w:val="008644E4"/>
    <w:rsid w:val="008644FE"/>
    <w:rsid w:val="00864501"/>
    <w:rsid w:val="00864627"/>
    <w:rsid w:val="00864687"/>
    <w:rsid w:val="008646EA"/>
    <w:rsid w:val="00864827"/>
    <w:rsid w:val="00864883"/>
    <w:rsid w:val="008649F6"/>
    <w:rsid w:val="00864A20"/>
    <w:rsid w:val="00864A7E"/>
    <w:rsid w:val="00864AEB"/>
    <w:rsid w:val="00864B72"/>
    <w:rsid w:val="00864B8B"/>
    <w:rsid w:val="00864BA7"/>
    <w:rsid w:val="00864BBF"/>
    <w:rsid w:val="00864BEE"/>
    <w:rsid w:val="00864CDC"/>
    <w:rsid w:val="00864D38"/>
    <w:rsid w:val="00864D6D"/>
    <w:rsid w:val="00864E62"/>
    <w:rsid w:val="00864E9E"/>
    <w:rsid w:val="00864F38"/>
    <w:rsid w:val="00864F6B"/>
    <w:rsid w:val="00864F91"/>
    <w:rsid w:val="00864FE6"/>
    <w:rsid w:val="00864FFE"/>
    <w:rsid w:val="00865297"/>
    <w:rsid w:val="008653B8"/>
    <w:rsid w:val="008653EE"/>
    <w:rsid w:val="00865453"/>
    <w:rsid w:val="008654D1"/>
    <w:rsid w:val="00865835"/>
    <w:rsid w:val="0086586D"/>
    <w:rsid w:val="008658CD"/>
    <w:rsid w:val="0086596C"/>
    <w:rsid w:val="00865C56"/>
    <w:rsid w:val="00865C5A"/>
    <w:rsid w:val="00865C96"/>
    <w:rsid w:val="00865D37"/>
    <w:rsid w:val="00865D8F"/>
    <w:rsid w:val="00865E17"/>
    <w:rsid w:val="00865EBA"/>
    <w:rsid w:val="00865F2A"/>
    <w:rsid w:val="00865F87"/>
    <w:rsid w:val="00865F8C"/>
    <w:rsid w:val="00865FFF"/>
    <w:rsid w:val="0086604E"/>
    <w:rsid w:val="008660FA"/>
    <w:rsid w:val="0086611A"/>
    <w:rsid w:val="00866150"/>
    <w:rsid w:val="008661CB"/>
    <w:rsid w:val="00866208"/>
    <w:rsid w:val="00866325"/>
    <w:rsid w:val="008663C4"/>
    <w:rsid w:val="008663EA"/>
    <w:rsid w:val="0086643F"/>
    <w:rsid w:val="00866482"/>
    <w:rsid w:val="0086652C"/>
    <w:rsid w:val="00866604"/>
    <w:rsid w:val="00866679"/>
    <w:rsid w:val="0086668F"/>
    <w:rsid w:val="008666BF"/>
    <w:rsid w:val="00866719"/>
    <w:rsid w:val="0086671F"/>
    <w:rsid w:val="008667FF"/>
    <w:rsid w:val="00866854"/>
    <w:rsid w:val="0086688B"/>
    <w:rsid w:val="00866A15"/>
    <w:rsid w:val="00866B76"/>
    <w:rsid w:val="00866C14"/>
    <w:rsid w:val="00866C81"/>
    <w:rsid w:val="00866C8B"/>
    <w:rsid w:val="00866CB3"/>
    <w:rsid w:val="00866CE1"/>
    <w:rsid w:val="00866DAF"/>
    <w:rsid w:val="0086702C"/>
    <w:rsid w:val="00867115"/>
    <w:rsid w:val="00867189"/>
    <w:rsid w:val="00867361"/>
    <w:rsid w:val="00867422"/>
    <w:rsid w:val="00867424"/>
    <w:rsid w:val="00867488"/>
    <w:rsid w:val="008674BD"/>
    <w:rsid w:val="008674F4"/>
    <w:rsid w:val="00867593"/>
    <w:rsid w:val="00867631"/>
    <w:rsid w:val="008676F8"/>
    <w:rsid w:val="00867736"/>
    <w:rsid w:val="00867883"/>
    <w:rsid w:val="0086788D"/>
    <w:rsid w:val="00867903"/>
    <w:rsid w:val="00867906"/>
    <w:rsid w:val="00867A21"/>
    <w:rsid w:val="00867A73"/>
    <w:rsid w:val="00867A9C"/>
    <w:rsid w:val="00867AAD"/>
    <w:rsid w:val="00867B0F"/>
    <w:rsid w:val="00867BCA"/>
    <w:rsid w:val="00867BD3"/>
    <w:rsid w:val="00867BE2"/>
    <w:rsid w:val="00867C3D"/>
    <w:rsid w:val="00867CC9"/>
    <w:rsid w:val="00867CD6"/>
    <w:rsid w:val="00867D7F"/>
    <w:rsid w:val="00867D94"/>
    <w:rsid w:val="00867DAA"/>
    <w:rsid w:val="00867DFF"/>
    <w:rsid w:val="00867E0D"/>
    <w:rsid w:val="00867E73"/>
    <w:rsid w:val="00867ECC"/>
    <w:rsid w:val="00867F63"/>
    <w:rsid w:val="00867F73"/>
    <w:rsid w:val="00867F89"/>
    <w:rsid w:val="00867F96"/>
    <w:rsid w:val="00867FF7"/>
    <w:rsid w:val="0087024B"/>
    <w:rsid w:val="008702AE"/>
    <w:rsid w:val="0087039D"/>
    <w:rsid w:val="008703AD"/>
    <w:rsid w:val="008703F6"/>
    <w:rsid w:val="008704B5"/>
    <w:rsid w:val="008704CA"/>
    <w:rsid w:val="0087050D"/>
    <w:rsid w:val="008706AD"/>
    <w:rsid w:val="008706B1"/>
    <w:rsid w:val="0087079D"/>
    <w:rsid w:val="008707E7"/>
    <w:rsid w:val="0087085E"/>
    <w:rsid w:val="00870983"/>
    <w:rsid w:val="00870A0E"/>
    <w:rsid w:val="00870A7D"/>
    <w:rsid w:val="00870A7E"/>
    <w:rsid w:val="00870C08"/>
    <w:rsid w:val="00870CA9"/>
    <w:rsid w:val="00870CB7"/>
    <w:rsid w:val="00870D43"/>
    <w:rsid w:val="00870D68"/>
    <w:rsid w:val="00870D9F"/>
    <w:rsid w:val="00870DB2"/>
    <w:rsid w:val="00870E6F"/>
    <w:rsid w:val="00871218"/>
    <w:rsid w:val="0087130F"/>
    <w:rsid w:val="0087143D"/>
    <w:rsid w:val="00871455"/>
    <w:rsid w:val="008714D1"/>
    <w:rsid w:val="008714D4"/>
    <w:rsid w:val="008714FD"/>
    <w:rsid w:val="0087151F"/>
    <w:rsid w:val="008716A4"/>
    <w:rsid w:val="008716A6"/>
    <w:rsid w:val="00871722"/>
    <w:rsid w:val="0087176C"/>
    <w:rsid w:val="008717CB"/>
    <w:rsid w:val="0087185A"/>
    <w:rsid w:val="00871919"/>
    <w:rsid w:val="00871A27"/>
    <w:rsid w:val="00871AC5"/>
    <w:rsid w:val="00871AFC"/>
    <w:rsid w:val="00871B22"/>
    <w:rsid w:val="00871C54"/>
    <w:rsid w:val="00871EAB"/>
    <w:rsid w:val="008720AF"/>
    <w:rsid w:val="00872156"/>
    <w:rsid w:val="00872171"/>
    <w:rsid w:val="00872203"/>
    <w:rsid w:val="0087247D"/>
    <w:rsid w:val="00872508"/>
    <w:rsid w:val="0087251F"/>
    <w:rsid w:val="008726B9"/>
    <w:rsid w:val="0087272B"/>
    <w:rsid w:val="0087274B"/>
    <w:rsid w:val="00872797"/>
    <w:rsid w:val="00872904"/>
    <w:rsid w:val="00872932"/>
    <w:rsid w:val="008729B2"/>
    <w:rsid w:val="00872A35"/>
    <w:rsid w:val="00872B75"/>
    <w:rsid w:val="00872BDA"/>
    <w:rsid w:val="00872D3E"/>
    <w:rsid w:val="00872DB0"/>
    <w:rsid w:val="00872EBA"/>
    <w:rsid w:val="00872ED5"/>
    <w:rsid w:val="00872F53"/>
    <w:rsid w:val="00873036"/>
    <w:rsid w:val="0087303A"/>
    <w:rsid w:val="008731E7"/>
    <w:rsid w:val="00873257"/>
    <w:rsid w:val="0087335C"/>
    <w:rsid w:val="0087336C"/>
    <w:rsid w:val="008733F8"/>
    <w:rsid w:val="0087344E"/>
    <w:rsid w:val="0087346E"/>
    <w:rsid w:val="00873664"/>
    <w:rsid w:val="008736BF"/>
    <w:rsid w:val="008736D6"/>
    <w:rsid w:val="00873953"/>
    <w:rsid w:val="008739AF"/>
    <w:rsid w:val="008739C3"/>
    <w:rsid w:val="00873AA4"/>
    <w:rsid w:val="00873B17"/>
    <w:rsid w:val="00873B8B"/>
    <w:rsid w:val="00873D08"/>
    <w:rsid w:val="00873D1C"/>
    <w:rsid w:val="00873D6B"/>
    <w:rsid w:val="00873F59"/>
    <w:rsid w:val="00873FB4"/>
    <w:rsid w:val="0087407A"/>
    <w:rsid w:val="008740F5"/>
    <w:rsid w:val="0087413F"/>
    <w:rsid w:val="00874147"/>
    <w:rsid w:val="008741C3"/>
    <w:rsid w:val="00874213"/>
    <w:rsid w:val="0087421E"/>
    <w:rsid w:val="0087422E"/>
    <w:rsid w:val="008742C9"/>
    <w:rsid w:val="00874334"/>
    <w:rsid w:val="00874414"/>
    <w:rsid w:val="00874428"/>
    <w:rsid w:val="00874443"/>
    <w:rsid w:val="008745BE"/>
    <w:rsid w:val="00874721"/>
    <w:rsid w:val="008748AF"/>
    <w:rsid w:val="008748C4"/>
    <w:rsid w:val="008749DB"/>
    <w:rsid w:val="00874A28"/>
    <w:rsid w:val="00874A34"/>
    <w:rsid w:val="00874A54"/>
    <w:rsid w:val="00874B1E"/>
    <w:rsid w:val="00874B1F"/>
    <w:rsid w:val="00874C60"/>
    <w:rsid w:val="00874CB2"/>
    <w:rsid w:val="00874D1D"/>
    <w:rsid w:val="00874D3B"/>
    <w:rsid w:val="00874DC7"/>
    <w:rsid w:val="00874E20"/>
    <w:rsid w:val="00874EB8"/>
    <w:rsid w:val="00874FB1"/>
    <w:rsid w:val="008750B7"/>
    <w:rsid w:val="0087515E"/>
    <w:rsid w:val="00875269"/>
    <w:rsid w:val="0087528D"/>
    <w:rsid w:val="008752DC"/>
    <w:rsid w:val="008752E4"/>
    <w:rsid w:val="008752F9"/>
    <w:rsid w:val="00875332"/>
    <w:rsid w:val="0087541D"/>
    <w:rsid w:val="00875485"/>
    <w:rsid w:val="0087554C"/>
    <w:rsid w:val="00875565"/>
    <w:rsid w:val="0087557B"/>
    <w:rsid w:val="008756A6"/>
    <w:rsid w:val="008756E2"/>
    <w:rsid w:val="00875795"/>
    <w:rsid w:val="00875811"/>
    <w:rsid w:val="008758F9"/>
    <w:rsid w:val="00875A2A"/>
    <w:rsid w:val="00875A55"/>
    <w:rsid w:val="00875A5E"/>
    <w:rsid w:val="00875B05"/>
    <w:rsid w:val="00875C93"/>
    <w:rsid w:val="00875D69"/>
    <w:rsid w:val="00875EDA"/>
    <w:rsid w:val="00875FE2"/>
    <w:rsid w:val="0087605C"/>
    <w:rsid w:val="008760A6"/>
    <w:rsid w:val="008760C0"/>
    <w:rsid w:val="008762D2"/>
    <w:rsid w:val="008764EE"/>
    <w:rsid w:val="00876585"/>
    <w:rsid w:val="00876600"/>
    <w:rsid w:val="00876709"/>
    <w:rsid w:val="008767DA"/>
    <w:rsid w:val="008767F9"/>
    <w:rsid w:val="00876891"/>
    <w:rsid w:val="00876894"/>
    <w:rsid w:val="00876898"/>
    <w:rsid w:val="008768CD"/>
    <w:rsid w:val="0087690E"/>
    <w:rsid w:val="00876986"/>
    <w:rsid w:val="008769A4"/>
    <w:rsid w:val="008769CD"/>
    <w:rsid w:val="008769DD"/>
    <w:rsid w:val="008769DE"/>
    <w:rsid w:val="00876BC3"/>
    <w:rsid w:val="00876C5B"/>
    <w:rsid w:val="00876D07"/>
    <w:rsid w:val="00876DE4"/>
    <w:rsid w:val="00876E60"/>
    <w:rsid w:val="00876F12"/>
    <w:rsid w:val="00876F96"/>
    <w:rsid w:val="00876FD5"/>
    <w:rsid w:val="008770CE"/>
    <w:rsid w:val="008770DD"/>
    <w:rsid w:val="00877115"/>
    <w:rsid w:val="0087714A"/>
    <w:rsid w:val="008772A0"/>
    <w:rsid w:val="008772C6"/>
    <w:rsid w:val="008772DE"/>
    <w:rsid w:val="00877342"/>
    <w:rsid w:val="00877475"/>
    <w:rsid w:val="008774C5"/>
    <w:rsid w:val="008775BB"/>
    <w:rsid w:val="00877676"/>
    <w:rsid w:val="008776F6"/>
    <w:rsid w:val="0087774F"/>
    <w:rsid w:val="00877777"/>
    <w:rsid w:val="00877791"/>
    <w:rsid w:val="008777C3"/>
    <w:rsid w:val="0087783C"/>
    <w:rsid w:val="008778A5"/>
    <w:rsid w:val="008779AB"/>
    <w:rsid w:val="00877A63"/>
    <w:rsid w:val="00877CC7"/>
    <w:rsid w:val="00877D8D"/>
    <w:rsid w:val="00877DE2"/>
    <w:rsid w:val="00877E91"/>
    <w:rsid w:val="00877ECA"/>
    <w:rsid w:val="0087EDD8"/>
    <w:rsid w:val="00880140"/>
    <w:rsid w:val="0088019E"/>
    <w:rsid w:val="00880200"/>
    <w:rsid w:val="0088025B"/>
    <w:rsid w:val="0088027A"/>
    <w:rsid w:val="0088032D"/>
    <w:rsid w:val="0088032E"/>
    <w:rsid w:val="00880350"/>
    <w:rsid w:val="0088042E"/>
    <w:rsid w:val="00880510"/>
    <w:rsid w:val="0088054F"/>
    <w:rsid w:val="00880620"/>
    <w:rsid w:val="008806DB"/>
    <w:rsid w:val="00880768"/>
    <w:rsid w:val="00880872"/>
    <w:rsid w:val="008808D7"/>
    <w:rsid w:val="008808E8"/>
    <w:rsid w:val="00880980"/>
    <w:rsid w:val="00880AC0"/>
    <w:rsid w:val="00880ACE"/>
    <w:rsid w:val="00880AEE"/>
    <w:rsid w:val="00880AF5"/>
    <w:rsid w:val="00880BBE"/>
    <w:rsid w:val="00880BC3"/>
    <w:rsid w:val="00880C17"/>
    <w:rsid w:val="00880D27"/>
    <w:rsid w:val="00880E3D"/>
    <w:rsid w:val="00880E5D"/>
    <w:rsid w:val="00880F05"/>
    <w:rsid w:val="00880F0F"/>
    <w:rsid w:val="00880F59"/>
    <w:rsid w:val="00880F7E"/>
    <w:rsid w:val="0088106C"/>
    <w:rsid w:val="00881109"/>
    <w:rsid w:val="00881187"/>
    <w:rsid w:val="008811A4"/>
    <w:rsid w:val="008811E0"/>
    <w:rsid w:val="008811EC"/>
    <w:rsid w:val="0088124D"/>
    <w:rsid w:val="00881304"/>
    <w:rsid w:val="0088135D"/>
    <w:rsid w:val="0088145C"/>
    <w:rsid w:val="00881491"/>
    <w:rsid w:val="008814D6"/>
    <w:rsid w:val="00881557"/>
    <w:rsid w:val="0088155C"/>
    <w:rsid w:val="00881569"/>
    <w:rsid w:val="0088157D"/>
    <w:rsid w:val="008815B5"/>
    <w:rsid w:val="008815B6"/>
    <w:rsid w:val="008815E4"/>
    <w:rsid w:val="00881656"/>
    <w:rsid w:val="00881682"/>
    <w:rsid w:val="008816B3"/>
    <w:rsid w:val="0088171B"/>
    <w:rsid w:val="008817F6"/>
    <w:rsid w:val="0088181D"/>
    <w:rsid w:val="008819B5"/>
    <w:rsid w:val="00881A1F"/>
    <w:rsid w:val="00881ACD"/>
    <w:rsid w:val="00881B8B"/>
    <w:rsid w:val="00881BDC"/>
    <w:rsid w:val="00881CB0"/>
    <w:rsid w:val="00881D2B"/>
    <w:rsid w:val="00881EAF"/>
    <w:rsid w:val="00881F32"/>
    <w:rsid w:val="00881F4F"/>
    <w:rsid w:val="0088203B"/>
    <w:rsid w:val="0088205B"/>
    <w:rsid w:val="00882077"/>
    <w:rsid w:val="0088210E"/>
    <w:rsid w:val="0088211B"/>
    <w:rsid w:val="00882168"/>
    <w:rsid w:val="00882260"/>
    <w:rsid w:val="008822F5"/>
    <w:rsid w:val="00882438"/>
    <w:rsid w:val="00882483"/>
    <w:rsid w:val="008824D6"/>
    <w:rsid w:val="00882654"/>
    <w:rsid w:val="008826FA"/>
    <w:rsid w:val="00882710"/>
    <w:rsid w:val="00882750"/>
    <w:rsid w:val="008827E8"/>
    <w:rsid w:val="008828A5"/>
    <w:rsid w:val="008828AA"/>
    <w:rsid w:val="008828D3"/>
    <w:rsid w:val="0088290C"/>
    <w:rsid w:val="0088296F"/>
    <w:rsid w:val="00882A55"/>
    <w:rsid w:val="00882AAC"/>
    <w:rsid w:val="00882BC5"/>
    <w:rsid w:val="00882BF5"/>
    <w:rsid w:val="00882BFA"/>
    <w:rsid w:val="00882C5F"/>
    <w:rsid w:val="00882C6A"/>
    <w:rsid w:val="00882D4E"/>
    <w:rsid w:val="00882D63"/>
    <w:rsid w:val="00882DA7"/>
    <w:rsid w:val="00882DC5"/>
    <w:rsid w:val="00882DC9"/>
    <w:rsid w:val="00882F4E"/>
    <w:rsid w:val="00882FB2"/>
    <w:rsid w:val="0088305A"/>
    <w:rsid w:val="00883206"/>
    <w:rsid w:val="008832EF"/>
    <w:rsid w:val="0088332F"/>
    <w:rsid w:val="0088335C"/>
    <w:rsid w:val="008833BE"/>
    <w:rsid w:val="00883406"/>
    <w:rsid w:val="0088349B"/>
    <w:rsid w:val="008834EE"/>
    <w:rsid w:val="008836C5"/>
    <w:rsid w:val="008836EC"/>
    <w:rsid w:val="00883868"/>
    <w:rsid w:val="00883937"/>
    <w:rsid w:val="00883A68"/>
    <w:rsid w:val="00883BB0"/>
    <w:rsid w:val="00883C28"/>
    <w:rsid w:val="00883CA7"/>
    <w:rsid w:val="00883E0E"/>
    <w:rsid w:val="00883E7B"/>
    <w:rsid w:val="00883E97"/>
    <w:rsid w:val="00883ECC"/>
    <w:rsid w:val="00883F18"/>
    <w:rsid w:val="00883F5A"/>
    <w:rsid w:val="00884020"/>
    <w:rsid w:val="0088402D"/>
    <w:rsid w:val="008840CD"/>
    <w:rsid w:val="0088413A"/>
    <w:rsid w:val="00884161"/>
    <w:rsid w:val="00884171"/>
    <w:rsid w:val="0088423E"/>
    <w:rsid w:val="0088439A"/>
    <w:rsid w:val="00884420"/>
    <w:rsid w:val="008844A2"/>
    <w:rsid w:val="0088461F"/>
    <w:rsid w:val="0088462C"/>
    <w:rsid w:val="00884680"/>
    <w:rsid w:val="00884768"/>
    <w:rsid w:val="008848B8"/>
    <w:rsid w:val="00884943"/>
    <w:rsid w:val="0088498B"/>
    <w:rsid w:val="008849B3"/>
    <w:rsid w:val="008849DC"/>
    <w:rsid w:val="008849FA"/>
    <w:rsid w:val="00884A61"/>
    <w:rsid w:val="00884A75"/>
    <w:rsid w:val="00884A7C"/>
    <w:rsid w:val="00884AE0"/>
    <w:rsid w:val="00884AF5"/>
    <w:rsid w:val="00884B16"/>
    <w:rsid w:val="00884C61"/>
    <w:rsid w:val="00884CA3"/>
    <w:rsid w:val="00884D4F"/>
    <w:rsid w:val="00884D8F"/>
    <w:rsid w:val="00884DB9"/>
    <w:rsid w:val="00884E02"/>
    <w:rsid w:val="00884E0A"/>
    <w:rsid w:val="00884F2D"/>
    <w:rsid w:val="00884F5A"/>
    <w:rsid w:val="0088511C"/>
    <w:rsid w:val="00885173"/>
    <w:rsid w:val="008851B5"/>
    <w:rsid w:val="0088529A"/>
    <w:rsid w:val="008852C3"/>
    <w:rsid w:val="008853DA"/>
    <w:rsid w:val="00885462"/>
    <w:rsid w:val="00885478"/>
    <w:rsid w:val="008854DF"/>
    <w:rsid w:val="00885509"/>
    <w:rsid w:val="008855FC"/>
    <w:rsid w:val="00885602"/>
    <w:rsid w:val="008856B6"/>
    <w:rsid w:val="0088571B"/>
    <w:rsid w:val="00885753"/>
    <w:rsid w:val="00885793"/>
    <w:rsid w:val="008857AB"/>
    <w:rsid w:val="008857B3"/>
    <w:rsid w:val="008857B6"/>
    <w:rsid w:val="00885939"/>
    <w:rsid w:val="008859DD"/>
    <w:rsid w:val="00885BBF"/>
    <w:rsid w:val="00885BC6"/>
    <w:rsid w:val="00885BD6"/>
    <w:rsid w:val="00885BDD"/>
    <w:rsid w:val="00885DB4"/>
    <w:rsid w:val="00885E6A"/>
    <w:rsid w:val="00885EC6"/>
    <w:rsid w:val="00885F57"/>
    <w:rsid w:val="00885F59"/>
    <w:rsid w:val="008860B0"/>
    <w:rsid w:val="008860DD"/>
    <w:rsid w:val="00886105"/>
    <w:rsid w:val="0088616B"/>
    <w:rsid w:val="0088622F"/>
    <w:rsid w:val="00886278"/>
    <w:rsid w:val="008862E0"/>
    <w:rsid w:val="0088635D"/>
    <w:rsid w:val="0088635E"/>
    <w:rsid w:val="00886375"/>
    <w:rsid w:val="008863F6"/>
    <w:rsid w:val="0088644B"/>
    <w:rsid w:val="008865BA"/>
    <w:rsid w:val="008865E7"/>
    <w:rsid w:val="0088662C"/>
    <w:rsid w:val="00886787"/>
    <w:rsid w:val="008867B4"/>
    <w:rsid w:val="00886857"/>
    <w:rsid w:val="008868AC"/>
    <w:rsid w:val="008868DC"/>
    <w:rsid w:val="00886995"/>
    <w:rsid w:val="008869BF"/>
    <w:rsid w:val="008869F4"/>
    <w:rsid w:val="00886A1A"/>
    <w:rsid w:val="00886AB2"/>
    <w:rsid w:val="00886B07"/>
    <w:rsid w:val="00886BEF"/>
    <w:rsid w:val="00886DAB"/>
    <w:rsid w:val="00886E68"/>
    <w:rsid w:val="00886F53"/>
    <w:rsid w:val="00887027"/>
    <w:rsid w:val="00887148"/>
    <w:rsid w:val="00887153"/>
    <w:rsid w:val="00887213"/>
    <w:rsid w:val="0088729F"/>
    <w:rsid w:val="008872BB"/>
    <w:rsid w:val="008872CD"/>
    <w:rsid w:val="008873F1"/>
    <w:rsid w:val="008874EA"/>
    <w:rsid w:val="00887523"/>
    <w:rsid w:val="00887542"/>
    <w:rsid w:val="00887587"/>
    <w:rsid w:val="008875F9"/>
    <w:rsid w:val="008876DF"/>
    <w:rsid w:val="0088775D"/>
    <w:rsid w:val="00887775"/>
    <w:rsid w:val="0088777B"/>
    <w:rsid w:val="008877BD"/>
    <w:rsid w:val="00887840"/>
    <w:rsid w:val="00887856"/>
    <w:rsid w:val="00887895"/>
    <w:rsid w:val="008878A5"/>
    <w:rsid w:val="008878AF"/>
    <w:rsid w:val="008878D3"/>
    <w:rsid w:val="00887A6C"/>
    <w:rsid w:val="00887AF2"/>
    <w:rsid w:val="00887C8A"/>
    <w:rsid w:val="00887CA4"/>
    <w:rsid w:val="00887CCC"/>
    <w:rsid w:val="00887D52"/>
    <w:rsid w:val="00887D7D"/>
    <w:rsid w:val="00890014"/>
    <w:rsid w:val="00890093"/>
    <w:rsid w:val="008900DF"/>
    <w:rsid w:val="00890194"/>
    <w:rsid w:val="008901B0"/>
    <w:rsid w:val="00890212"/>
    <w:rsid w:val="0089023C"/>
    <w:rsid w:val="00890312"/>
    <w:rsid w:val="0089032D"/>
    <w:rsid w:val="008903A8"/>
    <w:rsid w:val="008903E8"/>
    <w:rsid w:val="00890460"/>
    <w:rsid w:val="0089067A"/>
    <w:rsid w:val="0089081B"/>
    <w:rsid w:val="0089089A"/>
    <w:rsid w:val="008908B6"/>
    <w:rsid w:val="008908E5"/>
    <w:rsid w:val="0089096A"/>
    <w:rsid w:val="00890A4C"/>
    <w:rsid w:val="00890A75"/>
    <w:rsid w:val="00890B09"/>
    <w:rsid w:val="00890B86"/>
    <w:rsid w:val="00890C9D"/>
    <w:rsid w:val="00890CA1"/>
    <w:rsid w:val="00890CE7"/>
    <w:rsid w:val="00890CF6"/>
    <w:rsid w:val="00890D02"/>
    <w:rsid w:val="00890D4F"/>
    <w:rsid w:val="00890DAD"/>
    <w:rsid w:val="00890E86"/>
    <w:rsid w:val="00890FDB"/>
    <w:rsid w:val="00891005"/>
    <w:rsid w:val="00891022"/>
    <w:rsid w:val="0089105B"/>
    <w:rsid w:val="00891070"/>
    <w:rsid w:val="00891084"/>
    <w:rsid w:val="00891134"/>
    <w:rsid w:val="00891139"/>
    <w:rsid w:val="00891181"/>
    <w:rsid w:val="008911B4"/>
    <w:rsid w:val="00891353"/>
    <w:rsid w:val="008913AD"/>
    <w:rsid w:val="008913D1"/>
    <w:rsid w:val="008913D4"/>
    <w:rsid w:val="0089140A"/>
    <w:rsid w:val="0089151A"/>
    <w:rsid w:val="0089155F"/>
    <w:rsid w:val="008915A8"/>
    <w:rsid w:val="008915E6"/>
    <w:rsid w:val="0089168E"/>
    <w:rsid w:val="00891691"/>
    <w:rsid w:val="008916A0"/>
    <w:rsid w:val="00891768"/>
    <w:rsid w:val="00891848"/>
    <w:rsid w:val="00891870"/>
    <w:rsid w:val="008918EC"/>
    <w:rsid w:val="008918FD"/>
    <w:rsid w:val="00891945"/>
    <w:rsid w:val="00891959"/>
    <w:rsid w:val="008919B2"/>
    <w:rsid w:val="00891A1A"/>
    <w:rsid w:val="00891BA3"/>
    <w:rsid w:val="00891CA2"/>
    <w:rsid w:val="00891CAE"/>
    <w:rsid w:val="00891D11"/>
    <w:rsid w:val="00891DD1"/>
    <w:rsid w:val="00891E6D"/>
    <w:rsid w:val="00891E92"/>
    <w:rsid w:val="00891F7E"/>
    <w:rsid w:val="00892055"/>
    <w:rsid w:val="0089206D"/>
    <w:rsid w:val="00892085"/>
    <w:rsid w:val="008920ED"/>
    <w:rsid w:val="008920F3"/>
    <w:rsid w:val="0089214D"/>
    <w:rsid w:val="008921B1"/>
    <w:rsid w:val="008922AF"/>
    <w:rsid w:val="0089233A"/>
    <w:rsid w:val="00892412"/>
    <w:rsid w:val="008924CB"/>
    <w:rsid w:val="008924D1"/>
    <w:rsid w:val="008924D4"/>
    <w:rsid w:val="0089253D"/>
    <w:rsid w:val="008925CC"/>
    <w:rsid w:val="00892629"/>
    <w:rsid w:val="00892682"/>
    <w:rsid w:val="008926A1"/>
    <w:rsid w:val="008926EC"/>
    <w:rsid w:val="0089274B"/>
    <w:rsid w:val="008927A8"/>
    <w:rsid w:val="0089280B"/>
    <w:rsid w:val="0089286C"/>
    <w:rsid w:val="008928CD"/>
    <w:rsid w:val="0089293C"/>
    <w:rsid w:val="00892A11"/>
    <w:rsid w:val="00892A6F"/>
    <w:rsid w:val="00892B62"/>
    <w:rsid w:val="00892BE4"/>
    <w:rsid w:val="00892C95"/>
    <w:rsid w:val="00892CBE"/>
    <w:rsid w:val="00892CD3"/>
    <w:rsid w:val="00892DE5"/>
    <w:rsid w:val="00892EEA"/>
    <w:rsid w:val="00892F29"/>
    <w:rsid w:val="00892F39"/>
    <w:rsid w:val="008930CB"/>
    <w:rsid w:val="0089312C"/>
    <w:rsid w:val="008931C6"/>
    <w:rsid w:val="0089328D"/>
    <w:rsid w:val="00893314"/>
    <w:rsid w:val="008933AE"/>
    <w:rsid w:val="008933B8"/>
    <w:rsid w:val="0089349C"/>
    <w:rsid w:val="00893539"/>
    <w:rsid w:val="00893541"/>
    <w:rsid w:val="0089354B"/>
    <w:rsid w:val="00893565"/>
    <w:rsid w:val="00893582"/>
    <w:rsid w:val="008935A9"/>
    <w:rsid w:val="0089367D"/>
    <w:rsid w:val="00893730"/>
    <w:rsid w:val="00893758"/>
    <w:rsid w:val="00893794"/>
    <w:rsid w:val="0089388E"/>
    <w:rsid w:val="00893932"/>
    <w:rsid w:val="00893A2C"/>
    <w:rsid w:val="00893A8E"/>
    <w:rsid w:val="00893A9B"/>
    <w:rsid w:val="00893AAE"/>
    <w:rsid w:val="00893B23"/>
    <w:rsid w:val="00893CD7"/>
    <w:rsid w:val="00893D4F"/>
    <w:rsid w:val="00893E31"/>
    <w:rsid w:val="00893E4E"/>
    <w:rsid w:val="00893F7C"/>
    <w:rsid w:val="00893FA2"/>
    <w:rsid w:val="0089400F"/>
    <w:rsid w:val="00894068"/>
    <w:rsid w:val="00894070"/>
    <w:rsid w:val="008940A7"/>
    <w:rsid w:val="008940D7"/>
    <w:rsid w:val="008940FD"/>
    <w:rsid w:val="00894383"/>
    <w:rsid w:val="0089438E"/>
    <w:rsid w:val="00894424"/>
    <w:rsid w:val="00894478"/>
    <w:rsid w:val="00894479"/>
    <w:rsid w:val="0089448D"/>
    <w:rsid w:val="0089466A"/>
    <w:rsid w:val="008946BE"/>
    <w:rsid w:val="008946CC"/>
    <w:rsid w:val="00894720"/>
    <w:rsid w:val="00894735"/>
    <w:rsid w:val="008947AD"/>
    <w:rsid w:val="008947C1"/>
    <w:rsid w:val="008948D3"/>
    <w:rsid w:val="00894921"/>
    <w:rsid w:val="008949C0"/>
    <w:rsid w:val="008949CC"/>
    <w:rsid w:val="008949D2"/>
    <w:rsid w:val="008949E4"/>
    <w:rsid w:val="00894A16"/>
    <w:rsid w:val="00894A20"/>
    <w:rsid w:val="00894ACE"/>
    <w:rsid w:val="00894BB4"/>
    <w:rsid w:val="00894BD3"/>
    <w:rsid w:val="00894CA9"/>
    <w:rsid w:val="00894DA7"/>
    <w:rsid w:val="00894DED"/>
    <w:rsid w:val="00894E1C"/>
    <w:rsid w:val="00894EA9"/>
    <w:rsid w:val="00894F32"/>
    <w:rsid w:val="008950EE"/>
    <w:rsid w:val="00895207"/>
    <w:rsid w:val="008952BB"/>
    <w:rsid w:val="00895341"/>
    <w:rsid w:val="00895355"/>
    <w:rsid w:val="008953EB"/>
    <w:rsid w:val="008954D5"/>
    <w:rsid w:val="008954DE"/>
    <w:rsid w:val="00895568"/>
    <w:rsid w:val="008955B5"/>
    <w:rsid w:val="008955D9"/>
    <w:rsid w:val="0089568D"/>
    <w:rsid w:val="008956DC"/>
    <w:rsid w:val="008956DE"/>
    <w:rsid w:val="008956ED"/>
    <w:rsid w:val="00895702"/>
    <w:rsid w:val="00895761"/>
    <w:rsid w:val="00895786"/>
    <w:rsid w:val="00895796"/>
    <w:rsid w:val="0089581E"/>
    <w:rsid w:val="00895831"/>
    <w:rsid w:val="00895907"/>
    <w:rsid w:val="0089595D"/>
    <w:rsid w:val="008959F9"/>
    <w:rsid w:val="00895A50"/>
    <w:rsid w:val="00895B38"/>
    <w:rsid w:val="00895B48"/>
    <w:rsid w:val="00895B97"/>
    <w:rsid w:val="00895BA7"/>
    <w:rsid w:val="00895BBC"/>
    <w:rsid w:val="00895C0E"/>
    <w:rsid w:val="00895C52"/>
    <w:rsid w:val="00895C5F"/>
    <w:rsid w:val="00895C86"/>
    <w:rsid w:val="00895D59"/>
    <w:rsid w:val="00895D8A"/>
    <w:rsid w:val="00895F1E"/>
    <w:rsid w:val="00895F20"/>
    <w:rsid w:val="00895F45"/>
    <w:rsid w:val="00895FAC"/>
    <w:rsid w:val="00895FEA"/>
    <w:rsid w:val="00895FF1"/>
    <w:rsid w:val="00896099"/>
    <w:rsid w:val="00896118"/>
    <w:rsid w:val="00896132"/>
    <w:rsid w:val="00896168"/>
    <w:rsid w:val="008961FA"/>
    <w:rsid w:val="0089621E"/>
    <w:rsid w:val="00896263"/>
    <w:rsid w:val="00896278"/>
    <w:rsid w:val="0089641C"/>
    <w:rsid w:val="00896492"/>
    <w:rsid w:val="00896586"/>
    <w:rsid w:val="008965EF"/>
    <w:rsid w:val="00896659"/>
    <w:rsid w:val="00896702"/>
    <w:rsid w:val="00896736"/>
    <w:rsid w:val="008967C9"/>
    <w:rsid w:val="00896807"/>
    <w:rsid w:val="00896860"/>
    <w:rsid w:val="008968E8"/>
    <w:rsid w:val="0089690A"/>
    <w:rsid w:val="008969E5"/>
    <w:rsid w:val="00896BE5"/>
    <w:rsid w:val="00896CDA"/>
    <w:rsid w:val="00896D4D"/>
    <w:rsid w:val="00896D7A"/>
    <w:rsid w:val="00896DF4"/>
    <w:rsid w:val="00896E09"/>
    <w:rsid w:val="00896F2A"/>
    <w:rsid w:val="00896F9D"/>
    <w:rsid w:val="00896FB7"/>
    <w:rsid w:val="00896FEC"/>
    <w:rsid w:val="0089730F"/>
    <w:rsid w:val="00897315"/>
    <w:rsid w:val="00897429"/>
    <w:rsid w:val="0089748F"/>
    <w:rsid w:val="00897490"/>
    <w:rsid w:val="0089765B"/>
    <w:rsid w:val="00897671"/>
    <w:rsid w:val="008976F3"/>
    <w:rsid w:val="00897770"/>
    <w:rsid w:val="008977DB"/>
    <w:rsid w:val="00897880"/>
    <w:rsid w:val="00897977"/>
    <w:rsid w:val="00897A8C"/>
    <w:rsid w:val="00897B4A"/>
    <w:rsid w:val="00897BE1"/>
    <w:rsid w:val="00897C2F"/>
    <w:rsid w:val="00897C49"/>
    <w:rsid w:val="00897C76"/>
    <w:rsid w:val="00897CC7"/>
    <w:rsid w:val="00897E29"/>
    <w:rsid w:val="00897E94"/>
    <w:rsid w:val="008A0101"/>
    <w:rsid w:val="008A01A4"/>
    <w:rsid w:val="008A01D8"/>
    <w:rsid w:val="008A0234"/>
    <w:rsid w:val="008A041C"/>
    <w:rsid w:val="008A04DF"/>
    <w:rsid w:val="008A051A"/>
    <w:rsid w:val="008A052F"/>
    <w:rsid w:val="008A054B"/>
    <w:rsid w:val="008A05C3"/>
    <w:rsid w:val="008A05C8"/>
    <w:rsid w:val="008A0877"/>
    <w:rsid w:val="008A0878"/>
    <w:rsid w:val="008A0899"/>
    <w:rsid w:val="008A08FA"/>
    <w:rsid w:val="008A097B"/>
    <w:rsid w:val="008A09B3"/>
    <w:rsid w:val="008A09F4"/>
    <w:rsid w:val="008A0A2A"/>
    <w:rsid w:val="008A0ADD"/>
    <w:rsid w:val="008A0AFD"/>
    <w:rsid w:val="008A0B32"/>
    <w:rsid w:val="008A0B7D"/>
    <w:rsid w:val="008A0C4F"/>
    <w:rsid w:val="008A0C5B"/>
    <w:rsid w:val="008A0C96"/>
    <w:rsid w:val="008A0DA8"/>
    <w:rsid w:val="008A0E24"/>
    <w:rsid w:val="008A0E3E"/>
    <w:rsid w:val="008A0E7F"/>
    <w:rsid w:val="008A0EB5"/>
    <w:rsid w:val="008A0F1E"/>
    <w:rsid w:val="008A1010"/>
    <w:rsid w:val="008A1059"/>
    <w:rsid w:val="008A110C"/>
    <w:rsid w:val="008A1121"/>
    <w:rsid w:val="008A1123"/>
    <w:rsid w:val="008A1176"/>
    <w:rsid w:val="008A1185"/>
    <w:rsid w:val="008A1204"/>
    <w:rsid w:val="008A13DF"/>
    <w:rsid w:val="008A140E"/>
    <w:rsid w:val="008A1417"/>
    <w:rsid w:val="008A142B"/>
    <w:rsid w:val="008A14B1"/>
    <w:rsid w:val="008A162F"/>
    <w:rsid w:val="008A183F"/>
    <w:rsid w:val="008A1871"/>
    <w:rsid w:val="008A18CD"/>
    <w:rsid w:val="008A18F4"/>
    <w:rsid w:val="008A197A"/>
    <w:rsid w:val="008A1A31"/>
    <w:rsid w:val="008A1A7B"/>
    <w:rsid w:val="008A1AEE"/>
    <w:rsid w:val="008A1B33"/>
    <w:rsid w:val="008A1B4A"/>
    <w:rsid w:val="008A1B76"/>
    <w:rsid w:val="008A1BB0"/>
    <w:rsid w:val="008A1BF5"/>
    <w:rsid w:val="008A1C7D"/>
    <w:rsid w:val="008A1C9F"/>
    <w:rsid w:val="008A1CDE"/>
    <w:rsid w:val="008A1DDF"/>
    <w:rsid w:val="008A1E5B"/>
    <w:rsid w:val="008A1F41"/>
    <w:rsid w:val="008A1FA6"/>
    <w:rsid w:val="008A1FF1"/>
    <w:rsid w:val="008A2107"/>
    <w:rsid w:val="008A2233"/>
    <w:rsid w:val="008A224A"/>
    <w:rsid w:val="008A22BB"/>
    <w:rsid w:val="008A22C1"/>
    <w:rsid w:val="008A2343"/>
    <w:rsid w:val="008A237C"/>
    <w:rsid w:val="008A23F5"/>
    <w:rsid w:val="008A242A"/>
    <w:rsid w:val="008A24D2"/>
    <w:rsid w:val="008A2541"/>
    <w:rsid w:val="008A25B8"/>
    <w:rsid w:val="008A2670"/>
    <w:rsid w:val="008A268C"/>
    <w:rsid w:val="008A2737"/>
    <w:rsid w:val="008A2856"/>
    <w:rsid w:val="008A2857"/>
    <w:rsid w:val="008A287D"/>
    <w:rsid w:val="008A28A7"/>
    <w:rsid w:val="008A2990"/>
    <w:rsid w:val="008A29C3"/>
    <w:rsid w:val="008A2A28"/>
    <w:rsid w:val="008A2ADF"/>
    <w:rsid w:val="008A2B82"/>
    <w:rsid w:val="008A2B8F"/>
    <w:rsid w:val="008A2BDD"/>
    <w:rsid w:val="008A2BEF"/>
    <w:rsid w:val="008A2BF6"/>
    <w:rsid w:val="008A2C22"/>
    <w:rsid w:val="008A2C4E"/>
    <w:rsid w:val="008A2CB2"/>
    <w:rsid w:val="008A2D99"/>
    <w:rsid w:val="008A2EB7"/>
    <w:rsid w:val="008A2F7C"/>
    <w:rsid w:val="008A303C"/>
    <w:rsid w:val="008A3074"/>
    <w:rsid w:val="008A30A1"/>
    <w:rsid w:val="008A30F4"/>
    <w:rsid w:val="008A3107"/>
    <w:rsid w:val="008A328D"/>
    <w:rsid w:val="008A32E8"/>
    <w:rsid w:val="008A3341"/>
    <w:rsid w:val="008A3426"/>
    <w:rsid w:val="008A342D"/>
    <w:rsid w:val="008A3460"/>
    <w:rsid w:val="008A34CE"/>
    <w:rsid w:val="008A3504"/>
    <w:rsid w:val="008A3578"/>
    <w:rsid w:val="008A35D7"/>
    <w:rsid w:val="008A35F3"/>
    <w:rsid w:val="008A3680"/>
    <w:rsid w:val="008A3684"/>
    <w:rsid w:val="008A36B7"/>
    <w:rsid w:val="008A3738"/>
    <w:rsid w:val="008A373F"/>
    <w:rsid w:val="008A3806"/>
    <w:rsid w:val="008A3887"/>
    <w:rsid w:val="008A3950"/>
    <w:rsid w:val="008A395C"/>
    <w:rsid w:val="008A39C9"/>
    <w:rsid w:val="008A39CB"/>
    <w:rsid w:val="008A39F3"/>
    <w:rsid w:val="008A39FA"/>
    <w:rsid w:val="008A3A1D"/>
    <w:rsid w:val="008A3B3F"/>
    <w:rsid w:val="008A3B70"/>
    <w:rsid w:val="008A3B7E"/>
    <w:rsid w:val="008A3BE1"/>
    <w:rsid w:val="008A3BF1"/>
    <w:rsid w:val="008A3C78"/>
    <w:rsid w:val="008A3CAF"/>
    <w:rsid w:val="008A3CDA"/>
    <w:rsid w:val="008A3CDB"/>
    <w:rsid w:val="008A3D23"/>
    <w:rsid w:val="008A3D30"/>
    <w:rsid w:val="008A3D69"/>
    <w:rsid w:val="008A3D83"/>
    <w:rsid w:val="008A3DA9"/>
    <w:rsid w:val="008A3EF8"/>
    <w:rsid w:val="008A3F32"/>
    <w:rsid w:val="008A3F6D"/>
    <w:rsid w:val="008A3F83"/>
    <w:rsid w:val="008A3F8A"/>
    <w:rsid w:val="008A401B"/>
    <w:rsid w:val="008A40CC"/>
    <w:rsid w:val="008A4141"/>
    <w:rsid w:val="008A415F"/>
    <w:rsid w:val="008A41BE"/>
    <w:rsid w:val="008A420C"/>
    <w:rsid w:val="008A42FE"/>
    <w:rsid w:val="008A431E"/>
    <w:rsid w:val="008A43DD"/>
    <w:rsid w:val="008A43E0"/>
    <w:rsid w:val="008A45A9"/>
    <w:rsid w:val="008A4622"/>
    <w:rsid w:val="008A4636"/>
    <w:rsid w:val="008A4662"/>
    <w:rsid w:val="008A4673"/>
    <w:rsid w:val="008A4722"/>
    <w:rsid w:val="008A492F"/>
    <w:rsid w:val="008A49CE"/>
    <w:rsid w:val="008A49D1"/>
    <w:rsid w:val="008A4A3E"/>
    <w:rsid w:val="008A4A5D"/>
    <w:rsid w:val="008A4C42"/>
    <w:rsid w:val="008A4C60"/>
    <w:rsid w:val="008A4CD2"/>
    <w:rsid w:val="008A4CED"/>
    <w:rsid w:val="008A4D37"/>
    <w:rsid w:val="008A4DC2"/>
    <w:rsid w:val="008A4EB9"/>
    <w:rsid w:val="008A4EC5"/>
    <w:rsid w:val="008A4FED"/>
    <w:rsid w:val="008A5093"/>
    <w:rsid w:val="008A5106"/>
    <w:rsid w:val="008A5413"/>
    <w:rsid w:val="008A5483"/>
    <w:rsid w:val="008A54B9"/>
    <w:rsid w:val="008A5510"/>
    <w:rsid w:val="008A5595"/>
    <w:rsid w:val="008A55C6"/>
    <w:rsid w:val="008A56B1"/>
    <w:rsid w:val="008A5709"/>
    <w:rsid w:val="008A57E1"/>
    <w:rsid w:val="008A594C"/>
    <w:rsid w:val="008A59AF"/>
    <w:rsid w:val="008A59B1"/>
    <w:rsid w:val="008A59F5"/>
    <w:rsid w:val="008A5A28"/>
    <w:rsid w:val="008A5ADF"/>
    <w:rsid w:val="008A5B6D"/>
    <w:rsid w:val="008A5B8E"/>
    <w:rsid w:val="008A5C96"/>
    <w:rsid w:val="008A5D6E"/>
    <w:rsid w:val="008A5DFA"/>
    <w:rsid w:val="008A5E17"/>
    <w:rsid w:val="008A5EEE"/>
    <w:rsid w:val="008A6034"/>
    <w:rsid w:val="008A608F"/>
    <w:rsid w:val="008A60CD"/>
    <w:rsid w:val="008A6462"/>
    <w:rsid w:val="008A64B0"/>
    <w:rsid w:val="008A64C5"/>
    <w:rsid w:val="008A65A0"/>
    <w:rsid w:val="008A6681"/>
    <w:rsid w:val="008A66CC"/>
    <w:rsid w:val="008A68DA"/>
    <w:rsid w:val="008A69E8"/>
    <w:rsid w:val="008A6A25"/>
    <w:rsid w:val="008A6ABD"/>
    <w:rsid w:val="008A6C06"/>
    <w:rsid w:val="008A6D87"/>
    <w:rsid w:val="008A6DB2"/>
    <w:rsid w:val="008A6DDC"/>
    <w:rsid w:val="008A6EA8"/>
    <w:rsid w:val="008A70C5"/>
    <w:rsid w:val="008A71E0"/>
    <w:rsid w:val="008A722A"/>
    <w:rsid w:val="008A73DE"/>
    <w:rsid w:val="008A747B"/>
    <w:rsid w:val="008A7566"/>
    <w:rsid w:val="008A75D3"/>
    <w:rsid w:val="008A766C"/>
    <w:rsid w:val="008A77C9"/>
    <w:rsid w:val="008A7814"/>
    <w:rsid w:val="008A781C"/>
    <w:rsid w:val="008A7875"/>
    <w:rsid w:val="008A7925"/>
    <w:rsid w:val="008A7959"/>
    <w:rsid w:val="008A79A2"/>
    <w:rsid w:val="008A79DD"/>
    <w:rsid w:val="008A7A40"/>
    <w:rsid w:val="008A7B02"/>
    <w:rsid w:val="008A7EB3"/>
    <w:rsid w:val="008A7F7A"/>
    <w:rsid w:val="008B010C"/>
    <w:rsid w:val="008B0192"/>
    <w:rsid w:val="008B01BF"/>
    <w:rsid w:val="008B0226"/>
    <w:rsid w:val="008B030A"/>
    <w:rsid w:val="008B035D"/>
    <w:rsid w:val="008B0368"/>
    <w:rsid w:val="008B03BB"/>
    <w:rsid w:val="008B0446"/>
    <w:rsid w:val="008B044B"/>
    <w:rsid w:val="008B0464"/>
    <w:rsid w:val="008B0473"/>
    <w:rsid w:val="008B056C"/>
    <w:rsid w:val="008B057A"/>
    <w:rsid w:val="008B060F"/>
    <w:rsid w:val="008B0836"/>
    <w:rsid w:val="008B0895"/>
    <w:rsid w:val="008B0899"/>
    <w:rsid w:val="008B08D9"/>
    <w:rsid w:val="008B08E6"/>
    <w:rsid w:val="008B0975"/>
    <w:rsid w:val="008B09CA"/>
    <w:rsid w:val="008B09EB"/>
    <w:rsid w:val="008B09FC"/>
    <w:rsid w:val="008B0A25"/>
    <w:rsid w:val="008B0A73"/>
    <w:rsid w:val="008B0BC1"/>
    <w:rsid w:val="008B0D66"/>
    <w:rsid w:val="008B0DD0"/>
    <w:rsid w:val="008B0F57"/>
    <w:rsid w:val="008B0F7A"/>
    <w:rsid w:val="008B1045"/>
    <w:rsid w:val="008B10B3"/>
    <w:rsid w:val="008B1115"/>
    <w:rsid w:val="008B11B8"/>
    <w:rsid w:val="008B12A5"/>
    <w:rsid w:val="008B1342"/>
    <w:rsid w:val="008B148C"/>
    <w:rsid w:val="008B14DF"/>
    <w:rsid w:val="008B1520"/>
    <w:rsid w:val="008B15C7"/>
    <w:rsid w:val="008B17A2"/>
    <w:rsid w:val="008B17D1"/>
    <w:rsid w:val="008B17E5"/>
    <w:rsid w:val="008B183C"/>
    <w:rsid w:val="008B194F"/>
    <w:rsid w:val="008B1A38"/>
    <w:rsid w:val="008B1A4D"/>
    <w:rsid w:val="008B1B06"/>
    <w:rsid w:val="008B1C30"/>
    <w:rsid w:val="008B1DC4"/>
    <w:rsid w:val="008B1DEC"/>
    <w:rsid w:val="008B1E24"/>
    <w:rsid w:val="008B1F50"/>
    <w:rsid w:val="008B1FA8"/>
    <w:rsid w:val="008B1FF7"/>
    <w:rsid w:val="008B201F"/>
    <w:rsid w:val="008B207B"/>
    <w:rsid w:val="008B2094"/>
    <w:rsid w:val="008B2148"/>
    <w:rsid w:val="008B2158"/>
    <w:rsid w:val="008B2171"/>
    <w:rsid w:val="008B2293"/>
    <w:rsid w:val="008B2310"/>
    <w:rsid w:val="008B2387"/>
    <w:rsid w:val="008B2389"/>
    <w:rsid w:val="008B24DD"/>
    <w:rsid w:val="008B2543"/>
    <w:rsid w:val="008B25BC"/>
    <w:rsid w:val="008B25D4"/>
    <w:rsid w:val="008B25DB"/>
    <w:rsid w:val="008B26B0"/>
    <w:rsid w:val="008B26C5"/>
    <w:rsid w:val="008B28E4"/>
    <w:rsid w:val="008B29B8"/>
    <w:rsid w:val="008B2A27"/>
    <w:rsid w:val="008B2A45"/>
    <w:rsid w:val="008B2B3A"/>
    <w:rsid w:val="008B2B90"/>
    <w:rsid w:val="008B2BD7"/>
    <w:rsid w:val="008B2CAD"/>
    <w:rsid w:val="008B2CC1"/>
    <w:rsid w:val="008B2D0F"/>
    <w:rsid w:val="008B2D2F"/>
    <w:rsid w:val="008B2DB7"/>
    <w:rsid w:val="008B2F0E"/>
    <w:rsid w:val="008B2F9D"/>
    <w:rsid w:val="008B2FCC"/>
    <w:rsid w:val="008B2FEA"/>
    <w:rsid w:val="008B30BA"/>
    <w:rsid w:val="008B310F"/>
    <w:rsid w:val="008B32DE"/>
    <w:rsid w:val="008B33B4"/>
    <w:rsid w:val="008B36F0"/>
    <w:rsid w:val="008B387D"/>
    <w:rsid w:val="008B3881"/>
    <w:rsid w:val="008B394C"/>
    <w:rsid w:val="008B3A27"/>
    <w:rsid w:val="008B3A82"/>
    <w:rsid w:val="008B3A8D"/>
    <w:rsid w:val="008B3BD0"/>
    <w:rsid w:val="008B3C1C"/>
    <w:rsid w:val="008B3CA6"/>
    <w:rsid w:val="008B3CA8"/>
    <w:rsid w:val="008B3D5C"/>
    <w:rsid w:val="008B3D92"/>
    <w:rsid w:val="008B3F56"/>
    <w:rsid w:val="008B405A"/>
    <w:rsid w:val="008B40F1"/>
    <w:rsid w:val="008B420D"/>
    <w:rsid w:val="008B424C"/>
    <w:rsid w:val="008B4310"/>
    <w:rsid w:val="008B4336"/>
    <w:rsid w:val="008B449D"/>
    <w:rsid w:val="008B450F"/>
    <w:rsid w:val="008B4566"/>
    <w:rsid w:val="008B45D4"/>
    <w:rsid w:val="008B463C"/>
    <w:rsid w:val="008B4654"/>
    <w:rsid w:val="008B4696"/>
    <w:rsid w:val="008B46F6"/>
    <w:rsid w:val="008B46F8"/>
    <w:rsid w:val="008B4729"/>
    <w:rsid w:val="008B475C"/>
    <w:rsid w:val="008B47FF"/>
    <w:rsid w:val="008B482B"/>
    <w:rsid w:val="008B4875"/>
    <w:rsid w:val="008B489B"/>
    <w:rsid w:val="008B48C8"/>
    <w:rsid w:val="008B49DD"/>
    <w:rsid w:val="008B4A06"/>
    <w:rsid w:val="008B4AA0"/>
    <w:rsid w:val="008B4AAF"/>
    <w:rsid w:val="008B4AED"/>
    <w:rsid w:val="008B4C59"/>
    <w:rsid w:val="008B4D40"/>
    <w:rsid w:val="008B4E0C"/>
    <w:rsid w:val="008B4E14"/>
    <w:rsid w:val="008B4ECA"/>
    <w:rsid w:val="008B4EEB"/>
    <w:rsid w:val="008B4F69"/>
    <w:rsid w:val="008B507A"/>
    <w:rsid w:val="008B50D1"/>
    <w:rsid w:val="008B5148"/>
    <w:rsid w:val="008B518E"/>
    <w:rsid w:val="008B5203"/>
    <w:rsid w:val="008B521D"/>
    <w:rsid w:val="008B5228"/>
    <w:rsid w:val="008B52CF"/>
    <w:rsid w:val="008B53B2"/>
    <w:rsid w:val="008B5437"/>
    <w:rsid w:val="008B553E"/>
    <w:rsid w:val="008B55A6"/>
    <w:rsid w:val="008B55B2"/>
    <w:rsid w:val="008B55B4"/>
    <w:rsid w:val="008B5720"/>
    <w:rsid w:val="008B576C"/>
    <w:rsid w:val="008B5774"/>
    <w:rsid w:val="008B5886"/>
    <w:rsid w:val="008B58C8"/>
    <w:rsid w:val="008B592B"/>
    <w:rsid w:val="008B5A0C"/>
    <w:rsid w:val="008B5A42"/>
    <w:rsid w:val="008B5B47"/>
    <w:rsid w:val="008B5B53"/>
    <w:rsid w:val="008B5C33"/>
    <w:rsid w:val="008B5C8D"/>
    <w:rsid w:val="008B5CA6"/>
    <w:rsid w:val="008B5CDF"/>
    <w:rsid w:val="008B5E3B"/>
    <w:rsid w:val="008B5F50"/>
    <w:rsid w:val="008B5F68"/>
    <w:rsid w:val="008B5F81"/>
    <w:rsid w:val="008B6085"/>
    <w:rsid w:val="008B60B8"/>
    <w:rsid w:val="008B624F"/>
    <w:rsid w:val="008B6289"/>
    <w:rsid w:val="008B6332"/>
    <w:rsid w:val="008B6394"/>
    <w:rsid w:val="008B63B4"/>
    <w:rsid w:val="008B63BE"/>
    <w:rsid w:val="008B63E2"/>
    <w:rsid w:val="008B64B5"/>
    <w:rsid w:val="008B65AE"/>
    <w:rsid w:val="008B65E2"/>
    <w:rsid w:val="008B664C"/>
    <w:rsid w:val="008B6674"/>
    <w:rsid w:val="008B66CD"/>
    <w:rsid w:val="008B6703"/>
    <w:rsid w:val="008B673B"/>
    <w:rsid w:val="008B6868"/>
    <w:rsid w:val="008B68B3"/>
    <w:rsid w:val="008B6985"/>
    <w:rsid w:val="008B69DD"/>
    <w:rsid w:val="008B6A71"/>
    <w:rsid w:val="008B6B79"/>
    <w:rsid w:val="008B6BB0"/>
    <w:rsid w:val="008B6BBC"/>
    <w:rsid w:val="008B6BBE"/>
    <w:rsid w:val="008B6BFA"/>
    <w:rsid w:val="008B6BFE"/>
    <w:rsid w:val="008B6C67"/>
    <w:rsid w:val="008B6C8E"/>
    <w:rsid w:val="008B6CED"/>
    <w:rsid w:val="008B6D07"/>
    <w:rsid w:val="008B6FE8"/>
    <w:rsid w:val="008B7118"/>
    <w:rsid w:val="008B727E"/>
    <w:rsid w:val="008B728B"/>
    <w:rsid w:val="008B72A3"/>
    <w:rsid w:val="008B7311"/>
    <w:rsid w:val="008B74CE"/>
    <w:rsid w:val="008B75FA"/>
    <w:rsid w:val="008B769E"/>
    <w:rsid w:val="008B76D1"/>
    <w:rsid w:val="008B774B"/>
    <w:rsid w:val="008B7758"/>
    <w:rsid w:val="008B778C"/>
    <w:rsid w:val="008B77CE"/>
    <w:rsid w:val="008B7857"/>
    <w:rsid w:val="008B7887"/>
    <w:rsid w:val="008B791E"/>
    <w:rsid w:val="008B7925"/>
    <w:rsid w:val="008B7960"/>
    <w:rsid w:val="008B7999"/>
    <w:rsid w:val="008B79F1"/>
    <w:rsid w:val="008B79F4"/>
    <w:rsid w:val="008B79FC"/>
    <w:rsid w:val="008B7A61"/>
    <w:rsid w:val="008B7A7C"/>
    <w:rsid w:val="008B7B72"/>
    <w:rsid w:val="008B7B97"/>
    <w:rsid w:val="008B7BD7"/>
    <w:rsid w:val="008B7CA0"/>
    <w:rsid w:val="008B7CD9"/>
    <w:rsid w:val="008B7DC4"/>
    <w:rsid w:val="008B7E26"/>
    <w:rsid w:val="008B7E80"/>
    <w:rsid w:val="008B7EB2"/>
    <w:rsid w:val="008B7F97"/>
    <w:rsid w:val="008B7FC3"/>
    <w:rsid w:val="008C00D8"/>
    <w:rsid w:val="008C0165"/>
    <w:rsid w:val="008C016C"/>
    <w:rsid w:val="008C0268"/>
    <w:rsid w:val="008C02A1"/>
    <w:rsid w:val="008C03A8"/>
    <w:rsid w:val="008C03A9"/>
    <w:rsid w:val="008C03D4"/>
    <w:rsid w:val="008C03E3"/>
    <w:rsid w:val="008C03F5"/>
    <w:rsid w:val="008C0424"/>
    <w:rsid w:val="008C044C"/>
    <w:rsid w:val="008C04C5"/>
    <w:rsid w:val="008C0573"/>
    <w:rsid w:val="008C0582"/>
    <w:rsid w:val="008C0640"/>
    <w:rsid w:val="008C064A"/>
    <w:rsid w:val="008C0658"/>
    <w:rsid w:val="008C066F"/>
    <w:rsid w:val="008C0743"/>
    <w:rsid w:val="008C0824"/>
    <w:rsid w:val="008C083D"/>
    <w:rsid w:val="008C08E9"/>
    <w:rsid w:val="008C0929"/>
    <w:rsid w:val="008C0944"/>
    <w:rsid w:val="008C0A15"/>
    <w:rsid w:val="008C0A54"/>
    <w:rsid w:val="008C0CB9"/>
    <w:rsid w:val="008C0CEF"/>
    <w:rsid w:val="008C0D35"/>
    <w:rsid w:val="008C0D59"/>
    <w:rsid w:val="008C0E02"/>
    <w:rsid w:val="008C0F3D"/>
    <w:rsid w:val="008C0FBD"/>
    <w:rsid w:val="008C0FE6"/>
    <w:rsid w:val="008C1093"/>
    <w:rsid w:val="008C10A4"/>
    <w:rsid w:val="008C110E"/>
    <w:rsid w:val="008C11FD"/>
    <w:rsid w:val="008C149F"/>
    <w:rsid w:val="008C14E5"/>
    <w:rsid w:val="008C1510"/>
    <w:rsid w:val="008C1537"/>
    <w:rsid w:val="008C154F"/>
    <w:rsid w:val="008C15CA"/>
    <w:rsid w:val="008C16D2"/>
    <w:rsid w:val="008C1753"/>
    <w:rsid w:val="008C182D"/>
    <w:rsid w:val="008C1880"/>
    <w:rsid w:val="008C1888"/>
    <w:rsid w:val="008C18FD"/>
    <w:rsid w:val="008C1900"/>
    <w:rsid w:val="008C1933"/>
    <w:rsid w:val="008C1999"/>
    <w:rsid w:val="008C1A9F"/>
    <w:rsid w:val="008C1AE7"/>
    <w:rsid w:val="008C1B94"/>
    <w:rsid w:val="008C1C9F"/>
    <w:rsid w:val="008C1CF8"/>
    <w:rsid w:val="008C1E00"/>
    <w:rsid w:val="008C1EB5"/>
    <w:rsid w:val="008C1EBE"/>
    <w:rsid w:val="008C1F84"/>
    <w:rsid w:val="008C1FCE"/>
    <w:rsid w:val="008C1FD0"/>
    <w:rsid w:val="008C2129"/>
    <w:rsid w:val="008C22F9"/>
    <w:rsid w:val="008C2378"/>
    <w:rsid w:val="008C237E"/>
    <w:rsid w:val="008C2385"/>
    <w:rsid w:val="008C23B1"/>
    <w:rsid w:val="008C2470"/>
    <w:rsid w:val="008C247C"/>
    <w:rsid w:val="008C2561"/>
    <w:rsid w:val="008C25DA"/>
    <w:rsid w:val="008C261D"/>
    <w:rsid w:val="008C269B"/>
    <w:rsid w:val="008C26B0"/>
    <w:rsid w:val="008C26E6"/>
    <w:rsid w:val="008C270F"/>
    <w:rsid w:val="008C2745"/>
    <w:rsid w:val="008C2753"/>
    <w:rsid w:val="008C2909"/>
    <w:rsid w:val="008C2ACA"/>
    <w:rsid w:val="008C2AD7"/>
    <w:rsid w:val="008C2AF1"/>
    <w:rsid w:val="008C2BF2"/>
    <w:rsid w:val="008C2CBF"/>
    <w:rsid w:val="008C301F"/>
    <w:rsid w:val="008C3025"/>
    <w:rsid w:val="008C30BC"/>
    <w:rsid w:val="008C30CE"/>
    <w:rsid w:val="008C3129"/>
    <w:rsid w:val="008C3189"/>
    <w:rsid w:val="008C31DC"/>
    <w:rsid w:val="008C31E2"/>
    <w:rsid w:val="008C329F"/>
    <w:rsid w:val="008C32AD"/>
    <w:rsid w:val="008C32BD"/>
    <w:rsid w:val="008C3319"/>
    <w:rsid w:val="008C332A"/>
    <w:rsid w:val="008C33D2"/>
    <w:rsid w:val="008C345C"/>
    <w:rsid w:val="008C351A"/>
    <w:rsid w:val="008C35A1"/>
    <w:rsid w:val="008C35A4"/>
    <w:rsid w:val="008C35A9"/>
    <w:rsid w:val="008C35DC"/>
    <w:rsid w:val="008C3751"/>
    <w:rsid w:val="008C375E"/>
    <w:rsid w:val="008C378C"/>
    <w:rsid w:val="008C37A7"/>
    <w:rsid w:val="008C37EF"/>
    <w:rsid w:val="008C386E"/>
    <w:rsid w:val="008C38BB"/>
    <w:rsid w:val="008C38D6"/>
    <w:rsid w:val="008C394E"/>
    <w:rsid w:val="008C39E0"/>
    <w:rsid w:val="008C3A98"/>
    <w:rsid w:val="008C3AEF"/>
    <w:rsid w:val="008C3B2B"/>
    <w:rsid w:val="008C3B80"/>
    <w:rsid w:val="008C3BBF"/>
    <w:rsid w:val="008C3BF0"/>
    <w:rsid w:val="008C3C83"/>
    <w:rsid w:val="008C3D0A"/>
    <w:rsid w:val="008C3D1A"/>
    <w:rsid w:val="008C3D41"/>
    <w:rsid w:val="008C3E22"/>
    <w:rsid w:val="008C3E54"/>
    <w:rsid w:val="008C3E62"/>
    <w:rsid w:val="008C3FA4"/>
    <w:rsid w:val="008C3FB0"/>
    <w:rsid w:val="008C3FC9"/>
    <w:rsid w:val="008C4153"/>
    <w:rsid w:val="008C4177"/>
    <w:rsid w:val="008C418E"/>
    <w:rsid w:val="008C41EE"/>
    <w:rsid w:val="008C42AB"/>
    <w:rsid w:val="008C42C6"/>
    <w:rsid w:val="008C438D"/>
    <w:rsid w:val="008C43D9"/>
    <w:rsid w:val="008C4499"/>
    <w:rsid w:val="008C450B"/>
    <w:rsid w:val="008C45B5"/>
    <w:rsid w:val="008C4600"/>
    <w:rsid w:val="008C46A2"/>
    <w:rsid w:val="008C46AE"/>
    <w:rsid w:val="008C4725"/>
    <w:rsid w:val="008C473A"/>
    <w:rsid w:val="008C4741"/>
    <w:rsid w:val="008C483C"/>
    <w:rsid w:val="008C4889"/>
    <w:rsid w:val="008C48CA"/>
    <w:rsid w:val="008C4923"/>
    <w:rsid w:val="008C4953"/>
    <w:rsid w:val="008C49AB"/>
    <w:rsid w:val="008C4B1E"/>
    <w:rsid w:val="008C4B8F"/>
    <w:rsid w:val="008C4BAA"/>
    <w:rsid w:val="008C4D07"/>
    <w:rsid w:val="008C4DBB"/>
    <w:rsid w:val="008C4DF0"/>
    <w:rsid w:val="008C4EF9"/>
    <w:rsid w:val="008C4F1B"/>
    <w:rsid w:val="008C4F45"/>
    <w:rsid w:val="008C4FF3"/>
    <w:rsid w:val="008C5005"/>
    <w:rsid w:val="008C510A"/>
    <w:rsid w:val="008C51D9"/>
    <w:rsid w:val="008C51DD"/>
    <w:rsid w:val="008C521F"/>
    <w:rsid w:val="008C5242"/>
    <w:rsid w:val="008C5262"/>
    <w:rsid w:val="008C5287"/>
    <w:rsid w:val="008C52F0"/>
    <w:rsid w:val="008C5342"/>
    <w:rsid w:val="008C5444"/>
    <w:rsid w:val="008C54F3"/>
    <w:rsid w:val="008C557B"/>
    <w:rsid w:val="008C579B"/>
    <w:rsid w:val="008C5826"/>
    <w:rsid w:val="008C5949"/>
    <w:rsid w:val="008C5976"/>
    <w:rsid w:val="008C5A75"/>
    <w:rsid w:val="008C5AEA"/>
    <w:rsid w:val="008C5B1D"/>
    <w:rsid w:val="008C5BB1"/>
    <w:rsid w:val="008C5DAE"/>
    <w:rsid w:val="008C5E19"/>
    <w:rsid w:val="008C5E92"/>
    <w:rsid w:val="008C5EB4"/>
    <w:rsid w:val="008C5F2F"/>
    <w:rsid w:val="008C5FB9"/>
    <w:rsid w:val="008C617D"/>
    <w:rsid w:val="008C626C"/>
    <w:rsid w:val="008C62DC"/>
    <w:rsid w:val="008C6333"/>
    <w:rsid w:val="008C63A8"/>
    <w:rsid w:val="008C63FF"/>
    <w:rsid w:val="008C6423"/>
    <w:rsid w:val="008C6436"/>
    <w:rsid w:val="008C643A"/>
    <w:rsid w:val="008C6452"/>
    <w:rsid w:val="008C649E"/>
    <w:rsid w:val="008C6505"/>
    <w:rsid w:val="008C65C0"/>
    <w:rsid w:val="008C664C"/>
    <w:rsid w:val="008C6808"/>
    <w:rsid w:val="008C6913"/>
    <w:rsid w:val="008C693A"/>
    <w:rsid w:val="008C693C"/>
    <w:rsid w:val="008C69DB"/>
    <w:rsid w:val="008C6B7F"/>
    <w:rsid w:val="008C6BF9"/>
    <w:rsid w:val="008C6C24"/>
    <w:rsid w:val="008C6C9A"/>
    <w:rsid w:val="008C6D3F"/>
    <w:rsid w:val="008C6D49"/>
    <w:rsid w:val="008C6D7E"/>
    <w:rsid w:val="008C6E1F"/>
    <w:rsid w:val="008C6E73"/>
    <w:rsid w:val="008C6EB5"/>
    <w:rsid w:val="008C6F07"/>
    <w:rsid w:val="008C6F0F"/>
    <w:rsid w:val="008C6FD8"/>
    <w:rsid w:val="008C6FDC"/>
    <w:rsid w:val="008C70BE"/>
    <w:rsid w:val="008C70CB"/>
    <w:rsid w:val="008C7150"/>
    <w:rsid w:val="008C7173"/>
    <w:rsid w:val="008C71EA"/>
    <w:rsid w:val="008C7277"/>
    <w:rsid w:val="008C7488"/>
    <w:rsid w:val="008C756E"/>
    <w:rsid w:val="008C758F"/>
    <w:rsid w:val="008C7621"/>
    <w:rsid w:val="008C76AF"/>
    <w:rsid w:val="008C76C7"/>
    <w:rsid w:val="008C76FC"/>
    <w:rsid w:val="008C773F"/>
    <w:rsid w:val="008C7799"/>
    <w:rsid w:val="008C785C"/>
    <w:rsid w:val="008C7864"/>
    <w:rsid w:val="008C78A1"/>
    <w:rsid w:val="008C78D5"/>
    <w:rsid w:val="008C792A"/>
    <w:rsid w:val="008C795B"/>
    <w:rsid w:val="008C7991"/>
    <w:rsid w:val="008C7A63"/>
    <w:rsid w:val="008C7BCC"/>
    <w:rsid w:val="008C7BF5"/>
    <w:rsid w:val="008C7C29"/>
    <w:rsid w:val="008C7E81"/>
    <w:rsid w:val="008C7ED5"/>
    <w:rsid w:val="008C7EDA"/>
    <w:rsid w:val="008C7FE5"/>
    <w:rsid w:val="008C7FFE"/>
    <w:rsid w:val="008D00D1"/>
    <w:rsid w:val="008D012E"/>
    <w:rsid w:val="008D0178"/>
    <w:rsid w:val="008D019E"/>
    <w:rsid w:val="008D029A"/>
    <w:rsid w:val="008D02C1"/>
    <w:rsid w:val="008D02FB"/>
    <w:rsid w:val="008D0339"/>
    <w:rsid w:val="008D03E9"/>
    <w:rsid w:val="008D0448"/>
    <w:rsid w:val="008D047D"/>
    <w:rsid w:val="008D04AE"/>
    <w:rsid w:val="008D04B0"/>
    <w:rsid w:val="008D0608"/>
    <w:rsid w:val="008D095B"/>
    <w:rsid w:val="008D0976"/>
    <w:rsid w:val="008D0AE2"/>
    <w:rsid w:val="008D0B3F"/>
    <w:rsid w:val="008D0D79"/>
    <w:rsid w:val="008D0DC8"/>
    <w:rsid w:val="008D0E6D"/>
    <w:rsid w:val="008D0F1D"/>
    <w:rsid w:val="008D1013"/>
    <w:rsid w:val="008D102C"/>
    <w:rsid w:val="008D107D"/>
    <w:rsid w:val="008D10D7"/>
    <w:rsid w:val="008D10F1"/>
    <w:rsid w:val="008D1148"/>
    <w:rsid w:val="008D1174"/>
    <w:rsid w:val="008D134B"/>
    <w:rsid w:val="008D1366"/>
    <w:rsid w:val="008D1397"/>
    <w:rsid w:val="008D149F"/>
    <w:rsid w:val="008D1692"/>
    <w:rsid w:val="008D176C"/>
    <w:rsid w:val="008D1777"/>
    <w:rsid w:val="008D1856"/>
    <w:rsid w:val="008D195C"/>
    <w:rsid w:val="008D1A0F"/>
    <w:rsid w:val="008D1B16"/>
    <w:rsid w:val="008D1BBF"/>
    <w:rsid w:val="008D1BD2"/>
    <w:rsid w:val="008D1C1B"/>
    <w:rsid w:val="008D1C86"/>
    <w:rsid w:val="008D1D5A"/>
    <w:rsid w:val="008D1D84"/>
    <w:rsid w:val="008D1D9B"/>
    <w:rsid w:val="008D1E44"/>
    <w:rsid w:val="008D1EEB"/>
    <w:rsid w:val="008D1F5E"/>
    <w:rsid w:val="008D204F"/>
    <w:rsid w:val="008D2143"/>
    <w:rsid w:val="008D227D"/>
    <w:rsid w:val="008D22EB"/>
    <w:rsid w:val="008D233B"/>
    <w:rsid w:val="008D2366"/>
    <w:rsid w:val="008D23B8"/>
    <w:rsid w:val="008D240B"/>
    <w:rsid w:val="008D255C"/>
    <w:rsid w:val="008D261A"/>
    <w:rsid w:val="008D2663"/>
    <w:rsid w:val="008D275D"/>
    <w:rsid w:val="008D2859"/>
    <w:rsid w:val="008D289D"/>
    <w:rsid w:val="008D28C7"/>
    <w:rsid w:val="008D2971"/>
    <w:rsid w:val="008D297B"/>
    <w:rsid w:val="008D29BD"/>
    <w:rsid w:val="008D2AB1"/>
    <w:rsid w:val="008D2B3A"/>
    <w:rsid w:val="008D2B4C"/>
    <w:rsid w:val="008D2EDC"/>
    <w:rsid w:val="008D2FDF"/>
    <w:rsid w:val="008D300B"/>
    <w:rsid w:val="008D301D"/>
    <w:rsid w:val="008D3051"/>
    <w:rsid w:val="008D3066"/>
    <w:rsid w:val="008D30AD"/>
    <w:rsid w:val="008D3184"/>
    <w:rsid w:val="008D3206"/>
    <w:rsid w:val="008D33CB"/>
    <w:rsid w:val="008D3520"/>
    <w:rsid w:val="008D3521"/>
    <w:rsid w:val="008D3542"/>
    <w:rsid w:val="008D354A"/>
    <w:rsid w:val="008D36C6"/>
    <w:rsid w:val="008D3791"/>
    <w:rsid w:val="008D3819"/>
    <w:rsid w:val="008D38C5"/>
    <w:rsid w:val="008D38E5"/>
    <w:rsid w:val="008D393D"/>
    <w:rsid w:val="008D3957"/>
    <w:rsid w:val="008D3990"/>
    <w:rsid w:val="008D399B"/>
    <w:rsid w:val="008D39B0"/>
    <w:rsid w:val="008D3AFD"/>
    <w:rsid w:val="008D3BB5"/>
    <w:rsid w:val="008D3D07"/>
    <w:rsid w:val="008D3D80"/>
    <w:rsid w:val="008D3D81"/>
    <w:rsid w:val="008D3DCC"/>
    <w:rsid w:val="008D3FC5"/>
    <w:rsid w:val="008D400F"/>
    <w:rsid w:val="008D4010"/>
    <w:rsid w:val="008D40FE"/>
    <w:rsid w:val="008D414D"/>
    <w:rsid w:val="008D41EF"/>
    <w:rsid w:val="008D4213"/>
    <w:rsid w:val="008D429E"/>
    <w:rsid w:val="008D439C"/>
    <w:rsid w:val="008D442B"/>
    <w:rsid w:val="008D4495"/>
    <w:rsid w:val="008D44BF"/>
    <w:rsid w:val="008D44EF"/>
    <w:rsid w:val="008D4580"/>
    <w:rsid w:val="008D464E"/>
    <w:rsid w:val="008D467D"/>
    <w:rsid w:val="008D4764"/>
    <w:rsid w:val="008D4778"/>
    <w:rsid w:val="008D4814"/>
    <w:rsid w:val="008D4868"/>
    <w:rsid w:val="008D4917"/>
    <w:rsid w:val="008D49B0"/>
    <w:rsid w:val="008D4B0E"/>
    <w:rsid w:val="008D4B2A"/>
    <w:rsid w:val="008D4BA6"/>
    <w:rsid w:val="008D4BF4"/>
    <w:rsid w:val="008D4C36"/>
    <w:rsid w:val="008D4CDC"/>
    <w:rsid w:val="008D4E8D"/>
    <w:rsid w:val="008D4E9D"/>
    <w:rsid w:val="008D4EDD"/>
    <w:rsid w:val="008D4EF9"/>
    <w:rsid w:val="008D4F15"/>
    <w:rsid w:val="008D4F2B"/>
    <w:rsid w:val="008D4F2F"/>
    <w:rsid w:val="008D4FB0"/>
    <w:rsid w:val="008D518C"/>
    <w:rsid w:val="008D51B6"/>
    <w:rsid w:val="008D53D0"/>
    <w:rsid w:val="008D541C"/>
    <w:rsid w:val="008D545C"/>
    <w:rsid w:val="008D5519"/>
    <w:rsid w:val="008D5523"/>
    <w:rsid w:val="008D562A"/>
    <w:rsid w:val="008D563B"/>
    <w:rsid w:val="008D57C1"/>
    <w:rsid w:val="008D59B0"/>
    <w:rsid w:val="008D5A55"/>
    <w:rsid w:val="008D5A7F"/>
    <w:rsid w:val="008D5B09"/>
    <w:rsid w:val="008D5B33"/>
    <w:rsid w:val="008D5B52"/>
    <w:rsid w:val="008D5BC7"/>
    <w:rsid w:val="008D5D7B"/>
    <w:rsid w:val="008D5DEA"/>
    <w:rsid w:val="008D5E9B"/>
    <w:rsid w:val="008D5F33"/>
    <w:rsid w:val="008D5FD4"/>
    <w:rsid w:val="008D608B"/>
    <w:rsid w:val="008D60B9"/>
    <w:rsid w:val="008D6172"/>
    <w:rsid w:val="008D61C7"/>
    <w:rsid w:val="008D621C"/>
    <w:rsid w:val="008D6294"/>
    <w:rsid w:val="008D647C"/>
    <w:rsid w:val="008D65DB"/>
    <w:rsid w:val="008D660C"/>
    <w:rsid w:val="008D6658"/>
    <w:rsid w:val="008D66E7"/>
    <w:rsid w:val="008D67AE"/>
    <w:rsid w:val="008D68EF"/>
    <w:rsid w:val="008D69E1"/>
    <w:rsid w:val="008D6A6E"/>
    <w:rsid w:val="008D6A79"/>
    <w:rsid w:val="008D6C40"/>
    <w:rsid w:val="008D6C62"/>
    <w:rsid w:val="008D6D21"/>
    <w:rsid w:val="008D6D79"/>
    <w:rsid w:val="008D6D90"/>
    <w:rsid w:val="008D6DF9"/>
    <w:rsid w:val="008D6E77"/>
    <w:rsid w:val="008D6EAA"/>
    <w:rsid w:val="008D6F02"/>
    <w:rsid w:val="008D706D"/>
    <w:rsid w:val="008D708E"/>
    <w:rsid w:val="008D7092"/>
    <w:rsid w:val="008D7100"/>
    <w:rsid w:val="008D71A6"/>
    <w:rsid w:val="008D71DC"/>
    <w:rsid w:val="008D7250"/>
    <w:rsid w:val="008D726C"/>
    <w:rsid w:val="008D732C"/>
    <w:rsid w:val="008D7334"/>
    <w:rsid w:val="008D733B"/>
    <w:rsid w:val="008D73C2"/>
    <w:rsid w:val="008D73D1"/>
    <w:rsid w:val="008D7406"/>
    <w:rsid w:val="008D74C5"/>
    <w:rsid w:val="008D74C8"/>
    <w:rsid w:val="008D74E0"/>
    <w:rsid w:val="008D7557"/>
    <w:rsid w:val="008D763C"/>
    <w:rsid w:val="008D764A"/>
    <w:rsid w:val="008D76AF"/>
    <w:rsid w:val="008D77A7"/>
    <w:rsid w:val="008D789F"/>
    <w:rsid w:val="008D79EA"/>
    <w:rsid w:val="008D7B2B"/>
    <w:rsid w:val="008D7B31"/>
    <w:rsid w:val="008D7B34"/>
    <w:rsid w:val="008D7CDE"/>
    <w:rsid w:val="008D7DCD"/>
    <w:rsid w:val="008D7E30"/>
    <w:rsid w:val="008D7E3D"/>
    <w:rsid w:val="008D7E42"/>
    <w:rsid w:val="008D7EC9"/>
    <w:rsid w:val="008E0028"/>
    <w:rsid w:val="008E016E"/>
    <w:rsid w:val="008E0267"/>
    <w:rsid w:val="008E02AD"/>
    <w:rsid w:val="008E033B"/>
    <w:rsid w:val="008E04B5"/>
    <w:rsid w:val="008E04C2"/>
    <w:rsid w:val="008E0510"/>
    <w:rsid w:val="008E055C"/>
    <w:rsid w:val="008E059D"/>
    <w:rsid w:val="008E059F"/>
    <w:rsid w:val="008E06D4"/>
    <w:rsid w:val="008E0844"/>
    <w:rsid w:val="008E0910"/>
    <w:rsid w:val="008E0C3B"/>
    <w:rsid w:val="008E0DC7"/>
    <w:rsid w:val="008E0DC8"/>
    <w:rsid w:val="008E0E2B"/>
    <w:rsid w:val="008E0E99"/>
    <w:rsid w:val="008E0F0D"/>
    <w:rsid w:val="008E0F7A"/>
    <w:rsid w:val="008E0FE7"/>
    <w:rsid w:val="008E1002"/>
    <w:rsid w:val="008E1011"/>
    <w:rsid w:val="008E1029"/>
    <w:rsid w:val="008E10D5"/>
    <w:rsid w:val="008E10EF"/>
    <w:rsid w:val="008E1166"/>
    <w:rsid w:val="008E118B"/>
    <w:rsid w:val="008E12C7"/>
    <w:rsid w:val="008E1319"/>
    <w:rsid w:val="008E136B"/>
    <w:rsid w:val="008E1399"/>
    <w:rsid w:val="008E13DC"/>
    <w:rsid w:val="008E151A"/>
    <w:rsid w:val="008E1526"/>
    <w:rsid w:val="008E1555"/>
    <w:rsid w:val="008E178D"/>
    <w:rsid w:val="008E17E7"/>
    <w:rsid w:val="008E1874"/>
    <w:rsid w:val="008E18EA"/>
    <w:rsid w:val="008E19F9"/>
    <w:rsid w:val="008E1A49"/>
    <w:rsid w:val="008E1AE5"/>
    <w:rsid w:val="008E1BFC"/>
    <w:rsid w:val="008E1C6C"/>
    <w:rsid w:val="008E1DAF"/>
    <w:rsid w:val="008E1ECE"/>
    <w:rsid w:val="008E1F90"/>
    <w:rsid w:val="008E1FB1"/>
    <w:rsid w:val="008E1FDA"/>
    <w:rsid w:val="008E1FDC"/>
    <w:rsid w:val="008E20BC"/>
    <w:rsid w:val="008E20F4"/>
    <w:rsid w:val="008E20F9"/>
    <w:rsid w:val="008E217A"/>
    <w:rsid w:val="008E21BA"/>
    <w:rsid w:val="008E2254"/>
    <w:rsid w:val="008E2311"/>
    <w:rsid w:val="008E2389"/>
    <w:rsid w:val="008E2449"/>
    <w:rsid w:val="008E24F7"/>
    <w:rsid w:val="008E2531"/>
    <w:rsid w:val="008E2639"/>
    <w:rsid w:val="008E2649"/>
    <w:rsid w:val="008E2767"/>
    <w:rsid w:val="008E27D8"/>
    <w:rsid w:val="008E289A"/>
    <w:rsid w:val="008E299C"/>
    <w:rsid w:val="008E29CE"/>
    <w:rsid w:val="008E2A94"/>
    <w:rsid w:val="008E2B10"/>
    <w:rsid w:val="008E2BC8"/>
    <w:rsid w:val="008E2BF8"/>
    <w:rsid w:val="008E2C16"/>
    <w:rsid w:val="008E2CB6"/>
    <w:rsid w:val="008E2E38"/>
    <w:rsid w:val="008E2FAC"/>
    <w:rsid w:val="008E2FE1"/>
    <w:rsid w:val="008E302D"/>
    <w:rsid w:val="008E3046"/>
    <w:rsid w:val="008E3115"/>
    <w:rsid w:val="008E31EF"/>
    <w:rsid w:val="008E3210"/>
    <w:rsid w:val="008E3211"/>
    <w:rsid w:val="008E32AD"/>
    <w:rsid w:val="008E32C4"/>
    <w:rsid w:val="008E33C6"/>
    <w:rsid w:val="008E340A"/>
    <w:rsid w:val="008E349F"/>
    <w:rsid w:val="008E34F3"/>
    <w:rsid w:val="008E359D"/>
    <w:rsid w:val="008E35D6"/>
    <w:rsid w:val="008E3615"/>
    <w:rsid w:val="008E36E1"/>
    <w:rsid w:val="008E3711"/>
    <w:rsid w:val="008E3747"/>
    <w:rsid w:val="008E3793"/>
    <w:rsid w:val="008E382E"/>
    <w:rsid w:val="008E38CF"/>
    <w:rsid w:val="008E38D4"/>
    <w:rsid w:val="008E38F0"/>
    <w:rsid w:val="008E3939"/>
    <w:rsid w:val="008E3969"/>
    <w:rsid w:val="008E3A13"/>
    <w:rsid w:val="008E3B1A"/>
    <w:rsid w:val="008E3C20"/>
    <w:rsid w:val="008E3C3D"/>
    <w:rsid w:val="008E3E15"/>
    <w:rsid w:val="008E3EBD"/>
    <w:rsid w:val="008E3EBE"/>
    <w:rsid w:val="008E3F7D"/>
    <w:rsid w:val="008E3FBE"/>
    <w:rsid w:val="008E3FC7"/>
    <w:rsid w:val="008E4184"/>
    <w:rsid w:val="008E4190"/>
    <w:rsid w:val="008E419B"/>
    <w:rsid w:val="008E420C"/>
    <w:rsid w:val="008E421E"/>
    <w:rsid w:val="008E44B2"/>
    <w:rsid w:val="008E456A"/>
    <w:rsid w:val="008E4680"/>
    <w:rsid w:val="008E4694"/>
    <w:rsid w:val="008E46BD"/>
    <w:rsid w:val="008E46D4"/>
    <w:rsid w:val="008E471C"/>
    <w:rsid w:val="008E4871"/>
    <w:rsid w:val="008E48B6"/>
    <w:rsid w:val="008E4924"/>
    <w:rsid w:val="008E4ABD"/>
    <w:rsid w:val="008E4C80"/>
    <w:rsid w:val="008E4D4C"/>
    <w:rsid w:val="008E4D82"/>
    <w:rsid w:val="008E4DFA"/>
    <w:rsid w:val="008E4E1B"/>
    <w:rsid w:val="008E4F03"/>
    <w:rsid w:val="008E4F37"/>
    <w:rsid w:val="008E4F4A"/>
    <w:rsid w:val="008E4F9B"/>
    <w:rsid w:val="008E4FD2"/>
    <w:rsid w:val="008E505D"/>
    <w:rsid w:val="008E5134"/>
    <w:rsid w:val="008E51EF"/>
    <w:rsid w:val="008E523B"/>
    <w:rsid w:val="008E54E4"/>
    <w:rsid w:val="008E55B3"/>
    <w:rsid w:val="008E561E"/>
    <w:rsid w:val="008E56EC"/>
    <w:rsid w:val="008E5768"/>
    <w:rsid w:val="008E5783"/>
    <w:rsid w:val="008E5850"/>
    <w:rsid w:val="008E58FC"/>
    <w:rsid w:val="008E5921"/>
    <w:rsid w:val="008E59A0"/>
    <w:rsid w:val="008E59B1"/>
    <w:rsid w:val="008E59D7"/>
    <w:rsid w:val="008E5A12"/>
    <w:rsid w:val="008E5AF8"/>
    <w:rsid w:val="008E5B46"/>
    <w:rsid w:val="008E5B8D"/>
    <w:rsid w:val="008E5BC7"/>
    <w:rsid w:val="008E5D07"/>
    <w:rsid w:val="008E5D38"/>
    <w:rsid w:val="008E5D42"/>
    <w:rsid w:val="008E5E37"/>
    <w:rsid w:val="008E5E55"/>
    <w:rsid w:val="008E5F05"/>
    <w:rsid w:val="008E5FAE"/>
    <w:rsid w:val="008E6186"/>
    <w:rsid w:val="008E6253"/>
    <w:rsid w:val="008E62F5"/>
    <w:rsid w:val="008E6314"/>
    <w:rsid w:val="008E632E"/>
    <w:rsid w:val="008E6332"/>
    <w:rsid w:val="008E63B3"/>
    <w:rsid w:val="008E6577"/>
    <w:rsid w:val="008E65EC"/>
    <w:rsid w:val="008E65F5"/>
    <w:rsid w:val="008E6674"/>
    <w:rsid w:val="008E672A"/>
    <w:rsid w:val="008E677B"/>
    <w:rsid w:val="008E68D9"/>
    <w:rsid w:val="008E690F"/>
    <w:rsid w:val="008E6AB1"/>
    <w:rsid w:val="008E6ADD"/>
    <w:rsid w:val="008E6B64"/>
    <w:rsid w:val="008E6C0D"/>
    <w:rsid w:val="008E6C6C"/>
    <w:rsid w:val="008E6CC4"/>
    <w:rsid w:val="008E6DF3"/>
    <w:rsid w:val="008E6E5E"/>
    <w:rsid w:val="008E6E77"/>
    <w:rsid w:val="008E6F32"/>
    <w:rsid w:val="008E6F99"/>
    <w:rsid w:val="008E6FD2"/>
    <w:rsid w:val="008E7016"/>
    <w:rsid w:val="008E7044"/>
    <w:rsid w:val="008E708A"/>
    <w:rsid w:val="008E70D7"/>
    <w:rsid w:val="008E710B"/>
    <w:rsid w:val="008E71BF"/>
    <w:rsid w:val="008E7375"/>
    <w:rsid w:val="008E73B5"/>
    <w:rsid w:val="008E73DA"/>
    <w:rsid w:val="008E7441"/>
    <w:rsid w:val="008E74AA"/>
    <w:rsid w:val="008E74F1"/>
    <w:rsid w:val="008E757A"/>
    <w:rsid w:val="008E76E9"/>
    <w:rsid w:val="008E7780"/>
    <w:rsid w:val="008E77F7"/>
    <w:rsid w:val="008E7836"/>
    <w:rsid w:val="008E7842"/>
    <w:rsid w:val="008E7A1D"/>
    <w:rsid w:val="008E7A62"/>
    <w:rsid w:val="008E7AB2"/>
    <w:rsid w:val="008E7B18"/>
    <w:rsid w:val="008E7BB8"/>
    <w:rsid w:val="008E7CE9"/>
    <w:rsid w:val="008E7DB4"/>
    <w:rsid w:val="008E7E86"/>
    <w:rsid w:val="008E7ECE"/>
    <w:rsid w:val="008E7F57"/>
    <w:rsid w:val="008F00F7"/>
    <w:rsid w:val="008F0126"/>
    <w:rsid w:val="008F012A"/>
    <w:rsid w:val="008F032B"/>
    <w:rsid w:val="008F0437"/>
    <w:rsid w:val="008F048A"/>
    <w:rsid w:val="008F0498"/>
    <w:rsid w:val="008F04BF"/>
    <w:rsid w:val="008F04C4"/>
    <w:rsid w:val="008F054F"/>
    <w:rsid w:val="008F05F7"/>
    <w:rsid w:val="008F0633"/>
    <w:rsid w:val="008F0722"/>
    <w:rsid w:val="008F0788"/>
    <w:rsid w:val="008F087C"/>
    <w:rsid w:val="008F08B1"/>
    <w:rsid w:val="008F08C9"/>
    <w:rsid w:val="008F0922"/>
    <w:rsid w:val="008F0A23"/>
    <w:rsid w:val="008F0BDA"/>
    <w:rsid w:val="008F0C0D"/>
    <w:rsid w:val="008F0CF4"/>
    <w:rsid w:val="008F0D75"/>
    <w:rsid w:val="008F0E2E"/>
    <w:rsid w:val="008F0F73"/>
    <w:rsid w:val="008F1051"/>
    <w:rsid w:val="008F10B6"/>
    <w:rsid w:val="008F118D"/>
    <w:rsid w:val="008F11E6"/>
    <w:rsid w:val="008F132F"/>
    <w:rsid w:val="008F1338"/>
    <w:rsid w:val="008F134C"/>
    <w:rsid w:val="008F137B"/>
    <w:rsid w:val="008F141B"/>
    <w:rsid w:val="008F142A"/>
    <w:rsid w:val="008F1503"/>
    <w:rsid w:val="008F15E2"/>
    <w:rsid w:val="008F17D9"/>
    <w:rsid w:val="008F180E"/>
    <w:rsid w:val="008F19DE"/>
    <w:rsid w:val="008F1AE7"/>
    <w:rsid w:val="008F1AEB"/>
    <w:rsid w:val="008F1B85"/>
    <w:rsid w:val="008F1CC1"/>
    <w:rsid w:val="008F1DD7"/>
    <w:rsid w:val="008F1DDE"/>
    <w:rsid w:val="008F1E74"/>
    <w:rsid w:val="008F1F84"/>
    <w:rsid w:val="008F1FBE"/>
    <w:rsid w:val="008F200C"/>
    <w:rsid w:val="008F2027"/>
    <w:rsid w:val="008F20AB"/>
    <w:rsid w:val="008F20D1"/>
    <w:rsid w:val="008F20DD"/>
    <w:rsid w:val="008F21C8"/>
    <w:rsid w:val="008F21DA"/>
    <w:rsid w:val="008F21FE"/>
    <w:rsid w:val="008F2262"/>
    <w:rsid w:val="008F2270"/>
    <w:rsid w:val="008F2376"/>
    <w:rsid w:val="008F23A7"/>
    <w:rsid w:val="008F251E"/>
    <w:rsid w:val="008F2568"/>
    <w:rsid w:val="008F25E2"/>
    <w:rsid w:val="008F2601"/>
    <w:rsid w:val="008F27A0"/>
    <w:rsid w:val="008F27B7"/>
    <w:rsid w:val="008F2A34"/>
    <w:rsid w:val="008F2AAF"/>
    <w:rsid w:val="008F2AF5"/>
    <w:rsid w:val="008F2B4E"/>
    <w:rsid w:val="008F2B9A"/>
    <w:rsid w:val="008F2BB3"/>
    <w:rsid w:val="008F2C49"/>
    <w:rsid w:val="008F2C87"/>
    <w:rsid w:val="008F2DB7"/>
    <w:rsid w:val="008F2E24"/>
    <w:rsid w:val="008F2EDB"/>
    <w:rsid w:val="008F2F6F"/>
    <w:rsid w:val="008F3020"/>
    <w:rsid w:val="008F306C"/>
    <w:rsid w:val="008F30A0"/>
    <w:rsid w:val="008F30A4"/>
    <w:rsid w:val="008F3112"/>
    <w:rsid w:val="008F3172"/>
    <w:rsid w:val="008F3177"/>
    <w:rsid w:val="008F31DA"/>
    <w:rsid w:val="008F3298"/>
    <w:rsid w:val="008F3344"/>
    <w:rsid w:val="008F35B6"/>
    <w:rsid w:val="008F3611"/>
    <w:rsid w:val="008F362C"/>
    <w:rsid w:val="008F37F5"/>
    <w:rsid w:val="008F3922"/>
    <w:rsid w:val="008F3946"/>
    <w:rsid w:val="008F39BF"/>
    <w:rsid w:val="008F3A4D"/>
    <w:rsid w:val="008F3D49"/>
    <w:rsid w:val="008F3D96"/>
    <w:rsid w:val="008F3DCA"/>
    <w:rsid w:val="008F3F2B"/>
    <w:rsid w:val="008F3FAB"/>
    <w:rsid w:val="008F4109"/>
    <w:rsid w:val="008F418F"/>
    <w:rsid w:val="008F422B"/>
    <w:rsid w:val="008F4274"/>
    <w:rsid w:val="008F427D"/>
    <w:rsid w:val="008F43A2"/>
    <w:rsid w:val="008F43BC"/>
    <w:rsid w:val="008F43F7"/>
    <w:rsid w:val="008F452F"/>
    <w:rsid w:val="008F45FB"/>
    <w:rsid w:val="008F4635"/>
    <w:rsid w:val="008F4649"/>
    <w:rsid w:val="008F4770"/>
    <w:rsid w:val="008F477B"/>
    <w:rsid w:val="008F48CA"/>
    <w:rsid w:val="008F494F"/>
    <w:rsid w:val="008F4975"/>
    <w:rsid w:val="008F49D6"/>
    <w:rsid w:val="008F4AE4"/>
    <w:rsid w:val="008F4B72"/>
    <w:rsid w:val="008F4BB7"/>
    <w:rsid w:val="008F4DFB"/>
    <w:rsid w:val="008F4E93"/>
    <w:rsid w:val="008F4FB9"/>
    <w:rsid w:val="008F4FFE"/>
    <w:rsid w:val="008F502A"/>
    <w:rsid w:val="008F5320"/>
    <w:rsid w:val="008F5362"/>
    <w:rsid w:val="008F55E5"/>
    <w:rsid w:val="008F56EA"/>
    <w:rsid w:val="008F5733"/>
    <w:rsid w:val="008F57C9"/>
    <w:rsid w:val="008F57D6"/>
    <w:rsid w:val="008F586C"/>
    <w:rsid w:val="008F59BD"/>
    <w:rsid w:val="008F5A38"/>
    <w:rsid w:val="008F5B01"/>
    <w:rsid w:val="008F5B50"/>
    <w:rsid w:val="008F5BAA"/>
    <w:rsid w:val="008F5C14"/>
    <w:rsid w:val="008F5C6E"/>
    <w:rsid w:val="008F5FCF"/>
    <w:rsid w:val="008F5FE6"/>
    <w:rsid w:val="008F6058"/>
    <w:rsid w:val="008F60F7"/>
    <w:rsid w:val="008F623C"/>
    <w:rsid w:val="008F62FF"/>
    <w:rsid w:val="008F6420"/>
    <w:rsid w:val="008F64EE"/>
    <w:rsid w:val="008F6523"/>
    <w:rsid w:val="008F65B7"/>
    <w:rsid w:val="008F65DB"/>
    <w:rsid w:val="008F65DD"/>
    <w:rsid w:val="008F662D"/>
    <w:rsid w:val="008F67A5"/>
    <w:rsid w:val="008F6899"/>
    <w:rsid w:val="008F6919"/>
    <w:rsid w:val="008F6978"/>
    <w:rsid w:val="008F69CE"/>
    <w:rsid w:val="008F6A7E"/>
    <w:rsid w:val="008F6AA0"/>
    <w:rsid w:val="008F6ADB"/>
    <w:rsid w:val="008F6B03"/>
    <w:rsid w:val="008F6C09"/>
    <w:rsid w:val="008F6D35"/>
    <w:rsid w:val="008F6DF8"/>
    <w:rsid w:val="008F6E04"/>
    <w:rsid w:val="008F6EA4"/>
    <w:rsid w:val="008F6ECF"/>
    <w:rsid w:val="008F6F4D"/>
    <w:rsid w:val="008F6F67"/>
    <w:rsid w:val="008F729C"/>
    <w:rsid w:val="008F74B9"/>
    <w:rsid w:val="008F74C7"/>
    <w:rsid w:val="008F7525"/>
    <w:rsid w:val="008F7596"/>
    <w:rsid w:val="008F7627"/>
    <w:rsid w:val="008F76AB"/>
    <w:rsid w:val="008F76D5"/>
    <w:rsid w:val="008F77EF"/>
    <w:rsid w:val="008F7810"/>
    <w:rsid w:val="008F789F"/>
    <w:rsid w:val="008F78BE"/>
    <w:rsid w:val="008F7A05"/>
    <w:rsid w:val="008F7A15"/>
    <w:rsid w:val="008F7A4D"/>
    <w:rsid w:val="008F7A55"/>
    <w:rsid w:val="008F7A6D"/>
    <w:rsid w:val="008F7A74"/>
    <w:rsid w:val="008F7B38"/>
    <w:rsid w:val="008F7B81"/>
    <w:rsid w:val="008F7B99"/>
    <w:rsid w:val="008F7BA7"/>
    <w:rsid w:val="008F7D0C"/>
    <w:rsid w:val="008F7EE8"/>
    <w:rsid w:val="008F7FB3"/>
    <w:rsid w:val="00900033"/>
    <w:rsid w:val="0090010E"/>
    <w:rsid w:val="009003FA"/>
    <w:rsid w:val="009004BE"/>
    <w:rsid w:val="00900577"/>
    <w:rsid w:val="00900586"/>
    <w:rsid w:val="009005AC"/>
    <w:rsid w:val="009005DF"/>
    <w:rsid w:val="00900768"/>
    <w:rsid w:val="009007DB"/>
    <w:rsid w:val="00900898"/>
    <w:rsid w:val="0090092C"/>
    <w:rsid w:val="009009A1"/>
    <w:rsid w:val="009009A3"/>
    <w:rsid w:val="00900A01"/>
    <w:rsid w:val="00900A0E"/>
    <w:rsid w:val="00900A24"/>
    <w:rsid w:val="00900D14"/>
    <w:rsid w:val="00900E2A"/>
    <w:rsid w:val="00900E55"/>
    <w:rsid w:val="00900F35"/>
    <w:rsid w:val="00900FD7"/>
    <w:rsid w:val="009010E9"/>
    <w:rsid w:val="00901447"/>
    <w:rsid w:val="009014D9"/>
    <w:rsid w:val="0090158C"/>
    <w:rsid w:val="009015F9"/>
    <w:rsid w:val="00901690"/>
    <w:rsid w:val="0090172F"/>
    <w:rsid w:val="0090181D"/>
    <w:rsid w:val="00901903"/>
    <w:rsid w:val="0090195C"/>
    <w:rsid w:val="00901A6A"/>
    <w:rsid w:val="00901A79"/>
    <w:rsid w:val="00901C7A"/>
    <w:rsid w:val="00901CA4"/>
    <w:rsid w:val="00901ED3"/>
    <w:rsid w:val="00901EEF"/>
    <w:rsid w:val="00901F2B"/>
    <w:rsid w:val="00901F44"/>
    <w:rsid w:val="00901FDF"/>
    <w:rsid w:val="00902011"/>
    <w:rsid w:val="00902022"/>
    <w:rsid w:val="00902033"/>
    <w:rsid w:val="009020BD"/>
    <w:rsid w:val="00902415"/>
    <w:rsid w:val="0090241C"/>
    <w:rsid w:val="0090242B"/>
    <w:rsid w:val="0090255B"/>
    <w:rsid w:val="009025AE"/>
    <w:rsid w:val="009025FF"/>
    <w:rsid w:val="0090281C"/>
    <w:rsid w:val="00902846"/>
    <w:rsid w:val="009028C4"/>
    <w:rsid w:val="009028DA"/>
    <w:rsid w:val="0090291D"/>
    <w:rsid w:val="0090292F"/>
    <w:rsid w:val="009029B2"/>
    <w:rsid w:val="00902A8C"/>
    <w:rsid w:val="00902ABD"/>
    <w:rsid w:val="00902B68"/>
    <w:rsid w:val="00902B7E"/>
    <w:rsid w:val="00902B8B"/>
    <w:rsid w:val="00902C20"/>
    <w:rsid w:val="00902D42"/>
    <w:rsid w:val="00902D73"/>
    <w:rsid w:val="00902DEC"/>
    <w:rsid w:val="00902DF6"/>
    <w:rsid w:val="00902E2B"/>
    <w:rsid w:val="00902E8E"/>
    <w:rsid w:val="00902FA3"/>
    <w:rsid w:val="00902FC7"/>
    <w:rsid w:val="00903020"/>
    <w:rsid w:val="0090307C"/>
    <w:rsid w:val="00903226"/>
    <w:rsid w:val="009032C3"/>
    <w:rsid w:val="00903315"/>
    <w:rsid w:val="00903333"/>
    <w:rsid w:val="009033AD"/>
    <w:rsid w:val="009033CE"/>
    <w:rsid w:val="009033F3"/>
    <w:rsid w:val="0090342C"/>
    <w:rsid w:val="00903436"/>
    <w:rsid w:val="00903438"/>
    <w:rsid w:val="00903467"/>
    <w:rsid w:val="009034F9"/>
    <w:rsid w:val="00903597"/>
    <w:rsid w:val="0090359E"/>
    <w:rsid w:val="009035A3"/>
    <w:rsid w:val="00903635"/>
    <w:rsid w:val="009036D9"/>
    <w:rsid w:val="009037C9"/>
    <w:rsid w:val="00903803"/>
    <w:rsid w:val="00903862"/>
    <w:rsid w:val="00903978"/>
    <w:rsid w:val="0090399D"/>
    <w:rsid w:val="00903A14"/>
    <w:rsid w:val="00903AA9"/>
    <w:rsid w:val="00903B83"/>
    <w:rsid w:val="00903C1C"/>
    <w:rsid w:val="00903C3E"/>
    <w:rsid w:val="00903CBC"/>
    <w:rsid w:val="00903D37"/>
    <w:rsid w:val="00903F0D"/>
    <w:rsid w:val="0090407C"/>
    <w:rsid w:val="009041B1"/>
    <w:rsid w:val="009041DF"/>
    <w:rsid w:val="009041F5"/>
    <w:rsid w:val="00904255"/>
    <w:rsid w:val="00904380"/>
    <w:rsid w:val="009043D8"/>
    <w:rsid w:val="009043DA"/>
    <w:rsid w:val="0090441B"/>
    <w:rsid w:val="00904433"/>
    <w:rsid w:val="0090452A"/>
    <w:rsid w:val="009045C3"/>
    <w:rsid w:val="009045E7"/>
    <w:rsid w:val="0090462F"/>
    <w:rsid w:val="009048C9"/>
    <w:rsid w:val="009048E8"/>
    <w:rsid w:val="009048F7"/>
    <w:rsid w:val="00904911"/>
    <w:rsid w:val="00904976"/>
    <w:rsid w:val="0090497A"/>
    <w:rsid w:val="0090499D"/>
    <w:rsid w:val="009049F6"/>
    <w:rsid w:val="00904A82"/>
    <w:rsid w:val="00904B40"/>
    <w:rsid w:val="00904BF6"/>
    <w:rsid w:val="00904CFE"/>
    <w:rsid w:val="00904D03"/>
    <w:rsid w:val="00904D23"/>
    <w:rsid w:val="00904DD9"/>
    <w:rsid w:val="00904E43"/>
    <w:rsid w:val="00904F7D"/>
    <w:rsid w:val="00904F8B"/>
    <w:rsid w:val="00904FC1"/>
    <w:rsid w:val="00905010"/>
    <w:rsid w:val="009050D0"/>
    <w:rsid w:val="00905109"/>
    <w:rsid w:val="009053B5"/>
    <w:rsid w:val="009053FA"/>
    <w:rsid w:val="009053FD"/>
    <w:rsid w:val="0090540C"/>
    <w:rsid w:val="00905465"/>
    <w:rsid w:val="009054D2"/>
    <w:rsid w:val="009054DF"/>
    <w:rsid w:val="00905534"/>
    <w:rsid w:val="009056E6"/>
    <w:rsid w:val="00905770"/>
    <w:rsid w:val="009057CD"/>
    <w:rsid w:val="0090587B"/>
    <w:rsid w:val="00905911"/>
    <w:rsid w:val="00905A8D"/>
    <w:rsid w:val="00905AC0"/>
    <w:rsid w:val="00905B78"/>
    <w:rsid w:val="00905BB0"/>
    <w:rsid w:val="00905BBC"/>
    <w:rsid w:val="00905C58"/>
    <w:rsid w:val="00905CD4"/>
    <w:rsid w:val="00905D02"/>
    <w:rsid w:val="00905D18"/>
    <w:rsid w:val="00905D66"/>
    <w:rsid w:val="00905DAB"/>
    <w:rsid w:val="00905F55"/>
    <w:rsid w:val="00905F83"/>
    <w:rsid w:val="00905FB6"/>
    <w:rsid w:val="00905FFC"/>
    <w:rsid w:val="0090615C"/>
    <w:rsid w:val="009062B8"/>
    <w:rsid w:val="00906389"/>
    <w:rsid w:val="009063D4"/>
    <w:rsid w:val="009063FB"/>
    <w:rsid w:val="00906490"/>
    <w:rsid w:val="009064E8"/>
    <w:rsid w:val="0090653D"/>
    <w:rsid w:val="00906583"/>
    <w:rsid w:val="00906629"/>
    <w:rsid w:val="009066E7"/>
    <w:rsid w:val="00906746"/>
    <w:rsid w:val="0090689A"/>
    <w:rsid w:val="00906944"/>
    <w:rsid w:val="00906A81"/>
    <w:rsid w:val="00906B0D"/>
    <w:rsid w:val="00906B6A"/>
    <w:rsid w:val="00906C13"/>
    <w:rsid w:val="00906C27"/>
    <w:rsid w:val="00906C4B"/>
    <w:rsid w:val="00906C53"/>
    <w:rsid w:val="00906C88"/>
    <w:rsid w:val="00906D72"/>
    <w:rsid w:val="00906D7E"/>
    <w:rsid w:val="00906ED5"/>
    <w:rsid w:val="00906ED7"/>
    <w:rsid w:val="00906FA3"/>
    <w:rsid w:val="0090700C"/>
    <w:rsid w:val="009070AC"/>
    <w:rsid w:val="0090712F"/>
    <w:rsid w:val="00907174"/>
    <w:rsid w:val="009071AF"/>
    <w:rsid w:val="00907231"/>
    <w:rsid w:val="00907233"/>
    <w:rsid w:val="009073F0"/>
    <w:rsid w:val="00907411"/>
    <w:rsid w:val="00907545"/>
    <w:rsid w:val="00907570"/>
    <w:rsid w:val="0090769D"/>
    <w:rsid w:val="0090781C"/>
    <w:rsid w:val="009079A1"/>
    <w:rsid w:val="00907A9A"/>
    <w:rsid w:val="00907B3F"/>
    <w:rsid w:val="00907B65"/>
    <w:rsid w:val="00907BB3"/>
    <w:rsid w:val="00907CC6"/>
    <w:rsid w:val="00907CD4"/>
    <w:rsid w:val="00907D44"/>
    <w:rsid w:val="00907DC7"/>
    <w:rsid w:val="00907F00"/>
    <w:rsid w:val="00907F78"/>
    <w:rsid w:val="00907FB0"/>
    <w:rsid w:val="00910017"/>
    <w:rsid w:val="0091004E"/>
    <w:rsid w:val="0091005C"/>
    <w:rsid w:val="009101B2"/>
    <w:rsid w:val="00910306"/>
    <w:rsid w:val="0091031F"/>
    <w:rsid w:val="00910321"/>
    <w:rsid w:val="009103AA"/>
    <w:rsid w:val="0091048D"/>
    <w:rsid w:val="009107CC"/>
    <w:rsid w:val="00910870"/>
    <w:rsid w:val="009108E5"/>
    <w:rsid w:val="00910A3F"/>
    <w:rsid w:val="00910A66"/>
    <w:rsid w:val="00910B51"/>
    <w:rsid w:val="00910B95"/>
    <w:rsid w:val="00910C91"/>
    <w:rsid w:val="00910CC4"/>
    <w:rsid w:val="00910D3D"/>
    <w:rsid w:val="00910DC7"/>
    <w:rsid w:val="00910EBA"/>
    <w:rsid w:val="00910F17"/>
    <w:rsid w:val="00910F50"/>
    <w:rsid w:val="00910F6C"/>
    <w:rsid w:val="00911084"/>
    <w:rsid w:val="00911107"/>
    <w:rsid w:val="009111DD"/>
    <w:rsid w:val="009111E8"/>
    <w:rsid w:val="0091122C"/>
    <w:rsid w:val="00911328"/>
    <w:rsid w:val="0091142D"/>
    <w:rsid w:val="0091143C"/>
    <w:rsid w:val="009114F3"/>
    <w:rsid w:val="009115BF"/>
    <w:rsid w:val="009115E3"/>
    <w:rsid w:val="0091160C"/>
    <w:rsid w:val="0091169B"/>
    <w:rsid w:val="009116E8"/>
    <w:rsid w:val="0091179C"/>
    <w:rsid w:val="009117D7"/>
    <w:rsid w:val="009117E2"/>
    <w:rsid w:val="009117E6"/>
    <w:rsid w:val="0091188B"/>
    <w:rsid w:val="009118D8"/>
    <w:rsid w:val="009119A5"/>
    <w:rsid w:val="009119E0"/>
    <w:rsid w:val="00911A41"/>
    <w:rsid w:val="00911A66"/>
    <w:rsid w:val="00911BAE"/>
    <w:rsid w:val="00911BE0"/>
    <w:rsid w:val="00911BF0"/>
    <w:rsid w:val="00911BFF"/>
    <w:rsid w:val="00911CB0"/>
    <w:rsid w:val="00911D57"/>
    <w:rsid w:val="00911E4D"/>
    <w:rsid w:val="00911F73"/>
    <w:rsid w:val="00911F9C"/>
    <w:rsid w:val="00911FFE"/>
    <w:rsid w:val="00912004"/>
    <w:rsid w:val="00912146"/>
    <w:rsid w:val="0091219F"/>
    <w:rsid w:val="0091222F"/>
    <w:rsid w:val="00912326"/>
    <w:rsid w:val="00912341"/>
    <w:rsid w:val="0091235A"/>
    <w:rsid w:val="009123F5"/>
    <w:rsid w:val="0091241C"/>
    <w:rsid w:val="0091248D"/>
    <w:rsid w:val="009124AC"/>
    <w:rsid w:val="0091250C"/>
    <w:rsid w:val="009125B8"/>
    <w:rsid w:val="0091263F"/>
    <w:rsid w:val="00912652"/>
    <w:rsid w:val="009126AC"/>
    <w:rsid w:val="009126DC"/>
    <w:rsid w:val="009127A9"/>
    <w:rsid w:val="00912823"/>
    <w:rsid w:val="009128AB"/>
    <w:rsid w:val="009129C5"/>
    <w:rsid w:val="00912ACF"/>
    <w:rsid w:val="00912B24"/>
    <w:rsid w:val="00912B88"/>
    <w:rsid w:val="00912BF9"/>
    <w:rsid w:val="00912C13"/>
    <w:rsid w:val="00912DAB"/>
    <w:rsid w:val="00912DEC"/>
    <w:rsid w:val="00912E19"/>
    <w:rsid w:val="00912E94"/>
    <w:rsid w:val="00912F27"/>
    <w:rsid w:val="00912F40"/>
    <w:rsid w:val="00913070"/>
    <w:rsid w:val="00913223"/>
    <w:rsid w:val="00913248"/>
    <w:rsid w:val="009134A6"/>
    <w:rsid w:val="009134C6"/>
    <w:rsid w:val="009135A6"/>
    <w:rsid w:val="009135B4"/>
    <w:rsid w:val="0091361E"/>
    <w:rsid w:val="009138C7"/>
    <w:rsid w:val="009139ED"/>
    <w:rsid w:val="00913AD3"/>
    <w:rsid w:val="00913AE9"/>
    <w:rsid w:val="00913D7C"/>
    <w:rsid w:val="00913D86"/>
    <w:rsid w:val="00913D8E"/>
    <w:rsid w:val="00913D98"/>
    <w:rsid w:val="00913DD2"/>
    <w:rsid w:val="00913DEC"/>
    <w:rsid w:val="00913E23"/>
    <w:rsid w:val="00913F31"/>
    <w:rsid w:val="00913FA2"/>
    <w:rsid w:val="00914147"/>
    <w:rsid w:val="00914187"/>
    <w:rsid w:val="00914293"/>
    <w:rsid w:val="0091433A"/>
    <w:rsid w:val="0091435B"/>
    <w:rsid w:val="00914361"/>
    <w:rsid w:val="0091438F"/>
    <w:rsid w:val="00914447"/>
    <w:rsid w:val="00914467"/>
    <w:rsid w:val="00914473"/>
    <w:rsid w:val="00914489"/>
    <w:rsid w:val="009144A8"/>
    <w:rsid w:val="009144CD"/>
    <w:rsid w:val="009145CA"/>
    <w:rsid w:val="009145E7"/>
    <w:rsid w:val="00914638"/>
    <w:rsid w:val="009146D6"/>
    <w:rsid w:val="009146E8"/>
    <w:rsid w:val="00914714"/>
    <w:rsid w:val="0091477D"/>
    <w:rsid w:val="00914786"/>
    <w:rsid w:val="00914832"/>
    <w:rsid w:val="00914834"/>
    <w:rsid w:val="0091487C"/>
    <w:rsid w:val="00914898"/>
    <w:rsid w:val="009148D6"/>
    <w:rsid w:val="00914AC4"/>
    <w:rsid w:val="00914B05"/>
    <w:rsid w:val="00914C96"/>
    <w:rsid w:val="00914C9A"/>
    <w:rsid w:val="00914CAF"/>
    <w:rsid w:val="00914D8C"/>
    <w:rsid w:val="00914E95"/>
    <w:rsid w:val="00914F4D"/>
    <w:rsid w:val="00914FA2"/>
    <w:rsid w:val="00915077"/>
    <w:rsid w:val="00915101"/>
    <w:rsid w:val="0091523E"/>
    <w:rsid w:val="00915256"/>
    <w:rsid w:val="00915345"/>
    <w:rsid w:val="00915399"/>
    <w:rsid w:val="00915437"/>
    <w:rsid w:val="009154C1"/>
    <w:rsid w:val="009156CD"/>
    <w:rsid w:val="00915779"/>
    <w:rsid w:val="009158F6"/>
    <w:rsid w:val="00915903"/>
    <w:rsid w:val="00915976"/>
    <w:rsid w:val="00915985"/>
    <w:rsid w:val="009159C8"/>
    <w:rsid w:val="00915A2F"/>
    <w:rsid w:val="00915A81"/>
    <w:rsid w:val="00915AD1"/>
    <w:rsid w:val="00915B9C"/>
    <w:rsid w:val="00915BB0"/>
    <w:rsid w:val="00915C1D"/>
    <w:rsid w:val="00915C1F"/>
    <w:rsid w:val="00915C9F"/>
    <w:rsid w:val="00915D04"/>
    <w:rsid w:val="00915D72"/>
    <w:rsid w:val="00915D9F"/>
    <w:rsid w:val="00915DF8"/>
    <w:rsid w:val="00915E37"/>
    <w:rsid w:val="00915F37"/>
    <w:rsid w:val="00915F76"/>
    <w:rsid w:val="00915F7D"/>
    <w:rsid w:val="00916053"/>
    <w:rsid w:val="0091616C"/>
    <w:rsid w:val="009161B2"/>
    <w:rsid w:val="009161F7"/>
    <w:rsid w:val="0091626A"/>
    <w:rsid w:val="009162F6"/>
    <w:rsid w:val="0091638D"/>
    <w:rsid w:val="009163A7"/>
    <w:rsid w:val="0091642E"/>
    <w:rsid w:val="00916439"/>
    <w:rsid w:val="00916594"/>
    <w:rsid w:val="009165C0"/>
    <w:rsid w:val="00916681"/>
    <w:rsid w:val="00916689"/>
    <w:rsid w:val="009166D4"/>
    <w:rsid w:val="009166FF"/>
    <w:rsid w:val="0091674F"/>
    <w:rsid w:val="00916883"/>
    <w:rsid w:val="00916898"/>
    <w:rsid w:val="00916913"/>
    <w:rsid w:val="00916A57"/>
    <w:rsid w:val="00916B27"/>
    <w:rsid w:val="00916BD6"/>
    <w:rsid w:val="00916BDB"/>
    <w:rsid w:val="00916CCC"/>
    <w:rsid w:val="00916CE0"/>
    <w:rsid w:val="00916D08"/>
    <w:rsid w:val="00916E6D"/>
    <w:rsid w:val="00916ECE"/>
    <w:rsid w:val="00917485"/>
    <w:rsid w:val="0091752A"/>
    <w:rsid w:val="00917594"/>
    <w:rsid w:val="009175AD"/>
    <w:rsid w:val="0091765C"/>
    <w:rsid w:val="009176EE"/>
    <w:rsid w:val="00917712"/>
    <w:rsid w:val="00917785"/>
    <w:rsid w:val="009178A4"/>
    <w:rsid w:val="0091796F"/>
    <w:rsid w:val="00917985"/>
    <w:rsid w:val="009179E6"/>
    <w:rsid w:val="00917A4E"/>
    <w:rsid w:val="00917A58"/>
    <w:rsid w:val="00917B08"/>
    <w:rsid w:val="00917B48"/>
    <w:rsid w:val="00917B9F"/>
    <w:rsid w:val="00917BBB"/>
    <w:rsid w:val="00917CC1"/>
    <w:rsid w:val="00917DB2"/>
    <w:rsid w:val="00917E3C"/>
    <w:rsid w:val="00917F45"/>
    <w:rsid w:val="00917FA4"/>
    <w:rsid w:val="00917FC3"/>
    <w:rsid w:val="00920034"/>
    <w:rsid w:val="00920089"/>
    <w:rsid w:val="00920099"/>
    <w:rsid w:val="0092015E"/>
    <w:rsid w:val="0092017E"/>
    <w:rsid w:val="00920197"/>
    <w:rsid w:val="00920276"/>
    <w:rsid w:val="0092029F"/>
    <w:rsid w:val="009202A1"/>
    <w:rsid w:val="0092033E"/>
    <w:rsid w:val="00920358"/>
    <w:rsid w:val="0092035D"/>
    <w:rsid w:val="00920402"/>
    <w:rsid w:val="00920560"/>
    <w:rsid w:val="00920639"/>
    <w:rsid w:val="009206B2"/>
    <w:rsid w:val="009206E4"/>
    <w:rsid w:val="00920708"/>
    <w:rsid w:val="009207D8"/>
    <w:rsid w:val="009208A1"/>
    <w:rsid w:val="009208C0"/>
    <w:rsid w:val="00920973"/>
    <w:rsid w:val="00920B15"/>
    <w:rsid w:val="00920B21"/>
    <w:rsid w:val="00920B3D"/>
    <w:rsid w:val="00920B5F"/>
    <w:rsid w:val="00920B7C"/>
    <w:rsid w:val="00920BD1"/>
    <w:rsid w:val="00920CEB"/>
    <w:rsid w:val="00920D0C"/>
    <w:rsid w:val="00920D92"/>
    <w:rsid w:val="00920E0A"/>
    <w:rsid w:val="00920EAB"/>
    <w:rsid w:val="009210A4"/>
    <w:rsid w:val="009210BC"/>
    <w:rsid w:val="00921113"/>
    <w:rsid w:val="00921143"/>
    <w:rsid w:val="0092125C"/>
    <w:rsid w:val="009212ED"/>
    <w:rsid w:val="0092154E"/>
    <w:rsid w:val="00921561"/>
    <w:rsid w:val="0092159A"/>
    <w:rsid w:val="00921606"/>
    <w:rsid w:val="00921653"/>
    <w:rsid w:val="0092179A"/>
    <w:rsid w:val="00921865"/>
    <w:rsid w:val="0092186C"/>
    <w:rsid w:val="00921898"/>
    <w:rsid w:val="009218D6"/>
    <w:rsid w:val="00921A4C"/>
    <w:rsid w:val="00921AE4"/>
    <w:rsid w:val="00921BDA"/>
    <w:rsid w:val="00921BEA"/>
    <w:rsid w:val="00921CC9"/>
    <w:rsid w:val="00921D55"/>
    <w:rsid w:val="00921D6A"/>
    <w:rsid w:val="00921D6E"/>
    <w:rsid w:val="00921D8A"/>
    <w:rsid w:val="00921F39"/>
    <w:rsid w:val="00921FBE"/>
    <w:rsid w:val="00921FC4"/>
    <w:rsid w:val="00922028"/>
    <w:rsid w:val="009220ED"/>
    <w:rsid w:val="0092229C"/>
    <w:rsid w:val="009222A8"/>
    <w:rsid w:val="009222D9"/>
    <w:rsid w:val="0092242D"/>
    <w:rsid w:val="0092246E"/>
    <w:rsid w:val="009224F1"/>
    <w:rsid w:val="009225BD"/>
    <w:rsid w:val="00922702"/>
    <w:rsid w:val="00922824"/>
    <w:rsid w:val="0092297B"/>
    <w:rsid w:val="00922A12"/>
    <w:rsid w:val="00922A3A"/>
    <w:rsid w:val="00922A3E"/>
    <w:rsid w:val="00922A47"/>
    <w:rsid w:val="00922A85"/>
    <w:rsid w:val="00922A8E"/>
    <w:rsid w:val="00922AC5"/>
    <w:rsid w:val="00922ADB"/>
    <w:rsid w:val="00922B8D"/>
    <w:rsid w:val="00922BB1"/>
    <w:rsid w:val="00922BD3"/>
    <w:rsid w:val="00922BFB"/>
    <w:rsid w:val="00922D1B"/>
    <w:rsid w:val="00922D27"/>
    <w:rsid w:val="00922DC1"/>
    <w:rsid w:val="00922E5C"/>
    <w:rsid w:val="00922E8A"/>
    <w:rsid w:val="00922EDA"/>
    <w:rsid w:val="00922EE7"/>
    <w:rsid w:val="00922F44"/>
    <w:rsid w:val="00922F78"/>
    <w:rsid w:val="00922FB3"/>
    <w:rsid w:val="00922FFF"/>
    <w:rsid w:val="009231A2"/>
    <w:rsid w:val="009231B4"/>
    <w:rsid w:val="0092327C"/>
    <w:rsid w:val="0092328F"/>
    <w:rsid w:val="009232A6"/>
    <w:rsid w:val="00923381"/>
    <w:rsid w:val="009234E5"/>
    <w:rsid w:val="0092357F"/>
    <w:rsid w:val="0092364A"/>
    <w:rsid w:val="009236AA"/>
    <w:rsid w:val="0092384E"/>
    <w:rsid w:val="00923966"/>
    <w:rsid w:val="00923A93"/>
    <w:rsid w:val="00923B1B"/>
    <w:rsid w:val="00923C79"/>
    <w:rsid w:val="00923CE7"/>
    <w:rsid w:val="00923D51"/>
    <w:rsid w:val="00923DEE"/>
    <w:rsid w:val="00923EF1"/>
    <w:rsid w:val="00923F7F"/>
    <w:rsid w:val="00924168"/>
    <w:rsid w:val="009241C0"/>
    <w:rsid w:val="0092425D"/>
    <w:rsid w:val="009242EB"/>
    <w:rsid w:val="0092441F"/>
    <w:rsid w:val="009244F6"/>
    <w:rsid w:val="00924584"/>
    <w:rsid w:val="00924625"/>
    <w:rsid w:val="00924790"/>
    <w:rsid w:val="009247BD"/>
    <w:rsid w:val="00924836"/>
    <w:rsid w:val="00924840"/>
    <w:rsid w:val="00924985"/>
    <w:rsid w:val="009249CC"/>
    <w:rsid w:val="009249E5"/>
    <w:rsid w:val="00924A5E"/>
    <w:rsid w:val="00924B8A"/>
    <w:rsid w:val="00924BCC"/>
    <w:rsid w:val="00924D37"/>
    <w:rsid w:val="00924D3D"/>
    <w:rsid w:val="00924DB1"/>
    <w:rsid w:val="00924E8B"/>
    <w:rsid w:val="00924F65"/>
    <w:rsid w:val="00924F6D"/>
    <w:rsid w:val="00924F7E"/>
    <w:rsid w:val="00924FE9"/>
    <w:rsid w:val="009250D2"/>
    <w:rsid w:val="0092517D"/>
    <w:rsid w:val="009251F7"/>
    <w:rsid w:val="0092538C"/>
    <w:rsid w:val="0092542B"/>
    <w:rsid w:val="0092547D"/>
    <w:rsid w:val="009254AE"/>
    <w:rsid w:val="009254B2"/>
    <w:rsid w:val="009255D7"/>
    <w:rsid w:val="00925623"/>
    <w:rsid w:val="00925739"/>
    <w:rsid w:val="00925883"/>
    <w:rsid w:val="0092591B"/>
    <w:rsid w:val="00925981"/>
    <w:rsid w:val="00925992"/>
    <w:rsid w:val="009259D7"/>
    <w:rsid w:val="00925A5B"/>
    <w:rsid w:val="00925AFB"/>
    <w:rsid w:val="00925B3A"/>
    <w:rsid w:val="00925B61"/>
    <w:rsid w:val="00925B75"/>
    <w:rsid w:val="00925B89"/>
    <w:rsid w:val="00925CCE"/>
    <w:rsid w:val="00925CF3"/>
    <w:rsid w:val="00925D72"/>
    <w:rsid w:val="00925D92"/>
    <w:rsid w:val="00925D9D"/>
    <w:rsid w:val="00925ED8"/>
    <w:rsid w:val="00925EEC"/>
    <w:rsid w:val="00925F0D"/>
    <w:rsid w:val="00925FD4"/>
    <w:rsid w:val="009260C5"/>
    <w:rsid w:val="009260D7"/>
    <w:rsid w:val="0092618E"/>
    <w:rsid w:val="009261E9"/>
    <w:rsid w:val="00926292"/>
    <w:rsid w:val="0092629C"/>
    <w:rsid w:val="009263B4"/>
    <w:rsid w:val="009263C5"/>
    <w:rsid w:val="00926419"/>
    <w:rsid w:val="0092641F"/>
    <w:rsid w:val="00926427"/>
    <w:rsid w:val="00926530"/>
    <w:rsid w:val="00926622"/>
    <w:rsid w:val="0092662E"/>
    <w:rsid w:val="009266A6"/>
    <w:rsid w:val="009266B2"/>
    <w:rsid w:val="00926701"/>
    <w:rsid w:val="00926719"/>
    <w:rsid w:val="009267F3"/>
    <w:rsid w:val="0092680F"/>
    <w:rsid w:val="00926882"/>
    <w:rsid w:val="0092688D"/>
    <w:rsid w:val="00926961"/>
    <w:rsid w:val="0092697A"/>
    <w:rsid w:val="009269E0"/>
    <w:rsid w:val="00926A3C"/>
    <w:rsid w:val="00926A9B"/>
    <w:rsid w:val="00926B5B"/>
    <w:rsid w:val="00926BAA"/>
    <w:rsid w:val="00926D24"/>
    <w:rsid w:val="00926D61"/>
    <w:rsid w:val="00926D9C"/>
    <w:rsid w:val="00926E2F"/>
    <w:rsid w:val="00926E84"/>
    <w:rsid w:val="00926E99"/>
    <w:rsid w:val="00926F54"/>
    <w:rsid w:val="00926FC8"/>
    <w:rsid w:val="00927072"/>
    <w:rsid w:val="009271D1"/>
    <w:rsid w:val="00927333"/>
    <w:rsid w:val="00927376"/>
    <w:rsid w:val="009273B4"/>
    <w:rsid w:val="009273E6"/>
    <w:rsid w:val="00927415"/>
    <w:rsid w:val="0092745C"/>
    <w:rsid w:val="00927497"/>
    <w:rsid w:val="009274FE"/>
    <w:rsid w:val="0092751B"/>
    <w:rsid w:val="00927555"/>
    <w:rsid w:val="009275F6"/>
    <w:rsid w:val="0092762D"/>
    <w:rsid w:val="0092769B"/>
    <w:rsid w:val="009276B5"/>
    <w:rsid w:val="00927724"/>
    <w:rsid w:val="00927728"/>
    <w:rsid w:val="009277AB"/>
    <w:rsid w:val="009277D1"/>
    <w:rsid w:val="00927805"/>
    <w:rsid w:val="009278E7"/>
    <w:rsid w:val="00927936"/>
    <w:rsid w:val="009279B5"/>
    <w:rsid w:val="009279BC"/>
    <w:rsid w:val="00927A0A"/>
    <w:rsid w:val="00927A56"/>
    <w:rsid w:val="00927BC3"/>
    <w:rsid w:val="00927C0B"/>
    <w:rsid w:val="00927D00"/>
    <w:rsid w:val="00927D1A"/>
    <w:rsid w:val="00927D1B"/>
    <w:rsid w:val="00927E09"/>
    <w:rsid w:val="00927E18"/>
    <w:rsid w:val="00927E1F"/>
    <w:rsid w:val="00927E55"/>
    <w:rsid w:val="00927E8F"/>
    <w:rsid w:val="00927EAA"/>
    <w:rsid w:val="00927EC9"/>
    <w:rsid w:val="00927F28"/>
    <w:rsid w:val="00927F93"/>
    <w:rsid w:val="00927FCA"/>
    <w:rsid w:val="00930016"/>
    <w:rsid w:val="00930146"/>
    <w:rsid w:val="0093016A"/>
    <w:rsid w:val="00930185"/>
    <w:rsid w:val="009301CD"/>
    <w:rsid w:val="00930268"/>
    <w:rsid w:val="00930274"/>
    <w:rsid w:val="00930296"/>
    <w:rsid w:val="0093031C"/>
    <w:rsid w:val="00930364"/>
    <w:rsid w:val="00930398"/>
    <w:rsid w:val="00930424"/>
    <w:rsid w:val="0093043C"/>
    <w:rsid w:val="00930444"/>
    <w:rsid w:val="009304AD"/>
    <w:rsid w:val="009305C3"/>
    <w:rsid w:val="009306EA"/>
    <w:rsid w:val="009306F6"/>
    <w:rsid w:val="00930819"/>
    <w:rsid w:val="009308C0"/>
    <w:rsid w:val="009309AD"/>
    <w:rsid w:val="00930A89"/>
    <w:rsid w:val="00930AD4"/>
    <w:rsid w:val="00930B10"/>
    <w:rsid w:val="00930B50"/>
    <w:rsid w:val="00930B73"/>
    <w:rsid w:val="00930BC7"/>
    <w:rsid w:val="00930BCE"/>
    <w:rsid w:val="00930BEC"/>
    <w:rsid w:val="00930BF0"/>
    <w:rsid w:val="00930C51"/>
    <w:rsid w:val="00930CFC"/>
    <w:rsid w:val="00930D0E"/>
    <w:rsid w:val="00930DBF"/>
    <w:rsid w:val="00930DE3"/>
    <w:rsid w:val="00930E3E"/>
    <w:rsid w:val="00931121"/>
    <w:rsid w:val="00931149"/>
    <w:rsid w:val="00931177"/>
    <w:rsid w:val="00931181"/>
    <w:rsid w:val="009311FA"/>
    <w:rsid w:val="009312F4"/>
    <w:rsid w:val="009312F9"/>
    <w:rsid w:val="009313C0"/>
    <w:rsid w:val="00931589"/>
    <w:rsid w:val="00931636"/>
    <w:rsid w:val="0093179D"/>
    <w:rsid w:val="009317C4"/>
    <w:rsid w:val="009318CE"/>
    <w:rsid w:val="009318F3"/>
    <w:rsid w:val="00931939"/>
    <w:rsid w:val="00931954"/>
    <w:rsid w:val="009319A1"/>
    <w:rsid w:val="009319E7"/>
    <w:rsid w:val="00931B77"/>
    <w:rsid w:val="00931BFC"/>
    <w:rsid w:val="00931C1E"/>
    <w:rsid w:val="00931D56"/>
    <w:rsid w:val="00931DE0"/>
    <w:rsid w:val="00931E23"/>
    <w:rsid w:val="00931E83"/>
    <w:rsid w:val="00931F54"/>
    <w:rsid w:val="0093200F"/>
    <w:rsid w:val="009321E6"/>
    <w:rsid w:val="00932222"/>
    <w:rsid w:val="0093223C"/>
    <w:rsid w:val="0093228C"/>
    <w:rsid w:val="009322B2"/>
    <w:rsid w:val="00932312"/>
    <w:rsid w:val="009323F0"/>
    <w:rsid w:val="00932553"/>
    <w:rsid w:val="009325BE"/>
    <w:rsid w:val="0093268F"/>
    <w:rsid w:val="00932723"/>
    <w:rsid w:val="009327B8"/>
    <w:rsid w:val="009327F4"/>
    <w:rsid w:val="00932820"/>
    <w:rsid w:val="0093284D"/>
    <w:rsid w:val="00932933"/>
    <w:rsid w:val="009329B6"/>
    <w:rsid w:val="00932A37"/>
    <w:rsid w:val="00932AAA"/>
    <w:rsid w:val="00932BDA"/>
    <w:rsid w:val="00932C17"/>
    <w:rsid w:val="00932C26"/>
    <w:rsid w:val="00932C85"/>
    <w:rsid w:val="00932DB5"/>
    <w:rsid w:val="00932E05"/>
    <w:rsid w:val="00932E42"/>
    <w:rsid w:val="00932E62"/>
    <w:rsid w:val="00932E9F"/>
    <w:rsid w:val="00932EEB"/>
    <w:rsid w:val="00932FC4"/>
    <w:rsid w:val="00932FF3"/>
    <w:rsid w:val="00933005"/>
    <w:rsid w:val="009331CE"/>
    <w:rsid w:val="009331F0"/>
    <w:rsid w:val="009331F1"/>
    <w:rsid w:val="0093344B"/>
    <w:rsid w:val="00933544"/>
    <w:rsid w:val="00933576"/>
    <w:rsid w:val="009335BF"/>
    <w:rsid w:val="00933632"/>
    <w:rsid w:val="00933726"/>
    <w:rsid w:val="009337AB"/>
    <w:rsid w:val="009338AE"/>
    <w:rsid w:val="009338D0"/>
    <w:rsid w:val="00933AC5"/>
    <w:rsid w:val="00933AD3"/>
    <w:rsid w:val="00933CE0"/>
    <w:rsid w:val="00933E0F"/>
    <w:rsid w:val="00933E1E"/>
    <w:rsid w:val="00933E70"/>
    <w:rsid w:val="00933FC8"/>
    <w:rsid w:val="00934046"/>
    <w:rsid w:val="00934076"/>
    <w:rsid w:val="009341C7"/>
    <w:rsid w:val="00934222"/>
    <w:rsid w:val="00934345"/>
    <w:rsid w:val="009343C3"/>
    <w:rsid w:val="009343FF"/>
    <w:rsid w:val="0093452E"/>
    <w:rsid w:val="009345F2"/>
    <w:rsid w:val="009346A3"/>
    <w:rsid w:val="00934708"/>
    <w:rsid w:val="00934760"/>
    <w:rsid w:val="009347E9"/>
    <w:rsid w:val="009347F4"/>
    <w:rsid w:val="00934804"/>
    <w:rsid w:val="0093485D"/>
    <w:rsid w:val="0093499F"/>
    <w:rsid w:val="009349BA"/>
    <w:rsid w:val="00934BB7"/>
    <w:rsid w:val="00934CDB"/>
    <w:rsid w:val="00934D72"/>
    <w:rsid w:val="00934D89"/>
    <w:rsid w:val="00934E17"/>
    <w:rsid w:val="00934E4A"/>
    <w:rsid w:val="00934F47"/>
    <w:rsid w:val="00934FA8"/>
    <w:rsid w:val="00934FE9"/>
    <w:rsid w:val="00935047"/>
    <w:rsid w:val="0093504E"/>
    <w:rsid w:val="00935055"/>
    <w:rsid w:val="00935076"/>
    <w:rsid w:val="009350D9"/>
    <w:rsid w:val="0093517D"/>
    <w:rsid w:val="0093536A"/>
    <w:rsid w:val="00935458"/>
    <w:rsid w:val="00935556"/>
    <w:rsid w:val="0093557B"/>
    <w:rsid w:val="009355AF"/>
    <w:rsid w:val="009355C1"/>
    <w:rsid w:val="009355C2"/>
    <w:rsid w:val="0093568A"/>
    <w:rsid w:val="00935780"/>
    <w:rsid w:val="009357AE"/>
    <w:rsid w:val="00935803"/>
    <w:rsid w:val="00935853"/>
    <w:rsid w:val="0093585A"/>
    <w:rsid w:val="00935899"/>
    <w:rsid w:val="009358B2"/>
    <w:rsid w:val="0093590F"/>
    <w:rsid w:val="00935917"/>
    <w:rsid w:val="0093592A"/>
    <w:rsid w:val="00935B31"/>
    <w:rsid w:val="00935BA9"/>
    <w:rsid w:val="00935BBD"/>
    <w:rsid w:val="00935BCD"/>
    <w:rsid w:val="00935C49"/>
    <w:rsid w:val="00935D12"/>
    <w:rsid w:val="00935D25"/>
    <w:rsid w:val="00935D26"/>
    <w:rsid w:val="00935E7D"/>
    <w:rsid w:val="00935EAA"/>
    <w:rsid w:val="0093607D"/>
    <w:rsid w:val="009360B6"/>
    <w:rsid w:val="009360F4"/>
    <w:rsid w:val="009360FF"/>
    <w:rsid w:val="009361A4"/>
    <w:rsid w:val="009361D0"/>
    <w:rsid w:val="00936348"/>
    <w:rsid w:val="00936517"/>
    <w:rsid w:val="0093651B"/>
    <w:rsid w:val="00936571"/>
    <w:rsid w:val="0093658F"/>
    <w:rsid w:val="009365D8"/>
    <w:rsid w:val="0093662B"/>
    <w:rsid w:val="009366C7"/>
    <w:rsid w:val="009366EA"/>
    <w:rsid w:val="00936744"/>
    <w:rsid w:val="00936782"/>
    <w:rsid w:val="0093692D"/>
    <w:rsid w:val="00936B50"/>
    <w:rsid w:val="00936BE8"/>
    <w:rsid w:val="00936C4D"/>
    <w:rsid w:val="00936D46"/>
    <w:rsid w:val="00936E18"/>
    <w:rsid w:val="00936E31"/>
    <w:rsid w:val="00936E4F"/>
    <w:rsid w:val="00936ED9"/>
    <w:rsid w:val="00936F09"/>
    <w:rsid w:val="00936F6B"/>
    <w:rsid w:val="0093706D"/>
    <w:rsid w:val="009370B4"/>
    <w:rsid w:val="009370FF"/>
    <w:rsid w:val="009372E9"/>
    <w:rsid w:val="00937570"/>
    <w:rsid w:val="009377E3"/>
    <w:rsid w:val="00937844"/>
    <w:rsid w:val="0093784E"/>
    <w:rsid w:val="009378BF"/>
    <w:rsid w:val="009378FB"/>
    <w:rsid w:val="00937913"/>
    <w:rsid w:val="00937915"/>
    <w:rsid w:val="00937A47"/>
    <w:rsid w:val="00937A60"/>
    <w:rsid w:val="00937A91"/>
    <w:rsid w:val="00937AC4"/>
    <w:rsid w:val="00937B43"/>
    <w:rsid w:val="00937B64"/>
    <w:rsid w:val="00937D1F"/>
    <w:rsid w:val="00937DC3"/>
    <w:rsid w:val="00937E67"/>
    <w:rsid w:val="00937E93"/>
    <w:rsid w:val="00937EEF"/>
    <w:rsid w:val="00937F5A"/>
    <w:rsid w:val="00937F9E"/>
    <w:rsid w:val="00937FD6"/>
    <w:rsid w:val="00937FD9"/>
    <w:rsid w:val="009401E0"/>
    <w:rsid w:val="00940210"/>
    <w:rsid w:val="009402AA"/>
    <w:rsid w:val="00940338"/>
    <w:rsid w:val="009403A1"/>
    <w:rsid w:val="0094040D"/>
    <w:rsid w:val="0094044E"/>
    <w:rsid w:val="0094046A"/>
    <w:rsid w:val="00940475"/>
    <w:rsid w:val="009404C9"/>
    <w:rsid w:val="00940529"/>
    <w:rsid w:val="00940570"/>
    <w:rsid w:val="0094060C"/>
    <w:rsid w:val="00940675"/>
    <w:rsid w:val="009406AB"/>
    <w:rsid w:val="009406F8"/>
    <w:rsid w:val="00940815"/>
    <w:rsid w:val="0094083D"/>
    <w:rsid w:val="00940926"/>
    <w:rsid w:val="00940968"/>
    <w:rsid w:val="009409E3"/>
    <w:rsid w:val="00940A3A"/>
    <w:rsid w:val="00940B5C"/>
    <w:rsid w:val="00940BD8"/>
    <w:rsid w:val="00940C23"/>
    <w:rsid w:val="00940CAC"/>
    <w:rsid w:val="00940CC7"/>
    <w:rsid w:val="00940CC9"/>
    <w:rsid w:val="00940CDE"/>
    <w:rsid w:val="00940CE6"/>
    <w:rsid w:val="00940D37"/>
    <w:rsid w:val="00940D58"/>
    <w:rsid w:val="00940E09"/>
    <w:rsid w:val="00940E1E"/>
    <w:rsid w:val="00940E28"/>
    <w:rsid w:val="00940FE8"/>
    <w:rsid w:val="0094101A"/>
    <w:rsid w:val="009410BA"/>
    <w:rsid w:val="009411D3"/>
    <w:rsid w:val="00941253"/>
    <w:rsid w:val="00941282"/>
    <w:rsid w:val="00941348"/>
    <w:rsid w:val="00941382"/>
    <w:rsid w:val="0094138E"/>
    <w:rsid w:val="00941416"/>
    <w:rsid w:val="009415D4"/>
    <w:rsid w:val="0094160F"/>
    <w:rsid w:val="009416D4"/>
    <w:rsid w:val="009416FE"/>
    <w:rsid w:val="00941772"/>
    <w:rsid w:val="00941783"/>
    <w:rsid w:val="00941922"/>
    <w:rsid w:val="0094196E"/>
    <w:rsid w:val="00941B1D"/>
    <w:rsid w:val="00941B5D"/>
    <w:rsid w:val="00941B6A"/>
    <w:rsid w:val="00941C40"/>
    <w:rsid w:val="00941C48"/>
    <w:rsid w:val="00941CA7"/>
    <w:rsid w:val="00941D03"/>
    <w:rsid w:val="00941D6E"/>
    <w:rsid w:val="00941D91"/>
    <w:rsid w:val="00941DF5"/>
    <w:rsid w:val="00941F54"/>
    <w:rsid w:val="00941FFE"/>
    <w:rsid w:val="009420DC"/>
    <w:rsid w:val="00942103"/>
    <w:rsid w:val="0094215A"/>
    <w:rsid w:val="0094226E"/>
    <w:rsid w:val="009422A7"/>
    <w:rsid w:val="0094234C"/>
    <w:rsid w:val="0094237E"/>
    <w:rsid w:val="009423A7"/>
    <w:rsid w:val="009423B8"/>
    <w:rsid w:val="009423CC"/>
    <w:rsid w:val="0094253D"/>
    <w:rsid w:val="0094257F"/>
    <w:rsid w:val="0094258D"/>
    <w:rsid w:val="0094259F"/>
    <w:rsid w:val="0094267D"/>
    <w:rsid w:val="009426A3"/>
    <w:rsid w:val="00942728"/>
    <w:rsid w:val="0094275F"/>
    <w:rsid w:val="00942875"/>
    <w:rsid w:val="009428F5"/>
    <w:rsid w:val="00942913"/>
    <w:rsid w:val="00942955"/>
    <w:rsid w:val="00942979"/>
    <w:rsid w:val="0094297C"/>
    <w:rsid w:val="0094298A"/>
    <w:rsid w:val="009429EF"/>
    <w:rsid w:val="00942A07"/>
    <w:rsid w:val="00942A3A"/>
    <w:rsid w:val="00942AC2"/>
    <w:rsid w:val="00942ADC"/>
    <w:rsid w:val="00942B94"/>
    <w:rsid w:val="00942CE8"/>
    <w:rsid w:val="00942EBA"/>
    <w:rsid w:val="00942F1E"/>
    <w:rsid w:val="0094306C"/>
    <w:rsid w:val="009432B1"/>
    <w:rsid w:val="00943393"/>
    <w:rsid w:val="00943408"/>
    <w:rsid w:val="009434D3"/>
    <w:rsid w:val="00943563"/>
    <w:rsid w:val="009435DC"/>
    <w:rsid w:val="009435E1"/>
    <w:rsid w:val="0094371C"/>
    <w:rsid w:val="009437AF"/>
    <w:rsid w:val="0094385E"/>
    <w:rsid w:val="00943893"/>
    <w:rsid w:val="009438D2"/>
    <w:rsid w:val="00943AF7"/>
    <w:rsid w:val="00943B34"/>
    <w:rsid w:val="00943B51"/>
    <w:rsid w:val="00943D0F"/>
    <w:rsid w:val="00943E0D"/>
    <w:rsid w:val="00943E11"/>
    <w:rsid w:val="00943E32"/>
    <w:rsid w:val="00943E93"/>
    <w:rsid w:val="009440DA"/>
    <w:rsid w:val="00944115"/>
    <w:rsid w:val="00944149"/>
    <w:rsid w:val="0094415B"/>
    <w:rsid w:val="0094439E"/>
    <w:rsid w:val="009443C6"/>
    <w:rsid w:val="00944422"/>
    <w:rsid w:val="0094446F"/>
    <w:rsid w:val="009444C2"/>
    <w:rsid w:val="009445BA"/>
    <w:rsid w:val="009445D9"/>
    <w:rsid w:val="0094464A"/>
    <w:rsid w:val="00944653"/>
    <w:rsid w:val="0094469C"/>
    <w:rsid w:val="0094471A"/>
    <w:rsid w:val="009447FB"/>
    <w:rsid w:val="00944845"/>
    <w:rsid w:val="00944897"/>
    <w:rsid w:val="009448F2"/>
    <w:rsid w:val="0094492C"/>
    <w:rsid w:val="009449A7"/>
    <w:rsid w:val="009449B8"/>
    <w:rsid w:val="009449F1"/>
    <w:rsid w:val="00944A4F"/>
    <w:rsid w:val="00944A54"/>
    <w:rsid w:val="00944AF6"/>
    <w:rsid w:val="00944B49"/>
    <w:rsid w:val="00944BE0"/>
    <w:rsid w:val="00944C0C"/>
    <w:rsid w:val="00944C3B"/>
    <w:rsid w:val="00944C7A"/>
    <w:rsid w:val="00944CEA"/>
    <w:rsid w:val="00944D63"/>
    <w:rsid w:val="00944E43"/>
    <w:rsid w:val="00944E8B"/>
    <w:rsid w:val="00944F04"/>
    <w:rsid w:val="00944F64"/>
    <w:rsid w:val="00944FBF"/>
    <w:rsid w:val="00944FF7"/>
    <w:rsid w:val="00945056"/>
    <w:rsid w:val="00945083"/>
    <w:rsid w:val="00945095"/>
    <w:rsid w:val="009452DA"/>
    <w:rsid w:val="009454A4"/>
    <w:rsid w:val="009454C6"/>
    <w:rsid w:val="009455A3"/>
    <w:rsid w:val="009455B4"/>
    <w:rsid w:val="00945645"/>
    <w:rsid w:val="009456BB"/>
    <w:rsid w:val="0094572F"/>
    <w:rsid w:val="00945756"/>
    <w:rsid w:val="009457AF"/>
    <w:rsid w:val="00945814"/>
    <w:rsid w:val="00945880"/>
    <w:rsid w:val="009458B0"/>
    <w:rsid w:val="009458D1"/>
    <w:rsid w:val="00945AFD"/>
    <w:rsid w:val="00945B67"/>
    <w:rsid w:val="00945BA0"/>
    <w:rsid w:val="00945BC1"/>
    <w:rsid w:val="00945C47"/>
    <w:rsid w:val="00945E21"/>
    <w:rsid w:val="00945E49"/>
    <w:rsid w:val="0094606D"/>
    <w:rsid w:val="00946192"/>
    <w:rsid w:val="009461EA"/>
    <w:rsid w:val="009461FE"/>
    <w:rsid w:val="009462A5"/>
    <w:rsid w:val="009462D9"/>
    <w:rsid w:val="00946359"/>
    <w:rsid w:val="009463EB"/>
    <w:rsid w:val="00946409"/>
    <w:rsid w:val="00946560"/>
    <w:rsid w:val="009465AD"/>
    <w:rsid w:val="00946697"/>
    <w:rsid w:val="0094672F"/>
    <w:rsid w:val="009467A6"/>
    <w:rsid w:val="009467B5"/>
    <w:rsid w:val="009467EC"/>
    <w:rsid w:val="009468AE"/>
    <w:rsid w:val="009468BD"/>
    <w:rsid w:val="00946A40"/>
    <w:rsid w:val="00946A84"/>
    <w:rsid w:val="00946AB5"/>
    <w:rsid w:val="00946AF5"/>
    <w:rsid w:val="00946C12"/>
    <w:rsid w:val="00946CBA"/>
    <w:rsid w:val="00946D42"/>
    <w:rsid w:val="00946E15"/>
    <w:rsid w:val="00946E2B"/>
    <w:rsid w:val="00946E8A"/>
    <w:rsid w:val="00946EF2"/>
    <w:rsid w:val="00947016"/>
    <w:rsid w:val="00947066"/>
    <w:rsid w:val="009470A6"/>
    <w:rsid w:val="009470BB"/>
    <w:rsid w:val="0094711A"/>
    <w:rsid w:val="009471D5"/>
    <w:rsid w:val="009473BA"/>
    <w:rsid w:val="0094749C"/>
    <w:rsid w:val="009475DA"/>
    <w:rsid w:val="0094762D"/>
    <w:rsid w:val="00947646"/>
    <w:rsid w:val="0094767B"/>
    <w:rsid w:val="009476B0"/>
    <w:rsid w:val="009476FB"/>
    <w:rsid w:val="009477C8"/>
    <w:rsid w:val="00947877"/>
    <w:rsid w:val="00947900"/>
    <w:rsid w:val="0094791F"/>
    <w:rsid w:val="0094799E"/>
    <w:rsid w:val="009479D2"/>
    <w:rsid w:val="00947A29"/>
    <w:rsid w:val="00947A88"/>
    <w:rsid w:val="00947AC0"/>
    <w:rsid w:val="00947B32"/>
    <w:rsid w:val="00947B3A"/>
    <w:rsid w:val="00947B89"/>
    <w:rsid w:val="00947BAE"/>
    <w:rsid w:val="00947C4C"/>
    <w:rsid w:val="00947CD2"/>
    <w:rsid w:val="00947D26"/>
    <w:rsid w:val="00947DF8"/>
    <w:rsid w:val="00947F26"/>
    <w:rsid w:val="00947F3F"/>
    <w:rsid w:val="00947F7E"/>
    <w:rsid w:val="00947FB9"/>
    <w:rsid w:val="00947FBA"/>
    <w:rsid w:val="00947FBE"/>
    <w:rsid w:val="00947FDB"/>
    <w:rsid w:val="00950185"/>
    <w:rsid w:val="0095018D"/>
    <w:rsid w:val="00950358"/>
    <w:rsid w:val="009503E3"/>
    <w:rsid w:val="009503F0"/>
    <w:rsid w:val="00950436"/>
    <w:rsid w:val="00950634"/>
    <w:rsid w:val="00950697"/>
    <w:rsid w:val="009506AC"/>
    <w:rsid w:val="009506EF"/>
    <w:rsid w:val="0095075A"/>
    <w:rsid w:val="0095076C"/>
    <w:rsid w:val="00950849"/>
    <w:rsid w:val="009508C6"/>
    <w:rsid w:val="009508EB"/>
    <w:rsid w:val="009508FE"/>
    <w:rsid w:val="00950B7B"/>
    <w:rsid w:val="00950C66"/>
    <w:rsid w:val="00950D43"/>
    <w:rsid w:val="00950DC7"/>
    <w:rsid w:val="00950EED"/>
    <w:rsid w:val="00950F1C"/>
    <w:rsid w:val="00950FCC"/>
    <w:rsid w:val="00951138"/>
    <w:rsid w:val="0095119A"/>
    <w:rsid w:val="009511D9"/>
    <w:rsid w:val="0095124E"/>
    <w:rsid w:val="0095126C"/>
    <w:rsid w:val="00951478"/>
    <w:rsid w:val="0095149E"/>
    <w:rsid w:val="009516D1"/>
    <w:rsid w:val="009516DB"/>
    <w:rsid w:val="00951756"/>
    <w:rsid w:val="009517B7"/>
    <w:rsid w:val="0095184D"/>
    <w:rsid w:val="00951903"/>
    <w:rsid w:val="00951904"/>
    <w:rsid w:val="00951982"/>
    <w:rsid w:val="009519F2"/>
    <w:rsid w:val="00951A32"/>
    <w:rsid w:val="00951A5E"/>
    <w:rsid w:val="00951AC8"/>
    <w:rsid w:val="00951CC0"/>
    <w:rsid w:val="00951E47"/>
    <w:rsid w:val="00951E7D"/>
    <w:rsid w:val="00951FC5"/>
    <w:rsid w:val="0095201A"/>
    <w:rsid w:val="0095207C"/>
    <w:rsid w:val="0095210C"/>
    <w:rsid w:val="0095220B"/>
    <w:rsid w:val="0095232A"/>
    <w:rsid w:val="00952488"/>
    <w:rsid w:val="009524AC"/>
    <w:rsid w:val="009524B7"/>
    <w:rsid w:val="0095254A"/>
    <w:rsid w:val="00952561"/>
    <w:rsid w:val="00952711"/>
    <w:rsid w:val="009528EB"/>
    <w:rsid w:val="00952979"/>
    <w:rsid w:val="00952A14"/>
    <w:rsid w:val="00952AA0"/>
    <w:rsid w:val="00952AAE"/>
    <w:rsid w:val="00952AFA"/>
    <w:rsid w:val="00952B40"/>
    <w:rsid w:val="00952C90"/>
    <w:rsid w:val="00952CA2"/>
    <w:rsid w:val="00952DD8"/>
    <w:rsid w:val="00952F1D"/>
    <w:rsid w:val="00952FCA"/>
    <w:rsid w:val="00953095"/>
    <w:rsid w:val="0095311A"/>
    <w:rsid w:val="009531B4"/>
    <w:rsid w:val="009531E6"/>
    <w:rsid w:val="0095321E"/>
    <w:rsid w:val="00953244"/>
    <w:rsid w:val="00953300"/>
    <w:rsid w:val="0095339D"/>
    <w:rsid w:val="0095341F"/>
    <w:rsid w:val="00953508"/>
    <w:rsid w:val="0095356A"/>
    <w:rsid w:val="0095367B"/>
    <w:rsid w:val="00953688"/>
    <w:rsid w:val="0095370C"/>
    <w:rsid w:val="009537DA"/>
    <w:rsid w:val="009538BF"/>
    <w:rsid w:val="00953933"/>
    <w:rsid w:val="009539C2"/>
    <w:rsid w:val="009539CA"/>
    <w:rsid w:val="009539D2"/>
    <w:rsid w:val="00953B33"/>
    <w:rsid w:val="00953E7C"/>
    <w:rsid w:val="00953F3F"/>
    <w:rsid w:val="0095417A"/>
    <w:rsid w:val="0095432A"/>
    <w:rsid w:val="0095436D"/>
    <w:rsid w:val="009543A1"/>
    <w:rsid w:val="009543BE"/>
    <w:rsid w:val="0095447E"/>
    <w:rsid w:val="0095450A"/>
    <w:rsid w:val="00954537"/>
    <w:rsid w:val="00954599"/>
    <w:rsid w:val="0095459A"/>
    <w:rsid w:val="009545FB"/>
    <w:rsid w:val="00954687"/>
    <w:rsid w:val="009546FC"/>
    <w:rsid w:val="00954719"/>
    <w:rsid w:val="0095474A"/>
    <w:rsid w:val="0095489F"/>
    <w:rsid w:val="00954995"/>
    <w:rsid w:val="009549AF"/>
    <w:rsid w:val="00954AE7"/>
    <w:rsid w:val="00954B00"/>
    <w:rsid w:val="00954BF0"/>
    <w:rsid w:val="00954CF6"/>
    <w:rsid w:val="00954EB1"/>
    <w:rsid w:val="00954F33"/>
    <w:rsid w:val="00954FE8"/>
    <w:rsid w:val="0095503A"/>
    <w:rsid w:val="009550CA"/>
    <w:rsid w:val="0095516C"/>
    <w:rsid w:val="00955186"/>
    <w:rsid w:val="00955235"/>
    <w:rsid w:val="00955238"/>
    <w:rsid w:val="00955258"/>
    <w:rsid w:val="0095542C"/>
    <w:rsid w:val="00955459"/>
    <w:rsid w:val="00955496"/>
    <w:rsid w:val="009554B5"/>
    <w:rsid w:val="009554C1"/>
    <w:rsid w:val="00955527"/>
    <w:rsid w:val="00955553"/>
    <w:rsid w:val="009556FC"/>
    <w:rsid w:val="00955745"/>
    <w:rsid w:val="009557D8"/>
    <w:rsid w:val="00955840"/>
    <w:rsid w:val="00955886"/>
    <w:rsid w:val="009559EB"/>
    <w:rsid w:val="00955A8B"/>
    <w:rsid w:val="00955AAE"/>
    <w:rsid w:val="00955AE5"/>
    <w:rsid w:val="00955B29"/>
    <w:rsid w:val="00955B97"/>
    <w:rsid w:val="00955BD6"/>
    <w:rsid w:val="00955BE8"/>
    <w:rsid w:val="00955CD2"/>
    <w:rsid w:val="00955D6A"/>
    <w:rsid w:val="00955EEA"/>
    <w:rsid w:val="00955F24"/>
    <w:rsid w:val="00955FFB"/>
    <w:rsid w:val="00956019"/>
    <w:rsid w:val="009560F3"/>
    <w:rsid w:val="0095619D"/>
    <w:rsid w:val="0095626B"/>
    <w:rsid w:val="00956364"/>
    <w:rsid w:val="00956379"/>
    <w:rsid w:val="0095637F"/>
    <w:rsid w:val="00956411"/>
    <w:rsid w:val="00956413"/>
    <w:rsid w:val="00956455"/>
    <w:rsid w:val="00956565"/>
    <w:rsid w:val="0095657D"/>
    <w:rsid w:val="009566A6"/>
    <w:rsid w:val="00956719"/>
    <w:rsid w:val="009567D3"/>
    <w:rsid w:val="0095682D"/>
    <w:rsid w:val="00956840"/>
    <w:rsid w:val="00956978"/>
    <w:rsid w:val="00956A21"/>
    <w:rsid w:val="00956A2C"/>
    <w:rsid w:val="00956A6D"/>
    <w:rsid w:val="00956A6F"/>
    <w:rsid w:val="00956B5F"/>
    <w:rsid w:val="00956B62"/>
    <w:rsid w:val="00956D42"/>
    <w:rsid w:val="00956D90"/>
    <w:rsid w:val="00956EFA"/>
    <w:rsid w:val="00956F2E"/>
    <w:rsid w:val="00957236"/>
    <w:rsid w:val="009572B6"/>
    <w:rsid w:val="009572CC"/>
    <w:rsid w:val="0095730A"/>
    <w:rsid w:val="0095730E"/>
    <w:rsid w:val="00957421"/>
    <w:rsid w:val="0095742E"/>
    <w:rsid w:val="0095743F"/>
    <w:rsid w:val="00957475"/>
    <w:rsid w:val="00957523"/>
    <w:rsid w:val="0095767C"/>
    <w:rsid w:val="0095768C"/>
    <w:rsid w:val="00957691"/>
    <w:rsid w:val="009576B8"/>
    <w:rsid w:val="009576E6"/>
    <w:rsid w:val="00957A77"/>
    <w:rsid w:val="00957AB0"/>
    <w:rsid w:val="00957AED"/>
    <w:rsid w:val="00957B3A"/>
    <w:rsid w:val="00957C2A"/>
    <w:rsid w:val="00957DE9"/>
    <w:rsid w:val="00957E75"/>
    <w:rsid w:val="00960048"/>
    <w:rsid w:val="00960088"/>
    <w:rsid w:val="009601D1"/>
    <w:rsid w:val="00960219"/>
    <w:rsid w:val="0096026D"/>
    <w:rsid w:val="00960329"/>
    <w:rsid w:val="0096035A"/>
    <w:rsid w:val="00960367"/>
    <w:rsid w:val="00960413"/>
    <w:rsid w:val="00960440"/>
    <w:rsid w:val="00960587"/>
    <w:rsid w:val="009605DB"/>
    <w:rsid w:val="00960646"/>
    <w:rsid w:val="00960778"/>
    <w:rsid w:val="00960809"/>
    <w:rsid w:val="0096081F"/>
    <w:rsid w:val="00960935"/>
    <w:rsid w:val="009609B9"/>
    <w:rsid w:val="00960BA1"/>
    <w:rsid w:val="00960C6A"/>
    <w:rsid w:val="00960C94"/>
    <w:rsid w:val="00960DC3"/>
    <w:rsid w:val="00960E19"/>
    <w:rsid w:val="00960EC7"/>
    <w:rsid w:val="00960F3C"/>
    <w:rsid w:val="00960FA5"/>
    <w:rsid w:val="00960FF5"/>
    <w:rsid w:val="00961182"/>
    <w:rsid w:val="0096118D"/>
    <w:rsid w:val="009611AE"/>
    <w:rsid w:val="00961277"/>
    <w:rsid w:val="009612BA"/>
    <w:rsid w:val="009613C6"/>
    <w:rsid w:val="00961469"/>
    <w:rsid w:val="00961479"/>
    <w:rsid w:val="00961568"/>
    <w:rsid w:val="0096158E"/>
    <w:rsid w:val="0096185C"/>
    <w:rsid w:val="009619F9"/>
    <w:rsid w:val="00961A09"/>
    <w:rsid w:val="00961A11"/>
    <w:rsid w:val="00961A37"/>
    <w:rsid w:val="00961B0B"/>
    <w:rsid w:val="00961C01"/>
    <w:rsid w:val="00961C68"/>
    <w:rsid w:val="00961C8D"/>
    <w:rsid w:val="00961CA4"/>
    <w:rsid w:val="00961D09"/>
    <w:rsid w:val="00961E5E"/>
    <w:rsid w:val="00961F0C"/>
    <w:rsid w:val="00961F1C"/>
    <w:rsid w:val="00961F36"/>
    <w:rsid w:val="00961F63"/>
    <w:rsid w:val="00961FD5"/>
    <w:rsid w:val="00962163"/>
    <w:rsid w:val="00962197"/>
    <w:rsid w:val="009621BB"/>
    <w:rsid w:val="009622A9"/>
    <w:rsid w:val="0096241B"/>
    <w:rsid w:val="00962475"/>
    <w:rsid w:val="00962521"/>
    <w:rsid w:val="00962609"/>
    <w:rsid w:val="00962624"/>
    <w:rsid w:val="0096262F"/>
    <w:rsid w:val="00962659"/>
    <w:rsid w:val="009626AE"/>
    <w:rsid w:val="009627E5"/>
    <w:rsid w:val="00962838"/>
    <w:rsid w:val="009628E5"/>
    <w:rsid w:val="00962903"/>
    <w:rsid w:val="0096299F"/>
    <w:rsid w:val="00962A5F"/>
    <w:rsid w:val="00962A8F"/>
    <w:rsid w:val="00962BB0"/>
    <w:rsid w:val="00962BBD"/>
    <w:rsid w:val="00962C77"/>
    <w:rsid w:val="00962CDB"/>
    <w:rsid w:val="00962D0A"/>
    <w:rsid w:val="00962D76"/>
    <w:rsid w:val="00962EAD"/>
    <w:rsid w:val="00962F03"/>
    <w:rsid w:val="00962FC1"/>
    <w:rsid w:val="00963015"/>
    <w:rsid w:val="0096302C"/>
    <w:rsid w:val="0096318F"/>
    <w:rsid w:val="00963271"/>
    <w:rsid w:val="009632C9"/>
    <w:rsid w:val="00963393"/>
    <w:rsid w:val="009633F5"/>
    <w:rsid w:val="0096345B"/>
    <w:rsid w:val="009635AA"/>
    <w:rsid w:val="009636BF"/>
    <w:rsid w:val="009636D3"/>
    <w:rsid w:val="0096374C"/>
    <w:rsid w:val="00963759"/>
    <w:rsid w:val="009637B6"/>
    <w:rsid w:val="009637C5"/>
    <w:rsid w:val="00963804"/>
    <w:rsid w:val="0096381A"/>
    <w:rsid w:val="0096384A"/>
    <w:rsid w:val="009638DC"/>
    <w:rsid w:val="009639A7"/>
    <w:rsid w:val="009639AE"/>
    <w:rsid w:val="00963A79"/>
    <w:rsid w:val="00963AFF"/>
    <w:rsid w:val="00963B1F"/>
    <w:rsid w:val="00963B5A"/>
    <w:rsid w:val="00963C21"/>
    <w:rsid w:val="00963C7C"/>
    <w:rsid w:val="00963CD2"/>
    <w:rsid w:val="00963E12"/>
    <w:rsid w:val="00963EB7"/>
    <w:rsid w:val="00963F68"/>
    <w:rsid w:val="00963FFE"/>
    <w:rsid w:val="00964021"/>
    <w:rsid w:val="00964092"/>
    <w:rsid w:val="009640BC"/>
    <w:rsid w:val="0096418C"/>
    <w:rsid w:val="009642BE"/>
    <w:rsid w:val="0096432E"/>
    <w:rsid w:val="009644BA"/>
    <w:rsid w:val="009644D0"/>
    <w:rsid w:val="00964633"/>
    <w:rsid w:val="009646B3"/>
    <w:rsid w:val="009646C5"/>
    <w:rsid w:val="00964748"/>
    <w:rsid w:val="0096495D"/>
    <w:rsid w:val="00964AB0"/>
    <w:rsid w:val="00964B68"/>
    <w:rsid w:val="00964BA8"/>
    <w:rsid w:val="00964C26"/>
    <w:rsid w:val="00964EB2"/>
    <w:rsid w:val="00964EBE"/>
    <w:rsid w:val="00964ECE"/>
    <w:rsid w:val="00964F13"/>
    <w:rsid w:val="00964F4B"/>
    <w:rsid w:val="0096509C"/>
    <w:rsid w:val="009650E1"/>
    <w:rsid w:val="009650EE"/>
    <w:rsid w:val="00965168"/>
    <w:rsid w:val="00965264"/>
    <w:rsid w:val="00965282"/>
    <w:rsid w:val="00965287"/>
    <w:rsid w:val="009653B1"/>
    <w:rsid w:val="00965438"/>
    <w:rsid w:val="009654FB"/>
    <w:rsid w:val="00965552"/>
    <w:rsid w:val="00965560"/>
    <w:rsid w:val="0096558B"/>
    <w:rsid w:val="009656A8"/>
    <w:rsid w:val="00965766"/>
    <w:rsid w:val="00965991"/>
    <w:rsid w:val="009659DC"/>
    <w:rsid w:val="009659E7"/>
    <w:rsid w:val="009659FC"/>
    <w:rsid w:val="00965A2A"/>
    <w:rsid w:val="00965A96"/>
    <w:rsid w:val="00965ACB"/>
    <w:rsid w:val="00965B05"/>
    <w:rsid w:val="00965B39"/>
    <w:rsid w:val="00965BD9"/>
    <w:rsid w:val="00965C27"/>
    <w:rsid w:val="00965C75"/>
    <w:rsid w:val="00965CF7"/>
    <w:rsid w:val="00965CFD"/>
    <w:rsid w:val="00965EAC"/>
    <w:rsid w:val="00965EBC"/>
    <w:rsid w:val="00965F00"/>
    <w:rsid w:val="00965F03"/>
    <w:rsid w:val="00965F56"/>
    <w:rsid w:val="00965F84"/>
    <w:rsid w:val="00965F99"/>
    <w:rsid w:val="0096601F"/>
    <w:rsid w:val="0096606A"/>
    <w:rsid w:val="009660B0"/>
    <w:rsid w:val="0096612D"/>
    <w:rsid w:val="009661F8"/>
    <w:rsid w:val="00966212"/>
    <w:rsid w:val="00966223"/>
    <w:rsid w:val="0096623B"/>
    <w:rsid w:val="009662CC"/>
    <w:rsid w:val="00966388"/>
    <w:rsid w:val="0096639C"/>
    <w:rsid w:val="009663E5"/>
    <w:rsid w:val="009664B9"/>
    <w:rsid w:val="009665FA"/>
    <w:rsid w:val="00966641"/>
    <w:rsid w:val="00966785"/>
    <w:rsid w:val="009667FA"/>
    <w:rsid w:val="009668EF"/>
    <w:rsid w:val="009668F9"/>
    <w:rsid w:val="009669D2"/>
    <w:rsid w:val="009669DE"/>
    <w:rsid w:val="00966ACC"/>
    <w:rsid w:val="00966B02"/>
    <w:rsid w:val="00966B80"/>
    <w:rsid w:val="00966B8A"/>
    <w:rsid w:val="00966C12"/>
    <w:rsid w:val="00966CB0"/>
    <w:rsid w:val="00966E17"/>
    <w:rsid w:val="00966E2D"/>
    <w:rsid w:val="00966E2E"/>
    <w:rsid w:val="00966E8C"/>
    <w:rsid w:val="00966F85"/>
    <w:rsid w:val="00967028"/>
    <w:rsid w:val="0096711C"/>
    <w:rsid w:val="0096718B"/>
    <w:rsid w:val="009671BF"/>
    <w:rsid w:val="00967268"/>
    <w:rsid w:val="0096726F"/>
    <w:rsid w:val="009672BC"/>
    <w:rsid w:val="009672E5"/>
    <w:rsid w:val="00967354"/>
    <w:rsid w:val="0096739B"/>
    <w:rsid w:val="009673A9"/>
    <w:rsid w:val="00967532"/>
    <w:rsid w:val="0096756E"/>
    <w:rsid w:val="009675C9"/>
    <w:rsid w:val="00967620"/>
    <w:rsid w:val="00967639"/>
    <w:rsid w:val="0096765D"/>
    <w:rsid w:val="00967674"/>
    <w:rsid w:val="009676C0"/>
    <w:rsid w:val="009676F2"/>
    <w:rsid w:val="0096773B"/>
    <w:rsid w:val="00967833"/>
    <w:rsid w:val="00967881"/>
    <w:rsid w:val="009678D1"/>
    <w:rsid w:val="0096791A"/>
    <w:rsid w:val="0096799C"/>
    <w:rsid w:val="00967A33"/>
    <w:rsid w:val="00967A53"/>
    <w:rsid w:val="00967B1A"/>
    <w:rsid w:val="00967B62"/>
    <w:rsid w:val="00967B8A"/>
    <w:rsid w:val="00967D29"/>
    <w:rsid w:val="00967D2A"/>
    <w:rsid w:val="00967DD6"/>
    <w:rsid w:val="00967E16"/>
    <w:rsid w:val="00967F01"/>
    <w:rsid w:val="00967F49"/>
    <w:rsid w:val="00967F9C"/>
    <w:rsid w:val="009700C4"/>
    <w:rsid w:val="009700E3"/>
    <w:rsid w:val="009700E9"/>
    <w:rsid w:val="00970162"/>
    <w:rsid w:val="0097016C"/>
    <w:rsid w:val="00970359"/>
    <w:rsid w:val="00970615"/>
    <w:rsid w:val="00970627"/>
    <w:rsid w:val="009706B4"/>
    <w:rsid w:val="009706FC"/>
    <w:rsid w:val="00970706"/>
    <w:rsid w:val="009708BB"/>
    <w:rsid w:val="0097095D"/>
    <w:rsid w:val="00970967"/>
    <w:rsid w:val="009709FA"/>
    <w:rsid w:val="00970B2D"/>
    <w:rsid w:val="00970C20"/>
    <w:rsid w:val="00970C57"/>
    <w:rsid w:val="00970CBA"/>
    <w:rsid w:val="00970D0E"/>
    <w:rsid w:val="00970D43"/>
    <w:rsid w:val="00970DF3"/>
    <w:rsid w:val="00970DF4"/>
    <w:rsid w:val="00970E12"/>
    <w:rsid w:val="00970E2F"/>
    <w:rsid w:val="00970E33"/>
    <w:rsid w:val="00970FCB"/>
    <w:rsid w:val="009710B7"/>
    <w:rsid w:val="009710EB"/>
    <w:rsid w:val="00971232"/>
    <w:rsid w:val="0097124B"/>
    <w:rsid w:val="0097130F"/>
    <w:rsid w:val="00971331"/>
    <w:rsid w:val="00971334"/>
    <w:rsid w:val="00971373"/>
    <w:rsid w:val="009713BB"/>
    <w:rsid w:val="00971409"/>
    <w:rsid w:val="00971443"/>
    <w:rsid w:val="0097144A"/>
    <w:rsid w:val="009714D5"/>
    <w:rsid w:val="0097152C"/>
    <w:rsid w:val="009715D3"/>
    <w:rsid w:val="009715E3"/>
    <w:rsid w:val="00971988"/>
    <w:rsid w:val="00971A01"/>
    <w:rsid w:val="00971B28"/>
    <w:rsid w:val="00971B4B"/>
    <w:rsid w:val="00971BDD"/>
    <w:rsid w:val="00971BF5"/>
    <w:rsid w:val="00971BFA"/>
    <w:rsid w:val="00971C25"/>
    <w:rsid w:val="00971C95"/>
    <w:rsid w:val="00971CBF"/>
    <w:rsid w:val="00971DBC"/>
    <w:rsid w:val="00971DF0"/>
    <w:rsid w:val="00971E41"/>
    <w:rsid w:val="00971E8C"/>
    <w:rsid w:val="00971F5B"/>
    <w:rsid w:val="00972130"/>
    <w:rsid w:val="00972195"/>
    <w:rsid w:val="00972440"/>
    <w:rsid w:val="0097250D"/>
    <w:rsid w:val="00972539"/>
    <w:rsid w:val="009726F8"/>
    <w:rsid w:val="0097273F"/>
    <w:rsid w:val="0097274D"/>
    <w:rsid w:val="00972944"/>
    <w:rsid w:val="00972A85"/>
    <w:rsid w:val="00972AF7"/>
    <w:rsid w:val="00972B26"/>
    <w:rsid w:val="00972B50"/>
    <w:rsid w:val="00972C76"/>
    <w:rsid w:val="00972CA7"/>
    <w:rsid w:val="00972CCE"/>
    <w:rsid w:val="00972D04"/>
    <w:rsid w:val="00972D52"/>
    <w:rsid w:val="00972DBF"/>
    <w:rsid w:val="00972DF6"/>
    <w:rsid w:val="00972EC7"/>
    <w:rsid w:val="00972F90"/>
    <w:rsid w:val="00972FC7"/>
    <w:rsid w:val="009730F2"/>
    <w:rsid w:val="00973106"/>
    <w:rsid w:val="0097312F"/>
    <w:rsid w:val="00973144"/>
    <w:rsid w:val="009731A6"/>
    <w:rsid w:val="009732E6"/>
    <w:rsid w:val="009733EE"/>
    <w:rsid w:val="0097353F"/>
    <w:rsid w:val="009735CB"/>
    <w:rsid w:val="009735D6"/>
    <w:rsid w:val="00973673"/>
    <w:rsid w:val="009736B3"/>
    <w:rsid w:val="00973700"/>
    <w:rsid w:val="00973759"/>
    <w:rsid w:val="0097376D"/>
    <w:rsid w:val="009737DC"/>
    <w:rsid w:val="0097380E"/>
    <w:rsid w:val="00973873"/>
    <w:rsid w:val="00973874"/>
    <w:rsid w:val="0097393F"/>
    <w:rsid w:val="00973968"/>
    <w:rsid w:val="00973A2A"/>
    <w:rsid w:val="00973A31"/>
    <w:rsid w:val="00973A37"/>
    <w:rsid w:val="00973A3A"/>
    <w:rsid w:val="00973B1C"/>
    <w:rsid w:val="00973B25"/>
    <w:rsid w:val="00973B30"/>
    <w:rsid w:val="00973B7B"/>
    <w:rsid w:val="00973D21"/>
    <w:rsid w:val="00973D26"/>
    <w:rsid w:val="00973E13"/>
    <w:rsid w:val="00973EE6"/>
    <w:rsid w:val="00973F8D"/>
    <w:rsid w:val="009740C9"/>
    <w:rsid w:val="009741B3"/>
    <w:rsid w:val="0097428D"/>
    <w:rsid w:val="009742BE"/>
    <w:rsid w:val="00974304"/>
    <w:rsid w:val="00974326"/>
    <w:rsid w:val="0097437B"/>
    <w:rsid w:val="009743AE"/>
    <w:rsid w:val="0097444D"/>
    <w:rsid w:val="009744F6"/>
    <w:rsid w:val="009744FE"/>
    <w:rsid w:val="009745EF"/>
    <w:rsid w:val="00974649"/>
    <w:rsid w:val="0097465F"/>
    <w:rsid w:val="009746B0"/>
    <w:rsid w:val="009746B5"/>
    <w:rsid w:val="009746CE"/>
    <w:rsid w:val="0097482B"/>
    <w:rsid w:val="00974879"/>
    <w:rsid w:val="009748C7"/>
    <w:rsid w:val="00974A0B"/>
    <w:rsid w:val="00974A1D"/>
    <w:rsid w:val="00974A7D"/>
    <w:rsid w:val="00974B3E"/>
    <w:rsid w:val="00974CA7"/>
    <w:rsid w:val="00974E84"/>
    <w:rsid w:val="00974E8F"/>
    <w:rsid w:val="00974E95"/>
    <w:rsid w:val="00974EC5"/>
    <w:rsid w:val="00974FA0"/>
    <w:rsid w:val="00974FB6"/>
    <w:rsid w:val="00975094"/>
    <w:rsid w:val="009752E7"/>
    <w:rsid w:val="009755CB"/>
    <w:rsid w:val="009755F4"/>
    <w:rsid w:val="00975696"/>
    <w:rsid w:val="00975771"/>
    <w:rsid w:val="0097578D"/>
    <w:rsid w:val="00975941"/>
    <w:rsid w:val="00975966"/>
    <w:rsid w:val="00975A1B"/>
    <w:rsid w:val="00975AC2"/>
    <w:rsid w:val="00975B65"/>
    <w:rsid w:val="00975D8D"/>
    <w:rsid w:val="00975DCF"/>
    <w:rsid w:val="00975EAB"/>
    <w:rsid w:val="009760BE"/>
    <w:rsid w:val="009761C7"/>
    <w:rsid w:val="009762D7"/>
    <w:rsid w:val="009763E5"/>
    <w:rsid w:val="00976448"/>
    <w:rsid w:val="00976494"/>
    <w:rsid w:val="009764CC"/>
    <w:rsid w:val="0097656A"/>
    <w:rsid w:val="00976616"/>
    <w:rsid w:val="0097685C"/>
    <w:rsid w:val="00976876"/>
    <w:rsid w:val="009768B0"/>
    <w:rsid w:val="0097691D"/>
    <w:rsid w:val="0097694E"/>
    <w:rsid w:val="00976983"/>
    <w:rsid w:val="00976BB3"/>
    <w:rsid w:val="00976C69"/>
    <w:rsid w:val="00976D59"/>
    <w:rsid w:val="00976DEE"/>
    <w:rsid w:val="00976E36"/>
    <w:rsid w:val="00976EE1"/>
    <w:rsid w:val="00976F8B"/>
    <w:rsid w:val="00976FBB"/>
    <w:rsid w:val="009770D9"/>
    <w:rsid w:val="0097713F"/>
    <w:rsid w:val="009771A9"/>
    <w:rsid w:val="0097724E"/>
    <w:rsid w:val="0097737C"/>
    <w:rsid w:val="00977974"/>
    <w:rsid w:val="009779CD"/>
    <w:rsid w:val="009779EE"/>
    <w:rsid w:val="00977D86"/>
    <w:rsid w:val="00977EA8"/>
    <w:rsid w:val="00977EC4"/>
    <w:rsid w:val="00977F58"/>
    <w:rsid w:val="00980001"/>
    <w:rsid w:val="0098006B"/>
    <w:rsid w:val="00980071"/>
    <w:rsid w:val="009800C4"/>
    <w:rsid w:val="0098013A"/>
    <w:rsid w:val="009802CF"/>
    <w:rsid w:val="009802E3"/>
    <w:rsid w:val="009803F0"/>
    <w:rsid w:val="00980430"/>
    <w:rsid w:val="00980439"/>
    <w:rsid w:val="0098063D"/>
    <w:rsid w:val="00980672"/>
    <w:rsid w:val="0098067A"/>
    <w:rsid w:val="00980714"/>
    <w:rsid w:val="00980727"/>
    <w:rsid w:val="00980766"/>
    <w:rsid w:val="00980833"/>
    <w:rsid w:val="009808DF"/>
    <w:rsid w:val="00980934"/>
    <w:rsid w:val="009809CD"/>
    <w:rsid w:val="009809CF"/>
    <w:rsid w:val="00980AEA"/>
    <w:rsid w:val="00980B10"/>
    <w:rsid w:val="00980B4B"/>
    <w:rsid w:val="00980BE4"/>
    <w:rsid w:val="00980DB9"/>
    <w:rsid w:val="00980E3F"/>
    <w:rsid w:val="00980F48"/>
    <w:rsid w:val="009811D4"/>
    <w:rsid w:val="00981292"/>
    <w:rsid w:val="009812CD"/>
    <w:rsid w:val="00981374"/>
    <w:rsid w:val="0098138B"/>
    <w:rsid w:val="0098150D"/>
    <w:rsid w:val="0098152B"/>
    <w:rsid w:val="00981586"/>
    <w:rsid w:val="0098163C"/>
    <w:rsid w:val="0098164D"/>
    <w:rsid w:val="0098175A"/>
    <w:rsid w:val="00981775"/>
    <w:rsid w:val="009817B8"/>
    <w:rsid w:val="00981832"/>
    <w:rsid w:val="0098189C"/>
    <w:rsid w:val="009818D9"/>
    <w:rsid w:val="00981984"/>
    <w:rsid w:val="00981995"/>
    <w:rsid w:val="009819BF"/>
    <w:rsid w:val="009819CA"/>
    <w:rsid w:val="009819EB"/>
    <w:rsid w:val="00981AA9"/>
    <w:rsid w:val="00981B6D"/>
    <w:rsid w:val="00981C00"/>
    <w:rsid w:val="00981CCD"/>
    <w:rsid w:val="00981D5C"/>
    <w:rsid w:val="00981DB5"/>
    <w:rsid w:val="00981DB9"/>
    <w:rsid w:val="00981ED2"/>
    <w:rsid w:val="00981F0E"/>
    <w:rsid w:val="00981F47"/>
    <w:rsid w:val="00981F6E"/>
    <w:rsid w:val="0098206A"/>
    <w:rsid w:val="009821E8"/>
    <w:rsid w:val="009822B7"/>
    <w:rsid w:val="009822BF"/>
    <w:rsid w:val="0098233B"/>
    <w:rsid w:val="009823E0"/>
    <w:rsid w:val="0098243E"/>
    <w:rsid w:val="0098248A"/>
    <w:rsid w:val="009824AA"/>
    <w:rsid w:val="009824EC"/>
    <w:rsid w:val="009825F1"/>
    <w:rsid w:val="00982620"/>
    <w:rsid w:val="009826ED"/>
    <w:rsid w:val="009827A4"/>
    <w:rsid w:val="009827C6"/>
    <w:rsid w:val="009828D9"/>
    <w:rsid w:val="00982BAC"/>
    <w:rsid w:val="00982BAD"/>
    <w:rsid w:val="00982BFE"/>
    <w:rsid w:val="00982C29"/>
    <w:rsid w:val="00982C35"/>
    <w:rsid w:val="00982CB1"/>
    <w:rsid w:val="00982D2C"/>
    <w:rsid w:val="00982E62"/>
    <w:rsid w:val="00982EF9"/>
    <w:rsid w:val="00982F87"/>
    <w:rsid w:val="00983023"/>
    <w:rsid w:val="00983035"/>
    <w:rsid w:val="00983097"/>
    <w:rsid w:val="00983187"/>
    <w:rsid w:val="009831C8"/>
    <w:rsid w:val="0098326A"/>
    <w:rsid w:val="0098345A"/>
    <w:rsid w:val="009835E8"/>
    <w:rsid w:val="0098365D"/>
    <w:rsid w:val="00983700"/>
    <w:rsid w:val="00983769"/>
    <w:rsid w:val="009837C4"/>
    <w:rsid w:val="009837ED"/>
    <w:rsid w:val="00983807"/>
    <w:rsid w:val="00983954"/>
    <w:rsid w:val="00983B20"/>
    <w:rsid w:val="00983B61"/>
    <w:rsid w:val="00983EB7"/>
    <w:rsid w:val="00983F66"/>
    <w:rsid w:val="00984142"/>
    <w:rsid w:val="009841C1"/>
    <w:rsid w:val="009841F9"/>
    <w:rsid w:val="009842A3"/>
    <w:rsid w:val="009842D4"/>
    <w:rsid w:val="00984323"/>
    <w:rsid w:val="0098444E"/>
    <w:rsid w:val="009844A5"/>
    <w:rsid w:val="009845B7"/>
    <w:rsid w:val="0098462C"/>
    <w:rsid w:val="0098468C"/>
    <w:rsid w:val="009847AF"/>
    <w:rsid w:val="009848C9"/>
    <w:rsid w:val="00984955"/>
    <w:rsid w:val="00984A4F"/>
    <w:rsid w:val="00984A68"/>
    <w:rsid w:val="00984AFD"/>
    <w:rsid w:val="00984BA6"/>
    <w:rsid w:val="00984D02"/>
    <w:rsid w:val="00984DD7"/>
    <w:rsid w:val="00984DF6"/>
    <w:rsid w:val="00984E32"/>
    <w:rsid w:val="00984ECD"/>
    <w:rsid w:val="00984EF6"/>
    <w:rsid w:val="00985096"/>
    <w:rsid w:val="009850A3"/>
    <w:rsid w:val="009851DC"/>
    <w:rsid w:val="0098533D"/>
    <w:rsid w:val="0098534D"/>
    <w:rsid w:val="00985372"/>
    <w:rsid w:val="0098550D"/>
    <w:rsid w:val="00985548"/>
    <w:rsid w:val="00985617"/>
    <w:rsid w:val="00985618"/>
    <w:rsid w:val="00985722"/>
    <w:rsid w:val="00985784"/>
    <w:rsid w:val="00985839"/>
    <w:rsid w:val="00985939"/>
    <w:rsid w:val="009859FE"/>
    <w:rsid w:val="00985B38"/>
    <w:rsid w:val="00985B7A"/>
    <w:rsid w:val="00985BCF"/>
    <w:rsid w:val="00985BD2"/>
    <w:rsid w:val="00985CAD"/>
    <w:rsid w:val="00985D80"/>
    <w:rsid w:val="00985DD2"/>
    <w:rsid w:val="0098603A"/>
    <w:rsid w:val="0098605D"/>
    <w:rsid w:val="00986091"/>
    <w:rsid w:val="00986147"/>
    <w:rsid w:val="0098615D"/>
    <w:rsid w:val="009861BC"/>
    <w:rsid w:val="0098626A"/>
    <w:rsid w:val="0098634C"/>
    <w:rsid w:val="0098636B"/>
    <w:rsid w:val="00986372"/>
    <w:rsid w:val="009863D8"/>
    <w:rsid w:val="00986467"/>
    <w:rsid w:val="009864FC"/>
    <w:rsid w:val="00986592"/>
    <w:rsid w:val="00986655"/>
    <w:rsid w:val="009866FF"/>
    <w:rsid w:val="009867F4"/>
    <w:rsid w:val="00986848"/>
    <w:rsid w:val="0098691A"/>
    <w:rsid w:val="0098697B"/>
    <w:rsid w:val="00986A8E"/>
    <w:rsid w:val="00986AB0"/>
    <w:rsid w:val="00986AE0"/>
    <w:rsid w:val="00986BCE"/>
    <w:rsid w:val="00986C13"/>
    <w:rsid w:val="00986D76"/>
    <w:rsid w:val="00986E1A"/>
    <w:rsid w:val="00986F54"/>
    <w:rsid w:val="00986FAD"/>
    <w:rsid w:val="009870C2"/>
    <w:rsid w:val="009870D1"/>
    <w:rsid w:val="00987147"/>
    <w:rsid w:val="009871A0"/>
    <w:rsid w:val="009871D2"/>
    <w:rsid w:val="009872D6"/>
    <w:rsid w:val="009872DA"/>
    <w:rsid w:val="00987311"/>
    <w:rsid w:val="0098733F"/>
    <w:rsid w:val="00987392"/>
    <w:rsid w:val="0098740A"/>
    <w:rsid w:val="00987469"/>
    <w:rsid w:val="0098748C"/>
    <w:rsid w:val="009874A4"/>
    <w:rsid w:val="0098750A"/>
    <w:rsid w:val="0098777A"/>
    <w:rsid w:val="009877DB"/>
    <w:rsid w:val="009877FC"/>
    <w:rsid w:val="009878A8"/>
    <w:rsid w:val="00987910"/>
    <w:rsid w:val="0098793E"/>
    <w:rsid w:val="00987952"/>
    <w:rsid w:val="009879A7"/>
    <w:rsid w:val="00987CE5"/>
    <w:rsid w:val="00987D1F"/>
    <w:rsid w:val="00987D5C"/>
    <w:rsid w:val="00987D85"/>
    <w:rsid w:val="00987D89"/>
    <w:rsid w:val="00987E25"/>
    <w:rsid w:val="00987F63"/>
    <w:rsid w:val="00987F6B"/>
    <w:rsid w:val="00990093"/>
    <w:rsid w:val="00990168"/>
    <w:rsid w:val="009901F7"/>
    <w:rsid w:val="0099022C"/>
    <w:rsid w:val="0099023D"/>
    <w:rsid w:val="009902E1"/>
    <w:rsid w:val="009905E1"/>
    <w:rsid w:val="00990642"/>
    <w:rsid w:val="0099065B"/>
    <w:rsid w:val="0099076B"/>
    <w:rsid w:val="009907B3"/>
    <w:rsid w:val="009907B8"/>
    <w:rsid w:val="0099082A"/>
    <w:rsid w:val="009908CC"/>
    <w:rsid w:val="009909A5"/>
    <w:rsid w:val="009909FD"/>
    <w:rsid w:val="00990A46"/>
    <w:rsid w:val="00990A60"/>
    <w:rsid w:val="00990A80"/>
    <w:rsid w:val="00990A91"/>
    <w:rsid w:val="00990BA7"/>
    <w:rsid w:val="00990C57"/>
    <w:rsid w:val="00990CE3"/>
    <w:rsid w:val="00990D65"/>
    <w:rsid w:val="00990DCE"/>
    <w:rsid w:val="00990EE5"/>
    <w:rsid w:val="00990FDE"/>
    <w:rsid w:val="0099108B"/>
    <w:rsid w:val="00991181"/>
    <w:rsid w:val="0099125F"/>
    <w:rsid w:val="009912B1"/>
    <w:rsid w:val="009914EE"/>
    <w:rsid w:val="009914F8"/>
    <w:rsid w:val="00991544"/>
    <w:rsid w:val="00991604"/>
    <w:rsid w:val="00991753"/>
    <w:rsid w:val="0099179C"/>
    <w:rsid w:val="009918F4"/>
    <w:rsid w:val="0099191A"/>
    <w:rsid w:val="00991969"/>
    <w:rsid w:val="00991A7D"/>
    <w:rsid w:val="00991B4F"/>
    <w:rsid w:val="00991BD4"/>
    <w:rsid w:val="00991C36"/>
    <w:rsid w:val="00991C49"/>
    <w:rsid w:val="00991E54"/>
    <w:rsid w:val="00991E8B"/>
    <w:rsid w:val="00991EF1"/>
    <w:rsid w:val="00992027"/>
    <w:rsid w:val="009920BA"/>
    <w:rsid w:val="009920E2"/>
    <w:rsid w:val="00992148"/>
    <w:rsid w:val="0099216B"/>
    <w:rsid w:val="009921F1"/>
    <w:rsid w:val="009921F4"/>
    <w:rsid w:val="0099220C"/>
    <w:rsid w:val="0099230D"/>
    <w:rsid w:val="0099235B"/>
    <w:rsid w:val="0099237D"/>
    <w:rsid w:val="009923D2"/>
    <w:rsid w:val="009923F5"/>
    <w:rsid w:val="009924FB"/>
    <w:rsid w:val="00992526"/>
    <w:rsid w:val="009925CF"/>
    <w:rsid w:val="009925DB"/>
    <w:rsid w:val="00992772"/>
    <w:rsid w:val="0099292E"/>
    <w:rsid w:val="00992947"/>
    <w:rsid w:val="009929D1"/>
    <w:rsid w:val="00992A30"/>
    <w:rsid w:val="00992ADD"/>
    <w:rsid w:val="00992BBE"/>
    <w:rsid w:val="00992C75"/>
    <w:rsid w:val="00992D5B"/>
    <w:rsid w:val="00992E13"/>
    <w:rsid w:val="00992E31"/>
    <w:rsid w:val="00992E47"/>
    <w:rsid w:val="00992E7F"/>
    <w:rsid w:val="00992E90"/>
    <w:rsid w:val="00992FD4"/>
    <w:rsid w:val="00992FE3"/>
    <w:rsid w:val="0099311C"/>
    <w:rsid w:val="00993145"/>
    <w:rsid w:val="009933B9"/>
    <w:rsid w:val="009933D9"/>
    <w:rsid w:val="009934DC"/>
    <w:rsid w:val="009935B5"/>
    <w:rsid w:val="0099366A"/>
    <w:rsid w:val="009936DD"/>
    <w:rsid w:val="00993744"/>
    <w:rsid w:val="009937DF"/>
    <w:rsid w:val="009937F9"/>
    <w:rsid w:val="009939E9"/>
    <w:rsid w:val="00993A02"/>
    <w:rsid w:val="00993A21"/>
    <w:rsid w:val="00993A8D"/>
    <w:rsid w:val="00993A99"/>
    <w:rsid w:val="00993B95"/>
    <w:rsid w:val="00993C2C"/>
    <w:rsid w:val="00993C3B"/>
    <w:rsid w:val="00993C3C"/>
    <w:rsid w:val="00993D39"/>
    <w:rsid w:val="00993DA2"/>
    <w:rsid w:val="00993DC2"/>
    <w:rsid w:val="00993DDD"/>
    <w:rsid w:val="00993EAB"/>
    <w:rsid w:val="00993EC7"/>
    <w:rsid w:val="009940FC"/>
    <w:rsid w:val="00994144"/>
    <w:rsid w:val="009941CE"/>
    <w:rsid w:val="00994208"/>
    <w:rsid w:val="00994325"/>
    <w:rsid w:val="009946D9"/>
    <w:rsid w:val="009947E5"/>
    <w:rsid w:val="009947FD"/>
    <w:rsid w:val="0099482D"/>
    <w:rsid w:val="009948A5"/>
    <w:rsid w:val="009948D8"/>
    <w:rsid w:val="009949E8"/>
    <w:rsid w:val="00994AAE"/>
    <w:rsid w:val="00994B11"/>
    <w:rsid w:val="00994B6C"/>
    <w:rsid w:val="00994BA7"/>
    <w:rsid w:val="00994DD5"/>
    <w:rsid w:val="00994ED4"/>
    <w:rsid w:val="00994F25"/>
    <w:rsid w:val="00994F81"/>
    <w:rsid w:val="00994FBF"/>
    <w:rsid w:val="00994FCF"/>
    <w:rsid w:val="00995097"/>
    <w:rsid w:val="00995134"/>
    <w:rsid w:val="0099520E"/>
    <w:rsid w:val="00995236"/>
    <w:rsid w:val="0099523C"/>
    <w:rsid w:val="009952CF"/>
    <w:rsid w:val="00995380"/>
    <w:rsid w:val="00995413"/>
    <w:rsid w:val="009954B9"/>
    <w:rsid w:val="00995530"/>
    <w:rsid w:val="009955C3"/>
    <w:rsid w:val="009955F5"/>
    <w:rsid w:val="00995600"/>
    <w:rsid w:val="00995610"/>
    <w:rsid w:val="0099575E"/>
    <w:rsid w:val="0099580C"/>
    <w:rsid w:val="00995812"/>
    <w:rsid w:val="00995881"/>
    <w:rsid w:val="00995989"/>
    <w:rsid w:val="00995A7F"/>
    <w:rsid w:val="00995AB7"/>
    <w:rsid w:val="00995C00"/>
    <w:rsid w:val="00995C29"/>
    <w:rsid w:val="00995D2B"/>
    <w:rsid w:val="00995D53"/>
    <w:rsid w:val="00995D5C"/>
    <w:rsid w:val="00995D69"/>
    <w:rsid w:val="00995E46"/>
    <w:rsid w:val="00995EB4"/>
    <w:rsid w:val="00995ED8"/>
    <w:rsid w:val="00995F37"/>
    <w:rsid w:val="00996091"/>
    <w:rsid w:val="009960DB"/>
    <w:rsid w:val="0099613F"/>
    <w:rsid w:val="0099614C"/>
    <w:rsid w:val="009961E6"/>
    <w:rsid w:val="009961ED"/>
    <w:rsid w:val="00996434"/>
    <w:rsid w:val="00996445"/>
    <w:rsid w:val="0099645E"/>
    <w:rsid w:val="00996464"/>
    <w:rsid w:val="0099649C"/>
    <w:rsid w:val="009964C7"/>
    <w:rsid w:val="009964CC"/>
    <w:rsid w:val="009964E5"/>
    <w:rsid w:val="009965C1"/>
    <w:rsid w:val="00996619"/>
    <w:rsid w:val="00996771"/>
    <w:rsid w:val="00996951"/>
    <w:rsid w:val="00996954"/>
    <w:rsid w:val="009969C2"/>
    <w:rsid w:val="00996A7B"/>
    <w:rsid w:val="00996B7C"/>
    <w:rsid w:val="00996B95"/>
    <w:rsid w:val="00996B9C"/>
    <w:rsid w:val="00996BA6"/>
    <w:rsid w:val="00996DBC"/>
    <w:rsid w:val="00997123"/>
    <w:rsid w:val="009972AD"/>
    <w:rsid w:val="009972B5"/>
    <w:rsid w:val="0099734F"/>
    <w:rsid w:val="0099747D"/>
    <w:rsid w:val="009974AC"/>
    <w:rsid w:val="00997607"/>
    <w:rsid w:val="00997655"/>
    <w:rsid w:val="009976F0"/>
    <w:rsid w:val="0099772B"/>
    <w:rsid w:val="00997776"/>
    <w:rsid w:val="009977D7"/>
    <w:rsid w:val="00997840"/>
    <w:rsid w:val="00997932"/>
    <w:rsid w:val="009979EF"/>
    <w:rsid w:val="00997AAD"/>
    <w:rsid w:val="00997AED"/>
    <w:rsid w:val="00997B4D"/>
    <w:rsid w:val="00997BC1"/>
    <w:rsid w:val="00997BDB"/>
    <w:rsid w:val="00997C7A"/>
    <w:rsid w:val="00997E2C"/>
    <w:rsid w:val="00997ED0"/>
    <w:rsid w:val="00997F77"/>
    <w:rsid w:val="00997FA3"/>
    <w:rsid w:val="009A00AA"/>
    <w:rsid w:val="009A00E7"/>
    <w:rsid w:val="009A00FA"/>
    <w:rsid w:val="009A01CB"/>
    <w:rsid w:val="009A0242"/>
    <w:rsid w:val="009A02C7"/>
    <w:rsid w:val="009A044F"/>
    <w:rsid w:val="009A0455"/>
    <w:rsid w:val="009A0540"/>
    <w:rsid w:val="009A05CB"/>
    <w:rsid w:val="009A05E1"/>
    <w:rsid w:val="009A0628"/>
    <w:rsid w:val="009A06E5"/>
    <w:rsid w:val="009A079A"/>
    <w:rsid w:val="009A0915"/>
    <w:rsid w:val="009A099D"/>
    <w:rsid w:val="009A09CF"/>
    <w:rsid w:val="009A0A52"/>
    <w:rsid w:val="009A0A60"/>
    <w:rsid w:val="009A0A8D"/>
    <w:rsid w:val="009A0AAB"/>
    <w:rsid w:val="009A0AD5"/>
    <w:rsid w:val="009A0C00"/>
    <w:rsid w:val="009A0D96"/>
    <w:rsid w:val="009A0E1C"/>
    <w:rsid w:val="009A0F0B"/>
    <w:rsid w:val="009A0F5C"/>
    <w:rsid w:val="009A0F79"/>
    <w:rsid w:val="009A111F"/>
    <w:rsid w:val="009A1127"/>
    <w:rsid w:val="009A118C"/>
    <w:rsid w:val="009A11CD"/>
    <w:rsid w:val="009A1232"/>
    <w:rsid w:val="009A1243"/>
    <w:rsid w:val="009A1299"/>
    <w:rsid w:val="009A13A4"/>
    <w:rsid w:val="009A1529"/>
    <w:rsid w:val="009A15F9"/>
    <w:rsid w:val="009A1609"/>
    <w:rsid w:val="009A17AF"/>
    <w:rsid w:val="009A18DF"/>
    <w:rsid w:val="009A18E2"/>
    <w:rsid w:val="009A1983"/>
    <w:rsid w:val="009A1A47"/>
    <w:rsid w:val="009A1C22"/>
    <w:rsid w:val="009A1C89"/>
    <w:rsid w:val="009A1D12"/>
    <w:rsid w:val="009A1DD1"/>
    <w:rsid w:val="009A1E4D"/>
    <w:rsid w:val="009A1F40"/>
    <w:rsid w:val="009A1F42"/>
    <w:rsid w:val="009A1FC3"/>
    <w:rsid w:val="009A1FFC"/>
    <w:rsid w:val="009A2103"/>
    <w:rsid w:val="009A211C"/>
    <w:rsid w:val="009A2164"/>
    <w:rsid w:val="009A216D"/>
    <w:rsid w:val="009A218D"/>
    <w:rsid w:val="009A21A3"/>
    <w:rsid w:val="009A2218"/>
    <w:rsid w:val="009A222C"/>
    <w:rsid w:val="009A2383"/>
    <w:rsid w:val="009A2526"/>
    <w:rsid w:val="009A2550"/>
    <w:rsid w:val="009A2551"/>
    <w:rsid w:val="009A255C"/>
    <w:rsid w:val="009A2595"/>
    <w:rsid w:val="009A2682"/>
    <w:rsid w:val="009A26B5"/>
    <w:rsid w:val="009A26DC"/>
    <w:rsid w:val="009A278A"/>
    <w:rsid w:val="009A2928"/>
    <w:rsid w:val="009A2953"/>
    <w:rsid w:val="009A29AF"/>
    <w:rsid w:val="009A29EE"/>
    <w:rsid w:val="009A2A53"/>
    <w:rsid w:val="009A2A69"/>
    <w:rsid w:val="009A2B30"/>
    <w:rsid w:val="009A2C00"/>
    <w:rsid w:val="009A2C25"/>
    <w:rsid w:val="009A2C8D"/>
    <w:rsid w:val="009A2C8F"/>
    <w:rsid w:val="009A2DC1"/>
    <w:rsid w:val="009A2DFD"/>
    <w:rsid w:val="009A2E59"/>
    <w:rsid w:val="009A2E5F"/>
    <w:rsid w:val="009A2EA5"/>
    <w:rsid w:val="009A2F6F"/>
    <w:rsid w:val="009A2F83"/>
    <w:rsid w:val="009A2FD6"/>
    <w:rsid w:val="009A3049"/>
    <w:rsid w:val="009A309A"/>
    <w:rsid w:val="009A30F1"/>
    <w:rsid w:val="009A3155"/>
    <w:rsid w:val="009A3157"/>
    <w:rsid w:val="009A3196"/>
    <w:rsid w:val="009A3199"/>
    <w:rsid w:val="009A31DF"/>
    <w:rsid w:val="009A3259"/>
    <w:rsid w:val="009A3293"/>
    <w:rsid w:val="009A346C"/>
    <w:rsid w:val="009A34A6"/>
    <w:rsid w:val="009A34EB"/>
    <w:rsid w:val="009A3589"/>
    <w:rsid w:val="009A378B"/>
    <w:rsid w:val="009A37F3"/>
    <w:rsid w:val="009A3885"/>
    <w:rsid w:val="009A38D0"/>
    <w:rsid w:val="009A38EA"/>
    <w:rsid w:val="009A3926"/>
    <w:rsid w:val="009A3944"/>
    <w:rsid w:val="009A39AC"/>
    <w:rsid w:val="009A3B75"/>
    <w:rsid w:val="009A3BBE"/>
    <w:rsid w:val="009A3D2B"/>
    <w:rsid w:val="009A3DFE"/>
    <w:rsid w:val="009A3E99"/>
    <w:rsid w:val="009A3F99"/>
    <w:rsid w:val="009A4029"/>
    <w:rsid w:val="009A40C7"/>
    <w:rsid w:val="009A4112"/>
    <w:rsid w:val="009A4226"/>
    <w:rsid w:val="009A424B"/>
    <w:rsid w:val="009A42A3"/>
    <w:rsid w:val="009A4400"/>
    <w:rsid w:val="009A4526"/>
    <w:rsid w:val="009A4530"/>
    <w:rsid w:val="009A456E"/>
    <w:rsid w:val="009A45E8"/>
    <w:rsid w:val="009A468A"/>
    <w:rsid w:val="009A46AD"/>
    <w:rsid w:val="009A46AF"/>
    <w:rsid w:val="009A4777"/>
    <w:rsid w:val="009A488C"/>
    <w:rsid w:val="009A4A26"/>
    <w:rsid w:val="009A4A48"/>
    <w:rsid w:val="009A4AF7"/>
    <w:rsid w:val="009A4BC5"/>
    <w:rsid w:val="009A4BEF"/>
    <w:rsid w:val="009A4C08"/>
    <w:rsid w:val="009A4C76"/>
    <w:rsid w:val="009A4DE4"/>
    <w:rsid w:val="009A4EB9"/>
    <w:rsid w:val="009A4EBC"/>
    <w:rsid w:val="009A4F0F"/>
    <w:rsid w:val="009A5037"/>
    <w:rsid w:val="009A50F5"/>
    <w:rsid w:val="009A514E"/>
    <w:rsid w:val="009A5228"/>
    <w:rsid w:val="009A52C6"/>
    <w:rsid w:val="009A5319"/>
    <w:rsid w:val="009A5387"/>
    <w:rsid w:val="009A5463"/>
    <w:rsid w:val="009A5494"/>
    <w:rsid w:val="009A5516"/>
    <w:rsid w:val="009A552C"/>
    <w:rsid w:val="009A55B0"/>
    <w:rsid w:val="009A5652"/>
    <w:rsid w:val="009A56AF"/>
    <w:rsid w:val="009A572B"/>
    <w:rsid w:val="009A5795"/>
    <w:rsid w:val="009A59DA"/>
    <w:rsid w:val="009A5A13"/>
    <w:rsid w:val="009A5B4D"/>
    <w:rsid w:val="009A5B4E"/>
    <w:rsid w:val="009A5BE2"/>
    <w:rsid w:val="009A5CB7"/>
    <w:rsid w:val="009A5CD3"/>
    <w:rsid w:val="009A5CDE"/>
    <w:rsid w:val="009A5CFB"/>
    <w:rsid w:val="009A5D02"/>
    <w:rsid w:val="009A5DCA"/>
    <w:rsid w:val="009A5DE7"/>
    <w:rsid w:val="009A5E40"/>
    <w:rsid w:val="009A5EB1"/>
    <w:rsid w:val="009A5EB6"/>
    <w:rsid w:val="009A5ECB"/>
    <w:rsid w:val="009A5EEE"/>
    <w:rsid w:val="009A5F5A"/>
    <w:rsid w:val="009A5FCC"/>
    <w:rsid w:val="009A6146"/>
    <w:rsid w:val="009A61C9"/>
    <w:rsid w:val="009A61F8"/>
    <w:rsid w:val="009A625E"/>
    <w:rsid w:val="009A62B9"/>
    <w:rsid w:val="009A6335"/>
    <w:rsid w:val="009A6346"/>
    <w:rsid w:val="009A641C"/>
    <w:rsid w:val="009A641F"/>
    <w:rsid w:val="009A6436"/>
    <w:rsid w:val="009A6456"/>
    <w:rsid w:val="009A64DB"/>
    <w:rsid w:val="009A6566"/>
    <w:rsid w:val="009A65D1"/>
    <w:rsid w:val="009A6682"/>
    <w:rsid w:val="009A6724"/>
    <w:rsid w:val="009A6786"/>
    <w:rsid w:val="009A67D1"/>
    <w:rsid w:val="009A67FA"/>
    <w:rsid w:val="009A681D"/>
    <w:rsid w:val="009A6846"/>
    <w:rsid w:val="009A686F"/>
    <w:rsid w:val="009A68E8"/>
    <w:rsid w:val="009A68F8"/>
    <w:rsid w:val="009A69F5"/>
    <w:rsid w:val="009A6A09"/>
    <w:rsid w:val="009A6A4B"/>
    <w:rsid w:val="009A6A85"/>
    <w:rsid w:val="009A6ACE"/>
    <w:rsid w:val="009A6B49"/>
    <w:rsid w:val="009A6B5C"/>
    <w:rsid w:val="009A6CC3"/>
    <w:rsid w:val="009A6EC3"/>
    <w:rsid w:val="009A6F41"/>
    <w:rsid w:val="009A7199"/>
    <w:rsid w:val="009A71CC"/>
    <w:rsid w:val="009A7237"/>
    <w:rsid w:val="009A7271"/>
    <w:rsid w:val="009A72C9"/>
    <w:rsid w:val="009A733A"/>
    <w:rsid w:val="009A7493"/>
    <w:rsid w:val="009A75BC"/>
    <w:rsid w:val="009A7730"/>
    <w:rsid w:val="009A773C"/>
    <w:rsid w:val="009A7831"/>
    <w:rsid w:val="009A786B"/>
    <w:rsid w:val="009A78C7"/>
    <w:rsid w:val="009A79AE"/>
    <w:rsid w:val="009A7B7B"/>
    <w:rsid w:val="009A7BAF"/>
    <w:rsid w:val="009A7BFD"/>
    <w:rsid w:val="009A7C36"/>
    <w:rsid w:val="009A7C5E"/>
    <w:rsid w:val="009A7D66"/>
    <w:rsid w:val="009A7DB4"/>
    <w:rsid w:val="009A7DBD"/>
    <w:rsid w:val="009A7DDD"/>
    <w:rsid w:val="009A7DF2"/>
    <w:rsid w:val="009A7FD3"/>
    <w:rsid w:val="009B00E5"/>
    <w:rsid w:val="009B012A"/>
    <w:rsid w:val="009B0162"/>
    <w:rsid w:val="009B03CB"/>
    <w:rsid w:val="009B0462"/>
    <w:rsid w:val="009B0477"/>
    <w:rsid w:val="009B04A3"/>
    <w:rsid w:val="009B0558"/>
    <w:rsid w:val="009B05C1"/>
    <w:rsid w:val="009B05CE"/>
    <w:rsid w:val="009B060D"/>
    <w:rsid w:val="009B06C5"/>
    <w:rsid w:val="009B06ED"/>
    <w:rsid w:val="009B06FE"/>
    <w:rsid w:val="009B07CE"/>
    <w:rsid w:val="009B07F3"/>
    <w:rsid w:val="009B081F"/>
    <w:rsid w:val="009B0885"/>
    <w:rsid w:val="009B0942"/>
    <w:rsid w:val="009B094F"/>
    <w:rsid w:val="009B09C2"/>
    <w:rsid w:val="009B0A9E"/>
    <w:rsid w:val="009B0AB7"/>
    <w:rsid w:val="009B0C06"/>
    <w:rsid w:val="009B0D56"/>
    <w:rsid w:val="009B0DC1"/>
    <w:rsid w:val="009B0E74"/>
    <w:rsid w:val="009B0EAB"/>
    <w:rsid w:val="009B0EBD"/>
    <w:rsid w:val="009B0F24"/>
    <w:rsid w:val="009B1020"/>
    <w:rsid w:val="009B109C"/>
    <w:rsid w:val="009B10E7"/>
    <w:rsid w:val="009B10E8"/>
    <w:rsid w:val="009B11E7"/>
    <w:rsid w:val="009B11F7"/>
    <w:rsid w:val="009B122D"/>
    <w:rsid w:val="009B1242"/>
    <w:rsid w:val="009B1289"/>
    <w:rsid w:val="009B12AC"/>
    <w:rsid w:val="009B1334"/>
    <w:rsid w:val="009B13EA"/>
    <w:rsid w:val="009B13F5"/>
    <w:rsid w:val="009B1494"/>
    <w:rsid w:val="009B14E0"/>
    <w:rsid w:val="009B14EE"/>
    <w:rsid w:val="009B14FD"/>
    <w:rsid w:val="009B1557"/>
    <w:rsid w:val="009B15C9"/>
    <w:rsid w:val="009B15FE"/>
    <w:rsid w:val="009B1626"/>
    <w:rsid w:val="009B169B"/>
    <w:rsid w:val="009B16A5"/>
    <w:rsid w:val="009B1744"/>
    <w:rsid w:val="009B174C"/>
    <w:rsid w:val="009B1813"/>
    <w:rsid w:val="009B181F"/>
    <w:rsid w:val="009B197F"/>
    <w:rsid w:val="009B1983"/>
    <w:rsid w:val="009B1999"/>
    <w:rsid w:val="009B1A17"/>
    <w:rsid w:val="009B1AA4"/>
    <w:rsid w:val="009B1AA7"/>
    <w:rsid w:val="009B1AAA"/>
    <w:rsid w:val="009B1B2A"/>
    <w:rsid w:val="009B1B74"/>
    <w:rsid w:val="009B1C6C"/>
    <w:rsid w:val="009B1C99"/>
    <w:rsid w:val="009B1CF3"/>
    <w:rsid w:val="009B1D78"/>
    <w:rsid w:val="009B1DB3"/>
    <w:rsid w:val="009B1DD5"/>
    <w:rsid w:val="009B1DE5"/>
    <w:rsid w:val="009B1E59"/>
    <w:rsid w:val="009B1E7F"/>
    <w:rsid w:val="009B1EA7"/>
    <w:rsid w:val="009B1FBE"/>
    <w:rsid w:val="009B2099"/>
    <w:rsid w:val="009B2116"/>
    <w:rsid w:val="009B21FA"/>
    <w:rsid w:val="009B2286"/>
    <w:rsid w:val="009B22DE"/>
    <w:rsid w:val="009B22E3"/>
    <w:rsid w:val="009B237A"/>
    <w:rsid w:val="009B242F"/>
    <w:rsid w:val="009B243E"/>
    <w:rsid w:val="009B255D"/>
    <w:rsid w:val="009B277A"/>
    <w:rsid w:val="009B27EA"/>
    <w:rsid w:val="009B2816"/>
    <w:rsid w:val="009B290E"/>
    <w:rsid w:val="009B2B64"/>
    <w:rsid w:val="009B2BDA"/>
    <w:rsid w:val="009B2CC0"/>
    <w:rsid w:val="009B2CEB"/>
    <w:rsid w:val="009B2D1C"/>
    <w:rsid w:val="009B2D37"/>
    <w:rsid w:val="009B2E12"/>
    <w:rsid w:val="009B2EC1"/>
    <w:rsid w:val="009B2FA3"/>
    <w:rsid w:val="009B2FB2"/>
    <w:rsid w:val="009B2FD6"/>
    <w:rsid w:val="009B312B"/>
    <w:rsid w:val="009B3154"/>
    <w:rsid w:val="009B3238"/>
    <w:rsid w:val="009B3299"/>
    <w:rsid w:val="009B338C"/>
    <w:rsid w:val="009B3420"/>
    <w:rsid w:val="009B3448"/>
    <w:rsid w:val="009B34BE"/>
    <w:rsid w:val="009B3524"/>
    <w:rsid w:val="009B3593"/>
    <w:rsid w:val="009B35F8"/>
    <w:rsid w:val="009B3672"/>
    <w:rsid w:val="009B36BC"/>
    <w:rsid w:val="009B36E7"/>
    <w:rsid w:val="009B38B6"/>
    <w:rsid w:val="009B3946"/>
    <w:rsid w:val="009B39F2"/>
    <w:rsid w:val="009B3ACF"/>
    <w:rsid w:val="009B3B02"/>
    <w:rsid w:val="009B3C8E"/>
    <w:rsid w:val="009B3CED"/>
    <w:rsid w:val="009B3ED6"/>
    <w:rsid w:val="009B3F0E"/>
    <w:rsid w:val="009B3FE8"/>
    <w:rsid w:val="009B41BF"/>
    <w:rsid w:val="009B41D4"/>
    <w:rsid w:val="009B41DE"/>
    <w:rsid w:val="009B425B"/>
    <w:rsid w:val="009B42B3"/>
    <w:rsid w:val="009B4331"/>
    <w:rsid w:val="009B437C"/>
    <w:rsid w:val="009B44DD"/>
    <w:rsid w:val="009B45AD"/>
    <w:rsid w:val="009B4605"/>
    <w:rsid w:val="009B4653"/>
    <w:rsid w:val="009B47FE"/>
    <w:rsid w:val="009B4820"/>
    <w:rsid w:val="009B4895"/>
    <w:rsid w:val="009B48AA"/>
    <w:rsid w:val="009B48AD"/>
    <w:rsid w:val="009B4963"/>
    <w:rsid w:val="009B4A39"/>
    <w:rsid w:val="009B4B71"/>
    <w:rsid w:val="009B4B91"/>
    <w:rsid w:val="009B4B9E"/>
    <w:rsid w:val="009B4BFB"/>
    <w:rsid w:val="009B4D5E"/>
    <w:rsid w:val="009B5070"/>
    <w:rsid w:val="009B5071"/>
    <w:rsid w:val="009B523B"/>
    <w:rsid w:val="009B5265"/>
    <w:rsid w:val="009B530B"/>
    <w:rsid w:val="009B54BF"/>
    <w:rsid w:val="009B54FB"/>
    <w:rsid w:val="009B5538"/>
    <w:rsid w:val="009B5619"/>
    <w:rsid w:val="009B5635"/>
    <w:rsid w:val="009B56D3"/>
    <w:rsid w:val="009B56F0"/>
    <w:rsid w:val="009B570E"/>
    <w:rsid w:val="009B575D"/>
    <w:rsid w:val="009B57B9"/>
    <w:rsid w:val="009B5815"/>
    <w:rsid w:val="009B5861"/>
    <w:rsid w:val="009B589A"/>
    <w:rsid w:val="009B58AA"/>
    <w:rsid w:val="009B5A5E"/>
    <w:rsid w:val="009B5B9D"/>
    <w:rsid w:val="009B5BAF"/>
    <w:rsid w:val="009B5BDF"/>
    <w:rsid w:val="009B5C00"/>
    <w:rsid w:val="009B5C84"/>
    <w:rsid w:val="009B5CD9"/>
    <w:rsid w:val="009B5DDF"/>
    <w:rsid w:val="009B5DF1"/>
    <w:rsid w:val="009B5E00"/>
    <w:rsid w:val="009B5F05"/>
    <w:rsid w:val="009B5F55"/>
    <w:rsid w:val="009B5F68"/>
    <w:rsid w:val="009B6051"/>
    <w:rsid w:val="009B6095"/>
    <w:rsid w:val="009B615C"/>
    <w:rsid w:val="009B616D"/>
    <w:rsid w:val="009B625F"/>
    <w:rsid w:val="009B62EB"/>
    <w:rsid w:val="009B633B"/>
    <w:rsid w:val="009B635F"/>
    <w:rsid w:val="009B6391"/>
    <w:rsid w:val="009B642B"/>
    <w:rsid w:val="009B6455"/>
    <w:rsid w:val="009B6524"/>
    <w:rsid w:val="009B6797"/>
    <w:rsid w:val="009B67B0"/>
    <w:rsid w:val="009B6894"/>
    <w:rsid w:val="009B69C2"/>
    <w:rsid w:val="009B69D3"/>
    <w:rsid w:val="009B69D7"/>
    <w:rsid w:val="009B6A68"/>
    <w:rsid w:val="009B6B2B"/>
    <w:rsid w:val="009B6E2A"/>
    <w:rsid w:val="009B6EFF"/>
    <w:rsid w:val="009B70CB"/>
    <w:rsid w:val="009B70F2"/>
    <w:rsid w:val="009B7110"/>
    <w:rsid w:val="009B7187"/>
    <w:rsid w:val="009B72EF"/>
    <w:rsid w:val="009B730D"/>
    <w:rsid w:val="009B737D"/>
    <w:rsid w:val="009B73B4"/>
    <w:rsid w:val="009B73B9"/>
    <w:rsid w:val="009B73C3"/>
    <w:rsid w:val="009B740F"/>
    <w:rsid w:val="009B7477"/>
    <w:rsid w:val="009B7485"/>
    <w:rsid w:val="009B7497"/>
    <w:rsid w:val="009B75CA"/>
    <w:rsid w:val="009B760C"/>
    <w:rsid w:val="009B7668"/>
    <w:rsid w:val="009B771E"/>
    <w:rsid w:val="009B7724"/>
    <w:rsid w:val="009B77C4"/>
    <w:rsid w:val="009B7831"/>
    <w:rsid w:val="009B7837"/>
    <w:rsid w:val="009B785F"/>
    <w:rsid w:val="009B78F3"/>
    <w:rsid w:val="009B7942"/>
    <w:rsid w:val="009B7A39"/>
    <w:rsid w:val="009B7AA9"/>
    <w:rsid w:val="009B7B48"/>
    <w:rsid w:val="009B7DBB"/>
    <w:rsid w:val="009B7DD9"/>
    <w:rsid w:val="009B7E35"/>
    <w:rsid w:val="009B7E6A"/>
    <w:rsid w:val="009B7F09"/>
    <w:rsid w:val="009B7FA8"/>
    <w:rsid w:val="009B7FBB"/>
    <w:rsid w:val="009B7FCE"/>
    <w:rsid w:val="009C0012"/>
    <w:rsid w:val="009C01E1"/>
    <w:rsid w:val="009C0258"/>
    <w:rsid w:val="009C036B"/>
    <w:rsid w:val="009C03A0"/>
    <w:rsid w:val="009C03BA"/>
    <w:rsid w:val="009C0404"/>
    <w:rsid w:val="009C04A0"/>
    <w:rsid w:val="009C04FE"/>
    <w:rsid w:val="009C0622"/>
    <w:rsid w:val="009C0632"/>
    <w:rsid w:val="009C06A8"/>
    <w:rsid w:val="009C06AD"/>
    <w:rsid w:val="009C06DC"/>
    <w:rsid w:val="009C08CE"/>
    <w:rsid w:val="009C0925"/>
    <w:rsid w:val="009C0942"/>
    <w:rsid w:val="009C0A75"/>
    <w:rsid w:val="009C0B46"/>
    <w:rsid w:val="009C0B5C"/>
    <w:rsid w:val="009C0BE9"/>
    <w:rsid w:val="009C0BFB"/>
    <w:rsid w:val="009C0CD8"/>
    <w:rsid w:val="009C0D96"/>
    <w:rsid w:val="009C0DC2"/>
    <w:rsid w:val="009C0E9A"/>
    <w:rsid w:val="009C0EA4"/>
    <w:rsid w:val="009C0EC7"/>
    <w:rsid w:val="009C0FD4"/>
    <w:rsid w:val="009C10BC"/>
    <w:rsid w:val="009C1108"/>
    <w:rsid w:val="009C113D"/>
    <w:rsid w:val="009C11FA"/>
    <w:rsid w:val="009C122E"/>
    <w:rsid w:val="009C157C"/>
    <w:rsid w:val="009C159E"/>
    <w:rsid w:val="009C161A"/>
    <w:rsid w:val="009C163B"/>
    <w:rsid w:val="009C16A2"/>
    <w:rsid w:val="009C1787"/>
    <w:rsid w:val="009C17EB"/>
    <w:rsid w:val="009C187C"/>
    <w:rsid w:val="009C1930"/>
    <w:rsid w:val="009C1C90"/>
    <w:rsid w:val="009C1CEA"/>
    <w:rsid w:val="009C1D40"/>
    <w:rsid w:val="009C1DCE"/>
    <w:rsid w:val="009C1ED9"/>
    <w:rsid w:val="009C2074"/>
    <w:rsid w:val="009C2097"/>
    <w:rsid w:val="009C2204"/>
    <w:rsid w:val="009C2264"/>
    <w:rsid w:val="009C2331"/>
    <w:rsid w:val="009C233A"/>
    <w:rsid w:val="009C242A"/>
    <w:rsid w:val="009C251D"/>
    <w:rsid w:val="009C26CE"/>
    <w:rsid w:val="009C2775"/>
    <w:rsid w:val="009C27F2"/>
    <w:rsid w:val="009C2980"/>
    <w:rsid w:val="009C29D7"/>
    <w:rsid w:val="009C2ACC"/>
    <w:rsid w:val="009C2B87"/>
    <w:rsid w:val="009C2C21"/>
    <w:rsid w:val="009C2CD0"/>
    <w:rsid w:val="009C2D18"/>
    <w:rsid w:val="009C2D93"/>
    <w:rsid w:val="009C2DD1"/>
    <w:rsid w:val="009C2DD8"/>
    <w:rsid w:val="009C2E96"/>
    <w:rsid w:val="009C2F37"/>
    <w:rsid w:val="009C30F2"/>
    <w:rsid w:val="009C3202"/>
    <w:rsid w:val="009C32AD"/>
    <w:rsid w:val="009C33D6"/>
    <w:rsid w:val="009C33F8"/>
    <w:rsid w:val="009C3420"/>
    <w:rsid w:val="009C359B"/>
    <w:rsid w:val="009C35B2"/>
    <w:rsid w:val="009C368B"/>
    <w:rsid w:val="009C368F"/>
    <w:rsid w:val="009C372A"/>
    <w:rsid w:val="009C3760"/>
    <w:rsid w:val="009C379D"/>
    <w:rsid w:val="009C37A9"/>
    <w:rsid w:val="009C3958"/>
    <w:rsid w:val="009C39B9"/>
    <w:rsid w:val="009C3A5C"/>
    <w:rsid w:val="009C3AEE"/>
    <w:rsid w:val="009C3B14"/>
    <w:rsid w:val="009C3B68"/>
    <w:rsid w:val="009C3BC2"/>
    <w:rsid w:val="009C3C69"/>
    <w:rsid w:val="009C3C85"/>
    <w:rsid w:val="009C3DA2"/>
    <w:rsid w:val="009C3E70"/>
    <w:rsid w:val="009C3ECD"/>
    <w:rsid w:val="009C3F43"/>
    <w:rsid w:val="009C3F9A"/>
    <w:rsid w:val="009C40CF"/>
    <w:rsid w:val="009C4203"/>
    <w:rsid w:val="009C4223"/>
    <w:rsid w:val="009C4322"/>
    <w:rsid w:val="009C4376"/>
    <w:rsid w:val="009C443D"/>
    <w:rsid w:val="009C4443"/>
    <w:rsid w:val="009C44B1"/>
    <w:rsid w:val="009C44ED"/>
    <w:rsid w:val="009C45E5"/>
    <w:rsid w:val="009C4681"/>
    <w:rsid w:val="009C46D0"/>
    <w:rsid w:val="009C46DA"/>
    <w:rsid w:val="009C4AB8"/>
    <w:rsid w:val="009C4B34"/>
    <w:rsid w:val="009C4BA3"/>
    <w:rsid w:val="009C4BD6"/>
    <w:rsid w:val="009C4C1C"/>
    <w:rsid w:val="009C4E62"/>
    <w:rsid w:val="009C4EF5"/>
    <w:rsid w:val="009C4FA1"/>
    <w:rsid w:val="009C506E"/>
    <w:rsid w:val="009C50F8"/>
    <w:rsid w:val="009C511B"/>
    <w:rsid w:val="009C5159"/>
    <w:rsid w:val="009C522C"/>
    <w:rsid w:val="009C524F"/>
    <w:rsid w:val="009C5371"/>
    <w:rsid w:val="009C5372"/>
    <w:rsid w:val="009C548F"/>
    <w:rsid w:val="009C558C"/>
    <w:rsid w:val="009C55A7"/>
    <w:rsid w:val="009C5610"/>
    <w:rsid w:val="009C5667"/>
    <w:rsid w:val="009C57CA"/>
    <w:rsid w:val="009C5858"/>
    <w:rsid w:val="009C5939"/>
    <w:rsid w:val="009C5B18"/>
    <w:rsid w:val="009C5B35"/>
    <w:rsid w:val="009C5C5F"/>
    <w:rsid w:val="009C5CBD"/>
    <w:rsid w:val="009C5CF4"/>
    <w:rsid w:val="009C5D0E"/>
    <w:rsid w:val="009C5E03"/>
    <w:rsid w:val="009C5F12"/>
    <w:rsid w:val="009C5F61"/>
    <w:rsid w:val="009C6005"/>
    <w:rsid w:val="009C6009"/>
    <w:rsid w:val="009C610C"/>
    <w:rsid w:val="009C61E5"/>
    <w:rsid w:val="009C61F2"/>
    <w:rsid w:val="009C621D"/>
    <w:rsid w:val="009C6296"/>
    <w:rsid w:val="009C6372"/>
    <w:rsid w:val="009C6422"/>
    <w:rsid w:val="009C6436"/>
    <w:rsid w:val="009C6472"/>
    <w:rsid w:val="009C6479"/>
    <w:rsid w:val="009C65B5"/>
    <w:rsid w:val="009C65F0"/>
    <w:rsid w:val="009C6694"/>
    <w:rsid w:val="009C67A6"/>
    <w:rsid w:val="009C6846"/>
    <w:rsid w:val="009C687C"/>
    <w:rsid w:val="009C68CF"/>
    <w:rsid w:val="009C6922"/>
    <w:rsid w:val="009C69BE"/>
    <w:rsid w:val="009C6A24"/>
    <w:rsid w:val="009C6A36"/>
    <w:rsid w:val="009C6AE4"/>
    <w:rsid w:val="009C6B17"/>
    <w:rsid w:val="009C6B47"/>
    <w:rsid w:val="009C6B78"/>
    <w:rsid w:val="009C6D33"/>
    <w:rsid w:val="009C6D9A"/>
    <w:rsid w:val="009C6DA7"/>
    <w:rsid w:val="009C6E79"/>
    <w:rsid w:val="009C6E93"/>
    <w:rsid w:val="009C6EAA"/>
    <w:rsid w:val="009C6EBD"/>
    <w:rsid w:val="009C7035"/>
    <w:rsid w:val="009C70B3"/>
    <w:rsid w:val="009C712B"/>
    <w:rsid w:val="009C7168"/>
    <w:rsid w:val="009C71BC"/>
    <w:rsid w:val="009C71D6"/>
    <w:rsid w:val="009C7230"/>
    <w:rsid w:val="009C72F5"/>
    <w:rsid w:val="009C7373"/>
    <w:rsid w:val="009C7375"/>
    <w:rsid w:val="009C73A4"/>
    <w:rsid w:val="009C74F4"/>
    <w:rsid w:val="009C750F"/>
    <w:rsid w:val="009C754D"/>
    <w:rsid w:val="009C758E"/>
    <w:rsid w:val="009C7596"/>
    <w:rsid w:val="009C7609"/>
    <w:rsid w:val="009C7651"/>
    <w:rsid w:val="009C7672"/>
    <w:rsid w:val="009C769B"/>
    <w:rsid w:val="009C76B9"/>
    <w:rsid w:val="009C770D"/>
    <w:rsid w:val="009C7712"/>
    <w:rsid w:val="009C7768"/>
    <w:rsid w:val="009C7864"/>
    <w:rsid w:val="009C78E5"/>
    <w:rsid w:val="009C7970"/>
    <w:rsid w:val="009C7A09"/>
    <w:rsid w:val="009C7A1B"/>
    <w:rsid w:val="009C7C2B"/>
    <w:rsid w:val="009C7CCA"/>
    <w:rsid w:val="009C7CE4"/>
    <w:rsid w:val="009C7DF4"/>
    <w:rsid w:val="009C7E2E"/>
    <w:rsid w:val="009C8A64"/>
    <w:rsid w:val="009D0022"/>
    <w:rsid w:val="009D0155"/>
    <w:rsid w:val="009D0156"/>
    <w:rsid w:val="009D022C"/>
    <w:rsid w:val="009D02D0"/>
    <w:rsid w:val="009D02D9"/>
    <w:rsid w:val="009D0304"/>
    <w:rsid w:val="009D0337"/>
    <w:rsid w:val="009D0344"/>
    <w:rsid w:val="009D0431"/>
    <w:rsid w:val="009D0446"/>
    <w:rsid w:val="009D0492"/>
    <w:rsid w:val="009D04DF"/>
    <w:rsid w:val="009D0563"/>
    <w:rsid w:val="009D061A"/>
    <w:rsid w:val="009D069D"/>
    <w:rsid w:val="009D06CE"/>
    <w:rsid w:val="009D06DC"/>
    <w:rsid w:val="009D06F7"/>
    <w:rsid w:val="009D0777"/>
    <w:rsid w:val="009D07CA"/>
    <w:rsid w:val="009D0974"/>
    <w:rsid w:val="009D0976"/>
    <w:rsid w:val="009D0B42"/>
    <w:rsid w:val="009D0BDE"/>
    <w:rsid w:val="009D0BE1"/>
    <w:rsid w:val="009D0C21"/>
    <w:rsid w:val="009D0C5B"/>
    <w:rsid w:val="009D0CEF"/>
    <w:rsid w:val="009D0D80"/>
    <w:rsid w:val="009D0E0B"/>
    <w:rsid w:val="009D11B1"/>
    <w:rsid w:val="009D11C8"/>
    <w:rsid w:val="009D11DA"/>
    <w:rsid w:val="009D11DC"/>
    <w:rsid w:val="009D1329"/>
    <w:rsid w:val="009D139B"/>
    <w:rsid w:val="009D13B3"/>
    <w:rsid w:val="009D1436"/>
    <w:rsid w:val="009D145B"/>
    <w:rsid w:val="009D14F5"/>
    <w:rsid w:val="009D1535"/>
    <w:rsid w:val="009D1544"/>
    <w:rsid w:val="009D1697"/>
    <w:rsid w:val="009D172E"/>
    <w:rsid w:val="009D1818"/>
    <w:rsid w:val="009D18B1"/>
    <w:rsid w:val="009D191B"/>
    <w:rsid w:val="009D19C0"/>
    <w:rsid w:val="009D1A6B"/>
    <w:rsid w:val="009D1A96"/>
    <w:rsid w:val="009D1ACA"/>
    <w:rsid w:val="009D1BD3"/>
    <w:rsid w:val="009D1C55"/>
    <w:rsid w:val="009D1C9E"/>
    <w:rsid w:val="009D1CC1"/>
    <w:rsid w:val="009D1CD6"/>
    <w:rsid w:val="009D1D1C"/>
    <w:rsid w:val="009D1D62"/>
    <w:rsid w:val="009D1D80"/>
    <w:rsid w:val="009D1DD2"/>
    <w:rsid w:val="009D1E26"/>
    <w:rsid w:val="009D1EAE"/>
    <w:rsid w:val="009D1F39"/>
    <w:rsid w:val="009D1F76"/>
    <w:rsid w:val="009D1FF2"/>
    <w:rsid w:val="009D2049"/>
    <w:rsid w:val="009D209F"/>
    <w:rsid w:val="009D2199"/>
    <w:rsid w:val="009D21F2"/>
    <w:rsid w:val="009D220E"/>
    <w:rsid w:val="009D223D"/>
    <w:rsid w:val="009D2329"/>
    <w:rsid w:val="009D23BD"/>
    <w:rsid w:val="009D2411"/>
    <w:rsid w:val="009D2430"/>
    <w:rsid w:val="009D2439"/>
    <w:rsid w:val="009D2449"/>
    <w:rsid w:val="009D24A9"/>
    <w:rsid w:val="009D24B0"/>
    <w:rsid w:val="009D24C1"/>
    <w:rsid w:val="009D2525"/>
    <w:rsid w:val="009D2625"/>
    <w:rsid w:val="009D2639"/>
    <w:rsid w:val="009D26BB"/>
    <w:rsid w:val="009D279F"/>
    <w:rsid w:val="009D2834"/>
    <w:rsid w:val="009D285C"/>
    <w:rsid w:val="009D2943"/>
    <w:rsid w:val="009D29C0"/>
    <w:rsid w:val="009D29C7"/>
    <w:rsid w:val="009D2A0B"/>
    <w:rsid w:val="009D2B9F"/>
    <w:rsid w:val="009D2D12"/>
    <w:rsid w:val="009D2D67"/>
    <w:rsid w:val="009D2E14"/>
    <w:rsid w:val="009D2E33"/>
    <w:rsid w:val="009D2E44"/>
    <w:rsid w:val="009D2E63"/>
    <w:rsid w:val="009D3001"/>
    <w:rsid w:val="009D307F"/>
    <w:rsid w:val="009D31EC"/>
    <w:rsid w:val="009D321B"/>
    <w:rsid w:val="009D3231"/>
    <w:rsid w:val="009D328D"/>
    <w:rsid w:val="009D32D7"/>
    <w:rsid w:val="009D32DA"/>
    <w:rsid w:val="009D3395"/>
    <w:rsid w:val="009D33DC"/>
    <w:rsid w:val="009D3415"/>
    <w:rsid w:val="009D34D7"/>
    <w:rsid w:val="009D350E"/>
    <w:rsid w:val="009D3582"/>
    <w:rsid w:val="009D3614"/>
    <w:rsid w:val="009D3722"/>
    <w:rsid w:val="009D376D"/>
    <w:rsid w:val="009D37A5"/>
    <w:rsid w:val="009D398F"/>
    <w:rsid w:val="009D399B"/>
    <w:rsid w:val="009D3BD0"/>
    <w:rsid w:val="009D3C88"/>
    <w:rsid w:val="009D3CF5"/>
    <w:rsid w:val="009D3D0D"/>
    <w:rsid w:val="009D3D9A"/>
    <w:rsid w:val="009D3E41"/>
    <w:rsid w:val="009D3EF0"/>
    <w:rsid w:val="009D3F7F"/>
    <w:rsid w:val="009D4010"/>
    <w:rsid w:val="009D4344"/>
    <w:rsid w:val="009D43B6"/>
    <w:rsid w:val="009D4430"/>
    <w:rsid w:val="009D456F"/>
    <w:rsid w:val="009D45A7"/>
    <w:rsid w:val="009D4615"/>
    <w:rsid w:val="009D4682"/>
    <w:rsid w:val="009D46C5"/>
    <w:rsid w:val="009D46D4"/>
    <w:rsid w:val="009D4749"/>
    <w:rsid w:val="009D477E"/>
    <w:rsid w:val="009D4785"/>
    <w:rsid w:val="009D47B1"/>
    <w:rsid w:val="009D47C5"/>
    <w:rsid w:val="009D47EA"/>
    <w:rsid w:val="009D4867"/>
    <w:rsid w:val="009D48BB"/>
    <w:rsid w:val="009D497B"/>
    <w:rsid w:val="009D4A30"/>
    <w:rsid w:val="009D4A32"/>
    <w:rsid w:val="009D4A56"/>
    <w:rsid w:val="009D4AC3"/>
    <w:rsid w:val="009D4B33"/>
    <w:rsid w:val="009D4BB5"/>
    <w:rsid w:val="009D4BB6"/>
    <w:rsid w:val="009D4C8B"/>
    <w:rsid w:val="009D4C92"/>
    <w:rsid w:val="009D4CC3"/>
    <w:rsid w:val="009D4CF7"/>
    <w:rsid w:val="009D4D85"/>
    <w:rsid w:val="009D4ED3"/>
    <w:rsid w:val="009D4F68"/>
    <w:rsid w:val="009D5083"/>
    <w:rsid w:val="009D50BD"/>
    <w:rsid w:val="009D513E"/>
    <w:rsid w:val="009D51B1"/>
    <w:rsid w:val="009D5229"/>
    <w:rsid w:val="009D5261"/>
    <w:rsid w:val="009D539D"/>
    <w:rsid w:val="009D53C7"/>
    <w:rsid w:val="009D5434"/>
    <w:rsid w:val="009D5441"/>
    <w:rsid w:val="009D5464"/>
    <w:rsid w:val="009D54F3"/>
    <w:rsid w:val="009D552A"/>
    <w:rsid w:val="009D55AF"/>
    <w:rsid w:val="009D5681"/>
    <w:rsid w:val="009D56FF"/>
    <w:rsid w:val="009D583C"/>
    <w:rsid w:val="009D5939"/>
    <w:rsid w:val="009D5B3F"/>
    <w:rsid w:val="009D5C08"/>
    <w:rsid w:val="009D5C85"/>
    <w:rsid w:val="009D5D25"/>
    <w:rsid w:val="009D5EA6"/>
    <w:rsid w:val="009D5EFE"/>
    <w:rsid w:val="009D5F64"/>
    <w:rsid w:val="009D5F7D"/>
    <w:rsid w:val="009D5FF5"/>
    <w:rsid w:val="009D6056"/>
    <w:rsid w:val="009D6069"/>
    <w:rsid w:val="009D60AE"/>
    <w:rsid w:val="009D6177"/>
    <w:rsid w:val="009D6230"/>
    <w:rsid w:val="009D628B"/>
    <w:rsid w:val="009D62AC"/>
    <w:rsid w:val="009D6326"/>
    <w:rsid w:val="009D643F"/>
    <w:rsid w:val="009D6574"/>
    <w:rsid w:val="009D65A1"/>
    <w:rsid w:val="009D65D8"/>
    <w:rsid w:val="009D665A"/>
    <w:rsid w:val="009D6667"/>
    <w:rsid w:val="009D666F"/>
    <w:rsid w:val="009D673E"/>
    <w:rsid w:val="009D6762"/>
    <w:rsid w:val="009D685D"/>
    <w:rsid w:val="009D686A"/>
    <w:rsid w:val="009D68AB"/>
    <w:rsid w:val="009D6ABA"/>
    <w:rsid w:val="009D6B21"/>
    <w:rsid w:val="009D6C08"/>
    <w:rsid w:val="009D6C1D"/>
    <w:rsid w:val="009D6C9E"/>
    <w:rsid w:val="009D6D20"/>
    <w:rsid w:val="009D6D58"/>
    <w:rsid w:val="009D6E2E"/>
    <w:rsid w:val="009D6F72"/>
    <w:rsid w:val="009D6FE2"/>
    <w:rsid w:val="009D7061"/>
    <w:rsid w:val="009D712A"/>
    <w:rsid w:val="009D7132"/>
    <w:rsid w:val="009D71BF"/>
    <w:rsid w:val="009D722E"/>
    <w:rsid w:val="009D72C2"/>
    <w:rsid w:val="009D73F1"/>
    <w:rsid w:val="009D7482"/>
    <w:rsid w:val="009D74D4"/>
    <w:rsid w:val="009D752B"/>
    <w:rsid w:val="009D753B"/>
    <w:rsid w:val="009D7563"/>
    <w:rsid w:val="009D7731"/>
    <w:rsid w:val="009D77C5"/>
    <w:rsid w:val="009D78B4"/>
    <w:rsid w:val="009D78D7"/>
    <w:rsid w:val="009D7930"/>
    <w:rsid w:val="009D794E"/>
    <w:rsid w:val="009D7951"/>
    <w:rsid w:val="009D7A27"/>
    <w:rsid w:val="009D7A84"/>
    <w:rsid w:val="009D7B15"/>
    <w:rsid w:val="009D7B27"/>
    <w:rsid w:val="009D7B51"/>
    <w:rsid w:val="009D7D62"/>
    <w:rsid w:val="009D7DEB"/>
    <w:rsid w:val="009D7E61"/>
    <w:rsid w:val="009D7F20"/>
    <w:rsid w:val="009E0050"/>
    <w:rsid w:val="009E0139"/>
    <w:rsid w:val="009E022B"/>
    <w:rsid w:val="009E0236"/>
    <w:rsid w:val="009E0331"/>
    <w:rsid w:val="009E03FC"/>
    <w:rsid w:val="009E049B"/>
    <w:rsid w:val="009E04F6"/>
    <w:rsid w:val="009E053F"/>
    <w:rsid w:val="009E05F7"/>
    <w:rsid w:val="009E063D"/>
    <w:rsid w:val="009E06B2"/>
    <w:rsid w:val="009E06F5"/>
    <w:rsid w:val="009E07FE"/>
    <w:rsid w:val="009E0905"/>
    <w:rsid w:val="009E094A"/>
    <w:rsid w:val="009E0981"/>
    <w:rsid w:val="009E09D7"/>
    <w:rsid w:val="009E0AEB"/>
    <w:rsid w:val="009E0B6C"/>
    <w:rsid w:val="009E0BAF"/>
    <w:rsid w:val="009E0BEA"/>
    <w:rsid w:val="009E0BF6"/>
    <w:rsid w:val="009E0C7B"/>
    <w:rsid w:val="009E0CD9"/>
    <w:rsid w:val="009E0CDC"/>
    <w:rsid w:val="009E0D23"/>
    <w:rsid w:val="009E0D43"/>
    <w:rsid w:val="009E0D85"/>
    <w:rsid w:val="009E0DC8"/>
    <w:rsid w:val="009E0E76"/>
    <w:rsid w:val="009E0EA8"/>
    <w:rsid w:val="009E0EBE"/>
    <w:rsid w:val="009E0F1C"/>
    <w:rsid w:val="009E0FAA"/>
    <w:rsid w:val="009E0FDF"/>
    <w:rsid w:val="009E113B"/>
    <w:rsid w:val="009E116E"/>
    <w:rsid w:val="009E122C"/>
    <w:rsid w:val="009E122E"/>
    <w:rsid w:val="009E1258"/>
    <w:rsid w:val="009E13E6"/>
    <w:rsid w:val="009E141E"/>
    <w:rsid w:val="009E142A"/>
    <w:rsid w:val="009E145C"/>
    <w:rsid w:val="009E15E7"/>
    <w:rsid w:val="009E17B0"/>
    <w:rsid w:val="009E17BA"/>
    <w:rsid w:val="009E17BF"/>
    <w:rsid w:val="009E1840"/>
    <w:rsid w:val="009E18C8"/>
    <w:rsid w:val="009E18F1"/>
    <w:rsid w:val="009E196F"/>
    <w:rsid w:val="009E1980"/>
    <w:rsid w:val="009E198D"/>
    <w:rsid w:val="009E1B55"/>
    <w:rsid w:val="009E1B7E"/>
    <w:rsid w:val="009E1C06"/>
    <w:rsid w:val="009E1CAB"/>
    <w:rsid w:val="009E1DEE"/>
    <w:rsid w:val="009E1F5F"/>
    <w:rsid w:val="009E1FF5"/>
    <w:rsid w:val="009E213F"/>
    <w:rsid w:val="009E233B"/>
    <w:rsid w:val="009E23C8"/>
    <w:rsid w:val="009E244D"/>
    <w:rsid w:val="009E24EE"/>
    <w:rsid w:val="009E253F"/>
    <w:rsid w:val="009E255A"/>
    <w:rsid w:val="009E2587"/>
    <w:rsid w:val="009E2689"/>
    <w:rsid w:val="009E26CB"/>
    <w:rsid w:val="009E27D0"/>
    <w:rsid w:val="009E27D1"/>
    <w:rsid w:val="009E2912"/>
    <w:rsid w:val="009E293A"/>
    <w:rsid w:val="009E29AC"/>
    <w:rsid w:val="009E29B9"/>
    <w:rsid w:val="009E2A9A"/>
    <w:rsid w:val="009E2AC7"/>
    <w:rsid w:val="009E2B44"/>
    <w:rsid w:val="009E2BD3"/>
    <w:rsid w:val="009E2C65"/>
    <w:rsid w:val="009E2CD1"/>
    <w:rsid w:val="009E2F27"/>
    <w:rsid w:val="009E2F88"/>
    <w:rsid w:val="009E3027"/>
    <w:rsid w:val="009E30D5"/>
    <w:rsid w:val="009E31D8"/>
    <w:rsid w:val="009E330B"/>
    <w:rsid w:val="009E3499"/>
    <w:rsid w:val="009E34BB"/>
    <w:rsid w:val="009E358C"/>
    <w:rsid w:val="009E35C3"/>
    <w:rsid w:val="009E3624"/>
    <w:rsid w:val="009E364E"/>
    <w:rsid w:val="009E367B"/>
    <w:rsid w:val="009E36B6"/>
    <w:rsid w:val="009E3771"/>
    <w:rsid w:val="009E3785"/>
    <w:rsid w:val="009E37FF"/>
    <w:rsid w:val="009E3808"/>
    <w:rsid w:val="009E384A"/>
    <w:rsid w:val="009E3A6F"/>
    <w:rsid w:val="009E3C01"/>
    <w:rsid w:val="009E3C14"/>
    <w:rsid w:val="009E3C1D"/>
    <w:rsid w:val="009E3C49"/>
    <w:rsid w:val="009E3C56"/>
    <w:rsid w:val="009E3D87"/>
    <w:rsid w:val="009E3E5B"/>
    <w:rsid w:val="009E3F34"/>
    <w:rsid w:val="009E3F6E"/>
    <w:rsid w:val="009E3FAE"/>
    <w:rsid w:val="009E3FEE"/>
    <w:rsid w:val="009E4007"/>
    <w:rsid w:val="009E4044"/>
    <w:rsid w:val="009E40D7"/>
    <w:rsid w:val="009E4125"/>
    <w:rsid w:val="009E41AE"/>
    <w:rsid w:val="009E41DA"/>
    <w:rsid w:val="009E41E2"/>
    <w:rsid w:val="009E4257"/>
    <w:rsid w:val="009E4292"/>
    <w:rsid w:val="009E42A3"/>
    <w:rsid w:val="009E44A6"/>
    <w:rsid w:val="009E454F"/>
    <w:rsid w:val="009E4633"/>
    <w:rsid w:val="009E4693"/>
    <w:rsid w:val="009E4729"/>
    <w:rsid w:val="009E4783"/>
    <w:rsid w:val="009E4793"/>
    <w:rsid w:val="009E47A0"/>
    <w:rsid w:val="009E48D2"/>
    <w:rsid w:val="009E49DD"/>
    <w:rsid w:val="009E4A93"/>
    <w:rsid w:val="009E4AEA"/>
    <w:rsid w:val="009E4B29"/>
    <w:rsid w:val="009E4B4D"/>
    <w:rsid w:val="009E4B86"/>
    <w:rsid w:val="009E4BD9"/>
    <w:rsid w:val="009E4C42"/>
    <w:rsid w:val="009E4C6A"/>
    <w:rsid w:val="009E4D28"/>
    <w:rsid w:val="009E4D3C"/>
    <w:rsid w:val="009E4EE8"/>
    <w:rsid w:val="009E4F91"/>
    <w:rsid w:val="009E4FA6"/>
    <w:rsid w:val="009E5099"/>
    <w:rsid w:val="009E50B8"/>
    <w:rsid w:val="009E5101"/>
    <w:rsid w:val="009E515E"/>
    <w:rsid w:val="009E51C0"/>
    <w:rsid w:val="009E5492"/>
    <w:rsid w:val="009E549D"/>
    <w:rsid w:val="009E54FE"/>
    <w:rsid w:val="009E5554"/>
    <w:rsid w:val="009E558D"/>
    <w:rsid w:val="009E55C2"/>
    <w:rsid w:val="009E55FF"/>
    <w:rsid w:val="009E561C"/>
    <w:rsid w:val="009E56BA"/>
    <w:rsid w:val="009E576D"/>
    <w:rsid w:val="009E577C"/>
    <w:rsid w:val="009E586E"/>
    <w:rsid w:val="009E58C0"/>
    <w:rsid w:val="009E5969"/>
    <w:rsid w:val="009E5978"/>
    <w:rsid w:val="009E5A2C"/>
    <w:rsid w:val="009E5B3B"/>
    <w:rsid w:val="009E5B90"/>
    <w:rsid w:val="009E5BBC"/>
    <w:rsid w:val="009E5CBE"/>
    <w:rsid w:val="009E5DB7"/>
    <w:rsid w:val="009E5DD1"/>
    <w:rsid w:val="009E5E7F"/>
    <w:rsid w:val="009E5EB7"/>
    <w:rsid w:val="009E5FA6"/>
    <w:rsid w:val="009E5FE2"/>
    <w:rsid w:val="009E6086"/>
    <w:rsid w:val="009E60EF"/>
    <w:rsid w:val="009E610B"/>
    <w:rsid w:val="009E61A9"/>
    <w:rsid w:val="009E6201"/>
    <w:rsid w:val="009E6275"/>
    <w:rsid w:val="009E63F2"/>
    <w:rsid w:val="009E6443"/>
    <w:rsid w:val="009E6478"/>
    <w:rsid w:val="009E650D"/>
    <w:rsid w:val="009E6590"/>
    <w:rsid w:val="009E659A"/>
    <w:rsid w:val="009E6602"/>
    <w:rsid w:val="009E66C1"/>
    <w:rsid w:val="009E6722"/>
    <w:rsid w:val="009E687D"/>
    <w:rsid w:val="009E6975"/>
    <w:rsid w:val="009E69F3"/>
    <w:rsid w:val="009E6AAC"/>
    <w:rsid w:val="009E6B06"/>
    <w:rsid w:val="009E6B16"/>
    <w:rsid w:val="009E6C01"/>
    <w:rsid w:val="009E6C6C"/>
    <w:rsid w:val="009E6C88"/>
    <w:rsid w:val="009E6CC0"/>
    <w:rsid w:val="009E6CF2"/>
    <w:rsid w:val="009E6D12"/>
    <w:rsid w:val="009E6D20"/>
    <w:rsid w:val="009E6DB5"/>
    <w:rsid w:val="009E6E20"/>
    <w:rsid w:val="009E6F36"/>
    <w:rsid w:val="009E6F62"/>
    <w:rsid w:val="009E6F77"/>
    <w:rsid w:val="009E6F7C"/>
    <w:rsid w:val="009E6FBD"/>
    <w:rsid w:val="009E6FC8"/>
    <w:rsid w:val="009E6FE4"/>
    <w:rsid w:val="009E7069"/>
    <w:rsid w:val="009E706F"/>
    <w:rsid w:val="009E70A9"/>
    <w:rsid w:val="009E70E0"/>
    <w:rsid w:val="009E71C9"/>
    <w:rsid w:val="009E7256"/>
    <w:rsid w:val="009E744B"/>
    <w:rsid w:val="009E7574"/>
    <w:rsid w:val="009E7648"/>
    <w:rsid w:val="009E7658"/>
    <w:rsid w:val="009E7683"/>
    <w:rsid w:val="009E778F"/>
    <w:rsid w:val="009E787F"/>
    <w:rsid w:val="009E789A"/>
    <w:rsid w:val="009E78AD"/>
    <w:rsid w:val="009E78E3"/>
    <w:rsid w:val="009E78EA"/>
    <w:rsid w:val="009E78F3"/>
    <w:rsid w:val="009E7A1C"/>
    <w:rsid w:val="009E7A90"/>
    <w:rsid w:val="009E7B34"/>
    <w:rsid w:val="009E7BE7"/>
    <w:rsid w:val="009E7C31"/>
    <w:rsid w:val="009E7C7B"/>
    <w:rsid w:val="009E7D49"/>
    <w:rsid w:val="009E7D92"/>
    <w:rsid w:val="009E7E0A"/>
    <w:rsid w:val="009E7EED"/>
    <w:rsid w:val="009E7F23"/>
    <w:rsid w:val="009E7F95"/>
    <w:rsid w:val="009F000C"/>
    <w:rsid w:val="009F0012"/>
    <w:rsid w:val="009F00AC"/>
    <w:rsid w:val="009F01C9"/>
    <w:rsid w:val="009F01FC"/>
    <w:rsid w:val="009F026B"/>
    <w:rsid w:val="009F02DF"/>
    <w:rsid w:val="009F03DA"/>
    <w:rsid w:val="009F0448"/>
    <w:rsid w:val="009F051D"/>
    <w:rsid w:val="009F055B"/>
    <w:rsid w:val="009F05E1"/>
    <w:rsid w:val="009F05FF"/>
    <w:rsid w:val="009F0737"/>
    <w:rsid w:val="009F07BC"/>
    <w:rsid w:val="009F08F2"/>
    <w:rsid w:val="009F0957"/>
    <w:rsid w:val="009F0A5E"/>
    <w:rsid w:val="009F0A72"/>
    <w:rsid w:val="009F0B14"/>
    <w:rsid w:val="009F0B40"/>
    <w:rsid w:val="009F0B87"/>
    <w:rsid w:val="009F0BA8"/>
    <w:rsid w:val="009F0C19"/>
    <w:rsid w:val="009F0D15"/>
    <w:rsid w:val="009F0DDA"/>
    <w:rsid w:val="009F0DE0"/>
    <w:rsid w:val="009F0E2E"/>
    <w:rsid w:val="009F0E3F"/>
    <w:rsid w:val="009F0E54"/>
    <w:rsid w:val="009F0EA5"/>
    <w:rsid w:val="009F0ED2"/>
    <w:rsid w:val="009F0F5E"/>
    <w:rsid w:val="009F0F6C"/>
    <w:rsid w:val="009F0F79"/>
    <w:rsid w:val="009F0F7E"/>
    <w:rsid w:val="009F0FC3"/>
    <w:rsid w:val="009F1066"/>
    <w:rsid w:val="009F128F"/>
    <w:rsid w:val="009F12EA"/>
    <w:rsid w:val="009F1337"/>
    <w:rsid w:val="009F133F"/>
    <w:rsid w:val="009F13B9"/>
    <w:rsid w:val="009F143D"/>
    <w:rsid w:val="009F1511"/>
    <w:rsid w:val="009F155D"/>
    <w:rsid w:val="009F15B4"/>
    <w:rsid w:val="009F15D0"/>
    <w:rsid w:val="009F15E5"/>
    <w:rsid w:val="009F16DB"/>
    <w:rsid w:val="009F18D6"/>
    <w:rsid w:val="009F1923"/>
    <w:rsid w:val="009F1990"/>
    <w:rsid w:val="009F19AD"/>
    <w:rsid w:val="009F1A69"/>
    <w:rsid w:val="009F1B3F"/>
    <w:rsid w:val="009F1C0C"/>
    <w:rsid w:val="009F1C5F"/>
    <w:rsid w:val="009F1C8B"/>
    <w:rsid w:val="009F1C9E"/>
    <w:rsid w:val="009F1E57"/>
    <w:rsid w:val="009F2057"/>
    <w:rsid w:val="009F20A7"/>
    <w:rsid w:val="009F20B5"/>
    <w:rsid w:val="009F20E4"/>
    <w:rsid w:val="009F220A"/>
    <w:rsid w:val="009F2243"/>
    <w:rsid w:val="009F228C"/>
    <w:rsid w:val="009F2296"/>
    <w:rsid w:val="009F22AA"/>
    <w:rsid w:val="009F2381"/>
    <w:rsid w:val="009F2434"/>
    <w:rsid w:val="009F2486"/>
    <w:rsid w:val="009F2599"/>
    <w:rsid w:val="009F25C2"/>
    <w:rsid w:val="009F2648"/>
    <w:rsid w:val="009F264B"/>
    <w:rsid w:val="009F26DC"/>
    <w:rsid w:val="009F27E0"/>
    <w:rsid w:val="009F2833"/>
    <w:rsid w:val="009F286C"/>
    <w:rsid w:val="009F2917"/>
    <w:rsid w:val="009F2A4C"/>
    <w:rsid w:val="009F2A6C"/>
    <w:rsid w:val="009F2AD2"/>
    <w:rsid w:val="009F2BB4"/>
    <w:rsid w:val="009F2BBD"/>
    <w:rsid w:val="009F2BFA"/>
    <w:rsid w:val="009F2C30"/>
    <w:rsid w:val="009F2CA6"/>
    <w:rsid w:val="009F2D44"/>
    <w:rsid w:val="009F2D46"/>
    <w:rsid w:val="009F2D54"/>
    <w:rsid w:val="009F2E28"/>
    <w:rsid w:val="009F2F6F"/>
    <w:rsid w:val="009F30AB"/>
    <w:rsid w:val="009F3104"/>
    <w:rsid w:val="009F31C0"/>
    <w:rsid w:val="009F3211"/>
    <w:rsid w:val="009F3344"/>
    <w:rsid w:val="009F3376"/>
    <w:rsid w:val="009F3532"/>
    <w:rsid w:val="009F35AC"/>
    <w:rsid w:val="009F35FC"/>
    <w:rsid w:val="009F369A"/>
    <w:rsid w:val="009F36B4"/>
    <w:rsid w:val="009F36DD"/>
    <w:rsid w:val="009F3895"/>
    <w:rsid w:val="009F3999"/>
    <w:rsid w:val="009F3A15"/>
    <w:rsid w:val="009F3B25"/>
    <w:rsid w:val="009F3BAB"/>
    <w:rsid w:val="009F3D5F"/>
    <w:rsid w:val="009F3E72"/>
    <w:rsid w:val="009F3ED0"/>
    <w:rsid w:val="009F3EED"/>
    <w:rsid w:val="009F4010"/>
    <w:rsid w:val="009F413C"/>
    <w:rsid w:val="009F41FD"/>
    <w:rsid w:val="009F4214"/>
    <w:rsid w:val="009F421F"/>
    <w:rsid w:val="009F42AC"/>
    <w:rsid w:val="009F42E4"/>
    <w:rsid w:val="009F42FB"/>
    <w:rsid w:val="009F4324"/>
    <w:rsid w:val="009F43D6"/>
    <w:rsid w:val="009F43DC"/>
    <w:rsid w:val="009F43FE"/>
    <w:rsid w:val="009F4435"/>
    <w:rsid w:val="009F4565"/>
    <w:rsid w:val="009F45DF"/>
    <w:rsid w:val="009F46D6"/>
    <w:rsid w:val="009F476A"/>
    <w:rsid w:val="009F484D"/>
    <w:rsid w:val="009F49E4"/>
    <w:rsid w:val="009F4ACB"/>
    <w:rsid w:val="009F4B20"/>
    <w:rsid w:val="009F4CA4"/>
    <w:rsid w:val="009F4CCC"/>
    <w:rsid w:val="009F4D09"/>
    <w:rsid w:val="009F4D96"/>
    <w:rsid w:val="009F4F16"/>
    <w:rsid w:val="009F4F22"/>
    <w:rsid w:val="009F4FA2"/>
    <w:rsid w:val="009F4FD6"/>
    <w:rsid w:val="009F4FE6"/>
    <w:rsid w:val="009F5160"/>
    <w:rsid w:val="009F530D"/>
    <w:rsid w:val="009F538C"/>
    <w:rsid w:val="009F554C"/>
    <w:rsid w:val="009F5607"/>
    <w:rsid w:val="009F5651"/>
    <w:rsid w:val="009F569C"/>
    <w:rsid w:val="009F56A6"/>
    <w:rsid w:val="009F56B4"/>
    <w:rsid w:val="009F5883"/>
    <w:rsid w:val="009F58CD"/>
    <w:rsid w:val="009F5928"/>
    <w:rsid w:val="009F5A66"/>
    <w:rsid w:val="009F5A97"/>
    <w:rsid w:val="009F5ABB"/>
    <w:rsid w:val="009F5B09"/>
    <w:rsid w:val="009F5B0E"/>
    <w:rsid w:val="009F5C26"/>
    <w:rsid w:val="009F5C3B"/>
    <w:rsid w:val="009F5CE8"/>
    <w:rsid w:val="009F5CFA"/>
    <w:rsid w:val="009F5DE5"/>
    <w:rsid w:val="009F5E43"/>
    <w:rsid w:val="009F5E7E"/>
    <w:rsid w:val="009F5EB2"/>
    <w:rsid w:val="009F5EE6"/>
    <w:rsid w:val="009F5FEB"/>
    <w:rsid w:val="009F6029"/>
    <w:rsid w:val="009F6259"/>
    <w:rsid w:val="009F6315"/>
    <w:rsid w:val="009F6423"/>
    <w:rsid w:val="009F645D"/>
    <w:rsid w:val="009F64A2"/>
    <w:rsid w:val="009F64B1"/>
    <w:rsid w:val="009F651D"/>
    <w:rsid w:val="009F660A"/>
    <w:rsid w:val="009F66C7"/>
    <w:rsid w:val="009F66E4"/>
    <w:rsid w:val="009F677C"/>
    <w:rsid w:val="009F684D"/>
    <w:rsid w:val="009F6A34"/>
    <w:rsid w:val="009F6B17"/>
    <w:rsid w:val="009F6B34"/>
    <w:rsid w:val="009F6B3D"/>
    <w:rsid w:val="009F6B7F"/>
    <w:rsid w:val="009F6B9C"/>
    <w:rsid w:val="009F6B9E"/>
    <w:rsid w:val="009F6C9D"/>
    <w:rsid w:val="009F6CDB"/>
    <w:rsid w:val="009F6E18"/>
    <w:rsid w:val="009F6E28"/>
    <w:rsid w:val="009F6E33"/>
    <w:rsid w:val="009F6E75"/>
    <w:rsid w:val="009F6F47"/>
    <w:rsid w:val="009F7131"/>
    <w:rsid w:val="009F7191"/>
    <w:rsid w:val="009F7263"/>
    <w:rsid w:val="009F72C0"/>
    <w:rsid w:val="009F73C9"/>
    <w:rsid w:val="009F7455"/>
    <w:rsid w:val="009F7471"/>
    <w:rsid w:val="009F74B3"/>
    <w:rsid w:val="009F7527"/>
    <w:rsid w:val="009F75F0"/>
    <w:rsid w:val="009F76E2"/>
    <w:rsid w:val="009F7746"/>
    <w:rsid w:val="009F7766"/>
    <w:rsid w:val="009F7838"/>
    <w:rsid w:val="009F785C"/>
    <w:rsid w:val="009F7969"/>
    <w:rsid w:val="009F798E"/>
    <w:rsid w:val="009F7A0E"/>
    <w:rsid w:val="009F7A4A"/>
    <w:rsid w:val="009F7A50"/>
    <w:rsid w:val="009F7A53"/>
    <w:rsid w:val="009F7B93"/>
    <w:rsid w:val="009F7C0F"/>
    <w:rsid w:val="009F7C8B"/>
    <w:rsid w:val="009F7D27"/>
    <w:rsid w:val="009F7D9E"/>
    <w:rsid w:val="009F7F9A"/>
    <w:rsid w:val="00A00019"/>
    <w:rsid w:val="00A00089"/>
    <w:rsid w:val="00A000DE"/>
    <w:rsid w:val="00A001CE"/>
    <w:rsid w:val="00A001EA"/>
    <w:rsid w:val="00A00211"/>
    <w:rsid w:val="00A00246"/>
    <w:rsid w:val="00A002E0"/>
    <w:rsid w:val="00A003CA"/>
    <w:rsid w:val="00A00455"/>
    <w:rsid w:val="00A00483"/>
    <w:rsid w:val="00A0049D"/>
    <w:rsid w:val="00A004C9"/>
    <w:rsid w:val="00A007D2"/>
    <w:rsid w:val="00A00978"/>
    <w:rsid w:val="00A00A7A"/>
    <w:rsid w:val="00A00AC7"/>
    <w:rsid w:val="00A00ACA"/>
    <w:rsid w:val="00A00BA2"/>
    <w:rsid w:val="00A00C46"/>
    <w:rsid w:val="00A00CC0"/>
    <w:rsid w:val="00A00DB6"/>
    <w:rsid w:val="00A00DBB"/>
    <w:rsid w:val="00A00DC9"/>
    <w:rsid w:val="00A00DE3"/>
    <w:rsid w:val="00A00EF0"/>
    <w:rsid w:val="00A00F18"/>
    <w:rsid w:val="00A00F3F"/>
    <w:rsid w:val="00A0100B"/>
    <w:rsid w:val="00A0105B"/>
    <w:rsid w:val="00A01072"/>
    <w:rsid w:val="00A0107C"/>
    <w:rsid w:val="00A0107F"/>
    <w:rsid w:val="00A01163"/>
    <w:rsid w:val="00A0118E"/>
    <w:rsid w:val="00A011A1"/>
    <w:rsid w:val="00A011F9"/>
    <w:rsid w:val="00A01271"/>
    <w:rsid w:val="00A012ED"/>
    <w:rsid w:val="00A01329"/>
    <w:rsid w:val="00A014BC"/>
    <w:rsid w:val="00A01531"/>
    <w:rsid w:val="00A0157D"/>
    <w:rsid w:val="00A0158C"/>
    <w:rsid w:val="00A01650"/>
    <w:rsid w:val="00A016C2"/>
    <w:rsid w:val="00A01791"/>
    <w:rsid w:val="00A018EB"/>
    <w:rsid w:val="00A01917"/>
    <w:rsid w:val="00A01965"/>
    <w:rsid w:val="00A01970"/>
    <w:rsid w:val="00A0197B"/>
    <w:rsid w:val="00A019A1"/>
    <w:rsid w:val="00A01A26"/>
    <w:rsid w:val="00A01A33"/>
    <w:rsid w:val="00A01BAB"/>
    <w:rsid w:val="00A01BB9"/>
    <w:rsid w:val="00A01C9F"/>
    <w:rsid w:val="00A01D7E"/>
    <w:rsid w:val="00A01E0B"/>
    <w:rsid w:val="00A01F06"/>
    <w:rsid w:val="00A01F9F"/>
    <w:rsid w:val="00A02016"/>
    <w:rsid w:val="00A0213D"/>
    <w:rsid w:val="00A02251"/>
    <w:rsid w:val="00A0225A"/>
    <w:rsid w:val="00A0233D"/>
    <w:rsid w:val="00A02442"/>
    <w:rsid w:val="00A02470"/>
    <w:rsid w:val="00A024A8"/>
    <w:rsid w:val="00A0257B"/>
    <w:rsid w:val="00A025A5"/>
    <w:rsid w:val="00A025B5"/>
    <w:rsid w:val="00A02618"/>
    <w:rsid w:val="00A02645"/>
    <w:rsid w:val="00A0264F"/>
    <w:rsid w:val="00A02672"/>
    <w:rsid w:val="00A02783"/>
    <w:rsid w:val="00A0281D"/>
    <w:rsid w:val="00A02835"/>
    <w:rsid w:val="00A028CE"/>
    <w:rsid w:val="00A028E5"/>
    <w:rsid w:val="00A02969"/>
    <w:rsid w:val="00A02AA6"/>
    <w:rsid w:val="00A02AF4"/>
    <w:rsid w:val="00A02B01"/>
    <w:rsid w:val="00A02BB9"/>
    <w:rsid w:val="00A02CCA"/>
    <w:rsid w:val="00A02CDA"/>
    <w:rsid w:val="00A02F4F"/>
    <w:rsid w:val="00A02FB4"/>
    <w:rsid w:val="00A03068"/>
    <w:rsid w:val="00A0308A"/>
    <w:rsid w:val="00A03097"/>
    <w:rsid w:val="00A030EB"/>
    <w:rsid w:val="00A0321D"/>
    <w:rsid w:val="00A032CC"/>
    <w:rsid w:val="00A032D9"/>
    <w:rsid w:val="00A033BF"/>
    <w:rsid w:val="00A034FD"/>
    <w:rsid w:val="00A035A5"/>
    <w:rsid w:val="00A035BC"/>
    <w:rsid w:val="00A036D6"/>
    <w:rsid w:val="00A038CD"/>
    <w:rsid w:val="00A03979"/>
    <w:rsid w:val="00A039A9"/>
    <w:rsid w:val="00A03A86"/>
    <w:rsid w:val="00A03B68"/>
    <w:rsid w:val="00A03B69"/>
    <w:rsid w:val="00A03C23"/>
    <w:rsid w:val="00A03C6F"/>
    <w:rsid w:val="00A03C86"/>
    <w:rsid w:val="00A03D5C"/>
    <w:rsid w:val="00A03E2A"/>
    <w:rsid w:val="00A03E5A"/>
    <w:rsid w:val="00A03E6D"/>
    <w:rsid w:val="00A03E8F"/>
    <w:rsid w:val="00A03EDA"/>
    <w:rsid w:val="00A03F1F"/>
    <w:rsid w:val="00A03F4C"/>
    <w:rsid w:val="00A03F5B"/>
    <w:rsid w:val="00A03F89"/>
    <w:rsid w:val="00A03FC9"/>
    <w:rsid w:val="00A03FFE"/>
    <w:rsid w:val="00A0401F"/>
    <w:rsid w:val="00A0402E"/>
    <w:rsid w:val="00A040DC"/>
    <w:rsid w:val="00A041C6"/>
    <w:rsid w:val="00A04228"/>
    <w:rsid w:val="00A04272"/>
    <w:rsid w:val="00A043CE"/>
    <w:rsid w:val="00A043DC"/>
    <w:rsid w:val="00A04487"/>
    <w:rsid w:val="00A04565"/>
    <w:rsid w:val="00A045FA"/>
    <w:rsid w:val="00A04620"/>
    <w:rsid w:val="00A0467A"/>
    <w:rsid w:val="00A0472C"/>
    <w:rsid w:val="00A04742"/>
    <w:rsid w:val="00A047B0"/>
    <w:rsid w:val="00A04817"/>
    <w:rsid w:val="00A04900"/>
    <w:rsid w:val="00A04914"/>
    <w:rsid w:val="00A049EC"/>
    <w:rsid w:val="00A04B72"/>
    <w:rsid w:val="00A04C6C"/>
    <w:rsid w:val="00A04CAF"/>
    <w:rsid w:val="00A04CC5"/>
    <w:rsid w:val="00A04CE6"/>
    <w:rsid w:val="00A04D8E"/>
    <w:rsid w:val="00A04DA9"/>
    <w:rsid w:val="00A04DAA"/>
    <w:rsid w:val="00A04F9A"/>
    <w:rsid w:val="00A0517A"/>
    <w:rsid w:val="00A0523A"/>
    <w:rsid w:val="00A05263"/>
    <w:rsid w:val="00A0530F"/>
    <w:rsid w:val="00A0531D"/>
    <w:rsid w:val="00A053BC"/>
    <w:rsid w:val="00A053DF"/>
    <w:rsid w:val="00A05424"/>
    <w:rsid w:val="00A0547C"/>
    <w:rsid w:val="00A0555D"/>
    <w:rsid w:val="00A055F0"/>
    <w:rsid w:val="00A056A9"/>
    <w:rsid w:val="00A05788"/>
    <w:rsid w:val="00A05875"/>
    <w:rsid w:val="00A059FA"/>
    <w:rsid w:val="00A05AD9"/>
    <w:rsid w:val="00A05ADC"/>
    <w:rsid w:val="00A05B23"/>
    <w:rsid w:val="00A05B41"/>
    <w:rsid w:val="00A05CFF"/>
    <w:rsid w:val="00A05D8F"/>
    <w:rsid w:val="00A05DE3"/>
    <w:rsid w:val="00A05E48"/>
    <w:rsid w:val="00A05EE8"/>
    <w:rsid w:val="00A060AB"/>
    <w:rsid w:val="00A060D5"/>
    <w:rsid w:val="00A06126"/>
    <w:rsid w:val="00A06160"/>
    <w:rsid w:val="00A0616D"/>
    <w:rsid w:val="00A062CC"/>
    <w:rsid w:val="00A062DB"/>
    <w:rsid w:val="00A06511"/>
    <w:rsid w:val="00A0664E"/>
    <w:rsid w:val="00A066B6"/>
    <w:rsid w:val="00A066C5"/>
    <w:rsid w:val="00A06772"/>
    <w:rsid w:val="00A068F3"/>
    <w:rsid w:val="00A06951"/>
    <w:rsid w:val="00A069CA"/>
    <w:rsid w:val="00A06A4D"/>
    <w:rsid w:val="00A06A64"/>
    <w:rsid w:val="00A06ABE"/>
    <w:rsid w:val="00A06AE1"/>
    <w:rsid w:val="00A06B21"/>
    <w:rsid w:val="00A06BAB"/>
    <w:rsid w:val="00A06C35"/>
    <w:rsid w:val="00A06D3D"/>
    <w:rsid w:val="00A06D72"/>
    <w:rsid w:val="00A06DBD"/>
    <w:rsid w:val="00A06E63"/>
    <w:rsid w:val="00A06E96"/>
    <w:rsid w:val="00A06EB9"/>
    <w:rsid w:val="00A06ED0"/>
    <w:rsid w:val="00A06EDF"/>
    <w:rsid w:val="00A06F25"/>
    <w:rsid w:val="00A06F28"/>
    <w:rsid w:val="00A07025"/>
    <w:rsid w:val="00A0708A"/>
    <w:rsid w:val="00A071B2"/>
    <w:rsid w:val="00A07200"/>
    <w:rsid w:val="00A0727A"/>
    <w:rsid w:val="00A0727C"/>
    <w:rsid w:val="00A07450"/>
    <w:rsid w:val="00A07455"/>
    <w:rsid w:val="00A075A0"/>
    <w:rsid w:val="00A076FF"/>
    <w:rsid w:val="00A077CD"/>
    <w:rsid w:val="00A077E3"/>
    <w:rsid w:val="00A07801"/>
    <w:rsid w:val="00A07816"/>
    <w:rsid w:val="00A07833"/>
    <w:rsid w:val="00A078D7"/>
    <w:rsid w:val="00A0796A"/>
    <w:rsid w:val="00A0798B"/>
    <w:rsid w:val="00A07AF3"/>
    <w:rsid w:val="00A07B37"/>
    <w:rsid w:val="00A07CDD"/>
    <w:rsid w:val="00A07D4F"/>
    <w:rsid w:val="00A07E21"/>
    <w:rsid w:val="00A07E60"/>
    <w:rsid w:val="00A07EE1"/>
    <w:rsid w:val="00A07F65"/>
    <w:rsid w:val="00A07FC0"/>
    <w:rsid w:val="00A07FC9"/>
    <w:rsid w:val="00A101BF"/>
    <w:rsid w:val="00A101E1"/>
    <w:rsid w:val="00A1033E"/>
    <w:rsid w:val="00A103AC"/>
    <w:rsid w:val="00A103FF"/>
    <w:rsid w:val="00A1042D"/>
    <w:rsid w:val="00A10483"/>
    <w:rsid w:val="00A10497"/>
    <w:rsid w:val="00A104ED"/>
    <w:rsid w:val="00A1055C"/>
    <w:rsid w:val="00A10562"/>
    <w:rsid w:val="00A10600"/>
    <w:rsid w:val="00A1066D"/>
    <w:rsid w:val="00A10692"/>
    <w:rsid w:val="00A10708"/>
    <w:rsid w:val="00A10727"/>
    <w:rsid w:val="00A10732"/>
    <w:rsid w:val="00A107EC"/>
    <w:rsid w:val="00A108BD"/>
    <w:rsid w:val="00A108FB"/>
    <w:rsid w:val="00A10904"/>
    <w:rsid w:val="00A10A83"/>
    <w:rsid w:val="00A10BCF"/>
    <w:rsid w:val="00A10C1C"/>
    <w:rsid w:val="00A10CEC"/>
    <w:rsid w:val="00A10D1F"/>
    <w:rsid w:val="00A10DD1"/>
    <w:rsid w:val="00A10DE8"/>
    <w:rsid w:val="00A10E40"/>
    <w:rsid w:val="00A10E96"/>
    <w:rsid w:val="00A10EE7"/>
    <w:rsid w:val="00A10F7E"/>
    <w:rsid w:val="00A10FDF"/>
    <w:rsid w:val="00A10FE8"/>
    <w:rsid w:val="00A110B2"/>
    <w:rsid w:val="00A110F5"/>
    <w:rsid w:val="00A1115F"/>
    <w:rsid w:val="00A111C8"/>
    <w:rsid w:val="00A111EA"/>
    <w:rsid w:val="00A11284"/>
    <w:rsid w:val="00A113EC"/>
    <w:rsid w:val="00A1143D"/>
    <w:rsid w:val="00A1147F"/>
    <w:rsid w:val="00A11531"/>
    <w:rsid w:val="00A11548"/>
    <w:rsid w:val="00A1167C"/>
    <w:rsid w:val="00A116D6"/>
    <w:rsid w:val="00A11776"/>
    <w:rsid w:val="00A117AB"/>
    <w:rsid w:val="00A117E4"/>
    <w:rsid w:val="00A1186F"/>
    <w:rsid w:val="00A118DB"/>
    <w:rsid w:val="00A11AD5"/>
    <w:rsid w:val="00A11B4F"/>
    <w:rsid w:val="00A11B8E"/>
    <w:rsid w:val="00A11BC1"/>
    <w:rsid w:val="00A11BD3"/>
    <w:rsid w:val="00A11BE7"/>
    <w:rsid w:val="00A11C6B"/>
    <w:rsid w:val="00A11C72"/>
    <w:rsid w:val="00A11CF6"/>
    <w:rsid w:val="00A11D27"/>
    <w:rsid w:val="00A11D81"/>
    <w:rsid w:val="00A11ED9"/>
    <w:rsid w:val="00A11F17"/>
    <w:rsid w:val="00A11FFE"/>
    <w:rsid w:val="00A120A9"/>
    <w:rsid w:val="00A120D6"/>
    <w:rsid w:val="00A1211C"/>
    <w:rsid w:val="00A12178"/>
    <w:rsid w:val="00A121AE"/>
    <w:rsid w:val="00A12261"/>
    <w:rsid w:val="00A1229E"/>
    <w:rsid w:val="00A122FA"/>
    <w:rsid w:val="00A12411"/>
    <w:rsid w:val="00A124FC"/>
    <w:rsid w:val="00A12526"/>
    <w:rsid w:val="00A12580"/>
    <w:rsid w:val="00A1270E"/>
    <w:rsid w:val="00A127FD"/>
    <w:rsid w:val="00A12843"/>
    <w:rsid w:val="00A12857"/>
    <w:rsid w:val="00A12913"/>
    <w:rsid w:val="00A12ADF"/>
    <w:rsid w:val="00A12B36"/>
    <w:rsid w:val="00A12B4F"/>
    <w:rsid w:val="00A12D9D"/>
    <w:rsid w:val="00A12DF8"/>
    <w:rsid w:val="00A12E2D"/>
    <w:rsid w:val="00A12E5D"/>
    <w:rsid w:val="00A12F55"/>
    <w:rsid w:val="00A12FB4"/>
    <w:rsid w:val="00A13106"/>
    <w:rsid w:val="00A13158"/>
    <w:rsid w:val="00A13160"/>
    <w:rsid w:val="00A131B2"/>
    <w:rsid w:val="00A13202"/>
    <w:rsid w:val="00A1322B"/>
    <w:rsid w:val="00A13234"/>
    <w:rsid w:val="00A1328D"/>
    <w:rsid w:val="00A132C2"/>
    <w:rsid w:val="00A1338A"/>
    <w:rsid w:val="00A13485"/>
    <w:rsid w:val="00A134E7"/>
    <w:rsid w:val="00A13594"/>
    <w:rsid w:val="00A135B5"/>
    <w:rsid w:val="00A1364C"/>
    <w:rsid w:val="00A13669"/>
    <w:rsid w:val="00A13693"/>
    <w:rsid w:val="00A13697"/>
    <w:rsid w:val="00A136B5"/>
    <w:rsid w:val="00A136D2"/>
    <w:rsid w:val="00A136E7"/>
    <w:rsid w:val="00A1373D"/>
    <w:rsid w:val="00A1376B"/>
    <w:rsid w:val="00A138D5"/>
    <w:rsid w:val="00A139C8"/>
    <w:rsid w:val="00A13A12"/>
    <w:rsid w:val="00A13A4A"/>
    <w:rsid w:val="00A13AD7"/>
    <w:rsid w:val="00A13B90"/>
    <w:rsid w:val="00A13BE9"/>
    <w:rsid w:val="00A13C17"/>
    <w:rsid w:val="00A13DFC"/>
    <w:rsid w:val="00A13E08"/>
    <w:rsid w:val="00A13EF7"/>
    <w:rsid w:val="00A13F98"/>
    <w:rsid w:val="00A13FCA"/>
    <w:rsid w:val="00A13FCD"/>
    <w:rsid w:val="00A13FF8"/>
    <w:rsid w:val="00A140ED"/>
    <w:rsid w:val="00A141F6"/>
    <w:rsid w:val="00A14269"/>
    <w:rsid w:val="00A1429A"/>
    <w:rsid w:val="00A14456"/>
    <w:rsid w:val="00A14672"/>
    <w:rsid w:val="00A146A8"/>
    <w:rsid w:val="00A146E0"/>
    <w:rsid w:val="00A14816"/>
    <w:rsid w:val="00A14864"/>
    <w:rsid w:val="00A1489C"/>
    <w:rsid w:val="00A1491A"/>
    <w:rsid w:val="00A14988"/>
    <w:rsid w:val="00A14A93"/>
    <w:rsid w:val="00A14B15"/>
    <w:rsid w:val="00A14B91"/>
    <w:rsid w:val="00A14C5A"/>
    <w:rsid w:val="00A14E27"/>
    <w:rsid w:val="00A14E3C"/>
    <w:rsid w:val="00A14FAD"/>
    <w:rsid w:val="00A1507A"/>
    <w:rsid w:val="00A150E4"/>
    <w:rsid w:val="00A1521A"/>
    <w:rsid w:val="00A15350"/>
    <w:rsid w:val="00A15494"/>
    <w:rsid w:val="00A15525"/>
    <w:rsid w:val="00A15595"/>
    <w:rsid w:val="00A156E4"/>
    <w:rsid w:val="00A158B1"/>
    <w:rsid w:val="00A158BE"/>
    <w:rsid w:val="00A159E7"/>
    <w:rsid w:val="00A15AC0"/>
    <w:rsid w:val="00A15AFD"/>
    <w:rsid w:val="00A15B38"/>
    <w:rsid w:val="00A15BE0"/>
    <w:rsid w:val="00A15C3E"/>
    <w:rsid w:val="00A15DDB"/>
    <w:rsid w:val="00A15E5C"/>
    <w:rsid w:val="00A16047"/>
    <w:rsid w:val="00A16111"/>
    <w:rsid w:val="00A161AB"/>
    <w:rsid w:val="00A162EF"/>
    <w:rsid w:val="00A16313"/>
    <w:rsid w:val="00A16373"/>
    <w:rsid w:val="00A16394"/>
    <w:rsid w:val="00A1643C"/>
    <w:rsid w:val="00A16476"/>
    <w:rsid w:val="00A16482"/>
    <w:rsid w:val="00A1649C"/>
    <w:rsid w:val="00A1657B"/>
    <w:rsid w:val="00A16699"/>
    <w:rsid w:val="00A166D6"/>
    <w:rsid w:val="00A1671B"/>
    <w:rsid w:val="00A16775"/>
    <w:rsid w:val="00A16780"/>
    <w:rsid w:val="00A1678A"/>
    <w:rsid w:val="00A167DA"/>
    <w:rsid w:val="00A1681F"/>
    <w:rsid w:val="00A16822"/>
    <w:rsid w:val="00A16883"/>
    <w:rsid w:val="00A168DD"/>
    <w:rsid w:val="00A169E4"/>
    <w:rsid w:val="00A16A70"/>
    <w:rsid w:val="00A16B23"/>
    <w:rsid w:val="00A16B5F"/>
    <w:rsid w:val="00A16C5D"/>
    <w:rsid w:val="00A16C87"/>
    <w:rsid w:val="00A16E64"/>
    <w:rsid w:val="00A16F3A"/>
    <w:rsid w:val="00A16FFE"/>
    <w:rsid w:val="00A17029"/>
    <w:rsid w:val="00A17055"/>
    <w:rsid w:val="00A170BF"/>
    <w:rsid w:val="00A170DA"/>
    <w:rsid w:val="00A1711C"/>
    <w:rsid w:val="00A1713B"/>
    <w:rsid w:val="00A17206"/>
    <w:rsid w:val="00A17247"/>
    <w:rsid w:val="00A172A1"/>
    <w:rsid w:val="00A173D3"/>
    <w:rsid w:val="00A17428"/>
    <w:rsid w:val="00A17463"/>
    <w:rsid w:val="00A174AF"/>
    <w:rsid w:val="00A175A9"/>
    <w:rsid w:val="00A175AF"/>
    <w:rsid w:val="00A175CB"/>
    <w:rsid w:val="00A175F3"/>
    <w:rsid w:val="00A176C2"/>
    <w:rsid w:val="00A176CF"/>
    <w:rsid w:val="00A1774F"/>
    <w:rsid w:val="00A1777D"/>
    <w:rsid w:val="00A178DB"/>
    <w:rsid w:val="00A17938"/>
    <w:rsid w:val="00A17A72"/>
    <w:rsid w:val="00A17AC1"/>
    <w:rsid w:val="00A17B02"/>
    <w:rsid w:val="00A17B11"/>
    <w:rsid w:val="00A17B13"/>
    <w:rsid w:val="00A17B80"/>
    <w:rsid w:val="00A17BDE"/>
    <w:rsid w:val="00A17C8E"/>
    <w:rsid w:val="00A17F2A"/>
    <w:rsid w:val="00A17FBE"/>
    <w:rsid w:val="00A20148"/>
    <w:rsid w:val="00A201E3"/>
    <w:rsid w:val="00A20205"/>
    <w:rsid w:val="00A20313"/>
    <w:rsid w:val="00A203D3"/>
    <w:rsid w:val="00A203E1"/>
    <w:rsid w:val="00A20409"/>
    <w:rsid w:val="00A2049B"/>
    <w:rsid w:val="00A204DE"/>
    <w:rsid w:val="00A20531"/>
    <w:rsid w:val="00A20581"/>
    <w:rsid w:val="00A205A9"/>
    <w:rsid w:val="00A205C8"/>
    <w:rsid w:val="00A20698"/>
    <w:rsid w:val="00A206A3"/>
    <w:rsid w:val="00A206A7"/>
    <w:rsid w:val="00A2094E"/>
    <w:rsid w:val="00A209B1"/>
    <w:rsid w:val="00A209C4"/>
    <w:rsid w:val="00A20A43"/>
    <w:rsid w:val="00A20A8F"/>
    <w:rsid w:val="00A20AA7"/>
    <w:rsid w:val="00A20C48"/>
    <w:rsid w:val="00A20C4B"/>
    <w:rsid w:val="00A20C4F"/>
    <w:rsid w:val="00A20CA8"/>
    <w:rsid w:val="00A20D53"/>
    <w:rsid w:val="00A20FB7"/>
    <w:rsid w:val="00A2113A"/>
    <w:rsid w:val="00A211ED"/>
    <w:rsid w:val="00A2121D"/>
    <w:rsid w:val="00A212BD"/>
    <w:rsid w:val="00A21405"/>
    <w:rsid w:val="00A214D3"/>
    <w:rsid w:val="00A215FE"/>
    <w:rsid w:val="00A2179D"/>
    <w:rsid w:val="00A217EF"/>
    <w:rsid w:val="00A21A1A"/>
    <w:rsid w:val="00A21A1D"/>
    <w:rsid w:val="00A21B5D"/>
    <w:rsid w:val="00A21B6D"/>
    <w:rsid w:val="00A21B83"/>
    <w:rsid w:val="00A21BE7"/>
    <w:rsid w:val="00A21BFA"/>
    <w:rsid w:val="00A21C2D"/>
    <w:rsid w:val="00A21C4F"/>
    <w:rsid w:val="00A21CBD"/>
    <w:rsid w:val="00A21DB8"/>
    <w:rsid w:val="00A21DCF"/>
    <w:rsid w:val="00A21DDC"/>
    <w:rsid w:val="00A21E85"/>
    <w:rsid w:val="00A21E9D"/>
    <w:rsid w:val="00A21F19"/>
    <w:rsid w:val="00A21F82"/>
    <w:rsid w:val="00A2208D"/>
    <w:rsid w:val="00A22189"/>
    <w:rsid w:val="00A221EB"/>
    <w:rsid w:val="00A2223B"/>
    <w:rsid w:val="00A222B2"/>
    <w:rsid w:val="00A2241D"/>
    <w:rsid w:val="00A22427"/>
    <w:rsid w:val="00A22440"/>
    <w:rsid w:val="00A224D2"/>
    <w:rsid w:val="00A225B7"/>
    <w:rsid w:val="00A227B4"/>
    <w:rsid w:val="00A227DE"/>
    <w:rsid w:val="00A227E1"/>
    <w:rsid w:val="00A228DC"/>
    <w:rsid w:val="00A228EB"/>
    <w:rsid w:val="00A2290A"/>
    <w:rsid w:val="00A2291A"/>
    <w:rsid w:val="00A2294A"/>
    <w:rsid w:val="00A22962"/>
    <w:rsid w:val="00A22A4F"/>
    <w:rsid w:val="00A22A8F"/>
    <w:rsid w:val="00A22AAA"/>
    <w:rsid w:val="00A22B76"/>
    <w:rsid w:val="00A22C79"/>
    <w:rsid w:val="00A22C80"/>
    <w:rsid w:val="00A22D55"/>
    <w:rsid w:val="00A22F09"/>
    <w:rsid w:val="00A22FD7"/>
    <w:rsid w:val="00A23024"/>
    <w:rsid w:val="00A23083"/>
    <w:rsid w:val="00A23097"/>
    <w:rsid w:val="00A230B4"/>
    <w:rsid w:val="00A2315C"/>
    <w:rsid w:val="00A23371"/>
    <w:rsid w:val="00A233B2"/>
    <w:rsid w:val="00A233EE"/>
    <w:rsid w:val="00A23454"/>
    <w:rsid w:val="00A23469"/>
    <w:rsid w:val="00A23660"/>
    <w:rsid w:val="00A23719"/>
    <w:rsid w:val="00A2381A"/>
    <w:rsid w:val="00A238C7"/>
    <w:rsid w:val="00A23947"/>
    <w:rsid w:val="00A23949"/>
    <w:rsid w:val="00A23990"/>
    <w:rsid w:val="00A23AC0"/>
    <w:rsid w:val="00A23D35"/>
    <w:rsid w:val="00A23DD5"/>
    <w:rsid w:val="00A23E44"/>
    <w:rsid w:val="00A23F37"/>
    <w:rsid w:val="00A23F8C"/>
    <w:rsid w:val="00A24134"/>
    <w:rsid w:val="00A2413A"/>
    <w:rsid w:val="00A24177"/>
    <w:rsid w:val="00A2420A"/>
    <w:rsid w:val="00A24215"/>
    <w:rsid w:val="00A2422C"/>
    <w:rsid w:val="00A2426D"/>
    <w:rsid w:val="00A2427C"/>
    <w:rsid w:val="00A2436F"/>
    <w:rsid w:val="00A2449C"/>
    <w:rsid w:val="00A244B4"/>
    <w:rsid w:val="00A244EE"/>
    <w:rsid w:val="00A2453F"/>
    <w:rsid w:val="00A24540"/>
    <w:rsid w:val="00A245B2"/>
    <w:rsid w:val="00A246E0"/>
    <w:rsid w:val="00A24742"/>
    <w:rsid w:val="00A24749"/>
    <w:rsid w:val="00A24755"/>
    <w:rsid w:val="00A247BC"/>
    <w:rsid w:val="00A247C5"/>
    <w:rsid w:val="00A247ED"/>
    <w:rsid w:val="00A2486B"/>
    <w:rsid w:val="00A24920"/>
    <w:rsid w:val="00A249F5"/>
    <w:rsid w:val="00A24A51"/>
    <w:rsid w:val="00A24A59"/>
    <w:rsid w:val="00A24B98"/>
    <w:rsid w:val="00A24CF4"/>
    <w:rsid w:val="00A24D11"/>
    <w:rsid w:val="00A24DDB"/>
    <w:rsid w:val="00A24E8C"/>
    <w:rsid w:val="00A24E94"/>
    <w:rsid w:val="00A24F1D"/>
    <w:rsid w:val="00A2500A"/>
    <w:rsid w:val="00A25065"/>
    <w:rsid w:val="00A251B1"/>
    <w:rsid w:val="00A25209"/>
    <w:rsid w:val="00A2520A"/>
    <w:rsid w:val="00A25260"/>
    <w:rsid w:val="00A252E6"/>
    <w:rsid w:val="00A25327"/>
    <w:rsid w:val="00A254D9"/>
    <w:rsid w:val="00A25511"/>
    <w:rsid w:val="00A2557D"/>
    <w:rsid w:val="00A255BF"/>
    <w:rsid w:val="00A255C2"/>
    <w:rsid w:val="00A25757"/>
    <w:rsid w:val="00A25766"/>
    <w:rsid w:val="00A257A8"/>
    <w:rsid w:val="00A257B3"/>
    <w:rsid w:val="00A2591B"/>
    <w:rsid w:val="00A2594D"/>
    <w:rsid w:val="00A25999"/>
    <w:rsid w:val="00A25A8A"/>
    <w:rsid w:val="00A25AC8"/>
    <w:rsid w:val="00A25B31"/>
    <w:rsid w:val="00A25B70"/>
    <w:rsid w:val="00A25BA6"/>
    <w:rsid w:val="00A25BCE"/>
    <w:rsid w:val="00A25CD1"/>
    <w:rsid w:val="00A25D38"/>
    <w:rsid w:val="00A25E60"/>
    <w:rsid w:val="00A25EF6"/>
    <w:rsid w:val="00A25F3D"/>
    <w:rsid w:val="00A2615D"/>
    <w:rsid w:val="00A262BB"/>
    <w:rsid w:val="00A263E5"/>
    <w:rsid w:val="00A2642A"/>
    <w:rsid w:val="00A26441"/>
    <w:rsid w:val="00A264D3"/>
    <w:rsid w:val="00A264E6"/>
    <w:rsid w:val="00A264EB"/>
    <w:rsid w:val="00A26547"/>
    <w:rsid w:val="00A267CD"/>
    <w:rsid w:val="00A26869"/>
    <w:rsid w:val="00A268A9"/>
    <w:rsid w:val="00A268B8"/>
    <w:rsid w:val="00A269DF"/>
    <w:rsid w:val="00A26A91"/>
    <w:rsid w:val="00A26C0F"/>
    <w:rsid w:val="00A26C2B"/>
    <w:rsid w:val="00A26C3A"/>
    <w:rsid w:val="00A26C41"/>
    <w:rsid w:val="00A26CCD"/>
    <w:rsid w:val="00A26DE2"/>
    <w:rsid w:val="00A26E3F"/>
    <w:rsid w:val="00A26E9E"/>
    <w:rsid w:val="00A2709C"/>
    <w:rsid w:val="00A270BB"/>
    <w:rsid w:val="00A27187"/>
    <w:rsid w:val="00A27192"/>
    <w:rsid w:val="00A272D9"/>
    <w:rsid w:val="00A27302"/>
    <w:rsid w:val="00A2749C"/>
    <w:rsid w:val="00A274C7"/>
    <w:rsid w:val="00A276DF"/>
    <w:rsid w:val="00A2770C"/>
    <w:rsid w:val="00A27AA9"/>
    <w:rsid w:val="00A27B3C"/>
    <w:rsid w:val="00A27B87"/>
    <w:rsid w:val="00A27BD4"/>
    <w:rsid w:val="00A27C66"/>
    <w:rsid w:val="00A27CA2"/>
    <w:rsid w:val="00A27D09"/>
    <w:rsid w:val="00A27D78"/>
    <w:rsid w:val="00A27DE0"/>
    <w:rsid w:val="00A27E10"/>
    <w:rsid w:val="00A27E5B"/>
    <w:rsid w:val="00A27E7A"/>
    <w:rsid w:val="00A27FEB"/>
    <w:rsid w:val="00A3001D"/>
    <w:rsid w:val="00A30080"/>
    <w:rsid w:val="00A300C2"/>
    <w:rsid w:val="00A3012D"/>
    <w:rsid w:val="00A30271"/>
    <w:rsid w:val="00A3037B"/>
    <w:rsid w:val="00A303FD"/>
    <w:rsid w:val="00A3041D"/>
    <w:rsid w:val="00A30441"/>
    <w:rsid w:val="00A3047E"/>
    <w:rsid w:val="00A304A6"/>
    <w:rsid w:val="00A3059A"/>
    <w:rsid w:val="00A305E1"/>
    <w:rsid w:val="00A307BA"/>
    <w:rsid w:val="00A30821"/>
    <w:rsid w:val="00A308A5"/>
    <w:rsid w:val="00A308BE"/>
    <w:rsid w:val="00A30953"/>
    <w:rsid w:val="00A30990"/>
    <w:rsid w:val="00A30A6B"/>
    <w:rsid w:val="00A30B6B"/>
    <w:rsid w:val="00A30B86"/>
    <w:rsid w:val="00A30BF7"/>
    <w:rsid w:val="00A30C35"/>
    <w:rsid w:val="00A30D3E"/>
    <w:rsid w:val="00A30DFF"/>
    <w:rsid w:val="00A30E64"/>
    <w:rsid w:val="00A30E65"/>
    <w:rsid w:val="00A30ECF"/>
    <w:rsid w:val="00A30EE3"/>
    <w:rsid w:val="00A30F9D"/>
    <w:rsid w:val="00A3102D"/>
    <w:rsid w:val="00A31217"/>
    <w:rsid w:val="00A3126F"/>
    <w:rsid w:val="00A31373"/>
    <w:rsid w:val="00A313D3"/>
    <w:rsid w:val="00A31443"/>
    <w:rsid w:val="00A31444"/>
    <w:rsid w:val="00A31491"/>
    <w:rsid w:val="00A314C7"/>
    <w:rsid w:val="00A314FA"/>
    <w:rsid w:val="00A31553"/>
    <w:rsid w:val="00A31582"/>
    <w:rsid w:val="00A31795"/>
    <w:rsid w:val="00A31894"/>
    <w:rsid w:val="00A31969"/>
    <w:rsid w:val="00A31997"/>
    <w:rsid w:val="00A319A2"/>
    <w:rsid w:val="00A319ED"/>
    <w:rsid w:val="00A31CA6"/>
    <w:rsid w:val="00A31D77"/>
    <w:rsid w:val="00A31E61"/>
    <w:rsid w:val="00A31E6B"/>
    <w:rsid w:val="00A3204B"/>
    <w:rsid w:val="00A3204C"/>
    <w:rsid w:val="00A32050"/>
    <w:rsid w:val="00A3206D"/>
    <w:rsid w:val="00A32150"/>
    <w:rsid w:val="00A322C2"/>
    <w:rsid w:val="00A322FC"/>
    <w:rsid w:val="00A3230C"/>
    <w:rsid w:val="00A32330"/>
    <w:rsid w:val="00A324CD"/>
    <w:rsid w:val="00A325E5"/>
    <w:rsid w:val="00A32854"/>
    <w:rsid w:val="00A328FE"/>
    <w:rsid w:val="00A32980"/>
    <w:rsid w:val="00A329D6"/>
    <w:rsid w:val="00A32A8D"/>
    <w:rsid w:val="00A32B49"/>
    <w:rsid w:val="00A32BF5"/>
    <w:rsid w:val="00A32C00"/>
    <w:rsid w:val="00A32D5B"/>
    <w:rsid w:val="00A32DB0"/>
    <w:rsid w:val="00A32F17"/>
    <w:rsid w:val="00A32F60"/>
    <w:rsid w:val="00A32FC4"/>
    <w:rsid w:val="00A33037"/>
    <w:rsid w:val="00A33056"/>
    <w:rsid w:val="00A33057"/>
    <w:rsid w:val="00A33135"/>
    <w:rsid w:val="00A3315E"/>
    <w:rsid w:val="00A3316F"/>
    <w:rsid w:val="00A33361"/>
    <w:rsid w:val="00A334D5"/>
    <w:rsid w:val="00A334E4"/>
    <w:rsid w:val="00A334F7"/>
    <w:rsid w:val="00A3359D"/>
    <w:rsid w:val="00A335EB"/>
    <w:rsid w:val="00A3365B"/>
    <w:rsid w:val="00A33817"/>
    <w:rsid w:val="00A3389F"/>
    <w:rsid w:val="00A338E5"/>
    <w:rsid w:val="00A33919"/>
    <w:rsid w:val="00A339A3"/>
    <w:rsid w:val="00A33A5E"/>
    <w:rsid w:val="00A33A8E"/>
    <w:rsid w:val="00A33C1C"/>
    <w:rsid w:val="00A33C43"/>
    <w:rsid w:val="00A33C89"/>
    <w:rsid w:val="00A33DF5"/>
    <w:rsid w:val="00A33FD9"/>
    <w:rsid w:val="00A3401B"/>
    <w:rsid w:val="00A34083"/>
    <w:rsid w:val="00A340A6"/>
    <w:rsid w:val="00A340DD"/>
    <w:rsid w:val="00A341B1"/>
    <w:rsid w:val="00A34229"/>
    <w:rsid w:val="00A34441"/>
    <w:rsid w:val="00A344FD"/>
    <w:rsid w:val="00A345CE"/>
    <w:rsid w:val="00A34825"/>
    <w:rsid w:val="00A34865"/>
    <w:rsid w:val="00A34892"/>
    <w:rsid w:val="00A34897"/>
    <w:rsid w:val="00A348CE"/>
    <w:rsid w:val="00A348E0"/>
    <w:rsid w:val="00A34959"/>
    <w:rsid w:val="00A34AD4"/>
    <w:rsid w:val="00A34B22"/>
    <w:rsid w:val="00A34B27"/>
    <w:rsid w:val="00A34B3F"/>
    <w:rsid w:val="00A34BBE"/>
    <w:rsid w:val="00A34BDB"/>
    <w:rsid w:val="00A34C8E"/>
    <w:rsid w:val="00A34C9F"/>
    <w:rsid w:val="00A34CA5"/>
    <w:rsid w:val="00A34D38"/>
    <w:rsid w:val="00A34E6E"/>
    <w:rsid w:val="00A34EBF"/>
    <w:rsid w:val="00A350A3"/>
    <w:rsid w:val="00A3512C"/>
    <w:rsid w:val="00A3513E"/>
    <w:rsid w:val="00A35236"/>
    <w:rsid w:val="00A3527C"/>
    <w:rsid w:val="00A3528E"/>
    <w:rsid w:val="00A35294"/>
    <w:rsid w:val="00A352A9"/>
    <w:rsid w:val="00A352D5"/>
    <w:rsid w:val="00A35344"/>
    <w:rsid w:val="00A354FF"/>
    <w:rsid w:val="00A3551A"/>
    <w:rsid w:val="00A35551"/>
    <w:rsid w:val="00A35585"/>
    <w:rsid w:val="00A355BE"/>
    <w:rsid w:val="00A35786"/>
    <w:rsid w:val="00A3584C"/>
    <w:rsid w:val="00A35930"/>
    <w:rsid w:val="00A359B7"/>
    <w:rsid w:val="00A359C0"/>
    <w:rsid w:val="00A35A06"/>
    <w:rsid w:val="00A35B05"/>
    <w:rsid w:val="00A35B5D"/>
    <w:rsid w:val="00A35B87"/>
    <w:rsid w:val="00A35C13"/>
    <w:rsid w:val="00A35C63"/>
    <w:rsid w:val="00A35D19"/>
    <w:rsid w:val="00A35D79"/>
    <w:rsid w:val="00A35DA7"/>
    <w:rsid w:val="00A35E39"/>
    <w:rsid w:val="00A35F3D"/>
    <w:rsid w:val="00A35F7F"/>
    <w:rsid w:val="00A35FF2"/>
    <w:rsid w:val="00A36051"/>
    <w:rsid w:val="00A36199"/>
    <w:rsid w:val="00A3620B"/>
    <w:rsid w:val="00A3646F"/>
    <w:rsid w:val="00A36477"/>
    <w:rsid w:val="00A36537"/>
    <w:rsid w:val="00A3653A"/>
    <w:rsid w:val="00A36652"/>
    <w:rsid w:val="00A366EE"/>
    <w:rsid w:val="00A3671A"/>
    <w:rsid w:val="00A3679C"/>
    <w:rsid w:val="00A367B7"/>
    <w:rsid w:val="00A367E5"/>
    <w:rsid w:val="00A3682E"/>
    <w:rsid w:val="00A3698F"/>
    <w:rsid w:val="00A369C0"/>
    <w:rsid w:val="00A36AED"/>
    <w:rsid w:val="00A36B78"/>
    <w:rsid w:val="00A36C06"/>
    <w:rsid w:val="00A36C7F"/>
    <w:rsid w:val="00A36D5F"/>
    <w:rsid w:val="00A36D8D"/>
    <w:rsid w:val="00A36E25"/>
    <w:rsid w:val="00A36F0F"/>
    <w:rsid w:val="00A36F2A"/>
    <w:rsid w:val="00A36F5E"/>
    <w:rsid w:val="00A36FAB"/>
    <w:rsid w:val="00A3702A"/>
    <w:rsid w:val="00A37306"/>
    <w:rsid w:val="00A3730E"/>
    <w:rsid w:val="00A3734C"/>
    <w:rsid w:val="00A373BF"/>
    <w:rsid w:val="00A37421"/>
    <w:rsid w:val="00A374DB"/>
    <w:rsid w:val="00A37668"/>
    <w:rsid w:val="00A376A1"/>
    <w:rsid w:val="00A376D2"/>
    <w:rsid w:val="00A376F7"/>
    <w:rsid w:val="00A377D8"/>
    <w:rsid w:val="00A377F3"/>
    <w:rsid w:val="00A378AD"/>
    <w:rsid w:val="00A37970"/>
    <w:rsid w:val="00A379F6"/>
    <w:rsid w:val="00A37A6A"/>
    <w:rsid w:val="00A37A98"/>
    <w:rsid w:val="00A37AA1"/>
    <w:rsid w:val="00A37AD1"/>
    <w:rsid w:val="00A37BFA"/>
    <w:rsid w:val="00A37E36"/>
    <w:rsid w:val="00A37ED4"/>
    <w:rsid w:val="00A37F82"/>
    <w:rsid w:val="00A4003D"/>
    <w:rsid w:val="00A400F2"/>
    <w:rsid w:val="00A402F1"/>
    <w:rsid w:val="00A403A7"/>
    <w:rsid w:val="00A4043F"/>
    <w:rsid w:val="00A4045F"/>
    <w:rsid w:val="00A40522"/>
    <w:rsid w:val="00A4057D"/>
    <w:rsid w:val="00A406E2"/>
    <w:rsid w:val="00A4074E"/>
    <w:rsid w:val="00A408DD"/>
    <w:rsid w:val="00A409D4"/>
    <w:rsid w:val="00A40ACA"/>
    <w:rsid w:val="00A40AF6"/>
    <w:rsid w:val="00A40B18"/>
    <w:rsid w:val="00A40BAA"/>
    <w:rsid w:val="00A40C55"/>
    <w:rsid w:val="00A40C67"/>
    <w:rsid w:val="00A40C9A"/>
    <w:rsid w:val="00A40C9D"/>
    <w:rsid w:val="00A40D30"/>
    <w:rsid w:val="00A40D88"/>
    <w:rsid w:val="00A40DFB"/>
    <w:rsid w:val="00A40E44"/>
    <w:rsid w:val="00A40EB3"/>
    <w:rsid w:val="00A40F05"/>
    <w:rsid w:val="00A410A2"/>
    <w:rsid w:val="00A41117"/>
    <w:rsid w:val="00A41134"/>
    <w:rsid w:val="00A412D6"/>
    <w:rsid w:val="00A414C7"/>
    <w:rsid w:val="00A41522"/>
    <w:rsid w:val="00A417F3"/>
    <w:rsid w:val="00A4191E"/>
    <w:rsid w:val="00A419C1"/>
    <w:rsid w:val="00A419D9"/>
    <w:rsid w:val="00A41A8E"/>
    <w:rsid w:val="00A41ADE"/>
    <w:rsid w:val="00A41AF7"/>
    <w:rsid w:val="00A41BF0"/>
    <w:rsid w:val="00A41C28"/>
    <w:rsid w:val="00A41C34"/>
    <w:rsid w:val="00A41D27"/>
    <w:rsid w:val="00A41D4D"/>
    <w:rsid w:val="00A41D9A"/>
    <w:rsid w:val="00A41DEA"/>
    <w:rsid w:val="00A41E06"/>
    <w:rsid w:val="00A41EAD"/>
    <w:rsid w:val="00A41F2F"/>
    <w:rsid w:val="00A41F58"/>
    <w:rsid w:val="00A41F82"/>
    <w:rsid w:val="00A42050"/>
    <w:rsid w:val="00A42070"/>
    <w:rsid w:val="00A420DC"/>
    <w:rsid w:val="00A42116"/>
    <w:rsid w:val="00A42134"/>
    <w:rsid w:val="00A42166"/>
    <w:rsid w:val="00A4231C"/>
    <w:rsid w:val="00A42369"/>
    <w:rsid w:val="00A4244D"/>
    <w:rsid w:val="00A42609"/>
    <w:rsid w:val="00A42620"/>
    <w:rsid w:val="00A4284E"/>
    <w:rsid w:val="00A4292A"/>
    <w:rsid w:val="00A429C1"/>
    <w:rsid w:val="00A429CE"/>
    <w:rsid w:val="00A42A71"/>
    <w:rsid w:val="00A42C22"/>
    <w:rsid w:val="00A42E3C"/>
    <w:rsid w:val="00A42EA0"/>
    <w:rsid w:val="00A42F34"/>
    <w:rsid w:val="00A42F8B"/>
    <w:rsid w:val="00A42FD7"/>
    <w:rsid w:val="00A43055"/>
    <w:rsid w:val="00A430C0"/>
    <w:rsid w:val="00A430E4"/>
    <w:rsid w:val="00A43300"/>
    <w:rsid w:val="00A43373"/>
    <w:rsid w:val="00A43385"/>
    <w:rsid w:val="00A43386"/>
    <w:rsid w:val="00A433D9"/>
    <w:rsid w:val="00A434F0"/>
    <w:rsid w:val="00A434F3"/>
    <w:rsid w:val="00A43531"/>
    <w:rsid w:val="00A43536"/>
    <w:rsid w:val="00A43581"/>
    <w:rsid w:val="00A43673"/>
    <w:rsid w:val="00A436A6"/>
    <w:rsid w:val="00A43718"/>
    <w:rsid w:val="00A4372B"/>
    <w:rsid w:val="00A43742"/>
    <w:rsid w:val="00A43843"/>
    <w:rsid w:val="00A43877"/>
    <w:rsid w:val="00A43959"/>
    <w:rsid w:val="00A43A86"/>
    <w:rsid w:val="00A43AEE"/>
    <w:rsid w:val="00A43B16"/>
    <w:rsid w:val="00A43B62"/>
    <w:rsid w:val="00A43C53"/>
    <w:rsid w:val="00A43D35"/>
    <w:rsid w:val="00A43D81"/>
    <w:rsid w:val="00A43DA6"/>
    <w:rsid w:val="00A43DD3"/>
    <w:rsid w:val="00A43E00"/>
    <w:rsid w:val="00A43E32"/>
    <w:rsid w:val="00A43E8E"/>
    <w:rsid w:val="00A43EFE"/>
    <w:rsid w:val="00A43F47"/>
    <w:rsid w:val="00A43FA9"/>
    <w:rsid w:val="00A4407D"/>
    <w:rsid w:val="00A440BF"/>
    <w:rsid w:val="00A441C7"/>
    <w:rsid w:val="00A44210"/>
    <w:rsid w:val="00A44412"/>
    <w:rsid w:val="00A44463"/>
    <w:rsid w:val="00A446B0"/>
    <w:rsid w:val="00A446BB"/>
    <w:rsid w:val="00A4477C"/>
    <w:rsid w:val="00A447FD"/>
    <w:rsid w:val="00A44849"/>
    <w:rsid w:val="00A44887"/>
    <w:rsid w:val="00A448EE"/>
    <w:rsid w:val="00A449C7"/>
    <w:rsid w:val="00A44A7A"/>
    <w:rsid w:val="00A44AEC"/>
    <w:rsid w:val="00A44B6F"/>
    <w:rsid w:val="00A44BD7"/>
    <w:rsid w:val="00A44C15"/>
    <w:rsid w:val="00A44C55"/>
    <w:rsid w:val="00A44CC9"/>
    <w:rsid w:val="00A44CD7"/>
    <w:rsid w:val="00A44D50"/>
    <w:rsid w:val="00A44EB4"/>
    <w:rsid w:val="00A44ED4"/>
    <w:rsid w:val="00A44F65"/>
    <w:rsid w:val="00A45007"/>
    <w:rsid w:val="00A45029"/>
    <w:rsid w:val="00A45099"/>
    <w:rsid w:val="00A45104"/>
    <w:rsid w:val="00A45127"/>
    <w:rsid w:val="00A45190"/>
    <w:rsid w:val="00A45277"/>
    <w:rsid w:val="00A45288"/>
    <w:rsid w:val="00A452B6"/>
    <w:rsid w:val="00A452D7"/>
    <w:rsid w:val="00A4533F"/>
    <w:rsid w:val="00A453DB"/>
    <w:rsid w:val="00A453E4"/>
    <w:rsid w:val="00A45436"/>
    <w:rsid w:val="00A45449"/>
    <w:rsid w:val="00A454AF"/>
    <w:rsid w:val="00A454DC"/>
    <w:rsid w:val="00A45547"/>
    <w:rsid w:val="00A45581"/>
    <w:rsid w:val="00A4558A"/>
    <w:rsid w:val="00A455E5"/>
    <w:rsid w:val="00A45663"/>
    <w:rsid w:val="00A4571C"/>
    <w:rsid w:val="00A457B9"/>
    <w:rsid w:val="00A45853"/>
    <w:rsid w:val="00A458AC"/>
    <w:rsid w:val="00A459C9"/>
    <w:rsid w:val="00A459D1"/>
    <w:rsid w:val="00A45A6C"/>
    <w:rsid w:val="00A45ACE"/>
    <w:rsid w:val="00A45AEF"/>
    <w:rsid w:val="00A45B23"/>
    <w:rsid w:val="00A45B52"/>
    <w:rsid w:val="00A45B95"/>
    <w:rsid w:val="00A45BC6"/>
    <w:rsid w:val="00A45BE9"/>
    <w:rsid w:val="00A45DB7"/>
    <w:rsid w:val="00A45E1A"/>
    <w:rsid w:val="00A45E7C"/>
    <w:rsid w:val="00A45EC0"/>
    <w:rsid w:val="00A46002"/>
    <w:rsid w:val="00A4611B"/>
    <w:rsid w:val="00A46143"/>
    <w:rsid w:val="00A461B1"/>
    <w:rsid w:val="00A462FF"/>
    <w:rsid w:val="00A4632B"/>
    <w:rsid w:val="00A46690"/>
    <w:rsid w:val="00A466A1"/>
    <w:rsid w:val="00A466CD"/>
    <w:rsid w:val="00A46897"/>
    <w:rsid w:val="00A46935"/>
    <w:rsid w:val="00A469EB"/>
    <w:rsid w:val="00A46A02"/>
    <w:rsid w:val="00A46A39"/>
    <w:rsid w:val="00A46AE1"/>
    <w:rsid w:val="00A46BC8"/>
    <w:rsid w:val="00A46C5E"/>
    <w:rsid w:val="00A46C7E"/>
    <w:rsid w:val="00A46C97"/>
    <w:rsid w:val="00A46CA5"/>
    <w:rsid w:val="00A46D0B"/>
    <w:rsid w:val="00A46D2B"/>
    <w:rsid w:val="00A46D36"/>
    <w:rsid w:val="00A46D7B"/>
    <w:rsid w:val="00A46DBF"/>
    <w:rsid w:val="00A46DE7"/>
    <w:rsid w:val="00A46DF9"/>
    <w:rsid w:val="00A46F06"/>
    <w:rsid w:val="00A46F41"/>
    <w:rsid w:val="00A46F75"/>
    <w:rsid w:val="00A47083"/>
    <w:rsid w:val="00A47145"/>
    <w:rsid w:val="00A4714B"/>
    <w:rsid w:val="00A47233"/>
    <w:rsid w:val="00A47314"/>
    <w:rsid w:val="00A4732E"/>
    <w:rsid w:val="00A47354"/>
    <w:rsid w:val="00A473C2"/>
    <w:rsid w:val="00A474BC"/>
    <w:rsid w:val="00A4765B"/>
    <w:rsid w:val="00A47732"/>
    <w:rsid w:val="00A47832"/>
    <w:rsid w:val="00A47C40"/>
    <w:rsid w:val="00A47C73"/>
    <w:rsid w:val="00A47CDA"/>
    <w:rsid w:val="00A47CE2"/>
    <w:rsid w:val="00A47D06"/>
    <w:rsid w:val="00A47D51"/>
    <w:rsid w:val="00A47D53"/>
    <w:rsid w:val="00A47E3F"/>
    <w:rsid w:val="00A47EAB"/>
    <w:rsid w:val="00A47F03"/>
    <w:rsid w:val="00A47F1E"/>
    <w:rsid w:val="00A47F81"/>
    <w:rsid w:val="00A47FA3"/>
    <w:rsid w:val="00A50063"/>
    <w:rsid w:val="00A500EF"/>
    <w:rsid w:val="00A5013F"/>
    <w:rsid w:val="00A501D3"/>
    <w:rsid w:val="00A501EB"/>
    <w:rsid w:val="00A50281"/>
    <w:rsid w:val="00A50348"/>
    <w:rsid w:val="00A5039E"/>
    <w:rsid w:val="00A503A2"/>
    <w:rsid w:val="00A503C4"/>
    <w:rsid w:val="00A503F7"/>
    <w:rsid w:val="00A503FB"/>
    <w:rsid w:val="00A505CA"/>
    <w:rsid w:val="00A50611"/>
    <w:rsid w:val="00A50665"/>
    <w:rsid w:val="00A506B2"/>
    <w:rsid w:val="00A506B4"/>
    <w:rsid w:val="00A506F4"/>
    <w:rsid w:val="00A50777"/>
    <w:rsid w:val="00A507D1"/>
    <w:rsid w:val="00A508FE"/>
    <w:rsid w:val="00A50937"/>
    <w:rsid w:val="00A50AAF"/>
    <w:rsid w:val="00A50B15"/>
    <w:rsid w:val="00A50D29"/>
    <w:rsid w:val="00A50E37"/>
    <w:rsid w:val="00A50E6B"/>
    <w:rsid w:val="00A5108D"/>
    <w:rsid w:val="00A510DC"/>
    <w:rsid w:val="00A5111C"/>
    <w:rsid w:val="00A5121E"/>
    <w:rsid w:val="00A51264"/>
    <w:rsid w:val="00A512B7"/>
    <w:rsid w:val="00A51369"/>
    <w:rsid w:val="00A513B0"/>
    <w:rsid w:val="00A51418"/>
    <w:rsid w:val="00A514AC"/>
    <w:rsid w:val="00A51546"/>
    <w:rsid w:val="00A51577"/>
    <w:rsid w:val="00A516C6"/>
    <w:rsid w:val="00A51769"/>
    <w:rsid w:val="00A5185F"/>
    <w:rsid w:val="00A51932"/>
    <w:rsid w:val="00A5198A"/>
    <w:rsid w:val="00A51A96"/>
    <w:rsid w:val="00A51C8C"/>
    <w:rsid w:val="00A51CB3"/>
    <w:rsid w:val="00A51D15"/>
    <w:rsid w:val="00A51D37"/>
    <w:rsid w:val="00A51D58"/>
    <w:rsid w:val="00A51DD3"/>
    <w:rsid w:val="00A51DE3"/>
    <w:rsid w:val="00A51EBF"/>
    <w:rsid w:val="00A51F7F"/>
    <w:rsid w:val="00A51F91"/>
    <w:rsid w:val="00A52198"/>
    <w:rsid w:val="00A522B9"/>
    <w:rsid w:val="00A5231D"/>
    <w:rsid w:val="00A52325"/>
    <w:rsid w:val="00A5238A"/>
    <w:rsid w:val="00A523AE"/>
    <w:rsid w:val="00A523DA"/>
    <w:rsid w:val="00A523F6"/>
    <w:rsid w:val="00A524C6"/>
    <w:rsid w:val="00A525FB"/>
    <w:rsid w:val="00A5264E"/>
    <w:rsid w:val="00A5275C"/>
    <w:rsid w:val="00A52808"/>
    <w:rsid w:val="00A52869"/>
    <w:rsid w:val="00A528A5"/>
    <w:rsid w:val="00A528DD"/>
    <w:rsid w:val="00A529D5"/>
    <w:rsid w:val="00A529DB"/>
    <w:rsid w:val="00A52AC7"/>
    <w:rsid w:val="00A52ADC"/>
    <w:rsid w:val="00A52AFA"/>
    <w:rsid w:val="00A52B79"/>
    <w:rsid w:val="00A52C1C"/>
    <w:rsid w:val="00A52C53"/>
    <w:rsid w:val="00A52C92"/>
    <w:rsid w:val="00A52CAE"/>
    <w:rsid w:val="00A52CC3"/>
    <w:rsid w:val="00A52CD4"/>
    <w:rsid w:val="00A52D07"/>
    <w:rsid w:val="00A52D50"/>
    <w:rsid w:val="00A52DDA"/>
    <w:rsid w:val="00A52DE6"/>
    <w:rsid w:val="00A52DF7"/>
    <w:rsid w:val="00A52E07"/>
    <w:rsid w:val="00A52E1B"/>
    <w:rsid w:val="00A52E6A"/>
    <w:rsid w:val="00A52EBB"/>
    <w:rsid w:val="00A52F85"/>
    <w:rsid w:val="00A53091"/>
    <w:rsid w:val="00A53159"/>
    <w:rsid w:val="00A531D6"/>
    <w:rsid w:val="00A5321A"/>
    <w:rsid w:val="00A5322F"/>
    <w:rsid w:val="00A53268"/>
    <w:rsid w:val="00A532EA"/>
    <w:rsid w:val="00A53345"/>
    <w:rsid w:val="00A5336C"/>
    <w:rsid w:val="00A53485"/>
    <w:rsid w:val="00A53552"/>
    <w:rsid w:val="00A5358B"/>
    <w:rsid w:val="00A535A4"/>
    <w:rsid w:val="00A536B5"/>
    <w:rsid w:val="00A536F7"/>
    <w:rsid w:val="00A53701"/>
    <w:rsid w:val="00A53786"/>
    <w:rsid w:val="00A5385D"/>
    <w:rsid w:val="00A53880"/>
    <w:rsid w:val="00A538CF"/>
    <w:rsid w:val="00A53947"/>
    <w:rsid w:val="00A53A37"/>
    <w:rsid w:val="00A53AB7"/>
    <w:rsid w:val="00A53AF9"/>
    <w:rsid w:val="00A53B80"/>
    <w:rsid w:val="00A53B85"/>
    <w:rsid w:val="00A53BED"/>
    <w:rsid w:val="00A53C1D"/>
    <w:rsid w:val="00A53C43"/>
    <w:rsid w:val="00A53C73"/>
    <w:rsid w:val="00A53D65"/>
    <w:rsid w:val="00A53DD7"/>
    <w:rsid w:val="00A53E03"/>
    <w:rsid w:val="00A53E8C"/>
    <w:rsid w:val="00A53EC1"/>
    <w:rsid w:val="00A53ECE"/>
    <w:rsid w:val="00A53F5E"/>
    <w:rsid w:val="00A53F89"/>
    <w:rsid w:val="00A53FB1"/>
    <w:rsid w:val="00A5406C"/>
    <w:rsid w:val="00A5426B"/>
    <w:rsid w:val="00A542EB"/>
    <w:rsid w:val="00A542F3"/>
    <w:rsid w:val="00A54489"/>
    <w:rsid w:val="00A54490"/>
    <w:rsid w:val="00A5453E"/>
    <w:rsid w:val="00A54543"/>
    <w:rsid w:val="00A5468E"/>
    <w:rsid w:val="00A54690"/>
    <w:rsid w:val="00A54703"/>
    <w:rsid w:val="00A54707"/>
    <w:rsid w:val="00A54725"/>
    <w:rsid w:val="00A54762"/>
    <w:rsid w:val="00A54779"/>
    <w:rsid w:val="00A5482B"/>
    <w:rsid w:val="00A54859"/>
    <w:rsid w:val="00A54A84"/>
    <w:rsid w:val="00A54AC7"/>
    <w:rsid w:val="00A54AD0"/>
    <w:rsid w:val="00A54AD9"/>
    <w:rsid w:val="00A54AFB"/>
    <w:rsid w:val="00A54B12"/>
    <w:rsid w:val="00A54D73"/>
    <w:rsid w:val="00A54D77"/>
    <w:rsid w:val="00A54D83"/>
    <w:rsid w:val="00A54E5A"/>
    <w:rsid w:val="00A54F3B"/>
    <w:rsid w:val="00A54FA4"/>
    <w:rsid w:val="00A54FB9"/>
    <w:rsid w:val="00A54FBF"/>
    <w:rsid w:val="00A55120"/>
    <w:rsid w:val="00A551E1"/>
    <w:rsid w:val="00A5520C"/>
    <w:rsid w:val="00A552B7"/>
    <w:rsid w:val="00A552DD"/>
    <w:rsid w:val="00A55573"/>
    <w:rsid w:val="00A555ED"/>
    <w:rsid w:val="00A5565C"/>
    <w:rsid w:val="00A55746"/>
    <w:rsid w:val="00A557C4"/>
    <w:rsid w:val="00A558C4"/>
    <w:rsid w:val="00A559CC"/>
    <w:rsid w:val="00A559DF"/>
    <w:rsid w:val="00A55A5D"/>
    <w:rsid w:val="00A55C91"/>
    <w:rsid w:val="00A55D02"/>
    <w:rsid w:val="00A55D5C"/>
    <w:rsid w:val="00A55D5D"/>
    <w:rsid w:val="00A55E92"/>
    <w:rsid w:val="00A55EEB"/>
    <w:rsid w:val="00A55FD8"/>
    <w:rsid w:val="00A5608C"/>
    <w:rsid w:val="00A560A2"/>
    <w:rsid w:val="00A561BC"/>
    <w:rsid w:val="00A56200"/>
    <w:rsid w:val="00A56222"/>
    <w:rsid w:val="00A562B4"/>
    <w:rsid w:val="00A5651E"/>
    <w:rsid w:val="00A56707"/>
    <w:rsid w:val="00A5672E"/>
    <w:rsid w:val="00A568CF"/>
    <w:rsid w:val="00A56987"/>
    <w:rsid w:val="00A56A2C"/>
    <w:rsid w:val="00A56AD8"/>
    <w:rsid w:val="00A56AFF"/>
    <w:rsid w:val="00A56BBE"/>
    <w:rsid w:val="00A56BE7"/>
    <w:rsid w:val="00A56C19"/>
    <w:rsid w:val="00A56C87"/>
    <w:rsid w:val="00A56C92"/>
    <w:rsid w:val="00A56D23"/>
    <w:rsid w:val="00A56DF5"/>
    <w:rsid w:val="00A56F65"/>
    <w:rsid w:val="00A56FA0"/>
    <w:rsid w:val="00A5703F"/>
    <w:rsid w:val="00A57051"/>
    <w:rsid w:val="00A57086"/>
    <w:rsid w:val="00A57141"/>
    <w:rsid w:val="00A5728C"/>
    <w:rsid w:val="00A572C2"/>
    <w:rsid w:val="00A57361"/>
    <w:rsid w:val="00A573CD"/>
    <w:rsid w:val="00A57533"/>
    <w:rsid w:val="00A5756C"/>
    <w:rsid w:val="00A5767F"/>
    <w:rsid w:val="00A57699"/>
    <w:rsid w:val="00A576E8"/>
    <w:rsid w:val="00A57853"/>
    <w:rsid w:val="00A578A3"/>
    <w:rsid w:val="00A578B0"/>
    <w:rsid w:val="00A578FE"/>
    <w:rsid w:val="00A57917"/>
    <w:rsid w:val="00A57964"/>
    <w:rsid w:val="00A579CB"/>
    <w:rsid w:val="00A57A78"/>
    <w:rsid w:val="00A57A9D"/>
    <w:rsid w:val="00A57ABD"/>
    <w:rsid w:val="00A57AE6"/>
    <w:rsid w:val="00A57B4F"/>
    <w:rsid w:val="00A57C22"/>
    <w:rsid w:val="00A57C9F"/>
    <w:rsid w:val="00A57DD2"/>
    <w:rsid w:val="00A57E14"/>
    <w:rsid w:val="00A57E54"/>
    <w:rsid w:val="00A57E7A"/>
    <w:rsid w:val="00A57F1D"/>
    <w:rsid w:val="00A57F5E"/>
    <w:rsid w:val="00A57FD5"/>
    <w:rsid w:val="00A60005"/>
    <w:rsid w:val="00A60029"/>
    <w:rsid w:val="00A601B4"/>
    <w:rsid w:val="00A6020E"/>
    <w:rsid w:val="00A60244"/>
    <w:rsid w:val="00A60387"/>
    <w:rsid w:val="00A603A7"/>
    <w:rsid w:val="00A603ED"/>
    <w:rsid w:val="00A603F2"/>
    <w:rsid w:val="00A60557"/>
    <w:rsid w:val="00A605E8"/>
    <w:rsid w:val="00A6066C"/>
    <w:rsid w:val="00A60725"/>
    <w:rsid w:val="00A607AD"/>
    <w:rsid w:val="00A60814"/>
    <w:rsid w:val="00A60864"/>
    <w:rsid w:val="00A608A4"/>
    <w:rsid w:val="00A60906"/>
    <w:rsid w:val="00A60943"/>
    <w:rsid w:val="00A60947"/>
    <w:rsid w:val="00A609F1"/>
    <w:rsid w:val="00A60A24"/>
    <w:rsid w:val="00A60B96"/>
    <w:rsid w:val="00A60D21"/>
    <w:rsid w:val="00A60D57"/>
    <w:rsid w:val="00A60DDE"/>
    <w:rsid w:val="00A60E25"/>
    <w:rsid w:val="00A60EA1"/>
    <w:rsid w:val="00A60ECA"/>
    <w:rsid w:val="00A60ED6"/>
    <w:rsid w:val="00A60F0D"/>
    <w:rsid w:val="00A60F60"/>
    <w:rsid w:val="00A6101E"/>
    <w:rsid w:val="00A6111F"/>
    <w:rsid w:val="00A611A0"/>
    <w:rsid w:val="00A611BF"/>
    <w:rsid w:val="00A6127C"/>
    <w:rsid w:val="00A612E2"/>
    <w:rsid w:val="00A613A0"/>
    <w:rsid w:val="00A613BA"/>
    <w:rsid w:val="00A613BE"/>
    <w:rsid w:val="00A61473"/>
    <w:rsid w:val="00A6149D"/>
    <w:rsid w:val="00A614DF"/>
    <w:rsid w:val="00A614E9"/>
    <w:rsid w:val="00A6150C"/>
    <w:rsid w:val="00A61697"/>
    <w:rsid w:val="00A616A8"/>
    <w:rsid w:val="00A616AA"/>
    <w:rsid w:val="00A61765"/>
    <w:rsid w:val="00A61846"/>
    <w:rsid w:val="00A6184A"/>
    <w:rsid w:val="00A6184C"/>
    <w:rsid w:val="00A618B7"/>
    <w:rsid w:val="00A61933"/>
    <w:rsid w:val="00A6193B"/>
    <w:rsid w:val="00A61A01"/>
    <w:rsid w:val="00A61A4D"/>
    <w:rsid w:val="00A61B01"/>
    <w:rsid w:val="00A61B7D"/>
    <w:rsid w:val="00A61B99"/>
    <w:rsid w:val="00A61BC5"/>
    <w:rsid w:val="00A61CF6"/>
    <w:rsid w:val="00A61E8C"/>
    <w:rsid w:val="00A61E97"/>
    <w:rsid w:val="00A61F28"/>
    <w:rsid w:val="00A61F7B"/>
    <w:rsid w:val="00A622EB"/>
    <w:rsid w:val="00A62306"/>
    <w:rsid w:val="00A623A6"/>
    <w:rsid w:val="00A6256B"/>
    <w:rsid w:val="00A627C2"/>
    <w:rsid w:val="00A627D4"/>
    <w:rsid w:val="00A627E5"/>
    <w:rsid w:val="00A62805"/>
    <w:rsid w:val="00A62821"/>
    <w:rsid w:val="00A62857"/>
    <w:rsid w:val="00A62879"/>
    <w:rsid w:val="00A628AD"/>
    <w:rsid w:val="00A62903"/>
    <w:rsid w:val="00A6293E"/>
    <w:rsid w:val="00A6299B"/>
    <w:rsid w:val="00A62A1B"/>
    <w:rsid w:val="00A62A25"/>
    <w:rsid w:val="00A62AD0"/>
    <w:rsid w:val="00A62B3A"/>
    <w:rsid w:val="00A62C14"/>
    <w:rsid w:val="00A62C20"/>
    <w:rsid w:val="00A62C38"/>
    <w:rsid w:val="00A62CCF"/>
    <w:rsid w:val="00A62DD0"/>
    <w:rsid w:val="00A62E84"/>
    <w:rsid w:val="00A62EFB"/>
    <w:rsid w:val="00A62FD7"/>
    <w:rsid w:val="00A63021"/>
    <w:rsid w:val="00A63153"/>
    <w:rsid w:val="00A631EA"/>
    <w:rsid w:val="00A632A9"/>
    <w:rsid w:val="00A632E7"/>
    <w:rsid w:val="00A633AA"/>
    <w:rsid w:val="00A633F8"/>
    <w:rsid w:val="00A63424"/>
    <w:rsid w:val="00A63455"/>
    <w:rsid w:val="00A63497"/>
    <w:rsid w:val="00A634B8"/>
    <w:rsid w:val="00A63500"/>
    <w:rsid w:val="00A63503"/>
    <w:rsid w:val="00A635E3"/>
    <w:rsid w:val="00A63662"/>
    <w:rsid w:val="00A636C4"/>
    <w:rsid w:val="00A63878"/>
    <w:rsid w:val="00A6388C"/>
    <w:rsid w:val="00A63A20"/>
    <w:rsid w:val="00A63A39"/>
    <w:rsid w:val="00A63AE8"/>
    <w:rsid w:val="00A63B57"/>
    <w:rsid w:val="00A63B5A"/>
    <w:rsid w:val="00A63BD3"/>
    <w:rsid w:val="00A63C67"/>
    <w:rsid w:val="00A63C98"/>
    <w:rsid w:val="00A63D85"/>
    <w:rsid w:val="00A63DB1"/>
    <w:rsid w:val="00A63DBF"/>
    <w:rsid w:val="00A63F05"/>
    <w:rsid w:val="00A63F95"/>
    <w:rsid w:val="00A6402D"/>
    <w:rsid w:val="00A6417C"/>
    <w:rsid w:val="00A641E1"/>
    <w:rsid w:val="00A642F4"/>
    <w:rsid w:val="00A64352"/>
    <w:rsid w:val="00A643DF"/>
    <w:rsid w:val="00A64429"/>
    <w:rsid w:val="00A64460"/>
    <w:rsid w:val="00A645FE"/>
    <w:rsid w:val="00A646A4"/>
    <w:rsid w:val="00A64700"/>
    <w:rsid w:val="00A64719"/>
    <w:rsid w:val="00A649A2"/>
    <w:rsid w:val="00A649C8"/>
    <w:rsid w:val="00A649EC"/>
    <w:rsid w:val="00A64A01"/>
    <w:rsid w:val="00A64A7C"/>
    <w:rsid w:val="00A64AB6"/>
    <w:rsid w:val="00A64B5A"/>
    <w:rsid w:val="00A64B88"/>
    <w:rsid w:val="00A64BDD"/>
    <w:rsid w:val="00A64D51"/>
    <w:rsid w:val="00A64D93"/>
    <w:rsid w:val="00A64DD8"/>
    <w:rsid w:val="00A64DE1"/>
    <w:rsid w:val="00A64DFB"/>
    <w:rsid w:val="00A64E4D"/>
    <w:rsid w:val="00A64E5F"/>
    <w:rsid w:val="00A64E95"/>
    <w:rsid w:val="00A64EA3"/>
    <w:rsid w:val="00A64F7F"/>
    <w:rsid w:val="00A6502A"/>
    <w:rsid w:val="00A65044"/>
    <w:rsid w:val="00A650C8"/>
    <w:rsid w:val="00A6516A"/>
    <w:rsid w:val="00A65181"/>
    <w:rsid w:val="00A6520A"/>
    <w:rsid w:val="00A652B6"/>
    <w:rsid w:val="00A652C8"/>
    <w:rsid w:val="00A65336"/>
    <w:rsid w:val="00A65382"/>
    <w:rsid w:val="00A65451"/>
    <w:rsid w:val="00A654C9"/>
    <w:rsid w:val="00A654CC"/>
    <w:rsid w:val="00A6557D"/>
    <w:rsid w:val="00A65596"/>
    <w:rsid w:val="00A65632"/>
    <w:rsid w:val="00A656A9"/>
    <w:rsid w:val="00A656E5"/>
    <w:rsid w:val="00A65717"/>
    <w:rsid w:val="00A65922"/>
    <w:rsid w:val="00A6596F"/>
    <w:rsid w:val="00A65995"/>
    <w:rsid w:val="00A65ACB"/>
    <w:rsid w:val="00A65ADF"/>
    <w:rsid w:val="00A65B13"/>
    <w:rsid w:val="00A65BA6"/>
    <w:rsid w:val="00A65CD7"/>
    <w:rsid w:val="00A65D34"/>
    <w:rsid w:val="00A65D9E"/>
    <w:rsid w:val="00A65DC2"/>
    <w:rsid w:val="00A65E3A"/>
    <w:rsid w:val="00A65EF9"/>
    <w:rsid w:val="00A65F5A"/>
    <w:rsid w:val="00A6601B"/>
    <w:rsid w:val="00A66044"/>
    <w:rsid w:val="00A660B4"/>
    <w:rsid w:val="00A66172"/>
    <w:rsid w:val="00A66394"/>
    <w:rsid w:val="00A6648B"/>
    <w:rsid w:val="00A66531"/>
    <w:rsid w:val="00A6657C"/>
    <w:rsid w:val="00A666DB"/>
    <w:rsid w:val="00A66763"/>
    <w:rsid w:val="00A66774"/>
    <w:rsid w:val="00A66934"/>
    <w:rsid w:val="00A66935"/>
    <w:rsid w:val="00A6698D"/>
    <w:rsid w:val="00A66994"/>
    <w:rsid w:val="00A669CC"/>
    <w:rsid w:val="00A669EA"/>
    <w:rsid w:val="00A66A98"/>
    <w:rsid w:val="00A66B81"/>
    <w:rsid w:val="00A66B86"/>
    <w:rsid w:val="00A66BCF"/>
    <w:rsid w:val="00A66C1A"/>
    <w:rsid w:val="00A66C73"/>
    <w:rsid w:val="00A66C8D"/>
    <w:rsid w:val="00A66DD4"/>
    <w:rsid w:val="00A66F3F"/>
    <w:rsid w:val="00A66FDF"/>
    <w:rsid w:val="00A6704F"/>
    <w:rsid w:val="00A67063"/>
    <w:rsid w:val="00A670A3"/>
    <w:rsid w:val="00A6715B"/>
    <w:rsid w:val="00A67442"/>
    <w:rsid w:val="00A67459"/>
    <w:rsid w:val="00A6753C"/>
    <w:rsid w:val="00A67579"/>
    <w:rsid w:val="00A6757D"/>
    <w:rsid w:val="00A675C7"/>
    <w:rsid w:val="00A67655"/>
    <w:rsid w:val="00A67665"/>
    <w:rsid w:val="00A6769B"/>
    <w:rsid w:val="00A6769F"/>
    <w:rsid w:val="00A676F1"/>
    <w:rsid w:val="00A677F9"/>
    <w:rsid w:val="00A67812"/>
    <w:rsid w:val="00A678C7"/>
    <w:rsid w:val="00A67979"/>
    <w:rsid w:val="00A6799B"/>
    <w:rsid w:val="00A67AE6"/>
    <w:rsid w:val="00A67BC3"/>
    <w:rsid w:val="00A67C68"/>
    <w:rsid w:val="00A67CB4"/>
    <w:rsid w:val="00A67D8F"/>
    <w:rsid w:val="00A67DF8"/>
    <w:rsid w:val="00A67E14"/>
    <w:rsid w:val="00A67E42"/>
    <w:rsid w:val="00A67E48"/>
    <w:rsid w:val="00A67F0A"/>
    <w:rsid w:val="00A67F95"/>
    <w:rsid w:val="00A67FFB"/>
    <w:rsid w:val="00A70013"/>
    <w:rsid w:val="00A70040"/>
    <w:rsid w:val="00A70053"/>
    <w:rsid w:val="00A70114"/>
    <w:rsid w:val="00A701A4"/>
    <w:rsid w:val="00A70294"/>
    <w:rsid w:val="00A7033B"/>
    <w:rsid w:val="00A703A8"/>
    <w:rsid w:val="00A703F8"/>
    <w:rsid w:val="00A70585"/>
    <w:rsid w:val="00A70627"/>
    <w:rsid w:val="00A706EC"/>
    <w:rsid w:val="00A7076D"/>
    <w:rsid w:val="00A707C9"/>
    <w:rsid w:val="00A7083C"/>
    <w:rsid w:val="00A708D7"/>
    <w:rsid w:val="00A708EC"/>
    <w:rsid w:val="00A7091D"/>
    <w:rsid w:val="00A70952"/>
    <w:rsid w:val="00A709A0"/>
    <w:rsid w:val="00A70B20"/>
    <w:rsid w:val="00A70B40"/>
    <w:rsid w:val="00A70B60"/>
    <w:rsid w:val="00A70B98"/>
    <w:rsid w:val="00A70C52"/>
    <w:rsid w:val="00A70C88"/>
    <w:rsid w:val="00A70D36"/>
    <w:rsid w:val="00A70E33"/>
    <w:rsid w:val="00A70E9F"/>
    <w:rsid w:val="00A70EC6"/>
    <w:rsid w:val="00A70ECA"/>
    <w:rsid w:val="00A70EFD"/>
    <w:rsid w:val="00A70FBD"/>
    <w:rsid w:val="00A7133B"/>
    <w:rsid w:val="00A714AA"/>
    <w:rsid w:val="00A714C5"/>
    <w:rsid w:val="00A7155A"/>
    <w:rsid w:val="00A71590"/>
    <w:rsid w:val="00A715EC"/>
    <w:rsid w:val="00A71658"/>
    <w:rsid w:val="00A716BA"/>
    <w:rsid w:val="00A7179F"/>
    <w:rsid w:val="00A717C0"/>
    <w:rsid w:val="00A717F3"/>
    <w:rsid w:val="00A7182B"/>
    <w:rsid w:val="00A71950"/>
    <w:rsid w:val="00A71988"/>
    <w:rsid w:val="00A719BF"/>
    <w:rsid w:val="00A719CD"/>
    <w:rsid w:val="00A71A2A"/>
    <w:rsid w:val="00A71B4F"/>
    <w:rsid w:val="00A71BBC"/>
    <w:rsid w:val="00A71BF7"/>
    <w:rsid w:val="00A71BFE"/>
    <w:rsid w:val="00A71C10"/>
    <w:rsid w:val="00A71C1C"/>
    <w:rsid w:val="00A71C9B"/>
    <w:rsid w:val="00A71D22"/>
    <w:rsid w:val="00A71D34"/>
    <w:rsid w:val="00A71D37"/>
    <w:rsid w:val="00A71D59"/>
    <w:rsid w:val="00A71DB0"/>
    <w:rsid w:val="00A71E7E"/>
    <w:rsid w:val="00A71E8D"/>
    <w:rsid w:val="00A71ED5"/>
    <w:rsid w:val="00A71F55"/>
    <w:rsid w:val="00A71F5B"/>
    <w:rsid w:val="00A71F74"/>
    <w:rsid w:val="00A71FA8"/>
    <w:rsid w:val="00A71FD3"/>
    <w:rsid w:val="00A7200F"/>
    <w:rsid w:val="00A7204F"/>
    <w:rsid w:val="00A720A1"/>
    <w:rsid w:val="00A7213F"/>
    <w:rsid w:val="00A72143"/>
    <w:rsid w:val="00A723A5"/>
    <w:rsid w:val="00A723C3"/>
    <w:rsid w:val="00A724F5"/>
    <w:rsid w:val="00A724F7"/>
    <w:rsid w:val="00A72562"/>
    <w:rsid w:val="00A7257C"/>
    <w:rsid w:val="00A7260D"/>
    <w:rsid w:val="00A72660"/>
    <w:rsid w:val="00A726D9"/>
    <w:rsid w:val="00A72707"/>
    <w:rsid w:val="00A72749"/>
    <w:rsid w:val="00A7278A"/>
    <w:rsid w:val="00A72815"/>
    <w:rsid w:val="00A7287B"/>
    <w:rsid w:val="00A72A48"/>
    <w:rsid w:val="00A72A4A"/>
    <w:rsid w:val="00A72A91"/>
    <w:rsid w:val="00A72B72"/>
    <w:rsid w:val="00A72BC3"/>
    <w:rsid w:val="00A72C37"/>
    <w:rsid w:val="00A72C43"/>
    <w:rsid w:val="00A72C87"/>
    <w:rsid w:val="00A72CAE"/>
    <w:rsid w:val="00A72D13"/>
    <w:rsid w:val="00A72DC4"/>
    <w:rsid w:val="00A72DCD"/>
    <w:rsid w:val="00A72E01"/>
    <w:rsid w:val="00A72E02"/>
    <w:rsid w:val="00A72E3D"/>
    <w:rsid w:val="00A72F69"/>
    <w:rsid w:val="00A72FFC"/>
    <w:rsid w:val="00A72FFD"/>
    <w:rsid w:val="00A73062"/>
    <w:rsid w:val="00A730C9"/>
    <w:rsid w:val="00A730DE"/>
    <w:rsid w:val="00A732D0"/>
    <w:rsid w:val="00A732D4"/>
    <w:rsid w:val="00A732EB"/>
    <w:rsid w:val="00A7334E"/>
    <w:rsid w:val="00A733DE"/>
    <w:rsid w:val="00A73417"/>
    <w:rsid w:val="00A73675"/>
    <w:rsid w:val="00A7368E"/>
    <w:rsid w:val="00A737AE"/>
    <w:rsid w:val="00A737BD"/>
    <w:rsid w:val="00A7394B"/>
    <w:rsid w:val="00A7399F"/>
    <w:rsid w:val="00A73A0A"/>
    <w:rsid w:val="00A73A2D"/>
    <w:rsid w:val="00A73B95"/>
    <w:rsid w:val="00A73BFC"/>
    <w:rsid w:val="00A73C3F"/>
    <w:rsid w:val="00A73C86"/>
    <w:rsid w:val="00A73CFD"/>
    <w:rsid w:val="00A73D8D"/>
    <w:rsid w:val="00A73DB3"/>
    <w:rsid w:val="00A74016"/>
    <w:rsid w:val="00A74048"/>
    <w:rsid w:val="00A7407C"/>
    <w:rsid w:val="00A740FD"/>
    <w:rsid w:val="00A7417E"/>
    <w:rsid w:val="00A74189"/>
    <w:rsid w:val="00A741A9"/>
    <w:rsid w:val="00A741C2"/>
    <w:rsid w:val="00A74214"/>
    <w:rsid w:val="00A74296"/>
    <w:rsid w:val="00A742DD"/>
    <w:rsid w:val="00A74337"/>
    <w:rsid w:val="00A74390"/>
    <w:rsid w:val="00A743FC"/>
    <w:rsid w:val="00A74408"/>
    <w:rsid w:val="00A74597"/>
    <w:rsid w:val="00A746C8"/>
    <w:rsid w:val="00A7472C"/>
    <w:rsid w:val="00A7477D"/>
    <w:rsid w:val="00A748E6"/>
    <w:rsid w:val="00A74934"/>
    <w:rsid w:val="00A749A6"/>
    <w:rsid w:val="00A749BB"/>
    <w:rsid w:val="00A74A5E"/>
    <w:rsid w:val="00A74BF6"/>
    <w:rsid w:val="00A74C59"/>
    <w:rsid w:val="00A74D19"/>
    <w:rsid w:val="00A74D9B"/>
    <w:rsid w:val="00A74DBD"/>
    <w:rsid w:val="00A74DDC"/>
    <w:rsid w:val="00A74E5E"/>
    <w:rsid w:val="00A74E8D"/>
    <w:rsid w:val="00A74ED4"/>
    <w:rsid w:val="00A74EE4"/>
    <w:rsid w:val="00A74EE5"/>
    <w:rsid w:val="00A74FD8"/>
    <w:rsid w:val="00A74FD9"/>
    <w:rsid w:val="00A7508D"/>
    <w:rsid w:val="00A75112"/>
    <w:rsid w:val="00A75147"/>
    <w:rsid w:val="00A7515A"/>
    <w:rsid w:val="00A7515C"/>
    <w:rsid w:val="00A7519E"/>
    <w:rsid w:val="00A751DB"/>
    <w:rsid w:val="00A751FA"/>
    <w:rsid w:val="00A752CC"/>
    <w:rsid w:val="00A75364"/>
    <w:rsid w:val="00A753BC"/>
    <w:rsid w:val="00A7541F"/>
    <w:rsid w:val="00A75432"/>
    <w:rsid w:val="00A75462"/>
    <w:rsid w:val="00A75546"/>
    <w:rsid w:val="00A75646"/>
    <w:rsid w:val="00A756D4"/>
    <w:rsid w:val="00A75740"/>
    <w:rsid w:val="00A75861"/>
    <w:rsid w:val="00A7599F"/>
    <w:rsid w:val="00A759CE"/>
    <w:rsid w:val="00A75A1D"/>
    <w:rsid w:val="00A75A95"/>
    <w:rsid w:val="00A75B06"/>
    <w:rsid w:val="00A75B4D"/>
    <w:rsid w:val="00A75B61"/>
    <w:rsid w:val="00A75B8C"/>
    <w:rsid w:val="00A75D3A"/>
    <w:rsid w:val="00A75E18"/>
    <w:rsid w:val="00A75E6F"/>
    <w:rsid w:val="00A75EAD"/>
    <w:rsid w:val="00A75EB4"/>
    <w:rsid w:val="00A75F15"/>
    <w:rsid w:val="00A75FFA"/>
    <w:rsid w:val="00A760E3"/>
    <w:rsid w:val="00A761CB"/>
    <w:rsid w:val="00A76206"/>
    <w:rsid w:val="00A76257"/>
    <w:rsid w:val="00A76314"/>
    <w:rsid w:val="00A7631D"/>
    <w:rsid w:val="00A763B4"/>
    <w:rsid w:val="00A763C2"/>
    <w:rsid w:val="00A76428"/>
    <w:rsid w:val="00A76432"/>
    <w:rsid w:val="00A76471"/>
    <w:rsid w:val="00A76485"/>
    <w:rsid w:val="00A76486"/>
    <w:rsid w:val="00A764CD"/>
    <w:rsid w:val="00A76528"/>
    <w:rsid w:val="00A765E6"/>
    <w:rsid w:val="00A76638"/>
    <w:rsid w:val="00A7667B"/>
    <w:rsid w:val="00A766F0"/>
    <w:rsid w:val="00A76700"/>
    <w:rsid w:val="00A76803"/>
    <w:rsid w:val="00A768E9"/>
    <w:rsid w:val="00A76912"/>
    <w:rsid w:val="00A769BB"/>
    <w:rsid w:val="00A769F8"/>
    <w:rsid w:val="00A76A02"/>
    <w:rsid w:val="00A76A60"/>
    <w:rsid w:val="00A76A85"/>
    <w:rsid w:val="00A76ADE"/>
    <w:rsid w:val="00A76AE2"/>
    <w:rsid w:val="00A76B05"/>
    <w:rsid w:val="00A76B86"/>
    <w:rsid w:val="00A76BF1"/>
    <w:rsid w:val="00A76DE5"/>
    <w:rsid w:val="00A76F4E"/>
    <w:rsid w:val="00A76FC5"/>
    <w:rsid w:val="00A771AF"/>
    <w:rsid w:val="00A77301"/>
    <w:rsid w:val="00A7736E"/>
    <w:rsid w:val="00A773F8"/>
    <w:rsid w:val="00A7741A"/>
    <w:rsid w:val="00A775A2"/>
    <w:rsid w:val="00A775A8"/>
    <w:rsid w:val="00A77687"/>
    <w:rsid w:val="00A776F4"/>
    <w:rsid w:val="00A777C3"/>
    <w:rsid w:val="00A777C8"/>
    <w:rsid w:val="00A7786D"/>
    <w:rsid w:val="00A77930"/>
    <w:rsid w:val="00A77A7F"/>
    <w:rsid w:val="00A77B09"/>
    <w:rsid w:val="00A77CC3"/>
    <w:rsid w:val="00A77D5B"/>
    <w:rsid w:val="00A77D73"/>
    <w:rsid w:val="00A77D95"/>
    <w:rsid w:val="00A77E74"/>
    <w:rsid w:val="00A77F6F"/>
    <w:rsid w:val="00A800AB"/>
    <w:rsid w:val="00A800D3"/>
    <w:rsid w:val="00A80101"/>
    <w:rsid w:val="00A8018E"/>
    <w:rsid w:val="00A801DE"/>
    <w:rsid w:val="00A80249"/>
    <w:rsid w:val="00A802F9"/>
    <w:rsid w:val="00A80360"/>
    <w:rsid w:val="00A8041A"/>
    <w:rsid w:val="00A80424"/>
    <w:rsid w:val="00A804B3"/>
    <w:rsid w:val="00A804F2"/>
    <w:rsid w:val="00A80548"/>
    <w:rsid w:val="00A80586"/>
    <w:rsid w:val="00A8058F"/>
    <w:rsid w:val="00A8066F"/>
    <w:rsid w:val="00A806DE"/>
    <w:rsid w:val="00A806ED"/>
    <w:rsid w:val="00A8072B"/>
    <w:rsid w:val="00A8075D"/>
    <w:rsid w:val="00A80827"/>
    <w:rsid w:val="00A80923"/>
    <w:rsid w:val="00A80979"/>
    <w:rsid w:val="00A80981"/>
    <w:rsid w:val="00A809F5"/>
    <w:rsid w:val="00A80B6B"/>
    <w:rsid w:val="00A80BE5"/>
    <w:rsid w:val="00A80C2F"/>
    <w:rsid w:val="00A80D42"/>
    <w:rsid w:val="00A80D52"/>
    <w:rsid w:val="00A80D7E"/>
    <w:rsid w:val="00A80D9C"/>
    <w:rsid w:val="00A80DDB"/>
    <w:rsid w:val="00A80E21"/>
    <w:rsid w:val="00A80EEC"/>
    <w:rsid w:val="00A8101B"/>
    <w:rsid w:val="00A810C9"/>
    <w:rsid w:val="00A8110A"/>
    <w:rsid w:val="00A81118"/>
    <w:rsid w:val="00A81141"/>
    <w:rsid w:val="00A811AD"/>
    <w:rsid w:val="00A811F5"/>
    <w:rsid w:val="00A81258"/>
    <w:rsid w:val="00A81278"/>
    <w:rsid w:val="00A81342"/>
    <w:rsid w:val="00A813A5"/>
    <w:rsid w:val="00A8141C"/>
    <w:rsid w:val="00A81446"/>
    <w:rsid w:val="00A81486"/>
    <w:rsid w:val="00A8149B"/>
    <w:rsid w:val="00A814C5"/>
    <w:rsid w:val="00A814EE"/>
    <w:rsid w:val="00A81532"/>
    <w:rsid w:val="00A81591"/>
    <w:rsid w:val="00A81620"/>
    <w:rsid w:val="00A8172D"/>
    <w:rsid w:val="00A81778"/>
    <w:rsid w:val="00A81793"/>
    <w:rsid w:val="00A817AA"/>
    <w:rsid w:val="00A817B9"/>
    <w:rsid w:val="00A81861"/>
    <w:rsid w:val="00A81982"/>
    <w:rsid w:val="00A819D2"/>
    <w:rsid w:val="00A819F7"/>
    <w:rsid w:val="00A81A35"/>
    <w:rsid w:val="00A81BB4"/>
    <w:rsid w:val="00A81CB2"/>
    <w:rsid w:val="00A81CE4"/>
    <w:rsid w:val="00A81D30"/>
    <w:rsid w:val="00A81D8E"/>
    <w:rsid w:val="00A81E1B"/>
    <w:rsid w:val="00A81F3D"/>
    <w:rsid w:val="00A820BB"/>
    <w:rsid w:val="00A820BE"/>
    <w:rsid w:val="00A82129"/>
    <w:rsid w:val="00A82218"/>
    <w:rsid w:val="00A82283"/>
    <w:rsid w:val="00A82284"/>
    <w:rsid w:val="00A82398"/>
    <w:rsid w:val="00A823DF"/>
    <w:rsid w:val="00A823E0"/>
    <w:rsid w:val="00A823FB"/>
    <w:rsid w:val="00A82430"/>
    <w:rsid w:val="00A8255C"/>
    <w:rsid w:val="00A82564"/>
    <w:rsid w:val="00A825B6"/>
    <w:rsid w:val="00A8263B"/>
    <w:rsid w:val="00A82654"/>
    <w:rsid w:val="00A826E3"/>
    <w:rsid w:val="00A8272B"/>
    <w:rsid w:val="00A82737"/>
    <w:rsid w:val="00A827C1"/>
    <w:rsid w:val="00A827FB"/>
    <w:rsid w:val="00A82833"/>
    <w:rsid w:val="00A82878"/>
    <w:rsid w:val="00A82984"/>
    <w:rsid w:val="00A829F2"/>
    <w:rsid w:val="00A829FC"/>
    <w:rsid w:val="00A82A27"/>
    <w:rsid w:val="00A82A97"/>
    <w:rsid w:val="00A82AB3"/>
    <w:rsid w:val="00A82BB9"/>
    <w:rsid w:val="00A82C41"/>
    <w:rsid w:val="00A82C5D"/>
    <w:rsid w:val="00A82C72"/>
    <w:rsid w:val="00A82D4B"/>
    <w:rsid w:val="00A82E3C"/>
    <w:rsid w:val="00A82E46"/>
    <w:rsid w:val="00A82E87"/>
    <w:rsid w:val="00A82EEF"/>
    <w:rsid w:val="00A82F8E"/>
    <w:rsid w:val="00A83008"/>
    <w:rsid w:val="00A83051"/>
    <w:rsid w:val="00A830B8"/>
    <w:rsid w:val="00A831E0"/>
    <w:rsid w:val="00A83226"/>
    <w:rsid w:val="00A83423"/>
    <w:rsid w:val="00A83441"/>
    <w:rsid w:val="00A83460"/>
    <w:rsid w:val="00A83516"/>
    <w:rsid w:val="00A83623"/>
    <w:rsid w:val="00A83639"/>
    <w:rsid w:val="00A83661"/>
    <w:rsid w:val="00A83777"/>
    <w:rsid w:val="00A837FD"/>
    <w:rsid w:val="00A83824"/>
    <w:rsid w:val="00A838EB"/>
    <w:rsid w:val="00A8394A"/>
    <w:rsid w:val="00A8399E"/>
    <w:rsid w:val="00A839AD"/>
    <w:rsid w:val="00A839C1"/>
    <w:rsid w:val="00A83B35"/>
    <w:rsid w:val="00A83BD0"/>
    <w:rsid w:val="00A83BD6"/>
    <w:rsid w:val="00A83C2D"/>
    <w:rsid w:val="00A83C50"/>
    <w:rsid w:val="00A83D6B"/>
    <w:rsid w:val="00A83D7D"/>
    <w:rsid w:val="00A83DDA"/>
    <w:rsid w:val="00A83E3E"/>
    <w:rsid w:val="00A83EB4"/>
    <w:rsid w:val="00A84039"/>
    <w:rsid w:val="00A84079"/>
    <w:rsid w:val="00A84162"/>
    <w:rsid w:val="00A84176"/>
    <w:rsid w:val="00A841AF"/>
    <w:rsid w:val="00A843C1"/>
    <w:rsid w:val="00A84441"/>
    <w:rsid w:val="00A84528"/>
    <w:rsid w:val="00A845F4"/>
    <w:rsid w:val="00A84602"/>
    <w:rsid w:val="00A84667"/>
    <w:rsid w:val="00A846BF"/>
    <w:rsid w:val="00A846C4"/>
    <w:rsid w:val="00A846FE"/>
    <w:rsid w:val="00A8492F"/>
    <w:rsid w:val="00A84B04"/>
    <w:rsid w:val="00A84CF9"/>
    <w:rsid w:val="00A84EF3"/>
    <w:rsid w:val="00A84F05"/>
    <w:rsid w:val="00A84F27"/>
    <w:rsid w:val="00A84F53"/>
    <w:rsid w:val="00A84FB8"/>
    <w:rsid w:val="00A8501A"/>
    <w:rsid w:val="00A850D8"/>
    <w:rsid w:val="00A850EE"/>
    <w:rsid w:val="00A851FD"/>
    <w:rsid w:val="00A85202"/>
    <w:rsid w:val="00A85286"/>
    <w:rsid w:val="00A8528E"/>
    <w:rsid w:val="00A8531A"/>
    <w:rsid w:val="00A85482"/>
    <w:rsid w:val="00A85501"/>
    <w:rsid w:val="00A85563"/>
    <w:rsid w:val="00A85587"/>
    <w:rsid w:val="00A8563D"/>
    <w:rsid w:val="00A856C5"/>
    <w:rsid w:val="00A856E5"/>
    <w:rsid w:val="00A856E7"/>
    <w:rsid w:val="00A85752"/>
    <w:rsid w:val="00A857C7"/>
    <w:rsid w:val="00A85853"/>
    <w:rsid w:val="00A859DA"/>
    <w:rsid w:val="00A85A75"/>
    <w:rsid w:val="00A85AD4"/>
    <w:rsid w:val="00A85B2B"/>
    <w:rsid w:val="00A85CA7"/>
    <w:rsid w:val="00A85CB1"/>
    <w:rsid w:val="00A85D99"/>
    <w:rsid w:val="00A85E02"/>
    <w:rsid w:val="00A85E54"/>
    <w:rsid w:val="00A85E9B"/>
    <w:rsid w:val="00A85ED9"/>
    <w:rsid w:val="00A85FB0"/>
    <w:rsid w:val="00A860AE"/>
    <w:rsid w:val="00A8611B"/>
    <w:rsid w:val="00A86120"/>
    <w:rsid w:val="00A8613E"/>
    <w:rsid w:val="00A86140"/>
    <w:rsid w:val="00A86150"/>
    <w:rsid w:val="00A8619A"/>
    <w:rsid w:val="00A861AC"/>
    <w:rsid w:val="00A861AF"/>
    <w:rsid w:val="00A8622B"/>
    <w:rsid w:val="00A862A4"/>
    <w:rsid w:val="00A8633D"/>
    <w:rsid w:val="00A8638B"/>
    <w:rsid w:val="00A864A4"/>
    <w:rsid w:val="00A86505"/>
    <w:rsid w:val="00A8653D"/>
    <w:rsid w:val="00A86581"/>
    <w:rsid w:val="00A8666C"/>
    <w:rsid w:val="00A866FA"/>
    <w:rsid w:val="00A86781"/>
    <w:rsid w:val="00A86A1E"/>
    <w:rsid w:val="00A86A5A"/>
    <w:rsid w:val="00A86AF8"/>
    <w:rsid w:val="00A86B20"/>
    <w:rsid w:val="00A86BE3"/>
    <w:rsid w:val="00A86C1B"/>
    <w:rsid w:val="00A86D3C"/>
    <w:rsid w:val="00A86D60"/>
    <w:rsid w:val="00A86E53"/>
    <w:rsid w:val="00A86EEA"/>
    <w:rsid w:val="00A86F8B"/>
    <w:rsid w:val="00A86FAE"/>
    <w:rsid w:val="00A8704F"/>
    <w:rsid w:val="00A87055"/>
    <w:rsid w:val="00A87061"/>
    <w:rsid w:val="00A87187"/>
    <w:rsid w:val="00A871BC"/>
    <w:rsid w:val="00A87293"/>
    <w:rsid w:val="00A872E1"/>
    <w:rsid w:val="00A87385"/>
    <w:rsid w:val="00A8740A"/>
    <w:rsid w:val="00A87452"/>
    <w:rsid w:val="00A874A8"/>
    <w:rsid w:val="00A874E7"/>
    <w:rsid w:val="00A8750F"/>
    <w:rsid w:val="00A8758F"/>
    <w:rsid w:val="00A876E5"/>
    <w:rsid w:val="00A877F9"/>
    <w:rsid w:val="00A87848"/>
    <w:rsid w:val="00A8787C"/>
    <w:rsid w:val="00A878D5"/>
    <w:rsid w:val="00A878E1"/>
    <w:rsid w:val="00A8790E"/>
    <w:rsid w:val="00A87924"/>
    <w:rsid w:val="00A87957"/>
    <w:rsid w:val="00A87976"/>
    <w:rsid w:val="00A879F7"/>
    <w:rsid w:val="00A87B49"/>
    <w:rsid w:val="00A87BA5"/>
    <w:rsid w:val="00A87BCA"/>
    <w:rsid w:val="00A87CA2"/>
    <w:rsid w:val="00A87D6E"/>
    <w:rsid w:val="00A87DA4"/>
    <w:rsid w:val="00A87DCD"/>
    <w:rsid w:val="00A87DD3"/>
    <w:rsid w:val="00A87E13"/>
    <w:rsid w:val="00A90004"/>
    <w:rsid w:val="00A900A6"/>
    <w:rsid w:val="00A90162"/>
    <w:rsid w:val="00A90192"/>
    <w:rsid w:val="00A90209"/>
    <w:rsid w:val="00A90290"/>
    <w:rsid w:val="00A903DC"/>
    <w:rsid w:val="00A903F4"/>
    <w:rsid w:val="00A9050D"/>
    <w:rsid w:val="00A9052C"/>
    <w:rsid w:val="00A9073F"/>
    <w:rsid w:val="00A90844"/>
    <w:rsid w:val="00A9097D"/>
    <w:rsid w:val="00A909DA"/>
    <w:rsid w:val="00A90A2E"/>
    <w:rsid w:val="00A90A46"/>
    <w:rsid w:val="00A90A73"/>
    <w:rsid w:val="00A90A83"/>
    <w:rsid w:val="00A90AD5"/>
    <w:rsid w:val="00A90B35"/>
    <w:rsid w:val="00A90B83"/>
    <w:rsid w:val="00A90BBB"/>
    <w:rsid w:val="00A90CA2"/>
    <w:rsid w:val="00A90CAD"/>
    <w:rsid w:val="00A90DB5"/>
    <w:rsid w:val="00A90E7F"/>
    <w:rsid w:val="00A90EDF"/>
    <w:rsid w:val="00A90F05"/>
    <w:rsid w:val="00A90F51"/>
    <w:rsid w:val="00A91010"/>
    <w:rsid w:val="00A91078"/>
    <w:rsid w:val="00A91155"/>
    <w:rsid w:val="00A9119D"/>
    <w:rsid w:val="00A912B8"/>
    <w:rsid w:val="00A912E5"/>
    <w:rsid w:val="00A91318"/>
    <w:rsid w:val="00A91366"/>
    <w:rsid w:val="00A91484"/>
    <w:rsid w:val="00A914CF"/>
    <w:rsid w:val="00A914DA"/>
    <w:rsid w:val="00A914E8"/>
    <w:rsid w:val="00A91534"/>
    <w:rsid w:val="00A9173B"/>
    <w:rsid w:val="00A917AB"/>
    <w:rsid w:val="00A9187A"/>
    <w:rsid w:val="00A91A3D"/>
    <w:rsid w:val="00A91AC0"/>
    <w:rsid w:val="00A91B27"/>
    <w:rsid w:val="00A91BC0"/>
    <w:rsid w:val="00A91CC6"/>
    <w:rsid w:val="00A91CDA"/>
    <w:rsid w:val="00A91D36"/>
    <w:rsid w:val="00A91DDF"/>
    <w:rsid w:val="00A91E14"/>
    <w:rsid w:val="00A91E2F"/>
    <w:rsid w:val="00A91E3C"/>
    <w:rsid w:val="00A91E82"/>
    <w:rsid w:val="00A92181"/>
    <w:rsid w:val="00A9227F"/>
    <w:rsid w:val="00A9249C"/>
    <w:rsid w:val="00A924D5"/>
    <w:rsid w:val="00A925E3"/>
    <w:rsid w:val="00A92681"/>
    <w:rsid w:val="00A926C3"/>
    <w:rsid w:val="00A92712"/>
    <w:rsid w:val="00A9271C"/>
    <w:rsid w:val="00A927A9"/>
    <w:rsid w:val="00A9298A"/>
    <w:rsid w:val="00A929AB"/>
    <w:rsid w:val="00A929B4"/>
    <w:rsid w:val="00A92A32"/>
    <w:rsid w:val="00A92A34"/>
    <w:rsid w:val="00A92A3D"/>
    <w:rsid w:val="00A92A4F"/>
    <w:rsid w:val="00A92BE2"/>
    <w:rsid w:val="00A92CB5"/>
    <w:rsid w:val="00A92F4A"/>
    <w:rsid w:val="00A92F88"/>
    <w:rsid w:val="00A92FF2"/>
    <w:rsid w:val="00A9306E"/>
    <w:rsid w:val="00A93118"/>
    <w:rsid w:val="00A93177"/>
    <w:rsid w:val="00A931BD"/>
    <w:rsid w:val="00A931C8"/>
    <w:rsid w:val="00A934E6"/>
    <w:rsid w:val="00A93564"/>
    <w:rsid w:val="00A9356F"/>
    <w:rsid w:val="00A935B0"/>
    <w:rsid w:val="00A935D8"/>
    <w:rsid w:val="00A93612"/>
    <w:rsid w:val="00A93720"/>
    <w:rsid w:val="00A938C1"/>
    <w:rsid w:val="00A9390D"/>
    <w:rsid w:val="00A93A10"/>
    <w:rsid w:val="00A93A36"/>
    <w:rsid w:val="00A93AA1"/>
    <w:rsid w:val="00A93AAA"/>
    <w:rsid w:val="00A93ABB"/>
    <w:rsid w:val="00A93AEA"/>
    <w:rsid w:val="00A93B48"/>
    <w:rsid w:val="00A93B8D"/>
    <w:rsid w:val="00A93BAF"/>
    <w:rsid w:val="00A93C31"/>
    <w:rsid w:val="00A93C5F"/>
    <w:rsid w:val="00A93C82"/>
    <w:rsid w:val="00A93C8E"/>
    <w:rsid w:val="00A93EEE"/>
    <w:rsid w:val="00A93F6E"/>
    <w:rsid w:val="00A9404A"/>
    <w:rsid w:val="00A94084"/>
    <w:rsid w:val="00A9412A"/>
    <w:rsid w:val="00A94192"/>
    <w:rsid w:val="00A942DB"/>
    <w:rsid w:val="00A942F0"/>
    <w:rsid w:val="00A943A7"/>
    <w:rsid w:val="00A943C9"/>
    <w:rsid w:val="00A94428"/>
    <w:rsid w:val="00A94434"/>
    <w:rsid w:val="00A9449A"/>
    <w:rsid w:val="00A945DF"/>
    <w:rsid w:val="00A945F6"/>
    <w:rsid w:val="00A9471B"/>
    <w:rsid w:val="00A947A0"/>
    <w:rsid w:val="00A947C3"/>
    <w:rsid w:val="00A94969"/>
    <w:rsid w:val="00A94992"/>
    <w:rsid w:val="00A94A11"/>
    <w:rsid w:val="00A94A7C"/>
    <w:rsid w:val="00A94B3B"/>
    <w:rsid w:val="00A94B95"/>
    <w:rsid w:val="00A94CF2"/>
    <w:rsid w:val="00A94D22"/>
    <w:rsid w:val="00A94D2C"/>
    <w:rsid w:val="00A94D9D"/>
    <w:rsid w:val="00A94E13"/>
    <w:rsid w:val="00A94F97"/>
    <w:rsid w:val="00A95038"/>
    <w:rsid w:val="00A9514A"/>
    <w:rsid w:val="00A951DC"/>
    <w:rsid w:val="00A951DF"/>
    <w:rsid w:val="00A95225"/>
    <w:rsid w:val="00A95250"/>
    <w:rsid w:val="00A95291"/>
    <w:rsid w:val="00A952DB"/>
    <w:rsid w:val="00A952DD"/>
    <w:rsid w:val="00A953E3"/>
    <w:rsid w:val="00A9545C"/>
    <w:rsid w:val="00A954DA"/>
    <w:rsid w:val="00A954EA"/>
    <w:rsid w:val="00A95585"/>
    <w:rsid w:val="00A95613"/>
    <w:rsid w:val="00A95633"/>
    <w:rsid w:val="00A957A9"/>
    <w:rsid w:val="00A957C0"/>
    <w:rsid w:val="00A9586D"/>
    <w:rsid w:val="00A9587C"/>
    <w:rsid w:val="00A959C0"/>
    <w:rsid w:val="00A95B27"/>
    <w:rsid w:val="00A95B37"/>
    <w:rsid w:val="00A95C8F"/>
    <w:rsid w:val="00A95D20"/>
    <w:rsid w:val="00A95D97"/>
    <w:rsid w:val="00A95F5A"/>
    <w:rsid w:val="00A95F72"/>
    <w:rsid w:val="00A9608A"/>
    <w:rsid w:val="00A9615C"/>
    <w:rsid w:val="00A961B1"/>
    <w:rsid w:val="00A96231"/>
    <w:rsid w:val="00A962B6"/>
    <w:rsid w:val="00A963B9"/>
    <w:rsid w:val="00A9648D"/>
    <w:rsid w:val="00A964C6"/>
    <w:rsid w:val="00A96552"/>
    <w:rsid w:val="00A965F4"/>
    <w:rsid w:val="00A965FF"/>
    <w:rsid w:val="00A966D8"/>
    <w:rsid w:val="00A9676C"/>
    <w:rsid w:val="00A9678C"/>
    <w:rsid w:val="00A967CC"/>
    <w:rsid w:val="00A967DA"/>
    <w:rsid w:val="00A96808"/>
    <w:rsid w:val="00A968C0"/>
    <w:rsid w:val="00A968F5"/>
    <w:rsid w:val="00A96914"/>
    <w:rsid w:val="00A96931"/>
    <w:rsid w:val="00A969AF"/>
    <w:rsid w:val="00A96A03"/>
    <w:rsid w:val="00A96A83"/>
    <w:rsid w:val="00A96AA4"/>
    <w:rsid w:val="00A96C34"/>
    <w:rsid w:val="00A96CFD"/>
    <w:rsid w:val="00A96D84"/>
    <w:rsid w:val="00A96F64"/>
    <w:rsid w:val="00A96F80"/>
    <w:rsid w:val="00A96FA6"/>
    <w:rsid w:val="00A97017"/>
    <w:rsid w:val="00A970AF"/>
    <w:rsid w:val="00A970DB"/>
    <w:rsid w:val="00A970F2"/>
    <w:rsid w:val="00A970FE"/>
    <w:rsid w:val="00A97163"/>
    <w:rsid w:val="00A973BB"/>
    <w:rsid w:val="00A97441"/>
    <w:rsid w:val="00A97496"/>
    <w:rsid w:val="00A9751C"/>
    <w:rsid w:val="00A97546"/>
    <w:rsid w:val="00A975D2"/>
    <w:rsid w:val="00A975DF"/>
    <w:rsid w:val="00A97607"/>
    <w:rsid w:val="00A977EE"/>
    <w:rsid w:val="00A9788A"/>
    <w:rsid w:val="00A9789A"/>
    <w:rsid w:val="00A97923"/>
    <w:rsid w:val="00A97936"/>
    <w:rsid w:val="00A979DA"/>
    <w:rsid w:val="00A979EF"/>
    <w:rsid w:val="00A97A02"/>
    <w:rsid w:val="00A97CAF"/>
    <w:rsid w:val="00A97CD1"/>
    <w:rsid w:val="00A97D66"/>
    <w:rsid w:val="00A97DE9"/>
    <w:rsid w:val="00A97E00"/>
    <w:rsid w:val="00A97E69"/>
    <w:rsid w:val="00A97F04"/>
    <w:rsid w:val="00A97F0B"/>
    <w:rsid w:val="00AA0033"/>
    <w:rsid w:val="00AA0035"/>
    <w:rsid w:val="00AA0040"/>
    <w:rsid w:val="00AA0072"/>
    <w:rsid w:val="00AA015A"/>
    <w:rsid w:val="00AA0225"/>
    <w:rsid w:val="00AA025B"/>
    <w:rsid w:val="00AA02F3"/>
    <w:rsid w:val="00AA0345"/>
    <w:rsid w:val="00AA03CC"/>
    <w:rsid w:val="00AA044B"/>
    <w:rsid w:val="00AA047D"/>
    <w:rsid w:val="00AA05C2"/>
    <w:rsid w:val="00AA05CA"/>
    <w:rsid w:val="00AA069A"/>
    <w:rsid w:val="00AA0737"/>
    <w:rsid w:val="00AA0741"/>
    <w:rsid w:val="00AA07D9"/>
    <w:rsid w:val="00AA07E1"/>
    <w:rsid w:val="00AA0849"/>
    <w:rsid w:val="00AA0B13"/>
    <w:rsid w:val="00AA0CC8"/>
    <w:rsid w:val="00AA0D77"/>
    <w:rsid w:val="00AA0DBA"/>
    <w:rsid w:val="00AA0FB8"/>
    <w:rsid w:val="00AA1008"/>
    <w:rsid w:val="00AA1150"/>
    <w:rsid w:val="00AA12CE"/>
    <w:rsid w:val="00AA12D0"/>
    <w:rsid w:val="00AA12E4"/>
    <w:rsid w:val="00AA137F"/>
    <w:rsid w:val="00AA13DC"/>
    <w:rsid w:val="00AA13EF"/>
    <w:rsid w:val="00AA1403"/>
    <w:rsid w:val="00AA142A"/>
    <w:rsid w:val="00AA144E"/>
    <w:rsid w:val="00AA144F"/>
    <w:rsid w:val="00AA14FC"/>
    <w:rsid w:val="00AA1517"/>
    <w:rsid w:val="00AA163D"/>
    <w:rsid w:val="00AA16AF"/>
    <w:rsid w:val="00AA17AB"/>
    <w:rsid w:val="00AA1837"/>
    <w:rsid w:val="00AA1BF7"/>
    <w:rsid w:val="00AA1C6F"/>
    <w:rsid w:val="00AA1CBF"/>
    <w:rsid w:val="00AA1CD2"/>
    <w:rsid w:val="00AA1D5B"/>
    <w:rsid w:val="00AA1DF9"/>
    <w:rsid w:val="00AA1EB1"/>
    <w:rsid w:val="00AA1EBA"/>
    <w:rsid w:val="00AA1EE2"/>
    <w:rsid w:val="00AA1F53"/>
    <w:rsid w:val="00AA1F81"/>
    <w:rsid w:val="00AA206E"/>
    <w:rsid w:val="00AA209A"/>
    <w:rsid w:val="00AA2377"/>
    <w:rsid w:val="00AA2429"/>
    <w:rsid w:val="00AA2442"/>
    <w:rsid w:val="00AA2492"/>
    <w:rsid w:val="00AA258F"/>
    <w:rsid w:val="00AA26DC"/>
    <w:rsid w:val="00AA2710"/>
    <w:rsid w:val="00AA2771"/>
    <w:rsid w:val="00AA2793"/>
    <w:rsid w:val="00AA27FD"/>
    <w:rsid w:val="00AA28BF"/>
    <w:rsid w:val="00AA29DD"/>
    <w:rsid w:val="00AA2A47"/>
    <w:rsid w:val="00AA2BD3"/>
    <w:rsid w:val="00AA2BF4"/>
    <w:rsid w:val="00AA2C53"/>
    <w:rsid w:val="00AA2CB1"/>
    <w:rsid w:val="00AA2D1C"/>
    <w:rsid w:val="00AA2DEC"/>
    <w:rsid w:val="00AA2E02"/>
    <w:rsid w:val="00AA2E78"/>
    <w:rsid w:val="00AA2EB8"/>
    <w:rsid w:val="00AA2F6A"/>
    <w:rsid w:val="00AA306A"/>
    <w:rsid w:val="00AA30B3"/>
    <w:rsid w:val="00AA30E7"/>
    <w:rsid w:val="00AA3141"/>
    <w:rsid w:val="00AA3226"/>
    <w:rsid w:val="00AA332B"/>
    <w:rsid w:val="00AA334C"/>
    <w:rsid w:val="00AA3437"/>
    <w:rsid w:val="00AA3442"/>
    <w:rsid w:val="00AA34C5"/>
    <w:rsid w:val="00AA34CC"/>
    <w:rsid w:val="00AA3518"/>
    <w:rsid w:val="00AA36D7"/>
    <w:rsid w:val="00AA3700"/>
    <w:rsid w:val="00AA3705"/>
    <w:rsid w:val="00AA3739"/>
    <w:rsid w:val="00AA3754"/>
    <w:rsid w:val="00AA3868"/>
    <w:rsid w:val="00AA38FB"/>
    <w:rsid w:val="00AA3900"/>
    <w:rsid w:val="00AA3903"/>
    <w:rsid w:val="00AA3910"/>
    <w:rsid w:val="00AA39EF"/>
    <w:rsid w:val="00AA3B23"/>
    <w:rsid w:val="00AA3B53"/>
    <w:rsid w:val="00AA3B70"/>
    <w:rsid w:val="00AA3B9F"/>
    <w:rsid w:val="00AA3BAA"/>
    <w:rsid w:val="00AA3BC0"/>
    <w:rsid w:val="00AA3C1E"/>
    <w:rsid w:val="00AA3C6D"/>
    <w:rsid w:val="00AA3D03"/>
    <w:rsid w:val="00AA3E1A"/>
    <w:rsid w:val="00AA3E23"/>
    <w:rsid w:val="00AA3FE5"/>
    <w:rsid w:val="00AA405B"/>
    <w:rsid w:val="00AA40B3"/>
    <w:rsid w:val="00AA40FA"/>
    <w:rsid w:val="00AA4101"/>
    <w:rsid w:val="00AA41BA"/>
    <w:rsid w:val="00AA4237"/>
    <w:rsid w:val="00AA44D5"/>
    <w:rsid w:val="00AA44E3"/>
    <w:rsid w:val="00AA450B"/>
    <w:rsid w:val="00AA4514"/>
    <w:rsid w:val="00AA46D2"/>
    <w:rsid w:val="00AA4701"/>
    <w:rsid w:val="00AA4796"/>
    <w:rsid w:val="00AA48CB"/>
    <w:rsid w:val="00AA48FE"/>
    <w:rsid w:val="00AA4950"/>
    <w:rsid w:val="00AA4A05"/>
    <w:rsid w:val="00AA4A67"/>
    <w:rsid w:val="00AA4B39"/>
    <w:rsid w:val="00AA4BFF"/>
    <w:rsid w:val="00AA4D35"/>
    <w:rsid w:val="00AA4D56"/>
    <w:rsid w:val="00AA4EFB"/>
    <w:rsid w:val="00AA4F2E"/>
    <w:rsid w:val="00AA4F41"/>
    <w:rsid w:val="00AA4F7D"/>
    <w:rsid w:val="00AA4F90"/>
    <w:rsid w:val="00AA4F95"/>
    <w:rsid w:val="00AA4FCE"/>
    <w:rsid w:val="00AA5206"/>
    <w:rsid w:val="00AA522A"/>
    <w:rsid w:val="00AA5270"/>
    <w:rsid w:val="00AA5364"/>
    <w:rsid w:val="00AA5365"/>
    <w:rsid w:val="00AA537F"/>
    <w:rsid w:val="00AA53D5"/>
    <w:rsid w:val="00AA544E"/>
    <w:rsid w:val="00AA545F"/>
    <w:rsid w:val="00AA54D7"/>
    <w:rsid w:val="00AA54F5"/>
    <w:rsid w:val="00AA5510"/>
    <w:rsid w:val="00AA5580"/>
    <w:rsid w:val="00AA55B3"/>
    <w:rsid w:val="00AA55C2"/>
    <w:rsid w:val="00AA5662"/>
    <w:rsid w:val="00AA56C2"/>
    <w:rsid w:val="00AA56FB"/>
    <w:rsid w:val="00AA5784"/>
    <w:rsid w:val="00AA592D"/>
    <w:rsid w:val="00AA5987"/>
    <w:rsid w:val="00AA5A28"/>
    <w:rsid w:val="00AA5A31"/>
    <w:rsid w:val="00AA5A5A"/>
    <w:rsid w:val="00AA5B1B"/>
    <w:rsid w:val="00AA5BF6"/>
    <w:rsid w:val="00AA5D13"/>
    <w:rsid w:val="00AA5DD4"/>
    <w:rsid w:val="00AA5DD7"/>
    <w:rsid w:val="00AA5E46"/>
    <w:rsid w:val="00AA5EEC"/>
    <w:rsid w:val="00AA5F13"/>
    <w:rsid w:val="00AA5F36"/>
    <w:rsid w:val="00AA5F5E"/>
    <w:rsid w:val="00AA5F92"/>
    <w:rsid w:val="00AA5FC4"/>
    <w:rsid w:val="00AA5FFF"/>
    <w:rsid w:val="00AA6098"/>
    <w:rsid w:val="00AA6131"/>
    <w:rsid w:val="00AA62F7"/>
    <w:rsid w:val="00AA62F8"/>
    <w:rsid w:val="00AA641A"/>
    <w:rsid w:val="00AA64E8"/>
    <w:rsid w:val="00AA6542"/>
    <w:rsid w:val="00AA654C"/>
    <w:rsid w:val="00AA65B8"/>
    <w:rsid w:val="00AA65C7"/>
    <w:rsid w:val="00AA6643"/>
    <w:rsid w:val="00AA667D"/>
    <w:rsid w:val="00AA66BA"/>
    <w:rsid w:val="00AA66DD"/>
    <w:rsid w:val="00AA67D3"/>
    <w:rsid w:val="00AA67FF"/>
    <w:rsid w:val="00AA6821"/>
    <w:rsid w:val="00AA6848"/>
    <w:rsid w:val="00AA6AAC"/>
    <w:rsid w:val="00AA6AB8"/>
    <w:rsid w:val="00AA6AB9"/>
    <w:rsid w:val="00AA6B5D"/>
    <w:rsid w:val="00AA6B63"/>
    <w:rsid w:val="00AA6C88"/>
    <w:rsid w:val="00AA6DC6"/>
    <w:rsid w:val="00AA6DDA"/>
    <w:rsid w:val="00AA6E1F"/>
    <w:rsid w:val="00AA6E7D"/>
    <w:rsid w:val="00AA6E92"/>
    <w:rsid w:val="00AA6FA4"/>
    <w:rsid w:val="00AA6FA5"/>
    <w:rsid w:val="00AA6FF1"/>
    <w:rsid w:val="00AA7156"/>
    <w:rsid w:val="00AA717D"/>
    <w:rsid w:val="00AA72E6"/>
    <w:rsid w:val="00AA73D3"/>
    <w:rsid w:val="00AA740A"/>
    <w:rsid w:val="00AA742D"/>
    <w:rsid w:val="00AA74DB"/>
    <w:rsid w:val="00AA7519"/>
    <w:rsid w:val="00AA75DE"/>
    <w:rsid w:val="00AA75E2"/>
    <w:rsid w:val="00AA7717"/>
    <w:rsid w:val="00AA773C"/>
    <w:rsid w:val="00AA77AC"/>
    <w:rsid w:val="00AA780F"/>
    <w:rsid w:val="00AA7836"/>
    <w:rsid w:val="00AA783F"/>
    <w:rsid w:val="00AA7858"/>
    <w:rsid w:val="00AA7951"/>
    <w:rsid w:val="00AA7991"/>
    <w:rsid w:val="00AA7992"/>
    <w:rsid w:val="00AA79E1"/>
    <w:rsid w:val="00AA7A33"/>
    <w:rsid w:val="00AA7A5C"/>
    <w:rsid w:val="00AA7A81"/>
    <w:rsid w:val="00AA7A93"/>
    <w:rsid w:val="00AA7B0E"/>
    <w:rsid w:val="00AA7B28"/>
    <w:rsid w:val="00AA7BE9"/>
    <w:rsid w:val="00AA7BEC"/>
    <w:rsid w:val="00AA7CE2"/>
    <w:rsid w:val="00AA7E9A"/>
    <w:rsid w:val="00AA7EA4"/>
    <w:rsid w:val="00AB0018"/>
    <w:rsid w:val="00AB0067"/>
    <w:rsid w:val="00AB00E6"/>
    <w:rsid w:val="00AB01D1"/>
    <w:rsid w:val="00AB01DD"/>
    <w:rsid w:val="00AB0266"/>
    <w:rsid w:val="00AB0327"/>
    <w:rsid w:val="00AB0372"/>
    <w:rsid w:val="00AB0623"/>
    <w:rsid w:val="00AB0664"/>
    <w:rsid w:val="00AB08CC"/>
    <w:rsid w:val="00AB097A"/>
    <w:rsid w:val="00AB09E8"/>
    <w:rsid w:val="00AB09F0"/>
    <w:rsid w:val="00AB09F4"/>
    <w:rsid w:val="00AB0AF9"/>
    <w:rsid w:val="00AB0C4C"/>
    <w:rsid w:val="00AB0C86"/>
    <w:rsid w:val="00AB0D49"/>
    <w:rsid w:val="00AB0D81"/>
    <w:rsid w:val="00AB0D8B"/>
    <w:rsid w:val="00AB0E6E"/>
    <w:rsid w:val="00AB0EAA"/>
    <w:rsid w:val="00AB0ED4"/>
    <w:rsid w:val="00AB0EDD"/>
    <w:rsid w:val="00AB0FFA"/>
    <w:rsid w:val="00AB102A"/>
    <w:rsid w:val="00AB1059"/>
    <w:rsid w:val="00AB10FF"/>
    <w:rsid w:val="00AB11D0"/>
    <w:rsid w:val="00AB1292"/>
    <w:rsid w:val="00AB12A2"/>
    <w:rsid w:val="00AB1408"/>
    <w:rsid w:val="00AB1461"/>
    <w:rsid w:val="00AB1560"/>
    <w:rsid w:val="00AB157E"/>
    <w:rsid w:val="00AB15DF"/>
    <w:rsid w:val="00AB1658"/>
    <w:rsid w:val="00AB177D"/>
    <w:rsid w:val="00AB17E1"/>
    <w:rsid w:val="00AB18D3"/>
    <w:rsid w:val="00AB18F9"/>
    <w:rsid w:val="00AB195B"/>
    <w:rsid w:val="00AB1983"/>
    <w:rsid w:val="00AB19BA"/>
    <w:rsid w:val="00AB1A21"/>
    <w:rsid w:val="00AB1B22"/>
    <w:rsid w:val="00AB1B65"/>
    <w:rsid w:val="00AB1B80"/>
    <w:rsid w:val="00AB1B9C"/>
    <w:rsid w:val="00AB1C7D"/>
    <w:rsid w:val="00AB1CC0"/>
    <w:rsid w:val="00AB1D28"/>
    <w:rsid w:val="00AB1DAF"/>
    <w:rsid w:val="00AB1DF1"/>
    <w:rsid w:val="00AB1F7B"/>
    <w:rsid w:val="00AB1FBB"/>
    <w:rsid w:val="00AB1FD4"/>
    <w:rsid w:val="00AB20AB"/>
    <w:rsid w:val="00AB20B3"/>
    <w:rsid w:val="00AB20FD"/>
    <w:rsid w:val="00AB21F1"/>
    <w:rsid w:val="00AB21F2"/>
    <w:rsid w:val="00AB22EE"/>
    <w:rsid w:val="00AB2318"/>
    <w:rsid w:val="00AB231E"/>
    <w:rsid w:val="00AB235B"/>
    <w:rsid w:val="00AB236F"/>
    <w:rsid w:val="00AB23D7"/>
    <w:rsid w:val="00AB247B"/>
    <w:rsid w:val="00AB2599"/>
    <w:rsid w:val="00AB265D"/>
    <w:rsid w:val="00AB2832"/>
    <w:rsid w:val="00AB2836"/>
    <w:rsid w:val="00AB28B3"/>
    <w:rsid w:val="00AB28D6"/>
    <w:rsid w:val="00AB2939"/>
    <w:rsid w:val="00AB2AD7"/>
    <w:rsid w:val="00AB2BDD"/>
    <w:rsid w:val="00AB2BEE"/>
    <w:rsid w:val="00AB2BFA"/>
    <w:rsid w:val="00AB2E10"/>
    <w:rsid w:val="00AB2E5D"/>
    <w:rsid w:val="00AB3025"/>
    <w:rsid w:val="00AB3068"/>
    <w:rsid w:val="00AB30D8"/>
    <w:rsid w:val="00AB310A"/>
    <w:rsid w:val="00AB312F"/>
    <w:rsid w:val="00AB3219"/>
    <w:rsid w:val="00AB3290"/>
    <w:rsid w:val="00AB32DF"/>
    <w:rsid w:val="00AB3326"/>
    <w:rsid w:val="00AB33E0"/>
    <w:rsid w:val="00AB374C"/>
    <w:rsid w:val="00AB3791"/>
    <w:rsid w:val="00AB38A6"/>
    <w:rsid w:val="00AB38E1"/>
    <w:rsid w:val="00AB38F7"/>
    <w:rsid w:val="00AB3ACF"/>
    <w:rsid w:val="00AB3B9B"/>
    <w:rsid w:val="00AB3C24"/>
    <w:rsid w:val="00AB3C57"/>
    <w:rsid w:val="00AB3CD4"/>
    <w:rsid w:val="00AB3DA5"/>
    <w:rsid w:val="00AB3E3A"/>
    <w:rsid w:val="00AB3E3D"/>
    <w:rsid w:val="00AB3E7E"/>
    <w:rsid w:val="00AB3EC5"/>
    <w:rsid w:val="00AB3F74"/>
    <w:rsid w:val="00AB4145"/>
    <w:rsid w:val="00AB419D"/>
    <w:rsid w:val="00AB4289"/>
    <w:rsid w:val="00AB446E"/>
    <w:rsid w:val="00AB4605"/>
    <w:rsid w:val="00AB4609"/>
    <w:rsid w:val="00AB4712"/>
    <w:rsid w:val="00AB472C"/>
    <w:rsid w:val="00AB474D"/>
    <w:rsid w:val="00AB494F"/>
    <w:rsid w:val="00AB4A95"/>
    <w:rsid w:val="00AB4AEA"/>
    <w:rsid w:val="00AB4B47"/>
    <w:rsid w:val="00AB4BB6"/>
    <w:rsid w:val="00AB4CA3"/>
    <w:rsid w:val="00AB4CED"/>
    <w:rsid w:val="00AB4CFA"/>
    <w:rsid w:val="00AB4D0F"/>
    <w:rsid w:val="00AB4D5C"/>
    <w:rsid w:val="00AB4DE4"/>
    <w:rsid w:val="00AB4DED"/>
    <w:rsid w:val="00AB4DF3"/>
    <w:rsid w:val="00AB4E29"/>
    <w:rsid w:val="00AB4E3E"/>
    <w:rsid w:val="00AB4E56"/>
    <w:rsid w:val="00AB4FE8"/>
    <w:rsid w:val="00AB500E"/>
    <w:rsid w:val="00AB50F4"/>
    <w:rsid w:val="00AB511D"/>
    <w:rsid w:val="00AB51A0"/>
    <w:rsid w:val="00AB532D"/>
    <w:rsid w:val="00AB541C"/>
    <w:rsid w:val="00AB547C"/>
    <w:rsid w:val="00AB55AA"/>
    <w:rsid w:val="00AB5700"/>
    <w:rsid w:val="00AB579E"/>
    <w:rsid w:val="00AB5808"/>
    <w:rsid w:val="00AB5814"/>
    <w:rsid w:val="00AB5876"/>
    <w:rsid w:val="00AB5879"/>
    <w:rsid w:val="00AB594F"/>
    <w:rsid w:val="00AB5AD4"/>
    <w:rsid w:val="00AB5B60"/>
    <w:rsid w:val="00AB5C4C"/>
    <w:rsid w:val="00AB5C95"/>
    <w:rsid w:val="00AB5D28"/>
    <w:rsid w:val="00AB5E6F"/>
    <w:rsid w:val="00AB616A"/>
    <w:rsid w:val="00AB6188"/>
    <w:rsid w:val="00AB6191"/>
    <w:rsid w:val="00AB625B"/>
    <w:rsid w:val="00AB629F"/>
    <w:rsid w:val="00AB62EB"/>
    <w:rsid w:val="00AB644C"/>
    <w:rsid w:val="00AB645C"/>
    <w:rsid w:val="00AB6488"/>
    <w:rsid w:val="00AB653C"/>
    <w:rsid w:val="00AB6543"/>
    <w:rsid w:val="00AB661D"/>
    <w:rsid w:val="00AB6651"/>
    <w:rsid w:val="00AB66B5"/>
    <w:rsid w:val="00AB6736"/>
    <w:rsid w:val="00AB67C5"/>
    <w:rsid w:val="00AB67FE"/>
    <w:rsid w:val="00AB680B"/>
    <w:rsid w:val="00AB68A8"/>
    <w:rsid w:val="00AB68F6"/>
    <w:rsid w:val="00AB6C19"/>
    <w:rsid w:val="00AB6C58"/>
    <w:rsid w:val="00AB6DAC"/>
    <w:rsid w:val="00AB6DBE"/>
    <w:rsid w:val="00AB6E8E"/>
    <w:rsid w:val="00AB6FC2"/>
    <w:rsid w:val="00AB70EB"/>
    <w:rsid w:val="00AB716C"/>
    <w:rsid w:val="00AB7263"/>
    <w:rsid w:val="00AB737F"/>
    <w:rsid w:val="00AB739B"/>
    <w:rsid w:val="00AB73D0"/>
    <w:rsid w:val="00AB75B3"/>
    <w:rsid w:val="00AB76EC"/>
    <w:rsid w:val="00AB788C"/>
    <w:rsid w:val="00AB78FF"/>
    <w:rsid w:val="00AB7ABC"/>
    <w:rsid w:val="00AB7BDF"/>
    <w:rsid w:val="00AB7C64"/>
    <w:rsid w:val="00AB7CD5"/>
    <w:rsid w:val="00AC0100"/>
    <w:rsid w:val="00AC0217"/>
    <w:rsid w:val="00AC02B4"/>
    <w:rsid w:val="00AC03DC"/>
    <w:rsid w:val="00AC0418"/>
    <w:rsid w:val="00AC041F"/>
    <w:rsid w:val="00AC0487"/>
    <w:rsid w:val="00AC0575"/>
    <w:rsid w:val="00AC05D2"/>
    <w:rsid w:val="00AC0683"/>
    <w:rsid w:val="00AC0706"/>
    <w:rsid w:val="00AC0784"/>
    <w:rsid w:val="00AC07BF"/>
    <w:rsid w:val="00AC0883"/>
    <w:rsid w:val="00AC08F6"/>
    <w:rsid w:val="00AC0984"/>
    <w:rsid w:val="00AC09B5"/>
    <w:rsid w:val="00AC0A49"/>
    <w:rsid w:val="00AC0A82"/>
    <w:rsid w:val="00AC0D01"/>
    <w:rsid w:val="00AC0D36"/>
    <w:rsid w:val="00AC0D38"/>
    <w:rsid w:val="00AC0DD2"/>
    <w:rsid w:val="00AC0DFC"/>
    <w:rsid w:val="00AC119F"/>
    <w:rsid w:val="00AC123D"/>
    <w:rsid w:val="00AC13AF"/>
    <w:rsid w:val="00AC13D5"/>
    <w:rsid w:val="00AC1471"/>
    <w:rsid w:val="00AC14DC"/>
    <w:rsid w:val="00AC1690"/>
    <w:rsid w:val="00AC16E9"/>
    <w:rsid w:val="00AC178C"/>
    <w:rsid w:val="00AC17F8"/>
    <w:rsid w:val="00AC18B5"/>
    <w:rsid w:val="00AC19FD"/>
    <w:rsid w:val="00AC1A06"/>
    <w:rsid w:val="00AC1C7A"/>
    <w:rsid w:val="00AC1CBB"/>
    <w:rsid w:val="00AC1D1B"/>
    <w:rsid w:val="00AC1D3D"/>
    <w:rsid w:val="00AC1D45"/>
    <w:rsid w:val="00AC1DD7"/>
    <w:rsid w:val="00AC1E81"/>
    <w:rsid w:val="00AC1F45"/>
    <w:rsid w:val="00AC1FDD"/>
    <w:rsid w:val="00AC1FFB"/>
    <w:rsid w:val="00AC2020"/>
    <w:rsid w:val="00AC2090"/>
    <w:rsid w:val="00AC22B8"/>
    <w:rsid w:val="00AC2378"/>
    <w:rsid w:val="00AC2400"/>
    <w:rsid w:val="00AC2714"/>
    <w:rsid w:val="00AC2797"/>
    <w:rsid w:val="00AC290D"/>
    <w:rsid w:val="00AC2966"/>
    <w:rsid w:val="00AC2A27"/>
    <w:rsid w:val="00AC2A81"/>
    <w:rsid w:val="00AC2B33"/>
    <w:rsid w:val="00AC2B48"/>
    <w:rsid w:val="00AC2B62"/>
    <w:rsid w:val="00AC2B66"/>
    <w:rsid w:val="00AC2CFE"/>
    <w:rsid w:val="00AC2D90"/>
    <w:rsid w:val="00AC2DAA"/>
    <w:rsid w:val="00AC2E8D"/>
    <w:rsid w:val="00AC2F02"/>
    <w:rsid w:val="00AC2FA7"/>
    <w:rsid w:val="00AC2FBE"/>
    <w:rsid w:val="00AC2FEE"/>
    <w:rsid w:val="00AC309E"/>
    <w:rsid w:val="00AC30CE"/>
    <w:rsid w:val="00AC3123"/>
    <w:rsid w:val="00AC318B"/>
    <w:rsid w:val="00AC328D"/>
    <w:rsid w:val="00AC32E1"/>
    <w:rsid w:val="00AC335E"/>
    <w:rsid w:val="00AC33AF"/>
    <w:rsid w:val="00AC345F"/>
    <w:rsid w:val="00AC352B"/>
    <w:rsid w:val="00AC3562"/>
    <w:rsid w:val="00AC356E"/>
    <w:rsid w:val="00AC361B"/>
    <w:rsid w:val="00AC36F7"/>
    <w:rsid w:val="00AC371F"/>
    <w:rsid w:val="00AC393B"/>
    <w:rsid w:val="00AC39D2"/>
    <w:rsid w:val="00AC3A39"/>
    <w:rsid w:val="00AC3B34"/>
    <w:rsid w:val="00AC3B57"/>
    <w:rsid w:val="00AC3CF9"/>
    <w:rsid w:val="00AC3DC3"/>
    <w:rsid w:val="00AC3DDF"/>
    <w:rsid w:val="00AC3FCF"/>
    <w:rsid w:val="00AC40AA"/>
    <w:rsid w:val="00AC4187"/>
    <w:rsid w:val="00AC41B3"/>
    <w:rsid w:val="00AC421F"/>
    <w:rsid w:val="00AC43A0"/>
    <w:rsid w:val="00AC4400"/>
    <w:rsid w:val="00AC444D"/>
    <w:rsid w:val="00AC445F"/>
    <w:rsid w:val="00AC44D4"/>
    <w:rsid w:val="00AC44FE"/>
    <w:rsid w:val="00AC454D"/>
    <w:rsid w:val="00AC4597"/>
    <w:rsid w:val="00AC45D5"/>
    <w:rsid w:val="00AC45FE"/>
    <w:rsid w:val="00AC46F2"/>
    <w:rsid w:val="00AC47C2"/>
    <w:rsid w:val="00AC47C8"/>
    <w:rsid w:val="00AC4848"/>
    <w:rsid w:val="00AC48D5"/>
    <w:rsid w:val="00AC48DD"/>
    <w:rsid w:val="00AC4926"/>
    <w:rsid w:val="00AC4A40"/>
    <w:rsid w:val="00AC4A8E"/>
    <w:rsid w:val="00AC4B22"/>
    <w:rsid w:val="00AC4B58"/>
    <w:rsid w:val="00AC4B61"/>
    <w:rsid w:val="00AC4B6B"/>
    <w:rsid w:val="00AC4BD9"/>
    <w:rsid w:val="00AC4C32"/>
    <w:rsid w:val="00AC4CFA"/>
    <w:rsid w:val="00AC4D66"/>
    <w:rsid w:val="00AC4DA4"/>
    <w:rsid w:val="00AC4DB5"/>
    <w:rsid w:val="00AC4E03"/>
    <w:rsid w:val="00AC4E6F"/>
    <w:rsid w:val="00AC4EE2"/>
    <w:rsid w:val="00AC4F88"/>
    <w:rsid w:val="00AC520E"/>
    <w:rsid w:val="00AC523A"/>
    <w:rsid w:val="00AC52F5"/>
    <w:rsid w:val="00AC53BE"/>
    <w:rsid w:val="00AC548C"/>
    <w:rsid w:val="00AC555E"/>
    <w:rsid w:val="00AC5566"/>
    <w:rsid w:val="00AC564E"/>
    <w:rsid w:val="00AC5698"/>
    <w:rsid w:val="00AC573A"/>
    <w:rsid w:val="00AC573E"/>
    <w:rsid w:val="00AC576D"/>
    <w:rsid w:val="00AC57D2"/>
    <w:rsid w:val="00AC5879"/>
    <w:rsid w:val="00AC594C"/>
    <w:rsid w:val="00AC597D"/>
    <w:rsid w:val="00AC598F"/>
    <w:rsid w:val="00AC5C2C"/>
    <w:rsid w:val="00AC5CC9"/>
    <w:rsid w:val="00AC5D2C"/>
    <w:rsid w:val="00AC5D36"/>
    <w:rsid w:val="00AC5D94"/>
    <w:rsid w:val="00AC5E93"/>
    <w:rsid w:val="00AC5ED5"/>
    <w:rsid w:val="00AC5F10"/>
    <w:rsid w:val="00AC5F46"/>
    <w:rsid w:val="00AC600E"/>
    <w:rsid w:val="00AC6065"/>
    <w:rsid w:val="00AC6072"/>
    <w:rsid w:val="00AC60B9"/>
    <w:rsid w:val="00AC61AD"/>
    <w:rsid w:val="00AC621B"/>
    <w:rsid w:val="00AC626C"/>
    <w:rsid w:val="00AC6296"/>
    <w:rsid w:val="00AC633F"/>
    <w:rsid w:val="00AC6377"/>
    <w:rsid w:val="00AC642D"/>
    <w:rsid w:val="00AC6486"/>
    <w:rsid w:val="00AC64A3"/>
    <w:rsid w:val="00AC669F"/>
    <w:rsid w:val="00AC67DD"/>
    <w:rsid w:val="00AC67DE"/>
    <w:rsid w:val="00AC6880"/>
    <w:rsid w:val="00AC68FF"/>
    <w:rsid w:val="00AC6969"/>
    <w:rsid w:val="00AC6A13"/>
    <w:rsid w:val="00AC6A62"/>
    <w:rsid w:val="00AC6B66"/>
    <w:rsid w:val="00AC6BAA"/>
    <w:rsid w:val="00AC6C27"/>
    <w:rsid w:val="00AC6CA0"/>
    <w:rsid w:val="00AC6DF8"/>
    <w:rsid w:val="00AC6E50"/>
    <w:rsid w:val="00AC6E5B"/>
    <w:rsid w:val="00AC6EBC"/>
    <w:rsid w:val="00AC6FC8"/>
    <w:rsid w:val="00AC705E"/>
    <w:rsid w:val="00AC7080"/>
    <w:rsid w:val="00AC711C"/>
    <w:rsid w:val="00AC71D3"/>
    <w:rsid w:val="00AC721D"/>
    <w:rsid w:val="00AC7298"/>
    <w:rsid w:val="00AC72CC"/>
    <w:rsid w:val="00AC730C"/>
    <w:rsid w:val="00AC737C"/>
    <w:rsid w:val="00AC7420"/>
    <w:rsid w:val="00AC74EF"/>
    <w:rsid w:val="00AC74F7"/>
    <w:rsid w:val="00AC7574"/>
    <w:rsid w:val="00AC7614"/>
    <w:rsid w:val="00AC7625"/>
    <w:rsid w:val="00AC76A0"/>
    <w:rsid w:val="00AC77CF"/>
    <w:rsid w:val="00AC77FF"/>
    <w:rsid w:val="00AC78A9"/>
    <w:rsid w:val="00AC78D2"/>
    <w:rsid w:val="00AC790E"/>
    <w:rsid w:val="00AC796B"/>
    <w:rsid w:val="00AC7977"/>
    <w:rsid w:val="00AC7A74"/>
    <w:rsid w:val="00AC7AAB"/>
    <w:rsid w:val="00AC7B0C"/>
    <w:rsid w:val="00AC7C95"/>
    <w:rsid w:val="00AC7D53"/>
    <w:rsid w:val="00AC7D97"/>
    <w:rsid w:val="00AC7EA4"/>
    <w:rsid w:val="00AC7F61"/>
    <w:rsid w:val="00AD0090"/>
    <w:rsid w:val="00AD00B4"/>
    <w:rsid w:val="00AD0138"/>
    <w:rsid w:val="00AD02EB"/>
    <w:rsid w:val="00AD03A9"/>
    <w:rsid w:val="00AD03AB"/>
    <w:rsid w:val="00AD03FF"/>
    <w:rsid w:val="00AD041B"/>
    <w:rsid w:val="00AD047B"/>
    <w:rsid w:val="00AD05B7"/>
    <w:rsid w:val="00AD05D2"/>
    <w:rsid w:val="00AD061E"/>
    <w:rsid w:val="00AD0632"/>
    <w:rsid w:val="00AD065E"/>
    <w:rsid w:val="00AD068C"/>
    <w:rsid w:val="00AD06B9"/>
    <w:rsid w:val="00AD0857"/>
    <w:rsid w:val="00AD08AA"/>
    <w:rsid w:val="00AD08EA"/>
    <w:rsid w:val="00AD09CB"/>
    <w:rsid w:val="00AD0BA6"/>
    <w:rsid w:val="00AD0C09"/>
    <w:rsid w:val="00AD0C80"/>
    <w:rsid w:val="00AD0E0E"/>
    <w:rsid w:val="00AD0F4D"/>
    <w:rsid w:val="00AD0F4F"/>
    <w:rsid w:val="00AD0F7E"/>
    <w:rsid w:val="00AD0FE6"/>
    <w:rsid w:val="00AD1177"/>
    <w:rsid w:val="00AD1189"/>
    <w:rsid w:val="00AD11A2"/>
    <w:rsid w:val="00AD11A3"/>
    <w:rsid w:val="00AD11F3"/>
    <w:rsid w:val="00AD1243"/>
    <w:rsid w:val="00AD1251"/>
    <w:rsid w:val="00AD12D7"/>
    <w:rsid w:val="00AD1374"/>
    <w:rsid w:val="00AD14FF"/>
    <w:rsid w:val="00AD1531"/>
    <w:rsid w:val="00AD15C6"/>
    <w:rsid w:val="00AD1655"/>
    <w:rsid w:val="00AD1698"/>
    <w:rsid w:val="00AD16DC"/>
    <w:rsid w:val="00AD1776"/>
    <w:rsid w:val="00AD17DF"/>
    <w:rsid w:val="00AD17E1"/>
    <w:rsid w:val="00AD1862"/>
    <w:rsid w:val="00AD1920"/>
    <w:rsid w:val="00AD19AC"/>
    <w:rsid w:val="00AD1A07"/>
    <w:rsid w:val="00AD1A36"/>
    <w:rsid w:val="00AD1AA0"/>
    <w:rsid w:val="00AD1B9D"/>
    <w:rsid w:val="00AD1C26"/>
    <w:rsid w:val="00AD1CCD"/>
    <w:rsid w:val="00AD1D03"/>
    <w:rsid w:val="00AD1D1E"/>
    <w:rsid w:val="00AD1FBA"/>
    <w:rsid w:val="00AD211D"/>
    <w:rsid w:val="00AD221C"/>
    <w:rsid w:val="00AD223E"/>
    <w:rsid w:val="00AD225A"/>
    <w:rsid w:val="00AD2296"/>
    <w:rsid w:val="00AD236C"/>
    <w:rsid w:val="00AD24A4"/>
    <w:rsid w:val="00AD255A"/>
    <w:rsid w:val="00AD2566"/>
    <w:rsid w:val="00AD2598"/>
    <w:rsid w:val="00AD25E7"/>
    <w:rsid w:val="00AD2609"/>
    <w:rsid w:val="00AD27FE"/>
    <w:rsid w:val="00AD2849"/>
    <w:rsid w:val="00AD2869"/>
    <w:rsid w:val="00AD2A0E"/>
    <w:rsid w:val="00AD2AC4"/>
    <w:rsid w:val="00AD2B79"/>
    <w:rsid w:val="00AD2D09"/>
    <w:rsid w:val="00AD2D4C"/>
    <w:rsid w:val="00AD2DB9"/>
    <w:rsid w:val="00AD2E5E"/>
    <w:rsid w:val="00AD2F83"/>
    <w:rsid w:val="00AD306A"/>
    <w:rsid w:val="00AD30F7"/>
    <w:rsid w:val="00AD3149"/>
    <w:rsid w:val="00AD3294"/>
    <w:rsid w:val="00AD330B"/>
    <w:rsid w:val="00AD343B"/>
    <w:rsid w:val="00AD3535"/>
    <w:rsid w:val="00AD3594"/>
    <w:rsid w:val="00AD36EC"/>
    <w:rsid w:val="00AD3746"/>
    <w:rsid w:val="00AD379A"/>
    <w:rsid w:val="00AD37BB"/>
    <w:rsid w:val="00AD3A18"/>
    <w:rsid w:val="00AD3B24"/>
    <w:rsid w:val="00AD3B8B"/>
    <w:rsid w:val="00AD3DA2"/>
    <w:rsid w:val="00AD3DE1"/>
    <w:rsid w:val="00AD3E90"/>
    <w:rsid w:val="00AD3ED1"/>
    <w:rsid w:val="00AD3F70"/>
    <w:rsid w:val="00AD4012"/>
    <w:rsid w:val="00AD4214"/>
    <w:rsid w:val="00AD42F0"/>
    <w:rsid w:val="00AD434B"/>
    <w:rsid w:val="00AD438F"/>
    <w:rsid w:val="00AD43E3"/>
    <w:rsid w:val="00AD45FA"/>
    <w:rsid w:val="00AD4685"/>
    <w:rsid w:val="00AD46D3"/>
    <w:rsid w:val="00AD46E5"/>
    <w:rsid w:val="00AD46E6"/>
    <w:rsid w:val="00AD4704"/>
    <w:rsid w:val="00AD4765"/>
    <w:rsid w:val="00AD485F"/>
    <w:rsid w:val="00AD4888"/>
    <w:rsid w:val="00AD4950"/>
    <w:rsid w:val="00AD4987"/>
    <w:rsid w:val="00AD49D6"/>
    <w:rsid w:val="00AD4A7F"/>
    <w:rsid w:val="00AD4AB0"/>
    <w:rsid w:val="00AD4B2B"/>
    <w:rsid w:val="00AD4B99"/>
    <w:rsid w:val="00AD4CF0"/>
    <w:rsid w:val="00AD4E04"/>
    <w:rsid w:val="00AD4E80"/>
    <w:rsid w:val="00AD5145"/>
    <w:rsid w:val="00AD51BF"/>
    <w:rsid w:val="00AD5257"/>
    <w:rsid w:val="00AD52CF"/>
    <w:rsid w:val="00AD52F9"/>
    <w:rsid w:val="00AD5339"/>
    <w:rsid w:val="00AD5370"/>
    <w:rsid w:val="00AD53A9"/>
    <w:rsid w:val="00AD540A"/>
    <w:rsid w:val="00AD5423"/>
    <w:rsid w:val="00AD5429"/>
    <w:rsid w:val="00AD54AD"/>
    <w:rsid w:val="00AD5501"/>
    <w:rsid w:val="00AD5510"/>
    <w:rsid w:val="00AD5511"/>
    <w:rsid w:val="00AD551D"/>
    <w:rsid w:val="00AD5556"/>
    <w:rsid w:val="00AD55AF"/>
    <w:rsid w:val="00AD5652"/>
    <w:rsid w:val="00AD5735"/>
    <w:rsid w:val="00AD574B"/>
    <w:rsid w:val="00AD574D"/>
    <w:rsid w:val="00AD5787"/>
    <w:rsid w:val="00AD5A0D"/>
    <w:rsid w:val="00AD5A50"/>
    <w:rsid w:val="00AD5C38"/>
    <w:rsid w:val="00AD5C76"/>
    <w:rsid w:val="00AD5C8D"/>
    <w:rsid w:val="00AD5CA5"/>
    <w:rsid w:val="00AD5DB6"/>
    <w:rsid w:val="00AD602E"/>
    <w:rsid w:val="00AD606A"/>
    <w:rsid w:val="00AD60DE"/>
    <w:rsid w:val="00AD6119"/>
    <w:rsid w:val="00AD611B"/>
    <w:rsid w:val="00AD61A5"/>
    <w:rsid w:val="00AD61F7"/>
    <w:rsid w:val="00AD6281"/>
    <w:rsid w:val="00AD6341"/>
    <w:rsid w:val="00AD639B"/>
    <w:rsid w:val="00AD641F"/>
    <w:rsid w:val="00AD643E"/>
    <w:rsid w:val="00AD649A"/>
    <w:rsid w:val="00AD64A6"/>
    <w:rsid w:val="00AD64AB"/>
    <w:rsid w:val="00AD6517"/>
    <w:rsid w:val="00AD658D"/>
    <w:rsid w:val="00AD659F"/>
    <w:rsid w:val="00AD6605"/>
    <w:rsid w:val="00AD6693"/>
    <w:rsid w:val="00AD66D8"/>
    <w:rsid w:val="00AD6730"/>
    <w:rsid w:val="00AD6811"/>
    <w:rsid w:val="00AD6824"/>
    <w:rsid w:val="00AD6892"/>
    <w:rsid w:val="00AD68AE"/>
    <w:rsid w:val="00AD6911"/>
    <w:rsid w:val="00AD6923"/>
    <w:rsid w:val="00AD6C23"/>
    <w:rsid w:val="00AD6C48"/>
    <w:rsid w:val="00AD6C7D"/>
    <w:rsid w:val="00AD6DC9"/>
    <w:rsid w:val="00AD6E5D"/>
    <w:rsid w:val="00AD6F4F"/>
    <w:rsid w:val="00AD6F6B"/>
    <w:rsid w:val="00AD6F75"/>
    <w:rsid w:val="00AD6FB2"/>
    <w:rsid w:val="00AD7195"/>
    <w:rsid w:val="00AD719A"/>
    <w:rsid w:val="00AD71C0"/>
    <w:rsid w:val="00AD71C2"/>
    <w:rsid w:val="00AD71C7"/>
    <w:rsid w:val="00AD722C"/>
    <w:rsid w:val="00AD7266"/>
    <w:rsid w:val="00AD7288"/>
    <w:rsid w:val="00AD72B8"/>
    <w:rsid w:val="00AD7308"/>
    <w:rsid w:val="00AD735E"/>
    <w:rsid w:val="00AD7396"/>
    <w:rsid w:val="00AD7442"/>
    <w:rsid w:val="00AD74DB"/>
    <w:rsid w:val="00AD74EE"/>
    <w:rsid w:val="00AD7558"/>
    <w:rsid w:val="00AD7646"/>
    <w:rsid w:val="00AD7843"/>
    <w:rsid w:val="00AD78BA"/>
    <w:rsid w:val="00AD791F"/>
    <w:rsid w:val="00AD7926"/>
    <w:rsid w:val="00AD79A4"/>
    <w:rsid w:val="00AD79F9"/>
    <w:rsid w:val="00AD7A39"/>
    <w:rsid w:val="00AD7A50"/>
    <w:rsid w:val="00AD7A57"/>
    <w:rsid w:val="00AD7ABA"/>
    <w:rsid w:val="00AD7AD5"/>
    <w:rsid w:val="00AD7AE7"/>
    <w:rsid w:val="00AD7B27"/>
    <w:rsid w:val="00AD7B79"/>
    <w:rsid w:val="00AD7BEA"/>
    <w:rsid w:val="00AD7CA5"/>
    <w:rsid w:val="00AD7D1A"/>
    <w:rsid w:val="00AD7DD7"/>
    <w:rsid w:val="00AD7E3E"/>
    <w:rsid w:val="00AD7EC5"/>
    <w:rsid w:val="00AD7EEE"/>
    <w:rsid w:val="00AD7FF3"/>
    <w:rsid w:val="00AE0048"/>
    <w:rsid w:val="00AE0064"/>
    <w:rsid w:val="00AE0075"/>
    <w:rsid w:val="00AE0340"/>
    <w:rsid w:val="00AE039A"/>
    <w:rsid w:val="00AE042B"/>
    <w:rsid w:val="00AE04D8"/>
    <w:rsid w:val="00AE04FA"/>
    <w:rsid w:val="00AE050B"/>
    <w:rsid w:val="00AE05C9"/>
    <w:rsid w:val="00AE05E9"/>
    <w:rsid w:val="00AE05FD"/>
    <w:rsid w:val="00AE0672"/>
    <w:rsid w:val="00AE0681"/>
    <w:rsid w:val="00AE06E1"/>
    <w:rsid w:val="00AE0788"/>
    <w:rsid w:val="00AE07C4"/>
    <w:rsid w:val="00AE07E1"/>
    <w:rsid w:val="00AE0861"/>
    <w:rsid w:val="00AE08C4"/>
    <w:rsid w:val="00AE08DE"/>
    <w:rsid w:val="00AE0A8C"/>
    <w:rsid w:val="00AE0AFA"/>
    <w:rsid w:val="00AE0B1C"/>
    <w:rsid w:val="00AE0B8B"/>
    <w:rsid w:val="00AE0BDB"/>
    <w:rsid w:val="00AE0BFD"/>
    <w:rsid w:val="00AE0C14"/>
    <w:rsid w:val="00AE0CC6"/>
    <w:rsid w:val="00AE0CE7"/>
    <w:rsid w:val="00AE0CFD"/>
    <w:rsid w:val="00AE0D6F"/>
    <w:rsid w:val="00AE0DA2"/>
    <w:rsid w:val="00AE0DB4"/>
    <w:rsid w:val="00AE0DCE"/>
    <w:rsid w:val="00AE0DE5"/>
    <w:rsid w:val="00AE0EC8"/>
    <w:rsid w:val="00AE0F13"/>
    <w:rsid w:val="00AE0F14"/>
    <w:rsid w:val="00AE0F3E"/>
    <w:rsid w:val="00AE0F4B"/>
    <w:rsid w:val="00AE1040"/>
    <w:rsid w:val="00AE1064"/>
    <w:rsid w:val="00AE10F0"/>
    <w:rsid w:val="00AE1109"/>
    <w:rsid w:val="00AE119F"/>
    <w:rsid w:val="00AE1445"/>
    <w:rsid w:val="00AE14AB"/>
    <w:rsid w:val="00AE1502"/>
    <w:rsid w:val="00AE1584"/>
    <w:rsid w:val="00AE1604"/>
    <w:rsid w:val="00AE1630"/>
    <w:rsid w:val="00AE16B6"/>
    <w:rsid w:val="00AE1771"/>
    <w:rsid w:val="00AE17F9"/>
    <w:rsid w:val="00AE182A"/>
    <w:rsid w:val="00AE182D"/>
    <w:rsid w:val="00AE1899"/>
    <w:rsid w:val="00AE1B1E"/>
    <w:rsid w:val="00AE1BD3"/>
    <w:rsid w:val="00AE1BFF"/>
    <w:rsid w:val="00AE1C55"/>
    <w:rsid w:val="00AE1C89"/>
    <w:rsid w:val="00AE1CB9"/>
    <w:rsid w:val="00AE1CF2"/>
    <w:rsid w:val="00AE1E71"/>
    <w:rsid w:val="00AE1FFC"/>
    <w:rsid w:val="00AE2080"/>
    <w:rsid w:val="00AE20BF"/>
    <w:rsid w:val="00AE20DC"/>
    <w:rsid w:val="00AE20FA"/>
    <w:rsid w:val="00AE210A"/>
    <w:rsid w:val="00AE2179"/>
    <w:rsid w:val="00AE220A"/>
    <w:rsid w:val="00AE2220"/>
    <w:rsid w:val="00AE2232"/>
    <w:rsid w:val="00AE2276"/>
    <w:rsid w:val="00AE22F4"/>
    <w:rsid w:val="00AE234B"/>
    <w:rsid w:val="00AE23C3"/>
    <w:rsid w:val="00AE23EE"/>
    <w:rsid w:val="00AE244C"/>
    <w:rsid w:val="00AE2500"/>
    <w:rsid w:val="00AE262B"/>
    <w:rsid w:val="00AE2658"/>
    <w:rsid w:val="00AE26C1"/>
    <w:rsid w:val="00AE2768"/>
    <w:rsid w:val="00AE280D"/>
    <w:rsid w:val="00AE28F7"/>
    <w:rsid w:val="00AE29CA"/>
    <w:rsid w:val="00AE29D3"/>
    <w:rsid w:val="00AE2A39"/>
    <w:rsid w:val="00AE2BE9"/>
    <w:rsid w:val="00AE2C40"/>
    <w:rsid w:val="00AE2CF2"/>
    <w:rsid w:val="00AE2CFE"/>
    <w:rsid w:val="00AE2D34"/>
    <w:rsid w:val="00AE2DEC"/>
    <w:rsid w:val="00AE2ECA"/>
    <w:rsid w:val="00AE2F55"/>
    <w:rsid w:val="00AE2F81"/>
    <w:rsid w:val="00AE2FF8"/>
    <w:rsid w:val="00AE3075"/>
    <w:rsid w:val="00AE310A"/>
    <w:rsid w:val="00AE31B8"/>
    <w:rsid w:val="00AE3216"/>
    <w:rsid w:val="00AE3294"/>
    <w:rsid w:val="00AE32B7"/>
    <w:rsid w:val="00AE32F9"/>
    <w:rsid w:val="00AE33E2"/>
    <w:rsid w:val="00AE34A4"/>
    <w:rsid w:val="00AE34E1"/>
    <w:rsid w:val="00AE3593"/>
    <w:rsid w:val="00AE36C0"/>
    <w:rsid w:val="00AE36CC"/>
    <w:rsid w:val="00AE3755"/>
    <w:rsid w:val="00AE382C"/>
    <w:rsid w:val="00AE395E"/>
    <w:rsid w:val="00AE39AE"/>
    <w:rsid w:val="00AE39B2"/>
    <w:rsid w:val="00AE39FD"/>
    <w:rsid w:val="00AE3AA2"/>
    <w:rsid w:val="00AE3ADC"/>
    <w:rsid w:val="00AE3B42"/>
    <w:rsid w:val="00AE3B5C"/>
    <w:rsid w:val="00AE3BB3"/>
    <w:rsid w:val="00AE3BBF"/>
    <w:rsid w:val="00AE3D11"/>
    <w:rsid w:val="00AE3DB9"/>
    <w:rsid w:val="00AE3F0C"/>
    <w:rsid w:val="00AE3F6A"/>
    <w:rsid w:val="00AE4020"/>
    <w:rsid w:val="00AE40C4"/>
    <w:rsid w:val="00AE40C7"/>
    <w:rsid w:val="00AE40CD"/>
    <w:rsid w:val="00AE4122"/>
    <w:rsid w:val="00AE41A0"/>
    <w:rsid w:val="00AE428F"/>
    <w:rsid w:val="00AE4338"/>
    <w:rsid w:val="00AE4448"/>
    <w:rsid w:val="00AE4462"/>
    <w:rsid w:val="00AE4481"/>
    <w:rsid w:val="00AE45A4"/>
    <w:rsid w:val="00AE4671"/>
    <w:rsid w:val="00AE46F7"/>
    <w:rsid w:val="00AE4748"/>
    <w:rsid w:val="00AE47D3"/>
    <w:rsid w:val="00AE4880"/>
    <w:rsid w:val="00AE4887"/>
    <w:rsid w:val="00AE4A64"/>
    <w:rsid w:val="00AE4A97"/>
    <w:rsid w:val="00AE4AB6"/>
    <w:rsid w:val="00AE4B46"/>
    <w:rsid w:val="00AE4CFA"/>
    <w:rsid w:val="00AE4E35"/>
    <w:rsid w:val="00AE4E8C"/>
    <w:rsid w:val="00AE4F99"/>
    <w:rsid w:val="00AE4FCD"/>
    <w:rsid w:val="00AE5016"/>
    <w:rsid w:val="00AE5059"/>
    <w:rsid w:val="00AE5091"/>
    <w:rsid w:val="00AE50B6"/>
    <w:rsid w:val="00AE51CA"/>
    <w:rsid w:val="00AE532C"/>
    <w:rsid w:val="00AE5356"/>
    <w:rsid w:val="00AE5439"/>
    <w:rsid w:val="00AE54D6"/>
    <w:rsid w:val="00AE54E4"/>
    <w:rsid w:val="00AE5576"/>
    <w:rsid w:val="00AE5582"/>
    <w:rsid w:val="00AE55A0"/>
    <w:rsid w:val="00AE55B1"/>
    <w:rsid w:val="00AE5672"/>
    <w:rsid w:val="00AE567B"/>
    <w:rsid w:val="00AE5732"/>
    <w:rsid w:val="00AE5743"/>
    <w:rsid w:val="00AE580B"/>
    <w:rsid w:val="00AE582F"/>
    <w:rsid w:val="00AE5856"/>
    <w:rsid w:val="00AE5982"/>
    <w:rsid w:val="00AE59A6"/>
    <w:rsid w:val="00AE59D4"/>
    <w:rsid w:val="00AE5B53"/>
    <w:rsid w:val="00AE5B86"/>
    <w:rsid w:val="00AE5B98"/>
    <w:rsid w:val="00AE5BAD"/>
    <w:rsid w:val="00AE5C24"/>
    <w:rsid w:val="00AE5C41"/>
    <w:rsid w:val="00AE5C9D"/>
    <w:rsid w:val="00AE5D22"/>
    <w:rsid w:val="00AE5D24"/>
    <w:rsid w:val="00AE5DB6"/>
    <w:rsid w:val="00AE5E11"/>
    <w:rsid w:val="00AE5F5D"/>
    <w:rsid w:val="00AE5FFC"/>
    <w:rsid w:val="00AE60B5"/>
    <w:rsid w:val="00AE6143"/>
    <w:rsid w:val="00AE615A"/>
    <w:rsid w:val="00AE6198"/>
    <w:rsid w:val="00AE61FD"/>
    <w:rsid w:val="00AE6320"/>
    <w:rsid w:val="00AE6509"/>
    <w:rsid w:val="00AE661C"/>
    <w:rsid w:val="00AE6685"/>
    <w:rsid w:val="00AE6742"/>
    <w:rsid w:val="00AE67BF"/>
    <w:rsid w:val="00AE6831"/>
    <w:rsid w:val="00AE690D"/>
    <w:rsid w:val="00AE69F1"/>
    <w:rsid w:val="00AE6AA2"/>
    <w:rsid w:val="00AE6B58"/>
    <w:rsid w:val="00AE6E15"/>
    <w:rsid w:val="00AE6E69"/>
    <w:rsid w:val="00AE6E80"/>
    <w:rsid w:val="00AE6F3F"/>
    <w:rsid w:val="00AE6F63"/>
    <w:rsid w:val="00AE6FEB"/>
    <w:rsid w:val="00AE7122"/>
    <w:rsid w:val="00AE718F"/>
    <w:rsid w:val="00AE71C7"/>
    <w:rsid w:val="00AE71F4"/>
    <w:rsid w:val="00AE7351"/>
    <w:rsid w:val="00AE7524"/>
    <w:rsid w:val="00AE752A"/>
    <w:rsid w:val="00AE7730"/>
    <w:rsid w:val="00AE778C"/>
    <w:rsid w:val="00AE77AE"/>
    <w:rsid w:val="00AE77D5"/>
    <w:rsid w:val="00AE77EA"/>
    <w:rsid w:val="00AE7860"/>
    <w:rsid w:val="00AE78F5"/>
    <w:rsid w:val="00AE7924"/>
    <w:rsid w:val="00AE7987"/>
    <w:rsid w:val="00AE7A17"/>
    <w:rsid w:val="00AE7A61"/>
    <w:rsid w:val="00AE7A80"/>
    <w:rsid w:val="00AE7AD2"/>
    <w:rsid w:val="00AE7BFE"/>
    <w:rsid w:val="00AE7C85"/>
    <w:rsid w:val="00AE7D02"/>
    <w:rsid w:val="00AE7D8F"/>
    <w:rsid w:val="00AE7DE8"/>
    <w:rsid w:val="00AE7E59"/>
    <w:rsid w:val="00AE7FD2"/>
    <w:rsid w:val="00AF009A"/>
    <w:rsid w:val="00AF010A"/>
    <w:rsid w:val="00AF014D"/>
    <w:rsid w:val="00AF032A"/>
    <w:rsid w:val="00AF0519"/>
    <w:rsid w:val="00AF054D"/>
    <w:rsid w:val="00AF0569"/>
    <w:rsid w:val="00AF059A"/>
    <w:rsid w:val="00AF05C2"/>
    <w:rsid w:val="00AF062D"/>
    <w:rsid w:val="00AF06B3"/>
    <w:rsid w:val="00AF06D9"/>
    <w:rsid w:val="00AF0744"/>
    <w:rsid w:val="00AF0747"/>
    <w:rsid w:val="00AF074E"/>
    <w:rsid w:val="00AF0B21"/>
    <w:rsid w:val="00AF0B7D"/>
    <w:rsid w:val="00AF0C3B"/>
    <w:rsid w:val="00AF0CC7"/>
    <w:rsid w:val="00AF0D48"/>
    <w:rsid w:val="00AF0D76"/>
    <w:rsid w:val="00AF0DE0"/>
    <w:rsid w:val="00AF0F10"/>
    <w:rsid w:val="00AF0FBC"/>
    <w:rsid w:val="00AF0FC3"/>
    <w:rsid w:val="00AF106C"/>
    <w:rsid w:val="00AF109D"/>
    <w:rsid w:val="00AF114A"/>
    <w:rsid w:val="00AF11A3"/>
    <w:rsid w:val="00AF12D3"/>
    <w:rsid w:val="00AF1321"/>
    <w:rsid w:val="00AF13D5"/>
    <w:rsid w:val="00AF179B"/>
    <w:rsid w:val="00AF17D0"/>
    <w:rsid w:val="00AF17FC"/>
    <w:rsid w:val="00AF18CB"/>
    <w:rsid w:val="00AF191C"/>
    <w:rsid w:val="00AF1A41"/>
    <w:rsid w:val="00AF1A48"/>
    <w:rsid w:val="00AF1B28"/>
    <w:rsid w:val="00AF1B2C"/>
    <w:rsid w:val="00AF1B62"/>
    <w:rsid w:val="00AF1C61"/>
    <w:rsid w:val="00AF1C83"/>
    <w:rsid w:val="00AF1CFA"/>
    <w:rsid w:val="00AF1E6E"/>
    <w:rsid w:val="00AF1FA4"/>
    <w:rsid w:val="00AF1FED"/>
    <w:rsid w:val="00AF2018"/>
    <w:rsid w:val="00AF20B7"/>
    <w:rsid w:val="00AF20FB"/>
    <w:rsid w:val="00AF2117"/>
    <w:rsid w:val="00AF2123"/>
    <w:rsid w:val="00AF2149"/>
    <w:rsid w:val="00AF2158"/>
    <w:rsid w:val="00AF21DF"/>
    <w:rsid w:val="00AF2495"/>
    <w:rsid w:val="00AF2558"/>
    <w:rsid w:val="00AF258B"/>
    <w:rsid w:val="00AF268B"/>
    <w:rsid w:val="00AF26C5"/>
    <w:rsid w:val="00AF26ED"/>
    <w:rsid w:val="00AF2735"/>
    <w:rsid w:val="00AF280E"/>
    <w:rsid w:val="00AF284C"/>
    <w:rsid w:val="00AF28A9"/>
    <w:rsid w:val="00AF2A3A"/>
    <w:rsid w:val="00AF2A69"/>
    <w:rsid w:val="00AF2B10"/>
    <w:rsid w:val="00AF2CA9"/>
    <w:rsid w:val="00AF2D55"/>
    <w:rsid w:val="00AF2DDE"/>
    <w:rsid w:val="00AF2DE7"/>
    <w:rsid w:val="00AF2EE6"/>
    <w:rsid w:val="00AF2F29"/>
    <w:rsid w:val="00AF2F7D"/>
    <w:rsid w:val="00AF2F8C"/>
    <w:rsid w:val="00AF2FFE"/>
    <w:rsid w:val="00AF3034"/>
    <w:rsid w:val="00AF30EB"/>
    <w:rsid w:val="00AF311A"/>
    <w:rsid w:val="00AF3130"/>
    <w:rsid w:val="00AF314E"/>
    <w:rsid w:val="00AF324A"/>
    <w:rsid w:val="00AF33D8"/>
    <w:rsid w:val="00AF34EF"/>
    <w:rsid w:val="00AF3542"/>
    <w:rsid w:val="00AF35B0"/>
    <w:rsid w:val="00AF35E7"/>
    <w:rsid w:val="00AF3687"/>
    <w:rsid w:val="00AF376A"/>
    <w:rsid w:val="00AF37C6"/>
    <w:rsid w:val="00AF39F4"/>
    <w:rsid w:val="00AF3A2B"/>
    <w:rsid w:val="00AF3AC4"/>
    <w:rsid w:val="00AF3AC7"/>
    <w:rsid w:val="00AF3C0B"/>
    <w:rsid w:val="00AF3C6B"/>
    <w:rsid w:val="00AF3C99"/>
    <w:rsid w:val="00AF3D86"/>
    <w:rsid w:val="00AF3E26"/>
    <w:rsid w:val="00AF3E5F"/>
    <w:rsid w:val="00AF3ECD"/>
    <w:rsid w:val="00AF3F04"/>
    <w:rsid w:val="00AF3F0C"/>
    <w:rsid w:val="00AF3F50"/>
    <w:rsid w:val="00AF3F8E"/>
    <w:rsid w:val="00AF3F93"/>
    <w:rsid w:val="00AF3FEF"/>
    <w:rsid w:val="00AF4059"/>
    <w:rsid w:val="00AF4071"/>
    <w:rsid w:val="00AF40CD"/>
    <w:rsid w:val="00AF4245"/>
    <w:rsid w:val="00AF424B"/>
    <w:rsid w:val="00AF42A3"/>
    <w:rsid w:val="00AF42BE"/>
    <w:rsid w:val="00AF42EB"/>
    <w:rsid w:val="00AF433F"/>
    <w:rsid w:val="00AF4357"/>
    <w:rsid w:val="00AF436C"/>
    <w:rsid w:val="00AF43AB"/>
    <w:rsid w:val="00AF43E4"/>
    <w:rsid w:val="00AF4499"/>
    <w:rsid w:val="00AF4533"/>
    <w:rsid w:val="00AF4547"/>
    <w:rsid w:val="00AF45B1"/>
    <w:rsid w:val="00AF45D6"/>
    <w:rsid w:val="00AF45E7"/>
    <w:rsid w:val="00AF460D"/>
    <w:rsid w:val="00AF4666"/>
    <w:rsid w:val="00AF475B"/>
    <w:rsid w:val="00AF4765"/>
    <w:rsid w:val="00AF4825"/>
    <w:rsid w:val="00AF48D8"/>
    <w:rsid w:val="00AF493F"/>
    <w:rsid w:val="00AF49E0"/>
    <w:rsid w:val="00AF4A52"/>
    <w:rsid w:val="00AF4A93"/>
    <w:rsid w:val="00AF4ABE"/>
    <w:rsid w:val="00AF4AD9"/>
    <w:rsid w:val="00AF4AF5"/>
    <w:rsid w:val="00AF4B0E"/>
    <w:rsid w:val="00AF4BC1"/>
    <w:rsid w:val="00AF4CD2"/>
    <w:rsid w:val="00AF4D27"/>
    <w:rsid w:val="00AF4D78"/>
    <w:rsid w:val="00AF4E41"/>
    <w:rsid w:val="00AF4F70"/>
    <w:rsid w:val="00AF5064"/>
    <w:rsid w:val="00AF5079"/>
    <w:rsid w:val="00AF50AB"/>
    <w:rsid w:val="00AF50DC"/>
    <w:rsid w:val="00AF511F"/>
    <w:rsid w:val="00AF5157"/>
    <w:rsid w:val="00AF5171"/>
    <w:rsid w:val="00AF51C8"/>
    <w:rsid w:val="00AF5226"/>
    <w:rsid w:val="00AF530F"/>
    <w:rsid w:val="00AF5312"/>
    <w:rsid w:val="00AF54F8"/>
    <w:rsid w:val="00AF55EA"/>
    <w:rsid w:val="00AF5611"/>
    <w:rsid w:val="00AF56BD"/>
    <w:rsid w:val="00AF57FF"/>
    <w:rsid w:val="00AF581D"/>
    <w:rsid w:val="00AF5869"/>
    <w:rsid w:val="00AF5882"/>
    <w:rsid w:val="00AF58B9"/>
    <w:rsid w:val="00AF5900"/>
    <w:rsid w:val="00AF590A"/>
    <w:rsid w:val="00AF5911"/>
    <w:rsid w:val="00AF5994"/>
    <w:rsid w:val="00AF5A81"/>
    <w:rsid w:val="00AF5AB4"/>
    <w:rsid w:val="00AF5AEE"/>
    <w:rsid w:val="00AF5BBA"/>
    <w:rsid w:val="00AF5BF3"/>
    <w:rsid w:val="00AF5C28"/>
    <w:rsid w:val="00AF5C43"/>
    <w:rsid w:val="00AF5C51"/>
    <w:rsid w:val="00AF5D94"/>
    <w:rsid w:val="00AF5DBD"/>
    <w:rsid w:val="00AF5F67"/>
    <w:rsid w:val="00AF5F98"/>
    <w:rsid w:val="00AF5FAF"/>
    <w:rsid w:val="00AF602C"/>
    <w:rsid w:val="00AF6048"/>
    <w:rsid w:val="00AF612E"/>
    <w:rsid w:val="00AF6219"/>
    <w:rsid w:val="00AF62AC"/>
    <w:rsid w:val="00AF62BB"/>
    <w:rsid w:val="00AF633F"/>
    <w:rsid w:val="00AF63B6"/>
    <w:rsid w:val="00AF63F4"/>
    <w:rsid w:val="00AF644E"/>
    <w:rsid w:val="00AF649F"/>
    <w:rsid w:val="00AF64BE"/>
    <w:rsid w:val="00AF6514"/>
    <w:rsid w:val="00AF658B"/>
    <w:rsid w:val="00AF65A5"/>
    <w:rsid w:val="00AF65D1"/>
    <w:rsid w:val="00AF6681"/>
    <w:rsid w:val="00AF66A8"/>
    <w:rsid w:val="00AF68BC"/>
    <w:rsid w:val="00AF68E7"/>
    <w:rsid w:val="00AF69A5"/>
    <w:rsid w:val="00AF69AB"/>
    <w:rsid w:val="00AF69D3"/>
    <w:rsid w:val="00AF69EF"/>
    <w:rsid w:val="00AF6A11"/>
    <w:rsid w:val="00AF6BCC"/>
    <w:rsid w:val="00AF6BE8"/>
    <w:rsid w:val="00AF6BF4"/>
    <w:rsid w:val="00AF6D00"/>
    <w:rsid w:val="00AF6D99"/>
    <w:rsid w:val="00AF6DAD"/>
    <w:rsid w:val="00AF6EE2"/>
    <w:rsid w:val="00AF6F1C"/>
    <w:rsid w:val="00AF7099"/>
    <w:rsid w:val="00AF711D"/>
    <w:rsid w:val="00AF7299"/>
    <w:rsid w:val="00AF72BC"/>
    <w:rsid w:val="00AF7321"/>
    <w:rsid w:val="00AF7472"/>
    <w:rsid w:val="00AF7496"/>
    <w:rsid w:val="00AF75AE"/>
    <w:rsid w:val="00AF75B7"/>
    <w:rsid w:val="00AF76D7"/>
    <w:rsid w:val="00AF7886"/>
    <w:rsid w:val="00AF7940"/>
    <w:rsid w:val="00AF79A4"/>
    <w:rsid w:val="00AF7A04"/>
    <w:rsid w:val="00AF7ADE"/>
    <w:rsid w:val="00AF7CE2"/>
    <w:rsid w:val="00AF7D19"/>
    <w:rsid w:val="00AF7E2C"/>
    <w:rsid w:val="00AF7E7F"/>
    <w:rsid w:val="00AF7F14"/>
    <w:rsid w:val="00AF7F53"/>
    <w:rsid w:val="00AF7FA0"/>
    <w:rsid w:val="00AF7FEF"/>
    <w:rsid w:val="00B00143"/>
    <w:rsid w:val="00B001F2"/>
    <w:rsid w:val="00B0020A"/>
    <w:rsid w:val="00B00309"/>
    <w:rsid w:val="00B00414"/>
    <w:rsid w:val="00B0044C"/>
    <w:rsid w:val="00B005E3"/>
    <w:rsid w:val="00B0062B"/>
    <w:rsid w:val="00B00672"/>
    <w:rsid w:val="00B006D0"/>
    <w:rsid w:val="00B006F7"/>
    <w:rsid w:val="00B0084C"/>
    <w:rsid w:val="00B0088A"/>
    <w:rsid w:val="00B00896"/>
    <w:rsid w:val="00B00A6E"/>
    <w:rsid w:val="00B00AA4"/>
    <w:rsid w:val="00B00B4E"/>
    <w:rsid w:val="00B00BBB"/>
    <w:rsid w:val="00B00BBE"/>
    <w:rsid w:val="00B00CC9"/>
    <w:rsid w:val="00B00D53"/>
    <w:rsid w:val="00B00E10"/>
    <w:rsid w:val="00B00E55"/>
    <w:rsid w:val="00B00E6A"/>
    <w:rsid w:val="00B010B8"/>
    <w:rsid w:val="00B0110C"/>
    <w:rsid w:val="00B01123"/>
    <w:rsid w:val="00B01167"/>
    <w:rsid w:val="00B011F3"/>
    <w:rsid w:val="00B01233"/>
    <w:rsid w:val="00B0127D"/>
    <w:rsid w:val="00B012B0"/>
    <w:rsid w:val="00B0138E"/>
    <w:rsid w:val="00B0142A"/>
    <w:rsid w:val="00B01464"/>
    <w:rsid w:val="00B0149E"/>
    <w:rsid w:val="00B01588"/>
    <w:rsid w:val="00B015B8"/>
    <w:rsid w:val="00B016FF"/>
    <w:rsid w:val="00B01732"/>
    <w:rsid w:val="00B017AC"/>
    <w:rsid w:val="00B017B1"/>
    <w:rsid w:val="00B0182A"/>
    <w:rsid w:val="00B018B9"/>
    <w:rsid w:val="00B01950"/>
    <w:rsid w:val="00B0198E"/>
    <w:rsid w:val="00B019A9"/>
    <w:rsid w:val="00B019D6"/>
    <w:rsid w:val="00B019DD"/>
    <w:rsid w:val="00B019FC"/>
    <w:rsid w:val="00B01A4E"/>
    <w:rsid w:val="00B01B1C"/>
    <w:rsid w:val="00B01C1A"/>
    <w:rsid w:val="00B01C6F"/>
    <w:rsid w:val="00B01CA9"/>
    <w:rsid w:val="00B01D2A"/>
    <w:rsid w:val="00B01D56"/>
    <w:rsid w:val="00B01D9E"/>
    <w:rsid w:val="00B01E6D"/>
    <w:rsid w:val="00B01E89"/>
    <w:rsid w:val="00B01F0D"/>
    <w:rsid w:val="00B01F2E"/>
    <w:rsid w:val="00B01F51"/>
    <w:rsid w:val="00B01F9F"/>
    <w:rsid w:val="00B01FEA"/>
    <w:rsid w:val="00B02053"/>
    <w:rsid w:val="00B020C7"/>
    <w:rsid w:val="00B0224B"/>
    <w:rsid w:val="00B0224D"/>
    <w:rsid w:val="00B02273"/>
    <w:rsid w:val="00B022F6"/>
    <w:rsid w:val="00B02485"/>
    <w:rsid w:val="00B02496"/>
    <w:rsid w:val="00B02605"/>
    <w:rsid w:val="00B02617"/>
    <w:rsid w:val="00B0264C"/>
    <w:rsid w:val="00B026DA"/>
    <w:rsid w:val="00B0277F"/>
    <w:rsid w:val="00B0285E"/>
    <w:rsid w:val="00B0290B"/>
    <w:rsid w:val="00B029BE"/>
    <w:rsid w:val="00B02BAF"/>
    <w:rsid w:val="00B02C00"/>
    <w:rsid w:val="00B02C0B"/>
    <w:rsid w:val="00B02CED"/>
    <w:rsid w:val="00B02D6E"/>
    <w:rsid w:val="00B02E47"/>
    <w:rsid w:val="00B02FAD"/>
    <w:rsid w:val="00B03040"/>
    <w:rsid w:val="00B03068"/>
    <w:rsid w:val="00B03071"/>
    <w:rsid w:val="00B030E3"/>
    <w:rsid w:val="00B03156"/>
    <w:rsid w:val="00B031C5"/>
    <w:rsid w:val="00B0327E"/>
    <w:rsid w:val="00B0340E"/>
    <w:rsid w:val="00B03476"/>
    <w:rsid w:val="00B03483"/>
    <w:rsid w:val="00B03499"/>
    <w:rsid w:val="00B03658"/>
    <w:rsid w:val="00B036D2"/>
    <w:rsid w:val="00B03771"/>
    <w:rsid w:val="00B037BF"/>
    <w:rsid w:val="00B03804"/>
    <w:rsid w:val="00B0389B"/>
    <w:rsid w:val="00B038AC"/>
    <w:rsid w:val="00B03A0E"/>
    <w:rsid w:val="00B03A43"/>
    <w:rsid w:val="00B03A6B"/>
    <w:rsid w:val="00B03A95"/>
    <w:rsid w:val="00B03AF4"/>
    <w:rsid w:val="00B03B5C"/>
    <w:rsid w:val="00B03C1E"/>
    <w:rsid w:val="00B03C37"/>
    <w:rsid w:val="00B03D98"/>
    <w:rsid w:val="00B03E3B"/>
    <w:rsid w:val="00B04124"/>
    <w:rsid w:val="00B04140"/>
    <w:rsid w:val="00B04142"/>
    <w:rsid w:val="00B04213"/>
    <w:rsid w:val="00B04217"/>
    <w:rsid w:val="00B043CD"/>
    <w:rsid w:val="00B0443C"/>
    <w:rsid w:val="00B04582"/>
    <w:rsid w:val="00B045B2"/>
    <w:rsid w:val="00B045D5"/>
    <w:rsid w:val="00B046AA"/>
    <w:rsid w:val="00B04804"/>
    <w:rsid w:val="00B0480B"/>
    <w:rsid w:val="00B04839"/>
    <w:rsid w:val="00B048B0"/>
    <w:rsid w:val="00B04915"/>
    <w:rsid w:val="00B0498B"/>
    <w:rsid w:val="00B04A75"/>
    <w:rsid w:val="00B04A82"/>
    <w:rsid w:val="00B04BF4"/>
    <w:rsid w:val="00B04CA9"/>
    <w:rsid w:val="00B04CC0"/>
    <w:rsid w:val="00B04EE0"/>
    <w:rsid w:val="00B04FA3"/>
    <w:rsid w:val="00B05092"/>
    <w:rsid w:val="00B05133"/>
    <w:rsid w:val="00B051D2"/>
    <w:rsid w:val="00B0526A"/>
    <w:rsid w:val="00B052E3"/>
    <w:rsid w:val="00B05406"/>
    <w:rsid w:val="00B0542D"/>
    <w:rsid w:val="00B054B0"/>
    <w:rsid w:val="00B054D6"/>
    <w:rsid w:val="00B054E8"/>
    <w:rsid w:val="00B056F2"/>
    <w:rsid w:val="00B0570B"/>
    <w:rsid w:val="00B05735"/>
    <w:rsid w:val="00B057C2"/>
    <w:rsid w:val="00B057D9"/>
    <w:rsid w:val="00B057F3"/>
    <w:rsid w:val="00B05897"/>
    <w:rsid w:val="00B058E3"/>
    <w:rsid w:val="00B0596B"/>
    <w:rsid w:val="00B05A63"/>
    <w:rsid w:val="00B05AAD"/>
    <w:rsid w:val="00B05AF6"/>
    <w:rsid w:val="00B05B1D"/>
    <w:rsid w:val="00B05C21"/>
    <w:rsid w:val="00B05D09"/>
    <w:rsid w:val="00B05D2D"/>
    <w:rsid w:val="00B05D43"/>
    <w:rsid w:val="00B05D55"/>
    <w:rsid w:val="00B05DD6"/>
    <w:rsid w:val="00B05E11"/>
    <w:rsid w:val="00B05FF5"/>
    <w:rsid w:val="00B06065"/>
    <w:rsid w:val="00B06152"/>
    <w:rsid w:val="00B0616C"/>
    <w:rsid w:val="00B061C0"/>
    <w:rsid w:val="00B06234"/>
    <w:rsid w:val="00B06339"/>
    <w:rsid w:val="00B06358"/>
    <w:rsid w:val="00B06419"/>
    <w:rsid w:val="00B0646A"/>
    <w:rsid w:val="00B064E1"/>
    <w:rsid w:val="00B06567"/>
    <w:rsid w:val="00B06817"/>
    <w:rsid w:val="00B06832"/>
    <w:rsid w:val="00B0687B"/>
    <w:rsid w:val="00B06A09"/>
    <w:rsid w:val="00B06A0A"/>
    <w:rsid w:val="00B06A33"/>
    <w:rsid w:val="00B06A73"/>
    <w:rsid w:val="00B06B4A"/>
    <w:rsid w:val="00B06B98"/>
    <w:rsid w:val="00B06BD1"/>
    <w:rsid w:val="00B06BDC"/>
    <w:rsid w:val="00B06D31"/>
    <w:rsid w:val="00B06E05"/>
    <w:rsid w:val="00B06E22"/>
    <w:rsid w:val="00B06EC0"/>
    <w:rsid w:val="00B06FA1"/>
    <w:rsid w:val="00B07047"/>
    <w:rsid w:val="00B070DF"/>
    <w:rsid w:val="00B07102"/>
    <w:rsid w:val="00B07109"/>
    <w:rsid w:val="00B07199"/>
    <w:rsid w:val="00B071DC"/>
    <w:rsid w:val="00B07295"/>
    <w:rsid w:val="00B072BD"/>
    <w:rsid w:val="00B07315"/>
    <w:rsid w:val="00B07349"/>
    <w:rsid w:val="00B07369"/>
    <w:rsid w:val="00B07444"/>
    <w:rsid w:val="00B074C2"/>
    <w:rsid w:val="00B07528"/>
    <w:rsid w:val="00B07532"/>
    <w:rsid w:val="00B07553"/>
    <w:rsid w:val="00B075F2"/>
    <w:rsid w:val="00B07664"/>
    <w:rsid w:val="00B07667"/>
    <w:rsid w:val="00B077AC"/>
    <w:rsid w:val="00B07823"/>
    <w:rsid w:val="00B07878"/>
    <w:rsid w:val="00B079A2"/>
    <w:rsid w:val="00B079F9"/>
    <w:rsid w:val="00B07A49"/>
    <w:rsid w:val="00B07A80"/>
    <w:rsid w:val="00B07BDE"/>
    <w:rsid w:val="00B07C28"/>
    <w:rsid w:val="00B07C94"/>
    <w:rsid w:val="00B07D2C"/>
    <w:rsid w:val="00B07DCF"/>
    <w:rsid w:val="00B07DEF"/>
    <w:rsid w:val="00B07E1E"/>
    <w:rsid w:val="00B07EA0"/>
    <w:rsid w:val="00B07ED8"/>
    <w:rsid w:val="00B07F28"/>
    <w:rsid w:val="00B07F62"/>
    <w:rsid w:val="00B07F77"/>
    <w:rsid w:val="00B07F8E"/>
    <w:rsid w:val="00B1004E"/>
    <w:rsid w:val="00B100BB"/>
    <w:rsid w:val="00B1020E"/>
    <w:rsid w:val="00B10211"/>
    <w:rsid w:val="00B1027A"/>
    <w:rsid w:val="00B10304"/>
    <w:rsid w:val="00B10330"/>
    <w:rsid w:val="00B103F2"/>
    <w:rsid w:val="00B10432"/>
    <w:rsid w:val="00B10463"/>
    <w:rsid w:val="00B10498"/>
    <w:rsid w:val="00B104D9"/>
    <w:rsid w:val="00B10594"/>
    <w:rsid w:val="00B10647"/>
    <w:rsid w:val="00B1068A"/>
    <w:rsid w:val="00B106A7"/>
    <w:rsid w:val="00B106BC"/>
    <w:rsid w:val="00B10838"/>
    <w:rsid w:val="00B10974"/>
    <w:rsid w:val="00B10ACF"/>
    <w:rsid w:val="00B10BAE"/>
    <w:rsid w:val="00B10DDC"/>
    <w:rsid w:val="00B10DF2"/>
    <w:rsid w:val="00B10E9E"/>
    <w:rsid w:val="00B10F0A"/>
    <w:rsid w:val="00B10F69"/>
    <w:rsid w:val="00B10F78"/>
    <w:rsid w:val="00B10F91"/>
    <w:rsid w:val="00B10FB7"/>
    <w:rsid w:val="00B1106B"/>
    <w:rsid w:val="00B11154"/>
    <w:rsid w:val="00B111D9"/>
    <w:rsid w:val="00B11274"/>
    <w:rsid w:val="00B113C7"/>
    <w:rsid w:val="00B113F1"/>
    <w:rsid w:val="00B113F7"/>
    <w:rsid w:val="00B11421"/>
    <w:rsid w:val="00B114E7"/>
    <w:rsid w:val="00B115E7"/>
    <w:rsid w:val="00B11615"/>
    <w:rsid w:val="00B116DF"/>
    <w:rsid w:val="00B116E6"/>
    <w:rsid w:val="00B11712"/>
    <w:rsid w:val="00B117B7"/>
    <w:rsid w:val="00B1197D"/>
    <w:rsid w:val="00B1197E"/>
    <w:rsid w:val="00B119A3"/>
    <w:rsid w:val="00B11BB6"/>
    <w:rsid w:val="00B11C39"/>
    <w:rsid w:val="00B11C65"/>
    <w:rsid w:val="00B11CE3"/>
    <w:rsid w:val="00B11DEF"/>
    <w:rsid w:val="00B11EAD"/>
    <w:rsid w:val="00B120E2"/>
    <w:rsid w:val="00B12122"/>
    <w:rsid w:val="00B12239"/>
    <w:rsid w:val="00B1234F"/>
    <w:rsid w:val="00B1235E"/>
    <w:rsid w:val="00B12438"/>
    <w:rsid w:val="00B12439"/>
    <w:rsid w:val="00B124D8"/>
    <w:rsid w:val="00B1250F"/>
    <w:rsid w:val="00B1259A"/>
    <w:rsid w:val="00B125A4"/>
    <w:rsid w:val="00B125C9"/>
    <w:rsid w:val="00B12645"/>
    <w:rsid w:val="00B126E1"/>
    <w:rsid w:val="00B127C0"/>
    <w:rsid w:val="00B128FF"/>
    <w:rsid w:val="00B12AFF"/>
    <w:rsid w:val="00B12BA0"/>
    <w:rsid w:val="00B12BA5"/>
    <w:rsid w:val="00B12C78"/>
    <w:rsid w:val="00B12C7D"/>
    <w:rsid w:val="00B12CC6"/>
    <w:rsid w:val="00B12D06"/>
    <w:rsid w:val="00B12E1A"/>
    <w:rsid w:val="00B12E44"/>
    <w:rsid w:val="00B12E7A"/>
    <w:rsid w:val="00B12F04"/>
    <w:rsid w:val="00B12F46"/>
    <w:rsid w:val="00B13033"/>
    <w:rsid w:val="00B13068"/>
    <w:rsid w:val="00B131D4"/>
    <w:rsid w:val="00B1327F"/>
    <w:rsid w:val="00B13314"/>
    <w:rsid w:val="00B1334D"/>
    <w:rsid w:val="00B13376"/>
    <w:rsid w:val="00B13427"/>
    <w:rsid w:val="00B1343F"/>
    <w:rsid w:val="00B13665"/>
    <w:rsid w:val="00B136C5"/>
    <w:rsid w:val="00B1373C"/>
    <w:rsid w:val="00B137F5"/>
    <w:rsid w:val="00B1393C"/>
    <w:rsid w:val="00B13945"/>
    <w:rsid w:val="00B139B7"/>
    <w:rsid w:val="00B13A28"/>
    <w:rsid w:val="00B13B7C"/>
    <w:rsid w:val="00B13C02"/>
    <w:rsid w:val="00B13C2D"/>
    <w:rsid w:val="00B13C85"/>
    <w:rsid w:val="00B13C8B"/>
    <w:rsid w:val="00B13D4A"/>
    <w:rsid w:val="00B13D72"/>
    <w:rsid w:val="00B13DDC"/>
    <w:rsid w:val="00B13E14"/>
    <w:rsid w:val="00B13E6F"/>
    <w:rsid w:val="00B13E7D"/>
    <w:rsid w:val="00B13E85"/>
    <w:rsid w:val="00B13F60"/>
    <w:rsid w:val="00B13F6E"/>
    <w:rsid w:val="00B13FA4"/>
    <w:rsid w:val="00B140C6"/>
    <w:rsid w:val="00B14152"/>
    <w:rsid w:val="00B141EA"/>
    <w:rsid w:val="00B142DE"/>
    <w:rsid w:val="00B1434E"/>
    <w:rsid w:val="00B14432"/>
    <w:rsid w:val="00B1443D"/>
    <w:rsid w:val="00B14478"/>
    <w:rsid w:val="00B14567"/>
    <w:rsid w:val="00B1463D"/>
    <w:rsid w:val="00B14734"/>
    <w:rsid w:val="00B14768"/>
    <w:rsid w:val="00B1477B"/>
    <w:rsid w:val="00B14896"/>
    <w:rsid w:val="00B148E8"/>
    <w:rsid w:val="00B14944"/>
    <w:rsid w:val="00B149FE"/>
    <w:rsid w:val="00B14A21"/>
    <w:rsid w:val="00B14A34"/>
    <w:rsid w:val="00B14A6E"/>
    <w:rsid w:val="00B14DCA"/>
    <w:rsid w:val="00B14E41"/>
    <w:rsid w:val="00B14E8F"/>
    <w:rsid w:val="00B14F37"/>
    <w:rsid w:val="00B14FA4"/>
    <w:rsid w:val="00B14FA7"/>
    <w:rsid w:val="00B1503E"/>
    <w:rsid w:val="00B15065"/>
    <w:rsid w:val="00B150BE"/>
    <w:rsid w:val="00B150E2"/>
    <w:rsid w:val="00B15198"/>
    <w:rsid w:val="00B15206"/>
    <w:rsid w:val="00B152A3"/>
    <w:rsid w:val="00B1531E"/>
    <w:rsid w:val="00B15434"/>
    <w:rsid w:val="00B154D3"/>
    <w:rsid w:val="00B156B1"/>
    <w:rsid w:val="00B15712"/>
    <w:rsid w:val="00B15753"/>
    <w:rsid w:val="00B157C3"/>
    <w:rsid w:val="00B15812"/>
    <w:rsid w:val="00B158DA"/>
    <w:rsid w:val="00B15919"/>
    <w:rsid w:val="00B15A61"/>
    <w:rsid w:val="00B15BC0"/>
    <w:rsid w:val="00B15C1D"/>
    <w:rsid w:val="00B15C85"/>
    <w:rsid w:val="00B15CBE"/>
    <w:rsid w:val="00B15CD2"/>
    <w:rsid w:val="00B15D4D"/>
    <w:rsid w:val="00B15EDF"/>
    <w:rsid w:val="00B15F91"/>
    <w:rsid w:val="00B1602F"/>
    <w:rsid w:val="00B1611B"/>
    <w:rsid w:val="00B16325"/>
    <w:rsid w:val="00B1640B"/>
    <w:rsid w:val="00B16620"/>
    <w:rsid w:val="00B16688"/>
    <w:rsid w:val="00B167E5"/>
    <w:rsid w:val="00B1688C"/>
    <w:rsid w:val="00B16994"/>
    <w:rsid w:val="00B169AA"/>
    <w:rsid w:val="00B16A82"/>
    <w:rsid w:val="00B16B92"/>
    <w:rsid w:val="00B16BCE"/>
    <w:rsid w:val="00B16C61"/>
    <w:rsid w:val="00B16C85"/>
    <w:rsid w:val="00B16D6C"/>
    <w:rsid w:val="00B16D94"/>
    <w:rsid w:val="00B16E1F"/>
    <w:rsid w:val="00B16F35"/>
    <w:rsid w:val="00B16F37"/>
    <w:rsid w:val="00B16FC4"/>
    <w:rsid w:val="00B16FCF"/>
    <w:rsid w:val="00B17080"/>
    <w:rsid w:val="00B170D1"/>
    <w:rsid w:val="00B170E6"/>
    <w:rsid w:val="00B17119"/>
    <w:rsid w:val="00B172FF"/>
    <w:rsid w:val="00B173AA"/>
    <w:rsid w:val="00B17513"/>
    <w:rsid w:val="00B17532"/>
    <w:rsid w:val="00B1759E"/>
    <w:rsid w:val="00B175CB"/>
    <w:rsid w:val="00B175E4"/>
    <w:rsid w:val="00B175E8"/>
    <w:rsid w:val="00B175FE"/>
    <w:rsid w:val="00B17637"/>
    <w:rsid w:val="00B176C8"/>
    <w:rsid w:val="00B17736"/>
    <w:rsid w:val="00B17745"/>
    <w:rsid w:val="00B17776"/>
    <w:rsid w:val="00B177FE"/>
    <w:rsid w:val="00B17826"/>
    <w:rsid w:val="00B1792F"/>
    <w:rsid w:val="00B1798E"/>
    <w:rsid w:val="00B17997"/>
    <w:rsid w:val="00B17A45"/>
    <w:rsid w:val="00B17AAB"/>
    <w:rsid w:val="00B17B77"/>
    <w:rsid w:val="00B17B99"/>
    <w:rsid w:val="00B17D0C"/>
    <w:rsid w:val="00B17D3E"/>
    <w:rsid w:val="00B17DB8"/>
    <w:rsid w:val="00B17E14"/>
    <w:rsid w:val="00B17E74"/>
    <w:rsid w:val="00B17FEF"/>
    <w:rsid w:val="00B200FE"/>
    <w:rsid w:val="00B2020B"/>
    <w:rsid w:val="00B2027A"/>
    <w:rsid w:val="00B20298"/>
    <w:rsid w:val="00B203B7"/>
    <w:rsid w:val="00B2054D"/>
    <w:rsid w:val="00B20581"/>
    <w:rsid w:val="00B20621"/>
    <w:rsid w:val="00B2063D"/>
    <w:rsid w:val="00B2072B"/>
    <w:rsid w:val="00B20741"/>
    <w:rsid w:val="00B2075B"/>
    <w:rsid w:val="00B2077F"/>
    <w:rsid w:val="00B20866"/>
    <w:rsid w:val="00B20989"/>
    <w:rsid w:val="00B209EB"/>
    <w:rsid w:val="00B209FA"/>
    <w:rsid w:val="00B20A36"/>
    <w:rsid w:val="00B20B06"/>
    <w:rsid w:val="00B20BD9"/>
    <w:rsid w:val="00B20C0E"/>
    <w:rsid w:val="00B20D17"/>
    <w:rsid w:val="00B20D40"/>
    <w:rsid w:val="00B20D43"/>
    <w:rsid w:val="00B20DB2"/>
    <w:rsid w:val="00B20F39"/>
    <w:rsid w:val="00B20F61"/>
    <w:rsid w:val="00B21115"/>
    <w:rsid w:val="00B211BA"/>
    <w:rsid w:val="00B21208"/>
    <w:rsid w:val="00B212D9"/>
    <w:rsid w:val="00B2132D"/>
    <w:rsid w:val="00B2132F"/>
    <w:rsid w:val="00B2141C"/>
    <w:rsid w:val="00B214CD"/>
    <w:rsid w:val="00B21526"/>
    <w:rsid w:val="00B215F2"/>
    <w:rsid w:val="00B2161C"/>
    <w:rsid w:val="00B21746"/>
    <w:rsid w:val="00B217C6"/>
    <w:rsid w:val="00B21869"/>
    <w:rsid w:val="00B21964"/>
    <w:rsid w:val="00B219B0"/>
    <w:rsid w:val="00B21B0B"/>
    <w:rsid w:val="00B21BB4"/>
    <w:rsid w:val="00B21CA6"/>
    <w:rsid w:val="00B21D43"/>
    <w:rsid w:val="00B21E3B"/>
    <w:rsid w:val="00B21E46"/>
    <w:rsid w:val="00B21E98"/>
    <w:rsid w:val="00B21F31"/>
    <w:rsid w:val="00B21F6D"/>
    <w:rsid w:val="00B21F99"/>
    <w:rsid w:val="00B21FE9"/>
    <w:rsid w:val="00B220FA"/>
    <w:rsid w:val="00B2210A"/>
    <w:rsid w:val="00B2213F"/>
    <w:rsid w:val="00B2215A"/>
    <w:rsid w:val="00B221B5"/>
    <w:rsid w:val="00B2246A"/>
    <w:rsid w:val="00B2247D"/>
    <w:rsid w:val="00B224B9"/>
    <w:rsid w:val="00B22598"/>
    <w:rsid w:val="00B22720"/>
    <w:rsid w:val="00B22789"/>
    <w:rsid w:val="00B227E0"/>
    <w:rsid w:val="00B228C9"/>
    <w:rsid w:val="00B22A8A"/>
    <w:rsid w:val="00B22BCD"/>
    <w:rsid w:val="00B22CEF"/>
    <w:rsid w:val="00B22D47"/>
    <w:rsid w:val="00B22EB4"/>
    <w:rsid w:val="00B22ED3"/>
    <w:rsid w:val="00B23019"/>
    <w:rsid w:val="00B231A1"/>
    <w:rsid w:val="00B231AC"/>
    <w:rsid w:val="00B23201"/>
    <w:rsid w:val="00B2327A"/>
    <w:rsid w:val="00B232D0"/>
    <w:rsid w:val="00B233D6"/>
    <w:rsid w:val="00B233F5"/>
    <w:rsid w:val="00B23420"/>
    <w:rsid w:val="00B234B1"/>
    <w:rsid w:val="00B234DD"/>
    <w:rsid w:val="00B23582"/>
    <w:rsid w:val="00B23587"/>
    <w:rsid w:val="00B2360B"/>
    <w:rsid w:val="00B2361B"/>
    <w:rsid w:val="00B23645"/>
    <w:rsid w:val="00B236A6"/>
    <w:rsid w:val="00B236B0"/>
    <w:rsid w:val="00B23736"/>
    <w:rsid w:val="00B237A5"/>
    <w:rsid w:val="00B238C8"/>
    <w:rsid w:val="00B239EE"/>
    <w:rsid w:val="00B23B54"/>
    <w:rsid w:val="00B23B6C"/>
    <w:rsid w:val="00B23B86"/>
    <w:rsid w:val="00B23C4D"/>
    <w:rsid w:val="00B23D03"/>
    <w:rsid w:val="00B23D0C"/>
    <w:rsid w:val="00B23DCA"/>
    <w:rsid w:val="00B23F04"/>
    <w:rsid w:val="00B245D3"/>
    <w:rsid w:val="00B24698"/>
    <w:rsid w:val="00B246B6"/>
    <w:rsid w:val="00B24708"/>
    <w:rsid w:val="00B247C7"/>
    <w:rsid w:val="00B247EA"/>
    <w:rsid w:val="00B2483D"/>
    <w:rsid w:val="00B248D4"/>
    <w:rsid w:val="00B249EE"/>
    <w:rsid w:val="00B24A6A"/>
    <w:rsid w:val="00B24ABE"/>
    <w:rsid w:val="00B24ADF"/>
    <w:rsid w:val="00B24C23"/>
    <w:rsid w:val="00B24C53"/>
    <w:rsid w:val="00B24CAE"/>
    <w:rsid w:val="00B24CB5"/>
    <w:rsid w:val="00B24CE4"/>
    <w:rsid w:val="00B24D5D"/>
    <w:rsid w:val="00B24D61"/>
    <w:rsid w:val="00B24DA8"/>
    <w:rsid w:val="00B24E16"/>
    <w:rsid w:val="00B24E48"/>
    <w:rsid w:val="00B24EB5"/>
    <w:rsid w:val="00B24ED5"/>
    <w:rsid w:val="00B24F12"/>
    <w:rsid w:val="00B250E3"/>
    <w:rsid w:val="00B25115"/>
    <w:rsid w:val="00B2535F"/>
    <w:rsid w:val="00B253C1"/>
    <w:rsid w:val="00B25416"/>
    <w:rsid w:val="00B2544B"/>
    <w:rsid w:val="00B25473"/>
    <w:rsid w:val="00B25524"/>
    <w:rsid w:val="00B255CA"/>
    <w:rsid w:val="00B255DA"/>
    <w:rsid w:val="00B255FE"/>
    <w:rsid w:val="00B2563A"/>
    <w:rsid w:val="00B2563C"/>
    <w:rsid w:val="00B2566D"/>
    <w:rsid w:val="00B25770"/>
    <w:rsid w:val="00B25804"/>
    <w:rsid w:val="00B258A7"/>
    <w:rsid w:val="00B2593D"/>
    <w:rsid w:val="00B259D9"/>
    <w:rsid w:val="00B25A79"/>
    <w:rsid w:val="00B25A7D"/>
    <w:rsid w:val="00B25BC1"/>
    <w:rsid w:val="00B25C46"/>
    <w:rsid w:val="00B25C59"/>
    <w:rsid w:val="00B25D2A"/>
    <w:rsid w:val="00B25EB8"/>
    <w:rsid w:val="00B2618F"/>
    <w:rsid w:val="00B2628C"/>
    <w:rsid w:val="00B26365"/>
    <w:rsid w:val="00B2636F"/>
    <w:rsid w:val="00B2638A"/>
    <w:rsid w:val="00B263E7"/>
    <w:rsid w:val="00B26418"/>
    <w:rsid w:val="00B2642B"/>
    <w:rsid w:val="00B26440"/>
    <w:rsid w:val="00B2649B"/>
    <w:rsid w:val="00B264AA"/>
    <w:rsid w:val="00B264F3"/>
    <w:rsid w:val="00B266C1"/>
    <w:rsid w:val="00B266D1"/>
    <w:rsid w:val="00B26752"/>
    <w:rsid w:val="00B26756"/>
    <w:rsid w:val="00B267EE"/>
    <w:rsid w:val="00B26803"/>
    <w:rsid w:val="00B26824"/>
    <w:rsid w:val="00B26895"/>
    <w:rsid w:val="00B269FD"/>
    <w:rsid w:val="00B26A28"/>
    <w:rsid w:val="00B26A37"/>
    <w:rsid w:val="00B26B9D"/>
    <w:rsid w:val="00B26BFB"/>
    <w:rsid w:val="00B26C40"/>
    <w:rsid w:val="00B26CAF"/>
    <w:rsid w:val="00B26DB4"/>
    <w:rsid w:val="00B26EB0"/>
    <w:rsid w:val="00B26F12"/>
    <w:rsid w:val="00B27013"/>
    <w:rsid w:val="00B2704F"/>
    <w:rsid w:val="00B2706D"/>
    <w:rsid w:val="00B2706F"/>
    <w:rsid w:val="00B271C0"/>
    <w:rsid w:val="00B2729E"/>
    <w:rsid w:val="00B27417"/>
    <w:rsid w:val="00B274BD"/>
    <w:rsid w:val="00B274E9"/>
    <w:rsid w:val="00B27597"/>
    <w:rsid w:val="00B27628"/>
    <w:rsid w:val="00B2781C"/>
    <w:rsid w:val="00B27853"/>
    <w:rsid w:val="00B2798A"/>
    <w:rsid w:val="00B27A6C"/>
    <w:rsid w:val="00B27B39"/>
    <w:rsid w:val="00B27B84"/>
    <w:rsid w:val="00B27C40"/>
    <w:rsid w:val="00B27D42"/>
    <w:rsid w:val="00B27E4E"/>
    <w:rsid w:val="00B27EF1"/>
    <w:rsid w:val="00B27FD3"/>
    <w:rsid w:val="00B3000C"/>
    <w:rsid w:val="00B3003D"/>
    <w:rsid w:val="00B3007A"/>
    <w:rsid w:val="00B30085"/>
    <w:rsid w:val="00B30191"/>
    <w:rsid w:val="00B30240"/>
    <w:rsid w:val="00B3026E"/>
    <w:rsid w:val="00B30294"/>
    <w:rsid w:val="00B303C9"/>
    <w:rsid w:val="00B305B2"/>
    <w:rsid w:val="00B30656"/>
    <w:rsid w:val="00B30721"/>
    <w:rsid w:val="00B3080D"/>
    <w:rsid w:val="00B3087C"/>
    <w:rsid w:val="00B308DB"/>
    <w:rsid w:val="00B308E4"/>
    <w:rsid w:val="00B3095E"/>
    <w:rsid w:val="00B309CD"/>
    <w:rsid w:val="00B30A2B"/>
    <w:rsid w:val="00B30A40"/>
    <w:rsid w:val="00B30B16"/>
    <w:rsid w:val="00B30D16"/>
    <w:rsid w:val="00B30DF9"/>
    <w:rsid w:val="00B30EB8"/>
    <w:rsid w:val="00B30F77"/>
    <w:rsid w:val="00B3104B"/>
    <w:rsid w:val="00B310B6"/>
    <w:rsid w:val="00B311F7"/>
    <w:rsid w:val="00B31200"/>
    <w:rsid w:val="00B31207"/>
    <w:rsid w:val="00B31232"/>
    <w:rsid w:val="00B3128A"/>
    <w:rsid w:val="00B313F8"/>
    <w:rsid w:val="00B3143A"/>
    <w:rsid w:val="00B31576"/>
    <w:rsid w:val="00B31762"/>
    <w:rsid w:val="00B31809"/>
    <w:rsid w:val="00B31864"/>
    <w:rsid w:val="00B31A28"/>
    <w:rsid w:val="00B31A74"/>
    <w:rsid w:val="00B31B9D"/>
    <w:rsid w:val="00B31BB6"/>
    <w:rsid w:val="00B31C3F"/>
    <w:rsid w:val="00B31C92"/>
    <w:rsid w:val="00B31CD9"/>
    <w:rsid w:val="00B31CE4"/>
    <w:rsid w:val="00B31D10"/>
    <w:rsid w:val="00B31D57"/>
    <w:rsid w:val="00B31DB7"/>
    <w:rsid w:val="00B31DD7"/>
    <w:rsid w:val="00B31E57"/>
    <w:rsid w:val="00B31F03"/>
    <w:rsid w:val="00B31F28"/>
    <w:rsid w:val="00B31F84"/>
    <w:rsid w:val="00B31FA8"/>
    <w:rsid w:val="00B32055"/>
    <w:rsid w:val="00B320D8"/>
    <w:rsid w:val="00B32160"/>
    <w:rsid w:val="00B32264"/>
    <w:rsid w:val="00B3231D"/>
    <w:rsid w:val="00B32430"/>
    <w:rsid w:val="00B32438"/>
    <w:rsid w:val="00B32630"/>
    <w:rsid w:val="00B3268B"/>
    <w:rsid w:val="00B326B8"/>
    <w:rsid w:val="00B326E2"/>
    <w:rsid w:val="00B326E3"/>
    <w:rsid w:val="00B32845"/>
    <w:rsid w:val="00B3294B"/>
    <w:rsid w:val="00B329AF"/>
    <w:rsid w:val="00B32A36"/>
    <w:rsid w:val="00B32A65"/>
    <w:rsid w:val="00B32B07"/>
    <w:rsid w:val="00B32B47"/>
    <w:rsid w:val="00B32D59"/>
    <w:rsid w:val="00B32D7D"/>
    <w:rsid w:val="00B32DA7"/>
    <w:rsid w:val="00B32E12"/>
    <w:rsid w:val="00B32E29"/>
    <w:rsid w:val="00B32E30"/>
    <w:rsid w:val="00B32E4C"/>
    <w:rsid w:val="00B32EC1"/>
    <w:rsid w:val="00B330CA"/>
    <w:rsid w:val="00B33127"/>
    <w:rsid w:val="00B33175"/>
    <w:rsid w:val="00B33193"/>
    <w:rsid w:val="00B331B9"/>
    <w:rsid w:val="00B331C2"/>
    <w:rsid w:val="00B3340A"/>
    <w:rsid w:val="00B33417"/>
    <w:rsid w:val="00B334B7"/>
    <w:rsid w:val="00B3354D"/>
    <w:rsid w:val="00B335C4"/>
    <w:rsid w:val="00B33640"/>
    <w:rsid w:val="00B33786"/>
    <w:rsid w:val="00B337B9"/>
    <w:rsid w:val="00B337BF"/>
    <w:rsid w:val="00B33877"/>
    <w:rsid w:val="00B338CA"/>
    <w:rsid w:val="00B338F6"/>
    <w:rsid w:val="00B3399B"/>
    <w:rsid w:val="00B33A5C"/>
    <w:rsid w:val="00B33B2F"/>
    <w:rsid w:val="00B33B44"/>
    <w:rsid w:val="00B33B5E"/>
    <w:rsid w:val="00B33C44"/>
    <w:rsid w:val="00B33D96"/>
    <w:rsid w:val="00B33F7E"/>
    <w:rsid w:val="00B33FD0"/>
    <w:rsid w:val="00B33FDA"/>
    <w:rsid w:val="00B34070"/>
    <w:rsid w:val="00B34074"/>
    <w:rsid w:val="00B3431F"/>
    <w:rsid w:val="00B343FA"/>
    <w:rsid w:val="00B34447"/>
    <w:rsid w:val="00B34464"/>
    <w:rsid w:val="00B34523"/>
    <w:rsid w:val="00B34541"/>
    <w:rsid w:val="00B34570"/>
    <w:rsid w:val="00B34597"/>
    <w:rsid w:val="00B3465A"/>
    <w:rsid w:val="00B346F7"/>
    <w:rsid w:val="00B34815"/>
    <w:rsid w:val="00B34873"/>
    <w:rsid w:val="00B34997"/>
    <w:rsid w:val="00B34A69"/>
    <w:rsid w:val="00B34AC4"/>
    <w:rsid w:val="00B34B30"/>
    <w:rsid w:val="00B34B75"/>
    <w:rsid w:val="00B34BED"/>
    <w:rsid w:val="00B34C3B"/>
    <w:rsid w:val="00B34D72"/>
    <w:rsid w:val="00B34E34"/>
    <w:rsid w:val="00B34E4F"/>
    <w:rsid w:val="00B34F13"/>
    <w:rsid w:val="00B34FBD"/>
    <w:rsid w:val="00B3508D"/>
    <w:rsid w:val="00B350A4"/>
    <w:rsid w:val="00B350E3"/>
    <w:rsid w:val="00B35116"/>
    <w:rsid w:val="00B3513A"/>
    <w:rsid w:val="00B35188"/>
    <w:rsid w:val="00B3522A"/>
    <w:rsid w:val="00B354BC"/>
    <w:rsid w:val="00B35554"/>
    <w:rsid w:val="00B355D5"/>
    <w:rsid w:val="00B35670"/>
    <w:rsid w:val="00B356CD"/>
    <w:rsid w:val="00B35749"/>
    <w:rsid w:val="00B35786"/>
    <w:rsid w:val="00B3578C"/>
    <w:rsid w:val="00B357EB"/>
    <w:rsid w:val="00B35875"/>
    <w:rsid w:val="00B3590A"/>
    <w:rsid w:val="00B359C3"/>
    <w:rsid w:val="00B35A05"/>
    <w:rsid w:val="00B35A46"/>
    <w:rsid w:val="00B35AAC"/>
    <w:rsid w:val="00B35AC4"/>
    <w:rsid w:val="00B35C4D"/>
    <w:rsid w:val="00B35E23"/>
    <w:rsid w:val="00B35E50"/>
    <w:rsid w:val="00B35F80"/>
    <w:rsid w:val="00B35FDB"/>
    <w:rsid w:val="00B3604F"/>
    <w:rsid w:val="00B360E1"/>
    <w:rsid w:val="00B360FC"/>
    <w:rsid w:val="00B36138"/>
    <w:rsid w:val="00B36196"/>
    <w:rsid w:val="00B361EB"/>
    <w:rsid w:val="00B36320"/>
    <w:rsid w:val="00B3632B"/>
    <w:rsid w:val="00B366EA"/>
    <w:rsid w:val="00B3672C"/>
    <w:rsid w:val="00B36793"/>
    <w:rsid w:val="00B367CB"/>
    <w:rsid w:val="00B36811"/>
    <w:rsid w:val="00B36901"/>
    <w:rsid w:val="00B36947"/>
    <w:rsid w:val="00B369C0"/>
    <w:rsid w:val="00B369F3"/>
    <w:rsid w:val="00B369F5"/>
    <w:rsid w:val="00B36B0B"/>
    <w:rsid w:val="00B36B76"/>
    <w:rsid w:val="00B36B7C"/>
    <w:rsid w:val="00B36BC8"/>
    <w:rsid w:val="00B36D64"/>
    <w:rsid w:val="00B36D87"/>
    <w:rsid w:val="00B36DDF"/>
    <w:rsid w:val="00B36EF7"/>
    <w:rsid w:val="00B36FBF"/>
    <w:rsid w:val="00B37008"/>
    <w:rsid w:val="00B371D0"/>
    <w:rsid w:val="00B37203"/>
    <w:rsid w:val="00B372FD"/>
    <w:rsid w:val="00B3737E"/>
    <w:rsid w:val="00B37390"/>
    <w:rsid w:val="00B373E5"/>
    <w:rsid w:val="00B37472"/>
    <w:rsid w:val="00B374CB"/>
    <w:rsid w:val="00B3753F"/>
    <w:rsid w:val="00B37577"/>
    <w:rsid w:val="00B3761F"/>
    <w:rsid w:val="00B376F3"/>
    <w:rsid w:val="00B37742"/>
    <w:rsid w:val="00B3775F"/>
    <w:rsid w:val="00B37A22"/>
    <w:rsid w:val="00B37B10"/>
    <w:rsid w:val="00B37BA3"/>
    <w:rsid w:val="00B37C3F"/>
    <w:rsid w:val="00B37C64"/>
    <w:rsid w:val="00B37DF3"/>
    <w:rsid w:val="00B37E49"/>
    <w:rsid w:val="00B37EA9"/>
    <w:rsid w:val="00B3888F"/>
    <w:rsid w:val="00B4004F"/>
    <w:rsid w:val="00B40098"/>
    <w:rsid w:val="00B400F8"/>
    <w:rsid w:val="00B40172"/>
    <w:rsid w:val="00B40177"/>
    <w:rsid w:val="00B4017D"/>
    <w:rsid w:val="00B40188"/>
    <w:rsid w:val="00B40257"/>
    <w:rsid w:val="00B402C5"/>
    <w:rsid w:val="00B403D1"/>
    <w:rsid w:val="00B40425"/>
    <w:rsid w:val="00B40465"/>
    <w:rsid w:val="00B40518"/>
    <w:rsid w:val="00B4068F"/>
    <w:rsid w:val="00B40709"/>
    <w:rsid w:val="00B4084A"/>
    <w:rsid w:val="00B40884"/>
    <w:rsid w:val="00B408DB"/>
    <w:rsid w:val="00B4098B"/>
    <w:rsid w:val="00B409CF"/>
    <w:rsid w:val="00B40ADB"/>
    <w:rsid w:val="00B40B4F"/>
    <w:rsid w:val="00B40D3F"/>
    <w:rsid w:val="00B40D40"/>
    <w:rsid w:val="00B40D47"/>
    <w:rsid w:val="00B40DCD"/>
    <w:rsid w:val="00B40DDB"/>
    <w:rsid w:val="00B40E49"/>
    <w:rsid w:val="00B40EAF"/>
    <w:rsid w:val="00B40EB0"/>
    <w:rsid w:val="00B40EBA"/>
    <w:rsid w:val="00B40FBD"/>
    <w:rsid w:val="00B41023"/>
    <w:rsid w:val="00B41106"/>
    <w:rsid w:val="00B4114B"/>
    <w:rsid w:val="00B4115C"/>
    <w:rsid w:val="00B411B2"/>
    <w:rsid w:val="00B412AA"/>
    <w:rsid w:val="00B412F5"/>
    <w:rsid w:val="00B4130C"/>
    <w:rsid w:val="00B41512"/>
    <w:rsid w:val="00B41590"/>
    <w:rsid w:val="00B41598"/>
    <w:rsid w:val="00B415A3"/>
    <w:rsid w:val="00B415F5"/>
    <w:rsid w:val="00B416EC"/>
    <w:rsid w:val="00B41706"/>
    <w:rsid w:val="00B41855"/>
    <w:rsid w:val="00B418D8"/>
    <w:rsid w:val="00B418F2"/>
    <w:rsid w:val="00B419DA"/>
    <w:rsid w:val="00B41A40"/>
    <w:rsid w:val="00B41A65"/>
    <w:rsid w:val="00B41A7E"/>
    <w:rsid w:val="00B41ABA"/>
    <w:rsid w:val="00B41B2D"/>
    <w:rsid w:val="00B41BF4"/>
    <w:rsid w:val="00B41C3C"/>
    <w:rsid w:val="00B41C79"/>
    <w:rsid w:val="00B41D66"/>
    <w:rsid w:val="00B41E2A"/>
    <w:rsid w:val="00B41F83"/>
    <w:rsid w:val="00B41FBC"/>
    <w:rsid w:val="00B421B9"/>
    <w:rsid w:val="00B42202"/>
    <w:rsid w:val="00B42232"/>
    <w:rsid w:val="00B42281"/>
    <w:rsid w:val="00B42308"/>
    <w:rsid w:val="00B423BA"/>
    <w:rsid w:val="00B423C3"/>
    <w:rsid w:val="00B424A1"/>
    <w:rsid w:val="00B424A3"/>
    <w:rsid w:val="00B42513"/>
    <w:rsid w:val="00B425DB"/>
    <w:rsid w:val="00B42628"/>
    <w:rsid w:val="00B4262E"/>
    <w:rsid w:val="00B4271D"/>
    <w:rsid w:val="00B42808"/>
    <w:rsid w:val="00B4280C"/>
    <w:rsid w:val="00B428AD"/>
    <w:rsid w:val="00B42951"/>
    <w:rsid w:val="00B42A25"/>
    <w:rsid w:val="00B42AE5"/>
    <w:rsid w:val="00B42B28"/>
    <w:rsid w:val="00B42BB1"/>
    <w:rsid w:val="00B42CAC"/>
    <w:rsid w:val="00B42DCA"/>
    <w:rsid w:val="00B43055"/>
    <w:rsid w:val="00B43066"/>
    <w:rsid w:val="00B430D4"/>
    <w:rsid w:val="00B4310D"/>
    <w:rsid w:val="00B43120"/>
    <w:rsid w:val="00B431A0"/>
    <w:rsid w:val="00B431B2"/>
    <w:rsid w:val="00B43247"/>
    <w:rsid w:val="00B43259"/>
    <w:rsid w:val="00B4326A"/>
    <w:rsid w:val="00B433C4"/>
    <w:rsid w:val="00B43442"/>
    <w:rsid w:val="00B434E4"/>
    <w:rsid w:val="00B43506"/>
    <w:rsid w:val="00B435EB"/>
    <w:rsid w:val="00B43627"/>
    <w:rsid w:val="00B436B0"/>
    <w:rsid w:val="00B436F2"/>
    <w:rsid w:val="00B43746"/>
    <w:rsid w:val="00B4375F"/>
    <w:rsid w:val="00B43A03"/>
    <w:rsid w:val="00B43ACB"/>
    <w:rsid w:val="00B43B07"/>
    <w:rsid w:val="00B43B20"/>
    <w:rsid w:val="00B43BC1"/>
    <w:rsid w:val="00B43C21"/>
    <w:rsid w:val="00B43C54"/>
    <w:rsid w:val="00B43C6B"/>
    <w:rsid w:val="00B43C6F"/>
    <w:rsid w:val="00B43D8F"/>
    <w:rsid w:val="00B43DCA"/>
    <w:rsid w:val="00B43E86"/>
    <w:rsid w:val="00B43E9F"/>
    <w:rsid w:val="00B44038"/>
    <w:rsid w:val="00B440BB"/>
    <w:rsid w:val="00B44205"/>
    <w:rsid w:val="00B44223"/>
    <w:rsid w:val="00B44246"/>
    <w:rsid w:val="00B4426F"/>
    <w:rsid w:val="00B442A9"/>
    <w:rsid w:val="00B44434"/>
    <w:rsid w:val="00B44440"/>
    <w:rsid w:val="00B44497"/>
    <w:rsid w:val="00B444DE"/>
    <w:rsid w:val="00B44707"/>
    <w:rsid w:val="00B44801"/>
    <w:rsid w:val="00B4484C"/>
    <w:rsid w:val="00B44910"/>
    <w:rsid w:val="00B4492F"/>
    <w:rsid w:val="00B44A40"/>
    <w:rsid w:val="00B44A74"/>
    <w:rsid w:val="00B44A87"/>
    <w:rsid w:val="00B44B34"/>
    <w:rsid w:val="00B44BF8"/>
    <w:rsid w:val="00B44D51"/>
    <w:rsid w:val="00B44D8D"/>
    <w:rsid w:val="00B44DC5"/>
    <w:rsid w:val="00B44E03"/>
    <w:rsid w:val="00B44EC5"/>
    <w:rsid w:val="00B44FED"/>
    <w:rsid w:val="00B45040"/>
    <w:rsid w:val="00B450D3"/>
    <w:rsid w:val="00B450FC"/>
    <w:rsid w:val="00B45140"/>
    <w:rsid w:val="00B45285"/>
    <w:rsid w:val="00B45304"/>
    <w:rsid w:val="00B4535A"/>
    <w:rsid w:val="00B45449"/>
    <w:rsid w:val="00B454B6"/>
    <w:rsid w:val="00B454CA"/>
    <w:rsid w:val="00B45636"/>
    <w:rsid w:val="00B45686"/>
    <w:rsid w:val="00B4568A"/>
    <w:rsid w:val="00B45704"/>
    <w:rsid w:val="00B4573F"/>
    <w:rsid w:val="00B45952"/>
    <w:rsid w:val="00B45974"/>
    <w:rsid w:val="00B45AA8"/>
    <w:rsid w:val="00B45B64"/>
    <w:rsid w:val="00B45BC1"/>
    <w:rsid w:val="00B45BEE"/>
    <w:rsid w:val="00B45C19"/>
    <w:rsid w:val="00B45C38"/>
    <w:rsid w:val="00B45D17"/>
    <w:rsid w:val="00B45D5E"/>
    <w:rsid w:val="00B45E7F"/>
    <w:rsid w:val="00B45EDF"/>
    <w:rsid w:val="00B45F41"/>
    <w:rsid w:val="00B45F72"/>
    <w:rsid w:val="00B46076"/>
    <w:rsid w:val="00B4608A"/>
    <w:rsid w:val="00B46121"/>
    <w:rsid w:val="00B46171"/>
    <w:rsid w:val="00B461CE"/>
    <w:rsid w:val="00B461F7"/>
    <w:rsid w:val="00B4626B"/>
    <w:rsid w:val="00B462A4"/>
    <w:rsid w:val="00B462B8"/>
    <w:rsid w:val="00B46331"/>
    <w:rsid w:val="00B4639B"/>
    <w:rsid w:val="00B464C8"/>
    <w:rsid w:val="00B4665B"/>
    <w:rsid w:val="00B46718"/>
    <w:rsid w:val="00B46759"/>
    <w:rsid w:val="00B4675A"/>
    <w:rsid w:val="00B4687C"/>
    <w:rsid w:val="00B468B7"/>
    <w:rsid w:val="00B46977"/>
    <w:rsid w:val="00B46AA5"/>
    <w:rsid w:val="00B46B2F"/>
    <w:rsid w:val="00B46B35"/>
    <w:rsid w:val="00B46BAB"/>
    <w:rsid w:val="00B46C0E"/>
    <w:rsid w:val="00B46C3C"/>
    <w:rsid w:val="00B46C6B"/>
    <w:rsid w:val="00B46D4F"/>
    <w:rsid w:val="00B46E77"/>
    <w:rsid w:val="00B46E81"/>
    <w:rsid w:val="00B46F08"/>
    <w:rsid w:val="00B46FB2"/>
    <w:rsid w:val="00B47001"/>
    <w:rsid w:val="00B47085"/>
    <w:rsid w:val="00B470CA"/>
    <w:rsid w:val="00B470F9"/>
    <w:rsid w:val="00B4711C"/>
    <w:rsid w:val="00B4715E"/>
    <w:rsid w:val="00B471FF"/>
    <w:rsid w:val="00B47247"/>
    <w:rsid w:val="00B472CC"/>
    <w:rsid w:val="00B47305"/>
    <w:rsid w:val="00B47378"/>
    <w:rsid w:val="00B4740B"/>
    <w:rsid w:val="00B474CF"/>
    <w:rsid w:val="00B474D1"/>
    <w:rsid w:val="00B47530"/>
    <w:rsid w:val="00B47561"/>
    <w:rsid w:val="00B47601"/>
    <w:rsid w:val="00B4761B"/>
    <w:rsid w:val="00B476CF"/>
    <w:rsid w:val="00B478C6"/>
    <w:rsid w:val="00B47964"/>
    <w:rsid w:val="00B479B2"/>
    <w:rsid w:val="00B47D06"/>
    <w:rsid w:val="00B47D72"/>
    <w:rsid w:val="00B47E21"/>
    <w:rsid w:val="00B47E30"/>
    <w:rsid w:val="00B47E3C"/>
    <w:rsid w:val="00B47F06"/>
    <w:rsid w:val="00B47F0D"/>
    <w:rsid w:val="00B47FA9"/>
    <w:rsid w:val="00B47FD5"/>
    <w:rsid w:val="00B5001B"/>
    <w:rsid w:val="00B50125"/>
    <w:rsid w:val="00B501A1"/>
    <w:rsid w:val="00B5022A"/>
    <w:rsid w:val="00B50360"/>
    <w:rsid w:val="00B50379"/>
    <w:rsid w:val="00B503D3"/>
    <w:rsid w:val="00B5045E"/>
    <w:rsid w:val="00B504EE"/>
    <w:rsid w:val="00B50501"/>
    <w:rsid w:val="00B5054F"/>
    <w:rsid w:val="00B50619"/>
    <w:rsid w:val="00B50640"/>
    <w:rsid w:val="00B507C2"/>
    <w:rsid w:val="00B507C7"/>
    <w:rsid w:val="00B50824"/>
    <w:rsid w:val="00B5087C"/>
    <w:rsid w:val="00B5092D"/>
    <w:rsid w:val="00B50956"/>
    <w:rsid w:val="00B509EB"/>
    <w:rsid w:val="00B50AB2"/>
    <w:rsid w:val="00B50AE9"/>
    <w:rsid w:val="00B50B84"/>
    <w:rsid w:val="00B50C2D"/>
    <w:rsid w:val="00B50C4A"/>
    <w:rsid w:val="00B50EFD"/>
    <w:rsid w:val="00B50F16"/>
    <w:rsid w:val="00B50F30"/>
    <w:rsid w:val="00B50F34"/>
    <w:rsid w:val="00B50FFC"/>
    <w:rsid w:val="00B510C6"/>
    <w:rsid w:val="00B510DF"/>
    <w:rsid w:val="00B510E7"/>
    <w:rsid w:val="00B51121"/>
    <w:rsid w:val="00B511AB"/>
    <w:rsid w:val="00B51294"/>
    <w:rsid w:val="00B51311"/>
    <w:rsid w:val="00B51332"/>
    <w:rsid w:val="00B513B2"/>
    <w:rsid w:val="00B514B4"/>
    <w:rsid w:val="00B5156B"/>
    <w:rsid w:val="00B515DE"/>
    <w:rsid w:val="00B51614"/>
    <w:rsid w:val="00B516DF"/>
    <w:rsid w:val="00B517BB"/>
    <w:rsid w:val="00B5188F"/>
    <w:rsid w:val="00B518CC"/>
    <w:rsid w:val="00B518F5"/>
    <w:rsid w:val="00B519A9"/>
    <w:rsid w:val="00B51A7D"/>
    <w:rsid w:val="00B51B0E"/>
    <w:rsid w:val="00B51BEF"/>
    <w:rsid w:val="00B51C00"/>
    <w:rsid w:val="00B51C08"/>
    <w:rsid w:val="00B51C50"/>
    <w:rsid w:val="00B51D32"/>
    <w:rsid w:val="00B51D77"/>
    <w:rsid w:val="00B51F85"/>
    <w:rsid w:val="00B5205E"/>
    <w:rsid w:val="00B5211A"/>
    <w:rsid w:val="00B52236"/>
    <w:rsid w:val="00B52274"/>
    <w:rsid w:val="00B52300"/>
    <w:rsid w:val="00B52435"/>
    <w:rsid w:val="00B524A1"/>
    <w:rsid w:val="00B524D0"/>
    <w:rsid w:val="00B52523"/>
    <w:rsid w:val="00B52540"/>
    <w:rsid w:val="00B525CA"/>
    <w:rsid w:val="00B525E3"/>
    <w:rsid w:val="00B52608"/>
    <w:rsid w:val="00B52784"/>
    <w:rsid w:val="00B527BC"/>
    <w:rsid w:val="00B527E0"/>
    <w:rsid w:val="00B5282C"/>
    <w:rsid w:val="00B52832"/>
    <w:rsid w:val="00B528BA"/>
    <w:rsid w:val="00B528E9"/>
    <w:rsid w:val="00B52AD6"/>
    <w:rsid w:val="00B52BBD"/>
    <w:rsid w:val="00B52BCC"/>
    <w:rsid w:val="00B52C90"/>
    <w:rsid w:val="00B52CD9"/>
    <w:rsid w:val="00B52CE8"/>
    <w:rsid w:val="00B52D10"/>
    <w:rsid w:val="00B52E2E"/>
    <w:rsid w:val="00B52E6E"/>
    <w:rsid w:val="00B52E8D"/>
    <w:rsid w:val="00B52F8B"/>
    <w:rsid w:val="00B5302E"/>
    <w:rsid w:val="00B5318C"/>
    <w:rsid w:val="00B531D5"/>
    <w:rsid w:val="00B53278"/>
    <w:rsid w:val="00B53340"/>
    <w:rsid w:val="00B53474"/>
    <w:rsid w:val="00B53495"/>
    <w:rsid w:val="00B534B1"/>
    <w:rsid w:val="00B5355D"/>
    <w:rsid w:val="00B53561"/>
    <w:rsid w:val="00B53606"/>
    <w:rsid w:val="00B53631"/>
    <w:rsid w:val="00B537C3"/>
    <w:rsid w:val="00B537C5"/>
    <w:rsid w:val="00B5380C"/>
    <w:rsid w:val="00B5381E"/>
    <w:rsid w:val="00B538B7"/>
    <w:rsid w:val="00B539D2"/>
    <w:rsid w:val="00B53A1C"/>
    <w:rsid w:val="00B53A23"/>
    <w:rsid w:val="00B53A70"/>
    <w:rsid w:val="00B53A72"/>
    <w:rsid w:val="00B53A7B"/>
    <w:rsid w:val="00B53BC5"/>
    <w:rsid w:val="00B53C10"/>
    <w:rsid w:val="00B53C22"/>
    <w:rsid w:val="00B53DA3"/>
    <w:rsid w:val="00B53DDD"/>
    <w:rsid w:val="00B53E3A"/>
    <w:rsid w:val="00B53E3F"/>
    <w:rsid w:val="00B53E6A"/>
    <w:rsid w:val="00B53F6D"/>
    <w:rsid w:val="00B53FA1"/>
    <w:rsid w:val="00B5409B"/>
    <w:rsid w:val="00B541CE"/>
    <w:rsid w:val="00B5424D"/>
    <w:rsid w:val="00B54255"/>
    <w:rsid w:val="00B5426E"/>
    <w:rsid w:val="00B544A8"/>
    <w:rsid w:val="00B544B2"/>
    <w:rsid w:val="00B5466D"/>
    <w:rsid w:val="00B5476F"/>
    <w:rsid w:val="00B5477E"/>
    <w:rsid w:val="00B5484B"/>
    <w:rsid w:val="00B548BF"/>
    <w:rsid w:val="00B54907"/>
    <w:rsid w:val="00B5492C"/>
    <w:rsid w:val="00B54987"/>
    <w:rsid w:val="00B54AA1"/>
    <w:rsid w:val="00B54CCD"/>
    <w:rsid w:val="00B54D7B"/>
    <w:rsid w:val="00B54EF9"/>
    <w:rsid w:val="00B54FBB"/>
    <w:rsid w:val="00B54FBD"/>
    <w:rsid w:val="00B5514F"/>
    <w:rsid w:val="00B5522F"/>
    <w:rsid w:val="00B5524F"/>
    <w:rsid w:val="00B5525C"/>
    <w:rsid w:val="00B5526C"/>
    <w:rsid w:val="00B55335"/>
    <w:rsid w:val="00B554FE"/>
    <w:rsid w:val="00B55542"/>
    <w:rsid w:val="00B55572"/>
    <w:rsid w:val="00B555FB"/>
    <w:rsid w:val="00B556D4"/>
    <w:rsid w:val="00B556FD"/>
    <w:rsid w:val="00B557FA"/>
    <w:rsid w:val="00B55881"/>
    <w:rsid w:val="00B5592F"/>
    <w:rsid w:val="00B559BA"/>
    <w:rsid w:val="00B55A2A"/>
    <w:rsid w:val="00B55A67"/>
    <w:rsid w:val="00B55A7A"/>
    <w:rsid w:val="00B55B9D"/>
    <w:rsid w:val="00B55BA3"/>
    <w:rsid w:val="00B55C15"/>
    <w:rsid w:val="00B55DC5"/>
    <w:rsid w:val="00B55EDF"/>
    <w:rsid w:val="00B55F5B"/>
    <w:rsid w:val="00B5602B"/>
    <w:rsid w:val="00B5607A"/>
    <w:rsid w:val="00B56083"/>
    <w:rsid w:val="00B560DB"/>
    <w:rsid w:val="00B5618C"/>
    <w:rsid w:val="00B561C1"/>
    <w:rsid w:val="00B5622D"/>
    <w:rsid w:val="00B562C4"/>
    <w:rsid w:val="00B56349"/>
    <w:rsid w:val="00B563D4"/>
    <w:rsid w:val="00B56459"/>
    <w:rsid w:val="00B565AB"/>
    <w:rsid w:val="00B56674"/>
    <w:rsid w:val="00B568A8"/>
    <w:rsid w:val="00B5694E"/>
    <w:rsid w:val="00B56972"/>
    <w:rsid w:val="00B56A1E"/>
    <w:rsid w:val="00B56AB9"/>
    <w:rsid w:val="00B56B18"/>
    <w:rsid w:val="00B56B6D"/>
    <w:rsid w:val="00B56C54"/>
    <w:rsid w:val="00B56D88"/>
    <w:rsid w:val="00B56DB1"/>
    <w:rsid w:val="00B56DBC"/>
    <w:rsid w:val="00B56F1E"/>
    <w:rsid w:val="00B56F40"/>
    <w:rsid w:val="00B56FE6"/>
    <w:rsid w:val="00B57054"/>
    <w:rsid w:val="00B57085"/>
    <w:rsid w:val="00B5709C"/>
    <w:rsid w:val="00B570B9"/>
    <w:rsid w:val="00B57143"/>
    <w:rsid w:val="00B57193"/>
    <w:rsid w:val="00B572FC"/>
    <w:rsid w:val="00B5731B"/>
    <w:rsid w:val="00B57505"/>
    <w:rsid w:val="00B5761B"/>
    <w:rsid w:val="00B578C3"/>
    <w:rsid w:val="00B57918"/>
    <w:rsid w:val="00B57A58"/>
    <w:rsid w:val="00B57A69"/>
    <w:rsid w:val="00B57BB1"/>
    <w:rsid w:val="00B57CE6"/>
    <w:rsid w:val="00B57D21"/>
    <w:rsid w:val="00B57DAB"/>
    <w:rsid w:val="00B57DE9"/>
    <w:rsid w:val="00B57E1F"/>
    <w:rsid w:val="00B57E4F"/>
    <w:rsid w:val="00B60022"/>
    <w:rsid w:val="00B600FB"/>
    <w:rsid w:val="00B60382"/>
    <w:rsid w:val="00B6058A"/>
    <w:rsid w:val="00B605DF"/>
    <w:rsid w:val="00B6060F"/>
    <w:rsid w:val="00B606B5"/>
    <w:rsid w:val="00B606C0"/>
    <w:rsid w:val="00B606D4"/>
    <w:rsid w:val="00B60722"/>
    <w:rsid w:val="00B60762"/>
    <w:rsid w:val="00B607E0"/>
    <w:rsid w:val="00B60888"/>
    <w:rsid w:val="00B60899"/>
    <w:rsid w:val="00B608AB"/>
    <w:rsid w:val="00B60A32"/>
    <w:rsid w:val="00B60B1D"/>
    <w:rsid w:val="00B60B8C"/>
    <w:rsid w:val="00B60D15"/>
    <w:rsid w:val="00B60D55"/>
    <w:rsid w:val="00B60DD9"/>
    <w:rsid w:val="00B60E30"/>
    <w:rsid w:val="00B60EC9"/>
    <w:rsid w:val="00B611CB"/>
    <w:rsid w:val="00B611CD"/>
    <w:rsid w:val="00B6121F"/>
    <w:rsid w:val="00B6122A"/>
    <w:rsid w:val="00B61248"/>
    <w:rsid w:val="00B6124F"/>
    <w:rsid w:val="00B613A7"/>
    <w:rsid w:val="00B61451"/>
    <w:rsid w:val="00B61503"/>
    <w:rsid w:val="00B61547"/>
    <w:rsid w:val="00B6154B"/>
    <w:rsid w:val="00B615C7"/>
    <w:rsid w:val="00B6172D"/>
    <w:rsid w:val="00B61795"/>
    <w:rsid w:val="00B617C6"/>
    <w:rsid w:val="00B618A5"/>
    <w:rsid w:val="00B618BE"/>
    <w:rsid w:val="00B618E8"/>
    <w:rsid w:val="00B61907"/>
    <w:rsid w:val="00B61984"/>
    <w:rsid w:val="00B6198F"/>
    <w:rsid w:val="00B619D9"/>
    <w:rsid w:val="00B61B0B"/>
    <w:rsid w:val="00B61B56"/>
    <w:rsid w:val="00B61B66"/>
    <w:rsid w:val="00B61BAE"/>
    <w:rsid w:val="00B61C06"/>
    <w:rsid w:val="00B61C3C"/>
    <w:rsid w:val="00B61C94"/>
    <w:rsid w:val="00B61CDC"/>
    <w:rsid w:val="00B61CFC"/>
    <w:rsid w:val="00B61D59"/>
    <w:rsid w:val="00B61D90"/>
    <w:rsid w:val="00B61DA9"/>
    <w:rsid w:val="00B61E77"/>
    <w:rsid w:val="00B61EB4"/>
    <w:rsid w:val="00B61F14"/>
    <w:rsid w:val="00B61F46"/>
    <w:rsid w:val="00B61F73"/>
    <w:rsid w:val="00B61F96"/>
    <w:rsid w:val="00B62054"/>
    <w:rsid w:val="00B62205"/>
    <w:rsid w:val="00B62495"/>
    <w:rsid w:val="00B626AF"/>
    <w:rsid w:val="00B6281F"/>
    <w:rsid w:val="00B62957"/>
    <w:rsid w:val="00B629B9"/>
    <w:rsid w:val="00B62A13"/>
    <w:rsid w:val="00B62A96"/>
    <w:rsid w:val="00B62B20"/>
    <w:rsid w:val="00B62B4F"/>
    <w:rsid w:val="00B62B9E"/>
    <w:rsid w:val="00B62D0A"/>
    <w:rsid w:val="00B62DB2"/>
    <w:rsid w:val="00B62F15"/>
    <w:rsid w:val="00B62F50"/>
    <w:rsid w:val="00B62F8F"/>
    <w:rsid w:val="00B630A9"/>
    <w:rsid w:val="00B6336F"/>
    <w:rsid w:val="00B6338C"/>
    <w:rsid w:val="00B633B5"/>
    <w:rsid w:val="00B633BE"/>
    <w:rsid w:val="00B63494"/>
    <w:rsid w:val="00B634C4"/>
    <w:rsid w:val="00B634DF"/>
    <w:rsid w:val="00B63637"/>
    <w:rsid w:val="00B6375B"/>
    <w:rsid w:val="00B6378F"/>
    <w:rsid w:val="00B638F0"/>
    <w:rsid w:val="00B63A6C"/>
    <w:rsid w:val="00B63AB0"/>
    <w:rsid w:val="00B63AEE"/>
    <w:rsid w:val="00B63B04"/>
    <w:rsid w:val="00B63B7D"/>
    <w:rsid w:val="00B63BC4"/>
    <w:rsid w:val="00B63BE0"/>
    <w:rsid w:val="00B63C70"/>
    <w:rsid w:val="00B63CBE"/>
    <w:rsid w:val="00B63D06"/>
    <w:rsid w:val="00B63D3E"/>
    <w:rsid w:val="00B63D7D"/>
    <w:rsid w:val="00B63D81"/>
    <w:rsid w:val="00B63DDD"/>
    <w:rsid w:val="00B63DF5"/>
    <w:rsid w:val="00B63EB4"/>
    <w:rsid w:val="00B63FC5"/>
    <w:rsid w:val="00B64078"/>
    <w:rsid w:val="00B64104"/>
    <w:rsid w:val="00B6412A"/>
    <w:rsid w:val="00B64214"/>
    <w:rsid w:val="00B64217"/>
    <w:rsid w:val="00B64358"/>
    <w:rsid w:val="00B643A7"/>
    <w:rsid w:val="00B64459"/>
    <w:rsid w:val="00B64463"/>
    <w:rsid w:val="00B644CB"/>
    <w:rsid w:val="00B644FA"/>
    <w:rsid w:val="00B64585"/>
    <w:rsid w:val="00B6463C"/>
    <w:rsid w:val="00B646A9"/>
    <w:rsid w:val="00B64710"/>
    <w:rsid w:val="00B647F2"/>
    <w:rsid w:val="00B6499F"/>
    <w:rsid w:val="00B649BC"/>
    <w:rsid w:val="00B64AF9"/>
    <w:rsid w:val="00B64B70"/>
    <w:rsid w:val="00B64BC9"/>
    <w:rsid w:val="00B64C08"/>
    <w:rsid w:val="00B64C75"/>
    <w:rsid w:val="00B64CF5"/>
    <w:rsid w:val="00B64D3D"/>
    <w:rsid w:val="00B64D6F"/>
    <w:rsid w:val="00B64D76"/>
    <w:rsid w:val="00B64EB3"/>
    <w:rsid w:val="00B64F49"/>
    <w:rsid w:val="00B6502B"/>
    <w:rsid w:val="00B650D5"/>
    <w:rsid w:val="00B65207"/>
    <w:rsid w:val="00B65242"/>
    <w:rsid w:val="00B652BF"/>
    <w:rsid w:val="00B653FF"/>
    <w:rsid w:val="00B65404"/>
    <w:rsid w:val="00B6560F"/>
    <w:rsid w:val="00B656CA"/>
    <w:rsid w:val="00B65889"/>
    <w:rsid w:val="00B65907"/>
    <w:rsid w:val="00B65973"/>
    <w:rsid w:val="00B659EF"/>
    <w:rsid w:val="00B659F8"/>
    <w:rsid w:val="00B65A45"/>
    <w:rsid w:val="00B65A4C"/>
    <w:rsid w:val="00B65A9D"/>
    <w:rsid w:val="00B65B34"/>
    <w:rsid w:val="00B65D5C"/>
    <w:rsid w:val="00B65DEA"/>
    <w:rsid w:val="00B65EA6"/>
    <w:rsid w:val="00B65EBE"/>
    <w:rsid w:val="00B65F34"/>
    <w:rsid w:val="00B65F7D"/>
    <w:rsid w:val="00B65FA2"/>
    <w:rsid w:val="00B66019"/>
    <w:rsid w:val="00B66146"/>
    <w:rsid w:val="00B661C4"/>
    <w:rsid w:val="00B6621F"/>
    <w:rsid w:val="00B662C7"/>
    <w:rsid w:val="00B663B3"/>
    <w:rsid w:val="00B6647F"/>
    <w:rsid w:val="00B66484"/>
    <w:rsid w:val="00B6657C"/>
    <w:rsid w:val="00B665F6"/>
    <w:rsid w:val="00B668B5"/>
    <w:rsid w:val="00B6698A"/>
    <w:rsid w:val="00B669D9"/>
    <w:rsid w:val="00B66A0A"/>
    <w:rsid w:val="00B66A2B"/>
    <w:rsid w:val="00B66B38"/>
    <w:rsid w:val="00B66B3D"/>
    <w:rsid w:val="00B66B8A"/>
    <w:rsid w:val="00B66B93"/>
    <w:rsid w:val="00B66BB0"/>
    <w:rsid w:val="00B66BC6"/>
    <w:rsid w:val="00B66CC1"/>
    <w:rsid w:val="00B66CD2"/>
    <w:rsid w:val="00B66D33"/>
    <w:rsid w:val="00B66D8C"/>
    <w:rsid w:val="00B66DC2"/>
    <w:rsid w:val="00B66DF1"/>
    <w:rsid w:val="00B66E09"/>
    <w:rsid w:val="00B66EFE"/>
    <w:rsid w:val="00B66F2D"/>
    <w:rsid w:val="00B66F4E"/>
    <w:rsid w:val="00B6700E"/>
    <w:rsid w:val="00B6703C"/>
    <w:rsid w:val="00B6705E"/>
    <w:rsid w:val="00B67144"/>
    <w:rsid w:val="00B67209"/>
    <w:rsid w:val="00B67222"/>
    <w:rsid w:val="00B672BE"/>
    <w:rsid w:val="00B672FB"/>
    <w:rsid w:val="00B67337"/>
    <w:rsid w:val="00B67370"/>
    <w:rsid w:val="00B67389"/>
    <w:rsid w:val="00B675F9"/>
    <w:rsid w:val="00B6762D"/>
    <w:rsid w:val="00B676F9"/>
    <w:rsid w:val="00B67716"/>
    <w:rsid w:val="00B6776F"/>
    <w:rsid w:val="00B67863"/>
    <w:rsid w:val="00B678AA"/>
    <w:rsid w:val="00B67A12"/>
    <w:rsid w:val="00B67B6C"/>
    <w:rsid w:val="00B67BDA"/>
    <w:rsid w:val="00B67CF0"/>
    <w:rsid w:val="00B67DDE"/>
    <w:rsid w:val="00B67E09"/>
    <w:rsid w:val="00B67E33"/>
    <w:rsid w:val="00B67E35"/>
    <w:rsid w:val="00B7011E"/>
    <w:rsid w:val="00B70148"/>
    <w:rsid w:val="00B70174"/>
    <w:rsid w:val="00B70252"/>
    <w:rsid w:val="00B702EE"/>
    <w:rsid w:val="00B70547"/>
    <w:rsid w:val="00B705F5"/>
    <w:rsid w:val="00B70612"/>
    <w:rsid w:val="00B70654"/>
    <w:rsid w:val="00B70807"/>
    <w:rsid w:val="00B70842"/>
    <w:rsid w:val="00B7085D"/>
    <w:rsid w:val="00B708C0"/>
    <w:rsid w:val="00B70936"/>
    <w:rsid w:val="00B709B8"/>
    <w:rsid w:val="00B709D6"/>
    <w:rsid w:val="00B70A46"/>
    <w:rsid w:val="00B70AF9"/>
    <w:rsid w:val="00B70B50"/>
    <w:rsid w:val="00B70B63"/>
    <w:rsid w:val="00B70B96"/>
    <w:rsid w:val="00B70DB7"/>
    <w:rsid w:val="00B70E38"/>
    <w:rsid w:val="00B70EAA"/>
    <w:rsid w:val="00B70EB8"/>
    <w:rsid w:val="00B70F3D"/>
    <w:rsid w:val="00B70F3E"/>
    <w:rsid w:val="00B70F64"/>
    <w:rsid w:val="00B71077"/>
    <w:rsid w:val="00B7113F"/>
    <w:rsid w:val="00B71154"/>
    <w:rsid w:val="00B711C2"/>
    <w:rsid w:val="00B71375"/>
    <w:rsid w:val="00B71544"/>
    <w:rsid w:val="00B715A2"/>
    <w:rsid w:val="00B715D5"/>
    <w:rsid w:val="00B71635"/>
    <w:rsid w:val="00B716F2"/>
    <w:rsid w:val="00B71765"/>
    <w:rsid w:val="00B71792"/>
    <w:rsid w:val="00B717A8"/>
    <w:rsid w:val="00B717E9"/>
    <w:rsid w:val="00B71894"/>
    <w:rsid w:val="00B718A8"/>
    <w:rsid w:val="00B7198B"/>
    <w:rsid w:val="00B71A7C"/>
    <w:rsid w:val="00B71AF3"/>
    <w:rsid w:val="00B71BB2"/>
    <w:rsid w:val="00B71EA1"/>
    <w:rsid w:val="00B71EAA"/>
    <w:rsid w:val="00B72150"/>
    <w:rsid w:val="00B72188"/>
    <w:rsid w:val="00B721EC"/>
    <w:rsid w:val="00B72256"/>
    <w:rsid w:val="00B722EF"/>
    <w:rsid w:val="00B72448"/>
    <w:rsid w:val="00B72594"/>
    <w:rsid w:val="00B7264C"/>
    <w:rsid w:val="00B72689"/>
    <w:rsid w:val="00B727EE"/>
    <w:rsid w:val="00B7280C"/>
    <w:rsid w:val="00B7287A"/>
    <w:rsid w:val="00B72896"/>
    <w:rsid w:val="00B728DE"/>
    <w:rsid w:val="00B728F8"/>
    <w:rsid w:val="00B7297B"/>
    <w:rsid w:val="00B729A1"/>
    <w:rsid w:val="00B729D2"/>
    <w:rsid w:val="00B729F5"/>
    <w:rsid w:val="00B72B10"/>
    <w:rsid w:val="00B72B83"/>
    <w:rsid w:val="00B72B8F"/>
    <w:rsid w:val="00B72C1B"/>
    <w:rsid w:val="00B72CE4"/>
    <w:rsid w:val="00B72DFF"/>
    <w:rsid w:val="00B72E11"/>
    <w:rsid w:val="00B72E6F"/>
    <w:rsid w:val="00B72E87"/>
    <w:rsid w:val="00B72F23"/>
    <w:rsid w:val="00B72F3D"/>
    <w:rsid w:val="00B72F9A"/>
    <w:rsid w:val="00B72FF7"/>
    <w:rsid w:val="00B7316A"/>
    <w:rsid w:val="00B731BC"/>
    <w:rsid w:val="00B732AE"/>
    <w:rsid w:val="00B7334B"/>
    <w:rsid w:val="00B733AE"/>
    <w:rsid w:val="00B7340B"/>
    <w:rsid w:val="00B73482"/>
    <w:rsid w:val="00B734C8"/>
    <w:rsid w:val="00B7360D"/>
    <w:rsid w:val="00B73682"/>
    <w:rsid w:val="00B736AC"/>
    <w:rsid w:val="00B73768"/>
    <w:rsid w:val="00B73795"/>
    <w:rsid w:val="00B7394E"/>
    <w:rsid w:val="00B739D0"/>
    <w:rsid w:val="00B739F9"/>
    <w:rsid w:val="00B73B28"/>
    <w:rsid w:val="00B73B49"/>
    <w:rsid w:val="00B73B57"/>
    <w:rsid w:val="00B73C74"/>
    <w:rsid w:val="00B73C8A"/>
    <w:rsid w:val="00B73CD7"/>
    <w:rsid w:val="00B73D87"/>
    <w:rsid w:val="00B73FE3"/>
    <w:rsid w:val="00B74035"/>
    <w:rsid w:val="00B7404F"/>
    <w:rsid w:val="00B740F0"/>
    <w:rsid w:val="00B742D2"/>
    <w:rsid w:val="00B742E7"/>
    <w:rsid w:val="00B7436D"/>
    <w:rsid w:val="00B7439E"/>
    <w:rsid w:val="00B743C9"/>
    <w:rsid w:val="00B74441"/>
    <w:rsid w:val="00B744C6"/>
    <w:rsid w:val="00B7454C"/>
    <w:rsid w:val="00B745B8"/>
    <w:rsid w:val="00B74697"/>
    <w:rsid w:val="00B746BF"/>
    <w:rsid w:val="00B746D2"/>
    <w:rsid w:val="00B7473C"/>
    <w:rsid w:val="00B7488F"/>
    <w:rsid w:val="00B74891"/>
    <w:rsid w:val="00B749A7"/>
    <w:rsid w:val="00B74A1E"/>
    <w:rsid w:val="00B74A76"/>
    <w:rsid w:val="00B74B75"/>
    <w:rsid w:val="00B74BA7"/>
    <w:rsid w:val="00B74BCE"/>
    <w:rsid w:val="00B74C10"/>
    <w:rsid w:val="00B74C43"/>
    <w:rsid w:val="00B74E6E"/>
    <w:rsid w:val="00B74E7E"/>
    <w:rsid w:val="00B74F71"/>
    <w:rsid w:val="00B750A1"/>
    <w:rsid w:val="00B750AC"/>
    <w:rsid w:val="00B750CC"/>
    <w:rsid w:val="00B7512E"/>
    <w:rsid w:val="00B75163"/>
    <w:rsid w:val="00B752CF"/>
    <w:rsid w:val="00B752E5"/>
    <w:rsid w:val="00B752F7"/>
    <w:rsid w:val="00B75304"/>
    <w:rsid w:val="00B7536B"/>
    <w:rsid w:val="00B75390"/>
    <w:rsid w:val="00B75460"/>
    <w:rsid w:val="00B7546D"/>
    <w:rsid w:val="00B75569"/>
    <w:rsid w:val="00B7557F"/>
    <w:rsid w:val="00B75714"/>
    <w:rsid w:val="00B75809"/>
    <w:rsid w:val="00B7584D"/>
    <w:rsid w:val="00B7587B"/>
    <w:rsid w:val="00B75AA7"/>
    <w:rsid w:val="00B75AF9"/>
    <w:rsid w:val="00B75BB3"/>
    <w:rsid w:val="00B75BE7"/>
    <w:rsid w:val="00B75D18"/>
    <w:rsid w:val="00B75E32"/>
    <w:rsid w:val="00B75E6E"/>
    <w:rsid w:val="00B75EDA"/>
    <w:rsid w:val="00B75F0A"/>
    <w:rsid w:val="00B75F34"/>
    <w:rsid w:val="00B76009"/>
    <w:rsid w:val="00B76038"/>
    <w:rsid w:val="00B7611D"/>
    <w:rsid w:val="00B761E1"/>
    <w:rsid w:val="00B763D1"/>
    <w:rsid w:val="00B76404"/>
    <w:rsid w:val="00B7640D"/>
    <w:rsid w:val="00B76426"/>
    <w:rsid w:val="00B764AC"/>
    <w:rsid w:val="00B765E1"/>
    <w:rsid w:val="00B766FE"/>
    <w:rsid w:val="00B7675F"/>
    <w:rsid w:val="00B767B7"/>
    <w:rsid w:val="00B767BE"/>
    <w:rsid w:val="00B769D4"/>
    <w:rsid w:val="00B769D8"/>
    <w:rsid w:val="00B769EA"/>
    <w:rsid w:val="00B76AE8"/>
    <w:rsid w:val="00B76B13"/>
    <w:rsid w:val="00B76B14"/>
    <w:rsid w:val="00B76B23"/>
    <w:rsid w:val="00B76C1A"/>
    <w:rsid w:val="00B76CBD"/>
    <w:rsid w:val="00B76D02"/>
    <w:rsid w:val="00B76F1F"/>
    <w:rsid w:val="00B76F8D"/>
    <w:rsid w:val="00B77173"/>
    <w:rsid w:val="00B77185"/>
    <w:rsid w:val="00B771A7"/>
    <w:rsid w:val="00B77209"/>
    <w:rsid w:val="00B7736A"/>
    <w:rsid w:val="00B773C5"/>
    <w:rsid w:val="00B7741D"/>
    <w:rsid w:val="00B774D5"/>
    <w:rsid w:val="00B774E8"/>
    <w:rsid w:val="00B775A9"/>
    <w:rsid w:val="00B77643"/>
    <w:rsid w:val="00B776E0"/>
    <w:rsid w:val="00B77725"/>
    <w:rsid w:val="00B7775D"/>
    <w:rsid w:val="00B77787"/>
    <w:rsid w:val="00B7779F"/>
    <w:rsid w:val="00B777A1"/>
    <w:rsid w:val="00B777BA"/>
    <w:rsid w:val="00B777BC"/>
    <w:rsid w:val="00B777BD"/>
    <w:rsid w:val="00B77908"/>
    <w:rsid w:val="00B77B51"/>
    <w:rsid w:val="00B77C15"/>
    <w:rsid w:val="00B77C3F"/>
    <w:rsid w:val="00B77C56"/>
    <w:rsid w:val="00B77C59"/>
    <w:rsid w:val="00B77C6D"/>
    <w:rsid w:val="00B77CEE"/>
    <w:rsid w:val="00B77D13"/>
    <w:rsid w:val="00B77D47"/>
    <w:rsid w:val="00B77E80"/>
    <w:rsid w:val="00B77E9D"/>
    <w:rsid w:val="00B77F2D"/>
    <w:rsid w:val="00B77FBC"/>
    <w:rsid w:val="00B77FC4"/>
    <w:rsid w:val="00B8006B"/>
    <w:rsid w:val="00B80146"/>
    <w:rsid w:val="00B801F4"/>
    <w:rsid w:val="00B80220"/>
    <w:rsid w:val="00B80240"/>
    <w:rsid w:val="00B8025E"/>
    <w:rsid w:val="00B8026C"/>
    <w:rsid w:val="00B80270"/>
    <w:rsid w:val="00B8034D"/>
    <w:rsid w:val="00B805B0"/>
    <w:rsid w:val="00B80607"/>
    <w:rsid w:val="00B8062A"/>
    <w:rsid w:val="00B80648"/>
    <w:rsid w:val="00B80685"/>
    <w:rsid w:val="00B8080A"/>
    <w:rsid w:val="00B80831"/>
    <w:rsid w:val="00B80B0D"/>
    <w:rsid w:val="00B80BE0"/>
    <w:rsid w:val="00B80C36"/>
    <w:rsid w:val="00B80CC1"/>
    <w:rsid w:val="00B80CE1"/>
    <w:rsid w:val="00B80E02"/>
    <w:rsid w:val="00B80F1F"/>
    <w:rsid w:val="00B80F67"/>
    <w:rsid w:val="00B80FB7"/>
    <w:rsid w:val="00B8120D"/>
    <w:rsid w:val="00B8137F"/>
    <w:rsid w:val="00B81416"/>
    <w:rsid w:val="00B81583"/>
    <w:rsid w:val="00B816B7"/>
    <w:rsid w:val="00B816DA"/>
    <w:rsid w:val="00B81982"/>
    <w:rsid w:val="00B81A24"/>
    <w:rsid w:val="00B81B04"/>
    <w:rsid w:val="00B81B5A"/>
    <w:rsid w:val="00B81C23"/>
    <w:rsid w:val="00B81C5E"/>
    <w:rsid w:val="00B81DF7"/>
    <w:rsid w:val="00B81E5A"/>
    <w:rsid w:val="00B81EFD"/>
    <w:rsid w:val="00B81F79"/>
    <w:rsid w:val="00B81FE2"/>
    <w:rsid w:val="00B82083"/>
    <w:rsid w:val="00B8214B"/>
    <w:rsid w:val="00B8214F"/>
    <w:rsid w:val="00B8216C"/>
    <w:rsid w:val="00B82178"/>
    <w:rsid w:val="00B82186"/>
    <w:rsid w:val="00B822FA"/>
    <w:rsid w:val="00B82323"/>
    <w:rsid w:val="00B82397"/>
    <w:rsid w:val="00B823B2"/>
    <w:rsid w:val="00B8249D"/>
    <w:rsid w:val="00B824E4"/>
    <w:rsid w:val="00B825C0"/>
    <w:rsid w:val="00B825CE"/>
    <w:rsid w:val="00B82602"/>
    <w:rsid w:val="00B82639"/>
    <w:rsid w:val="00B826E7"/>
    <w:rsid w:val="00B827C0"/>
    <w:rsid w:val="00B82834"/>
    <w:rsid w:val="00B8289D"/>
    <w:rsid w:val="00B82925"/>
    <w:rsid w:val="00B82940"/>
    <w:rsid w:val="00B82955"/>
    <w:rsid w:val="00B82AFF"/>
    <w:rsid w:val="00B82B43"/>
    <w:rsid w:val="00B82B71"/>
    <w:rsid w:val="00B82BAA"/>
    <w:rsid w:val="00B82BDA"/>
    <w:rsid w:val="00B82BF3"/>
    <w:rsid w:val="00B82CA9"/>
    <w:rsid w:val="00B82DC9"/>
    <w:rsid w:val="00B82E64"/>
    <w:rsid w:val="00B82E8F"/>
    <w:rsid w:val="00B830F7"/>
    <w:rsid w:val="00B83118"/>
    <w:rsid w:val="00B8317E"/>
    <w:rsid w:val="00B8317F"/>
    <w:rsid w:val="00B83197"/>
    <w:rsid w:val="00B831AE"/>
    <w:rsid w:val="00B832BC"/>
    <w:rsid w:val="00B833E3"/>
    <w:rsid w:val="00B83421"/>
    <w:rsid w:val="00B8344B"/>
    <w:rsid w:val="00B834F0"/>
    <w:rsid w:val="00B83509"/>
    <w:rsid w:val="00B83586"/>
    <w:rsid w:val="00B8371C"/>
    <w:rsid w:val="00B837B9"/>
    <w:rsid w:val="00B83814"/>
    <w:rsid w:val="00B8382D"/>
    <w:rsid w:val="00B838CC"/>
    <w:rsid w:val="00B83B4F"/>
    <w:rsid w:val="00B83BBC"/>
    <w:rsid w:val="00B83C26"/>
    <w:rsid w:val="00B83DD4"/>
    <w:rsid w:val="00B83EB9"/>
    <w:rsid w:val="00B83F34"/>
    <w:rsid w:val="00B83FA2"/>
    <w:rsid w:val="00B83FA3"/>
    <w:rsid w:val="00B83FB7"/>
    <w:rsid w:val="00B84059"/>
    <w:rsid w:val="00B840BA"/>
    <w:rsid w:val="00B84139"/>
    <w:rsid w:val="00B841BB"/>
    <w:rsid w:val="00B841EB"/>
    <w:rsid w:val="00B84228"/>
    <w:rsid w:val="00B84342"/>
    <w:rsid w:val="00B84387"/>
    <w:rsid w:val="00B84441"/>
    <w:rsid w:val="00B844B3"/>
    <w:rsid w:val="00B844D1"/>
    <w:rsid w:val="00B844DD"/>
    <w:rsid w:val="00B84665"/>
    <w:rsid w:val="00B8466E"/>
    <w:rsid w:val="00B846F3"/>
    <w:rsid w:val="00B8472D"/>
    <w:rsid w:val="00B84783"/>
    <w:rsid w:val="00B84894"/>
    <w:rsid w:val="00B84946"/>
    <w:rsid w:val="00B849F3"/>
    <w:rsid w:val="00B84AE4"/>
    <w:rsid w:val="00B84C18"/>
    <w:rsid w:val="00B84C1B"/>
    <w:rsid w:val="00B84C2A"/>
    <w:rsid w:val="00B84C5F"/>
    <w:rsid w:val="00B84F51"/>
    <w:rsid w:val="00B85014"/>
    <w:rsid w:val="00B85057"/>
    <w:rsid w:val="00B850DF"/>
    <w:rsid w:val="00B85116"/>
    <w:rsid w:val="00B85129"/>
    <w:rsid w:val="00B851C0"/>
    <w:rsid w:val="00B85201"/>
    <w:rsid w:val="00B85205"/>
    <w:rsid w:val="00B85258"/>
    <w:rsid w:val="00B852C8"/>
    <w:rsid w:val="00B852FC"/>
    <w:rsid w:val="00B8538E"/>
    <w:rsid w:val="00B8542C"/>
    <w:rsid w:val="00B854CE"/>
    <w:rsid w:val="00B8554A"/>
    <w:rsid w:val="00B85575"/>
    <w:rsid w:val="00B85628"/>
    <w:rsid w:val="00B85714"/>
    <w:rsid w:val="00B857E5"/>
    <w:rsid w:val="00B859BA"/>
    <w:rsid w:val="00B859FE"/>
    <w:rsid w:val="00B85A1B"/>
    <w:rsid w:val="00B85BA6"/>
    <w:rsid w:val="00B85CD6"/>
    <w:rsid w:val="00B85CE9"/>
    <w:rsid w:val="00B85D67"/>
    <w:rsid w:val="00B85E1E"/>
    <w:rsid w:val="00B85E2C"/>
    <w:rsid w:val="00B85EA6"/>
    <w:rsid w:val="00B85F4E"/>
    <w:rsid w:val="00B85F7B"/>
    <w:rsid w:val="00B85FE3"/>
    <w:rsid w:val="00B860A2"/>
    <w:rsid w:val="00B860B6"/>
    <w:rsid w:val="00B860FE"/>
    <w:rsid w:val="00B86306"/>
    <w:rsid w:val="00B8630E"/>
    <w:rsid w:val="00B8636D"/>
    <w:rsid w:val="00B863D4"/>
    <w:rsid w:val="00B86570"/>
    <w:rsid w:val="00B865A4"/>
    <w:rsid w:val="00B865B9"/>
    <w:rsid w:val="00B8663B"/>
    <w:rsid w:val="00B866E4"/>
    <w:rsid w:val="00B86700"/>
    <w:rsid w:val="00B8671B"/>
    <w:rsid w:val="00B86776"/>
    <w:rsid w:val="00B86844"/>
    <w:rsid w:val="00B86845"/>
    <w:rsid w:val="00B8690D"/>
    <w:rsid w:val="00B86971"/>
    <w:rsid w:val="00B86A52"/>
    <w:rsid w:val="00B86A98"/>
    <w:rsid w:val="00B86CB9"/>
    <w:rsid w:val="00B86D8E"/>
    <w:rsid w:val="00B86D98"/>
    <w:rsid w:val="00B86E48"/>
    <w:rsid w:val="00B86E9E"/>
    <w:rsid w:val="00B86F86"/>
    <w:rsid w:val="00B86FB5"/>
    <w:rsid w:val="00B86FF7"/>
    <w:rsid w:val="00B870C7"/>
    <w:rsid w:val="00B871B8"/>
    <w:rsid w:val="00B871F0"/>
    <w:rsid w:val="00B8723F"/>
    <w:rsid w:val="00B8724B"/>
    <w:rsid w:val="00B87263"/>
    <w:rsid w:val="00B873CC"/>
    <w:rsid w:val="00B8744F"/>
    <w:rsid w:val="00B8745F"/>
    <w:rsid w:val="00B87494"/>
    <w:rsid w:val="00B874CC"/>
    <w:rsid w:val="00B874F4"/>
    <w:rsid w:val="00B874F8"/>
    <w:rsid w:val="00B87552"/>
    <w:rsid w:val="00B875A7"/>
    <w:rsid w:val="00B875B9"/>
    <w:rsid w:val="00B87689"/>
    <w:rsid w:val="00B876F4"/>
    <w:rsid w:val="00B8775C"/>
    <w:rsid w:val="00B879E1"/>
    <w:rsid w:val="00B87B0B"/>
    <w:rsid w:val="00B87BE6"/>
    <w:rsid w:val="00B87C9E"/>
    <w:rsid w:val="00B87D21"/>
    <w:rsid w:val="00B87D25"/>
    <w:rsid w:val="00B87D6D"/>
    <w:rsid w:val="00B87F1C"/>
    <w:rsid w:val="00B87F4E"/>
    <w:rsid w:val="00B90060"/>
    <w:rsid w:val="00B900C8"/>
    <w:rsid w:val="00B9013D"/>
    <w:rsid w:val="00B90397"/>
    <w:rsid w:val="00B90416"/>
    <w:rsid w:val="00B9041D"/>
    <w:rsid w:val="00B9044C"/>
    <w:rsid w:val="00B90453"/>
    <w:rsid w:val="00B90543"/>
    <w:rsid w:val="00B90550"/>
    <w:rsid w:val="00B90573"/>
    <w:rsid w:val="00B906AB"/>
    <w:rsid w:val="00B907E9"/>
    <w:rsid w:val="00B909B7"/>
    <w:rsid w:val="00B90B81"/>
    <w:rsid w:val="00B90BFA"/>
    <w:rsid w:val="00B90C54"/>
    <w:rsid w:val="00B90D21"/>
    <w:rsid w:val="00B90ED8"/>
    <w:rsid w:val="00B910F5"/>
    <w:rsid w:val="00B9112D"/>
    <w:rsid w:val="00B9118B"/>
    <w:rsid w:val="00B91212"/>
    <w:rsid w:val="00B91262"/>
    <w:rsid w:val="00B91331"/>
    <w:rsid w:val="00B91603"/>
    <w:rsid w:val="00B91659"/>
    <w:rsid w:val="00B9184E"/>
    <w:rsid w:val="00B9185B"/>
    <w:rsid w:val="00B91880"/>
    <w:rsid w:val="00B91980"/>
    <w:rsid w:val="00B91A0A"/>
    <w:rsid w:val="00B91A1E"/>
    <w:rsid w:val="00B91A35"/>
    <w:rsid w:val="00B91A3A"/>
    <w:rsid w:val="00B91AA0"/>
    <w:rsid w:val="00B91AA6"/>
    <w:rsid w:val="00B91BB8"/>
    <w:rsid w:val="00B91C26"/>
    <w:rsid w:val="00B91C55"/>
    <w:rsid w:val="00B91CBD"/>
    <w:rsid w:val="00B91CBF"/>
    <w:rsid w:val="00B91CE3"/>
    <w:rsid w:val="00B91DD9"/>
    <w:rsid w:val="00B91E4B"/>
    <w:rsid w:val="00B91EBD"/>
    <w:rsid w:val="00B91F32"/>
    <w:rsid w:val="00B9203B"/>
    <w:rsid w:val="00B9214D"/>
    <w:rsid w:val="00B921B2"/>
    <w:rsid w:val="00B92251"/>
    <w:rsid w:val="00B92263"/>
    <w:rsid w:val="00B9227E"/>
    <w:rsid w:val="00B92329"/>
    <w:rsid w:val="00B923E7"/>
    <w:rsid w:val="00B92488"/>
    <w:rsid w:val="00B92546"/>
    <w:rsid w:val="00B92655"/>
    <w:rsid w:val="00B92665"/>
    <w:rsid w:val="00B9266B"/>
    <w:rsid w:val="00B92758"/>
    <w:rsid w:val="00B9293E"/>
    <w:rsid w:val="00B92A18"/>
    <w:rsid w:val="00B92B0D"/>
    <w:rsid w:val="00B92BA1"/>
    <w:rsid w:val="00B92C87"/>
    <w:rsid w:val="00B92D40"/>
    <w:rsid w:val="00B92DFD"/>
    <w:rsid w:val="00B92EBE"/>
    <w:rsid w:val="00B92EC3"/>
    <w:rsid w:val="00B92F3F"/>
    <w:rsid w:val="00B92FA0"/>
    <w:rsid w:val="00B92FD1"/>
    <w:rsid w:val="00B93123"/>
    <w:rsid w:val="00B931BA"/>
    <w:rsid w:val="00B931BC"/>
    <w:rsid w:val="00B9323F"/>
    <w:rsid w:val="00B93243"/>
    <w:rsid w:val="00B932B8"/>
    <w:rsid w:val="00B93336"/>
    <w:rsid w:val="00B934E0"/>
    <w:rsid w:val="00B93576"/>
    <w:rsid w:val="00B93588"/>
    <w:rsid w:val="00B93597"/>
    <w:rsid w:val="00B93642"/>
    <w:rsid w:val="00B93664"/>
    <w:rsid w:val="00B93741"/>
    <w:rsid w:val="00B9378A"/>
    <w:rsid w:val="00B937D7"/>
    <w:rsid w:val="00B93849"/>
    <w:rsid w:val="00B938D9"/>
    <w:rsid w:val="00B93A16"/>
    <w:rsid w:val="00B93A88"/>
    <w:rsid w:val="00B93AAD"/>
    <w:rsid w:val="00B93ACE"/>
    <w:rsid w:val="00B93B6E"/>
    <w:rsid w:val="00B93B7B"/>
    <w:rsid w:val="00B93BD6"/>
    <w:rsid w:val="00B93C1A"/>
    <w:rsid w:val="00B93C86"/>
    <w:rsid w:val="00B93D88"/>
    <w:rsid w:val="00B93E53"/>
    <w:rsid w:val="00B93E7D"/>
    <w:rsid w:val="00B93FCF"/>
    <w:rsid w:val="00B94083"/>
    <w:rsid w:val="00B9422E"/>
    <w:rsid w:val="00B942B4"/>
    <w:rsid w:val="00B94320"/>
    <w:rsid w:val="00B94344"/>
    <w:rsid w:val="00B94458"/>
    <w:rsid w:val="00B94460"/>
    <w:rsid w:val="00B9460C"/>
    <w:rsid w:val="00B947A5"/>
    <w:rsid w:val="00B947F2"/>
    <w:rsid w:val="00B948E9"/>
    <w:rsid w:val="00B948F1"/>
    <w:rsid w:val="00B94994"/>
    <w:rsid w:val="00B94BBC"/>
    <w:rsid w:val="00B94C24"/>
    <w:rsid w:val="00B94C65"/>
    <w:rsid w:val="00B94D6C"/>
    <w:rsid w:val="00B94D7D"/>
    <w:rsid w:val="00B94D8F"/>
    <w:rsid w:val="00B94E47"/>
    <w:rsid w:val="00B94F33"/>
    <w:rsid w:val="00B95052"/>
    <w:rsid w:val="00B9510D"/>
    <w:rsid w:val="00B95116"/>
    <w:rsid w:val="00B951B2"/>
    <w:rsid w:val="00B95269"/>
    <w:rsid w:val="00B95395"/>
    <w:rsid w:val="00B953CE"/>
    <w:rsid w:val="00B954B7"/>
    <w:rsid w:val="00B9559C"/>
    <w:rsid w:val="00B95647"/>
    <w:rsid w:val="00B956C8"/>
    <w:rsid w:val="00B956FE"/>
    <w:rsid w:val="00B95700"/>
    <w:rsid w:val="00B95769"/>
    <w:rsid w:val="00B957E1"/>
    <w:rsid w:val="00B95989"/>
    <w:rsid w:val="00B95A24"/>
    <w:rsid w:val="00B95A25"/>
    <w:rsid w:val="00B95AA8"/>
    <w:rsid w:val="00B95B7B"/>
    <w:rsid w:val="00B95BA6"/>
    <w:rsid w:val="00B95C0F"/>
    <w:rsid w:val="00B95CAC"/>
    <w:rsid w:val="00B95CED"/>
    <w:rsid w:val="00B95D51"/>
    <w:rsid w:val="00B95D5F"/>
    <w:rsid w:val="00B95D74"/>
    <w:rsid w:val="00B95DAF"/>
    <w:rsid w:val="00B95DBB"/>
    <w:rsid w:val="00B95DF2"/>
    <w:rsid w:val="00B95EA3"/>
    <w:rsid w:val="00B95EE1"/>
    <w:rsid w:val="00B95FA0"/>
    <w:rsid w:val="00B9602B"/>
    <w:rsid w:val="00B9612C"/>
    <w:rsid w:val="00B9614C"/>
    <w:rsid w:val="00B9633C"/>
    <w:rsid w:val="00B9643E"/>
    <w:rsid w:val="00B96472"/>
    <w:rsid w:val="00B965C4"/>
    <w:rsid w:val="00B965C5"/>
    <w:rsid w:val="00B96635"/>
    <w:rsid w:val="00B966EA"/>
    <w:rsid w:val="00B96738"/>
    <w:rsid w:val="00B9680C"/>
    <w:rsid w:val="00B96815"/>
    <w:rsid w:val="00B9694A"/>
    <w:rsid w:val="00B96B88"/>
    <w:rsid w:val="00B96BCF"/>
    <w:rsid w:val="00B96BE2"/>
    <w:rsid w:val="00B96CE0"/>
    <w:rsid w:val="00B96D0C"/>
    <w:rsid w:val="00B96D66"/>
    <w:rsid w:val="00B96D6F"/>
    <w:rsid w:val="00B96DA5"/>
    <w:rsid w:val="00B96DB8"/>
    <w:rsid w:val="00B96DEA"/>
    <w:rsid w:val="00B96E41"/>
    <w:rsid w:val="00B96EAE"/>
    <w:rsid w:val="00B96EE3"/>
    <w:rsid w:val="00B9705A"/>
    <w:rsid w:val="00B9705E"/>
    <w:rsid w:val="00B9706F"/>
    <w:rsid w:val="00B9715A"/>
    <w:rsid w:val="00B9739C"/>
    <w:rsid w:val="00B974EF"/>
    <w:rsid w:val="00B974FE"/>
    <w:rsid w:val="00B976F6"/>
    <w:rsid w:val="00B9772C"/>
    <w:rsid w:val="00B97756"/>
    <w:rsid w:val="00B97801"/>
    <w:rsid w:val="00B97882"/>
    <w:rsid w:val="00B97947"/>
    <w:rsid w:val="00B97B68"/>
    <w:rsid w:val="00B97CB3"/>
    <w:rsid w:val="00B97CB9"/>
    <w:rsid w:val="00B97CC7"/>
    <w:rsid w:val="00B97CD2"/>
    <w:rsid w:val="00B97D7F"/>
    <w:rsid w:val="00B97D8A"/>
    <w:rsid w:val="00B97F01"/>
    <w:rsid w:val="00B97F48"/>
    <w:rsid w:val="00B97FC6"/>
    <w:rsid w:val="00B97FF4"/>
    <w:rsid w:val="00BA004F"/>
    <w:rsid w:val="00BA01AC"/>
    <w:rsid w:val="00BA01D2"/>
    <w:rsid w:val="00BA01D3"/>
    <w:rsid w:val="00BA0247"/>
    <w:rsid w:val="00BA0289"/>
    <w:rsid w:val="00BA02B3"/>
    <w:rsid w:val="00BA03A1"/>
    <w:rsid w:val="00BA0475"/>
    <w:rsid w:val="00BA05AC"/>
    <w:rsid w:val="00BA06A0"/>
    <w:rsid w:val="00BA06C2"/>
    <w:rsid w:val="00BA06DC"/>
    <w:rsid w:val="00BA0851"/>
    <w:rsid w:val="00BA09F2"/>
    <w:rsid w:val="00BA0B3B"/>
    <w:rsid w:val="00BA0BBF"/>
    <w:rsid w:val="00BA0C1F"/>
    <w:rsid w:val="00BA0C27"/>
    <w:rsid w:val="00BA0C9F"/>
    <w:rsid w:val="00BA0CC9"/>
    <w:rsid w:val="00BA0E31"/>
    <w:rsid w:val="00BA0F77"/>
    <w:rsid w:val="00BA1039"/>
    <w:rsid w:val="00BA1103"/>
    <w:rsid w:val="00BA113A"/>
    <w:rsid w:val="00BA118E"/>
    <w:rsid w:val="00BA11DE"/>
    <w:rsid w:val="00BA12FB"/>
    <w:rsid w:val="00BA1411"/>
    <w:rsid w:val="00BA148D"/>
    <w:rsid w:val="00BA14D7"/>
    <w:rsid w:val="00BA1545"/>
    <w:rsid w:val="00BA16E3"/>
    <w:rsid w:val="00BA17A0"/>
    <w:rsid w:val="00BA180E"/>
    <w:rsid w:val="00BA1842"/>
    <w:rsid w:val="00BA1851"/>
    <w:rsid w:val="00BA1859"/>
    <w:rsid w:val="00BA18C2"/>
    <w:rsid w:val="00BA1A95"/>
    <w:rsid w:val="00BA1B42"/>
    <w:rsid w:val="00BA1D19"/>
    <w:rsid w:val="00BA1DD1"/>
    <w:rsid w:val="00BA1E09"/>
    <w:rsid w:val="00BA1E76"/>
    <w:rsid w:val="00BA1E80"/>
    <w:rsid w:val="00BA1F2C"/>
    <w:rsid w:val="00BA1FF4"/>
    <w:rsid w:val="00BA2336"/>
    <w:rsid w:val="00BA23FC"/>
    <w:rsid w:val="00BA2421"/>
    <w:rsid w:val="00BA26A0"/>
    <w:rsid w:val="00BA26E0"/>
    <w:rsid w:val="00BA2712"/>
    <w:rsid w:val="00BA2750"/>
    <w:rsid w:val="00BA2774"/>
    <w:rsid w:val="00BA2862"/>
    <w:rsid w:val="00BA2890"/>
    <w:rsid w:val="00BA2916"/>
    <w:rsid w:val="00BA29D9"/>
    <w:rsid w:val="00BA2A5B"/>
    <w:rsid w:val="00BA2AD5"/>
    <w:rsid w:val="00BA2B05"/>
    <w:rsid w:val="00BA2B2D"/>
    <w:rsid w:val="00BA2B36"/>
    <w:rsid w:val="00BA2C1D"/>
    <w:rsid w:val="00BA2CCC"/>
    <w:rsid w:val="00BA2D25"/>
    <w:rsid w:val="00BA2DAE"/>
    <w:rsid w:val="00BA2DD1"/>
    <w:rsid w:val="00BA2DE5"/>
    <w:rsid w:val="00BA2E29"/>
    <w:rsid w:val="00BA2E5E"/>
    <w:rsid w:val="00BA2E74"/>
    <w:rsid w:val="00BA2F52"/>
    <w:rsid w:val="00BA2FA5"/>
    <w:rsid w:val="00BA2FE3"/>
    <w:rsid w:val="00BA3174"/>
    <w:rsid w:val="00BA3278"/>
    <w:rsid w:val="00BA32A1"/>
    <w:rsid w:val="00BA32CE"/>
    <w:rsid w:val="00BA33F5"/>
    <w:rsid w:val="00BA34F0"/>
    <w:rsid w:val="00BA34FF"/>
    <w:rsid w:val="00BA3547"/>
    <w:rsid w:val="00BA3572"/>
    <w:rsid w:val="00BA3598"/>
    <w:rsid w:val="00BA3601"/>
    <w:rsid w:val="00BA3631"/>
    <w:rsid w:val="00BA3694"/>
    <w:rsid w:val="00BA3761"/>
    <w:rsid w:val="00BA3781"/>
    <w:rsid w:val="00BA3784"/>
    <w:rsid w:val="00BA382E"/>
    <w:rsid w:val="00BA39C8"/>
    <w:rsid w:val="00BA3A21"/>
    <w:rsid w:val="00BA3BF6"/>
    <w:rsid w:val="00BA3C42"/>
    <w:rsid w:val="00BA3C60"/>
    <w:rsid w:val="00BA3C64"/>
    <w:rsid w:val="00BA3CE7"/>
    <w:rsid w:val="00BA3CF4"/>
    <w:rsid w:val="00BA3DB6"/>
    <w:rsid w:val="00BA3DD9"/>
    <w:rsid w:val="00BA3E5C"/>
    <w:rsid w:val="00BA3E92"/>
    <w:rsid w:val="00BA3EFC"/>
    <w:rsid w:val="00BA3F66"/>
    <w:rsid w:val="00BA40D8"/>
    <w:rsid w:val="00BA4121"/>
    <w:rsid w:val="00BA4139"/>
    <w:rsid w:val="00BA41CF"/>
    <w:rsid w:val="00BA41D9"/>
    <w:rsid w:val="00BA41DE"/>
    <w:rsid w:val="00BA4230"/>
    <w:rsid w:val="00BA4278"/>
    <w:rsid w:val="00BA427F"/>
    <w:rsid w:val="00BA42E3"/>
    <w:rsid w:val="00BA43B2"/>
    <w:rsid w:val="00BA4446"/>
    <w:rsid w:val="00BA459B"/>
    <w:rsid w:val="00BA47ED"/>
    <w:rsid w:val="00BA4852"/>
    <w:rsid w:val="00BA489C"/>
    <w:rsid w:val="00BA49A7"/>
    <w:rsid w:val="00BA49FC"/>
    <w:rsid w:val="00BA4A72"/>
    <w:rsid w:val="00BA4B15"/>
    <w:rsid w:val="00BA4B87"/>
    <w:rsid w:val="00BA4BBA"/>
    <w:rsid w:val="00BA4BCF"/>
    <w:rsid w:val="00BA4C6A"/>
    <w:rsid w:val="00BA4CEA"/>
    <w:rsid w:val="00BA4D72"/>
    <w:rsid w:val="00BA4E41"/>
    <w:rsid w:val="00BA4EFF"/>
    <w:rsid w:val="00BA4FAC"/>
    <w:rsid w:val="00BA4FC5"/>
    <w:rsid w:val="00BA505B"/>
    <w:rsid w:val="00BA5069"/>
    <w:rsid w:val="00BA5092"/>
    <w:rsid w:val="00BA50BC"/>
    <w:rsid w:val="00BA528B"/>
    <w:rsid w:val="00BA528C"/>
    <w:rsid w:val="00BA5402"/>
    <w:rsid w:val="00BA5470"/>
    <w:rsid w:val="00BA54EE"/>
    <w:rsid w:val="00BA55F0"/>
    <w:rsid w:val="00BA56BC"/>
    <w:rsid w:val="00BA570B"/>
    <w:rsid w:val="00BA58CF"/>
    <w:rsid w:val="00BA5924"/>
    <w:rsid w:val="00BA5927"/>
    <w:rsid w:val="00BA59FB"/>
    <w:rsid w:val="00BA5A21"/>
    <w:rsid w:val="00BA5A24"/>
    <w:rsid w:val="00BA5A90"/>
    <w:rsid w:val="00BA5AF9"/>
    <w:rsid w:val="00BA5B5A"/>
    <w:rsid w:val="00BA5B64"/>
    <w:rsid w:val="00BA5B77"/>
    <w:rsid w:val="00BA5BEC"/>
    <w:rsid w:val="00BA5C3E"/>
    <w:rsid w:val="00BA5C44"/>
    <w:rsid w:val="00BA5CBC"/>
    <w:rsid w:val="00BA5DA9"/>
    <w:rsid w:val="00BA5F05"/>
    <w:rsid w:val="00BA5F2F"/>
    <w:rsid w:val="00BA5FCB"/>
    <w:rsid w:val="00BA6083"/>
    <w:rsid w:val="00BA6096"/>
    <w:rsid w:val="00BA60BD"/>
    <w:rsid w:val="00BA6134"/>
    <w:rsid w:val="00BA61CE"/>
    <w:rsid w:val="00BA622F"/>
    <w:rsid w:val="00BA634D"/>
    <w:rsid w:val="00BA6541"/>
    <w:rsid w:val="00BA65E7"/>
    <w:rsid w:val="00BA666C"/>
    <w:rsid w:val="00BA6781"/>
    <w:rsid w:val="00BA6797"/>
    <w:rsid w:val="00BA679C"/>
    <w:rsid w:val="00BA67D2"/>
    <w:rsid w:val="00BA6809"/>
    <w:rsid w:val="00BA695C"/>
    <w:rsid w:val="00BA6967"/>
    <w:rsid w:val="00BA696E"/>
    <w:rsid w:val="00BA69B0"/>
    <w:rsid w:val="00BA69D1"/>
    <w:rsid w:val="00BA6A33"/>
    <w:rsid w:val="00BA6AAE"/>
    <w:rsid w:val="00BA6AF3"/>
    <w:rsid w:val="00BA6C1F"/>
    <w:rsid w:val="00BA6C5B"/>
    <w:rsid w:val="00BA6CB7"/>
    <w:rsid w:val="00BA6E52"/>
    <w:rsid w:val="00BA6EBD"/>
    <w:rsid w:val="00BA6EEC"/>
    <w:rsid w:val="00BA6FDF"/>
    <w:rsid w:val="00BA6FFB"/>
    <w:rsid w:val="00BA709A"/>
    <w:rsid w:val="00BA70CB"/>
    <w:rsid w:val="00BA715F"/>
    <w:rsid w:val="00BA71BC"/>
    <w:rsid w:val="00BA71CC"/>
    <w:rsid w:val="00BA71EC"/>
    <w:rsid w:val="00BA7240"/>
    <w:rsid w:val="00BA72C6"/>
    <w:rsid w:val="00BA7451"/>
    <w:rsid w:val="00BA7488"/>
    <w:rsid w:val="00BA759A"/>
    <w:rsid w:val="00BA75D5"/>
    <w:rsid w:val="00BA7607"/>
    <w:rsid w:val="00BA7636"/>
    <w:rsid w:val="00BA764C"/>
    <w:rsid w:val="00BA769F"/>
    <w:rsid w:val="00BA779A"/>
    <w:rsid w:val="00BA7924"/>
    <w:rsid w:val="00BA7B2F"/>
    <w:rsid w:val="00BA7BA3"/>
    <w:rsid w:val="00BA7BBE"/>
    <w:rsid w:val="00BA7C39"/>
    <w:rsid w:val="00BA7CFF"/>
    <w:rsid w:val="00BA7D9A"/>
    <w:rsid w:val="00BA7DAB"/>
    <w:rsid w:val="00BA7DBF"/>
    <w:rsid w:val="00BA7DE9"/>
    <w:rsid w:val="00BA7E58"/>
    <w:rsid w:val="00BA7FB4"/>
    <w:rsid w:val="00BB0009"/>
    <w:rsid w:val="00BB011D"/>
    <w:rsid w:val="00BB0165"/>
    <w:rsid w:val="00BB019B"/>
    <w:rsid w:val="00BB01BB"/>
    <w:rsid w:val="00BB0294"/>
    <w:rsid w:val="00BB0295"/>
    <w:rsid w:val="00BB0299"/>
    <w:rsid w:val="00BB02D2"/>
    <w:rsid w:val="00BB030D"/>
    <w:rsid w:val="00BB0343"/>
    <w:rsid w:val="00BB0361"/>
    <w:rsid w:val="00BB04C7"/>
    <w:rsid w:val="00BB05A5"/>
    <w:rsid w:val="00BB05E3"/>
    <w:rsid w:val="00BB0604"/>
    <w:rsid w:val="00BB06EE"/>
    <w:rsid w:val="00BB07B3"/>
    <w:rsid w:val="00BB07D7"/>
    <w:rsid w:val="00BB0815"/>
    <w:rsid w:val="00BB0873"/>
    <w:rsid w:val="00BB0944"/>
    <w:rsid w:val="00BB095D"/>
    <w:rsid w:val="00BB09F5"/>
    <w:rsid w:val="00BB0B27"/>
    <w:rsid w:val="00BB0B4C"/>
    <w:rsid w:val="00BB0C42"/>
    <w:rsid w:val="00BB0C7B"/>
    <w:rsid w:val="00BB0CB4"/>
    <w:rsid w:val="00BB0CC1"/>
    <w:rsid w:val="00BB0D88"/>
    <w:rsid w:val="00BB0DDD"/>
    <w:rsid w:val="00BB0E39"/>
    <w:rsid w:val="00BB0E3F"/>
    <w:rsid w:val="00BB0EFF"/>
    <w:rsid w:val="00BB0F19"/>
    <w:rsid w:val="00BB1001"/>
    <w:rsid w:val="00BB1040"/>
    <w:rsid w:val="00BB1041"/>
    <w:rsid w:val="00BB10A2"/>
    <w:rsid w:val="00BB10F2"/>
    <w:rsid w:val="00BB11AF"/>
    <w:rsid w:val="00BB11F2"/>
    <w:rsid w:val="00BB122D"/>
    <w:rsid w:val="00BB12B8"/>
    <w:rsid w:val="00BB12D8"/>
    <w:rsid w:val="00BB1343"/>
    <w:rsid w:val="00BB13A7"/>
    <w:rsid w:val="00BB1463"/>
    <w:rsid w:val="00BB155F"/>
    <w:rsid w:val="00BB1576"/>
    <w:rsid w:val="00BB15A6"/>
    <w:rsid w:val="00BB1612"/>
    <w:rsid w:val="00BB1749"/>
    <w:rsid w:val="00BB185E"/>
    <w:rsid w:val="00BB18A4"/>
    <w:rsid w:val="00BB18C7"/>
    <w:rsid w:val="00BB18FD"/>
    <w:rsid w:val="00BB1935"/>
    <w:rsid w:val="00BB193A"/>
    <w:rsid w:val="00BB1AFC"/>
    <w:rsid w:val="00BB1B0B"/>
    <w:rsid w:val="00BB1C5D"/>
    <w:rsid w:val="00BB1C8D"/>
    <w:rsid w:val="00BB1D20"/>
    <w:rsid w:val="00BB1D34"/>
    <w:rsid w:val="00BB1D43"/>
    <w:rsid w:val="00BB1D50"/>
    <w:rsid w:val="00BB1D69"/>
    <w:rsid w:val="00BB1D7A"/>
    <w:rsid w:val="00BB1D99"/>
    <w:rsid w:val="00BB1DE4"/>
    <w:rsid w:val="00BB1DE6"/>
    <w:rsid w:val="00BB1E39"/>
    <w:rsid w:val="00BB1E4A"/>
    <w:rsid w:val="00BB1F52"/>
    <w:rsid w:val="00BB1F67"/>
    <w:rsid w:val="00BB1FFF"/>
    <w:rsid w:val="00BB201A"/>
    <w:rsid w:val="00BB2051"/>
    <w:rsid w:val="00BB2280"/>
    <w:rsid w:val="00BB22C8"/>
    <w:rsid w:val="00BB237C"/>
    <w:rsid w:val="00BB238F"/>
    <w:rsid w:val="00BB23B2"/>
    <w:rsid w:val="00BB23C3"/>
    <w:rsid w:val="00BB244B"/>
    <w:rsid w:val="00BB2460"/>
    <w:rsid w:val="00BB2496"/>
    <w:rsid w:val="00BB24AC"/>
    <w:rsid w:val="00BB24ED"/>
    <w:rsid w:val="00BB2606"/>
    <w:rsid w:val="00BB2653"/>
    <w:rsid w:val="00BB270F"/>
    <w:rsid w:val="00BB2746"/>
    <w:rsid w:val="00BB27B4"/>
    <w:rsid w:val="00BB27E7"/>
    <w:rsid w:val="00BB28A2"/>
    <w:rsid w:val="00BB292A"/>
    <w:rsid w:val="00BB2940"/>
    <w:rsid w:val="00BB2980"/>
    <w:rsid w:val="00BB29A4"/>
    <w:rsid w:val="00BB2B6B"/>
    <w:rsid w:val="00BB2BA7"/>
    <w:rsid w:val="00BB2BB1"/>
    <w:rsid w:val="00BB2BF5"/>
    <w:rsid w:val="00BB2CCB"/>
    <w:rsid w:val="00BB2DC3"/>
    <w:rsid w:val="00BB2DE7"/>
    <w:rsid w:val="00BB2E0D"/>
    <w:rsid w:val="00BB2E31"/>
    <w:rsid w:val="00BB2E41"/>
    <w:rsid w:val="00BB2F35"/>
    <w:rsid w:val="00BB2F3B"/>
    <w:rsid w:val="00BB2F45"/>
    <w:rsid w:val="00BB2FE0"/>
    <w:rsid w:val="00BB3076"/>
    <w:rsid w:val="00BB3142"/>
    <w:rsid w:val="00BB3185"/>
    <w:rsid w:val="00BB31B9"/>
    <w:rsid w:val="00BB31EB"/>
    <w:rsid w:val="00BB320D"/>
    <w:rsid w:val="00BB3280"/>
    <w:rsid w:val="00BB3342"/>
    <w:rsid w:val="00BB3380"/>
    <w:rsid w:val="00BB340B"/>
    <w:rsid w:val="00BB3480"/>
    <w:rsid w:val="00BB34BD"/>
    <w:rsid w:val="00BB34BE"/>
    <w:rsid w:val="00BB35C3"/>
    <w:rsid w:val="00BB361C"/>
    <w:rsid w:val="00BB36AC"/>
    <w:rsid w:val="00BB3708"/>
    <w:rsid w:val="00BB376C"/>
    <w:rsid w:val="00BB379B"/>
    <w:rsid w:val="00BB37B4"/>
    <w:rsid w:val="00BB37C3"/>
    <w:rsid w:val="00BB38E2"/>
    <w:rsid w:val="00BB38F4"/>
    <w:rsid w:val="00BB39F2"/>
    <w:rsid w:val="00BB3ADA"/>
    <w:rsid w:val="00BB3BC6"/>
    <w:rsid w:val="00BB3C36"/>
    <w:rsid w:val="00BB3CE3"/>
    <w:rsid w:val="00BB3D6E"/>
    <w:rsid w:val="00BB3DDA"/>
    <w:rsid w:val="00BB3E24"/>
    <w:rsid w:val="00BB3E9F"/>
    <w:rsid w:val="00BB3ED2"/>
    <w:rsid w:val="00BB3F7E"/>
    <w:rsid w:val="00BB4032"/>
    <w:rsid w:val="00BB4247"/>
    <w:rsid w:val="00BB424E"/>
    <w:rsid w:val="00BB4253"/>
    <w:rsid w:val="00BB42AB"/>
    <w:rsid w:val="00BB4315"/>
    <w:rsid w:val="00BB4379"/>
    <w:rsid w:val="00BB43AE"/>
    <w:rsid w:val="00BB4484"/>
    <w:rsid w:val="00BB44B1"/>
    <w:rsid w:val="00BB44FB"/>
    <w:rsid w:val="00BB4512"/>
    <w:rsid w:val="00BB457F"/>
    <w:rsid w:val="00BB458C"/>
    <w:rsid w:val="00BB45B9"/>
    <w:rsid w:val="00BB464A"/>
    <w:rsid w:val="00BB46A0"/>
    <w:rsid w:val="00BB46A8"/>
    <w:rsid w:val="00BB4779"/>
    <w:rsid w:val="00BB478C"/>
    <w:rsid w:val="00BB47A3"/>
    <w:rsid w:val="00BB4815"/>
    <w:rsid w:val="00BB481D"/>
    <w:rsid w:val="00BB4865"/>
    <w:rsid w:val="00BB4981"/>
    <w:rsid w:val="00BB49DE"/>
    <w:rsid w:val="00BB49F2"/>
    <w:rsid w:val="00BB4A21"/>
    <w:rsid w:val="00BB4B23"/>
    <w:rsid w:val="00BB4B74"/>
    <w:rsid w:val="00BB4CC9"/>
    <w:rsid w:val="00BB4CF7"/>
    <w:rsid w:val="00BB4D5D"/>
    <w:rsid w:val="00BB4D78"/>
    <w:rsid w:val="00BB4E2A"/>
    <w:rsid w:val="00BB4E5A"/>
    <w:rsid w:val="00BB4EC0"/>
    <w:rsid w:val="00BB4F1C"/>
    <w:rsid w:val="00BB4F3B"/>
    <w:rsid w:val="00BB4F55"/>
    <w:rsid w:val="00BB4FB8"/>
    <w:rsid w:val="00BB506B"/>
    <w:rsid w:val="00BB511F"/>
    <w:rsid w:val="00BB5186"/>
    <w:rsid w:val="00BB522B"/>
    <w:rsid w:val="00BB527D"/>
    <w:rsid w:val="00BB52B1"/>
    <w:rsid w:val="00BB532B"/>
    <w:rsid w:val="00BB532F"/>
    <w:rsid w:val="00BB5341"/>
    <w:rsid w:val="00BB538F"/>
    <w:rsid w:val="00BB5394"/>
    <w:rsid w:val="00BB5555"/>
    <w:rsid w:val="00BB5673"/>
    <w:rsid w:val="00BB56B4"/>
    <w:rsid w:val="00BB56F1"/>
    <w:rsid w:val="00BB5781"/>
    <w:rsid w:val="00BB57AD"/>
    <w:rsid w:val="00BB581F"/>
    <w:rsid w:val="00BB5902"/>
    <w:rsid w:val="00BB59E8"/>
    <w:rsid w:val="00BB5A2E"/>
    <w:rsid w:val="00BB5AA2"/>
    <w:rsid w:val="00BB5BDE"/>
    <w:rsid w:val="00BB5C23"/>
    <w:rsid w:val="00BB5CC6"/>
    <w:rsid w:val="00BB5CCC"/>
    <w:rsid w:val="00BB5D6B"/>
    <w:rsid w:val="00BB5E24"/>
    <w:rsid w:val="00BB5F97"/>
    <w:rsid w:val="00BB5FDC"/>
    <w:rsid w:val="00BB6002"/>
    <w:rsid w:val="00BB6062"/>
    <w:rsid w:val="00BB60B4"/>
    <w:rsid w:val="00BB60E8"/>
    <w:rsid w:val="00BB6144"/>
    <w:rsid w:val="00BB61EB"/>
    <w:rsid w:val="00BB61F7"/>
    <w:rsid w:val="00BB6298"/>
    <w:rsid w:val="00BB63C5"/>
    <w:rsid w:val="00BB643B"/>
    <w:rsid w:val="00BB645E"/>
    <w:rsid w:val="00BB64DE"/>
    <w:rsid w:val="00BB6637"/>
    <w:rsid w:val="00BB6641"/>
    <w:rsid w:val="00BB67BC"/>
    <w:rsid w:val="00BB67EC"/>
    <w:rsid w:val="00BB693E"/>
    <w:rsid w:val="00BB6977"/>
    <w:rsid w:val="00BB69BB"/>
    <w:rsid w:val="00BB69BC"/>
    <w:rsid w:val="00BB6A03"/>
    <w:rsid w:val="00BB6A8E"/>
    <w:rsid w:val="00BB6A95"/>
    <w:rsid w:val="00BB6AA2"/>
    <w:rsid w:val="00BB6AFA"/>
    <w:rsid w:val="00BB6B4D"/>
    <w:rsid w:val="00BB6CA0"/>
    <w:rsid w:val="00BB6CBB"/>
    <w:rsid w:val="00BB6D28"/>
    <w:rsid w:val="00BB6D6D"/>
    <w:rsid w:val="00BB6D81"/>
    <w:rsid w:val="00BB6DC3"/>
    <w:rsid w:val="00BB6F3E"/>
    <w:rsid w:val="00BB6F6F"/>
    <w:rsid w:val="00BB6FE0"/>
    <w:rsid w:val="00BB70D3"/>
    <w:rsid w:val="00BB7155"/>
    <w:rsid w:val="00BB7199"/>
    <w:rsid w:val="00BB7240"/>
    <w:rsid w:val="00BB72C8"/>
    <w:rsid w:val="00BB7362"/>
    <w:rsid w:val="00BB73BE"/>
    <w:rsid w:val="00BB74B1"/>
    <w:rsid w:val="00BB74BE"/>
    <w:rsid w:val="00BB7585"/>
    <w:rsid w:val="00BB75B1"/>
    <w:rsid w:val="00BB7604"/>
    <w:rsid w:val="00BB76EC"/>
    <w:rsid w:val="00BB77FB"/>
    <w:rsid w:val="00BB7815"/>
    <w:rsid w:val="00BB78DB"/>
    <w:rsid w:val="00BB7991"/>
    <w:rsid w:val="00BB7A2A"/>
    <w:rsid w:val="00BB7A83"/>
    <w:rsid w:val="00BB7B73"/>
    <w:rsid w:val="00BB7BAE"/>
    <w:rsid w:val="00BB7CE9"/>
    <w:rsid w:val="00BB7CEC"/>
    <w:rsid w:val="00BB7D13"/>
    <w:rsid w:val="00BB7E1A"/>
    <w:rsid w:val="00BB7E59"/>
    <w:rsid w:val="00BB7F81"/>
    <w:rsid w:val="00BB7FA5"/>
    <w:rsid w:val="00BBE221"/>
    <w:rsid w:val="00BC003F"/>
    <w:rsid w:val="00BC00F2"/>
    <w:rsid w:val="00BC00F5"/>
    <w:rsid w:val="00BC02B6"/>
    <w:rsid w:val="00BC032B"/>
    <w:rsid w:val="00BC03ED"/>
    <w:rsid w:val="00BC0432"/>
    <w:rsid w:val="00BC045C"/>
    <w:rsid w:val="00BC0482"/>
    <w:rsid w:val="00BC051D"/>
    <w:rsid w:val="00BC062A"/>
    <w:rsid w:val="00BC0638"/>
    <w:rsid w:val="00BC068F"/>
    <w:rsid w:val="00BC06C5"/>
    <w:rsid w:val="00BC06EF"/>
    <w:rsid w:val="00BC074B"/>
    <w:rsid w:val="00BC0795"/>
    <w:rsid w:val="00BC089B"/>
    <w:rsid w:val="00BC08C6"/>
    <w:rsid w:val="00BC09FA"/>
    <w:rsid w:val="00BC0A1A"/>
    <w:rsid w:val="00BC0A3E"/>
    <w:rsid w:val="00BC0A52"/>
    <w:rsid w:val="00BC0ABA"/>
    <w:rsid w:val="00BC0AC6"/>
    <w:rsid w:val="00BC0AD1"/>
    <w:rsid w:val="00BC0B13"/>
    <w:rsid w:val="00BC0B86"/>
    <w:rsid w:val="00BC0C68"/>
    <w:rsid w:val="00BC0F16"/>
    <w:rsid w:val="00BC0FDA"/>
    <w:rsid w:val="00BC1019"/>
    <w:rsid w:val="00BC1059"/>
    <w:rsid w:val="00BC105A"/>
    <w:rsid w:val="00BC1085"/>
    <w:rsid w:val="00BC1179"/>
    <w:rsid w:val="00BC117F"/>
    <w:rsid w:val="00BC1229"/>
    <w:rsid w:val="00BC13C5"/>
    <w:rsid w:val="00BC13E8"/>
    <w:rsid w:val="00BC14DE"/>
    <w:rsid w:val="00BC14F3"/>
    <w:rsid w:val="00BC1685"/>
    <w:rsid w:val="00BC16B2"/>
    <w:rsid w:val="00BC16E9"/>
    <w:rsid w:val="00BC1712"/>
    <w:rsid w:val="00BC18F4"/>
    <w:rsid w:val="00BC196F"/>
    <w:rsid w:val="00BC1998"/>
    <w:rsid w:val="00BC1A90"/>
    <w:rsid w:val="00BC1AE1"/>
    <w:rsid w:val="00BC1AFA"/>
    <w:rsid w:val="00BC1B2E"/>
    <w:rsid w:val="00BC1B66"/>
    <w:rsid w:val="00BC1B8E"/>
    <w:rsid w:val="00BC1DB7"/>
    <w:rsid w:val="00BC1DFA"/>
    <w:rsid w:val="00BC1E3B"/>
    <w:rsid w:val="00BC1F1A"/>
    <w:rsid w:val="00BC2004"/>
    <w:rsid w:val="00BC20DA"/>
    <w:rsid w:val="00BC20EE"/>
    <w:rsid w:val="00BC21FD"/>
    <w:rsid w:val="00BC228D"/>
    <w:rsid w:val="00BC22D5"/>
    <w:rsid w:val="00BC241F"/>
    <w:rsid w:val="00BC25EE"/>
    <w:rsid w:val="00BC2617"/>
    <w:rsid w:val="00BC26FD"/>
    <w:rsid w:val="00BC28E6"/>
    <w:rsid w:val="00BC290D"/>
    <w:rsid w:val="00BC2917"/>
    <w:rsid w:val="00BC29B1"/>
    <w:rsid w:val="00BC29FC"/>
    <w:rsid w:val="00BC2A90"/>
    <w:rsid w:val="00BC2BBF"/>
    <w:rsid w:val="00BC2C39"/>
    <w:rsid w:val="00BC2E61"/>
    <w:rsid w:val="00BC2EB1"/>
    <w:rsid w:val="00BC2ED8"/>
    <w:rsid w:val="00BC2EDD"/>
    <w:rsid w:val="00BC2FED"/>
    <w:rsid w:val="00BC308B"/>
    <w:rsid w:val="00BC30BD"/>
    <w:rsid w:val="00BC30E5"/>
    <w:rsid w:val="00BC30FA"/>
    <w:rsid w:val="00BC310C"/>
    <w:rsid w:val="00BC31B1"/>
    <w:rsid w:val="00BC339D"/>
    <w:rsid w:val="00BC33D3"/>
    <w:rsid w:val="00BC36D1"/>
    <w:rsid w:val="00BC377C"/>
    <w:rsid w:val="00BC3780"/>
    <w:rsid w:val="00BC3798"/>
    <w:rsid w:val="00BC388C"/>
    <w:rsid w:val="00BC38E4"/>
    <w:rsid w:val="00BC390A"/>
    <w:rsid w:val="00BC3B5D"/>
    <w:rsid w:val="00BC3B73"/>
    <w:rsid w:val="00BC3BE7"/>
    <w:rsid w:val="00BC3C2F"/>
    <w:rsid w:val="00BC3D91"/>
    <w:rsid w:val="00BC3E60"/>
    <w:rsid w:val="00BC3F2E"/>
    <w:rsid w:val="00BC3F91"/>
    <w:rsid w:val="00BC3FA0"/>
    <w:rsid w:val="00BC3FB2"/>
    <w:rsid w:val="00BC3FE2"/>
    <w:rsid w:val="00BC411D"/>
    <w:rsid w:val="00BC4191"/>
    <w:rsid w:val="00BC41D4"/>
    <w:rsid w:val="00BC420E"/>
    <w:rsid w:val="00BC42BB"/>
    <w:rsid w:val="00BC42BE"/>
    <w:rsid w:val="00BC42E6"/>
    <w:rsid w:val="00BC438E"/>
    <w:rsid w:val="00BC44AE"/>
    <w:rsid w:val="00BC46B4"/>
    <w:rsid w:val="00BC471D"/>
    <w:rsid w:val="00BC4791"/>
    <w:rsid w:val="00BC48A6"/>
    <w:rsid w:val="00BC4960"/>
    <w:rsid w:val="00BC4986"/>
    <w:rsid w:val="00BC49DB"/>
    <w:rsid w:val="00BC49E7"/>
    <w:rsid w:val="00BC4A91"/>
    <w:rsid w:val="00BC4AF6"/>
    <w:rsid w:val="00BC4AFB"/>
    <w:rsid w:val="00BC4C60"/>
    <w:rsid w:val="00BC4C84"/>
    <w:rsid w:val="00BC4D15"/>
    <w:rsid w:val="00BC4D99"/>
    <w:rsid w:val="00BC4E43"/>
    <w:rsid w:val="00BC4E75"/>
    <w:rsid w:val="00BC4F13"/>
    <w:rsid w:val="00BC4F5D"/>
    <w:rsid w:val="00BC5034"/>
    <w:rsid w:val="00BC50A1"/>
    <w:rsid w:val="00BC5189"/>
    <w:rsid w:val="00BC518F"/>
    <w:rsid w:val="00BC51B5"/>
    <w:rsid w:val="00BC51CB"/>
    <w:rsid w:val="00BC5260"/>
    <w:rsid w:val="00BC527F"/>
    <w:rsid w:val="00BC545F"/>
    <w:rsid w:val="00BC5469"/>
    <w:rsid w:val="00BC546B"/>
    <w:rsid w:val="00BC54B1"/>
    <w:rsid w:val="00BC563C"/>
    <w:rsid w:val="00BC5674"/>
    <w:rsid w:val="00BC56F9"/>
    <w:rsid w:val="00BC56FA"/>
    <w:rsid w:val="00BC5726"/>
    <w:rsid w:val="00BC573D"/>
    <w:rsid w:val="00BC57DB"/>
    <w:rsid w:val="00BC5849"/>
    <w:rsid w:val="00BC5999"/>
    <w:rsid w:val="00BC5A82"/>
    <w:rsid w:val="00BC5C4E"/>
    <w:rsid w:val="00BC5C84"/>
    <w:rsid w:val="00BC5C91"/>
    <w:rsid w:val="00BC5D5B"/>
    <w:rsid w:val="00BC5E28"/>
    <w:rsid w:val="00BC5EA3"/>
    <w:rsid w:val="00BC5EF0"/>
    <w:rsid w:val="00BC5F09"/>
    <w:rsid w:val="00BC5F17"/>
    <w:rsid w:val="00BC6009"/>
    <w:rsid w:val="00BC60BA"/>
    <w:rsid w:val="00BC60F7"/>
    <w:rsid w:val="00BC61AB"/>
    <w:rsid w:val="00BC61D0"/>
    <w:rsid w:val="00BC6249"/>
    <w:rsid w:val="00BC624E"/>
    <w:rsid w:val="00BC62C7"/>
    <w:rsid w:val="00BC6307"/>
    <w:rsid w:val="00BC63D9"/>
    <w:rsid w:val="00BC6476"/>
    <w:rsid w:val="00BC6553"/>
    <w:rsid w:val="00BC65C6"/>
    <w:rsid w:val="00BC661A"/>
    <w:rsid w:val="00BC6669"/>
    <w:rsid w:val="00BC678F"/>
    <w:rsid w:val="00BC68A4"/>
    <w:rsid w:val="00BC697A"/>
    <w:rsid w:val="00BC6982"/>
    <w:rsid w:val="00BC698E"/>
    <w:rsid w:val="00BC69F9"/>
    <w:rsid w:val="00BC6B33"/>
    <w:rsid w:val="00BC6BBF"/>
    <w:rsid w:val="00BC6BE5"/>
    <w:rsid w:val="00BC6CE4"/>
    <w:rsid w:val="00BC6D31"/>
    <w:rsid w:val="00BC6D35"/>
    <w:rsid w:val="00BC6D57"/>
    <w:rsid w:val="00BC6D5B"/>
    <w:rsid w:val="00BC6D76"/>
    <w:rsid w:val="00BC6DBB"/>
    <w:rsid w:val="00BC6DEB"/>
    <w:rsid w:val="00BC6E64"/>
    <w:rsid w:val="00BC6EB6"/>
    <w:rsid w:val="00BC6FBE"/>
    <w:rsid w:val="00BC70FB"/>
    <w:rsid w:val="00BC7109"/>
    <w:rsid w:val="00BC718A"/>
    <w:rsid w:val="00BC71C9"/>
    <w:rsid w:val="00BC720F"/>
    <w:rsid w:val="00BC7211"/>
    <w:rsid w:val="00BC722F"/>
    <w:rsid w:val="00BC72EA"/>
    <w:rsid w:val="00BC72F7"/>
    <w:rsid w:val="00BC734F"/>
    <w:rsid w:val="00BC73B5"/>
    <w:rsid w:val="00BC73B8"/>
    <w:rsid w:val="00BC73BA"/>
    <w:rsid w:val="00BC73F9"/>
    <w:rsid w:val="00BC7473"/>
    <w:rsid w:val="00BC74A3"/>
    <w:rsid w:val="00BC76BD"/>
    <w:rsid w:val="00BC770A"/>
    <w:rsid w:val="00BC772D"/>
    <w:rsid w:val="00BC7737"/>
    <w:rsid w:val="00BC77FF"/>
    <w:rsid w:val="00BC7823"/>
    <w:rsid w:val="00BC7839"/>
    <w:rsid w:val="00BC78A1"/>
    <w:rsid w:val="00BC79D2"/>
    <w:rsid w:val="00BC7A22"/>
    <w:rsid w:val="00BC7AB1"/>
    <w:rsid w:val="00BC7AF0"/>
    <w:rsid w:val="00BC7B29"/>
    <w:rsid w:val="00BC7B82"/>
    <w:rsid w:val="00BC7BC2"/>
    <w:rsid w:val="00BC7BCF"/>
    <w:rsid w:val="00BC7C80"/>
    <w:rsid w:val="00BC7E6F"/>
    <w:rsid w:val="00BC7ED3"/>
    <w:rsid w:val="00BC7F3B"/>
    <w:rsid w:val="00BC7F4D"/>
    <w:rsid w:val="00BC7F68"/>
    <w:rsid w:val="00BC7F7D"/>
    <w:rsid w:val="00BC7FC7"/>
    <w:rsid w:val="00BCB0B1"/>
    <w:rsid w:val="00BD011C"/>
    <w:rsid w:val="00BD0140"/>
    <w:rsid w:val="00BD01F6"/>
    <w:rsid w:val="00BD0275"/>
    <w:rsid w:val="00BD0369"/>
    <w:rsid w:val="00BD039D"/>
    <w:rsid w:val="00BD03BA"/>
    <w:rsid w:val="00BD0543"/>
    <w:rsid w:val="00BD05A6"/>
    <w:rsid w:val="00BD05E7"/>
    <w:rsid w:val="00BD05E9"/>
    <w:rsid w:val="00BD067B"/>
    <w:rsid w:val="00BD0724"/>
    <w:rsid w:val="00BD0874"/>
    <w:rsid w:val="00BD0898"/>
    <w:rsid w:val="00BD08DD"/>
    <w:rsid w:val="00BD09C5"/>
    <w:rsid w:val="00BD0AFB"/>
    <w:rsid w:val="00BD0AFC"/>
    <w:rsid w:val="00BD0B0F"/>
    <w:rsid w:val="00BD0B28"/>
    <w:rsid w:val="00BD0C00"/>
    <w:rsid w:val="00BD0C08"/>
    <w:rsid w:val="00BD0C3F"/>
    <w:rsid w:val="00BD0CB1"/>
    <w:rsid w:val="00BD0CD2"/>
    <w:rsid w:val="00BD0D06"/>
    <w:rsid w:val="00BD0F41"/>
    <w:rsid w:val="00BD0F7A"/>
    <w:rsid w:val="00BD0FA7"/>
    <w:rsid w:val="00BD0FFE"/>
    <w:rsid w:val="00BD11AF"/>
    <w:rsid w:val="00BD1206"/>
    <w:rsid w:val="00BD1382"/>
    <w:rsid w:val="00BD138A"/>
    <w:rsid w:val="00BD13AA"/>
    <w:rsid w:val="00BD13D3"/>
    <w:rsid w:val="00BD1479"/>
    <w:rsid w:val="00BD14AF"/>
    <w:rsid w:val="00BD14B5"/>
    <w:rsid w:val="00BD14C9"/>
    <w:rsid w:val="00BD14E0"/>
    <w:rsid w:val="00BD1567"/>
    <w:rsid w:val="00BD1677"/>
    <w:rsid w:val="00BD16EC"/>
    <w:rsid w:val="00BD1706"/>
    <w:rsid w:val="00BD1817"/>
    <w:rsid w:val="00BD19E0"/>
    <w:rsid w:val="00BD19E3"/>
    <w:rsid w:val="00BD1A74"/>
    <w:rsid w:val="00BD1AC8"/>
    <w:rsid w:val="00BD1BE8"/>
    <w:rsid w:val="00BD1C17"/>
    <w:rsid w:val="00BD1CD0"/>
    <w:rsid w:val="00BD1D47"/>
    <w:rsid w:val="00BD1D80"/>
    <w:rsid w:val="00BD1DC9"/>
    <w:rsid w:val="00BD1E64"/>
    <w:rsid w:val="00BD1EC6"/>
    <w:rsid w:val="00BD1EF8"/>
    <w:rsid w:val="00BD1F19"/>
    <w:rsid w:val="00BD2065"/>
    <w:rsid w:val="00BD206F"/>
    <w:rsid w:val="00BD2339"/>
    <w:rsid w:val="00BD2348"/>
    <w:rsid w:val="00BD2361"/>
    <w:rsid w:val="00BD2507"/>
    <w:rsid w:val="00BD2523"/>
    <w:rsid w:val="00BD254D"/>
    <w:rsid w:val="00BD2659"/>
    <w:rsid w:val="00BD28FD"/>
    <w:rsid w:val="00BD297B"/>
    <w:rsid w:val="00BD2A4A"/>
    <w:rsid w:val="00BD2A65"/>
    <w:rsid w:val="00BD2AB3"/>
    <w:rsid w:val="00BD2AD9"/>
    <w:rsid w:val="00BD2B29"/>
    <w:rsid w:val="00BD2B86"/>
    <w:rsid w:val="00BD2BE4"/>
    <w:rsid w:val="00BD2C7A"/>
    <w:rsid w:val="00BD2DF8"/>
    <w:rsid w:val="00BD2E5F"/>
    <w:rsid w:val="00BD2E8E"/>
    <w:rsid w:val="00BD2F20"/>
    <w:rsid w:val="00BD2F69"/>
    <w:rsid w:val="00BD3194"/>
    <w:rsid w:val="00BD3269"/>
    <w:rsid w:val="00BD32AD"/>
    <w:rsid w:val="00BD330D"/>
    <w:rsid w:val="00BD33B8"/>
    <w:rsid w:val="00BD341C"/>
    <w:rsid w:val="00BD3529"/>
    <w:rsid w:val="00BD35B8"/>
    <w:rsid w:val="00BD3645"/>
    <w:rsid w:val="00BD373B"/>
    <w:rsid w:val="00BD376A"/>
    <w:rsid w:val="00BD37A7"/>
    <w:rsid w:val="00BD389F"/>
    <w:rsid w:val="00BD3B1F"/>
    <w:rsid w:val="00BD3B3B"/>
    <w:rsid w:val="00BD3BE4"/>
    <w:rsid w:val="00BD3CFD"/>
    <w:rsid w:val="00BD3DBF"/>
    <w:rsid w:val="00BD401C"/>
    <w:rsid w:val="00BD41A8"/>
    <w:rsid w:val="00BD4327"/>
    <w:rsid w:val="00BD432C"/>
    <w:rsid w:val="00BD4331"/>
    <w:rsid w:val="00BD4422"/>
    <w:rsid w:val="00BD4453"/>
    <w:rsid w:val="00BD44C6"/>
    <w:rsid w:val="00BD4686"/>
    <w:rsid w:val="00BD46C5"/>
    <w:rsid w:val="00BD472C"/>
    <w:rsid w:val="00BD48E4"/>
    <w:rsid w:val="00BD499A"/>
    <w:rsid w:val="00BD4A34"/>
    <w:rsid w:val="00BD4AEA"/>
    <w:rsid w:val="00BD4B26"/>
    <w:rsid w:val="00BD4B4D"/>
    <w:rsid w:val="00BD4BA7"/>
    <w:rsid w:val="00BD4C8C"/>
    <w:rsid w:val="00BD4CC6"/>
    <w:rsid w:val="00BD4DAD"/>
    <w:rsid w:val="00BD4E27"/>
    <w:rsid w:val="00BD4E33"/>
    <w:rsid w:val="00BD4E94"/>
    <w:rsid w:val="00BD4F40"/>
    <w:rsid w:val="00BD5022"/>
    <w:rsid w:val="00BD5046"/>
    <w:rsid w:val="00BD50B9"/>
    <w:rsid w:val="00BD5174"/>
    <w:rsid w:val="00BD5186"/>
    <w:rsid w:val="00BD5225"/>
    <w:rsid w:val="00BD5270"/>
    <w:rsid w:val="00BD5407"/>
    <w:rsid w:val="00BD5486"/>
    <w:rsid w:val="00BD5531"/>
    <w:rsid w:val="00BD562A"/>
    <w:rsid w:val="00BD56FE"/>
    <w:rsid w:val="00BD57D7"/>
    <w:rsid w:val="00BD5996"/>
    <w:rsid w:val="00BD5AD7"/>
    <w:rsid w:val="00BD5BCA"/>
    <w:rsid w:val="00BD5BFB"/>
    <w:rsid w:val="00BD5C40"/>
    <w:rsid w:val="00BD5C49"/>
    <w:rsid w:val="00BD5D23"/>
    <w:rsid w:val="00BD5D2D"/>
    <w:rsid w:val="00BD5D55"/>
    <w:rsid w:val="00BD5E0C"/>
    <w:rsid w:val="00BD5E32"/>
    <w:rsid w:val="00BD5E3F"/>
    <w:rsid w:val="00BD5E44"/>
    <w:rsid w:val="00BD5E87"/>
    <w:rsid w:val="00BD5EC1"/>
    <w:rsid w:val="00BD5F0C"/>
    <w:rsid w:val="00BD5F29"/>
    <w:rsid w:val="00BD6053"/>
    <w:rsid w:val="00BD6127"/>
    <w:rsid w:val="00BD6147"/>
    <w:rsid w:val="00BD6288"/>
    <w:rsid w:val="00BD62BD"/>
    <w:rsid w:val="00BD62DE"/>
    <w:rsid w:val="00BD6313"/>
    <w:rsid w:val="00BD633E"/>
    <w:rsid w:val="00BD6389"/>
    <w:rsid w:val="00BD63ED"/>
    <w:rsid w:val="00BD6401"/>
    <w:rsid w:val="00BD6508"/>
    <w:rsid w:val="00BD6605"/>
    <w:rsid w:val="00BD6639"/>
    <w:rsid w:val="00BD66DB"/>
    <w:rsid w:val="00BD6706"/>
    <w:rsid w:val="00BD67B2"/>
    <w:rsid w:val="00BD681F"/>
    <w:rsid w:val="00BD688C"/>
    <w:rsid w:val="00BD6902"/>
    <w:rsid w:val="00BD6958"/>
    <w:rsid w:val="00BD6999"/>
    <w:rsid w:val="00BD69D7"/>
    <w:rsid w:val="00BD69F8"/>
    <w:rsid w:val="00BD6A64"/>
    <w:rsid w:val="00BD6AC8"/>
    <w:rsid w:val="00BD6AED"/>
    <w:rsid w:val="00BD6B2E"/>
    <w:rsid w:val="00BD6B40"/>
    <w:rsid w:val="00BD6BA6"/>
    <w:rsid w:val="00BD6DE7"/>
    <w:rsid w:val="00BD6E03"/>
    <w:rsid w:val="00BD6E1D"/>
    <w:rsid w:val="00BD6F05"/>
    <w:rsid w:val="00BD6F06"/>
    <w:rsid w:val="00BD6F0B"/>
    <w:rsid w:val="00BD6F4C"/>
    <w:rsid w:val="00BD6FFA"/>
    <w:rsid w:val="00BD700A"/>
    <w:rsid w:val="00BD7085"/>
    <w:rsid w:val="00BD70FA"/>
    <w:rsid w:val="00BD70FC"/>
    <w:rsid w:val="00BD7181"/>
    <w:rsid w:val="00BD71AA"/>
    <w:rsid w:val="00BD73D5"/>
    <w:rsid w:val="00BD741E"/>
    <w:rsid w:val="00BD74D8"/>
    <w:rsid w:val="00BD762D"/>
    <w:rsid w:val="00BD767F"/>
    <w:rsid w:val="00BD7685"/>
    <w:rsid w:val="00BD7731"/>
    <w:rsid w:val="00BD7754"/>
    <w:rsid w:val="00BD7758"/>
    <w:rsid w:val="00BD7784"/>
    <w:rsid w:val="00BD778E"/>
    <w:rsid w:val="00BD77EE"/>
    <w:rsid w:val="00BD780A"/>
    <w:rsid w:val="00BD7834"/>
    <w:rsid w:val="00BD785F"/>
    <w:rsid w:val="00BD7866"/>
    <w:rsid w:val="00BD78E7"/>
    <w:rsid w:val="00BD79ED"/>
    <w:rsid w:val="00BD79F9"/>
    <w:rsid w:val="00BD7A1A"/>
    <w:rsid w:val="00BD7A54"/>
    <w:rsid w:val="00BD7B92"/>
    <w:rsid w:val="00BD7C2F"/>
    <w:rsid w:val="00BD7DB0"/>
    <w:rsid w:val="00BD7DD8"/>
    <w:rsid w:val="00BD7DE9"/>
    <w:rsid w:val="00BD7DFD"/>
    <w:rsid w:val="00BD7E14"/>
    <w:rsid w:val="00BD7E80"/>
    <w:rsid w:val="00BD7E81"/>
    <w:rsid w:val="00BD7F19"/>
    <w:rsid w:val="00BD7F30"/>
    <w:rsid w:val="00BE02D5"/>
    <w:rsid w:val="00BE02DF"/>
    <w:rsid w:val="00BE03B8"/>
    <w:rsid w:val="00BE041A"/>
    <w:rsid w:val="00BE0615"/>
    <w:rsid w:val="00BE0966"/>
    <w:rsid w:val="00BE097A"/>
    <w:rsid w:val="00BE099D"/>
    <w:rsid w:val="00BE0A6E"/>
    <w:rsid w:val="00BE0ADB"/>
    <w:rsid w:val="00BE0B41"/>
    <w:rsid w:val="00BE0B46"/>
    <w:rsid w:val="00BE0CBA"/>
    <w:rsid w:val="00BE0CE3"/>
    <w:rsid w:val="00BE0D34"/>
    <w:rsid w:val="00BE0D81"/>
    <w:rsid w:val="00BE0FA2"/>
    <w:rsid w:val="00BE10E4"/>
    <w:rsid w:val="00BE1157"/>
    <w:rsid w:val="00BE11FB"/>
    <w:rsid w:val="00BE12DD"/>
    <w:rsid w:val="00BE13DD"/>
    <w:rsid w:val="00BE1439"/>
    <w:rsid w:val="00BE1718"/>
    <w:rsid w:val="00BE17D9"/>
    <w:rsid w:val="00BE17EF"/>
    <w:rsid w:val="00BE19D1"/>
    <w:rsid w:val="00BE19EE"/>
    <w:rsid w:val="00BE1A80"/>
    <w:rsid w:val="00BE1B04"/>
    <w:rsid w:val="00BE1B3A"/>
    <w:rsid w:val="00BE1C28"/>
    <w:rsid w:val="00BE1CB9"/>
    <w:rsid w:val="00BE1DC4"/>
    <w:rsid w:val="00BE1E13"/>
    <w:rsid w:val="00BE1E2D"/>
    <w:rsid w:val="00BE1ED9"/>
    <w:rsid w:val="00BE1EDB"/>
    <w:rsid w:val="00BE1F82"/>
    <w:rsid w:val="00BE1FDA"/>
    <w:rsid w:val="00BE21FE"/>
    <w:rsid w:val="00BE2237"/>
    <w:rsid w:val="00BE2310"/>
    <w:rsid w:val="00BE2326"/>
    <w:rsid w:val="00BE233B"/>
    <w:rsid w:val="00BE2350"/>
    <w:rsid w:val="00BE2425"/>
    <w:rsid w:val="00BE2487"/>
    <w:rsid w:val="00BE2495"/>
    <w:rsid w:val="00BE24EA"/>
    <w:rsid w:val="00BE2507"/>
    <w:rsid w:val="00BE2568"/>
    <w:rsid w:val="00BE259C"/>
    <w:rsid w:val="00BE26B3"/>
    <w:rsid w:val="00BE275B"/>
    <w:rsid w:val="00BE278B"/>
    <w:rsid w:val="00BE27F9"/>
    <w:rsid w:val="00BE28D2"/>
    <w:rsid w:val="00BE28E3"/>
    <w:rsid w:val="00BE2911"/>
    <w:rsid w:val="00BE2919"/>
    <w:rsid w:val="00BE298C"/>
    <w:rsid w:val="00BE29A4"/>
    <w:rsid w:val="00BE2A06"/>
    <w:rsid w:val="00BE2AA4"/>
    <w:rsid w:val="00BE2B31"/>
    <w:rsid w:val="00BE2BBD"/>
    <w:rsid w:val="00BE2BBE"/>
    <w:rsid w:val="00BE2C4C"/>
    <w:rsid w:val="00BE2C69"/>
    <w:rsid w:val="00BE2E63"/>
    <w:rsid w:val="00BE2F24"/>
    <w:rsid w:val="00BE308C"/>
    <w:rsid w:val="00BE30F5"/>
    <w:rsid w:val="00BE31DC"/>
    <w:rsid w:val="00BE3398"/>
    <w:rsid w:val="00BE33C2"/>
    <w:rsid w:val="00BE341E"/>
    <w:rsid w:val="00BE3474"/>
    <w:rsid w:val="00BE34AE"/>
    <w:rsid w:val="00BE34EC"/>
    <w:rsid w:val="00BE3565"/>
    <w:rsid w:val="00BE370E"/>
    <w:rsid w:val="00BE3763"/>
    <w:rsid w:val="00BE38A6"/>
    <w:rsid w:val="00BE3968"/>
    <w:rsid w:val="00BE39FA"/>
    <w:rsid w:val="00BE3A09"/>
    <w:rsid w:val="00BE3A24"/>
    <w:rsid w:val="00BE3B04"/>
    <w:rsid w:val="00BE3B4F"/>
    <w:rsid w:val="00BE3B9D"/>
    <w:rsid w:val="00BE3C17"/>
    <w:rsid w:val="00BE3C79"/>
    <w:rsid w:val="00BE3CFC"/>
    <w:rsid w:val="00BE3CFF"/>
    <w:rsid w:val="00BE3D52"/>
    <w:rsid w:val="00BE3E05"/>
    <w:rsid w:val="00BE3F6D"/>
    <w:rsid w:val="00BE3FD4"/>
    <w:rsid w:val="00BE3FED"/>
    <w:rsid w:val="00BE4001"/>
    <w:rsid w:val="00BE40F8"/>
    <w:rsid w:val="00BE4190"/>
    <w:rsid w:val="00BE4256"/>
    <w:rsid w:val="00BE42C0"/>
    <w:rsid w:val="00BE42CE"/>
    <w:rsid w:val="00BE42F0"/>
    <w:rsid w:val="00BE430B"/>
    <w:rsid w:val="00BE4572"/>
    <w:rsid w:val="00BE4630"/>
    <w:rsid w:val="00BE466D"/>
    <w:rsid w:val="00BE466F"/>
    <w:rsid w:val="00BE47AA"/>
    <w:rsid w:val="00BE47B2"/>
    <w:rsid w:val="00BE47C0"/>
    <w:rsid w:val="00BE47D1"/>
    <w:rsid w:val="00BE47F4"/>
    <w:rsid w:val="00BE4870"/>
    <w:rsid w:val="00BE4A4F"/>
    <w:rsid w:val="00BE4AEA"/>
    <w:rsid w:val="00BE4BD6"/>
    <w:rsid w:val="00BE4D49"/>
    <w:rsid w:val="00BE4D57"/>
    <w:rsid w:val="00BE4E67"/>
    <w:rsid w:val="00BE4FBA"/>
    <w:rsid w:val="00BE507D"/>
    <w:rsid w:val="00BE50D7"/>
    <w:rsid w:val="00BE512A"/>
    <w:rsid w:val="00BE5191"/>
    <w:rsid w:val="00BE519F"/>
    <w:rsid w:val="00BE51D0"/>
    <w:rsid w:val="00BE51FE"/>
    <w:rsid w:val="00BE530E"/>
    <w:rsid w:val="00BE53E2"/>
    <w:rsid w:val="00BE53F3"/>
    <w:rsid w:val="00BE53FD"/>
    <w:rsid w:val="00BE5443"/>
    <w:rsid w:val="00BE54CD"/>
    <w:rsid w:val="00BE54DC"/>
    <w:rsid w:val="00BE54EC"/>
    <w:rsid w:val="00BE552D"/>
    <w:rsid w:val="00BE554A"/>
    <w:rsid w:val="00BE55E4"/>
    <w:rsid w:val="00BE5734"/>
    <w:rsid w:val="00BE5750"/>
    <w:rsid w:val="00BE578B"/>
    <w:rsid w:val="00BE57D5"/>
    <w:rsid w:val="00BE57DB"/>
    <w:rsid w:val="00BE58B1"/>
    <w:rsid w:val="00BE594C"/>
    <w:rsid w:val="00BE5958"/>
    <w:rsid w:val="00BE5B9F"/>
    <w:rsid w:val="00BE5BD0"/>
    <w:rsid w:val="00BE5C3F"/>
    <w:rsid w:val="00BE5CCD"/>
    <w:rsid w:val="00BE5DC4"/>
    <w:rsid w:val="00BE5E39"/>
    <w:rsid w:val="00BE5EB3"/>
    <w:rsid w:val="00BE5F15"/>
    <w:rsid w:val="00BE5F47"/>
    <w:rsid w:val="00BE5F6C"/>
    <w:rsid w:val="00BE5F87"/>
    <w:rsid w:val="00BE5FB2"/>
    <w:rsid w:val="00BE61C5"/>
    <w:rsid w:val="00BE6258"/>
    <w:rsid w:val="00BE625E"/>
    <w:rsid w:val="00BE63ED"/>
    <w:rsid w:val="00BE6444"/>
    <w:rsid w:val="00BE646A"/>
    <w:rsid w:val="00BE64AA"/>
    <w:rsid w:val="00BE64CC"/>
    <w:rsid w:val="00BE64FF"/>
    <w:rsid w:val="00BE653E"/>
    <w:rsid w:val="00BE65D0"/>
    <w:rsid w:val="00BE6641"/>
    <w:rsid w:val="00BE66D7"/>
    <w:rsid w:val="00BE6851"/>
    <w:rsid w:val="00BE68A2"/>
    <w:rsid w:val="00BE69CD"/>
    <w:rsid w:val="00BE69DC"/>
    <w:rsid w:val="00BE6BD9"/>
    <w:rsid w:val="00BE6CCD"/>
    <w:rsid w:val="00BE6D1C"/>
    <w:rsid w:val="00BE6D3A"/>
    <w:rsid w:val="00BE6DA4"/>
    <w:rsid w:val="00BE6DD2"/>
    <w:rsid w:val="00BE6FFD"/>
    <w:rsid w:val="00BE706A"/>
    <w:rsid w:val="00BE7083"/>
    <w:rsid w:val="00BE70AB"/>
    <w:rsid w:val="00BE70E6"/>
    <w:rsid w:val="00BE715A"/>
    <w:rsid w:val="00BE7198"/>
    <w:rsid w:val="00BE7209"/>
    <w:rsid w:val="00BE723E"/>
    <w:rsid w:val="00BE72BC"/>
    <w:rsid w:val="00BE72BF"/>
    <w:rsid w:val="00BE72DA"/>
    <w:rsid w:val="00BE73C5"/>
    <w:rsid w:val="00BE7579"/>
    <w:rsid w:val="00BE784C"/>
    <w:rsid w:val="00BE7928"/>
    <w:rsid w:val="00BE798F"/>
    <w:rsid w:val="00BE79CE"/>
    <w:rsid w:val="00BE79CF"/>
    <w:rsid w:val="00BE79D6"/>
    <w:rsid w:val="00BE79DA"/>
    <w:rsid w:val="00BE7AF4"/>
    <w:rsid w:val="00BE7B2D"/>
    <w:rsid w:val="00BE7B41"/>
    <w:rsid w:val="00BE7B91"/>
    <w:rsid w:val="00BE7BA8"/>
    <w:rsid w:val="00BE7CC2"/>
    <w:rsid w:val="00BE7CDD"/>
    <w:rsid w:val="00BE7CE9"/>
    <w:rsid w:val="00BE7D7F"/>
    <w:rsid w:val="00BE7DC8"/>
    <w:rsid w:val="00BE7E6D"/>
    <w:rsid w:val="00BE7F4C"/>
    <w:rsid w:val="00BE7F4F"/>
    <w:rsid w:val="00BF000F"/>
    <w:rsid w:val="00BF0297"/>
    <w:rsid w:val="00BF02A7"/>
    <w:rsid w:val="00BF02EF"/>
    <w:rsid w:val="00BF069A"/>
    <w:rsid w:val="00BF06B7"/>
    <w:rsid w:val="00BF0757"/>
    <w:rsid w:val="00BF07B7"/>
    <w:rsid w:val="00BF07D4"/>
    <w:rsid w:val="00BF0852"/>
    <w:rsid w:val="00BF089E"/>
    <w:rsid w:val="00BF091B"/>
    <w:rsid w:val="00BF0951"/>
    <w:rsid w:val="00BF0954"/>
    <w:rsid w:val="00BF0996"/>
    <w:rsid w:val="00BF09F6"/>
    <w:rsid w:val="00BF09FC"/>
    <w:rsid w:val="00BF0A63"/>
    <w:rsid w:val="00BF0A7E"/>
    <w:rsid w:val="00BF0AAA"/>
    <w:rsid w:val="00BF0BAF"/>
    <w:rsid w:val="00BF0C2F"/>
    <w:rsid w:val="00BF0C4F"/>
    <w:rsid w:val="00BF0D21"/>
    <w:rsid w:val="00BF0D99"/>
    <w:rsid w:val="00BF0DE2"/>
    <w:rsid w:val="00BF0E56"/>
    <w:rsid w:val="00BF1075"/>
    <w:rsid w:val="00BF108F"/>
    <w:rsid w:val="00BF1192"/>
    <w:rsid w:val="00BF11BE"/>
    <w:rsid w:val="00BF12DC"/>
    <w:rsid w:val="00BF134E"/>
    <w:rsid w:val="00BF135B"/>
    <w:rsid w:val="00BF1459"/>
    <w:rsid w:val="00BF1484"/>
    <w:rsid w:val="00BF148E"/>
    <w:rsid w:val="00BF15AE"/>
    <w:rsid w:val="00BF1603"/>
    <w:rsid w:val="00BF1741"/>
    <w:rsid w:val="00BF17BE"/>
    <w:rsid w:val="00BF18CB"/>
    <w:rsid w:val="00BF18DD"/>
    <w:rsid w:val="00BF18E6"/>
    <w:rsid w:val="00BF1924"/>
    <w:rsid w:val="00BF197D"/>
    <w:rsid w:val="00BF19C5"/>
    <w:rsid w:val="00BF19E8"/>
    <w:rsid w:val="00BF1A65"/>
    <w:rsid w:val="00BF1AD1"/>
    <w:rsid w:val="00BF1BBE"/>
    <w:rsid w:val="00BF1BC0"/>
    <w:rsid w:val="00BF1BD6"/>
    <w:rsid w:val="00BF1C80"/>
    <w:rsid w:val="00BF1E54"/>
    <w:rsid w:val="00BF1F53"/>
    <w:rsid w:val="00BF1F81"/>
    <w:rsid w:val="00BF20B0"/>
    <w:rsid w:val="00BF20DC"/>
    <w:rsid w:val="00BF20FF"/>
    <w:rsid w:val="00BF220D"/>
    <w:rsid w:val="00BF220F"/>
    <w:rsid w:val="00BF2244"/>
    <w:rsid w:val="00BF228B"/>
    <w:rsid w:val="00BF22DF"/>
    <w:rsid w:val="00BF2395"/>
    <w:rsid w:val="00BF23F5"/>
    <w:rsid w:val="00BF2420"/>
    <w:rsid w:val="00BF2529"/>
    <w:rsid w:val="00BF27E3"/>
    <w:rsid w:val="00BF28D5"/>
    <w:rsid w:val="00BF28F9"/>
    <w:rsid w:val="00BF2906"/>
    <w:rsid w:val="00BF299C"/>
    <w:rsid w:val="00BF2A6C"/>
    <w:rsid w:val="00BF2AB3"/>
    <w:rsid w:val="00BF2BB7"/>
    <w:rsid w:val="00BF2BCA"/>
    <w:rsid w:val="00BF2D8E"/>
    <w:rsid w:val="00BF2DC1"/>
    <w:rsid w:val="00BF2E57"/>
    <w:rsid w:val="00BF2EA9"/>
    <w:rsid w:val="00BF2F31"/>
    <w:rsid w:val="00BF2F33"/>
    <w:rsid w:val="00BF2F8D"/>
    <w:rsid w:val="00BF2FB6"/>
    <w:rsid w:val="00BF2FCA"/>
    <w:rsid w:val="00BF3069"/>
    <w:rsid w:val="00BF3082"/>
    <w:rsid w:val="00BF3198"/>
    <w:rsid w:val="00BF3201"/>
    <w:rsid w:val="00BF3265"/>
    <w:rsid w:val="00BF32E0"/>
    <w:rsid w:val="00BF33F5"/>
    <w:rsid w:val="00BF3443"/>
    <w:rsid w:val="00BF3476"/>
    <w:rsid w:val="00BF34F6"/>
    <w:rsid w:val="00BF3531"/>
    <w:rsid w:val="00BF3553"/>
    <w:rsid w:val="00BF3602"/>
    <w:rsid w:val="00BF3672"/>
    <w:rsid w:val="00BF36E8"/>
    <w:rsid w:val="00BF3743"/>
    <w:rsid w:val="00BF3744"/>
    <w:rsid w:val="00BF3789"/>
    <w:rsid w:val="00BF3794"/>
    <w:rsid w:val="00BF379D"/>
    <w:rsid w:val="00BF3842"/>
    <w:rsid w:val="00BF3851"/>
    <w:rsid w:val="00BF38A0"/>
    <w:rsid w:val="00BF3981"/>
    <w:rsid w:val="00BF3A48"/>
    <w:rsid w:val="00BF3B06"/>
    <w:rsid w:val="00BF3B77"/>
    <w:rsid w:val="00BF3B92"/>
    <w:rsid w:val="00BF3BC3"/>
    <w:rsid w:val="00BF3C83"/>
    <w:rsid w:val="00BF3D44"/>
    <w:rsid w:val="00BF3DA8"/>
    <w:rsid w:val="00BF3DF8"/>
    <w:rsid w:val="00BF3EBD"/>
    <w:rsid w:val="00BF3F6F"/>
    <w:rsid w:val="00BF3F7A"/>
    <w:rsid w:val="00BF3FD2"/>
    <w:rsid w:val="00BF3FF1"/>
    <w:rsid w:val="00BF410C"/>
    <w:rsid w:val="00BF412A"/>
    <w:rsid w:val="00BF41C4"/>
    <w:rsid w:val="00BF4209"/>
    <w:rsid w:val="00BF4398"/>
    <w:rsid w:val="00BF43B3"/>
    <w:rsid w:val="00BF43E6"/>
    <w:rsid w:val="00BF452D"/>
    <w:rsid w:val="00BF4664"/>
    <w:rsid w:val="00BF46EA"/>
    <w:rsid w:val="00BF48B7"/>
    <w:rsid w:val="00BF4930"/>
    <w:rsid w:val="00BF498F"/>
    <w:rsid w:val="00BF4A9A"/>
    <w:rsid w:val="00BF4B44"/>
    <w:rsid w:val="00BF4D8F"/>
    <w:rsid w:val="00BF4E49"/>
    <w:rsid w:val="00BF4EA8"/>
    <w:rsid w:val="00BF50FB"/>
    <w:rsid w:val="00BF5148"/>
    <w:rsid w:val="00BF5178"/>
    <w:rsid w:val="00BF5179"/>
    <w:rsid w:val="00BF51E3"/>
    <w:rsid w:val="00BF5249"/>
    <w:rsid w:val="00BF5360"/>
    <w:rsid w:val="00BF540E"/>
    <w:rsid w:val="00BF5429"/>
    <w:rsid w:val="00BF5438"/>
    <w:rsid w:val="00BF54AA"/>
    <w:rsid w:val="00BF5505"/>
    <w:rsid w:val="00BF5599"/>
    <w:rsid w:val="00BF55C5"/>
    <w:rsid w:val="00BF55D6"/>
    <w:rsid w:val="00BF56D9"/>
    <w:rsid w:val="00BF5769"/>
    <w:rsid w:val="00BF5792"/>
    <w:rsid w:val="00BF57C5"/>
    <w:rsid w:val="00BF592C"/>
    <w:rsid w:val="00BF5AE8"/>
    <w:rsid w:val="00BF5B71"/>
    <w:rsid w:val="00BF5D2C"/>
    <w:rsid w:val="00BF5D75"/>
    <w:rsid w:val="00BF5DAC"/>
    <w:rsid w:val="00BF5DC2"/>
    <w:rsid w:val="00BF5E5E"/>
    <w:rsid w:val="00BF5ED0"/>
    <w:rsid w:val="00BF5F36"/>
    <w:rsid w:val="00BF5F42"/>
    <w:rsid w:val="00BF5F52"/>
    <w:rsid w:val="00BF609E"/>
    <w:rsid w:val="00BF60F3"/>
    <w:rsid w:val="00BF612C"/>
    <w:rsid w:val="00BF61D7"/>
    <w:rsid w:val="00BF626F"/>
    <w:rsid w:val="00BF62B0"/>
    <w:rsid w:val="00BF63B6"/>
    <w:rsid w:val="00BF63FC"/>
    <w:rsid w:val="00BF6433"/>
    <w:rsid w:val="00BF6467"/>
    <w:rsid w:val="00BF6484"/>
    <w:rsid w:val="00BF64B8"/>
    <w:rsid w:val="00BF64C3"/>
    <w:rsid w:val="00BF64EB"/>
    <w:rsid w:val="00BF6646"/>
    <w:rsid w:val="00BF66A7"/>
    <w:rsid w:val="00BF66C9"/>
    <w:rsid w:val="00BF6808"/>
    <w:rsid w:val="00BF68D3"/>
    <w:rsid w:val="00BF68F8"/>
    <w:rsid w:val="00BF6AD2"/>
    <w:rsid w:val="00BF6C46"/>
    <w:rsid w:val="00BF6C4D"/>
    <w:rsid w:val="00BF6C6E"/>
    <w:rsid w:val="00BF6C86"/>
    <w:rsid w:val="00BF6CD4"/>
    <w:rsid w:val="00BF6CF8"/>
    <w:rsid w:val="00BF6DAE"/>
    <w:rsid w:val="00BF6DB7"/>
    <w:rsid w:val="00BF6E30"/>
    <w:rsid w:val="00BF6E3A"/>
    <w:rsid w:val="00BF6EAA"/>
    <w:rsid w:val="00BF6EDC"/>
    <w:rsid w:val="00BF6F69"/>
    <w:rsid w:val="00BF6FA2"/>
    <w:rsid w:val="00BF6FE3"/>
    <w:rsid w:val="00BF6FFF"/>
    <w:rsid w:val="00BF7026"/>
    <w:rsid w:val="00BF7032"/>
    <w:rsid w:val="00BF7066"/>
    <w:rsid w:val="00BF709F"/>
    <w:rsid w:val="00BF70C1"/>
    <w:rsid w:val="00BF71BE"/>
    <w:rsid w:val="00BF7392"/>
    <w:rsid w:val="00BF73D5"/>
    <w:rsid w:val="00BF7402"/>
    <w:rsid w:val="00BF750D"/>
    <w:rsid w:val="00BF750F"/>
    <w:rsid w:val="00BF75E2"/>
    <w:rsid w:val="00BF761F"/>
    <w:rsid w:val="00BF7696"/>
    <w:rsid w:val="00BF78B0"/>
    <w:rsid w:val="00BF7946"/>
    <w:rsid w:val="00BF79C0"/>
    <w:rsid w:val="00BF79C1"/>
    <w:rsid w:val="00BF79D0"/>
    <w:rsid w:val="00BF7A3D"/>
    <w:rsid w:val="00BF7A7E"/>
    <w:rsid w:val="00BF7B06"/>
    <w:rsid w:val="00BF7B55"/>
    <w:rsid w:val="00BF7B62"/>
    <w:rsid w:val="00BF7C02"/>
    <w:rsid w:val="00BF7C50"/>
    <w:rsid w:val="00BF7D09"/>
    <w:rsid w:val="00BF7E1C"/>
    <w:rsid w:val="00BF7EC9"/>
    <w:rsid w:val="00BF7EE4"/>
    <w:rsid w:val="00BF7F4B"/>
    <w:rsid w:val="00BF7F72"/>
    <w:rsid w:val="00BF7F83"/>
    <w:rsid w:val="00BF7F96"/>
    <w:rsid w:val="00BF7FA2"/>
    <w:rsid w:val="00BF7FFA"/>
    <w:rsid w:val="00C000AF"/>
    <w:rsid w:val="00C000E3"/>
    <w:rsid w:val="00C001A8"/>
    <w:rsid w:val="00C00221"/>
    <w:rsid w:val="00C00225"/>
    <w:rsid w:val="00C0039E"/>
    <w:rsid w:val="00C003CB"/>
    <w:rsid w:val="00C005BA"/>
    <w:rsid w:val="00C00740"/>
    <w:rsid w:val="00C00796"/>
    <w:rsid w:val="00C007B2"/>
    <w:rsid w:val="00C008E7"/>
    <w:rsid w:val="00C00963"/>
    <w:rsid w:val="00C00A74"/>
    <w:rsid w:val="00C00AC9"/>
    <w:rsid w:val="00C00ACE"/>
    <w:rsid w:val="00C00B70"/>
    <w:rsid w:val="00C00BEC"/>
    <w:rsid w:val="00C00DA1"/>
    <w:rsid w:val="00C00DB8"/>
    <w:rsid w:val="00C00E7F"/>
    <w:rsid w:val="00C00F08"/>
    <w:rsid w:val="00C00F73"/>
    <w:rsid w:val="00C00FE6"/>
    <w:rsid w:val="00C0102C"/>
    <w:rsid w:val="00C0111B"/>
    <w:rsid w:val="00C01126"/>
    <w:rsid w:val="00C01127"/>
    <w:rsid w:val="00C0117F"/>
    <w:rsid w:val="00C011DF"/>
    <w:rsid w:val="00C01253"/>
    <w:rsid w:val="00C01295"/>
    <w:rsid w:val="00C01361"/>
    <w:rsid w:val="00C01401"/>
    <w:rsid w:val="00C01411"/>
    <w:rsid w:val="00C01513"/>
    <w:rsid w:val="00C0170C"/>
    <w:rsid w:val="00C01758"/>
    <w:rsid w:val="00C0175C"/>
    <w:rsid w:val="00C017A3"/>
    <w:rsid w:val="00C01869"/>
    <w:rsid w:val="00C018E2"/>
    <w:rsid w:val="00C01944"/>
    <w:rsid w:val="00C019AB"/>
    <w:rsid w:val="00C01A08"/>
    <w:rsid w:val="00C01AE8"/>
    <w:rsid w:val="00C01B0F"/>
    <w:rsid w:val="00C01C01"/>
    <w:rsid w:val="00C01C69"/>
    <w:rsid w:val="00C01D50"/>
    <w:rsid w:val="00C01DE7"/>
    <w:rsid w:val="00C01E5A"/>
    <w:rsid w:val="00C01F23"/>
    <w:rsid w:val="00C01F54"/>
    <w:rsid w:val="00C0204D"/>
    <w:rsid w:val="00C020DB"/>
    <w:rsid w:val="00C020F9"/>
    <w:rsid w:val="00C02169"/>
    <w:rsid w:val="00C02236"/>
    <w:rsid w:val="00C02365"/>
    <w:rsid w:val="00C025E7"/>
    <w:rsid w:val="00C02798"/>
    <w:rsid w:val="00C028AA"/>
    <w:rsid w:val="00C02952"/>
    <w:rsid w:val="00C02967"/>
    <w:rsid w:val="00C029B6"/>
    <w:rsid w:val="00C02A69"/>
    <w:rsid w:val="00C02A71"/>
    <w:rsid w:val="00C02AB0"/>
    <w:rsid w:val="00C02AE8"/>
    <w:rsid w:val="00C02B3C"/>
    <w:rsid w:val="00C02BE1"/>
    <w:rsid w:val="00C02D36"/>
    <w:rsid w:val="00C02D4A"/>
    <w:rsid w:val="00C02E21"/>
    <w:rsid w:val="00C02E23"/>
    <w:rsid w:val="00C02E4A"/>
    <w:rsid w:val="00C02E6A"/>
    <w:rsid w:val="00C02E90"/>
    <w:rsid w:val="00C02F56"/>
    <w:rsid w:val="00C02FB5"/>
    <w:rsid w:val="00C030AF"/>
    <w:rsid w:val="00C031A4"/>
    <w:rsid w:val="00C03221"/>
    <w:rsid w:val="00C03226"/>
    <w:rsid w:val="00C032B1"/>
    <w:rsid w:val="00C03333"/>
    <w:rsid w:val="00C033B0"/>
    <w:rsid w:val="00C033B1"/>
    <w:rsid w:val="00C03497"/>
    <w:rsid w:val="00C0355F"/>
    <w:rsid w:val="00C036C2"/>
    <w:rsid w:val="00C036F6"/>
    <w:rsid w:val="00C03724"/>
    <w:rsid w:val="00C03734"/>
    <w:rsid w:val="00C037A4"/>
    <w:rsid w:val="00C03871"/>
    <w:rsid w:val="00C0392A"/>
    <w:rsid w:val="00C039E4"/>
    <w:rsid w:val="00C03C8F"/>
    <w:rsid w:val="00C03D6F"/>
    <w:rsid w:val="00C03E49"/>
    <w:rsid w:val="00C03E5A"/>
    <w:rsid w:val="00C03F96"/>
    <w:rsid w:val="00C03FBA"/>
    <w:rsid w:val="00C040E3"/>
    <w:rsid w:val="00C04113"/>
    <w:rsid w:val="00C04125"/>
    <w:rsid w:val="00C04262"/>
    <w:rsid w:val="00C043B9"/>
    <w:rsid w:val="00C043D0"/>
    <w:rsid w:val="00C043E9"/>
    <w:rsid w:val="00C043EB"/>
    <w:rsid w:val="00C043FB"/>
    <w:rsid w:val="00C0447A"/>
    <w:rsid w:val="00C044C3"/>
    <w:rsid w:val="00C04527"/>
    <w:rsid w:val="00C0455C"/>
    <w:rsid w:val="00C046CF"/>
    <w:rsid w:val="00C047B9"/>
    <w:rsid w:val="00C047CD"/>
    <w:rsid w:val="00C047DF"/>
    <w:rsid w:val="00C04836"/>
    <w:rsid w:val="00C04862"/>
    <w:rsid w:val="00C04924"/>
    <w:rsid w:val="00C0498B"/>
    <w:rsid w:val="00C049D7"/>
    <w:rsid w:val="00C04A07"/>
    <w:rsid w:val="00C04A73"/>
    <w:rsid w:val="00C04ABC"/>
    <w:rsid w:val="00C04B44"/>
    <w:rsid w:val="00C04C82"/>
    <w:rsid w:val="00C04CC8"/>
    <w:rsid w:val="00C04D72"/>
    <w:rsid w:val="00C04DA5"/>
    <w:rsid w:val="00C04DFC"/>
    <w:rsid w:val="00C04E29"/>
    <w:rsid w:val="00C04E2D"/>
    <w:rsid w:val="00C04E40"/>
    <w:rsid w:val="00C04EC1"/>
    <w:rsid w:val="00C04EE1"/>
    <w:rsid w:val="00C04EE7"/>
    <w:rsid w:val="00C04FCB"/>
    <w:rsid w:val="00C05076"/>
    <w:rsid w:val="00C050BF"/>
    <w:rsid w:val="00C0513E"/>
    <w:rsid w:val="00C051B4"/>
    <w:rsid w:val="00C05237"/>
    <w:rsid w:val="00C052BF"/>
    <w:rsid w:val="00C05394"/>
    <w:rsid w:val="00C053F0"/>
    <w:rsid w:val="00C05487"/>
    <w:rsid w:val="00C05544"/>
    <w:rsid w:val="00C05550"/>
    <w:rsid w:val="00C0556C"/>
    <w:rsid w:val="00C055D9"/>
    <w:rsid w:val="00C05728"/>
    <w:rsid w:val="00C05818"/>
    <w:rsid w:val="00C05845"/>
    <w:rsid w:val="00C0585C"/>
    <w:rsid w:val="00C0585F"/>
    <w:rsid w:val="00C05862"/>
    <w:rsid w:val="00C05884"/>
    <w:rsid w:val="00C058CE"/>
    <w:rsid w:val="00C058E3"/>
    <w:rsid w:val="00C05952"/>
    <w:rsid w:val="00C0598D"/>
    <w:rsid w:val="00C059E9"/>
    <w:rsid w:val="00C05A03"/>
    <w:rsid w:val="00C05ACA"/>
    <w:rsid w:val="00C05B0A"/>
    <w:rsid w:val="00C05C0F"/>
    <w:rsid w:val="00C05D06"/>
    <w:rsid w:val="00C05D89"/>
    <w:rsid w:val="00C05DA4"/>
    <w:rsid w:val="00C05E64"/>
    <w:rsid w:val="00C05ED6"/>
    <w:rsid w:val="00C0600C"/>
    <w:rsid w:val="00C06088"/>
    <w:rsid w:val="00C060D2"/>
    <w:rsid w:val="00C060EA"/>
    <w:rsid w:val="00C06124"/>
    <w:rsid w:val="00C0628E"/>
    <w:rsid w:val="00C06516"/>
    <w:rsid w:val="00C0651F"/>
    <w:rsid w:val="00C06535"/>
    <w:rsid w:val="00C06590"/>
    <w:rsid w:val="00C06682"/>
    <w:rsid w:val="00C0669E"/>
    <w:rsid w:val="00C0671C"/>
    <w:rsid w:val="00C06722"/>
    <w:rsid w:val="00C0673A"/>
    <w:rsid w:val="00C0676D"/>
    <w:rsid w:val="00C068A8"/>
    <w:rsid w:val="00C068C6"/>
    <w:rsid w:val="00C068F9"/>
    <w:rsid w:val="00C0697D"/>
    <w:rsid w:val="00C069CD"/>
    <w:rsid w:val="00C069DB"/>
    <w:rsid w:val="00C069F0"/>
    <w:rsid w:val="00C06B07"/>
    <w:rsid w:val="00C06BE2"/>
    <w:rsid w:val="00C06C2F"/>
    <w:rsid w:val="00C06CC9"/>
    <w:rsid w:val="00C06DD6"/>
    <w:rsid w:val="00C06E6F"/>
    <w:rsid w:val="00C06EC1"/>
    <w:rsid w:val="00C06F8A"/>
    <w:rsid w:val="00C07015"/>
    <w:rsid w:val="00C07028"/>
    <w:rsid w:val="00C07094"/>
    <w:rsid w:val="00C07138"/>
    <w:rsid w:val="00C0718A"/>
    <w:rsid w:val="00C071D6"/>
    <w:rsid w:val="00C0724A"/>
    <w:rsid w:val="00C072AF"/>
    <w:rsid w:val="00C072F8"/>
    <w:rsid w:val="00C0734A"/>
    <w:rsid w:val="00C07490"/>
    <w:rsid w:val="00C074AE"/>
    <w:rsid w:val="00C0750D"/>
    <w:rsid w:val="00C075B8"/>
    <w:rsid w:val="00C075D2"/>
    <w:rsid w:val="00C075DA"/>
    <w:rsid w:val="00C07670"/>
    <w:rsid w:val="00C076DB"/>
    <w:rsid w:val="00C07733"/>
    <w:rsid w:val="00C077F3"/>
    <w:rsid w:val="00C0785A"/>
    <w:rsid w:val="00C078D0"/>
    <w:rsid w:val="00C07909"/>
    <w:rsid w:val="00C0792C"/>
    <w:rsid w:val="00C07A2F"/>
    <w:rsid w:val="00C07BA4"/>
    <w:rsid w:val="00C07C38"/>
    <w:rsid w:val="00C07D10"/>
    <w:rsid w:val="00C07DA3"/>
    <w:rsid w:val="00C07E44"/>
    <w:rsid w:val="00C07EA0"/>
    <w:rsid w:val="00C07EEC"/>
    <w:rsid w:val="00C07F22"/>
    <w:rsid w:val="00C07F59"/>
    <w:rsid w:val="00C07F69"/>
    <w:rsid w:val="00C10270"/>
    <w:rsid w:val="00C102E3"/>
    <w:rsid w:val="00C1034F"/>
    <w:rsid w:val="00C103BA"/>
    <w:rsid w:val="00C103E1"/>
    <w:rsid w:val="00C1044E"/>
    <w:rsid w:val="00C1050A"/>
    <w:rsid w:val="00C105B6"/>
    <w:rsid w:val="00C105D7"/>
    <w:rsid w:val="00C105DA"/>
    <w:rsid w:val="00C10686"/>
    <w:rsid w:val="00C106B6"/>
    <w:rsid w:val="00C106FB"/>
    <w:rsid w:val="00C10762"/>
    <w:rsid w:val="00C1083A"/>
    <w:rsid w:val="00C10891"/>
    <w:rsid w:val="00C108A4"/>
    <w:rsid w:val="00C108E0"/>
    <w:rsid w:val="00C10A82"/>
    <w:rsid w:val="00C10AA5"/>
    <w:rsid w:val="00C10BA7"/>
    <w:rsid w:val="00C10BB9"/>
    <w:rsid w:val="00C10CA1"/>
    <w:rsid w:val="00C10DBA"/>
    <w:rsid w:val="00C10F08"/>
    <w:rsid w:val="00C11001"/>
    <w:rsid w:val="00C110C1"/>
    <w:rsid w:val="00C110FB"/>
    <w:rsid w:val="00C11199"/>
    <w:rsid w:val="00C11211"/>
    <w:rsid w:val="00C11220"/>
    <w:rsid w:val="00C11335"/>
    <w:rsid w:val="00C11442"/>
    <w:rsid w:val="00C11480"/>
    <w:rsid w:val="00C1158B"/>
    <w:rsid w:val="00C11661"/>
    <w:rsid w:val="00C11686"/>
    <w:rsid w:val="00C116EC"/>
    <w:rsid w:val="00C1181F"/>
    <w:rsid w:val="00C1184F"/>
    <w:rsid w:val="00C11885"/>
    <w:rsid w:val="00C118F8"/>
    <w:rsid w:val="00C11910"/>
    <w:rsid w:val="00C119A8"/>
    <w:rsid w:val="00C11DA1"/>
    <w:rsid w:val="00C11E03"/>
    <w:rsid w:val="00C11E74"/>
    <w:rsid w:val="00C11F38"/>
    <w:rsid w:val="00C12122"/>
    <w:rsid w:val="00C12125"/>
    <w:rsid w:val="00C1212D"/>
    <w:rsid w:val="00C12176"/>
    <w:rsid w:val="00C1218F"/>
    <w:rsid w:val="00C1224C"/>
    <w:rsid w:val="00C1228E"/>
    <w:rsid w:val="00C1232E"/>
    <w:rsid w:val="00C123E8"/>
    <w:rsid w:val="00C12628"/>
    <w:rsid w:val="00C12691"/>
    <w:rsid w:val="00C12717"/>
    <w:rsid w:val="00C12739"/>
    <w:rsid w:val="00C127CA"/>
    <w:rsid w:val="00C127F3"/>
    <w:rsid w:val="00C1289B"/>
    <w:rsid w:val="00C1296D"/>
    <w:rsid w:val="00C12A79"/>
    <w:rsid w:val="00C12A9B"/>
    <w:rsid w:val="00C12ACC"/>
    <w:rsid w:val="00C12B7A"/>
    <w:rsid w:val="00C12BAF"/>
    <w:rsid w:val="00C12C79"/>
    <w:rsid w:val="00C12DD1"/>
    <w:rsid w:val="00C12F49"/>
    <w:rsid w:val="00C12F4D"/>
    <w:rsid w:val="00C12FCC"/>
    <w:rsid w:val="00C13048"/>
    <w:rsid w:val="00C1307A"/>
    <w:rsid w:val="00C130D3"/>
    <w:rsid w:val="00C13132"/>
    <w:rsid w:val="00C13181"/>
    <w:rsid w:val="00C131DC"/>
    <w:rsid w:val="00C13221"/>
    <w:rsid w:val="00C13298"/>
    <w:rsid w:val="00C132EF"/>
    <w:rsid w:val="00C13482"/>
    <w:rsid w:val="00C134A0"/>
    <w:rsid w:val="00C13623"/>
    <w:rsid w:val="00C1364D"/>
    <w:rsid w:val="00C1365B"/>
    <w:rsid w:val="00C1368F"/>
    <w:rsid w:val="00C136C4"/>
    <w:rsid w:val="00C13878"/>
    <w:rsid w:val="00C13887"/>
    <w:rsid w:val="00C13949"/>
    <w:rsid w:val="00C13969"/>
    <w:rsid w:val="00C139AD"/>
    <w:rsid w:val="00C13A38"/>
    <w:rsid w:val="00C13B42"/>
    <w:rsid w:val="00C13C44"/>
    <w:rsid w:val="00C13CA4"/>
    <w:rsid w:val="00C13CF5"/>
    <w:rsid w:val="00C13D8C"/>
    <w:rsid w:val="00C13D9B"/>
    <w:rsid w:val="00C13EDF"/>
    <w:rsid w:val="00C13F0B"/>
    <w:rsid w:val="00C14100"/>
    <w:rsid w:val="00C14129"/>
    <w:rsid w:val="00C14160"/>
    <w:rsid w:val="00C14171"/>
    <w:rsid w:val="00C14294"/>
    <w:rsid w:val="00C14297"/>
    <w:rsid w:val="00C142E0"/>
    <w:rsid w:val="00C14343"/>
    <w:rsid w:val="00C143CC"/>
    <w:rsid w:val="00C143E7"/>
    <w:rsid w:val="00C1458D"/>
    <w:rsid w:val="00C14654"/>
    <w:rsid w:val="00C146EC"/>
    <w:rsid w:val="00C146F0"/>
    <w:rsid w:val="00C14712"/>
    <w:rsid w:val="00C1479D"/>
    <w:rsid w:val="00C147A4"/>
    <w:rsid w:val="00C1485A"/>
    <w:rsid w:val="00C1495A"/>
    <w:rsid w:val="00C14965"/>
    <w:rsid w:val="00C1499E"/>
    <w:rsid w:val="00C14A01"/>
    <w:rsid w:val="00C14A32"/>
    <w:rsid w:val="00C14A5E"/>
    <w:rsid w:val="00C14AA7"/>
    <w:rsid w:val="00C14B16"/>
    <w:rsid w:val="00C14B38"/>
    <w:rsid w:val="00C14C46"/>
    <w:rsid w:val="00C14D01"/>
    <w:rsid w:val="00C14D56"/>
    <w:rsid w:val="00C14DC0"/>
    <w:rsid w:val="00C14DC7"/>
    <w:rsid w:val="00C15184"/>
    <w:rsid w:val="00C15209"/>
    <w:rsid w:val="00C152BE"/>
    <w:rsid w:val="00C152D0"/>
    <w:rsid w:val="00C152F5"/>
    <w:rsid w:val="00C15391"/>
    <w:rsid w:val="00C15698"/>
    <w:rsid w:val="00C156EE"/>
    <w:rsid w:val="00C1581E"/>
    <w:rsid w:val="00C158DA"/>
    <w:rsid w:val="00C159BD"/>
    <w:rsid w:val="00C15AE8"/>
    <w:rsid w:val="00C15B1C"/>
    <w:rsid w:val="00C15BF5"/>
    <w:rsid w:val="00C15CB6"/>
    <w:rsid w:val="00C15D02"/>
    <w:rsid w:val="00C15FDF"/>
    <w:rsid w:val="00C16015"/>
    <w:rsid w:val="00C16192"/>
    <w:rsid w:val="00C1620A"/>
    <w:rsid w:val="00C16227"/>
    <w:rsid w:val="00C16247"/>
    <w:rsid w:val="00C162F3"/>
    <w:rsid w:val="00C16344"/>
    <w:rsid w:val="00C16408"/>
    <w:rsid w:val="00C16518"/>
    <w:rsid w:val="00C166E1"/>
    <w:rsid w:val="00C167CC"/>
    <w:rsid w:val="00C167ED"/>
    <w:rsid w:val="00C167FE"/>
    <w:rsid w:val="00C16956"/>
    <w:rsid w:val="00C16961"/>
    <w:rsid w:val="00C1696C"/>
    <w:rsid w:val="00C169AF"/>
    <w:rsid w:val="00C16A61"/>
    <w:rsid w:val="00C16A9D"/>
    <w:rsid w:val="00C16ADC"/>
    <w:rsid w:val="00C16B9A"/>
    <w:rsid w:val="00C16E84"/>
    <w:rsid w:val="00C16F0D"/>
    <w:rsid w:val="00C16F6E"/>
    <w:rsid w:val="00C17051"/>
    <w:rsid w:val="00C17074"/>
    <w:rsid w:val="00C171EE"/>
    <w:rsid w:val="00C17204"/>
    <w:rsid w:val="00C1724B"/>
    <w:rsid w:val="00C1728B"/>
    <w:rsid w:val="00C172A9"/>
    <w:rsid w:val="00C172F9"/>
    <w:rsid w:val="00C17359"/>
    <w:rsid w:val="00C173A9"/>
    <w:rsid w:val="00C173C7"/>
    <w:rsid w:val="00C17442"/>
    <w:rsid w:val="00C174CC"/>
    <w:rsid w:val="00C17552"/>
    <w:rsid w:val="00C17553"/>
    <w:rsid w:val="00C17590"/>
    <w:rsid w:val="00C176A3"/>
    <w:rsid w:val="00C1778C"/>
    <w:rsid w:val="00C177D2"/>
    <w:rsid w:val="00C17854"/>
    <w:rsid w:val="00C17960"/>
    <w:rsid w:val="00C17A4B"/>
    <w:rsid w:val="00C17B98"/>
    <w:rsid w:val="00C17BBE"/>
    <w:rsid w:val="00C17C50"/>
    <w:rsid w:val="00C17C57"/>
    <w:rsid w:val="00C17D08"/>
    <w:rsid w:val="00C17D47"/>
    <w:rsid w:val="00C17D58"/>
    <w:rsid w:val="00C17D75"/>
    <w:rsid w:val="00C17D7B"/>
    <w:rsid w:val="00C17ECA"/>
    <w:rsid w:val="00C17FEF"/>
    <w:rsid w:val="00C1BB4D"/>
    <w:rsid w:val="00C200E0"/>
    <w:rsid w:val="00C20218"/>
    <w:rsid w:val="00C20328"/>
    <w:rsid w:val="00C2033C"/>
    <w:rsid w:val="00C204AA"/>
    <w:rsid w:val="00C204CD"/>
    <w:rsid w:val="00C2050E"/>
    <w:rsid w:val="00C20582"/>
    <w:rsid w:val="00C20596"/>
    <w:rsid w:val="00C205D9"/>
    <w:rsid w:val="00C20630"/>
    <w:rsid w:val="00C20812"/>
    <w:rsid w:val="00C2081E"/>
    <w:rsid w:val="00C20902"/>
    <w:rsid w:val="00C2090A"/>
    <w:rsid w:val="00C20986"/>
    <w:rsid w:val="00C20ABA"/>
    <w:rsid w:val="00C20B3B"/>
    <w:rsid w:val="00C20CB9"/>
    <w:rsid w:val="00C20CF8"/>
    <w:rsid w:val="00C20D98"/>
    <w:rsid w:val="00C20D9E"/>
    <w:rsid w:val="00C20DDE"/>
    <w:rsid w:val="00C20E12"/>
    <w:rsid w:val="00C20E87"/>
    <w:rsid w:val="00C20F05"/>
    <w:rsid w:val="00C20FE4"/>
    <w:rsid w:val="00C20FF4"/>
    <w:rsid w:val="00C21048"/>
    <w:rsid w:val="00C2127D"/>
    <w:rsid w:val="00C2128B"/>
    <w:rsid w:val="00C213E7"/>
    <w:rsid w:val="00C214A1"/>
    <w:rsid w:val="00C216AD"/>
    <w:rsid w:val="00C2176D"/>
    <w:rsid w:val="00C21795"/>
    <w:rsid w:val="00C218A6"/>
    <w:rsid w:val="00C218FF"/>
    <w:rsid w:val="00C219EB"/>
    <w:rsid w:val="00C219EE"/>
    <w:rsid w:val="00C21AFE"/>
    <w:rsid w:val="00C21B08"/>
    <w:rsid w:val="00C21B34"/>
    <w:rsid w:val="00C21C21"/>
    <w:rsid w:val="00C21D34"/>
    <w:rsid w:val="00C21DFA"/>
    <w:rsid w:val="00C21E3E"/>
    <w:rsid w:val="00C21EA6"/>
    <w:rsid w:val="00C21ED8"/>
    <w:rsid w:val="00C21EE6"/>
    <w:rsid w:val="00C2211A"/>
    <w:rsid w:val="00C2218A"/>
    <w:rsid w:val="00C2225A"/>
    <w:rsid w:val="00C2225B"/>
    <w:rsid w:val="00C22332"/>
    <w:rsid w:val="00C2233D"/>
    <w:rsid w:val="00C2237C"/>
    <w:rsid w:val="00C22385"/>
    <w:rsid w:val="00C224FA"/>
    <w:rsid w:val="00C2258E"/>
    <w:rsid w:val="00C225C1"/>
    <w:rsid w:val="00C22603"/>
    <w:rsid w:val="00C226C7"/>
    <w:rsid w:val="00C226D9"/>
    <w:rsid w:val="00C227BA"/>
    <w:rsid w:val="00C22841"/>
    <w:rsid w:val="00C228E8"/>
    <w:rsid w:val="00C2295C"/>
    <w:rsid w:val="00C22985"/>
    <w:rsid w:val="00C229E9"/>
    <w:rsid w:val="00C22A3A"/>
    <w:rsid w:val="00C22AAF"/>
    <w:rsid w:val="00C22B2E"/>
    <w:rsid w:val="00C22B36"/>
    <w:rsid w:val="00C22B9C"/>
    <w:rsid w:val="00C22C63"/>
    <w:rsid w:val="00C22CD3"/>
    <w:rsid w:val="00C22D22"/>
    <w:rsid w:val="00C22D50"/>
    <w:rsid w:val="00C22DAD"/>
    <w:rsid w:val="00C22EA5"/>
    <w:rsid w:val="00C22F96"/>
    <w:rsid w:val="00C22FD2"/>
    <w:rsid w:val="00C2303A"/>
    <w:rsid w:val="00C230BF"/>
    <w:rsid w:val="00C230CF"/>
    <w:rsid w:val="00C23134"/>
    <w:rsid w:val="00C231C4"/>
    <w:rsid w:val="00C231C5"/>
    <w:rsid w:val="00C231CB"/>
    <w:rsid w:val="00C23221"/>
    <w:rsid w:val="00C232C4"/>
    <w:rsid w:val="00C232FE"/>
    <w:rsid w:val="00C233B7"/>
    <w:rsid w:val="00C233F7"/>
    <w:rsid w:val="00C234A9"/>
    <w:rsid w:val="00C234D2"/>
    <w:rsid w:val="00C23533"/>
    <w:rsid w:val="00C235E9"/>
    <w:rsid w:val="00C23706"/>
    <w:rsid w:val="00C23719"/>
    <w:rsid w:val="00C23764"/>
    <w:rsid w:val="00C237C8"/>
    <w:rsid w:val="00C237DC"/>
    <w:rsid w:val="00C23844"/>
    <w:rsid w:val="00C23866"/>
    <w:rsid w:val="00C23873"/>
    <w:rsid w:val="00C2387D"/>
    <w:rsid w:val="00C238B7"/>
    <w:rsid w:val="00C238C5"/>
    <w:rsid w:val="00C2394F"/>
    <w:rsid w:val="00C23A4D"/>
    <w:rsid w:val="00C23A57"/>
    <w:rsid w:val="00C23BD9"/>
    <w:rsid w:val="00C23BF4"/>
    <w:rsid w:val="00C23C72"/>
    <w:rsid w:val="00C23D7E"/>
    <w:rsid w:val="00C23E3D"/>
    <w:rsid w:val="00C23E81"/>
    <w:rsid w:val="00C23EAF"/>
    <w:rsid w:val="00C23F71"/>
    <w:rsid w:val="00C2410D"/>
    <w:rsid w:val="00C241AF"/>
    <w:rsid w:val="00C241B0"/>
    <w:rsid w:val="00C241F0"/>
    <w:rsid w:val="00C241F6"/>
    <w:rsid w:val="00C241FC"/>
    <w:rsid w:val="00C243E2"/>
    <w:rsid w:val="00C244E3"/>
    <w:rsid w:val="00C245F0"/>
    <w:rsid w:val="00C24622"/>
    <w:rsid w:val="00C24756"/>
    <w:rsid w:val="00C247CE"/>
    <w:rsid w:val="00C248C3"/>
    <w:rsid w:val="00C248FF"/>
    <w:rsid w:val="00C2490E"/>
    <w:rsid w:val="00C24985"/>
    <w:rsid w:val="00C249B2"/>
    <w:rsid w:val="00C249F9"/>
    <w:rsid w:val="00C24B45"/>
    <w:rsid w:val="00C24C41"/>
    <w:rsid w:val="00C24C7D"/>
    <w:rsid w:val="00C24CF2"/>
    <w:rsid w:val="00C24E2B"/>
    <w:rsid w:val="00C24E74"/>
    <w:rsid w:val="00C24F55"/>
    <w:rsid w:val="00C24FA8"/>
    <w:rsid w:val="00C24FF1"/>
    <w:rsid w:val="00C2500A"/>
    <w:rsid w:val="00C25243"/>
    <w:rsid w:val="00C252CC"/>
    <w:rsid w:val="00C25312"/>
    <w:rsid w:val="00C25501"/>
    <w:rsid w:val="00C25521"/>
    <w:rsid w:val="00C25522"/>
    <w:rsid w:val="00C2559A"/>
    <w:rsid w:val="00C25636"/>
    <w:rsid w:val="00C256D0"/>
    <w:rsid w:val="00C258A0"/>
    <w:rsid w:val="00C258B7"/>
    <w:rsid w:val="00C25905"/>
    <w:rsid w:val="00C25974"/>
    <w:rsid w:val="00C259C5"/>
    <w:rsid w:val="00C25A53"/>
    <w:rsid w:val="00C25D6B"/>
    <w:rsid w:val="00C25DEB"/>
    <w:rsid w:val="00C25FD7"/>
    <w:rsid w:val="00C26030"/>
    <w:rsid w:val="00C26093"/>
    <w:rsid w:val="00C260BF"/>
    <w:rsid w:val="00C260F7"/>
    <w:rsid w:val="00C261B4"/>
    <w:rsid w:val="00C261C8"/>
    <w:rsid w:val="00C26200"/>
    <w:rsid w:val="00C26223"/>
    <w:rsid w:val="00C26232"/>
    <w:rsid w:val="00C262C2"/>
    <w:rsid w:val="00C26304"/>
    <w:rsid w:val="00C263E6"/>
    <w:rsid w:val="00C26413"/>
    <w:rsid w:val="00C26461"/>
    <w:rsid w:val="00C264EA"/>
    <w:rsid w:val="00C2653C"/>
    <w:rsid w:val="00C26618"/>
    <w:rsid w:val="00C26691"/>
    <w:rsid w:val="00C266C7"/>
    <w:rsid w:val="00C266F8"/>
    <w:rsid w:val="00C267EB"/>
    <w:rsid w:val="00C26852"/>
    <w:rsid w:val="00C26965"/>
    <w:rsid w:val="00C26981"/>
    <w:rsid w:val="00C269C9"/>
    <w:rsid w:val="00C269E2"/>
    <w:rsid w:val="00C26AEA"/>
    <w:rsid w:val="00C26AFC"/>
    <w:rsid w:val="00C26BCE"/>
    <w:rsid w:val="00C26C75"/>
    <w:rsid w:val="00C26E21"/>
    <w:rsid w:val="00C26E2F"/>
    <w:rsid w:val="00C26E31"/>
    <w:rsid w:val="00C26E6D"/>
    <w:rsid w:val="00C26F0D"/>
    <w:rsid w:val="00C27170"/>
    <w:rsid w:val="00C2723D"/>
    <w:rsid w:val="00C2735F"/>
    <w:rsid w:val="00C27371"/>
    <w:rsid w:val="00C27414"/>
    <w:rsid w:val="00C27443"/>
    <w:rsid w:val="00C2751E"/>
    <w:rsid w:val="00C2751F"/>
    <w:rsid w:val="00C27689"/>
    <w:rsid w:val="00C276E8"/>
    <w:rsid w:val="00C276EC"/>
    <w:rsid w:val="00C277D5"/>
    <w:rsid w:val="00C277F8"/>
    <w:rsid w:val="00C2783F"/>
    <w:rsid w:val="00C278CA"/>
    <w:rsid w:val="00C278DE"/>
    <w:rsid w:val="00C278EA"/>
    <w:rsid w:val="00C27960"/>
    <w:rsid w:val="00C2796A"/>
    <w:rsid w:val="00C279F6"/>
    <w:rsid w:val="00C27A10"/>
    <w:rsid w:val="00C27A43"/>
    <w:rsid w:val="00C27A87"/>
    <w:rsid w:val="00C27B0F"/>
    <w:rsid w:val="00C27B1B"/>
    <w:rsid w:val="00C27B62"/>
    <w:rsid w:val="00C27BAD"/>
    <w:rsid w:val="00C27BDD"/>
    <w:rsid w:val="00C27C8E"/>
    <w:rsid w:val="00C27CE5"/>
    <w:rsid w:val="00C27DB0"/>
    <w:rsid w:val="00C27DC2"/>
    <w:rsid w:val="00C27DC3"/>
    <w:rsid w:val="00C27F2C"/>
    <w:rsid w:val="00C27F41"/>
    <w:rsid w:val="00C27FA3"/>
    <w:rsid w:val="00C27FA4"/>
    <w:rsid w:val="00C27FBE"/>
    <w:rsid w:val="00C30190"/>
    <w:rsid w:val="00C301B5"/>
    <w:rsid w:val="00C30273"/>
    <w:rsid w:val="00C3044B"/>
    <w:rsid w:val="00C30465"/>
    <w:rsid w:val="00C30480"/>
    <w:rsid w:val="00C30495"/>
    <w:rsid w:val="00C30565"/>
    <w:rsid w:val="00C305A5"/>
    <w:rsid w:val="00C305C0"/>
    <w:rsid w:val="00C305D7"/>
    <w:rsid w:val="00C30616"/>
    <w:rsid w:val="00C3065F"/>
    <w:rsid w:val="00C3075E"/>
    <w:rsid w:val="00C307AA"/>
    <w:rsid w:val="00C308B1"/>
    <w:rsid w:val="00C30984"/>
    <w:rsid w:val="00C30986"/>
    <w:rsid w:val="00C309A8"/>
    <w:rsid w:val="00C309BF"/>
    <w:rsid w:val="00C30AD4"/>
    <w:rsid w:val="00C30B30"/>
    <w:rsid w:val="00C30C5C"/>
    <w:rsid w:val="00C30CB0"/>
    <w:rsid w:val="00C30E49"/>
    <w:rsid w:val="00C30EAC"/>
    <w:rsid w:val="00C30F23"/>
    <w:rsid w:val="00C30F7E"/>
    <w:rsid w:val="00C31022"/>
    <w:rsid w:val="00C31084"/>
    <w:rsid w:val="00C310FA"/>
    <w:rsid w:val="00C311FB"/>
    <w:rsid w:val="00C312D5"/>
    <w:rsid w:val="00C312F4"/>
    <w:rsid w:val="00C31344"/>
    <w:rsid w:val="00C31385"/>
    <w:rsid w:val="00C3152B"/>
    <w:rsid w:val="00C3153F"/>
    <w:rsid w:val="00C31553"/>
    <w:rsid w:val="00C3155E"/>
    <w:rsid w:val="00C315FA"/>
    <w:rsid w:val="00C31690"/>
    <w:rsid w:val="00C317FC"/>
    <w:rsid w:val="00C31807"/>
    <w:rsid w:val="00C3196B"/>
    <w:rsid w:val="00C319F9"/>
    <w:rsid w:val="00C31B36"/>
    <w:rsid w:val="00C31CB4"/>
    <w:rsid w:val="00C31CB6"/>
    <w:rsid w:val="00C31E15"/>
    <w:rsid w:val="00C31ECB"/>
    <w:rsid w:val="00C31EE9"/>
    <w:rsid w:val="00C31FD3"/>
    <w:rsid w:val="00C32071"/>
    <w:rsid w:val="00C32078"/>
    <w:rsid w:val="00C320E2"/>
    <w:rsid w:val="00C321B8"/>
    <w:rsid w:val="00C321E6"/>
    <w:rsid w:val="00C32279"/>
    <w:rsid w:val="00C322FE"/>
    <w:rsid w:val="00C32308"/>
    <w:rsid w:val="00C3238A"/>
    <w:rsid w:val="00C32480"/>
    <w:rsid w:val="00C324E3"/>
    <w:rsid w:val="00C3250A"/>
    <w:rsid w:val="00C32531"/>
    <w:rsid w:val="00C32537"/>
    <w:rsid w:val="00C326D6"/>
    <w:rsid w:val="00C32709"/>
    <w:rsid w:val="00C32760"/>
    <w:rsid w:val="00C32778"/>
    <w:rsid w:val="00C327CD"/>
    <w:rsid w:val="00C328CD"/>
    <w:rsid w:val="00C32A10"/>
    <w:rsid w:val="00C32AD6"/>
    <w:rsid w:val="00C32B68"/>
    <w:rsid w:val="00C32C42"/>
    <w:rsid w:val="00C32DE2"/>
    <w:rsid w:val="00C32EA8"/>
    <w:rsid w:val="00C32F00"/>
    <w:rsid w:val="00C32FC2"/>
    <w:rsid w:val="00C33051"/>
    <w:rsid w:val="00C33071"/>
    <w:rsid w:val="00C33156"/>
    <w:rsid w:val="00C331BA"/>
    <w:rsid w:val="00C33263"/>
    <w:rsid w:val="00C332CD"/>
    <w:rsid w:val="00C3334A"/>
    <w:rsid w:val="00C3336D"/>
    <w:rsid w:val="00C333B7"/>
    <w:rsid w:val="00C333DF"/>
    <w:rsid w:val="00C3349C"/>
    <w:rsid w:val="00C334B9"/>
    <w:rsid w:val="00C3370C"/>
    <w:rsid w:val="00C33757"/>
    <w:rsid w:val="00C33769"/>
    <w:rsid w:val="00C337B1"/>
    <w:rsid w:val="00C3383B"/>
    <w:rsid w:val="00C3390B"/>
    <w:rsid w:val="00C33911"/>
    <w:rsid w:val="00C339AE"/>
    <w:rsid w:val="00C33A91"/>
    <w:rsid w:val="00C33AAD"/>
    <w:rsid w:val="00C33AF9"/>
    <w:rsid w:val="00C33BF1"/>
    <w:rsid w:val="00C33C9B"/>
    <w:rsid w:val="00C33CE8"/>
    <w:rsid w:val="00C33D03"/>
    <w:rsid w:val="00C33DBF"/>
    <w:rsid w:val="00C33E37"/>
    <w:rsid w:val="00C33E3C"/>
    <w:rsid w:val="00C33EBB"/>
    <w:rsid w:val="00C33EDA"/>
    <w:rsid w:val="00C33F1F"/>
    <w:rsid w:val="00C33FFC"/>
    <w:rsid w:val="00C34167"/>
    <w:rsid w:val="00C34189"/>
    <w:rsid w:val="00C341B8"/>
    <w:rsid w:val="00C34327"/>
    <w:rsid w:val="00C343E8"/>
    <w:rsid w:val="00C343FB"/>
    <w:rsid w:val="00C34517"/>
    <w:rsid w:val="00C34576"/>
    <w:rsid w:val="00C347D6"/>
    <w:rsid w:val="00C347D8"/>
    <w:rsid w:val="00C3484D"/>
    <w:rsid w:val="00C348DD"/>
    <w:rsid w:val="00C348FB"/>
    <w:rsid w:val="00C34949"/>
    <w:rsid w:val="00C3494A"/>
    <w:rsid w:val="00C34958"/>
    <w:rsid w:val="00C34BE8"/>
    <w:rsid w:val="00C34C03"/>
    <w:rsid w:val="00C34D68"/>
    <w:rsid w:val="00C34D88"/>
    <w:rsid w:val="00C34D98"/>
    <w:rsid w:val="00C34DA2"/>
    <w:rsid w:val="00C34F11"/>
    <w:rsid w:val="00C35044"/>
    <w:rsid w:val="00C3507D"/>
    <w:rsid w:val="00C350D9"/>
    <w:rsid w:val="00C35116"/>
    <w:rsid w:val="00C351A3"/>
    <w:rsid w:val="00C351DB"/>
    <w:rsid w:val="00C351F4"/>
    <w:rsid w:val="00C3527C"/>
    <w:rsid w:val="00C353AF"/>
    <w:rsid w:val="00C354C7"/>
    <w:rsid w:val="00C3565F"/>
    <w:rsid w:val="00C356A4"/>
    <w:rsid w:val="00C3574F"/>
    <w:rsid w:val="00C3578B"/>
    <w:rsid w:val="00C357EF"/>
    <w:rsid w:val="00C35987"/>
    <w:rsid w:val="00C359A4"/>
    <w:rsid w:val="00C35A08"/>
    <w:rsid w:val="00C35A2F"/>
    <w:rsid w:val="00C35A79"/>
    <w:rsid w:val="00C35B8A"/>
    <w:rsid w:val="00C35BE1"/>
    <w:rsid w:val="00C35CD7"/>
    <w:rsid w:val="00C35D9D"/>
    <w:rsid w:val="00C35DCD"/>
    <w:rsid w:val="00C35E72"/>
    <w:rsid w:val="00C35F0A"/>
    <w:rsid w:val="00C35F62"/>
    <w:rsid w:val="00C3605C"/>
    <w:rsid w:val="00C36061"/>
    <w:rsid w:val="00C36189"/>
    <w:rsid w:val="00C3620F"/>
    <w:rsid w:val="00C362AF"/>
    <w:rsid w:val="00C36386"/>
    <w:rsid w:val="00C363D4"/>
    <w:rsid w:val="00C3641F"/>
    <w:rsid w:val="00C3653A"/>
    <w:rsid w:val="00C36565"/>
    <w:rsid w:val="00C365D6"/>
    <w:rsid w:val="00C36604"/>
    <w:rsid w:val="00C3674E"/>
    <w:rsid w:val="00C36760"/>
    <w:rsid w:val="00C3681F"/>
    <w:rsid w:val="00C3689D"/>
    <w:rsid w:val="00C368F4"/>
    <w:rsid w:val="00C36917"/>
    <w:rsid w:val="00C36B1D"/>
    <w:rsid w:val="00C36B3C"/>
    <w:rsid w:val="00C36C0D"/>
    <w:rsid w:val="00C36C16"/>
    <w:rsid w:val="00C36C31"/>
    <w:rsid w:val="00C36C5B"/>
    <w:rsid w:val="00C36D3A"/>
    <w:rsid w:val="00C36D3C"/>
    <w:rsid w:val="00C36E30"/>
    <w:rsid w:val="00C36E8D"/>
    <w:rsid w:val="00C36F45"/>
    <w:rsid w:val="00C36F58"/>
    <w:rsid w:val="00C36FFA"/>
    <w:rsid w:val="00C3710C"/>
    <w:rsid w:val="00C37141"/>
    <w:rsid w:val="00C371B2"/>
    <w:rsid w:val="00C3722E"/>
    <w:rsid w:val="00C372D3"/>
    <w:rsid w:val="00C37303"/>
    <w:rsid w:val="00C37325"/>
    <w:rsid w:val="00C37359"/>
    <w:rsid w:val="00C3745A"/>
    <w:rsid w:val="00C3746B"/>
    <w:rsid w:val="00C374A5"/>
    <w:rsid w:val="00C37724"/>
    <w:rsid w:val="00C37746"/>
    <w:rsid w:val="00C377AF"/>
    <w:rsid w:val="00C3781A"/>
    <w:rsid w:val="00C37891"/>
    <w:rsid w:val="00C3789B"/>
    <w:rsid w:val="00C378B5"/>
    <w:rsid w:val="00C378F5"/>
    <w:rsid w:val="00C37973"/>
    <w:rsid w:val="00C37A3B"/>
    <w:rsid w:val="00C37AE0"/>
    <w:rsid w:val="00C37BB9"/>
    <w:rsid w:val="00C37C09"/>
    <w:rsid w:val="00C37D7D"/>
    <w:rsid w:val="00C37DAF"/>
    <w:rsid w:val="00C37E72"/>
    <w:rsid w:val="00C37E7A"/>
    <w:rsid w:val="00C37E84"/>
    <w:rsid w:val="00C4012A"/>
    <w:rsid w:val="00C40148"/>
    <w:rsid w:val="00C40171"/>
    <w:rsid w:val="00C4018C"/>
    <w:rsid w:val="00C40197"/>
    <w:rsid w:val="00C401EB"/>
    <w:rsid w:val="00C40223"/>
    <w:rsid w:val="00C40244"/>
    <w:rsid w:val="00C4029A"/>
    <w:rsid w:val="00C402C8"/>
    <w:rsid w:val="00C402CA"/>
    <w:rsid w:val="00C4031B"/>
    <w:rsid w:val="00C40329"/>
    <w:rsid w:val="00C4033A"/>
    <w:rsid w:val="00C4035E"/>
    <w:rsid w:val="00C403CA"/>
    <w:rsid w:val="00C40403"/>
    <w:rsid w:val="00C40491"/>
    <w:rsid w:val="00C404D2"/>
    <w:rsid w:val="00C404F3"/>
    <w:rsid w:val="00C40514"/>
    <w:rsid w:val="00C4061C"/>
    <w:rsid w:val="00C406F0"/>
    <w:rsid w:val="00C406F8"/>
    <w:rsid w:val="00C4070B"/>
    <w:rsid w:val="00C4073F"/>
    <w:rsid w:val="00C40830"/>
    <w:rsid w:val="00C40877"/>
    <w:rsid w:val="00C408BE"/>
    <w:rsid w:val="00C4091D"/>
    <w:rsid w:val="00C40944"/>
    <w:rsid w:val="00C40A1A"/>
    <w:rsid w:val="00C40ADC"/>
    <w:rsid w:val="00C40B08"/>
    <w:rsid w:val="00C40B14"/>
    <w:rsid w:val="00C40BAA"/>
    <w:rsid w:val="00C40C5D"/>
    <w:rsid w:val="00C40C8C"/>
    <w:rsid w:val="00C40CB4"/>
    <w:rsid w:val="00C40D92"/>
    <w:rsid w:val="00C40DAD"/>
    <w:rsid w:val="00C40F74"/>
    <w:rsid w:val="00C40FF0"/>
    <w:rsid w:val="00C41124"/>
    <w:rsid w:val="00C4113D"/>
    <w:rsid w:val="00C412A2"/>
    <w:rsid w:val="00C41301"/>
    <w:rsid w:val="00C4135E"/>
    <w:rsid w:val="00C413EF"/>
    <w:rsid w:val="00C413FA"/>
    <w:rsid w:val="00C41408"/>
    <w:rsid w:val="00C41434"/>
    <w:rsid w:val="00C414A7"/>
    <w:rsid w:val="00C415D7"/>
    <w:rsid w:val="00C41770"/>
    <w:rsid w:val="00C41844"/>
    <w:rsid w:val="00C41873"/>
    <w:rsid w:val="00C418C4"/>
    <w:rsid w:val="00C41920"/>
    <w:rsid w:val="00C41A28"/>
    <w:rsid w:val="00C41A97"/>
    <w:rsid w:val="00C41AC0"/>
    <w:rsid w:val="00C41B93"/>
    <w:rsid w:val="00C41C8A"/>
    <w:rsid w:val="00C41CA1"/>
    <w:rsid w:val="00C41CA4"/>
    <w:rsid w:val="00C41D41"/>
    <w:rsid w:val="00C41E05"/>
    <w:rsid w:val="00C41E06"/>
    <w:rsid w:val="00C41EF7"/>
    <w:rsid w:val="00C42005"/>
    <w:rsid w:val="00C42039"/>
    <w:rsid w:val="00C42080"/>
    <w:rsid w:val="00C420D9"/>
    <w:rsid w:val="00C42164"/>
    <w:rsid w:val="00C421E9"/>
    <w:rsid w:val="00C42469"/>
    <w:rsid w:val="00C424EA"/>
    <w:rsid w:val="00C4256A"/>
    <w:rsid w:val="00C425B7"/>
    <w:rsid w:val="00C426BA"/>
    <w:rsid w:val="00C426BE"/>
    <w:rsid w:val="00C428CE"/>
    <w:rsid w:val="00C42905"/>
    <w:rsid w:val="00C4299A"/>
    <w:rsid w:val="00C42A16"/>
    <w:rsid w:val="00C42A61"/>
    <w:rsid w:val="00C42AD7"/>
    <w:rsid w:val="00C42ADC"/>
    <w:rsid w:val="00C42C31"/>
    <w:rsid w:val="00C42CEB"/>
    <w:rsid w:val="00C42D9D"/>
    <w:rsid w:val="00C42E95"/>
    <w:rsid w:val="00C42F2D"/>
    <w:rsid w:val="00C42F37"/>
    <w:rsid w:val="00C42F70"/>
    <w:rsid w:val="00C42FF4"/>
    <w:rsid w:val="00C433CC"/>
    <w:rsid w:val="00C434BE"/>
    <w:rsid w:val="00C435AC"/>
    <w:rsid w:val="00C435BF"/>
    <w:rsid w:val="00C4371B"/>
    <w:rsid w:val="00C437F2"/>
    <w:rsid w:val="00C43872"/>
    <w:rsid w:val="00C438B4"/>
    <w:rsid w:val="00C43906"/>
    <w:rsid w:val="00C4394D"/>
    <w:rsid w:val="00C43954"/>
    <w:rsid w:val="00C439C6"/>
    <w:rsid w:val="00C43A67"/>
    <w:rsid w:val="00C43A77"/>
    <w:rsid w:val="00C43B6B"/>
    <w:rsid w:val="00C43BCC"/>
    <w:rsid w:val="00C43C6C"/>
    <w:rsid w:val="00C43C98"/>
    <w:rsid w:val="00C43CC1"/>
    <w:rsid w:val="00C43D0A"/>
    <w:rsid w:val="00C43D8D"/>
    <w:rsid w:val="00C43D93"/>
    <w:rsid w:val="00C43D98"/>
    <w:rsid w:val="00C43DC7"/>
    <w:rsid w:val="00C43EA2"/>
    <w:rsid w:val="00C43F48"/>
    <w:rsid w:val="00C4403C"/>
    <w:rsid w:val="00C4408B"/>
    <w:rsid w:val="00C4411A"/>
    <w:rsid w:val="00C443AB"/>
    <w:rsid w:val="00C443F6"/>
    <w:rsid w:val="00C44542"/>
    <w:rsid w:val="00C4465C"/>
    <w:rsid w:val="00C446B0"/>
    <w:rsid w:val="00C447BB"/>
    <w:rsid w:val="00C447DA"/>
    <w:rsid w:val="00C4484B"/>
    <w:rsid w:val="00C4487F"/>
    <w:rsid w:val="00C448D3"/>
    <w:rsid w:val="00C448DE"/>
    <w:rsid w:val="00C449A3"/>
    <w:rsid w:val="00C44A7E"/>
    <w:rsid w:val="00C44B70"/>
    <w:rsid w:val="00C44BB6"/>
    <w:rsid w:val="00C44BFE"/>
    <w:rsid w:val="00C44C06"/>
    <w:rsid w:val="00C44D39"/>
    <w:rsid w:val="00C44D8A"/>
    <w:rsid w:val="00C44DFA"/>
    <w:rsid w:val="00C44EB2"/>
    <w:rsid w:val="00C44EEC"/>
    <w:rsid w:val="00C44F9C"/>
    <w:rsid w:val="00C4502C"/>
    <w:rsid w:val="00C45107"/>
    <w:rsid w:val="00C45140"/>
    <w:rsid w:val="00C45155"/>
    <w:rsid w:val="00C451E7"/>
    <w:rsid w:val="00C4522A"/>
    <w:rsid w:val="00C4523D"/>
    <w:rsid w:val="00C4526B"/>
    <w:rsid w:val="00C4531C"/>
    <w:rsid w:val="00C45341"/>
    <w:rsid w:val="00C454E0"/>
    <w:rsid w:val="00C45588"/>
    <w:rsid w:val="00C45623"/>
    <w:rsid w:val="00C45670"/>
    <w:rsid w:val="00C45765"/>
    <w:rsid w:val="00C45837"/>
    <w:rsid w:val="00C4594F"/>
    <w:rsid w:val="00C45974"/>
    <w:rsid w:val="00C459E6"/>
    <w:rsid w:val="00C459F6"/>
    <w:rsid w:val="00C45B0C"/>
    <w:rsid w:val="00C45B17"/>
    <w:rsid w:val="00C45B5C"/>
    <w:rsid w:val="00C45DA4"/>
    <w:rsid w:val="00C45DBE"/>
    <w:rsid w:val="00C45E4A"/>
    <w:rsid w:val="00C45E5F"/>
    <w:rsid w:val="00C45E6A"/>
    <w:rsid w:val="00C45F75"/>
    <w:rsid w:val="00C4602E"/>
    <w:rsid w:val="00C460AA"/>
    <w:rsid w:val="00C4614B"/>
    <w:rsid w:val="00C46164"/>
    <w:rsid w:val="00C462DF"/>
    <w:rsid w:val="00C46368"/>
    <w:rsid w:val="00C463D5"/>
    <w:rsid w:val="00C46488"/>
    <w:rsid w:val="00C4651A"/>
    <w:rsid w:val="00C4652C"/>
    <w:rsid w:val="00C46563"/>
    <w:rsid w:val="00C4668D"/>
    <w:rsid w:val="00C4669C"/>
    <w:rsid w:val="00C466AB"/>
    <w:rsid w:val="00C466B1"/>
    <w:rsid w:val="00C46719"/>
    <w:rsid w:val="00C4679C"/>
    <w:rsid w:val="00C4681A"/>
    <w:rsid w:val="00C46832"/>
    <w:rsid w:val="00C46889"/>
    <w:rsid w:val="00C469DA"/>
    <w:rsid w:val="00C46A6D"/>
    <w:rsid w:val="00C46A80"/>
    <w:rsid w:val="00C46A9C"/>
    <w:rsid w:val="00C46AB9"/>
    <w:rsid w:val="00C46C59"/>
    <w:rsid w:val="00C46C8A"/>
    <w:rsid w:val="00C46D35"/>
    <w:rsid w:val="00C46DFA"/>
    <w:rsid w:val="00C46E32"/>
    <w:rsid w:val="00C46ED7"/>
    <w:rsid w:val="00C46EDA"/>
    <w:rsid w:val="00C46EDC"/>
    <w:rsid w:val="00C46FE2"/>
    <w:rsid w:val="00C47029"/>
    <w:rsid w:val="00C4702B"/>
    <w:rsid w:val="00C47078"/>
    <w:rsid w:val="00C47128"/>
    <w:rsid w:val="00C47136"/>
    <w:rsid w:val="00C4714C"/>
    <w:rsid w:val="00C471FB"/>
    <w:rsid w:val="00C4722E"/>
    <w:rsid w:val="00C4724C"/>
    <w:rsid w:val="00C47284"/>
    <w:rsid w:val="00C472C1"/>
    <w:rsid w:val="00C472E2"/>
    <w:rsid w:val="00C4735E"/>
    <w:rsid w:val="00C47368"/>
    <w:rsid w:val="00C4736E"/>
    <w:rsid w:val="00C4766B"/>
    <w:rsid w:val="00C478AF"/>
    <w:rsid w:val="00C47953"/>
    <w:rsid w:val="00C47B00"/>
    <w:rsid w:val="00C47C42"/>
    <w:rsid w:val="00C47CC8"/>
    <w:rsid w:val="00C47D95"/>
    <w:rsid w:val="00C47DAF"/>
    <w:rsid w:val="00C47FF6"/>
    <w:rsid w:val="00C5009D"/>
    <w:rsid w:val="00C500BC"/>
    <w:rsid w:val="00C5014E"/>
    <w:rsid w:val="00C501A8"/>
    <w:rsid w:val="00C501D1"/>
    <w:rsid w:val="00C50297"/>
    <w:rsid w:val="00C502CA"/>
    <w:rsid w:val="00C5035E"/>
    <w:rsid w:val="00C50391"/>
    <w:rsid w:val="00C503D0"/>
    <w:rsid w:val="00C5048A"/>
    <w:rsid w:val="00C5057E"/>
    <w:rsid w:val="00C50681"/>
    <w:rsid w:val="00C507B6"/>
    <w:rsid w:val="00C5081C"/>
    <w:rsid w:val="00C508C3"/>
    <w:rsid w:val="00C508FC"/>
    <w:rsid w:val="00C5093F"/>
    <w:rsid w:val="00C50A79"/>
    <w:rsid w:val="00C50B0B"/>
    <w:rsid w:val="00C50D7F"/>
    <w:rsid w:val="00C50DC9"/>
    <w:rsid w:val="00C50DFF"/>
    <w:rsid w:val="00C50E33"/>
    <w:rsid w:val="00C50F70"/>
    <w:rsid w:val="00C5102D"/>
    <w:rsid w:val="00C510B3"/>
    <w:rsid w:val="00C51158"/>
    <w:rsid w:val="00C51210"/>
    <w:rsid w:val="00C512D8"/>
    <w:rsid w:val="00C512F1"/>
    <w:rsid w:val="00C51317"/>
    <w:rsid w:val="00C51321"/>
    <w:rsid w:val="00C513BB"/>
    <w:rsid w:val="00C514C9"/>
    <w:rsid w:val="00C514CD"/>
    <w:rsid w:val="00C5151B"/>
    <w:rsid w:val="00C5153D"/>
    <w:rsid w:val="00C51606"/>
    <w:rsid w:val="00C51615"/>
    <w:rsid w:val="00C5165E"/>
    <w:rsid w:val="00C51705"/>
    <w:rsid w:val="00C51765"/>
    <w:rsid w:val="00C51839"/>
    <w:rsid w:val="00C518EE"/>
    <w:rsid w:val="00C51984"/>
    <w:rsid w:val="00C51ABD"/>
    <w:rsid w:val="00C51ACE"/>
    <w:rsid w:val="00C51B67"/>
    <w:rsid w:val="00C51B72"/>
    <w:rsid w:val="00C51BA0"/>
    <w:rsid w:val="00C51C67"/>
    <w:rsid w:val="00C51C85"/>
    <w:rsid w:val="00C51CA1"/>
    <w:rsid w:val="00C51D93"/>
    <w:rsid w:val="00C51E12"/>
    <w:rsid w:val="00C51ED8"/>
    <w:rsid w:val="00C51F38"/>
    <w:rsid w:val="00C51F78"/>
    <w:rsid w:val="00C51FB5"/>
    <w:rsid w:val="00C51FE2"/>
    <w:rsid w:val="00C5202F"/>
    <w:rsid w:val="00C520B7"/>
    <w:rsid w:val="00C520EE"/>
    <w:rsid w:val="00C52266"/>
    <w:rsid w:val="00C52290"/>
    <w:rsid w:val="00C5229C"/>
    <w:rsid w:val="00C52366"/>
    <w:rsid w:val="00C523DA"/>
    <w:rsid w:val="00C52410"/>
    <w:rsid w:val="00C526CF"/>
    <w:rsid w:val="00C52787"/>
    <w:rsid w:val="00C52803"/>
    <w:rsid w:val="00C5283A"/>
    <w:rsid w:val="00C5289A"/>
    <w:rsid w:val="00C528BC"/>
    <w:rsid w:val="00C528CC"/>
    <w:rsid w:val="00C52985"/>
    <w:rsid w:val="00C52A42"/>
    <w:rsid w:val="00C52A8C"/>
    <w:rsid w:val="00C52B41"/>
    <w:rsid w:val="00C52BE9"/>
    <w:rsid w:val="00C52C74"/>
    <w:rsid w:val="00C52D00"/>
    <w:rsid w:val="00C52D67"/>
    <w:rsid w:val="00C52DD2"/>
    <w:rsid w:val="00C52DEE"/>
    <w:rsid w:val="00C52EAC"/>
    <w:rsid w:val="00C531C5"/>
    <w:rsid w:val="00C531EF"/>
    <w:rsid w:val="00C531F7"/>
    <w:rsid w:val="00C532BE"/>
    <w:rsid w:val="00C532DC"/>
    <w:rsid w:val="00C532E7"/>
    <w:rsid w:val="00C533E8"/>
    <w:rsid w:val="00C535D6"/>
    <w:rsid w:val="00C535E6"/>
    <w:rsid w:val="00C535F2"/>
    <w:rsid w:val="00C535FD"/>
    <w:rsid w:val="00C5361E"/>
    <w:rsid w:val="00C537E2"/>
    <w:rsid w:val="00C537F2"/>
    <w:rsid w:val="00C5381A"/>
    <w:rsid w:val="00C53849"/>
    <w:rsid w:val="00C53864"/>
    <w:rsid w:val="00C538A6"/>
    <w:rsid w:val="00C53C5B"/>
    <w:rsid w:val="00C53D3B"/>
    <w:rsid w:val="00C53E62"/>
    <w:rsid w:val="00C53E7E"/>
    <w:rsid w:val="00C53F96"/>
    <w:rsid w:val="00C54042"/>
    <w:rsid w:val="00C54180"/>
    <w:rsid w:val="00C541E2"/>
    <w:rsid w:val="00C542DA"/>
    <w:rsid w:val="00C5436F"/>
    <w:rsid w:val="00C54398"/>
    <w:rsid w:val="00C5458E"/>
    <w:rsid w:val="00C5460C"/>
    <w:rsid w:val="00C5461E"/>
    <w:rsid w:val="00C5466F"/>
    <w:rsid w:val="00C546FB"/>
    <w:rsid w:val="00C54725"/>
    <w:rsid w:val="00C54981"/>
    <w:rsid w:val="00C54B09"/>
    <w:rsid w:val="00C54B67"/>
    <w:rsid w:val="00C54BD4"/>
    <w:rsid w:val="00C54C99"/>
    <w:rsid w:val="00C54CD9"/>
    <w:rsid w:val="00C54D44"/>
    <w:rsid w:val="00C54D58"/>
    <w:rsid w:val="00C54D80"/>
    <w:rsid w:val="00C54D8C"/>
    <w:rsid w:val="00C54DA4"/>
    <w:rsid w:val="00C54E81"/>
    <w:rsid w:val="00C54EC3"/>
    <w:rsid w:val="00C54EDE"/>
    <w:rsid w:val="00C54F2B"/>
    <w:rsid w:val="00C550B6"/>
    <w:rsid w:val="00C550DC"/>
    <w:rsid w:val="00C55179"/>
    <w:rsid w:val="00C55198"/>
    <w:rsid w:val="00C551C1"/>
    <w:rsid w:val="00C551D1"/>
    <w:rsid w:val="00C55338"/>
    <w:rsid w:val="00C554E0"/>
    <w:rsid w:val="00C5557F"/>
    <w:rsid w:val="00C5561A"/>
    <w:rsid w:val="00C55624"/>
    <w:rsid w:val="00C5566B"/>
    <w:rsid w:val="00C55707"/>
    <w:rsid w:val="00C55770"/>
    <w:rsid w:val="00C55887"/>
    <w:rsid w:val="00C558E3"/>
    <w:rsid w:val="00C55900"/>
    <w:rsid w:val="00C55B5E"/>
    <w:rsid w:val="00C55BA3"/>
    <w:rsid w:val="00C55BB8"/>
    <w:rsid w:val="00C55C0B"/>
    <w:rsid w:val="00C55C13"/>
    <w:rsid w:val="00C55C15"/>
    <w:rsid w:val="00C55C7C"/>
    <w:rsid w:val="00C55D10"/>
    <w:rsid w:val="00C55E15"/>
    <w:rsid w:val="00C55E52"/>
    <w:rsid w:val="00C55E59"/>
    <w:rsid w:val="00C55EDC"/>
    <w:rsid w:val="00C55EE8"/>
    <w:rsid w:val="00C55EEC"/>
    <w:rsid w:val="00C55F5D"/>
    <w:rsid w:val="00C55FDC"/>
    <w:rsid w:val="00C5608B"/>
    <w:rsid w:val="00C56174"/>
    <w:rsid w:val="00C5623C"/>
    <w:rsid w:val="00C562FA"/>
    <w:rsid w:val="00C56363"/>
    <w:rsid w:val="00C56381"/>
    <w:rsid w:val="00C563EA"/>
    <w:rsid w:val="00C5650A"/>
    <w:rsid w:val="00C56555"/>
    <w:rsid w:val="00C565BC"/>
    <w:rsid w:val="00C56785"/>
    <w:rsid w:val="00C56860"/>
    <w:rsid w:val="00C568CD"/>
    <w:rsid w:val="00C568F1"/>
    <w:rsid w:val="00C56B08"/>
    <w:rsid w:val="00C56B71"/>
    <w:rsid w:val="00C56D31"/>
    <w:rsid w:val="00C56D77"/>
    <w:rsid w:val="00C56DFA"/>
    <w:rsid w:val="00C56E1F"/>
    <w:rsid w:val="00C56E2A"/>
    <w:rsid w:val="00C56E2B"/>
    <w:rsid w:val="00C56E93"/>
    <w:rsid w:val="00C56EB9"/>
    <w:rsid w:val="00C570FF"/>
    <w:rsid w:val="00C5710E"/>
    <w:rsid w:val="00C5711A"/>
    <w:rsid w:val="00C5716C"/>
    <w:rsid w:val="00C57191"/>
    <w:rsid w:val="00C572A7"/>
    <w:rsid w:val="00C57386"/>
    <w:rsid w:val="00C573C1"/>
    <w:rsid w:val="00C573CA"/>
    <w:rsid w:val="00C57623"/>
    <w:rsid w:val="00C5768B"/>
    <w:rsid w:val="00C57715"/>
    <w:rsid w:val="00C577CC"/>
    <w:rsid w:val="00C577E1"/>
    <w:rsid w:val="00C5786F"/>
    <w:rsid w:val="00C578C3"/>
    <w:rsid w:val="00C578E9"/>
    <w:rsid w:val="00C57900"/>
    <w:rsid w:val="00C579B1"/>
    <w:rsid w:val="00C579FC"/>
    <w:rsid w:val="00C57A53"/>
    <w:rsid w:val="00C57A97"/>
    <w:rsid w:val="00C57B32"/>
    <w:rsid w:val="00C57B8F"/>
    <w:rsid w:val="00C57BE6"/>
    <w:rsid w:val="00C57C16"/>
    <w:rsid w:val="00C57C60"/>
    <w:rsid w:val="00C57C92"/>
    <w:rsid w:val="00C57DDA"/>
    <w:rsid w:val="00C57E1C"/>
    <w:rsid w:val="00C57E4B"/>
    <w:rsid w:val="00C57EC3"/>
    <w:rsid w:val="00C57ECC"/>
    <w:rsid w:val="00C57EFB"/>
    <w:rsid w:val="00C59F11"/>
    <w:rsid w:val="00C60027"/>
    <w:rsid w:val="00C60042"/>
    <w:rsid w:val="00C60070"/>
    <w:rsid w:val="00C600A6"/>
    <w:rsid w:val="00C600F4"/>
    <w:rsid w:val="00C6016B"/>
    <w:rsid w:val="00C603D5"/>
    <w:rsid w:val="00C60422"/>
    <w:rsid w:val="00C6045C"/>
    <w:rsid w:val="00C6052F"/>
    <w:rsid w:val="00C6079F"/>
    <w:rsid w:val="00C6080F"/>
    <w:rsid w:val="00C608FC"/>
    <w:rsid w:val="00C60A02"/>
    <w:rsid w:val="00C60A5C"/>
    <w:rsid w:val="00C60A6F"/>
    <w:rsid w:val="00C60A77"/>
    <w:rsid w:val="00C60B0D"/>
    <w:rsid w:val="00C60BB3"/>
    <w:rsid w:val="00C60C07"/>
    <w:rsid w:val="00C60C3A"/>
    <w:rsid w:val="00C60C4F"/>
    <w:rsid w:val="00C60CF0"/>
    <w:rsid w:val="00C60EB0"/>
    <w:rsid w:val="00C61078"/>
    <w:rsid w:val="00C610C8"/>
    <w:rsid w:val="00C61147"/>
    <w:rsid w:val="00C61166"/>
    <w:rsid w:val="00C61212"/>
    <w:rsid w:val="00C61233"/>
    <w:rsid w:val="00C612FA"/>
    <w:rsid w:val="00C6134C"/>
    <w:rsid w:val="00C613B9"/>
    <w:rsid w:val="00C6148F"/>
    <w:rsid w:val="00C6149F"/>
    <w:rsid w:val="00C616D4"/>
    <w:rsid w:val="00C616FD"/>
    <w:rsid w:val="00C617C7"/>
    <w:rsid w:val="00C61865"/>
    <w:rsid w:val="00C61889"/>
    <w:rsid w:val="00C61913"/>
    <w:rsid w:val="00C61919"/>
    <w:rsid w:val="00C61A87"/>
    <w:rsid w:val="00C61B07"/>
    <w:rsid w:val="00C61B32"/>
    <w:rsid w:val="00C61B45"/>
    <w:rsid w:val="00C61B7F"/>
    <w:rsid w:val="00C61C1A"/>
    <w:rsid w:val="00C61CBD"/>
    <w:rsid w:val="00C61E50"/>
    <w:rsid w:val="00C61FFA"/>
    <w:rsid w:val="00C6200F"/>
    <w:rsid w:val="00C6204B"/>
    <w:rsid w:val="00C6224C"/>
    <w:rsid w:val="00C622D6"/>
    <w:rsid w:val="00C6234E"/>
    <w:rsid w:val="00C62543"/>
    <w:rsid w:val="00C62578"/>
    <w:rsid w:val="00C6259A"/>
    <w:rsid w:val="00C625A9"/>
    <w:rsid w:val="00C62602"/>
    <w:rsid w:val="00C6262A"/>
    <w:rsid w:val="00C62633"/>
    <w:rsid w:val="00C62741"/>
    <w:rsid w:val="00C6277F"/>
    <w:rsid w:val="00C627FE"/>
    <w:rsid w:val="00C6284E"/>
    <w:rsid w:val="00C62884"/>
    <w:rsid w:val="00C629AC"/>
    <w:rsid w:val="00C629B3"/>
    <w:rsid w:val="00C629CB"/>
    <w:rsid w:val="00C62AAF"/>
    <w:rsid w:val="00C62C2B"/>
    <w:rsid w:val="00C62CF9"/>
    <w:rsid w:val="00C62DB6"/>
    <w:rsid w:val="00C62E46"/>
    <w:rsid w:val="00C62EB5"/>
    <w:rsid w:val="00C630B9"/>
    <w:rsid w:val="00C63235"/>
    <w:rsid w:val="00C63295"/>
    <w:rsid w:val="00C63339"/>
    <w:rsid w:val="00C63347"/>
    <w:rsid w:val="00C6334D"/>
    <w:rsid w:val="00C63366"/>
    <w:rsid w:val="00C6337E"/>
    <w:rsid w:val="00C633A9"/>
    <w:rsid w:val="00C633EC"/>
    <w:rsid w:val="00C633ED"/>
    <w:rsid w:val="00C634E8"/>
    <w:rsid w:val="00C63523"/>
    <w:rsid w:val="00C63533"/>
    <w:rsid w:val="00C63549"/>
    <w:rsid w:val="00C63666"/>
    <w:rsid w:val="00C6369E"/>
    <w:rsid w:val="00C638DE"/>
    <w:rsid w:val="00C638FA"/>
    <w:rsid w:val="00C63937"/>
    <w:rsid w:val="00C63992"/>
    <w:rsid w:val="00C639B1"/>
    <w:rsid w:val="00C639EE"/>
    <w:rsid w:val="00C639F4"/>
    <w:rsid w:val="00C63A70"/>
    <w:rsid w:val="00C63A98"/>
    <w:rsid w:val="00C63AC1"/>
    <w:rsid w:val="00C63AC2"/>
    <w:rsid w:val="00C63AD0"/>
    <w:rsid w:val="00C63AE8"/>
    <w:rsid w:val="00C63B76"/>
    <w:rsid w:val="00C63C07"/>
    <w:rsid w:val="00C63C4A"/>
    <w:rsid w:val="00C63C67"/>
    <w:rsid w:val="00C63CB4"/>
    <w:rsid w:val="00C63DB0"/>
    <w:rsid w:val="00C63DBF"/>
    <w:rsid w:val="00C63E04"/>
    <w:rsid w:val="00C63E79"/>
    <w:rsid w:val="00C63ECD"/>
    <w:rsid w:val="00C63F97"/>
    <w:rsid w:val="00C64156"/>
    <w:rsid w:val="00C64196"/>
    <w:rsid w:val="00C64205"/>
    <w:rsid w:val="00C64307"/>
    <w:rsid w:val="00C6434B"/>
    <w:rsid w:val="00C64350"/>
    <w:rsid w:val="00C64362"/>
    <w:rsid w:val="00C6446B"/>
    <w:rsid w:val="00C644E9"/>
    <w:rsid w:val="00C645F6"/>
    <w:rsid w:val="00C64671"/>
    <w:rsid w:val="00C6482E"/>
    <w:rsid w:val="00C64857"/>
    <w:rsid w:val="00C6496A"/>
    <w:rsid w:val="00C64AA5"/>
    <w:rsid w:val="00C64AD6"/>
    <w:rsid w:val="00C64B09"/>
    <w:rsid w:val="00C64B95"/>
    <w:rsid w:val="00C64BD1"/>
    <w:rsid w:val="00C64C7B"/>
    <w:rsid w:val="00C64CE7"/>
    <w:rsid w:val="00C64CE9"/>
    <w:rsid w:val="00C64D94"/>
    <w:rsid w:val="00C64E6E"/>
    <w:rsid w:val="00C64E7A"/>
    <w:rsid w:val="00C64EB9"/>
    <w:rsid w:val="00C6506A"/>
    <w:rsid w:val="00C651E8"/>
    <w:rsid w:val="00C652CE"/>
    <w:rsid w:val="00C65303"/>
    <w:rsid w:val="00C6532C"/>
    <w:rsid w:val="00C653A3"/>
    <w:rsid w:val="00C653C8"/>
    <w:rsid w:val="00C65436"/>
    <w:rsid w:val="00C6544B"/>
    <w:rsid w:val="00C65482"/>
    <w:rsid w:val="00C65490"/>
    <w:rsid w:val="00C654B9"/>
    <w:rsid w:val="00C65548"/>
    <w:rsid w:val="00C65596"/>
    <w:rsid w:val="00C655DA"/>
    <w:rsid w:val="00C6574A"/>
    <w:rsid w:val="00C657F9"/>
    <w:rsid w:val="00C65825"/>
    <w:rsid w:val="00C65A16"/>
    <w:rsid w:val="00C65A5E"/>
    <w:rsid w:val="00C65A75"/>
    <w:rsid w:val="00C65AE9"/>
    <w:rsid w:val="00C65C74"/>
    <w:rsid w:val="00C65D6A"/>
    <w:rsid w:val="00C65D95"/>
    <w:rsid w:val="00C65FC8"/>
    <w:rsid w:val="00C66034"/>
    <w:rsid w:val="00C66124"/>
    <w:rsid w:val="00C6614D"/>
    <w:rsid w:val="00C661A3"/>
    <w:rsid w:val="00C661AE"/>
    <w:rsid w:val="00C661DD"/>
    <w:rsid w:val="00C6623A"/>
    <w:rsid w:val="00C6625C"/>
    <w:rsid w:val="00C6629B"/>
    <w:rsid w:val="00C663D0"/>
    <w:rsid w:val="00C665DF"/>
    <w:rsid w:val="00C666B4"/>
    <w:rsid w:val="00C666DC"/>
    <w:rsid w:val="00C6696A"/>
    <w:rsid w:val="00C66972"/>
    <w:rsid w:val="00C66974"/>
    <w:rsid w:val="00C66986"/>
    <w:rsid w:val="00C66A17"/>
    <w:rsid w:val="00C66A57"/>
    <w:rsid w:val="00C66A69"/>
    <w:rsid w:val="00C66BBD"/>
    <w:rsid w:val="00C66BE4"/>
    <w:rsid w:val="00C66D73"/>
    <w:rsid w:val="00C66DA7"/>
    <w:rsid w:val="00C66DAE"/>
    <w:rsid w:val="00C66DEE"/>
    <w:rsid w:val="00C66FD0"/>
    <w:rsid w:val="00C66FD8"/>
    <w:rsid w:val="00C66FDF"/>
    <w:rsid w:val="00C67207"/>
    <w:rsid w:val="00C67214"/>
    <w:rsid w:val="00C67299"/>
    <w:rsid w:val="00C672CD"/>
    <w:rsid w:val="00C6732E"/>
    <w:rsid w:val="00C67370"/>
    <w:rsid w:val="00C67387"/>
    <w:rsid w:val="00C675D7"/>
    <w:rsid w:val="00C67624"/>
    <w:rsid w:val="00C67766"/>
    <w:rsid w:val="00C67804"/>
    <w:rsid w:val="00C67938"/>
    <w:rsid w:val="00C67A04"/>
    <w:rsid w:val="00C67A33"/>
    <w:rsid w:val="00C67AF8"/>
    <w:rsid w:val="00C67B3F"/>
    <w:rsid w:val="00C67B82"/>
    <w:rsid w:val="00C67BD7"/>
    <w:rsid w:val="00C67C57"/>
    <w:rsid w:val="00C67C90"/>
    <w:rsid w:val="00C67D27"/>
    <w:rsid w:val="00C67D70"/>
    <w:rsid w:val="00C67E3F"/>
    <w:rsid w:val="00C67ED6"/>
    <w:rsid w:val="00C67F34"/>
    <w:rsid w:val="00C7014E"/>
    <w:rsid w:val="00C70282"/>
    <w:rsid w:val="00C70366"/>
    <w:rsid w:val="00C7038C"/>
    <w:rsid w:val="00C70503"/>
    <w:rsid w:val="00C70577"/>
    <w:rsid w:val="00C70583"/>
    <w:rsid w:val="00C705F3"/>
    <w:rsid w:val="00C705F6"/>
    <w:rsid w:val="00C70672"/>
    <w:rsid w:val="00C706C9"/>
    <w:rsid w:val="00C70759"/>
    <w:rsid w:val="00C7076F"/>
    <w:rsid w:val="00C7081C"/>
    <w:rsid w:val="00C7082B"/>
    <w:rsid w:val="00C7099C"/>
    <w:rsid w:val="00C709CF"/>
    <w:rsid w:val="00C709F9"/>
    <w:rsid w:val="00C70AD9"/>
    <w:rsid w:val="00C70B93"/>
    <w:rsid w:val="00C70B94"/>
    <w:rsid w:val="00C70C4F"/>
    <w:rsid w:val="00C70E0F"/>
    <w:rsid w:val="00C70E6E"/>
    <w:rsid w:val="00C71046"/>
    <w:rsid w:val="00C71109"/>
    <w:rsid w:val="00C7115E"/>
    <w:rsid w:val="00C71164"/>
    <w:rsid w:val="00C71177"/>
    <w:rsid w:val="00C71202"/>
    <w:rsid w:val="00C71320"/>
    <w:rsid w:val="00C71327"/>
    <w:rsid w:val="00C71358"/>
    <w:rsid w:val="00C7136B"/>
    <w:rsid w:val="00C7138C"/>
    <w:rsid w:val="00C713D8"/>
    <w:rsid w:val="00C714AA"/>
    <w:rsid w:val="00C714CE"/>
    <w:rsid w:val="00C71568"/>
    <w:rsid w:val="00C71676"/>
    <w:rsid w:val="00C718F4"/>
    <w:rsid w:val="00C71A5A"/>
    <w:rsid w:val="00C71AC6"/>
    <w:rsid w:val="00C71B0F"/>
    <w:rsid w:val="00C71B32"/>
    <w:rsid w:val="00C71B5C"/>
    <w:rsid w:val="00C71B80"/>
    <w:rsid w:val="00C71B8D"/>
    <w:rsid w:val="00C71BB9"/>
    <w:rsid w:val="00C71C8B"/>
    <w:rsid w:val="00C71CE5"/>
    <w:rsid w:val="00C71E57"/>
    <w:rsid w:val="00C71F7B"/>
    <w:rsid w:val="00C72029"/>
    <w:rsid w:val="00C72031"/>
    <w:rsid w:val="00C7210C"/>
    <w:rsid w:val="00C72147"/>
    <w:rsid w:val="00C721AE"/>
    <w:rsid w:val="00C721C7"/>
    <w:rsid w:val="00C72201"/>
    <w:rsid w:val="00C72259"/>
    <w:rsid w:val="00C723D3"/>
    <w:rsid w:val="00C7241B"/>
    <w:rsid w:val="00C72450"/>
    <w:rsid w:val="00C724C4"/>
    <w:rsid w:val="00C724DF"/>
    <w:rsid w:val="00C72591"/>
    <w:rsid w:val="00C72695"/>
    <w:rsid w:val="00C72759"/>
    <w:rsid w:val="00C727F5"/>
    <w:rsid w:val="00C7283F"/>
    <w:rsid w:val="00C72927"/>
    <w:rsid w:val="00C72948"/>
    <w:rsid w:val="00C729E9"/>
    <w:rsid w:val="00C729FA"/>
    <w:rsid w:val="00C72A8D"/>
    <w:rsid w:val="00C72AF2"/>
    <w:rsid w:val="00C72BB1"/>
    <w:rsid w:val="00C72BDA"/>
    <w:rsid w:val="00C72C51"/>
    <w:rsid w:val="00C72D54"/>
    <w:rsid w:val="00C72D8F"/>
    <w:rsid w:val="00C72FFF"/>
    <w:rsid w:val="00C730E0"/>
    <w:rsid w:val="00C730E6"/>
    <w:rsid w:val="00C73218"/>
    <w:rsid w:val="00C73320"/>
    <w:rsid w:val="00C73382"/>
    <w:rsid w:val="00C735CF"/>
    <w:rsid w:val="00C73644"/>
    <w:rsid w:val="00C73645"/>
    <w:rsid w:val="00C73725"/>
    <w:rsid w:val="00C73758"/>
    <w:rsid w:val="00C737EE"/>
    <w:rsid w:val="00C73820"/>
    <w:rsid w:val="00C73882"/>
    <w:rsid w:val="00C7395F"/>
    <w:rsid w:val="00C73990"/>
    <w:rsid w:val="00C73B21"/>
    <w:rsid w:val="00C73B42"/>
    <w:rsid w:val="00C73B49"/>
    <w:rsid w:val="00C73CDE"/>
    <w:rsid w:val="00C73CE5"/>
    <w:rsid w:val="00C73D78"/>
    <w:rsid w:val="00C73E1B"/>
    <w:rsid w:val="00C73EAE"/>
    <w:rsid w:val="00C73EEA"/>
    <w:rsid w:val="00C73F4F"/>
    <w:rsid w:val="00C73FC9"/>
    <w:rsid w:val="00C740AC"/>
    <w:rsid w:val="00C741D6"/>
    <w:rsid w:val="00C741FA"/>
    <w:rsid w:val="00C7422D"/>
    <w:rsid w:val="00C742F0"/>
    <w:rsid w:val="00C7440F"/>
    <w:rsid w:val="00C74483"/>
    <w:rsid w:val="00C74554"/>
    <w:rsid w:val="00C745C8"/>
    <w:rsid w:val="00C74675"/>
    <w:rsid w:val="00C74842"/>
    <w:rsid w:val="00C74897"/>
    <w:rsid w:val="00C74961"/>
    <w:rsid w:val="00C749A7"/>
    <w:rsid w:val="00C74C88"/>
    <w:rsid w:val="00C74CD5"/>
    <w:rsid w:val="00C74D16"/>
    <w:rsid w:val="00C74D17"/>
    <w:rsid w:val="00C74D97"/>
    <w:rsid w:val="00C74EBF"/>
    <w:rsid w:val="00C74EF5"/>
    <w:rsid w:val="00C74F1E"/>
    <w:rsid w:val="00C74FB7"/>
    <w:rsid w:val="00C75063"/>
    <w:rsid w:val="00C7509E"/>
    <w:rsid w:val="00C750D4"/>
    <w:rsid w:val="00C751B6"/>
    <w:rsid w:val="00C751D2"/>
    <w:rsid w:val="00C751E4"/>
    <w:rsid w:val="00C7530D"/>
    <w:rsid w:val="00C75350"/>
    <w:rsid w:val="00C753F2"/>
    <w:rsid w:val="00C7553B"/>
    <w:rsid w:val="00C7559F"/>
    <w:rsid w:val="00C755B3"/>
    <w:rsid w:val="00C755B9"/>
    <w:rsid w:val="00C755C2"/>
    <w:rsid w:val="00C756CF"/>
    <w:rsid w:val="00C756EC"/>
    <w:rsid w:val="00C757A2"/>
    <w:rsid w:val="00C757BA"/>
    <w:rsid w:val="00C75871"/>
    <w:rsid w:val="00C758E7"/>
    <w:rsid w:val="00C7590E"/>
    <w:rsid w:val="00C75CA7"/>
    <w:rsid w:val="00C75D31"/>
    <w:rsid w:val="00C75EA6"/>
    <w:rsid w:val="00C75FE1"/>
    <w:rsid w:val="00C76059"/>
    <w:rsid w:val="00C76165"/>
    <w:rsid w:val="00C763C4"/>
    <w:rsid w:val="00C763CF"/>
    <w:rsid w:val="00C76454"/>
    <w:rsid w:val="00C76513"/>
    <w:rsid w:val="00C76575"/>
    <w:rsid w:val="00C765D3"/>
    <w:rsid w:val="00C76662"/>
    <w:rsid w:val="00C766A3"/>
    <w:rsid w:val="00C7670B"/>
    <w:rsid w:val="00C767B6"/>
    <w:rsid w:val="00C76858"/>
    <w:rsid w:val="00C76859"/>
    <w:rsid w:val="00C7687C"/>
    <w:rsid w:val="00C76921"/>
    <w:rsid w:val="00C76A3A"/>
    <w:rsid w:val="00C76A53"/>
    <w:rsid w:val="00C76BEE"/>
    <w:rsid w:val="00C76C14"/>
    <w:rsid w:val="00C76C2F"/>
    <w:rsid w:val="00C76C8C"/>
    <w:rsid w:val="00C76CBE"/>
    <w:rsid w:val="00C76CCC"/>
    <w:rsid w:val="00C76CE2"/>
    <w:rsid w:val="00C76D15"/>
    <w:rsid w:val="00C76E3D"/>
    <w:rsid w:val="00C76E9E"/>
    <w:rsid w:val="00C76EC0"/>
    <w:rsid w:val="00C76EFF"/>
    <w:rsid w:val="00C76F72"/>
    <w:rsid w:val="00C76F85"/>
    <w:rsid w:val="00C76FF7"/>
    <w:rsid w:val="00C77024"/>
    <w:rsid w:val="00C7714B"/>
    <w:rsid w:val="00C771CC"/>
    <w:rsid w:val="00C771D1"/>
    <w:rsid w:val="00C77205"/>
    <w:rsid w:val="00C77208"/>
    <w:rsid w:val="00C77340"/>
    <w:rsid w:val="00C7759E"/>
    <w:rsid w:val="00C775A8"/>
    <w:rsid w:val="00C7773E"/>
    <w:rsid w:val="00C777A7"/>
    <w:rsid w:val="00C778BB"/>
    <w:rsid w:val="00C778F9"/>
    <w:rsid w:val="00C7791A"/>
    <w:rsid w:val="00C77A23"/>
    <w:rsid w:val="00C77A9C"/>
    <w:rsid w:val="00C77B3C"/>
    <w:rsid w:val="00C77C18"/>
    <w:rsid w:val="00C77C1B"/>
    <w:rsid w:val="00C77C21"/>
    <w:rsid w:val="00C77CFF"/>
    <w:rsid w:val="00C77D28"/>
    <w:rsid w:val="00C77D48"/>
    <w:rsid w:val="00C77D4C"/>
    <w:rsid w:val="00C77D62"/>
    <w:rsid w:val="00C77EB2"/>
    <w:rsid w:val="00C77F70"/>
    <w:rsid w:val="00C77FA9"/>
    <w:rsid w:val="00C8006E"/>
    <w:rsid w:val="00C80111"/>
    <w:rsid w:val="00C80183"/>
    <w:rsid w:val="00C8026B"/>
    <w:rsid w:val="00C802A6"/>
    <w:rsid w:val="00C802C7"/>
    <w:rsid w:val="00C802FE"/>
    <w:rsid w:val="00C8038F"/>
    <w:rsid w:val="00C803DA"/>
    <w:rsid w:val="00C80523"/>
    <w:rsid w:val="00C8072E"/>
    <w:rsid w:val="00C807E8"/>
    <w:rsid w:val="00C807FB"/>
    <w:rsid w:val="00C8081C"/>
    <w:rsid w:val="00C8081D"/>
    <w:rsid w:val="00C80847"/>
    <w:rsid w:val="00C808C5"/>
    <w:rsid w:val="00C808E8"/>
    <w:rsid w:val="00C80906"/>
    <w:rsid w:val="00C809D9"/>
    <w:rsid w:val="00C80AA3"/>
    <w:rsid w:val="00C80B36"/>
    <w:rsid w:val="00C80B96"/>
    <w:rsid w:val="00C80B9D"/>
    <w:rsid w:val="00C80BD6"/>
    <w:rsid w:val="00C80D2F"/>
    <w:rsid w:val="00C80DF9"/>
    <w:rsid w:val="00C80E17"/>
    <w:rsid w:val="00C80E77"/>
    <w:rsid w:val="00C80F21"/>
    <w:rsid w:val="00C81008"/>
    <w:rsid w:val="00C8106E"/>
    <w:rsid w:val="00C81085"/>
    <w:rsid w:val="00C810AC"/>
    <w:rsid w:val="00C8118C"/>
    <w:rsid w:val="00C81252"/>
    <w:rsid w:val="00C8136D"/>
    <w:rsid w:val="00C813A6"/>
    <w:rsid w:val="00C81454"/>
    <w:rsid w:val="00C81497"/>
    <w:rsid w:val="00C814FD"/>
    <w:rsid w:val="00C814FF"/>
    <w:rsid w:val="00C81532"/>
    <w:rsid w:val="00C815F7"/>
    <w:rsid w:val="00C8168E"/>
    <w:rsid w:val="00C8179E"/>
    <w:rsid w:val="00C817A7"/>
    <w:rsid w:val="00C817B2"/>
    <w:rsid w:val="00C81831"/>
    <w:rsid w:val="00C8190A"/>
    <w:rsid w:val="00C8198B"/>
    <w:rsid w:val="00C81996"/>
    <w:rsid w:val="00C819FF"/>
    <w:rsid w:val="00C81A72"/>
    <w:rsid w:val="00C81A9D"/>
    <w:rsid w:val="00C81AB3"/>
    <w:rsid w:val="00C81AF7"/>
    <w:rsid w:val="00C81B4F"/>
    <w:rsid w:val="00C81BFF"/>
    <w:rsid w:val="00C81C5C"/>
    <w:rsid w:val="00C81C60"/>
    <w:rsid w:val="00C81C66"/>
    <w:rsid w:val="00C81CA3"/>
    <w:rsid w:val="00C81D5E"/>
    <w:rsid w:val="00C81DC2"/>
    <w:rsid w:val="00C81DF2"/>
    <w:rsid w:val="00C81E78"/>
    <w:rsid w:val="00C81E83"/>
    <w:rsid w:val="00C81EE6"/>
    <w:rsid w:val="00C81F4F"/>
    <w:rsid w:val="00C81F95"/>
    <w:rsid w:val="00C820E7"/>
    <w:rsid w:val="00C821C0"/>
    <w:rsid w:val="00C82212"/>
    <w:rsid w:val="00C82234"/>
    <w:rsid w:val="00C822A8"/>
    <w:rsid w:val="00C822AA"/>
    <w:rsid w:val="00C82454"/>
    <w:rsid w:val="00C82458"/>
    <w:rsid w:val="00C826BC"/>
    <w:rsid w:val="00C826C5"/>
    <w:rsid w:val="00C82703"/>
    <w:rsid w:val="00C82769"/>
    <w:rsid w:val="00C827B3"/>
    <w:rsid w:val="00C8280B"/>
    <w:rsid w:val="00C82821"/>
    <w:rsid w:val="00C82847"/>
    <w:rsid w:val="00C828DD"/>
    <w:rsid w:val="00C82924"/>
    <w:rsid w:val="00C82929"/>
    <w:rsid w:val="00C8295C"/>
    <w:rsid w:val="00C8299D"/>
    <w:rsid w:val="00C82B23"/>
    <w:rsid w:val="00C82BC2"/>
    <w:rsid w:val="00C82C18"/>
    <w:rsid w:val="00C82C48"/>
    <w:rsid w:val="00C82D3C"/>
    <w:rsid w:val="00C82D48"/>
    <w:rsid w:val="00C82ED0"/>
    <w:rsid w:val="00C82F33"/>
    <w:rsid w:val="00C82F3E"/>
    <w:rsid w:val="00C82FA7"/>
    <w:rsid w:val="00C82FD6"/>
    <w:rsid w:val="00C830CD"/>
    <w:rsid w:val="00C83150"/>
    <w:rsid w:val="00C83159"/>
    <w:rsid w:val="00C83201"/>
    <w:rsid w:val="00C83216"/>
    <w:rsid w:val="00C832C1"/>
    <w:rsid w:val="00C8332E"/>
    <w:rsid w:val="00C834B6"/>
    <w:rsid w:val="00C834CC"/>
    <w:rsid w:val="00C83520"/>
    <w:rsid w:val="00C8353E"/>
    <w:rsid w:val="00C835B2"/>
    <w:rsid w:val="00C836D6"/>
    <w:rsid w:val="00C83720"/>
    <w:rsid w:val="00C8374A"/>
    <w:rsid w:val="00C83762"/>
    <w:rsid w:val="00C837CE"/>
    <w:rsid w:val="00C838D2"/>
    <w:rsid w:val="00C838D8"/>
    <w:rsid w:val="00C838F9"/>
    <w:rsid w:val="00C83989"/>
    <w:rsid w:val="00C83A49"/>
    <w:rsid w:val="00C83A90"/>
    <w:rsid w:val="00C83A9E"/>
    <w:rsid w:val="00C83AA3"/>
    <w:rsid w:val="00C83B46"/>
    <w:rsid w:val="00C83BE4"/>
    <w:rsid w:val="00C83BF9"/>
    <w:rsid w:val="00C83C23"/>
    <w:rsid w:val="00C83CFF"/>
    <w:rsid w:val="00C83D2A"/>
    <w:rsid w:val="00C83D64"/>
    <w:rsid w:val="00C83D6B"/>
    <w:rsid w:val="00C84009"/>
    <w:rsid w:val="00C84015"/>
    <w:rsid w:val="00C84019"/>
    <w:rsid w:val="00C84125"/>
    <w:rsid w:val="00C841F5"/>
    <w:rsid w:val="00C842DF"/>
    <w:rsid w:val="00C8430E"/>
    <w:rsid w:val="00C8436E"/>
    <w:rsid w:val="00C843A0"/>
    <w:rsid w:val="00C8442C"/>
    <w:rsid w:val="00C84470"/>
    <w:rsid w:val="00C84490"/>
    <w:rsid w:val="00C844FC"/>
    <w:rsid w:val="00C84562"/>
    <w:rsid w:val="00C847DB"/>
    <w:rsid w:val="00C847E7"/>
    <w:rsid w:val="00C84805"/>
    <w:rsid w:val="00C8483A"/>
    <w:rsid w:val="00C8495A"/>
    <w:rsid w:val="00C84ADC"/>
    <w:rsid w:val="00C84B1D"/>
    <w:rsid w:val="00C84B3D"/>
    <w:rsid w:val="00C84B72"/>
    <w:rsid w:val="00C84BA0"/>
    <w:rsid w:val="00C84C04"/>
    <w:rsid w:val="00C84CC5"/>
    <w:rsid w:val="00C84E0A"/>
    <w:rsid w:val="00C84EA3"/>
    <w:rsid w:val="00C84EB4"/>
    <w:rsid w:val="00C84ED1"/>
    <w:rsid w:val="00C84F54"/>
    <w:rsid w:val="00C8503E"/>
    <w:rsid w:val="00C850CD"/>
    <w:rsid w:val="00C85107"/>
    <w:rsid w:val="00C85165"/>
    <w:rsid w:val="00C851C1"/>
    <w:rsid w:val="00C851DB"/>
    <w:rsid w:val="00C85230"/>
    <w:rsid w:val="00C852BF"/>
    <w:rsid w:val="00C853A8"/>
    <w:rsid w:val="00C853DD"/>
    <w:rsid w:val="00C85647"/>
    <w:rsid w:val="00C85827"/>
    <w:rsid w:val="00C8586B"/>
    <w:rsid w:val="00C85907"/>
    <w:rsid w:val="00C8598F"/>
    <w:rsid w:val="00C85A1F"/>
    <w:rsid w:val="00C85AEF"/>
    <w:rsid w:val="00C85B17"/>
    <w:rsid w:val="00C85B20"/>
    <w:rsid w:val="00C85BDA"/>
    <w:rsid w:val="00C85C46"/>
    <w:rsid w:val="00C85C78"/>
    <w:rsid w:val="00C85D0A"/>
    <w:rsid w:val="00C85DF8"/>
    <w:rsid w:val="00C85E47"/>
    <w:rsid w:val="00C85E74"/>
    <w:rsid w:val="00C85F61"/>
    <w:rsid w:val="00C86003"/>
    <w:rsid w:val="00C86042"/>
    <w:rsid w:val="00C86047"/>
    <w:rsid w:val="00C86060"/>
    <w:rsid w:val="00C860D7"/>
    <w:rsid w:val="00C8619C"/>
    <w:rsid w:val="00C861C2"/>
    <w:rsid w:val="00C862A2"/>
    <w:rsid w:val="00C862E8"/>
    <w:rsid w:val="00C863B5"/>
    <w:rsid w:val="00C8649A"/>
    <w:rsid w:val="00C864A0"/>
    <w:rsid w:val="00C864B6"/>
    <w:rsid w:val="00C8652F"/>
    <w:rsid w:val="00C865DF"/>
    <w:rsid w:val="00C86682"/>
    <w:rsid w:val="00C867B7"/>
    <w:rsid w:val="00C869B6"/>
    <w:rsid w:val="00C869D0"/>
    <w:rsid w:val="00C86A3F"/>
    <w:rsid w:val="00C86A81"/>
    <w:rsid w:val="00C86AAF"/>
    <w:rsid w:val="00C86AB0"/>
    <w:rsid w:val="00C86BC7"/>
    <w:rsid w:val="00C86BD8"/>
    <w:rsid w:val="00C86C22"/>
    <w:rsid w:val="00C86CCA"/>
    <w:rsid w:val="00C86D7A"/>
    <w:rsid w:val="00C86E11"/>
    <w:rsid w:val="00C86FAB"/>
    <w:rsid w:val="00C870BE"/>
    <w:rsid w:val="00C87195"/>
    <w:rsid w:val="00C871B0"/>
    <w:rsid w:val="00C87265"/>
    <w:rsid w:val="00C873BF"/>
    <w:rsid w:val="00C874F6"/>
    <w:rsid w:val="00C87541"/>
    <w:rsid w:val="00C875AC"/>
    <w:rsid w:val="00C87665"/>
    <w:rsid w:val="00C87685"/>
    <w:rsid w:val="00C876BC"/>
    <w:rsid w:val="00C8776E"/>
    <w:rsid w:val="00C87845"/>
    <w:rsid w:val="00C87846"/>
    <w:rsid w:val="00C878FF"/>
    <w:rsid w:val="00C879D3"/>
    <w:rsid w:val="00C879DA"/>
    <w:rsid w:val="00C87A33"/>
    <w:rsid w:val="00C87B4C"/>
    <w:rsid w:val="00C87BB4"/>
    <w:rsid w:val="00C87C06"/>
    <w:rsid w:val="00C87C36"/>
    <w:rsid w:val="00C87D51"/>
    <w:rsid w:val="00C87E2F"/>
    <w:rsid w:val="00C87F3B"/>
    <w:rsid w:val="00C87FE4"/>
    <w:rsid w:val="00C90008"/>
    <w:rsid w:val="00C9004D"/>
    <w:rsid w:val="00C900AF"/>
    <w:rsid w:val="00C9015C"/>
    <w:rsid w:val="00C90169"/>
    <w:rsid w:val="00C901BE"/>
    <w:rsid w:val="00C901D8"/>
    <w:rsid w:val="00C90229"/>
    <w:rsid w:val="00C90385"/>
    <w:rsid w:val="00C9047A"/>
    <w:rsid w:val="00C904B6"/>
    <w:rsid w:val="00C90528"/>
    <w:rsid w:val="00C90570"/>
    <w:rsid w:val="00C905A8"/>
    <w:rsid w:val="00C905AD"/>
    <w:rsid w:val="00C905F7"/>
    <w:rsid w:val="00C90738"/>
    <w:rsid w:val="00C90803"/>
    <w:rsid w:val="00C9086C"/>
    <w:rsid w:val="00C908BB"/>
    <w:rsid w:val="00C90906"/>
    <w:rsid w:val="00C90944"/>
    <w:rsid w:val="00C90988"/>
    <w:rsid w:val="00C909F0"/>
    <w:rsid w:val="00C90C70"/>
    <w:rsid w:val="00C90D7B"/>
    <w:rsid w:val="00C90E5C"/>
    <w:rsid w:val="00C90EB7"/>
    <w:rsid w:val="00C90F53"/>
    <w:rsid w:val="00C90F6C"/>
    <w:rsid w:val="00C90FC0"/>
    <w:rsid w:val="00C91033"/>
    <w:rsid w:val="00C9104B"/>
    <w:rsid w:val="00C9110D"/>
    <w:rsid w:val="00C911DD"/>
    <w:rsid w:val="00C912DC"/>
    <w:rsid w:val="00C9149E"/>
    <w:rsid w:val="00C9155A"/>
    <w:rsid w:val="00C915CB"/>
    <w:rsid w:val="00C91655"/>
    <w:rsid w:val="00C91680"/>
    <w:rsid w:val="00C917C6"/>
    <w:rsid w:val="00C91823"/>
    <w:rsid w:val="00C918ED"/>
    <w:rsid w:val="00C919F0"/>
    <w:rsid w:val="00C91A22"/>
    <w:rsid w:val="00C91A2D"/>
    <w:rsid w:val="00C91A4E"/>
    <w:rsid w:val="00C91B25"/>
    <w:rsid w:val="00C91B37"/>
    <w:rsid w:val="00C91BEE"/>
    <w:rsid w:val="00C91C85"/>
    <w:rsid w:val="00C91CDF"/>
    <w:rsid w:val="00C91DC6"/>
    <w:rsid w:val="00C91E25"/>
    <w:rsid w:val="00C91F55"/>
    <w:rsid w:val="00C91F95"/>
    <w:rsid w:val="00C92092"/>
    <w:rsid w:val="00C920C8"/>
    <w:rsid w:val="00C9217E"/>
    <w:rsid w:val="00C9224A"/>
    <w:rsid w:val="00C92290"/>
    <w:rsid w:val="00C923BA"/>
    <w:rsid w:val="00C9245E"/>
    <w:rsid w:val="00C92469"/>
    <w:rsid w:val="00C9248D"/>
    <w:rsid w:val="00C9249C"/>
    <w:rsid w:val="00C924B8"/>
    <w:rsid w:val="00C92503"/>
    <w:rsid w:val="00C9258B"/>
    <w:rsid w:val="00C925CD"/>
    <w:rsid w:val="00C925EC"/>
    <w:rsid w:val="00C926AF"/>
    <w:rsid w:val="00C926D5"/>
    <w:rsid w:val="00C926D8"/>
    <w:rsid w:val="00C9272F"/>
    <w:rsid w:val="00C92770"/>
    <w:rsid w:val="00C92784"/>
    <w:rsid w:val="00C92838"/>
    <w:rsid w:val="00C92957"/>
    <w:rsid w:val="00C929F5"/>
    <w:rsid w:val="00C92A60"/>
    <w:rsid w:val="00C92C71"/>
    <w:rsid w:val="00C92D98"/>
    <w:rsid w:val="00C92DE5"/>
    <w:rsid w:val="00C92ED6"/>
    <w:rsid w:val="00C92EFC"/>
    <w:rsid w:val="00C92F98"/>
    <w:rsid w:val="00C93098"/>
    <w:rsid w:val="00C930CB"/>
    <w:rsid w:val="00C931B1"/>
    <w:rsid w:val="00C931F1"/>
    <w:rsid w:val="00C9323C"/>
    <w:rsid w:val="00C9327F"/>
    <w:rsid w:val="00C932BD"/>
    <w:rsid w:val="00C932ED"/>
    <w:rsid w:val="00C932F8"/>
    <w:rsid w:val="00C93391"/>
    <w:rsid w:val="00C93419"/>
    <w:rsid w:val="00C9361E"/>
    <w:rsid w:val="00C9365F"/>
    <w:rsid w:val="00C93676"/>
    <w:rsid w:val="00C9386A"/>
    <w:rsid w:val="00C9395E"/>
    <w:rsid w:val="00C93A7D"/>
    <w:rsid w:val="00C93AF8"/>
    <w:rsid w:val="00C93BE1"/>
    <w:rsid w:val="00C93C48"/>
    <w:rsid w:val="00C93C6F"/>
    <w:rsid w:val="00C93CAB"/>
    <w:rsid w:val="00C93CF9"/>
    <w:rsid w:val="00C93D13"/>
    <w:rsid w:val="00C93D28"/>
    <w:rsid w:val="00C93DA5"/>
    <w:rsid w:val="00C93E2D"/>
    <w:rsid w:val="00C93E5C"/>
    <w:rsid w:val="00C93F20"/>
    <w:rsid w:val="00C94222"/>
    <w:rsid w:val="00C94254"/>
    <w:rsid w:val="00C94307"/>
    <w:rsid w:val="00C943E0"/>
    <w:rsid w:val="00C945C4"/>
    <w:rsid w:val="00C94607"/>
    <w:rsid w:val="00C947AD"/>
    <w:rsid w:val="00C947DE"/>
    <w:rsid w:val="00C9488B"/>
    <w:rsid w:val="00C948A8"/>
    <w:rsid w:val="00C9497F"/>
    <w:rsid w:val="00C94A1E"/>
    <w:rsid w:val="00C94AD7"/>
    <w:rsid w:val="00C94B47"/>
    <w:rsid w:val="00C94B7A"/>
    <w:rsid w:val="00C94BA7"/>
    <w:rsid w:val="00C94BDA"/>
    <w:rsid w:val="00C94BFC"/>
    <w:rsid w:val="00C94C2A"/>
    <w:rsid w:val="00C94CD0"/>
    <w:rsid w:val="00C94D1F"/>
    <w:rsid w:val="00C94D24"/>
    <w:rsid w:val="00C94DC8"/>
    <w:rsid w:val="00C94E49"/>
    <w:rsid w:val="00C94EEA"/>
    <w:rsid w:val="00C94F7B"/>
    <w:rsid w:val="00C94F9C"/>
    <w:rsid w:val="00C9508C"/>
    <w:rsid w:val="00C950F2"/>
    <w:rsid w:val="00C9523B"/>
    <w:rsid w:val="00C952E8"/>
    <w:rsid w:val="00C95359"/>
    <w:rsid w:val="00C953D2"/>
    <w:rsid w:val="00C95430"/>
    <w:rsid w:val="00C95453"/>
    <w:rsid w:val="00C954B4"/>
    <w:rsid w:val="00C954EA"/>
    <w:rsid w:val="00C95550"/>
    <w:rsid w:val="00C9558D"/>
    <w:rsid w:val="00C956DC"/>
    <w:rsid w:val="00C957F1"/>
    <w:rsid w:val="00C959C5"/>
    <w:rsid w:val="00C959C8"/>
    <w:rsid w:val="00C95ADA"/>
    <w:rsid w:val="00C95B26"/>
    <w:rsid w:val="00C95B93"/>
    <w:rsid w:val="00C95BDE"/>
    <w:rsid w:val="00C95BF4"/>
    <w:rsid w:val="00C95C3E"/>
    <w:rsid w:val="00C95C7F"/>
    <w:rsid w:val="00C95C88"/>
    <w:rsid w:val="00C95DB8"/>
    <w:rsid w:val="00C95FF7"/>
    <w:rsid w:val="00C96028"/>
    <w:rsid w:val="00C96037"/>
    <w:rsid w:val="00C961D9"/>
    <w:rsid w:val="00C96231"/>
    <w:rsid w:val="00C9626F"/>
    <w:rsid w:val="00C96292"/>
    <w:rsid w:val="00C962FA"/>
    <w:rsid w:val="00C962FC"/>
    <w:rsid w:val="00C96315"/>
    <w:rsid w:val="00C9631A"/>
    <w:rsid w:val="00C9631C"/>
    <w:rsid w:val="00C96458"/>
    <w:rsid w:val="00C96552"/>
    <w:rsid w:val="00C9656A"/>
    <w:rsid w:val="00C965C9"/>
    <w:rsid w:val="00C9667D"/>
    <w:rsid w:val="00C966BC"/>
    <w:rsid w:val="00C966BF"/>
    <w:rsid w:val="00C96769"/>
    <w:rsid w:val="00C96825"/>
    <w:rsid w:val="00C969BA"/>
    <w:rsid w:val="00C969CD"/>
    <w:rsid w:val="00C96AD2"/>
    <w:rsid w:val="00C96C4F"/>
    <w:rsid w:val="00C96C76"/>
    <w:rsid w:val="00C96D1A"/>
    <w:rsid w:val="00C96E65"/>
    <w:rsid w:val="00C96E77"/>
    <w:rsid w:val="00C96EC8"/>
    <w:rsid w:val="00C96FB9"/>
    <w:rsid w:val="00C96FC2"/>
    <w:rsid w:val="00C9704C"/>
    <w:rsid w:val="00C97072"/>
    <w:rsid w:val="00C97094"/>
    <w:rsid w:val="00C970DE"/>
    <w:rsid w:val="00C97173"/>
    <w:rsid w:val="00C971B9"/>
    <w:rsid w:val="00C9723C"/>
    <w:rsid w:val="00C9726D"/>
    <w:rsid w:val="00C972A2"/>
    <w:rsid w:val="00C973BE"/>
    <w:rsid w:val="00C97449"/>
    <w:rsid w:val="00C97493"/>
    <w:rsid w:val="00C9763C"/>
    <w:rsid w:val="00C97756"/>
    <w:rsid w:val="00C97762"/>
    <w:rsid w:val="00C97796"/>
    <w:rsid w:val="00C9782F"/>
    <w:rsid w:val="00C978E8"/>
    <w:rsid w:val="00C97903"/>
    <w:rsid w:val="00C97AC9"/>
    <w:rsid w:val="00C97AE7"/>
    <w:rsid w:val="00C97B14"/>
    <w:rsid w:val="00C97B6B"/>
    <w:rsid w:val="00C97BF6"/>
    <w:rsid w:val="00C97DEE"/>
    <w:rsid w:val="00C97EAD"/>
    <w:rsid w:val="00C97EBB"/>
    <w:rsid w:val="00C97F07"/>
    <w:rsid w:val="00C97F44"/>
    <w:rsid w:val="00C97F9C"/>
    <w:rsid w:val="00C97FA5"/>
    <w:rsid w:val="00C97FCF"/>
    <w:rsid w:val="00CA00E9"/>
    <w:rsid w:val="00CA012F"/>
    <w:rsid w:val="00CA01B5"/>
    <w:rsid w:val="00CA0205"/>
    <w:rsid w:val="00CA024B"/>
    <w:rsid w:val="00CA029C"/>
    <w:rsid w:val="00CA0334"/>
    <w:rsid w:val="00CA0382"/>
    <w:rsid w:val="00CA03D5"/>
    <w:rsid w:val="00CA042E"/>
    <w:rsid w:val="00CA04E2"/>
    <w:rsid w:val="00CA052C"/>
    <w:rsid w:val="00CA054A"/>
    <w:rsid w:val="00CA05B8"/>
    <w:rsid w:val="00CA0628"/>
    <w:rsid w:val="00CA0630"/>
    <w:rsid w:val="00CA064B"/>
    <w:rsid w:val="00CA06B7"/>
    <w:rsid w:val="00CA06FF"/>
    <w:rsid w:val="00CA077D"/>
    <w:rsid w:val="00CA0799"/>
    <w:rsid w:val="00CA090D"/>
    <w:rsid w:val="00CA090E"/>
    <w:rsid w:val="00CA09CB"/>
    <w:rsid w:val="00CA0AB6"/>
    <w:rsid w:val="00CA0B29"/>
    <w:rsid w:val="00CA0B73"/>
    <w:rsid w:val="00CA0BB0"/>
    <w:rsid w:val="00CA0C07"/>
    <w:rsid w:val="00CA0C25"/>
    <w:rsid w:val="00CA0D38"/>
    <w:rsid w:val="00CA0F33"/>
    <w:rsid w:val="00CA0F6E"/>
    <w:rsid w:val="00CA0F96"/>
    <w:rsid w:val="00CA0FE1"/>
    <w:rsid w:val="00CA1021"/>
    <w:rsid w:val="00CA1059"/>
    <w:rsid w:val="00CA1089"/>
    <w:rsid w:val="00CA10EA"/>
    <w:rsid w:val="00CA10F8"/>
    <w:rsid w:val="00CA12F0"/>
    <w:rsid w:val="00CA13B5"/>
    <w:rsid w:val="00CA1439"/>
    <w:rsid w:val="00CA1465"/>
    <w:rsid w:val="00CA14D6"/>
    <w:rsid w:val="00CA1533"/>
    <w:rsid w:val="00CA1599"/>
    <w:rsid w:val="00CA1609"/>
    <w:rsid w:val="00CA1655"/>
    <w:rsid w:val="00CA16B9"/>
    <w:rsid w:val="00CA189B"/>
    <w:rsid w:val="00CA1A7A"/>
    <w:rsid w:val="00CA1C2E"/>
    <w:rsid w:val="00CA1C3F"/>
    <w:rsid w:val="00CA1C59"/>
    <w:rsid w:val="00CA1D9F"/>
    <w:rsid w:val="00CA1DAF"/>
    <w:rsid w:val="00CA1E59"/>
    <w:rsid w:val="00CA1E82"/>
    <w:rsid w:val="00CA1EC6"/>
    <w:rsid w:val="00CA1F54"/>
    <w:rsid w:val="00CA1F65"/>
    <w:rsid w:val="00CA1F6D"/>
    <w:rsid w:val="00CA2026"/>
    <w:rsid w:val="00CA210B"/>
    <w:rsid w:val="00CA211B"/>
    <w:rsid w:val="00CA212D"/>
    <w:rsid w:val="00CA2133"/>
    <w:rsid w:val="00CA218F"/>
    <w:rsid w:val="00CA228B"/>
    <w:rsid w:val="00CA22C9"/>
    <w:rsid w:val="00CA231C"/>
    <w:rsid w:val="00CA2370"/>
    <w:rsid w:val="00CA237E"/>
    <w:rsid w:val="00CA23EB"/>
    <w:rsid w:val="00CA242E"/>
    <w:rsid w:val="00CA245D"/>
    <w:rsid w:val="00CA2587"/>
    <w:rsid w:val="00CA25C7"/>
    <w:rsid w:val="00CA2644"/>
    <w:rsid w:val="00CA26BE"/>
    <w:rsid w:val="00CA275D"/>
    <w:rsid w:val="00CA2784"/>
    <w:rsid w:val="00CA28BD"/>
    <w:rsid w:val="00CA28D3"/>
    <w:rsid w:val="00CA28DB"/>
    <w:rsid w:val="00CA28EA"/>
    <w:rsid w:val="00CA294E"/>
    <w:rsid w:val="00CA29A7"/>
    <w:rsid w:val="00CA2A6D"/>
    <w:rsid w:val="00CA2B5E"/>
    <w:rsid w:val="00CA2CDC"/>
    <w:rsid w:val="00CA2F38"/>
    <w:rsid w:val="00CA2F91"/>
    <w:rsid w:val="00CA2FCA"/>
    <w:rsid w:val="00CA30C7"/>
    <w:rsid w:val="00CA30E4"/>
    <w:rsid w:val="00CA3161"/>
    <w:rsid w:val="00CA31CA"/>
    <w:rsid w:val="00CA31E1"/>
    <w:rsid w:val="00CA31EA"/>
    <w:rsid w:val="00CA31FD"/>
    <w:rsid w:val="00CA3484"/>
    <w:rsid w:val="00CA3527"/>
    <w:rsid w:val="00CA35D9"/>
    <w:rsid w:val="00CA364B"/>
    <w:rsid w:val="00CA36A2"/>
    <w:rsid w:val="00CA3923"/>
    <w:rsid w:val="00CA3932"/>
    <w:rsid w:val="00CA398C"/>
    <w:rsid w:val="00CA3A34"/>
    <w:rsid w:val="00CA3A50"/>
    <w:rsid w:val="00CA3ACD"/>
    <w:rsid w:val="00CA3AE2"/>
    <w:rsid w:val="00CA3AF1"/>
    <w:rsid w:val="00CA3DFD"/>
    <w:rsid w:val="00CA3EB3"/>
    <w:rsid w:val="00CA3EB7"/>
    <w:rsid w:val="00CA3F25"/>
    <w:rsid w:val="00CA4024"/>
    <w:rsid w:val="00CA4227"/>
    <w:rsid w:val="00CA4245"/>
    <w:rsid w:val="00CA42C9"/>
    <w:rsid w:val="00CA4347"/>
    <w:rsid w:val="00CA43F6"/>
    <w:rsid w:val="00CA449A"/>
    <w:rsid w:val="00CA449B"/>
    <w:rsid w:val="00CA44F7"/>
    <w:rsid w:val="00CA45AF"/>
    <w:rsid w:val="00CA45B5"/>
    <w:rsid w:val="00CA45E2"/>
    <w:rsid w:val="00CA4655"/>
    <w:rsid w:val="00CA46AD"/>
    <w:rsid w:val="00CA46CC"/>
    <w:rsid w:val="00CA46E6"/>
    <w:rsid w:val="00CA4731"/>
    <w:rsid w:val="00CA4753"/>
    <w:rsid w:val="00CA4776"/>
    <w:rsid w:val="00CA47D5"/>
    <w:rsid w:val="00CA4845"/>
    <w:rsid w:val="00CA49DA"/>
    <w:rsid w:val="00CA4AD2"/>
    <w:rsid w:val="00CA4AE8"/>
    <w:rsid w:val="00CA4B6B"/>
    <w:rsid w:val="00CA4BF9"/>
    <w:rsid w:val="00CA4D31"/>
    <w:rsid w:val="00CA4D9C"/>
    <w:rsid w:val="00CA4DE7"/>
    <w:rsid w:val="00CA4E1F"/>
    <w:rsid w:val="00CA4E3F"/>
    <w:rsid w:val="00CA4E6D"/>
    <w:rsid w:val="00CA4E7D"/>
    <w:rsid w:val="00CA4E8B"/>
    <w:rsid w:val="00CA4F60"/>
    <w:rsid w:val="00CA5033"/>
    <w:rsid w:val="00CA50F3"/>
    <w:rsid w:val="00CA5254"/>
    <w:rsid w:val="00CA526F"/>
    <w:rsid w:val="00CA52B3"/>
    <w:rsid w:val="00CA52E5"/>
    <w:rsid w:val="00CA5325"/>
    <w:rsid w:val="00CA549F"/>
    <w:rsid w:val="00CA5531"/>
    <w:rsid w:val="00CA5566"/>
    <w:rsid w:val="00CA558F"/>
    <w:rsid w:val="00CA5634"/>
    <w:rsid w:val="00CA564D"/>
    <w:rsid w:val="00CA568E"/>
    <w:rsid w:val="00CA56A2"/>
    <w:rsid w:val="00CA56AB"/>
    <w:rsid w:val="00CA5729"/>
    <w:rsid w:val="00CA5755"/>
    <w:rsid w:val="00CA5757"/>
    <w:rsid w:val="00CA576B"/>
    <w:rsid w:val="00CA577C"/>
    <w:rsid w:val="00CA584F"/>
    <w:rsid w:val="00CA5938"/>
    <w:rsid w:val="00CA5971"/>
    <w:rsid w:val="00CA59D8"/>
    <w:rsid w:val="00CA5A9E"/>
    <w:rsid w:val="00CA5AE5"/>
    <w:rsid w:val="00CA5B49"/>
    <w:rsid w:val="00CA5BEA"/>
    <w:rsid w:val="00CA5C15"/>
    <w:rsid w:val="00CA5C89"/>
    <w:rsid w:val="00CA5CD7"/>
    <w:rsid w:val="00CA5CD8"/>
    <w:rsid w:val="00CA5DDE"/>
    <w:rsid w:val="00CA5FB4"/>
    <w:rsid w:val="00CA60B1"/>
    <w:rsid w:val="00CA6114"/>
    <w:rsid w:val="00CA61BC"/>
    <w:rsid w:val="00CA628A"/>
    <w:rsid w:val="00CA64C2"/>
    <w:rsid w:val="00CA64DA"/>
    <w:rsid w:val="00CA65A5"/>
    <w:rsid w:val="00CA675A"/>
    <w:rsid w:val="00CA6786"/>
    <w:rsid w:val="00CA67CA"/>
    <w:rsid w:val="00CA68A7"/>
    <w:rsid w:val="00CA68B8"/>
    <w:rsid w:val="00CA6910"/>
    <w:rsid w:val="00CA69CE"/>
    <w:rsid w:val="00CA6E19"/>
    <w:rsid w:val="00CA6E6E"/>
    <w:rsid w:val="00CA6F1B"/>
    <w:rsid w:val="00CA6FC1"/>
    <w:rsid w:val="00CA708D"/>
    <w:rsid w:val="00CA70D0"/>
    <w:rsid w:val="00CA7161"/>
    <w:rsid w:val="00CA71C7"/>
    <w:rsid w:val="00CA72AD"/>
    <w:rsid w:val="00CA7306"/>
    <w:rsid w:val="00CA733E"/>
    <w:rsid w:val="00CA7398"/>
    <w:rsid w:val="00CA744E"/>
    <w:rsid w:val="00CA7487"/>
    <w:rsid w:val="00CA756D"/>
    <w:rsid w:val="00CA75BA"/>
    <w:rsid w:val="00CA75E9"/>
    <w:rsid w:val="00CA77A8"/>
    <w:rsid w:val="00CA7872"/>
    <w:rsid w:val="00CA78E0"/>
    <w:rsid w:val="00CA78FC"/>
    <w:rsid w:val="00CA79B3"/>
    <w:rsid w:val="00CA7A6E"/>
    <w:rsid w:val="00CA7AD1"/>
    <w:rsid w:val="00CA7B5E"/>
    <w:rsid w:val="00CA7BCB"/>
    <w:rsid w:val="00CA7CD3"/>
    <w:rsid w:val="00CA7CE4"/>
    <w:rsid w:val="00CA7CF6"/>
    <w:rsid w:val="00CA7D73"/>
    <w:rsid w:val="00CA7D7E"/>
    <w:rsid w:val="00CA7D84"/>
    <w:rsid w:val="00CA7E40"/>
    <w:rsid w:val="00CA7F34"/>
    <w:rsid w:val="00CA7F72"/>
    <w:rsid w:val="00CB00AB"/>
    <w:rsid w:val="00CB010D"/>
    <w:rsid w:val="00CB01ED"/>
    <w:rsid w:val="00CB0242"/>
    <w:rsid w:val="00CB0367"/>
    <w:rsid w:val="00CB03D4"/>
    <w:rsid w:val="00CB045D"/>
    <w:rsid w:val="00CB048C"/>
    <w:rsid w:val="00CB04BC"/>
    <w:rsid w:val="00CB04D0"/>
    <w:rsid w:val="00CB051E"/>
    <w:rsid w:val="00CB0604"/>
    <w:rsid w:val="00CB0659"/>
    <w:rsid w:val="00CB06D6"/>
    <w:rsid w:val="00CB0773"/>
    <w:rsid w:val="00CB07B1"/>
    <w:rsid w:val="00CB07D0"/>
    <w:rsid w:val="00CB08B7"/>
    <w:rsid w:val="00CB08BF"/>
    <w:rsid w:val="00CB08D1"/>
    <w:rsid w:val="00CB08F9"/>
    <w:rsid w:val="00CB0AEA"/>
    <w:rsid w:val="00CB0B8C"/>
    <w:rsid w:val="00CB0BE7"/>
    <w:rsid w:val="00CB0C1A"/>
    <w:rsid w:val="00CB0C9C"/>
    <w:rsid w:val="00CB0D1D"/>
    <w:rsid w:val="00CB0DE5"/>
    <w:rsid w:val="00CB0DF1"/>
    <w:rsid w:val="00CB0E16"/>
    <w:rsid w:val="00CB0E43"/>
    <w:rsid w:val="00CB0E61"/>
    <w:rsid w:val="00CB0F60"/>
    <w:rsid w:val="00CB0FD4"/>
    <w:rsid w:val="00CB0FE3"/>
    <w:rsid w:val="00CB1014"/>
    <w:rsid w:val="00CB10BB"/>
    <w:rsid w:val="00CB1133"/>
    <w:rsid w:val="00CB11C4"/>
    <w:rsid w:val="00CB11FF"/>
    <w:rsid w:val="00CB1318"/>
    <w:rsid w:val="00CB1354"/>
    <w:rsid w:val="00CB14E4"/>
    <w:rsid w:val="00CB1531"/>
    <w:rsid w:val="00CB1559"/>
    <w:rsid w:val="00CB155E"/>
    <w:rsid w:val="00CB15E6"/>
    <w:rsid w:val="00CB1651"/>
    <w:rsid w:val="00CB1671"/>
    <w:rsid w:val="00CB17F8"/>
    <w:rsid w:val="00CB183A"/>
    <w:rsid w:val="00CB19AA"/>
    <w:rsid w:val="00CB1A52"/>
    <w:rsid w:val="00CB1ADF"/>
    <w:rsid w:val="00CB1AF8"/>
    <w:rsid w:val="00CB1AFF"/>
    <w:rsid w:val="00CB1BAA"/>
    <w:rsid w:val="00CB1BBB"/>
    <w:rsid w:val="00CB1BE2"/>
    <w:rsid w:val="00CB1C0A"/>
    <w:rsid w:val="00CB1C35"/>
    <w:rsid w:val="00CB1CB0"/>
    <w:rsid w:val="00CB1CF5"/>
    <w:rsid w:val="00CB1D5E"/>
    <w:rsid w:val="00CB1D64"/>
    <w:rsid w:val="00CB1FBB"/>
    <w:rsid w:val="00CB20AD"/>
    <w:rsid w:val="00CB21A7"/>
    <w:rsid w:val="00CB21DC"/>
    <w:rsid w:val="00CB21E2"/>
    <w:rsid w:val="00CB22AC"/>
    <w:rsid w:val="00CB22D2"/>
    <w:rsid w:val="00CB22DD"/>
    <w:rsid w:val="00CB233A"/>
    <w:rsid w:val="00CB2392"/>
    <w:rsid w:val="00CB23D5"/>
    <w:rsid w:val="00CB23E0"/>
    <w:rsid w:val="00CB2419"/>
    <w:rsid w:val="00CB24D6"/>
    <w:rsid w:val="00CB24EF"/>
    <w:rsid w:val="00CB27B4"/>
    <w:rsid w:val="00CB28A6"/>
    <w:rsid w:val="00CB28C0"/>
    <w:rsid w:val="00CB2AAB"/>
    <w:rsid w:val="00CB2AE4"/>
    <w:rsid w:val="00CB2B23"/>
    <w:rsid w:val="00CB2B36"/>
    <w:rsid w:val="00CB2B45"/>
    <w:rsid w:val="00CB2C34"/>
    <w:rsid w:val="00CB2C39"/>
    <w:rsid w:val="00CB2C64"/>
    <w:rsid w:val="00CB2CB1"/>
    <w:rsid w:val="00CB2DB4"/>
    <w:rsid w:val="00CB2DBE"/>
    <w:rsid w:val="00CB2E03"/>
    <w:rsid w:val="00CB2E29"/>
    <w:rsid w:val="00CB2E39"/>
    <w:rsid w:val="00CB2F7B"/>
    <w:rsid w:val="00CB2F8F"/>
    <w:rsid w:val="00CB30C2"/>
    <w:rsid w:val="00CB3191"/>
    <w:rsid w:val="00CB3284"/>
    <w:rsid w:val="00CB32D2"/>
    <w:rsid w:val="00CB3321"/>
    <w:rsid w:val="00CB33F6"/>
    <w:rsid w:val="00CB342C"/>
    <w:rsid w:val="00CB3534"/>
    <w:rsid w:val="00CB3555"/>
    <w:rsid w:val="00CB35C8"/>
    <w:rsid w:val="00CB3665"/>
    <w:rsid w:val="00CB37FE"/>
    <w:rsid w:val="00CB380B"/>
    <w:rsid w:val="00CB387C"/>
    <w:rsid w:val="00CB3884"/>
    <w:rsid w:val="00CB39CF"/>
    <w:rsid w:val="00CB3AB8"/>
    <w:rsid w:val="00CB3ACB"/>
    <w:rsid w:val="00CB3BBF"/>
    <w:rsid w:val="00CB3C16"/>
    <w:rsid w:val="00CB3D41"/>
    <w:rsid w:val="00CB3D9A"/>
    <w:rsid w:val="00CB3DAD"/>
    <w:rsid w:val="00CB3DF3"/>
    <w:rsid w:val="00CB3E1E"/>
    <w:rsid w:val="00CB3E2C"/>
    <w:rsid w:val="00CB3E71"/>
    <w:rsid w:val="00CB4061"/>
    <w:rsid w:val="00CB40BA"/>
    <w:rsid w:val="00CB422F"/>
    <w:rsid w:val="00CB4274"/>
    <w:rsid w:val="00CB42CE"/>
    <w:rsid w:val="00CB42DD"/>
    <w:rsid w:val="00CB432F"/>
    <w:rsid w:val="00CB437B"/>
    <w:rsid w:val="00CB444F"/>
    <w:rsid w:val="00CB4473"/>
    <w:rsid w:val="00CB44C6"/>
    <w:rsid w:val="00CB4508"/>
    <w:rsid w:val="00CB4588"/>
    <w:rsid w:val="00CB458C"/>
    <w:rsid w:val="00CB45E5"/>
    <w:rsid w:val="00CB465E"/>
    <w:rsid w:val="00CB467B"/>
    <w:rsid w:val="00CB46E0"/>
    <w:rsid w:val="00CB4857"/>
    <w:rsid w:val="00CB48A4"/>
    <w:rsid w:val="00CB48AE"/>
    <w:rsid w:val="00CB4923"/>
    <w:rsid w:val="00CB496A"/>
    <w:rsid w:val="00CB4987"/>
    <w:rsid w:val="00CB49BC"/>
    <w:rsid w:val="00CB49E8"/>
    <w:rsid w:val="00CB49EF"/>
    <w:rsid w:val="00CB4A0F"/>
    <w:rsid w:val="00CB4A40"/>
    <w:rsid w:val="00CB4C0A"/>
    <w:rsid w:val="00CB4C15"/>
    <w:rsid w:val="00CB4C17"/>
    <w:rsid w:val="00CB4CE5"/>
    <w:rsid w:val="00CB4E43"/>
    <w:rsid w:val="00CB4EA7"/>
    <w:rsid w:val="00CB4FAC"/>
    <w:rsid w:val="00CB5147"/>
    <w:rsid w:val="00CB514A"/>
    <w:rsid w:val="00CB516A"/>
    <w:rsid w:val="00CB51B9"/>
    <w:rsid w:val="00CB522B"/>
    <w:rsid w:val="00CB524D"/>
    <w:rsid w:val="00CB5344"/>
    <w:rsid w:val="00CB53C1"/>
    <w:rsid w:val="00CB54F5"/>
    <w:rsid w:val="00CB553A"/>
    <w:rsid w:val="00CB554C"/>
    <w:rsid w:val="00CB580B"/>
    <w:rsid w:val="00CB5852"/>
    <w:rsid w:val="00CB5B01"/>
    <w:rsid w:val="00CB5B6A"/>
    <w:rsid w:val="00CB5BE3"/>
    <w:rsid w:val="00CB5BE6"/>
    <w:rsid w:val="00CB5C13"/>
    <w:rsid w:val="00CB5C26"/>
    <w:rsid w:val="00CB5C59"/>
    <w:rsid w:val="00CB5CAB"/>
    <w:rsid w:val="00CB5E1C"/>
    <w:rsid w:val="00CB5E4C"/>
    <w:rsid w:val="00CB6196"/>
    <w:rsid w:val="00CB6204"/>
    <w:rsid w:val="00CB625A"/>
    <w:rsid w:val="00CB62CF"/>
    <w:rsid w:val="00CB62E1"/>
    <w:rsid w:val="00CB63C8"/>
    <w:rsid w:val="00CB63F6"/>
    <w:rsid w:val="00CB6468"/>
    <w:rsid w:val="00CB64AA"/>
    <w:rsid w:val="00CB6530"/>
    <w:rsid w:val="00CB6622"/>
    <w:rsid w:val="00CB66FB"/>
    <w:rsid w:val="00CB673D"/>
    <w:rsid w:val="00CB6751"/>
    <w:rsid w:val="00CB68F3"/>
    <w:rsid w:val="00CB69A6"/>
    <w:rsid w:val="00CB69EB"/>
    <w:rsid w:val="00CB69F5"/>
    <w:rsid w:val="00CB6A0E"/>
    <w:rsid w:val="00CB6A82"/>
    <w:rsid w:val="00CB6ABA"/>
    <w:rsid w:val="00CB6B3A"/>
    <w:rsid w:val="00CB6B8B"/>
    <w:rsid w:val="00CB6BFF"/>
    <w:rsid w:val="00CB6C4D"/>
    <w:rsid w:val="00CB6C7D"/>
    <w:rsid w:val="00CB6CA7"/>
    <w:rsid w:val="00CB6CAF"/>
    <w:rsid w:val="00CB6F4B"/>
    <w:rsid w:val="00CB6FAE"/>
    <w:rsid w:val="00CB70E0"/>
    <w:rsid w:val="00CB711A"/>
    <w:rsid w:val="00CB7141"/>
    <w:rsid w:val="00CB716D"/>
    <w:rsid w:val="00CB7216"/>
    <w:rsid w:val="00CB727E"/>
    <w:rsid w:val="00CB72CE"/>
    <w:rsid w:val="00CB7345"/>
    <w:rsid w:val="00CB7353"/>
    <w:rsid w:val="00CB7367"/>
    <w:rsid w:val="00CB7376"/>
    <w:rsid w:val="00CB73CF"/>
    <w:rsid w:val="00CB73E2"/>
    <w:rsid w:val="00CB7436"/>
    <w:rsid w:val="00CB74A1"/>
    <w:rsid w:val="00CB7548"/>
    <w:rsid w:val="00CB766A"/>
    <w:rsid w:val="00CB7706"/>
    <w:rsid w:val="00CB782B"/>
    <w:rsid w:val="00CB784C"/>
    <w:rsid w:val="00CB788B"/>
    <w:rsid w:val="00CB788D"/>
    <w:rsid w:val="00CB78B3"/>
    <w:rsid w:val="00CB78B9"/>
    <w:rsid w:val="00CB78F7"/>
    <w:rsid w:val="00CB7920"/>
    <w:rsid w:val="00CB79A3"/>
    <w:rsid w:val="00CB79D3"/>
    <w:rsid w:val="00CB7A34"/>
    <w:rsid w:val="00CB7A62"/>
    <w:rsid w:val="00CB7AC3"/>
    <w:rsid w:val="00CB7AF2"/>
    <w:rsid w:val="00CB7C41"/>
    <w:rsid w:val="00CB7C55"/>
    <w:rsid w:val="00CB7D51"/>
    <w:rsid w:val="00CB7D70"/>
    <w:rsid w:val="00CB7DD7"/>
    <w:rsid w:val="00CB7DF9"/>
    <w:rsid w:val="00CB7FA8"/>
    <w:rsid w:val="00CB7FF4"/>
    <w:rsid w:val="00CC00AE"/>
    <w:rsid w:val="00CC010F"/>
    <w:rsid w:val="00CC02B5"/>
    <w:rsid w:val="00CC02B9"/>
    <w:rsid w:val="00CC02EB"/>
    <w:rsid w:val="00CC03A5"/>
    <w:rsid w:val="00CC041F"/>
    <w:rsid w:val="00CC04AE"/>
    <w:rsid w:val="00CC04FD"/>
    <w:rsid w:val="00CC0529"/>
    <w:rsid w:val="00CC0554"/>
    <w:rsid w:val="00CC05C6"/>
    <w:rsid w:val="00CC05F5"/>
    <w:rsid w:val="00CC060F"/>
    <w:rsid w:val="00CC0626"/>
    <w:rsid w:val="00CC0655"/>
    <w:rsid w:val="00CC0759"/>
    <w:rsid w:val="00CC0795"/>
    <w:rsid w:val="00CC07A9"/>
    <w:rsid w:val="00CC0807"/>
    <w:rsid w:val="00CC0837"/>
    <w:rsid w:val="00CC08AF"/>
    <w:rsid w:val="00CC0949"/>
    <w:rsid w:val="00CC098D"/>
    <w:rsid w:val="00CC0A2D"/>
    <w:rsid w:val="00CC0A7D"/>
    <w:rsid w:val="00CC0B05"/>
    <w:rsid w:val="00CC0B1A"/>
    <w:rsid w:val="00CC0B45"/>
    <w:rsid w:val="00CC0BDD"/>
    <w:rsid w:val="00CC0C1C"/>
    <w:rsid w:val="00CC0CEB"/>
    <w:rsid w:val="00CC0D3E"/>
    <w:rsid w:val="00CC0E8C"/>
    <w:rsid w:val="00CC0ED5"/>
    <w:rsid w:val="00CC0F35"/>
    <w:rsid w:val="00CC0F8D"/>
    <w:rsid w:val="00CC0F9F"/>
    <w:rsid w:val="00CC0FB7"/>
    <w:rsid w:val="00CC0FBC"/>
    <w:rsid w:val="00CC0FCC"/>
    <w:rsid w:val="00CC102E"/>
    <w:rsid w:val="00CC1091"/>
    <w:rsid w:val="00CC1094"/>
    <w:rsid w:val="00CC10EB"/>
    <w:rsid w:val="00CC11C1"/>
    <w:rsid w:val="00CC1337"/>
    <w:rsid w:val="00CC1370"/>
    <w:rsid w:val="00CC1380"/>
    <w:rsid w:val="00CC1415"/>
    <w:rsid w:val="00CC146D"/>
    <w:rsid w:val="00CC152D"/>
    <w:rsid w:val="00CC1534"/>
    <w:rsid w:val="00CC1594"/>
    <w:rsid w:val="00CC16A2"/>
    <w:rsid w:val="00CC171B"/>
    <w:rsid w:val="00CC1756"/>
    <w:rsid w:val="00CC175C"/>
    <w:rsid w:val="00CC1789"/>
    <w:rsid w:val="00CC1799"/>
    <w:rsid w:val="00CC1897"/>
    <w:rsid w:val="00CC18F5"/>
    <w:rsid w:val="00CC1AEE"/>
    <w:rsid w:val="00CC1BA6"/>
    <w:rsid w:val="00CC1C09"/>
    <w:rsid w:val="00CC1C56"/>
    <w:rsid w:val="00CC1E39"/>
    <w:rsid w:val="00CC1ECF"/>
    <w:rsid w:val="00CC1F4D"/>
    <w:rsid w:val="00CC205A"/>
    <w:rsid w:val="00CC2098"/>
    <w:rsid w:val="00CC21B8"/>
    <w:rsid w:val="00CC21B9"/>
    <w:rsid w:val="00CC21D5"/>
    <w:rsid w:val="00CC21E9"/>
    <w:rsid w:val="00CC22EB"/>
    <w:rsid w:val="00CC231D"/>
    <w:rsid w:val="00CC231F"/>
    <w:rsid w:val="00CC2358"/>
    <w:rsid w:val="00CC237F"/>
    <w:rsid w:val="00CC2399"/>
    <w:rsid w:val="00CC23BA"/>
    <w:rsid w:val="00CC2406"/>
    <w:rsid w:val="00CC2419"/>
    <w:rsid w:val="00CC2432"/>
    <w:rsid w:val="00CC244A"/>
    <w:rsid w:val="00CC24B1"/>
    <w:rsid w:val="00CC2604"/>
    <w:rsid w:val="00CC2613"/>
    <w:rsid w:val="00CC2633"/>
    <w:rsid w:val="00CC263F"/>
    <w:rsid w:val="00CC2641"/>
    <w:rsid w:val="00CC26DA"/>
    <w:rsid w:val="00CC26E8"/>
    <w:rsid w:val="00CC29B3"/>
    <w:rsid w:val="00CC29C5"/>
    <w:rsid w:val="00CC29CE"/>
    <w:rsid w:val="00CC29ED"/>
    <w:rsid w:val="00CC2A22"/>
    <w:rsid w:val="00CC2BA0"/>
    <w:rsid w:val="00CC2BAB"/>
    <w:rsid w:val="00CC2C00"/>
    <w:rsid w:val="00CC2C02"/>
    <w:rsid w:val="00CC2C23"/>
    <w:rsid w:val="00CC2C4D"/>
    <w:rsid w:val="00CC2C70"/>
    <w:rsid w:val="00CC2CB6"/>
    <w:rsid w:val="00CC2CC8"/>
    <w:rsid w:val="00CC2D14"/>
    <w:rsid w:val="00CC2DF3"/>
    <w:rsid w:val="00CC2ECD"/>
    <w:rsid w:val="00CC2F82"/>
    <w:rsid w:val="00CC2FCB"/>
    <w:rsid w:val="00CC2FDC"/>
    <w:rsid w:val="00CC3016"/>
    <w:rsid w:val="00CC322F"/>
    <w:rsid w:val="00CC3370"/>
    <w:rsid w:val="00CC3546"/>
    <w:rsid w:val="00CC3575"/>
    <w:rsid w:val="00CC359E"/>
    <w:rsid w:val="00CC35E5"/>
    <w:rsid w:val="00CC3618"/>
    <w:rsid w:val="00CC3695"/>
    <w:rsid w:val="00CC36E8"/>
    <w:rsid w:val="00CC379B"/>
    <w:rsid w:val="00CC37C8"/>
    <w:rsid w:val="00CC3828"/>
    <w:rsid w:val="00CC3913"/>
    <w:rsid w:val="00CC3956"/>
    <w:rsid w:val="00CC39AB"/>
    <w:rsid w:val="00CC39CF"/>
    <w:rsid w:val="00CC3BC3"/>
    <w:rsid w:val="00CC3D40"/>
    <w:rsid w:val="00CC3D60"/>
    <w:rsid w:val="00CC3DAE"/>
    <w:rsid w:val="00CC3E97"/>
    <w:rsid w:val="00CC3F09"/>
    <w:rsid w:val="00CC3F0D"/>
    <w:rsid w:val="00CC3F8A"/>
    <w:rsid w:val="00CC3FCB"/>
    <w:rsid w:val="00CC4009"/>
    <w:rsid w:val="00CC4064"/>
    <w:rsid w:val="00CC40C6"/>
    <w:rsid w:val="00CC410A"/>
    <w:rsid w:val="00CC413D"/>
    <w:rsid w:val="00CC416D"/>
    <w:rsid w:val="00CC41AE"/>
    <w:rsid w:val="00CC420F"/>
    <w:rsid w:val="00CC4246"/>
    <w:rsid w:val="00CC4343"/>
    <w:rsid w:val="00CC4356"/>
    <w:rsid w:val="00CC4360"/>
    <w:rsid w:val="00CC439B"/>
    <w:rsid w:val="00CC4436"/>
    <w:rsid w:val="00CC44AA"/>
    <w:rsid w:val="00CC4546"/>
    <w:rsid w:val="00CC45D9"/>
    <w:rsid w:val="00CC46E4"/>
    <w:rsid w:val="00CC47CE"/>
    <w:rsid w:val="00CC4815"/>
    <w:rsid w:val="00CC483A"/>
    <w:rsid w:val="00CC49F1"/>
    <w:rsid w:val="00CC4A60"/>
    <w:rsid w:val="00CC4AC4"/>
    <w:rsid w:val="00CC4BC1"/>
    <w:rsid w:val="00CC4C7E"/>
    <w:rsid w:val="00CC4CB8"/>
    <w:rsid w:val="00CC4D74"/>
    <w:rsid w:val="00CC4DB2"/>
    <w:rsid w:val="00CC4E34"/>
    <w:rsid w:val="00CC4FFB"/>
    <w:rsid w:val="00CC524B"/>
    <w:rsid w:val="00CC5284"/>
    <w:rsid w:val="00CC53BB"/>
    <w:rsid w:val="00CC53D5"/>
    <w:rsid w:val="00CC549F"/>
    <w:rsid w:val="00CC54AD"/>
    <w:rsid w:val="00CC54E2"/>
    <w:rsid w:val="00CC560E"/>
    <w:rsid w:val="00CC562C"/>
    <w:rsid w:val="00CC5746"/>
    <w:rsid w:val="00CC574D"/>
    <w:rsid w:val="00CC57F7"/>
    <w:rsid w:val="00CC58EC"/>
    <w:rsid w:val="00CC592F"/>
    <w:rsid w:val="00CC59AF"/>
    <w:rsid w:val="00CC5A43"/>
    <w:rsid w:val="00CC5A64"/>
    <w:rsid w:val="00CC5AB4"/>
    <w:rsid w:val="00CC5BB7"/>
    <w:rsid w:val="00CC5CB8"/>
    <w:rsid w:val="00CC5D78"/>
    <w:rsid w:val="00CC5DC2"/>
    <w:rsid w:val="00CC5DCD"/>
    <w:rsid w:val="00CC5DE0"/>
    <w:rsid w:val="00CC5DF2"/>
    <w:rsid w:val="00CC5E0F"/>
    <w:rsid w:val="00CC5EE6"/>
    <w:rsid w:val="00CC5F57"/>
    <w:rsid w:val="00CC5FB3"/>
    <w:rsid w:val="00CC6026"/>
    <w:rsid w:val="00CC60E6"/>
    <w:rsid w:val="00CC611E"/>
    <w:rsid w:val="00CC614C"/>
    <w:rsid w:val="00CC6198"/>
    <w:rsid w:val="00CC61DD"/>
    <w:rsid w:val="00CC62DD"/>
    <w:rsid w:val="00CC65BE"/>
    <w:rsid w:val="00CC662B"/>
    <w:rsid w:val="00CC6665"/>
    <w:rsid w:val="00CC66AD"/>
    <w:rsid w:val="00CC674A"/>
    <w:rsid w:val="00CC679B"/>
    <w:rsid w:val="00CC67ED"/>
    <w:rsid w:val="00CC684A"/>
    <w:rsid w:val="00CC68C5"/>
    <w:rsid w:val="00CC68EA"/>
    <w:rsid w:val="00CC6970"/>
    <w:rsid w:val="00CC6B5F"/>
    <w:rsid w:val="00CC6BE8"/>
    <w:rsid w:val="00CC6BED"/>
    <w:rsid w:val="00CC6C18"/>
    <w:rsid w:val="00CC6C73"/>
    <w:rsid w:val="00CC6CE8"/>
    <w:rsid w:val="00CC6D0B"/>
    <w:rsid w:val="00CC6E76"/>
    <w:rsid w:val="00CC6EBE"/>
    <w:rsid w:val="00CC6EC3"/>
    <w:rsid w:val="00CC6EE9"/>
    <w:rsid w:val="00CC6FAE"/>
    <w:rsid w:val="00CC7023"/>
    <w:rsid w:val="00CC70DD"/>
    <w:rsid w:val="00CC7102"/>
    <w:rsid w:val="00CC7150"/>
    <w:rsid w:val="00CC71A1"/>
    <w:rsid w:val="00CC71D3"/>
    <w:rsid w:val="00CC7208"/>
    <w:rsid w:val="00CC72A8"/>
    <w:rsid w:val="00CC72B9"/>
    <w:rsid w:val="00CC72C5"/>
    <w:rsid w:val="00CC7358"/>
    <w:rsid w:val="00CC73FE"/>
    <w:rsid w:val="00CC7448"/>
    <w:rsid w:val="00CC7560"/>
    <w:rsid w:val="00CC7688"/>
    <w:rsid w:val="00CC76A5"/>
    <w:rsid w:val="00CC7725"/>
    <w:rsid w:val="00CC775B"/>
    <w:rsid w:val="00CC77A3"/>
    <w:rsid w:val="00CC77BA"/>
    <w:rsid w:val="00CC7807"/>
    <w:rsid w:val="00CC78AE"/>
    <w:rsid w:val="00CC7924"/>
    <w:rsid w:val="00CC7926"/>
    <w:rsid w:val="00CC798A"/>
    <w:rsid w:val="00CC7A07"/>
    <w:rsid w:val="00CC7BED"/>
    <w:rsid w:val="00CC7D2D"/>
    <w:rsid w:val="00CC7D96"/>
    <w:rsid w:val="00CC7DF9"/>
    <w:rsid w:val="00CC7E24"/>
    <w:rsid w:val="00CC7E6F"/>
    <w:rsid w:val="00CC7EA1"/>
    <w:rsid w:val="00CC7EBC"/>
    <w:rsid w:val="00CC7F0F"/>
    <w:rsid w:val="00CC7F17"/>
    <w:rsid w:val="00CC7F59"/>
    <w:rsid w:val="00CC7FAA"/>
    <w:rsid w:val="00CC7FEB"/>
    <w:rsid w:val="00CD0030"/>
    <w:rsid w:val="00CD0035"/>
    <w:rsid w:val="00CD003D"/>
    <w:rsid w:val="00CD0096"/>
    <w:rsid w:val="00CD0190"/>
    <w:rsid w:val="00CD01E1"/>
    <w:rsid w:val="00CD023F"/>
    <w:rsid w:val="00CD025C"/>
    <w:rsid w:val="00CD0266"/>
    <w:rsid w:val="00CD038A"/>
    <w:rsid w:val="00CD0451"/>
    <w:rsid w:val="00CD0551"/>
    <w:rsid w:val="00CD05C2"/>
    <w:rsid w:val="00CD05FD"/>
    <w:rsid w:val="00CD069D"/>
    <w:rsid w:val="00CD06C7"/>
    <w:rsid w:val="00CD071D"/>
    <w:rsid w:val="00CD0762"/>
    <w:rsid w:val="00CD08B6"/>
    <w:rsid w:val="00CD0968"/>
    <w:rsid w:val="00CD09EE"/>
    <w:rsid w:val="00CD0A37"/>
    <w:rsid w:val="00CD0A63"/>
    <w:rsid w:val="00CD0B2E"/>
    <w:rsid w:val="00CD0B42"/>
    <w:rsid w:val="00CD0B5E"/>
    <w:rsid w:val="00CD0C99"/>
    <w:rsid w:val="00CD0CBD"/>
    <w:rsid w:val="00CD0D4C"/>
    <w:rsid w:val="00CD0DFA"/>
    <w:rsid w:val="00CD0E34"/>
    <w:rsid w:val="00CD0EDA"/>
    <w:rsid w:val="00CD0EEA"/>
    <w:rsid w:val="00CD0F42"/>
    <w:rsid w:val="00CD10F3"/>
    <w:rsid w:val="00CD1197"/>
    <w:rsid w:val="00CD13E1"/>
    <w:rsid w:val="00CD1413"/>
    <w:rsid w:val="00CD1452"/>
    <w:rsid w:val="00CD1535"/>
    <w:rsid w:val="00CD15CC"/>
    <w:rsid w:val="00CD16EF"/>
    <w:rsid w:val="00CD1727"/>
    <w:rsid w:val="00CD18DF"/>
    <w:rsid w:val="00CD18F6"/>
    <w:rsid w:val="00CD196E"/>
    <w:rsid w:val="00CD1A1C"/>
    <w:rsid w:val="00CD1B6A"/>
    <w:rsid w:val="00CD1B6E"/>
    <w:rsid w:val="00CD1B92"/>
    <w:rsid w:val="00CD1C1E"/>
    <w:rsid w:val="00CD1C65"/>
    <w:rsid w:val="00CD1EB5"/>
    <w:rsid w:val="00CD1FB2"/>
    <w:rsid w:val="00CD2015"/>
    <w:rsid w:val="00CD2072"/>
    <w:rsid w:val="00CD2094"/>
    <w:rsid w:val="00CD20AA"/>
    <w:rsid w:val="00CD20BF"/>
    <w:rsid w:val="00CD224B"/>
    <w:rsid w:val="00CD227E"/>
    <w:rsid w:val="00CD22C1"/>
    <w:rsid w:val="00CD2371"/>
    <w:rsid w:val="00CD23BD"/>
    <w:rsid w:val="00CD23CD"/>
    <w:rsid w:val="00CD2432"/>
    <w:rsid w:val="00CD246F"/>
    <w:rsid w:val="00CD248B"/>
    <w:rsid w:val="00CD24D8"/>
    <w:rsid w:val="00CD279C"/>
    <w:rsid w:val="00CD283F"/>
    <w:rsid w:val="00CD2844"/>
    <w:rsid w:val="00CD28B6"/>
    <w:rsid w:val="00CD2A73"/>
    <w:rsid w:val="00CD2B36"/>
    <w:rsid w:val="00CD2DC0"/>
    <w:rsid w:val="00CD2DC5"/>
    <w:rsid w:val="00CD2E76"/>
    <w:rsid w:val="00CD2F7C"/>
    <w:rsid w:val="00CD3055"/>
    <w:rsid w:val="00CD30E6"/>
    <w:rsid w:val="00CD326B"/>
    <w:rsid w:val="00CD3297"/>
    <w:rsid w:val="00CD3419"/>
    <w:rsid w:val="00CD34FA"/>
    <w:rsid w:val="00CD3561"/>
    <w:rsid w:val="00CD35F1"/>
    <w:rsid w:val="00CD360F"/>
    <w:rsid w:val="00CD361F"/>
    <w:rsid w:val="00CD3681"/>
    <w:rsid w:val="00CD36EE"/>
    <w:rsid w:val="00CD3736"/>
    <w:rsid w:val="00CD37C7"/>
    <w:rsid w:val="00CD3A3D"/>
    <w:rsid w:val="00CD3A53"/>
    <w:rsid w:val="00CD3B37"/>
    <w:rsid w:val="00CD3CBA"/>
    <w:rsid w:val="00CD3CFF"/>
    <w:rsid w:val="00CD3D16"/>
    <w:rsid w:val="00CD3D3F"/>
    <w:rsid w:val="00CD3DAD"/>
    <w:rsid w:val="00CD3E41"/>
    <w:rsid w:val="00CD3F51"/>
    <w:rsid w:val="00CD3FAB"/>
    <w:rsid w:val="00CD3FD7"/>
    <w:rsid w:val="00CD4038"/>
    <w:rsid w:val="00CD409F"/>
    <w:rsid w:val="00CD40B2"/>
    <w:rsid w:val="00CD41A2"/>
    <w:rsid w:val="00CD4216"/>
    <w:rsid w:val="00CD422F"/>
    <w:rsid w:val="00CD42B6"/>
    <w:rsid w:val="00CD43DB"/>
    <w:rsid w:val="00CD44A7"/>
    <w:rsid w:val="00CD456D"/>
    <w:rsid w:val="00CD45BF"/>
    <w:rsid w:val="00CD462C"/>
    <w:rsid w:val="00CD46C0"/>
    <w:rsid w:val="00CD4753"/>
    <w:rsid w:val="00CD47FC"/>
    <w:rsid w:val="00CD4885"/>
    <w:rsid w:val="00CD490E"/>
    <w:rsid w:val="00CD4921"/>
    <w:rsid w:val="00CD4939"/>
    <w:rsid w:val="00CD4963"/>
    <w:rsid w:val="00CD4998"/>
    <w:rsid w:val="00CD49A0"/>
    <w:rsid w:val="00CD49EF"/>
    <w:rsid w:val="00CD4A21"/>
    <w:rsid w:val="00CD4B74"/>
    <w:rsid w:val="00CD4B80"/>
    <w:rsid w:val="00CD4C51"/>
    <w:rsid w:val="00CD4C61"/>
    <w:rsid w:val="00CD4D38"/>
    <w:rsid w:val="00CD4D3A"/>
    <w:rsid w:val="00CD4D3E"/>
    <w:rsid w:val="00CD4E38"/>
    <w:rsid w:val="00CD4F42"/>
    <w:rsid w:val="00CD4FBC"/>
    <w:rsid w:val="00CD50B2"/>
    <w:rsid w:val="00CD511D"/>
    <w:rsid w:val="00CD5147"/>
    <w:rsid w:val="00CD5173"/>
    <w:rsid w:val="00CD51F7"/>
    <w:rsid w:val="00CD52BB"/>
    <w:rsid w:val="00CD52C4"/>
    <w:rsid w:val="00CD52EC"/>
    <w:rsid w:val="00CD530B"/>
    <w:rsid w:val="00CD55A1"/>
    <w:rsid w:val="00CD55B2"/>
    <w:rsid w:val="00CD55BB"/>
    <w:rsid w:val="00CD563B"/>
    <w:rsid w:val="00CD571A"/>
    <w:rsid w:val="00CD5736"/>
    <w:rsid w:val="00CD58C9"/>
    <w:rsid w:val="00CD58FB"/>
    <w:rsid w:val="00CD5966"/>
    <w:rsid w:val="00CD59C8"/>
    <w:rsid w:val="00CD59FD"/>
    <w:rsid w:val="00CD5AC8"/>
    <w:rsid w:val="00CD5AFF"/>
    <w:rsid w:val="00CD5D2B"/>
    <w:rsid w:val="00CD5E27"/>
    <w:rsid w:val="00CD5E72"/>
    <w:rsid w:val="00CD5E75"/>
    <w:rsid w:val="00CD5ECD"/>
    <w:rsid w:val="00CD5F91"/>
    <w:rsid w:val="00CD5FC0"/>
    <w:rsid w:val="00CD60F0"/>
    <w:rsid w:val="00CD618E"/>
    <w:rsid w:val="00CD6220"/>
    <w:rsid w:val="00CD6245"/>
    <w:rsid w:val="00CD6255"/>
    <w:rsid w:val="00CD6272"/>
    <w:rsid w:val="00CD62DF"/>
    <w:rsid w:val="00CD6380"/>
    <w:rsid w:val="00CD64C3"/>
    <w:rsid w:val="00CD6518"/>
    <w:rsid w:val="00CD653A"/>
    <w:rsid w:val="00CD65A8"/>
    <w:rsid w:val="00CD65F3"/>
    <w:rsid w:val="00CD664E"/>
    <w:rsid w:val="00CD66A2"/>
    <w:rsid w:val="00CD671B"/>
    <w:rsid w:val="00CD6844"/>
    <w:rsid w:val="00CD6965"/>
    <w:rsid w:val="00CD6A0E"/>
    <w:rsid w:val="00CD6AA9"/>
    <w:rsid w:val="00CD6AFC"/>
    <w:rsid w:val="00CD6C77"/>
    <w:rsid w:val="00CD6CA2"/>
    <w:rsid w:val="00CD6D65"/>
    <w:rsid w:val="00CD6DBA"/>
    <w:rsid w:val="00CD6E83"/>
    <w:rsid w:val="00CD6F1F"/>
    <w:rsid w:val="00CD6F35"/>
    <w:rsid w:val="00CD6F9D"/>
    <w:rsid w:val="00CD700F"/>
    <w:rsid w:val="00CD7034"/>
    <w:rsid w:val="00CD704E"/>
    <w:rsid w:val="00CD733A"/>
    <w:rsid w:val="00CD733D"/>
    <w:rsid w:val="00CD7342"/>
    <w:rsid w:val="00CD7357"/>
    <w:rsid w:val="00CD74A1"/>
    <w:rsid w:val="00CD755C"/>
    <w:rsid w:val="00CD75A3"/>
    <w:rsid w:val="00CD7799"/>
    <w:rsid w:val="00CD779D"/>
    <w:rsid w:val="00CD78E9"/>
    <w:rsid w:val="00CD7958"/>
    <w:rsid w:val="00CD79DB"/>
    <w:rsid w:val="00CD79FC"/>
    <w:rsid w:val="00CD7A5D"/>
    <w:rsid w:val="00CD7A9E"/>
    <w:rsid w:val="00CD7B22"/>
    <w:rsid w:val="00CD7BA0"/>
    <w:rsid w:val="00CD7C0B"/>
    <w:rsid w:val="00CD7CAF"/>
    <w:rsid w:val="00CD7CC0"/>
    <w:rsid w:val="00CD7D53"/>
    <w:rsid w:val="00CD7DB5"/>
    <w:rsid w:val="00CD7E2F"/>
    <w:rsid w:val="00CD7F01"/>
    <w:rsid w:val="00CDA841"/>
    <w:rsid w:val="00CE0009"/>
    <w:rsid w:val="00CE0013"/>
    <w:rsid w:val="00CE0054"/>
    <w:rsid w:val="00CE008B"/>
    <w:rsid w:val="00CE013E"/>
    <w:rsid w:val="00CE0150"/>
    <w:rsid w:val="00CE033C"/>
    <w:rsid w:val="00CE0347"/>
    <w:rsid w:val="00CE034C"/>
    <w:rsid w:val="00CE03A6"/>
    <w:rsid w:val="00CE03E9"/>
    <w:rsid w:val="00CE0407"/>
    <w:rsid w:val="00CE043A"/>
    <w:rsid w:val="00CE049F"/>
    <w:rsid w:val="00CE0519"/>
    <w:rsid w:val="00CE05AF"/>
    <w:rsid w:val="00CE05D4"/>
    <w:rsid w:val="00CE05F1"/>
    <w:rsid w:val="00CE060B"/>
    <w:rsid w:val="00CE0642"/>
    <w:rsid w:val="00CE0693"/>
    <w:rsid w:val="00CE06E3"/>
    <w:rsid w:val="00CE06FF"/>
    <w:rsid w:val="00CE073D"/>
    <w:rsid w:val="00CE076D"/>
    <w:rsid w:val="00CE079E"/>
    <w:rsid w:val="00CE07B1"/>
    <w:rsid w:val="00CE07E4"/>
    <w:rsid w:val="00CE09A5"/>
    <w:rsid w:val="00CE09DC"/>
    <w:rsid w:val="00CE0A1E"/>
    <w:rsid w:val="00CE0A6D"/>
    <w:rsid w:val="00CE0A7E"/>
    <w:rsid w:val="00CE0ACE"/>
    <w:rsid w:val="00CE0B54"/>
    <w:rsid w:val="00CE0D75"/>
    <w:rsid w:val="00CE0E3A"/>
    <w:rsid w:val="00CE0E69"/>
    <w:rsid w:val="00CE0E6A"/>
    <w:rsid w:val="00CE0E6B"/>
    <w:rsid w:val="00CE0F84"/>
    <w:rsid w:val="00CE1028"/>
    <w:rsid w:val="00CE1029"/>
    <w:rsid w:val="00CE10F6"/>
    <w:rsid w:val="00CE11D9"/>
    <w:rsid w:val="00CE13DB"/>
    <w:rsid w:val="00CE145E"/>
    <w:rsid w:val="00CE14A7"/>
    <w:rsid w:val="00CE1509"/>
    <w:rsid w:val="00CE1520"/>
    <w:rsid w:val="00CE1543"/>
    <w:rsid w:val="00CE15B1"/>
    <w:rsid w:val="00CE1645"/>
    <w:rsid w:val="00CE1653"/>
    <w:rsid w:val="00CE1765"/>
    <w:rsid w:val="00CE1932"/>
    <w:rsid w:val="00CE1988"/>
    <w:rsid w:val="00CE19EC"/>
    <w:rsid w:val="00CE19F1"/>
    <w:rsid w:val="00CE1A1C"/>
    <w:rsid w:val="00CE1AD4"/>
    <w:rsid w:val="00CE1B8C"/>
    <w:rsid w:val="00CE1BBE"/>
    <w:rsid w:val="00CE1BF6"/>
    <w:rsid w:val="00CE1D34"/>
    <w:rsid w:val="00CE1D77"/>
    <w:rsid w:val="00CE1D97"/>
    <w:rsid w:val="00CE1E31"/>
    <w:rsid w:val="00CE1EEB"/>
    <w:rsid w:val="00CE1FC8"/>
    <w:rsid w:val="00CE1FE5"/>
    <w:rsid w:val="00CE1FF2"/>
    <w:rsid w:val="00CE1FF9"/>
    <w:rsid w:val="00CE206A"/>
    <w:rsid w:val="00CE2078"/>
    <w:rsid w:val="00CE2147"/>
    <w:rsid w:val="00CE2160"/>
    <w:rsid w:val="00CE21CF"/>
    <w:rsid w:val="00CE221C"/>
    <w:rsid w:val="00CE2288"/>
    <w:rsid w:val="00CE22F6"/>
    <w:rsid w:val="00CE239F"/>
    <w:rsid w:val="00CE240A"/>
    <w:rsid w:val="00CE25A4"/>
    <w:rsid w:val="00CE263F"/>
    <w:rsid w:val="00CE26D9"/>
    <w:rsid w:val="00CE2776"/>
    <w:rsid w:val="00CE2810"/>
    <w:rsid w:val="00CE2892"/>
    <w:rsid w:val="00CE2997"/>
    <w:rsid w:val="00CE2A5D"/>
    <w:rsid w:val="00CE2ADF"/>
    <w:rsid w:val="00CE2B00"/>
    <w:rsid w:val="00CE2B7E"/>
    <w:rsid w:val="00CE2C2C"/>
    <w:rsid w:val="00CE2C6F"/>
    <w:rsid w:val="00CE2C88"/>
    <w:rsid w:val="00CE2CA6"/>
    <w:rsid w:val="00CE2CBA"/>
    <w:rsid w:val="00CE2D3C"/>
    <w:rsid w:val="00CE2DF3"/>
    <w:rsid w:val="00CE2E69"/>
    <w:rsid w:val="00CE2EA7"/>
    <w:rsid w:val="00CE2EFC"/>
    <w:rsid w:val="00CE2FE1"/>
    <w:rsid w:val="00CE311C"/>
    <w:rsid w:val="00CE3126"/>
    <w:rsid w:val="00CE31B7"/>
    <w:rsid w:val="00CE31D4"/>
    <w:rsid w:val="00CE3201"/>
    <w:rsid w:val="00CE320A"/>
    <w:rsid w:val="00CE3392"/>
    <w:rsid w:val="00CE3417"/>
    <w:rsid w:val="00CE345D"/>
    <w:rsid w:val="00CE34B1"/>
    <w:rsid w:val="00CE362F"/>
    <w:rsid w:val="00CE363F"/>
    <w:rsid w:val="00CE3650"/>
    <w:rsid w:val="00CE3662"/>
    <w:rsid w:val="00CE366C"/>
    <w:rsid w:val="00CE36EF"/>
    <w:rsid w:val="00CE376B"/>
    <w:rsid w:val="00CE37B9"/>
    <w:rsid w:val="00CE3945"/>
    <w:rsid w:val="00CE39C2"/>
    <w:rsid w:val="00CE39E1"/>
    <w:rsid w:val="00CE3AA4"/>
    <w:rsid w:val="00CE3B5C"/>
    <w:rsid w:val="00CE3C23"/>
    <w:rsid w:val="00CE3D50"/>
    <w:rsid w:val="00CE3D6F"/>
    <w:rsid w:val="00CE3D70"/>
    <w:rsid w:val="00CE3E43"/>
    <w:rsid w:val="00CE3E8C"/>
    <w:rsid w:val="00CE3ED0"/>
    <w:rsid w:val="00CE3EED"/>
    <w:rsid w:val="00CE3F13"/>
    <w:rsid w:val="00CE4146"/>
    <w:rsid w:val="00CE4150"/>
    <w:rsid w:val="00CE42A0"/>
    <w:rsid w:val="00CE42E8"/>
    <w:rsid w:val="00CE4314"/>
    <w:rsid w:val="00CE43FC"/>
    <w:rsid w:val="00CE4456"/>
    <w:rsid w:val="00CE4459"/>
    <w:rsid w:val="00CE4516"/>
    <w:rsid w:val="00CE47CA"/>
    <w:rsid w:val="00CE47CE"/>
    <w:rsid w:val="00CE480A"/>
    <w:rsid w:val="00CE488F"/>
    <w:rsid w:val="00CE4892"/>
    <w:rsid w:val="00CE48B7"/>
    <w:rsid w:val="00CE48C9"/>
    <w:rsid w:val="00CE4985"/>
    <w:rsid w:val="00CE4A7B"/>
    <w:rsid w:val="00CE4AC5"/>
    <w:rsid w:val="00CE4E1A"/>
    <w:rsid w:val="00CE4F7C"/>
    <w:rsid w:val="00CE4FBB"/>
    <w:rsid w:val="00CE5044"/>
    <w:rsid w:val="00CE50D1"/>
    <w:rsid w:val="00CE51BB"/>
    <w:rsid w:val="00CE51BC"/>
    <w:rsid w:val="00CE51DD"/>
    <w:rsid w:val="00CE5285"/>
    <w:rsid w:val="00CE52FB"/>
    <w:rsid w:val="00CE5332"/>
    <w:rsid w:val="00CE54F4"/>
    <w:rsid w:val="00CE5562"/>
    <w:rsid w:val="00CE5597"/>
    <w:rsid w:val="00CE55B0"/>
    <w:rsid w:val="00CE55DE"/>
    <w:rsid w:val="00CE56A0"/>
    <w:rsid w:val="00CE56F1"/>
    <w:rsid w:val="00CE570A"/>
    <w:rsid w:val="00CE57B9"/>
    <w:rsid w:val="00CE57C1"/>
    <w:rsid w:val="00CE5802"/>
    <w:rsid w:val="00CE5823"/>
    <w:rsid w:val="00CE587D"/>
    <w:rsid w:val="00CE58C4"/>
    <w:rsid w:val="00CE58FD"/>
    <w:rsid w:val="00CE5914"/>
    <w:rsid w:val="00CE591D"/>
    <w:rsid w:val="00CE599C"/>
    <w:rsid w:val="00CE59E9"/>
    <w:rsid w:val="00CE5A8B"/>
    <w:rsid w:val="00CE5C06"/>
    <w:rsid w:val="00CE5CC4"/>
    <w:rsid w:val="00CE5CD8"/>
    <w:rsid w:val="00CE5D49"/>
    <w:rsid w:val="00CE5DAE"/>
    <w:rsid w:val="00CE5DB0"/>
    <w:rsid w:val="00CE5E7F"/>
    <w:rsid w:val="00CE5ED8"/>
    <w:rsid w:val="00CE5F04"/>
    <w:rsid w:val="00CE616E"/>
    <w:rsid w:val="00CE623E"/>
    <w:rsid w:val="00CE6279"/>
    <w:rsid w:val="00CE6328"/>
    <w:rsid w:val="00CE634B"/>
    <w:rsid w:val="00CE6374"/>
    <w:rsid w:val="00CE648B"/>
    <w:rsid w:val="00CE64A2"/>
    <w:rsid w:val="00CE64E1"/>
    <w:rsid w:val="00CE64FB"/>
    <w:rsid w:val="00CE65C2"/>
    <w:rsid w:val="00CE662B"/>
    <w:rsid w:val="00CE664B"/>
    <w:rsid w:val="00CE6660"/>
    <w:rsid w:val="00CE666E"/>
    <w:rsid w:val="00CE667C"/>
    <w:rsid w:val="00CE6714"/>
    <w:rsid w:val="00CE684B"/>
    <w:rsid w:val="00CE6941"/>
    <w:rsid w:val="00CE6945"/>
    <w:rsid w:val="00CE69C5"/>
    <w:rsid w:val="00CE69C6"/>
    <w:rsid w:val="00CE6A3B"/>
    <w:rsid w:val="00CE6AF8"/>
    <w:rsid w:val="00CE6C05"/>
    <w:rsid w:val="00CE6D26"/>
    <w:rsid w:val="00CE6D8C"/>
    <w:rsid w:val="00CE6D93"/>
    <w:rsid w:val="00CE7144"/>
    <w:rsid w:val="00CE7152"/>
    <w:rsid w:val="00CE72B7"/>
    <w:rsid w:val="00CE751C"/>
    <w:rsid w:val="00CE7636"/>
    <w:rsid w:val="00CE76FA"/>
    <w:rsid w:val="00CE7780"/>
    <w:rsid w:val="00CE785F"/>
    <w:rsid w:val="00CE78BB"/>
    <w:rsid w:val="00CE78F0"/>
    <w:rsid w:val="00CE797D"/>
    <w:rsid w:val="00CE7ABD"/>
    <w:rsid w:val="00CE7BE6"/>
    <w:rsid w:val="00CE7C29"/>
    <w:rsid w:val="00CE7C2B"/>
    <w:rsid w:val="00CE7E0A"/>
    <w:rsid w:val="00CE7EE0"/>
    <w:rsid w:val="00CE7FF8"/>
    <w:rsid w:val="00CF013D"/>
    <w:rsid w:val="00CF013E"/>
    <w:rsid w:val="00CF0306"/>
    <w:rsid w:val="00CF0324"/>
    <w:rsid w:val="00CF0337"/>
    <w:rsid w:val="00CF0379"/>
    <w:rsid w:val="00CF03DC"/>
    <w:rsid w:val="00CF051D"/>
    <w:rsid w:val="00CF054A"/>
    <w:rsid w:val="00CF057C"/>
    <w:rsid w:val="00CF05F8"/>
    <w:rsid w:val="00CF0782"/>
    <w:rsid w:val="00CF07E5"/>
    <w:rsid w:val="00CF07EC"/>
    <w:rsid w:val="00CF07F2"/>
    <w:rsid w:val="00CF0812"/>
    <w:rsid w:val="00CF08A6"/>
    <w:rsid w:val="00CF08B1"/>
    <w:rsid w:val="00CF09BA"/>
    <w:rsid w:val="00CF0ABC"/>
    <w:rsid w:val="00CF0ACD"/>
    <w:rsid w:val="00CF0AF7"/>
    <w:rsid w:val="00CF0B09"/>
    <w:rsid w:val="00CF0B81"/>
    <w:rsid w:val="00CF0B90"/>
    <w:rsid w:val="00CF0D3D"/>
    <w:rsid w:val="00CF0DA0"/>
    <w:rsid w:val="00CF0E6C"/>
    <w:rsid w:val="00CF0EB7"/>
    <w:rsid w:val="00CF1026"/>
    <w:rsid w:val="00CF1098"/>
    <w:rsid w:val="00CF1102"/>
    <w:rsid w:val="00CF1195"/>
    <w:rsid w:val="00CF1205"/>
    <w:rsid w:val="00CF1430"/>
    <w:rsid w:val="00CF150C"/>
    <w:rsid w:val="00CF1543"/>
    <w:rsid w:val="00CF155A"/>
    <w:rsid w:val="00CF16B2"/>
    <w:rsid w:val="00CF16B6"/>
    <w:rsid w:val="00CF16D7"/>
    <w:rsid w:val="00CF16FA"/>
    <w:rsid w:val="00CF1703"/>
    <w:rsid w:val="00CF171F"/>
    <w:rsid w:val="00CF1771"/>
    <w:rsid w:val="00CF179B"/>
    <w:rsid w:val="00CF1950"/>
    <w:rsid w:val="00CF19B3"/>
    <w:rsid w:val="00CF19B6"/>
    <w:rsid w:val="00CF19E7"/>
    <w:rsid w:val="00CF1A86"/>
    <w:rsid w:val="00CF1C78"/>
    <w:rsid w:val="00CF1C81"/>
    <w:rsid w:val="00CF1CF0"/>
    <w:rsid w:val="00CF1E24"/>
    <w:rsid w:val="00CF1E6F"/>
    <w:rsid w:val="00CF1F00"/>
    <w:rsid w:val="00CF1F9B"/>
    <w:rsid w:val="00CF1FB6"/>
    <w:rsid w:val="00CF1FE7"/>
    <w:rsid w:val="00CF21DC"/>
    <w:rsid w:val="00CF220D"/>
    <w:rsid w:val="00CF229E"/>
    <w:rsid w:val="00CF232C"/>
    <w:rsid w:val="00CF23BD"/>
    <w:rsid w:val="00CF2524"/>
    <w:rsid w:val="00CF25AD"/>
    <w:rsid w:val="00CF2669"/>
    <w:rsid w:val="00CF2731"/>
    <w:rsid w:val="00CF2795"/>
    <w:rsid w:val="00CF27F4"/>
    <w:rsid w:val="00CF2831"/>
    <w:rsid w:val="00CF289E"/>
    <w:rsid w:val="00CF28FA"/>
    <w:rsid w:val="00CF29B0"/>
    <w:rsid w:val="00CF29F4"/>
    <w:rsid w:val="00CF2ACD"/>
    <w:rsid w:val="00CF2AFE"/>
    <w:rsid w:val="00CF2B84"/>
    <w:rsid w:val="00CF2B8B"/>
    <w:rsid w:val="00CF2C67"/>
    <w:rsid w:val="00CF2C86"/>
    <w:rsid w:val="00CF2D35"/>
    <w:rsid w:val="00CF2D6F"/>
    <w:rsid w:val="00CF2E8F"/>
    <w:rsid w:val="00CF2ED0"/>
    <w:rsid w:val="00CF2FA8"/>
    <w:rsid w:val="00CF2FE3"/>
    <w:rsid w:val="00CF3017"/>
    <w:rsid w:val="00CF30B3"/>
    <w:rsid w:val="00CF3130"/>
    <w:rsid w:val="00CF3144"/>
    <w:rsid w:val="00CF32AA"/>
    <w:rsid w:val="00CF3318"/>
    <w:rsid w:val="00CF3330"/>
    <w:rsid w:val="00CF33AD"/>
    <w:rsid w:val="00CF33D1"/>
    <w:rsid w:val="00CF3484"/>
    <w:rsid w:val="00CF3511"/>
    <w:rsid w:val="00CF3556"/>
    <w:rsid w:val="00CF3676"/>
    <w:rsid w:val="00CF36CE"/>
    <w:rsid w:val="00CF3705"/>
    <w:rsid w:val="00CF3804"/>
    <w:rsid w:val="00CF380C"/>
    <w:rsid w:val="00CF3819"/>
    <w:rsid w:val="00CF384B"/>
    <w:rsid w:val="00CF3909"/>
    <w:rsid w:val="00CF3A52"/>
    <w:rsid w:val="00CF3B5B"/>
    <w:rsid w:val="00CF3B6D"/>
    <w:rsid w:val="00CF3B8F"/>
    <w:rsid w:val="00CF3BCE"/>
    <w:rsid w:val="00CF3CC4"/>
    <w:rsid w:val="00CF3CEF"/>
    <w:rsid w:val="00CF3CF9"/>
    <w:rsid w:val="00CF3D86"/>
    <w:rsid w:val="00CF3D8B"/>
    <w:rsid w:val="00CF3DB5"/>
    <w:rsid w:val="00CF3E15"/>
    <w:rsid w:val="00CF3EA6"/>
    <w:rsid w:val="00CF3F08"/>
    <w:rsid w:val="00CF3F9F"/>
    <w:rsid w:val="00CF4015"/>
    <w:rsid w:val="00CF4128"/>
    <w:rsid w:val="00CF4209"/>
    <w:rsid w:val="00CF420F"/>
    <w:rsid w:val="00CF445F"/>
    <w:rsid w:val="00CF4590"/>
    <w:rsid w:val="00CF45C5"/>
    <w:rsid w:val="00CF45DA"/>
    <w:rsid w:val="00CF460F"/>
    <w:rsid w:val="00CF4620"/>
    <w:rsid w:val="00CF4640"/>
    <w:rsid w:val="00CF4736"/>
    <w:rsid w:val="00CF478B"/>
    <w:rsid w:val="00CF487C"/>
    <w:rsid w:val="00CF489C"/>
    <w:rsid w:val="00CF48BC"/>
    <w:rsid w:val="00CF48D1"/>
    <w:rsid w:val="00CF4A00"/>
    <w:rsid w:val="00CF4AF7"/>
    <w:rsid w:val="00CF4C50"/>
    <w:rsid w:val="00CF4CC6"/>
    <w:rsid w:val="00CF4CEE"/>
    <w:rsid w:val="00CF4D0B"/>
    <w:rsid w:val="00CF4D7C"/>
    <w:rsid w:val="00CF4DC3"/>
    <w:rsid w:val="00CF4DDC"/>
    <w:rsid w:val="00CF4EBB"/>
    <w:rsid w:val="00CF4F0D"/>
    <w:rsid w:val="00CF5096"/>
    <w:rsid w:val="00CF5163"/>
    <w:rsid w:val="00CF5263"/>
    <w:rsid w:val="00CF5580"/>
    <w:rsid w:val="00CF573A"/>
    <w:rsid w:val="00CF578D"/>
    <w:rsid w:val="00CF590C"/>
    <w:rsid w:val="00CF59A4"/>
    <w:rsid w:val="00CF5B8A"/>
    <w:rsid w:val="00CF5BF1"/>
    <w:rsid w:val="00CF5C7B"/>
    <w:rsid w:val="00CF5DBF"/>
    <w:rsid w:val="00CF5E2D"/>
    <w:rsid w:val="00CF5E5C"/>
    <w:rsid w:val="00CF5EB0"/>
    <w:rsid w:val="00CF5F03"/>
    <w:rsid w:val="00CF5F3E"/>
    <w:rsid w:val="00CF5F55"/>
    <w:rsid w:val="00CF5F98"/>
    <w:rsid w:val="00CF5FD8"/>
    <w:rsid w:val="00CF6132"/>
    <w:rsid w:val="00CF6260"/>
    <w:rsid w:val="00CF63A6"/>
    <w:rsid w:val="00CF63C3"/>
    <w:rsid w:val="00CF641D"/>
    <w:rsid w:val="00CF658F"/>
    <w:rsid w:val="00CF66CF"/>
    <w:rsid w:val="00CF6794"/>
    <w:rsid w:val="00CF69AD"/>
    <w:rsid w:val="00CF69C8"/>
    <w:rsid w:val="00CF69EA"/>
    <w:rsid w:val="00CF69F4"/>
    <w:rsid w:val="00CF6A05"/>
    <w:rsid w:val="00CF6A12"/>
    <w:rsid w:val="00CF6A18"/>
    <w:rsid w:val="00CF6B0C"/>
    <w:rsid w:val="00CF6D0C"/>
    <w:rsid w:val="00CF6D0D"/>
    <w:rsid w:val="00CF6DCF"/>
    <w:rsid w:val="00CF6E09"/>
    <w:rsid w:val="00CF6ED1"/>
    <w:rsid w:val="00CF6F27"/>
    <w:rsid w:val="00CF6F3A"/>
    <w:rsid w:val="00CF6FFD"/>
    <w:rsid w:val="00CF70A2"/>
    <w:rsid w:val="00CF7150"/>
    <w:rsid w:val="00CF7177"/>
    <w:rsid w:val="00CF7196"/>
    <w:rsid w:val="00CF71B2"/>
    <w:rsid w:val="00CF734E"/>
    <w:rsid w:val="00CF7482"/>
    <w:rsid w:val="00CF74E1"/>
    <w:rsid w:val="00CF75BD"/>
    <w:rsid w:val="00CF7751"/>
    <w:rsid w:val="00CF779B"/>
    <w:rsid w:val="00CF7822"/>
    <w:rsid w:val="00CF786B"/>
    <w:rsid w:val="00CF789F"/>
    <w:rsid w:val="00CF7A93"/>
    <w:rsid w:val="00CF7AD5"/>
    <w:rsid w:val="00CF7B87"/>
    <w:rsid w:val="00CF7BDE"/>
    <w:rsid w:val="00CF7C2E"/>
    <w:rsid w:val="00CF7C7A"/>
    <w:rsid w:val="00CF7D09"/>
    <w:rsid w:val="00CF7E1E"/>
    <w:rsid w:val="00CF7EA4"/>
    <w:rsid w:val="00CF7ECB"/>
    <w:rsid w:val="00D00088"/>
    <w:rsid w:val="00D00175"/>
    <w:rsid w:val="00D0018C"/>
    <w:rsid w:val="00D0018D"/>
    <w:rsid w:val="00D001C4"/>
    <w:rsid w:val="00D00218"/>
    <w:rsid w:val="00D00241"/>
    <w:rsid w:val="00D0026E"/>
    <w:rsid w:val="00D00318"/>
    <w:rsid w:val="00D00332"/>
    <w:rsid w:val="00D00368"/>
    <w:rsid w:val="00D004C8"/>
    <w:rsid w:val="00D00529"/>
    <w:rsid w:val="00D00543"/>
    <w:rsid w:val="00D005F3"/>
    <w:rsid w:val="00D005F5"/>
    <w:rsid w:val="00D006BF"/>
    <w:rsid w:val="00D0072F"/>
    <w:rsid w:val="00D00743"/>
    <w:rsid w:val="00D00A16"/>
    <w:rsid w:val="00D00B37"/>
    <w:rsid w:val="00D00BD6"/>
    <w:rsid w:val="00D00BDD"/>
    <w:rsid w:val="00D00C78"/>
    <w:rsid w:val="00D00C81"/>
    <w:rsid w:val="00D00CAC"/>
    <w:rsid w:val="00D00CCA"/>
    <w:rsid w:val="00D00D12"/>
    <w:rsid w:val="00D00DCE"/>
    <w:rsid w:val="00D00EF4"/>
    <w:rsid w:val="00D00F33"/>
    <w:rsid w:val="00D00FA8"/>
    <w:rsid w:val="00D0105A"/>
    <w:rsid w:val="00D0105D"/>
    <w:rsid w:val="00D010FF"/>
    <w:rsid w:val="00D01114"/>
    <w:rsid w:val="00D01315"/>
    <w:rsid w:val="00D01320"/>
    <w:rsid w:val="00D0133F"/>
    <w:rsid w:val="00D01361"/>
    <w:rsid w:val="00D0145D"/>
    <w:rsid w:val="00D01483"/>
    <w:rsid w:val="00D01597"/>
    <w:rsid w:val="00D01643"/>
    <w:rsid w:val="00D01671"/>
    <w:rsid w:val="00D01728"/>
    <w:rsid w:val="00D01735"/>
    <w:rsid w:val="00D018B4"/>
    <w:rsid w:val="00D01966"/>
    <w:rsid w:val="00D01A20"/>
    <w:rsid w:val="00D01B4C"/>
    <w:rsid w:val="00D01BA2"/>
    <w:rsid w:val="00D01BE5"/>
    <w:rsid w:val="00D01C0F"/>
    <w:rsid w:val="00D01C67"/>
    <w:rsid w:val="00D01CD0"/>
    <w:rsid w:val="00D01D0E"/>
    <w:rsid w:val="00D01D31"/>
    <w:rsid w:val="00D01D7E"/>
    <w:rsid w:val="00D01DAF"/>
    <w:rsid w:val="00D01FBD"/>
    <w:rsid w:val="00D023A6"/>
    <w:rsid w:val="00D0245C"/>
    <w:rsid w:val="00D025AF"/>
    <w:rsid w:val="00D025C2"/>
    <w:rsid w:val="00D025E6"/>
    <w:rsid w:val="00D025EF"/>
    <w:rsid w:val="00D02699"/>
    <w:rsid w:val="00D02741"/>
    <w:rsid w:val="00D028AB"/>
    <w:rsid w:val="00D02919"/>
    <w:rsid w:val="00D0296D"/>
    <w:rsid w:val="00D02D8A"/>
    <w:rsid w:val="00D02E96"/>
    <w:rsid w:val="00D02F4F"/>
    <w:rsid w:val="00D02FD9"/>
    <w:rsid w:val="00D0306A"/>
    <w:rsid w:val="00D0308F"/>
    <w:rsid w:val="00D031AE"/>
    <w:rsid w:val="00D03251"/>
    <w:rsid w:val="00D03252"/>
    <w:rsid w:val="00D0325A"/>
    <w:rsid w:val="00D032CD"/>
    <w:rsid w:val="00D0336B"/>
    <w:rsid w:val="00D03379"/>
    <w:rsid w:val="00D0348B"/>
    <w:rsid w:val="00D03515"/>
    <w:rsid w:val="00D03519"/>
    <w:rsid w:val="00D03561"/>
    <w:rsid w:val="00D03595"/>
    <w:rsid w:val="00D03626"/>
    <w:rsid w:val="00D03741"/>
    <w:rsid w:val="00D039BB"/>
    <w:rsid w:val="00D03A75"/>
    <w:rsid w:val="00D03AB6"/>
    <w:rsid w:val="00D03B9D"/>
    <w:rsid w:val="00D03CB1"/>
    <w:rsid w:val="00D03D81"/>
    <w:rsid w:val="00D03D95"/>
    <w:rsid w:val="00D03ECE"/>
    <w:rsid w:val="00D03FCA"/>
    <w:rsid w:val="00D0402F"/>
    <w:rsid w:val="00D040C1"/>
    <w:rsid w:val="00D040C2"/>
    <w:rsid w:val="00D0418C"/>
    <w:rsid w:val="00D041AF"/>
    <w:rsid w:val="00D04257"/>
    <w:rsid w:val="00D04276"/>
    <w:rsid w:val="00D04393"/>
    <w:rsid w:val="00D044B3"/>
    <w:rsid w:val="00D0450C"/>
    <w:rsid w:val="00D04553"/>
    <w:rsid w:val="00D0455B"/>
    <w:rsid w:val="00D045EC"/>
    <w:rsid w:val="00D04706"/>
    <w:rsid w:val="00D047E5"/>
    <w:rsid w:val="00D047F8"/>
    <w:rsid w:val="00D04816"/>
    <w:rsid w:val="00D04963"/>
    <w:rsid w:val="00D04A69"/>
    <w:rsid w:val="00D04ACA"/>
    <w:rsid w:val="00D04B30"/>
    <w:rsid w:val="00D04BE3"/>
    <w:rsid w:val="00D04BF2"/>
    <w:rsid w:val="00D04C75"/>
    <w:rsid w:val="00D04C91"/>
    <w:rsid w:val="00D04D55"/>
    <w:rsid w:val="00D04EDB"/>
    <w:rsid w:val="00D04F3A"/>
    <w:rsid w:val="00D05107"/>
    <w:rsid w:val="00D0512F"/>
    <w:rsid w:val="00D05180"/>
    <w:rsid w:val="00D05261"/>
    <w:rsid w:val="00D0530E"/>
    <w:rsid w:val="00D0532D"/>
    <w:rsid w:val="00D0539D"/>
    <w:rsid w:val="00D05459"/>
    <w:rsid w:val="00D0545E"/>
    <w:rsid w:val="00D054AB"/>
    <w:rsid w:val="00D05527"/>
    <w:rsid w:val="00D05715"/>
    <w:rsid w:val="00D05750"/>
    <w:rsid w:val="00D0587C"/>
    <w:rsid w:val="00D058F2"/>
    <w:rsid w:val="00D0593F"/>
    <w:rsid w:val="00D0597E"/>
    <w:rsid w:val="00D059E8"/>
    <w:rsid w:val="00D059EC"/>
    <w:rsid w:val="00D059F7"/>
    <w:rsid w:val="00D05A15"/>
    <w:rsid w:val="00D05AAB"/>
    <w:rsid w:val="00D05ACE"/>
    <w:rsid w:val="00D05C0B"/>
    <w:rsid w:val="00D05C14"/>
    <w:rsid w:val="00D05C2E"/>
    <w:rsid w:val="00D05C58"/>
    <w:rsid w:val="00D05C82"/>
    <w:rsid w:val="00D05CA1"/>
    <w:rsid w:val="00D05D04"/>
    <w:rsid w:val="00D05DA3"/>
    <w:rsid w:val="00D05DCF"/>
    <w:rsid w:val="00D05E35"/>
    <w:rsid w:val="00D05EBA"/>
    <w:rsid w:val="00D05FB4"/>
    <w:rsid w:val="00D06067"/>
    <w:rsid w:val="00D06216"/>
    <w:rsid w:val="00D062E1"/>
    <w:rsid w:val="00D062E9"/>
    <w:rsid w:val="00D062F1"/>
    <w:rsid w:val="00D062F5"/>
    <w:rsid w:val="00D062F6"/>
    <w:rsid w:val="00D06499"/>
    <w:rsid w:val="00D0658D"/>
    <w:rsid w:val="00D066A6"/>
    <w:rsid w:val="00D066C8"/>
    <w:rsid w:val="00D066E1"/>
    <w:rsid w:val="00D069E3"/>
    <w:rsid w:val="00D06A1D"/>
    <w:rsid w:val="00D06A32"/>
    <w:rsid w:val="00D06A72"/>
    <w:rsid w:val="00D06A8E"/>
    <w:rsid w:val="00D06AE5"/>
    <w:rsid w:val="00D06C54"/>
    <w:rsid w:val="00D06C6A"/>
    <w:rsid w:val="00D06C70"/>
    <w:rsid w:val="00D06CBA"/>
    <w:rsid w:val="00D06CC0"/>
    <w:rsid w:val="00D06D0A"/>
    <w:rsid w:val="00D06D89"/>
    <w:rsid w:val="00D06DD4"/>
    <w:rsid w:val="00D06F7B"/>
    <w:rsid w:val="00D06F89"/>
    <w:rsid w:val="00D070C0"/>
    <w:rsid w:val="00D07163"/>
    <w:rsid w:val="00D0719F"/>
    <w:rsid w:val="00D071E4"/>
    <w:rsid w:val="00D07212"/>
    <w:rsid w:val="00D0721E"/>
    <w:rsid w:val="00D07291"/>
    <w:rsid w:val="00D072FD"/>
    <w:rsid w:val="00D0733D"/>
    <w:rsid w:val="00D07383"/>
    <w:rsid w:val="00D0738F"/>
    <w:rsid w:val="00D073C7"/>
    <w:rsid w:val="00D07468"/>
    <w:rsid w:val="00D0751F"/>
    <w:rsid w:val="00D075AD"/>
    <w:rsid w:val="00D0760A"/>
    <w:rsid w:val="00D0761F"/>
    <w:rsid w:val="00D0765F"/>
    <w:rsid w:val="00D07799"/>
    <w:rsid w:val="00D078E3"/>
    <w:rsid w:val="00D07AD9"/>
    <w:rsid w:val="00D07B09"/>
    <w:rsid w:val="00D07D1F"/>
    <w:rsid w:val="00D07E22"/>
    <w:rsid w:val="00D07FC3"/>
    <w:rsid w:val="00D1004A"/>
    <w:rsid w:val="00D100A4"/>
    <w:rsid w:val="00D100C6"/>
    <w:rsid w:val="00D10161"/>
    <w:rsid w:val="00D10222"/>
    <w:rsid w:val="00D10225"/>
    <w:rsid w:val="00D1028A"/>
    <w:rsid w:val="00D102CE"/>
    <w:rsid w:val="00D10451"/>
    <w:rsid w:val="00D10467"/>
    <w:rsid w:val="00D104FF"/>
    <w:rsid w:val="00D10537"/>
    <w:rsid w:val="00D10665"/>
    <w:rsid w:val="00D10804"/>
    <w:rsid w:val="00D1086A"/>
    <w:rsid w:val="00D10884"/>
    <w:rsid w:val="00D1094C"/>
    <w:rsid w:val="00D10996"/>
    <w:rsid w:val="00D10B35"/>
    <w:rsid w:val="00D10B77"/>
    <w:rsid w:val="00D10C39"/>
    <w:rsid w:val="00D10CBE"/>
    <w:rsid w:val="00D10CC7"/>
    <w:rsid w:val="00D10CCC"/>
    <w:rsid w:val="00D10D26"/>
    <w:rsid w:val="00D10DD0"/>
    <w:rsid w:val="00D10FD6"/>
    <w:rsid w:val="00D110C1"/>
    <w:rsid w:val="00D11166"/>
    <w:rsid w:val="00D1116A"/>
    <w:rsid w:val="00D1116E"/>
    <w:rsid w:val="00D111EA"/>
    <w:rsid w:val="00D11213"/>
    <w:rsid w:val="00D1122D"/>
    <w:rsid w:val="00D11395"/>
    <w:rsid w:val="00D113B5"/>
    <w:rsid w:val="00D113F2"/>
    <w:rsid w:val="00D11508"/>
    <w:rsid w:val="00D1169C"/>
    <w:rsid w:val="00D11759"/>
    <w:rsid w:val="00D117C9"/>
    <w:rsid w:val="00D11818"/>
    <w:rsid w:val="00D118DD"/>
    <w:rsid w:val="00D118FF"/>
    <w:rsid w:val="00D1192D"/>
    <w:rsid w:val="00D11A04"/>
    <w:rsid w:val="00D11A72"/>
    <w:rsid w:val="00D11DDD"/>
    <w:rsid w:val="00D11E04"/>
    <w:rsid w:val="00D11E49"/>
    <w:rsid w:val="00D11E90"/>
    <w:rsid w:val="00D11F27"/>
    <w:rsid w:val="00D11F2F"/>
    <w:rsid w:val="00D11F59"/>
    <w:rsid w:val="00D12036"/>
    <w:rsid w:val="00D12077"/>
    <w:rsid w:val="00D1209E"/>
    <w:rsid w:val="00D120E6"/>
    <w:rsid w:val="00D1226A"/>
    <w:rsid w:val="00D1226D"/>
    <w:rsid w:val="00D122A4"/>
    <w:rsid w:val="00D12405"/>
    <w:rsid w:val="00D124EE"/>
    <w:rsid w:val="00D12544"/>
    <w:rsid w:val="00D125B4"/>
    <w:rsid w:val="00D125B6"/>
    <w:rsid w:val="00D1263C"/>
    <w:rsid w:val="00D1275C"/>
    <w:rsid w:val="00D12861"/>
    <w:rsid w:val="00D1288E"/>
    <w:rsid w:val="00D12946"/>
    <w:rsid w:val="00D12A2E"/>
    <w:rsid w:val="00D12ABD"/>
    <w:rsid w:val="00D12D33"/>
    <w:rsid w:val="00D12DA1"/>
    <w:rsid w:val="00D12F26"/>
    <w:rsid w:val="00D130BA"/>
    <w:rsid w:val="00D13109"/>
    <w:rsid w:val="00D1319E"/>
    <w:rsid w:val="00D131B6"/>
    <w:rsid w:val="00D132F8"/>
    <w:rsid w:val="00D13387"/>
    <w:rsid w:val="00D133E4"/>
    <w:rsid w:val="00D13402"/>
    <w:rsid w:val="00D1343D"/>
    <w:rsid w:val="00D135D4"/>
    <w:rsid w:val="00D13718"/>
    <w:rsid w:val="00D1373B"/>
    <w:rsid w:val="00D137AA"/>
    <w:rsid w:val="00D13802"/>
    <w:rsid w:val="00D1395F"/>
    <w:rsid w:val="00D139F3"/>
    <w:rsid w:val="00D13A1C"/>
    <w:rsid w:val="00D13A65"/>
    <w:rsid w:val="00D13D25"/>
    <w:rsid w:val="00D13DCB"/>
    <w:rsid w:val="00D13DD3"/>
    <w:rsid w:val="00D13EFD"/>
    <w:rsid w:val="00D13F10"/>
    <w:rsid w:val="00D13F69"/>
    <w:rsid w:val="00D1408D"/>
    <w:rsid w:val="00D140F2"/>
    <w:rsid w:val="00D1425D"/>
    <w:rsid w:val="00D14264"/>
    <w:rsid w:val="00D142C2"/>
    <w:rsid w:val="00D1436D"/>
    <w:rsid w:val="00D1437C"/>
    <w:rsid w:val="00D14401"/>
    <w:rsid w:val="00D1442E"/>
    <w:rsid w:val="00D14473"/>
    <w:rsid w:val="00D14474"/>
    <w:rsid w:val="00D14481"/>
    <w:rsid w:val="00D144E9"/>
    <w:rsid w:val="00D145AC"/>
    <w:rsid w:val="00D14657"/>
    <w:rsid w:val="00D146AA"/>
    <w:rsid w:val="00D146C5"/>
    <w:rsid w:val="00D1480A"/>
    <w:rsid w:val="00D14896"/>
    <w:rsid w:val="00D148CC"/>
    <w:rsid w:val="00D1499D"/>
    <w:rsid w:val="00D14A7B"/>
    <w:rsid w:val="00D14B17"/>
    <w:rsid w:val="00D14BEE"/>
    <w:rsid w:val="00D14CE7"/>
    <w:rsid w:val="00D14CE8"/>
    <w:rsid w:val="00D14DB1"/>
    <w:rsid w:val="00D14DBF"/>
    <w:rsid w:val="00D14DE2"/>
    <w:rsid w:val="00D14E1A"/>
    <w:rsid w:val="00D14E27"/>
    <w:rsid w:val="00D14EA0"/>
    <w:rsid w:val="00D14EB8"/>
    <w:rsid w:val="00D14F40"/>
    <w:rsid w:val="00D14F4D"/>
    <w:rsid w:val="00D15078"/>
    <w:rsid w:val="00D150C1"/>
    <w:rsid w:val="00D1510B"/>
    <w:rsid w:val="00D15250"/>
    <w:rsid w:val="00D152E6"/>
    <w:rsid w:val="00D153CB"/>
    <w:rsid w:val="00D15440"/>
    <w:rsid w:val="00D154FF"/>
    <w:rsid w:val="00D15506"/>
    <w:rsid w:val="00D15581"/>
    <w:rsid w:val="00D15598"/>
    <w:rsid w:val="00D15755"/>
    <w:rsid w:val="00D158DA"/>
    <w:rsid w:val="00D15966"/>
    <w:rsid w:val="00D15A12"/>
    <w:rsid w:val="00D15B45"/>
    <w:rsid w:val="00D15D30"/>
    <w:rsid w:val="00D15E70"/>
    <w:rsid w:val="00D15EC8"/>
    <w:rsid w:val="00D15F19"/>
    <w:rsid w:val="00D15FF8"/>
    <w:rsid w:val="00D1602D"/>
    <w:rsid w:val="00D160B8"/>
    <w:rsid w:val="00D1616D"/>
    <w:rsid w:val="00D162E6"/>
    <w:rsid w:val="00D16322"/>
    <w:rsid w:val="00D16353"/>
    <w:rsid w:val="00D164F3"/>
    <w:rsid w:val="00D1653C"/>
    <w:rsid w:val="00D16559"/>
    <w:rsid w:val="00D165D0"/>
    <w:rsid w:val="00D1661A"/>
    <w:rsid w:val="00D16662"/>
    <w:rsid w:val="00D1666B"/>
    <w:rsid w:val="00D16674"/>
    <w:rsid w:val="00D166A1"/>
    <w:rsid w:val="00D1680A"/>
    <w:rsid w:val="00D16900"/>
    <w:rsid w:val="00D16B5A"/>
    <w:rsid w:val="00D16B6B"/>
    <w:rsid w:val="00D16B77"/>
    <w:rsid w:val="00D16B99"/>
    <w:rsid w:val="00D16BAF"/>
    <w:rsid w:val="00D16C8B"/>
    <w:rsid w:val="00D16CA9"/>
    <w:rsid w:val="00D16D62"/>
    <w:rsid w:val="00D16D9E"/>
    <w:rsid w:val="00D16E30"/>
    <w:rsid w:val="00D16E48"/>
    <w:rsid w:val="00D16E6D"/>
    <w:rsid w:val="00D16E7E"/>
    <w:rsid w:val="00D16FDE"/>
    <w:rsid w:val="00D17009"/>
    <w:rsid w:val="00D1701A"/>
    <w:rsid w:val="00D1703F"/>
    <w:rsid w:val="00D1708D"/>
    <w:rsid w:val="00D170B4"/>
    <w:rsid w:val="00D17121"/>
    <w:rsid w:val="00D17161"/>
    <w:rsid w:val="00D172BA"/>
    <w:rsid w:val="00D17477"/>
    <w:rsid w:val="00D1753E"/>
    <w:rsid w:val="00D17671"/>
    <w:rsid w:val="00D176EC"/>
    <w:rsid w:val="00D17732"/>
    <w:rsid w:val="00D1777D"/>
    <w:rsid w:val="00D178A8"/>
    <w:rsid w:val="00D178AA"/>
    <w:rsid w:val="00D179E6"/>
    <w:rsid w:val="00D179F8"/>
    <w:rsid w:val="00D17AC9"/>
    <w:rsid w:val="00D17BC8"/>
    <w:rsid w:val="00D17BC9"/>
    <w:rsid w:val="00D17BDB"/>
    <w:rsid w:val="00D17C25"/>
    <w:rsid w:val="00D17C67"/>
    <w:rsid w:val="00D17C78"/>
    <w:rsid w:val="00D17D0F"/>
    <w:rsid w:val="00D17E31"/>
    <w:rsid w:val="00D17E5E"/>
    <w:rsid w:val="00D17EF6"/>
    <w:rsid w:val="00D17F9C"/>
    <w:rsid w:val="00D2005A"/>
    <w:rsid w:val="00D200A0"/>
    <w:rsid w:val="00D201AF"/>
    <w:rsid w:val="00D2024F"/>
    <w:rsid w:val="00D202AF"/>
    <w:rsid w:val="00D2036C"/>
    <w:rsid w:val="00D204EE"/>
    <w:rsid w:val="00D20533"/>
    <w:rsid w:val="00D2058F"/>
    <w:rsid w:val="00D20688"/>
    <w:rsid w:val="00D2073F"/>
    <w:rsid w:val="00D20751"/>
    <w:rsid w:val="00D207BD"/>
    <w:rsid w:val="00D207FC"/>
    <w:rsid w:val="00D2084C"/>
    <w:rsid w:val="00D2088E"/>
    <w:rsid w:val="00D208FB"/>
    <w:rsid w:val="00D20951"/>
    <w:rsid w:val="00D20994"/>
    <w:rsid w:val="00D20B6A"/>
    <w:rsid w:val="00D20C0E"/>
    <w:rsid w:val="00D20C4E"/>
    <w:rsid w:val="00D20C5A"/>
    <w:rsid w:val="00D20CBC"/>
    <w:rsid w:val="00D20D30"/>
    <w:rsid w:val="00D20E7F"/>
    <w:rsid w:val="00D20EAA"/>
    <w:rsid w:val="00D20EE2"/>
    <w:rsid w:val="00D21099"/>
    <w:rsid w:val="00D210FF"/>
    <w:rsid w:val="00D2120E"/>
    <w:rsid w:val="00D2121D"/>
    <w:rsid w:val="00D212C7"/>
    <w:rsid w:val="00D21310"/>
    <w:rsid w:val="00D213F4"/>
    <w:rsid w:val="00D21484"/>
    <w:rsid w:val="00D215B9"/>
    <w:rsid w:val="00D2187F"/>
    <w:rsid w:val="00D218B9"/>
    <w:rsid w:val="00D21992"/>
    <w:rsid w:val="00D219CD"/>
    <w:rsid w:val="00D21B7F"/>
    <w:rsid w:val="00D21C3E"/>
    <w:rsid w:val="00D21D2E"/>
    <w:rsid w:val="00D21D6E"/>
    <w:rsid w:val="00D21D9E"/>
    <w:rsid w:val="00D21DC4"/>
    <w:rsid w:val="00D21E53"/>
    <w:rsid w:val="00D21F3C"/>
    <w:rsid w:val="00D2201C"/>
    <w:rsid w:val="00D22144"/>
    <w:rsid w:val="00D22156"/>
    <w:rsid w:val="00D2215C"/>
    <w:rsid w:val="00D221C8"/>
    <w:rsid w:val="00D221E2"/>
    <w:rsid w:val="00D22499"/>
    <w:rsid w:val="00D22519"/>
    <w:rsid w:val="00D2262D"/>
    <w:rsid w:val="00D22794"/>
    <w:rsid w:val="00D22815"/>
    <w:rsid w:val="00D2287D"/>
    <w:rsid w:val="00D22942"/>
    <w:rsid w:val="00D22995"/>
    <w:rsid w:val="00D22A15"/>
    <w:rsid w:val="00D22B85"/>
    <w:rsid w:val="00D22CD4"/>
    <w:rsid w:val="00D22D99"/>
    <w:rsid w:val="00D22DF3"/>
    <w:rsid w:val="00D22E60"/>
    <w:rsid w:val="00D22EAB"/>
    <w:rsid w:val="00D22F37"/>
    <w:rsid w:val="00D22FDD"/>
    <w:rsid w:val="00D2303F"/>
    <w:rsid w:val="00D23104"/>
    <w:rsid w:val="00D231D0"/>
    <w:rsid w:val="00D231F1"/>
    <w:rsid w:val="00D23298"/>
    <w:rsid w:val="00D233DE"/>
    <w:rsid w:val="00D234ED"/>
    <w:rsid w:val="00D23585"/>
    <w:rsid w:val="00D23587"/>
    <w:rsid w:val="00D2362D"/>
    <w:rsid w:val="00D23714"/>
    <w:rsid w:val="00D2378A"/>
    <w:rsid w:val="00D2379F"/>
    <w:rsid w:val="00D23A32"/>
    <w:rsid w:val="00D23A73"/>
    <w:rsid w:val="00D23AAC"/>
    <w:rsid w:val="00D23AC8"/>
    <w:rsid w:val="00D23AE6"/>
    <w:rsid w:val="00D23B0A"/>
    <w:rsid w:val="00D23BA1"/>
    <w:rsid w:val="00D23BFB"/>
    <w:rsid w:val="00D23BFE"/>
    <w:rsid w:val="00D23D14"/>
    <w:rsid w:val="00D23D45"/>
    <w:rsid w:val="00D23D66"/>
    <w:rsid w:val="00D23D76"/>
    <w:rsid w:val="00D23D97"/>
    <w:rsid w:val="00D23DEC"/>
    <w:rsid w:val="00D23E5B"/>
    <w:rsid w:val="00D23EAB"/>
    <w:rsid w:val="00D23F98"/>
    <w:rsid w:val="00D23FF1"/>
    <w:rsid w:val="00D2400A"/>
    <w:rsid w:val="00D2401A"/>
    <w:rsid w:val="00D2402E"/>
    <w:rsid w:val="00D24062"/>
    <w:rsid w:val="00D24179"/>
    <w:rsid w:val="00D24198"/>
    <w:rsid w:val="00D24361"/>
    <w:rsid w:val="00D2440A"/>
    <w:rsid w:val="00D2447D"/>
    <w:rsid w:val="00D244AF"/>
    <w:rsid w:val="00D244FB"/>
    <w:rsid w:val="00D2452D"/>
    <w:rsid w:val="00D2455F"/>
    <w:rsid w:val="00D245B2"/>
    <w:rsid w:val="00D245EC"/>
    <w:rsid w:val="00D24611"/>
    <w:rsid w:val="00D24622"/>
    <w:rsid w:val="00D24634"/>
    <w:rsid w:val="00D246D6"/>
    <w:rsid w:val="00D24802"/>
    <w:rsid w:val="00D2486D"/>
    <w:rsid w:val="00D24893"/>
    <w:rsid w:val="00D24944"/>
    <w:rsid w:val="00D24984"/>
    <w:rsid w:val="00D24AA1"/>
    <w:rsid w:val="00D24AA4"/>
    <w:rsid w:val="00D24ACB"/>
    <w:rsid w:val="00D24B06"/>
    <w:rsid w:val="00D24B0A"/>
    <w:rsid w:val="00D24B8A"/>
    <w:rsid w:val="00D24C27"/>
    <w:rsid w:val="00D24C8F"/>
    <w:rsid w:val="00D24E57"/>
    <w:rsid w:val="00D24E94"/>
    <w:rsid w:val="00D24F2C"/>
    <w:rsid w:val="00D24F90"/>
    <w:rsid w:val="00D2509C"/>
    <w:rsid w:val="00D250B1"/>
    <w:rsid w:val="00D250E0"/>
    <w:rsid w:val="00D25150"/>
    <w:rsid w:val="00D25210"/>
    <w:rsid w:val="00D25246"/>
    <w:rsid w:val="00D25313"/>
    <w:rsid w:val="00D25349"/>
    <w:rsid w:val="00D2541F"/>
    <w:rsid w:val="00D2544B"/>
    <w:rsid w:val="00D254C3"/>
    <w:rsid w:val="00D254F5"/>
    <w:rsid w:val="00D2552D"/>
    <w:rsid w:val="00D2564D"/>
    <w:rsid w:val="00D256D4"/>
    <w:rsid w:val="00D256F1"/>
    <w:rsid w:val="00D2574A"/>
    <w:rsid w:val="00D2587E"/>
    <w:rsid w:val="00D258A2"/>
    <w:rsid w:val="00D259C4"/>
    <w:rsid w:val="00D25A2D"/>
    <w:rsid w:val="00D25A4A"/>
    <w:rsid w:val="00D25A6D"/>
    <w:rsid w:val="00D25A77"/>
    <w:rsid w:val="00D25A7A"/>
    <w:rsid w:val="00D25A81"/>
    <w:rsid w:val="00D25ABD"/>
    <w:rsid w:val="00D25BA7"/>
    <w:rsid w:val="00D25E9F"/>
    <w:rsid w:val="00D25F7C"/>
    <w:rsid w:val="00D260CE"/>
    <w:rsid w:val="00D261BA"/>
    <w:rsid w:val="00D26289"/>
    <w:rsid w:val="00D262D7"/>
    <w:rsid w:val="00D2632B"/>
    <w:rsid w:val="00D2633E"/>
    <w:rsid w:val="00D26423"/>
    <w:rsid w:val="00D2646A"/>
    <w:rsid w:val="00D26500"/>
    <w:rsid w:val="00D26639"/>
    <w:rsid w:val="00D26642"/>
    <w:rsid w:val="00D26704"/>
    <w:rsid w:val="00D26886"/>
    <w:rsid w:val="00D268DA"/>
    <w:rsid w:val="00D26987"/>
    <w:rsid w:val="00D26A79"/>
    <w:rsid w:val="00D26A7B"/>
    <w:rsid w:val="00D26A86"/>
    <w:rsid w:val="00D26ADD"/>
    <w:rsid w:val="00D26AEC"/>
    <w:rsid w:val="00D26B47"/>
    <w:rsid w:val="00D26BC5"/>
    <w:rsid w:val="00D26C59"/>
    <w:rsid w:val="00D26C70"/>
    <w:rsid w:val="00D26C72"/>
    <w:rsid w:val="00D26D44"/>
    <w:rsid w:val="00D26DB4"/>
    <w:rsid w:val="00D26E46"/>
    <w:rsid w:val="00D26F97"/>
    <w:rsid w:val="00D2703A"/>
    <w:rsid w:val="00D2716C"/>
    <w:rsid w:val="00D2725B"/>
    <w:rsid w:val="00D272C7"/>
    <w:rsid w:val="00D2735B"/>
    <w:rsid w:val="00D273D7"/>
    <w:rsid w:val="00D27492"/>
    <w:rsid w:val="00D27576"/>
    <w:rsid w:val="00D275D9"/>
    <w:rsid w:val="00D275DD"/>
    <w:rsid w:val="00D2770F"/>
    <w:rsid w:val="00D277FD"/>
    <w:rsid w:val="00D27888"/>
    <w:rsid w:val="00D2793D"/>
    <w:rsid w:val="00D279A0"/>
    <w:rsid w:val="00D27AA5"/>
    <w:rsid w:val="00D27B45"/>
    <w:rsid w:val="00D27C8E"/>
    <w:rsid w:val="00D27D16"/>
    <w:rsid w:val="00D27DBD"/>
    <w:rsid w:val="00D27DD4"/>
    <w:rsid w:val="00D27E71"/>
    <w:rsid w:val="00D27FB9"/>
    <w:rsid w:val="00D300BF"/>
    <w:rsid w:val="00D301FE"/>
    <w:rsid w:val="00D30362"/>
    <w:rsid w:val="00D30364"/>
    <w:rsid w:val="00D30428"/>
    <w:rsid w:val="00D3042E"/>
    <w:rsid w:val="00D3046C"/>
    <w:rsid w:val="00D30546"/>
    <w:rsid w:val="00D30603"/>
    <w:rsid w:val="00D30641"/>
    <w:rsid w:val="00D306B2"/>
    <w:rsid w:val="00D306B7"/>
    <w:rsid w:val="00D306D9"/>
    <w:rsid w:val="00D3075B"/>
    <w:rsid w:val="00D30776"/>
    <w:rsid w:val="00D307BC"/>
    <w:rsid w:val="00D3093C"/>
    <w:rsid w:val="00D3095E"/>
    <w:rsid w:val="00D30AA7"/>
    <w:rsid w:val="00D30B07"/>
    <w:rsid w:val="00D30B40"/>
    <w:rsid w:val="00D30B53"/>
    <w:rsid w:val="00D30D7D"/>
    <w:rsid w:val="00D30ED5"/>
    <w:rsid w:val="00D30F0B"/>
    <w:rsid w:val="00D30FCA"/>
    <w:rsid w:val="00D30FF8"/>
    <w:rsid w:val="00D31100"/>
    <w:rsid w:val="00D3116A"/>
    <w:rsid w:val="00D3117F"/>
    <w:rsid w:val="00D3118D"/>
    <w:rsid w:val="00D311B4"/>
    <w:rsid w:val="00D311BE"/>
    <w:rsid w:val="00D312BF"/>
    <w:rsid w:val="00D3140A"/>
    <w:rsid w:val="00D31421"/>
    <w:rsid w:val="00D31475"/>
    <w:rsid w:val="00D31518"/>
    <w:rsid w:val="00D316C5"/>
    <w:rsid w:val="00D317FE"/>
    <w:rsid w:val="00D3187F"/>
    <w:rsid w:val="00D3190F"/>
    <w:rsid w:val="00D31A29"/>
    <w:rsid w:val="00D31A2F"/>
    <w:rsid w:val="00D31ACC"/>
    <w:rsid w:val="00D31CAF"/>
    <w:rsid w:val="00D31CD6"/>
    <w:rsid w:val="00D31CF2"/>
    <w:rsid w:val="00D31DAC"/>
    <w:rsid w:val="00D31DD6"/>
    <w:rsid w:val="00D31E91"/>
    <w:rsid w:val="00D31F20"/>
    <w:rsid w:val="00D31F50"/>
    <w:rsid w:val="00D31F6B"/>
    <w:rsid w:val="00D31F7C"/>
    <w:rsid w:val="00D31FAD"/>
    <w:rsid w:val="00D31FAF"/>
    <w:rsid w:val="00D31FD5"/>
    <w:rsid w:val="00D32039"/>
    <w:rsid w:val="00D320A5"/>
    <w:rsid w:val="00D320B6"/>
    <w:rsid w:val="00D320CE"/>
    <w:rsid w:val="00D320DC"/>
    <w:rsid w:val="00D3211E"/>
    <w:rsid w:val="00D3212F"/>
    <w:rsid w:val="00D32184"/>
    <w:rsid w:val="00D32197"/>
    <w:rsid w:val="00D321C7"/>
    <w:rsid w:val="00D32209"/>
    <w:rsid w:val="00D323A2"/>
    <w:rsid w:val="00D32441"/>
    <w:rsid w:val="00D324C1"/>
    <w:rsid w:val="00D324D3"/>
    <w:rsid w:val="00D32506"/>
    <w:rsid w:val="00D3253C"/>
    <w:rsid w:val="00D32627"/>
    <w:rsid w:val="00D3268F"/>
    <w:rsid w:val="00D32691"/>
    <w:rsid w:val="00D326CE"/>
    <w:rsid w:val="00D32715"/>
    <w:rsid w:val="00D3277D"/>
    <w:rsid w:val="00D32994"/>
    <w:rsid w:val="00D32B3A"/>
    <w:rsid w:val="00D32B8B"/>
    <w:rsid w:val="00D32C0C"/>
    <w:rsid w:val="00D32C80"/>
    <w:rsid w:val="00D32D09"/>
    <w:rsid w:val="00D32D1C"/>
    <w:rsid w:val="00D32D87"/>
    <w:rsid w:val="00D32DC6"/>
    <w:rsid w:val="00D32E88"/>
    <w:rsid w:val="00D32EAF"/>
    <w:rsid w:val="00D32EF0"/>
    <w:rsid w:val="00D32F4E"/>
    <w:rsid w:val="00D33019"/>
    <w:rsid w:val="00D33034"/>
    <w:rsid w:val="00D3306F"/>
    <w:rsid w:val="00D330A9"/>
    <w:rsid w:val="00D33113"/>
    <w:rsid w:val="00D33247"/>
    <w:rsid w:val="00D3325A"/>
    <w:rsid w:val="00D332DB"/>
    <w:rsid w:val="00D33314"/>
    <w:rsid w:val="00D3349E"/>
    <w:rsid w:val="00D3349F"/>
    <w:rsid w:val="00D33533"/>
    <w:rsid w:val="00D3360B"/>
    <w:rsid w:val="00D337AA"/>
    <w:rsid w:val="00D33A22"/>
    <w:rsid w:val="00D33A4A"/>
    <w:rsid w:val="00D33A68"/>
    <w:rsid w:val="00D33AB8"/>
    <w:rsid w:val="00D33AEF"/>
    <w:rsid w:val="00D33AFA"/>
    <w:rsid w:val="00D33B2A"/>
    <w:rsid w:val="00D33B30"/>
    <w:rsid w:val="00D33BED"/>
    <w:rsid w:val="00D33C1E"/>
    <w:rsid w:val="00D33D77"/>
    <w:rsid w:val="00D33E7C"/>
    <w:rsid w:val="00D33EAB"/>
    <w:rsid w:val="00D33F4D"/>
    <w:rsid w:val="00D33F82"/>
    <w:rsid w:val="00D340AC"/>
    <w:rsid w:val="00D340F5"/>
    <w:rsid w:val="00D34145"/>
    <w:rsid w:val="00D34213"/>
    <w:rsid w:val="00D342AB"/>
    <w:rsid w:val="00D343F4"/>
    <w:rsid w:val="00D34441"/>
    <w:rsid w:val="00D344A4"/>
    <w:rsid w:val="00D344ED"/>
    <w:rsid w:val="00D345C5"/>
    <w:rsid w:val="00D345E5"/>
    <w:rsid w:val="00D34660"/>
    <w:rsid w:val="00D347BA"/>
    <w:rsid w:val="00D3485C"/>
    <w:rsid w:val="00D34862"/>
    <w:rsid w:val="00D34877"/>
    <w:rsid w:val="00D348E4"/>
    <w:rsid w:val="00D349E9"/>
    <w:rsid w:val="00D34A0C"/>
    <w:rsid w:val="00D34A72"/>
    <w:rsid w:val="00D34AAB"/>
    <w:rsid w:val="00D34ABF"/>
    <w:rsid w:val="00D34AFF"/>
    <w:rsid w:val="00D34B07"/>
    <w:rsid w:val="00D34B6B"/>
    <w:rsid w:val="00D34C38"/>
    <w:rsid w:val="00D34C39"/>
    <w:rsid w:val="00D34C6B"/>
    <w:rsid w:val="00D34C6D"/>
    <w:rsid w:val="00D34D16"/>
    <w:rsid w:val="00D34DA0"/>
    <w:rsid w:val="00D34E99"/>
    <w:rsid w:val="00D34EA1"/>
    <w:rsid w:val="00D34EF5"/>
    <w:rsid w:val="00D34F24"/>
    <w:rsid w:val="00D351B7"/>
    <w:rsid w:val="00D352CB"/>
    <w:rsid w:val="00D352D8"/>
    <w:rsid w:val="00D35385"/>
    <w:rsid w:val="00D3546B"/>
    <w:rsid w:val="00D35516"/>
    <w:rsid w:val="00D3557F"/>
    <w:rsid w:val="00D35601"/>
    <w:rsid w:val="00D356CE"/>
    <w:rsid w:val="00D356E9"/>
    <w:rsid w:val="00D356F0"/>
    <w:rsid w:val="00D35991"/>
    <w:rsid w:val="00D35998"/>
    <w:rsid w:val="00D359AF"/>
    <w:rsid w:val="00D35A33"/>
    <w:rsid w:val="00D35A55"/>
    <w:rsid w:val="00D35B63"/>
    <w:rsid w:val="00D35B90"/>
    <w:rsid w:val="00D35C08"/>
    <w:rsid w:val="00D35CA8"/>
    <w:rsid w:val="00D35CB0"/>
    <w:rsid w:val="00D35D66"/>
    <w:rsid w:val="00D35D7B"/>
    <w:rsid w:val="00D35DD3"/>
    <w:rsid w:val="00D35FCE"/>
    <w:rsid w:val="00D35FD8"/>
    <w:rsid w:val="00D360E1"/>
    <w:rsid w:val="00D361D9"/>
    <w:rsid w:val="00D361DB"/>
    <w:rsid w:val="00D36211"/>
    <w:rsid w:val="00D3621B"/>
    <w:rsid w:val="00D3644A"/>
    <w:rsid w:val="00D3656A"/>
    <w:rsid w:val="00D36588"/>
    <w:rsid w:val="00D36589"/>
    <w:rsid w:val="00D36664"/>
    <w:rsid w:val="00D36777"/>
    <w:rsid w:val="00D367F4"/>
    <w:rsid w:val="00D36865"/>
    <w:rsid w:val="00D36945"/>
    <w:rsid w:val="00D3696F"/>
    <w:rsid w:val="00D36987"/>
    <w:rsid w:val="00D3698B"/>
    <w:rsid w:val="00D36996"/>
    <w:rsid w:val="00D36A17"/>
    <w:rsid w:val="00D36AE0"/>
    <w:rsid w:val="00D36B91"/>
    <w:rsid w:val="00D36C4B"/>
    <w:rsid w:val="00D36C4C"/>
    <w:rsid w:val="00D36C7A"/>
    <w:rsid w:val="00D36CB7"/>
    <w:rsid w:val="00D36CEC"/>
    <w:rsid w:val="00D36CF2"/>
    <w:rsid w:val="00D36D2F"/>
    <w:rsid w:val="00D36E16"/>
    <w:rsid w:val="00D36EF7"/>
    <w:rsid w:val="00D36FF3"/>
    <w:rsid w:val="00D37286"/>
    <w:rsid w:val="00D372FD"/>
    <w:rsid w:val="00D37330"/>
    <w:rsid w:val="00D3737D"/>
    <w:rsid w:val="00D3739C"/>
    <w:rsid w:val="00D373A6"/>
    <w:rsid w:val="00D373AE"/>
    <w:rsid w:val="00D373D8"/>
    <w:rsid w:val="00D37408"/>
    <w:rsid w:val="00D3747C"/>
    <w:rsid w:val="00D3748A"/>
    <w:rsid w:val="00D374AA"/>
    <w:rsid w:val="00D37577"/>
    <w:rsid w:val="00D3767A"/>
    <w:rsid w:val="00D376B3"/>
    <w:rsid w:val="00D376F4"/>
    <w:rsid w:val="00D3773A"/>
    <w:rsid w:val="00D3777D"/>
    <w:rsid w:val="00D377A7"/>
    <w:rsid w:val="00D377E0"/>
    <w:rsid w:val="00D37903"/>
    <w:rsid w:val="00D37A72"/>
    <w:rsid w:val="00D37A8F"/>
    <w:rsid w:val="00D37B69"/>
    <w:rsid w:val="00D37BB0"/>
    <w:rsid w:val="00D37DB9"/>
    <w:rsid w:val="00D37DE5"/>
    <w:rsid w:val="00D37E06"/>
    <w:rsid w:val="00D37E56"/>
    <w:rsid w:val="00D37E94"/>
    <w:rsid w:val="00D37F1C"/>
    <w:rsid w:val="00D37F5A"/>
    <w:rsid w:val="00D37F77"/>
    <w:rsid w:val="00D37FCD"/>
    <w:rsid w:val="00D40056"/>
    <w:rsid w:val="00D400A9"/>
    <w:rsid w:val="00D400D4"/>
    <w:rsid w:val="00D4016F"/>
    <w:rsid w:val="00D40237"/>
    <w:rsid w:val="00D40244"/>
    <w:rsid w:val="00D4028F"/>
    <w:rsid w:val="00D40365"/>
    <w:rsid w:val="00D40371"/>
    <w:rsid w:val="00D4037F"/>
    <w:rsid w:val="00D40381"/>
    <w:rsid w:val="00D403CF"/>
    <w:rsid w:val="00D40402"/>
    <w:rsid w:val="00D40466"/>
    <w:rsid w:val="00D4052B"/>
    <w:rsid w:val="00D405A5"/>
    <w:rsid w:val="00D405BE"/>
    <w:rsid w:val="00D405CF"/>
    <w:rsid w:val="00D405DA"/>
    <w:rsid w:val="00D4063C"/>
    <w:rsid w:val="00D40690"/>
    <w:rsid w:val="00D406F6"/>
    <w:rsid w:val="00D40753"/>
    <w:rsid w:val="00D4077A"/>
    <w:rsid w:val="00D40796"/>
    <w:rsid w:val="00D40797"/>
    <w:rsid w:val="00D409D1"/>
    <w:rsid w:val="00D40AA2"/>
    <w:rsid w:val="00D40AB5"/>
    <w:rsid w:val="00D40B02"/>
    <w:rsid w:val="00D40BFF"/>
    <w:rsid w:val="00D40C98"/>
    <w:rsid w:val="00D40D7E"/>
    <w:rsid w:val="00D40DC0"/>
    <w:rsid w:val="00D40EF1"/>
    <w:rsid w:val="00D40F84"/>
    <w:rsid w:val="00D40FB2"/>
    <w:rsid w:val="00D40FC3"/>
    <w:rsid w:val="00D40FED"/>
    <w:rsid w:val="00D410FB"/>
    <w:rsid w:val="00D411AB"/>
    <w:rsid w:val="00D411D1"/>
    <w:rsid w:val="00D41306"/>
    <w:rsid w:val="00D4131E"/>
    <w:rsid w:val="00D4138B"/>
    <w:rsid w:val="00D413A2"/>
    <w:rsid w:val="00D41577"/>
    <w:rsid w:val="00D4161D"/>
    <w:rsid w:val="00D417EE"/>
    <w:rsid w:val="00D417F5"/>
    <w:rsid w:val="00D418B9"/>
    <w:rsid w:val="00D418F3"/>
    <w:rsid w:val="00D41984"/>
    <w:rsid w:val="00D419D1"/>
    <w:rsid w:val="00D41A05"/>
    <w:rsid w:val="00D41A47"/>
    <w:rsid w:val="00D41B5E"/>
    <w:rsid w:val="00D41B90"/>
    <w:rsid w:val="00D41C89"/>
    <w:rsid w:val="00D41D66"/>
    <w:rsid w:val="00D41E6E"/>
    <w:rsid w:val="00D41E77"/>
    <w:rsid w:val="00D421C9"/>
    <w:rsid w:val="00D421FA"/>
    <w:rsid w:val="00D4229C"/>
    <w:rsid w:val="00D4240E"/>
    <w:rsid w:val="00D4249A"/>
    <w:rsid w:val="00D424F9"/>
    <w:rsid w:val="00D42640"/>
    <w:rsid w:val="00D42709"/>
    <w:rsid w:val="00D428D8"/>
    <w:rsid w:val="00D42902"/>
    <w:rsid w:val="00D42994"/>
    <w:rsid w:val="00D42B03"/>
    <w:rsid w:val="00D42BF9"/>
    <w:rsid w:val="00D42C5A"/>
    <w:rsid w:val="00D42C6D"/>
    <w:rsid w:val="00D42D22"/>
    <w:rsid w:val="00D42D7A"/>
    <w:rsid w:val="00D42D98"/>
    <w:rsid w:val="00D42E35"/>
    <w:rsid w:val="00D42E4D"/>
    <w:rsid w:val="00D42EC9"/>
    <w:rsid w:val="00D42F43"/>
    <w:rsid w:val="00D42FE9"/>
    <w:rsid w:val="00D430B3"/>
    <w:rsid w:val="00D431E6"/>
    <w:rsid w:val="00D43221"/>
    <w:rsid w:val="00D43337"/>
    <w:rsid w:val="00D4336A"/>
    <w:rsid w:val="00D434F2"/>
    <w:rsid w:val="00D4361F"/>
    <w:rsid w:val="00D43741"/>
    <w:rsid w:val="00D437C4"/>
    <w:rsid w:val="00D43898"/>
    <w:rsid w:val="00D438FE"/>
    <w:rsid w:val="00D43966"/>
    <w:rsid w:val="00D439A0"/>
    <w:rsid w:val="00D439F5"/>
    <w:rsid w:val="00D439FE"/>
    <w:rsid w:val="00D43A28"/>
    <w:rsid w:val="00D43B79"/>
    <w:rsid w:val="00D43B8D"/>
    <w:rsid w:val="00D43BE0"/>
    <w:rsid w:val="00D43C27"/>
    <w:rsid w:val="00D43C8E"/>
    <w:rsid w:val="00D43CB2"/>
    <w:rsid w:val="00D43D67"/>
    <w:rsid w:val="00D43DE0"/>
    <w:rsid w:val="00D43E1A"/>
    <w:rsid w:val="00D43E62"/>
    <w:rsid w:val="00D43E6E"/>
    <w:rsid w:val="00D43F07"/>
    <w:rsid w:val="00D44032"/>
    <w:rsid w:val="00D440D8"/>
    <w:rsid w:val="00D441A6"/>
    <w:rsid w:val="00D4422E"/>
    <w:rsid w:val="00D44283"/>
    <w:rsid w:val="00D4428B"/>
    <w:rsid w:val="00D442B2"/>
    <w:rsid w:val="00D442D6"/>
    <w:rsid w:val="00D442F4"/>
    <w:rsid w:val="00D442FB"/>
    <w:rsid w:val="00D446AD"/>
    <w:rsid w:val="00D446BD"/>
    <w:rsid w:val="00D4484E"/>
    <w:rsid w:val="00D44859"/>
    <w:rsid w:val="00D4488F"/>
    <w:rsid w:val="00D448A4"/>
    <w:rsid w:val="00D448C9"/>
    <w:rsid w:val="00D448D8"/>
    <w:rsid w:val="00D44AC1"/>
    <w:rsid w:val="00D44AEC"/>
    <w:rsid w:val="00D44DA2"/>
    <w:rsid w:val="00D44E2F"/>
    <w:rsid w:val="00D44F5D"/>
    <w:rsid w:val="00D44FE9"/>
    <w:rsid w:val="00D4501B"/>
    <w:rsid w:val="00D4505C"/>
    <w:rsid w:val="00D450C4"/>
    <w:rsid w:val="00D45112"/>
    <w:rsid w:val="00D451BD"/>
    <w:rsid w:val="00D451E2"/>
    <w:rsid w:val="00D45441"/>
    <w:rsid w:val="00D4552C"/>
    <w:rsid w:val="00D4560D"/>
    <w:rsid w:val="00D4563A"/>
    <w:rsid w:val="00D4568E"/>
    <w:rsid w:val="00D456FB"/>
    <w:rsid w:val="00D457B8"/>
    <w:rsid w:val="00D4580F"/>
    <w:rsid w:val="00D45840"/>
    <w:rsid w:val="00D4585E"/>
    <w:rsid w:val="00D45863"/>
    <w:rsid w:val="00D458F7"/>
    <w:rsid w:val="00D4596E"/>
    <w:rsid w:val="00D45A15"/>
    <w:rsid w:val="00D45B9C"/>
    <w:rsid w:val="00D45BC8"/>
    <w:rsid w:val="00D45C3F"/>
    <w:rsid w:val="00D45C44"/>
    <w:rsid w:val="00D45C6B"/>
    <w:rsid w:val="00D45CBE"/>
    <w:rsid w:val="00D45CCB"/>
    <w:rsid w:val="00D45D34"/>
    <w:rsid w:val="00D45DC5"/>
    <w:rsid w:val="00D45EF0"/>
    <w:rsid w:val="00D46045"/>
    <w:rsid w:val="00D46112"/>
    <w:rsid w:val="00D46119"/>
    <w:rsid w:val="00D4618D"/>
    <w:rsid w:val="00D461FD"/>
    <w:rsid w:val="00D4625B"/>
    <w:rsid w:val="00D462D6"/>
    <w:rsid w:val="00D46373"/>
    <w:rsid w:val="00D46375"/>
    <w:rsid w:val="00D4641D"/>
    <w:rsid w:val="00D46496"/>
    <w:rsid w:val="00D464CA"/>
    <w:rsid w:val="00D46524"/>
    <w:rsid w:val="00D4657C"/>
    <w:rsid w:val="00D465C6"/>
    <w:rsid w:val="00D46630"/>
    <w:rsid w:val="00D466A1"/>
    <w:rsid w:val="00D466DF"/>
    <w:rsid w:val="00D46724"/>
    <w:rsid w:val="00D46755"/>
    <w:rsid w:val="00D467C9"/>
    <w:rsid w:val="00D4680D"/>
    <w:rsid w:val="00D4688F"/>
    <w:rsid w:val="00D46893"/>
    <w:rsid w:val="00D46954"/>
    <w:rsid w:val="00D46981"/>
    <w:rsid w:val="00D469C6"/>
    <w:rsid w:val="00D469E3"/>
    <w:rsid w:val="00D46A8E"/>
    <w:rsid w:val="00D46AF9"/>
    <w:rsid w:val="00D46BC2"/>
    <w:rsid w:val="00D46BC8"/>
    <w:rsid w:val="00D46C58"/>
    <w:rsid w:val="00D46CB7"/>
    <w:rsid w:val="00D46D67"/>
    <w:rsid w:val="00D46EC3"/>
    <w:rsid w:val="00D46EE9"/>
    <w:rsid w:val="00D46F21"/>
    <w:rsid w:val="00D46F5A"/>
    <w:rsid w:val="00D46FF9"/>
    <w:rsid w:val="00D471CE"/>
    <w:rsid w:val="00D471D8"/>
    <w:rsid w:val="00D471DC"/>
    <w:rsid w:val="00D472BF"/>
    <w:rsid w:val="00D4733D"/>
    <w:rsid w:val="00D4737E"/>
    <w:rsid w:val="00D473A0"/>
    <w:rsid w:val="00D474E2"/>
    <w:rsid w:val="00D47584"/>
    <w:rsid w:val="00D47621"/>
    <w:rsid w:val="00D47651"/>
    <w:rsid w:val="00D47721"/>
    <w:rsid w:val="00D47731"/>
    <w:rsid w:val="00D47859"/>
    <w:rsid w:val="00D47902"/>
    <w:rsid w:val="00D4798B"/>
    <w:rsid w:val="00D47A29"/>
    <w:rsid w:val="00D47B58"/>
    <w:rsid w:val="00D47B88"/>
    <w:rsid w:val="00D47B8D"/>
    <w:rsid w:val="00D47BAB"/>
    <w:rsid w:val="00D47C7A"/>
    <w:rsid w:val="00D47D5F"/>
    <w:rsid w:val="00D47D98"/>
    <w:rsid w:val="00D47DA8"/>
    <w:rsid w:val="00D47E50"/>
    <w:rsid w:val="00D47EED"/>
    <w:rsid w:val="00D47F2F"/>
    <w:rsid w:val="00D500CC"/>
    <w:rsid w:val="00D500FB"/>
    <w:rsid w:val="00D50137"/>
    <w:rsid w:val="00D50140"/>
    <w:rsid w:val="00D501A5"/>
    <w:rsid w:val="00D50225"/>
    <w:rsid w:val="00D50310"/>
    <w:rsid w:val="00D50410"/>
    <w:rsid w:val="00D50473"/>
    <w:rsid w:val="00D5048A"/>
    <w:rsid w:val="00D50515"/>
    <w:rsid w:val="00D5074E"/>
    <w:rsid w:val="00D507BD"/>
    <w:rsid w:val="00D507F7"/>
    <w:rsid w:val="00D508AE"/>
    <w:rsid w:val="00D5093F"/>
    <w:rsid w:val="00D509B0"/>
    <w:rsid w:val="00D50AAC"/>
    <w:rsid w:val="00D50B3F"/>
    <w:rsid w:val="00D50C53"/>
    <w:rsid w:val="00D50C62"/>
    <w:rsid w:val="00D50CDA"/>
    <w:rsid w:val="00D50DAF"/>
    <w:rsid w:val="00D50EB9"/>
    <w:rsid w:val="00D51037"/>
    <w:rsid w:val="00D510CD"/>
    <w:rsid w:val="00D510FD"/>
    <w:rsid w:val="00D511A0"/>
    <w:rsid w:val="00D5129C"/>
    <w:rsid w:val="00D51329"/>
    <w:rsid w:val="00D51464"/>
    <w:rsid w:val="00D51465"/>
    <w:rsid w:val="00D514AC"/>
    <w:rsid w:val="00D514B0"/>
    <w:rsid w:val="00D514CB"/>
    <w:rsid w:val="00D51638"/>
    <w:rsid w:val="00D51639"/>
    <w:rsid w:val="00D51745"/>
    <w:rsid w:val="00D5174F"/>
    <w:rsid w:val="00D5179F"/>
    <w:rsid w:val="00D51812"/>
    <w:rsid w:val="00D5188A"/>
    <w:rsid w:val="00D518F3"/>
    <w:rsid w:val="00D51A37"/>
    <w:rsid w:val="00D51A51"/>
    <w:rsid w:val="00D51B7B"/>
    <w:rsid w:val="00D51BB5"/>
    <w:rsid w:val="00D51C37"/>
    <w:rsid w:val="00D51D44"/>
    <w:rsid w:val="00D51D89"/>
    <w:rsid w:val="00D51DF2"/>
    <w:rsid w:val="00D51EDD"/>
    <w:rsid w:val="00D51F7A"/>
    <w:rsid w:val="00D51FFA"/>
    <w:rsid w:val="00D520B7"/>
    <w:rsid w:val="00D521EF"/>
    <w:rsid w:val="00D522E4"/>
    <w:rsid w:val="00D5232D"/>
    <w:rsid w:val="00D52372"/>
    <w:rsid w:val="00D524A3"/>
    <w:rsid w:val="00D5258D"/>
    <w:rsid w:val="00D525F9"/>
    <w:rsid w:val="00D5263B"/>
    <w:rsid w:val="00D52723"/>
    <w:rsid w:val="00D5274F"/>
    <w:rsid w:val="00D52821"/>
    <w:rsid w:val="00D5285B"/>
    <w:rsid w:val="00D528C2"/>
    <w:rsid w:val="00D52A2E"/>
    <w:rsid w:val="00D52A7A"/>
    <w:rsid w:val="00D52B76"/>
    <w:rsid w:val="00D52C41"/>
    <w:rsid w:val="00D52CA3"/>
    <w:rsid w:val="00D52D10"/>
    <w:rsid w:val="00D52D63"/>
    <w:rsid w:val="00D52E26"/>
    <w:rsid w:val="00D52EA2"/>
    <w:rsid w:val="00D52EB6"/>
    <w:rsid w:val="00D5315D"/>
    <w:rsid w:val="00D53247"/>
    <w:rsid w:val="00D53295"/>
    <w:rsid w:val="00D533B0"/>
    <w:rsid w:val="00D53558"/>
    <w:rsid w:val="00D535F7"/>
    <w:rsid w:val="00D5361C"/>
    <w:rsid w:val="00D537CD"/>
    <w:rsid w:val="00D537D3"/>
    <w:rsid w:val="00D537D8"/>
    <w:rsid w:val="00D5384D"/>
    <w:rsid w:val="00D538C8"/>
    <w:rsid w:val="00D538CA"/>
    <w:rsid w:val="00D538CF"/>
    <w:rsid w:val="00D5392C"/>
    <w:rsid w:val="00D539D4"/>
    <w:rsid w:val="00D539F7"/>
    <w:rsid w:val="00D53ABB"/>
    <w:rsid w:val="00D53B7A"/>
    <w:rsid w:val="00D53C24"/>
    <w:rsid w:val="00D53C33"/>
    <w:rsid w:val="00D53C52"/>
    <w:rsid w:val="00D53C66"/>
    <w:rsid w:val="00D53C82"/>
    <w:rsid w:val="00D53C8C"/>
    <w:rsid w:val="00D53CFD"/>
    <w:rsid w:val="00D53D06"/>
    <w:rsid w:val="00D53DA6"/>
    <w:rsid w:val="00D53DFB"/>
    <w:rsid w:val="00D53F5D"/>
    <w:rsid w:val="00D5406A"/>
    <w:rsid w:val="00D54203"/>
    <w:rsid w:val="00D54393"/>
    <w:rsid w:val="00D54472"/>
    <w:rsid w:val="00D5458B"/>
    <w:rsid w:val="00D54624"/>
    <w:rsid w:val="00D54664"/>
    <w:rsid w:val="00D54678"/>
    <w:rsid w:val="00D547C1"/>
    <w:rsid w:val="00D547FD"/>
    <w:rsid w:val="00D5481B"/>
    <w:rsid w:val="00D548C3"/>
    <w:rsid w:val="00D548F0"/>
    <w:rsid w:val="00D548FF"/>
    <w:rsid w:val="00D54AB2"/>
    <w:rsid w:val="00D54B16"/>
    <w:rsid w:val="00D54B3A"/>
    <w:rsid w:val="00D54BE6"/>
    <w:rsid w:val="00D54C9A"/>
    <w:rsid w:val="00D54D91"/>
    <w:rsid w:val="00D54D9C"/>
    <w:rsid w:val="00D54DB2"/>
    <w:rsid w:val="00D54E45"/>
    <w:rsid w:val="00D5504A"/>
    <w:rsid w:val="00D550A4"/>
    <w:rsid w:val="00D550C7"/>
    <w:rsid w:val="00D550E8"/>
    <w:rsid w:val="00D550ED"/>
    <w:rsid w:val="00D55153"/>
    <w:rsid w:val="00D5515F"/>
    <w:rsid w:val="00D55285"/>
    <w:rsid w:val="00D55302"/>
    <w:rsid w:val="00D55326"/>
    <w:rsid w:val="00D5548F"/>
    <w:rsid w:val="00D554FB"/>
    <w:rsid w:val="00D554FE"/>
    <w:rsid w:val="00D5550E"/>
    <w:rsid w:val="00D55554"/>
    <w:rsid w:val="00D55568"/>
    <w:rsid w:val="00D555CF"/>
    <w:rsid w:val="00D556FF"/>
    <w:rsid w:val="00D55701"/>
    <w:rsid w:val="00D55743"/>
    <w:rsid w:val="00D55750"/>
    <w:rsid w:val="00D5578F"/>
    <w:rsid w:val="00D558AB"/>
    <w:rsid w:val="00D55971"/>
    <w:rsid w:val="00D55A23"/>
    <w:rsid w:val="00D55ABE"/>
    <w:rsid w:val="00D55B0C"/>
    <w:rsid w:val="00D55CCF"/>
    <w:rsid w:val="00D55D06"/>
    <w:rsid w:val="00D55D5B"/>
    <w:rsid w:val="00D55DBE"/>
    <w:rsid w:val="00D55EBB"/>
    <w:rsid w:val="00D55EE5"/>
    <w:rsid w:val="00D55F0C"/>
    <w:rsid w:val="00D56061"/>
    <w:rsid w:val="00D5610A"/>
    <w:rsid w:val="00D56111"/>
    <w:rsid w:val="00D56171"/>
    <w:rsid w:val="00D5620E"/>
    <w:rsid w:val="00D5622A"/>
    <w:rsid w:val="00D5628C"/>
    <w:rsid w:val="00D5644E"/>
    <w:rsid w:val="00D56476"/>
    <w:rsid w:val="00D564FA"/>
    <w:rsid w:val="00D56567"/>
    <w:rsid w:val="00D56584"/>
    <w:rsid w:val="00D565F6"/>
    <w:rsid w:val="00D5660C"/>
    <w:rsid w:val="00D56613"/>
    <w:rsid w:val="00D56778"/>
    <w:rsid w:val="00D56791"/>
    <w:rsid w:val="00D567B3"/>
    <w:rsid w:val="00D56A70"/>
    <w:rsid w:val="00D56A92"/>
    <w:rsid w:val="00D56B27"/>
    <w:rsid w:val="00D56BFF"/>
    <w:rsid w:val="00D56D60"/>
    <w:rsid w:val="00D56E37"/>
    <w:rsid w:val="00D56E7D"/>
    <w:rsid w:val="00D56ED6"/>
    <w:rsid w:val="00D56F65"/>
    <w:rsid w:val="00D56FA3"/>
    <w:rsid w:val="00D57144"/>
    <w:rsid w:val="00D5716D"/>
    <w:rsid w:val="00D5717C"/>
    <w:rsid w:val="00D57204"/>
    <w:rsid w:val="00D57242"/>
    <w:rsid w:val="00D57286"/>
    <w:rsid w:val="00D572E1"/>
    <w:rsid w:val="00D572E2"/>
    <w:rsid w:val="00D5740B"/>
    <w:rsid w:val="00D57479"/>
    <w:rsid w:val="00D5750A"/>
    <w:rsid w:val="00D5756B"/>
    <w:rsid w:val="00D576D2"/>
    <w:rsid w:val="00D57881"/>
    <w:rsid w:val="00D578ED"/>
    <w:rsid w:val="00D579BD"/>
    <w:rsid w:val="00D579DC"/>
    <w:rsid w:val="00D57BCA"/>
    <w:rsid w:val="00D57C6B"/>
    <w:rsid w:val="00D57CAE"/>
    <w:rsid w:val="00D57EC4"/>
    <w:rsid w:val="00D57ED7"/>
    <w:rsid w:val="00D57F60"/>
    <w:rsid w:val="00D57FAB"/>
    <w:rsid w:val="00D57FF4"/>
    <w:rsid w:val="00D600E4"/>
    <w:rsid w:val="00D60119"/>
    <w:rsid w:val="00D60236"/>
    <w:rsid w:val="00D60304"/>
    <w:rsid w:val="00D6032A"/>
    <w:rsid w:val="00D60486"/>
    <w:rsid w:val="00D60574"/>
    <w:rsid w:val="00D605F7"/>
    <w:rsid w:val="00D60825"/>
    <w:rsid w:val="00D6089D"/>
    <w:rsid w:val="00D608DC"/>
    <w:rsid w:val="00D60910"/>
    <w:rsid w:val="00D60AE1"/>
    <w:rsid w:val="00D60AE2"/>
    <w:rsid w:val="00D60AF8"/>
    <w:rsid w:val="00D60B4D"/>
    <w:rsid w:val="00D60C69"/>
    <w:rsid w:val="00D60DA6"/>
    <w:rsid w:val="00D60DB2"/>
    <w:rsid w:val="00D60E78"/>
    <w:rsid w:val="00D60EA9"/>
    <w:rsid w:val="00D60EC8"/>
    <w:rsid w:val="00D60F66"/>
    <w:rsid w:val="00D60F80"/>
    <w:rsid w:val="00D60FF2"/>
    <w:rsid w:val="00D60FFC"/>
    <w:rsid w:val="00D61174"/>
    <w:rsid w:val="00D61261"/>
    <w:rsid w:val="00D61268"/>
    <w:rsid w:val="00D6136C"/>
    <w:rsid w:val="00D61446"/>
    <w:rsid w:val="00D618CC"/>
    <w:rsid w:val="00D6198F"/>
    <w:rsid w:val="00D619C1"/>
    <w:rsid w:val="00D619CB"/>
    <w:rsid w:val="00D61B93"/>
    <w:rsid w:val="00D61CFE"/>
    <w:rsid w:val="00D61D08"/>
    <w:rsid w:val="00D61DB3"/>
    <w:rsid w:val="00D61DF7"/>
    <w:rsid w:val="00D61F99"/>
    <w:rsid w:val="00D6206E"/>
    <w:rsid w:val="00D62104"/>
    <w:rsid w:val="00D6212B"/>
    <w:rsid w:val="00D62137"/>
    <w:rsid w:val="00D622ED"/>
    <w:rsid w:val="00D6234A"/>
    <w:rsid w:val="00D623B6"/>
    <w:rsid w:val="00D62451"/>
    <w:rsid w:val="00D62476"/>
    <w:rsid w:val="00D62508"/>
    <w:rsid w:val="00D6252A"/>
    <w:rsid w:val="00D625A4"/>
    <w:rsid w:val="00D625B2"/>
    <w:rsid w:val="00D62666"/>
    <w:rsid w:val="00D626B7"/>
    <w:rsid w:val="00D62712"/>
    <w:rsid w:val="00D6273D"/>
    <w:rsid w:val="00D62763"/>
    <w:rsid w:val="00D6285F"/>
    <w:rsid w:val="00D6289A"/>
    <w:rsid w:val="00D628D4"/>
    <w:rsid w:val="00D62A25"/>
    <w:rsid w:val="00D62A54"/>
    <w:rsid w:val="00D62A76"/>
    <w:rsid w:val="00D62A8D"/>
    <w:rsid w:val="00D62B9F"/>
    <w:rsid w:val="00D62C71"/>
    <w:rsid w:val="00D62C9B"/>
    <w:rsid w:val="00D62CE4"/>
    <w:rsid w:val="00D62DA2"/>
    <w:rsid w:val="00D62DEE"/>
    <w:rsid w:val="00D62E91"/>
    <w:rsid w:val="00D62F7D"/>
    <w:rsid w:val="00D62FB4"/>
    <w:rsid w:val="00D6309A"/>
    <w:rsid w:val="00D6311E"/>
    <w:rsid w:val="00D6313C"/>
    <w:rsid w:val="00D63156"/>
    <w:rsid w:val="00D631B8"/>
    <w:rsid w:val="00D63219"/>
    <w:rsid w:val="00D63286"/>
    <w:rsid w:val="00D632B8"/>
    <w:rsid w:val="00D632BC"/>
    <w:rsid w:val="00D63376"/>
    <w:rsid w:val="00D6338D"/>
    <w:rsid w:val="00D63453"/>
    <w:rsid w:val="00D63500"/>
    <w:rsid w:val="00D6350C"/>
    <w:rsid w:val="00D6356D"/>
    <w:rsid w:val="00D636B4"/>
    <w:rsid w:val="00D6370E"/>
    <w:rsid w:val="00D637AC"/>
    <w:rsid w:val="00D63833"/>
    <w:rsid w:val="00D6384C"/>
    <w:rsid w:val="00D6395F"/>
    <w:rsid w:val="00D63B08"/>
    <w:rsid w:val="00D63B0F"/>
    <w:rsid w:val="00D63B29"/>
    <w:rsid w:val="00D63C13"/>
    <w:rsid w:val="00D63C23"/>
    <w:rsid w:val="00D63C68"/>
    <w:rsid w:val="00D63CD6"/>
    <w:rsid w:val="00D63D33"/>
    <w:rsid w:val="00D63D40"/>
    <w:rsid w:val="00D63D45"/>
    <w:rsid w:val="00D63E57"/>
    <w:rsid w:val="00D63F05"/>
    <w:rsid w:val="00D63FCE"/>
    <w:rsid w:val="00D640BD"/>
    <w:rsid w:val="00D640DB"/>
    <w:rsid w:val="00D640DE"/>
    <w:rsid w:val="00D64199"/>
    <w:rsid w:val="00D64212"/>
    <w:rsid w:val="00D64351"/>
    <w:rsid w:val="00D64367"/>
    <w:rsid w:val="00D6436B"/>
    <w:rsid w:val="00D643EF"/>
    <w:rsid w:val="00D6459A"/>
    <w:rsid w:val="00D645A9"/>
    <w:rsid w:val="00D645AF"/>
    <w:rsid w:val="00D645B3"/>
    <w:rsid w:val="00D645BB"/>
    <w:rsid w:val="00D645C6"/>
    <w:rsid w:val="00D646AD"/>
    <w:rsid w:val="00D6484B"/>
    <w:rsid w:val="00D64883"/>
    <w:rsid w:val="00D648BE"/>
    <w:rsid w:val="00D648E7"/>
    <w:rsid w:val="00D64929"/>
    <w:rsid w:val="00D6494C"/>
    <w:rsid w:val="00D6497E"/>
    <w:rsid w:val="00D64A03"/>
    <w:rsid w:val="00D64A9B"/>
    <w:rsid w:val="00D64B85"/>
    <w:rsid w:val="00D64C98"/>
    <w:rsid w:val="00D64DD2"/>
    <w:rsid w:val="00D64ED4"/>
    <w:rsid w:val="00D64F95"/>
    <w:rsid w:val="00D65160"/>
    <w:rsid w:val="00D6517B"/>
    <w:rsid w:val="00D6520B"/>
    <w:rsid w:val="00D652C0"/>
    <w:rsid w:val="00D65308"/>
    <w:rsid w:val="00D65340"/>
    <w:rsid w:val="00D654B8"/>
    <w:rsid w:val="00D65521"/>
    <w:rsid w:val="00D655CF"/>
    <w:rsid w:val="00D65635"/>
    <w:rsid w:val="00D65683"/>
    <w:rsid w:val="00D656A0"/>
    <w:rsid w:val="00D6573F"/>
    <w:rsid w:val="00D65742"/>
    <w:rsid w:val="00D65776"/>
    <w:rsid w:val="00D6583B"/>
    <w:rsid w:val="00D65860"/>
    <w:rsid w:val="00D65A0E"/>
    <w:rsid w:val="00D65B37"/>
    <w:rsid w:val="00D65D5B"/>
    <w:rsid w:val="00D65D8E"/>
    <w:rsid w:val="00D65DAD"/>
    <w:rsid w:val="00D65E16"/>
    <w:rsid w:val="00D65E6D"/>
    <w:rsid w:val="00D65E75"/>
    <w:rsid w:val="00D65EB7"/>
    <w:rsid w:val="00D65EDD"/>
    <w:rsid w:val="00D65F21"/>
    <w:rsid w:val="00D65FA6"/>
    <w:rsid w:val="00D65FD3"/>
    <w:rsid w:val="00D6601A"/>
    <w:rsid w:val="00D66049"/>
    <w:rsid w:val="00D660B2"/>
    <w:rsid w:val="00D660ED"/>
    <w:rsid w:val="00D6619C"/>
    <w:rsid w:val="00D663B3"/>
    <w:rsid w:val="00D663BA"/>
    <w:rsid w:val="00D664D5"/>
    <w:rsid w:val="00D6655D"/>
    <w:rsid w:val="00D6663A"/>
    <w:rsid w:val="00D66646"/>
    <w:rsid w:val="00D666A2"/>
    <w:rsid w:val="00D666FB"/>
    <w:rsid w:val="00D66782"/>
    <w:rsid w:val="00D667B7"/>
    <w:rsid w:val="00D6686C"/>
    <w:rsid w:val="00D668A4"/>
    <w:rsid w:val="00D668A6"/>
    <w:rsid w:val="00D6698E"/>
    <w:rsid w:val="00D669ED"/>
    <w:rsid w:val="00D66A5E"/>
    <w:rsid w:val="00D66A86"/>
    <w:rsid w:val="00D66AE9"/>
    <w:rsid w:val="00D66BC4"/>
    <w:rsid w:val="00D66D53"/>
    <w:rsid w:val="00D66D6A"/>
    <w:rsid w:val="00D66D8F"/>
    <w:rsid w:val="00D66DDE"/>
    <w:rsid w:val="00D66DF6"/>
    <w:rsid w:val="00D66E54"/>
    <w:rsid w:val="00D66F70"/>
    <w:rsid w:val="00D66FBF"/>
    <w:rsid w:val="00D67087"/>
    <w:rsid w:val="00D67090"/>
    <w:rsid w:val="00D67100"/>
    <w:rsid w:val="00D672E4"/>
    <w:rsid w:val="00D67300"/>
    <w:rsid w:val="00D675F4"/>
    <w:rsid w:val="00D675FB"/>
    <w:rsid w:val="00D67790"/>
    <w:rsid w:val="00D67791"/>
    <w:rsid w:val="00D677CA"/>
    <w:rsid w:val="00D677E7"/>
    <w:rsid w:val="00D677EF"/>
    <w:rsid w:val="00D677F0"/>
    <w:rsid w:val="00D678F5"/>
    <w:rsid w:val="00D6799E"/>
    <w:rsid w:val="00D679B4"/>
    <w:rsid w:val="00D679E1"/>
    <w:rsid w:val="00D67A8F"/>
    <w:rsid w:val="00D67ADC"/>
    <w:rsid w:val="00D67D52"/>
    <w:rsid w:val="00D67DE5"/>
    <w:rsid w:val="00D67E02"/>
    <w:rsid w:val="00D70039"/>
    <w:rsid w:val="00D7003E"/>
    <w:rsid w:val="00D70384"/>
    <w:rsid w:val="00D70453"/>
    <w:rsid w:val="00D7057A"/>
    <w:rsid w:val="00D7085E"/>
    <w:rsid w:val="00D70877"/>
    <w:rsid w:val="00D708CD"/>
    <w:rsid w:val="00D70915"/>
    <w:rsid w:val="00D709AB"/>
    <w:rsid w:val="00D70A42"/>
    <w:rsid w:val="00D70BBE"/>
    <w:rsid w:val="00D70C36"/>
    <w:rsid w:val="00D70C51"/>
    <w:rsid w:val="00D70C86"/>
    <w:rsid w:val="00D70D5E"/>
    <w:rsid w:val="00D70DEE"/>
    <w:rsid w:val="00D70E03"/>
    <w:rsid w:val="00D70ECD"/>
    <w:rsid w:val="00D70EED"/>
    <w:rsid w:val="00D70F1B"/>
    <w:rsid w:val="00D70F1E"/>
    <w:rsid w:val="00D70F97"/>
    <w:rsid w:val="00D70FB5"/>
    <w:rsid w:val="00D71200"/>
    <w:rsid w:val="00D71205"/>
    <w:rsid w:val="00D71273"/>
    <w:rsid w:val="00D7138B"/>
    <w:rsid w:val="00D71548"/>
    <w:rsid w:val="00D7160D"/>
    <w:rsid w:val="00D716A2"/>
    <w:rsid w:val="00D716F2"/>
    <w:rsid w:val="00D71806"/>
    <w:rsid w:val="00D71846"/>
    <w:rsid w:val="00D718C9"/>
    <w:rsid w:val="00D71970"/>
    <w:rsid w:val="00D719AE"/>
    <w:rsid w:val="00D71A63"/>
    <w:rsid w:val="00D71B34"/>
    <w:rsid w:val="00D71D60"/>
    <w:rsid w:val="00D71DD2"/>
    <w:rsid w:val="00D71DE7"/>
    <w:rsid w:val="00D71E6D"/>
    <w:rsid w:val="00D71EF4"/>
    <w:rsid w:val="00D71EF7"/>
    <w:rsid w:val="00D71FE7"/>
    <w:rsid w:val="00D7212C"/>
    <w:rsid w:val="00D721F4"/>
    <w:rsid w:val="00D72420"/>
    <w:rsid w:val="00D7252D"/>
    <w:rsid w:val="00D726B3"/>
    <w:rsid w:val="00D72711"/>
    <w:rsid w:val="00D72745"/>
    <w:rsid w:val="00D72753"/>
    <w:rsid w:val="00D72754"/>
    <w:rsid w:val="00D727BD"/>
    <w:rsid w:val="00D72871"/>
    <w:rsid w:val="00D72889"/>
    <w:rsid w:val="00D728B3"/>
    <w:rsid w:val="00D72974"/>
    <w:rsid w:val="00D72C29"/>
    <w:rsid w:val="00D72D9C"/>
    <w:rsid w:val="00D72E16"/>
    <w:rsid w:val="00D72E3E"/>
    <w:rsid w:val="00D72EE2"/>
    <w:rsid w:val="00D72F98"/>
    <w:rsid w:val="00D73141"/>
    <w:rsid w:val="00D7318D"/>
    <w:rsid w:val="00D73229"/>
    <w:rsid w:val="00D732AD"/>
    <w:rsid w:val="00D732E6"/>
    <w:rsid w:val="00D73328"/>
    <w:rsid w:val="00D733F5"/>
    <w:rsid w:val="00D7341A"/>
    <w:rsid w:val="00D734BD"/>
    <w:rsid w:val="00D734C3"/>
    <w:rsid w:val="00D735A1"/>
    <w:rsid w:val="00D735C4"/>
    <w:rsid w:val="00D73611"/>
    <w:rsid w:val="00D73638"/>
    <w:rsid w:val="00D7370E"/>
    <w:rsid w:val="00D737B7"/>
    <w:rsid w:val="00D73801"/>
    <w:rsid w:val="00D738C4"/>
    <w:rsid w:val="00D73B5B"/>
    <w:rsid w:val="00D73B98"/>
    <w:rsid w:val="00D73C3E"/>
    <w:rsid w:val="00D73C42"/>
    <w:rsid w:val="00D73CC5"/>
    <w:rsid w:val="00D73DB6"/>
    <w:rsid w:val="00D73DF9"/>
    <w:rsid w:val="00D73E94"/>
    <w:rsid w:val="00D73EA6"/>
    <w:rsid w:val="00D73F20"/>
    <w:rsid w:val="00D73FC6"/>
    <w:rsid w:val="00D73FEB"/>
    <w:rsid w:val="00D74218"/>
    <w:rsid w:val="00D742A6"/>
    <w:rsid w:val="00D7436C"/>
    <w:rsid w:val="00D74462"/>
    <w:rsid w:val="00D7454E"/>
    <w:rsid w:val="00D745F5"/>
    <w:rsid w:val="00D7461F"/>
    <w:rsid w:val="00D7467A"/>
    <w:rsid w:val="00D747E1"/>
    <w:rsid w:val="00D747F9"/>
    <w:rsid w:val="00D74A16"/>
    <w:rsid w:val="00D74A4F"/>
    <w:rsid w:val="00D74A71"/>
    <w:rsid w:val="00D74AB0"/>
    <w:rsid w:val="00D74AB1"/>
    <w:rsid w:val="00D74AC3"/>
    <w:rsid w:val="00D74B0D"/>
    <w:rsid w:val="00D74BD0"/>
    <w:rsid w:val="00D74C12"/>
    <w:rsid w:val="00D74C62"/>
    <w:rsid w:val="00D74C72"/>
    <w:rsid w:val="00D74DCF"/>
    <w:rsid w:val="00D74DEE"/>
    <w:rsid w:val="00D74EAD"/>
    <w:rsid w:val="00D7504E"/>
    <w:rsid w:val="00D75089"/>
    <w:rsid w:val="00D75122"/>
    <w:rsid w:val="00D752A8"/>
    <w:rsid w:val="00D752C3"/>
    <w:rsid w:val="00D75354"/>
    <w:rsid w:val="00D75447"/>
    <w:rsid w:val="00D7549C"/>
    <w:rsid w:val="00D754D5"/>
    <w:rsid w:val="00D754F7"/>
    <w:rsid w:val="00D755BF"/>
    <w:rsid w:val="00D7579D"/>
    <w:rsid w:val="00D757C3"/>
    <w:rsid w:val="00D75882"/>
    <w:rsid w:val="00D758AF"/>
    <w:rsid w:val="00D758F5"/>
    <w:rsid w:val="00D75986"/>
    <w:rsid w:val="00D75A37"/>
    <w:rsid w:val="00D75AD3"/>
    <w:rsid w:val="00D75B16"/>
    <w:rsid w:val="00D75BF9"/>
    <w:rsid w:val="00D75C27"/>
    <w:rsid w:val="00D75C79"/>
    <w:rsid w:val="00D75CDD"/>
    <w:rsid w:val="00D75D5A"/>
    <w:rsid w:val="00D75E07"/>
    <w:rsid w:val="00D75E3A"/>
    <w:rsid w:val="00D75EEF"/>
    <w:rsid w:val="00D75F0B"/>
    <w:rsid w:val="00D75FD4"/>
    <w:rsid w:val="00D76057"/>
    <w:rsid w:val="00D760B7"/>
    <w:rsid w:val="00D76121"/>
    <w:rsid w:val="00D76172"/>
    <w:rsid w:val="00D762BE"/>
    <w:rsid w:val="00D76392"/>
    <w:rsid w:val="00D76399"/>
    <w:rsid w:val="00D76454"/>
    <w:rsid w:val="00D76550"/>
    <w:rsid w:val="00D7658F"/>
    <w:rsid w:val="00D765C1"/>
    <w:rsid w:val="00D765CF"/>
    <w:rsid w:val="00D765F3"/>
    <w:rsid w:val="00D765F5"/>
    <w:rsid w:val="00D765FC"/>
    <w:rsid w:val="00D76712"/>
    <w:rsid w:val="00D7679A"/>
    <w:rsid w:val="00D767B7"/>
    <w:rsid w:val="00D76987"/>
    <w:rsid w:val="00D76A38"/>
    <w:rsid w:val="00D76AA4"/>
    <w:rsid w:val="00D76C4C"/>
    <w:rsid w:val="00D76CD8"/>
    <w:rsid w:val="00D76D01"/>
    <w:rsid w:val="00D7706C"/>
    <w:rsid w:val="00D7707C"/>
    <w:rsid w:val="00D7708E"/>
    <w:rsid w:val="00D770E8"/>
    <w:rsid w:val="00D77283"/>
    <w:rsid w:val="00D772E1"/>
    <w:rsid w:val="00D77346"/>
    <w:rsid w:val="00D77349"/>
    <w:rsid w:val="00D77379"/>
    <w:rsid w:val="00D773D3"/>
    <w:rsid w:val="00D774ED"/>
    <w:rsid w:val="00D7751A"/>
    <w:rsid w:val="00D77532"/>
    <w:rsid w:val="00D7759C"/>
    <w:rsid w:val="00D775E9"/>
    <w:rsid w:val="00D77614"/>
    <w:rsid w:val="00D776EC"/>
    <w:rsid w:val="00D7779C"/>
    <w:rsid w:val="00D777AA"/>
    <w:rsid w:val="00D777D6"/>
    <w:rsid w:val="00D77849"/>
    <w:rsid w:val="00D77887"/>
    <w:rsid w:val="00D77903"/>
    <w:rsid w:val="00D7795D"/>
    <w:rsid w:val="00D779A0"/>
    <w:rsid w:val="00D77A69"/>
    <w:rsid w:val="00D77A7E"/>
    <w:rsid w:val="00D77AEB"/>
    <w:rsid w:val="00D77B2B"/>
    <w:rsid w:val="00D77C0D"/>
    <w:rsid w:val="00D77C44"/>
    <w:rsid w:val="00D77C96"/>
    <w:rsid w:val="00D77CE8"/>
    <w:rsid w:val="00D77CF6"/>
    <w:rsid w:val="00D77D21"/>
    <w:rsid w:val="00D77D2C"/>
    <w:rsid w:val="00D77D32"/>
    <w:rsid w:val="00D77DC0"/>
    <w:rsid w:val="00D77DD5"/>
    <w:rsid w:val="00D77F4E"/>
    <w:rsid w:val="00D77FDF"/>
    <w:rsid w:val="00D8004B"/>
    <w:rsid w:val="00D800B5"/>
    <w:rsid w:val="00D800B8"/>
    <w:rsid w:val="00D801C6"/>
    <w:rsid w:val="00D8027B"/>
    <w:rsid w:val="00D802C2"/>
    <w:rsid w:val="00D802C5"/>
    <w:rsid w:val="00D80310"/>
    <w:rsid w:val="00D80370"/>
    <w:rsid w:val="00D8037F"/>
    <w:rsid w:val="00D803A9"/>
    <w:rsid w:val="00D803E4"/>
    <w:rsid w:val="00D806B6"/>
    <w:rsid w:val="00D806C3"/>
    <w:rsid w:val="00D80762"/>
    <w:rsid w:val="00D80854"/>
    <w:rsid w:val="00D80A14"/>
    <w:rsid w:val="00D80A29"/>
    <w:rsid w:val="00D80B18"/>
    <w:rsid w:val="00D80C20"/>
    <w:rsid w:val="00D80C23"/>
    <w:rsid w:val="00D80C74"/>
    <w:rsid w:val="00D80CB8"/>
    <w:rsid w:val="00D80D31"/>
    <w:rsid w:val="00D80D75"/>
    <w:rsid w:val="00D80D98"/>
    <w:rsid w:val="00D80E40"/>
    <w:rsid w:val="00D80E65"/>
    <w:rsid w:val="00D80EFB"/>
    <w:rsid w:val="00D8108F"/>
    <w:rsid w:val="00D810D1"/>
    <w:rsid w:val="00D81141"/>
    <w:rsid w:val="00D81154"/>
    <w:rsid w:val="00D811A5"/>
    <w:rsid w:val="00D81220"/>
    <w:rsid w:val="00D813E1"/>
    <w:rsid w:val="00D8144C"/>
    <w:rsid w:val="00D81464"/>
    <w:rsid w:val="00D814B7"/>
    <w:rsid w:val="00D81588"/>
    <w:rsid w:val="00D8161F"/>
    <w:rsid w:val="00D816A4"/>
    <w:rsid w:val="00D816EF"/>
    <w:rsid w:val="00D81767"/>
    <w:rsid w:val="00D81937"/>
    <w:rsid w:val="00D8196D"/>
    <w:rsid w:val="00D81A4F"/>
    <w:rsid w:val="00D81BF6"/>
    <w:rsid w:val="00D81C22"/>
    <w:rsid w:val="00D81C82"/>
    <w:rsid w:val="00D81D45"/>
    <w:rsid w:val="00D81D68"/>
    <w:rsid w:val="00D81EE8"/>
    <w:rsid w:val="00D81FC5"/>
    <w:rsid w:val="00D81FCD"/>
    <w:rsid w:val="00D82005"/>
    <w:rsid w:val="00D8206B"/>
    <w:rsid w:val="00D82138"/>
    <w:rsid w:val="00D82141"/>
    <w:rsid w:val="00D82144"/>
    <w:rsid w:val="00D823B3"/>
    <w:rsid w:val="00D8247C"/>
    <w:rsid w:val="00D82480"/>
    <w:rsid w:val="00D824D4"/>
    <w:rsid w:val="00D8258B"/>
    <w:rsid w:val="00D8275C"/>
    <w:rsid w:val="00D82831"/>
    <w:rsid w:val="00D828B8"/>
    <w:rsid w:val="00D828C9"/>
    <w:rsid w:val="00D828F9"/>
    <w:rsid w:val="00D82933"/>
    <w:rsid w:val="00D82943"/>
    <w:rsid w:val="00D82BA0"/>
    <w:rsid w:val="00D82C7F"/>
    <w:rsid w:val="00D82CC5"/>
    <w:rsid w:val="00D82D2F"/>
    <w:rsid w:val="00D82D56"/>
    <w:rsid w:val="00D82DB0"/>
    <w:rsid w:val="00D82DD6"/>
    <w:rsid w:val="00D82E1C"/>
    <w:rsid w:val="00D82E49"/>
    <w:rsid w:val="00D82E9D"/>
    <w:rsid w:val="00D82FF2"/>
    <w:rsid w:val="00D83005"/>
    <w:rsid w:val="00D830C8"/>
    <w:rsid w:val="00D830D5"/>
    <w:rsid w:val="00D830F9"/>
    <w:rsid w:val="00D8315E"/>
    <w:rsid w:val="00D831B5"/>
    <w:rsid w:val="00D831BE"/>
    <w:rsid w:val="00D831E6"/>
    <w:rsid w:val="00D831FC"/>
    <w:rsid w:val="00D83206"/>
    <w:rsid w:val="00D832C3"/>
    <w:rsid w:val="00D8343B"/>
    <w:rsid w:val="00D8344F"/>
    <w:rsid w:val="00D83462"/>
    <w:rsid w:val="00D8347E"/>
    <w:rsid w:val="00D83582"/>
    <w:rsid w:val="00D83684"/>
    <w:rsid w:val="00D836E8"/>
    <w:rsid w:val="00D8375B"/>
    <w:rsid w:val="00D837FD"/>
    <w:rsid w:val="00D83935"/>
    <w:rsid w:val="00D83A26"/>
    <w:rsid w:val="00D83A87"/>
    <w:rsid w:val="00D83AAE"/>
    <w:rsid w:val="00D83ADF"/>
    <w:rsid w:val="00D83B07"/>
    <w:rsid w:val="00D83BA3"/>
    <w:rsid w:val="00D83D7F"/>
    <w:rsid w:val="00D83D95"/>
    <w:rsid w:val="00D83DAB"/>
    <w:rsid w:val="00D83E26"/>
    <w:rsid w:val="00D83E64"/>
    <w:rsid w:val="00D83EC4"/>
    <w:rsid w:val="00D83F3F"/>
    <w:rsid w:val="00D8418E"/>
    <w:rsid w:val="00D842EA"/>
    <w:rsid w:val="00D84341"/>
    <w:rsid w:val="00D84386"/>
    <w:rsid w:val="00D84429"/>
    <w:rsid w:val="00D844A1"/>
    <w:rsid w:val="00D8453A"/>
    <w:rsid w:val="00D846F2"/>
    <w:rsid w:val="00D84727"/>
    <w:rsid w:val="00D84737"/>
    <w:rsid w:val="00D8484A"/>
    <w:rsid w:val="00D84856"/>
    <w:rsid w:val="00D84AE7"/>
    <w:rsid w:val="00D84B51"/>
    <w:rsid w:val="00D84B5A"/>
    <w:rsid w:val="00D84C16"/>
    <w:rsid w:val="00D84C6D"/>
    <w:rsid w:val="00D84DC3"/>
    <w:rsid w:val="00D8507C"/>
    <w:rsid w:val="00D8515A"/>
    <w:rsid w:val="00D8527D"/>
    <w:rsid w:val="00D85338"/>
    <w:rsid w:val="00D8536C"/>
    <w:rsid w:val="00D85512"/>
    <w:rsid w:val="00D8552F"/>
    <w:rsid w:val="00D85623"/>
    <w:rsid w:val="00D8579F"/>
    <w:rsid w:val="00D857A1"/>
    <w:rsid w:val="00D85829"/>
    <w:rsid w:val="00D858AC"/>
    <w:rsid w:val="00D858D4"/>
    <w:rsid w:val="00D858E1"/>
    <w:rsid w:val="00D858FA"/>
    <w:rsid w:val="00D85A56"/>
    <w:rsid w:val="00D85AF8"/>
    <w:rsid w:val="00D85BD7"/>
    <w:rsid w:val="00D85BFD"/>
    <w:rsid w:val="00D85CDE"/>
    <w:rsid w:val="00D85D1B"/>
    <w:rsid w:val="00D85D3E"/>
    <w:rsid w:val="00D85D78"/>
    <w:rsid w:val="00D85DDE"/>
    <w:rsid w:val="00D85E29"/>
    <w:rsid w:val="00D85F25"/>
    <w:rsid w:val="00D860B3"/>
    <w:rsid w:val="00D86254"/>
    <w:rsid w:val="00D86296"/>
    <w:rsid w:val="00D86422"/>
    <w:rsid w:val="00D864E0"/>
    <w:rsid w:val="00D8672F"/>
    <w:rsid w:val="00D86785"/>
    <w:rsid w:val="00D8678A"/>
    <w:rsid w:val="00D86895"/>
    <w:rsid w:val="00D868A1"/>
    <w:rsid w:val="00D868D0"/>
    <w:rsid w:val="00D86906"/>
    <w:rsid w:val="00D869B3"/>
    <w:rsid w:val="00D86A0A"/>
    <w:rsid w:val="00D86A23"/>
    <w:rsid w:val="00D86A4B"/>
    <w:rsid w:val="00D86A52"/>
    <w:rsid w:val="00D86AA5"/>
    <w:rsid w:val="00D86AE1"/>
    <w:rsid w:val="00D86BE2"/>
    <w:rsid w:val="00D86C28"/>
    <w:rsid w:val="00D86D19"/>
    <w:rsid w:val="00D86DED"/>
    <w:rsid w:val="00D86E41"/>
    <w:rsid w:val="00D86E56"/>
    <w:rsid w:val="00D86E69"/>
    <w:rsid w:val="00D86E7E"/>
    <w:rsid w:val="00D86F58"/>
    <w:rsid w:val="00D870AF"/>
    <w:rsid w:val="00D87295"/>
    <w:rsid w:val="00D872E4"/>
    <w:rsid w:val="00D873E5"/>
    <w:rsid w:val="00D87599"/>
    <w:rsid w:val="00D875D5"/>
    <w:rsid w:val="00D875F4"/>
    <w:rsid w:val="00D8772A"/>
    <w:rsid w:val="00D877E7"/>
    <w:rsid w:val="00D87818"/>
    <w:rsid w:val="00D878C7"/>
    <w:rsid w:val="00D87945"/>
    <w:rsid w:val="00D8795F"/>
    <w:rsid w:val="00D87977"/>
    <w:rsid w:val="00D87AB3"/>
    <w:rsid w:val="00D87AE3"/>
    <w:rsid w:val="00D87BEA"/>
    <w:rsid w:val="00D87BF8"/>
    <w:rsid w:val="00D87C15"/>
    <w:rsid w:val="00D87CF1"/>
    <w:rsid w:val="00D87D67"/>
    <w:rsid w:val="00D87D9E"/>
    <w:rsid w:val="00D87DCE"/>
    <w:rsid w:val="00D87DFA"/>
    <w:rsid w:val="00D87E05"/>
    <w:rsid w:val="00D87E46"/>
    <w:rsid w:val="00D87E90"/>
    <w:rsid w:val="00D87EC0"/>
    <w:rsid w:val="00D87F3B"/>
    <w:rsid w:val="00D87F70"/>
    <w:rsid w:val="00D90011"/>
    <w:rsid w:val="00D900D0"/>
    <w:rsid w:val="00D9014B"/>
    <w:rsid w:val="00D901E5"/>
    <w:rsid w:val="00D90297"/>
    <w:rsid w:val="00D903F8"/>
    <w:rsid w:val="00D904FA"/>
    <w:rsid w:val="00D905E6"/>
    <w:rsid w:val="00D9060A"/>
    <w:rsid w:val="00D907AB"/>
    <w:rsid w:val="00D9081D"/>
    <w:rsid w:val="00D90843"/>
    <w:rsid w:val="00D90867"/>
    <w:rsid w:val="00D9087C"/>
    <w:rsid w:val="00D908A4"/>
    <w:rsid w:val="00D908C4"/>
    <w:rsid w:val="00D908F6"/>
    <w:rsid w:val="00D9092D"/>
    <w:rsid w:val="00D90983"/>
    <w:rsid w:val="00D90999"/>
    <w:rsid w:val="00D909E9"/>
    <w:rsid w:val="00D909FC"/>
    <w:rsid w:val="00D90AE6"/>
    <w:rsid w:val="00D90B08"/>
    <w:rsid w:val="00D90C1F"/>
    <w:rsid w:val="00D90C6E"/>
    <w:rsid w:val="00D90D7F"/>
    <w:rsid w:val="00D90DD9"/>
    <w:rsid w:val="00D90DE8"/>
    <w:rsid w:val="00D90E55"/>
    <w:rsid w:val="00D90EA7"/>
    <w:rsid w:val="00D90EDE"/>
    <w:rsid w:val="00D90F72"/>
    <w:rsid w:val="00D911DE"/>
    <w:rsid w:val="00D91216"/>
    <w:rsid w:val="00D9121C"/>
    <w:rsid w:val="00D912A9"/>
    <w:rsid w:val="00D912C1"/>
    <w:rsid w:val="00D912C9"/>
    <w:rsid w:val="00D91302"/>
    <w:rsid w:val="00D913FD"/>
    <w:rsid w:val="00D914F4"/>
    <w:rsid w:val="00D91507"/>
    <w:rsid w:val="00D9154D"/>
    <w:rsid w:val="00D91622"/>
    <w:rsid w:val="00D91633"/>
    <w:rsid w:val="00D9169B"/>
    <w:rsid w:val="00D918CA"/>
    <w:rsid w:val="00D91A10"/>
    <w:rsid w:val="00D91A6A"/>
    <w:rsid w:val="00D91AA1"/>
    <w:rsid w:val="00D91B05"/>
    <w:rsid w:val="00D91CBD"/>
    <w:rsid w:val="00D91DDC"/>
    <w:rsid w:val="00D91F0F"/>
    <w:rsid w:val="00D91F8C"/>
    <w:rsid w:val="00D91FDD"/>
    <w:rsid w:val="00D91FEC"/>
    <w:rsid w:val="00D92067"/>
    <w:rsid w:val="00D92109"/>
    <w:rsid w:val="00D92143"/>
    <w:rsid w:val="00D92194"/>
    <w:rsid w:val="00D92204"/>
    <w:rsid w:val="00D92262"/>
    <w:rsid w:val="00D92270"/>
    <w:rsid w:val="00D92332"/>
    <w:rsid w:val="00D92337"/>
    <w:rsid w:val="00D9234D"/>
    <w:rsid w:val="00D9242D"/>
    <w:rsid w:val="00D92668"/>
    <w:rsid w:val="00D92705"/>
    <w:rsid w:val="00D92729"/>
    <w:rsid w:val="00D92761"/>
    <w:rsid w:val="00D92783"/>
    <w:rsid w:val="00D92800"/>
    <w:rsid w:val="00D9286F"/>
    <w:rsid w:val="00D928E7"/>
    <w:rsid w:val="00D92902"/>
    <w:rsid w:val="00D92908"/>
    <w:rsid w:val="00D92940"/>
    <w:rsid w:val="00D92AA9"/>
    <w:rsid w:val="00D92BBA"/>
    <w:rsid w:val="00D92D29"/>
    <w:rsid w:val="00D92DA8"/>
    <w:rsid w:val="00D92DCF"/>
    <w:rsid w:val="00D92DEA"/>
    <w:rsid w:val="00D92DF1"/>
    <w:rsid w:val="00D92E35"/>
    <w:rsid w:val="00D92E8C"/>
    <w:rsid w:val="00D92F7F"/>
    <w:rsid w:val="00D92FD3"/>
    <w:rsid w:val="00D9300F"/>
    <w:rsid w:val="00D93214"/>
    <w:rsid w:val="00D9324D"/>
    <w:rsid w:val="00D93309"/>
    <w:rsid w:val="00D9332D"/>
    <w:rsid w:val="00D93339"/>
    <w:rsid w:val="00D934BF"/>
    <w:rsid w:val="00D934D2"/>
    <w:rsid w:val="00D935E2"/>
    <w:rsid w:val="00D93690"/>
    <w:rsid w:val="00D9369A"/>
    <w:rsid w:val="00D936A8"/>
    <w:rsid w:val="00D936B4"/>
    <w:rsid w:val="00D93813"/>
    <w:rsid w:val="00D9387A"/>
    <w:rsid w:val="00D938CD"/>
    <w:rsid w:val="00D93A95"/>
    <w:rsid w:val="00D93B16"/>
    <w:rsid w:val="00D93B2F"/>
    <w:rsid w:val="00D93B9A"/>
    <w:rsid w:val="00D93CAA"/>
    <w:rsid w:val="00D93D37"/>
    <w:rsid w:val="00D93D55"/>
    <w:rsid w:val="00D93DEE"/>
    <w:rsid w:val="00D93DF7"/>
    <w:rsid w:val="00D93DFB"/>
    <w:rsid w:val="00D93E6F"/>
    <w:rsid w:val="00D93E98"/>
    <w:rsid w:val="00D93E9E"/>
    <w:rsid w:val="00D93EA7"/>
    <w:rsid w:val="00D9403F"/>
    <w:rsid w:val="00D94048"/>
    <w:rsid w:val="00D940B6"/>
    <w:rsid w:val="00D940D1"/>
    <w:rsid w:val="00D94197"/>
    <w:rsid w:val="00D941A3"/>
    <w:rsid w:val="00D94263"/>
    <w:rsid w:val="00D9427F"/>
    <w:rsid w:val="00D9428F"/>
    <w:rsid w:val="00D942FB"/>
    <w:rsid w:val="00D9450D"/>
    <w:rsid w:val="00D94642"/>
    <w:rsid w:val="00D9477A"/>
    <w:rsid w:val="00D9477E"/>
    <w:rsid w:val="00D9479E"/>
    <w:rsid w:val="00D947A2"/>
    <w:rsid w:val="00D94850"/>
    <w:rsid w:val="00D94890"/>
    <w:rsid w:val="00D94934"/>
    <w:rsid w:val="00D9493D"/>
    <w:rsid w:val="00D9499F"/>
    <w:rsid w:val="00D949FF"/>
    <w:rsid w:val="00D94A07"/>
    <w:rsid w:val="00D94A27"/>
    <w:rsid w:val="00D94AEF"/>
    <w:rsid w:val="00D94C1D"/>
    <w:rsid w:val="00D94DB3"/>
    <w:rsid w:val="00D94DD6"/>
    <w:rsid w:val="00D94E2E"/>
    <w:rsid w:val="00D94E6C"/>
    <w:rsid w:val="00D94E73"/>
    <w:rsid w:val="00D94E79"/>
    <w:rsid w:val="00D94F87"/>
    <w:rsid w:val="00D94FFB"/>
    <w:rsid w:val="00D950D5"/>
    <w:rsid w:val="00D95183"/>
    <w:rsid w:val="00D95184"/>
    <w:rsid w:val="00D95186"/>
    <w:rsid w:val="00D95232"/>
    <w:rsid w:val="00D952A9"/>
    <w:rsid w:val="00D95342"/>
    <w:rsid w:val="00D95455"/>
    <w:rsid w:val="00D95483"/>
    <w:rsid w:val="00D954E2"/>
    <w:rsid w:val="00D95507"/>
    <w:rsid w:val="00D95575"/>
    <w:rsid w:val="00D9558B"/>
    <w:rsid w:val="00D955EF"/>
    <w:rsid w:val="00D956A2"/>
    <w:rsid w:val="00D956CA"/>
    <w:rsid w:val="00D956E5"/>
    <w:rsid w:val="00D9570A"/>
    <w:rsid w:val="00D9571B"/>
    <w:rsid w:val="00D9575F"/>
    <w:rsid w:val="00D9589E"/>
    <w:rsid w:val="00D958DC"/>
    <w:rsid w:val="00D958EB"/>
    <w:rsid w:val="00D95B27"/>
    <w:rsid w:val="00D95B6D"/>
    <w:rsid w:val="00D95B8E"/>
    <w:rsid w:val="00D95B92"/>
    <w:rsid w:val="00D95D8D"/>
    <w:rsid w:val="00D95ECC"/>
    <w:rsid w:val="00D95F09"/>
    <w:rsid w:val="00D95F37"/>
    <w:rsid w:val="00D95FFA"/>
    <w:rsid w:val="00D96006"/>
    <w:rsid w:val="00D96020"/>
    <w:rsid w:val="00D9607E"/>
    <w:rsid w:val="00D960C2"/>
    <w:rsid w:val="00D960CF"/>
    <w:rsid w:val="00D960DB"/>
    <w:rsid w:val="00D96103"/>
    <w:rsid w:val="00D96128"/>
    <w:rsid w:val="00D96220"/>
    <w:rsid w:val="00D96249"/>
    <w:rsid w:val="00D96358"/>
    <w:rsid w:val="00D963E2"/>
    <w:rsid w:val="00D9644E"/>
    <w:rsid w:val="00D964A8"/>
    <w:rsid w:val="00D965C7"/>
    <w:rsid w:val="00D966EF"/>
    <w:rsid w:val="00D96759"/>
    <w:rsid w:val="00D9677A"/>
    <w:rsid w:val="00D96A0F"/>
    <w:rsid w:val="00D96A18"/>
    <w:rsid w:val="00D96A4D"/>
    <w:rsid w:val="00D96ADD"/>
    <w:rsid w:val="00D96B1F"/>
    <w:rsid w:val="00D96BE6"/>
    <w:rsid w:val="00D96C8F"/>
    <w:rsid w:val="00D96CE7"/>
    <w:rsid w:val="00D96D22"/>
    <w:rsid w:val="00D96D29"/>
    <w:rsid w:val="00D96DE8"/>
    <w:rsid w:val="00D96DEB"/>
    <w:rsid w:val="00D96E4D"/>
    <w:rsid w:val="00D96E4E"/>
    <w:rsid w:val="00D96ECA"/>
    <w:rsid w:val="00D96F36"/>
    <w:rsid w:val="00D96F4A"/>
    <w:rsid w:val="00D96FEF"/>
    <w:rsid w:val="00D97009"/>
    <w:rsid w:val="00D97081"/>
    <w:rsid w:val="00D97087"/>
    <w:rsid w:val="00D970A5"/>
    <w:rsid w:val="00D97167"/>
    <w:rsid w:val="00D9717D"/>
    <w:rsid w:val="00D97183"/>
    <w:rsid w:val="00D971EE"/>
    <w:rsid w:val="00D972DE"/>
    <w:rsid w:val="00D9731C"/>
    <w:rsid w:val="00D97389"/>
    <w:rsid w:val="00D973F7"/>
    <w:rsid w:val="00D974B6"/>
    <w:rsid w:val="00D975A9"/>
    <w:rsid w:val="00D97619"/>
    <w:rsid w:val="00D97643"/>
    <w:rsid w:val="00D976EB"/>
    <w:rsid w:val="00D9779C"/>
    <w:rsid w:val="00D979F3"/>
    <w:rsid w:val="00D97A42"/>
    <w:rsid w:val="00D97A6F"/>
    <w:rsid w:val="00D97C48"/>
    <w:rsid w:val="00D97D56"/>
    <w:rsid w:val="00D97FBC"/>
    <w:rsid w:val="00DA00FD"/>
    <w:rsid w:val="00DA011F"/>
    <w:rsid w:val="00DA0127"/>
    <w:rsid w:val="00DA0142"/>
    <w:rsid w:val="00DA01AC"/>
    <w:rsid w:val="00DA01C9"/>
    <w:rsid w:val="00DA027E"/>
    <w:rsid w:val="00DA0367"/>
    <w:rsid w:val="00DA0452"/>
    <w:rsid w:val="00DA048F"/>
    <w:rsid w:val="00DA0594"/>
    <w:rsid w:val="00DA05CC"/>
    <w:rsid w:val="00DA0659"/>
    <w:rsid w:val="00DA06A9"/>
    <w:rsid w:val="00DA06B4"/>
    <w:rsid w:val="00DA0931"/>
    <w:rsid w:val="00DA0B7F"/>
    <w:rsid w:val="00DA0B8E"/>
    <w:rsid w:val="00DA0C19"/>
    <w:rsid w:val="00DA0C95"/>
    <w:rsid w:val="00DA0CBD"/>
    <w:rsid w:val="00DA0D99"/>
    <w:rsid w:val="00DA0E93"/>
    <w:rsid w:val="00DA0F2C"/>
    <w:rsid w:val="00DA0FDE"/>
    <w:rsid w:val="00DA100F"/>
    <w:rsid w:val="00DA10AA"/>
    <w:rsid w:val="00DA10D4"/>
    <w:rsid w:val="00DA10D7"/>
    <w:rsid w:val="00DA10D9"/>
    <w:rsid w:val="00DA131A"/>
    <w:rsid w:val="00DA136C"/>
    <w:rsid w:val="00DA13B1"/>
    <w:rsid w:val="00DA13BC"/>
    <w:rsid w:val="00DA1516"/>
    <w:rsid w:val="00DA168A"/>
    <w:rsid w:val="00DA16C4"/>
    <w:rsid w:val="00DA1706"/>
    <w:rsid w:val="00DA1779"/>
    <w:rsid w:val="00DA191A"/>
    <w:rsid w:val="00DA19B5"/>
    <w:rsid w:val="00DA1A57"/>
    <w:rsid w:val="00DA1A64"/>
    <w:rsid w:val="00DA1A66"/>
    <w:rsid w:val="00DA1A84"/>
    <w:rsid w:val="00DA1C4F"/>
    <w:rsid w:val="00DA1CD0"/>
    <w:rsid w:val="00DA1CF5"/>
    <w:rsid w:val="00DA1D78"/>
    <w:rsid w:val="00DA1E46"/>
    <w:rsid w:val="00DA1F43"/>
    <w:rsid w:val="00DA1FD2"/>
    <w:rsid w:val="00DA20DA"/>
    <w:rsid w:val="00DA20F1"/>
    <w:rsid w:val="00DA217F"/>
    <w:rsid w:val="00DA230B"/>
    <w:rsid w:val="00DA23A4"/>
    <w:rsid w:val="00DA23F0"/>
    <w:rsid w:val="00DA2515"/>
    <w:rsid w:val="00DA26F3"/>
    <w:rsid w:val="00DA271F"/>
    <w:rsid w:val="00DA277A"/>
    <w:rsid w:val="00DA2782"/>
    <w:rsid w:val="00DA27DB"/>
    <w:rsid w:val="00DA2930"/>
    <w:rsid w:val="00DA29A0"/>
    <w:rsid w:val="00DA2A15"/>
    <w:rsid w:val="00DA2A1A"/>
    <w:rsid w:val="00DA2C00"/>
    <w:rsid w:val="00DA2E2C"/>
    <w:rsid w:val="00DA2E4E"/>
    <w:rsid w:val="00DA2E88"/>
    <w:rsid w:val="00DA2EEF"/>
    <w:rsid w:val="00DA2EF6"/>
    <w:rsid w:val="00DA2F48"/>
    <w:rsid w:val="00DA2FC0"/>
    <w:rsid w:val="00DA304B"/>
    <w:rsid w:val="00DA30A6"/>
    <w:rsid w:val="00DA30D0"/>
    <w:rsid w:val="00DA30EA"/>
    <w:rsid w:val="00DA3121"/>
    <w:rsid w:val="00DA318D"/>
    <w:rsid w:val="00DA322D"/>
    <w:rsid w:val="00DA3296"/>
    <w:rsid w:val="00DA32B1"/>
    <w:rsid w:val="00DA32D4"/>
    <w:rsid w:val="00DA353F"/>
    <w:rsid w:val="00DA3577"/>
    <w:rsid w:val="00DA357C"/>
    <w:rsid w:val="00DA35EB"/>
    <w:rsid w:val="00DA3832"/>
    <w:rsid w:val="00DA3845"/>
    <w:rsid w:val="00DA38C6"/>
    <w:rsid w:val="00DA3914"/>
    <w:rsid w:val="00DA3B31"/>
    <w:rsid w:val="00DA3B37"/>
    <w:rsid w:val="00DA3B78"/>
    <w:rsid w:val="00DA3BEC"/>
    <w:rsid w:val="00DA3D02"/>
    <w:rsid w:val="00DA3DA4"/>
    <w:rsid w:val="00DA3DD0"/>
    <w:rsid w:val="00DA3DF2"/>
    <w:rsid w:val="00DA3E36"/>
    <w:rsid w:val="00DA3E71"/>
    <w:rsid w:val="00DA400F"/>
    <w:rsid w:val="00DA4019"/>
    <w:rsid w:val="00DA4033"/>
    <w:rsid w:val="00DA4262"/>
    <w:rsid w:val="00DA43B9"/>
    <w:rsid w:val="00DA44F8"/>
    <w:rsid w:val="00DA459B"/>
    <w:rsid w:val="00DA4659"/>
    <w:rsid w:val="00DA469A"/>
    <w:rsid w:val="00DA48FC"/>
    <w:rsid w:val="00DA494C"/>
    <w:rsid w:val="00DA496F"/>
    <w:rsid w:val="00DA498B"/>
    <w:rsid w:val="00DA4AA3"/>
    <w:rsid w:val="00DA4BB6"/>
    <w:rsid w:val="00DA4C9B"/>
    <w:rsid w:val="00DA4CCE"/>
    <w:rsid w:val="00DA4D00"/>
    <w:rsid w:val="00DA4D17"/>
    <w:rsid w:val="00DA4D33"/>
    <w:rsid w:val="00DA4DA6"/>
    <w:rsid w:val="00DA4F03"/>
    <w:rsid w:val="00DA502D"/>
    <w:rsid w:val="00DA50EE"/>
    <w:rsid w:val="00DA50FE"/>
    <w:rsid w:val="00DA5115"/>
    <w:rsid w:val="00DA511A"/>
    <w:rsid w:val="00DA511F"/>
    <w:rsid w:val="00DA51C5"/>
    <w:rsid w:val="00DA51CD"/>
    <w:rsid w:val="00DA5235"/>
    <w:rsid w:val="00DA5272"/>
    <w:rsid w:val="00DA5383"/>
    <w:rsid w:val="00DA54BC"/>
    <w:rsid w:val="00DA54F7"/>
    <w:rsid w:val="00DA5610"/>
    <w:rsid w:val="00DA56C2"/>
    <w:rsid w:val="00DA56CA"/>
    <w:rsid w:val="00DA5717"/>
    <w:rsid w:val="00DA5721"/>
    <w:rsid w:val="00DA5734"/>
    <w:rsid w:val="00DA57EC"/>
    <w:rsid w:val="00DA57FA"/>
    <w:rsid w:val="00DA5801"/>
    <w:rsid w:val="00DA5831"/>
    <w:rsid w:val="00DA59E9"/>
    <w:rsid w:val="00DA5A0C"/>
    <w:rsid w:val="00DA5A8B"/>
    <w:rsid w:val="00DA5AC9"/>
    <w:rsid w:val="00DA5B01"/>
    <w:rsid w:val="00DA5B33"/>
    <w:rsid w:val="00DA5B34"/>
    <w:rsid w:val="00DA5B5A"/>
    <w:rsid w:val="00DA5C10"/>
    <w:rsid w:val="00DA5CF1"/>
    <w:rsid w:val="00DA5D18"/>
    <w:rsid w:val="00DA5DC5"/>
    <w:rsid w:val="00DA5DE3"/>
    <w:rsid w:val="00DA5EB9"/>
    <w:rsid w:val="00DA5FBF"/>
    <w:rsid w:val="00DA608B"/>
    <w:rsid w:val="00DA62E7"/>
    <w:rsid w:val="00DA64EB"/>
    <w:rsid w:val="00DA654A"/>
    <w:rsid w:val="00DA66F9"/>
    <w:rsid w:val="00DA67D4"/>
    <w:rsid w:val="00DA67DB"/>
    <w:rsid w:val="00DA6826"/>
    <w:rsid w:val="00DA6847"/>
    <w:rsid w:val="00DA68FC"/>
    <w:rsid w:val="00DA69F8"/>
    <w:rsid w:val="00DA6A69"/>
    <w:rsid w:val="00DA6B11"/>
    <w:rsid w:val="00DA6B4D"/>
    <w:rsid w:val="00DA6C47"/>
    <w:rsid w:val="00DA6C58"/>
    <w:rsid w:val="00DA6C69"/>
    <w:rsid w:val="00DA6CA4"/>
    <w:rsid w:val="00DA6CF5"/>
    <w:rsid w:val="00DA6DFD"/>
    <w:rsid w:val="00DA6E3A"/>
    <w:rsid w:val="00DA6EA2"/>
    <w:rsid w:val="00DA6F7B"/>
    <w:rsid w:val="00DA6F80"/>
    <w:rsid w:val="00DA7098"/>
    <w:rsid w:val="00DA709D"/>
    <w:rsid w:val="00DA718E"/>
    <w:rsid w:val="00DA7195"/>
    <w:rsid w:val="00DA726D"/>
    <w:rsid w:val="00DA739D"/>
    <w:rsid w:val="00DA74EA"/>
    <w:rsid w:val="00DA75E8"/>
    <w:rsid w:val="00DA76F0"/>
    <w:rsid w:val="00DA771F"/>
    <w:rsid w:val="00DA7778"/>
    <w:rsid w:val="00DA7A29"/>
    <w:rsid w:val="00DA7A2B"/>
    <w:rsid w:val="00DA7AA7"/>
    <w:rsid w:val="00DA7BDA"/>
    <w:rsid w:val="00DA7D3C"/>
    <w:rsid w:val="00DA7EDD"/>
    <w:rsid w:val="00DA7EE7"/>
    <w:rsid w:val="00DA7F20"/>
    <w:rsid w:val="00DA7F9F"/>
    <w:rsid w:val="00DB0054"/>
    <w:rsid w:val="00DB02C6"/>
    <w:rsid w:val="00DB02D1"/>
    <w:rsid w:val="00DB02F3"/>
    <w:rsid w:val="00DB0408"/>
    <w:rsid w:val="00DB041F"/>
    <w:rsid w:val="00DB0519"/>
    <w:rsid w:val="00DB0670"/>
    <w:rsid w:val="00DB0697"/>
    <w:rsid w:val="00DB06A1"/>
    <w:rsid w:val="00DB078B"/>
    <w:rsid w:val="00DB0857"/>
    <w:rsid w:val="00DB08C0"/>
    <w:rsid w:val="00DB0975"/>
    <w:rsid w:val="00DB099D"/>
    <w:rsid w:val="00DB09D1"/>
    <w:rsid w:val="00DB09EB"/>
    <w:rsid w:val="00DB09FC"/>
    <w:rsid w:val="00DB0A1E"/>
    <w:rsid w:val="00DB0AA5"/>
    <w:rsid w:val="00DB0AC5"/>
    <w:rsid w:val="00DB0B98"/>
    <w:rsid w:val="00DB0C7F"/>
    <w:rsid w:val="00DB0DA8"/>
    <w:rsid w:val="00DB0DCD"/>
    <w:rsid w:val="00DB0DED"/>
    <w:rsid w:val="00DB0E44"/>
    <w:rsid w:val="00DB0E75"/>
    <w:rsid w:val="00DB0EB1"/>
    <w:rsid w:val="00DB0EFD"/>
    <w:rsid w:val="00DB0F0D"/>
    <w:rsid w:val="00DB0F55"/>
    <w:rsid w:val="00DB0F8B"/>
    <w:rsid w:val="00DB0FD1"/>
    <w:rsid w:val="00DB0FDA"/>
    <w:rsid w:val="00DB0FF1"/>
    <w:rsid w:val="00DB105E"/>
    <w:rsid w:val="00DB106D"/>
    <w:rsid w:val="00DB113E"/>
    <w:rsid w:val="00DB1148"/>
    <w:rsid w:val="00DB11BA"/>
    <w:rsid w:val="00DB1400"/>
    <w:rsid w:val="00DB1430"/>
    <w:rsid w:val="00DB1510"/>
    <w:rsid w:val="00DB1594"/>
    <w:rsid w:val="00DB15E8"/>
    <w:rsid w:val="00DB1757"/>
    <w:rsid w:val="00DB1803"/>
    <w:rsid w:val="00DB18B0"/>
    <w:rsid w:val="00DB18B9"/>
    <w:rsid w:val="00DB19AB"/>
    <w:rsid w:val="00DB19B8"/>
    <w:rsid w:val="00DB1A64"/>
    <w:rsid w:val="00DB1A98"/>
    <w:rsid w:val="00DB1AD4"/>
    <w:rsid w:val="00DB1B26"/>
    <w:rsid w:val="00DB1B7F"/>
    <w:rsid w:val="00DB1BD0"/>
    <w:rsid w:val="00DB1D14"/>
    <w:rsid w:val="00DB1DDD"/>
    <w:rsid w:val="00DB1EB3"/>
    <w:rsid w:val="00DB1F1A"/>
    <w:rsid w:val="00DB1F3F"/>
    <w:rsid w:val="00DB1F4C"/>
    <w:rsid w:val="00DB1F87"/>
    <w:rsid w:val="00DB20B3"/>
    <w:rsid w:val="00DB218C"/>
    <w:rsid w:val="00DB218E"/>
    <w:rsid w:val="00DB21CE"/>
    <w:rsid w:val="00DB2231"/>
    <w:rsid w:val="00DB2277"/>
    <w:rsid w:val="00DB231F"/>
    <w:rsid w:val="00DB234E"/>
    <w:rsid w:val="00DB23F2"/>
    <w:rsid w:val="00DB2550"/>
    <w:rsid w:val="00DB25A0"/>
    <w:rsid w:val="00DB25FC"/>
    <w:rsid w:val="00DB261B"/>
    <w:rsid w:val="00DB272D"/>
    <w:rsid w:val="00DB2738"/>
    <w:rsid w:val="00DB27BF"/>
    <w:rsid w:val="00DB2803"/>
    <w:rsid w:val="00DB28C3"/>
    <w:rsid w:val="00DB2968"/>
    <w:rsid w:val="00DB2A1B"/>
    <w:rsid w:val="00DB2A83"/>
    <w:rsid w:val="00DB2AA9"/>
    <w:rsid w:val="00DB2B76"/>
    <w:rsid w:val="00DB2C42"/>
    <w:rsid w:val="00DB2C46"/>
    <w:rsid w:val="00DB2C75"/>
    <w:rsid w:val="00DB2CBE"/>
    <w:rsid w:val="00DB2CCD"/>
    <w:rsid w:val="00DB2D18"/>
    <w:rsid w:val="00DB2DE6"/>
    <w:rsid w:val="00DB2F3F"/>
    <w:rsid w:val="00DB2FCD"/>
    <w:rsid w:val="00DB3023"/>
    <w:rsid w:val="00DB3054"/>
    <w:rsid w:val="00DB3236"/>
    <w:rsid w:val="00DB33CB"/>
    <w:rsid w:val="00DB34FA"/>
    <w:rsid w:val="00DB3575"/>
    <w:rsid w:val="00DB3645"/>
    <w:rsid w:val="00DB374B"/>
    <w:rsid w:val="00DB374C"/>
    <w:rsid w:val="00DB37AD"/>
    <w:rsid w:val="00DB389F"/>
    <w:rsid w:val="00DB38A8"/>
    <w:rsid w:val="00DB3969"/>
    <w:rsid w:val="00DB3989"/>
    <w:rsid w:val="00DB3A6E"/>
    <w:rsid w:val="00DB3AFE"/>
    <w:rsid w:val="00DB3C18"/>
    <w:rsid w:val="00DB3CF0"/>
    <w:rsid w:val="00DB3DD4"/>
    <w:rsid w:val="00DB3EDF"/>
    <w:rsid w:val="00DB3F1A"/>
    <w:rsid w:val="00DB3F29"/>
    <w:rsid w:val="00DB3F42"/>
    <w:rsid w:val="00DB40BB"/>
    <w:rsid w:val="00DB40DE"/>
    <w:rsid w:val="00DB418C"/>
    <w:rsid w:val="00DB4226"/>
    <w:rsid w:val="00DB4240"/>
    <w:rsid w:val="00DB4327"/>
    <w:rsid w:val="00DB43A1"/>
    <w:rsid w:val="00DB460E"/>
    <w:rsid w:val="00DB46BA"/>
    <w:rsid w:val="00DB46CF"/>
    <w:rsid w:val="00DB46D3"/>
    <w:rsid w:val="00DB476C"/>
    <w:rsid w:val="00DB47F6"/>
    <w:rsid w:val="00DB4897"/>
    <w:rsid w:val="00DB4A93"/>
    <w:rsid w:val="00DB4AC8"/>
    <w:rsid w:val="00DB4AEA"/>
    <w:rsid w:val="00DB4AEE"/>
    <w:rsid w:val="00DB4B5B"/>
    <w:rsid w:val="00DB4B65"/>
    <w:rsid w:val="00DB4D63"/>
    <w:rsid w:val="00DB4DB7"/>
    <w:rsid w:val="00DB4DEA"/>
    <w:rsid w:val="00DB4DFA"/>
    <w:rsid w:val="00DB4E24"/>
    <w:rsid w:val="00DB4E37"/>
    <w:rsid w:val="00DB4F9D"/>
    <w:rsid w:val="00DB5099"/>
    <w:rsid w:val="00DB50F1"/>
    <w:rsid w:val="00DB51D7"/>
    <w:rsid w:val="00DB522F"/>
    <w:rsid w:val="00DB5253"/>
    <w:rsid w:val="00DB5281"/>
    <w:rsid w:val="00DB533F"/>
    <w:rsid w:val="00DB5398"/>
    <w:rsid w:val="00DB541F"/>
    <w:rsid w:val="00DB5493"/>
    <w:rsid w:val="00DB5498"/>
    <w:rsid w:val="00DB55AF"/>
    <w:rsid w:val="00DB5605"/>
    <w:rsid w:val="00DB5681"/>
    <w:rsid w:val="00DB56B2"/>
    <w:rsid w:val="00DB56EC"/>
    <w:rsid w:val="00DB5710"/>
    <w:rsid w:val="00DB5828"/>
    <w:rsid w:val="00DB58CA"/>
    <w:rsid w:val="00DB59BD"/>
    <w:rsid w:val="00DB59BF"/>
    <w:rsid w:val="00DB59F7"/>
    <w:rsid w:val="00DB5A42"/>
    <w:rsid w:val="00DB5A5D"/>
    <w:rsid w:val="00DB5ABC"/>
    <w:rsid w:val="00DB5B63"/>
    <w:rsid w:val="00DB5B8E"/>
    <w:rsid w:val="00DB5BC4"/>
    <w:rsid w:val="00DB5C5A"/>
    <w:rsid w:val="00DB5C89"/>
    <w:rsid w:val="00DB5CE2"/>
    <w:rsid w:val="00DB5E19"/>
    <w:rsid w:val="00DB5E62"/>
    <w:rsid w:val="00DB5F75"/>
    <w:rsid w:val="00DB5FBC"/>
    <w:rsid w:val="00DB600C"/>
    <w:rsid w:val="00DB619D"/>
    <w:rsid w:val="00DB61AF"/>
    <w:rsid w:val="00DB63C1"/>
    <w:rsid w:val="00DB63F4"/>
    <w:rsid w:val="00DB63F8"/>
    <w:rsid w:val="00DB664E"/>
    <w:rsid w:val="00DB6796"/>
    <w:rsid w:val="00DB67AD"/>
    <w:rsid w:val="00DB6888"/>
    <w:rsid w:val="00DB6944"/>
    <w:rsid w:val="00DB69D0"/>
    <w:rsid w:val="00DB6AC0"/>
    <w:rsid w:val="00DB6AE6"/>
    <w:rsid w:val="00DB6B2C"/>
    <w:rsid w:val="00DB6B3E"/>
    <w:rsid w:val="00DB6B7D"/>
    <w:rsid w:val="00DB6C20"/>
    <w:rsid w:val="00DB6CEC"/>
    <w:rsid w:val="00DB6CF2"/>
    <w:rsid w:val="00DB6E39"/>
    <w:rsid w:val="00DB6F08"/>
    <w:rsid w:val="00DB6F0B"/>
    <w:rsid w:val="00DB702A"/>
    <w:rsid w:val="00DB705E"/>
    <w:rsid w:val="00DB70E6"/>
    <w:rsid w:val="00DB7105"/>
    <w:rsid w:val="00DB710E"/>
    <w:rsid w:val="00DB7177"/>
    <w:rsid w:val="00DB71E0"/>
    <w:rsid w:val="00DB73A6"/>
    <w:rsid w:val="00DB7486"/>
    <w:rsid w:val="00DB748A"/>
    <w:rsid w:val="00DB74F2"/>
    <w:rsid w:val="00DB753C"/>
    <w:rsid w:val="00DB757B"/>
    <w:rsid w:val="00DB7691"/>
    <w:rsid w:val="00DB7842"/>
    <w:rsid w:val="00DB79AA"/>
    <w:rsid w:val="00DB7A1B"/>
    <w:rsid w:val="00DB7A45"/>
    <w:rsid w:val="00DB7A50"/>
    <w:rsid w:val="00DB7AB1"/>
    <w:rsid w:val="00DB7B02"/>
    <w:rsid w:val="00DB7DCA"/>
    <w:rsid w:val="00DB7FBA"/>
    <w:rsid w:val="00DB7FF3"/>
    <w:rsid w:val="00DC0018"/>
    <w:rsid w:val="00DC00A7"/>
    <w:rsid w:val="00DC0124"/>
    <w:rsid w:val="00DC02C7"/>
    <w:rsid w:val="00DC036A"/>
    <w:rsid w:val="00DC038B"/>
    <w:rsid w:val="00DC03DA"/>
    <w:rsid w:val="00DC0478"/>
    <w:rsid w:val="00DC04B2"/>
    <w:rsid w:val="00DC060C"/>
    <w:rsid w:val="00DC06D0"/>
    <w:rsid w:val="00DC070A"/>
    <w:rsid w:val="00DC081B"/>
    <w:rsid w:val="00DC086B"/>
    <w:rsid w:val="00DC08BF"/>
    <w:rsid w:val="00DC0904"/>
    <w:rsid w:val="00DC0960"/>
    <w:rsid w:val="00DC0A3F"/>
    <w:rsid w:val="00DC0A51"/>
    <w:rsid w:val="00DC0AD8"/>
    <w:rsid w:val="00DC0B83"/>
    <w:rsid w:val="00DC0BD5"/>
    <w:rsid w:val="00DC0CF5"/>
    <w:rsid w:val="00DC0D67"/>
    <w:rsid w:val="00DC0DB0"/>
    <w:rsid w:val="00DC0F56"/>
    <w:rsid w:val="00DC0F62"/>
    <w:rsid w:val="00DC0F92"/>
    <w:rsid w:val="00DC102F"/>
    <w:rsid w:val="00DC1163"/>
    <w:rsid w:val="00DC1291"/>
    <w:rsid w:val="00DC12B4"/>
    <w:rsid w:val="00DC1310"/>
    <w:rsid w:val="00DC1337"/>
    <w:rsid w:val="00DC13C0"/>
    <w:rsid w:val="00DC1487"/>
    <w:rsid w:val="00DC14E7"/>
    <w:rsid w:val="00DC150B"/>
    <w:rsid w:val="00DC1532"/>
    <w:rsid w:val="00DC15A1"/>
    <w:rsid w:val="00DC15B9"/>
    <w:rsid w:val="00DC163A"/>
    <w:rsid w:val="00DC1650"/>
    <w:rsid w:val="00DC16DC"/>
    <w:rsid w:val="00DC16F7"/>
    <w:rsid w:val="00DC1743"/>
    <w:rsid w:val="00DC17D5"/>
    <w:rsid w:val="00DC1824"/>
    <w:rsid w:val="00DC1845"/>
    <w:rsid w:val="00DC1892"/>
    <w:rsid w:val="00DC1BC4"/>
    <w:rsid w:val="00DC1BE7"/>
    <w:rsid w:val="00DC1CB3"/>
    <w:rsid w:val="00DC1CD8"/>
    <w:rsid w:val="00DC1D4E"/>
    <w:rsid w:val="00DC1DCC"/>
    <w:rsid w:val="00DC1DEB"/>
    <w:rsid w:val="00DC1E0A"/>
    <w:rsid w:val="00DC1EA6"/>
    <w:rsid w:val="00DC1F19"/>
    <w:rsid w:val="00DC207B"/>
    <w:rsid w:val="00DC2117"/>
    <w:rsid w:val="00DC2128"/>
    <w:rsid w:val="00DC214E"/>
    <w:rsid w:val="00DC21F5"/>
    <w:rsid w:val="00DC2260"/>
    <w:rsid w:val="00DC249D"/>
    <w:rsid w:val="00DC24B5"/>
    <w:rsid w:val="00DC24E7"/>
    <w:rsid w:val="00DC2717"/>
    <w:rsid w:val="00DC2782"/>
    <w:rsid w:val="00DC2870"/>
    <w:rsid w:val="00DC28A3"/>
    <w:rsid w:val="00DC28FF"/>
    <w:rsid w:val="00DC2981"/>
    <w:rsid w:val="00DC29E9"/>
    <w:rsid w:val="00DC29FC"/>
    <w:rsid w:val="00DC2A53"/>
    <w:rsid w:val="00DC2AF5"/>
    <w:rsid w:val="00DC2B1F"/>
    <w:rsid w:val="00DC2BC0"/>
    <w:rsid w:val="00DC2C4C"/>
    <w:rsid w:val="00DC2D2D"/>
    <w:rsid w:val="00DC2D9E"/>
    <w:rsid w:val="00DC2E0A"/>
    <w:rsid w:val="00DC2F2B"/>
    <w:rsid w:val="00DC2F44"/>
    <w:rsid w:val="00DC2F4A"/>
    <w:rsid w:val="00DC2F7C"/>
    <w:rsid w:val="00DC2FE4"/>
    <w:rsid w:val="00DC2FFD"/>
    <w:rsid w:val="00DC3007"/>
    <w:rsid w:val="00DC3083"/>
    <w:rsid w:val="00DC3200"/>
    <w:rsid w:val="00DC3266"/>
    <w:rsid w:val="00DC32E9"/>
    <w:rsid w:val="00DC3393"/>
    <w:rsid w:val="00DC33AC"/>
    <w:rsid w:val="00DC33CB"/>
    <w:rsid w:val="00DC3452"/>
    <w:rsid w:val="00DC35A6"/>
    <w:rsid w:val="00DC35B7"/>
    <w:rsid w:val="00DC35DF"/>
    <w:rsid w:val="00DC365E"/>
    <w:rsid w:val="00DC36A2"/>
    <w:rsid w:val="00DC36A5"/>
    <w:rsid w:val="00DC36AD"/>
    <w:rsid w:val="00DC36C0"/>
    <w:rsid w:val="00DC36C5"/>
    <w:rsid w:val="00DC384F"/>
    <w:rsid w:val="00DC38B2"/>
    <w:rsid w:val="00DC396A"/>
    <w:rsid w:val="00DC396E"/>
    <w:rsid w:val="00DC3A5B"/>
    <w:rsid w:val="00DC3AB2"/>
    <w:rsid w:val="00DC3AD3"/>
    <w:rsid w:val="00DC3AE9"/>
    <w:rsid w:val="00DC3B04"/>
    <w:rsid w:val="00DC3CC7"/>
    <w:rsid w:val="00DC3CE1"/>
    <w:rsid w:val="00DC3E21"/>
    <w:rsid w:val="00DC3EE7"/>
    <w:rsid w:val="00DC3F18"/>
    <w:rsid w:val="00DC3F55"/>
    <w:rsid w:val="00DC3FD0"/>
    <w:rsid w:val="00DC4003"/>
    <w:rsid w:val="00DC409F"/>
    <w:rsid w:val="00DC411F"/>
    <w:rsid w:val="00DC4160"/>
    <w:rsid w:val="00DC4178"/>
    <w:rsid w:val="00DC438E"/>
    <w:rsid w:val="00DC43FF"/>
    <w:rsid w:val="00DC45BB"/>
    <w:rsid w:val="00DC464F"/>
    <w:rsid w:val="00DC46AC"/>
    <w:rsid w:val="00DC4871"/>
    <w:rsid w:val="00DC490B"/>
    <w:rsid w:val="00DC4936"/>
    <w:rsid w:val="00DC4A1F"/>
    <w:rsid w:val="00DC4B26"/>
    <w:rsid w:val="00DC4C0E"/>
    <w:rsid w:val="00DC4C70"/>
    <w:rsid w:val="00DC4CA5"/>
    <w:rsid w:val="00DC4D5D"/>
    <w:rsid w:val="00DC4D66"/>
    <w:rsid w:val="00DC4DD8"/>
    <w:rsid w:val="00DC4E03"/>
    <w:rsid w:val="00DC4E8E"/>
    <w:rsid w:val="00DC4F77"/>
    <w:rsid w:val="00DC4FBE"/>
    <w:rsid w:val="00DC50C7"/>
    <w:rsid w:val="00DC5145"/>
    <w:rsid w:val="00DC51A5"/>
    <w:rsid w:val="00DC5369"/>
    <w:rsid w:val="00DC5393"/>
    <w:rsid w:val="00DC5403"/>
    <w:rsid w:val="00DC5451"/>
    <w:rsid w:val="00DC55A8"/>
    <w:rsid w:val="00DC5821"/>
    <w:rsid w:val="00DC58E6"/>
    <w:rsid w:val="00DC5AED"/>
    <w:rsid w:val="00DC5B47"/>
    <w:rsid w:val="00DC5B79"/>
    <w:rsid w:val="00DC5C24"/>
    <w:rsid w:val="00DC5C50"/>
    <w:rsid w:val="00DC5CC3"/>
    <w:rsid w:val="00DC5CC5"/>
    <w:rsid w:val="00DC5D3E"/>
    <w:rsid w:val="00DC5D4F"/>
    <w:rsid w:val="00DC5E63"/>
    <w:rsid w:val="00DC5E85"/>
    <w:rsid w:val="00DC5E90"/>
    <w:rsid w:val="00DC5FD4"/>
    <w:rsid w:val="00DC6035"/>
    <w:rsid w:val="00DC614A"/>
    <w:rsid w:val="00DC61B9"/>
    <w:rsid w:val="00DC6407"/>
    <w:rsid w:val="00DC64AA"/>
    <w:rsid w:val="00DC64E0"/>
    <w:rsid w:val="00DC654E"/>
    <w:rsid w:val="00DC6577"/>
    <w:rsid w:val="00DC6632"/>
    <w:rsid w:val="00DC6658"/>
    <w:rsid w:val="00DC6719"/>
    <w:rsid w:val="00DC6867"/>
    <w:rsid w:val="00DC694B"/>
    <w:rsid w:val="00DC694F"/>
    <w:rsid w:val="00DC6A47"/>
    <w:rsid w:val="00DC6A6A"/>
    <w:rsid w:val="00DC6AC2"/>
    <w:rsid w:val="00DC6AF6"/>
    <w:rsid w:val="00DC6B83"/>
    <w:rsid w:val="00DC6C4B"/>
    <w:rsid w:val="00DC6C89"/>
    <w:rsid w:val="00DC6C8A"/>
    <w:rsid w:val="00DC6CC0"/>
    <w:rsid w:val="00DC6CD9"/>
    <w:rsid w:val="00DC6CE5"/>
    <w:rsid w:val="00DC6DF1"/>
    <w:rsid w:val="00DC6E59"/>
    <w:rsid w:val="00DC6F03"/>
    <w:rsid w:val="00DC6F91"/>
    <w:rsid w:val="00DC70B3"/>
    <w:rsid w:val="00DC7284"/>
    <w:rsid w:val="00DC7330"/>
    <w:rsid w:val="00DC7357"/>
    <w:rsid w:val="00DC7413"/>
    <w:rsid w:val="00DC7497"/>
    <w:rsid w:val="00DC74F9"/>
    <w:rsid w:val="00DC76C2"/>
    <w:rsid w:val="00DC7801"/>
    <w:rsid w:val="00DC7811"/>
    <w:rsid w:val="00DC78D6"/>
    <w:rsid w:val="00DC790D"/>
    <w:rsid w:val="00DC793E"/>
    <w:rsid w:val="00DC7A47"/>
    <w:rsid w:val="00DC7AAE"/>
    <w:rsid w:val="00DC7D5E"/>
    <w:rsid w:val="00DC7DAA"/>
    <w:rsid w:val="00DC7E47"/>
    <w:rsid w:val="00DC7E69"/>
    <w:rsid w:val="00DC7E77"/>
    <w:rsid w:val="00DC7FBE"/>
    <w:rsid w:val="00DD001F"/>
    <w:rsid w:val="00DD0048"/>
    <w:rsid w:val="00DD02C9"/>
    <w:rsid w:val="00DD0304"/>
    <w:rsid w:val="00DD0366"/>
    <w:rsid w:val="00DD036C"/>
    <w:rsid w:val="00DD042F"/>
    <w:rsid w:val="00DD0461"/>
    <w:rsid w:val="00DD04F0"/>
    <w:rsid w:val="00DD068B"/>
    <w:rsid w:val="00DD0781"/>
    <w:rsid w:val="00DD085A"/>
    <w:rsid w:val="00DD0867"/>
    <w:rsid w:val="00DD08CC"/>
    <w:rsid w:val="00DD090B"/>
    <w:rsid w:val="00DD099C"/>
    <w:rsid w:val="00DD09F2"/>
    <w:rsid w:val="00DD0B70"/>
    <w:rsid w:val="00DD0BBE"/>
    <w:rsid w:val="00DD0BCD"/>
    <w:rsid w:val="00DD0EF1"/>
    <w:rsid w:val="00DD0F0C"/>
    <w:rsid w:val="00DD10A0"/>
    <w:rsid w:val="00DD10A3"/>
    <w:rsid w:val="00DD111A"/>
    <w:rsid w:val="00DD131C"/>
    <w:rsid w:val="00DD13D6"/>
    <w:rsid w:val="00DD13D9"/>
    <w:rsid w:val="00DD13F0"/>
    <w:rsid w:val="00DD156E"/>
    <w:rsid w:val="00DD15C2"/>
    <w:rsid w:val="00DD1619"/>
    <w:rsid w:val="00DD16A6"/>
    <w:rsid w:val="00DD1782"/>
    <w:rsid w:val="00DD17C4"/>
    <w:rsid w:val="00DD1811"/>
    <w:rsid w:val="00DD1821"/>
    <w:rsid w:val="00DD183D"/>
    <w:rsid w:val="00DD185E"/>
    <w:rsid w:val="00DD1881"/>
    <w:rsid w:val="00DD189F"/>
    <w:rsid w:val="00DD1961"/>
    <w:rsid w:val="00DD1990"/>
    <w:rsid w:val="00DD1B57"/>
    <w:rsid w:val="00DD1B84"/>
    <w:rsid w:val="00DD1D56"/>
    <w:rsid w:val="00DD1E95"/>
    <w:rsid w:val="00DD1E9D"/>
    <w:rsid w:val="00DD1EDA"/>
    <w:rsid w:val="00DD1F0A"/>
    <w:rsid w:val="00DD1F81"/>
    <w:rsid w:val="00DD215B"/>
    <w:rsid w:val="00DD2275"/>
    <w:rsid w:val="00DD234A"/>
    <w:rsid w:val="00DD23D1"/>
    <w:rsid w:val="00DD2592"/>
    <w:rsid w:val="00DD25DC"/>
    <w:rsid w:val="00DD25F1"/>
    <w:rsid w:val="00DD262E"/>
    <w:rsid w:val="00DD2665"/>
    <w:rsid w:val="00DD2873"/>
    <w:rsid w:val="00DD28C0"/>
    <w:rsid w:val="00DD28D8"/>
    <w:rsid w:val="00DD2938"/>
    <w:rsid w:val="00DD2947"/>
    <w:rsid w:val="00DD2967"/>
    <w:rsid w:val="00DD2A2F"/>
    <w:rsid w:val="00DD2AB9"/>
    <w:rsid w:val="00DD2AF8"/>
    <w:rsid w:val="00DD2B62"/>
    <w:rsid w:val="00DD2BF7"/>
    <w:rsid w:val="00DD2C9F"/>
    <w:rsid w:val="00DD2EAF"/>
    <w:rsid w:val="00DD2F17"/>
    <w:rsid w:val="00DD306E"/>
    <w:rsid w:val="00DD30A5"/>
    <w:rsid w:val="00DD30D5"/>
    <w:rsid w:val="00DD3125"/>
    <w:rsid w:val="00DD3138"/>
    <w:rsid w:val="00DD3293"/>
    <w:rsid w:val="00DD32B2"/>
    <w:rsid w:val="00DD33FF"/>
    <w:rsid w:val="00DD349B"/>
    <w:rsid w:val="00DD3514"/>
    <w:rsid w:val="00DD35BD"/>
    <w:rsid w:val="00DD35C5"/>
    <w:rsid w:val="00DD360B"/>
    <w:rsid w:val="00DD3684"/>
    <w:rsid w:val="00DD36A1"/>
    <w:rsid w:val="00DD3789"/>
    <w:rsid w:val="00DD393A"/>
    <w:rsid w:val="00DD3964"/>
    <w:rsid w:val="00DD3BD3"/>
    <w:rsid w:val="00DD3C56"/>
    <w:rsid w:val="00DD3D99"/>
    <w:rsid w:val="00DD3DCF"/>
    <w:rsid w:val="00DD3E2C"/>
    <w:rsid w:val="00DD3E3F"/>
    <w:rsid w:val="00DD3E50"/>
    <w:rsid w:val="00DD3E55"/>
    <w:rsid w:val="00DD4148"/>
    <w:rsid w:val="00DD414B"/>
    <w:rsid w:val="00DD4173"/>
    <w:rsid w:val="00DD41B3"/>
    <w:rsid w:val="00DD41E8"/>
    <w:rsid w:val="00DD4229"/>
    <w:rsid w:val="00DD427E"/>
    <w:rsid w:val="00DD4289"/>
    <w:rsid w:val="00DD4300"/>
    <w:rsid w:val="00DD4322"/>
    <w:rsid w:val="00DD433D"/>
    <w:rsid w:val="00DD43E5"/>
    <w:rsid w:val="00DD44AF"/>
    <w:rsid w:val="00DD4553"/>
    <w:rsid w:val="00DD4783"/>
    <w:rsid w:val="00DD48C5"/>
    <w:rsid w:val="00DD4977"/>
    <w:rsid w:val="00DD49E1"/>
    <w:rsid w:val="00DD49E6"/>
    <w:rsid w:val="00DD4A19"/>
    <w:rsid w:val="00DD4A20"/>
    <w:rsid w:val="00DD4A2B"/>
    <w:rsid w:val="00DD4A50"/>
    <w:rsid w:val="00DD4A7F"/>
    <w:rsid w:val="00DD4AC6"/>
    <w:rsid w:val="00DD4AC8"/>
    <w:rsid w:val="00DD4BD5"/>
    <w:rsid w:val="00DD4C3D"/>
    <w:rsid w:val="00DD4C50"/>
    <w:rsid w:val="00DD4D8F"/>
    <w:rsid w:val="00DD4EB0"/>
    <w:rsid w:val="00DD4F47"/>
    <w:rsid w:val="00DD4FC0"/>
    <w:rsid w:val="00DD50DA"/>
    <w:rsid w:val="00DD5174"/>
    <w:rsid w:val="00DD528B"/>
    <w:rsid w:val="00DD5315"/>
    <w:rsid w:val="00DD5379"/>
    <w:rsid w:val="00DD5442"/>
    <w:rsid w:val="00DD5465"/>
    <w:rsid w:val="00DD549A"/>
    <w:rsid w:val="00DD54E2"/>
    <w:rsid w:val="00DD54EB"/>
    <w:rsid w:val="00DD5539"/>
    <w:rsid w:val="00DD55B1"/>
    <w:rsid w:val="00DD55BA"/>
    <w:rsid w:val="00DD56B1"/>
    <w:rsid w:val="00DD5720"/>
    <w:rsid w:val="00DD5786"/>
    <w:rsid w:val="00DD5799"/>
    <w:rsid w:val="00DD5830"/>
    <w:rsid w:val="00DD5836"/>
    <w:rsid w:val="00DD59C9"/>
    <w:rsid w:val="00DD59E3"/>
    <w:rsid w:val="00DD59E7"/>
    <w:rsid w:val="00DD5A12"/>
    <w:rsid w:val="00DD5C2D"/>
    <w:rsid w:val="00DD5D19"/>
    <w:rsid w:val="00DD5DF3"/>
    <w:rsid w:val="00DD5E61"/>
    <w:rsid w:val="00DD5E9C"/>
    <w:rsid w:val="00DD5EE3"/>
    <w:rsid w:val="00DD5F13"/>
    <w:rsid w:val="00DD5F5C"/>
    <w:rsid w:val="00DD606E"/>
    <w:rsid w:val="00DD6093"/>
    <w:rsid w:val="00DD6175"/>
    <w:rsid w:val="00DD6179"/>
    <w:rsid w:val="00DD61EC"/>
    <w:rsid w:val="00DD620B"/>
    <w:rsid w:val="00DD63A5"/>
    <w:rsid w:val="00DD63B9"/>
    <w:rsid w:val="00DD63D1"/>
    <w:rsid w:val="00DD6423"/>
    <w:rsid w:val="00DD65CA"/>
    <w:rsid w:val="00DD6647"/>
    <w:rsid w:val="00DD6686"/>
    <w:rsid w:val="00DD670E"/>
    <w:rsid w:val="00DD6782"/>
    <w:rsid w:val="00DD67AD"/>
    <w:rsid w:val="00DD67D5"/>
    <w:rsid w:val="00DD6877"/>
    <w:rsid w:val="00DD6BF3"/>
    <w:rsid w:val="00DD6D34"/>
    <w:rsid w:val="00DD6D6E"/>
    <w:rsid w:val="00DD6F45"/>
    <w:rsid w:val="00DD7095"/>
    <w:rsid w:val="00DD70B7"/>
    <w:rsid w:val="00DD7125"/>
    <w:rsid w:val="00DD72F5"/>
    <w:rsid w:val="00DD7387"/>
    <w:rsid w:val="00DD7585"/>
    <w:rsid w:val="00DD7588"/>
    <w:rsid w:val="00DD7632"/>
    <w:rsid w:val="00DD7635"/>
    <w:rsid w:val="00DD7757"/>
    <w:rsid w:val="00DD78B1"/>
    <w:rsid w:val="00DD79BB"/>
    <w:rsid w:val="00DD79E3"/>
    <w:rsid w:val="00DD7A0A"/>
    <w:rsid w:val="00DD7BE5"/>
    <w:rsid w:val="00DD7C6A"/>
    <w:rsid w:val="00DD7CAC"/>
    <w:rsid w:val="00DD7D67"/>
    <w:rsid w:val="00DD7D6C"/>
    <w:rsid w:val="00DD7EB8"/>
    <w:rsid w:val="00DD7EBD"/>
    <w:rsid w:val="00DD7F50"/>
    <w:rsid w:val="00DD7F5D"/>
    <w:rsid w:val="00DE0062"/>
    <w:rsid w:val="00DE00B1"/>
    <w:rsid w:val="00DE01BC"/>
    <w:rsid w:val="00DE020B"/>
    <w:rsid w:val="00DE0313"/>
    <w:rsid w:val="00DE041E"/>
    <w:rsid w:val="00DE0489"/>
    <w:rsid w:val="00DE048E"/>
    <w:rsid w:val="00DE04D2"/>
    <w:rsid w:val="00DE05EF"/>
    <w:rsid w:val="00DE063D"/>
    <w:rsid w:val="00DE0660"/>
    <w:rsid w:val="00DE06CA"/>
    <w:rsid w:val="00DE0709"/>
    <w:rsid w:val="00DE0782"/>
    <w:rsid w:val="00DE0831"/>
    <w:rsid w:val="00DE08F5"/>
    <w:rsid w:val="00DE0B12"/>
    <w:rsid w:val="00DE0BC5"/>
    <w:rsid w:val="00DE0CAE"/>
    <w:rsid w:val="00DE0E19"/>
    <w:rsid w:val="00DE0F23"/>
    <w:rsid w:val="00DE1019"/>
    <w:rsid w:val="00DE1027"/>
    <w:rsid w:val="00DE11E7"/>
    <w:rsid w:val="00DE11F8"/>
    <w:rsid w:val="00DE12BB"/>
    <w:rsid w:val="00DE12C9"/>
    <w:rsid w:val="00DE12E9"/>
    <w:rsid w:val="00DE146D"/>
    <w:rsid w:val="00DE1551"/>
    <w:rsid w:val="00DE1577"/>
    <w:rsid w:val="00DE15FD"/>
    <w:rsid w:val="00DE1638"/>
    <w:rsid w:val="00DE16C5"/>
    <w:rsid w:val="00DE1705"/>
    <w:rsid w:val="00DE1752"/>
    <w:rsid w:val="00DE1825"/>
    <w:rsid w:val="00DE191B"/>
    <w:rsid w:val="00DE19F6"/>
    <w:rsid w:val="00DE19FC"/>
    <w:rsid w:val="00DE1AD2"/>
    <w:rsid w:val="00DE1B1E"/>
    <w:rsid w:val="00DE1B6E"/>
    <w:rsid w:val="00DE1CA5"/>
    <w:rsid w:val="00DE1CAD"/>
    <w:rsid w:val="00DE1D9E"/>
    <w:rsid w:val="00DE1E18"/>
    <w:rsid w:val="00DE1F01"/>
    <w:rsid w:val="00DE1F26"/>
    <w:rsid w:val="00DE1F8C"/>
    <w:rsid w:val="00DE2022"/>
    <w:rsid w:val="00DE2189"/>
    <w:rsid w:val="00DE2192"/>
    <w:rsid w:val="00DE2228"/>
    <w:rsid w:val="00DE225B"/>
    <w:rsid w:val="00DE225D"/>
    <w:rsid w:val="00DE243C"/>
    <w:rsid w:val="00DE254D"/>
    <w:rsid w:val="00DE25FB"/>
    <w:rsid w:val="00DE2619"/>
    <w:rsid w:val="00DE2697"/>
    <w:rsid w:val="00DE2712"/>
    <w:rsid w:val="00DE289A"/>
    <w:rsid w:val="00DE2A50"/>
    <w:rsid w:val="00DE2BAB"/>
    <w:rsid w:val="00DE2BC9"/>
    <w:rsid w:val="00DE2D27"/>
    <w:rsid w:val="00DE2DC6"/>
    <w:rsid w:val="00DE2EBA"/>
    <w:rsid w:val="00DE2F3B"/>
    <w:rsid w:val="00DE2F45"/>
    <w:rsid w:val="00DE3033"/>
    <w:rsid w:val="00DE303B"/>
    <w:rsid w:val="00DE311C"/>
    <w:rsid w:val="00DE31AC"/>
    <w:rsid w:val="00DE32B9"/>
    <w:rsid w:val="00DE337E"/>
    <w:rsid w:val="00DE3469"/>
    <w:rsid w:val="00DE3575"/>
    <w:rsid w:val="00DE3578"/>
    <w:rsid w:val="00DE361E"/>
    <w:rsid w:val="00DE3638"/>
    <w:rsid w:val="00DE36EB"/>
    <w:rsid w:val="00DE370D"/>
    <w:rsid w:val="00DE3721"/>
    <w:rsid w:val="00DE3729"/>
    <w:rsid w:val="00DE37B6"/>
    <w:rsid w:val="00DE3814"/>
    <w:rsid w:val="00DE3A3A"/>
    <w:rsid w:val="00DE3AE1"/>
    <w:rsid w:val="00DE3B84"/>
    <w:rsid w:val="00DE3B8B"/>
    <w:rsid w:val="00DE3B99"/>
    <w:rsid w:val="00DE3C4D"/>
    <w:rsid w:val="00DE3D4A"/>
    <w:rsid w:val="00DE3E2E"/>
    <w:rsid w:val="00DE3FA6"/>
    <w:rsid w:val="00DE3FC1"/>
    <w:rsid w:val="00DE40CB"/>
    <w:rsid w:val="00DE40ED"/>
    <w:rsid w:val="00DE4100"/>
    <w:rsid w:val="00DE41BB"/>
    <w:rsid w:val="00DE42F4"/>
    <w:rsid w:val="00DE448F"/>
    <w:rsid w:val="00DE457E"/>
    <w:rsid w:val="00DE461F"/>
    <w:rsid w:val="00DE4630"/>
    <w:rsid w:val="00DE46F9"/>
    <w:rsid w:val="00DE4778"/>
    <w:rsid w:val="00DE479F"/>
    <w:rsid w:val="00DE47AE"/>
    <w:rsid w:val="00DE4817"/>
    <w:rsid w:val="00DE48CD"/>
    <w:rsid w:val="00DE4945"/>
    <w:rsid w:val="00DE4971"/>
    <w:rsid w:val="00DE49EB"/>
    <w:rsid w:val="00DE4A2B"/>
    <w:rsid w:val="00DE4A79"/>
    <w:rsid w:val="00DE4AC9"/>
    <w:rsid w:val="00DE4B33"/>
    <w:rsid w:val="00DE4B3E"/>
    <w:rsid w:val="00DE4BA6"/>
    <w:rsid w:val="00DE4C80"/>
    <w:rsid w:val="00DE4D96"/>
    <w:rsid w:val="00DE4E06"/>
    <w:rsid w:val="00DE4E2D"/>
    <w:rsid w:val="00DE4E33"/>
    <w:rsid w:val="00DE5114"/>
    <w:rsid w:val="00DE5140"/>
    <w:rsid w:val="00DE51AC"/>
    <w:rsid w:val="00DE5336"/>
    <w:rsid w:val="00DE53A6"/>
    <w:rsid w:val="00DE549E"/>
    <w:rsid w:val="00DE54C9"/>
    <w:rsid w:val="00DE552B"/>
    <w:rsid w:val="00DE56C2"/>
    <w:rsid w:val="00DE56F0"/>
    <w:rsid w:val="00DE57AB"/>
    <w:rsid w:val="00DE5817"/>
    <w:rsid w:val="00DE5845"/>
    <w:rsid w:val="00DE5849"/>
    <w:rsid w:val="00DE58CB"/>
    <w:rsid w:val="00DE5A26"/>
    <w:rsid w:val="00DE5A42"/>
    <w:rsid w:val="00DE5A48"/>
    <w:rsid w:val="00DE5B50"/>
    <w:rsid w:val="00DE5C40"/>
    <w:rsid w:val="00DE5CA4"/>
    <w:rsid w:val="00DE5D3C"/>
    <w:rsid w:val="00DE5D58"/>
    <w:rsid w:val="00DE5D59"/>
    <w:rsid w:val="00DE5D60"/>
    <w:rsid w:val="00DE5D6C"/>
    <w:rsid w:val="00DE5EB4"/>
    <w:rsid w:val="00DE5EE2"/>
    <w:rsid w:val="00DE5EED"/>
    <w:rsid w:val="00DE5F5B"/>
    <w:rsid w:val="00DE5F8C"/>
    <w:rsid w:val="00DE602F"/>
    <w:rsid w:val="00DE609C"/>
    <w:rsid w:val="00DE611A"/>
    <w:rsid w:val="00DE6156"/>
    <w:rsid w:val="00DE63AF"/>
    <w:rsid w:val="00DE642B"/>
    <w:rsid w:val="00DE64C7"/>
    <w:rsid w:val="00DE64FB"/>
    <w:rsid w:val="00DE65B1"/>
    <w:rsid w:val="00DE6627"/>
    <w:rsid w:val="00DE6766"/>
    <w:rsid w:val="00DE679E"/>
    <w:rsid w:val="00DE67F8"/>
    <w:rsid w:val="00DE67F9"/>
    <w:rsid w:val="00DE6889"/>
    <w:rsid w:val="00DE69DD"/>
    <w:rsid w:val="00DE6A05"/>
    <w:rsid w:val="00DE6A26"/>
    <w:rsid w:val="00DE6A99"/>
    <w:rsid w:val="00DE6B74"/>
    <w:rsid w:val="00DE6BAC"/>
    <w:rsid w:val="00DE6D0C"/>
    <w:rsid w:val="00DE6D3C"/>
    <w:rsid w:val="00DE6DED"/>
    <w:rsid w:val="00DE6E75"/>
    <w:rsid w:val="00DE6E7D"/>
    <w:rsid w:val="00DE7057"/>
    <w:rsid w:val="00DE70A5"/>
    <w:rsid w:val="00DE7102"/>
    <w:rsid w:val="00DE7127"/>
    <w:rsid w:val="00DE7163"/>
    <w:rsid w:val="00DE719D"/>
    <w:rsid w:val="00DE71C1"/>
    <w:rsid w:val="00DE71DE"/>
    <w:rsid w:val="00DE7317"/>
    <w:rsid w:val="00DE7371"/>
    <w:rsid w:val="00DE7381"/>
    <w:rsid w:val="00DE7401"/>
    <w:rsid w:val="00DE740B"/>
    <w:rsid w:val="00DE7432"/>
    <w:rsid w:val="00DE74B4"/>
    <w:rsid w:val="00DE74C1"/>
    <w:rsid w:val="00DE7625"/>
    <w:rsid w:val="00DE7642"/>
    <w:rsid w:val="00DE76B1"/>
    <w:rsid w:val="00DE76C3"/>
    <w:rsid w:val="00DE7802"/>
    <w:rsid w:val="00DE7899"/>
    <w:rsid w:val="00DE78AB"/>
    <w:rsid w:val="00DE78C7"/>
    <w:rsid w:val="00DE78EA"/>
    <w:rsid w:val="00DE7953"/>
    <w:rsid w:val="00DE7968"/>
    <w:rsid w:val="00DE79C2"/>
    <w:rsid w:val="00DE7A98"/>
    <w:rsid w:val="00DE7AA1"/>
    <w:rsid w:val="00DE7BD5"/>
    <w:rsid w:val="00DE7D58"/>
    <w:rsid w:val="00DE7E49"/>
    <w:rsid w:val="00DE7E71"/>
    <w:rsid w:val="00DE7EBA"/>
    <w:rsid w:val="00DE7F03"/>
    <w:rsid w:val="00DE7F08"/>
    <w:rsid w:val="00DE7F6E"/>
    <w:rsid w:val="00DE7FC9"/>
    <w:rsid w:val="00DE7FF3"/>
    <w:rsid w:val="00DF0064"/>
    <w:rsid w:val="00DF0079"/>
    <w:rsid w:val="00DF00DF"/>
    <w:rsid w:val="00DF00F2"/>
    <w:rsid w:val="00DF015B"/>
    <w:rsid w:val="00DF01E9"/>
    <w:rsid w:val="00DF0245"/>
    <w:rsid w:val="00DF0294"/>
    <w:rsid w:val="00DF03B2"/>
    <w:rsid w:val="00DF03CE"/>
    <w:rsid w:val="00DF07C2"/>
    <w:rsid w:val="00DF07DE"/>
    <w:rsid w:val="00DF07EB"/>
    <w:rsid w:val="00DF07EF"/>
    <w:rsid w:val="00DF0836"/>
    <w:rsid w:val="00DF08DB"/>
    <w:rsid w:val="00DF08F3"/>
    <w:rsid w:val="00DF0973"/>
    <w:rsid w:val="00DF098D"/>
    <w:rsid w:val="00DF0999"/>
    <w:rsid w:val="00DF09C9"/>
    <w:rsid w:val="00DF09F0"/>
    <w:rsid w:val="00DF0A36"/>
    <w:rsid w:val="00DF0B36"/>
    <w:rsid w:val="00DF0BD9"/>
    <w:rsid w:val="00DF0C09"/>
    <w:rsid w:val="00DF0C73"/>
    <w:rsid w:val="00DF0D57"/>
    <w:rsid w:val="00DF0E4F"/>
    <w:rsid w:val="00DF0E81"/>
    <w:rsid w:val="00DF1079"/>
    <w:rsid w:val="00DF10B5"/>
    <w:rsid w:val="00DF10F3"/>
    <w:rsid w:val="00DF117B"/>
    <w:rsid w:val="00DF1185"/>
    <w:rsid w:val="00DF127F"/>
    <w:rsid w:val="00DF1307"/>
    <w:rsid w:val="00DF144E"/>
    <w:rsid w:val="00DF1472"/>
    <w:rsid w:val="00DF1479"/>
    <w:rsid w:val="00DF14ED"/>
    <w:rsid w:val="00DF1548"/>
    <w:rsid w:val="00DF15CC"/>
    <w:rsid w:val="00DF165B"/>
    <w:rsid w:val="00DF1970"/>
    <w:rsid w:val="00DF1A32"/>
    <w:rsid w:val="00DF1AE5"/>
    <w:rsid w:val="00DF1B38"/>
    <w:rsid w:val="00DF1BB0"/>
    <w:rsid w:val="00DF1CC1"/>
    <w:rsid w:val="00DF1E3C"/>
    <w:rsid w:val="00DF1E63"/>
    <w:rsid w:val="00DF1EAD"/>
    <w:rsid w:val="00DF1F0A"/>
    <w:rsid w:val="00DF1F47"/>
    <w:rsid w:val="00DF2007"/>
    <w:rsid w:val="00DF20F9"/>
    <w:rsid w:val="00DF2184"/>
    <w:rsid w:val="00DF2209"/>
    <w:rsid w:val="00DF223A"/>
    <w:rsid w:val="00DF233D"/>
    <w:rsid w:val="00DF23D8"/>
    <w:rsid w:val="00DF2527"/>
    <w:rsid w:val="00DF252D"/>
    <w:rsid w:val="00DF26B9"/>
    <w:rsid w:val="00DF27AC"/>
    <w:rsid w:val="00DF298A"/>
    <w:rsid w:val="00DF29E6"/>
    <w:rsid w:val="00DF2A6C"/>
    <w:rsid w:val="00DF2B74"/>
    <w:rsid w:val="00DF2B93"/>
    <w:rsid w:val="00DF2BD1"/>
    <w:rsid w:val="00DF2D0B"/>
    <w:rsid w:val="00DF2D37"/>
    <w:rsid w:val="00DF2DAF"/>
    <w:rsid w:val="00DF2E4C"/>
    <w:rsid w:val="00DF30BD"/>
    <w:rsid w:val="00DF30C5"/>
    <w:rsid w:val="00DF30D7"/>
    <w:rsid w:val="00DF3126"/>
    <w:rsid w:val="00DF3130"/>
    <w:rsid w:val="00DF3244"/>
    <w:rsid w:val="00DF32AE"/>
    <w:rsid w:val="00DF3328"/>
    <w:rsid w:val="00DF3355"/>
    <w:rsid w:val="00DF3498"/>
    <w:rsid w:val="00DF3500"/>
    <w:rsid w:val="00DF3696"/>
    <w:rsid w:val="00DF3796"/>
    <w:rsid w:val="00DF37B3"/>
    <w:rsid w:val="00DF3811"/>
    <w:rsid w:val="00DF3877"/>
    <w:rsid w:val="00DF3881"/>
    <w:rsid w:val="00DF38C0"/>
    <w:rsid w:val="00DF38C8"/>
    <w:rsid w:val="00DF39A5"/>
    <w:rsid w:val="00DF39ED"/>
    <w:rsid w:val="00DF3AF1"/>
    <w:rsid w:val="00DF3B3E"/>
    <w:rsid w:val="00DF3C19"/>
    <w:rsid w:val="00DF3CC8"/>
    <w:rsid w:val="00DF3CDC"/>
    <w:rsid w:val="00DF3D41"/>
    <w:rsid w:val="00DF3DDE"/>
    <w:rsid w:val="00DF3DF7"/>
    <w:rsid w:val="00DF3DFC"/>
    <w:rsid w:val="00DF3E76"/>
    <w:rsid w:val="00DF3F4D"/>
    <w:rsid w:val="00DF40C8"/>
    <w:rsid w:val="00DF4140"/>
    <w:rsid w:val="00DF4338"/>
    <w:rsid w:val="00DF4393"/>
    <w:rsid w:val="00DF43A3"/>
    <w:rsid w:val="00DF43AE"/>
    <w:rsid w:val="00DF4402"/>
    <w:rsid w:val="00DF4418"/>
    <w:rsid w:val="00DF4440"/>
    <w:rsid w:val="00DF44D9"/>
    <w:rsid w:val="00DF45E7"/>
    <w:rsid w:val="00DF46A4"/>
    <w:rsid w:val="00DF46D3"/>
    <w:rsid w:val="00DF476F"/>
    <w:rsid w:val="00DF4787"/>
    <w:rsid w:val="00DF4794"/>
    <w:rsid w:val="00DF4855"/>
    <w:rsid w:val="00DF4858"/>
    <w:rsid w:val="00DF4893"/>
    <w:rsid w:val="00DF48CF"/>
    <w:rsid w:val="00DF4A90"/>
    <w:rsid w:val="00DF4BDF"/>
    <w:rsid w:val="00DF4C53"/>
    <w:rsid w:val="00DF4E07"/>
    <w:rsid w:val="00DF4E47"/>
    <w:rsid w:val="00DF4EBB"/>
    <w:rsid w:val="00DF4F91"/>
    <w:rsid w:val="00DF507A"/>
    <w:rsid w:val="00DF5145"/>
    <w:rsid w:val="00DF522E"/>
    <w:rsid w:val="00DF52B6"/>
    <w:rsid w:val="00DF52FD"/>
    <w:rsid w:val="00DF5458"/>
    <w:rsid w:val="00DF54C9"/>
    <w:rsid w:val="00DF55D3"/>
    <w:rsid w:val="00DF55E9"/>
    <w:rsid w:val="00DF56B1"/>
    <w:rsid w:val="00DF577A"/>
    <w:rsid w:val="00DF579E"/>
    <w:rsid w:val="00DF57E9"/>
    <w:rsid w:val="00DF590D"/>
    <w:rsid w:val="00DF5A17"/>
    <w:rsid w:val="00DF5B3E"/>
    <w:rsid w:val="00DF5BCD"/>
    <w:rsid w:val="00DF5BFE"/>
    <w:rsid w:val="00DF5C1A"/>
    <w:rsid w:val="00DF5C8E"/>
    <w:rsid w:val="00DF5CA1"/>
    <w:rsid w:val="00DF5CD9"/>
    <w:rsid w:val="00DF5E0E"/>
    <w:rsid w:val="00DF5EA7"/>
    <w:rsid w:val="00DF5F51"/>
    <w:rsid w:val="00DF5FAC"/>
    <w:rsid w:val="00DF5FBF"/>
    <w:rsid w:val="00DF5FDF"/>
    <w:rsid w:val="00DF6011"/>
    <w:rsid w:val="00DF60B6"/>
    <w:rsid w:val="00DF6180"/>
    <w:rsid w:val="00DF61A7"/>
    <w:rsid w:val="00DF62CF"/>
    <w:rsid w:val="00DF62FE"/>
    <w:rsid w:val="00DF630B"/>
    <w:rsid w:val="00DF641E"/>
    <w:rsid w:val="00DF657D"/>
    <w:rsid w:val="00DF6674"/>
    <w:rsid w:val="00DF671C"/>
    <w:rsid w:val="00DF67A7"/>
    <w:rsid w:val="00DF67F1"/>
    <w:rsid w:val="00DF682D"/>
    <w:rsid w:val="00DF68DF"/>
    <w:rsid w:val="00DF69BE"/>
    <w:rsid w:val="00DF6AFF"/>
    <w:rsid w:val="00DF6B5B"/>
    <w:rsid w:val="00DF6B83"/>
    <w:rsid w:val="00DF6BBD"/>
    <w:rsid w:val="00DF6C00"/>
    <w:rsid w:val="00DF6C19"/>
    <w:rsid w:val="00DF6CF2"/>
    <w:rsid w:val="00DF6D64"/>
    <w:rsid w:val="00DF6DE1"/>
    <w:rsid w:val="00DF6ED2"/>
    <w:rsid w:val="00DF6EDC"/>
    <w:rsid w:val="00DF6F87"/>
    <w:rsid w:val="00DF702F"/>
    <w:rsid w:val="00DF72BB"/>
    <w:rsid w:val="00DF74E2"/>
    <w:rsid w:val="00DF7501"/>
    <w:rsid w:val="00DF7527"/>
    <w:rsid w:val="00DF7555"/>
    <w:rsid w:val="00DF75C6"/>
    <w:rsid w:val="00DF75D3"/>
    <w:rsid w:val="00DF75FF"/>
    <w:rsid w:val="00DF7674"/>
    <w:rsid w:val="00DF784A"/>
    <w:rsid w:val="00DF78D0"/>
    <w:rsid w:val="00DF79D7"/>
    <w:rsid w:val="00DF7A3F"/>
    <w:rsid w:val="00DF7ABE"/>
    <w:rsid w:val="00DF7D5D"/>
    <w:rsid w:val="00DF7DD3"/>
    <w:rsid w:val="00DF7DE7"/>
    <w:rsid w:val="00DF7E5A"/>
    <w:rsid w:val="00DF7EE5"/>
    <w:rsid w:val="00DF7F5B"/>
    <w:rsid w:val="00DF7F84"/>
    <w:rsid w:val="00DF7FC6"/>
    <w:rsid w:val="00E0008D"/>
    <w:rsid w:val="00E000A3"/>
    <w:rsid w:val="00E000B8"/>
    <w:rsid w:val="00E00167"/>
    <w:rsid w:val="00E0016F"/>
    <w:rsid w:val="00E0027C"/>
    <w:rsid w:val="00E002B0"/>
    <w:rsid w:val="00E003C7"/>
    <w:rsid w:val="00E004B2"/>
    <w:rsid w:val="00E0057E"/>
    <w:rsid w:val="00E00615"/>
    <w:rsid w:val="00E00645"/>
    <w:rsid w:val="00E00975"/>
    <w:rsid w:val="00E009CF"/>
    <w:rsid w:val="00E00ABC"/>
    <w:rsid w:val="00E00DF1"/>
    <w:rsid w:val="00E00EAC"/>
    <w:rsid w:val="00E00FB5"/>
    <w:rsid w:val="00E0117C"/>
    <w:rsid w:val="00E011E2"/>
    <w:rsid w:val="00E0121B"/>
    <w:rsid w:val="00E012BB"/>
    <w:rsid w:val="00E012E5"/>
    <w:rsid w:val="00E012FC"/>
    <w:rsid w:val="00E0136A"/>
    <w:rsid w:val="00E0150E"/>
    <w:rsid w:val="00E01554"/>
    <w:rsid w:val="00E01679"/>
    <w:rsid w:val="00E016DD"/>
    <w:rsid w:val="00E01705"/>
    <w:rsid w:val="00E0179F"/>
    <w:rsid w:val="00E017DE"/>
    <w:rsid w:val="00E017E8"/>
    <w:rsid w:val="00E0183C"/>
    <w:rsid w:val="00E01858"/>
    <w:rsid w:val="00E018BB"/>
    <w:rsid w:val="00E01A99"/>
    <w:rsid w:val="00E01AC0"/>
    <w:rsid w:val="00E01AE5"/>
    <w:rsid w:val="00E01BD3"/>
    <w:rsid w:val="00E01E06"/>
    <w:rsid w:val="00E01E5A"/>
    <w:rsid w:val="00E01E8A"/>
    <w:rsid w:val="00E01EB2"/>
    <w:rsid w:val="00E02043"/>
    <w:rsid w:val="00E02073"/>
    <w:rsid w:val="00E020DB"/>
    <w:rsid w:val="00E021E8"/>
    <w:rsid w:val="00E02271"/>
    <w:rsid w:val="00E0229D"/>
    <w:rsid w:val="00E022B7"/>
    <w:rsid w:val="00E022D0"/>
    <w:rsid w:val="00E02351"/>
    <w:rsid w:val="00E0242A"/>
    <w:rsid w:val="00E025A1"/>
    <w:rsid w:val="00E025B2"/>
    <w:rsid w:val="00E02814"/>
    <w:rsid w:val="00E0287C"/>
    <w:rsid w:val="00E02939"/>
    <w:rsid w:val="00E02960"/>
    <w:rsid w:val="00E02984"/>
    <w:rsid w:val="00E02998"/>
    <w:rsid w:val="00E02A16"/>
    <w:rsid w:val="00E02CBD"/>
    <w:rsid w:val="00E02CD8"/>
    <w:rsid w:val="00E02CFC"/>
    <w:rsid w:val="00E02D02"/>
    <w:rsid w:val="00E02D38"/>
    <w:rsid w:val="00E02DA6"/>
    <w:rsid w:val="00E02DF4"/>
    <w:rsid w:val="00E02E23"/>
    <w:rsid w:val="00E02E55"/>
    <w:rsid w:val="00E02F11"/>
    <w:rsid w:val="00E02F43"/>
    <w:rsid w:val="00E02F97"/>
    <w:rsid w:val="00E02FA6"/>
    <w:rsid w:val="00E02FEF"/>
    <w:rsid w:val="00E03009"/>
    <w:rsid w:val="00E03045"/>
    <w:rsid w:val="00E0305E"/>
    <w:rsid w:val="00E0315E"/>
    <w:rsid w:val="00E03178"/>
    <w:rsid w:val="00E031CC"/>
    <w:rsid w:val="00E034DD"/>
    <w:rsid w:val="00E035E4"/>
    <w:rsid w:val="00E036B9"/>
    <w:rsid w:val="00E03785"/>
    <w:rsid w:val="00E03788"/>
    <w:rsid w:val="00E0389B"/>
    <w:rsid w:val="00E038E9"/>
    <w:rsid w:val="00E038F5"/>
    <w:rsid w:val="00E0391F"/>
    <w:rsid w:val="00E03986"/>
    <w:rsid w:val="00E039D5"/>
    <w:rsid w:val="00E03A45"/>
    <w:rsid w:val="00E03A7A"/>
    <w:rsid w:val="00E03A80"/>
    <w:rsid w:val="00E03AAD"/>
    <w:rsid w:val="00E03C7D"/>
    <w:rsid w:val="00E03EB7"/>
    <w:rsid w:val="00E03F4E"/>
    <w:rsid w:val="00E03F9B"/>
    <w:rsid w:val="00E03FC6"/>
    <w:rsid w:val="00E040A0"/>
    <w:rsid w:val="00E040D8"/>
    <w:rsid w:val="00E0410E"/>
    <w:rsid w:val="00E0414D"/>
    <w:rsid w:val="00E041D2"/>
    <w:rsid w:val="00E04222"/>
    <w:rsid w:val="00E04369"/>
    <w:rsid w:val="00E0438E"/>
    <w:rsid w:val="00E043DF"/>
    <w:rsid w:val="00E0441A"/>
    <w:rsid w:val="00E04568"/>
    <w:rsid w:val="00E045D6"/>
    <w:rsid w:val="00E047AD"/>
    <w:rsid w:val="00E047E8"/>
    <w:rsid w:val="00E04867"/>
    <w:rsid w:val="00E048E9"/>
    <w:rsid w:val="00E049B3"/>
    <w:rsid w:val="00E049BF"/>
    <w:rsid w:val="00E049E4"/>
    <w:rsid w:val="00E04A4D"/>
    <w:rsid w:val="00E04A5F"/>
    <w:rsid w:val="00E04ABF"/>
    <w:rsid w:val="00E04BC6"/>
    <w:rsid w:val="00E04BCA"/>
    <w:rsid w:val="00E04BCD"/>
    <w:rsid w:val="00E04F00"/>
    <w:rsid w:val="00E04FB3"/>
    <w:rsid w:val="00E05285"/>
    <w:rsid w:val="00E052A1"/>
    <w:rsid w:val="00E052B8"/>
    <w:rsid w:val="00E05370"/>
    <w:rsid w:val="00E0539C"/>
    <w:rsid w:val="00E053E4"/>
    <w:rsid w:val="00E05404"/>
    <w:rsid w:val="00E05447"/>
    <w:rsid w:val="00E0548F"/>
    <w:rsid w:val="00E054C8"/>
    <w:rsid w:val="00E05538"/>
    <w:rsid w:val="00E055FE"/>
    <w:rsid w:val="00E05637"/>
    <w:rsid w:val="00E0582E"/>
    <w:rsid w:val="00E058FD"/>
    <w:rsid w:val="00E05926"/>
    <w:rsid w:val="00E05A46"/>
    <w:rsid w:val="00E05AA6"/>
    <w:rsid w:val="00E05ADD"/>
    <w:rsid w:val="00E05B36"/>
    <w:rsid w:val="00E05C17"/>
    <w:rsid w:val="00E05E42"/>
    <w:rsid w:val="00E05E74"/>
    <w:rsid w:val="00E05E9F"/>
    <w:rsid w:val="00E05EC3"/>
    <w:rsid w:val="00E05F5A"/>
    <w:rsid w:val="00E05FB2"/>
    <w:rsid w:val="00E05FDB"/>
    <w:rsid w:val="00E06039"/>
    <w:rsid w:val="00E06053"/>
    <w:rsid w:val="00E06098"/>
    <w:rsid w:val="00E060AF"/>
    <w:rsid w:val="00E060C4"/>
    <w:rsid w:val="00E06143"/>
    <w:rsid w:val="00E061BC"/>
    <w:rsid w:val="00E061E5"/>
    <w:rsid w:val="00E06247"/>
    <w:rsid w:val="00E06360"/>
    <w:rsid w:val="00E063F4"/>
    <w:rsid w:val="00E06447"/>
    <w:rsid w:val="00E064C7"/>
    <w:rsid w:val="00E064D0"/>
    <w:rsid w:val="00E0656E"/>
    <w:rsid w:val="00E065F6"/>
    <w:rsid w:val="00E06633"/>
    <w:rsid w:val="00E066EF"/>
    <w:rsid w:val="00E066FD"/>
    <w:rsid w:val="00E0674B"/>
    <w:rsid w:val="00E067E6"/>
    <w:rsid w:val="00E068EB"/>
    <w:rsid w:val="00E069BF"/>
    <w:rsid w:val="00E06B1D"/>
    <w:rsid w:val="00E06B2F"/>
    <w:rsid w:val="00E06B5A"/>
    <w:rsid w:val="00E06BAB"/>
    <w:rsid w:val="00E06C13"/>
    <w:rsid w:val="00E06C6C"/>
    <w:rsid w:val="00E06C73"/>
    <w:rsid w:val="00E06CED"/>
    <w:rsid w:val="00E06D23"/>
    <w:rsid w:val="00E06EAD"/>
    <w:rsid w:val="00E06F94"/>
    <w:rsid w:val="00E0709C"/>
    <w:rsid w:val="00E070C2"/>
    <w:rsid w:val="00E07205"/>
    <w:rsid w:val="00E073B1"/>
    <w:rsid w:val="00E073BC"/>
    <w:rsid w:val="00E0744F"/>
    <w:rsid w:val="00E0749B"/>
    <w:rsid w:val="00E074CB"/>
    <w:rsid w:val="00E0761A"/>
    <w:rsid w:val="00E076BB"/>
    <w:rsid w:val="00E07738"/>
    <w:rsid w:val="00E077EE"/>
    <w:rsid w:val="00E0780A"/>
    <w:rsid w:val="00E078DE"/>
    <w:rsid w:val="00E079C5"/>
    <w:rsid w:val="00E079EF"/>
    <w:rsid w:val="00E079F9"/>
    <w:rsid w:val="00E07A02"/>
    <w:rsid w:val="00E07AE1"/>
    <w:rsid w:val="00E07B11"/>
    <w:rsid w:val="00E07D56"/>
    <w:rsid w:val="00E07D63"/>
    <w:rsid w:val="00E07E1B"/>
    <w:rsid w:val="00E07E5F"/>
    <w:rsid w:val="00E07EBA"/>
    <w:rsid w:val="00E07ECF"/>
    <w:rsid w:val="00E07F63"/>
    <w:rsid w:val="00E07F7A"/>
    <w:rsid w:val="00E07F90"/>
    <w:rsid w:val="00E07FAE"/>
    <w:rsid w:val="00E07FF6"/>
    <w:rsid w:val="00E10025"/>
    <w:rsid w:val="00E1009E"/>
    <w:rsid w:val="00E100B2"/>
    <w:rsid w:val="00E10146"/>
    <w:rsid w:val="00E10178"/>
    <w:rsid w:val="00E101C6"/>
    <w:rsid w:val="00E1033E"/>
    <w:rsid w:val="00E105E8"/>
    <w:rsid w:val="00E105EC"/>
    <w:rsid w:val="00E1064E"/>
    <w:rsid w:val="00E10677"/>
    <w:rsid w:val="00E106C8"/>
    <w:rsid w:val="00E10752"/>
    <w:rsid w:val="00E10757"/>
    <w:rsid w:val="00E1078F"/>
    <w:rsid w:val="00E10883"/>
    <w:rsid w:val="00E108C5"/>
    <w:rsid w:val="00E108F2"/>
    <w:rsid w:val="00E1091F"/>
    <w:rsid w:val="00E10A1C"/>
    <w:rsid w:val="00E10BF8"/>
    <w:rsid w:val="00E10BFC"/>
    <w:rsid w:val="00E10CD0"/>
    <w:rsid w:val="00E10DB0"/>
    <w:rsid w:val="00E10DD9"/>
    <w:rsid w:val="00E10DEA"/>
    <w:rsid w:val="00E10E20"/>
    <w:rsid w:val="00E10EE1"/>
    <w:rsid w:val="00E10EE6"/>
    <w:rsid w:val="00E10F17"/>
    <w:rsid w:val="00E10F55"/>
    <w:rsid w:val="00E11004"/>
    <w:rsid w:val="00E11065"/>
    <w:rsid w:val="00E1106B"/>
    <w:rsid w:val="00E110A8"/>
    <w:rsid w:val="00E110DD"/>
    <w:rsid w:val="00E110DE"/>
    <w:rsid w:val="00E110F3"/>
    <w:rsid w:val="00E112B1"/>
    <w:rsid w:val="00E1152F"/>
    <w:rsid w:val="00E115AF"/>
    <w:rsid w:val="00E11622"/>
    <w:rsid w:val="00E11669"/>
    <w:rsid w:val="00E116A0"/>
    <w:rsid w:val="00E1176D"/>
    <w:rsid w:val="00E119EA"/>
    <w:rsid w:val="00E11BB3"/>
    <w:rsid w:val="00E11BED"/>
    <w:rsid w:val="00E11C54"/>
    <w:rsid w:val="00E11CD0"/>
    <w:rsid w:val="00E11DCD"/>
    <w:rsid w:val="00E11E6C"/>
    <w:rsid w:val="00E11EA7"/>
    <w:rsid w:val="00E11FF0"/>
    <w:rsid w:val="00E1209F"/>
    <w:rsid w:val="00E120F8"/>
    <w:rsid w:val="00E1214A"/>
    <w:rsid w:val="00E121A1"/>
    <w:rsid w:val="00E121AC"/>
    <w:rsid w:val="00E121AF"/>
    <w:rsid w:val="00E121C8"/>
    <w:rsid w:val="00E1227F"/>
    <w:rsid w:val="00E12292"/>
    <w:rsid w:val="00E122D9"/>
    <w:rsid w:val="00E122FA"/>
    <w:rsid w:val="00E1237B"/>
    <w:rsid w:val="00E1252F"/>
    <w:rsid w:val="00E12623"/>
    <w:rsid w:val="00E1262D"/>
    <w:rsid w:val="00E12743"/>
    <w:rsid w:val="00E12838"/>
    <w:rsid w:val="00E128C8"/>
    <w:rsid w:val="00E12935"/>
    <w:rsid w:val="00E12941"/>
    <w:rsid w:val="00E12945"/>
    <w:rsid w:val="00E129EE"/>
    <w:rsid w:val="00E12A45"/>
    <w:rsid w:val="00E12AA7"/>
    <w:rsid w:val="00E12B1B"/>
    <w:rsid w:val="00E12B61"/>
    <w:rsid w:val="00E12D2A"/>
    <w:rsid w:val="00E12EFE"/>
    <w:rsid w:val="00E1303B"/>
    <w:rsid w:val="00E1308E"/>
    <w:rsid w:val="00E130FD"/>
    <w:rsid w:val="00E1318A"/>
    <w:rsid w:val="00E1322D"/>
    <w:rsid w:val="00E133B2"/>
    <w:rsid w:val="00E13403"/>
    <w:rsid w:val="00E13414"/>
    <w:rsid w:val="00E135F8"/>
    <w:rsid w:val="00E1361B"/>
    <w:rsid w:val="00E1361C"/>
    <w:rsid w:val="00E1372E"/>
    <w:rsid w:val="00E13763"/>
    <w:rsid w:val="00E1381D"/>
    <w:rsid w:val="00E13873"/>
    <w:rsid w:val="00E13892"/>
    <w:rsid w:val="00E13966"/>
    <w:rsid w:val="00E13B58"/>
    <w:rsid w:val="00E13BF1"/>
    <w:rsid w:val="00E13CA5"/>
    <w:rsid w:val="00E13CE0"/>
    <w:rsid w:val="00E13D6B"/>
    <w:rsid w:val="00E13D7A"/>
    <w:rsid w:val="00E13D93"/>
    <w:rsid w:val="00E13EFF"/>
    <w:rsid w:val="00E13FFE"/>
    <w:rsid w:val="00E14069"/>
    <w:rsid w:val="00E140CE"/>
    <w:rsid w:val="00E141D2"/>
    <w:rsid w:val="00E14250"/>
    <w:rsid w:val="00E1433E"/>
    <w:rsid w:val="00E14358"/>
    <w:rsid w:val="00E1446F"/>
    <w:rsid w:val="00E145FA"/>
    <w:rsid w:val="00E14619"/>
    <w:rsid w:val="00E146D9"/>
    <w:rsid w:val="00E1477F"/>
    <w:rsid w:val="00E147AE"/>
    <w:rsid w:val="00E148A0"/>
    <w:rsid w:val="00E14919"/>
    <w:rsid w:val="00E149BC"/>
    <w:rsid w:val="00E14A7F"/>
    <w:rsid w:val="00E14B8D"/>
    <w:rsid w:val="00E14C09"/>
    <w:rsid w:val="00E14CA5"/>
    <w:rsid w:val="00E14CC8"/>
    <w:rsid w:val="00E14D18"/>
    <w:rsid w:val="00E14D85"/>
    <w:rsid w:val="00E14E4F"/>
    <w:rsid w:val="00E14F73"/>
    <w:rsid w:val="00E14F91"/>
    <w:rsid w:val="00E1516C"/>
    <w:rsid w:val="00E15177"/>
    <w:rsid w:val="00E1528A"/>
    <w:rsid w:val="00E152C5"/>
    <w:rsid w:val="00E15357"/>
    <w:rsid w:val="00E15360"/>
    <w:rsid w:val="00E15422"/>
    <w:rsid w:val="00E1549C"/>
    <w:rsid w:val="00E154E4"/>
    <w:rsid w:val="00E15555"/>
    <w:rsid w:val="00E1557D"/>
    <w:rsid w:val="00E15632"/>
    <w:rsid w:val="00E15641"/>
    <w:rsid w:val="00E1564D"/>
    <w:rsid w:val="00E156A5"/>
    <w:rsid w:val="00E1579B"/>
    <w:rsid w:val="00E15858"/>
    <w:rsid w:val="00E15910"/>
    <w:rsid w:val="00E15A24"/>
    <w:rsid w:val="00E15AA6"/>
    <w:rsid w:val="00E15B06"/>
    <w:rsid w:val="00E15BE1"/>
    <w:rsid w:val="00E15CDD"/>
    <w:rsid w:val="00E15D0E"/>
    <w:rsid w:val="00E15D87"/>
    <w:rsid w:val="00E15D95"/>
    <w:rsid w:val="00E15DE7"/>
    <w:rsid w:val="00E15E19"/>
    <w:rsid w:val="00E15EA5"/>
    <w:rsid w:val="00E15EAF"/>
    <w:rsid w:val="00E15FF0"/>
    <w:rsid w:val="00E16027"/>
    <w:rsid w:val="00E1625A"/>
    <w:rsid w:val="00E1625C"/>
    <w:rsid w:val="00E162C4"/>
    <w:rsid w:val="00E16342"/>
    <w:rsid w:val="00E16477"/>
    <w:rsid w:val="00E1649F"/>
    <w:rsid w:val="00E164C3"/>
    <w:rsid w:val="00E1671E"/>
    <w:rsid w:val="00E1674C"/>
    <w:rsid w:val="00E16849"/>
    <w:rsid w:val="00E1684B"/>
    <w:rsid w:val="00E1698C"/>
    <w:rsid w:val="00E169DA"/>
    <w:rsid w:val="00E16A46"/>
    <w:rsid w:val="00E16AE4"/>
    <w:rsid w:val="00E16B3E"/>
    <w:rsid w:val="00E16BEF"/>
    <w:rsid w:val="00E16C0B"/>
    <w:rsid w:val="00E16C11"/>
    <w:rsid w:val="00E16C78"/>
    <w:rsid w:val="00E16C95"/>
    <w:rsid w:val="00E16CE6"/>
    <w:rsid w:val="00E16CFF"/>
    <w:rsid w:val="00E16DF8"/>
    <w:rsid w:val="00E16E4A"/>
    <w:rsid w:val="00E16E81"/>
    <w:rsid w:val="00E16E84"/>
    <w:rsid w:val="00E16E94"/>
    <w:rsid w:val="00E16EC7"/>
    <w:rsid w:val="00E16EE1"/>
    <w:rsid w:val="00E16FE7"/>
    <w:rsid w:val="00E17172"/>
    <w:rsid w:val="00E171C2"/>
    <w:rsid w:val="00E171D7"/>
    <w:rsid w:val="00E171FF"/>
    <w:rsid w:val="00E1732D"/>
    <w:rsid w:val="00E17366"/>
    <w:rsid w:val="00E17394"/>
    <w:rsid w:val="00E17438"/>
    <w:rsid w:val="00E17596"/>
    <w:rsid w:val="00E175C3"/>
    <w:rsid w:val="00E17623"/>
    <w:rsid w:val="00E17760"/>
    <w:rsid w:val="00E17875"/>
    <w:rsid w:val="00E17893"/>
    <w:rsid w:val="00E179D1"/>
    <w:rsid w:val="00E179DF"/>
    <w:rsid w:val="00E17A80"/>
    <w:rsid w:val="00E17A98"/>
    <w:rsid w:val="00E17BAE"/>
    <w:rsid w:val="00E17C6D"/>
    <w:rsid w:val="00E17D3C"/>
    <w:rsid w:val="00E17DC4"/>
    <w:rsid w:val="00E17ECC"/>
    <w:rsid w:val="00E17F5A"/>
    <w:rsid w:val="00E20106"/>
    <w:rsid w:val="00E20110"/>
    <w:rsid w:val="00E201B5"/>
    <w:rsid w:val="00E2025A"/>
    <w:rsid w:val="00E20297"/>
    <w:rsid w:val="00E202C7"/>
    <w:rsid w:val="00E202CB"/>
    <w:rsid w:val="00E202FA"/>
    <w:rsid w:val="00E20356"/>
    <w:rsid w:val="00E203A8"/>
    <w:rsid w:val="00E20403"/>
    <w:rsid w:val="00E20408"/>
    <w:rsid w:val="00E20455"/>
    <w:rsid w:val="00E204F2"/>
    <w:rsid w:val="00E2058D"/>
    <w:rsid w:val="00E2058F"/>
    <w:rsid w:val="00E20608"/>
    <w:rsid w:val="00E20678"/>
    <w:rsid w:val="00E2068A"/>
    <w:rsid w:val="00E206F2"/>
    <w:rsid w:val="00E207A6"/>
    <w:rsid w:val="00E20864"/>
    <w:rsid w:val="00E208F3"/>
    <w:rsid w:val="00E209CD"/>
    <w:rsid w:val="00E20AEC"/>
    <w:rsid w:val="00E20B05"/>
    <w:rsid w:val="00E20BD6"/>
    <w:rsid w:val="00E20C9F"/>
    <w:rsid w:val="00E20CC3"/>
    <w:rsid w:val="00E20CCF"/>
    <w:rsid w:val="00E20DD8"/>
    <w:rsid w:val="00E20EC7"/>
    <w:rsid w:val="00E20EF1"/>
    <w:rsid w:val="00E20F06"/>
    <w:rsid w:val="00E20FA4"/>
    <w:rsid w:val="00E21052"/>
    <w:rsid w:val="00E2109F"/>
    <w:rsid w:val="00E211A3"/>
    <w:rsid w:val="00E21209"/>
    <w:rsid w:val="00E2120D"/>
    <w:rsid w:val="00E2125F"/>
    <w:rsid w:val="00E21345"/>
    <w:rsid w:val="00E21350"/>
    <w:rsid w:val="00E213FD"/>
    <w:rsid w:val="00E214A4"/>
    <w:rsid w:val="00E2155F"/>
    <w:rsid w:val="00E2162E"/>
    <w:rsid w:val="00E2164C"/>
    <w:rsid w:val="00E216F5"/>
    <w:rsid w:val="00E2176D"/>
    <w:rsid w:val="00E21814"/>
    <w:rsid w:val="00E21901"/>
    <w:rsid w:val="00E21909"/>
    <w:rsid w:val="00E21939"/>
    <w:rsid w:val="00E21962"/>
    <w:rsid w:val="00E21998"/>
    <w:rsid w:val="00E219E8"/>
    <w:rsid w:val="00E219F6"/>
    <w:rsid w:val="00E21AB4"/>
    <w:rsid w:val="00E21B25"/>
    <w:rsid w:val="00E21CBB"/>
    <w:rsid w:val="00E21D30"/>
    <w:rsid w:val="00E21D97"/>
    <w:rsid w:val="00E21E08"/>
    <w:rsid w:val="00E21F7D"/>
    <w:rsid w:val="00E2218E"/>
    <w:rsid w:val="00E222A8"/>
    <w:rsid w:val="00E22303"/>
    <w:rsid w:val="00E223C0"/>
    <w:rsid w:val="00E22535"/>
    <w:rsid w:val="00E2256D"/>
    <w:rsid w:val="00E2262F"/>
    <w:rsid w:val="00E22658"/>
    <w:rsid w:val="00E22662"/>
    <w:rsid w:val="00E226BD"/>
    <w:rsid w:val="00E226E9"/>
    <w:rsid w:val="00E2272C"/>
    <w:rsid w:val="00E227D4"/>
    <w:rsid w:val="00E228B0"/>
    <w:rsid w:val="00E228BF"/>
    <w:rsid w:val="00E229E6"/>
    <w:rsid w:val="00E229E7"/>
    <w:rsid w:val="00E22A10"/>
    <w:rsid w:val="00E22A5F"/>
    <w:rsid w:val="00E22B8C"/>
    <w:rsid w:val="00E22B9B"/>
    <w:rsid w:val="00E22BA4"/>
    <w:rsid w:val="00E22BA9"/>
    <w:rsid w:val="00E22BDD"/>
    <w:rsid w:val="00E22D48"/>
    <w:rsid w:val="00E22D79"/>
    <w:rsid w:val="00E22E52"/>
    <w:rsid w:val="00E22F34"/>
    <w:rsid w:val="00E230DF"/>
    <w:rsid w:val="00E23198"/>
    <w:rsid w:val="00E23279"/>
    <w:rsid w:val="00E23284"/>
    <w:rsid w:val="00E2331A"/>
    <w:rsid w:val="00E23386"/>
    <w:rsid w:val="00E233D6"/>
    <w:rsid w:val="00E23414"/>
    <w:rsid w:val="00E2366E"/>
    <w:rsid w:val="00E23725"/>
    <w:rsid w:val="00E2374B"/>
    <w:rsid w:val="00E23819"/>
    <w:rsid w:val="00E2388C"/>
    <w:rsid w:val="00E239F5"/>
    <w:rsid w:val="00E23AA7"/>
    <w:rsid w:val="00E23C21"/>
    <w:rsid w:val="00E23C40"/>
    <w:rsid w:val="00E23C5A"/>
    <w:rsid w:val="00E23C61"/>
    <w:rsid w:val="00E23C88"/>
    <w:rsid w:val="00E23CA2"/>
    <w:rsid w:val="00E23D3F"/>
    <w:rsid w:val="00E23DFA"/>
    <w:rsid w:val="00E23E01"/>
    <w:rsid w:val="00E23E9A"/>
    <w:rsid w:val="00E24025"/>
    <w:rsid w:val="00E2408B"/>
    <w:rsid w:val="00E240DE"/>
    <w:rsid w:val="00E24116"/>
    <w:rsid w:val="00E241CA"/>
    <w:rsid w:val="00E2421D"/>
    <w:rsid w:val="00E2423A"/>
    <w:rsid w:val="00E24420"/>
    <w:rsid w:val="00E24438"/>
    <w:rsid w:val="00E2456F"/>
    <w:rsid w:val="00E24575"/>
    <w:rsid w:val="00E245EA"/>
    <w:rsid w:val="00E246B8"/>
    <w:rsid w:val="00E247F7"/>
    <w:rsid w:val="00E2486E"/>
    <w:rsid w:val="00E24882"/>
    <w:rsid w:val="00E2491F"/>
    <w:rsid w:val="00E249EE"/>
    <w:rsid w:val="00E24A0E"/>
    <w:rsid w:val="00E24A3C"/>
    <w:rsid w:val="00E24ACC"/>
    <w:rsid w:val="00E24B13"/>
    <w:rsid w:val="00E24B23"/>
    <w:rsid w:val="00E24B90"/>
    <w:rsid w:val="00E24BBC"/>
    <w:rsid w:val="00E24BE1"/>
    <w:rsid w:val="00E24C37"/>
    <w:rsid w:val="00E24C46"/>
    <w:rsid w:val="00E24E87"/>
    <w:rsid w:val="00E24F3A"/>
    <w:rsid w:val="00E24F53"/>
    <w:rsid w:val="00E24F5E"/>
    <w:rsid w:val="00E24FA1"/>
    <w:rsid w:val="00E2503E"/>
    <w:rsid w:val="00E25055"/>
    <w:rsid w:val="00E250D6"/>
    <w:rsid w:val="00E2515A"/>
    <w:rsid w:val="00E251A3"/>
    <w:rsid w:val="00E25231"/>
    <w:rsid w:val="00E252E1"/>
    <w:rsid w:val="00E2535D"/>
    <w:rsid w:val="00E25478"/>
    <w:rsid w:val="00E25640"/>
    <w:rsid w:val="00E2565C"/>
    <w:rsid w:val="00E25743"/>
    <w:rsid w:val="00E257E6"/>
    <w:rsid w:val="00E25824"/>
    <w:rsid w:val="00E2583C"/>
    <w:rsid w:val="00E25894"/>
    <w:rsid w:val="00E258D9"/>
    <w:rsid w:val="00E258E9"/>
    <w:rsid w:val="00E258F7"/>
    <w:rsid w:val="00E25916"/>
    <w:rsid w:val="00E259FA"/>
    <w:rsid w:val="00E25A05"/>
    <w:rsid w:val="00E25A37"/>
    <w:rsid w:val="00E25AC3"/>
    <w:rsid w:val="00E25B57"/>
    <w:rsid w:val="00E25BC1"/>
    <w:rsid w:val="00E25C51"/>
    <w:rsid w:val="00E25C5B"/>
    <w:rsid w:val="00E25CCF"/>
    <w:rsid w:val="00E25D67"/>
    <w:rsid w:val="00E25DC0"/>
    <w:rsid w:val="00E25DC6"/>
    <w:rsid w:val="00E25FE1"/>
    <w:rsid w:val="00E25FF6"/>
    <w:rsid w:val="00E26094"/>
    <w:rsid w:val="00E260AF"/>
    <w:rsid w:val="00E26161"/>
    <w:rsid w:val="00E261C2"/>
    <w:rsid w:val="00E261D0"/>
    <w:rsid w:val="00E2622B"/>
    <w:rsid w:val="00E263E7"/>
    <w:rsid w:val="00E26473"/>
    <w:rsid w:val="00E264E4"/>
    <w:rsid w:val="00E266A2"/>
    <w:rsid w:val="00E266A3"/>
    <w:rsid w:val="00E2673B"/>
    <w:rsid w:val="00E268E6"/>
    <w:rsid w:val="00E26960"/>
    <w:rsid w:val="00E26AAF"/>
    <w:rsid w:val="00E26AD1"/>
    <w:rsid w:val="00E26ADE"/>
    <w:rsid w:val="00E26C32"/>
    <w:rsid w:val="00E26C3F"/>
    <w:rsid w:val="00E26C90"/>
    <w:rsid w:val="00E26CDA"/>
    <w:rsid w:val="00E26CDB"/>
    <w:rsid w:val="00E26D84"/>
    <w:rsid w:val="00E26DCB"/>
    <w:rsid w:val="00E26EE9"/>
    <w:rsid w:val="00E26F05"/>
    <w:rsid w:val="00E26F80"/>
    <w:rsid w:val="00E26FCB"/>
    <w:rsid w:val="00E2701B"/>
    <w:rsid w:val="00E27059"/>
    <w:rsid w:val="00E2706A"/>
    <w:rsid w:val="00E270BD"/>
    <w:rsid w:val="00E27181"/>
    <w:rsid w:val="00E273AC"/>
    <w:rsid w:val="00E2743D"/>
    <w:rsid w:val="00E275A6"/>
    <w:rsid w:val="00E275F5"/>
    <w:rsid w:val="00E276D9"/>
    <w:rsid w:val="00E27799"/>
    <w:rsid w:val="00E27888"/>
    <w:rsid w:val="00E27955"/>
    <w:rsid w:val="00E27966"/>
    <w:rsid w:val="00E27BDD"/>
    <w:rsid w:val="00E27BFF"/>
    <w:rsid w:val="00E27C26"/>
    <w:rsid w:val="00E27C75"/>
    <w:rsid w:val="00E27CAA"/>
    <w:rsid w:val="00E27D1F"/>
    <w:rsid w:val="00E27E5C"/>
    <w:rsid w:val="00E27E69"/>
    <w:rsid w:val="00E27E8C"/>
    <w:rsid w:val="00E27EF4"/>
    <w:rsid w:val="00E27F37"/>
    <w:rsid w:val="00E27FBB"/>
    <w:rsid w:val="00E30228"/>
    <w:rsid w:val="00E30287"/>
    <w:rsid w:val="00E302AC"/>
    <w:rsid w:val="00E302CC"/>
    <w:rsid w:val="00E304E2"/>
    <w:rsid w:val="00E306A6"/>
    <w:rsid w:val="00E306E4"/>
    <w:rsid w:val="00E3077F"/>
    <w:rsid w:val="00E3078D"/>
    <w:rsid w:val="00E30801"/>
    <w:rsid w:val="00E308F9"/>
    <w:rsid w:val="00E30940"/>
    <w:rsid w:val="00E30A91"/>
    <w:rsid w:val="00E30A9F"/>
    <w:rsid w:val="00E30B07"/>
    <w:rsid w:val="00E30B19"/>
    <w:rsid w:val="00E30C30"/>
    <w:rsid w:val="00E30CFE"/>
    <w:rsid w:val="00E30D97"/>
    <w:rsid w:val="00E30DDA"/>
    <w:rsid w:val="00E30ECC"/>
    <w:rsid w:val="00E30EF9"/>
    <w:rsid w:val="00E30EFE"/>
    <w:rsid w:val="00E30F04"/>
    <w:rsid w:val="00E30F38"/>
    <w:rsid w:val="00E30F46"/>
    <w:rsid w:val="00E31022"/>
    <w:rsid w:val="00E311A0"/>
    <w:rsid w:val="00E311A6"/>
    <w:rsid w:val="00E311B1"/>
    <w:rsid w:val="00E31318"/>
    <w:rsid w:val="00E316B9"/>
    <w:rsid w:val="00E317A4"/>
    <w:rsid w:val="00E31817"/>
    <w:rsid w:val="00E3187A"/>
    <w:rsid w:val="00E31895"/>
    <w:rsid w:val="00E318AE"/>
    <w:rsid w:val="00E318C5"/>
    <w:rsid w:val="00E31A90"/>
    <w:rsid w:val="00E31ACC"/>
    <w:rsid w:val="00E31AFF"/>
    <w:rsid w:val="00E31B19"/>
    <w:rsid w:val="00E31B92"/>
    <w:rsid w:val="00E31C67"/>
    <w:rsid w:val="00E31C77"/>
    <w:rsid w:val="00E31C80"/>
    <w:rsid w:val="00E31C87"/>
    <w:rsid w:val="00E31C97"/>
    <w:rsid w:val="00E31CAB"/>
    <w:rsid w:val="00E31CD5"/>
    <w:rsid w:val="00E31D2C"/>
    <w:rsid w:val="00E31D78"/>
    <w:rsid w:val="00E31D92"/>
    <w:rsid w:val="00E31D9B"/>
    <w:rsid w:val="00E31DCC"/>
    <w:rsid w:val="00E31E38"/>
    <w:rsid w:val="00E31F38"/>
    <w:rsid w:val="00E31F97"/>
    <w:rsid w:val="00E31FAC"/>
    <w:rsid w:val="00E31FDC"/>
    <w:rsid w:val="00E32058"/>
    <w:rsid w:val="00E32085"/>
    <w:rsid w:val="00E321CA"/>
    <w:rsid w:val="00E321FA"/>
    <w:rsid w:val="00E32209"/>
    <w:rsid w:val="00E32214"/>
    <w:rsid w:val="00E322E5"/>
    <w:rsid w:val="00E3246C"/>
    <w:rsid w:val="00E324F2"/>
    <w:rsid w:val="00E32580"/>
    <w:rsid w:val="00E325DE"/>
    <w:rsid w:val="00E32614"/>
    <w:rsid w:val="00E3263C"/>
    <w:rsid w:val="00E326C7"/>
    <w:rsid w:val="00E326DD"/>
    <w:rsid w:val="00E3273C"/>
    <w:rsid w:val="00E3278C"/>
    <w:rsid w:val="00E32886"/>
    <w:rsid w:val="00E328C0"/>
    <w:rsid w:val="00E3298F"/>
    <w:rsid w:val="00E32A0A"/>
    <w:rsid w:val="00E32A3C"/>
    <w:rsid w:val="00E32AB9"/>
    <w:rsid w:val="00E32AD6"/>
    <w:rsid w:val="00E32B53"/>
    <w:rsid w:val="00E32BE6"/>
    <w:rsid w:val="00E32C9A"/>
    <w:rsid w:val="00E32CB2"/>
    <w:rsid w:val="00E32DB6"/>
    <w:rsid w:val="00E32DFB"/>
    <w:rsid w:val="00E32EB9"/>
    <w:rsid w:val="00E32F30"/>
    <w:rsid w:val="00E3302F"/>
    <w:rsid w:val="00E330D3"/>
    <w:rsid w:val="00E3317B"/>
    <w:rsid w:val="00E33184"/>
    <w:rsid w:val="00E33278"/>
    <w:rsid w:val="00E3330C"/>
    <w:rsid w:val="00E333C5"/>
    <w:rsid w:val="00E333D6"/>
    <w:rsid w:val="00E333FC"/>
    <w:rsid w:val="00E33452"/>
    <w:rsid w:val="00E334F2"/>
    <w:rsid w:val="00E33500"/>
    <w:rsid w:val="00E335C2"/>
    <w:rsid w:val="00E339F2"/>
    <w:rsid w:val="00E33A8A"/>
    <w:rsid w:val="00E33B43"/>
    <w:rsid w:val="00E33C3D"/>
    <w:rsid w:val="00E33C64"/>
    <w:rsid w:val="00E33CAB"/>
    <w:rsid w:val="00E33EAB"/>
    <w:rsid w:val="00E340A5"/>
    <w:rsid w:val="00E341C3"/>
    <w:rsid w:val="00E34289"/>
    <w:rsid w:val="00E342FA"/>
    <w:rsid w:val="00E3435D"/>
    <w:rsid w:val="00E3441A"/>
    <w:rsid w:val="00E34456"/>
    <w:rsid w:val="00E344D1"/>
    <w:rsid w:val="00E34545"/>
    <w:rsid w:val="00E34560"/>
    <w:rsid w:val="00E34581"/>
    <w:rsid w:val="00E34590"/>
    <w:rsid w:val="00E34612"/>
    <w:rsid w:val="00E346EC"/>
    <w:rsid w:val="00E34704"/>
    <w:rsid w:val="00E3473A"/>
    <w:rsid w:val="00E347BD"/>
    <w:rsid w:val="00E348BF"/>
    <w:rsid w:val="00E34A07"/>
    <w:rsid w:val="00E34A5E"/>
    <w:rsid w:val="00E34A90"/>
    <w:rsid w:val="00E34BC9"/>
    <w:rsid w:val="00E34C29"/>
    <w:rsid w:val="00E34CC4"/>
    <w:rsid w:val="00E34D09"/>
    <w:rsid w:val="00E34D2B"/>
    <w:rsid w:val="00E34D35"/>
    <w:rsid w:val="00E34DF4"/>
    <w:rsid w:val="00E34E2B"/>
    <w:rsid w:val="00E34E40"/>
    <w:rsid w:val="00E34E41"/>
    <w:rsid w:val="00E34EAE"/>
    <w:rsid w:val="00E34F41"/>
    <w:rsid w:val="00E34F78"/>
    <w:rsid w:val="00E34FBE"/>
    <w:rsid w:val="00E350C2"/>
    <w:rsid w:val="00E351D0"/>
    <w:rsid w:val="00E35200"/>
    <w:rsid w:val="00E35444"/>
    <w:rsid w:val="00E35453"/>
    <w:rsid w:val="00E3545B"/>
    <w:rsid w:val="00E3561B"/>
    <w:rsid w:val="00E35620"/>
    <w:rsid w:val="00E35628"/>
    <w:rsid w:val="00E35658"/>
    <w:rsid w:val="00E3568C"/>
    <w:rsid w:val="00E356C4"/>
    <w:rsid w:val="00E35705"/>
    <w:rsid w:val="00E3576F"/>
    <w:rsid w:val="00E35785"/>
    <w:rsid w:val="00E3579F"/>
    <w:rsid w:val="00E35880"/>
    <w:rsid w:val="00E3597A"/>
    <w:rsid w:val="00E359B4"/>
    <w:rsid w:val="00E35AD0"/>
    <w:rsid w:val="00E35B4D"/>
    <w:rsid w:val="00E35B65"/>
    <w:rsid w:val="00E35B79"/>
    <w:rsid w:val="00E35C77"/>
    <w:rsid w:val="00E35CF4"/>
    <w:rsid w:val="00E35DAF"/>
    <w:rsid w:val="00E35DF5"/>
    <w:rsid w:val="00E35E8B"/>
    <w:rsid w:val="00E35F89"/>
    <w:rsid w:val="00E35FE1"/>
    <w:rsid w:val="00E36038"/>
    <w:rsid w:val="00E360C9"/>
    <w:rsid w:val="00E360FD"/>
    <w:rsid w:val="00E36211"/>
    <w:rsid w:val="00E363C9"/>
    <w:rsid w:val="00E363CF"/>
    <w:rsid w:val="00E363E5"/>
    <w:rsid w:val="00E36419"/>
    <w:rsid w:val="00E3644F"/>
    <w:rsid w:val="00E364F9"/>
    <w:rsid w:val="00E365C9"/>
    <w:rsid w:val="00E36604"/>
    <w:rsid w:val="00E3665B"/>
    <w:rsid w:val="00E36663"/>
    <w:rsid w:val="00E36690"/>
    <w:rsid w:val="00E36696"/>
    <w:rsid w:val="00E36862"/>
    <w:rsid w:val="00E3686E"/>
    <w:rsid w:val="00E368C2"/>
    <w:rsid w:val="00E368DB"/>
    <w:rsid w:val="00E368EB"/>
    <w:rsid w:val="00E368EF"/>
    <w:rsid w:val="00E36992"/>
    <w:rsid w:val="00E36A47"/>
    <w:rsid w:val="00E36A5C"/>
    <w:rsid w:val="00E36B13"/>
    <w:rsid w:val="00E36B73"/>
    <w:rsid w:val="00E36BAD"/>
    <w:rsid w:val="00E36C15"/>
    <w:rsid w:val="00E36C97"/>
    <w:rsid w:val="00E36CED"/>
    <w:rsid w:val="00E36DDC"/>
    <w:rsid w:val="00E36EB0"/>
    <w:rsid w:val="00E36F32"/>
    <w:rsid w:val="00E36F89"/>
    <w:rsid w:val="00E36F8A"/>
    <w:rsid w:val="00E36FC6"/>
    <w:rsid w:val="00E37017"/>
    <w:rsid w:val="00E37114"/>
    <w:rsid w:val="00E37147"/>
    <w:rsid w:val="00E37247"/>
    <w:rsid w:val="00E3728D"/>
    <w:rsid w:val="00E3735B"/>
    <w:rsid w:val="00E3741D"/>
    <w:rsid w:val="00E374D4"/>
    <w:rsid w:val="00E374D8"/>
    <w:rsid w:val="00E37504"/>
    <w:rsid w:val="00E3753A"/>
    <w:rsid w:val="00E375E7"/>
    <w:rsid w:val="00E375F4"/>
    <w:rsid w:val="00E3762C"/>
    <w:rsid w:val="00E376E3"/>
    <w:rsid w:val="00E376F2"/>
    <w:rsid w:val="00E37758"/>
    <w:rsid w:val="00E377A1"/>
    <w:rsid w:val="00E37847"/>
    <w:rsid w:val="00E378E8"/>
    <w:rsid w:val="00E37C5E"/>
    <w:rsid w:val="00E37CD5"/>
    <w:rsid w:val="00E37D63"/>
    <w:rsid w:val="00E37E06"/>
    <w:rsid w:val="00E37E11"/>
    <w:rsid w:val="00E37E85"/>
    <w:rsid w:val="00E4009B"/>
    <w:rsid w:val="00E40157"/>
    <w:rsid w:val="00E40205"/>
    <w:rsid w:val="00E40263"/>
    <w:rsid w:val="00E402DE"/>
    <w:rsid w:val="00E403B1"/>
    <w:rsid w:val="00E40521"/>
    <w:rsid w:val="00E4052C"/>
    <w:rsid w:val="00E406DF"/>
    <w:rsid w:val="00E4070C"/>
    <w:rsid w:val="00E40728"/>
    <w:rsid w:val="00E4075E"/>
    <w:rsid w:val="00E40763"/>
    <w:rsid w:val="00E4079F"/>
    <w:rsid w:val="00E40821"/>
    <w:rsid w:val="00E40889"/>
    <w:rsid w:val="00E408A9"/>
    <w:rsid w:val="00E40941"/>
    <w:rsid w:val="00E40978"/>
    <w:rsid w:val="00E40A05"/>
    <w:rsid w:val="00E40AAB"/>
    <w:rsid w:val="00E40B10"/>
    <w:rsid w:val="00E40B55"/>
    <w:rsid w:val="00E40B5C"/>
    <w:rsid w:val="00E40BF4"/>
    <w:rsid w:val="00E40D09"/>
    <w:rsid w:val="00E40D94"/>
    <w:rsid w:val="00E41062"/>
    <w:rsid w:val="00E410AE"/>
    <w:rsid w:val="00E41102"/>
    <w:rsid w:val="00E411BB"/>
    <w:rsid w:val="00E41208"/>
    <w:rsid w:val="00E413DB"/>
    <w:rsid w:val="00E4147E"/>
    <w:rsid w:val="00E41496"/>
    <w:rsid w:val="00E414BB"/>
    <w:rsid w:val="00E4154F"/>
    <w:rsid w:val="00E415BF"/>
    <w:rsid w:val="00E415D5"/>
    <w:rsid w:val="00E415E4"/>
    <w:rsid w:val="00E415F2"/>
    <w:rsid w:val="00E417CD"/>
    <w:rsid w:val="00E41813"/>
    <w:rsid w:val="00E41870"/>
    <w:rsid w:val="00E418C0"/>
    <w:rsid w:val="00E41924"/>
    <w:rsid w:val="00E41A0C"/>
    <w:rsid w:val="00E41A33"/>
    <w:rsid w:val="00E41A49"/>
    <w:rsid w:val="00E41AD8"/>
    <w:rsid w:val="00E41AE2"/>
    <w:rsid w:val="00E41B83"/>
    <w:rsid w:val="00E41BA3"/>
    <w:rsid w:val="00E41BD6"/>
    <w:rsid w:val="00E41D18"/>
    <w:rsid w:val="00E41D44"/>
    <w:rsid w:val="00E41E20"/>
    <w:rsid w:val="00E41E30"/>
    <w:rsid w:val="00E41E3A"/>
    <w:rsid w:val="00E41EE7"/>
    <w:rsid w:val="00E41FF3"/>
    <w:rsid w:val="00E421DD"/>
    <w:rsid w:val="00E42202"/>
    <w:rsid w:val="00E42279"/>
    <w:rsid w:val="00E42307"/>
    <w:rsid w:val="00E42333"/>
    <w:rsid w:val="00E424B4"/>
    <w:rsid w:val="00E4259C"/>
    <w:rsid w:val="00E425FE"/>
    <w:rsid w:val="00E426C3"/>
    <w:rsid w:val="00E426DF"/>
    <w:rsid w:val="00E42804"/>
    <w:rsid w:val="00E42867"/>
    <w:rsid w:val="00E4286D"/>
    <w:rsid w:val="00E42917"/>
    <w:rsid w:val="00E429A5"/>
    <w:rsid w:val="00E429FF"/>
    <w:rsid w:val="00E42A07"/>
    <w:rsid w:val="00E42A1A"/>
    <w:rsid w:val="00E42AD3"/>
    <w:rsid w:val="00E42AE4"/>
    <w:rsid w:val="00E42C7F"/>
    <w:rsid w:val="00E42C95"/>
    <w:rsid w:val="00E42D15"/>
    <w:rsid w:val="00E42D6F"/>
    <w:rsid w:val="00E42DF3"/>
    <w:rsid w:val="00E42E67"/>
    <w:rsid w:val="00E42EB2"/>
    <w:rsid w:val="00E42F88"/>
    <w:rsid w:val="00E43019"/>
    <w:rsid w:val="00E4301C"/>
    <w:rsid w:val="00E43041"/>
    <w:rsid w:val="00E43082"/>
    <w:rsid w:val="00E430CC"/>
    <w:rsid w:val="00E431FB"/>
    <w:rsid w:val="00E43255"/>
    <w:rsid w:val="00E43305"/>
    <w:rsid w:val="00E43366"/>
    <w:rsid w:val="00E43393"/>
    <w:rsid w:val="00E434A2"/>
    <w:rsid w:val="00E434F0"/>
    <w:rsid w:val="00E43569"/>
    <w:rsid w:val="00E4362D"/>
    <w:rsid w:val="00E43777"/>
    <w:rsid w:val="00E4377D"/>
    <w:rsid w:val="00E437BB"/>
    <w:rsid w:val="00E43906"/>
    <w:rsid w:val="00E43922"/>
    <w:rsid w:val="00E4399A"/>
    <w:rsid w:val="00E43AAF"/>
    <w:rsid w:val="00E43BC2"/>
    <w:rsid w:val="00E43DCA"/>
    <w:rsid w:val="00E43E6D"/>
    <w:rsid w:val="00E43EBC"/>
    <w:rsid w:val="00E43F71"/>
    <w:rsid w:val="00E43F86"/>
    <w:rsid w:val="00E4402B"/>
    <w:rsid w:val="00E44063"/>
    <w:rsid w:val="00E44067"/>
    <w:rsid w:val="00E44086"/>
    <w:rsid w:val="00E440D9"/>
    <w:rsid w:val="00E4410A"/>
    <w:rsid w:val="00E44164"/>
    <w:rsid w:val="00E4419B"/>
    <w:rsid w:val="00E441D5"/>
    <w:rsid w:val="00E441E3"/>
    <w:rsid w:val="00E441F9"/>
    <w:rsid w:val="00E44271"/>
    <w:rsid w:val="00E442AB"/>
    <w:rsid w:val="00E442C7"/>
    <w:rsid w:val="00E442E0"/>
    <w:rsid w:val="00E44383"/>
    <w:rsid w:val="00E44459"/>
    <w:rsid w:val="00E444FF"/>
    <w:rsid w:val="00E44531"/>
    <w:rsid w:val="00E445D1"/>
    <w:rsid w:val="00E44663"/>
    <w:rsid w:val="00E446C9"/>
    <w:rsid w:val="00E44798"/>
    <w:rsid w:val="00E4479B"/>
    <w:rsid w:val="00E447BE"/>
    <w:rsid w:val="00E44808"/>
    <w:rsid w:val="00E44846"/>
    <w:rsid w:val="00E448BC"/>
    <w:rsid w:val="00E448C5"/>
    <w:rsid w:val="00E44985"/>
    <w:rsid w:val="00E4499A"/>
    <w:rsid w:val="00E449C4"/>
    <w:rsid w:val="00E44AA1"/>
    <w:rsid w:val="00E44B6F"/>
    <w:rsid w:val="00E44BE7"/>
    <w:rsid w:val="00E44C02"/>
    <w:rsid w:val="00E44C12"/>
    <w:rsid w:val="00E44DFB"/>
    <w:rsid w:val="00E44E1B"/>
    <w:rsid w:val="00E44F0F"/>
    <w:rsid w:val="00E44F7B"/>
    <w:rsid w:val="00E44FA0"/>
    <w:rsid w:val="00E44FF3"/>
    <w:rsid w:val="00E44FFA"/>
    <w:rsid w:val="00E45087"/>
    <w:rsid w:val="00E4518B"/>
    <w:rsid w:val="00E45372"/>
    <w:rsid w:val="00E45390"/>
    <w:rsid w:val="00E453BB"/>
    <w:rsid w:val="00E4547D"/>
    <w:rsid w:val="00E454C4"/>
    <w:rsid w:val="00E4556A"/>
    <w:rsid w:val="00E455C7"/>
    <w:rsid w:val="00E456E1"/>
    <w:rsid w:val="00E4572B"/>
    <w:rsid w:val="00E457A7"/>
    <w:rsid w:val="00E457C7"/>
    <w:rsid w:val="00E45944"/>
    <w:rsid w:val="00E459A6"/>
    <w:rsid w:val="00E459ED"/>
    <w:rsid w:val="00E45A76"/>
    <w:rsid w:val="00E45A7B"/>
    <w:rsid w:val="00E45A8A"/>
    <w:rsid w:val="00E45ACE"/>
    <w:rsid w:val="00E45B44"/>
    <w:rsid w:val="00E45B58"/>
    <w:rsid w:val="00E45B67"/>
    <w:rsid w:val="00E45BA4"/>
    <w:rsid w:val="00E45BF0"/>
    <w:rsid w:val="00E45C17"/>
    <w:rsid w:val="00E45C4A"/>
    <w:rsid w:val="00E45D5A"/>
    <w:rsid w:val="00E45DF0"/>
    <w:rsid w:val="00E45E17"/>
    <w:rsid w:val="00E45FC6"/>
    <w:rsid w:val="00E45FE6"/>
    <w:rsid w:val="00E46059"/>
    <w:rsid w:val="00E4615F"/>
    <w:rsid w:val="00E46166"/>
    <w:rsid w:val="00E46267"/>
    <w:rsid w:val="00E46291"/>
    <w:rsid w:val="00E462AA"/>
    <w:rsid w:val="00E46659"/>
    <w:rsid w:val="00E466DC"/>
    <w:rsid w:val="00E467E7"/>
    <w:rsid w:val="00E46829"/>
    <w:rsid w:val="00E46834"/>
    <w:rsid w:val="00E46869"/>
    <w:rsid w:val="00E4689D"/>
    <w:rsid w:val="00E468DC"/>
    <w:rsid w:val="00E468EA"/>
    <w:rsid w:val="00E46915"/>
    <w:rsid w:val="00E469A7"/>
    <w:rsid w:val="00E46A71"/>
    <w:rsid w:val="00E46AC7"/>
    <w:rsid w:val="00E46B2D"/>
    <w:rsid w:val="00E46B54"/>
    <w:rsid w:val="00E46C39"/>
    <w:rsid w:val="00E46D0D"/>
    <w:rsid w:val="00E46D64"/>
    <w:rsid w:val="00E46D8D"/>
    <w:rsid w:val="00E46DD0"/>
    <w:rsid w:val="00E46E1F"/>
    <w:rsid w:val="00E46FF5"/>
    <w:rsid w:val="00E4705D"/>
    <w:rsid w:val="00E470E7"/>
    <w:rsid w:val="00E47243"/>
    <w:rsid w:val="00E47310"/>
    <w:rsid w:val="00E473EF"/>
    <w:rsid w:val="00E474DE"/>
    <w:rsid w:val="00E4752A"/>
    <w:rsid w:val="00E47544"/>
    <w:rsid w:val="00E475B9"/>
    <w:rsid w:val="00E475C6"/>
    <w:rsid w:val="00E4762A"/>
    <w:rsid w:val="00E476E3"/>
    <w:rsid w:val="00E477C8"/>
    <w:rsid w:val="00E47882"/>
    <w:rsid w:val="00E478A5"/>
    <w:rsid w:val="00E478CA"/>
    <w:rsid w:val="00E4798F"/>
    <w:rsid w:val="00E47A99"/>
    <w:rsid w:val="00E47B16"/>
    <w:rsid w:val="00E47C20"/>
    <w:rsid w:val="00E47CE9"/>
    <w:rsid w:val="00E47D2E"/>
    <w:rsid w:val="00E47D9B"/>
    <w:rsid w:val="00E47D9F"/>
    <w:rsid w:val="00E47E10"/>
    <w:rsid w:val="00E47E2D"/>
    <w:rsid w:val="00E47E5B"/>
    <w:rsid w:val="00E47E69"/>
    <w:rsid w:val="00E47EA9"/>
    <w:rsid w:val="00E47EB7"/>
    <w:rsid w:val="00E47FF4"/>
    <w:rsid w:val="00E500AE"/>
    <w:rsid w:val="00E500B6"/>
    <w:rsid w:val="00E5014D"/>
    <w:rsid w:val="00E50214"/>
    <w:rsid w:val="00E50323"/>
    <w:rsid w:val="00E5038B"/>
    <w:rsid w:val="00E503B8"/>
    <w:rsid w:val="00E50494"/>
    <w:rsid w:val="00E504D1"/>
    <w:rsid w:val="00E50546"/>
    <w:rsid w:val="00E50558"/>
    <w:rsid w:val="00E5057E"/>
    <w:rsid w:val="00E5059F"/>
    <w:rsid w:val="00E5060D"/>
    <w:rsid w:val="00E50644"/>
    <w:rsid w:val="00E50736"/>
    <w:rsid w:val="00E5087C"/>
    <w:rsid w:val="00E509C1"/>
    <w:rsid w:val="00E509C5"/>
    <w:rsid w:val="00E509DE"/>
    <w:rsid w:val="00E50A21"/>
    <w:rsid w:val="00E50A38"/>
    <w:rsid w:val="00E50A80"/>
    <w:rsid w:val="00E50C50"/>
    <w:rsid w:val="00E50C88"/>
    <w:rsid w:val="00E50C9B"/>
    <w:rsid w:val="00E50D0B"/>
    <w:rsid w:val="00E50DBE"/>
    <w:rsid w:val="00E50E0C"/>
    <w:rsid w:val="00E50E8C"/>
    <w:rsid w:val="00E50EA4"/>
    <w:rsid w:val="00E50F3B"/>
    <w:rsid w:val="00E50F67"/>
    <w:rsid w:val="00E510C2"/>
    <w:rsid w:val="00E5111D"/>
    <w:rsid w:val="00E51198"/>
    <w:rsid w:val="00E511F1"/>
    <w:rsid w:val="00E5129A"/>
    <w:rsid w:val="00E51398"/>
    <w:rsid w:val="00E513A3"/>
    <w:rsid w:val="00E513FD"/>
    <w:rsid w:val="00E5146C"/>
    <w:rsid w:val="00E514D5"/>
    <w:rsid w:val="00E514F8"/>
    <w:rsid w:val="00E5154E"/>
    <w:rsid w:val="00E515B3"/>
    <w:rsid w:val="00E515EE"/>
    <w:rsid w:val="00E51675"/>
    <w:rsid w:val="00E51679"/>
    <w:rsid w:val="00E516D7"/>
    <w:rsid w:val="00E516E4"/>
    <w:rsid w:val="00E517D3"/>
    <w:rsid w:val="00E518BC"/>
    <w:rsid w:val="00E51909"/>
    <w:rsid w:val="00E519D6"/>
    <w:rsid w:val="00E51C3E"/>
    <w:rsid w:val="00E51CE1"/>
    <w:rsid w:val="00E51D92"/>
    <w:rsid w:val="00E51DE3"/>
    <w:rsid w:val="00E51E1A"/>
    <w:rsid w:val="00E51E5A"/>
    <w:rsid w:val="00E51EE3"/>
    <w:rsid w:val="00E5209B"/>
    <w:rsid w:val="00E520FD"/>
    <w:rsid w:val="00E52262"/>
    <w:rsid w:val="00E52353"/>
    <w:rsid w:val="00E5247A"/>
    <w:rsid w:val="00E524BC"/>
    <w:rsid w:val="00E524F0"/>
    <w:rsid w:val="00E52555"/>
    <w:rsid w:val="00E5255F"/>
    <w:rsid w:val="00E525BC"/>
    <w:rsid w:val="00E525FD"/>
    <w:rsid w:val="00E52666"/>
    <w:rsid w:val="00E527E6"/>
    <w:rsid w:val="00E52824"/>
    <w:rsid w:val="00E52850"/>
    <w:rsid w:val="00E52861"/>
    <w:rsid w:val="00E5293C"/>
    <w:rsid w:val="00E529C6"/>
    <w:rsid w:val="00E52A46"/>
    <w:rsid w:val="00E52A9D"/>
    <w:rsid w:val="00E52B10"/>
    <w:rsid w:val="00E52BAC"/>
    <w:rsid w:val="00E52BC1"/>
    <w:rsid w:val="00E52D4A"/>
    <w:rsid w:val="00E52DCF"/>
    <w:rsid w:val="00E52EAE"/>
    <w:rsid w:val="00E530BA"/>
    <w:rsid w:val="00E53123"/>
    <w:rsid w:val="00E5325C"/>
    <w:rsid w:val="00E53309"/>
    <w:rsid w:val="00E53310"/>
    <w:rsid w:val="00E535F1"/>
    <w:rsid w:val="00E53654"/>
    <w:rsid w:val="00E536CF"/>
    <w:rsid w:val="00E53710"/>
    <w:rsid w:val="00E5375D"/>
    <w:rsid w:val="00E53A1D"/>
    <w:rsid w:val="00E53B0E"/>
    <w:rsid w:val="00E53B50"/>
    <w:rsid w:val="00E53B78"/>
    <w:rsid w:val="00E53BC0"/>
    <w:rsid w:val="00E53BCB"/>
    <w:rsid w:val="00E53D62"/>
    <w:rsid w:val="00E53D68"/>
    <w:rsid w:val="00E53E6F"/>
    <w:rsid w:val="00E53E7C"/>
    <w:rsid w:val="00E53E9A"/>
    <w:rsid w:val="00E53F35"/>
    <w:rsid w:val="00E53F41"/>
    <w:rsid w:val="00E54005"/>
    <w:rsid w:val="00E540B7"/>
    <w:rsid w:val="00E540CB"/>
    <w:rsid w:val="00E54192"/>
    <w:rsid w:val="00E5437D"/>
    <w:rsid w:val="00E5441B"/>
    <w:rsid w:val="00E544EC"/>
    <w:rsid w:val="00E545E6"/>
    <w:rsid w:val="00E54739"/>
    <w:rsid w:val="00E5477C"/>
    <w:rsid w:val="00E547AE"/>
    <w:rsid w:val="00E548CB"/>
    <w:rsid w:val="00E54911"/>
    <w:rsid w:val="00E54938"/>
    <w:rsid w:val="00E549B6"/>
    <w:rsid w:val="00E549C9"/>
    <w:rsid w:val="00E54A1A"/>
    <w:rsid w:val="00E54A6F"/>
    <w:rsid w:val="00E54AC5"/>
    <w:rsid w:val="00E54AE4"/>
    <w:rsid w:val="00E54AFA"/>
    <w:rsid w:val="00E54CAF"/>
    <w:rsid w:val="00E54CD9"/>
    <w:rsid w:val="00E54CDE"/>
    <w:rsid w:val="00E54D23"/>
    <w:rsid w:val="00E54D3F"/>
    <w:rsid w:val="00E54D86"/>
    <w:rsid w:val="00E54F37"/>
    <w:rsid w:val="00E54FAA"/>
    <w:rsid w:val="00E54FB4"/>
    <w:rsid w:val="00E5504E"/>
    <w:rsid w:val="00E55140"/>
    <w:rsid w:val="00E551A1"/>
    <w:rsid w:val="00E552AA"/>
    <w:rsid w:val="00E552B5"/>
    <w:rsid w:val="00E554DC"/>
    <w:rsid w:val="00E555FA"/>
    <w:rsid w:val="00E55651"/>
    <w:rsid w:val="00E55662"/>
    <w:rsid w:val="00E55688"/>
    <w:rsid w:val="00E556B5"/>
    <w:rsid w:val="00E5576F"/>
    <w:rsid w:val="00E5579F"/>
    <w:rsid w:val="00E558A1"/>
    <w:rsid w:val="00E55961"/>
    <w:rsid w:val="00E55989"/>
    <w:rsid w:val="00E559D6"/>
    <w:rsid w:val="00E559DC"/>
    <w:rsid w:val="00E55A59"/>
    <w:rsid w:val="00E55C33"/>
    <w:rsid w:val="00E55C4A"/>
    <w:rsid w:val="00E55CED"/>
    <w:rsid w:val="00E55D53"/>
    <w:rsid w:val="00E55E25"/>
    <w:rsid w:val="00E55E99"/>
    <w:rsid w:val="00E55EE1"/>
    <w:rsid w:val="00E55F03"/>
    <w:rsid w:val="00E55F37"/>
    <w:rsid w:val="00E55F46"/>
    <w:rsid w:val="00E55F93"/>
    <w:rsid w:val="00E56032"/>
    <w:rsid w:val="00E561E8"/>
    <w:rsid w:val="00E5624A"/>
    <w:rsid w:val="00E5627C"/>
    <w:rsid w:val="00E56577"/>
    <w:rsid w:val="00E5660F"/>
    <w:rsid w:val="00E56635"/>
    <w:rsid w:val="00E5663B"/>
    <w:rsid w:val="00E5666F"/>
    <w:rsid w:val="00E56672"/>
    <w:rsid w:val="00E5672D"/>
    <w:rsid w:val="00E567BB"/>
    <w:rsid w:val="00E567E1"/>
    <w:rsid w:val="00E56842"/>
    <w:rsid w:val="00E5687B"/>
    <w:rsid w:val="00E568DD"/>
    <w:rsid w:val="00E56916"/>
    <w:rsid w:val="00E569CE"/>
    <w:rsid w:val="00E569E2"/>
    <w:rsid w:val="00E56B6C"/>
    <w:rsid w:val="00E56B74"/>
    <w:rsid w:val="00E56BC2"/>
    <w:rsid w:val="00E56C36"/>
    <w:rsid w:val="00E56CAE"/>
    <w:rsid w:val="00E56D33"/>
    <w:rsid w:val="00E56D97"/>
    <w:rsid w:val="00E56DA4"/>
    <w:rsid w:val="00E56DA7"/>
    <w:rsid w:val="00E56E2E"/>
    <w:rsid w:val="00E56E49"/>
    <w:rsid w:val="00E56E69"/>
    <w:rsid w:val="00E56ED9"/>
    <w:rsid w:val="00E56F13"/>
    <w:rsid w:val="00E56F2E"/>
    <w:rsid w:val="00E56F76"/>
    <w:rsid w:val="00E5704D"/>
    <w:rsid w:val="00E5705C"/>
    <w:rsid w:val="00E5719B"/>
    <w:rsid w:val="00E571E6"/>
    <w:rsid w:val="00E57208"/>
    <w:rsid w:val="00E572E0"/>
    <w:rsid w:val="00E57379"/>
    <w:rsid w:val="00E5737E"/>
    <w:rsid w:val="00E573C2"/>
    <w:rsid w:val="00E5744F"/>
    <w:rsid w:val="00E57456"/>
    <w:rsid w:val="00E57471"/>
    <w:rsid w:val="00E574EC"/>
    <w:rsid w:val="00E57594"/>
    <w:rsid w:val="00E575E6"/>
    <w:rsid w:val="00E576D6"/>
    <w:rsid w:val="00E57727"/>
    <w:rsid w:val="00E5772B"/>
    <w:rsid w:val="00E57778"/>
    <w:rsid w:val="00E57786"/>
    <w:rsid w:val="00E577E4"/>
    <w:rsid w:val="00E57A0B"/>
    <w:rsid w:val="00E57A0F"/>
    <w:rsid w:val="00E57BB1"/>
    <w:rsid w:val="00E57CEA"/>
    <w:rsid w:val="00E57D23"/>
    <w:rsid w:val="00E57D4C"/>
    <w:rsid w:val="00E57D98"/>
    <w:rsid w:val="00E57DC4"/>
    <w:rsid w:val="00E57F06"/>
    <w:rsid w:val="00E57F20"/>
    <w:rsid w:val="00E57F8F"/>
    <w:rsid w:val="00E57FD9"/>
    <w:rsid w:val="00E57FF0"/>
    <w:rsid w:val="00E60054"/>
    <w:rsid w:val="00E60128"/>
    <w:rsid w:val="00E6016B"/>
    <w:rsid w:val="00E6018C"/>
    <w:rsid w:val="00E601D6"/>
    <w:rsid w:val="00E60413"/>
    <w:rsid w:val="00E6041C"/>
    <w:rsid w:val="00E6053D"/>
    <w:rsid w:val="00E60549"/>
    <w:rsid w:val="00E60657"/>
    <w:rsid w:val="00E6068C"/>
    <w:rsid w:val="00E6069C"/>
    <w:rsid w:val="00E606EA"/>
    <w:rsid w:val="00E60905"/>
    <w:rsid w:val="00E609B2"/>
    <w:rsid w:val="00E60A1B"/>
    <w:rsid w:val="00E60AEF"/>
    <w:rsid w:val="00E60BD3"/>
    <w:rsid w:val="00E60C22"/>
    <w:rsid w:val="00E60C39"/>
    <w:rsid w:val="00E60CBF"/>
    <w:rsid w:val="00E60D84"/>
    <w:rsid w:val="00E60DE9"/>
    <w:rsid w:val="00E60EBC"/>
    <w:rsid w:val="00E60F03"/>
    <w:rsid w:val="00E60F46"/>
    <w:rsid w:val="00E60F60"/>
    <w:rsid w:val="00E6103F"/>
    <w:rsid w:val="00E61193"/>
    <w:rsid w:val="00E611C4"/>
    <w:rsid w:val="00E6124A"/>
    <w:rsid w:val="00E6133D"/>
    <w:rsid w:val="00E614A9"/>
    <w:rsid w:val="00E614F5"/>
    <w:rsid w:val="00E61539"/>
    <w:rsid w:val="00E615F5"/>
    <w:rsid w:val="00E616A8"/>
    <w:rsid w:val="00E617F2"/>
    <w:rsid w:val="00E61849"/>
    <w:rsid w:val="00E618D1"/>
    <w:rsid w:val="00E61985"/>
    <w:rsid w:val="00E619EC"/>
    <w:rsid w:val="00E61B68"/>
    <w:rsid w:val="00E61BCF"/>
    <w:rsid w:val="00E61BD8"/>
    <w:rsid w:val="00E61C6B"/>
    <w:rsid w:val="00E61C70"/>
    <w:rsid w:val="00E61CA7"/>
    <w:rsid w:val="00E61CB4"/>
    <w:rsid w:val="00E61D02"/>
    <w:rsid w:val="00E61D06"/>
    <w:rsid w:val="00E61D7B"/>
    <w:rsid w:val="00E61E1B"/>
    <w:rsid w:val="00E61E4A"/>
    <w:rsid w:val="00E61ED9"/>
    <w:rsid w:val="00E61EFF"/>
    <w:rsid w:val="00E61F46"/>
    <w:rsid w:val="00E6206D"/>
    <w:rsid w:val="00E620E2"/>
    <w:rsid w:val="00E6213F"/>
    <w:rsid w:val="00E6214A"/>
    <w:rsid w:val="00E62182"/>
    <w:rsid w:val="00E621B4"/>
    <w:rsid w:val="00E621C9"/>
    <w:rsid w:val="00E621E5"/>
    <w:rsid w:val="00E62325"/>
    <w:rsid w:val="00E6233C"/>
    <w:rsid w:val="00E6242D"/>
    <w:rsid w:val="00E6248F"/>
    <w:rsid w:val="00E624BF"/>
    <w:rsid w:val="00E627F0"/>
    <w:rsid w:val="00E6292C"/>
    <w:rsid w:val="00E6293C"/>
    <w:rsid w:val="00E6295A"/>
    <w:rsid w:val="00E6295D"/>
    <w:rsid w:val="00E62A53"/>
    <w:rsid w:val="00E62A87"/>
    <w:rsid w:val="00E62D02"/>
    <w:rsid w:val="00E62D78"/>
    <w:rsid w:val="00E62F94"/>
    <w:rsid w:val="00E630AC"/>
    <w:rsid w:val="00E6312E"/>
    <w:rsid w:val="00E6315D"/>
    <w:rsid w:val="00E63369"/>
    <w:rsid w:val="00E63388"/>
    <w:rsid w:val="00E633F5"/>
    <w:rsid w:val="00E63458"/>
    <w:rsid w:val="00E6346D"/>
    <w:rsid w:val="00E63559"/>
    <w:rsid w:val="00E6389A"/>
    <w:rsid w:val="00E638D1"/>
    <w:rsid w:val="00E6391D"/>
    <w:rsid w:val="00E63957"/>
    <w:rsid w:val="00E63981"/>
    <w:rsid w:val="00E63A22"/>
    <w:rsid w:val="00E63B1F"/>
    <w:rsid w:val="00E63BCA"/>
    <w:rsid w:val="00E63C88"/>
    <w:rsid w:val="00E63CEB"/>
    <w:rsid w:val="00E63DC3"/>
    <w:rsid w:val="00E63DF1"/>
    <w:rsid w:val="00E63E37"/>
    <w:rsid w:val="00E63E66"/>
    <w:rsid w:val="00E63EB9"/>
    <w:rsid w:val="00E63F14"/>
    <w:rsid w:val="00E6400A"/>
    <w:rsid w:val="00E64105"/>
    <w:rsid w:val="00E6414D"/>
    <w:rsid w:val="00E64155"/>
    <w:rsid w:val="00E6429C"/>
    <w:rsid w:val="00E642D1"/>
    <w:rsid w:val="00E64328"/>
    <w:rsid w:val="00E643A3"/>
    <w:rsid w:val="00E64489"/>
    <w:rsid w:val="00E64672"/>
    <w:rsid w:val="00E64673"/>
    <w:rsid w:val="00E64793"/>
    <w:rsid w:val="00E647A8"/>
    <w:rsid w:val="00E647D3"/>
    <w:rsid w:val="00E6482B"/>
    <w:rsid w:val="00E64932"/>
    <w:rsid w:val="00E64986"/>
    <w:rsid w:val="00E64B09"/>
    <w:rsid w:val="00E64CAD"/>
    <w:rsid w:val="00E64CB5"/>
    <w:rsid w:val="00E64CBE"/>
    <w:rsid w:val="00E64D7E"/>
    <w:rsid w:val="00E64E69"/>
    <w:rsid w:val="00E64E7C"/>
    <w:rsid w:val="00E64F80"/>
    <w:rsid w:val="00E64FD7"/>
    <w:rsid w:val="00E6500B"/>
    <w:rsid w:val="00E650CD"/>
    <w:rsid w:val="00E650F4"/>
    <w:rsid w:val="00E65176"/>
    <w:rsid w:val="00E6520C"/>
    <w:rsid w:val="00E65272"/>
    <w:rsid w:val="00E6531A"/>
    <w:rsid w:val="00E65329"/>
    <w:rsid w:val="00E6536F"/>
    <w:rsid w:val="00E65566"/>
    <w:rsid w:val="00E6559E"/>
    <w:rsid w:val="00E655BC"/>
    <w:rsid w:val="00E656B2"/>
    <w:rsid w:val="00E656E8"/>
    <w:rsid w:val="00E6576A"/>
    <w:rsid w:val="00E657D3"/>
    <w:rsid w:val="00E659ED"/>
    <w:rsid w:val="00E659EF"/>
    <w:rsid w:val="00E659F8"/>
    <w:rsid w:val="00E65A2C"/>
    <w:rsid w:val="00E65A68"/>
    <w:rsid w:val="00E65A81"/>
    <w:rsid w:val="00E65C16"/>
    <w:rsid w:val="00E65CE2"/>
    <w:rsid w:val="00E65D6E"/>
    <w:rsid w:val="00E65DE4"/>
    <w:rsid w:val="00E65F09"/>
    <w:rsid w:val="00E65F25"/>
    <w:rsid w:val="00E65F46"/>
    <w:rsid w:val="00E65F5A"/>
    <w:rsid w:val="00E65FA0"/>
    <w:rsid w:val="00E66056"/>
    <w:rsid w:val="00E66114"/>
    <w:rsid w:val="00E66132"/>
    <w:rsid w:val="00E66149"/>
    <w:rsid w:val="00E66171"/>
    <w:rsid w:val="00E663A3"/>
    <w:rsid w:val="00E663AE"/>
    <w:rsid w:val="00E66435"/>
    <w:rsid w:val="00E6643C"/>
    <w:rsid w:val="00E6651D"/>
    <w:rsid w:val="00E66520"/>
    <w:rsid w:val="00E66555"/>
    <w:rsid w:val="00E6665B"/>
    <w:rsid w:val="00E6671D"/>
    <w:rsid w:val="00E66765"/>
    <w:rsid w:val="00E667CE"/>
    <w:rsid w:val="00E66815"/>
    <w:rsid w:val="00E66870"/>
    <w:rsid w:val="00E668E1"/>
    <w:rsid w:val="00E66953"/>
    <w:rsid w:val="00E669FD"/>
    <w:rsid w:val="00E66AC7"/>
    <w:rsid w:val="00E66B4A"/>
    <w:rsid w:val="00E66C40"/>
    <w:rsid w:val="00E66DDA"/>
    <w:rsid w:val="00E66EB4"/>
    <w:rsid w:val="00E66EBC"/>
    <w:rsid w:val="00E66ECD"/>
    <w:rsid w:val="00E66F93"/>
    <w:rsid w:val="00E66FA3"/>
    <w:rsid w:val="00E67234"/>
    <w:rsid w:val="00E67256"/>
    <w:rsid w:val="00E67274"/>
    <w:rsid w:val="00E6747D"/>
    <w:rsid w:val="00E67550"/>
    <w:rsid w:val="00E67551"/>
    <w:rsid w:val="00E67566"/>
    <w:rsid w:val="00E6757B"/>
    <w:rsid w:val="00E675CB"/>
    <w:rsid w:val="00E675D2"/>
    <w:rsid w:val="00E67655"/>
    <w:rsid w:val="00E6765E"/>
    <w:rsid w:val="00E6769A"/>
    <w:rsid w:val="00E676AB"/>
    <w:rsid w:val="00E67762"/>
    <w:rsid w:val="00E67AA7"/>
    <w:rsid w:val="00E67AB5"/>
    <w:rsid w:val="00E67B9A"/>
    <w:rsid w:val="00E67C47"/>
    <w:rsid w:val="00E67CCD"/>
    <w:rsid w:val="00E67D2B"/>
    <w:rsid w:val="00E67D72"/>
    <w:rsid w:val="00E67E6F"/>
    <w:rsid w:val="00E67EDA"/>
    <w:rsid w:val="00E67F7A"/>
    <w:rsid w:val="00E70053"/>
    <w:rsid w:val="00E700FE"/>
    <w:rsid w:val="00E70110"/>
    <w:rsid w:val="00E7016D"/>
    <w:rsid w:val="00E70182"/>
    <w:rsid w:val="00E701E4"/>
    <w:rsid w:val="00E703AF"/>
    <w:rsid w:val="00E703C0"/>
    <w:rsid w:val="00E703D8"/>
    <w:rsid w:val="00E704E3"/>
    <w:rsid w:val="00E704FF"/>
    <w:rsid w:val="00E705E7"/>
    <w:rsid w:val="00E705E8"/>
    <w:rsid w:val="00E70765"/>
    <w:rsid w:val="00E708E9"/>
    <w:rsid w:val="00E70963"/>
    <w:rsid w:val="00E70984"/>
    <w:rsid w:val="00E70B22"/>
    <w:rsid w:val="00E70CF8"/>
    <w:rsid w:val="00E70DD4"/>
    <w:rsid w:val="00E70E26"/>
    <w:rsid w:val="00E70E50"/>
    <w:rsid w:val="00E70E80"/>
    <w:rsid w:val="00E71079"/>
    <w:rsid w:val="00E711B5"/>
    <w:rsid w:val="00E7120E"/>
    <w:rsid w:val="00E71215"/>
    <w:rsid w:val="00E71380"/>
    <w:rsid w:val="00E714AD"/>
    <w:rsid w:val="00E71520"/>
    <w:rsid w:val="00E7156F"/>
    <w:rsid w:val="00E7163C"/>
    <w:rsid w:val="00E71668"/>
    <w:rsid w:val="00E7173E"/>
    <w:rsid w:val="00E717B3"/>
    <w:rsid w:val="00E71851"/>
    <w:rsid w:val="00E71899"/>
    <w:rsid w:val="00E7189E"/>
    <w:rsid w:val="00E718AE"/>
    <w:rsid w:val="00E71960"/>
    <w:rsid w:val="00E71A55"/>
    <w:rsid w:val="00E71AC2"/>
    <w:rsid w:val="00E71AC9"/>
    <w:rsid w:val="00E71C5C"/>
    <w:rsid w:val="00E71C6C"/>
    <w:rsid w:val="00E71C74"/>
    <w:rsid w:val="00E71C93"/>
    <w:rsid w:val="00E71D10"/>
    <w:rsid w:val="00E71D53"/>
    <w:rsid w:val="00E71DC6"/>
    <w:rsid w:val="00E71FF2"/>
    <w:rsid w:val="00E7203A"/>
    <w:rsid w:val="00E721D8"/>
    <w:rsid w:val="00E721ED"/>
    <w:rsid w:val="00E72255"/>
    <w:rsid w:val="00E7228B"/>
    <w:rsid w:val="00E72352"/>
    <w:rsid w:val="00E72369"/>
    <w:rsid w:val="00E723D3"/>
    <w:rsid w:val="00E725A1"/>
    <w:rsid w:val="00E72676"/>
    <w:rsid w:val="00E726AA"/>
    <w:rsid w:val="00E726AD"/>
    <w:rsid w:val="00E72711"/>
    <w:rsid w:val="00E72720"/>
    <w:rsid w:val="00E72786"/>
    <w:rsid w:val="00E727CA"/>
    <w:rsid w:val="00E7282B"/>
    <w:rsid w:val="00E72867"/>
    <w:rsid w:val="00E72871"/>
    <w:rsid w:val="00E72A03"/>
    <w:rsid w:val="00E72A1E"/>
    <w:rsid w:val="00E72A42"/>
    <w:rsid w:val="00E72A4A"/>
    <w:rsid w:val="00E72A5D"/>
    <w:rsid w:val="00E72C2B"/>
    <w:rsid w:val="00E72CEE"/>
    <w:rsid w:val="00E72D30"/>
    <w:rsid w:val="00E72D31"/>
    <w:rsid w:val="00E72D74"/>
    <w:rsid w:val="00E72DAB"/>
    <w:rsid w:val="00E72E3C"/>
    <w:rsid w:val="00E72F3F"/>
    <w:rsid w:val="00E72F8B"/>
    <w:rsid w:val="00E72FAA"/>
    <w:rsid w:val="00E72FCB"/>
    <w:rsid w:val="00E73047"/>
    <w:rsid w:val="00E73099"/>
    <w:rsid w:val="00E730F8"/>
    <w:rsid w:val="00E730F9"/>
    <w:rsid w:val="00E7317D"/>
    <w:rsid w:val="00E731DD"/>
    <w:rsid w:val="00E733F3"/>
    <w:rsid w:val="00E7346A"/>
    <w:rsid w:val="00E7347B"/>
    <w:rsid w:val="00E734A9"/>
    <w:rsid w:val="00E735AD"/>
    <w:rsid w:val="00E73618"/>
    <w:rsid w:val="00E73670"/>
    <w:rsid w:val="00E736D1"/>
    <w:rsid w:val="00E73752"/>
    <w:rsid w:val="00E73794"/>
    <w:rsid w:val="00E737B2"/>
    <w:rsid w:val="00E73816"/>
    <w:rsid w:val="00E73910"/>
    <w:rsid w:val="00E73938"/>
    <w:rsid w:val="00E73979"/>
    <w:rsid w:val="00E73997"/>
    <w:rsid w:val="00E739B3"/>
    <w:rsid w:val="00E73A00"/>
    <w:rsid w:val="00E73A37"/>
    <w:rsid w:val="00E73ACA"/>
    <w:rsid w:val="00E73B01"/>
    <w:rsid w:val="00E73B1B"/>
    <w:rsid w:val="00E73B7A"/>
    <w:rsid w:val="00E73BB5"/>
    <w:rsid w:val="00E73CB3"/>
    <w:rsid w:val="00E73E5D"/>
    <w:rsid w:val="00E73EB1"/>
    <w:rsid w:val="00E73F8C"/>
    <w:rsid w:val="00E740C7"/>
    <w:rsid w:val="00E7412D"/>
    <w:rsid w:val="00E7414F"/>
    <w:rsid w:val="00E7419F"/>
    <w:rsid w:val="00E74229"/>
    <w:rsid w:val="00E743A2"/>
    <w:rsid w:val="00E743EC"/>
    <w:rsid w:val="00E743EF"/>
    <w:rsid w:val="00E7450C"/>
    <w:rsid w:val="00E74530"/>
    <w:rsid w:val="00E74543"/>
    <w:rsid w:val="00E745D8"/>
    <w:rsid w:val="00E74681"/>
    <w:rsid w:val="00E746A3"/>
    <w:rsid w:val="00E746DF"/>
    <w:rsid w:val="00E74727"/>
    <w:rsid w:val="00E74765"/>
    <w:rsid w:val="00E74772"/>
    <w:rsid w:val="00E747D1"/>
    <w:rsid w:val="00E748BC"/>
    <w:rsid w:val="00E74906"/>
    <w:rsid w:val="00E74913"/>
    <w:rsid w:val="00E749E2"/>
    <w:rsid w:val="00E74A25"/>
    <w:rsid w:val="00E74A58"/>
    <w:rsid w:val="00E74ADB"/>
    <w:rsid w:val="00E74C6C"/>
    <w:rsid w:val="00E74E36"/>
    <w:rsid w:val="00E74EBD"/>
    <w:rsid w:val="00E7504A"/>
    <w:rsid w:val="00E750D8"/>
    <w:rsid w:val="00E750D9"/>
    <w:rsid w:val="00E750DC"/>
    <w:rsid w:val="00E750F6"/>
    <w:rsid w:val="00E752AF"/>
    <w:rsid w:val="00E752C4"/>
    <w:rsid w:val="00E75370"/>
    <w:rsid w:val="00E753BE"/>
    <w:rsid w:val="00E7543B"/>
    <w:rsid w:val="00E75768"/>
    <w:rsid w:val="00E757AC"/>
    <w:rsid w:val="00E75883"/>
    <w:rsid w:val="00E758B6"/>
    <w:rsid w:val="00E758D8"/>
    <w:rsid w:val="00E758FD"/>
    <w:rsid w:val="00E7590F"/>
    <w:rsid w:val="00E75946"/>
    <w:rsid w:val="00E75954"/>
    <w:rsid w:val="00E75A15"/>
    <w:rsid w:val="00E75A98"/>
    <w:rsid w:val="00E75AC3"/>
    <w:rsid w:val="00E75B0C"/>
    <w:rsid w:val="00E75B43"/>
    <w:rsid w:val="00E75BAE"/>
    <w:rsid w:val="00E75C99"/>
    <w:rsid w:val="00E75CF9"/>
    <w:rsid w:val="00E75D4E"/>
    <w:rsid w:val="00E75D82"/>
    <w:rsid w:val="00E75DB1"/>
    <w:rsid w:val="00E75FAB"/>
    <w:rsid w:val="00E760CA"/>
    <w:rsid w:val="00E76322"/>
    <w:rsid w:val="00E76398"/>
    <w:rsid w:val="00E763EA"/>
    <w:rsid w:val="00E76426"/>
    <w:rsid w:val="00E76452"/>
    <w:rsid w:val="00E76468"/>
    <w:rsid w:val="00E76471"/>
    <w:rsid w:val="00E765BA"/>
    <w:rsid w:val="00E76672"/>
    <w:rsid w:val="00E766B4"/>
    <w:rsid w:val="00E7672D"/>
    <w:rsid w:val="00E7679A"/>
    <w:rsid w:val="00E76805"/>
    <w:rsid w:val="00E7696C"/>
    <w:rsid w:val="00E76B25"/>
    <w:rsid w:val="00E76BE0"/>
    <w:rsid w:val="00E76C5D"/>
    <w:rsid w:val="00E76C67"/>
    <w:rsid w:val="00E76D69"/>
    <w:rsid w:val="00E76E7A"/>
    <w:rsid w:val="00E76FAE"/>
    <w:rsid w:val="00E771DD"/>
    <w:rsid w:val="00E771E9"/>
    <w:rsid w:val="00E7722D"/>
    <w:rsid w:val="00E772A6"/>
    <w:rsid w:val="00E772AE"/>
    <w:rsid w:val="00E772DF"/>
    <w:rsid w:val="00E77339"/>
    <w:rsid w:val="00E77378"/>
    <w:rsid w:val="00E77383"/>
    <w:rsid w:val="00E773BE"/>
    <w:rsid w:val="00E77424"/>
    <w:rsid w:val="00E7752A"/>
    <w:rsid w:val="00E7754F"/>
    <w:rsid w:val="00E775A0"/>
    <w:rsid w:val="00E775D7"/>
    <w:rsid w:val="00E77604"/>
    <w:rsid w:val="00E77745"/>
    <w:rsid w:val="00E77936"/>
    <w:rsid w:val="00E77A50"/>
    <w:rsid w:val="00E77ADA"/>
    <w:rsid w:val="00E77B14"/>
    <w:rsid w:val="00E77B26"/>
    <w:rsid w:val="00E77B64"/>
    <w:rsid w:val="00E77BAC"/>
    <w:rsid w:val="00E77BD4"/>
    <w:rsid w:val="00E77BE0"/>
    <w:rsid w:val="00E77C5C"/>
    <w:rsid w:val="00E77DDA"/>
    <w:rsid w:val="00E77E71"/>
    <w:rsid w:val="00E77F55"/>
    <w:rsid w:val="00E77FCA"/>
    <w:rsid w:val="00E77FEC"/>
    <w:rsid w:val="00E800B4"/>
    <w:rsid w:val="00E80104"/>
    <w:rsid w:val="00E8017D"/>
    <w:rsid w:val="00E801B5"/>
    <w:rsid w:val="00E80278"/>
    <w:rsid w:val="00E80290"/>
    <w:rsid w:val="00E802C0"/>
    <w:rsid w:val="00E802FE"/>
    <w:rsid w:val="00E80302"/>
    <w:rsid w:val="00E80446"/>
    <w:rsid w:val="00E80578"/>
    <w:rsid w:val="00E80655"/>
    <w:rsid w:val="00E8067B"/>
    <w:rsid w:val="00E806C5"/>
    <w:rsid w:val="00E8076D"/>
    <w:rsid w:val="00E80777"/>
    <w:rsid w:val="00E807F1"/>
    <w:rsid w:val="00E80866"/>
    <w:rsid w:val="00E8089F"/>
    <w:rsid w:val="00E80946"/>
    <w:rsid w:val="00E80A92"/>
    <w:rsid w:val="00E80A9B"/>
    <w:rsid w:val="00E80AB7"/>
    <w:rsid w:val="00E80B74"/>
    <w:rsid w:val="00E80BCD"/>
    <w:rsid w:val="00E80C3B"/>
    <w:rsid w:val="00E80C75"/>
    <w:rsid w:val="00E80CBF"/>
    <w:rsid w:val="00E80D39"/>
    <w:rsid w:val="00E80E5A"/>
    <w:rsid w:val="00E80E60"/>
    <w:rsid w:val="00E80E6B"/>
    <w:rsid w:val="00E80EDC"/>
    <w:rsid w:val="00E80FB0"/>
    <w:rsid w:val="00E80FB4"/>
    <w:rsid w:val="00E81055"/>
    <w:rsid w:val="00E811A9"/>
    <w:rsid w:val="00E811CE"/>
    <w:rsid w:val="00E811FD"/>
    <w:rsid w:val="00E8124A"/>
    <w:rsid w:val="00E81257"/>
    <w:rsid w:val="00E812BA"/>
    <w:rsid w:val="00E812BF"/>
    <w:rsid w:val="00E81612"/>
    <w:rsid w:val="00E8161F"/>
    <w:rsid w:val="00E8162F"/>
    <w:rsid w:val="00E81652"/>
    <w:rsid w:val="00E8179E"/>
    <w:rsid w:val="00E817C3"/>
    <w:rsid w:val="00E817D6"/>
    <w:rsid w:val="00E81AD1"/>
    <w:rsid w:val="00E81B0A"/>
    <w:rsid w:val="00E81B7C"/>
    <w:rsid w:val="00E81C51"/>
    <w:rsid w:val="00E81CE8"/>
    <w:rsid w:val="00E81D2D"/>
    <w:rsid w:val="00E81DAB"/>
    <w:rsid w:val="00E81EFD"/>
    <w:rsid w:val="00E81F1C"/>
    <w:rsid w:val="00E81F6D"/>
    <w:rsid w:val="00E8200B"/>
    <w:rsid w:val="00E8202F"/>
    <w:rsid w:val="00E82045"/>
    <w:rsid w:val="00E8206F"/>
    <w:rsid w:val="00E8208A"/>
    <w:rsid w:val="00E822B3"/>
    <w:rsid w:val="00E822CC"/>
    <w:rsid w:val="00E82394"/>
    <w:rsid w:val="00E82436"/>
    <w:rsid w:val="00E824E6"/>
    <w:rsid w:val="00E825D8"/>
    <w:rsid w:val="00E82640"/>
    <w:rsid w:val="00E82658"/>
    <w:rsid w:val="00E82829"/>
    <w:rsid w:val="00E8285F"/>
    <w:rsid w:val="00E828D4"/>
    <w:rsid w:val="00E82915"/>
    <w:rsid w:val="00E82946"/>
    <w:rsid w:val="00E82B8C"/>
    <w:rsid w:val="00E82D52"/>
    <w:rsid w:val="00E82E05"/>
    <w:rsid w:val="00E82EA0"/>
    <w:rsid w:val="00E82EA5"/>
    <w:rsid w:val="00E830D9"/>
    <w:rsid w:val="00E83118"/>
    <w:rsid w:val="00E8319D"/>
    <w:rsid w:val="00E831CB"/>
    <w:rsid w:val="00E83451"/>
    <w:rsid w:val="00E83571"/>
    <w:rsid w:val="00E83764"/>
    <w:rsid w:val="00E837B9"/>
    <w:rsid w:val="00E8382C"/>
    <w:rsid w:val="00E83955"/>
    <w:rsid w:val="00E839B3"/>
    <w:rsid w:val="00E83AE7"/>
    <w:rsid w:val="00E83B7A"/>
    <w:rsid w:val="00E83BF9"/>
    <w:rsid w:val="00E83C00"/>
    <w:rsid w:val="00E83C59"/>
    <w:rsid w:val="00E83CB2"/>
    <w:rsid w:val="00E83CD6"/>
    <w:rsid w:val="00E83D66"/>
    <w:rsid w:val="00E83DF3"/>
    <w:rsid w:val="00E84028"/>
    <w:rsid w:val="00E842AE"/>
    <w:rsid w:val="00E842C0"/>
    <w:rsid w:val="00E8433C"/>
    <w:rsid w:val="00E84385"/>
    <w:rsid w:val="00E8442B"/>
    <w:rsid w:val="00E844D0"/>
    <w:rsid w:val="00E846B0"/>
    <w:rsid w:val="00E846FC"/>
    <w:rsid w:val="00E84705"/>
    <w:rsid w:val="00E84860"/>
    <w:rsid w:val="00E84983"/>
    <w:rsid w:val="00E84A6F"/>
    <w:rsid w:val="00E84BBB"/>
    <w:rsid w:val="00E84C4D"/>
    <w:rsid w:val="00E84E21"/>
    <w:rsid w:val="00E84EB0"/>
    <w:rsid w:val="00E84FFF"/>
    <w:rsid w:val="00E8509E"/>
    <w:rsid w:val="00E850DE"/>
    <w:rsid w:val="00E85168"/>
    <w:rsid w:val="00E851CF"/>
    <w:rsid w:val="00E85261"/>
    <w:rsid w:val="00E8538E"/>
    <w:rsid w:val="00E853CD"/>
    <w:rsid w:val="00E85470"/>
    <w:rsid w:val="00E854BE"/>
    <w:rsid w:val="00E8553B"/>
    <w:rsid w:val="00E855AC"/>
    <w:rsid w:val="00E855D7"/>
    <w:rsid w:val="00E8561E"/>
    <w:rsid w:val="00E85639"/>
    <w:rsid w:val="00E85692"/>
    <w:rsid w:val="00E856AC"/>
    <w:rsid w:val="00E8578E"/>
    <w:rsid w:val="00E857F3"/>
    <w:rsid w:val="00E85892"/>
    <w:rsid w:val="00E858B7"/>
    <w:rsid w:val="00E859E6"/>
    <w:rsid w:val="00E859EC"/>
    <w:rsid w:val="00E85A43"/>
    <w:rsid w:val="00E85A96"/>
    <w:rsid w:val="00E85ACB"/>
    <w:rsid w:val="00E85AF8"/>
    <w:rsid w:val="00E85B23"/>
    <w:rsid w:val="00E85BB5"/>
    <w:rsid w:val="00E85C67"/>
    <w:rsid w:val="00E85C72"/>
    <w:rsid w:val="00E85CB8"/>
    <w:rsid w:val="00E85D5D"/>
    <w:rsid w:val="00E85DC0"/>
    <w:rsid w:val="00E85DCE"/>
    <w:rsid w:val="00E85E28"/>
    <w:rsid w:val="00E85EE4"/>
    <w:rsid w:val="00E85F0D"/>
    <w:rsid w:val="00E85F23"/>
    <w:rsid w:val="00E85F2C"/>
    <w:rsid w:val="00E85FA5"/>
    <w:rsid w:val="00E85FFD"/>
    <w:rsid w:val="00E8609F"/>
    <w:rsid w:val="00E860FA"/>
    <w:rsid w:val="00E86175"/>
    <w:rsid w:val="00E8618C"/>
    <w:rsid w:val="00E8621C"/>
    <w:rsid w:val="00E86233"/>
    <w:rsid w:val="00E8626A"/>
    <w:rsid w:val="00E862BD"/>
    <w:rsid w:val="00E862C4"/>
    <w:rsid w:val="00E86431"/>
    <w:rsid w:val="00E86475"/>
    <w:rsid w:val="00E8647D"/>
    <w:rsid w:val="00E86505"/>
    <w:rsid w:val="00E86589"/>
    <w:rsid w:val="00E86614"/>
    <w:rsid w:val="00E86692"/>
    <w:rsid w:val="00E866AB"/>
    <w:rsid w:val="00E866D9"/>
    <w:rsid w:val="00E86799"/>
    <w:rsid w:val="00E867B8"/>
    <w:rsid w:val="00E86A86"/>
    <w:rsid w:val="00E86BA7"/>
    <w:rsid w:val="00E86BD2"/>
    <w:rsid w:val="00E86BFE"/>
    <w:rsid w:val="00E86C10"/>
    <w:rsid w:val="00E86C6F"/>
    <w:rsid w:val="00E86C99"/>
    <w:rsid w:val="00E86E02"/>
    <w:rsid w:val="00E86F45"/>
    <w:rsid w:val="00E86F7B"/>
    <w:rsid w:val="00E86F95"/>
    <w:rsid w:val="00E8708A"/>
    <w:rsid w:val="00E87195"/>
    <w:rsid w:val="00E871D7"/>
    <w:rsid w:val="00E87225"/>
    <w:rsid w:val="00E87328"/>
    <w:rsid w:val="00E8734F"/>
    <w:rsid w:val="00E874FF"/>
    <w:rsid w:val="00E8752E"/>
    <w:rsid w:val="00E875A9"/>
    <w:rsid w:val="00E876C4"/>
    <w:rsid w:val="00E87799"/>
    <w:rsid w:val="00E878FB"/>
    <w:rsid w:val="00E87934"/>
    <w:rsid w:val="00E87971"/>
    <w:rsid w:val="00E87977"/>
    <w:rsid w:val="00E879D9"/>
    <w:rsid w:val="00E879DB"/>
    <w:rsid w:val="00E879EF"/>
    <w:rsid w:val="00E87A66"/>
    <w:rsid w:val="00E87AA8"/>
    <w:rsid w:val="00E87AC3"/>
    <w:rsid w:val="00E87B07"/>
    <w:rsid w:val="00E87B24"/>
    <w:rsid w:val="00E87BF6"/>
    <w:rsid w:val="00E87C21"/>
    <w:rsid w:val="00E87C69"/>
    <w:rsid w:val="00E87EBB"/>
    <w:rsid w:val="00E87F08"/>
    <w:rsid w:val="00E87F67"/>
    <w:rsid w:val="00E87F6B"/>
    <w:rsid w:val="00E901FA"/>
    <w:rsid w:val="00E9022B"/>
    <w:rsid w:val="00E90279"/>
    <w:rsid w:val="00E902AD"/>
    <w:rsid w:val="00E903DB"/>
    <w:rsid w:val="00E904A3"/>
    <w:rsid w:val="00E90533"/>
    <w:rsid w:val="00E90565"/>
    <w:rsid w:val="00E9058A"/>
    <w:rsid w:val="00E905A3"/>
    <w:rsid w:val="00E905C2"/>
    <w:rsid w:val="00E90717"/>
    <w:rsid w:val="00E90719"/>
    <w:rsid w:val="00E908EA"/>
    <w:rsid w:val="00E9092D"/>
    <w:rsid w:val="00E90948"/>
    <w:rsid w:val="00E909B7"/>
    <w:rsid w:val="00E90A56"/>
    <w:rsid w:val="00E90A8E"/>
    <w:rsid w:val="00E90AB7"/>
    <w:rsid w:val="00E90AE2"/>
    <w:rsid w:val="00E90AF8"/>
    <w:rsid w:val="00E90B46"/>
    <w:rsid w:val="00E90B79"/>
    <w:rsid w:val="00E90C6E"/>
    <w:rsid w:val="00E90C77"/>
    <w:rsid w:val="00E90C84"/>
    <w:rsid w:val="00E90C9F"/>
    <w:rsid w:val="00E90CC5"/>
    <w:rsid w:val="00E90D36"/>
    <w:rsid w:val="00E90D69"/>
    <w:rsid w:val="00E90D8B"/>
    <w:rsid w:val="00E90E0A"/>
    <w:rsid w:val="00E90E55"/>
    <w:rsid w:val="00E90E6A"/>
    <w:rsid w:val="00E90F80"/>
    <w:rsid w:val="00E91175"/>
    <w:rsid w:val="00E91210"/>
    <w:rsid w:val="00E91231"/>
    <w:rsid w:val="00E91286"/>
    <w:rsid w:val="00E913DB"/>
    <w:rsid w:val="00E91418"/>
    <w:rsid w:val="00E9143A"/>
    <w:rsid w:val="00E91492"/>
    <w:rsid w:val="00E9153A"/>
    <w:rsid w:val="00E91621"/>
    <w:rsid w:val="00E9166D"/>
    <w:rsid w:val="00E916E8"/>
    <w:rsid w:val="00E91781"/>
    <w:rsid w:val="00E91844"/>
    <w:rsid w:val="00E91972"/>
    <w:rsid w:val="00E91980"/>
    <w:rsid w:val="00E91B9B"/>
    <w:rsid w:val="00E91BB4"/>
    <w:rsid w:val="00E91BC9"/>
    <w:rsid w:val="00E91C15"/>
    <w:rsid w:val="00E91C1C"/>
    <w:rsid w:val="00E91C3F"/>
    <w:rsid w:val="00E91CE5"/>
    <w:rsid w:val="00E91D60"/>
    <w:rsid w:val="00E91E93"/>
    <w:rsid w:val="00E91F9B"/>
    <w:rsid w:val="00E92173"/>
    <w:rsid w:val="00E9221D"/>
    <w:rsid w:val="00E9223A"/>
    <w:rsid w:val="00E922E7"/>
    <w:rsid w:val="00E9235A"/>
    <w:rsid w:val="00E92437"/>
    <w:rsid w:val="00E92475"/>
    <w:rsid w:val="00E9279C"/>
    <w:rsid w:val="00E92813"/>
    <w:rsid w:val="00E92A17"/>
    <w:rsid w:val="00E92C8F"/>
    <w:rsid w:val="00E92D8C"/>
    <w:rsid w:val="00E92E2C"/>
    <w:rsid w:val="00E92EC0"/>
    <w:rsid w:val="00E92F43"/>
    <w:rsid w:val="00E93016"/>
    <w:rsid w:val="00E93020"/>
    <w:rsid w:val="00E930A4"/>
    <w:rsid w:val="00E930B9"/>
    <w:rsid w:val="00E930D0"/>
    <w:rsid w:val="00E931F0"/>
    <w:rsid w:val="00E932A4"/>
    <w:rsid w:val="00E93405"/>
    <w:rsid w:val="00E93428"/>
    <w:rsid w:val="00E93467"/>
    <w:rsid w:val="00E93522"/>
    <w:rsid w:val="00E935A0"/>
    <w:rsid w:val="00E935E1"/>
    <w:rsid w:val="00E93725"/>
    <w:rsid w:val="00E9373A"/>
    <w:rsid w:val="00E9373E"/>
    <w:rsid w:val="00E93896"/>
    <w:rsid w:val="00E938BE"/>
    <w:rsid w:val="00E93A11"/>
    <w:rsid w:val="00E93AA9"/>
    <w:rsid w:val="00E93AEF"/>
    <w:rsid w:val="00E93BA1"/>
    <w:rsid w:val="00E93BDF"/>
    <w:rsid w:val="00E93CC1"/>
    <w:rsid w:val="00E93CE3"/>
    <w:rsid w:val="00E93CEE"/>
    <w:rsid w:val="00E93D7A"/>
    <w:rsid w:val="00E93D9F"/>
    <w:rsid w:val="00E93DF6"/>
    <w:rsid w:val="00E93E40"/>
    <w:rsid w:val="00E93EB3"/>
    <w:rsid w:val="00E93EBC"/>
    <w:rsid w:val="00E93F5D"/>
    <w:rsid w:val="00E93F8F"/>
    <w:rsid w:val="00E93FA6"/>
    <w:rsid w:val="00E9402D"/>
    <w:rsid w:val="00E940E7"/>
    <w:rsid w:val="00E94158"/>
    <w:rsid w:val="00E941C0"/>
    <w:rsid w:val="00E941F5"/>
    <w:rsid w:val="00E94236"/>
    <w:rsid w:val="00E94272"/>
    <w:rsid w:val="00E942C9"/>
    <w:rsid w:val="00E942D0"/>
    <w:rsid w:val="00E94351"/>
    <w:rsid w:val="00E943C9"/>
    <w:rsid w:val="00E944C0"/>
    <w:rsid w:val="00E94520"/>
    <w:rsid w:val="00E9455A"/>
    <w:rsid w:val="00E945CD"/>
    <w:rsid w:val="00E94650"/>
    <w:rsid w:val="00E946A1"/>
    <w:rsid w:val="00E94806"/>
    <w:rsid w:val="00E94868"/>
    <w:rsid w:val="00E94878"/>
    <w:rsid w:val="00E94898"/>
    <w:rsid w:val="00E94936"/>
    <w:rsid w:val="00E949BB"/>
    <w:rsid w:val="00E94A83"/>
    <w:rsid w:val="00E94B72"/>
    <w:rsid w:val="00E94C0B"/>
    <w:rsid w:val="00E94CAD"/>
    <w:rsid w:val="00E94D0F"/>
    <w:rsid w:val="00E94D9D"/>
    <w:rsid w:val="00E94DFB"/>
    <w:rsid w:val="00E94ED4"/>
    <w:rsid w:val="00E94EF2"/>
    <w:rsid w:val="00E94F8D"/>
    <w:rsid w:val="00E94F92"/>
    <w:rsid w:val="00E95041"/>
    <w:rsid w:val="00E9504D"/>
    <w:rsid w:val="00E95100"/>
    <w:rsid w:val="00E951C8"/>
    <w:rsid w:val="00E951F9"/>
    <w:rsid w:val="00E95235"/>
    <w:rsid w:val="00E95296"/>
    <w:rsid w:val="00E9547D"/>
    <w:rsid w:val="00E95481"/>
    <w:rsid w:val="00E95507"/>
    <w:rsid w:val="00E95615"/>
    <w:rsid w:val="00E956B5"/>
    <w:rsid w:val="00E9574F"/>
    <w:rsid w:val="00E95750"/>
    <w:rsid w:val="00E9577B"/>
    <w:rsid w:val="00E95792"/>
    <w:rsid w:val="00E9581E"/>
    <w:rsid w:val="00E958D3"/>
    <w:rsid w:val="00E95924"/>
    <w:rsid w:val="00E9598F"/>
    <w:rsid w:val="00E959A0"/>
    <w:rsid w:val="00E959E4"/>
    <w:rsid w:val="00E95A32"/>
    <w:rsid w:val="00E95A53"/>
    <w:rsid w:val="00E95A59"/>
    <w:rsid w:val="00E95AD4"/>
    <w:rsid w:val="00E95AE4"/>
    <w:rsid w:val="00E95B8C"/>
    <w:rsid w:val="00E95B8D"/>
    <w:rsid w:val="00E95D21"/>
    <w:rsid w:val="00E95DD3"/>
    <w:rsid w:val="00E95E9C"/>
    <w:rsid w:val="00E96154"/>
    <w:rsid w:val="00E9615B"/>
    <w:rsid w:val="00E96239"/>
    <w:rsid w:val="00E9623F"/>
    <w:rsid w:val="00E9627F"/>
    <w:rsid w:val="00E96282"/>
    <w:rsid w:val="00E962D5"/>
    <w:rsid w:val="00E962EE"/>
    <w:rsid w:val="00E96328"/>
    <w:rsid w:val="00E963A4"/>
    <w:rsid w:val="00E963E1"/>
    <w:rsid w:val="00E96586"/>
    <w:rsid w:val="00E96651"/>
    <w:rsid w:val="00E966EF"/>
    <w:rsid w:val="00E96777"/>
    <w:rsid w:val="00E967EA"/>
    <w:rsid w:val="00E967F9"/>
    <w:rsid w:val="00E96813"/>
    <w:rsid w:val="00E96820"/>
    <w:rsid w:val="00E9682A"/>
    <w:rsid w:val="00E96925"/>
    <w:rsid w:val="00E969C5"/>
    <w:rsid w:val="00E969FE"/>
    <w:rsid w:val="00E96A77"/>
    <w:rsid w:val="00E96B87"/>
    <w:rsid w:val="00E96C81"/>
    <w:rsid w:val="00E96CBB"/>
    <w:rsid w:val="00E96D0A"/>
    <w:rsid w:val="00E96D65"/>
    <w:rsid w:val="00E96D75"/>
    <w:rsid w:val="00E96F09"/>
    <w:rsid w:val="00E96F7C"/>
    <w:rsid w:val="00E97041"/>
    <w:rsid w:val="00E970B6"/>
    <w:rsid w:val="00E970F5"/>
    <w:rsid w:val="00E972D0"/>
    <w:rsid w:val="00E9731D"/>
    <w:rsid w:val="00E97354"/>
    <w:rsid w:val="00E97420"/>
    <w:rsid w:val="00E9743E"/>
    <w:rsid w:val="00E97501"/>
    <w:rsid w:val="00E976E5"/>
    <w:rsid w:val="00E976F7"/>
    <w:rsid w:val="00E97771"/>
    <w:rsid w:val="00E977A4"/>
    <w:rsid w:val="00E977BB"/>
    <w:rsid w:val="00E977D9"/>
    <w:rsid w:val="00E977E2"/>
    <w:rsid w:val="00E97866"/>
    <w:rsid w:val="00E978CD"/>
    <w:rsid w:val="00E978F5"/>
    <w:rsid w:val="00E978FD"/>
    <w:rsid w:val="00E97903"/>
    <w:rsid w:val="00E97956"/>
    <w:rsid w:val="00E97AA2"/>
    <w:rsid w:val="00E97AB0"/>
    <w:rsid w:val="00E97B0A"/>
    <w:rsid w:val="00E97BA5"/>
    <w:rsid w:val="00E97BD0"/>
    <w:rsid w:val="00E97C13"/>
    <w:rsid w:val="00E97C14"/>
    <w:rsid w:val="00E97C55"/>
    <w:rsid w:val="00E97CA5"/>
    <w:rsid w:val="00E97EB5"/>
    <w:rsid w:val="00E97F75"/>
    <w:rsid w:val="00E97F7C"/>
    <w:rsid w:val="00E97F92"/>
    <w:rsid w:val="00E97FB5"/>
    <w:rsid w:val="00E97FB8"/>
    <w:rsid w:val="00EA0095"/>
    <w:rsid w:val="00EA00C4"/>
    <w:rsid w:val="00EA00E6"/>
    <w:rsid w:val="00EA0121"/>
    <w:rsid w:val="00EA0170"/>
    <w:rsid w:val="00EA0171"/>
    <w:rsid w:val="00EA01F2"/>
    <w:rsid w:val="00EA0202"/>
    <w:rsid w:val="00EA020F"/>
    <w:rsid w:val="00EA026D"/>
    <w:rsid w:val="00EA02D0"/>
    <w:rsid w:val="00EA03E8"/>
    <w:rsid w:val="00EA052E"/>
    <w:rsid w:val="00EA058A"/>
    <w:rsid w:val="00EA0623"/>
    <w:rsid w:val="00EA064A"/>
    <w:rsid w:val="00EA06D9"/>
    <w:rsid w:val="00EA06ED"/>
    <w:rsid w:val="00EA084E"/>
    <w:rsid w:val="00EA090D"/>
    <w:rsid w:val="00EA0929"/>
    <w:rsid w:val="00EA0B44"/>
    <w:rsid w:val="00EA0D4B"/>
    <w:rsid w:val="00EA0E33"/>
    <w:rsid w:val="00EA0E48"/>
    <w:rsid w:val="00EA0FE9"/>
    <w:rsid w:val="00EA0FFB"/>
    <w:rsid w:val="00EA1022"/>
    <w:rsid w:val="00EA1143"/>
    <w:rsid w:val="00EA125D"/>
    <w:rsid w:val="00EA1274"/>
    <w:rsid w:val="00EA12BA"/>
    <w:rsid w:val="00EA12DF"/>
    <w:rsid w:val="00EA13BA"/>
    <w:rsid w:val="00EA1444"/>
    <w:rsid w:val="00EA14C4"/>
    <w:rsid w:val="00EA14C9"/>
    <w:rsid w:val="00EA14DA"/>
    <w:rsid w:val="00EA14F5"/>
    <w:rsid w:val="00EA1598"/>
    <w:rsid w:val="00EA15AF"/>
    <w:rsid w:val="00EA15D8"/>
    <w:rsid w:val="00EA16C4"/>
    <w:rsid w:val="00EA1709"/>
    <w:rsid w:val="00EA181C"/>
    <w:rsid w:val="00EA182A"/>
    <w:rsid w:val="00EA1871"/>
    <w:rsid w:val="00EA1920"/>
    <w:rsid w:val="00EA1A35"/>
    <w:rsid w:val="00EA1A65"/>
    <w:rsid w:val="00EA1A90"/>
    <w:rsid w:val="00EA1ADA"/>
    <w:rsid w:val="00EA1B4D"/>
    <w:rsid w:val="00EA1BBA"/>
    <w:rsid w:val="00EA1C5C"/>
    <w:rsid w:val="00EA1C6B"/>
    <w:rsid w:val="00EA1D38"/>
    <w:rsid w:val="00EA1E43"/>
    <w:rsid w:val="00EA1E53"/>
    <w:rsid w:val="00EA1F79"/>
    <w:rsid w:val="00EA206B"/>
    <w:rsid w:val="00EA2095"/>
    <w:rsid w:val="00EA20F2"/>
    <w:rsid w:val="00EA2161"/>
    <w:rsid w:val="00EA216E"/>
    <w:rsid w:val="00EA2233"/>
    <w:rsid w:val="00EA2309"/>
    <w:rsid w:val="00EA2314"/>
    <w:rsid w:val="00EA2587"/>
    <w:rsid w:val="00EA25AA"/>
    <w:rsid w:val="00EA265C"/>
    <w:rsid w:val="00EA2699"/>
    <w:rsid w:val="00EA2869"/>
    <w:rsid w:val="00EA28A1"/>
    <w:rsid w:val="00EA2932"/>
    <w:rsid w:val="00EA2998"/>
    <w:rsid w:val="00EA2A56"/>
    <w:rsid w:val="00EA2AE2"/>
    <w:rsid w:val="00EA2AE7"/>
    <w:rsid w:val="00EA2B1E"/>
    <w:rsid w:val="00EA2B22"/>
    <w:rsid w:val="00EA2C37"/>
    <w:rsid w:val="00EA2C73"/>
    <w:rsid w:val="00EA2D7E"/>
    <w:rsid w:val="00EA2DC1"/>
    <w:rsid w:val="00EA2DF5"/>
    <w:rsid w:val="00EA2EDA"/>
    <w:rsid w:val="00EA2F36"/>
    <w:rsid w:val="00EA2F6D"/>
    <w:rsid w:val="00EA2FDA"/>
    <w:rsid w:val="00EA3059"/>
    <w:rsid w:val="00EA30C1"/>
    <w:rsid w:val="00EA314E"/>
    <w:rsid w:val="00EA315D"/>
    <w:rsid w:val="00EA328D"/>
    <w:rsid w:val="00EA32D0"/>
    <w:rsid w:val="00EA32D6"/>
    <w:rsid w:val="00EA32E8"/>
    <w:rsid w:val="00EA32EC"/>
    <w:rsid w:val="00EA346A"/>
    <w:rsid w:val="00EA3473"/>
    <w:rsid w:val="00EA34D7"/>
    <w:rsid w:val="00EA3582"/>
    <w:rsid w:val="00EA35E8"/>
    <w:rsid w:val="00EA35F9"/>
    <w:rsid w:val="00EA3669"/>
    <w:rsid w:val="00EA37F7"/>
    <w:rsid w:val="00EA387A"/>
    <w:rsid w:val="00EA3881"/>
    <w:rsid w:val="00EA3893"/>
    <w:rsid w:val="00EA39CE"/>
    <w:rsid w:val="00EA3A47"/>
    <w:rsid w:val="00EA3AEF"/>
    <w:rsid w:val="00EA3BA1"/>
    <w:rsid w:val="00EA3BA2"/>
    <w:rsid w:val="00EA3C37"/>
    <w:rsid w:val="00EA3CEB"/>
    <w:rsid w:val="00EA3D22"/>
    <w:rsid w:val="00EA3D6A"/>
    <w:rsid w:val="00EA3F4B"/>
    <w:rsid w:val="00EA3F8D"/>
    <w:rsid w:val="00EA40F2"/>
    <w:rsid w:val="00EA4150"/>
    <w:rsid w:val="00EA419B"/>
    <w:rsid w:val="00EA41EB"/>
    <w:rsid w:val="00EA41EF"/>
    <w:rsid w:val="00EA4235"/>
    <w:rsid w:val="00EA433A"/>
    <w:rsid w:val="00EA436F"/>
    <w:rsid w:val="00EA4472"/>
    <w:rsid w:val="00EA46A2"/>
    <w:rsid w:val="00EA46A6"/>
    <w:rsid w:val="00EA46CF"/>
    <w:rsid w:val="00EA48A5"/>
    <w:rsid w:val="00EA4904"/>
    <w:rsid w:val="00EA49A9"/>
    <w:rsid w:val="00EA4AA9"/>
    <w:rsid w:val="00EA4AB5"/>
    <w:rsid w:val="00EA4AF2"/>
    <w:rsid w:val="00EA4B42"/>
    <w:rsid w:val="00EA4B46"/>
    <w:rsid w:val="00EA4B61"/>
    <w:rsid w:val="00EA4BB3"/>
    <w:rsid w:val="00EA4BC5"/>
    <w:rsid w:val="00EA4C3A"/>
    <w:rsid w:val="00EA4D28"/>
    <w:rsid w:val="00EA4D41"/>
    <w:rsid w:val="00EA500C"/>
    <w:rsid w:val="00EA50C7"/>
    <w:rsid w:val="00EA51B9"/>
    <w:rsid w:val="00EA5271"/>
    <w:rsid w:val="00EA52BB"/>
    <w:rsid w:val="00EA53E0"/>
    <w:rsid w:val="00EA540E"/>
    <w:rsid w:val="00EA546B"/>
    <w:rsid w:val="00EA5504"/>
    <w:rsid w:val="00EA55C2"/>
    <w:rsid w:val="00EA57BD"/>
    <w:rsid w:val="00EA5820"/>
    <w:rsid w:val="00EA58D8"/>
    <w:rsid w:val="00EA58E7"/>
    <w:rsid w:val="00EA5996"/>
    <w:rsid w:val="00EA5A22"/>
    <w:rsid w:val="00EA5AAD"/>
    <w:rsid w:val="00EA5B1C"/>
    <w:rsid w:val="00EA5C03"/>
    <w:rsid w:val="00EA5C5C"/>
    <w:rsid w:val="00EA5C71"/>
    <w:rsid w:val="00EA5C76"/>
    <w:rsid w:val="00EA5D81"/>
    <w:rsid w:val="00EA5DCB"/>
    <w:rsid w:val="00EA5E11"/>
    <w:rsid w:val="00EA5E35"/>
    <w:rsid w:val="00EA5F35"/>
    <w:rsid w:val="00EA60EE"/>
    <w:rsid w:val="00EA60FF"/>
    <w:rsid w:val="00EA6165"/>
    <w:rsid w:val="00EA6167"/>
    <w:rsid w:val="00EA61CB"/>
    <w:rsid w:val="00EA62A8"/>
    <w:rsid w:val="00EA62DE"/>
    <w:rsid w:val="00EA6328"/>
    <w:rsid w:val="00EA6336"/>
    <w:rsid w:val="00EA6354"/>
    <w:rsid w:val="00EA63A0"/>
    <w:rsid w:val="00EA63A4"/>
    <w:rsid w:val="00EA6482"/>
    <w:rsid w:val="00EA64B7"/>
    <w:rsid w:val="00EA651D"/>
    <w:rsid w:val="00EA65BB"/>
    <w:rsid w:val="00EA65D9"/>
    <w:rsid w:val="00EA6641"/>
    <w:rsid w:val="00EA6691"/>
    <w:rsid w:val="00EA66AB"/>
    <w:rsid w:val="00EA66BD"/>
    <w:rsid w:val="00EA66DE"/>
    <w:rsid w:val="00EA66EE"/>
    <w:rsid w:val="00EA6776"/>
    <w:rsid w:val="00EA6821"/>
    <w:rsid w:val="00EA688F"/>
    <w:rsid w:val="00EA6A26"/>
    <w:rsid w:val="00EA6B32"/>
    <w:rsid w:val="00EA6B97"/>
    <w:rsid w:val="00EA6C23"/>
    <w:rsid w:val="00EA6CF3"/>
    <w:rsid w:val="00EA6D3D"/>
    <w:rsid w:val="00EA6EC3"/>
    <w:rsid w:val="00EA6F50"/>
    <w:rsid w:val="00EA6F68"/>
    <w:rsid w:val="00EA70E6"/>
    <w:rsid w:val="00EA718A"/>
    <w:rsid w:val="00EA71E8"/>
    <w:rsid w:val="00EA7221"/>
    <w:rsid w:val="00EA7252"/>
    <w:rsid w:val="00EA72A8"/>
    <w:rsid w:val="00EA74C4"/>
    <w:rsid w:val="00EA7512"/>
    <w:rsid w:val="00EA75CB"/>
    <w:rsid w:val="00EA7650"/>
    <w:rsid w:val="00EA79C8"/>
    <w:rsid w:val="00EA7A2E"/>
    <w:rsid w:val="00EA7AC6"/>
    <w:rsid w:val="00EA7B75"/>
    <w:rsid w:val="00EA7B77"/>
    <w:rsid w:val="00EA7B8D"/>
    <w:rsid w:val="00EA7CA7"/>
    <w:rsid w:val="00EA7CE2"/>
    <w:rsid w:val="00EA7D73"/>
    <w:rsid w:val="00EA7DC6"/>
    <w:rsid w:val="00EA7DEA"/>
    <w:rsid w:val="00EA7E3C"/>
    <w:rsid w:val="00EA7EC9"/>
    <w:rsid w:val="00EA7EDA"/>
    <w:rsid w:val="00EA7EE1"/>
    <w:rsid w:val="00EA7EF6"/>
    <w:rsid w:val="00EB00F0"/>
    <w:rsid w:val="00EB013A"/>
    <w:rsid w:val="00EB02A6"/>
    <w:rsid w:val="00EB02E1"/>
    <w:rsid w:val="00EB0377"/>
    <w:rsid w:val="00EB03C0"/>
    <w:rsid w:val="00EB04B1"/>
    <w:rsid w:val="00EB0520"/>
    <w:rsid w:val="00EB0658"/>
    <w:rsid w:val="00EB0677"/>
    <w:rsid w:val="00EB069F"/>
    <w:rsid w:val="00EB06A6"/>
    <w:rsid w:val="00EB070A"/>
    <w:rsid w:val="00EB0798"/>
    <w:rsid w:val="00EB07A7"/>
    <w:rsid w:val="00EB089B"/>
    <w:rsid w:val="00EB09A4"/>
    <w:rsid w:val="00EB0A0D"/>
    <w:rsid w:val="00EB0B0C"/>
    <w:rsid w:val="00EB0B1E"/>
    <w:rsid w:val="00EB0BE8"/>
    <w:rsid w:val="00EB0C5B"/>
    <w:rsid w:val="00EB0C6B"/>
    <w:rsid w:val="00EB0CE9"/>
    <w:rsid w:val="00EB0DC4"/>
    <w:rsid w:val="00EB0EBC"/>
    <w:rsid w:val="00EB113C"/>
    <w:rsid w:val="00EB115D"/>
    <w:rsid w:val="00EB1186"/>
    <w:rsid w:val="00EB11DA"/>
    <w:rsid w:val="00EB11EB"/>
    <w:rsid w:val="00EB1236"/>
    <w:rsid w:val="00EB1261"/>
    <w:rsid w:val="00EB128A"/>
    <w:rsid w:val="00EB12BB"/>
    <w:rsid w:val="00EB1495"/>
    <w:rsid w:val="00EB14B8"/>
    <w:rsid w:val="00EB1530"/>
    <w:rsid w:val="00EB156A"/>
    <w:rsid w:val="00EB15ED"/>
    <w:rsid w:val="00EB1626"/>
    <w:rsid w:val="00EB165D"/>
    <w:rsid w:val="00EB1674"/>
    <w:rsid w:val="00EB1712"/>
    <w:rsid w:val="00EB177A"/>
    <w:rsid w:val="00EB18A0"/>
    <w:rsid w:val="00EB18A6"/>
    <w:rsid w:val="00EB1908"/>
    <w:rsid w:val="00EB196A"/>
    <w:rsid w:val="00EB19DC"/>
    <w:rsid w:val="00EB1A61"/>
    <w:rsid w:val="00EB1B2E"/>
    <w:rsid w:val="00EB1BC1"/>
    <w:rsid w:val="00EB1BC9"/>
    <w:rsid w:val="00EB1CC4"/>
    <w:rsid w:val="00EB1D60"/>
    <w:rsid w:val="00EB1DFD"/>
    <w:rsid w:val="00EB1E27"/>
    <w:rsid w:val="00EB1E30"/>
    <w:rsid w:val="00EB1E3A"/>
    <w:rsid w:val="00EB1F94"/>
    <w:rsid w:val="00EB1FCB"/>
    <w:rsid w:val="00EB1FE9"/>
    <w:rsid w:val="00EB214A"/>
    <w:rsid w:val="00EB215F"/>
    <w:rsid w:val="00EB224C"/>
    <w:rsid w:val="00EB2325"/>
    <w:rsid w:val="00EB2397"/>
    <w:rsid w:val="00EB23E7"/>
    <w:rsid w:val="00EB243A"/>
    <w:rsid w:val="00EB2456"/>
    <w:rsid w:val="00EB25BC"/>
    <w:rsid w:val="00EB271B"/>
    <w:rsid w:val="00EB2766"/>
    <w:rsid w:val="00EB289B"/>
    <w:rsid w:val="00EB2906"/>
    <w:rsid w:val="00EB2945"/>
    <w:rsid w:val="00EB2956"/>
    <w:rsid w:val="00EB2972"/>
    <w:rsid w:val="00EB29E4"/>
    <w:rsid w:val="00EB2A42"/>
    <w:rsid w:val="00EB2ADA"/>
    <w:rsid w:val="00EB2CEF"/>
    <w:rsid w:val="00EB2DF0"/>
    <w:rsid w:val="00EB2E20"/>
    <w:rsid w:val="00EB2FAB"/>
    <w:rsid w:val="00EB3155"/>
    <w:rsid w:val="00EB3247"/>
    <w:rsid w:val="00EB3487"/>
    <w:rsid w:val="00EB352A"/>
    <w:rsid w:val="00EB3538"/>
    <w:rsid w:val="00EB3621"/>
    <w:rsid w:val="00EB3674"/>
    <w:rsid w:val="00EB3736"/>
    <w:rsid w:val="00EB373F"/>
    <w:rsid w:val="00EB37B9"/>
    <w:rsid w:val="00EB37D1"/>
    <w:rsid w:val="00EB3896"/>
    <w:rsid w:val="00EB393C"/>
    <w:rsid w:val="00EB39E2"/>
    <w:rsid w:val="00EB3BB5"/>
    <w:rsid w:val="00EB3D50"/>
    <w:rsid w:val="00EB3E26"/>
    <w:rsid w:val="00EB3E40"/>
    <w:rsid w:val="00EB3E63"/>
    <w:rsid w:val="00EB3EA4"/>
    <w:rsid w:val="00EB3FDD"/>
    <w:rsid w:val="00EB401E"/>
    <w:rsid w:val="00EB402A"/>
    <w:rsid w:val="00EB4117"/>
    <w:rsid w:val="00EB41D4"/>
    <w:rsid w:val="00EB428F"/>
    <w:rsid w:val="00EB432C"/>
    <w:rsid w:val="00EB438B"/>
    <w:rsid w:val="00EB4524"/>
    <w:rsid w:val="00EB47AF"/>
    <w:rsid w:val="00EB498E"/>
    <w:rsid w:val="00EB49A1"/>
    <w:rsid w:val="00EB49DD"/>
    <w:rsid w:val="00EB4A51"/>
    <w:rsid w:val="00EB4A84"/>
    <w:rsid w:val="00EB4AF5"/>
    <w:rsid w:val="00EB4C8A"/>
    <w:rsid w:val="00EB4D51"/>
    <w:rsid w:val="00EB4E33"/>
    <w:rsid w:val="00EB4FD5"/>
    <w:rsid w:val="00EB5104"/>
    <w:rsid w:val="00EB511C"/>
    <w:rsid w:val="00EB515C"/>
    <w:rsid w:val="00EB51FE"/>
    <w:rsid w:val="00EB5211"/>
    <w:rsid w:val="00EB52D1"/>
    <w:rsid w:val="00EB5319"/>
    <w:rsid w:val="00EB5329"/>
    <w:rsid w:val="00EB53A1"/>
    <w:rsid w:val="00EB5466"/>
    <w:rsid w:val="00EB554C"/>
    <w:rsid w:val="00EB5581"/>
    <w:rsid w:val="00EB55DA"/>
    <w:rsid w:val="00EB5710"/>
    <w:rsid w:val="00EB57CA"/>
    <w:rsid w:val="00EB5859"/>
    <w:rsid w:val="00EB58B5"/>
    <w:rsid w:val="00EB58E7"/>
    <w:rsid w:val="00EB58F5"/>
    <w:rsid w:val="00EB592D"/>
    <w:rsid w:val="00EB5A17"/>
    <w:rsid w:val="00EB5A96"/>
    <w:rsid w:val="00EB5C15"/>
    <w:rsid w:val="00EB5C60"/>
    <w:rsid w:val="00EB5CAC"/>
    <w:rsid w:val="00EB5DD9"/>
    <w:rsid w:val="00EB5DF6"/>
    <w:rsid w:val="00EB5E9F"/>
    <w:rsid w:val="00EB5F0A"/>
    <w:rsid w:val="00EB5F9B"/>
    <w:rsid w:val="00EB5FA2"/>
    <w:rsid w:val="00EB607C"/>
    <w:rsid w:val="00EB60FB"/>
    <w:rsid w:val="00EB610C"/>
    <w:rsid w:val="00EB6141"/>
    <w:rsid w:val="00EB61FA"/>
    <w:rsid w:val="00EB6235"/>
    <w:rsid w:val="00EB6287"/>
    <w:rsid w:val="00EB62AF"/>
    <w:rsid w:val="00EB63FA"/>
    <w:rsid w:val="00EB646B"/>
    <w:rsid w:val="00EB6587"/>
    <w:rsid w:val="00EB65FC"/>
    <w:rsid w:val="00EB671A"/>
    <w:rsid w:val="00EB6799"/>
    <w:rsid w:val="00EB6855"/>
    <w:rsid w:val="00EB69BF"/>
    <w:rsid w:val="00EB69E0"/>
    <w:rsid w:val="00EB69F3"/>
    <w:rsid w:val="00EB6DE7"/>
    <w:rsid w:val="00EB6E12"/>
    <w:rsid w:val="00EB6E6F"/>
    <w:rsid w:val="00EB6FBC"/>
    <w:rsid w:val="00EB6FD1"/>
    <w:rsid w:val="00EB7015"/>
    <w:rsid w:val="00EB7052"/>
    <w:rsid w:val="00EB7093"/>
    <w:rsid w:val="00EB70BE"/>
    <w:rsid w:val="00EB7219"/>
    <w:rsid w:val="00EB7270"/>
    <w:rsid w:val="00EB72F3"/>
    <w:rsid w:val="00EB7410"/>
    <w:rsid w:val="00EB7431"/>
    <w:rsid w:val="00EB7470"/>
    <w:rsid w:val="00EB7534"/>
    <w:rsid w:val="00EB7569"/>
    <w:rsid w:val="00EB756D"/>
    <w:rsid w:val="00EB7586"/>
    <w:rsid w:val="00EB75CA"/>
    <w:rsid w:val="00EB76BE"/>
    <w:rsid w:val="00EB774B"/>
    <w:rsid w:val="00EB7840"/>
    <w:rsid w:val="00EB78C0"/>
    <w:rsid w:val="00EB794A"/>
    <w:rsid w:val="00EB7956"/>
    <w:rsid w:val="00EB7CFA"/>
    <w:rsid w:val="00EB7D24"/>
    <w:rsid w:val="00EB7D4A"/>
    <w:rsid w:val="00EB7DC4"/>
    <w:rsid w:val="00EB7E86"/>
    <w:rsid w:val="00EB7F43"/>
    <w:rsid w:val="00EB7F8E"/>
    <w:rsid w:val="00EB7FF6"/>
    <w:rsid w:val="00EC0066"/>
    <w:rsid w:val="00EC00FF"/>
    <w:rsid w:val="00EC0298"/>
    <w:rsid w:val="00EC02D2"/>
    <w:rsid w:val="00EC034D"/>
    <w:rsid w:val="00EC050D"/>
    <w:rsid w:val="00EC0630"/>
    <w:rsid w:val="00EC0637"/>
    <w:rsid w:val="00EC0697"/>
    <w:rsid w:val="00EC06A0"/>
    <w:rsid w:val="00EC071F"/>
    <w:rsid w:val="00EC0803"/>
    <w:rsid w:val="00EC087A"/>
    <w:rsid w:val="00EC093B"/>
    <w:rsid w:val="00EC094B"/>
    <w:rsid w:val="00EC0994"/>
    <w:rsid w:val="00EC09AC"/>
    <w:rsid w:val="00EC09DA"/>
    <w:rsid w:val="00EC0A38"/>
    <w:rsid w:val="00EC0A7F"/>
    <w:rsid w:val="00EC0AE4"/>
    <w:rsid w:val="00EC0B5A"/>
    <w:rsid w:val="00EC0C41"/>
    <w:rsid w:val="00EC0D18"/>
    <w:rsid w:val="00EC0D47"/>
    <w:rsid w:val="00EC0DC2"/>
    <w:rsid w:val="00EC0DDB"/>
    <w:rsid w:val="00EC0DF7"/>
    <w:rsid w:val="00EC0E6C"/>
    <w:rsid w:val="00EC0E79"/>
    <w:rsid w:val="00EC0EA2"/>
    <w:rsid w:val="00EC0EAF"/>
    <w:rsid w:val="00EC0F03"/>
    <w:rsid w:val="00EC0F75"/>
    <w:rsid w:val="00EC1020"/>
    <w:rsid w:val="00EC10DE"/>
    <w:rsid w:val="00EC1109"/>
    <w:rsid w:val="00EC1203"/>
    <w:rsid w:val="00EC1239"/>
    <w:rsid w:val="00EC1329"/>
    <w:rsid w:val="00EC13C7"/>
    <w:rsid w:val="00EC141D"/>
    <w:rsid w:val="00EC1428"/>
    <w:rsid w:val="00EC1457"/>
    <w:rsid w:val="00EC145A"/>
    <w:rsid w:val="00EC14CE"/>
    <w:rsid w:val="00EC14F5"/>
    <w:rsid w:val="00EC1503"/>
    <w:rsid w:val="00EC1517"/>
    <w:rsid w:val="00EC152D"/>
    <w:rsid w:val="00EC15A7"/>
    <w:rsid w:val="00EC15B1"/>
    <w:rsid w:val="00EC16A7"/>
    <w:rsid w:val="00EC171A"/>
    <w:rsid w:val="00EC1744"/>
    <w:rsid w:val="00EC17D6"/>
    <w:rsid w:val="00EC1865"/>
    <w:rsid w:val="00EC1879"/>
    <w:rsid w:val="00EC1A2F"/>
    <w:rsid w:val="00EC1A6B"/>
    <w:rsid w:val="00EC1C5D"/>
    <w:rsid w:val="00EC1CEE"/>
    <w:rsid w:val="00EC1D24"/>
    <w:rsid w:val="00EC1D9C"/>
    <w:rsid w:val="00EC1DA7"/>
    <w:rsid w:val="00EC1E72"/>
    <w:rsid w:val="00EC1EBE"/>
    <w:rsid w:val="00EC1F12"/>
    <w:rsid w:val="00EC1F33"/>
    <w:rsid w:val="00EC1F71"/>
    <w:rsid w:val="00EC1F79"/>
    <w:rsid w:val="00EC226B"/>
    <w:rsid w:val="00EC23AF"/>
    <w:rsid w:val="00EC24C1"/>
    <w:rsid w:val="00EC24EF"/>
    <w:rsid w:val="00EC24F4"/>
    <w:rsid w:val="00EC252F"/>
    <w:rsid w:val="00EC263B"/>
    <w:rsid w:val="00EC2668"/>
    <w:rsid w:val="00EC26D0"/>
    <w:rsid w:val="00EC26E3"/>
    <w:rsid w:val="00EC2774"/>
    <w:rsid w:val="00EC28A4"/>
    <w:rsid w:val="00EC2911"/>
    <w:rsid w:val="00EC295A"/>
    <w:rsid w:val="00EC2971"/>
    <w:rsid w:val="00EC2978"/>
    <w:rsid w:val="00EC29B4"/>
    <w:rsid w:val="00EC2A13"/>
    <w:rsid w:val="00EC2A33"/>
    <w:rsid w:val="00EC2B42"/>
    <w:rsid w:val="00EC2B48"/>
    <w:rsid w:val="00EC2B75"/>
    <w:rsid w:val="00EC2B7F"/>
    <w:rsid w:val="00EC2C75"/>
    <w:rsid w:val="00EC2DE2"/>
    <w:rsid w:val="00EC2E1F"/>
    <w:rsid w:val="00EC2EA6"/>
    <w:rsid w:val="00EC2FB0"/>
    <w:rsid w:val="00EC30B0"/>
    <w:rsid w:val="00EC30EA"/>
    <w:rsid w:val="00EC31C8"/>
    <w:rsid w:val="00EC328B"/>
    <w:rsid w:val="00EC328E"/>
    <w:rsid w:val="00EC32A6"/>
    <w:rsid w:val="00EC3373"/>
    <w:rsid w:val="00EC3459"/>
    <w:rsid w:val="00EC34FC"/>
    <w:rsid w:val="00EC350C"/>
    <w:rsid w:val="00EC354D"/>
    <w:rsid w:val="00EC3685"/>
    <w:rsid w:val="00EC36C3"/>
    <w:rsid w:val="00EC3746"/>
    <w:rsid w:val="00EC3793"/>
    <w:rsid w:val="00EC37C2"/>
    <w:rsid w:val="00EC380C"/>
    <w:rsid w:val="00EC3932"/>
    <w:rsid w:val="00EC39D1"/>
    <w:rsid w:val="00EC3A3C"/>
    <w:rsid w:val="00EC3AC5"/>
    <w:rsid w:val="00EC3B9C"/>
    <w:rsid w:val="00EC3C05"/>
    <w:rsid w:val="00EC3C12"/>
    <w:rsid w:val="00EC3C35"/>
    <w:rsid w:val="00EC3CDE"/>
    <w:rsid w:val="00EC3CFE"/>
    <w:rsid w:val="00EC3E00"/>
    <w:rsid w:val="00EC3ED5"/>
    <w:rsid w:val="00EC3F05"/>
    <w:rsid w:val="00EC3FDE"/>
    <w:rsid w:val="00EC40FB"/>
    <w:rsid w:val="00EC41D4"/>
    <w:rsid w:val="00EC4261"/>
    <w:rsid w:val="00EC4267"/>
    <w:rsid w:val="00EC43E7"/>
    <w:rsid w:val="00EC4400"/>
    <w:rsid w:val="00EC4434"/>
    <w:rsid w:val="00EC4452"/>
    <w:rsid w:val="00EC449B"/>
    <w:rsid w:val="00EC44AA"/>
    <w:rsid w:val="00EC4513"/>
    <w:rsid w:val="00EC4597"/>
    <w:rsid w:val="00EC45B4"/>
    <w:rsid w:val="00EC45D6"/>
    <w:rsid w:val="00EC4626"/>
    <w:rsid w:val="00EC4641"/>
    <w:rsid w:val="00EC4755"/>
    <w:rsid w:val="00EC475B"/>
    <w:rsid w:val="00EC47AD"/>
    <w:rsid w:val="00EC48D2"/>
    <w:rsid w:val="00EC48E8"/>
    <w:rsid w:val="00EC4A56"/>
    <w:rsid w:val="00EC4AA0"/>
    <w:rsid w:val="00EC4AD0"/>
    <w:rsid w:val="00EC4B08"/>
    <w:rsid w:val="00EC4B19"/>
    <w:rsid w:val="00EC4D2A"/>
    <w:rsid w:val="00EC4D8C"/>
    <w:rsid w:val="00EC4DBA"/>
    <w:rsid w:val="00EC4DD9"/>
    <w:rsid w:val="00EC4E31"/>
    <w:rsid w:val="00EC4E46"/>
    <w:rsid w:val="00EC4E89"/>
    <w:rsid w:val="00EC4F76"/>
    <w:rsid w:val="00EC4FB8"/>
    <w:rsid w:val="00EC503B"/>
    <w:rsid w:val="00EC51D6"/>
    <w:rsid w:val="00EC52B5"/>
    <w:rsid w:val="00EC5327"/>
    <w:rsid w:val="00EC5420"/>
    <w:rsid w:val="00EC550A"/>
    <w:rsid w:val="00EC55A7"/>
    <w:rsid w:val="00EC55DE"/>
    <w:rsid w:val="00EC5763"/>
    <w:rsid w:val="00EC5824"/>
    <w:rsid w:val="00EC58A7"/>
    <w:rsid w:val="00EC59D4"/>
    <w:rsid w:val="00EC5B31"/>
    <w:rsid w:val="00EC5B35"/>
    <w:rsid w:val="00EC5B92"/>
    <w:rsid w:val="00EC5BA0"/>
    <w:rsid w:val="00EC5BAB"/>
    <w:rsid w:val="00EC5DDE"/>
    <w:rsid w:val="00EC5E78"/>
    <w:rsid w:val="00EC5F29"/>
    <w:rsid w:val="00EC5FF9"/>
    <w:rsid w:val="00EC606F"/>
    <w:rsid w:val="00EC60B0"/>
    <w:rsid w:val="00EC6261"/>
    <w:rsid w:val="00EC62E6"/>
    <w:rsid w:val="00EC632B"/>
    <w:rsid w:val="00EC64A3"/>
    <w:rsid w:val="00EC6509"/>
    <w:rsid w:val="00EC65C7"/>
    <w:rsid w:val="00EC6601"/>
    <w:rsid w:val="00EC67AF"/>
    <w:rsid w:val="00EC682D"/>
    <w:rsid w:val="00EC6887"/>
    <w:rsid w:val="00EC6893"/>
    <w:rsid w:val="00EC68CE"/>
    <w:rsid w:val="00EC68EA"/>
    <w:rsid w:val="00EC693C"/>
    <w:rsid w:val="00EC69D2"/>
    <w:rsid w:val="00EC69E5"/>
    <w:rsid w:val="00EC6A16"/>
    <w:rsid w:val="00EC6AAD"/>
    <w:rsid w:val="00EC6AC6"/>
    <w:rsid w:val="00EC6AEE"/>
    <w:rsid w:val="00EC6B95"/>
    <w:rsid w:val="00EC6C8D"/>
    <w:rsid w:val="00EC6CC3"/>
    <w:rsid w:val="00EC6CEC"/>
    <w:rsid w:val="00EC6D2F"/>
    <w:rsid w:val="00EC6DE1"/>
    <w:rsid w:val="00EC6F6C"/>
    <w:rsid w:val="00EC703F"/>
    <w:rsid w:val="00EC704B"/>
    <w:rsid w:val="00EC7056"/>
    <w:rsid w:val="00EC7093"/>
    <w:rsid w:val="00EC70B2"/>
    <w:rsid w:val="00EC70EB"/>
    <w:rsid w:val="00EC714D"/>
    <w:rsid w:val="00EC7166"/>
    <w:rsid w:val="00EC71A6"/>
    <w:rsid w:val="00EC7328"/>
    <w:rsid w:val="00EC7346"/>
    <w:rsid w:val="00EC73A6"/>
    <w:rsid w:val="00EC7455"/>
    <w:rsid w:val="00EC7563"/>
    <w:rsid w:val="00EC767D"/>
    <w:rsid w:val="00EC77BF"/>
    <w:rsid w:val="00EC784B"/>
    <w:rsid w:val="00EC7918"/>
    <w:rsid w:val="00EC7991"/>
    <w:rsid w:val="00EC79DA"/>
    <w:rsid w:val="00EC79E7"/>
    <w:rsid w:val="00EC7A2F"/>
    <w:rsid w:val="00EC7A35"/>
    <w:rsid w:val="00EC7A39"/>
    <w:rsid w:val="00EC7AD0"/>
    <w:rsid w:val="00EC7B96"/>
    <w:rsid w:val="00EC7B9A"/>
    <w:rsid w:val="00EC7D0B"/>
    <w:rsid w:val="00EC7DBC"/>
    <w:rsid w:val="00EC7E20"/>
    <w:rsid w:val="00EC7E94"/>
    <w:rsid w:val="00EC7EBE"/>
    <w:rsid w:val="00ED0069"/>
    <w:rsid w:val="00ED0072"/>
    <w:rsid w:val="00ED0077"/>
    <w:rsid w:val="00ED011F"/>
    <w:rsid w:val="00ED0134"/>
    <w:rsid w:val="00ED015B"/>
    <w:rsid w:val="00ED0193"/>
    <w:rsid w:val="00ED01A7"/>
    <w:rsid w:val="00ED01B7"/>
    <w:rsid w:val="00ED0249"/>
    <w:rsid w:val="00ED02F3"/>
    <w:rsid w:val="00ED0336"/>
    <w:rsid w:val="00ED0365"/>
    <w:rsid w:val="00ED03F0"/>
    <w:rsid w:val="00ED0425"/>
    <w:rsid w:val="00ED0467"/>
    <w:rsid w:val="00ED0534"/>
    <w:rsid w:val="00ED0553"/>
    <w:rsid w:val="00ED0614"/>
    <w:rsid w:val="00ED0622"/>
    <w:rsid w:val="00ED0640"/>
    <w:rsid w:val="00ED07AF"/>
    <w:rsid w:val="00ED07B2"/>
    <w:rsid w:val="00ED082D"/>
    <w:rsid w:val="00ED08D7"/>
    <w:rsid w:val="00ED0965"/>
    <w:rsid w:val="00ED0A28"/>
    <w:rsid w:val="00ED0B8C"/>
    <w:rsid w:val="00ED0C04"/>
    <w:rsid w:val="00ED0C43"/>
    <w:rsid w:val="00ED0D4A"/>
    <w:rsid w:val="00ED0D99"/>
    <w:rsid w:val="00ED0F2F"/>
    <w:rsid w:val="00ED0F42"/>
    <w:rsid w:val="00ED0F81"/>
    <w:rsid w:val="00ED0FED"/>
    <w:rsid w:val="00ED100B"/>
    <w:rsid w:val="00ED105D"/>
    <w:rsid w:val="00ED106A"/>
    <w:rsid w:val="00ED1124"/>
    <w:rsid w:val="00ED11AE"/>
    <w:rsid w:val="00ED11AF"/>
    <w:rsid w:val="00ED1210"/>
    <w:rsid w:val="00ED1246"/>
    <w:rsid w:val="00ED13F8"/>
    <w:rsid w:val="00ED1416"/>
    <w:rsid w:val="00ED14C1"/>
    <w:rsid w:val="00ED14D0"/>
    <w:rsid w:val="00ED153C"/>
    <w:rsid w:val="00ED1578"/>
    <w:rsid w:val="00ED1596"/>
    <w:rsid w:val="00ED15B4"/>
    <w:rsid w:val="00ED15F6"/>
    <w:rsid w:val="00ED160A"/>
    <w:rsid w:val="00ED176E"/>
    <w:rsid w:val="00ED179F"/>
    <w:rsid w:val="00ED190A"/>
    <w:rsid w:val="00ED198E"/>
    <w:rsid w:val="00ED19A9"/>
    <w:rsid w:val="00ED1A37"/>
    <w:rsid w:val="00ED1A5B"/>
    <w:rsid w:val="00ED1CAB"/>
    <w:rsid w:val="00ED1DE9"/>
    <w:rsid w:val="00ED1EDD"/>
    <w:rsid w:val="00ED1FD9"/>
    <w:rsid w:val="00ED20AD"/>
    <w:rsid w:val="00ED2113"/>
    <w:rsid w:val="00ED2119"/>
    <w:rsid w:val="00ED2124"/>
    <w:rsid w:val="00ED21D7"/>
    <w:rsid w:val="00ED2213"/>
    <w:rsid w:val="00ED223C"/>
    <w:rsid w:val="00ED2317"/>
    <w:rsid w:val="00ED2404"/>
    <w:rsid w:val="00ED24F3"/>
    <w:rsid w:val="00ED251D"/>
    <w:rsid w:val="00ED25B4"/>
    <w:rsid w:val="00ED25F6"/>
    <w:rsid w:val="00ED2679"/>
    <w:rsid w:val="00ED26FD"/>
    <w:rsid w:val="00ED2864"/>
    <w:rsid w:val="00ED2967"/>
    <w:rsid w:val="00ED2988"/>
    <w:rsid w:val="00ED29D7"/>
    <w:rsid w:val="00ED2A2C"/>
    <w:rsid w:val="00ED2BBB"/>
    <w:rsid w:val="00ED2DF7"/>
    <w:rsid w:val="00ED2E38"/>
    <w:rsid w:val="00ED2EAD"/>
    <w:rsid w:val="00ED3240"/>
    <w:rsid w:val="00ED3272"/>
    <w:rsid w:val="00ED3316"/>
    <w:rsid w:val="00ED345E"/>
    <w:rsid w:val="00ED3473"/>
    <w:rsid w:val="00ED34EA"/>
    <w:rsid w:val="00ED353A"/>
    <w:rsid w:val="00ED3563"/>
    <w:rsid w:val="00ED35E5"/>
    <w:rsid w:val="00ED361E"/>
    <w:rsid w:val="00ED36EC"/>
    <w:rsid w:val="00ED3751"/>
    <w:rsid w:val="00ED375A"/>
    <w:rsid w:val="00ED38B0"/>
    <w:rsid w:val="00ED38CA"/>
    <w:rsid w:val="00ED3961"/>
    <w:rsid w:val="00ED3991"/>
    <w:rsid w:val="00ED39C8"/>
    <w:rsid w:val="00ED39DB"/>
    <w:rsid w:val="00ED3A7E"/>
    <w:rsid w:val="00ED3AB2"/>
    <w:rsid w:val="00ED3AE8"/>
    <w:rsid w:val="00ED3B5D"/>
    <w:rsid w:val="00ED3C3E"/>
    <w:rsid w:val="00ED3C5B"/>
    <w:rsid w:val="00ED3D3B"/>
    <w:rsid w:val="00ED3D7A"/>
    <w:rsid w:val="00ED3E2F"/>
    <w:rsid w:val="00ED3F75"/>
    <w:rsid w:val="00ED40A1"/>
    <w:rsid w:val="00ED4106"/>
    <w:rsid w:val="00ED4151"/>
    <w:rsid w:val="00ED4187"/>
    <w:rsid w:val="00ED41C7"/>
    <w:rsid w:val="00ED420F"/>
    <w:rsid w:val="00ED42F4"/>
    <w:rsid w:val="00ED435D"/>
    <w:rsid w:val="00ED43C6"/>
    <w:rsid w:val="00ED43EF"/>
    <w:rsid w:val="00ED4445"/>
    <w:rsid w:val="00ED44A8"/>
    <w:rsid w:val="00ED44E0"/>
    <w:rsid w:val="00ED45C7"/>
    <w:rsid w:val="00ED45E5"/>
    <w:rsid w:val="00ED462D"/>
    <w:rsid w:val="00ED4694"/>
    <w:rsid w:val="00ED475A"/>
    <w:rsid w:val="00ED475D"/>
    <w:rsid w:val="00ED4882"/>
    <w:rsid w:val="00ED4923"/>
    <w:rsid w:val="00ED49FD"/>
    <w:rsid w:val="00ED4A76"/>
    <w:rsid w:val="00ED4ACE"/>
    <w:rsid w:val="00ED4BAB"/>
    <w:rsid w:val="00ED4C01"/>
    <w:rsid w:val="00ED4C2E"/>
    <w:rsid w:val="00ED4C32"/>
    <w:rsid w:val="00ED4C88"/>
    <w:rsid w:val="00ED4E84"/>
    <w:rsid w:val="00ED4FE4"/>
    <w:rsid w:val="00ED51A2"/>
    <w:rsid w:val="00ED51A9"/>
    <w:rsid w:val="00ED51DF"/>
    <w:rsid w:val="00ED5284"/>
    <w:rsid w:val="00ED52AB"/>
    <w:rsid w:val="00ED52F3"/>
    <w:rsid w:val="00ED5308"/>
    <w:rsid w:val="00ED530B"/>
    <w:rsid w:val="00ED54A4"/>
    <w:rsid w:val="00ED5575"/>
    <w:rsid w:val="00ED55BB"/>
    <w:rsid w:val="00ED56C5"/>
    <w:rsid w:val="00ED56F2"/>
    <w:rsid w:val="00ED5746"/>
    <w:rsid w:val="00ED585A"/>
    <w:rsid w:val="00ED5860"/>
    <w:rsid w:val="00ED58C3"/>
    <w:rsid w:val="00ED59F9"/>
    <w:rsid w:val="00ED5A49"/>
    <w:rsid w:val="00ED5AA6"/>
    <w:rsid w:val="00ED5B1B"/>
    <w:rsid w:val="00ED5B38"/>
    <w:rsid w:val="00ED5B8D"/>
    <w:rsid w:val="00ED5CB3"/>
    <w:rsid w:val="00ED5CB4"/>
    <w:rsid w:val="00ED5DC3"/>
    <w:rsid w:val="00ED5DDE"/>
    <w:rsid w:val="00ED5E1E"/>
    <w:rsid w:val="00ED5E4E"/>
    <w:rsid w:val="00ED5EB3"/>
    <w:rsid w:val="00ED5EBE"/>
    <w:rsid w:val="00ED5EE0"/>
    <w:rsid w:val="00ED5F90"/>
    <w:rsid w:val="00ED5FB9"/>
    <w:rsid w:val="00ED602B"/>
    <w:rsid w:val="00ED6405"/>
    <w:rsid w:val="00ED665D"/>
    <w:rsid w:val="00ED66DB"/>
    <w:rsid w:val="00ED670A"/>
    <w:rsid w:val="00ED67B6"/>
    <w:rsid w:val="00ED6819"/>
    <w:rsid w:val="00ED68D2"/>
    <w:rsid w:val="00ED694B"/>
    <w:rsid w:val="00ED6C00"/>
    <w:rsid w:val="00ED6CA0"/>
    <w:rsid w:val="00ED6D70"/>
    <w:rsid w:val="00ED6E5E"/>
    <w:rsid w:val="00ED6E63"/>
    <w:rsid w:val="00ED70B1"/>
    <w:rsid w:val="00ED71DC"/>
    <w:rsid w:val="00ED7243"/>
    <w:rsid w:val="00ED7311"/>
    <w:rsid w:val="00ED7378"/>
    <w:rsid w:val="00ED7399"/>
    <w:rsid w:val="00ED7716"/>
    <w:rsid w:val="00ED776A"/>
    <w:rsid w:val="00ED79E0"/>
    <w:rsid w:val="00ED7BAC"/>
    <w:rsid w:val="00ED7BDE"/>
    <w:rsid w:val="00ED7C10"/>
    <w:rsid w:val="00ED7C8D"/>
    <w:rsid w:val="00ED7C8F"/>
    <w:rsid w:val="00ED7CB9"/>
    <w:rsid w:val="00ED7DAF"/>
    <w:rsid w:val="00ED7E4B"/>
    <w:rsid w:val="00ED7F33"/>
    <w:rsid w:val="00ED7F64"/>
    <w:rsid w:val="00EE007C"/>
    <w:rsid w:val="00EE0102"/>
    <w:rsid w:val="00EE0116"/>
    <w:rsid w:val="00EE0120"/>
    <w:rsid w:val="00EE014C"/>
    <w:rsid w:val="00EE016D"/>
    <w:rsid w:val="00EE020B"/>
    <w:rsid w:val="00EE032D"/>
    <w:rsid w:val="00EE0397"/>
    <w:rsid w:val="00EE04EB"/>
    <w:rsid w:val="00EE0593"/>
    <w:rsid w:val="00EE05EA"/>
    <w:rsid w:val="00EE061D"/>
    <w:rsid w:val="00EE0628"/>
    <w:rsid w:val="00EE0669"/>
    <w:rsid w:val="00EE0700"/>
    <w:rsid w:val="00EE079C"/>
    <w:rsid w:val="00EE082D"/>
    <w:rsid w:val="00EE0834"/>
    <w:rsid w:val="00EE088D"/>
    <w:rsid w:val="00EE0A97"/>
    <w:rsid w:val="00EE0ACF"/>
    <w:rsid w:val="00EE0BB4"/>
    <w:rsid w:val="00EE0BEB"/>
    <w:rsid w:val="00EE0C29"/>
    <w:rsid w:val="00EE0C60"/>
    <w:rsid w:val="00EE0E59"/>
    <w:rsid w:val="00EE0F1A"/>
    <w:rsid w:val="00EE0F50"/>
    <w:rsid w:val="00EE0F9D"/>
    <w:rsid w:val="00EE10DC"/>
    <w:rsid w:val="00EE10EA"/>
    <w:rsid w:val="00EE11F8"/>
    <w:rsid w:val="00EE159D"/>
    <w:rsid w:val="00EE15C4"/>
    <w:rsid w:val="00EE1686"/>
    <w:rsid w:val="00EE16C9"/>
    <w:rsid w:val="00EE17E0"/>
    <w:rsid w:val="00EE184D"/>
    <w:rsid w:val="00EE1919"/>
    <w:rsid w:val="00EE192E"/>
    <w:rsid w:val="00EE194D"/>
    <w:rsid w:val="00EE194F"/>
    <w:rsid w:val="00EE19E3"/>
    <w:rsid w:val="00EE19EF"/>
    <w:rsid w:val="00EE1AF9"/>
    <w:rsid w:val="00EE1B4E"/>
    <w:rsid w:val="00EE1B76"/>
    <w:rsid w:val="00EE1C31"/>
    <w:rsid w:val="00EE1D1F"/>
    <w:rsid w:val="00EE1D97"/>
    <w:rsid w:val="00EE1E43"/>
    <w:rsid w:val="00EE1E4E"/>
    <w:rsid w:val="00EE1E56"/>
    <w:rsid w:val="00EE1EBA"/>
    <w:rsid w:val="00EE1EDE"/>
    <w:rsid w:val="00EE1F7B"/>
    <w:rsid w:val="00EE1F97"/>
    <w:rsid w:val="00EE206D"/>
    <w:rsid w:val="00EE207A"/>
    <w:rsid w:val="00EE20A1"/>
    <w:rsid w:val="00EE2174"/>
    <w:rsid w:val="00EE218B"/>
    <w:rsid w:val="00EE21C4"/>
    <w:rsid w:val="00EE21F9"/>
    <w:rsid w:val="00EE21FC"/>
    <w:rsid w:val="00EE229A"/>
    <w:rsid w:val="00EE22A5"/>
    <w:rsid w:val="00EE2308"/>
    <w:rsid w:val="00EE23BC"/>
    <w:rsid w:val="00EE240A"/>
    <w:rsid w:val="00EE2425"/>
    <w:rsid w:val="00EE24E8"/>
    <w:rsid w:val="00EE26B6"/>
    <w:rsid w:val="00EE27BC"/>
    <w:rsid w:val="00EE281F"/>
    <w:rsid w:val="00EE2987"/>
    <w:rsid w:val="00EE2A26"/>
    <w:rsid w:val="00EE2A97"/>
    <w:rsid w:val="00EE2AF4"/>
    <w:rsid w:val="00EE2C4F"/>
    <w:rsid w:val="00EE2CAB"/>
    <w:rsid w:val="00EE2D71"/>
    <w:rsid w:val="00EE2DB4"/>
    <w:rsid w:val="00EE2FA9"/>
    <w:rsid w:val="00EE2FCD"/>
    <w:rsid w:val="00EE30A3"/>
    <w:rsid w:val="00EE314F"/>
    <w:rsid w:val="00EE317D"/>
    <w:rsid w:val="00EE3212"/>
    <w:rsid w:val="00EE3258"/>
    <w:rsid w:val="00EE33C1"/>
    <w:rsid w:val="00EE346A"/>
    <w:rsid w:val="00EE34DE"/>
    <w:rsid w:val="00EE34F2"/>
    <w:rsid w:val="00EE351A"/>
    <w:rsid w:val="00EE351F"/>
    <w:rsid w:val="00EE35DC"/>
    <w:rsid w:val="00EE3605"/>
    <w:rsid w:val="00EE3740"/>
    <w:rsid w:val="00EE38A4"/>
    <w:rsid w:val="00EE38BE"/>
    <w:rsid w:val="00EE38C0"/>
    <w:rsid w:val="00EE3952"/>
    <w:rsid w:val="00EE3A1C"/>
    <w:rsid w:val="00EE3A73"/>
    <w:rsid w:val="00EE3B44"/>
    <w:rsid w:val="00EE3B62"/>
    <w:rsid w:val="00EE3B69"/>
    <w:rsid w:val="00EE3BA7"/>
    <w:rsid w:val="00EE3BF6"/>
    <w:rsid w:val="00EE3C40"/>
    <w:rsid w:val="00EE3C7A"/>
    <w:rsid w:val="00EE3CC8"/>
    <w:rsid w:val="00EE3D53"/>
    <w:rsid w:val="00EE3F76"/>
    <w:rsid w:val="00EE3F7D"/>
    <w:rsid w:val="00EE3FE0"/>
    <w:rsid w:val="00EE4012"/>
    <w:rsid w:val="00EE403C"/>
    <w:rsid w:val="00EE4100"/>
    <w:rsid w:val="00EE4132"/>
    <w:rsid w:val="00EE4145"/>
    <w:rsid w:val="00EE417D"/>
    <w:rsid w:val="00EE4187"/>
    <w:rsid w:val="00EE435B"/>
    <w:rsid w:val="00EE43C4"/>
    <w:rsid w:val="00EE43E4"/>
    <w:rsid w:val="00EE4418"/>
    <w:rsid w:val="00EE4424"/>
    <w:rsid w:val="00EE449F"/>
    <w:rsid w:val="00EE457D"/>
    <w:rsid w:val="00EE45C2"/>
    <w:rsid w:val="00EE4679"/>
    <w:rsid w:val="00EE46BB"/>
    <w:rsid w:val="00EE4762"/>
    <w:rsid w:val="00EE4811"/>
    <w:rsid w:val="00EE4822"/>
    <w:rsid w:val="00EE4911"/>
    <w:rsid w:val="00EE4960"/>
    <w:rsid w:val="00EE4ACE"/>
    <w:rsid w:val="00EE4B5A"/>
    <w:rsid w:val="00EE4D05"/>
    <w:rsid w:val="00EE4D71"/>
    <w:rsid w:val="00EE4D9F"/>
    <w:rsid w:val="00EE4DBD"/>
    <w:rsid w:val="00EE4DC0"/>
    <w:rsid w:val="00EE4EAE"/>
    <w:rsid w:val="00EE4EC6"/>
    <w:rsid w:val="00EE4F09"/>
    <w:rsid w:val="00EE4F82"/>
    <w:rsid w:val="00EE4FCE"/>
    <w:rsid w:val="00EE50B8"/>
    <w:rsid w:val="00EE50C0"/>
    <w:rsid w:val="00EE514C"/>
    <w:rsid w:val="00EE5363"/>
    <w:rsid w:val="00EE5466"/>
    <w:rsid w:val="00EE54A6"/>
    <w:rsid w:val="00EE54E9"/>
    <w:rsid w:val="00EE54F0"/>
    <w:rsid w:val="00EE5522"/>
    <w:rsid w:val="00EE5578"/>
    <w:rsid w:val="00EE5796"/>
    <w:rsid w:val="00EE579A"/>
    <w:rsid w:val="00EE58C2"/>
    <w:rsid w:val="00EE58D5"/>
    <w:rsid w:val="00EE58FF"/>
    <w:rsid w:val="00EE5913"/>
    <w:rsid w:val="00EE5A0B"/>
    <w:rsid w:val="00EE5B01"/>
    <w:rsid w:val="00EE5BCB"/>
    <w:rsid w:val="00EE5DD3"/>
    <w:rsid w:val="00EE5EEA"/>
    <w:rsid w:val="00EE5F1A"/>
    <w:rsid w:val="00EE5FC4"/>
    <w:rsid w:val="00EE6005"/>
    <w:rsid w:val="00EE6073"/>
    <w:rsid w:val="00EE60BF"/>
    <w:rsid w:val="00EE611A"/>
    <w:rsid w:val="00EE6130"/>
    <w:rsid w:val="00EE61D2"/>
    <w:rsid w:val="00EE62AC"/>
    <w:rsid w:val="00EE6302"/>
    <w:rsid w:val="00EE6360"/>
    <w:rsid w:val="00EE6403"/>
    <w:rsid w:val="00EE640C"/>
    <w:rsid w:val="00EE6413"/>
    <w:rsid w:val="00EE641F"/>
    <w:rsid w:val="00EE646B"/>
    <w:rsid w:val="00EE6497"/>
    <w:rsid w:val="00EE6609"/>
    <w:rsid w:val="00EE660A"/>
    <w:rsid w:val="00EE66BC"/>
    <w:rsid w:val="00EE6847"/>
    <w:rsid w:val="00EE691E"/>
    <w:rsid w:val="00EE6981"/>
    <w:rsid w:val="00EE69AC"/>
    <w:rsid w:val="00EE69BC"/>
    <w:rsid w:val="00EE69FD"/>
    <w:rsid w:val="00EE6A2D"/>
    <w:rsid w:val="00EE6BE3"/>
    <w:rsid w:val="00EE6C02"/>
    <w:rsid w:val="00EE6CB1"/>
    <w:rsid w:val="00EE6CB5"/>
    <w:rsid w:val="00EE6D06"/>
    <w:rsid w:val="00EE6D0F"/>
    <w:rsid w:val="00EE6D26"/>
    <w:rsid w:val="00EE6D74"/>
    <w:rsid w:val="00EE6DA2"/>
    <w:rsid w:val="00EE6EE5"/>
    <w:rsid w:val="00EE7027"/>
    <w:rsid w:val="00EE704E"/>
    <w:rsid w:val="00EE70C1"/>
    <w:rsid w:val="00EE7210"/>
    <w:rsid w:val="00EE7221"/>
    <w:rsid w:val="00EE7256"/>
    <w:rsid w:val="00EE73F2"/>
    <w:rsid w:val="00EE7407"/>
    <w:rsid w:val="00EE7417"/>
    <w:rsid w:val="00EE741F"/>
    <w:rsid w:val="00EE7434"/>
    <w:rsid w:val="00EE7463"/>
    <w:rsid w:val="00EE74E4"/>
    <w:rsid w:val="00EE7514"/>
    <w:rsid w:val="00EE75C6"/>
    <w:rsid w:val="00EE75DD"/>
    <w:rsid w:val="00EE7697"/>
    <w:rsid w:val="00EE7805"/>
    <w:rsid w:val="00EE7868"/>
    <w:rsid w:val="00EE78AD"/>
    <w:rsid w:val="00EE7911"/>
    <w:rsid w:val="00EE7A4F"/>
    <w:rsid w:val="00EE7A5F"/>
    <w:rsid w:val="00EE7AAB"/>
    <w:rsid w:val="00EE7C91"/>
    <w:rsid w:val="00EE7E6B"/>
    <w:rsid w:val="00EE7E7A"/>
    <w:rsid w:val="00EE7EA3"/>
    <w:rsid w:val="00EE7EAD"/>
    <w:rsid w:val="00EE7FE7"/>
    <w:rsid w:val="00EF00B1"/>
    <w:rsid w:val="00EF00E7"/>
    <w:rsid w:val="00EF0106"/>
    <w:rsid w:val="00EF01BD"/>
    <w:rsid w:val="00EF0246"/>
    <w:rsid w:val="00EF02C2"/>
    <w:rsid w:val="00EF03CC"/>
    <w:rsid w:val="00EF0419"/>
    <w:rsid w:val="00EF0511"/>
    <w:rsid w:val="00EF0514"/>
    <w:rsid w:val="00EF064A"/>
    <w:rsid w:val="00EF0681"/>
    <w:rsid w:val="00EF072A"/>
    <w:rsid w:val="00EF0734"/>
    <w:rsid w:val="00EF0792"/>
    <w:rsid w:val="00EF07B5"/>
    <w:rsid w:val="00EF0814"/>
    <w:rsid w:val="00EF0822"/>
    <w:rsid w:val="00EF0836"/>
    <w:rsid w:val="00EF0851"/>
    <w:rsid w:val="00EF0881"/>
    <w:rsid w:val="00EF09A7"/>
    <w:rsid w:val="00EF0A6C"/>
    <w:rsid w:val="00EF0AE2"/>
    <w:rsid w:val="00EF0E3C"/>
    <w:rsid w:val="00EF0EF2"/>
    <w:rsid w:val="00EF0EF6"/>
    <w:rsid w:val="00EF0F0C"/>
    <w:rsid w:val="00EF1023"/>
    <w:rsid w:val="00EF11C6"/>
    <w:rsid w:val="00EF1203"/>
    <w:rsid w:val="00EF1217"/>
    <w:rsid w:val="00EF126F"/>
    <w:rsid w:val="00EF12DE"/>
    <w:rsid w:val="00EF1354"/>
    <w:rsid w:val="00EF14E0"/>
    <w:rsid w:val="00EF1576"/>
    <w:rsid w:val="00EF175F"/>
    <w:rsid w:val="00EF17AA"/>
    <w:rsid w:val="00EF1878"/>
    <w:rsid w:val="00EF1924"/>
    <w:rsid w:val="00EF193F"/>
    <w:rsid w:val="00EF1955"/>
    <w:rsid w:val="00EF1979"/>
    <w:rsid w:val="00EF1987"/>
    <w:rsid w:val="00EF1A15"/>
    <w:rsid w:val="00EF1AD5"/>
    <w:rsid w:val="00EF1B12"/>
    <w:rsid w:val="00EF1B35"/>
    <w:rsid w:val="00EF1E46"/>
    <w:rsid w:val="00EF1F91"/>
    <w:rsid w:val="00EF1FE8"/>
    <w:rsid w:val="00EF1FEF"/>
    <w:rsid w:val="00EF2069"/>
    <w:rsid w:val="00EF21A6"/>
    <w:rsid w:val="00EF2263"/>
    <w:rsid w:val="00EF237F"/>
    <w:rsid w:val="00EF243B"/>
    <w:rsid w:val="00EF24A6"/>
    <w:rsid w:val="00EF25AB"/>
    <w:rsid w:val="00EF268B"/>
    <w:rsid w:val="00EF26EC"/>
    <w:rsid w:val="00EF27C7"/>
    <w:rsid w:val="00EF27CA"/>
    <w:rsid w:val="00EF280F"/>
    <w:rsid w:val="00EF290C"/>
    <w:rsid w:val="00EF29F1"/>
    <w:rsid w:val="00EF2A2A"/>
    <w:rsid w:val="00EF2A31"/>
    <w:rsid w:val="00EF2A88"/>
    <w:rsid w:val="00EF2BEC"/>
    <w:rsid w:val="00EF2C0D"/>
    <w:rsid w:val="00EF2C6A"/>
    <w:rsid w:val="00EF2D65"/>
    <w:rsid w:val="00EF2E3A"/>
    <w:rsid w:val="00EF30C7"/>
    <w:rsid w:val="00EF3159"/>
    <w:rsid w:val="00EF3162"/>
    <w:rsid w:val="00EF31BA"/>
    <w:rsid w:val="00EF31D9"/>
    <w:rsid w:val="00EF3228"/>
    <w:rsid w:val="00EF32B8"/>
    <w:rsid w:val="00EF33A0"/>
    <w:rsid w:val="00EF33B3"/>
    <w:rsid w:val="00EF3417"/>
    <w:rsid w:val="00EF3562"/>
    <w:rsid w:val="00EF3597"/>
    <w:rsid w:val="00EF35A2"/>
    <w:rsid w:val="00EF3686"/>
    <w:rsid w:val="00EF36BD"/>
    <w:rsid w:val="00EF3930"/>
    <w:rsid w:val="00EF3A37"/>
    <w:rsid w:val="00EF3A61"/>
    <w:rsid w:val="00EF3A98"/>
    <w:rsid w:val="00EF3B19"/>
    <w:rsid w:val="00EF3C30"/>
    <w:rsid w:val="00EF3D57"/>
    <w:rsid w:val="00EF3D61"/>
    <w:rsid w:val="00EF3D71"/>
    <w:rsid w:val="00EF3D9D"/>
    <w:rsid w:val="00EF3E33"/>
    <w:rsid w:val="00EF3E4D"/>
    <w:rsid w:val="00EF3E97"/>
    <w:rsid w:val="00EF3F9F"/>
    <w:rsid w:val="00EF3FD3"/>
    <w:rsid w:val="00EF42F4"/>
    <w:rsid w:val="00EF442E"/>
    <w:rsid w:val="00EF446F"/>
    <w:rsid w:val="00EF450C"/>
    <w:rsid w:val="00EF454F"/>
    <w:rsid w:val="00EF4562"/>
    <w:rsid w:val="00EF4587"/>
    <w:rsid w:val="00EF468F"/>
    <w:rsid w:val="00EF4780"/>
    <w:rsid w:val="00EF4783"/>
    <w:rsid w:val="00EF4983"/>
    <w:rsid w:val="00EF4999"/>
    <w:rsid w:val="00EF4A26"/>
    <w:rsid w:val="00EF4A6F"/>
    <w:rsid w:val="00EF4AA4"/>
    <w:rsid w:val="00EF4AF3"/>
    <w:rsid w:val="00EF4B78"/>
    <w:rsid w:val="00EF4C1C"/>
    <w:rsid w:val="00EF4D7A"/>
    <w:rsid w:val="00EF4E2C"/>
    <w:rsid w:val="00EF4E62"/>
    <w:rsid w:val="00EF4E8F"/>
    <w:rsid w:val="00EF4FC4"/>
    <w:rsid w:val="00EF50B1"/>
    <w:rsid w:val="00EF5175"/>
    <w:rsid w:val="00EF528F"/>
    <w:rsid w:val="00EF5302"/>
    <w:rsid w:val="00EF561A"/>
    <w:rsid w:val="00EF5623"/>
    <w:rsid w:val="00EF56B0"/>
    <w:rsid w:val="00EF5715"/>
    <w:rsid w:val="00EF579A"/>
    <w:rsid w:val="00EF589A"/>
    <w:rsid w:val="00EF58EF"/>
    <w:rsid w:val="00EF5900"/>
    <w:rsid w:val="00EF593C"/>
    <w:rsid w:val="00EF5961"/>
    <w:rsid w:val="00EF5989"/>
    <w:rsid w:val="00EF59C2"/>
    <w:rsid w:val="00EF5A35"/>
    <w:rsid w:val="00EF5A5B"/>
    <w:rsid w:val="00EF5B21"/>
    <w:rsid w:val="00EF5B31"/>
    <w:rsid w:val="00EF5C16"/>
    <w:rsid w:val="00EF5C4A"/>
    <w:rsid w:val="00EF5C8E"/>
    <w:rsid w:val="00EF5CFA"/>
    <w:rsid w:val="00EF5D31"/>
    <w:rsid w:val="00EF5EFF"/>
    <w:rsid w:val="00EF6002"/>
    <w:rsid w:val="00EF6105"/>
    <w:rsid w:val="00EF618D"/>
    <w:rsid w:val="00EF6294"/>
    <w:rsid w:val="00EF629D"/>
    <w:rsid w:val="00EF634A"/>
    <w:rsid w:val="00EF6514"/>
    <w:rsid w:val="00EF6562"/>
    <w:rsid w:val="00EF6564"/>
    <w:rsid w:val="00EF66AF"/>
    <w:rsid w:val="00EF66BB"/>
    <w:rsid w:val="00EF6761"/>
    <w:rsid w:val="00EF6772"/>
    <w:rsid w:val="00EF67BB"/>
    <w:rsid w:val="00EF67C0"/>
    <w:rsid w:val="00EF67E5"/>
    <w:rsid w:val="00EF6861"/>
    <w:rsid w:val="00EF68A6"/>
    <w:rsid w:val="00EF68B8"/>
    <w:rsid w:val="00EF692E"/>
    <w:rsid w:val="00EF693F"/>
    <w:rsid w:val="00EF69DE"/>
    <w:rsid w:val="00EF6A09"/>
    <w:rsid w:val="00EF6A0A"/>
    <w:rsid w:val="00EF6A86"/>
    <w:rsid w:val="00EF6A8B"/>
    <w:rsid w:val="00EF6B83"/>
    <w:rsid w:val="00EF6BA6"/>
    <w:rsid w:val="00EF6CCD"/>
    <w:rsid w:val="00EF6D96"/>
    <w:rsid w:val="00EF6DC4"/>
    <w:rsid w:val="00EF6E60"/>
    <w:rsid w:val="00EF6F23"/>
    <w:rsid w:val="00EF6F29"/>
    <w:rsid w:val="00EF6F9C"/>
    <w:rsid w:val="00EF6FA6"/>
    <w:rsid w:val="00EF7079"/>
    <w:rsid w:val="00EF716A"/>
    <w:rsid w:val="00EF71D7"/>
    <w:rsid w:val="00EF7269"/>
    <w:rsid w:val="00EF729B"/>
    <w:rsid w:val="00EF73B9"/>
    <w:rsid w:val="00EF73E3"/>
    <w:rsid w:val="00EF73F0"/>
    <w:rsid w:val="00EF740F"/>
    <w:rsid w:val="00EF7443"/>
    <w:rsid w:val="00EF759E"/>
    <w:rsid w:val="00EF75F4"/>
    <w:rsid w:val="00EF771C"/>
    <w:rsid w:val="00EF7732"/>
    <w:rsid w:val="00EF7830"/>
    <w:rsid w:val="00EF787B"/>
    <w:rsid w:val="00EF7886"/>
    <w:rsid w:val="00EF7917"/>
    <w:rsid w:val="00EF79F1"/>
    <w:rsid w:val="00EF7A14"/>
    <w:rsid w:val="00EF7AAE"/>
    <w:rsid w:val="00EF7BD9"/>
    <w:rsid w:val="00EF7C55"/>
    <w:rsid w:val="00EF7CE2"/>
    <w:rsid w:val="00EF7CE6"/>
    <w:rsid w:val="00EF7D45"/>
    <w:rsid w:val="00EF7DBC"/>
    <w:rsid w:val="00EF7DFE"/>
    <w:rsid w:val="00EF7E84"/>
    <w:rsid w:val="00EF7F5C"/>
    <w:rsid w:val="00F001C0"/>
    <w:rsid w:val="00F001CE"/>
    <w:rsid w:val="00F001D6"/>
    <w:rsid w:val="00F00268"/>
    <w:rsid w:val="00F002A6"/>
    <w:rsid w:val="00F002FF"/>
    <w:rsid w:val="00F00344"/>
    <w:rsid w:val="00F00381"/>
    <w:rsid w:val="00F00445"/>
    <w:rsid w:val="00F00549"/>
    <w:rsid w:val="00F00596"/>
    <w:rsid w:val="00F0076A"/>
    <w:rsid w:val="00F00854"/>
    <w:rsid w:val="00F0090F"/>
    <w:rsid w:val="00F009E3"/>
    <w:rsid w:val="00F00A08"/>
    <w:rsid w:val="00F00A23"/>
    <w:rsid w:val="00F00A84"/>
    <w:rsid w:val="00F00BEA"/>
    <w:rsid w:val="00F00C5D"/>
    <w:rsid w:val="00F00CAF"/>
    <w:rsid w:val="00F00D06"/>
    <w:rsid w:val="00F00D29"/>
    <w:rsid w:val="00F00E68"/>
    <w:rsid w:val="00F00FA0"/>
    <w:rsid w:val="00F01010"/>
    <w:rsid w:val="00F0101A"/>
    <w:rsid w:val="00F0103B"/>
    <w:rsid w:val="00F01062"/>
    <w:rsid w:val="00F010E1"/>
    <w:rsid w:val="00F011D3"/>
    <w:rsid w:val="00F01244"/>
    <w:rsid w:val="00F0127E"/>
    <w:rsid w:val="00F0130C"/>
    <w:rsid w:val="00F013D6"/>
    <w:rsid w:val="00F0152F"/>
    <w:rsid w:val="00F015A6"/>
    <w:rsid w:val="00F015FC"/>
    <w:rsid w:val="00F01653"/>
    <w:rsid w:val="00F01675"/>
    <w:rsid w:val="00F0186B"/>
    <w:rsid w:val="00F0195A"/>
    <w:rsid w:val="00F019AB"/>
    <w:rsid w:val="00F01A60"/>
    <w:rsid w:val="00F01A8A"/>
    <w:rsid w:val="00F01BC4"/>
    <w:rsid w:val="00F01C2B"/>
    <w:rsid w:val="00F01C87"/>
    <w:rsid w:val="00F01D28"/>
    <w:rsid w:val="00F01D29"/>
    <w:rsid w:val="00F01D2F"/>
    <w:rsid w:val="00F01E33"/>
    <w:rsid w:val="00F01ED1"/>
    <w:rsid w:val="00F01F39"/>
    <w:rsid w:val="00F01F7C"/>
    <w:rsid w:val="00F01F9D"/>
    <w:rsid w:val="00F02188"/>
    <w:rsid w:val="00F021CE"/>
    <w:rsid w:val="00F0230E"/>
    <w:rsid w:val="00F024A1"/>
    <w:rsid w:val="00F024E0"/>
    <w:rsid w:val="00F024EB"/>
    <w:rsid w:val="00F02613"/>
    <w:rsid w:val="00F0267E"/>
    <w:rsid w:val="00F026CB"/>
    <w:rsid w:val="00F02736"/>
    <w:rsid w:val="00F0276C"/>
    <w:rsid w:val="00F027AF"/>
    <w:rsid w:val="00F027F0"/>
    <w:rsid w:val="00F028AD"/>
    <w:rsid w:val="00F029B4"/>
    <w:rsid w:val="00F02A20"/>
    <w:rsid w:val="00F02A43"/>
    <w:rsid w:val="00F02A52"/>
    <w:rsid w:val="00F02A58"/>
    <w:rsid w:val="00F02BE7"/>
    <w:rsid w:val="00F02CA6"/>
    <w:rsid w:val="00F02D26"/>
    <w:rsid w:val="00F02DB6"/>
    <w:rsid w:val="00F02F07"/>
    <w:rsid w:val="00F02F76"/>
    <w:rsid w:val="00F02FC9"/>
    <w:rsid w:val="00F03001"/>
    <w:rsid w:val="00F03016"/>
    <w:rsid w:val="00F03028"/>
    <w:rsid w:val="00F0318E"/>
    <w:rsid w:val="00F031BD"/>
    <w:rsid w:val="00F03399"/>
    <w:rsid w:val="00F03424"/>
    <w:rsid w:val="00F0345D"/>
    <w:rsid w:val="00F03484"/>
    <w:rsid w:val="00F03522"/>
    <w:rsid w:val="00F03587"/>
    <w:rsid w:val="00F035C3"/>
    <w:rsid w:val="00F03620"/>
    <w:rsid w:val="00F03660"/>
    <w:rsid w:val="00F036C3"/>
    <w:rsid w:val="00F037C2"/>
    <w:rsid w:val="00F03804"/>
    <w:rsid w:val="00F0387A"/>
    <w:rsid w:val="00F0389E"/>
    <w:rsid w:val="00F03919"/>
    <w:rsid w:val="00F0398F"/>
    <w:rsid w:val="00F039C3"/>
    <w:rsid w:val="00F03A19"/>
    <w:rsid w:val="00F03A37"/>
    <w:rsid w:val="00F03A76"/>
    <w:rsid w:val="00F03A83"/>
    <w:rsid w:val="00F03ABC"/>
    <w:rsid w:val="00F03AD5"/>
    <w:rsid w:val="00F03B49"/>
    <w:rsid w:val="00F03B58"/>
    <w:rsid w:val="00F03B5C"/>
    <w:rsid w:val="00F03BA0"/>
    <w:rsid w:val="00F03BC1"/>
    <w:rsid w:val="00F03C69"/>
    <w:rsid w:val="00F03D75"/>
    <w:rsid w:val="00F03DC9"/>
    <w:rsid w:val="00F03E73"/>
    <w:rsid w:val="00F0403B"/>
    <w:rsid w:val="00F040F0"/>
    <w:rsid w:val="00F0411E"/>
    <w:rsid w:val="00F04192"/>
    <w:rsid w:val="00F04193"/>
    <w:rsid w:val="00F04207"/>
    <w:rsid w:val="00F0422A"/>
    <w:rsid w:val="00F04357"/>
    <w:rsid w:val="00F043E1"/>
    <w:rsid w:val="00F04438"/>
    <w:rsid w:val="00F04444"/>
    <w:rsid w:val="00F044B3"/>
    <w:rsid w:val="00F04521"/>
    <w:rsid w:val="00F04619"/>
    <w:rsid w:val="00F047DD"/>
    <w:rsid w:val="00F0499B"/>
    <w:rsid w:val="00F049A8"/>
    <w:rsid w:val="00F04AC7"/>
    <w:rsid w:val="00F04B17"/>
    <w:rsid w:val="00F04BC6"/>
    <w:rsid w:val="00F04BD4"/>
    <w:rsid w:val="00F04BDA"/>
    <w:rsid w:val="00F04D6F"/>
    <w:rsid w:val="00F04DF2"/>
    <w:rsid w:val="00F04F09"/>
    <w:rsid w:val="00F04F40"/>
    <w:rsid w:val="00F04F8A"/>
    <w:rsid w:val="00F050AE"/>
    <w:rsid w:val="00F05205"/>
    <w:rsid w:val="00F05246"/>
    <w:rsid w:val="00F053E1"/>
    <w:rsid w:val="00F0545C"/>
    <w:rsid w:val="00F0557E"/>
    <w:rsid w:val="00F055CE"/>
    <w:rsid w:val="00F05692"/>
    <w:rsid w:val="00F056A2"/>
    <w:rsid w:val="00F0575B"/>
    <w:rsid w:val="00F05760"/>
    <w:rsid w:val="00F057A4"/>
    <w:rsid w:val="00F057F2"/>
    <w:rsid w:val="00F059A6"/>
    <w:rsid w:val="00F05A79"/>
    <w:rsid w:val="00F05B1A"/>
    <w:rsid w:val="00F05C0A"/>
    <w:rsid w:val="00F05C24"/>
    <w:rsid w:val="00F05C45"/>
    <w:rsid w:val="00F05D22"/>
    <w:rsid w:val="00F05D9B"/>
    <w:rsid w:val="00F05DB6"/>
    <w:rsid w:val="00F05FDC"/>
    <w:rsid w:val="00F05FDF"/>
    <w:rsid w:val="00F06007"/>
    <w:rsid w:val="00F060EB"/>
    <w:rsid w:val="00F061BC"/>
    <w:rsid w:val="00F0624D"/>
    <w:rsid w:val="00F062FA"/>
    <w:rsid w:val="00F063A3"/>
    <w:rsid w:val="00F06469"/>
    <w:rsid w:val="00F0655E"/>
    <w:rsid w:val="00F065B6"/>
    <w:rsid w:val="00F06619"/>
    <w:rsid w:val="00F066CA"/>
    <w:rsid w:val="00F06744"/>
    <w:rsid w:val="00F068C8"/>
    <w:rsid w:val="00F068D2"/>
    <w:rsid w:val="00F068E0"/>
    <w:rsid w:val="00F069DB"/>
    <w:rsid w:val="00F06A06"/>
    <w:rsid w:val="00F06AD0"/>
    <w:rsid w:val="00F06B04"/>
    <w:rsid w:val="00F06B43"/>
    <w:rsid w:val="00F06B78"/>
    <w:rsid w:val="00F06BDA"/>
    <w:rsid w:val="00F06BF1"/>
    <w:rsid w:val="00F06C4B"/>
    <w:rsid w:val="00F06D17"/>
    <w:rsid w:val="00F06D89"/>
    <w:rsid w:val="00F06DC6"/>
    <w:rsid w:val="00F06E14"/>
    <w:rsid w:val="00F06E3F"/>
    <w:rsid w:val="00F06E71"/>
    <w:rsid w:val="00F06F7D"/>
    <w:rsid w:val="00F07050"/>
    <w:rsid w:val="00F07082"/>
    <w:rsid w:val="00F070B4"/>
    <w:rsid w:val="00F070EA"/>
    <w:rsid w:val="00F071B0"/>
    <w:rsid w:val="00F071BF"/>
    <w:rsid w:val="00F07227"/>
    <w:rsid w:val="00F07238"/>
    <w:rsid w:val="00F0728F"/>
    <w:rsid w:val="00F072D8"/>
    <w:rsid w:val="00F07390"/>
    <w:rsid w:val="00F07430"/>
    <w:rsid w:val="00F07451"/>
    <w:rsid w:val="00F07471"/>
    <w:rsid w:val="00F07549"/>
    <w:rsid w:val="00F0756B"/>
    <w:rsid w:val="00F0758E"/>
    <w:rsid w:val="00F075BF"/>
    <w:rsid w:val="00F0765C"/>
    <w:rsid w:val="00F07727"/>
    <w:rsid w:val="00F077A6"/>
    <w:rsid w:val="00F0782A"/>
    <w:rsid w:val="00F07862"/>
    <w:rsid w:val="00F07863"/>
    <w:rsid w:val="00F0787B"/>
    <w:rsid w:val="00F078E6"/>
    <w:rsid w:val="00F078F2"/>
    <w:rsid w:val="00F07A06"/>
    <w:rsid w:val="00F07A44"/>
    <w:rsid w:val="00F07A4D"/>
    <w:rsid w:val="00F07A6B"/>
    <w:rsid w:val="00F07AA9"/>
    <w:rsid w:val="00F07AC2"/>
    <w:rsid w:val="00F07B02"/>
    <w:rsid w:val="00F07B46"/>
    <w:rsid w:val="00F07B9B"/>
    <w:rsid w:val="00F07BE5"/>
    <w:rsid w:val="00F07C36"/>
    <w:rsid w:val="00F07C56"/>
    <w:rsid w:val="00F07DAE"/>
    <w:rsid w:val="00F07E35"/>
    <w:rsid w:val="00F07E46"/>
    <w:rsid w:val="00F07F88"/>
    <w:rsid w:val="00F07FF1"/>
    <w:rsid w:val="00F1006D"/>
    <w:rsid w:val="00F100CE"/>
    <w:rsid w:val="00F100D8"/>
    <w:rsid w:val="00F10182"/>
    <w:rsid w:val="00F101B1"/>
    <w:rsid w:val="00F101D2"/>
    <w:rsid w:val="00F10224"/>
    <w:rsid w:val="00F1023D"/>
    <w:rsid w:val="00F10288"/>
    <w:rsid w:val="00F102B8"/>
    <w:rsid w:val="00F1037D"/>
    <w:rsid w:val="00F10383"/>
    <w:rsid w:val="00F103BE"/>
    <w:rsid w:val="00F1042F"/>
    <w:rsid w:val="00F10524"/>
    <w:rsid w:val="00F10607"/>
    <w:rsid w:val="00F1064B"/>
    <w:rsid w:val="00F10690"/>
    <w:rsid w:val="00F10694"/>
    <w:rsid w:val="00F106B4"/>
    <w:rsid w:val="00F10781"/>
    <w:rsid w:val="00F107F8"/>
    <w:rsid w:val="00F108EC"/>
    <w:rsid w:val="00F1090C"/>
    <w:rsid w:val="00F109D4"/>
    <w:rsid w:val="00F10A7E"/>
    <w:rsid w:val="00F10C6C"/>
    <w:rsid w:val="00F10D51"/>
    <w:rsid w:val="00F10DF2"/>
    <w:rsid w:val="00F10E42"/>
    <w:rsid w:val="00F10E4A"/>
    <w:rsid w:val="00F10E5F"/>
    <w:rsid w:val="00F10E7F"/>
    <w:rsid w:val="00F10EEF"/>
    <w:rsid w:val="00F10F04"/>
    <w:rsid w:val="00F10F1C"/>
    <w:rsid w:val="00F10F6F"/>
    <w:rsid w:val="00F11007"/>
    <w:rsid w:val="00F1106A"/>
    <w:rsid w:val="00F1108A"/>
    <w:rsid w:val="00F1121E"/>
    <w:rsid w:val="00F113E6"/>
    <w:rsid w:val="00F11449"/>
    <w:rsid w:val="00F11493"/>
    <w:rsid w:val="00F11497"/>
    <w:rsid w:val="00F11606"/>
    <w:rsid w:val="00F116A1"/>
    <w:rsid w:val="00F11728"/>
    <w:rsid w:val="00F117AC"/>
    <w:rsid w:val="00F117F8"/>
    <w:rsid w:val="00F118CF"/>
    <w:rsid w:val="00F1197E"/>
    <w:rsid w:val="00F11A7E"/>
    <w:rsid w:val="00F11B96"/>
    <w:rsid w:val="00F11C83"/>
    <w:rsid w:val="00F11D31"/>
    <w:rsid w:val="00F11E1E"/>
    <w:rsid w:val="00F11EE6"/>
    <w:rsid w:val="00F11F0E"/>
    <w:rsid w:val="00F11F47"/>
    <w:rsid w:val="00F11F7E"/>
    <w:rsid w:val="00F11FC2"/>
    <w:rsid w:val="00F12039"/>
    <w:rsid w:val="00F1206A"/>
    <w:rsid w:val="00F120E5"/>
    <w:rsid w:val="00F12179"/>
    <w:rsid w:val="00F1221D"/>
    <w:rsid w:val="00F122D0"/>
    <w:rsid w:val="00F122FE"/>
    <w:rsid w:val="00F1235B"/>
    <w:rsid w:val="00F1241F"/>
    <w:rsid w:val="00F12431"/>
    <w:rsid w:val="00F12482"/>
    <w:rsid w:val="00F12490"/>
    <w:rsid w:val="00F124CD"/>
    <w:rsid w:val="00F125AB"/>
    <w:rsid w:val="00F126A7"/>
    <w:rsid w:val="00F12842"/>
    <w:rsid w:val="00F12845"/>
    <w:rsid w:val="00F12887"/>
    <w:rsid w:val="00F12B28"/>
    <w:rsid w:val="00F12B63"/>
    <w:rsid w:val="00F12BB9"/>
    <w:rsid w:val="00F12C1A"/>
    <w:rsid w:val="00F12DFC"/>
    <w:rsid w:val="00F12E43"/>
    <w:rsid w:val="00F12E74"/>
    <w:rsid w:val="00F12E84"/>
    <w:rsid w:val="00F12F5D"/>
    <w:rsid w:val="00F12FA9"/>
    <w:rsid w:val="00F130DC"/>
    <w:rsid w:val="00F1312B"/>
    <w:rsid w:val="00F131D6"/>
    <w:rsid w:val="00F131F4"/>
    <w:rsid w:val="00F13209"/>
    <w:rsid w:val="00F13236"/>
    <w:rsid w:val="00F13418"/>
    <w:rsid w:val="00F13436"/>
    <w:rsid w:val="00F134D5"/>
    <w:rsid w:val="00F13577"/>
    <w:rsid w:val="00F13597"/>
    <w:rsid w:val="00F135AB"/>
    <w:rsid w:val="00F1365F"/>
    <w:rsid w:val="00F136A0"/>
    <w:rsid w:val="00F1372A"/>
    <w:rsid w:val="00F13888"/>
    <w:rsid w:val="00F138E7"/>
    <w:rsid w:val="00F13944"/>
    <w:rsid w:val="00F13971"/>
    <w:rsid w:val="00F139ED"/>
    <w:rsid w:val="00F13A45"/>
    <w:rsid w:val="00F13A52"/>
    <w:rsid w:val="00F13A7C"/>
    <w:rsid w:val="00F13A91"/>
    <w:rsid w:val="00F13AB2"/>
    <w:rsid w:val="00F13AEC"/>
    <w:rsid w:val="00F13BC2"/>
    <w:rsid w:val="00F13CE7"/>
    <w:rsid w:val="00F13D6D"/>
    <w:rsid w:val="00F140D6"/>
    <w:rsid w:val="00F140FA"/>
    <w:rsid w:val="00F14187"/>
    <w:rsid w:val="00F1429F"/>
    <w:rsid w:val="00F142AC"/>
    <w:rsid w:val="00F142E0"/>
    <w:rsid w:val="00F143C2"/>
    <w:rsid w:val="00F143EF"/>
    <w:rsid w:val="00F1442A"/>
    <w:rsid w:val="00F14441"/>
    <w:rsid w:val="00F1447E"/>
    <w:rsid w:val="00F144AC"/>
    <w:rsid w:val="00F144AD"/>
    <w:rsid w:val="00F144B3"/>
    <w:rsid w:val="00F144E9"/>
    <w:rsid w:val="00F145EA"/>
    <w:rsid w:val="00F146FA"/>
    <w:rsid w:val="00F146FD"/>
    <w:rsid w:val="00F14797"/>
    <w:rsid w:val="00F14851"/>
    <w:rsid w:val="00F14894"/>
    <w:rsid w:val="00F148C1"/>
    <w:rsid w:val="00F14A0E"/>
    <w:rsid w:val="00F14A48"/>
    <w:rsid w:val="00F14B1B"/>
    <w:rsid w:val="00F14B59"/>
    <w:rsid w:val="00F14C17"/>
    <w:rsid w:val="00F14D71"/>
    <w:rsid w:val="00F14D82"/>
    <w:rsid w:val="00F14E2F"/>
    <w:rsid w:val="00F14E6E"/>
    <w:rsid w:val="00F14EEB"/>
    <w:rsid w:val="00F14FB0"/>
    <w:rsid w:val="00F1502A"/>
    <w:rsid w:val="00F1508A"/>
    <w:rsid w:val="00F15100"/>
    <w:rsid w:val="00F15104"/>
    <w:rsid w:val="00F151AF"/>
    <w:rsid w:val="00F15290"/>
    <w:rsid w:val="00F152EC"/>
    <w:rsid w:val="00F152F2"/>
    <w:rsid w:val="00F15355"/>
    <w:rsid w:val="00F1535D"/>
    <w:rsid w:val="00F15461"/>
    <w:rsid w:val="00F15485"/>
    <w:rsid w:val="00F154AB"/>
    <w:rsid w:val="00F159B4"/>
    <w:rsid w:val="00F15A3B"/>
    <w:rsid w:val="00F15A51"/>
    <w:rsid w:val="00F15AA8"/>
    <w:rsid w:val="00F15B68"/>
    <w:rsid w:val="00F15C16"/>
    <w:rsid w:val="00F15D04"/>
    <w:rsid w:val="00F15F24"/>
    <w:rsid w:val="00F15FFE"/>
    <w:rsid w:val="00F160AC"/>
    <w:rsid w:val="00F16148"/>
    <w:rsid w:val="00F1625D"/>
    <w:rsid w:val="00F16359"/>
    <w:rsid w:val="00F16373"/>
    <w:rsid w:val="00F1638C"/>
    <w:rsid w:val="00F163B1"/>
    <w:rsid w:val="00F164D3"/>
    <w:rsid w:val="00F164F0"/>
    <w:rsid w:val="00F1650B"/>
    <w:rsid w:val="00F16595"/>
    <w:rsid w:val="00F16666"/>
    <w:rsid w:val="00F16681"/>
    <w:rsid w:val="00F166C4"/>
    <w:rsid w:val="00F16732"/>
    <w:rsid w:val="00F167DC"/>
    <w:rsid w:val="00F1686B"/>
    <w:rsid w:val="00F16899"/>
    <w:rsid w:val="00F1689F"/>
    <w:rsid w:val="00F16914"/>
    <w:rsid w:val="00F169A4"/>
    <w:rsid w:val="00F16A77"/>
    <w:rsid w:val="00F16AAD"/>
    <w:rsid w:val="00F16AE4"/>
    <w:rsid w:val="00F16B22"/>
    <w:rsid w:val="00F16B70"/>
    <w:rsid w:val="00F16B8A"/>
    <w:rsid w:val="00F16B96"/>
    <w:rsid w:val="00F16BFC"/>
    <w:rsid w:val="00F16C13"/>
    <w:rsid w:val="00F16C1B"/>
    <w:rsid w:val="00F16C6B"/>
    <w:rsid w:val="00F16D57"/>
    <w:rsid w:val="00F16E71"/>
    <w:rsid w:val="00F1705D"/>
    <w:rsid w:val="00F170CB"/>
    <w:rsid w:val="00F1719E"/>
    <w:rsid w:val="00F171F3"/>
    <w:rsid w:val="00F17291"/>
    <w:rsid w:val="00F1729C"/>
    <w:rsid w:val="00F17390"/>
    <w:rsid w:val="00F17446"/>
    <w:rsid w:val="00F175E2"/>
    <w:rsid w:val="00F17689"/>
    <w:rsid w:val="00F176D3"/>
    <w:rsid w:val="00F176E7"/>
    <w:rsid w:val="00F1777E"/>
    <w:rsid w:val="00F177F2"/>
    <w:rsid w:val="00F17820"/>
    <w:rsid w:val="00F1787A"/>
    <w:rsid w:val="00F17888"/>
    <w:rsid w:val="00F178E5"/>
    <w:rsid w:val="00F1799E"/>
    <w:rsid w:val="00F179B6"/>
    <w:rsid w:val="00F17C36"/>
    <w:rsid w:val="00F17C42"/>
    <w:rsid w:val="00F17C46"/>
    <w:rsid w:val="00F17CD0"/>
    <w:rsid w:val="00F17CD7"/>
    <w:rsid w:val="00F17D92"/>
    <w:rsid w:val="00F17D95"/>
    <w:rsid w:val="00F17DF2"/>
    <w:rsid w:val="00F17EDF"/>
    <w:rsid w:val="00F17FCD"/>
    <w:rsid w:val="00F17FFD"/>
    <w:rsid w:val="00F2000F"/>
    <w:rsid w:val="00F20018"/>
    <w:rsid w:val="00F200EE"/>
    <w:rsid w:val="00F20127"/>
    <w:rsid w:val="00F20170"/>
    <w:rsid w:val="00F20177"/>
    <w:rsid w:val="00F20190"/>
    <w:rsid w:val="00F201E4"/>
    <w:rsid w:val="00F20205"/>
    <w:rsid w:val="00F202BF"/>
    <w:rsid w:val="00F203E3"/>
    <w:rsid w:val="00F20401"/>
    <w:rsid w:val="00F2050B"/>
    <w:rsid w:val="00F2064B"/>
    <w:rsid w:val="00F20657"/>
    <w:rsid w:val="00F20697"/>
    <w:rsid w:val="00F20A81"/>
    <w:rsid w:val="00F20A9D"/>
    <w:rsid w:val="00F20AAB"/>
    <w:rsid w:val="00F20BD9"/>
    <w:rsid w:val="00F20BF5"/>
    <w:rsid w:val="00F20BFA"/>
    <w:rsid w:val="00F20C68"/>
    <w:rsid w:val="00F20C73"/>
    <w:rsid w:val="00F20D51"/>
    <w:rsid w:val="00F20E16"/>
    <w:rsid w:val="00F20E61"/>
    <w:rsid w:val="00F20ED8"/>
    <w:rsid w:val="00F20FC3"/>
    <w:rsid w:val="00F21059"/>
    <w:rsid w:val="00F210CA"/>
    <w:rsid w:val="00F21251"/>
    <w:rsid w:val="00F21281"/>
    <w:rsid w:val="00F212F3"/>
    <w:rsid w:val="00F2132C"/>
    <w:rsid w:val="00F2134B"/>
    <w:rsid w:val="00F214AC"/>
    <w:rsid w:val="00F21520"/>
    <w:rsid w:val="00F21533"/>
    <w:rsid w:val="00F215D5"/>
    <w:rsid w:val="00F21601"/>
    <w:rsid w:val="00F21606"/>
    <w:rsid w:val="00F2171A"/>
    <w:rsid w:val="00F217B2"/>
    <w:rsid w:val="00F217BA"/>
    <w:rsid w:val="00F218AB"/>
    <w:rsid w:val="00F218B3"/>
    <w:rsid w:val="00F21981"/>
    <w:rsid w:val="00F219F1"/>
    <w:rsid w:val="00F21A46"/>
    <w:rsid w:val="00F21AB8"/>
    <w:rsid w:val="00F21B4A"/>
    <w:rsid w:val="00F21B90"/>
    <w:rsid w:val="00F21C93"/>
    <w:rsid w:val="00F21D13"/>
    <w:rsid w:val="00F21FEF"/>
    <w:rsid w:val="00F2200D"/>
    <w:rsid w:val="00F220F0"/>
    <w:rsid w:val="00F22298"/>
    <w:rsid w:val="00F223E0"/>
    <w:rsid w:val="00F22490"/>
    <w:rsid w:val="00F224E7"/>
    <w:rsid w:val="00F2258F"/>
    <w:rsid w:val="00F225D9"/>
    <w:rsid w:val="00F2275E"/>
    <w:rsid w:val="00F22855"/>
    <w:rsid w:val="00F229DC"/>
    <w:rsid w:val="00F22AA5"/>
    <w:rsid w:val="00F22AAA"/>
    <w:rsid w:val="00F22BE8"/>
    <w:rsid w:val="00F22C9D"/>
    <w:rsid w:val="00F22CC0"/>
    <w:rsid w:val="00F22CE6"/>
    <w:rsid w:val="00F22DD2"/>
    <w:rsid w:val="00F22ED6"/>
    <w:rsid w:val="00F22F2A"/>
    <w:rsid w:val="00F22F62"/>
    <w:rsid w:val="00F22F7A"/>
    <w:rsid w:val="00F22F8A"/>
    <w:rsid w:val="00F22FEF"/>
    <w:rsid w:val="00F23000"/>
    <w:rsid w:val="00F2304C"/>
    <w:rsid w:val="00F2306A"/>
    <w:rsid w:val="00F230AC"/>
    <w:rsid w:val="00F230D1"/>
    <w:rsid w:val="00F23180"/>
    <w:rsid w:val="00F231A7"/>
    <w:rsid w:val="00F2329B"/>
    <w:rsid w:val="00F23458"/>
    <w:rsid w:val="00F234E0"/>
    <w:rsid w:val="00F2353B"/>
    <w:rsid w:val="00F235A7"/>
    <w:rsid w:val="00F235D3"/>
    <w:rsid w:val="00F23601"/>
    <w:rsid w:val="00F23644"/>
    <w:rsid w:val="00F23650"/>
    <w:rsid w:val="00F23760"/>
    <w:rsid w:val="00F237D5"/>
    <w:rsid w:val="00F23861"/>
    <w:rsid w:val="00F2396D"/>
    <w:rsid w:val="00F2397F"/>
    <w:rsid w:val="00F23984"/>
    <w:rsid w:val="00F23BA9"/>
    <w:rsid w:val="00F23D62"/>
    <w:rsid w:val="00F23DF1"/>
    <w:rsid w:val="00F23E93"/>
    <w:rsid w:val="00F24014"/>
    <w:rsid w:val="00F2415A"/>
    <w:rsid w:val="00F241EA"/>
    <w:rsid w:val="00F2421A"/>
    <w:rsid w:val="00F24226"/>
    <w:rsid w:val="00F24238"/>
    <w:rsid w:val="00F2429F"/>
    <w:rsid w:val="00F24325"/>
    <w:rsid w:val="00F2439F"/>
    <w:rsid w:val="00F243E9"/>
    <w:rsid w:val="00F24645"/>
    <w:rsid w:val="00F2470B"/>
    <w:rsid w:val="00F24767"/>
    <w:rsid w:val="00F24850"/>
    <w:rsid w:val="00F248B4"/>
    <w:rsid w:val="00F2499C"/>
    <w:rsid w:val="00F249E7"/>
    <w:rsid w:val="00F24AF8"/>
    <w:rsid w:val="00F24B38"/>
    <w:rsid w:val="00F24CAB"/>
    <w:rsid w:val="00F24CAF"/>
    <w:rsid w:val="00F24D59"/>
    <w:rsid w:val="00F24D88"/>
    <w:rsid w:val="00F24DD3"/>
    <w:rsid w:val="00F24E3B"/>
    <w:rsid w:val="00F24E40"/>
    <w:rsid w:val="00F24E5B"/>
    <w:rsid w:val="00F24E70"/>
    <w:rsid w:val="00F24E71"/>
    <w:rsid w:val="00F24F01"/>
    <w:rsid w:val="00F24F23"/>
    <w:rsid w:val="00F24F43"/>
    <w:rsid w:val="00F24F45"/>
    <w:rsid w:val="00F24FE4"/>
    <w:rsid w:val="00F2504D"/>
    <w:rsid w:val="00F25096"/>
    <w:rsid w:val="00F2510B"/>
    <w:rsid w:val="00F25246"/>
    <w:rsid w:val="00F2525F"/>
    <w:rsid w:val="00F2527B"/>
    <w:rsid w:val="00F25289"/>
    <w:rsid w:val="00F252D8"/>
    <w:rsid w:val="00F252D9"/>
    <w:rsid w:val="00F25483"/>
    <w:rsid w:val="00F254B6"/>
    <w:rsid w:val="00F254BC"/>
    <w:rsid w:val="00F2550C"/>
    <w:rsid w:val="00F2556F"/>
    <w:rsid w:val="00F2557F"/>
    <w:rsid w:val="00F25639"/>
    <w:rsid w:val="00F25646"/>
    <w:rsid w:val="00F25685"/>
    <w:rsid w:val="00F256CB"/>
    <w:rsid w:val="00F256E7"/>
    <w:rsid w:val="00F25712"/>
    <w:rsid w:val="00F25715"/>
    <w:rsid w:val="00F257ED"/>
    <w:rsid w:val="00F258A1"/>
    <w:rsid w:val="00F2597D"/>
    <w:rsid w:val="00F259DA"/>
    <w:rsid w:val="00F25A09"/>
    <w:rsid w:val="00F25A66"/>
    <w:rsid w:val="00F25A81"/>
    <w:rsid w:val="00F25B29"/>
    <w:rsid w:val="00F25B89"/>
    <w:rsid w:val="00F25C3F"/>
    <w:rsid w:val="00F25C7D"/>
    <w:rsid w:val="00F25CBF"/>
    <w:rsid w:val="00F25DFA"/>
    <w:rsid w:val="00F25E61"/>
    <w:rsid w:val="00F25EB6"/>
    <w:rsid w:val="00F260C7"/>
    <w:rsid w:val="00F26111"/>
    <w:rsid w:val="00F261C6"/>
    <w:rsid w:val="00F26253"/>
    <w:rsid w:val="00F262B4"/>
    <w:rsid w:val="00F26378"/>
    <w:rsid w:val="00F26399"/>
    <w:rsid w:val="00F263D9"/>
    <w:rsid w:val="00F263F7"/>
    <w:rsid w:val="00F2643C"/>
    <w:rsid w:val="00F26498"/>
    <w:rsid w:val="00F26648"/>
    <w:rsid w:val="00F266C0"/>
    <w:rsid w:val="00F266F9"/>
    <w:rsid w:val="00F26708"/>
    <w:rsid w:val="00F268AC"/>
    <w:rsid w:val="00F2690E"/>
    <w:rsid w:val="00F26984"/>
    <w:rsid w:val="00F26989"/>
    <w:rsid w:val="00F26997"/>
    <w:rsid w:val="00F26A29"/>
    <w:rsid w:val="00F26A5F"/>
    <w:rsid w:val="00F26A7C"/>
    <w:rsid w:val="00F26A9C"/>
    <w:rsid w:val="00F26AB4"/>
    <w:rsid w:val="00F26B1C"/>
    <w:rsid w:val="00F26C23"/>
    <w:rsid w:val="00F26D72"/>
    <w:rsid w:val="00F26DC9"/>
    <w:rsid w:val="00F26DF2"/>
    <w:rsid w:val="00F26E03"/>
    <w:rsid w:val="00F26E75"/>
    <w:rsid w:val="00F26F74"/>
    <w:rsid w:val="00F26FAA"/>
    <w:rsid w:val="00F26FE6"/>
    <w:rsid w:val="00F270BE"/>
    <w:rsid w:val="00F27153"/>
    <w:rsid w:val="00F271EE"/>
    <w:rsid w:val="00F272FB"/>
    <w:rsid w:val="00F27446"/>
    <w:rsid w:val="00F2747A"/>
    <w:rsid w:val="00F2759A"/>
    <w:rsid w:val="00F27622"/>
    <w:rsid w:val="00F2766E"/>
    <w:rsid w:val="00F2771D"/>
    <w:rsid w:val="00F27743"/>
    <w:rsid w:val="00F2777B"/>
    <w:rsid w:val="00F278AA"/>
    <w:rsid w:val="00F2792A"/>
    <w:rsid w:val="00F2792C"/>
    <w:rsid w:val="00F2794F"/>
    <w:rsid w:val="00F2795B"/>
    <w:rsid w:val="00F2798C"/>
    <w:rsid w:val="00F27A1F"/>
    <w:rsid w:val="00F27BE3"/>
    <w:rsid w:val="00F27C5F"/>
    <w:rsid w:val="00F27C79"/>
    <w:rsid w:val="00F27C86"/>
    <w:rsid w:val="00F27D91"/>
    <w:rsid w:val="00F27E74"/>
    <w:rsid w:val="00F3011F"/>
    <w:rsid w:val="00F301B1"/>
    <w:rsid w:val="00F30215"/>
    <w:rsid w:val="00F3021F"/>
    <w:rsid w:val="00F30332"/>
    <w:rsid w:val="00F3033F"/>
    <w:rsid w:val="00F3036E"/>
    <w:rsid w:val="00F304DE"/>
    <w:rsid w:val="00F30519"/>
    <w:rsid w:val="00F305EE"/>
    <w:rsid w:val="00F30601"/>
    <w:rsid w:val="00F3064F"/>
    <w:rsid w:val="00F3068B"/>
    <w:rsid w:val="00F30692"/>
    <w:rsid w:val="00F306C1"/>
    <w:rsid w:val="00F306CB"/>
    <w:rsid w:val="00F3077D"/>
    <w:rsid w:val="00F307EC"/>
    <w:rsid w:val="00F30813"/>
    <w:rsid w:val="00F3082B"/>
    <w:rsid w:val="00F308C2"/>
    <w:rsid w:val="00F308D4"/>
    <w:rsid w:val="00F3094D"/>
    <w:rsid w:val="00F3097A"/>
    <w:rsid w:val="00F309B4"/>
    <w:rsid w:val="00F30B20"/>
    <w:rsid w:val="00F30BAA"/>
    <w:rsid w:val="00F30D08"/>
    <w:rsid w:val="00F30E23"/>
    <w:rsid w:val="00F30EA9"/>
    <w:rsid w:val="00F31176"/>
    <w:rsid w:val="00F31307"/>
    <w:rsid w:val="00F31618"/>
    <w:rsid w:val="00F31798"/>
    <w:rsid w:val="00F31812"/>
    <w:rsid w:val="00F31850"/>
    <w:rsid w:val="00F3187E"/>
    <w:rsid w:val="00F318FA"/>
    <w:rsid w:val="00F319B4"/>
    <w:rsid w:val="00F319C3"/>
    <w:rsid w:val="00F319E6"/>
    <w:rsid w:val="00F31A49"/>
    <w:rsid w:val="00F31A8C"/>
    <w:rsid w:val="00F31AA4"/>
    <w:rsid w:val="00F31AFE"/>
    <w:rsid w:val="00F31B53"/>
    <w:rsid w:val="00F31CCD"/>
    <w:rsid w:val="00F31D6F"/>
    <w:rsid w:val="00F31E82"/>
    <w:rsid w:val="00F31F71"/>
    <w:rsid w:val="00F31FB2"/>
    <w:rsid w:val="00F320D9"/>
    <w:rsid w:val="00F321DD"/>
    <w:rsid w:val="00F321ED"/>
    <w:rsid w:val="00F32346"/>
    <w:rsid w:val="00F3238C"/>
    <w:rsid w:val="00F32472"/>
    <w:rsid w:val="00F324C0"/>
    <w:rsid w:val="00F32631"/>
    <w:rsid w:val="00F326E4"/>
    <w:rsid w:val="00F327B8"/>
    <w:rsid w:val="00F32816"/>
    <w:rsid w:val="00F328D2"/>
    <w:rsid w:val="00F32A68"/>
    <w:rsid w:val="00F32A86"/>
    <w:rsid w:val="00F32AFD"/>
    <w:rsid w:val="00F32AFE"/>
    <w:rsid w:val="00F32B3C"/>
    <w:rsid w:val="00F32B71"/>
    <w:rsid w:val="00F32C79"/>
    <w:rsid w:val="00F32E5F"/>
    <w:rsid w:val="00F32EA1"/>
    <w:rsid w:val="00F32EF3"/>
    <w:rsid w:val="00F32F3B"/>
    <w:rsid w:val="00F3307C"/>
    <w:rsid w:val="00F330B8"/>
    <w:rsid w:val="00F33104"/>
    <w:rsid w:val="00F3315E"/>
    <w:rsid w:val="00F331C7"/>
    <w:rsid w:val="00F3339B"/>
    <w:rsid w:val="00F33427"/>
    <w:rsid w:val="00F33495"/>
    <w:rsid w:val="00F33497"/>
    <w:rsid w:val="00F334C4"/>
    <w:rsid w:val="00F334D1"/>
    <w:rsid w:val="00F33562"/>
    <w:rsid w:val="00F335F4"/>
    <w:rsid w:val="00F33640"/>
    <w:rsid w:val="00F33703"/>
    <w:rsid w:val="00F3373F"/>
    <w:rsid w:val="00F33798"/>
    <w:rsid w:val="00F338B2"/>
    <w:rsid w:val="00F33927"/>
    <w:rsid w:val="00F33951"/>
    <w:rsid w:val="00F33A32"/>
    <w:rsid w:val="00F33C41"/>
    <w:rsid w:val="00F33C8D"/>
    <w:rsid w:val="00F33D11"/>
    <w:rsid w:val="00F33D79"/>
    <w:rsid w:val="00F33DE8"/>
    <w:rsid w:val="00F33E9B"/>
    <w:rsid w:val="00F33EFA"/>
    <w:rsid w:val="00F33F61"/>
    <w:rsid w:val="00F340B4"/>
    <w:rsid w:val="00F3415D"/>
    <w:rsid w:val="00F341CA"/>
    <w:rsid w:val="00F341E7"/>
    <w:rsid w:val="00F342AC"/>
    <w:rsid w:val="00F343C6"/>
    <w:rsid w:val="00F343CF"/>
    <w:rsid w:val="00F343F8"/>
    <w:rsid w:val="00F344DD"/>
    <w:rsid w:val="00F344F4"/>
    <w:rsid w:val="00F3456B"/>
    <w:rsid w:val="00F3460F"/>
    <w:rsid w:val="00F346B7"/>
    <w:rsid w:val="00F346D0"/>
    <w:rsid w:val="00F34707"/>
    <w:rsid w:val="00F34762"/>
    <w:rsid w:val="00F34883"/>
    <w:rsid w:val="00F349BB"/>
    <w:rsid w:val="00F34B09"/>
    <w:rsid w:val="00F34D3C"/>
    <w:rsid w:val="00F34D43"/>
    <w:rsid w:val="00F34EC8"/>
    <w:rsid w:val="00F34F73"/>
    <w:rsid w:val="00F34FB4"/>
    <w:rsid w:val="00F35056"/>
    <w:rsid w:val="00F3531E"/>
    <w:rsid w:val="00F353BD"/>
    <w:rsid w:val="00F3543A"/>
    <w:rsid w:val="00F35469"/>
    <w:rsid w:val="00F35501"/>
    <w:rsid w:val="00F35555"/>
    <w:rsid w:val="00F355E7"/>
    <w:rsid w:val="00F355EC"/>
    <w:rsid w:val="00F35719"/>
    <w:rsid w:val="00F3572D"/>
    <w:rsid w:val="00F35757"/>
    <w:rsid w:val="00F35786"/>
    <w:rsid w:val="00F35810"/>
    <w:rsid w:val="00F3583C"/>
    <w:rsid w:val="00F35866"/>
    <w:rsid w:val="00F3593C"/>
    <w:rsid w:val="00F359DC"/>
    <w:rsid w:val="00F35AC8"/>
    <w:rsid w:val="00F35BDF"/>
    <w:rsid w:val="00F35CA5"/>
    <w:rsid w:val="00F35CC5"/>
    <w:rsid w:val="00F35E50"/>
    <w:rsid w:val="00F35E85"/>
    <w:rsid w:val="00F35E90"/>
    <w:rsid w:val="00F360E1"/>
    <w:rsid w:val="00F361DB"/>
    <w:rsid w:val="00F361FB"/>
    <w:rsid w:val="00F3673F"/>
    <w:rsid w:val="00F36783"/>
    <w:rsid w:val="00F3683D"/>
    <w:rsid w:val="00F368D5"/>
    <w:rsid w:val="00F36904"/>
    <w:rsid w:val="00F369F4"/>
    <w:rsid w:val="00F36A09"/>
    <w:rsid w:val="00F36B1D"/>
    <w:rsid w:val="00F36B50"/>
    <w:rsid w:val="00F36C54"/>
    <w:rsid w:val="00F36CD5"/>
    <w:rsid w:val="00F3709B"/>
    <w:rsid w:val="00F370AB"/>
    <w:rsid w:val="00F37105"/>
    <w:rsid w:val="00F37136"/>
    <w:rsid w:val="00F372B1"/>
    <w:rsid w:val="00F372E3"/>
    <w:rsid w:val="00F372FF"/>
    <w:rsid w:val="00F37461"/>
    <w:rsid w:val="00F374CD"/>
    <w:rsid w:val="00F375D2"/>
    <w:rsid w:val="00F3760E"/>
    <w:rsid w:val="00F37612"/>
    <w:rsid w:val="00F37634"/>
    <w:rsid w:val="00F37653"/>
    <w:rsid w:val="00F376A0"/>
    <w:rsid w:val="00F37711"/>
    <w:rsid w:val="00F3777C"/>
    <w:rsid w:val="00F377B8"/>
    <w:rsid w:val="00F377BC"/>
    <w:rsid w:val="00F378B0"/>
    <w:rsid w:val="00F37948"/>
    <w:rsid w:val="00F379A7"/>
    <w:rsid w:val="00F379CA"/>
    <w:rsid w:val="00F37AB6"/>
    <w:rsid w:val="00F37B21"/>
    <w:rsid w:val="00F37B64"/>
    <w:rsid w:val="00F37B71"/>
    <w:rsid w:val="00F37B7C"/>
    <w:rsid w:val="00F37C44"/>
    <w:rsid w:val="00F37DD9"/>
    <w:rsid w:val="00F37EF0"/>
    <w:rsid w:val="00F37F2D"/>
    <w:rsid w:val="00F37F31"/>
    <w:rsid w:val="00F37FB8"/>
    <w:rsid w:val="00F37FD7"/>
    <w:rsid w:val="00F40039"/>
    <w:rsid w:val="00F40167"/>
    <w:rsid w:val="00F40216"/>
    <w:rsid w:val="00F402A7"/>
    <w:rsid w:val="00F402C4"/>
    <w:rsid w:val="00F40417"/>
    <w:rsid w:val="00F404D5"/>
    <w:rsid w:val="00F40516"/>
    <w:rsid w:val="00F4052F"/>
    <w:rsid w:val="00F40595"/>
    <w:rsid w:val="00F4060F"/>
    <w:rsid w:val="00F406A3"/>
    <w:rsid w:val="00F407D8"/>
    <w:rsid w:val="00F40885"/>
    <w:rsid w:val="00F408F6"/>
    <w:rsid w:val="00F4090F"/>
    <w:rsid w:val="00F409F9"/>
    <w:rsid w:val="00F40AA7"/>
    <w:rsid w:val="00F40BA4"/>
    <w:rsid w:val="00F40BF8"/>
    <w:rsid w:val="00F40C6F"/>
    <w:rsid w:val="00F40D0A"/>
    <w:rsid w:val="00F40D3E"/>
    <w:rsid w:val="00F40E15"/>
    <w:rsid w:val="00F40E50"/>
    <w:rsid w:val="00F40E63"/>
    <w:rsid w:val="00F40EA7"/>
    <w:rsid w:val="00F40EAC"/>
    <w:rsid w:val="00F40F47"/>
    <w:rsid w:val="00F40FD8"/>
    <w:rsid w:val="00F410D6"/>
    <w:rsid w:val="00F410EB"/>
    <w:rsid w:val="00F41107"/>
    <w:rsid w:val="00F41139"/>
    <w:rsid w:val="00F4114E"/>
    <w:rsid w:val="00F4115B"/>
    <w:rsid w:val="00F41169"/>
    <w:rsid w:val="00F4117C"/>
    <w:rsid w:val="00F411FF"/>
    <w:rsid w:val="00F413CD"/>
    <w:rsid w:val="00F4145E"/>
    <w:rsid w:val="00F41500"/>
    <w:rsid w:val="00F41564"/>
    <w:rsid w:val="00F4160E"/>
    <w:rsid w:val="00F41690"/>
    <w:rsid w:val="00F416D1"/>
    <w:rsid w:val="00F416F7"/>
    <w:rsid w:val="00F417BD"/>
    <w:rsid w:val="00F41803"/>
    <w:rsid w:val="00F4188D"/>
    <w:rsid w:val="00F418FA"/>
    <w:rsid w:val="00F41A05"/>
    <w:rsid w:val="00F41A76"/>
    <w:rsid w:val="00F41AA0"/>
    <w:rsid w:val="00F41B0D"/>
    <w:rsid w:val="00F41BCC"/>
    <w:rsid w:val="00F41CD9"/>
    <w:rsid w:val="00F41CF0"/>
    <w:rsid w:val="00F41DC3"/>
    <w:rsid w:val="00F41E08"/>
    <w:rsid w:val="00F41E68"/>
    <w:rsid w:val="00F41E6B"/>
    <w:rsid w:val="00F41F00"/>
    <w:rsid w:val="00F41F84"/>
    <w:rsid w:val="00F42081"/>
    <w:rsid w:val="00F420F3"/>
    <w:rsid w:val="00F42131"/>
    <w:rsid w:val="00F42218"/>
    <w:rsid w:val="00F422F5"/>
    <w:rsid w:val="00F423F5"/>
    <w:rsid w:val="00F4254E"/>
    <w:rsid w:val="00F425B9"/>
    <w:rsid w:val="00F42676"/>
    <w:rsid w:val="00F4269B"/>
    <w:rsid w:val="00F426B6"/>
    <w:rsid w:val="00F4277B"/>
    <w:rsid w:val="00F42853"/>
    <w:rsid w:val="00F42919"/>
    <w:rsid w:val="00F42969"/>
    <w:rsid w:val="00F42A36"/>
    <w:rsid w:val="00F42A37"/>
    <w:rsid w:val="00F42B41"/>
    <w:rsid w:val="00F42BE0"/>
    <w:rsid w:val="00F42C04"/>
    <w:rsid w:val="00F42D2F"/>
    <w:rsid w:val="00F42E31"/>
    <w:rsid w:val="00F42F0E"/>
    <w:rsid w:val="00F42F11"/>
    <w:rsid w:val="00F43012"/>
    <w:rsid w:val="00F4301F"/>
    <w:rsid w:val="00F43076"/>
    <w:rsid w:val="00F430E4"/>
    <w:rsid w:val="00F430F2"/>
    <w:rsid w:val="00F43164"/>
    <w:rsid w:val="00F4316F"/>
    <w:rsid w:val="00F432E2"/>
    <w:rsid w:val="00F43378"/>
    <w:rsid w:val="00F4337B"/>
    <w:rsid w:val="00F4353C"/>
    <w:rsid w:val="00F43611"/>
    <w:rsid w:val="00F436FF"/>
    <w:rsid w:val="00F43711"/>
    <w:rsid w:val="00F437AC"/>
    <w:rsid w:val="00F437C7"/>
    <w:rsid w:val="00F437D4"/>
    <w:rsid w:val="00F43890"/>
    <w:rsid w:val="00F4393A"/>
    <w:rsid w:val="00F439B0"/>
    <w:rsid w:val="00F439F9"/>
    <w:rsid w:val="00F43A2E"/>
    <w:rsid w:val="00F43A33"/>
    <w:rsid w:val="00F43AF8"/>
    <w:rsid w:val="00F43B24"/>
    <w:rsid w:val="00F43B32"/>
    <w:rsid w:val="00F43B42"/>
    <w:rsid w:val="00F43C00"/>
    <w:rsid w:val="00F43D25"/>
    <w:rsid w:val="00F43D66"/>
    <w:rsid w:val="00F43DA4"/>
    <w:rsid w:val="00F43E4A"/>
    <w:rsid w:val="00F43F62"/>
    <w:rsid w:val="00F43FE4"/>
    <w:rsid w:val="00F44082"/>
    <w:rsid w:val="00F440E6"/>
    <w:rsid w:val="00F4412A"/>
    <w:rsid w:val="00F4421F"/>
    <w:rsid w:val="00F4427B"/>
    <w:rsid w:val="00F442ED"/>
    <w:rsid w:val="00F442F5"/>
    <w:rsid w:val="00F4430F"/>
    <w:rsid w:val="00F443D0"/>
    <w:rsid w:val="00F44432"/>
    <w:rsid w:val="00F44534"/>
    <w:rsid w:val="00F44690"/>
    <w:rsid w:val="00F44739"/>
    <w:rsid w:val="00F4478D"/>
    <w:rsid w:val="00F447DE"/>
    <w:rsid w:val="00F447F1"/>
    <w:rsid w:val="00F447F4"/>
    <w:rsid w:val="00F44820"/>
    <w:rsid w:val="00F44957"/>
    <w:rsid w:val="00F449AE"/>
    <w:rsid w:val="00F44A10"/>
    <w:rsid w:val="00F44B7B"/>
    <w:rsid w:val="00F44BE7"/>
    <w:rsid w:val="00F44CBE"/>
    <w:rsid w:val="00F44D5B"/>
    <w:rsid w:val="00F44D90"/>
    <w:rsid w:val="00F44DA8"/>
    <w:rsid w:val="00F44E05"/>
    <w:rsid w:val="00F44E0C"/>
    <w:rsid w:val="00F44E1A"/>
    <w:rsid w:val="00F44EAF"/>
    <w:rsid w:val="00F44F22"/>
    <w:rsid w:val="00F44F4C"/>
    <w:rsid w:val="00F44F7B"/>
    <w:rsid w:val="00F45038"/>
    <w:rsid w:val="00F4510F"/>
    <w:rsid w:val="00F45120"/>
    <w:rsid w:val="00F4544F"/>
    <w:rsid w:val="00F4548F"/>
    <w:rsid w:val="00F45494"/>
    <w:rsid w:val="00F454FF"/>
    <w:rsid w:val="00F45507"/>
    <w:rsid w:val="00F45610"/>
    <w:rsid w:val="00F4570C"/>
    <w:rsid w:val="00F45733"/>
    <w:rsid w:val="00F45765"/>
    <w:rsid w:val="00F457F1"/>
    <w:rsid w:val="00F45894"/>
    <w:rsid w:val="00F458E3"/>
    <w:rsid w:val="00F4595F"/>
    <w:rsid w:val="00F45A62"/>
    <w:rsid w:val="00F45A90"/>
    <w:rsid w:val="00F45AAB"/>
    <w:rsid w:val="00F45C2C"/>
    <w:rsid w:val="00F45C83"/>
    <w:rsid w:val="00F45CFB"/>
    <w:rsid w:val="00F45D31"/>
    <w:rsid w:val="00F45E7A"/>
    <w:rsid w:val="00F45F61"/>
    <w:rsid w:val="00F4605D"/>
    <w:rsid w:val="00F4612D"/>
    <w:rsid w:val="00F461A0"/>
    <w:rsid w:val="00F46255"/>
    <w:rsid w:val="00F462A4"/>
    <w:rsid w:val="00F4632F"/>
    <w:rsid w:val="00F4634D"/>
    <w:rsid w:val="00F463D7"/>
    <w:rsid w:val="00F463F4"/>
    <w:rsid w:val="00F46586"/>
    <w:rsid w:val="00F4663A"/>
    <w:rsid w:val="00F466CF"/>
    <w:rsid w:val="00F4682C"/>
    <w:rsid w:val="00F4686E"/>
    <w:rsid w:val="00F46895"/>
    <w:rsid w:val="00F468CA"/>
    <w:rsid w:val="00F46939"/>
    <w:rsid w:val="00F4696D"/>
    <w:rsid w:val="00F46A3B"/>
    <w:rsid w:val="00F46B0C"/>
    <w:rsid w:val="00F46B97"/>
    <w:rsid w:val="00F46C76"/>
    <w:rsid w:val="00F46C77"/>
    <w:rsid w:val="00F46DF9"/>
    <w:rsid w:val="00F46E81"/>
    <w:rsid w:val="00F46EA0"/>
    <w:rsid w:val="00F47001"/>
    <w:rsid w:val="00F470F1"/>
    <w:rsid w:val="00F471F8"/>
    <w:rsid w:val="00F4732B"/>
    <w:rsid w:val="00F4737C"/>
    <w:rsid w:val="00F47394"/>
    <w:rsid w:val="00F473A7"/>
    <w:rsid w:val="00F47432"/>
    <w:rsid w:val="00F47493"/>
    <w:rsid w:val="00F474FE"/>
    <w:rsid w:val="00F4751B"/>
    <w:rsid w:val="00F475EE"/>
    <w:rsid w:val="00F47647"/>
    <w:rsid w:val="00F47653"/>
    <w:rsid w:val="00F4771F"/>
    <w:rsid w:val="00F477A3"/>
    <w:rsid w:val="00F47889"/>
    <w:rsid w:val="00F47894"/>
    <w:rsid w:val="00F478A0"/>
    <w:rsid w:val="00F478EF"/>
    <w:rsid w:val="00F47912"/>
    <w:rsid w:val="00F4797B"/>
    <w:rsid w:val="00F47A3E"/>
    <w:rsid w:val="00F47B70"/>
    <w:rsid w:val="00F47DFF"/>
    <w:rsid w:val="00F47E1A"/>
    <w:rsid w:val="00F47E7D"/>
    <w:rsid w:val="00F47F68"/>
    <w:rsid w:val="00F47FF3"/>
    <w:rsid w:val="00F50195"/>
    <w:rsid w:val="00F501F3"/>
    <w:rsid w:val="00F5024B"/>
    <w:rsid w:val="00F50386"/>
    <w:rsid w:val="00F50394"/>
    <w:rsid w:val="00F50637"/>
    <w:rsid w:val="00F5067F"/>
    <w:rsid w:val="00F507B0"/>
    <w:rsid w:val="00F50817"/>
    <w:rsid w:val="00F5082B"/>
    <w:rsid w:val="00F5089A"/>
    <w:rsid w:val="00F508C5"/>
    <w:rsid w:val="00F50905"/>
    <w:rsid w:val="00F50906"/>
    <w:rsid w:val="00F50923"/>
    <w:rsid w:val="00F5096E"/>
    <w:rsid w:val="00F50A5C"/>
    <w:rsid w:val="00F50A9C"/>
    <w:rsid w:val="00F50B20"/>
    <w:rsid w:val="00F50B3B"/>
    <w:rsid w:val="00F50B5E"/>
    <w:rsid w:val="00F50E09"/>
    <w:rsid w:val="00F50E56"/>
    <w:rsid w:val="00F50E65"/>
    <w:rsid w:val="00F50F80"/>
    <w:rsid w:val="00F5103D"/>
    <w:rsid w:val="00F51070"/>
    <w:rsid w:val="00F51136"/>
    <w:rsid w:val="00F511F3"/>
    <w:rsid w:val="00F51299"/>
    <w:rsid w:val="00F512C4"/>
    <w:rsid w:val="00F512CD"/>
    <w:rsid w:val="00F51308"/>
    <w:rsid w:val="00F51362"/>
    <w:rsid w:val="00F516A5"/>
    <w:rsid w:val="00F517C6"/>
    <w:rsid w:val="00F517D7"/>
    <w:rsid w:val="00F517E0"/>
    <w:rsid w:val="00F5186A"/>
    <w:rsid w:val="00F51A67"/>
    <w:rsid w:val="00F51B54"/>
    <w:rsid w:val="00F51CFF"/>
    <w:rsid w:val="00F51D00"/>
    <w:rsid w:val="00F51D28"/>
    <w:rsid w:val="00F51DF2"/>
    <w:rsid w:val="00F51E67"/>
    <w:rsid w:val="00F5218C"/>
    <w:rsid w:val="00F521CC"/>
    <w:rsid w:val="00F523F4"/>
    <w:rsid w:val="00F52537"/>
    <w:rsid w:val="00F5254A"/>
    <w:rsid w:val="00F52657"/>
    <w:rsid w:val="00F5268B"/>
    <w:rsid w:val="00F526A5"/>
    <w:rsid w:val="00F527DD"/>
    <w:rsid w:val="00F52800"/>
    <w:rsid w:val="00F52801"/>
    <w:rsid w:val="00F52A43"/>
    <w:rsid w:val="00F52A83"/>
    <w:rsid w:val="00F52B76"/>
    <w:rsid w:val="00F52B82"/>
    <w:rsid w:val="00F52C67"/>
    <w:rsid w:val="00F52C73"/>
    <w:rsid w:val="00F52C83"/>
    <w:rsid w:val="00F52EA6"/>
    <w:rsid w:val="00F52F7A"/>
    <w:rsid w:val="00F52FB2"/>
    <w:rsid w:val="00F52FB7"/>
    <w:rsid w:val="00F5300C"/>
    <w:rsid w:val="00F5300E"/>
    <w:rsid w:val="00F530D0"/>
    <w:rsid w:val="00F530D2"/>
    <w:rsid w:val="00F53230"/>
    <w:rsid w:val="00F53278"/>
    <w:rsid w:val="00F53498"/>
    <w:rsid w:val="00F53591"/>
    <w:rsid w:val="00F535E5"/>
    <w:rsid w:val="00F53617"/>
    <w:rsid w:val="00F536B8"/>
    <w:rsid w:val="00F53711"/>
    <w:rsid w:val="00F5373E"/>
    <w:rsid w:val="00F53930"/>
    <w:rsid w:val="00F53A43"/>
    <w:rsid w:val="00F53A48"/>
    <w:rsid w:val="00F53A5D"/>
    <w:rsid w:val="00F53B28"/>
    <w:rsid w:val="00F53BC4"/>
    <w:rsid w:val="00F53D87"/>
    <w:rsid w:val="00F53E1C"/>
    <w:rsid w:val="00F53E7D"/>
    <w:rsid w:val="00F53F14"/>
    <w:rsid w:val="00F54029"/>
    <w:rsid w:val="00F54087"/>
    <w:rsid w:val="00F540E2"/>
    <w:rsid w:val="00F541B7"/>
    <w:rsid w:val="00F541DB"/>
    <w:rsid w:val="00F541DD"/>
    <w:rsid w:val="00F542DF"/>
    <w:rsid w:val="00F54321"/>
    <w:rsid w:val="00F543A6"/>
    <w:rsid w:val="00F5454A"/>
    <w:rsid w:val="00F5454D"/>
    <w:rsid w:val="00F54551"/>
    <w:rsid w:val="00F54579"/>
    <w:rsid w:val="00F5459B"/>
    <w:rsid w:val="00F545A6"/>
    <w:rsid w:val="00F545EC"/>
    <w:rsid w:val="00F54611"/>
    <w:rsid w:val="00F5469F"/>
    <w:rsid w:val="00F546D8"/>
    <w:rsid w:val="00F54733"/>
    <w:rsid w:val="00F5479A"/>
    <w:rsid w:val="00F54877"/>
    <w:rsid w:val="00F54890"/>
    <w:rsid w:val="00F54941"/>
    <w:rsid w:val="00F5494E"/>
    <w:rsid w:val="00F54997"/>
    <w:rsid w:val="00F549E9"/>
    <w:rsid w:val="00F54A31"/>
    <w:rsid w:val="00F54A6B"/>
    <w:rsid w:val="00F54AC7"/>
    <w:rsid w:val="00F54ADD"/>
    <w:rsid w:val="00F54B11"/>
    <w:rsid w:val="00F54B3F"/>
    <w:rsid w:val="00F54BB1"/>
    <w:rsid w:val="00F54C19"/>
    <w:rsid w:val="00F54C83"/>
    <w:rsid w:val="00F54DFE"/>
    <w:rsid w:val="00F54E43"/>
    <w:rsid w:val="00F54E57"/>
    <w:rsid w:val="00F54F8D"/>
    <w:rsid w:val="00F5504B"/>
    <w:rsid w:val="00F55152"/>
    <w:rsid w:val="00F551D9"/>
    <w:rsid w:val="00F551E8"/>
    <w:rsid w:val="00F551F1"/>
    <w:rsid w:val="00F55251"/>
    <w:rsid w:val="00F553DA"/>
    <w:rsid w:val="00F55414"/>
    <w:rsid w:val="00F55439"/>
    <w:rsid w:val="00F5543B"/>
    <w:rsid w:val="00F554C0"/>
    <w:rsid w:val="00F55532"/>
    <w:rsid w:val="00F5561A"/>
    <w:rsid w:val="00F55647"/>
    <w:rsid w:val="00F556DF"/>
    <w:rsid w:val="00F55764"/>
    <w:rsid w:val="00F557B6"/>
    <w:rsid w:val="00F55829"/>
    <w:rsid w:val="00F5586D"/>
    <w:rsid w:val="00F5589A"/>
    <w:rsid w:val="00F55A78"/>
    <w:rsid w:val="00F55AA1"/>
    <w:rsid w:val="00F55B3B"/>
    <w:rsid w:val="00F55BB0"/>
    <w:rsid w:val="00F55BCD"/>
    <w:rsid w:val="00F55C22"/>
    <w:rsid w:val="00F55E4B"/>
    <w:rsid w:val="00F55E65"/>
    <w:rsid w:val="00F55F1D"/>
    <w:rsid w:val="00F55FC2"/>
    <w:rsid w:val="00F5605F"/>
    <w:rsid w:val="00F560D2"/>
    <w:rsid w:val="00F56150"/>
    <w:rsid w:val="00F56163"/>
    <w:rsid w:val="00F56185"/>
    <w:rsid w:val="00F56405"/>
    <w:rsid w:val="00F56638"/>
    <w:rsid w:val="00F5664D"/>
    <w:rsid w:val="00F56735"/>
    <w:rsid w:val="00F5679F"/>
    <w:rsid w:val="00F567B5"/>
    <w:rsid w:val="00F567E6"/>
    <w:rsid w:val="00F5680B"/>
    <w:rsid w:val="00F56834"/>
    <w:rsid w:val="00F56919"/>
    <w:rsid w:val="00F569B5"/>
    <w:rsid w:val="00F56A55"/>
    <w:rsid w:val="00F56A9D"/>
    <w:rsid w:val="00F56AE5"/>
    <w:rsid w:val="00F56CAB"/>
    <w:rsid w:val="00F56CF6"/>
    <w:rsid w:val="00F56DD5"/>
    <w:rsid w:val="00F56DED"/>
    <w:rsid w:val="00F56EBB"/>
    <w:rsid w:val="00F56F2A"/>
    <w:rsid w:val="00F5700C"/>
    <w:rsid w:val="00F5702B"/>
    <w:rsid w:val="00F571A5"/>
    <w:rsid w:val="00F572BE"/>
    <w:rsid w:val="00F5736B"/>
    <w:rsid w:val="00F5739F"/>
    <w:rsid w:val="00F573A8"/>
    <w:rsid w:val="00F573F1"/>
    <w:rsid w:val="00F57420"/>
    <w:rsid w:val="00F574F8"/>
    <w:rsid w:val="00F57503"/>
    <w:rsid w:val="00F57511"/>
    <w:rsid w:val="00F5757D"/>
    <w:rsid w:val="00F575E4"/>
    <w:rsid w:val="00F5779F"/>
    <w:rsid w:val="00F577AA"/>
    <w:rsid w:val="00F5782A"/>
    <w:rsid w:val="00F57960"/>
    <w:rsid w:val="00F579B9"/>
    <w:rsid w:val="00F57A0B"/>
    <w:rsid w:val="00F57BBB"/>
    <w:rsid w:val="00F57BEC"/>
    <w:rsid w:val="00F57C14"/>
    <w:rsid w:val="00F57C5B"/>
    <w:rsid w:val="00F57D2B"/>
    <w:rsid w:val="00F57D47"/>
    <w:rsid w:val="00F57D6C"/>
    <w:rsid w:val="00F57DC2"/>
    <w:rsid w:val="00F57E2A"/>
    <w:rsid w:val="00F57EAB"/>
    <w:rsid w:val="00F57F1E"/>
    <w:rsid w:val="00F57F22"/>
    <w:rsid w:val="00F57F4B"/>
    <w:rsid w:val="00F57FBB"/>
    <w:rsid w:val="00F6000C"/>
    <w:rsid w:val="00F600C3"/>
    <w:rsid w:val="00F600D4"/>
    <w:rsid w:val="00F60129"/>
    <w:rsid w:val="00F60157"/>
    <w:rsid w:val="00F6024E"/>
    <w:rsid w:val="00F602E8"/>
    <w:rsid w:val="00F603FA"/>
    <w:rsid w:val="00F6050E"/>
    <w:rsid w:val="00F606D3"/>
    <w:rsid w:val="00F60708"/>
    <w:rsid w:val="00F6071D"/>
    <w:rsid w:val="00F607C5"/>
    <w:rsid w:val="00F60887"/>
    <w:rsid w:val="00F608A3"/>
    <w:rsid w:val="00F6099D"/>
    <w:rsid w:val="00F60AB2"/>
    <w:rsid w:val="00F60AEE"/>
    <w:rsid w:val="00F60B93"/>
    <w:rsid w:val="00F60C0A"/>
    <w:rsid w:val="00F60D2C"/>
    <w:rsid w:val="00F60D30"/>
    <w:rsid w:val="00F60D5C"/>
    <w:rsid w:val="00F60D7C"/>
    <w:rsid w:val="00F60D98"/>
    <w:rsid w:val="00F60EC8"/>
    <w:rsid w:val="00F60EEA"/>
    <w:rsid w:val="00F60FB3"/>
    <w:rsid w:val="00F60FFC"/>
    <w:rsid w:val="00F61018"/>
    <w:rsid w:val="00F611AC"/>
    <w:rsid w:val="00F611B1"/>
    <w:rsid w:val="00F612CB"/>
    <w:rsid w:val="00F612FB"/>
    <w:rsid w:val="00F6136F"/>
    <w:rsid w:val="00F614BC"/>
    <w:rsid w:val="00F61598"/>
    <w:rsid w:val="00F615A8"/>
    <w:rsid w:val="00F61698"/>
    <w:rsid w:val="00F616AC"/>
    <w:rsid w:val="00F61700"/>
    <w:rsid w:val="00F61729"/>
    <w:rsid w:val="00F6174C"/>
    <w:rsid w:val="00F617B1"/>
    <w:rsid w:val="00F617CD"/>
    <w:rsid w:val="00F61836"/>
    <w:rsid w:val="00F61860"/>
    <w:rsid w:val="00F6186B"/>
    <w:rsid w:val="00F6197E"/>
    <w:rsid w:val="00F61A21"/>
    <w:rsid w:val="00F61A98"/>
    <w:rsid w:val="00F61B23"/>
    <w:rsid w:val="00F61B3C"/>
    <w:rsid w:val="00F61B96"/>
    <w:rsid w:val="00F61C0C"/>
    <w:rsid w:val="00F61C42"/>
    <w:rsid w:val="00F61C70"/>
    <w:rsid w:val="00F61CCF"/>
    <w:rsid w:val="00F61E58"/>
    <w:rsid w:val="00F61E73"/>
    <w:rsid w:val="00F61F56"/>
    <w:rsid w:val="00F61FB1"/>
    <w:rsid w:val="00F620CD"/>
    <w:rsid w:val="00F62241"/>
    <w:rsid w:val="00F622EC"/>
    <w:rsid w:val="00F622F6"/>
    <w:rsid w:val="00F622FA"/>
    <w:rsid w:val="00F62303"/>
    <w:rsid w:val="00F623E1"/>
    <w:rsid w:val="00F62466"/>
    <w:rsid w:val="00F62477"/>
    <w:rsid w:val="00F62515"/>
    <w:rsid w:val="00F6258D"/>
    <w:rsid w:val="00F62688"/>
    <w:rsid w:val="00F626A0"/>
    <w:rsid w:val="00F626A1"/>
    <w:rsid w:val="00F626A9"/>
    <w:rsid w:val="00F6274B"/>
    <w:rsid w:val="00F62778"/>
    <w:rsid w:val="00F627AE"/>
    <w:rsid w:val="00F6292A"/>
    <w:rsid w:val="00F6294E"/>
    <w:rsid w:val="00F629B3"/>
    <w:rsid w:val="00F62A41"/>
    <w:rsid w:val="00F62A62"/>
    <w:rsid w:val="00F62A6D"/>
    <w:rsid w:val="00F62ADD"/>
    <w:rsid w:val="00F62ADE"/>
    <w:rsid w:val="00F62CFA"/>
    <w:rsid w:val="00F62CFB"/>
    <w:rsid w:val="00F62D66"/>
    <w:rsid w:val="00F62E73"/>
    <w:rsid w:val="00F62E84"/>
    <w:rsid w:val="00F6305F"/>
    <w:rsid w:val="00F6310C"/>
    <w:rsid w:val="00F63132"/>
    <w:rsid w:val="00F63203"/>
    <w:rsid w:val="00F63268"/>
    <w:rsid w:val="00F632E9"/>
    <w:rsid w:val="00F63357"/>
    <w:rsid w:val="00F63418"/>
    <w:rsid w:val="00F63660"/>
    <w:rsid w:val="00F6374B"/>
    <w:rsid w:val="00F6380B"/>
    <w:rsid w:val="00F6382A"/>
    <w:rsid w:val="00F63A0C"/>
    <w:rsid w:val="00F63B46"/>
    <w:rsid w:val="00F63B61"/>
    <w:rsid w:val="00F63B74"/>
    <w:rsid w:val="00F63BA6"/>
    <w:rsid w:val="00F63C62"/>
    <w:rsid w:val="00F63E2C"/>
    <w:rsid w:val="00F63E87"/>
    <w:rsid w:val="00F63EE4"/>
    <w:rsid w:val="00F63F5E"/>
    <w:rsid w:val="00F6405D"/>
    <w:rsid w:val="00F6409D"/>
    <w:rsid w:val="00F640BD"/>
    <w:rsid w:val="00F640EB"/>
    <w:rsid w:val="00F640EF"/>
    <w:rsid w:val="00F641FE"/>
    <w:rsid w:val="00F6426F"/>
    <w:rsid w:val="00F64284"/>
    <w:rsid w:val="00F64340"/>
    <w:rsid w:val="00F64384"/>
    <w:rsid w:val="00F643C0"/>
    <w:rsid w:val="00F643D9"/>
    <w:rsid w:val="00F643FB"/>
    <w:rsid w:val="00F6442A"/>
    <w:rsid w:val="00F64494"/>
    <w:rsid w:val="00F64572"/>
    <w:rsid w:val="00F6460F"/>
    <w:rsid w:val="00F6465C"/>
    <w:rsid w:val="00F646C5"/>
    <w:rsid w:val="00F6482A"/>
    <w:rsid w:val="00F64844"/>
    <w:rsid w:val="00F648D2"/>
    <w:rsid w:val="00F64A0B"/>
    <w:rsid w:val="00F64A4A"/>
    <w:rsid w:val="00F64B29"/>
    <w:rsid w:val="00F64B7C"/>
    <w:rsid w:val="00F64BF2"/>
    <w:rsid w:val="00F64CB7"/>
    <w:rsid w:val="00F64DBF"/>
    <w:rsid w:val="00F64DFF"/>
    <w:rsid w:val="00F64E64"/>
    <w:rsid w:val="00F64E8E"/>
    <w:rsid w:val="00F64EE6"/>
    <w:rsid w:val="00F64F6F"/>
    <w:rsid w:val="00F64F70"/>
    <w:rsid w:val="00F64F8A"/>
    <w:rsid w:val="00F64FC0"/>
    <w:rsid w:val="00F65032"/>
    <w:rsid w:val="00F65060"/>
    <w:rsid w:val="00F65213"/>
    <w:rsid w:val="00F65219"/>
    <w:rsid w:val="00F65298"/>
    <w:rsid w:val="00F65307"/>
    <w:rsid w:val="00F65314"/>
    <w:rsid w:val="00F653FF"/>
    <w:rsid w:val="00F654EA"/>
    <w:rsid w:val="00F65513"/>
    <w:rsid w:val="00F65516"/>
    <w:rsid w:val="00F65535"/>
    <w:rsid w:val="00F65576"/>
    <w:rsid w:val="00F655A1"/>
    <w:rsid w:val="00F656F0"/>
    <w:rsid w:val="00F6585E"/>
    <w:rsid w:val="00F658A0"/>
    <w:rsid w:val="00F65984"/>
    <w:rsid w:val="00F65A34"/>
    <w:rsid w:val="00F65A90"/>
    <w:rsid w:val="00F65A99"/>
    <w:rsid w:val="00F65B44"/>
    <w:rsid w:val="00F65C74"/>
    <w:rsid w:val="00F65C83"/>
    <w:rsid w:val="00F65D97"/>
    <w:rsid w:val="00F65DBC"/>
    <w:rsid w:val="00F65E43"/>
    <w:rsid w:val="00F65E66"/>
    <w:rsid w:val="00F65FD9"/>
    <w:rsid w:val="00F65FDC"/>
    <w:rsid w:val="00F65FF7"/>
    <w:rsid w:val="00F6601D"/>
    <w:rsid w:val="00F660A8"/>
    <w:rsid w:val="00F660D0"/>
    <w:rsid w:val="00F660E9"/>
    <w:rsid w:val="00F66222"/>
    <w:rsid w:val="00F6637A"/>
    <w:rsid w:val="00F66465"/>
    <w:rsid w:val="00F665F9"/>
    <w:rsid w:val="00F66756"/>
    <w:rsid w:val="00F667F8"/>
    <w:rsid w:val="00F668A9"/>
    <w:rsid w:val="00F66A86"/>
    <w:rsid w:val="00F66AEC"/>
    <w:rsid w:val="00F66BD8"/>
    <w:rsid w:val="00F66D0E"/>
    <w:rsid w:val="00F66D65"/>
    <w:rsid w:val="00F66D73"/>
    <w:rsid w:val="00F66E98"/>
    <w:rsid w:val="00F66EC6"/>
    <w:rsid w:val="00F66F95"/>
    <w:rsid w:val="00F66FB8"/>
    <w:rsid w:val="00F67032"/>
    <w:rsid w:val="00F67049"/>
    <w:rsid w:val="00F67057"/>
    <w:rsid w:val="00F670CF"/>
    <w:rsid w:val="00F670E9"/>
    <w:rsid w:val="00F6712C"/>
    <w:rsid w:val="00F6716E"/>
    <w:rsid w:val="00F6724A"/>
    <w:rsid w:val="00F67282"/>
    <w:rsid w:val="00F672C9"/>
    <w:rsid w:val="00F6733C"/>
    <w:rsid w:val="00F673B3"/>
    <w:rsid w:val="00F673D2"/>
    <w:rsid w:val="00F6745A"/>
    <w:rsid w:val="00F6746A"/>
    <w:rsid w:val="00F675CA"/>
    <w:rsid w:val="00F6765A"/>
    <w:rsid w:val="00F6776A"/>
    <w:rsid w:val="00F677E4"/>
    <w:rsid w:val="00F6784C"/>
    <w:rsid w:val="00F6786B"/>
    <w:rsid w:val="00F67872"/>
    <w:rsid w:val="00F678C6"/>
    <w:rsid w:val="00F6798C"/>
    <w:rsid w:val="00F67A0D"/>
    <w:rsid w:val="00F67C0A"/>
    <w:rsid w:val="00F67C6C"/>
    <w:rsid w:val="00F67C84"/>
    <w:rsid w:val="00F67C9B"/>
    <w:rsid w:val="00F67CA6"/>
    <w:rsid w:val="00F67D3A"/>
    <w:rsid w:val="00F67E6C"/>
    <w:rsid w:val="00F67E8D"/>
    <w:rsid w:val="00F67EA9"/>
    <w:rsid w:val="00F67FE1"/>
    <w:rsid w:val="00F70125"/>
    <w:rsid w:val="00F701E9"/>
    <w:rsid w:val="00F701F3"/>
    <w:rsid w:val="00F70247"/>
    <w:rsid w:val="00F7029C"/>
    <w:rsid w:val="00F70356"/>
    <w:rsid w:val="00F703C2"/>
    <w:rsid w:val="00F703D1"/>
    <w:rsid w:val="00F703FC"/>
    <w:rsid w:val="00F7061F"/>
    <w:rsid w:val="00F706F1"/>
    <w:rsid w:val="00F707DF"/>
    <w:rsid w:val="00F707F0"/>
    <w:rsid w:val="00F708DD"/>
    <w:rsid w:val="00F70936"/>
    <w:rsid w:val="00F70AFD"/>
    <w:rsid w:val="00F70BBC"/>
    <w:rsid w:val="00F70C30"/>
    <w:rsid w:val="00F70CB4"/>
    <w:rsid w:val="00F70D3C"/>
    <w:rsid w:val="00F70D87"/>
    <w:rsid w:val="00F70D9C"/>
    <w:rsid w:val="00F70DCA"/>
    <w:rsid w:val="00F70DEB"/>
    <w:rsid w:val="00F70EC0"/>
    <w:rsid w:val="00F70EF4"/>
    <w:rsid w:val="00F70F8D"/>
    <w:rsid w:val="00F7104E"/>
    <w:rsid w:val="00F71109"/>
    <w:rsid w:val="00F7111A"/>
    <w:rsid w:val="00F71137"/>
    <w:rsid w:val="00F7115B"/>
    <w:rsid w:val="00F711B8"/>
    <w:rsid w:val="00F712A1"/>
    <w:rsid w:val="00F712AA"/>
    <w:rsid w:val="00F712E3"/>
    <w:rsid w:val="00F7131C"/>
    <w:rsid w:val="00F71393"/>
    <w:rsid w:val="00F71421"/>
    <w:rsid w:val="00F714A7"/>
    <w:rsid w:val="00F717BF"/>
    <w:rsid w:val="00F718D2"/>
    <w:rsid w:val="00F7191A"/>
    <w:rsid w:val="00F7193F"/>
    <w:rsid w:val="00F71962"/>
    <w:rsid w:val="00F719E7"/>
    <w:rsid w:val="00F71A03"/>
    <w:rsid w:val="00F71A5E"/>
    <w:rsid w:val="00F71ACC"/>
    <w:rsid w:val="00F71B75"/>
    <w:rsid w:val="00F71C7D"/>
    <w:rsid w:val="00F71CF0"/>
    <w:rsid w:val="00F71EE2"/>
    <w:rsid w:val="00F71F06"/>
    <w:rsid w:val="00F71F15"/>
    <w:rsid w:val="00F71F79"/>
    <w:rsid w:val="00F720A0"/>
    <w:rsid w:val="00F720AF"/>
    <w:rsid w:val="00F72228"/>
    <w:rsid w:val="00F72258"/>
    <w:rsid w:val="00F722A1"/>
    <w:rsid w:val="00F7238C"/>
    <w:rsid w:val="00F7248A"/>
    <w:rsid w:val="00F7251B"/>
    <w:rsid w:val="00F72539"/>
    <w:rsid w:val="00F725AB"/>
    <w:rsid w:val="00F725E6"/>
    <w:rsid w:val="00F72693"/>
    <w:rsid w:val="00F72853"/>
    <w:rsid w:val="00F728C0"/>
    <w:rsid w:val="00F72936"/>
    <w:rsid w:val="00F7293A"/>
    <w:rsid w:val="00F729F2"/>
    <w:rsid w:val="00F72ABB"/>
    <w:rsid w:val="00F72B76"/>
    <w:rsid w:val="00F72BE2"/>
    <w:rsid w:val="00F72CEE"/>
    <w:rsid w:val="00F72CF4"/>
    <w:rsid w:val="00F72D26"/>
    <w:rsid w:val="00F72DA6"/>
    <w:rsid w:val="00F72DBF"/>
    <w:rsid w:val="00F72DE5"/>
    <w:rsid w:val="00F72F4B"/>
    <w:rsid w:val="00F72F54"/>
    <w:rsid w:val="00F73050"/>
    <w:rsid w:val="00F730F2"/>
    <w:rsid w:val="00F730FA"/>
    <w:rsid w:val="00F731A7"/>
    <w:rsid w:val="00F7326A"/>
    <w:rsid w:val="00F7328F"/>
    <w:rsid w:val="00F732DB"/>
    <w:rsid w:val="00F7353E"/>
    <w:rsid w:val="00F73635"/>
    <w:rsid w:val="00F7369A"/>
    <w:rsid w:val="00F7396B"/>
    <w:rsid w:val="00F7397C"/>
    <w:rsid w:val="00F73993"/>
    <w:rsid w:val="00F73A10"/>
    <w:rsid w:val="00F73B1A"/>
    <w:rsid w:val="00F73BA9"/>
    <w:rsid w:val="00F73BCE"/>
    <w:rsid w:val="00F73CA7"/>
    <w:rsid w:val="00F73D70"/>
    <w:rsid w:val="00F73DC6"/>
    <w:rsid w:val="00F73E36"/>
    <w:rsid w:val="00F73ED7"/>
    <w:rsid w:val="00F73ED9"/>
    <w:rsid w:val="00F73EE3"/>
    <w:rsid w:val="00F73F1D"/>
    <w:rsid w:val="00F73F6A"/>
    <w:rsid w:val="00F740C5"/>
    <w:rsid w:val="00F740E3"/>
    <w:rsid w:val="00F74163"/>
    <w:rsid w:val="00F741BB"/>
    <w:rsid w:val="00F743E2"/>
    <w:rsid w:val="00F74404"/>
    <w:rsid w:val="00F74439"/>
    <w:rsid w:val="00F74449"/>
    <w:rsid w:val="00F744BD"/>
    <w:rsid w:val="00F744EB"/>
    <w:rsid w:val="00F744ED"/>
    <w:rsid w:val="00F7450B"/>
    <w:rsid w:val="00F745A7"/>
    <w:rsid w:val="00F746F7"/>
    <w:rsid w:val="00F74722"/>
    <w:rsid w:val="00F7474B"/>
    <w:rsid w:val="00F747B5"/>
    <w:rsid w:val="00F747E4"/>
    <w:rsid w:val="00F747EB"/>
    <w:rsid w:val="00F74814"/>
    <w:rsid w:val="00F7484E"/>
    <w:rsid w:val="00F749FD"/>
    <w:rsid w:val="00F74A3A"/>
    <w:rsid w:val="00F74B14"/>
    <w:rsid w:val="00F74B51"/>
    <w:rsid w:val="00F74B63"/>
    <w:rsid w:val="00F74B6E"/>
    <w:rsid w:val="00F74C4B"/>
    <w:rsid w:val="00F74E99"/>
    <w:rsid w:val="00F74F02"/>
    <w:rsid w:val="00F74F74"/>
    <w:rsid w:val="00F74FE6"/>
    <w:rsid w:val="00F7502C"/>
    <w:rsid w:val="00F7503C"/>
    <w:rsid w:val="00F7518B"/>
    <w:rsid w:val="00F75288"/>
    <w:rsid w:val="00F75297"/>
    <w:rsid w:val="00F75334"/>
    <w:rsid w:val="00F7555C"/>
    <w:rsid w:val="00F75625"/>
    <w:rsid w:val="00F7574A"/>
    <w:rsid w:val="00F758FA"/>
    <w:rsid w:val="00F758FF"/>
    <w:rsid w:val="00F75923"/>
    <w:rsid w:val="00F7592C"/>
    <w:rsid w:val="00F75936"/>
    <w:rsid w:val="00F759B5"/>
    <w:rsid w:val="00F759D8"/>
    <w:rsid w:val="00F75A31"/>
    <w:rsid w:val="00F75A32"/>
    <w:rsid w:val="00F75A8C"/>
    <w:rsid w:val="00F75B25"/>
    <w:rsid w:val="00F75CE1"/>
    <w:rsid w:val="00F75D0A"/>
    <w:rsid w:val="00F75D44"/>
    <w:rsid w:val="00F75E3A"/>
    <w:rsid w:val="00F75EA0"/>
    <w:rsid w:val="00F75EE6"/>
    <w:rsid w:val="00F7606B"/>
    <w:rsid w:val="00F7606F"/>
    <w:rsid w:val="00F760B6"/>
    <w:rsid w:val="00F76167"/>
    <w:rsid w:val="00F7619E"/>
    <w:rsid w:val="00F76271"/>
    <w:rsid w:val="00F76296"/>
    <w:rsid w:val="00F76351"/>
    <w:rsid w:val="00F7638B"/>
    <w:rsid w:val="00F7639F"/>
    <w:rsid w:val="00F764A8"/>
    <w:rsid w:val="00F76587"/>
    <w:rsid w:val="00F7659B"/>
    <w:rsid w:val="00F76782"/>
    <w:rsid w:val="00F7678B"/>
    <w:rsid w:val="00F767DB"/>
    <w:rsid w:val="00F76918"/>
    <w:rsid w:val="00F7695D"/>
    <w:rsid w:val="00F76995"/>
    <w:rsid w:val="00F769F5"/>
    <w:rsid w:val="00F76A95"/>
    <w:rsid w:val="00F76B34"/>
    <w:rsid w:val="00F76B80"/>
    <w:rsid w:val="00F76BE5"/>
    <w:rsid w:val="00F76C81"/>
    <w:rsid w:val="00F76CD8"/>
    <w:rsid w:val="00F76D08"/>
    <w:rsid w:val="00F76DCF"/>
    <w:rsid w:val="00F76E41"/>
    <w:rsid w:val="00F77033"/>
    <w:rsid w:val="00F770EA"/>
    <w:rsid w:val="00F7718B"/>
    <w:rsid w:val="00F7719B"/>
    <w:rsid w:val="00F771A6"/>
    <w:rsid w:val="00F773F3"/>
    <w:rsid w:val="00F77473"/>
    <w:rsid w:val="00F774EA"/>
    <w:rsid w:val="00F77509"/>
    <w:rsid w:val="00F7750A"/>
    <w:rsid w:val="00F77531"/>
    <w:rsid w:val="00F77779"/>
    <w:rsid w:val="00F7778D"/>
    <w:rsid w:val="00F778A1"/>
    <w:rsid w:val="00F778B1"/>
    <w:rsid w:val="00F778C0"/>
    <w:rsid w:val="00F77A62"/>
    <w:rsid w:val="00F77AB3"/>
    <w:rsid w:val="00F77AE4"/>
    <w:rsid w:val="00F77B5F"/>
    <w:rsid w:val="00F77BD7"/>
    <w:rsid w:val="00F77C16"/>
    <w:rsid w:val="00F77C20"/>
    <w:rsid w:val="00F77C5C"/>
    <w:rsid w:val="00F77D2D"/>
    <w:rsid w:val="00F77DB9"/>
    <w:rsid w:val="00F77DC1"/>
    <w:rsid w:val="00F77E60"/>
    <w:rsid w:val="00F77F47"/>
    <w:rsid w:val="00F77FEE"/>
    <w:rsid w:val="00F8018D"/>
    <w:rsid w:val="00F80230"/>
    <w:rsid w:val="00F802DF"/>
    <w:rsid w:val="00F8031E"/>
    <w:rsid w:val="00F8045E"/>
    <w:rsid w:val="00F804AD"/>
    <w:rsid w:val="00F804DA"/>
    <w:rsid w:val="00F80704"/>
    <w:rsid w:val="00F80749"/>
    <w:rsid w:val="00F8088A"/>
    <w:rsid w:val="00F80893"/>
    <w:rsid w:val="00F808AA"/>
    <w:rsid w:val="00F808F9"/>
    <w:rsid w:val="00F8096D"/>
    <w:rsid w:val="00F80998"/>
    <w:rsid w:val="00F809DF"/>
    <w:rsid w:val="00F80A55"/>
    <w:rsid w:val="00F80AEA"/>
    <w:rsid w:val="00F80C47"/>
    <w:rsid w:val="00F80F3F"/>
    <w:rsid w:val="00F80F52"/>
    <w:rsid w:val="00F80F81"/>
    <w:rsid w:val="00F810E4"/>
    <w:rsid w:val="00F81123"/>
    <w:rsid w:val="00F8120E"/>
    <w:rsid w:val="00F812A4"/>
    <w:rsid w:val="00F812F2"/>
    <w:rsid w:val="00F813AE"/>
    <w:rsid w:val="00F8142D"/>
    <w:rsid w:val="00F81463"/>
    <w:rsid w:val="00F8155C"/>
    <w:rsid w:val="00F81567"/>
    <w:rsid w:val="00F815A9"/>
    <w:rsid w:val="00F816B5"/>
    <w:rsid w:val="00F816E5"/>
    <w:rsid w:val="00F81746"/>
    <w:rsid w:val="00F817E3"/>
    <w:rsid w:val="00F81837"/>
    <w:rsid w:val="00F81848"/>
    <w:rsid w:val="00F81896"/>
    <w:rsid w:val="00F819A1"/>
    <w:rsid w:val="00F819F3"/>
    <w:rsid w:val="00F81ADA"/>
    <w:rsid w:val="00F81B01"/>
    <w:rsid w:val="00F81BE0"/>
    <w:rsid w:val="00F81C0E"/>
    <w:rsid w:val="00F81CCF"/>
    <w:rsid w:val="00F81DB6"/>
    <w:rsid w:val="00F81DC5"/>
    <w:rsid w:val="00F81DD1"/>
    <w:rsid w:val="00F81DFD"/>
    <w:rsid w:val="00F81EDA"/>
    <w:rsid w:val="00F81F3E"/>
    <w:rsid w:val="00F81FA1"/>
    <w:rsid w:val="00F821B0"/>
    <w:rsid w:val="00F822A4"/>
    <w:rsid w:val="00F822AE"/>
    <w:rsid w:val="00F82407"/>
    <w:rsid w:val="00F82441"/>
    <w:rsid w:val="00F8264B"/>
    <w:rsid w:val="00F8268A"/>
    <w:rsid w:val="00F8268C"/>
    <w:rsid w:val="00F8278E"/>
    <w:rsid w:val="00F8297A"/>
    <w:rsid w:val="00F829C6"/>
    <w:rsid w:val="00F829F3"/>
    <w:rsid w:val="00F82AD1"/>
    <w:rsid w:val="00F82BD0"/>
    <w:rsid w:val="00F82BD4"/>
    <w:rsid w:val="00F82C8C"/>
    <w:rsid w:val="00F82DCC"/>
    <w:rsid w:val="00F82DD8"/>
    <w:rsid w:val="00F82DFA"/>
    <w:rsid w:val="00F82E72"/>
    <w:rsid w:val="00F82E9C"/>
    <w:rsid w:val="00F82EB1"/>
    <w:rsid w:val="00F82ECF"/>
    <w:rsid w:val="00F82ED8"/>
    <w:rsid w:val="00F82EFE"/>
    <w:rsid w:val="00F82F1D"/>
    <w:rsid w:val="00F82F60"/>
    <w:rsid w:val="00F82FD7"/>
    <w:rsid w:val="00F8317B"/>
    <w:rsid w:val="00F83226"/>
    <w:rsid w:val="00F83228"/>
    <w:rsid w:val="00F83265"/>
    <w:rsid w:val="00F83373"/>
    <w:rsid w:val="00F83563"/>
    <w:rsid w:val="00F835BE"/>
    <w:rsid w:val="00F835CB"/>
    <w:rsid w:val="00F8364A"/>
    <w:rsid w:val="00F83657"/>
    <w:rsid w:val="00F8374A"/>
    <w:rsid w:val="00F83751"/>
    <w:rsid w:val="00F83791"/>
    <w:rsid w:val="00F8379D"/>
    <w:rsid w:val="00F83823"/>
    <w:rsid w:val="00F838C7"/>
    <w:rsid w:val="00F838CA"/>
    <w:rsid w:val="00F838E8"/>
    <w:rsid w:val="00F83A62"/>
    <w:rsid w:val="00F83B1F"/>
    <w:rsid w:val="00F83B28"/>
    <w:rsid w:val="00F83B4F"/>
    <w:rsid w:val="00F83BCD"/>
    <w:rsid w:val="00F83C92"/>
    <w:rsid w:val="00F83E07"/>
    <w:rsid w:val="00F83E3E"/>
    <w:rsid w:val="00F83E74"/>
    <w:rsid w:val="00F83E8E"/>
    <w:rsid w:val="00F83F29"/>
    <w:rsid w:val="00F83F32"/>
    <w:rsid w:val="00F8400E"/>
    <w:rsid w:val="00F84078"/>
    <w:rsid w:val="00F84086"/>
    <w:rsid w:val="00F840E3"/>
    <w:rsid w:val="00F841D6"/>
    <w:rsid w:val="00F84251"/>
    <w:rsid w:val="00F84269"/>
    <w:rsid w:val="00F84415"/>
    <w:rsid w:val="00F8443D"/>
    <w:rsid w:val="00F8444D"/>
    <w:rsid w:val="00F844FE"/>
    <w:rsid w:val="00F8470F"/>
    <w:rsid w:val="00F84761"/>
    <w:rsid w:val="00F84799"/>
    <w:rsid w:val="00F847EF"/>
    <w:rsid w:val="00F84807"/>
    <w:rsid w:val="00F8483F"/>
    <w:rsid w:val="00F84876"/>
    <w:rsid w:val="00F84A45"/>
    <w:rsid w:val="00F84AF3"/>
    <w:rsid w:val="00F84B84"/>
    <w:rsid w:val="00F84C0A"/>
    <w:rsid w:val="00F84D92"/>
    <w:rsid w:val="00F84DE5"/>
    <w:rsid w:val="00F84EB8"/>
    <w:rsid w:val="00F85024"/>
    <w:rsid w:val="00F85043"/>
    <w:rsid w:val="00F85071"/>
    <w:rsid w:val="00F8508C"/>
    <w:rsid w:val="00F850B7"/>
    <w:rsid w:val="00F851C0"/>
    <w:rsid w:val="00F85222"/>
    <w:rsid w:val="00F853A9"/>
    <w:rsid w:val="00F853AC"/>
    <w:rsid w:val="00F8542A"/>
    <w:rsid w:val="00F854B4"/>
    <w:rsid w:val="00F854C1"/>
    <w:rsid w:val="00F854CA"/>
    <w:rsid w:val="00F855BD"/>
    <w:rsid w:val="00F85660"/>
    <w:rsid w:val="00F857F2"/>
    <w:rsid w:val="00F85825"/>
    <w:rsid w:val="00F859D3"/>
    <w:rsid w:val="00F859E4"/>
    <w:rsid w:val="00F85BEB"/>
    <w:rsid w:val="00F85D02"/>
    <w:rsid w:val="00F85DB3"/>
    <w:rsid w:val="00F85DE7"/>
    <w:rsid w:val="00F85E65"/>
    <w:rsid w:val="00F85E6E"/>
    <w:rsid w:val="00F85F17"/>
    <w:rsid w:val="00F85F34"/>
    <w:rsid w:val="00F86018"/>
    <w:rsid w:val="00F8601C"/>
    <w:rsid w:val="00F86089"/>
    <w:rsid w:val="00F86174"/>
    <w:rsid w:val="00F8618B"/>
    <w:rsid w:val="00F861C3"/>
    <w:rsid w:val="00F86224"/>
    <w:rsid w:val="00F8626C"/>
    <w:rsid w:val="00F8628F"/>
    <w:rsid w:val="00F862AF"/>
    <w:rsid w:val="00F8636E"/>
    <w:rsid w:val="00F86388"/>
    <w:rsid w:val="00F863C2"/>
    <w:rsid w:val="00F864A9"/>
    <w:rsid w:val="00F864B2"/>
    <w:rsid w:val="00F86589"/>
    <w:rsid w:val="00F867B8"/>
    <w:rsid w:val="00F8682A"/>
    <w:rsid w:val="00F86938"/>
    <w:rsid w:val="00F86965"/>
    <w:rsid w:val="00F86976"/>
    <w:rsid w:val="00F869CD"/>
    <w:rsid w:val="00F86A3E"/>
    <w:rsid w:val="00F86A7F"/>
    <w:rsid w:val="00F86A96"/>
    <w:rsid w:val="00F86B17"/>
    <w:rsid w:val="00F86B88"/>
    <w:rsid w:val="00F86B90"/>
    <w:rsid w:val="00F86C94"/>
    <w:rsid w:val="00F86D73"/>
    <w:rsid w:val="00F86D94"/>
    <w:rsid w:val="00F86D9E"/>
    <w:rsid w:val="00F86E10"/>
    <w:rsid w:val="00F86F14"/>
    <w:rsid w:val="00F86F60"/>
    <w:rsid w:val="00F86F6B"/>
    <w:rsid w:val="00F870B3"/>
    <w:rsid w:val="00F870EF"/>
    <w:rsid w:val="00F87154"/>
    <w:rsid w:val="00F8728B"/>
    <w:rsid w:val="00F87376"/>
    <w:rsid w:val="00F87419"/>
    <w:rsid w:val="00F875D1"/>
    <w:rsid w:val="00F87686"/>
    <w:rsid w:val="00F87729"/>
    <w:rsid w:val="00F8776B"/>
    <w:rsid w:val="00F87827"/>
    <w:rsid w:val="00F87833"/>
    <w:rsid w:val="00F87879"/>
    <w:rsid w:val="00F87896"/>
    <w:rsid w:val="00F878B2"/>
    <w:rsid w:val="00F8797B"/>
    <w:rsid w:val="00F87A7C"/>
    <w:rsid w:val="00F87A89"/>
    <w:rsid w:val="00F87B65"/>
    <w:rsid w:val="00F87CA9"/>
    <w:rsid w:val="00F87CC5"/>
    <w:rsid w:val="00F87CE6"/>
    <w:rsid w:val="00F87CED"/>
    <w:rsid w:val="00F87D12"/>
    <w:rsid w:val="00F87EF5"/>
    <w:rsid w:val="00F87F03"/>
    <w:rsid w:val="00F87F1E"/>
    <w:rsid w:val="00F900A7"/>
    <w:rsid w:val="00F90179"/>
    <w:rsid w:val="00F9037C"/>
    <w:rsid w:val="00F90430"/>
    <w:rsid w:val="00F904EA"/>
    <w:rsid w:val="00F905CF"/>
    <w:rsid w:val="00F90662"/>
    <w:rsid w:val="00F906B9"/>
    <w:rsid w:val="00F90894"/>
    <w:rsid w:val="00F908D6"/>
    <w:rsid w:val="00F908DE"/>
    <w:rsid w:val="00F909F2"/>
    <w:rsid w:val="00F909FD"/>
    <w:rsid w:val="00F90A7D"/>
    <w:rsid w:val="00F90ACD"/>
    <w:rsid w:val="00F90B00"/>
    <w:rsid w:val="00F90B4A"/>
    <w:rsid w:val="00F90C67"/>
    <w:rsid w:val="00F90C8E"/>
    <w:rsid w:val="00F90CA7"/>
    <w:rsid w:val="00F90CC0"/>
    <w:rsid w:val="00F90CE4"/>
    <w:rsid w:val="00F90D10"/>
    <w:rsid w:val="00F90D96"/>
    <w:rsid w:val="00F90F23"/>
    <w:rsid w:val="00F90F4E"/>
    <w:rsid w:val="00F9101F"/>
    <w:rsid w:val="00F91042"/>
    <w:rsid w:val="00F910B4"/>
    <w:rsid w:val="00F9117C"/>
    <w:rsid w:val="00F911EE"/>
    <w:rsid w:val="00F91277"/>
    <w:rsid w:val="00F91279"/>
    <w:rsid w:val="00F912F7"/>
    <w:rsid w:val="00F91402"/>
    <w:rsid w:val="00F915D4"/>
    <w:rsid w:val="00F9165D"/>
    <w:rsid w:val="00F91666"/>
    <w:rsid w:val="00F9178C"/>
    <w:rsid w:val="00F9184F"/>
    <w:rsid w:val="00F91871"/>
    <w:rsid w:val="00F91922"/>
    <w:rsid w:val="00F91928"/>
    <w:rsid w:val="00F9195B"/>
    <w:rsid w:val="00F919A7"/>
    <w:rsid w:val="00F91A0B"/>
    <w:rsid w:val="00F91B4C"/>
    <w:rsid w:val="00F91B79"/>
    <w:rsid w:val="00F91C4E"/>
    <w:rsid w:val="00F91D12"/>
    <w:rsid w:val="00F91D38"/>
    <w:rsid w:val="00F91DD9"/>
    <w:rsid w:val="00F91E5C"/>
    <w:rsid w:val="00F91E74"/>
    <w:rsid w:val="00F91E80"/>
    <w:rsid w:val="00F91EA9"/>
    <w:rsid w:val="00F92013"/>
    <w:rsid w:val="00F921D3"/>
    <w:rsid w:val="00F922AD"/>
    <w:rsid w:val="00F922B9"/>
    <w:rsid w:val="00F922F4"/>
    <w:rsid w:val="00F92346"/>
    <w:rsid w:val="00F92364"/>
    <w:rsid w:val="00F92416"/>
    <w:rsid w:val="00F92423"/>
    <w:rsid w:val="00F9242E"/>
    <w:rsid w:val="00F92537"/>
    <w:rsid w:val="00F925CA"/>
    <w:rsid w:val="00F9261C"/>
    <w:rsid w:val="00F92789"/>
    <w:rsid w:val="00F927B9"/>
    <w:rsid w:val="00F92820"/>
    <w:rsid w:val="00F9284E"/>
    <w:rsid w:val="00F92944"/>
    <w:rsid w:val="00F929F8"/>
    <w:rsid w:val="00F92A71"/>
    <w:rsid w:val="00F92A88"/>
    <w:rsid w:val="00F92AEE"/>
    <w:rsid w:val="00F92C00"/>
    <w:rsid w:val="00F92D40"/>
    <w:rsid w:val="00F92D74"/>
    <w:rsid w:val="00F92ECE"/>
    <w:rsid w:val="00F92EE9"/>
    <w:rsid w:val="00F92F64"/>
    <w:rsid w:val="00F92FC5"/>
    <w:rsid w:val="00F93003"/>
    <w:rsid w:val="00F93302"/>
    <w:rsid w:val="00F93357"/>
    <w:rsid w:val="00F933BF"/>
    <w:rsid w:val="00F933C9"/>
    <w:rsid w:val="00F933DB"/>
    <w:rsid w:val="00F9353A"/>
    <w:rsid w:val="00F9358C"/>
    <w:rsid w:val="00F9360B"/>
    <w:rsid w:val="00F93659"/>
    <w:rsid w:val="00F936BE"/>
    <w:rsid w:val="00F936EE"/>
    <w:rsid w:val="00F93905"/>
    <w:rsid w:val="00F939BA"/>
    <w:rsid w:val="00F93C8D"/>
    <w:rsid w:val="00F93CF0"/>
    <w:rsid w:val="00F93DBF"/>
    <w:rsid w:val="00F93E1E"/>
    <w:rsid w:val="00F93E8D"/>
    <w:rsid w:val="00F93F4B"/>
    <w:rsid w:val="00F93FEF"/>
    <w:rsid w:val="00F93FF6"/>
    <w:rsid w:val="00F9406B"/>
    <w:rsid w:val="00F94108"/>
    <w:rsid w:val="00F94166"/>
    <w:rsid w:val="00F9417B"/>
    <w:rsid w:val="00F941E7"/>
    <w:rsid w:val="00F941EA"/>
    <w:rsid w:val="00F942A6"/>
    <w:rsid w:val="00F942D8"/>
    <w:rsid w:val="00F944C9"/>
    <w:rsid w:val="00F94619"/>
    <w:rsid w:val="00F9472E"/>
    <w:rsid w:val="00F9477D"/>
    <w:rsid w:val="00F9477F"/>
    <w:rsid w:val="00F947AC"/>
    <w:rsid w:val="00F94850"/>
    <w:rsid w:val="00F949DA"/>
    <w:rsid w:val="00F94AFF"/>
    <w:rsid w:val="00F94C15"/>
    <w:rsid w:val="00F94C22"/>
    <w:rsid w:val="00F94C7E"/>
    <w:rsid w:val="00F94D07"/>
    <w:rsid w:val="00F94D19"/>
    <w:rsid w:val="00F94D52"/>
    <w:rsid w:val="00F94D69"/>
    <w:rsid w:val="00F94D97"/>
    <w:rsid w:val="00F94DAC"/>
    <w:rsid w:val="00F94E82"/>
    <w:rsid w:val="00F94EDF"/>
    <w:rsid w:val="00F94F85"/>
    <w:rsid w:val="00F95000"/>
    <w:rsid w:val="00F9509E"/>
    <w:rsid w:val="00F9520D"/>
    <w:rsid w:val="00F9544C"/>
    <w:rsid w:val="00F955D2"/>
    <w:rsid w:val="00F9561C"/>
    <w:rsid w:val="00F95639"/>
    <w:rsid w:val="00F95655"/>
    <w:rsid w:val="00F95677"/>
    <w:rsid w:val="00F9569A"/>
    <w:rsid w:val="00F95825"/>
    <w:rsid w:val="00F95965"/>
    <w:rsid w:val="00F9598E"/>
    <w:rsid w:val="00F95A32"/>
    <w:rsid w:val="00F95ACD"/>
    <w:rsid w:val="00F95B50"/>
    <w:rsid w:val="00F95B8D"/>
    <w:rsid w:val="00F95CD4"/>
    <w:rsid w:val="00F95CFE"/>
    <w:rsid w:val="00F95D00"/>
    <w:rsid w:val="00F95DE7"/>
    <w:rsid w:val="00F95F42"/>
    <w:rsid w:val="00F95F52"/>
    <w:rsid w:val="00F95F5F"/>
    <w:rsid w:val="00F95F9E"/>
    <w:rsid w:val="00F95FDE"/>
    <w:rsid w:val="00F961DC"/>
    <w:rsid w:val="00F9628F"/>
    <w:rsid w:val="00F962C1"/>
    <w:rsid w:val="00F963B5"/>
    <w:rsid w:val="00F963F7"/>
    <w:rsid w:val="00F96421"/>
    <w:rsid w:val="00F9649B"/>
    <w:rsid w:val="00F96522"/>
    <w:rsid w:val="00F96531"/>
    <w:rsid w:val="00F965B9"/>
    <w:rsid w:val="00F965C9"/>
    <w:rsid w:val="00F965E6"/>
    <w:rsid w:val="00F965EC"/>
    <w:rsid w:val="00F96614"/>
    <w:rsid w:val="00F96771"/>
    <w:rsid w:val="00F96798"/>
    <w:rsid w:val="00F96898"/>
    <w:rsid w:val="00F968AE"/>
    <w:rsid w:val="00F968EB"/>
    <w:rsid w:val="00F9696E"/>
    <w:rsid w:val="00F969CA"/>
    <w:rsid w:val="00F969F4"/>
    <w:rsid w:val="00F96AC8"/>
    <w:rsid w:val="00F96BEE"/>
    <w:rsid w:val="00F96CD9"/>
    <w:rsid w:val="00F96CF6"/>
    <w:rsid w:val="00F96D6E"/>
    <w:rsid w:val="00F96DE3"/>
    <w:rsid w:val="00F96E03"/>
    <w:rsid w:val="00F96E4D"/>
    <w:rsid w:val="00F96E84"/>
    <w:rsid w:val="00F96F5E"/>
    <w:rsid w:val="00F96FA9"/>
    <w:rsid w:val="00F97023"/>
    <w:rsid w:val="00F97076"/>
    <w:rsid w:val="00F97113"/>
    <w:rsid w:val="00F97165"/>
    <w:rsid w:val="00F971E6"/>
    <w:rsid w:val="00F974D5"/>
    <w:rsid w:val="00F974D9"/>
    <w:rsid w:val="00F975EB"/>
    <w:rsid w:val="00F97659"/>
    <w:rsid w:val="00F976B7"/>
    <w:rsid w:val="00F977A1"/>
    <w:rsid w:val="00F9789D"/>
    <w:rsid w:val="00F978DE"/>
    <w:rsid w:val="00F979A3"/>
    <w:rsid w:val="00F97AAE"/>
    <w:rsid w:val="00F97B09"/>
    <w:rsid w:val="00F97B7E"/>
    <w:rsid w:val="00F97DC4"/>
    <w:rsid w:val="00F97E12"/>
    <w:rsid w:val="00FA0137"/>
    <w:rsid w:val="00FA013C"/>
    <w:rsid w:val="00FA019B"/>
    <w:rsid w:val="00FA01CD"/>
    <w:rsid w:val="00FA01EC"/>
    <w:rsid w:val="00FA020E"/>
    <w:rsid w:val="00FA0258"/>
    <w:rsid w:val="00FA02C9"/>
    <w:rsid w:val="00FA039E"/>
    <w:rsid w:val="00FA047D"/>
    <w:rsid w:val="00FA049A"/>
    <w:rsid w:val="00FA0623"/>
    <w:rsid w:val="00FA077B"/>
    <w:rsid w:val="00FA07BD"/>
    <w:rsid w:val="00FA0837"/>
    <w:rsid w:val="00FA0849"/>
    <w:rsid w:val="00FA094E"/>
    <w:rsid w:val="00FA0A12"/>
    <w:rsid w:val="00FA0A25"/>
    <w:rsid w:val="00FA0B72"/>
    <w:rsid w:val="00FA0B9C"/>
    <w:rsid w:val="00FA0BD4"/>
    <w:rsid w:val="00FA0C52"/>
    <w:rsid w:val="00FA0C72"/>
    <w:rsid w:val="00FA0CDF"/>
    <w:rsid w:val="00FA0D2A"/>
    <w:rsid w:val="00FA0D34"/>
    <w:rsid w:val="00FA0D8E"/>
    <w:rsid w:val="00FA0DA4"/>
    <w:rsid w:val="00FA0E0F"/>
    <w:rsid w:val="00FA0EEB"/>
    <w:rsid w:val="00FA0F3D"/>
    <w:rsid w:val="00FA0F45"/>
    <w:rsid w:val="00FA0F5B"/>
    <w:rsid w:val="00FA0F93"/>
    <w:rsid w:val="00FA1183"/>
    <w:rsid w:val="00FA122D"/>
    <w:rsid w:val="00FA12A9"/>
    <w:rsid w:val="00FA1317"/>
    <w:rsid w:val="00FA142B"/>
    <w:rsid w:val="00FA147A"/>
    <w:rsid w:val="00FA14B1"/>
    <w:rsid w:val="00FA14FF"/>
    <w:rsid w:val="00FA1503"/>
    <w:rsid w:val="00FA15E8"/>
    <w:rsid w:val="00FA1679"/>
    <w:rsid w:val="00FA1AE6"/>
    <w:rsid w:val="00FA1B62"/>
    <w:rsid w:val="00FA1BFD"/>
    <w:rsid w:val="00FA1C1E"/>
    <w:rsid w:val="00FA1C8F"/>
    <w:rsid w:val="00FA1D99"/>
    <w:rsid w:val="00FA1DC6"/>
    <w:rsid w:val="00FA1E3C"/>
    <w:rsid w:val="00FA1E4D"/>
    <w:rsid w:val="00FA1F72"/>
    <w:rsid w:val="00FA1FFE"/>
    <w:rsid w:val="00FA2075"/>
    <w:rsid w:val="00FA235D"/>
    <w:rsid w:val="00FA23DB"/>
    <w:rsid w:val="00FA245E"/>
    <w:rsid w:val="00FA271E"/>
    <w:rsid w:val="00FA27AC"/>
    <w:rsid w:val="00FA28BA"/>
    <w:rsid w:val="00FA2A1C"/>
    <w:rsid w:val="00FA2AE4"/>
    <w:rsid w:val="00FA2C69"/>
    <w:rsid w:val="00FA2CC2"/>
    <w:rsid w:val="00FA2D2A"/>
    <w:rsid w:val="00FA2E20"/>
    <w:rsid w:val="00FA2FFD"/>
    <w:rsid w:val="00FA311C"/>
    <w:rsid w:val="00FA3123"/>
    <w:rsid w:val="00FA3194"/>
    <w:rsid w:val="00FA32C7"/>
    <w:rsid w:val="00FA32FE"/>
    <w:rsid w:val="00FA3380"/>
    <w:rsid w:val="00FA34C4"/>
    <w:rsid w:val="00FA351B"/>
    <w:rsid w:val="00FA3544"/>
    <w:rsid w:val="00FA357F"/>
    <w:rsid w:val="00FA360C"/>
    <w:rsid w:val="00FA369A"/>
    <w:rsid w:val="00FA36A5"/>
    <w:rsid w:val="00FA37B2"/>
    <w:rsid w:val="00FA38C9"/>
    <w:rsid w:val="00FA39A8"/>
    <w:rsid w:val="00FA3A45"/>
    <w:rsid w:val="00FA3A58"/>
    <w:rsid w:val="00FA3CE1"/>
    <w:rsid w:val="00FA3E2F"/>
    <w:rsid w:val="00FA3EB7"/>
    <w:rsid w:val="00FA3F8E"/>
    <w:rsid w:val="00FA4001"/>
    <w:rsid w:val="00FA4007"/>
    <w:rsid w:val="00FA4017"/>
    <w:rsid w:val="00FA4027"/>
    <w:rsid w:val="00FA4062"/>
    <w:rsid w:val="00FA40B9"/>
    <w:rsid w:val="00FA40ED"/>
    <w:rsid w:val="00FA4126"/>
    <w:rsid w:val="00FA4179"/>
    <w:rsid w:val="00FA423D"/>
    <w:rsid w:val="00FA427C"/>
    <w:rsid w:val="00FA43C0"/>
    <w:rsid w:val="00FA4446"/>
    <w:rsid w:val="00FA444E"/>
    <w:rsid w:val="00FA4632"/>
    <w:rsid w:val="00FA46E0"/>
    <w:rsid w:val="00FA47E0"/>
    <w:rsid w:val="00FA4864"/>
    <w:rsid w:val="00FA4AD5"/>
    <w:rsid w:val="00FA4B1D"/>
    <w:rsid w:val="00FA4DE2"/>
    <w:rsid w:val="00FA4DEA"/>
    <w:rsid w:val="00FA4F05"/>
    <w:rsid w:val="00FA5082"/>
    <w:rsid w:val="00FA50B5"/>
    <w:rsid w:val="00FA50DF"/>
    <w:rsid w:val="00FA51A0"/>
    <w:rsid w:val="00FA51D9"/>
    <w:rsid w:val="00FA52A4"/>
    <w:rsid w:val="00FA52EF"/>
    <w:rsid w:val="00FA5338"/>
    <w:rsid w:val="00FA53BD"/>
    <w:rsid w:val="00FA5584"/>
    <w:rsid w:val="00FA55CA"/>
    <w:rsid w:val="00FA55FC"/>
    <w:rsid w:val="00FA567D"/>
    <w:rsid w:val="00FA56E0"/>
    <w:rsid w:val="00FA585D"/>
    <w:rsid w:val="00FA598B"/>
    <w:rsid w:val="00FA59E7"/>
    <w:rsid w:val="00FA5A34"/>
    <w:rsid w:val="00FA5A44"/>
    <w:rsid w:val="00FA5B10"/>
    <w:rsid w:val="00FA5B13"/>
    <w:rsid w:val="00FA5B31"/>
    <w:rsid w:val="00FA5B3F"/>
    <w:rsid w:val="00FA5B4B"/>
    <w:rsid w:val="00FA5B9D"/>
    <w:rsid w:val="00FA5D19"/>
    <w:rsid w:val="00FA5D33"/>
    <w:rsid w:val="00FA5D6B"/>
    <w:rsid w:val="00FA5E2E"/>
    <w:rsid w:val="00FA5E55"/>
    <w:rsid w:val="00FA5E90"/>
    <w:rsid w:val="00FA5E9A"/>
    <w:rsid w:val="00FA5ED0"/>
    <w:rsid w:val="00FA5ED1"/>
    <w:rsid w:val="00FA5F13"/>
    <w:rsid w:val="00FA5F3B"/>
    <w:rsid w:val="00FA5F9B"/>
    <w:rsid w:val="00FA61A2"/>
    <w:rsid w:val="00FA6299"/>
    <w:rsid w:val="00FA632D"/>
    <w:rsid w:val="00FA63FE"/>
    <w:rsid w:val="00FA6438"/>
    <w:rsid w:val="00FA6473"/>
    <w:rsid w:val="00FA6489"/>
    <w:rsid w:val="00FA6506"/>
    <w:rsid w:val="00FA65B6"/>
    <w:rsid w:val="00FA6666"/>
    <w:rsid w:val="00FA6734"/>
    <w:rsid w:val="00FA6943"/>
    <w:rsid w:val="00FA69B3"/>
    <w:rsid w:val="00FA69EE"/>
    <w:rsid w:val="00FA6A31"/>
    <w:rsid w:val="00FA6A5D"/>
    <w:rsid w:val="00FA6A9D"/>
    <w:rsid w:val="00FA6B3B"/>
    <w:rsid w:val="00FA6CE5"/>
    <w:rsid w:val="00FA6CF0"/>
    <w:rsid w:val="00FA6D03"/>
    <w:rsid w:val="00FA6D37"/>
    <w:rsid w:val="00FA6DAE"/>
    <w:rsid w:val="00FA6DCF"/>
    <w:rsid w:val="00FA6E26"/>
    <w:rsid w:val="00FA6E44"/>
    <w:rsid w:val="00FA6ED8"/>
    <w:rsid w:val="00FA6EDB"/>
    <w:rsid w:val="00FA6F10"/>
    <w:rsid w:val="00FA6F3C"/>
    <w:rsid w:val="00FA6F5A"/>
    <w:rsid w:val="00FA6F67"/>
    <w:rsid w:val="00FA701E"/>
    <w:rsid w:val="00FA7087"/>
    <w:rsid w:val="00FA70A8"/>
    <w:rsid w:val="00FA7222"/>
    <w:rsid w:val="00FA722A"/>
    <w:rsid w:val="00FA7230"/>
    <w:rsid w:val="00FA72CE"/>
    <w:rsid w:val="00FA737D"/>
    <w:rsid w:val="00FA73D0"/>
    <w:rsid w:val="00FA74E0"/>
    <w:rsid w:val="00FA7530"/>
    <w:rsid w:val="00FA7543"/>
    <w:rsid w:val="00FA75C3"/>
    <w:rsid w:val="00FA7668"/>
    <w:rsid w:val="00FA771D"/>
    <w:rsid w:val="00FA7802"/>
    <w:rsid w:val="00FA7909"/>
    <w:rsid w:val="00FA791D"/>
    <w:rsid w:val="00FA7923"/>
    <w:rsid w:val="00FA79C5"/>
    <w:rsid w:val="00FA7A63"/>
    <w:rsid w:val="00FA7C3F"/>
    <w:rsid w:val="00FA7C71"/>
    <w:rsid w:val="00FA7DAF"/>
    <w:rsid w:val="00FA7E18"/>
    <w:rsid w:val="00FA7E73"/>
    <w:rsid w:val="00FA7FCB"/>
    <w:rsid w:val="00FB0068"/>
    <w:rsid w:val="00FB00FF"/>
    <w:rsid w:val="00FB057E"/>
    <w:rsid w:val="00FB0613"/>
    <w:rsid w:val="00FB0637"/>
    <w:rsid w:val="00FB0678"/>
    <w:rsid w:val="00FB06EE"/>
    <w:rsid w:val="00FB0700"/>
    <w:rsid w:val="00FB082C"/>
    <w:rsid w:val="00FB0847"/>
    <w:rsid w:val="00FB0889"/>
    <w:rsid w:val="00FB0959"/>
    <w:rsid w:val="00FB09CA"/>
    <w:rsid w:val="00FB09FC"/>
    <w:rsid w:val="00FB0B15"/>
    <w:rsid w:val="00FB0B5B"/>
    <w:rsid w:val="00FB0CC6"/>
    <w:rsid w:val="00FB0CD3"/>
    <w:rsid w:val="00FB0CE5"/>
    <w:rsid w:val="00FB0D68"/>
    <w:rsid w:val="00FB0F50"/>
    <w:rsid w:val="00FB0FB8"/>
    <w:rsid w:val="00FB0FB9"/>
    <w:rsid w:val="00FB103A"/>
    <w:rsid w:val="00FB105B"/>
    <w:rsid w:val="00FB10B2"/>
    <w:rsid w:val="00FB121C"/>
    <w:rsid w:val="00FB1255"/>
    <w:rsid w:val="00FB13BD"/>
    <w:rsid w:val="00FB13F7"/>
    <w:rsid w:val="00FB14D2"/>
    <w:rsid w:val="00FB1517"/>
    <w:rsid w:val="00FB1589"/>
    <w:rsid w:val="00FB15F6"/>
    <w:rsid w:val="00FB1621"/>
    <w:rsid w:val="00FB16BD"/>
    <w:rsid w:val="00FB170A"/>
    <w:rsid w:val="00FB171F"/>
    <w:rsid w:val="00FB1747"/>
    <w:rsid w:val="00FB1785"/>
    <w:rsid w:val="00FB1847"/>
    <w:rsid w:val="00FB199F"/>
    <w:rsid w:val="00FB1AB0"/>
    <w:rsid w:val="00FB1AB3"/>
    <w:rsid w:val="00FB1BE4"/>
    <w:rsid w:val="00FB1BEF"/>
    <w:rsid w:val="00FB1CBA"/>
    <w:rsid w:val="00FB1DA9"/>
    <w:rsid w:val="00FB1E6C"/>
    <w:rsid w:val="00FB1EA0"/>
    <w:rsid w:val="00FB1F47"/>
    <w:rsid w:val="00FB1F55"/>
    <w:rsid w:val="00FB1F7A"/>
    <w:rsid w:val="00FB1FBC"/>
    <w:rsid w:val="00FB1FC9"/>
    <w:rsid w:val="00FB1FDD"/>
    <w:rsid w:val="00FB2099"/>
    <w:rsid w:val="00FB20C3"/>
    <w:rsid w:val="00FB20C9"/>
    <w:rsid w:val="00FB2415"/>
    <w:rsid w:val="00FB249A"/>
    <w:rsid w:val="00FB24DB"/>
    <w:rsid w:val="00FB2503"/>
    <w:rsid w:val="00FB2542"/>
    <w:rsid w:val="00FB2546"/>
    <w:rsid w:val="00FB265A"/>
    <w:rsid w:val="00FB2674"/>
    <w:rsid w:val="00FB26A0"/>
    <w:rsid w:val="00FB26E4"/>
    <w:rsid w:val="00FB2702"/>
    <w:rsid w:val="00FB2711"/>
    <w:rsid w:val="00FB27B0"/>
    <w:rsid w:val="00FB27DB"/>
    <w:rsid w:val="00FB287D"/>
    <w:rsid w:val="00FB2930"/>
    <w:rsid w:val="00FB2C13"/>
    <w:rsid w:val="00FB2C17"/>
    <w:rsid w:val="00FB2C1B"/>
    <w:rsid w:val="00FB2C39"/>
    <w:rsid w:val="00FB2E10"/>
    <w:rsid w:val="00FB2E17"/>
    <w:rsid w:val="00FB2E74"/>
    <w:rsid w:val="00FB2E9B"/>
    <w:rsid w:val="00FB2F18"/>
    <w:rsid w:val="00FB3061"/>
    <w:rsid w:val="00FB31E0"/>
    <w:rsid w:val="00FB322B"/>
    <w:rsid w:val="00FB3274"/>
    <w:rsid w:val="00FB32AD"/>
    <w:rsid w:val="00FB32BA"/>
    <w:rsid w:val="00FB337D"/>
    <w:rsid w:val="00FB339F"/>
    <w:rsid w:val="00FB3530"/>
    <w:rsid w:val="00FB362D"/>
    <w:rsid w:val="00FB36D0"/>
    <w:rsid w:val="00FB36E2"/>
    <w:rsid w:val="00FB3767"/>
    <w:rsid w:val="00FB37F7"/>
    <w:rsid w:val="00FB387A"/>
    <w:rsid w:val="00FB38D0"/>
    <w:rsid w:val="00FB38F5"/>
    <w:rsid w:val="00FB3989"/>
    <w:rsid w:val="00FB3A96"/>
    <w:rsid w:val="00FB3AD5"/>
    <w:rsid w:val="00FB3BA0"/>
    <w:rsid w:val="00FB3C79"/>
    <w:rsid w:val="00FB3F33"/>
    <w:rsid w:val="00FB4042"/>
    <w:rsid w:val="00FB409E"/>
    <w:rsid w:val="00FB41E7"/>
    <w:rsid w:val="00FB41E9"/>
    <w:rsid w:val="00FB423E"/>
    <w:rsid w:val="00FB42F3"/>
    <w:rsid w:val="00FB4357"/>
    <w:rsid w:val="00FB43AF"/>
    <w:rsid w:val="00FB44A2"/>
    <w:rsid w:val="00FB45F1"/>
    <w:rsid w:val="00FB4665"/>
    <w:rsid w:val="00FB4686"/>
    <w:rsid w:val="00FB46A1"/>
    <w:rsid w:val="00FB47C9"/>
    <w:rsid w:val="00FB483B"/>
    <w:rsid w:val="00FB4850"/>
    <w:rsid w:val="00FB48D6"/>
    <w:rsid w:val="00FB490A"/>
    <w:rsid w:val="00FB49F0"/>
    <w:rsid w:val="00FB4AEF"/>
    <w:rsid w:val="00FB4B2D"/>
    <w:rsid w:val="00FB4C90"/>
    <w:rsid w:val="00FB4CAB"/>
    <w:rsid w:val="00FB4D9B"/>
    <w:rsid w:val="00FB4E31"/>
    <w:rsid w:val="00FB4E86"/>
    <w:rsid w:val="00FB4F7A"/>
    <w:rsid w:val="00FB4F8E"/>
    <w:rsid w:val="00FB4FAE"/>
    <w:rsid w:val="00FB5057"/>
    <w:rsid w:val="00FB51F1"/>
    <w:rsid w:val="00FB51F2"/>
    <w:rsid w:val="00FB52D2"/>
    <w:rsid w:val="00FB532E"/>
    <w:rsid w:val="00FB53B3"/>
    <w:rsid w:val="00FB54F8"/>
    <w:rsid w:val="00FB5534"/>
    <w:rsid w:val="00FB5726"/>
    <w:rsid w:val="00FB5804"/>
    <w:rsid w:val="00FB5A04"/>
    <w:rsid w:val="00FB5A90"/>
    <w:rsid w:val="00FB5ADE"/>
    <w:rsid w:val="00FB5B20"/>
    <w:rsid w:val="00FB5B23"/>
    <w:rsid w:val="00FB5C89"/>
    <w:rsid w:val="00FB5DA1"/>
    <w:rsid w:val="00FB5E40"/>
    <w:rsid w:val="00FB5EE9"/>
    <w:rsid w:val="00FB5F13"/>
    <w:rsid w:val="00FB5F7F"/>
    <w:rsid w:val="00FB5FD9"/>
    <w:rsid w:val="00FB601F"/>
    <w:rsid w:val="00FB6171"/>
    <w:rsid w:val="00FB61C2"/>
    <w:rsid w:val="00FB61E5"/>
    <w:rsid w:val="00FB61F5"/>
    <w:rsid w:val="00FB62ED"/>
    <w:rsid w:val="00FB63A1"/>
    <w:rsid w:val="00FB64FC"/>
    <w:rsid w:val="00FB6556"/>
    <w:rsid w:val="00FB65B4"/>
    <w:rsid w:val="00FB6602"/>
    <w:rsid w:val="00FB6630"/>
    <w:rsid w:val="00FB675F"/>
    <w:rsid w:val="00FB6793"/>
    <w:rsid w:val="00FB6830"/>
    <w:rsid w:val="00FB6866"/>
    <w:rsid w:val="00FB6872"/>
    <w:rsid w:val="00FB6994"/>
    <w:rsid w:val="00FB69D2"/>
    <w:rsid w:val="00FB6A0D"/>
    <w:rsid w:val="00FB6A25"/>
    <w:rsid w:val="00FB6AEA"/>
    <w:rsid w:val="00FB6B6F"/>
    <w:rsid w:val="00FB6B8A"/>
    <w:rsid w:val="00FB6BC2"/>
    <w:rsid w:val="00FB6C2E"/>
    <w:rsid w:val="00FB6CE8"/>
    <w:rsid w:val="00FB6D20"/>
    <w:rsid w:val="00FB6D82"/>
    <w:rsid w:val="00FB6E10"/>
    <w:rsid w:val="00FB6E8B"/>
    <w:rsid w:val="00FB6F0D"/>
    <w:rsid w:val="00FB6F30"/>
    <w:rsid w:val="00FB6F39"/>
    <w:rsid w:val="00FB6F41"/>
    <w:rsid w:val="00FB6FD8"/>
    <w:rsid w:val="00FB70FB"/>
    <w:rsid w:val="00FB713D"/>
    <w:rsid w:val="00FB7207"/>
    <w:rsid w:val="00FB7279"/>
    <w:rsid w:val="00FB72BE"/>
    <w:rsid w:val="00FB72CC"/>
    <w:rsid w:val="00FB72E9"/>
    <w:rsid w:val="00FB73A1"/>
    <w:rsid w:val="00FB73A6"/>
    <w:rsid w:val="00FB7464"/>
    <w:rsid w:val="00FB74F6"/>
    <w:rsid w:val="00FB76DF"/>
    <w:rsid w:val="00FB7756"/>
    <w:rsid w:val="00FB777D"/>
    <w:rsid w:val="00FB778F"/>
    <w:rsid w:val="00FB784D"/>
    <w:rsid w:val="00FB786B"/>
    <w:rsid w:val="00FB797A"/>
    <w:rsid w:val="00FB7A19"/>
    <w:rsid w:val="00FB7A2A"/>
    <w:rsid w:val="00FB7B10"/>
    <w:rsid w:val="00FB7B70"/>
    <w:rsid w:val="00FB7CBA"/>
    <w:rsid w:val="00FB7D24"/>
    <w:rsid w:val="00FB7D59"/>
    <w:rsid w:val="00FB7E5A"/>
    <w:rsid w:val="00FB7E6F"/>
    <w:rsid w:val="00FB7E8E"/>
    <w:rsid w:val="00FB7EA2"/>
    <w:rsid w:val="00FB7EF7"/>
    <w:rsid w:val="00FB7F0B"/>
    <w:rsid w:val="00FB7F23"/>
    <w:rsid w:val="00FB7F26"/>
    <w:rsid w:val="00FB7FAF"/>
    <w:rsid w:val="00FC005E"/>
    <w:rsid w:val="00FC0084"/>
    <w:rsid w:val="00FC0172"/>
    <w:rsid w:val="00FC01F6"/>
    <w:rsid w:val="00FC0386"/>
    <w:rsid w:val="00FC0396"/>
    <w:rsid w:val="00FC04AC"/>
    <w:rsid w:val="00FC05FD"/>
    <w:rsid w:val="00FC062A"/>
    <w:rsid w:val="00FC066F"/>
    <w:rsid w:val="00FC0760"/>
    <w:rsid w:val="00FC08B3"/>
    <w:rsid w:val="00FC0927"/>
    <w:rsid w:val="00FC093D"/>
    <w:rsid w:val="00FC0981"/>
    <w:rsid w:val="00FC09BB"/>
    <w:rsid w:val="00FC0B19"/>
    <w:rsid w:val="00FC0B2D"/>
    <w:rsid w:val="00FC0B7E"/>
    <w:rsid w:val="00FC0BD6"/>
    <w:rsid w:val="00FC0DD4"/>
    <w:rsid w:val="00FC0EF5"/>
    <w:rsid w:val="00FC0F39"/>
    <w:rsid w:val="00FC0F41"/>
    <w:rsid w:val="00FC104F"/>
    <w:rsid w:val="00FC1090"/>
    <w:rsid w:val="00FC10AD"/>
    <w:rsid w:val="00FC1152"/>
    <w:rsid w:val="00FC11B2"/>
    <w:rsid w:val="00FC12A0"/>
    <w:rsid w:val="00FC1360"/>
    <w:rsid w:val="00FC1497"/>
    <w:rsid w:val="00FC14C1"/>
    <w:rsid w:val="00FC150A"/>
    <w:rsid w:val="00FC1517"/>
    <w:rsid w:val="00FC151E"/>
    <w:rsid w:val="00FC16CE"/>
    <w:rsid w:val="00FC17F3"/>
    <w:rsid w:val="00FC1948"/>
    <w:rsid w:val="00FC1990"/>
    <w:rsid w:val="00FC1A39"/>
    <w:rsid w:val="00FC1A59"/>
    <w:rsid w:val="00FC1A9B"/>
    <w:rsid w:val="00FC1AAE"/>
    <w:rsid w:val="00FC1B04"/>
    <w:rsid w:val="00FC1BA8"/>
    <w:rsid w:val="00FC1BFD"/>
    <w:rsid w:val="00FC1C12"/>
    <w:rsid w:val="00FC1C78"/>
    <w:rsid w:val="00FC1D1E"/>
    <w:rsid w:val="00FC1D57"/>
    <w:rsid w:val="00FC1D6D"/>
    <w:rsid w:val="00FC1D7C"/>
    <w:rsid w:val="00FC1D85"/>
    <w:rsid w:val="00FC1E0D"/>
    <w:rsid w:val="00FC1EDB"/>
    <w:rsid w:val="00FC200C"/>
    <w:rsid w:val="00FC2364"/>
    <w:rsid w:val="00FC2542"/>
    <w:rsid w:val="00FC2790"/>
    <w:rsid w:val="00FC27D8"/>
    <w:rsid w:val="00FC29BB"/>
    <w:rsid w:val="00FC29CB"/>
    <w:rsid w:val="00FC2A0A"/>
    <w:rsid w:val="00FC2A6C"/>
    <w:rsid w:val="00FC2BD7"/>
    <w:rsid w:val="00FC2C2D"/>
    <w:rsid w:val="00FC2C58"/>
    <w:rsid w:val="00FC2D95"/>
    <w:rsid w:val="00FC2EC4"/>
    <w:rsid w:val="00FC2F4C"/>
    <w:rsid w:val="00FC2FBD"/>
    <w:rsid w:val="00FC2FD4"/>
    <w:rsid w:val="00FC3031"/>
    <w:rsid w:val="00FC3060"/>
    <w:rsid w:val="00FC307A"/>
    <w:rsid w:val="00FC3081"/>
    <w:rsid w:val="00FC30D1"/>
    <w:rsid w:val="00FC3196"/>
    <w:rsid w:val="00FC31D1"/>
    <w:rsid w:val="00FC31E8"/>
    <w:rsid w:val="00FC33F4"/>
    <w:rsid w:val="00FC34BB"/>
    <w:rsid w:val="00FC35B1"/>
    <w:rsid w:val="00FC3680"/>
    <w:rsid w:val="00FC36DC"/>
    <w:rsid w:val="00FC3728"/>
    <w:rsid w:val="00FC37FA"/>
    <w:rsid w:val="00FC3807"/>
    <w:rsid w:val="00FC3880"/>
    <w:rsid w:val="00FC3A06"/>
    <w:rsid w:val="00FC3AAC"/>
    <w:rsid w:val="00FC3AB1"/>
    <w:rsid w:val="00FC3B4D"/>
    <w:rsid w:val="00FC3C02"/>
    <w:rsid w:val="00FC3C0F"/>
    <w:rsid w:val="00FC3C23"/>
    <w:rsid w:val="00FC3C60"/>
    <w:rsid w:val="00FC3C7C"/>
    <w:rsid w:val="00FC3CD2"/>
    <w:rsid w:val="00FC3D34"/>
    <w:rsid w:val="00FC3D79"/>
    <w:rsid w:val="00FC3D8C"/>
    <w:rsid w:val="00FC3E25"/>
    <w:rsid w:val="00FC3E3A"/>
    <w:rsid w:val="00FC40C7"/>
    <w:rsid w:val="00FC4108"/>
    <w:rsid w:val="00FC417F"/>
    <w:rsid w:val="00FC41B9"/>
    <w:rsid w:val="00FC4207"/>
    <w:rsid w:val="00FC420E"/>
    <w:rsid w:val="00FC4313"/>
    <w:rsid w:val="00FC43DA"/>
    <w:rsid w:val="00FC43E0"/>
    <w:rsid w:val="00FC4408"/>
    <w:rsid w:val="00FC443C"/>
    <w:rsid w:val="00FC4478"/>
    <w:rsid w:val="00FC44BB"/>
    <w:rsid w:val="00FC44F4"/>
    <w:rsid w:val="00FC4541"/>
    <w:rsid w:val="00FC45B6"/>
    <w:rsid w:val="00FC45E4"/>
    <w:rsid w:val="00FC47D2"/>
    <w:rsid w:val="00FC4809"/>
    <w:rsid w:val="00FC481B"/>
    <w:rsid w:val="00FC4963"/>
    <w:rsid w:val="00FC499D"/>
    <w:rsid w:val="00FC4A79"/>
    <w:rsid w:val="00FC4B03"/>
    <w:rsid w:val="00FC4CD2"/>
    <w:rsid w:val="00FC4D3E"/>
    <w:rsid w:val="00FC4D5F"/>
    <w:rsid w:val="00FC4DF3"/>
    <w:rsid w:val="00FC4DFF"/>
    <w:rsid w:val="00FC4E18"/>
    <w:rsid w:val="00FC4E98"/>
    <w:rsid w:val="00FC4ECA"/>
    <w:rsid w:val="00FC4F0A"/>
    <w:rsid w:val="00FC4FD3"/>
    <w:rsid w:val="00FC5050"/>
    <w:rsid w:val="00FC50A9"/>
    <w:rsid w:val="00FC50BB"/>
    <w:rsid w:val="00FC5147"/>
    <w:rsid w:val="00FC515D"/>
    <w:rsid w:val="00FC5215"/>
    <w:rsid w:val="00FC536B"/>
    <w:rsid w:val="00FC53D9"/>
    <w:rsid w:val="00FC53E0"/>
    <w:rsid w:val="00FC53F2"/>
    <w:rsid w:val="00FC542A"/>
    <w:rsid w:val="00FC5438"/>
    <w:rsid w:val="00FC546C"/>
    <w:rsid w:val="00FC54BE"/>
    <w:rsid w:val="00FC5603"/>
    <w:rsid w:val="00FC5616"/>
    <w:rsid w:val="00FC56CB"/>
    <w:rsid w:val="00FC57D7"/>
    <w:rsid w:val="00FC584B"/>
    <w:rsid w:val="00FC59B8"/>
    <w:rsid w:val="00FC5B42"/>
    <w:rsid w:val="00FC5B80"/>
    <w:rsid w:val="00FC5C19"/>
    <w:rsid w:val="00FC5C59"/>
    <w:rsid w:val="00FC5CE3"/>
    <w:rsid w:val="00FC5D55"/>
    <w:rsid w:val="00FC5D6F"/>
    <w:rsid w:val="00FC5DE6"/>
    <w:rsid w:val="00FC5E07"/>
    <w:rsid w:val="00FC5E1D"/>
    <w:rsid w:val="00FC5E6D"/>
    <w:rsid w:val="00FC5E9F"/>
    <w:rsid w:val="00FC5EB2"/>
    <w:rsid w:val="00FC5FC7"/>
    <w:rsid w:val="00FC6025"/>
    <w:rsid w:val="00FC605C"/>
    <w:rsid w:val="00FC60FE"/>
    <w:rsid w:val="00FC6147"/>
    <w:rsid w:val="00FC6171"/>
    <w:rsid w:val="00FC620A"/>
    <w:rsid w:val="00FC622F"/>
    <w:rsid w:val="00FC6243"/>
    <w:rsid w:val="00FC62B6"/>
    <w:rsid w:val="00FC6384"/>
    <w:rsid w:val="00FC63B9"/>
    <w:rsid w:val="00FC6407"/>
    <w:rsid w:val="00FC64A0"/>
    <w:rsid w:val="00FC6569"/>
    <w:rsid w:val="00FC66B5"/>
    <w:rsid w:val="00FC671B"/>
    <w:rsid w:val="00FC6737"/>
    <w:rsid w:val="00FC67FD"/>
    <w:rsid w:val="00FC6813"/>
    <w:rsid w:val="00FC6878"/>
    <w:rsid w:val="00FC6A01"/>
    <w:rsid w:val="00FC6A2C"/>
    <w:rsid w:val="00FC6AD6"/>
    <w:rsid w:val="00FC6B36"/>
    <w:rsid w:val="00FC6B5A"/>
    <w:rsid w:val="00FC6C94"/>
    <w:rsid w:val="00FC6CB6"/>
    <w:rsid w:val="00FC6D3C"/>
    <w:rsid w:val="00FC6D7B"/>
    <w:rsid w:val="00FC6DD5"/>
    <w:rsid w:val="00FC6E0F"/>
    <w:rsid w:val="00FC6EBF"/>
    <w:rsid w:val="00FC6F5F"/>
    <w:rsid w:val="00FC6F8D"/>
    <w:rsid w:val="00FC6F99"/>
    <w:rsid w:val="00FC7072"/>
    <w:rsid w:val="00FC7113"/>
    <w:rsid w:val="00FC71E1"/>
    <w:rsid w:val="00FC71E6"/>
    <w:rsid w:val="00FC723E"/>
    <w:rsid w:val="00FC724E"/>
    <w:rsid w:val="00FC726C"/>
    <w:rsid w:val="00FC7395"/>
    <w:rsid w:val="00FC7493"/>
    <w:rsid w:val="00FC74A0"/>
    <w:rsid w:val="00FC74CF"/>
    <w:rsid w:val="00FC7538"/>
    <w:rsid w:val="00FC75B9"/>
    <w:rsid w:val="00FC75F0"/>
    <w:rsid w:val="00FC763B"/>
    <w:rsid w:val="00FC7792"/>
    <w:rsid w:val="00FC77B5"/>
    <w:rsid w:val="00FC77D1"/>
    <w:rsid w:val="00FC7897"/>
    <w:rsid w:val="00FC7954"/>
    <w:rsid w:val="00FC79C0"/>
    <w:rsid w:val="00FC7BA7"/>
    <w:rsid w:val="00FC7C04"/>
    <w:rsid w:val="00FC7C30"/>
    <w:rsid w:val="00FC7CD5"/>
    <w:rsid w:val="00FC7CDB"/>
    <w:rsid w:val="00FC7D14"/>
    <w:rsid w:val="00FC7D23"/>
    <w:rsid w:val="00FC7D2F"/>
    <w:rsid w:val="00FC7D81"/>
    <w:rsid w:val="00FC7DDA"/>
    <w:rsid w:val="00FC7E2F"/>
    <w:rsid w:val="00FC7F15"/>
    <w:rsid w:val="00FD015E"/>
    <w:rsid w:val="00FD02B2"/>
    <w:rsid w:val="00FD030E"/>
    <w:rsid w:val="00FD03B2"/>
    <w:rsid w:val="00FD041A"/>
    <w:rsid w:val="00FD0531"/>
    <w:rsid w:val="00FD055D"/>
    <w:rsid w:val="00FD05EC"/>
    <w:rsid w:val="00FD062F"/>
    <w:rsid w:val="00FD0634"/>
    <w:rsid w:val="00FD065F"/>
    <w:rsid w:val="00FD07C1"/>
    <w:rsid w:val="00FD07CD"/>
    <w:rsid w:val="00FD08F0"/>
    <w:rsid w:val="00FD098C"/>
    <w:rsid w:val="00FD09DA"/>
    <w:rsid w:val="00FD0A52"/>
    <w:rsid w:val="00FD0AD0"/>
    <w:rsid w:val="00FD0AE4"/>
    <w:rsid w:val="00FD0B0E"/>
    <w:rsid w:val="00FD0BE7"/>
    <w:rsid w:val="00FD0C0D"/>
    <w:rsid w:val="00FD0C96"/>
    <w:rsid w:val="00FD0CB4"/>
    <w:rsid w:val="00FD0CCB"/>
    <w:rsid w:val="00FD0D15"/>
    <w:rsid w:val="00FD0D54"/>
    <w:rsid w:val="00FD0E42"/>
    <w:rsid w:val="00FD0ECF"/>
    <w:rsid w:val="00FD0F7F"/>
    <w:rsid w:val="00FD0F82"/>
    <w:rsid w:val="00FD0FEB"/>
    <w:rsid w:val="00FD1014"/>
    <w:rsid w:val="00FD1065"/>
    <w:rsid w:val="00FD11A3"/>
    <w:rsid w:val="00FD1203"/>
    <w:rsid w:val="00FD1253"/>
    <w:rsid w:val="00FD12ED"/>
    <w:rsid w:val="00FD134A"/>
    <w:rsid w:val="00FD1370"/>
    <w:rsid w:val="00FD1372"/>
    <w:rsid w:val="00FD145F"/>
    <w:rsid w:val="00FD14D9"/>
    <w:rsid w:val="00FD155C"/>
    <w:rsid w:val="00FD161F"/>
    <w:rsid w:val="00FD1627"/>
    <w:rsid w:val="00FD1636"/>
    <w:rsid w:val="00FD163A"/>
    <w:rsid w:val="00FD168B"/>
    <w:rsid w:val="00FD16C9"/>
    <w:rsid w:val="00FD16FE"/>
    <w:rsid w:val="00FD1757"/>
    <w:rsid w:val="00FD1924"/>
    <w:rsid w:val="00FD1936"/>
    <w:rsid w:val="00FD19D2"/>
    <w:rsid w:val="00FD19EA"/>
    <w:rsid w:val="00FD1A48"/>
    <w:rsid w:val="00FD1A49"/>
    <w:rsid w:val="00FD1AF4"/>
    <w:rsid w:val="00FD1C46"/>
    <w:rsid w:val="00FD1C59"/>
    <w:rsid w:val="00FD1CA0"/>
    <w:rsid w:val="00FD1CB8"/>
    <w:rsid w:val="00FD1D5C"/>
    <w:rsid w:val="00FD1DB9"/>
    <w:rsid w:val="00FD1DEF"/>
    <w:rsid w:val="00FD1DFC"/>
    <w:rsid w:val="00FD1EE8"/>
    <w:rsid w:val="00FD20D0"/>
    <w:rsid w:val="00FD2118"/>
    <w:rsid w:val="00FD214C"/>
    <w:rsid w:val="00FD2274"/>
    <w:rsid w:val="00FD2277"/>
    <w:rsid w:val="00FD2387"/>
    <w:rsid w:val="00FD239B"/>
    <w:rsid w:val="00FD24A0"/>
    <w:rsid w:val="00FD2640"/>
    <w:rsid w:val="00FD267F"/>
    <w:rsid w:val="00FD2739"/>
    <w:rsid w:val="00FD2960"/>
    <w:rsid w:val="00FD2964"/>
    <w:rsid w:val="00FD29B1"/>
    <w:rsid w:val="00FD2A27"/>
    <w:rsid w:val="00FD2A45"/>
    <w:rsid w:val="00FD2A6D"/>
    <w:rsid w:val="00FD2B25"/>
    <w:rsid w:val="00FD2B60"/>
    <w:rsid w:val="00FD2BEA"/>
    <w:rsid w:val="00FD2D25"/>
    <w:rsid w:val="00FD2D50"/>
    <w:rsid w:val="00FD2D95"/>
    <w:rsid w:val="00FD2FC8"/>
    <w:rsid w:val="00FD3082"/>
    <w:rsid w:val="00FD324F"/>
    <w:rsid w:val="00FD336D"/>
    <w:rsid w:val="00FD3493"/>
    <w:rsid w:val="00FD3507"/>
    <w:rsid w:val="00FD352A"/>
    <w:rsid w:val="00FD3566"/>
    <w:rsid w:val="00FD3583"/>
    <w:rsid w:val="00FD35CA"/>
    <w:rsid w:val="00FD360F"/>
    <w:rsid w:val="00FD3629"/>
    <w:rsid w:val="00FD3631"/>
    <w:rsid w:val="00FD36FB"/>
    <w:rsid w:val="00FD37E6"/>
    <w:rsid w:val="00FD37E9"/>
    <w:rsid w:val="00FD3821"/>
    <w:rsid w:val="00FD38B6"/>
    <w:rsid w:val="00FD38F9"/>
    <w:rsid w:val="00FD3938"/>
    <w:rsid w:val="00FD399D"/>
    <w:rsid w:val="00FD3A67"/>
    <w:rsid w:val="00FD3A97"/>
    <w:rsid w:val="00FD3BB6"/>
    <w:rsid w:val="00FD3DA7"/>
    <w:rsid w:val="00FD3E04"/>
    <w:rsid w:val="00FD3F52"/>
    <w:rsid w:val="00FD4013"/>
    <w:rsid w:val="00FD4049"/>
    <w:rsid w:val="00FD4050"/>
    <w:rsid w:val="00FD4093"/>
    <w:rsid w:val="00FD4095"/>
    <w:rsid w:val="00FD40EE"/>
    <w:rsid w:val="00FD426D"/>
    <w:rsid w:val="00FD42D2"/>
    <w:rsid w:val="00FD4333"/>
    <w:rsid w:val="00FD4386"/>
    <w:rsid w:val="00FD43A1"/>
    <w:rsid w:val="00FD43EA"/>
    <w:rsid w:val="00FD441A"/>
    <w:rsid w:val="00FD451E"/>
    <w:rsid w:val="00FD45DC"/>
    <w:rsid w:val="00FD4695"/>
    <w:rsid w:val="00FD46C0"/>
    <w:rsid w:val="00FD4759"/>
    <w:rsid w:val="00FD48E5"/>
    <w:rsid w:val="00FD492D"/>
    <w:rsid w:val="00FD49C6"/>
    <w:rsid w:val="00FD4A59"/>
    <w:rsid w:val="00FD4B08"/>
    <w:rsid w:val="00FD4B0C"/>
    <w:rsid w:val="00FD4C81"/>
    <w:rsid w:val="00FD4C87"/>
    <w:rsid w:val="00FD4CE0"/>
    <w:rsid w:val="00FD4CFA"/>
    <w:rsid w:val="00FD4E80"/>
    <w:rsid w:val="00FD4EA8"/>
    <w:rsid w:val="00FD4FD9"/>
    <w:rsid w:val="00FD500B"/>
    <w:rsid w:val="00FD505B"/>
    <w:rsid w:val="00FD5065"/>
    <w:rsid w:val="00FD50C5"/>
    <w:rsid w:val="00FD50E4"/>
    <w:rsid w:val="00FD50FF"/>
    <w:rsid w:val="00FD5104"/>
    <w:rsid w:val="00FD512B"/>
    <w:rsid w:val="00FD5137"/>
    <w:rsid w:val="00FD5281"/>
    <w:rsid w:val="00FD5288"/>
    <w:rsid w:val="00FD52D9"/>
    <w:rsid w:val="00FD52F8"/>
    <w:rsid w:val="00FD534B"/>
    <w:rsid w:val="00FD557B"/>
    <w:rsid w:val="00FD5632"/>
    <w:rsid w:val="00FD575E"/>
    <w:rsid w:val="00FD57B8"/>
    <w:rsid w:val="00FD57CE"/>
    <w:rsid w:val="00FD57ED"/>
    <w:rsid w:val="00FD5954"/>
    <w:rsid w:val="00FD597F"/>
    <w:rsid w:val="00FD59A9"/>
    <w:rsid w:val="00FD59DD"/>
    <w:rsid w:val="00FD5AE6"/>
    <w:rsid w:val="00FD5BC8"/>
    <w:rsid w:val="00FD5C93"/>
    <w:rsid w:val="00FD5E01"/>
    <w:rsid w:val="00FD5EB2"/>
    <w:rsid w:val="00FD5EF8"/>
    <w:rsid w:val="00FD5F3F"/>
    <w:rsid w:val="00FD5F46"/>
    <w:rsid w:val="00FD5F9D"/>
    <w:rsid w:val="00FD5FA2"/>
    <w:rsid w:val="00FD5FC6"/>
    <w:rsid w:val="00FD5FDA"/>
    <w:rsid w:val="00FD6083"/>
    <w:rsid w:val="00FD60D4"/>
    <w:rsid w:val="00FD61FF"/>
    <w:rsid w:val="00FD62C4"/>
    <w:rsid w:val="00FD630B"/>
    <w:rsid w:val="00FD6316"/>
    <w:rsid w:val="00FD6406"/>
    <w:rsid w:val="00FD6449"/>
    <w:rsid w:val="00FD64BD"/>
    <w:rsid w:val="00FD65D5"/>
    <w:rsid w:val="00FD66EC"/>
    <w:rsid w:val="00FD670B"/>
    <w:rsid w:val="00FD6729"/>
    <w:rsid w:val="00FD6845"/>
    <w:rsid w:val="00FD686E"/>
    <w:rsid w:val="00FD6901"/>
    <w:rsid w:val="00FD69FF"/>
    <w:rsid w:val="00FD6A0F"/>
    <w:rsid w:val="00FD6A6B"/>
    <w:rsid w:val="00FD6AE2"/>
    <w:rsid w:val="00FD6BAC"/>
    <w:rsid w:val="00FD6C61"/>
    <w:rsid w:val="00FD6C6E"/>
    <w:rsid w:val="00FD6CC9"/>
    <w:rsid w:val="00FD6D5F"/>
    <w:rsid w:val="00FD6DE2"/>
    <w:rsid w:val="00FD6E7F"/>
    <w:rsid w:val="00FD6E85"/>
    <w:rsid w:val="00FD6FE9"/>
    <w:rsid w:val="00FD70E6"/>
    <w:rsid w:val="00FD7142"/>
    <w:rsid w:val="00FD7150"/>
    <w:rsid w:val="00FD716F"/>
    <w:rsid w:val="00FD71D5"/>
    <w:rsid w:val="00FD71DF"/>
    <w:rsid w:val="00FD7221"/>
    <w:rsid w:val="00FD7254"/>
    <w:rsid w:val="00FD72A1"/>
    <w:rsid w:val="00FD74FC"/>
    <w:rsid w:val="00FD75C7"/>
    <w:rsid w:val="00FD7629"/>
    <w:rsid w:val="00FD7680"/>
    <w:rsid w:val="00FD7778"/>
    <w:rsid w:val="00FD77BA"/>
    <w:rsid w:val="00FD7803"/>
    <w:rsid w:val="00FD7909"/>
    <w:rsid w:val="00FD7B1C"/>
    <w:rsid w:val="00FD7B42"/>
    <w:rsid w:val="00FD7B4C"/>
    <w:rsid w:val="00FD7BB7"/>
    <w:rsid w:val="00FD7C50"/>
    <w:rsid w:val="00FD7DA2"/>
    <w:rsid w:val="00FD7DFD"/>
    <w:rsid w:val="00FD7E01"/>
    <w:rsid w:val="00FD7E31"/>
    <w:rsid w:val="00FD7E89"/>
    <w:rsid w:val="00FD7E8D"/>
    <w:rsid w:val="00FD7F4E"/>
    <w:rsid w:val="00FD7F6C"/>
    <w:rsid w:val="00FD7FEF"/>
    <w:rsid w:val="00FE007B"/>
    <w:rsid w:val="00FE0092"/>
    <w:rsid w:val="00FE00C6"/>
    <w:rsid w:val="00FE00DA"/>
    <w:rsid w:val="00FE0101"/>
    <w:rsid w:val="00FE023A"/>
    <w:rsid w:val="00FE0359"/>
    <w:rsid w:val="00FE049D"/>
    <w:rsid w:val="00FE04B5"/>
    <w:rsid w:val="00FE04C0"/>
    <w:rsid w:val="00FE0555"/>
    <w:rsid w:val="00FE066B"/>
    <w:rsid w:val="00FE068D"/>
    <w:rsid w:val="00FE06CA"/>
    <w:rsid w:val="00FE0756"/>
    <w:rsid w:val="00FE078E"/>
    <w:rsid w:val="00FE0800"/>
    <w:rsid w:val="00FE0822"/>
    <w:rsid w:val="00FE09E9"/>
    <w:rsid w:val="00FE0A07"/>
    <w:rsid w:val="00FE0AD6"/>
    <w:rsid w:val="00FE0AEF"/>
    <w:rsid w:val="00FE0AF8"/>
    <w:rsid w:val="00FE0B3C"/>
    <w:rsid w:val="00FE0B68"/>
    <w:rsid w:val="00FE0CB0"/>
    <w:rsid w:val="00FE0E6D"/>
    <w:rsid w:val="00FE0F45"/>
    <w:rsid w:val="00FE0F7F"/>
    <w:rsid w:val="00FE0F97"/>
    <w:rsid w:val="00FE10C0"/>
    <w:rsid w:val="00FE1201"/>
    <w:rsid w:val="00FE12D2"/>
    <w:rsid w:val="00FE130A"/>
    <w:rsid w:val="00FE1310"/>
    <w:rsid w:val="00FE1376"/>
    <w:rsid w:val="00FE1399"/>
    <w:rsid w:val="00FE13B8"/>
    <w:rsid w:val="00FE14B4"/>
    <w:rsid w:val="00FE1521"/>
    <w:rsid w:val="00FE15CC"/>
    <w:rsid w:val="00FE162D"/>
    <w:rsid w:val="00FE165F"/>
    <w:rsid w:val="00FE182E"/>
    <w:rsid w:val="00FE1838"/>
    <w:rsid w:val="00FE1958"/>
    <w:rsid w:val="00FE19FA"/>
    <w:rsid w:val="00FE1A80"/>
    <w:rsid w:val="00FE1AFD"/>
    <w:rsid w:val="00FE1B40"/>
    <w:rsid w:val="00FE1B6A"/>
    <w:rsid w:val="00FE1B95"/>
    <w:rsid w:val="00FE1BAA"/>
    <w:rsid w:val="00FE1BCC"/>
    <w:rsid w:val="00FE1BF6"/>
    <w:rsid w:val="00FE1C01"/>
    <w:rsid w:val="00FE1CEB"/>
    <w:rsid w:val="00FE1E2E"/>
    <w:rsid w:val="00FE1E6C"/>
    <w:rsid w:val="00FE1EB7"/>
    <w:rsid w:val="00FE1F45"/>
    <w:rsid w:val="00FE2031"/>
    <w:rsid w:val="00FE2144"/>
    <w:rsid w:val="00FE21FD"/>
    <w:rsid w:val="00FE22F0"/>
    <w:rsid w:val="00FE2320"/>
    <w:rsid w:val="00FE235C"/>
    <w:rsid w:val="00FE2398"/>
    <w:rsid w:val="00FE25A4"/>
    <w:rsid w:val="00FE25F7"/>
    <w:rsid w:val="00FE25FC"/>
    <w:rsid w:val="00FE2758"/>
    <w:rsid w:val="00FE279B"/>
    <w:rsid w:val="00FE27A0"/>
    <w:rsid w:val="00FE283D"/>
    <w:rsid w:val="00FE287A"/>
    <w:rsid w:val="00FE29BE"/>
    <w:rsid w:val="00FE2A3F"/>
    <w:rsid w:val="00FE2A4B"/>
    <w:rsid w:val="00FE2ADD"/>
    <w:rsid w:val="00FE2B16"/>
    <w:rsid w:val="00FE2B49"/>
    <w:rsid w:val="00FE2C41"/>
    <w:rsid w:val="00FE2CA6"/>
    <w:rsid w:val="00FE2D2B"/>
    <w:rsid w:val="00FE2D6D"/>
    <w:rsid w:val="00FE2E09"/>
    <w:rsid w:val="00FE2F66"/>
    <w:rsid w:val="00FE2F72"/>
    <w:rsid w:val="00FE2FD3"/>
    <w:rsid w:val="00FE30CE"/>
    <w:rsid w:val="00FE3148"/>
    <w:rsid w:val="00FE33B1"/>
    <w:rsid w:val="00FE33C5"/>
    <w:rsid w:val="00FE3444"/>
    <w:rsid w:val="00FE3466"/>
    <w:rsid w:val="00FE347B"/>
    <w:rsid w:val="00FE34D1"/>
    <w:rsid w:val="00FE3529"/>
    <w:rsid w:val="00FE3624"/>
    <w:rsid w:val="00FE36E2"/>
    <w:rsid w:val="00FE378F"/>
    <w:rsid w:val="00FE388D"/>
    <w:rsid w:val="00FE389E"/>
    <w:rsid w:val="00FE3928"/>
    <w:rsid w:val="00FE3931"/>
    <w:rsid w:val="00FE39A9"/>
    <w:rsid w:val="00FE3A45"/>
    <w:rsid w:val="00FE3A69"/>
    <w:rsid w:val="00FE3A88"/>
    <w:rsid w:val="00FE3ACC"/>
    <w:rsid w:val="00FE3B9A"/>
    <w:rsid w:val="00FE3C1B"/>
    <w:rsid w:val="00FE3E56"/>
    <w:rsid w:val="00FE3EAF"/>
    <w:rsid w:val="00FE3EC0"/>
    <w:rsid w:val="00FE3F5F"/>
    <w:rsid w:val="00FE40AB"/>
    <w:rsid w:val="00FE4144"/>
    <w:rsid w:val="00FE435D"/>
    <w:rsid w:val="00FE43FF"/>
    <w:rsid w:val="00FE4431"/>
    <w:rsid w:val="00FE44B0"/>
    <w:rsid w:val="00FE4600"/>
    <w:rsid w:val="00FE4687"/>
    <w:rsid w:val="00FE46F8"/>
    <w:rsid w:val="00FE4706"/>
    <w:rsid w:val="00FE4720"/>
    <w:rsid w:val="00FE4722"/>
    <w:rsid w:val="00FE4898"/>
    <w:rsid w:val="00FE491A"/>
    <w:rsid w:val="00FE492E"/>
    <w:rsid w:val="00FE4992"/>
    <w:rsid w:val="00FE49BD"/>
    <w:rsid w:val="00FE4A88"/>
    <w:rsid w:val="00FE4B02"/>
    <w:rsid w:val="00FE4B3C"/>
    <w:rsid w:val="00FE4C4F"/>
    <w:rsid w:val="00FE4C9E"/>
    <w:rsid w:val="00FE4CEE"/>
    <w:rsid w:val="00FE4D54"/>
    <w:rsid w:val="00FE4D7D"/>
    <w:rsid w:val="00FE4EB8"/>
    <w:rsid w:val="00FE4EBC"/>
    <w:rsid w:val="00FE4ED9"/>
    <w:rsid w:val="00FE4F75"/>
    <w:rsid w:val="00FE5005"/>
    <w:rsid w:val="00FE505B"/>
    <w:rsid w:val="00FE5165"/>
    <w:rsid w:val="00FE5173"/>
    <w:rsid w:val="00FE520D"/>
    <w:rsid w:val="00FE53A9"/>
    <w:rsid w:val="00FE5415"/>
    <w:rsid w:val="00FE549E"/>
    <w:rsid w:val="00FE5538"/>
    <w:rsid w:val="00FE5555"/>
    <w:rsid w:val="00FE56B9"/>
    <w:rsid w:val="00FE5717"/>
    <w:rsid w:val="00FE575F"/>
    <w:rsid w:val="00FE577E"/>
    <w:rsid w:val="00FE578C"/>
    <w:rsid w:val="00FE5810"/>
    <w:rsid w:val="00FE5943"/>
    <w:rsid w:val="00FE5A67"/>
    <w:rsid w:val="00FE5B4D"/>
    <w:rsid w:val="00FE5B65"/>
    <w:rsid w:val="00FE5BAE"/>
    <w:rsid w:val="00FE5C8D"/>
    <w:rsid w:val="00FE5CE5"/>
    <w:rsid w:val="00FE5D2A"/>
    <w:rsid w:val="00FE5DCC"/>
    <w:rsid w:val="00FE5E5F"/>
    <w:rsid w:val="00FE5E76"/>
    <w:rsid w:val="00FE5EBD"/>
    <w:rsid w:val="00FE5EDE"/>
    <w:rsid w:val="00FE5F61"/>
    <w:rsid w:val="00FE5F7C"/>
    <w:rsid w:val="00FE61B7"/>
    <w:rsid w:val="00FE61F2"/>
    <w:rsid w:val="00FE6347"/>
    <w:rsid w:val="00FE639A"/>
    <w:rsid w:val="00FE63E9"/>
    <w:rsid w:val="00FE666C"/>
    <w:rsid w:val="00FE6876"/>
    <w:rsid w:val="00FE690C"/>
    <w:rsid w:val="00FE6ABC"/>
    <w:rsid w:val="00FE6C07"/>
    <w:rsid w:val="00FE6C0C"/>
    <w:rsid w:val="00FE6C65"/>
    <w:rsid w:val="00FE6D32"/>
    <w:rsid w:val="00FE6D54"/>
    <w:rsid w:val="00FE6DD2"/>
    <w:rsid w:val="00FE6E22"/>
    <w:rsid w:val="00FE6EE4"/>
    <w:rsid w:val="00FE6F02"/>
    <w:rsid w:val="00FE6F0C"/>
    <w:rsid w:val="00FE6F51"/>
    <w:rsid w:val="00FE6F63"/>
    <w:rsid w:val="00FE6F7D"/>
    <w:rsid w:val="00FE7083"/>
    <w:rsid w:val="00FE70E6"/>
    <w:rsid w:val="00FE715A"/>
    <w:rsid w:val="00FE7206"/>
    <w:rsid w:val="00FE72CC"/>
    <w:rsid w:val="00FE72FA"/>
    <w:rsid w:val="00FE7358"/>
    <w:rsid w:val="00FE736A"/>
    <w:rsid w:val="00FE73DB"/>
    <w:rsid w:val="00FE7467"/>
    <w:rsid w:val="00FE7543"/>
    <w:rsid w:val="00FE754E"/>
    <w:rsid w:val="00FE75AB"/>
    <w:rsid w:val="00FE75F6"/>
    <w:rsid w:val="00FE760B"/>
    <w:rsid w:val="00FE7652"/>
    <w:rsid w:val="00FE767C"/>
    <w:rsid w:val="00FE76F0"/>
    <w:rsid w:val="00FE7722"/>
    <w:rsid w:val="00FE7773"/>
    <w:rsid w:val="00FE7812"/>
    <w:rsid w:val="00FE7B1E"/>
    <w:rsid w:val="00FE7BA9"/>
    <w:rsid w:val="00FE7C78"/>
    <w:rsid w:val="00FE7DD5"/>
    <w:rsid w:val="00FE7EB1"/>
    <w:rsid w:val="00FE7F74"/>
    <w:rsid w:val="00FE7F8C"/>
    <w:rsid w:val="00FE7F8E"/>
    <w:rsid w:val="00FE7FA2"/>
    <w:rsid w:val="00FF0077"/>
    <w:rsid w:val="00FF009E"/>
    <w:rsid w:val="00FF00F3"/>
    <w:rsid w:val="00FF01C7"/>
    <w:rsid w:val="00FF0231"/>
    <w:rsid w:val="00FF02FB"/>
    <w:rsid w:val="00FF0331"/>
    <w:rsid w:val="00FF0388"/>
    <w:rsid w:val="00FF039F"/>
    <w:rsid w:val="00FF044B"/>
    <w:rsid w:val="00FF0550"/>
    <w:rsid w:val="00FF05A6"/>
    <w:rsid w:val="00FF067E"/>
    <w:rsid w:val="00FF06B1"/>
    <w:rsid w:val="00FF084D"/>
    <w:rsid w:val="00FF08BD"/>
    <w:rsid w:val="00FF08CF"/>
    <w:rsid w:val="00FF0A61"/>
    <w:rsid w:val="00FF0BD1"/>
    <w:rsid w:val="00FF0C0A"/>
    <w:rsid w:val="00FF0CCD"/>
    <w:rsid w:val="00FF0D01"/>
    <w:rsid w:val="00FF0D36"/>
    <w:rsid w:val="00FF0D8B"/>
    <w:rsid w:val="00FF0DD2"/>
    <w:rsid w:val="00FF0DED"/>
    <w:rsid w:val="00FF0E2D"/>
    <w:rsid w:val="00FF0E65"/>
    <w:rsid w:val="00FF0EC6"/>
    <w:rsid w:val="00FF107F"/>
    <w:rsid w:val="00FF1091"/>
    <w:rsid w:val="00FF109A"/>
    <w:rsid w:val="00FF10F0"/>
    <w:rsid w:val="00FF118C"/>
    <w:rsid w:val="00FF1212"/>
    <w:rsid w:val="00FF1260"/>
    <w:rsid w:val="00FF1261"/>
    <w:rsid w:val="00FF1309"/>
    <w:rsid w:val="00FF1484"/>
    <w:rsid w:val="00FF1492"/>
    <w:rsid w:val="00FF149C"/>
    <w:rsid w:val="00FF151B"/>
    <w:rsid w:val="00FF1549"/>
    <w:rsid w:val="00FF1567"/>
    <w:rsid w:val="00FF157D"/>
    <w:rsid w:val="00FF15E1"/>
    <w:rsid w:val="00FF15E4"/>
    <w:rsid w:val="00FF15E8"/>
    <w:rsid w:val="00FF19E6"/>
    <w:rsid w:val="00FF1A5C"/>
    <w:rsid w:val="00FF1A78"/>
    <w:rsid w:val="00FF1ADD"/>
    <w:rsid w:val="00FF1B40"/>
    <w:rsid w:val="00FF1BEF"/>
    <w:rsid w:val="00FF1CA0"/>
    <w:rsid w:val="00FF1D89"/>
    <w:rsid w:val="00FF1E25"/>
    <w:rsid w:val="00FF1EA4"/>
    <w:rsid w:val="00FF1EE1"/>
    <w:rsid w:val="00FF20D8"/>
    <w:rsid w:val="00FF20E0"/>
    <w:rsid w:val="00FF228C"/>
    <w:rsid w:val="00FF245E"/>
    <w:rsid w:val="00FF2481"/>
    <w:rsid w:val="00FF2660"/>
    <w:rsid w:val="00FF268D"/>
    <w:rsid w:val="00FF26DB"/>
    <w:rsid w:val="00FF2777"/>
    <w:rsid w:val="00FF27CD"/>
    <w:rsid w:val="00FF282C"/>
    <w:rsid w:val="00FF2878"/>
    <w:rsid w:val="00FF28AD"/>
    <w:rsid w:val="00FF29F2"/>
    <w:rsid w:val="00FF2B16"/>
    <w:rsid w:val="00FF2BEE"/>
    <w:rsid w:val="00FF2C32"/>
    <w:rsid w:val="00FF2C57"/>
    <w:rsid w:val="00FF2D1B"/>
    <w:rsid w:val="00FF2DCE"/>
    <w:rsid w:val="00FF2E4A"/>
    <w:rsid w:val="00FF2F4A"/>
    <w:rsid w:val="00FF310C"/>
    <w:rsid w:val="00FF31C5"/>
    <w:rsid w:val="00FF327A"/>
    <w:rsid w:val="00FF333F"/>
    <w:rsid w:val="00FF342F"/>
    <w:rsid w:val="00FF3434"/>
    <w:rsid w:val="00FF3530"/>
    <w:rsid w:val="00FF3557"/>
    <w:rsid w:val="00FF35D9"/>
    <w:rsid w:val="00FF364D"/>
    <w:rsid w:val="00FF3687"/>
    <w:rsid w:val="00FF37CB"/>
    <w:rsid w:val="00FF37D9"/>
    <w:rsid w:val="00FF3A43"/>
    <w:rsid w:val="00FF3AD3"/>
    <w:rsid w:val="00FF3D17"/>
    <w:rsid w:val="00FF3E2F"/>
    <w:rsid w:val="00FF3F28"/>
    <w:rsid w:val="00FF4000"/>
    <w:rsid w:val="00FF404C"/>
    <w:rsid w:val="00FF4079"/>
    <w:rsid w:val="00FF40C9"/>
    <w:rsid w:val="00FF414B"/>
    <w:rsid w:val="00FF428E"/>
    <w:rsid w:val="00FF42C1"/>
    <w:rsid w:val="00FF42E4"/>
    <w:rsid w:val="00FF43DA"/>
    <w:rsid w:val="00FF43DB"/>
    <w:rsid w:val="00FF442A"/>
    <w:rsid w:val="00FF447B"/>
    <w:rsid w:val="00FF44B5"/>
    <w:rsid w:val="00FF4507"/>
    <w:rsid w:val="00FF4537"/>
    <w:rsid w:val="00FF4638"/>
    <w:rsid w:val="00FF4650"/>
    <w:rsid w:val="00FF4674"/>
    <w:rsid w:val="00FF4708"/>
    <w:rsid w:val="00FF4709"/>
    <w:rsid w:val="00FF47B0"/>
    <w:rsid w:val="00FF47BE"/>
    <w:rsid w:val="00FF47F0"/>
    <w:rsid w:val="00FF4868"/>
    <w:rsid w:val="00FF48CD"/>
    <w:rsid w:val="00FF492C"/>
    <w:rsid w:val="00FF4944"/>
    <w:rsid w:val="00FF4A53"/>
    <w:rsid w:val="00FF4AD0"/>
    <w:rsid w:val="00FF4B44"/>
    <w:rsid w:val="00FF4B72"/>
    <w:rsid w:val="00FF4C11"/>
    <w:rsid w:val="00FF4E5F"/>
    <w:rsid w:val="00FF4FA6"/>
    <w:rsid w:val="00FF4FF6"/>
    <w:rsid w:val="00FF50B3"/>
    <w:rsid w:val="00FF5142"/>
    <w:rsid w:val="00FF51F4"/>
    <w:rsid w:val="00FF5247"/>
    <w:rsid w:val="00FF524A"/>
    <w:rsid w:val="00FF5336"/>
    <w:rsid w:val="00FF5473"/>
    <w:rsid w:val="00FF54AA"/>
    <w:rsid w:val="00FF556B"/>
    <w:rsid w:val="00FF55C1"/>
    <w:rsid w:val="00FF55CF"/>
    <w:rsid w:val="00FF55D2"/>
    <w:rsid w:val="00FF563D"/>
    <w:rsid w:val="00FF580F"/>
    <w:rsid w:val="00FF5953"/>
    <w:rsid w:val="00FF5AD3"/>
    <w:rsid w:val="00FF5B07"/>
    <w:rsid w:val="00FF5B63"/>
    <w:rsid w:val="00FF5BA1"/>
    <w:rsid w:val="00FF5BF7"/>
    <w:rsid w:val="00FF5C3E"/>
    <w:rsid w:val="00FF5C5F"/>
    <w:rsid w:val="00FF5D31"/>
    <w:rsid w:val="00FF5E18"/>
    <w:rsid w:val="00FF5F2E"/>
    <w:rsid w:val="00FF5FA9"/>
    <w:rsid w:val="00FF5FE5"/>
    <w:rsid w:val="00FF603B"/>
    <w:rsid w:val="00FF6048"/>
    <w:rsid w:val="00FF60C1"/>
    <w:rsid w:val="00FF60CF"/>
    <w:rsid w:val="00FF6212"/>
    <w:rsid w:val="00FF6241"/>
    <w:rsid w:val="00FF62ED"/>
    <w:rsid w:val="00FF635E"/>
    <w:rsid w:val="00FF63A8"/>
    <w:rsid w:val="00FF63F1"/>
    <w:rsid w:val="00FF640F"/>
    <w:rsid w:val="00FF64D1"/>
    <w:rsid w:val="00FF64DD"/>
    <w:rsid w:val="00FF6527"/>
    <w:rsid w:val="00FF65A1"/>
    <w:rsid w:val="00FF65E0"/>
    <w:rsid w:val="00FF66EC"/>
    <w:rsid w:val="00FF67B9"/>
    <w:rsid w:val="00FF68EF"/>
    <w:rsid w:val="00FF6956"/>
    <w:rsid w:val="00FF6A9E"/>
    <w:rsid w:val="00FF6AEA"/>
    <w:rsid w:val="00FF6B2B"/>
    <w:rsid w:val="00FF6B93"/>
    <w:rsid w:val="00FF6BED"/>
    <w:rsid w:val="00FF6D78"/>
    <w:rsid w:val="00FF6E43"/>
    <w:rsid w:val="00FF6EC4"/>
    <w:rsid w:val="00FF6F6F"/>
    <w:rsid w:val="00FF6FB2"/>
    <w:rsid w:val="00FF7006"/>
    <w:rsid w:val="00FF7052"/>
    <w:rsid w:val="00FF714C"/>
    <w:rsid w:val="00FF71E6"/>
    <w:rsid w:val="00FF7218"/>
    <w:rsid w:val="00FF722D"/>
    <w:rsid w:val="00FF7439"/>
    <w:rsid w:val="00FF763D"/>
    <w:rsid w:val="00FF76C9"/>
    <w:rsid w:val="00FF7704"/>
    <w:rsid w:val="00FF78B8"/>
    <w:rsid w:val="00FF7A23"/>
    <w:rsid w:val="00FF7A6D"/>
    <w:rsid w:val="00FF7A8B"/>
    <w:rsid w:val="00FF7AA3"/>
    <w:rsid w:val="00FF7AE2"/>
    <w:rsid w:val="00FF7BED"/>
    <w:rsid w:val="00FF7C16"/>
    <w:rsid w:val="00FF7C9B"/>
    <w:rsid w:val="00FF7CC1"/>
    <w:rsid w:val="00FF7D92"/>
    <w:rsid w:val="00FF7E13"/>
    <w:rsid w:val="00FF7E9B"/>
    <w:rsid w:val="00FF7F25"/>
    <w:rsid w:val="0102764A"/>
    <w:rsid w:val="01028223"/>
    <w:rsid w:val="0107FF18"/>
    <w:rsid w:val="0110CAE7"/>
    <w:rsid w:val="0111A625"/>
    <w:rsid w:val="0112091C"/>
    <w:rsid w:val="01168527"/>
    <w:rsid w:val="0118F95B"/>
    <w:rsid w:val="0127560D"/>
    <w:rsid w:val="0133865E"/>
    <w:rsid w:val="01364007"/>
    <w:rsid w:val="013675AE"/>
    <w:rsid w:val="013F0056"/>
    <w:rsid w:val="014508EF"/>
    <w:rsid w:val="014AC9BA"/>
    <w:rsid w:val="014B3211"/>
    <w:rsid w:val="014C0931"/>
    <w:rsid w:val="014FF3CB"/>
    <w:rsid w:val="01569249"/>
    <w:rsid w:val="015E9442"/>
    <w:rsid w:val="01646D15"/>
    <w:rsid w:val="0167440F"/>
    <w:rsid w:val="0167788A"/>
    <w:rsid w:val="016FBAA6"/>
    <w:rsid w:val="0172189A"/>
    <w:rsid w:val="01743BC0"/>
    <w:rsid w:val="01800AFB"/>
    <w:rsid w:val="01828364"/>
    <w:rsid w:val="01832A18"/>
    <w:rsid w:val="0184B979"/>
    <w:rsid w:val="01851689"/>
    <w:rsid w:val="01872668"/>
    <w:rsid w:val="0188F71F"/>
    <w:rsid w:val="018F6145"/>
    <w:rsid w:val="019419C7"/>
    <w:rsid w:val="01945BD4"/>
    <w:rsid w:val="01966B5A"/>
    <w:rsid w:val="019B975D"/>
    <w:rsid w:val="019F3E37"/>
    <w:rsid w:val="01A294E4"/>
    <w:rsid w:val="01A58511"/>
    <w:rsid w:val="01C02455"/>
    <w:rsid w:val="01C2C11E"/>
    <w:rsid w:val="01C96176"/>
    <w:rsid w:val="01CA6BDF"/>
    <w:rsid w:val="01CC3BD2"/>
    <w:rsid w:val="01CEFE88"/>
    <w:rsid w:val="01D00904"/>
    <w:rsid w:val="01D34C53"/>
    <w:rsid w:val="01D91E87"/>
    <w:rsid w:val="01DDAF90"/>
    <w:rsid w:val="01E61202"/>
    <w:rsid w:val="01E61577"/>
    <w:rsid w:val="01E8C75C"/>
    <w:rsid w:val="01EB8098"/>
    <w:rsid w:val="01EBED5B"/>
    <w:rsid w:val="0209F368"/>
    <w:rsid w:val="020B8DEA"/>
    <w:rsid w:val="020BF86F"/>
    <w:rsid w:val="021185FA"/>
    <w:rsid w:val="021FB75A"/>
    <w:rsid w:val="0222E4C2"/>
    <w:rsid w:val="02248F69"/>
    <w:rsid w:val="02274118"/>
    <w:rsid w:val="0228F2A1"/>
    <w:rsid w:val="023A6201"/>
    <w:rsid w:val="023B3DD1"/>
    <w:rsid w:val="023C3435"/>
    <w:rsid w:val="0240DDAE"/>
    <w:rsid w:val="0241C54D"/>
    <w:rsid w:val="0248049B"/>
    <w:rsid w:val="024D9273"/>
    <w:rsid w:val="025163E6"/>
    <w:rsid w:val="025491ED"/>
    <w:rsid w:val="02559696"/>
    <w:rsid w:val="0255D6CE"/>
    <w:rsid w:val="02632BFB"/>
    <w:rsid w:val="02729218"/>
    <w:rsid w:val="02742C63"/>
    <w:rsid w:val="02807499"/>
    <w:rsid w:val="0282A573"/>
    <w:rsid w:val="028330C0"/>
    <w:rsid w:val="0285B792"/>
    <w:rsid w:val="028D0CC9"/>
    <w:rsid w:val="02910760"/>
    <w:rsid w:val="0292FCDB"/>
    <w:rsid w:val="0293D4AD"/>
    <w:rsid w:val="029CA3F1"/>
    <w:rsid w:val="029D8779"/>
    <w:rsid w:val="02A357A4"/>
    <w:rsid w:val="02A3C6D6"/>
    <w:rsid w:val="02A40CFD"/>
    <w:rsid w:val="02AADC9A"/>
    <w:rsid w:val="02AE772F"/>
    <w:rsid w:val="02AEEE04"/>
    <w:rsid w:val="02B24E41"/>
    <w:rsid w:val="02B497DB"/>
    <w:rsid w:val="02BDA20F"/>
    <w:rsid w:val="02C183A0"/>
    <w:rsid w:val="02C89BE2"/>
    <w:rsid w:val="02D0E37F"/>
    <w:rsid w:val="02D2148E"/>
    <w:rsid w:val="02D42A65"/>
    <w:rsid w:val="02DF1A16"/>
    <w:rsid w:val="02E0BD43"/>
    <w:rsid w:val="02E0E874"/>
    <w:rsid w:val="02E2E3AC"/>
    <w:rsid w:val="02E578BF"/>
    <w:rsid w:val="02E58593"/>
    <w:rsid w:val="02E65170"/>
    <w:rsid w:val="02F3B8F6"/>
    <w:rsid w:val="02F5D844"/>
    <w:rsid w:val="02F8491E"/>
    <w:rsid w:val="0300DC7B"/>
    <w:rsid w:val="03021FE8"/>
    <w:rsid w:val="03054990"/>
    <w:rsid w:val="03071DE8"/>
    <w:rsid w:val="0311E0E7"/>
    <w:rsid w:val="0317C42A"/>
    <w:rsid w:val="031964BA"/>
    <w:rsid w:val="031B7E9C"/>
    <w:rsid w:val="031CBE48"/>
    <w:rsid w:val="032193E9"/>
    <w:rsid w:val="0322C796"/>
    <w:rsid w:val="0324B538"/>
    <w:rsid w:val="03269C2E"/>
    <w:rsid w:val="032AC89B"/>
    <w:rsid w:val="032B1B48"/>
    <w:rsid w:val="032B786D"/>
    <w:rsid w:val="032D50EB"/>
    <w:rsid w:val="0338F630"/>
    <w:rsid w:val="033DFA4F"/>
    <w:rsid w:val="033E6F67"/>
    <w:rsid w:val="0345BD7A"/>
    <w:rsid w:val="034D5201"/>
    <w:rsid w:val="0351573E"/>
    <w:rsid w:val="035170B4"/>
    <w:rsid w:val="035BA393"/>
    <w:rsid w:val="0360B643"/>
    <w:rsid w:val="03638EDC"/>
    <w:rsid w:val="036B9A42"/>
    <w:rsid w:val="036CB10A"/>
    <w:rsid w:val="036CF419"/>
    <w:rsid w:val="037B9F4F"/>
    <w:rsid w:val="037EEA79"/>
    <w:rsid w:val="03889EBF"/>
    <w:rsid w:val="0392CA21"/>
    <w:rsid w:val="03951628"/>
    <w:rsid w:val="039B994D"/>
    <w:rsid w:val="03A3804F"/>
    <w:rsid w:val="03A3B09F"/>
    <w:rsid w:val="03A5C351"/>
    <w:rsid w:val="03AD145A"/>
    <w:rsid w:val="03AF7D6E"/>
    <w:rsid w:val="03B2FE8A"/>
    <w:rsid w:val="03B70E85"/>
    <w:rsid w:val="03B73F1C"/>
    <w:rsid w:val="03BA7AC2"/>
    <w:rsid w:val="03BE385F"/>
    <w:rsid w:val="03C28E0D"/>
    <w:rsid w:val="03C5D40A"/>
    <w:rsid w:val="03CC9C17"/>
    <w:rsid w:val="03D00FD3"/>
    <w:rsid w:val="03D6639E"/>
    <w:rsid w:val="03D74D86"/>
    <w:rsid w:val="03DDBBB2"/>
    <w:rsid w:val="03E2ED42"/>
    <w:rsid w:val="03E4A483"/>
    <w:rsid w:val="03E93AB3"/>
    <w:rsid w:val="03F29311"/>
    <w:rsid w:val="03F491A2"/>
    <w:rsid w:val="03FDEA2B"/>
    <w:rsid w:val="04016D1A"/>
    <w:rsid w:val="04025C21"/>
    <w:rsid w:val="040447DA"/>
    <w:rsid w:val="04073CE6"/>
    <w:rsid w:val="0409E651"/>
    <w:rsid w:val="040E58E2"/>
    <w:rsid w:val="041626AF"/>
    <w:rsid w:val="041685E4"/>
    <w:rsid w:val="0418AF88"/>
    <w:rsid w:val="0419A3F7"/>
    <w:rsid w:val="041CA782"/>
    <w:rsid w:val="041F4774"/>
    <w:rsid w:val="04250A7B"/>
    <w:rsid w:val="04256C68"/>
    <w:rsid w:val="042BE95A"/>
    <w:rsid w:val="042FD3A7"/>
    <w:rsid w:val="04313CFA"/>
    <w:rsid w:val="0431CC5C"/>
    <w:rsid w:val="043423FB"/>
    <w:rsid w:val="04349F56"/>
    <w:rsid w:val="043541B1"/>
    <w:rsid w:val="04381A9F"/>
    <w:rsid w:val="043B73C9"/>
    <w:rsid w:val="043C0A4A"/>
    <w:rsid w:val="043CBEBA"/>
    <w:rsid w:val="043EA5FE"/>
    <w:rsid w:val="0447DA57"/>
    <w:rsid w:val="044F14B2"/>
    <w:rsid w:val="04501F6A"/>
    <w:rsid w:val="0454E1F2"/>
    <w:rsid w:val="0460233A"/>
    <w:rsid w:val="046A5606"/>
    <w:rsid w:val="046A5F95"/>
    <w:rsid w:val="0471A8F6"/>
    <w:rsid w:val="0476586C"/>
    <w:rsid w:val="047787D4"/>
    <w:rsid w:val="047B8DC5"/>
    <w:rsid w:val="0480B264"/>
    <w:rsid w:val="04870927"/>
    <w:rsid w:val="0487C68F"/>
    <w:rsid w:val="0487F40F"/>
    <w:rsid w:val="04895F43"/>
    <w:rsid w:val="048D6D03"/>
    <w:rsid w:val="048E4920"/>
    <w:rsid w:val="048E512C"/>
    <w:rsid w:val="049AED4B"/>
    <w:rsid w:val="04A1AA50"/>
    <w:rsid w:val="04A5F4DA"/>
    <w:rsid w:val="04A84BF2"/>
    <w:rsid w:val="04ABF9AF"/>
    <w:rsid w:val="04ADFB40"/>
    <w:rsid w:val="04AE7702"/>
    <w:rsid w:val="04AFA1FB"/>
    <w:rsid w:val="04B1C8F7"/>
    <w:rsid w:val="04B28A6A"/>
    <w:rsid w:val="04B3C881"/>
    <w:rsid w:val="04BA325F"/>
    <w:rsid w:val="04BAE117"/>
    <w:rsid w:val="04C7A690"/>
    <w:rsid w:val="04CB5C3A"/>
    <w:rsid w:val="04CF2B20"/>
    <w:rsid w:val="04CF6DEB"/>
    <w:rsid w:val="04D191AC"/>
    <w:rsid w:val="04DBACAE"/>
    <w:rsid w:val="04DF9EF7"/>
    <w:rsid w:val="04E0D505"/>
    <w:rsid w:val="04E23C3F"/>
    <w:rsid w:val="04E75D7F"/>
    <w:rsid w:val="04E9A761"/>
    <w:rsid w:val="04EB37B7"/>
    <w:rsid w:val="04EF43AE"/>
    <w:rsid w:val="04EF7CF5"/>
    <w:rsid w:val="04FD3936"/>
    <w:rsid w:val="05051F9B"/>
    <w:rsid w:val="05062E43"/>
    <w:rsid w:val="05072711"/>
    <w:rsid w:val="05108557"/>
    <w:rsid w:val="051294AE"/>
    <w:rsid w:val="0514F308"/>
    <w:rsid w:val="051A9518"/>
    <w:rsid w:val="052453B5"/>
    <w:rsid w:val="0527397D"/>
    <w:rsid w:val="05298922"/>
    <w:rsid w:val="052AEAB4"/>
    <w:rsid w:val="052D3490"/>
    <w:rsid w:val="0531C9A2"/>
    <w:rsid w:val="0538E94C"/>
    <w:rsid w:val="05444DF3"/>
    <w:rsid w:val="05494FCF"/>
    <w:rsid w:val="054A5F5C"/>
    <w:rsid w:val="0550E5F8"/>
    <w:rsid w:val="05525CF3"/>
    <w:rsid w:val="05532338"/>
    <w:rsid w:val="05548D3A"/>
    <w:rsid w:val="05549013"/>
    <w:rsid w:val="05559599"/>
    <w:rsid w:val="055E9AC5"/>
    <w:rsid w:val="0563C218"/>
    <w:rsid w:val="0565B3E6"/>
    <w:rsid w:val="0565D654"/>
    <w:rsid w:val="0565FBA8"/>
    <w:rsid w:val="05674626"/>
    <w:rsid w:val="056D2772"/>
    <w:rsid w:val="056ECCDA"/>
    <w:rsid w:val="0580A55B"/>
    <w:rsid w:val="05897B70"/>
    <w:rsid w:val="058D8AB9"/>
    <w:rsid w:val="05933683"/>
    <w:rsid w:val="05937FAA"/>
    <w:rsid w:val="059788CB"/>
    <w:rsid w:val="059AE776"/>
    <w:rsid w:val="05A394AD"/>
    <w:rsid w:val="05A92211"/>
    <w:rsid w:val="05AA7709"/>
    <w:rsid w:val="05AE44AB"/>
    <w:rsid w:val="05BE6E04"/>
    <w:rsid w:val="05C88533"/>
    <w:rsid w:val="05CE0A3D"/>
    <w:rsid w:val="05CFB240"/>
    <w:rsid w:val="05D4F6C6"/>
    <w:rsid w:val="05DE478B"/>
    <w:rsid w:val="05E4FEF8"/>
    <w:rsid w:val="05ECDB1F"/>
    <w:rsid w:val="05F51ED5"/>
    <w:rsid w:val="05F5537C"/>
    <w:rsid w:val="05F69B6E"/>
    <w:rsid w:val="05FA8833"/>
    <w:rsid w:val="05FC751D"/>
    <w:rsid w:val="05FD5530"/>
    <w:rsid w:val="05FE1EB0"/>
    <w:rsid w:val="0603B2E8"/>
    <w:rsid w:val="0608A72A"/>
    <w:rsid w:val="060AD20A"/>
    <w:rsid w:val="060EC701"/>
    <w:rsid w:val="061081F8"/>
    <w:rsid w:val="06118FAD"/>
    <w:rsid w:val="06134D02"/>
    <w:rsid w:val="061CA049"/>
    <w:rsid w:val="0620B71E"/>
    <w:rsid w:val="062403B4"/>
    <w:rsid w:val="06293512"/>
    <w:rsid w:val="06332660"/>
    <w:rsid w:val="063E40E3"/>
    <w:rsid w:val="06445D01"/>
    <w:rsid w:val="0644EDCE"/>
    <w:rsid w:val="064FEEB3"/>
    <w:rsid w:val="0653A588"/>
    <w:rsid w:val="065C8C82"/>
    <w:rsid w:val="0667790F"/>
    <w:rsid w:val="0667F9E1"/>
    <w:rsid w:val="066A8EE1"/>
    <w:rsid w:val="066FC644"/>
    <w:rsid w:val="06716A0D"/>
    <w:rsid w:val="0671EABB"/>
    <w:rsid w:val="067246AC"/>
    <w:rsid w:val="067894BA"/>
    <w:rsid w:val="067B4004"/>
    <w:rsid w:val="067D0A70"/>
    <w:rsid w:val="0680DD18"/>
    <w:rsid w:val="068C8541"/>
    <w:rsid w:val="068D8F72"/>
    <w:rsid w:val="0697C400"/>
    <w:rsid w:val="069B465A"/>
    <w:rsid w:val="06A3D5B6"/>
    <w:rsid w:val="06A6093B"/>
    <w:rsid w:val="06A7769D"/>
    <w:rsid w:val="06A7F48B"/>
    <w:rsid w:val="06AB216A"/>
    <w:rsid w:val="06ACC733"/>
    <w:rsid w:val="06AD66F6"/>
    <w:rsid w:val="06AF2A11"/>
    <w:rsid w:val="06B21FB8"/>
    <w:rsid w:val="06B2B6EC"/>
    <w:rsid w:val="06BC33B1"/>
    <w:rsid w:val="06BE5D13"/>
    <w:rsid w:val="06C2C432"/>
    <w:rsid w:val="06C34976"/>
    <w:rsid w:val="06C8B898"/>
    <w:rsid w:val="06C9517F"/>
    <w:rsid w:val="06CBBE85"/>
    <w:rsid w:val="06CD29FF"/>
    <w:rsid w:val="06D4D1AC"/>
    <w:rsid w:val="06DA1735"/>
    <w:rsid w:val="06E02241"/>
    <w:rsid w:val="06E34DCD"/>
    <w:rsid w:val="06E5148F"/>
    <w:rsid w:val="06E7DECD"/>
    <w:rsid w:val="06E85954"/>
    <w:rsid w:val="06EBEEFE"/>
    <w:rsid w:val="06EC49D9"/>
    <w:rsid w:val="06F168B1"/>
    <w:rsid w:val="06F454BB"/>
    <w:rsid w:val="06F5D9E0"/>
    <w:rsid w:val="06F6F0F3"/>
    <w:rsid w:val="06F9EAC4"/>
    <w:rsid w:val="07068550"/>
    <w:rsid w:val="0709D5CF"/>
    <w:rsid w:val="070DC6BE"/>
    <w:rsid w:val="07197F5E"/>
    <w:rsid w:val="071D8AC4"/>
    <w:rsid w:val="07238C1B"/>
    <w:rsid w:val="07308E3C"/>
    <w:rsid w:val="0731CA0B"/>
    <w:rsid w:val="0738263D"/>
    <w:rsid w:val="073CE353"/>
    <w:rsid w:val="073DF01C"/>
    <w:rsid w:val="073F5831"/>
    <w:rsid w:val="074C90BC"/>
    <w:rsid w:val="0751281A"/>
    <w:rsid w:val="075637FF"/>
    <w:rsid w:val="0758FADB"/>
    <w:rsid w:val="075E533E"/>
    <w:rsid w:val="075EE63C"/>
    <w:rsid w:val="07600CC2"/>
    <w:rsid w:val="076498DB"/>
    <w:rsid w:val="076AA868"/>
    <w:rsid w:val="076F9421"/>
    <w:rsid w:val="0776B17F"/>
    <w:rsid w:val="0779EAE2"/>
    <w:rsid w:val="077BC88A"/>
    <w:rsid w:val="0781ED3E"/>
    <w:rsid w:val="07877569"/>
    <w:rsid w:val="078DB3AE"/>
    <w:rsid w:val="079029C1"/>
    <w:rsid w:val="0790F3CF"/>
    <w:rsid w:val="0794609C"/>
    <w:rsid w:val="079A2D5F"/>
    <w:rsid w:val="079CC9E7"/>
    <w:rsid w:val="07A34DD5"/>
    <w:rsid w:val="07A6C15E"/>
    <w:rsid w:val="07A895F1"/>
    <w:rsid w:val="07AAFDFB"/>
    <w:rsid w:val="07ABD7FF"/>
    <w:rsid w:val="07AF535B"/>
    <w:rsid w:val="07B34AFD"/>
    <w:rsid w:val="07B7221D"/>
    <w:rsid w:val="07C13833"/>
    <w:rsid w:val="07C70D48"/>
    <w:rsid w:val="07C8C734"/>
    <w:rsid w:val="07CD10F0"/>
    <w:rsid w:val="07D0FC17"/>
    <w:rsid w:val="07D186B5"/>
    <w:rsid w:val="07D40189"/>
    <w:rsid w:val="07D438BA"/>
    <w:rsid w:val="07D450CF"/>
    <w:rsid w:val="07D52C7B"/>
    <w:rsid w:val="07D54159"/>
    <w:rsid w:val="07D82CAE"/>
    <w:rsid w:val="07DB3F91"/>
    <w:rsid w:val="07E23106"/>
    <w:rsid w:val="07E60E8D"/>
    <w:rsid w:val="07E63C47"/>
    <w:rsid w:val="07EBDA4C"/>
    <w:rsid w:val="07ECF605"/>
    <w:rsid w:val="07EED4AE"/>
    <w:rsid w:val="07F498BC"/>
    <w:rsid w:val="07FB64E9"/>
    <w:rsid w:val="080373E4"/>
    <w:rsid w:val="0806CE36"/>
    <w:rsid w:val="0810F397"/>
    <w:rsid w:val="0815668D"/>
    <w:rsid w:val="08175185"/>
    <w:rsid w:val="0817F081"/>
    <w:rsid w:val="081FD94F"/>
    <w:rsid w:val="0822A71C"/>
    <w:rsid w:val="082752E7"/>
    <w:rsid w:val="0827555B"/>
    <w:rsid w:val="08324A9E"/>
    <w:rsid w:val="08335F9A"/>
    <w:rsid w:val="083978C8"/>
    <w:rsid w:val="08403B01"/>
    <w:rsid w:val="0841CF65"/>
    <w:rsid w:val="0843D171"/>
    <w:rsid w:val="084876EA"/>
    <w:rsid w:val="0853D887"/>
    <w:rsid w:val="085B3123"/>
    <w:rsid w:val="085CA9E7"/>
    <w:rsid w:val="0862439F"/>
    <w:rsid w:val="08634CD0"/>
    <w:rsid w:val="08635E69"/>
    <w:rsid w:val="0863B8E5"/>
    <w:rsid w:val="0873DDD5"/>
    <w:rsid w:val="0878F027"/>
    <w:rsid w:val="08850934"/>
    <w:rsid w:val="0885985A"/>
    <w:rsid w:val="08882C79"/>
    <w:rsid w:val="08972293"/>
    <w:rsid w:val="089C7E17"/>
    <w:rsid w:val="089D2035"/>
    <w:rsid w:val="089E3784"/>
    <w:rsid w:val="08A23070"/>
    <w:rsid w:val="08A6C06F"/>
    <w:rsid w:val="08A745FF"/>
    <w:rsid w:val="08A9CDC1"/>
    <w:rsid w:val="08AAA35E"/>
    <w:rsid w:val="08AC481B"/>
    <w:rsid w:val="08B2AF3D"/>
    <w:rsid w:val="08B6FC73"/>
    <w:rsid w:val="08BC9907"/>
    <w:rsid w:val="08BD696F"/>
    <w:rsid w:val="08C35367"/>
    <w:rsid w:val="08C4E20D"/>
    <w:rsid w:val="08C9492B"/>
    <w:rsid w:val="08D5B284"/>
    <w:rsid w:val="08D6C825"/>
    <w:rsid w:val="08DA3F9E"/>
    <w:rsid w:val="08DA97DB"/>
    <w:rsid w:val="08E433E5"/>
    <w:rsid w:val="08E6C720"/>
    <w:rsid w:val="08E99F26"/>
    <w:rsid w:val="08F1F65C"/>
    <w:rsid w:val="09054857"/>
    <w:rsid w:val="09094711"/>
    <w:rsid w:val="090E33A4"/>
    <w:rsid w:val="0919857B"/>
    <w:rsid w:val="091E29CC"/>
    <w:rsid w:val="09240C4A"/>
    <w:rsid w:val="0924C12E"/>
    <w:rsid w:val="0928B91F"/>
    <w:rsid w:val="092F7E46"/>
    <w:rsid w:val="094C2520"/>
    <w:rsid w:val="095B77B8"/>
    <w:rsid w:val="095E48F7"/>
    <w:rsid w:val="09604841"/>
    <w:rsid w:val="0961B82B"/>
    <w:rsid w:val="09652542"/>
    <w:rsid w:val="096B332C"/>
    <w:rsid w:val="09784B58"/>
    <w:rsid w:val="097C453F"/>
    <w:rsid w:val="098639A0"/>
    <w:rsid w:val="0986F9E3"/>
    <w:rsid w:val="098C6EE6"/>
    <w:rsid w:val="098F361A"/>
    <w:rsid w:val="0990169D"/>
    <w:rsid w:val="0990D6D7"/>
    <w:rsid w:val="099455E0"/>
    <w:rsid w:val="099628B1"/>
    <w:rsid w:val="099ADF93"/>
    <w:rsid w:val="09A7F13B"/>
    <w:rsid w:val="09A82590"/>
    <w:rsid w:val="09AA972F"/>
    <w:rsid w:val="09AAA349"/>
    <w:rsid w:val="09B2BCA6"/>
    <w:rsid w:val="09B30203"/>
    <w:rsid w:val="09BB49FA"/>
    <w:rsid w:val="09BE24D8"/>
    <w:rsid w:val="09BE388D"/>
    <w:rsid w:val="09C174AF"/>
    <w:rsid w:val="09C1F908"/>
    <w:rsid w:val="09C69A83"/>
    <w:rsid w:val="09D2674D"/>
    <w:rsid w:val="09E47A6E"/>
    <w:rsid w:val="09E556B4"/>
    <w:rsid w:val="09E94720"/>
    <w:rsid w:val="09EC43E3"/>
    <w:rsid w:val="09EFD148"/>
    <w:rsid w:val="09F26EC1"/>
    <w:rsid w:val="09F57A8B"/>
    <w:rsid w:val="09F75B8B"/>
    <w:rsid w:val="09F81299"/>
    <w:rsid w:val="09FB91E7"/>
    <w:rsid w:val="09FE4672"/>
    <w:rsid w:val="09FFC160"/>
    <w:rsid w:val="0A02E4E5"/>
    <w:rsid w:val="0A03D135"/>
    <w:rsid w:val="0A05EC4E"/>
    <w:rsid w:val="0A0E50B6"/>
    <w:rsid w:val="0A1080C7"/>
    <w:rsid w:val="0A195346"/>
    <w:rsid w:val="0A1F14AB"/>
    <w:rsid w:val="0A238994"/>
    <w:rsid w:val="0A29E6BB"/>
    <w:rsid w:val="0A2AA106"/>
    <w:rsid w:val="0A3A8E8F"/>
    <w:rsid w:val="0A3B8C83"/>
    <w:rsid w:val="0A3F27BD"/>
    <w:rsid w:val="0A4931E0"/>
    <w:rsid w:val="0A4DFE31"/>
    <w:rsid w:val="0A547062"/>
    <w:rsid w:val="0A678854"/>
    <w:rsid w:val="0A6A24E9"/>
    <w:rsid w:val="0A72B28B"/>
    <w:rsid w:val="0A7AA8E8"/>
    <w:rsid w:val="0A7DD13D"/>
    <w:rsid w:val="0A81A61B"/>
    <w:rsid w:val="0A85EF8F"/>
    <w:rsid w:val="0A889862"/>
    <w:rsid w:val="0A8FC448"/>
    <w:rsid w:val="0A926F1F"/>
    <w:rsid w:val="0A940042"/>
    <w:rsid w:val="0A958FFC"/>
    <w:rsid w:val="0AA47305"/>
    <w:rsid w:val="0AAAB2E5"/>
    <w:rsid w:val="0AAD0369"/>
    <w:rsid w:val="0AB482C7"/>
    <w:rsid w:val="0AB520D0"/>
    <w:rsid w:val="0AB56A2E"/>
    <w:rsid w:val="0AB7E4DD"/>
    <w:rsid w:val="0ABC202F"/>
    <w:rsid w:val="0AC3FB86"/>
    <w:rsid w:val="0AC8711B"/>
    <w:rsid w:val="0ACA3310"/>
    <w:rsid w:val="0AD86B35"/>
    <w:rsid w:val="0AD906D0"/>
    <w:rsid w:val="0AE639C7"/>
    <w:rsid w:val="0AE8444A"/>
    <w:rsid w:val="0AF36556"/>
    <w:rsid w:val="0AFA8D28"/>
    <w:rsid w:val="0B074FD4"/>
    <w:rsid w:val="0B0C0A57"/>
    <w:rsid w:val="0B0DBACD"/>
    <w:rsid w:val="0B0EC52C"/>
    <w:rsid w:val="0B0F627E"/>
    <w:rsid w:val="0B18E80A"/>
    <w:rsid w:val="0B1A99D1"/>
    <w:rsid w:val="0B1CB76E"/>
    <w:rsid w:val="0B201B95"/>
    <w:rsid w:val="0B2425EF"/>
    <w:rsid w:val="0B2B9B86"/>
    <w:rsid w:val="0B336EF2"/>
    <w:rsid w:val="0B349919"/>
    <w:rsid w:val="0B3A12A9"/>
    <w:rsid w:val="0B565DED"/>
    <w:rsid w:val="0B570962"/>
    <w:rsid w:val="0B578665"/>
    <w:rsid w:val="0B6D1F06"/>
    <w:rsid w:val="0B6F1033"/>
    <w:rsid w:val="0B70BAE4"/>
    <w:rsid w:val="0B71091A"/>
    <w:rsid w:val="0B71951D"/>
    <w:rsid w:val="0B773AB3"/>
    <w:rsid w:val="0B7BB35D"/>
    <w:rsid w:val="0B7CDE9A"/>
    <w:rsid w:val="0B7DEFBB"/>
    <w:rsid w:val="0B8079C3"/>
    <w:rsid w:val="0B808255"/>
    <w:rsid w:val="0B8A5E59"/>
    <w:rsid w:val="0B8EC2A7"/>
    <w:rsid w:val="0B8F7DD5"/>
    <w:rsid w:val="0B931301"/>
    <w:rsid w:val="0B95ED11"/>
    <w:rsid w:val="0B984EB2"/>
    <w:rsid w:val="0B9866A9"/>
    <w:rsid w:val="0B98EFBE"/>
    <w:rsid w:val="0B9C7AD4"/>
    <w:rsid w:val="0B9DE997"/>
    <w:rsid w:val="0BA1BCAF"/>
    <w:rsid w:val="0BA81303"/>
    <w:rsid w:val="0BA9B7E4"/>
    <w:rsid w:val="0BAB0291"/>
    <w:rsid w:val="0BB0DAD3"/>
    <w:rsid w:val="0BB57B40"/>
    <w:rsid w:val="0BB5FA41"/>
    <w:rsid w:val="0BB862FF"/>
    <w:rsid w:val="0BC3EE99"/>
    <w:rsid w:val="0BC8F5D4"/>
    <w:rsid w:val="0BC953A4"/>
    <w:rsid w:val="0BC9FD75"/>
    <w:rsid w:val="0BCBDA70"/>
    <w:rsid w:val="0BCE2532"/>
    <w:rsid w:val="0BD2770A"/>
    <w:rsid w:val="0BD32389"/>
    <w:rsid w:val="0BD6B305"/>
    <w:rsid w:val="0BD8E80D"/>
    <w:rsid w:val="0BD986B6"/>
    <w:rsid w:val="0BD9B6A2"/>
    <w:rsid w:val="0BDB61C9"/>
    <w:rsid w:val="0BDD7872"/>
    <w:rsid w:val="0BE2215D"/>
    <w:rsid w:val="0BE408D2"/>
    <w:rsid w:val="0BE614EB"/>
    <w:rsid w:val="0BEA0405"/>
    <w:rsid w:val="0BF35056"/>
    <w:rsid w:val="0BF52533"/>
    <w:rsid w:val="0BFB7322"/>
    <w:rsid w:val="0BFCB791"/>
    <w:rsid w:val="0C039EAB"/>
    <w:rsid w:val="0C044CE8"/>
    <w:rsid w:val="0C0C65D4"/>
    <w:rsid w:val="0C10B1E4"/>
    <w:rsid w:val="0C15F5B0"/>
    <w:rsid w:val="0C19B341"/>
    <w:rsid w:val="0C1B73C4"/>
    <w:rsid w:val="0C1E6C3A"/>
    <w:rsid w:val="0C26469F"/>
    <w:rsid w:val="0C279BD1"/>
    <w:rsid w:val="0C290D49"/>
    <w:rsid w:val="0C320AC5"/>
    <w:rsid w:val="0C38E954"/>
    <w:rsid w:val="0C4D7EC0"/>
    <w:rsid w:val="0C4E27DE"/>
    <w:rsid w:val="0C56F980"/>
    <w:rsid w:val="0C570DF0"/>
    <w:rsid w:val="0C58547B"/>
    <w:rsid w:val="0C59A243"/>
    <w:rsid w:val="0C5F78FD"/>
    <w:rsid w:val="0C60151A"/>
    <w:rsid w:val="0C617998"/>
    <w:rsid w:val="0C62B2AB"/>
    <w:rsid w:val="0C655532"/>
    <w:rsid w:val="0C673742"/>
    <w:rsid w:val="0C6CD837"/>
    <w:rsid w:val="0C6D9754"/>
    <w:rsid w:val="0C731AB1"/>
    <w:rsid w:val="0C739ED5"/>
    <w:rsid w:val="0C75BBBC"/>
    <w:rsid w:val="0C77AAB3"/>
    <w:rsid w:val="0C79C5B0"/>
    <w:rsid w:val="0C82F94B"/>
    <w:rsid w:val="0C83C489"/>
    <w:rsid w:val="0C875C0E"/>
    <w:rsid w:val="0C89174F"/>
    <w:rsid w:val="0C8B22E9"/>
    <w:rsid w:val="0C931325"/>
    <w:rsid w:val="0C97E3C5"/>
    <w:rsid w:val="0C97F642"/>
    <w:rsid w:val="0C9B7E92"/>
    <w:rsid w:val="0C9C9DE3"/>
    <w:rsid w:val="0CA95293"/>
    <w:rsid w:val="0CAAE9F0"/>
    <w:rsid w:val="0CACAA25"/>
    <w:rsid w:val="0CB35CED"/>
    <w:rsid w:val="0CB683DE"/>
    <w:rsid w:val="0CB97F90"/>
    <w:rsid w:val="0CBB43BC"/>
    <w:rsid w:val="0CC14183"/>
    <w:rsid w:val="0CC18B41"/>
    <w:rsid w:val="0CC486FD"/>
    <w:rsid w:val="0CC99E49"/>
    <w:rsid w:val="0CCFA6D2"/>
    <w:rsid w:val="0CD5C2BA"/>
    <w:rsid w:val="0CD9AA64"/>
    <w:rsid w:val="0CDA65B4"/>
    <w:rsid w:val="0CDB3B0F"/>
    <w:rsid w:val="0CDCE9D6"/>
    <w:rsid w:val="0CDF5069"/>
    <w:rsid w:val="0CDF8C6D"/>
    <w:rsid w:val="0CE03B21"/>
    <w:rsid w:val="0CE16194"/>
    <w:rsid w:val="0CE2A627"/>
    <w:rsid w:val="0CE35C73"/>
    <w:rsid w:val="0CE41E8F"/>
    <w:rsid w:val="0CE5FFA7"/>
    <w:rsid w:val="0CFD7770"/>
    <w:rsid w:val="0D00A2DB"/>
    <w:rsid w:val="0D013766"/>
    <w:rsid w:val="0D01AC4F"/>
    <w:rsid w:val="0D08615A"/>
    <w:rsid w:val="0D153834"/>
    <w:rsid w:val="0D15FAD4"/>
    <w:rsid w:val="0D191CC6"/>
    <w:rsid w:val="0D2766B4"/>
    <w:rsid w:val="0D2EABB4"/>
    <w:rsid w:val="0D32A191"/>
    <w:rsid w:val="0D3320C5"/>
    <w:rsid w:val="0D3852C0"/>
    <w:rsid w:val="0D3B4818"/>
    <w:rsid w:val="0D3D2E05"/>
    <w:rsid w:val="0D44B797"/>
    <w:rsid w:val="0D48FAB9"/>
    <w:rsid w:val="0D4A5615"/>
    <w:rsid w:val="0D4B52BA"/>
    <w:rsid w:val="0D4C7433"/>
    <w:rsid w:val="0D524421"/>
    <w:rsid w:val="0D5430CB"/>
    <w:rsid w:val="0D55334C"/>
    <w:rsid w:val="0D588254"/>
    <w:rsid w:val="0D5B7FA3"/>
    <w:rsid w:val="0D5BB692"/>
    <w:rsid w:val="0D5E76F7"/>
    <w:rsid w:val="0D5ED0A3"/>
    <w:rsid w:val="0D7F526D"/>
    <w:rsid w:val="0D808ECA"/>
    <w:rsid w:val="0D81CBB4"/>
    <w:rsid w:val="0D82FE4D"/>
    <w:rsid w:val="0D85DDFE"/>
    <w:rsid w:val="0D8EF43D"/>
    <w:rsid w:val="0D94970D"/>
    <w:rsid w:val="0D9DB9EB"/>
    <w:rsid w:val="0DA210AA"/>
    <w:rsid w:val="0DA6CC7C"/>
    <w:rsid w:val="0DA7288E"/>
    <w:rsid w:val="0DADF8E9"/>
    <w:rsid w:val="0DAE1913"/>
    <w:rsid w:val="0DAE5E3F"/>
    <w:rsid w:val="0DAE90E3"/>
    <w:rsid w:val="0DB4C530"/>
    <w:rsid w:val="0DBA3C51"/>
    <w:rsid w:val="0DBDA282"/>
    <w:rsid w:val="0DBE7E58"/>
    <w:rsid w:val="0DC55034"/>
    <w:rsid w:val="0DC9A5FD"/>
    <w:rsid w:val="0DCD47B7"/>
    <w:rsid w:val="0DD51E5D"/>
    <w:rsid w:val="0DD67A07"/>
    <w:rsid w:val="0DD75D77"/>
    <w:rsid w:val="0DD919F0"/>
    <w:rsid w:val="0DE01B51"/>
    <w:rsid w:val="0DE19E38"/>
    <w:rsid w:val="0DE45252"/>
    <w:rsid w:val="0DEBB31F"/>
    <w:rsid w:val="0DECDB1A"/>
    <w:rsid w:val="0DEEC6E8"/>
    <w:rsid w:val="0DEED692"/>
    <w:rsid w:val="0DF0C78C"/>
    <w:rsid w:val="0DF1994E"/>
    <w:rsid w:val="0DF36229"/>
    <w:rsid w:val="0DF3B990"/>
    <w:rsid w:val="0E010C04"/>
    <w:rsid w:val="0E0233AE"/>
    <w:rsid w:val="0E099DBE"/>
    <w:rsid w:val="0E0B2745"/>
    <w:rsid w:val="0E0E2B97"/>
    <w:rsid w:val="0E140178"/>
    <w:rsid w:val="0E15860C"/>
    <w:rsid w:val="0E16769F"/>
    <w:rsid w:val="0E1DB71F"/>
    <w:rsid w:val="0E22D9A1"/>
    <w:rsid w:val="0E243A76"/>
    <w:rsid w:val="0E30D01B"/>
    <w:rsid w:val="0E3E5678"/>
    <w:rsid w:val="0E3E9A4B"/>
    <w:rsid w:val="0E41860F"/>
    <w:rsid w:val="0E4BCF25"/>
    <w:rsid w:val="0E4BE85C"/>
    <w:rsid w:val="0E5561FA"/>
    <w:rsid w:val="0E65D569"/>
    <w:rsid w:val="0E68A390"/>
    <w:rsid w:val="0E69B913"/>
    <w:rsid w:val="0E6CAF4F"/>
    <w:rsid w:val="0E727FE3"/>
    <w:rsid w:val="0E7E1AF1"/>
    <w:rsid w:val="0E80C1F0"/>
    <w:rsid w:val="0E818120"/>
    <w:rsid w:val="0E851A75"/>
    <w:rsid w:val="0E85AD5C"/>
    <w:rsid w:val="0E89A074"/>
    <w:rsid w:val="0E8C76D2"/>
    <w:rsid w:val="0E905C20"/>
    <w:rsid w:val="0E922415"/>
    <w:rsid w:val="0E9293FD"/>
    <w:rsid w:val="0EA18422"/>
    <w:rsid w:val="0EA522DD"/>
    <w:rsid w:val="0EAA2348"/>
    <w:rsid w:val="0EAD45E3"/>
    <w:rsid w:val="0EBDBD18"/>
    <w:rsid w:val="0EC5879F"/>
    <w:rsid w:val="0EC787A3"/>
    <w:rsid w:val="0EC97FC7"/>
    <w:rsid w:val="0ED147D2"/>
    <w:rsid w:val="0ED5E65F"/>
    <w:rsid w:val="0EDD56B0"/>
    <w:rsid w:val="0EE11E3C"/>
    <w:rsid w:val="0EEE8371"/>
    <w:rsid w:val="0EF3DA6B"/>
    <w:rsid w:val="0EF9450D"/>
    <w:rsid w:val="0EF9AA9B"/>
    <w:rsid w:val="0EFCA800"/>
    <w:rsid w:val="0F06EB83"/>
    <w:rsid w:val="0F0A9DD7"/>
    <w:rsid w:val="0F0E397E"/>
    <w:rsid w:val="0F17076F"/>
    <w:rsid w:val="0F191579"/>
    <w:rsid w:val="0F20376E"/>
    <w:rsid w:val="0F2071E3"/>
    <w:rsid w:val="0F2B82E8"/>
    <w:rsid w:val="0F2E1AD4"/>
    <w:rsid w:val="0F370A53"/>
    <w:rsid w:val="0F461B4F"/>
    <w:rsid w:val="0F4742AB"/>
    <w:rsid w:val="0F493393"/>
    <w:rsid w:val="0F523F47"/>
    <w:rsid w:val="0F5AE896"/>
    <w:rsid w:val="0F63F6A4"/>
    <w:rsid w:val="0F686C5D"/>
    <w:rsid w:val="0F6AEEAB"/>
    <w:rsid w:val="0F6F057A"/>
    <w:rsid w:val="0F6F1C1D"/>
    <w:rsid w:val="0F75178F"/>
    <w:rsid w:val="0F766934"/>
    <w:rsid w:val="0F7BE29A"/>
    <w:rsid w:val="0F828AFC"/>
    <w:rsid w:val="0F845AE3"/>
    <w:rsid w:val="0F8655AC"/>
    <w:rsid w:val="0FA1703A"/>
    <w:rsid w:val="0FA478D4"/>
    <w:rsid w:val="0FAA4127"/>
    <w:rsid w:val="0FAED926"/>
    <w:rsid w:val="0FB5541C"/>
    <w:rsid w:val="0FB807FF"/>
    <w:rsid w:val="0FCDE701"/>
    <w:rsid w:val="0FD298F7"/>
    <w:rsid w:val="0FD633D5"/>
    <w:rsid w:val="0FD73572"/>
    <w:rsid w:val="0FD7F169"/>
    <w:rsid w:val="0FDC6C07"/>
    <w:rsid w:val="0FEBD7AA"/>
    <w:rsid w:val="0FF99979"/>
    <w:rsid w:val="0FFD0986"/>
    <w:rsid w:val="0FFEF82B"/>
    <w:rsid w:val="10023D42"/>
    <w:rsid w:val="1003046E"/>
    <w:rsid w:val="100AD990"/>
    <w:rsid w:val="100CB217"/>
    <w:rsid w:val="100FA750"/>
    <w:rsid w:val="10109C3D"/>
    <w:rsid w:val="1012801C"/>
    <w:rsid w:val="1013F5F7"/>
    <w:rsid w:val="10147F33"/>
    <w:rsid w:val="1014838D"/>
    <w:rsid w:val="1015DF42"/>
    <w:rsid w:val="101798BB"/>
    <w:rsid w:val="101902CC"/>
    <w:rsid w:val="101C0AE0"/>
    <w:rsid w:val="101E41DC"/>
    <w:rsid w:val="1020FA1A"/>
    <w:rsid w:val="102411D3"/>
    <w:rsid w:val="10268977"/>
    <w:rsid w:val="10269498"/>
    <w:rsid w:val="102B569A"/>
    <w:rsid w:val="10330B48"/>
    <w:rsid w:val="1034AFB8"/>
    <w:rsid w:val="10396451"/>
    <w:rsid w:val="103BEF8D"/>
    <w:rsid w:val="104156CC"/>
    <w:rsid w:val="1043F59F"/>
    <w:rsid w:val="10496B2F"/>
    <w:rsid w:val="104B67FE"/>
    <w:rsid w:val="10549DA7"/>
    <w:rsid w:val="105808C0"/>
    <w:rsid w:val="10623EA1"/>
    <w:rsid w:val="106D7D63"/>
    <w:rsid w:val="106EBFAF"/>
    <w:rsid w:val="106F5385"/>
    <w:rsid w:val="10752DD2"/>
    <w:rsid w:val="10761574"/>
    <w:rsid w:val="107BE145"/>
    <w:rsid w:val="1081A70C"/>
    <w:rsid w:val="1083D40D"/>
    <w:rsid w:val="108D8F56"/>
    <w:rsid w:val="108F6074"/>
    <w:rsid w:val="1095A8DD"/>
    <w:rsid w:val="109BB62D"/>
    <w:rsid w:val="10A27A26"/>
    <w:rsid w:val="10A7B49E"/>
    <w:rsid w:val="10A9196D"/>
    <w:rsid w:val="10A927AD"/>
    <w:rsid w:val="10AE9359"/>
    <w:rsid w:val="10AEB4C2"/>
    <w:rsid w:val="10AF7879"/>
    <w:rsid w:val="10B14271"/>
    <w:rsid w:val="10B2EEA3"/>
    <w:rsid w:val="10B4AD96"/>
    <w:rsid w:val="10B835AF"/>
    <w:rsid w:val="10B8CAFA"/>
    <w:rsid w:val="10BBCD47"/>
    <w:rsid w:val="10BC07CF"/>
    <w:rsid w:val="10BE5878"/>
    <w:rsid w:val="10C91B87"/>
    <w:rsid w:val="10D2BD29"/>
    <w:rsid w:val="10D5C891"/>
    <w:rsid w:val="10D93346"/>
    <w:rsid w:val="10E0346E"/>
    <w:rsid w:val="10E3E12C"/>
    <w:rsid w:val="10E536D7"/>
    <w:rsid w:val="10E65BF3"/>
    <w:rsid w:val="10E8A06E"/>
    <w:rsid w:val="10FCC441"/>
    <w:rsid w:val="10FE1888"/>
    <w:rsid w:val="11054D8C"/>
    <w:rsid w:val="1106B0DF"/>
    <w:rsid w:val="1106CB5F"/>
    <w:rsid w:val="110D6B73"/>
    <w:rsid w:val="111AF52B"/>
    <w:rsid w:val="111D6C39"/>
    <w:rsid w:val="11221117"/>
    <w:rsid w:val="112502C8"/>
    <w:rsid w:val="1126467F"/>
    <w:rsid w:val="11269671"/>
    <w:rsid w:val="11281FBA"/>
    <w:rsid w:val="112D40E1"/>
    <w:rsid w:val="11325249"/>
    <w:rsid w:val="11398203"/>
    <w:rsid w:val="11399CFD"/>
    <w:rsid w:val="1145B6A6"/>
    <w:rsid w:val="1147C7CC"/>
    <w:rsid w:val="1149D542"/>
    <w:rsid w:val="1153CE2D"/>
    <w:rsid w:val="115946D7"/>
    <w:rsid w:val="115B490D"/>
    <w:rsid w:val="1168B70C"/>
    <w:rsid w:val="116B7071"/>
    <w:rsid w:val="116B8351"/>
    <w:rsid w:val="116BDC6F"/>
    <w:rsid w:val="1172F98C"/>
    <w:rsid w:val="1173DB1A"/>
    <w:rsid w:val="11749ABC"/>
    <w:rsid w:val="1177914E"/>
    <w:rsid w:val="117E4C67"/>
    <w:rsid w:val="1184CADF"/>
    <w:rsid w:val="1185FC84"/>
    <w:rsid w:val="1186EADA"/>
    <w:rsid w:val="11896E6F"/>
    <w:rsid w:val="1189A029"/>
    <w:rsid w:val="118AE4A6"/>
    <w:rsid w:val="118F7920"/>
    <w:rsid w:val="1191E89F"/>
    <w:rsid w:val="119389B4"/>
    <w:rsid w:val="119CFDE7"/>
    <w:rsid w:val="11A11EA6"/>
    <w:rsid w:val="11A75826"/>
    <w:rsid w:val="11A80F9B"/>
    <w:rsid w:val="11AD3E72"/>
    <w:rsid w:val="11B01E46"/>
    <w:rsid w:val="11B9B208"/>
    <w:rsid w:val="11BE3707"/>
    <w:rsid w:val="11C2B1C6"/>
    <w:rsid w:val="11C35224"/>
    <w:rsid w:val="11C48368"/>
    <w:rsid w:val="11C4FB37"/>
    <w:rsid w:val="11C640EA"/>
    <w:rsid w:val="11CB94BD"/>
    <w:rsid w:val="11CEF960"/>
    <w:rsid w:val="11D8A5E4"/>
    <w:rsid w:val="11E27AE5"/>
    <w:rsid w:val="11E372A0"/>
    <w:rsid w:val="11E3F43F"/>
    <w:rsid w:val="11E5F21D"/>
    <w:rsid w:val="11E71D47"/>
    <w:rsid w:val="11EA4603"/>
    <w:rsid w:val="11EF4575"/>
    <w:rsid w:val="11F3D95C"/>
    <w:rsid w:val="11F90D38"/>
    <w:rsid w:val="11FA3F46"/>
    <w:rsid w:val="11FC4971"/>
    <w:rsid w:val="12042688"/>
    <w:rsid w:val="12081F4B"/>
    <w:rsid w:val="120AA2B1"/>
    <w:rsid w:val="120C087F"/>
    <w:rsid w:val="120E1ACF"/>
    <w:rsid w:val="121152DB"/>
    <w:rsid w:val="12155C77"/>
    <w:rsid w:val="1217D2F4"/>
    <w:rsid w:val="12197433"/>
    <w:rsid w:val="121B93AF"/>
    <w:rsid w:val="121BA311"/>
    <w:rsid w:val="121D5EA7"/>
    <w:rsid w:val="1224B9B8"/>
    <w:rsid w:val="1224CF44"/>
    <w:rsid w:val="12264106"/>
    <w:rsid w:val="122BBE86"/>
    <w:rsid w:val="122F274B"/>
    <w:rsid w:val="123141FC"/>
    <w:rsid w:val="1236FE4A"/>
    <w:rsid w:val="1238536E"/>
    <w:rsid w:val="1247A7ED"/>
    <w:rsid w:val="124DCB07"/>
    <w:rsid w:val="124E4924"/>
    <w:rsid w:val="1259C68F"/>
    <w:rsid w:val="125B736A"/>
    <w:rsid w:val="125C6D4A"/>
    <w:rsid w:val="125EF975"/>
    <w:rsid w:val="1267F863"/>
    <w:rsid w:val="12688873"/>
    <w:rsid w:val="1269631B"/>
    <w:rsid w:val="1269A4B4"/>
    <w:rsid w:val="126D28F5"/>
    <w:rsid w:val="126E3BE2"/>
    <w:rsid w:val="126ECD9C"/>
    <w:rsid w:val="126FB6C5"/>
    <w:rsid w:val="12785151"/>
    <w:rsid w:val="127B88DA"/>
    <w:rsid w:val="1287D861"/>
    <w:rsid w:val="128A2446"/>
    <w:rsid w:val="12926127"/>
    <w:rsid w:val="12933B9B"/>
    <w:rsid w:val="129779DC"/>
    <w:rsid w:val="129813DD"/>
    <w:rsid w:val="129BD208"/>
    <w:rsid w:val="129D58E2"/>
    <w:rsid w:val="129ED137"/>
    <w:rsid w:val="12A67AAD"/>
    <w:rsid w:val="12A88F80"/>
    <w:rsid w:val="12B2A121"/>
    <w:rsid w:val="12B58E20"/>
    <w:rsid w:val="12B83D58"/>
    <w:rsid w:val="12C73758"/>
    <w:rsid w:val="12CD7ADF"/>
    <w:rsid w:val="12CF8B09"/>
    <w:rsid w:val="12D3A97E"/>
    <w:rsid w:val="12D9740F"/>
    <w:rsid w:val="12DAE992"/>
    <w:rsid w:val="12DC9FAE"/>
    <w:rsid w:val="12DEF147"/>
    <w:rsid w:val="12DF682E"/>
    <w:rsid w:val="12E41B10"/>
    <w:rsid w:val="12E7D0D2"/>
    <w:rsid w:val="12E83FB2"/>
    <w:rsid w:val="12ECE4F3"/>
    <w:rsid w:val="12EE345C"/>
    <w:rsid w:val="12F0E9D3"/>
    <w:rsid w:val="12F54099"/>
    <w:rsid w:val="12F78952"/>
    <w:rsid w:val="12F852F6"/>
    <w:rsid w:val="12F94132"/>
    <w:rsid w:val="12FF29BF"/>
    <w:rsid w:val="1301E9DD"/>
    <w:rsid w:val="1305AFEE"/>
    <w:rsid w:val="130C683E"/>
    <w:rsid w:val="131CA7E3"/>
    <w:rsid w:val="1322A391"/>
    <w:rsid w:val="1324F78B"/>
    <w:rsid w:val="1330A2D8"/>
    <w:rsid w:val="1335E77B"/>
    <w:rsid w:val="133B08C4"/>
    <w:rsid w:val="134AF923"/>
    <w:rsid w:val="13505EDC"/>
    <w:rsid w:val="13507A6B"/>
    <w:rsid w:val="135484DA"/>
    <w:rsid w:val="135EDCFA"/>
    <w:rsid w:val="13647A72"/>
    <w:rsid w:val="13714121"/>
    <w:rsid w:val="137500F2"/>
    <w:rsid w:val="137CFEAA"/>
    <w:rsid w:val="138447B9"/>
    <w:rsid w:val="1387BE8A"/>
    <w:rsid w:val="13923B02"/>
    <w:rsid w:val="139912DE"/>
    <w:rsid w:val="13999780"/>
    <w:rsid w:val="1399E492"/>
    <w:rsid w:val="139BAC29"/>
    <w:rsid w:val="139FDC49"/>
    <w:rsid w:val="13A001A2"/>
    <w:rsid w:val="13A09BBE"/>
    <w:rsid w:val="13A246C0"/>
    <w:rsid w:val="13A47CC8"/>
    <w:rsid w:val="13A7D857"/>
    <w:rsid w:val="13B0F45D"/>
    <w:rsid w:val="13B13733"/>
    <w:rsid w:val="13B166DF"/>
    <w:rsid w:val="13B3D36D"/>
    <w:rsid w:val="13B50697"/>
    <w:rsid w:val="13B74EB4"/>
    <w:rsid w:val="13BAB3A2"/>
    <w:rsid w:val="13BAD2F5"/>
    <w:rsid w:val="13BF4DD2"/>
    <w:rsid w:val="13BFC179"/>
    <w:rsid w:val="13C6B6B5"/>
    <w:rsid w:val="13CAFB8F"/>
    <w:rsid w:val="13CBFC5A"/>
    <w:rsid w:val="13CCC9DE"/>
    <w:rsid w:val="13CD84BA"/>
    <w:rsid w:val="13CFFE3F"/>
    <w:rsid w:val="13DB3CE6"/>
    <w:rsid w:val="13E1FC79"/>
    <w:rsid w:val="13E867A8"/>
    <w:rsid w:val="13EA2B67"/>
    <w:rsid w:val="13F0A689"/>
    <w:rsid w:val="13F432B2"/>
    <w:rsid w:val="13F7AA95"/>
    <w:rsid w:val="13FA1EAD"/>
    <w:rsid w:val="140057D5"/>
    <w:rsid w:val="1402F406"/>
    <w:rsid w:val="14062193"/>
    <w:rsid w:val="14083200"/>
    <w:rsid w:val="1412C40A"/>
    <w:rsid w:val="1413FAF7"/>
    <w:rsid w:val="141FA8FC"/>
    <w:rsid w:val="141FBF24"/>
    <w:rsid w:val="14212369"/>
    <w:rsid w:val="14288EF4"/>
    <w:rsid w:val="142F3450"/>
    <w:rsid w:val="1439FA4A"/>
    <w:rsid w:val="143F5AFF"/>
    <w:rsid w:val="14521745"/>
    <w:rsid w:val="145498C0"/>
    <w:rsid w:val="145691B4"/>
    <w:rsid w:val="145B0747"/>
    <w:rsid w:val="14629A63"/>
    <w:rsid w:val="146DB74E"/>
    <w:rsid w:val="146EB308"/>
    <w:rsid w:val="1471E54B"/>
    <w:rsid w:val="147F695B"/>
    <w:rsid w:val="148422FC"/>
    <w:rsid w:val="1487EA9A"/>
    <w:rsid w:val="148A51CF"/>
    <w:rsid w:val="148BE7FD"/>
    <w:rsid w:val="14916D9F"/>
    <w:rsid w:val="14A102AF"/>
    <w:rsid w:val="14A205AD"/>
    <w:rsid w:val="14AB7763"/>
    <w:rsid w:val="14AC8405"/>
    <w:rsid w:val="14AF1E38"/>
    <w:rsid w:val="14B21022"/>
    <w:rsid w:val="14B23858"/>
    <w:rsid w:val="14B4C42B"/>
    <w:rsid w:val="14B4F587"/>
    <w:rsid w:val="14B9D9ED"/>
    <w:rsid w:val="14BF4790"/>
    <w:rsid w:val="14C106ED"/>
    <w:rsid w:val="14C3E3C0"/>
    <w:rsid w:val="14CF4F58"/>
    <w:rsid w:val="14D87CC7"/>
    <w:rsid w:val="14DB03BB"/>
    <w:rsid w:val="14DDCEAA"/>
    <w:rsid w:val="14E7EB74"/>
    <w:rsid w:val="14E8DCDA"/>
    <w:rsid w:val="14EE29E7"/>
    <w:rsid w:val="14F98E3E"/>
    <w:rsid w:val="14F9AF73"/>
    <w:rsid w:val="14FB37E5"/>
    <w:rsid w:val="14FF48F1"/>
    <w:rsid w:val="1500F420"/>
    <w:rsid w:val="1501A8FC"/>
    <w:rsid w:val="1501D41A"/>
    <w:rsid w:val="15055D5B"/>
    <w:rsid w:val="15073461"/>
    <w:rsid w:val="150853E5"/>
    <w:rsid w:val="1509C7A0"/>
    <w:rsid w:val="150FCF22"/>
    <w:rsid w:val="1511BD51"/>
    <w:rsid w:val="151EB273"/>
    <w:rsid w:val="1525B12D"/>
    <w:rsid w:val="152A448A"/>
    <w:rsid w:val="153447BD"/>
    <w:rsid w:val="153E6E75"/>
    <w:rsid w:val="153F6962"/>
    <w:rsid w:val="1541AFBF"/>
    <w:rsid w:val="15420C83"/>
    <w:rsid w:val="1544AB12"/>
    <w:rsid w:val="1552BA6C"/>
    <w:rsid w:val="1552E161"/>
    <w:rsid w:val="15585955"/>
    <w:rsid w:val="1560E980"/>
    <w:rsid w:val="15642A04"/>
    <w:rsid w:val="1568345C"/>
    <w:rsid w:val="156E4C2A"/>
    <w:rsid w:val="156EBD5D"/>
    <w:rsid w:val="1573EC45"/>
    <w:rsid w:val="1576FC13"/>
    <w:rsid w:val="1578D07A"/>
    <w:rsid w:val="1578D9CF"/>
    <w:rsid w:val="1578E927"/>
    <w:rsid w:val="157A7B45"/>
    <w:rsid w:val="157C3C92"/>
    <w:rsid w:val="1584CD56"/>
    <w:rsid w:val="158E2544"/>
    <w:rsid w:val="158F78F2"/>
    <w:rsid w:val="15949970"/>
    <w:rsid w:val="159CFDE0"/>
    <w:rsid w:val="159DC8FA"/>
    <w:rsid w:val="159F8F71"/>
    <w:rsid w:val="159FAC2C"/>
    <w:rsid w:val="15B7221F"/>
    <w:rsid w:val="15B8448D"/>
    <w:rsid w:val="15B8FD57"/>
    <w:rsid w:val="15BEB0D4"/>
    <w:rsid w:val="15C2EF55"/>
    <w:rsid w:val="15C6181D"/>
    <w:rsid w:val="15CF3994"/>
    <w:rsid w:val="15D78494"/>
    <w:rsid w:val="15D7C948"/>
    <w:rsid w:val="15D85D27"/>
    <w:rsid w:val="15DA5B7E"/>
    <w:rsid w:val="15DF8B09"/>
    <w:rsid w:val="15EB1549"/>
    <w:rsid w:val="15ED1E22"/>
    <w:rsid w:val="15EECA45"/>
    <w:rsid w:val="15F2CD30"/>
    <w:rsid w:val="160011D1"/>
    <w:rsid w:val="16037A74"/>
    <w:rsid w:val="160D6A8A"/>
    <w:rsid w:val="16160897"/>
    <w:rsid w:val="161D9830"/>
    <w:rsid w:val="1633AD72"/>
    <w:rsid w:val="163F9A92"/>
    <w:rsid w:val="1642695C"/>
    <w:rsid w:val="1648F9AB"/>
    <w:rsid w:val="164BF8CD"/>
    <w:rsid w:val="164E304E"/>
    <w:rsid w:val="1652D3CD"/>
    <w:rsid w:val="16573679"/>
    <w:rsid w:val="1659AE88"/>
    <w:rsid w:val="1663FFD7"/>
    <w:rsid w:val="1666076D"/>
    <w:rsid w:val="166D36E2"/>
    <w:rsid w:val="167225F6"/>
    <w:rsid w:val="16773DF1"/>
    <w:rsid w:val="1677F8D7"/>
    <w:rsid w:val="16795DD5"/>
    <w:rsid w:val="1684F657"/>
    <w:rsid w:val="1687056D"/>
    <w:rsid w:val="1687D5A2"/>
    <w:rsid w:val="168D191D"/>
    <w:rsid w:val="1694427F"/>
    <w:rsid w:val="1694F000"/>
    <w:rsid w:val="1697B031"/>
    <w:rsid w:val="1698E89B"/>
    <w:rsid w:val="169B3569"/>
    <w:rsid w:val="16A0AF0E"/>
    <w:rsid w:val="16A74D05"/>
    <w:rsid w:val="16ADFCD0"/>
    <w:rsid w:val="16B55F01"/>
    <w:rsid w:val="16B98539"/>
    <w:rsid w:val="16C18862"/>
    <w:rsid w:val="16C65A11"/>
    <w:rsid w:val="16C7D62E"/>
    <w:rsid w:val="16CB07BD"/>
    <w:rsid w:val="16CB240C"/>
    <w:rsid w:val="16CEFFD8"/>
    <w:rsid w:val="16D383EF"/>
    <w:rsid w:val="16D896A4"/>
    <w:rsid w:val="16D953FA"/>
    <w:rsid w:val="16DE00C9"/>
    <w:rsid w:val="16E1A589"/>
    <w:rsid w:val="16E1ADC8"/>
    <w:rsid w:val="16E6DED6"/>
    <w:rsid w:val="16E8DB9C"/>
    <w:rsid w:val="16E91430"/>
    <w:rsid w:val="16ED60CB"/>
    <w:rsid w:val="16EFD46E"/>
    <w:rsid w:val="16F9B13C"/>
    <w:rsid w:val="16F9EA64"/>
    <w:rsid w:val="16FC26CA"/>
    <w:rsid w:val="170AD79D"/>
    <w:rsid w:val="170DBA3C"/>
    <w:rsid w:val="1715CD77"/>
    <w:rsid w:val="17181240"/>
    <w:rsid w:val="1718A43E"/>
    <w:rsid w:val="171A3481"/>
    <w:rsid w:val="171CA714"/>
    <w:rsid w:val="171DB5DC"/>
    <w:rsid w:val="171DF358"/>
    <w:rsid w:val="17269EA8"/>
    <w:rsid w:val="17296C05"/>
    <w:rsid w:val="172CA402"/>
    <w:rsid w:val="172F8297"/>
    <w:rsid w:val="1734B788"/>
    <w:rsid w:val="17365B82"/>
    <w:rsid w:val="1736A813"/>
    <w:rsid w:val="1737F71D"/>
    <w:rsid w:val="17395852"/>
    <w:rsid w:val="173BD376"/>
    <w:rsid w:val="173C3E54"/>
    <w:rsid w:val="1741A71E"/>
    <w:rsid w:val="174A312C"/>
    <w:rsid w:val="174A8B8D"/>
    <w:rsid w:val="174D423E"/>
    <w:rsid w:val="17505D42"/>
    <w:rsid w:val="1750CE91"/>
    <w:rsid w:val="1750F469"/>
    <w:rsid w:val="17567019"/>
    <w:rsid w:val="1756E25C"/>
    <w:rsid w:val="175F7715"/>
    <w:rsid w:val="1764AA41"/>
    <w:rsid w:val="176E420C"/>
    <w:rsid w:val="17732333"/>
    <w:rsid w:val="1778B66A"/>
    <w:rsid w:val="177B4122"/>
    <w:rsid w:val="177EA574"/>
    <w:rsid w:val="177F0F69"/>
    <w:rsid w:val="1788696D"/>
    <w:rsid w:val="17894578"/>
    <w:rsid w:val="178D25B4"/>
    <w:rsid w:val="179390BA"/>
    <w:rsid w:val="17970E82"/>
    <w:rsid w:val="17984256"/>
    <w:rsid w:val="179B00A8"/>
    <w:rsid w:val="17A1B44A"/>
    <w:rsid w:val="17AA14D4"/>
    <w:rsid w:val="17AA810B"/>
    <w:rsid w:val="17AF4F79"/>
    <w:rsid w:val="17B50DC8"/>
    <w:rsid w:val="17B9289D"/>
    <w:rsid w:val="17C4710B"/>
    <w:rsid w:val="17C6A1D3"/>
    <w:rsid w:val="17C972EE"/>
    <w:rsid w:val="17CA8AFE"/>
    <w:rsid w:val="17CF5501"/>
    <w:rsid w:val="17D873AA"/>
    <w:rsid w:val="17DA4E08"/>
    <w:rsid w:val="17DE106B"/>
    <w:rsid w:val="17DE5F93"/>
    <w:rsid w:val="17E3C524"/>
    <w:rsid w:val="17E8A3DC"/>
    <w:rsid w:val="17E9D402"/>
    <w:rsid w:val="17EA4470"/>
    <w:rsid w:val="17EB5F51"/>
    <w:rsid w:val="17F0D210"/>
    <w:rsid w:val="17F631B9"/>
    <w:rsid w:val="17F6BD17"/>
    <w:rsid w:val="17FAB181"/>
    <w:rsid w:val="17FDF663"/>
    <w:rsid w:val="17FE3EA2"/>
    <w:rsid w:val="1812887E"/>
    <w:rsid w:val="181F023B"/>
    <w:rsid w:val="1825C3AD"/>
    <w:rsid w:val="18260840"/>
    <w:rsid w:val="182BFF51"/>
    <w:rsid w:val="182EF7EA"/>
    <w:rsid w:val="182F30DC"/>
    <w:rsid w:val="182FE242"/>
    <w:rsid w:val="1839D3BA"/>
    <w:rsid w:val="183E5778"/>
    <w:rsid w:val="184224B7"/>
    <w:rsid w:val="1842AA15"/>
    <w:rsid w:val="184665CA"/>
    <w:rsid w:val="18478D3A"/>
    <w:rsid w:val="184CA80B"/>
    <w:rsid w:val="184F0B4B"/>
    <w:rsid w:val="1850C212"/>
    <w:rsid w:val="18522B7C"/>
    <w:rsid w:val="1852E6EF"/>
    <w:rsid w:val="18555843"/>
    <w:rsid w:val="18561F26"/>
    <w:rsid w:val="185C6996"/>
    <w:rsid w:val="1860AF8E"/>
    <w:rsid w:val="18674108"/>
    <w:rsid w:val="1873DE73"/>
    <w:rsid w:val="187519F1"/>
    <w:rsid w:val="187ABA62"/>
    <w:rsid w:val="187C9D9F"/>
    <w:rsid w:val="18803FB7"/>
    <w:rsid w:val="18841A6A"/>
    <w:rsid w:val="1885AF47"/>
    <w:rsid w:val="1886A30A"/>
    <w:rsid w:val="18912488"/>
    <w:rsid w:val="189A4A5B"/>
    <w:rsid w:val="189B7D15"/>
    <w:rsid w:val="18A0B60F"/>
    <w:rsid w:val="18A81DD0"/>
    <w:rsid w:val="18AD0221"/>
    <w:rsid w:val="18B85699"/>
    <w:rsid w:val="18B9C3AE"/>
    <w:rsid w:val="18BA87F5"/>
    <w:rsid w:val="18BDE868"/>
    <w:rsid w:val="18BFEF40"/>
    <w:rsid w:val="18C3F65D"/>
    <w:rsid w:val="18CBFAAF"/>
    <w:rsid w:val="18CC41BC"/>
    <w:rsid w:val="18CE0EFE"/>
    <w:rsid w:val="18D00971"/>
    <w:rsid w:val="18D4EE7A"/>
    <w:rsid w:val="18E59BB8"/>
    <w:rsid w:val="18E6E127"/>
    <w:rsid w:val="18EE402F"/>
    <w:rsid w:val="18EF6AD4"/>
    <w:rsid w:val="18EFFBA1"/>
    <w:rsid w:val="18F04A00"/>
    <w:rsid w:val="18F2A2FA"/>
    <w:rsid w:val="18F453B2"/>
    <w:rsid w:val="1900DC4C"/>
    <w:rsid w:val="1903685D"/>
    <w:rsid w:val="19069C1D"/>
    <w:rsid w:val="1917D104"/>
    <w:rsid w:val="191F79F3"/>
    <w:rsid w:val="19208F6B"/>
    <w:rsid w:val="1923D4B5"/>
    <w:rsid w:val="1925DEBB"/>
    <w:rsid w:val="19292A6A"/>
    <w:rsid w:val="19331EDE"/>
    <w:rsid w:val="193ADFA4"/>
    <w:rsid w:val="193B5C0F"/>
    <w:rsid w:val="19437191"/>
    <w:rsid w:val="194383CA"/>
    <w:rsid w:val="195C60E5"/>
    <w:rsid w:val="195F483A"/>
    <w:rsid w:val="1960FD75"/>
    <w:rsid w:val="1966DE60"/>
    <w:rsid w:val="196B66FB"/>
    <w:rsid w:val="196D0995"/>
    <w:rsid w:val="1970853C"/>
    <w:rsid w:val="19744054"/>
    <w:rsid w:val="19795876"/>
    <w:rsid w:val="1979F4C6"/>
    <w:rsid w:val="197E5247"/>
    <w:rsid w:val="1980543D"/>
    <w:rsid w:val="1981DEA7"/>
    <w:rsid w:val="19820EA9"/>
    <w:rsid w:val="1986BEF9"/>
    <w:rsid w:val="1987569C"/>
    <w:rsid w:val="1988709C"/>
    <w:rsid w:val="19915133"/>
    <w:rsid w:val="19929978"/>
    <w:rsid w:val="199E724C"/>
    <w:rsid w:val="19A04E4E"/>
    <w:rsid w:val="19A4097B"/>
    <w:rsid w:val="19A6BB48"/>
    <w:rsid w:val="19A7FF17"/>
    <w:rsid w:val="19AD6C04"/>
    <w:rsid w:val="19B08C4E"/>
    <w:rsid w:val="19BC37A6"/>
    <w:rsid w:val="19BF2044"/>
    <w:rsid w:val="19BF8F89"/>
    <w:rsid w:val="19C1ACA3"/>
    <w:rsid w:val="19CAF326"/>
    <w:rsid w:val="19CD78A1"/>
    <w:rsid w:val="19D11B4F"/>
    <w:rsid w:val="19D1EFD6"/>
    <w:rsid w:val="19D979AD"/>
    <w:rsid w:val="19DC6144"/>
    <w:rsid w:val="19E16733"/>
    <w:rsid w:val="19E55EFE"/>
    <w:rsid w:val="19EA2B90"/>
    <w:rsid w:val="19F0CD50"/>
    <w:rsid w:val="19F47361"/>
    <w:rsid w:val="19F7E610"/>
    <w:rsid w:val="19FB4DFE"/>
    <w:rsid w:val="19FD8CFE"/>
    <w:rsid w:val="1A17A0C4"/>
    <w:rsid w:val="1A1975CA"/>
    <w:rsid w:val="1A251C69"/>
    <w:rsid w:val="1A260B50"/>
    <w:rsid w:val="1A2D2772"/>
    <w:rsid w:val="1A402DA8"/>
    <w:rsid w:val="1A416BEC"/>
    <w:rsid w:val="1A4227C6"/>
    <w:rsid w:val="1A4297D1"/>
    <w:rsid w:val="1A43B0EB"/>
    <w:rsid w:val="1A4CDD25"/>
    <w:rsid w:val="1A524EB6"/>
    <w:rsid w:val="1A595AB7"/>
    <w:rsid w:val="1A5FDBAA"/>
    <w:rsid w:val="1A65BB11"/>
    <w:rsid w:val="1A675E79"/>
    <w:rsid w:val="1A6B8B68"/>
    <w:rsid w:val="1A7415C7"/>
    <w:rsid w:val="1A752D94"/>
    <w:rsid w:val="1A75F658"/>
    <w:rsid w:val="1A76CC94"/>
    <w:rsid w:val="1A7BA076"/>
    <w:rsid w:val="1A7DFC47"/>
    <w:rsid w:val="1A8163F7"/>
    <w:rsid w:val="1A855A34"/>
    <w:rsid w:val="1A8CBB39"/>
    <w:rsid w:val="1A8D64A0"/>
    <w:rsid w:val="1A8FC95B"/>
    <w:rsid w:val="1A9542DD"/>
    <w:rsid w:val="1AAC56B2"/>
    <w:rsid w:val="1AB1C388"/>
    <w:rsid w:val="1AB41E8D"/>
    <w:rsid w:val="1AC36ACF"/>
    <w:rsid w:val="1AC5570E"/>
    <w:rsid w:val="1AC61C4B"/>
    <w:rsid w:val="1AC75427"/>
    <w:rsid w:val="1ACB1755"/>
    <w:rsid w:val="1ADE305C"/>
    <w:rsid w:val="1AE4E642"/>
    <w:rsid w:val="1AEF4FE1"/>
    <w:rsid w:val="1AF0A582"/>
    <w:rsid w:val="1AF3132A"/>
    <w:rsid w:val="1B07AF01"/>
    <w:rsid w:val="1B0D0C9F"/>
    <w:rsid w:val="1B1043FB"/>
    <w:rsid w:val="1B1A405B"/>
    <w:rsid w:val="1B1B9BF4"/>
    <w:rsid w:val="1B21CF7A"/>
    <w:rsid w:val="1B23B98F"/>
    <w:rsid w:val="1B2BA4D8"/>
    <w:rsid w:val="1B315A81"/>
    <w:rsid w:val="1B3C81E2"/>
    <w:rsid w:val="1B4031D6"/>
    <w:rsid w:val="1B4DE457"/>
    <w:rsid w:val="1B4DE4F5"/>
    <w:rsid w:val="1B4F28EB"/>
    <w:rsid w:val="1B5076B9"/>
    <w:rsid w:val="1B54F064"/>
    <w:rsid w:val="1B56E08D"/>
    <w:rsid w:val="1B5B46C5"/>
    <w:rsid w:val="1B60D153"/>
    <w:rsid w:val="1B60F0AB"/>
    <w:rsid w:val="1B6567A7"/>
    <w:rsid w:val="1B6F4D48"/>
    <w:rsid w:val="1B76BC55"/>
    <w:rsid w:val="1B76D3BF"/>
    <w:rsid w:val="1B7C32C1"/>
    <w:rsid w:val="1B7E5527"/>
    <w:rsid w:val="1B84AACE"/>
    <w:rsid w:val="1B8F3673"/>
    <w:rsid w:val="1B8F9CD9"/>
    <w:rsid w:val="1B92E044"/>
    <w:rsid w:val="1B94668C"/>
    <w:rsid w:val="1BA7D736"/>
    <w:rsid w:val="1BACFBF5"/>
    <w:rsid w:val="1BAD9EFF"/>
    <w:rsid w:val="1BBA9114"/>
    <w:rsid w:val="1BBD1221"/>
    <w:rsid w:val="1BC22358"/>
    <w:rsid w:val="1BC3400E"/>
    <w:rsid w:val="1BC36E7C"/>
    <w:rsid w:val="1BC5A8D5"/>
    <w:rsid w:val="1BC6B333"/>
    <w:rsid w:val="1BC7E0A1"/>
    <w:rsid w:val="1BD9A7D0"/>
    <w:rsid w:val="1BE1F43C"/>
    <w:rsid w:val="1BE33DE3"/>
    <w:rsid w:val="1BF44DB8"/>
    <w:rsid w:val="1BF55C87"/>
    <w:rsid w:val="1BFC3B78"/>
    <w:rsid w:val="1C03F797"/>
    <w:rsid w:val="1C0443F1"/>
    <w:rsid w:val="1C062A95"/>
    <w:rsid w:val="1C09F814"/>
    <w:rsid w:val="1C0ADB94"/>
    <w:rsid w:val="1C0FF6BE"/>
    <w:rsid w:val="1C103A77"/>
    <w:rsid w:val="1C1481A4"/>
    <w:rsid w:val="1C15615D"/>
    <w:rsid w:val="1C1DA16E"/>
    <w:rsid w:val="1C2B2FDB"/>
    <w:rsid w:val="1C2EEBCB"/>
    <w:rsid w:val="1C30D257"/>
    <w:rsid w:val="1C344087"/>
    <w:rsid w:val="1C3BA0CF"/>
    <w:rsid w:val="1C3E0567"/>
    <w:rsid w:val="1C3EA9BF"/>
    <w:rsid w:val="1C3FAF27"/>
    <w:rsid w:val="1C42E372"/>
    <w:rsid w:val="1C42E394"/>
    <w:rsid w:val="1C4C9BD1"/>
    <w:rsid w:val="1C529D5E"/>
    <w:rsid w:val="1C55E7E2"/>
    <w:rsid w:val="1C5A1A9F"/>
    <w:rsid w:val="1C5D9FFD"/>
    <w:rsid w:val="1C5DA5A4"/>
    <w:rsid w:val="1C5DF595"/>
    <w:rsid w:val="1C5F64DE"/>
    <w:rsid w:val="1C63418A"/>
    <w:rsid w:val="1C700C18"/>
    <w:rsid w:val="1C74EAD4"/>
    <w:rsid w:val="1C75F884"/>
    <w:rsid w:val="1C7881A6"/>
    <w:rsid w:val="1C7F1379"/>
    <w:rsid w:val="1C83F890"/>
    <w:rsid w:val="1C8CC4FF"/>
    <w:rsid w:val="1C8DCE4F"/>
    <w:rsid w:val="1C95093A"/>
    <w:rsid w:val="1C953206"/>
    <w:rsid w:val="1C97838D"/>
    <w:rsid w:val="1C985EFA"/>
    <w:rsid w:val="1C9A47E9"/>
    <w:rsid w:val="1C9E2B57"/>
    <w:rsid w:val="1CA3DE56"/>
    <w:rsid w:val="1CA7C9DD"/>
    <w:rsid w:val="1CA7D2CF"/>
    <w:rsid w:val="1CA94911"/>
    <w:rsid w:val="1CACE19B"/>
    <w:rsid w:val="1CAE664D"/>
    <w:rsid w:val="1CB5ECE5"/>
    <w:rsid w:val="1CB72B70"/>
    <w:rsid w:val="1CB73844"/>
    <w:rsid w:val="1CB898DD"/>
    <w:rsid w:val="1CBDB88B"/>
    <w:rsid w:val="1CC78193"/>
    <w:rsid w:val="1CC7F603"/>
    <w:rsid w:val="1CD48BFB"/>
    <w:rsid w:val="1CD4F713"/>
    <w:rsid w:val="1CE64000"/>
    <w:rsid w:val="1CEFB321"/>
    <w:rsid w:val="1CF40BA0"/>
    <w:rsid w:val="1CF58BE6"/>
    <w:rsid w:val="1CF90455"/>
    <w:rsid w:val="1CF9A891"/>
    <w:rsid w:val="1CFCC09B"/>
    <w:rsid w:val="1D0003F5"/>
    <w:rsid w:val="1D0FADC6"/>
    <w:rsid w:val="1D132C71"/>
    <w:rsid w:val="1D14FEEE"/>
    <w:rsid w:val="1D156F5F"/>
    <w:rsid w:val="1D15EA9D"/>
    <w:rsid w:val="1D245DA5"/>
    <w:rsid w:val="1D288953"/>
    <w:rsid w:val="1D29DDB3"/>
    <w:rsid w:val="1D2B3BBE"/>
    <w:rsid w:val="1D2B66DF"/>
    <w:rsid w:val="1D37ACA3"/>
    <w:rsid w:val="1D412834"/>
    <w:rsid w:val="1D44B9BB"/>
    <w:rsid w:val="1D4552E3"/>
    <w:rsid w:val="1D4A42DD"/>
    <w:rsid w:val="1D50BDC2"/>
    <w:rsid w:val="1D5EDDE8"/>
    <w:rsid w:val="1D6239DC"/>
    <w:rsid w:val="1D6619BB"/>
    <w:rsid w:val="1D681230"/>
    <w:rsid w:val="1D71AAEB"/>
    <w:rsid w:val="1D74E50C"/>
    <w:rsid w:val="1D7720AF"/>
    <w:rsid w:val="1D87045B"/>
    <w:rsid w:val="1D8B6DFB"/>
    <w:rsid w:val="1D8C6D48"/>
    <w:rsid w:val="1D8D1F36"/>
    <w:rsid w:val="1D9246DF"/>
    <w:rsid w:val="1D9304C8"/>
    <w:rsid w:val="1D96C4EF"/>
    <w:rsid w:val="1D98EA51"/>
    <w:rsid w:val="1D9BDE94"/>
    <w:rsid w:val="1DA19A0D"/>
    <w:rsid w:val="1DA8AE18"/>
    <w:rsid w:val="1DA97457"/>
    <w:rsid w:val="1DAACCFB"/>
    <w:rsid w:val="1DAD04AE"/>
    <w:rsid w:val="1DAD29FE"/>
    <w:rsid w:val="1DAFE873"/>
    <w:rsid w:val="1DB107D6"/>
    <w:rsid w:val="1DB10FC3"/>
    <w:rsid w:val="1DB5748B"/>
    <w:rsid w:val="1DB70D18"/>
    <w:rsid w:val="1DB766F0"/>
    <w:rsid w:val="1DBD330F"/>
    <w:rsid w:val="1DC42839"/>
    <w:rsid w:val="1DC8D5FB"/>
    <w:rsid w:val="1DCA7031"/>
    <w:rsid w:val="1DCBBF74"/>
    <w:rsid w:val="1DCF9D06"/>
    <w:rsid w:val="1DD79440"/>
    <w:rsid w:val="1DDCEA3C"/>
    <w:rsid w:val="1DE01074"/>
    <w:rsid w:val="1DE9A027"/>
    <w:rsid w:val="1DF421B4"/>
    <w:rsid w:val="1DF4B2D6"/>
    <w:rsid w:val="1DF8F9E6"/>
    <w:rsid w:val="1DFA10C8"/>
    <w:rsid w:val="1DFA410F"/>
    <w:rsid w:val="1DFC7B8A"/>
    <w:rsid w:val="1DFD4767"/>
    <w:rsid w:val="1E02684A"/>
    <w:rsid w:val="1E02E39C"/>
    <w:rsid w:val="1E05730C"/>
    <w:rsid w:val="1E08664D"/>
    <w:rsid w:val="1E094BA4"/>
    <w:rsid w:val="1E0AD5A5"/>
    <w:rsid w:val="1E0DD7A5"/>
    <w:rsid w:val="1E0E3646"/>
    <w:rsid w:val="1E17193C"/>
    <w:rsid w:val="1E190178"/>
    <w:rsid w:val="1E19450E"/>
    <w:rsid w:val="1E19F577"/>
    <w:rsid w:val="1E20611B"/>
    <w:rsid w:val="1E2AF1FD"/>
    <w:rsid w:val="1E2E3F67"/>
    <w:rsid w:val="1E319C09"/>
    <w:rsid w:val="1E383012"/>
    <w:rsid w:val="1E3B8CCF"/>
    <w:rsid w:val="1E450393"/>
    <w:rsid w:val="1E46E881"/>
    <w:rsid w:val="1E482966"/>
    <w:rsid w:val="1E51BCF1"/>
    <w:rsid w:val="1E55F62C"/>
    <w:rsid w:val="1E5910CC"/>
    <w:rsid w:val="1E599A2B"/>
    <w:rsid w:val="1E59D66C"/>
    <w:rsid w:val="1E5D97A1"/>
    <w:rsid w:val="1E5D9CD0"/>
    <w:rsid w:val="1E6547B4"/>
    <w:rsid w:val="1E663D4B"/>
    <w:rsid w:val="1E67C0CA"/>
    <w:rsid w:val="1E6BA0C7"/>
    <w:rsid w:val="1E6FCA3C"/>
    <w:rsid w:val="1E745E41"/>
    <w:rsid w:val="1E7A4C0D"/>
    <w:rsid w:val="1E7F9928"/>
    <w:rsid w:val="1E81EE27"/>
    <w:rsid w:val="1E82747E"/>
    <w:rsid w:val="1E83E346"/>
    <w:rsid w:val="1E83E897"/>
    <w:rsid w:val="1E84CD96"/>
    <w:rsid w:val="1E8D5F8D"/>
    <w:rsid w:val="1E8E3443"/>
    <w:rsid w:val="1E911068"/>
    <w:rsid w:val="1E95E9EE"/>
    <w:rsid w:val="1E986FA0"/>
    <w:rsid w:val="1E990774"/>
    <w:rsid w:val="1E9BE0DF"/>
    <w:rsid w:val="1EA7A158"/>
    <w:rsid w:val="1EA9F207"/>
    <w:rsid w:val="1EAB2FF2"/>
    <w:rsid w:val="1EAC6A3C"/>
    <w:rsid w:val="1EAC77F2"/>
    <w:rsid w:val="1EAF360A"/>
    <w:rsid w:val="1EB0658D"/>
    <w:rsid w:val="1EB1C2BE"/>
    <w:rsid w:val="1EB32850"/>
    <w:rsid w:val="1EB5F5A8"/>
    <w:rsid w:val="1EB65281"/>
    <w:rsid w:val="1EB95A65"/>
    <w:rsid w:val="1EBA9AE9"/>
    <w:rsid w:val="1EBD5658"/>
    <w:rsid w:val="1EC59BC9"/>
    <w:rsid w:val="1ECA9512"/>
    <w:rsid w:val="1ECEC867"/>
    <w:rsid w:val="1ED222DC"/>
    <w:rsid w:val="1ED47C6E"/>
    <w:rsid w:val="1ED7A733"/>
    <w:rsid w:val="1EDA530B"/>
    <w:rsid w:val="1EDBD8F5"/>
    <w:rsid w:val="1EE1AED6"/>
    <w:rsid w:val="1EE51EE6"/>
    <w:rsid w:val="1EE52501"/>
    <w:rsid w:val="1EE81919"/>
    <w:rsid w:val="1EE827DC"/>
    <w:rsid w:val="1EE8E33E"/>
    <w:rsid w:val="1EEA0F4D"/>
    <w:rsid w:val="1EF262F6"/>
    <w:rsid w:val="1EF6F6BE"/>
    <w:rsid w:val="1EF711EB"/>
    <w:rsid w:val="1EFC1BDB"/>
    <w:rsid w:val="1F0425C6"/>
    <w:rsid w:val="1F043D2F"/>
    <w:rsid w:val="1F04F0BF"/>
    <w:rsid w:val="1F05F970"/>
    <w:rsid w:val="1F0C2B88"/>
    <w:rsid w:val="1F0CCF2C"/>
    <w:rsid w:val="1F0DBF0B"/>
    <w:rsid w:val="1F14F957"/>
    <w:rsid w:val="1F180D0B"/>
    <w:rsid w:val="1F19076B"/>
    <w:rsid w:val="1F191805"/>
    <w:rsid w:val="1F25BE8D"/>
    <w:rsid w:val="1F307BE0"/>
    <w:rsid w:val="1F337901"/>
    <w:rsid w:val="1F39B445"/>
    <w:rsid w:val="1F416346"/>
    <w:rsid w:val="1F417CED"/>
    <w:rsid w:val="1F491D64"/>
    <w:rsid w:val="1F4BAA10"/>
    <w:rsid w:val="1F4BDD33"/>
    <w:rsid w:val="1F4D18BC"/>
    <w:rsid w:val="1F543E49"/>
    <w:rsid w:val="1F58127F"/>
    <w:rsid w:val="1F603DA8"/>
    <w:rsid w:val="1F63C5B0"/>
    <w:rsid w:val="1F73A2E5"/>
    <w:rsid w:val="1F7A2417"/>
    <w:rsid w:val="1F852017"/>
    <w:rsid w:val="1F85443F"/>
    <w:rsid w:val="1F85AF87"/>
    <w:rsid w:val="1F8BB484"/>
    <w:rsid w:val="1F8F07C5"/>
    <w:rsid w:val="1F97DEBC"/>
    <w:rsid w:val="1F9B0449"/>
    <w:rsid w:val="1FA49196"/>
    <w:rsid w:val="1FA5D577"/>
    <w:rsid w:val="1FADB4A4"/>
    <w:rsid w:val="1FAF8162"/>
    <w:rsid w:val="1FB20D34"/>
    <w:rsid w:val="1FB4761A"/>
    <w:rsid w:val="1FB88E4E"/>
    <w:rsid w:val="1FBB765D"/>
    <w:rsid w:val="1FBF0D00"/>
    <w:rsid w:val="1FC06C98"/>
    <w:rsid w:val="1FC3B25A"/>
    <w:rsid w:val="1FCB788C"/>
    <w:rsid w:val="1FCDAB12"/>
    <w:rsid w:val="1FD019F6"/>
    <w:rsid w:val="1FD6D761"/>
    <w:rsid w:val="1FD80540"/>
    <w:rsid w:val="1FDF7B9F"/>
    <w:rsid w:val="1FE1715B"/>
    <w:rsid w:val="1FF4B0D5"/>
    <w:rsid w:val="1FFC2882"/>
    <w:rsid w:val="200E3F20"/>
    <w:rsid w:val="200EE2F0"/>
    <w:rsid w:val="20123333"/>
    <w:rsid w:val="2013F3A6"/>
    <w:rsid w:val="2015041E"/>
    <w:rsid w:val="2018CD59"/>
    <w:rsid w:val="201CCD24"/>
    <w:rsid w:val="20207E51"/>
    <w:rsid w:val="2021842A"/>
    <w:rsid w:val="2024E0F1"/>
    <w:rsid w:val="20257317"/>
    <w:rsid w:val="2025F605"/>
    <w:rsid w:val="2029685F"/>
    <w:rsid w:val="2029E859"/>
    <w:rsid w:val="202AD623"/>
    <w:rsid w:val="202B2121"/>
    <w:rsid w:val="202EDDCD"/>
    <w:rsid w:val="20300EA1"/>
    <w:rsid w:val="20302F8E"/>
    <w:rsid w:val="2034A676"/>
    <w:rsid w:val="2034E848"/>
    <w:rsid w:val="2037995B"/>
    <w:rsid w:val="203FD11E"/>
    <w:rsid w:val="20436E66"/>
    <w:rsid w:val="2044223E"/>
    <w:rsid w:val="2046CE5F"/>
    <w:rsid w:val="204D7C6D"/>
    <w:rsid w:val="2051CEDF"/>
    <w:rsid w:val="20520566"/>
    <w:rsid w:val="2056D98A"/>
    <w:rsid w:val="205F391E"/>
    <w:rsid w:val="2066D37D"/>
    <w:rsid w:val="2068D43E"/>
    <w:rsid w:val="20747CA4"/>
    <w:rsid w:val="20764010"/>
    <w:rsid w:val="207C957F"/>
    <w:rsid w:val="207FC109"/>
    <w:rsid w:val="2080BC0E"/>
    <w:rsid w:val="208424BD"/>
    <w:rsid w:val="20847FE8"/>
    <w:rsid w:val="20890400"/>
    <w:rsid w:val="208B97F7"/>
    <w:rsid w:val="208C0BFE"/>
    <w:rsid w:val="208D1942"/>
    <w:rsid w:val="208D3828"/>
    <w:rsid w:val="20972ED9"/>
    <w:rsid w:val="209796A3"/>
    <w:rsid w:val="20998635"/>
    <w:rsid w:val="209B0BFC"/>
    <w:rsid w:val="209D25F6"/>
    <w:rsid w:val="20A91600"/>
    <w:rsid w:val="20AA491E"/>
    <w:rsid w:val="20ABF023"/>
    <w:rsid w:val="20AF0471"/>
    <w:rsid w:val="20B37F02"/>
    <w:rsid w:val="20B72609"/>
    <w:rsid w:val="20BA2EEF"/>
    <w:rsid w:val="20BBD438"/>
    <w:rsid w:val="20BC169D"/>
    <w:rsid w:val="20BDD7D5"/>
    <w:rsid w:val="20BEEA91"/>
    <w:rsid w:val="20C09928"/>
    <w:rsid w:val="20C84B04"/>
    <w:rsid w:val="20CA0938"/>
    <w:rsid w:val="20D741B0"/>
    <w:rsid w:val="20D9DE56"/>
    <w:rsid w:val="20DA35A1"/>
    <w:rsid w:val="20DBBFF2"/>
    <w:rsid w:val="20E3C32B"/>
    <w:rsid w:val="20E5DDE2"/>
    <w:rsid w:val="20EAE6FB"/>
    <w:rsid w:val="20F256B6"/>
    <w:rsid w:val="20F6D215"/>
    <w:rsid w:val="20F81928"/>
    <w:rsid w:val="20FF1FB7"/>
    <w:rsid w:val="210621FF"/>
    <w:rsid w:val="21095C3D"/>
    <w:rsid w:val="210AE636"/>
    <w:rsid w:val="210FB532"/>
    <w:rsid w:val="21201061"/>
    <w:rsid w:val="212A921F"/>
    <w:rsid w:val="212B46FA"/>
    <w:rsid w:val="2136CFC0"/>
    <w:rsid w:val="213BED76"/>
    <w:rsid w:val="213F2C82"/>
    <w:rsid w:val="213F5C41"/>
    <w:rsid w:val="214031D1"/>
    <w:rsid w:val="21434BC7"/>
    <w:rsid w:val="21434CE7"/>
    <w:rsid w:val="21467493"/>
    <w:rsid w:val="214E6074"/>
    <w:rsid w:val="214FAA65"/>
    <w:rsid w:val="21519309"/>
    <w:rsid w:val="2154A636"/>
    <w:rsid w:val="215A47DB"/>
    <w:rsid w:val="216088AC"/>
    <w:rsid w:val="21609D15"/>
    <w:rsid w:val="2162879B"/>
    <w:rsid w:val="216326B9"/>
    <w:rsid w:val="2164DA36"/>
    <w:rsid w:val="2168B393"/>
    <w:rsid w:val="2169522E"/>
    <w:rsid w:val="217F6B37"/>
    <w:rsid w:val="2183AAE0"/>
    <w:rsid w:val="2186995B"/>
    <w:rsid w:val="21887F0F"/>
    <w:rsid w:val="2189FF6D"/>
    <w:rsid w:val="218B5996"/>
    <w:rsid w:val="218BDE17"/>
    <w:rsid w:val="2191E6A4"/>
    <w:rsid w:val="2193C7A9"/>
    <w:rsid w:val="219927AC"/>
    <w:rsid w:val="219D6AF7"/>
    <w:rsid w:val="21ACF795"/>
    <w:rsid w:val="21AE0394"/>
    <w:rsid w:val="21AEA66C"/>
    <w:rsid w:val="21B25705"/>
    <w:rsid w:val="21B32F30"/>
    <w:rsid w:val="21B34764"/>
    <w:rsid w:val="21B4A339"/>
    <w:rsid w:val="21C02D8C"/>
    <w:rsid w:val="21C4C2F0"/>
    <w:rsid w:val="21C8BF88"/>
    <w:rsid w:val="21CA730D"/>
    <w:rsid w:val="21D012CF"/>
    <w:rsid w:val="21D63F98"/>
    <w:rsid w:val="21DC729E"/>
    <w:rsid w:val="21E2BA6C"/>
    <w:rsid w:val="21E58E2F"/>
    <w:rsid w:val="21E7A971"/>
    <w:rsid w:val="21E9CF98"/>
    <w:rsid w:val="21EF83D3"/>
    <w:rsid w:val="21EF8A5D"/>
    <w:rsid w:val="21F54CF9"/>
    <w:rsid w:val="21F5CAC6"/>
    <w:rsid w:val="21FA71DA"/>
    <w:rsid w:val="21FD3690"/>
    <w:rsid w:val="21FDA60A"/>
    <w:rsid w:val="22032F3A"/>
    <w:rsid w:val="2208864B"/>
    <w:rsid w:val="220A233B"/>
    <w:rsid w:val="220C6643"/>
    <w:rsid w:val="2211E7AD"/>
    <w:rsid w:val="22228DF2"/>
    <w:rsid w:val="222B1F5C"/>
    <w:rsid w:val="222BB16B"/>
    <w:rsid w:val="222CDC46"/>
    <w:rsid w:val="222D363C"/>
    <w:rsid w:val="22349101"/>
    <w:rsid w:val="223C1195"/>
    <w:rsid w:val="223C5236"/>
    <w:rsid w:val="2241CC0C"/>
    <w:rsid w:val="2241E3E9"/>
    <w:rsid w:val="22462C44"/>
    <w:rsid w:val="22483C59"/>
    <w:rsid w:val="224CDD04"/>
    <w:rsid w:val="224E7110"/>
    <w:rsid w:val="2253883F"/>
    <w:rsid w:val="22564D42"/>
    <w:rsid w:val="22577527"/>
    <w:rsid w:val="225FEE93"/>
    <w:rsid w:val="22619B8A"/>
    <w:rsid w:val="22641420"/>
    <w:rsid w:val="22647FDC"/>
    <w:rsid w:val="226F72EB"/>
    <w:rsid w:val="227B679A"/>
    <w:rsid w:val="227DA2FD"/>
    <w:rsid w:val="22803487"/>
    <w:rsid w:val="22850C3A"/>
    <w:rsid w:val="228D5F5C"/>
    <w:rsid w:val="228E4680"/>
    <w:rsid w:val="2298276F"/>
    <w:rsid w:val="229DDA7C"/>
    <w:rsid w:val="229E2C2A"/>
    <w:rsid w:val="229EF9AD"/>
    <w:rsid w:val="229FB781"/>
    <w:rsid w:val="22A3BD83"/>
    <w:rsid w:val="22ADD781"/>
    <w:rsid w:val="22AF31D0"/>
    <w:rsid w:val="22B4F4CE"/>
    <w:rsid w:val="22B66C78"/>
    <w:rsid w:val="22B6BC62"/>
    <w:rsid w:val="22B6E67C"/>
    <w:rsid w:val="22BADAA7"/>
    <w:rsid w:val="22DA669D"/>
    <w:rsid w:val="22E4B2FE"/>
    <w:rsid w:val="22E5DF68"/>
    <w:rsid w:val="22E6A5AA"/>
    <w:rsid w:val="22EE846D"/>
    <w:rsid w:val="22F1343F"/>
    <w:rsid w:val="22F5500C"/>
    <w:rsid w:val="22F740EE"/>
    <w:rsid w:val="22FB0EBF"/>
    <w:rsid w:val="22FB4CDC"/>
    <w:rsid w:val="22FD343F"/>
    <w:rsid w:val="22FDE548"/>
    <w:rsid w:val="2302986D"/>
    <w:rsid w:val="230E51CC"/>
    <w:rsid w:val="230F8BA1"/>
    <w:rsid w:val="2315AB04"/>
    <w:rsid w:val="231966E3"/>
    <w:rsid w:val="231B8375"/>
    <w:rsid w:val="23282A86"/>
    <w:rsid w:val="23289D3F"/>
    <w:rsid w:val="233618DB"/>
    <w:rsid w:val="2336326F"/>
    <w:rsid w:val="233BC9D1"/>
    <w:rsid w:val="23425DDE"/>
    <w:rsid w:val="2347ECDF"/>
    <w:rsid w:val="2350BCC4"/>
    <w:rsid w:val="2353FBB7"/>
    <w:rsid w:val="235FAFED"/>
    <w:rsid w:val="23615371"/>
    <w:rsid w:val="23622335"/>
    <w:rsid w:val="23641DE6"/>
    <w:rsid w:val="236CB741"/>
    <w:rsid w:val="236E8CEB"/>
    <w:rsid w:val="2373E28F"/>
    <w:rsid w:val="2375EFE3"/>
    <w:rsid w:val="2377884D"/>
    <w:rsid w:val="2377E1C3"/>
    <w:rsid w:val="237A887D"/>
    <w:rsid w:val="23810CC4"/>
    <w:rsid w:val="2394C47E"/>
    <w:rsid w:val="2394E9E4"/>
    <w:rsid w:val="2395B97B"/>
    <w:rsid w:val="239D59CB"/>
    <w:rsid w:val="23A37596"/>
    <w:rsid w:val="23A49167"/>
    <w:rsid w:val="23AAF075"/>
    <w:rsid w:val="23B4C4F5"/>
    <w:rsid w:val="23BC230B"/>
    <w:rsid w:val="23BDE64B"/>
    <w:rsid w:val="23BE5B80"/>
    <w:rsid w:val="23BEB8A1"/>
    <w:rsid w:val="23C381B3"/>
    <w:rsid w:val="23CB70F4"/>
    <w:rsid w:val="23CDB6AF"/>
    <w:rsid w:val="23DB7140"/>
    <w:rsid w:val="23DE795F"/>
    <w:rsid w:val="23E32DDB"/>
    <w:rsid w:val="23F1C35E"/>
    <w:rsid w:val="23F3940C"/>
    <w:rsid w:val="23FB5AF1"/>
    <w:rsid w:val="24000552"/>
    <w:rsid w:val="24001C60"/>
    <w:rsid w:val="240335F7"/>
    <w:rsid w:val="24045CAC"/>
    <w:rsid w:val="240539E6"/>
    <w:rsid w:val="2405DE54"/>
    <w:rsid w:val="2406296F"/>
    <w:rsid w:val="2406609F"/>
    <w:rsid w:val="24072921"/>
    <w:rsid w:val="2407A3C0"/>
    <w:rsid w:val="2408FE54"/>
    <w:rsid w:val="24090431"/>
    <w:rsid w:val="240BD64C"/>
    <w:rsid w:val="240DB635"/>
    <w:rsid w:val="2413A267"/>
    <w:rsid w:val="2414AE9F"/>
    <w:rsid w:val="241686BB"/>
    <w:rsid w:val="2417521D"/>
    <w:rsid w:val="241B8252"/>
    <w:rsid w:val="2421D060"/>
    <w:rsid w:val="2429C353"/>
    <w:rsid w:val="2433E31D"/>
    <w:rsid w:val="243B7CBF"/>
    <w:rsid w:val="243CFEB8"/>
    <w:rsid w:val="243DBC7D"/>
    <w:rsid w:val="2440DB56"/>
    <w:rsid w:val="24430DEC"/>
    <w:rsid w:val="244BF286"/>
    <w:rsid w:val="2450CCFC"/>
    <w:rsid w:val="2459D086"/>
    <w:rsid w:val="245C1C18"/>
    <w:rsid w:val="245D4B81"/>
    <w:rsid w:val="2461AF51"/>
    <w:rsid w:val="2462F161"/>
    <w:rsid w:val="24643135"/>
    <w:rsid w:val="2464A0E2"/>
    <w:rsid w:val="24679C29"/>
    <w:rsid w:val="2475958D"/>
    <w:rsid w:val="2483BA1A"/>
    <w:rsid w:val="248C4897"/>
    <w:rsid w:val="24A410FA"/>
    <w:rsid w:val="24A67B68"/>
    <w:rsid w:val="24A8D14A"/>
    <w:rsid w:val="24AF994E"/>
    <w:rsid w:val="24B72641"/>
    <w:rsid w:val="24BFB6E1"/>
    <w:rsid w:val="24C55B8C"/>
    <w:rsid w:val="24C8771D"/>
    <w:rsid w:val="24CD3B3E"/>
    <w:rsid w:val="24CE0EF5"/>
    <w:rsid w:val="24CF4A2F"/>
    <w:rsid w:val="24D1DC42"/>
    <w:rsid w:val="24D1DC6F"/>
    <w:rsid w:val="24D78F70"/>
    <w:rsid w:val="24E1E387"/>
    <w:rsid w:val="24EB848F"/>
    <w:rsid w:val="24ECBC8A"/>
    <w:rsid w:val="24EDD850"/>
    <w:rsid w:val="24F1EDBD"/>
    <w:rsid w:val="24F6ABAB"/>
    <w:rsid w:val="24F8E4ED"/>
    <w:rsid w:val="24FFC857"/>
    <w:rsid w:val="2500C4BD"/>
    <w:rsid w:val="25018CD5"/>
    <w:rsid w:val="250478EF"/>
    <w:rsid w:val="250618C9"/>
    <w:rsid w:val="250F7EE2"/>
    <w:rsid w:val="2510B175"/>
    <w:rsid w:val="25184EE0"/>
    <w:rsid w:val="251D0A80"/>
    <w:rsid w:val="25231212"/>
    <w:rsid w:val="25289545"/>
    <w:rsid w:val="252AD4D9"/>
    <w:rsid w:val="252B7427"/>
    <w:rsid w:val="2531EA41"/>
    <w:rsid w:val="25333837"/>
    <w:rsid w:val="25359EA3"/>
    <w:rsid w:val="2535DD39"/>
    <w:rsid w:val="253C3B64"/>
    <w:rsid w:val="253E398E"/>
    <w:rsid w:val="253E44F0"/>
    <w:rsid w:val="2541BBF7"/>
    <w:rsid w:val="2543FC96"/>
    <w:rsid w:val="25462D43"/>
    <w:rsid w:val="254706CA"/>
    <w:rsid w:val="25471CE8"/>
    <w:rsid w:val="254B7832"/>
    <w:rsid w:val="254C1B47"/>
    <w:rsid w:val="254EB94D"/>
    <w:rsid w:val="254ED140"/>
    <w:rsid w:val="2550602B"/>
    <w:rsid w:val="2551D948"/>
    <w:rsid w:val="2551F18B"/>
    <w:rsid w:val="2555FB3E"/>
    <w:rsid w:val="2556019E"/>
    <w:rsid w:val="25563424"/>
    <w:rsid w:val="25574516"/>
    <w:rsid w:val="25590355"/>
    <w:rsid w:val="255CF372"/>
    <w:rsid w:val="2561F2B6"/>
    <w:rsid w:val="256506E1"/>
    <w:rsid w:val="256F2416"/>
    <w:rsid w:val="256F2FE8"/>
    <w:rsid w:val="256FDF1F"/>
    <w:rsid w:val="2579F29B"/>
    <w:rsid w:val="257A7EE5"/>
    <w:rsid w:val="257CC4ED"/>
    <w:rsid w:val="2580BCC0"/>
    <w:rsid w:val="2588D0DA"/>
    <w:rsid w:val="258D710F"/>
    <w:rsid w:val="259224A9"/>
    <w:rsid w:val="25A10A47"/>
    <w:rsid w:val="25A2BFD5"/>
    <w:rsid w:val="25A807B5"/>
    <w:rsid w:val="25A8D10C"/>
    <w:rsid w:val="25BC4FBF"/>
    <w:rsid w:val="25CCF795"/>
    <w:rsid w:val="25CE3DE0"/>
    <w:rsid w:val="25CEEC8C"/>
    <w:rsid w:val="25D1B34F"/>
    <w:rsid w:val="25D67C26"/>
    <w:rsid w:val="25DB116C"/>
    <w:rsid w:val="25DCA0A9"/>
    <w:rsid w:val="25DFA9D0"/>
    <w:rsid w:val="25E0C726"/>
    <w:rsid w:val="25E3EC3F"/>
    <w:rsid w:val="25E61B73"/>
    <w:rsid w:val="25E9F630"/>
    <w:rsid w:val="25F8E11B"/>
    <w:rsid w:val="26040659"/>
    <w:rsid w:val="26041C49"/>
    <w:rsid w:val="260DC7C7"/>
    <w:rsid w:val="260E35FB"/>
    <w:rsid w:val="2610F243"/>
    <w:rsid w:val="26112102"/>
    <w:rsid w:val="261422F6"/>
    <w:rsid w:val="26159315"/>
    <w:rsid w:val="262AE900"/>
    <w:rsid w:val="262C8183"/>
    <w:rsid w:val="26306CC6"/>
    <w:rsid w:val="2644031E"/>
    <w:rsid w:val="2647F0A3"/>
    <w:rsid w:val="264A0491"/>
    <w:rsid w:val="26541A19"/>
    <w:rsid w:val="26542B12"/>
    <w:rsid w:val="266058B7"/>
    <w:rsid w:val="266B50FC"/>
    <w:rsid w:val="266DFD24"/>
    <w:rsid w:val="2670FB21"/>
    <w:rsid w:val="2671C5A3"/>
    <w:rsid w:val="26734DCB"/>
    <w:rsid w:val="2678E60F"/>
    <w:rsid w:val="267AF13F"/>
    <w:rsid w:val="267C5DAA"/>
    <w:rsid w:val="268DF4C9"/>
    <w:rsid w:val="269084E6"/>
    <w:rsid w:val="2694F80F"/>
    <w:rsid w:val="2697ADD2"/>
    <w:rsid w:val="269A2AE1"/>
    <w:rsid w:val="269C30AB"/>
    <w:rsid w:val="269DB8EC"/>
    <w:rsid w:val="269E3DD8"/>
    <w:rsid w:val="26A18F81"/>
    <w:rsid w:val="26A36BB0"/>
    <w:rsid w:val="26A40D36"/>
    <w:rsid w:val="26A79E10"/>
    <w:rsid w:val="26ABA2BC"/>
    <w:rsid w:val="26AFF369"/>
    <w:rsid w:val="26B04042"/>
    <w:rsid w:val="26B8872F"/>
    <w:rsid w:val="26B8D87E"/>
    <w:rsid w:val="26BCB371"/>
    <w:rsid w:val="26C1192B"/>
    <w:rsid w:val="26E554A9"/>
    <w:rsid w:val="26E653F4"/>
    <w:rsid w:val="26E6FC0D"/>
    <w:rsid w:val="26E7373B"/>
    <w:rsid w:val="26F149EF"/>
    <w:rsid w:val="26F2DAAC"/>
    <w:rsid w:val="26FBD047"/>
    <w:rsid w:val="27076F1C"/>
    <w:rsid w:val="270AE9D0"/>
    <w:rsid w:val="270B7368"/>
    <w:rsid w:val="270DF0E3"/>
    <w:rsid w:val="2716038C"/>
    <w:rsid w:val="2718E93E"/>
    <w:rsid w:val="271A16AD"/>
    <w:rsid w:val="271A8A5C"/>
    <w:rsid w:val="271AF5F6"/>
    <w:rsid w:val="271CE661"/>
    <w:rsid w:val="2723D9CC"/>
    <w:rsid w:val="272637F6"/>
    <w:rsid w:val="2734717F"/>
    <w:rsid w:val="273B5A51"/>
    <w:rsid w:val="273B7F8F"/>
    <w:rsid w:val="273E2647"/>
    <w:rsid w:val="2740EFDD"/>
    <w:rsid w:val="2740F740"/>
    <w:rsid w:val="27416F1D"/>
    <w:rsid w:val="2747E540"/>
    <w:rsid w:val="27482C02"/>
    <w:rsid w:val="274A3953"/>
    <w:rsid w:val="274A7AAE"/>
    <w:rsid w:val="2752CBB8"/>
    <w:rsid w:val="275D44AE"/>
    <w:rsid w:val="2769BE8E"/>
    <w:rsid w:val="276F2CC4"/>
    <w:rsid w:val="277249FE"/>
    <w:rsid w:val="277429F8"/>
    <w:rsid w:val="27772DBE"/>
    <w:rsid w:val="277E7BB5"/>
    <w:rsid w:val="277FE65A"/>
    <w:rsid w:val="2783B1A5"/>
    <w:rsid w:val="278807B3"/>
    <w:rsid w:val="278D646D"/>
    <w:rsid w:val="278E581A"/>
    <w:rsid w:val="278EAB4E"/>
    <w:rsid w:val="27975870"/>
    <w:rsid w:val="27984381"/>
    <w:rsid w:val="2799D2BC"/>
    <w:rsid w:val="279A390E"/>
    <w:rsid w:val="27A2281A"/>
    <w:rsid w:val="27A3357D"/>
    <w:rsid w:val="27A51C26"/>
    <w:rsid w:val="27AC64C0"/>
    <w:rsid w:val="27B34182"/>
    <w:rsid w:val="27B8ECF7"/>
    <w:rsid w:val="27BCAB0E"/>
    <w:rsid w:val="27BDD360"/>
    <w:rsid w:val="27BF55A9"/>
    <w:rsid w:val="27C7FB55"/>
    <w:rsid w:val="27CBCE11"/>
    <w:rsid w:val="27D84D1E"/>
    <w:rsid w:val="27D8A076"/>
    <w:rsid w:val="27D9B6A5"/>
    <w:rsid w:val="27DC0749"/>
    <w:rsid w:val="27DCF9FE"/>
    <w:rsid w:val="27E0C5DC"/>
    <w:rsid w:val="27F4B615"/>
    <w:rsid w:val="27F4D6B7"/>
    <w:rsid w:val="27F5048D"/>
    <w:rsid w:val="27F7B65F"/>
    <w:rsid w:val="27F8AC5A"/>
    <w:rsid w:val="280075FF"/>
    <w:rsid w:val="280087FA"/>
    <w:rsid w:val="280E272C"/>
    <w:rsid w:val="281CB735"/>
    <w:rsid w:val="281FF70D"/>
    <w:rsid w:val="28206D5D"/>
    <w:rsid w:val="2822F339"/>
    <w:rsid w:val="28234676"/>
    <w:rsid w:val="28236B1F"/>
    <w:rsid w:val="28254761"/>
    <w:rsid w:val="282E8E96"/>
    <w:rsid w:val="28326391"/>
    <w:rsid w:val="2835F073"/>
    <w:rsid w:val="283708F1"/>
    <w:rsid w:val="2837BC58"/>
    <w:rsid w:val="283A35AB"/>
    <w:rsid w:val="283AEDB9"/>
    <w:rsid w:val="283E77B8"/>
    <w:rsid w:val="283E8A6A"/>
    <w:rsid w:val="284E3E3B"/>
    <w:rsid w:val="284E64AF"/>
    <w:rsid w:val="284EA3B4"/>
    <w:rsid w:val="285918EA"/>
    <w:rsid w:val="2861F326"/>
    <w:rsid w:val="2864EA7D"/>
    <w:rsid w:val="286805BE"/>
    <w:rsid w:val="286AE81E"/>
    <w:rsid w:val="287680C9"/>
    <w:rsid w:val="2877EBBD"/>
    <w:rsid w:val="287C5193"/>
    <w:rsid w:val="287D0631"/>
    <w:rsid w:val="287D529D"/>
    <w:rsid w:val="28829BF4"/>
    <w:rsid w:val="2882F5AF"/>
    <w:rsid w:val="288A7E8F"/>
    <w:rsid w:val="288CEB2F"/>
    <w:rsid w:val="288FA4EF"/>
    <w:rsid w:val="28A29211"/>
    <w:rsid w:val="28B0ABFF"/>
    <w:rsid w:val="28B23969"/>
    <w:rsid w:val="28B734C9"/>
    <w:rsid w:val="28BA2E6A"/>
    <w:rsid w:val="28BCD04F"/>
    <w:rsid w:val="28C2126E"/>
    <w:rsid w:val="28C2D44F"/>
    <w:rsid w:val="28C2E163"/>
    <w:rsid w:val="28C37238"/>
    <w:rsid w:val="28C46BAD"/>
    <w:rsid w:val="28C48CE4"/>
    <w:rsid w:val="28CE01C7"/>
    <w:rsid w:val="28D06F7E"/>
    <w:rsid w:val="28DA50DF"/>
    <w:rsid w:val="28E7A5D6"/>
    <w:rsid w:val="28F4208F"/>
    <w:rsid w:val="28F4C09C"/>
    <w:rsid w:val="28FBCB3E"/>
    <w:rsid w:val="28FF17C1"/>
    <w:rsid w:val="29041D1F"/>
    <w:rsid w:val="29044EA1"/>
    <w:rsid w:val="2907D2E2"/>
    <w:rsid w:val="29143CCD"/>
    <w:rsid w:val="29175802"/>
    <w:rsid w:val="2917E764"/>
    <w:rsid w:val="291F379C"/>
    <w:rsid w:val="291F6F03"/>
    <w:rsid w:val="2923F228"/>
    <w:rsid w:val="2927259E"/>
    <w:rsid w:val="2927C6FE"/>
    <w:rsid w:val="292BA2E7"/>
    <w:rsid w:val="292C206C"/>
    <w:rsid w:val="292DC58C"/>
    <w:rsid w:val="292E4125"/>
    <w:rsid w:val="29352186"/>
    <w:rsid w:val="2936B5E7"/>
    <w:rsid w:val="293AFAC6"/>
    <w:rsid w:val="293C51F4"/>
    <w:rsid w:val="293C5A10"/>
    <w:rsid w:val="2940EC87"/>
    <w:rsid w:val="2948CFBD"/>
    <w:rsid w:val="29533068"/>
    <w:rsid w:val="29542344"/>
    <w:rsid w:val="295493B8"/>
    <w:rsid w:val="2955B51E"/>
    <w:rsid w:val="295A6DDA"/>
    <w:rsid w:val="2966B93E"/>
    <w:rsid w:val="296B1320"/>
    <w:rsid w:val="296EB98B"/>
    <w:rsid w:val="296F39E5"/>
    <w:rsid w:val="2978EC08"/>
    <w:rsid w:val="29795849"/>
    <w:rsid w:val="297B6A57"/>
    <w:rsid w:val="2983AC5B"/>
    <w:rsid w:val="2989B1D5"/>
    <w:rsid w:val="298B8F3B"/>
    <w:rsid w:val="298D1C74"/>
    <w:rsid w:val="298F5BB9"/>
    <w:rsid w:val="2990BFE5"/>
    <w:rsid w:val="29938DEF"/>
    <w:rsid w:val="29969252"/>
    <w:rsid w:val="2996ADD0"/>
    <w:rsid w:val="2997F21C"/>
    <w:rsid w:val="29991E51"/>
    <w:rsid w:val="299A66FA"/>
    <w:rsid w:val="299CF7D9"/>
    <w:rsid w:val="29A3F817"/>
    <w:rsid w:val="29A4DA52"/>
    <w:rsid w:val="29BAAC70"/>
    <w:rsid w:val="29BDB8D0"/>
    <w:rsid w:val="29C31B44"/>
    <w:rsid w:val="29C7CA5C"/>
    <w:rsid w:val="29CE8EBA"/>
    <w:rsid w:val="29D0781E"/>
    <w:rsid w:val="29D3ED64"/>
    <w:rsid w:val="29EA147E"/>
    <w:rsid w:val="29EB49E3"/>
    <w:rsid w:val="29EEA136"/>
    <w:rsid w:val="29F621AE"/>
    <w:rsid w:val="2A046A31"/>
    <w:rsid w:val="2A085A55"/>
    <w:rsid w:val="2A09C6D9"/>
    <w:rsid w:val="2A0E6F7A"/>
    <w:rsid w:val="2A18119A"/>
    <w:rsid w:val="2A1C39FA"/>
    <w:rsid w:val="2A1D1344"/>
    <w:rsid w:val="2A1E331D"/>
    <w:rsid w:val="2A292273"/>
    <w:rsid w:val="2A2A13F4"/>
    <w:rsid w:val="2A2B6EAE"/>
    <w:rsid w:val="2A2D2143"/>
    <w:rsid w:val="2A3157D8"/>
    <w:rsid w:val="2A348DDB"/>
    <w:rsid w:val="2A3AE84D"/>
    <w:rsid w:val="2A3BABCE"/>
    <w:rsid w:val="2A3FDECF"/>
    <w:rsid w:val="2A459D1F"/>
    <w:rsid w:val="2A483230"/>
    <w:rsid w:val="2A484544"/>
    <w:rsid w:val="2A519109"/>
    <w:rsid w:val="2A531507"/>
    <w:rsid w:val="2A592D00"/>
    <w:rsid w:val="2A592DB1"/>
    <w:rsid w:val="2A5DF833"/>
    <w:rsid w:val="2A6B0156"/>
    <w:rsid w:val="2A6C6822"/>
    <w:rsid w:val="2A6D812F"/>
    <w:rsid w:val="2A6F7DDB"/>
    <w:rsid w:val="2A7438E9"/>
    <w:rsid w:val="2A7E3033"/>
    <w:rsid w:val="2A7ED98A"/>
    <w:rsid w:val="2A817978"/>
    <w:rsid w:val="2A85D492"/>
    <w:rsid w:val="2A860B37"/>
    <w:rsid w:val="2A8FD6A4"/>
    <w:rsid w:val="2A904452"/>
    <w:rsid w:val="2A924AC3"/>
    <w:rsid w:val="2A95A2E8"/>
    <w:rsid w:val="2A971B06"/>
    <w:rsid w:val="2A9B2CD8"/>
    <w:rsid w:val="2A9B9498"/>
    <w:rsid w:val="2A9C6580"/>
    <w:rsid w:val="2AA3E9CB"/>
    <w:rsid w:val="2AA617D4"/>
    <w:rsid w:val="2AA6A985"/>
    <w:rsid w:val="2AA81A4D"/>
    <w:rsid w:val="2AA87FD9"/>
    <w:rsid w:val="2AB7BC0D"/>
    <w:rsid w:val="2ABBD5C6"/>
    <w:rsid w:val="2AC559E1"/>
    <w:rsid w:val="2AD24D44"/>
    <w:rsid w:val="2AD7025C"/>
    <w:rsid w:val="2ADF8717"/>
    <w:rsid w:val="2AE81BC9"/>
    <w:rsid w:val="2AE9C1AE"/>
    <w:rsid w:val="2AEA87CC"/>
    <w:rsid w:val="2AEDD041"/>
    <w:rsid w:val="2AEFA431"/>
    <w:rsid w:val="2AF2D953"/>
    <w:rsid w:val="2AFDC301"/>
    <w:rsid w:val="2AFFD98F"/>
    <w:rsid w:val="2AFFDB58"/>
    <w:rsid w:val="2B0B08FA"/>
    <w:rsid w:val="2B0D3E45"/>
    <w:rsid w:val="2B13C17D"/>
    <w:rsid w:val="2B175605"/>
    <w:rsid w:val="2B1A9A20"/>
    <w:rsid w:val="2B28C8FF"/>
    <w:rsid w:val="2B2A06E4"/>
    <w:rsid w:val="2B2AC1E7"/>
    <w:rsid w:val="2B2C624B"/>
    <w:rsid w:val="2B2D641D"/>
    <w:rsid w:val="2B341C41"/>
    <w:rsid w:val="2B397BD4"/>
    <w:rsid w:val="2B3A3DF1"/>
    <w:rsid w:val="2B3AB951"/>
    <w:rsid w:val="2B3E6AEC"/>
    <w:rsid w:val="2B3E9D13"/>
    <w:rsid w:val="2B3FF56F"/>
    <w:rsid w:val="2B40703C"/>
    <w:rsid w:val="2B42DF78"/>
    <w:rsid w:val="2B46A316"/>
    <w:rsid w:val="2B4B5BB7"/>
    <w:rsid w:val="2B4B5EDB"/>
    <w:rsid w:val="2B4F5432"/>
    <w:rsid w:val="2B552DD5"/>
    <w:rsid w:val="2B58BFF7"/>
    <w:rsid w:val="2B659719"/>
    <w:rsid w:val="2B65E099"/>
    <w:rsid w:val="2B6C12A2"/>
    <w:rsid w:val="2B6CC21B"/>
    <w:rsid w:val="2B71035C"/>
    <w:rsid w:val="2B7989DF"/>
    <w:rsid w:val="2B7A4210"/>
    <w:rsid w:val="2B7B61F1"/>
    <w:rsid w:val="2B94F014"/>
    <w:rsid w:val="2B960F8C"/>
    <w:rsid w:val="2B97BCE7"/>
    <w:rsid w:val="2B9B2B55"/>
    <w:rsid w:val="2BA0D860"/>
    <w:rsid w:val="2BA3A418"/>
    <w:rsid w:val="2BA5B6A5"/>
    <w:rsid w:val="2BA70735"/>
    <w:rsid w:val="2BA8B2BE"/>
    <w:rsid w:val="2BAB40A7"/>
    <w:rsid w:val="2BB4207E"/>
    <w:rsid w:val="2BBC4BF0"/>
    <w:rsid w:val="2BC0EAFF"/>
    <w:rsid w:val="2BC36C2A"/>
    <w:rsid w:val="2BC54E14"/>
    <w:rsid w:val="2BCAE516"/>
    <w:rsid w:val="2BCB6FA7"/>
    <w:rsid w:val="2BCBA2AF"/>
    <w:rsid w:val="2BCC4332"/>
    <w:rsid w:val="2BCCB1BF"/>
    <w:rsid w:val="2BCD757D"/>
    <w:rsid w:val="2BD6B07F"/>
    <w:rsid w:val="2BE001C7"/>
    <w:rsid w:val="2BE2E4FB"/>
    <w:rsid w:val="2BEE25DF"/>
    <w:rsid w:val="2BF1442A"/>
    <w:rsid w:val="2BF3E54F"/>
    <w:rsid w:val="2BF57543"/>
    <w:rsid w:val="2BF85935"/>
    <w:rsid w:val="2BF979AC"/>
    <w:rsid w:val="2C0060D2"/>
    <w:rsid w:val="2C04DC58"/>
    <w:rsid w:val="2C0F37A6"/>
    <w:rsid w:val="2C16C82B"/>
    <w:rsid w:val="2C228EC0"/>
    <w:rsid w:val="2C22C1CC"/>
    <w:rsid w:val="2C2F0389"/>
    <w:rsid w:val="2C32D773"/>
    <w:rsid w:val="2C3D21E0"/>
    <w:rsid w:val="2C3E523C"/>
    <w:rsid w:val="2C3E7D29"/>
    <w:rsid w:val="2C3F1E9F"/>
    <w:rsid w:val="2C41D045"/>
    <w:rsid w:val="2C464ED6"/>
    <w:rsid w:val="2C47E957"/>
    <w:rsid w:val="2C4A8708"/>
    <w:rsid w:val="2C4C9CE2"/>
    <w:rsid w:val="2C589AC8"/>
    <w:rsid w:val="2C5C01ED"/>
    <w:rsid w:val="2C685585"/>
    <w:rsid w:val="2C689D35"/>
    <w:rsid w:val="2C68A9FB"/>
    <w:rsid w:val="2C699D58"/>
    <w:rsid w:val="2C6C4C29"/>
    <w:rsid w:val="2C6D7603"/>
    <w:rsid w:val="2C731ABD"/>
    <w:rsid w:val="2C747E28"/>
    <w:rsid w:val="2C7AFE2D"/>
    <w:rsid w:val="2C7B5ADF"/>
    <w:rsid w:val="2C7D7421"/>
    <w:rsid w:val="2C80A018"/>
    <w:rsid w:val="2C810A5B"/>
    <w:rsid w:val="2C861E48"/>
    <w:rsid w:val="2C92A5F0"/>
    <w:rsid w:val="2C9D69A2"/>
    <w:rsid w:val="2CA03994"/>
    <w:rsid w:val="2CA0831C"/>
    <w:rsid w:val="2CA1C551"/>
    <w:rsid w:val="2CAA36AB"/>
    <w:rsid w:val="2CB32203"/>
    <w:rsid w:val="2CB9C531"/>
    <w:rsid w:val="2CCE0C3D"/>
    <w:rsid w:val="2CD2A28A"/>
    <w:rsid w:val="2CD43CA7"/>
    <w:rsid w:val="2CE22DCF"/>
    <w:rsid w:val="2CE24903"/>
    <w:rsid w:val="2CE7D075"/>
    <w:rsid w:val="2CE7D842"/>
    <w:rsid w:val="2CF68998"/>
    <w:rsid w:val="2CF95CEF"/>
    <w:rsid w:val="2D08D4E1"/>
    <w:rsid w:val="2D0B2564"/>
    <w:rsid w:val="2D116B60"/>
    <w:rsid w:val="2D11B4D3"/>
    <w:rsid w:val="2D1488D5"/>
    <w:rsid w:val="2D290F86"/>
    <w:rsid w:val="2D29B27E"/>
    <w:rsid w:val="2D306AD0"/>
    <w:rsid w:val="2D3088E9"/>
    <w:rsid w:val="2D30ACF6"/>
    <w:rsid w:val="2D346A6D"/>
    <w:rsid w:val="2D351D99"/>
    <w:rsid w:val="2D3A3AA5"/>
    <w:rsid w:val="2D4718CC"/>
    <w:rsid w:val="2D495414"/>
    <w:rsid w:val="2D4E13DF"/>
    <w:rsid w:val="2D57BE01"/>
    <w:rsid w:val="2D595883"/>
    <w:rsid w:val="2D5FA3DE"/>
    <w:rsid w:val="2D629761"/>
    <w:rsid w:val="2D673A56"/>
    <w:rsid w:val="2D679192"/>
    <w:rsid w:val="2D69ABDF"/>
    <w:rsid w:val="2D6ACEA6"/>
    <w:rsid w:val="2D72C332"/>
    <w:rsid w:val="2D776F29"/>
    <w:rsid w:val="2D7ADFA7"/>
    <w:rsid w:val="2D7C2D2E"/>
    <w:rsid w:val="2D83A5BC"/>
    <w:rsid w:val="2D877950"/>
    <w:rsid w:val="2D8D0EF5"/>
    <w:rsid w:val="2D8DDF9A"/>
    <w:rsid w:val="2D94B793"/>
    <w:rsid w:val="2D98906B"/>
    <w:rsid w:val="2D997D58"/>
    <w:rsid w:val="2D9B5B80"/>
    <w:rsid w:val="2D9F4389"/>
    <w:rsid w:val="2DA09E68"/>
    <w:rsid w:val="2DA25E2A"/>
    <w:rsid w:val="2DA408E4"/>
    <w:rsid w:val="2DA7B7C0"/>
    <w:rsid w:val="2DAB0807"/>
    <w:rsid w:val="2DAC3BDD"/>
    <w:rsid w:val="2DACD24E"/>
    <w:rsid w:val="2DAD1F09"/>
    <w:rsid w:val="2DB8BC05"/>
    <w:rsid w:val="2DBDF229"/>
    <w:rsid w:val="2DBF6900"/>
    <w:rsid w:val="2DBFD868"/>
    <w:rsid w:val="2DC54DE8"/>
    <w:rsid w:val="2DC83560"/>
    <w:rsid w:val="2DC8437E"/>
    <w:rsid w:val="2DCA5604"/>
    <w:rsid w:val="2DD5DECC"/>
    <w:rsid w:val="2DDB7FD6"/>
    <w:rsid w:val="2DDD00AB"/>
    <w:rsid w:val="2DDD967F"/>
    <w:rsid w:val="2DDDE0AD"/>
    <w:rsid w:val="2DDE6CE0"/>
    <w:rsid w:val="2DDF35D2"/>
    <w:rsid w:val="2DDFB3D8"/>
    <w:rsid w:val="2DE2D246"/>
    <w:rsid w:val="2DEC3644"/>
    <w:rsid w:val="2DECF8CE"/>
    <w:rsid w:val="2DEF2561"/>
    <w:rsid w:val="2DF2EB90"/>
    <w:rsid w:val="2DF6001B"/>
    <w:rsid w:val="2DFA2A50"/>
    <w:rsid w:val="2DFA5340"/>
    <w:rsid w:val="2DFB5306"/>
    <w:rsid w:val="2DFD4BDF"/>
    <w:rsid w:val="2E077813"/>
    <w:rsid w:val="2E0A9B36"/>
    <w:rsid w:val="2E14D6B4"/>
    <w:rsid w:val="2E21710A"/>
    <w:rsid w:val="2E255FAE"/>
    <w:rsid w:val="2E3FBD01"/>
    <w:rsid w:val="2E400511"/>
    <w:rsid w:val="2E46309A"/>
    <w:rsid w:val="2E482D54"/>
    <w:rsid w:val="2E5A4B52"/>
    <w:rsid w:val="2E67CD63"/>
    <w:rsid w:val="2E6F0371"/>
    <w:rsid w:val="2E6F87C5"/>
    <w:rsid w:val="2E7468E0"/>
    <w:rsid w:val="2E865C2A"/>
    <w:rsid w:val="2E894C7E"/>
    <w:rsid w:val="2E8A328C"/>
    <w:rsid w:val="2E8B293A"/>
    <w:rsid w:val="2E8E1B3A"/>
    <w:rsid w:val="2E9421ED"/>
    <w:rsid w:val="2E963B2D"/>
    <w:rsid w:val="2E99608A"/>
    <w:rsid w:val="2E9AEBC4"/>
    <w:rsid w:val="2EA45EFB"/>
    <w:rsid w:val="2EA4B924"/>
    <w:rsid w:val="2EA67D61"/>
    <w:rsid w:val="2EB0F8D7"/>
    <w:rsid w:val="2EB302B3"/>
    <w:rsid w:val="2EB9AB88"/>
    <w:rsid w:val="2ECB9B48"/>
    <w:rsid w:val="2ECBA67A"/>
    <w:rsid w:val="2ECD9FFE"/>
    <w:rsid w:val="2ED77B4B"/>
    <w:rsid w:val="2EDB8662"/>
    <w:rsid w:val="2EDF7BE5"/>
    <w:rsid w:val="2EE23742"/>
    <w:rsid w:val="2EE43EE5"/>
    <w:rsid w:val="2EE481C2"/>
    <w:rsid w:val="2EED1FBA"/>
    <w:rsid w:val="2EF41E7C"/>
    <w:rsid w:val="2F0208E3"/>
    <w:rsid w:val="2F035729"/>
    <w:rsid w:val="2F093FF6"/>
    <w:rsid w:val="2F0D42CF"/>
    <w:rsid w:val="2F17BAAE"/>
    <w:rsid w:val="2F1CAA91"/>
    <w:rsid w:val="2F22AEF9"/>
    <w:rsid w:val="2F2983AA"/>
    <w:rsid w:val="2F2DA5DD"/>
    <w:rsid w:val="2F3E9AF3"/>
    <w:rsid w:val="2F3F3162"/>
    <w:rsid w:val="2F46DEEC"/>
    <w:rsid w:val="2F4A1462"/>
    <w:rsid w:val="2F56CC91"/>
    <w:rsid w:val="2F589E95"/>
    <w:rsid w:val="2F66645F"/>
    <w:rsid w:val="2F6700AA"/>
    <w:rsid w:val="2F69B37F"/>
    <w:rsid w:val="2F6EC58C"/>
    <w:rsid w:val="2F735990"/>
    <w:rsid w:val="2F76FCAB"/>
    <w:rsid w:val="2F7B7E0D"/>
    <w:rsid w:val="2F7C6272"/>
    <w:rsid w:val="2F8350EB"/>
    <w:rsid w:val="2F858226"/>
    <w:rsid w:val="2F87B7DE"/>
    <w:rsid w:val="2F9028F3"/>
    <w:rsid w:val="2F90A446"/>
    <w:rsid w:val="2F9881A3"/>
    <w:rsid w:val="2F99076C"/>
    <w:rsid w:val="2FA1624D"/>
    <w:rsid w:val="2FA523D8"/>
    <w:rsid w:val="2FA84B06"/>
    <w:rsid w:val="2FADDE65"/>
    <w:rsid w:val="2FAE0D33"/>
    <w:rsid w:val="2FB11269"/>
    <w:rsid w:val="2FB26DB2"/>
    <w:rsid w:val="2FB64899"/>
    <w:rsid w:val="2FB8525A"/>
    <w:rsid w:val="2FBBD1F0"/>
    <w:rsid w:val="2FBC7143"/>
    <w:rsid w:val="2FBF9DA6"/>
    <w:rsid w:val="2FC2AFD2"/>
    <w:rsid w:val="2FC3707A"/>
    <w:rsid w:val="2FC88EEF"/>
    <w:rsid w:val="2FC96FFC"/>
    <w:rsid w:val="2FD5740B"/>
    <w:rsid w:val="2FD57F86"/>
    <w:rsid w:val="2FD59661"/>
    <w:rsid w:val="2FDCE5D3"/>
    <w:rsid w:val="2FE4C88A"/>
    <w:rsid w:val="2FEA639A"/>
    <w:rsid w:val="2FEDDE16"/>
    <w:rsid w:val="2FF37025"/>
    <w:rsid w:val="2FF39884"/>
    <w:rsid w:val="2FF72585"/>
    <w:rsid w:val="2FFA6BE7"/>
    <w:rsid w:val="2FFF0E9F"/>
    <w:rsid w:val="30010912"/>
    <w:rsid w:val="3001B26F"/>
    <w:rsid w:val="3005913A"/>
    <w:rsid w:val="300B8C4C"/>
    <w:rsid w:val="30119855"/>
    <w:rsid w:val="30191C31"/>
    <w:rsid w:val="301BDC3E"/>
    <w:rsid w:val="301ECFA4"/>
    <w:rsid w:val="3028E32A"/>
    <w:rsid w:val="3029EA94"/>
    <w:rsid w:val="302D7914"/>
    <w:rsid w:val="30349EEF"/>
    <w:rsid w:val="303C0F6C"/>
    <w:rsid w:val="3047ABD7"/>
    <w:rsid w:val="3049CD1D"/>
    <w:rsid w:val="304C75D2"/>
    <w:rsid w:val="3050ADDB"/>
    <w:rsid w:val="305438DF"/>
    <w:rsid w:val="30622F10"/>
    <w:rsid w:val="3069A0B2"/>
    <w:rsid w:val="306D9D19"/>
    <w:rsid w:val="30705F6F"/>
    <w:rsid w:val="30724C78"/>
    <w:rsid w:val="30740A45"/>
    <w:rsid w:val="307C88AD"/>
    <w:rsid w:val="30829BDE"/>
    <w:rsid w:val="308707A5"/>
    <w:rsid w:val="30876998"/>
    <w:rsid w:val="30914A04"/>
    <w:rsid w:val="30922511"/>
    <w:rsid w:val="30967D8A"/>
    <w:rsid w:val="30A118BC"/>
    <w:rsid w:val="30A3C94E"/>
    <w:rsid w:val="30A8D279"/>
    <w:rsid w:val="30ADD8C6"/>
    <w:rsid w:val="30B3851E"/>
    <w:rsid w:val="30B5FF83"/>
    <w:rsid w:val="30B636D7"/>
    <w:rsid w:val="30C70386"/>
    <w:rsid w:val="30CF23EB"/>
    <w:rsid w:val="30D8B9F3"/>
    <w:rsid w:val="30D9E588"/>
    <w:rsid w:val="30DB986A"/>
    <w:rsid w:val="30E1B3F1"/>
    <w:rsid w:val="30E5BDE6"/>
    <w:rsid w:val="30EABBB8"/>
    <w:rsid w:val="30EC54B4"/>
    <w:rsid w:val="30EE19B6"/>
    <w:rsid w:val="30F863D6"/>
    <w:rsid w:val="30F875FA"/>
    <w:rsid w:val="30FDFF8C"/>
    <w:rsid w:val="30FFEE00"/>
    <w:rsid w:val="3103B9C6"/>
    <w:rsid w:val="3103D8D8"/>
    <w:rsid w:val="3104E6C7"/>
    <w:rsid w:val="31067AAB"/>
    <w:rsid w:val="3108FA87"/>
    <w:rsid w:val="31120DA3"/>
    <w:rsid w:val="31155418"/>
    <w:rsid w:val="311ADC8B"/>
    <w:rsid w:val="3128CE8D"/>
    <w:rsid w:val="3128FC0F"/>
    <w:rsid w:val="312B59B8"/>
    <w:rsid w:val="312DAA40"/>
    <w:rsid w:val="31381C9B"/>
    <w:rsid w:val="31384FAE"/>
    <w:rsid w:val="313906B3"/>
    <w:rsid w:val="313E386A"/>
    <w:rsid w:val="313FCB5B"/>
    <w:rsid w:val="3142C176"/>
    <w:rsid w:val="314631FC"/>
    <w:rsid w:val="314886E0"/>
    <w:rsid w:val="314889C9"/>
    <w:rsid w:val="3148E976"/>
    <w:rsid w:val="314C2CCD"/>
    <w:rsid w:val="314E851A"/>
    <w:rsid w:val="3152794B"/>
    <w:rsid w:val="315F220A"/>
    <w:rsid w:val="316BACC9"/>
    <w:rsid w:val="316D6A8B"/>
    <w:rsid w:val="31700136"/>
    <w:rsid w:val="3176A81C"/>
    <w:rsid w:val="317754EE"/>
    <w:rsid w:val="317A3E55"/>
    <w:rsid w:val="317D1F7E"/>
    <w:rsid w:val="317FA0C3"/>
    <w:rsid w:val="3189354A"/>
    <w:rsid w:val="319127DB"/>
    <w:rsid w:val="3199F31B"/>
    <w:rsid w:val="319E4B47"/>
    <w:rsid w:val="319EC31F"/>
    <w:rsid w:val="31A11049"/>
    <w:rsid w:val="31A32800"/>
    <w:rsid w:val="31A9AC3A"/>
    <w:rsid w:val="31A9FAD5"/>
    <w:rsid w:val="31BCA939"/>
    <w:rsid w:val="31BF11C1"/>
    <w:rsid w:val="31C35D35"/>
    <w:rsid w:val="31C97130"/>
    <w:rsid w:val="31D25B76"/>
    <w:rsid w:val="31D56A0C"/>
    <w:rsid w:val="31D61F8F"/>
    <w:rsid w:val="31D8B430"/>
    <w:rsid w:val="31E1A9ED"/>
    <w:rsid w:val="31E32240"/>
    <w:rsid w:val="31E91DCE"/>
    <w:rsid w:val="31F13829"/>
    <w:rsid w:val="31F14577"/>
    <w:rsid w:val="31F2A108"/>
    <w:rsid w:val="31F314B3"/>
    <w:rsid w:val="31F35D42"/>
    <w:rsid w:val="31F9419D"/>
    <w:rsid w:val="31F9BE35"/>
    <w:rsid w:val="31FDF766"/>
    <w:rsid w:val="32038549"/>
    <w:rsid w:val="3206B5E1"/>
    <w:rsid w:val="320C4E94"/>
    <w:rsid w:val="3218CFB8"/>
    <w:rsid w:val="321B8ECF"/>
    <w:rsid w:val="321F9621"/>
    <w:rsid w:val="32200A13"/>
    <w:rsid w:val="3222B180"/>
    <w:rsid w:val="3225CF55"/>
    <w:rsid w:val="322A4BD2"/>
    <w:rsid w:val="323ACC63"/>
    <w:rsid w:val="323C257E"/>
    <w:rsid w:val="323C50BB"/>
    <w:rsid w:val="323C938B"/>
    <w:rsid w:val="323D53FE"/>
    <w:rsid w:val="323E71F2"/>
    <w:rsid w:val="3240080A"/>
    <w:rsid w:val="32485D74"/>
    <w:rsid w:val="32654B1B"/>
    <w:rsid w:val="3268A666"/>
    <w:rsid w:val="326BF079"/>
    <w:rsid w:val="326BF326"/>
    <w:rsid w:val="326DA325"/>
    <w:rsid w:val="326E6527"/>
    <w:rsid w:val="3276CCD6"/>
    <w:rsid w:val="3277BC2C"/>
    <w:rsid w:val="327ACA85"/>
    <w:rsid w:val="327CDE58"/>
    <w:rsid w:val="3282FB6C"/>
    <w:rsid w:val="3284751C"/>
    <w:rsid w:val="3287D2A7"/>
    <w:rsid w:val="329673E4"/>
    <w:rsid w:val="3296A934"/>
    <w:rsid w:val="3297940C"/>
    <w:rsid w:val="329B473D"/>
    <w:rsid w:val="329CE9F9"/>
    <w:rsid w:val="32ACC8F6"/>
    <w:rsid w:val="32AFADC7"/>
    <w:rsid w:val="32B11038"/>
    <w:rsid w:val="32B40BDE"/>
    <w:rsid w:val="32B6ACEC"/>
    <w:rsid w:val="32BB909F"/>
    <w:rsid w:val="32C4C8E5"/>
    <w:rsid w:val="32C53E0B"/>
    <w:rsid w:val="32C6B582"/>
    <w:rsid w:val="32C7017A"/>
    <w:rsid w:val="32C8C0DA"/>
    <w:rsid w:val="32CC36BC"/>
    <w:rsid w:val="32CF7B9B"/>
    <w:rsid w:val="32D339AC"/>
    <w:rsid w:val="32D62F8E"/>
    <w:rsid w:val="32D90586"/>
    <w:rsid w:val="32DAF817"/>
    <w:rsid w:val="32DDCD8D"/>
    <w:rsid w:val="32DE773E"/>
    <w:rsid w:val="32E30DF5"/>
    <w:rsid w:val="32E97E01"/>
    <w:rsid w:val="32EAB0AA"/>
    <w:rsid w:val="32EB71FD"/>
    <w:rsid w:val="32FB8D99"/>
    <w:rsid w:val="33006AFA"/>
    <w:rsid w:val="33060F79"/>
    <w:rsid w:val="3306D706"/>
    <w:rsid w:val="3306E035"/>
    <w:rsid w:val="330CD474"/>
    <w:rsid w:val="330CFDC4"/>
    <w:rsid w:val="330FC738"/>
    <w:rsid w:val="3310BA7B"/>
    <w:rsid w:val="33113205"/>
    <w:rsid w:val="3311D294"/>
    <w:rsid w:val="331BFFA4"/>
    <w:rsid w:val="332238A2"/>
    <w:rsid w:val="332334AB"/>
    <w:rsid w:val="3325AC05"/>
    <w:rsid w:val="332B4837"/>
    <w:rsid w:val="332F3951"/>
    <w:rsid w:val="3331D180"/>
    <w:rsid w:val="333305E4"/>
    <w:rsid w:val="33366FE2"/>
    <w:rsid w:val="3339DE25"/>
    <w:rsid w:val="333BACE9"/>
    <w:rsid w:val="333C6932"/>
    <w:rsid w:val="333EAE21"/>
    <w:rsid w:val="333EFD22"/>
    <w:rsid w:val="333FA370"/>
    <w:rsid w:val="33462AED"/>
    <w:rsid w:val="3348078D"/>
    <w:rsid w:val="335124DB"/>
    <w:rsid w:val="3352C115"/>
    <w:rsid w:val="335539BE"/>
    <w:rsid w:val="33587656"/>
    <w:rsid w:val="335E9D8D"/>
    <w:rsid w:val="3360D12F"/>
    <w:rsid w:val="336A27A6"/>
    <w:rsid w:val="336DE8E4"/>
    <w:rsid w:val="33746D77"/>
    <w:rsid w:val="3377CAB6"/>
    <w:rsid w:val="337816EB"/>
    <w:rsid w:val="3378C338"/>
    <w:rsid w:val="33808200"/>
    <w:rsid w:val="338FB9E3"/>
    <w:rsid w:val="3391C9EF"/>
    <w:rsid w:val="33928C5B"/>
    <w:rsid w:val="3392912C"/>
    <w:rsid w:val="3393CFB4"/>
    <w:rsid w:val="3394EC3F"/>
    <w:rsid w:val="33982501"/>
    <w:rsid w:val="3399FDDE"/>
    <w:rsid w:val="339C70E2"/>
    <w:rsid w:val="339E6D5E"/>
    <w:rsid w:val="339EAAF7"/>
    <w:rsid w:val="33A6447B"/>
    <w:rsid w:val="33A6E18F"/>
    <w:rsid w:val="33AAE0B4"/>
    <w:rsid w:val="33B298E9"/>
    <w:rsid w:val="33C388BC"/>
    <w:rsid w:val="33C76516"/>
    <w:rsid w:val="33CF5CD4"/>
    <w:rsid w:val="33D77248"/>
    <w:rsid w:val="33D8BD87"/>
    <w:rsid w:val="33D8F3AB"/>
    <w:rsid w:val="33DA50C2"/>
    <w:rsid w:val="33DB8291"/>
    <w:rsid w:val="33DEC264"/>
    <w:rsid w:val="33DF71E1"/>
    <w:rsid w:val="33E2A54D"/>
    <w:rsid w:val="33E82E0F"/>
    <w:rsid w:val="33FBB6FE"/>
    <w:rsid w:val="34011B7C"/>
    <w:rsid w:val="340D233E"/>
    <w:rsid w:val="34128740"/>
    <w:rsid w:val="3415F279"/>
    <w:rsid w:val="34186DD8"/>
    <w:rsid w:val="34186F4F"/>
    <w:rsid w:val="341C096D"/>
    <w:rsid w:val="341C42AE"/>
    <w:rsid w:val="342C2127"/>
    <w:rsid w:val="343251B4"/>
    <w:rsid w:val="343CCAE7"/>
    <w:rsid w:val="343D07A9"/>
    <w:rsid w:val="343E907F"/>
    <w:rsid w:val="343FA613"/>
    <w:rsid w:val="344ABE47"/>
    <w:rsid w:val="344D49D9"/>
    <w:rsid w:val="344DB685"/>
    <w:rsid w:val="345033DA"/>
    <w:rsid w:val="34503E59"/>
    <w:rsid w:val="3450A8FA"/>
    <w:rsid w:val="3450E486"/>
    <w:rsid w:val="3451557C"/>
    <w:rsid w:val="34529F16"/>
    <w:rsid w:val="3454615B"/>
    <w:rsid w:val="3456E9AE"/>
    <w:rsid w:val="345BA1F9"/>
    <w:rsid w:val="345D81A9"/>
    <w:rsid w:val="34619F0B"/>
    <w:rsid w:val="346262AE"/>
    <w:rsid w:val="3466FA22"/>
    <w:rsid w:val="34767F65"/>
    <w:rsid w:val="34794DB5"/>
    <w:rsid w:val="347BE78F"/>
    <w:rsid w:val="34897D40"/>
    <w:rsid w:val="348D0318"/>
    <w:rsid w:val="349704B1"/>
    <w:rsid w:val="349C6CCC"/>
    <w:rsid w:val="349F74FD"/>
    <w:rsid w:val="34A13513"/>
    <w:rsid w:val="34B3C16A"/>
    <w:rsid w:val="34BB8A21"/>
    <w:rsid w:val="34C035A1"/>
    <w:rsid w:val="34C13EB3"/>
    <w:rsid w:val="34C1DAD0"/>
    <w:rsid w:val="34D199A7"/>
    <w:rsid w:val="34D29825"/>
    <w:rsid w:val="34D90829"/>
    <w:rsid w:val="34DE768D"/>
    <w:rsid w:val="34E2C34A"/>
    <w:rsid w:val="34E7C593"/>
    <w:rsid w:val="34EE1EF5"/>
    <w:rsid w:val="34EE758F"/>
    <w:rsid w:val="34F5C5A4"/>
    <w:rsid w:val="34F74F1E"/>
    <w:rsid w:val="34FC286C"/>
    <w:rsid w:val="34FD05AE"/>
    <w:rsid w:val="34FF6DF8"/>
    <w:rsid w:val="34FFEB4B"/>
    <w:rsid w:val="350265A9"/>
    <w:rsid w:val="3503E38F"/>
    <w:rsid w:val="35074C9F"/>
    <w:rsid w:val="350936D4"/>
    <w:rsid w:val="350CF482"/>
    <w:rsid w:val="351063B0"/>
    <w:rsid w:val="35174FE7"/>
    <w:rsid w:val="351945B4"/>
    <w:rsid w:val="35215E2D"/>
    <w:rsid w:val="35255A20"/>
    <w:rsid w:val="3529717A"/>
    <w:rsid w:val="352A6D74"/>
    <w:rsid w:val="352B381D"/>
    <w:rsid w:val="35308A82"/>
    <w:rsid w:val="3534976A"/>
    <w:rsid w:val="353ECA72"/>
    <w:rsid w:val="35413A60"/>
    <w:rsid w:val="35448D7A"/>
    <w:rsid w:val="354589A6"/>
    <w:rsid w:val="3546F64D"/>
    <w:rsid w:val="35474ABD"/>
    <w:rsid w:val="3549F412"/>
    <w:rsid w:val="355ABC10"/>
    <w:rsid w:val="355E66F9"/>
    <w:rsid w:val="3560B828"/>
    <w:rsid w:val="356ACC64"/>
    <w:rsid w:val="356D7FBE"/>
    <w:rsid w:val="356F945C"/>
    <w:rsid w:val="356FB3A2"/>
    <w:rsid w:val="3587BB79"/>
    <w:rsid w:val="359012E2"/>
    <w:rsid w:val="3594A77F"/>
    <w:rsid w:val="359C16FC"/>
    <w:rsid w:val="35A3EC77"/>
    <w:rsid w:val="35A905C5"/>
    <w:rsid w:val="35AD6B12"/>
    <w:rsid w:val="35B4CC0E"/>
    <w:rsid w:val="35BA8567"/>
    <w:rsid w:val="35BEAD00"/>
    <w:rsid w:val="35CB7E57"/>
    <w:rsid w:val="35CFE8C8"/>
    <w:rsid w:val="35D328EA"/>
    <w:rsid w:val="35D45A66"/>
    <w:rsid w:val="35D97E02"/>
    <w:rsid w:val="35DA8C33"/>
    <w:rsid w:val="35DD0843"/>
    <w:rsid w:val="35E25525"/>
    <w:rsid w:val="35E32434"/>
    <w:rsid w:val="35E400A4"/>
    <w:rsid w:val="35E48DDC"/>
    <w:rsid w:val="35E4E189"/>
    <w:rsid w:val="35E6A6B7"/>
    <w:rsid w:val="35EB06A3"/>
    <w:rsid w:val="35EC2A10"/>
    <w:rsid w:val="35EC7901"/>
    <w:rsid w:val="35EE5867"/>
    <w:rsid w:val="35FD4021"/>
    <w:rsid w:val="35FE66D5"/>
    <w:rsid w:val="360307B3"/>
    <w:rsid w:val="36030B66"/>
    <w:rsid w:val="360851C1"/>
    <w:rsid w:val="3617A45A"/>
    <w:rsid w:val="3619CAD5"/>
    <w:rsid w:val="36297A7E"/>
    <w:rsid w:val="363BA628"/>
    <w:rsid w:val="363E57C5"/>
    <w:rsid w:val="363E5FA5"/>
    <w:rsid w:val="36429598"/>
    <w:rsid w:val="3649D1A6"/>
    <w:rsid w:val="364BE628"/>
    <w:rsid w:val="364C0864"/>
    <w:rsid w:val="36507CE2"/>
    <w:rsid w:val="36515878"/>
    <w:rsid w:val="36538B9C"/>
    <w:rsid w:val="36576EA5"/>
    <w:rsid w:val="366982EB"/>
    <w:rsid w:val="366D1C74"/>
    <w:rsid w:val="3674E344"/>
    <w:rsid w:val="3683D231"/>
    <w:rsid w:val="368BA6B9"/>
    <w:rsid w:val="3692CB84"/>
    <w:rsid w:val="3693520B"/>
    <w:rsid w:val="36946C0B"/>
    <w:rsid w:val="36946EA3"/>
    <w:rsid w:val="369D7512"/>
    <w:rsid w:val="36A5B09F"/>
    <w:rsid w:val="36AA6141"/>
    <w:rsid w:val="36AC9789"/>
    <w:rsid w:val="36B4D2C3"/>
    <w:rsid w:val="36BC7B32"/>
    <w:rsid w:val="36BD31E0"/>
    <w:rsid w:val="36BF8C13"/>
    <w:rsid w:val="36C0D8CE"/>
    <w:rsid w:val="36C34AB8"/>
    <w:rsid w:val="36C6E7E3"/>
    <w:rsid w:val="36C76999"/>
    <w:rsid w:val="36C94F9A"/>
    <w:rsid w:val="36CE2C12"/>
    <w:rsid w:val="36D510A8"/>
    <w:rsid w:val="36DD635B"/>
    <w:rsid w:val="36E4389D"/>
    <w:rsid w:val="36E9F936"/>
    <w:rsid w:val="36EAD85C"/>
    <w:rsid w:val="36EAF8CC"/>
    <w:rsid w:val="36ECAE20"/>
    <w:rsid w:val="36ED31F8"/>
    <w:rsid w:val="36F2BB6E"/>
    <w:rsid w:val="36F4F4D7"/>
    <w:rsid w:val="36FC3665"/>
    <w:rsid w:val="36FED35D"/>
    <w:rsid w:val="3705377B"/>
    <w:rsid w:val="37084075"/>
    <w:rsid w:val="3709A56C"/>
    <w:rsid w:val="3715F661"/>
    <w:rsid w:val="371B86CA"/>
    <w:rsid w:val="371CB157"/>
    <w:rsid w:val="3723113C"/>
    <w:rsid w:val="37236676"/>
    <w:rsid w:val="3726795A"/>
    <w:rsid w:val="37277CF7"/>
    <w:rsid w:val="3727C292"/>
    <w:rsid w:val="372919DC"/>
    <w:rsid w:val="372AC963"/>
    <w:rsid w:val="37383093"/>
    <w:rsid w:val="37397873"/>
    <w:rsid w:val="373B8D9A"/>
    <w:rsid w:val="373CDC91"/>
    <w:rsid w:val="373E383F"/>
    <w:rsid w:val="37407E92"/>
    <w:rsid w:val="3744522B"/>
    <w:rsid w:val="374475EF"/>
    <w:rsid w:val="3744872F"/>
    <w:rsid w:val="3747D882"/>
    <w:rsid w:val="374EA6AA"/>
    <w:rsid w:val="374FB314"/>
    <w:rsid w:val="375230A1"/>
    <w:rsid w:val="375725DC"/>
    <w:rsid w:val="375F2224"/>
    <w:rsid w:val="376C2E6A"/>
    <w:rsid w:val="376C9D6F"/>
    <w:rsid w:val="376DDC02"/>
    <w:rsid w:val="3773BFC9"/>
    <w:rsid w:val="377E3D12"/>
    <w:rsid w:val="377E508D"/>
    <w:rsid w:val="37908957"/>
    <w:rsid w:val="379B637B"/>
    <w:rsid w:val="379B7791"/>
    <w:rsid w:val="379CE102"/>
    <w:rsid w:val="379EFD5B"/>
    <w:rsid w:val="37A6B2FA"/>
    <w:rsid w:val="37B0793B"/>
    <w:rsid w:val="37B082A9"/>
    <w:rsid w:val="37B497F2"/>
    <w:rsid w:val="37D078FC"/>
    <w:rsid w:val="37D27779"/>
    <w:rsid w:val="37D63F72"/>
    <w:rsid w:val="37D65A76"/>
    <w:rsid w:val="37D9B2E4"/>
    <w:rsid w:val="37DD6730"/>
    <w:rsid w:val="37EC3B98"/>
    <w:rsid w:val="37EC7014"/>
    <w:rsid w:val="37F3FDBC"/>
    <w:rsid w:val="37F6DA32"/>
    <w:rsid w:val="37F9E448"/>
    <w:rsid w:val="37F9F731"/>
    <w:rsid w:val="37FA15C2"/>
    <w:rsid w:val="37FB0BE0"/>
    <w:rsid w:val="37FD0331"/>
    <w:rsid w:val="37FDD05B"/>
    <w:rsid w:val="38031344"/>
    <w:rsid w:val="38076D8F"/>
    <w:rsid w:val="38079B4C"/>
    <w:rsid w:val="3807B694"/>
    <w:rsid w:val="380814CE"/>
    <w:rsid w:val="380DC44B"/>
    <w:rsid w:val="381DD410"/>
    <w:rsid w:val="38262DE3"/>
    <w:rsid w:val="382A77E2"/>
    <w:rsid w:val="382CAE2B"/>
    <w:rsid w:val="3831731C"/>
    <w:rsid w:val="383914FC"/>
    <w:rsid w:val="383AFA00"/>
    <w:rsid w:val="385523CD"/>
    <w:rsid w:val="3860B196"/>
    <w:rsid w:val="3862A73D"/>
    <w:rsid w:val="386343F7"/>
    <w:rsid w:val="3867A704"/>
    <w:rsid w:val="386FC28B"/>
    <w:rsid w:val="3870B792"/>
    <w:rsid w:val="3872D00E"/>
    <w:rsid w:val="38796782"/>
    <w:rsid w:val="3879FE51"/>
    <w:rsid w:val="387AB912"/>
    <w:rsid w:val="3880569E"/>
    <w:rsid w:val="3889CB52"/>
    <w:rsid w:val="3891809B"/>
    <w:rsid w:val="38980EEC"/>
    <w:rsid w:val="389FA0CC"/>
    <w:rsid w:val="38A50870"/>
    <w:rsid w:val="38AD538A"/>
    <w:rsid w:val="38B48F2B"/>
    <w:rsid w:val="38B57C05"/>
    <w:rsid w:val="38BC0DC2"/>
    <w:rsid w:val="38BD5E71"/>
    <w:rsid w:val="38C92F41"/>
    <w:rsid w:val="38D7EF41"/>
    <w:rsid w:val="38D82D5C"/>
    <w:rsid w:val="38DEF6B4"/>
    <w:rsid w:val="38E4E9BF"/>
    <w:rsid w:val="38E66651"/>
    <w:rsid w:val="38E7C866"/>
    <w:rsid w:val="38E8929D"/>
    <w:rsid w:val="38EC8A4E"/>
    <w:rsid w:val="38F035DB"/>
    <w:rsid w:val="38F073EC"/>
    <w:rsid w:val="38F7B76C"/>
    <w:rsid w:val="38F85EDA"/>
    <w:rsid w:val="38F8BBCA"/>
    <w:rsid w:val="38F8F627"/>
    <w:rsid w:val="38FBFC44"/>
    <w:rsid w:val="38FCE373"/>
    <w:rsid w:val="38FDA9F4"/>
    <w:rsid w:val="39001664"/>
    <w:rsid w:val="3906511A"/>
    <w:rsid w:val="3909C062"/>
    <w:rsid w:val="390ED84B"/>
    <w:rsid w:val="3911FD3F"/>
    <w:rsid w:val="39167B0E"/>
    <w:rsid w:val="391736A7"/>
    <w:rsid w:val="39267E21"/>
    <w:rsid w:val="3928C33E"/>
    <w:rsid w:val="392D7E9D"/>
    <w:rsid w:val="39330C57"/>
    <w:rsid w:val="3934EAF9"/>
    <w:rsid w:val="3935982C"/>
    <w:rsid w:val="393EB7DD"/>
    <w:rsid w:val="393F7D49"/>
    <w:rsid w:val="3942F4B3"/>
    <w:rsid w:val="394729C8"/>
    <w:rsid w:val="3948B59A"/>
    <w:rsid w:val="3948FECB"/>
    <w:rsid w:val="3949EC75"/>
    <w:rsid w:val="394E0B5B"/>
    <w:rsid w:val="39508B1F"/>
    <w:rsid w:val="395C01C4"/>
    <w:rsid w:val="395D2F15"/>
    <w:rsid w:val="395E59AE"/>
    <w:rsid w:val="39629A57"/>
    <w:rsid w:val="39632D38"/>
    <w:rsid w:val="39649991"/>
    <w:rsid w:val="396D628F"/>
    <w:rsid w:val="396DF0DD"/>
    <w:rsid w:val="3972C6BF"/>
    <w:rsid w:val="3972F212"/>
    <w:rsid w:val="39782A40"/>
    <w:rsid w:val="3978CA5E"/>
    <w:rsid w:val="397C57D9"/>
    <w:rsid w:val="397F6A09"/>
    <w:rsid w:val="39831415"/>
    <w:rsid w:val="3987BBAF"/>
    <w:rsid w:val="39886193"/>
    <w:rsid w:val="3988BEBC"/>
    <w:rsid w:val="3988D5D2"/>
    <w:rsid w:val="398B0864"/>
    <w:rsid w:val="398E7ED0"/>
    <w:rsid w:val="398FD5D9"/>
    <w:rsid w:val="39923C69"/>
    <w:rsid w:val="3995AA39"/>
    <w:rsid w:val="3996C350"/>
    <w:rsid w:val="3997B2E3"/>
    <w:rsid w:val="39996D13"/>
    <w:rsid w:val="399A1380"/>
    <w:rsid w:val="399A9E4B"/>
    <w:rsid w:val="399F8EA6"/>
    <w:rsid w:val="39A05B05"/>
    <w:rsid w:val="39A31C8F"/>
    <w:rsid w:val="39A4ECF9"/>
    <w:rsid w:val="39A5E292"/>
    <w:rsid w:val="39A60E07"/>
    <w:rsid w:val="39AB638A"/>
    <w:rsid w:val="39AFD5AD"/>
    <w:rsid w:val="39B24624"/>
    <w:rsid w:val="39C12587"/>
    <w:rsid w:val="39C26011"/>
    <w:rsid w:val="39C31D4B"/>
    <w:rsid w:val="39C34F42"/>
    <w:rsid w:val="39CF72CF"/>
    <w:rsid w:val="39D45DFF"/>
    <w:rsid w:val="39D52F30"/>
    <w:rsid w:val="39D5FF6F"/>
    <w:rsid w:val="39DAA2C1"/>
    <w:rsid w:val="39DB849A"/>
    <w:rsid w:val="39E6DEBF"/>
    <w:rsid w:val="39EE9788"/>
    <w:rsid w:val="39F59984"/>
    <w:rsid w:val="39FCFB81"/>
    <w:rsid w:val="3A01A18F"/>
    <w:rsid w:val="3A0E59C3"/>
    <w:rsid w:val="3A198A20"/>
    <w:rsid w:val="3A212EF9"/>
    <w:rsid w:val="3A369F3B"/>
    <w:rsid w:val="3A3BE052"/>
    <w:rsid w:val="3A3D20B9"/>
    <w:rsid w:val="3A3D9F6F"/>
    <w:rsid w:val="3A452D9D"/>
    <w:rsid w:val="3A45E1A7"/>
    <w:rsid w:val="3A45ECCE"/>
    <w:rsid w:val="3A4C20E7"/>
    <w:rsid w:val="3A4DF931"/>
    <w:rsid w:val="3A565331"/>
    <w:rsid w:val="3A577C93"/>
    <w:rsid w:val="3A58BE85"/>
    <w:rsid w:val="3A59C36B"/>
    <w:rsid w:val="3A5E5504"/>
    <w:rsid w:val="3A637AD5"/>
    <w:rsid w:val="3A637C80"/>
    <w:rsid w:val="3A7167D8"/>
    <w:rsid w:val="3A7BA38A"/>
    <w:rsid w:val="3A7F6DC3"/>
    <w:rsid w:val="3A805415"/>
    <w:rsid w:val="3A8B2CF6"/>
    <w:rsid w:val="3A92DB60"/>
    <w:rsid w:val="3A93DB46"/>
    <w:rsid w:val="3A97B6BE"/>
    <w:rsid w:val="3A9A478F"/>
    <w:rsid w:val="3A9E2F63"/>
    <w:rsid w:val="3A9ECA27"/>
    <w:rsid w:val="3AA44FFC"/>
    <w:rsid w:val="3AA77286"/>
    <w:rsid w:val="3AAA0D65"/>
    <w:rsid w:val="3AAB380D"/>
    <w:rsid w:val="3AAE619F"/>
    <w:rsid w:val="3AB09549"/>
    <w:rsid w:val="3AB3DEE3"/>
    <w:rsid w:val="3AB44AD0"/>
    <w:rsid w:val="3AB551E7"/>
    <w:rsid w:val="3AB85A85"/>
    <w:rsid w:val="3ABDF539"/>
    <w:rsid w:val="3AC420AA"/>
    <w:rsid w:val="3AC68F23"/>
    <w:rsid w:val="3AC73D6B"/>
    <w:rsid w:val="3ACA5FA7"/>
    <w:rsid w:val="3ACE7ACE"/>
    <w:rsid w:val="3AD25A95"/>
    <w:rsid w:val="3AD8690A"/>
    <w:rsid w:val="3ADC3514"/>
    <w:rsid w:val="3ADDCD5F"/>
    <w:rsid w:val="3AE843B7"/>
    <w:rsid w:val="3AEA3312"/>
    <w:rsid w:val="3AECB175"/>
    <w:rsid w:val="3AEEA8D6"/>
    <w:rsid w:val="3AF0F943"/>
    <w:rsid w:val="3AF33DCC"/>
    <w:rsid w:val="3AF88F93"/>
    <w:rsid w:val="3B00626A"/>
    <w:rsid w:val="3B02D958"/>
    <w:rsid w:val="3B05D751"/>
    <w:rsid w:val="3B081A79"/>
    <w:rsid w:val="3B0E049F"/>
    <w:rsid w:val="3B13CB2B"/>
    <w:rsid w:val="3B198445"/>
    <w:rsid w:val="3B1AA637"/>
    <w:rsid w:val="3B1ACDDE"/>
    <w:rsid w:val="3B1C4F35"/>
    <w:rsid w:val="3B2C9D8C"/>
    <w:rsid w:val="3B300665"/>
    <w:rsid w:val="3B34B2BC"/>
    <w:rsid w:val="3B39191B"/>
    <w:rsid w:val="3B3B6910"/>
    <w:rsid w:val="3B3EC37F"/>
    <w:rsid w:val="3B4BD5DE"/>
    <w:rsid w:val="3B4C7C65"/>
    <w:rsid w:val="3B4F409C"/>
    <w:rsid w:val="3B50F9D5"/>
    <w:rsid w:val="3B54AD23"/>
    <w:rsid w:val="3B59E8C7"/>
    <w:rsid w:val="3B5C428F"/>
    <w:rsid w:val="3B6899A5"/>
    <w:rsid w:val="3B6BF859"/>
    <w:rsid w:val="3B6D9548"/>
    <w:rsid w:val="3B7A5A9B"/>
    <w:rsid w:val="3B7AF555"/>
    <w:rsid w:val="3B7CC9D1"/>
    <w:rsid w:val="3B881556"/>
    <w:rsid w:val="3B88DC11"/>
    <w:rsid w:val="3B96AF22"/>
    <w:rsid w:val="3B9726CD"/>
    <w:rsid w:val="3B980D31"/>
    <w:rsid w:val="3B9C5D34"/>
    <w:rsid w:val="3BB2A69C"/>
    <w:rsid w:val="3BB8E7A0"/>
    <w:rsid w:val="3BB9D7F9"/>
    <w:rsid w:val="3BC09FF1"/>
    <w:rsid w:val="3BC31DE2"/>
    <w:rsid w:val="3BC46CC3"/>
    <w:rsid w:val="3BC4D0A0"/>
    <w:rsid w:val="3BCB52AB"/>
    <w:rsid w:val="3BCF1A56"/>
    <w:rsid w:val="3BD37765"/>
    <w:rsid w:val="3BD66D39"/>
    <w:rsid w:val="3BD81254"/>
    <w:rsid w:val="3BDED257"/>
    <w:rsid w:val="3BE3C856"/>
    <w:rsid w:val="3BE63B4E"/>
    <w:rsid w:val="3BEFE490"/>
    <w:rsid w:val="3BFDBF78"/>
    <w:rsid w:val="3C052EE5"/>
    <w:rsid w:val="3C063914"/>
    <w:rsid w:val="3C082B2A"/>
    <w:rsid w:val="3C0945BF"/>
    <w:rsid w:val="3C09B042"/>
    <w:rsid w:val="3C0F5F0C"/>
    <w:rsid w:val="3C10D93F"/>
    <w:rsid w:val="3C1D51F6"/>
    <w:rsid w:val="3C1DF53E"/>
    <w:rsid w:val="3C1E502F"/>
    <w:rsid w:val="3C245A20"/>
    <w:rsid w:val="3C32EFDB"/>
    <w:rsid w:val="3C3699BB"/>
    <w:rsid w:val="3C55AAAE"/>
    <w:rsid w:val="3C5E1F7C"/>
    <w:rsid w:val="3C5F8587"/>
    <w:rsid w:val="3C60313C"/>
    <w:rsid w:val="3C79D3F1"/>
    <w:rsid w:val="3C7EE768"/>
    <w:rsid w:val="3C84EC1F"/>
    <w:rsid w:val="3C962AD5"/>
    <w:rsid w:val="3C9C3A53"/>
    <w:rsid w:val="3C9EBAEC"/>
    <w:rsid w:val="3CAA02E5"/>
    <w:rsid w:val="3CAD85B4"/>
    <w:rsid w:val="3CB128E6"/>
    <w:rsid w:val="3CB5F68E"/>
    <w:rsid w:val="3CB6E289"/>
    <w:rsid w:val="3CBEE5E9"/>
    <w:rsid w:val="3CC06F1B"/>
    <w:rsid w:val="3CC6B029"/>
    <w:rsid w:val="3CCB74A3"/>
    <w:rsid w:val="3CD067D1"/>
    <w:rsid w:val="3CD2D1BA"/>
    <w:rsid w:val="3CD5BC1B"/>
    <w:rsid w:val="3CD5D5D8"/>
    <w:rsid w:val="3CD69664"/>
    <w:rsid w:val="3CDA7550"/>
    <w:rsid w:val="3CDBA5E3"/>
    <w:rsid w:val="3CE18D14"/>
    <w:rsid w:val="3CE69409"/>
    <w:rsid w:val="3CEEB0B0"/>
    <w:rsid w:val="3CF07EC2"/>
    <w:rsid w:val="3CF5A380"/>
    <w:rsid w:val="3CF80211"/>
    <w:rsid w:val="3CFA694D"/>
    <w:rsid w:val="3D00AF77"/>
    <w:rsid w:val="3D0536BB"/>
    <w:rsid w:val="3D0568CF"/>
    <w:rsid w:val="3D08AC3E"/>
    <w:rsid w:val="3D095031"/>
    <w:rsid w:val="3D0B0C3A"/>
    <w:rsid w:val="3D16DEDE"/>
    <w:rsid w:val="3D267553"/>
    <w:rsid w:val="3D26DE4C"/>
    <w:rsid w:val="3D2991D1"/>
    <w:rsid w:val="3D304265"/>
    <w:rsid w:val="3D315D93"/>
    <w:rsid w:val="3D31A5FA"/>
    <w:rsid w:val="3D3825B4"/>
    <w:rsid w:val="3D3834D2"/>
    <w:rsid w:val="3D41DB07"/>
    <w:rsid w:val="3D46DFA4"/>
    <w:rsid w:val="3D4EA2FC"/>
    <w:rsid w:val="3D4FEED5"/>
    <w:rsid w:val="3D63C4C8"/>
    <w:rsid w:val="3D6422D7"/>
    <w:rsid w:val="3D66DEC7"/>
    <w:rsid w:val="3D683EEE"/>
    <w:rsid w:val="3D6C408B"/>
    <w:rsid w:val="3D717FC7"/>
    <w:rsid w:val="3D747D46"/>
    <w:rsid w:val="3D77676C"/>
    <w:rsid w:val="3D77B742"/>
    <w:rsid w:val="3D7D5054"/>
    <w:rsid w:val="3D84A12F"/>
    <w:rsid w:val="3D861F8B"/>
    <w:rsid w:val="3D8BDDB7"/>
    <w:rsid w:val="3D8C21D7"/>
    <w:rsid w:val="3D937878"/>
    <w:rsid w:val="3D9EBBC9"/>
    <w:rsid w:val="3DA0471D"/>
    <w:rsid w:val="3DA16726"/>
    <w:rsid w:val="3DA1AEF9"/>
    <w:rsid w:val="3DA20975"/>
    <w:rsid w:val="3DA3F263"/>
    <w:rsid w:val="3DA5AF95"/>
    <w:rsid w:val="3DA5DA95"/>
    <w:rsid w:val="3DADEB69"/>
    <w:rsid w:val="3DB2155E"/>
    <w:rsid w:val="3DB2940E"/>
    <w:rsid w:val="3DB6E2CC"/>
    <w:rsid w:val="3DC5D4BE"/>
    <w:rsid w:val="3DC6EF44"/>
    <w:rsid w:val="3DC9E90B"/>
    <w:rsid w:val="3DCBF372"/>
    <w:rsid w:val="3DCF8B15"/>
    <w:rsid w:val="3DD04774"/>
    <w:rsid w:val="3DDA9CD3"/>
    <w:rsid w:val="3DDB9B3B"/>
    <w:rsid w:val="3DDD12A3"/>
    <w:rsid w:val="3DDDDB04"/>
    <w:rsid w:val="3DE63428"/>
    <w:rsid w:val="3DE9C581"/>
    <w:rsid w:val="3DF2D1B8"/>
    <w:rsid w:val="3DF663B0"/>
    <w:rsid w:val="3DF974CF"/>
    <w:rsid w:val="3E007434"/>
    <w:rsid w:val="3E03282A"/>
    <w:rsid w:val="3E0A7B4A"/>
    <w:rsid w:val="3E0AF922"/>
    <w:rsid w:val="3E0D006D"/>
    <w:rsid w:val="3E113758"/>
    <w:rsid w:val="3E1CD3F8"/>
    <w:rsid w:val="3E226CAA"/>
    <w:rsid w:val="3E22A64C"/>
    <w:rsid w:val="3E257D2F"/>
    <w:rsid w:val="3E267AE3"/>
    <w:rsid w:val="3E2DB232"/>
    <w:rsid w:val="3E2E75FB"/>
    <w:rsid w:val="3E2E83E0"/>
    <w:rsid w:val="3E3BAC69"/>
    <w:rsid w:val="3E3C2A54"/>
    <w:rsid w:val="3E3CA3CE"/>
    <w:rsid w:val="3E3E3D74"/>
    <w:rsid w:val="3E3F9443"/>
    <w:rsid w:val="3E411339"/>
    <w:rsid w:val="3E467DA4"/>
    <w:rsid w:val="3E4DE22F"/>
    <w:rsid w:val="3E5117B0"/>
    <w:rsid w:val="3E51C089"/>
    <w:rsid w:val="3E58EFC0"/>
    <w:rsid w:val="3E5984D5"/>
    <w:rsid w:val="3E608B58"/>
    <w:rsid w:val="3E70BB6B"/>
    <w:rsid w:val="3E784A38"/>
    <w:rsid w:val="3E79FFB8"/>
    <w:rsid w:val="3E871818"/>
    <w:rsid w:val="3E89D3D4"/>
    <w:rsid w:val="3E93C7C8"/>
    <w:rsid w:val="3E95173E"/>
    <w:rsid w:val="3E9693C1"/>
    <w:rsid w:val="3E96D4CC"/>
    <w:rsid w:val="3E9D7EFA"/>
    <w:rsid w:val="3EA19343"/>
    <w:rsid w:val="3EA30B2F"/>
    <w:rsid w:val="3EAB0F1D"/>
    <w:rsid w:val="3EB3EF8B"/>
    <w:rsid w:val="3EB47230"/>
    <w:rsid w:val="3EB9D171"/>
    <w:rsid w:val="3EBDC853"/>
    <w:rsid w:val="3EBE6C24"/>
    <w:rsid w:val="3EC2FF75"/>
    <w:rsid w:val="3EC6FA30"/>
    <w:rsid w:val="3ECB99CA"/>
    <w:rsid w:val="3ECC09E5"/>
    <w:rsid w:val="3ECD7842"/>
    <w:rsid w:val="3ECDB2E7"/>
    <w:rsid w:val="3ECF8698"/>
    <w:rsid w:val="3ECFE87D"/>
    <w:rsid w:val="3ED3FB58"/>
    <w:rsid w:val="3EDB2C9A"/>
    <w:rsid w:val="3EDBB6C9"/>
    <w:rsid w:val="3EDE2F70"/>
    <w:rsid w:val="3EDE950C"/>
    <w:rsid w:val="3EE827DC"/>
    <w:rsid w:val="3EEA59B4"/>
    <w:rsid w:val="3EEC68E2"/>
    <w:rsid w:val="3EEDF4DD"/>
    <w:rsid w:val="3EF03AE8"/>
    <w:rsid w:val="3EF17A61"/>
    <w:rsid w:val="3F052AEF"/>
    <w:rsid w:val="3F084A58"/>
    <w:rsid w:val="3F097A87"/>
    <w:rsid w:val="3F124E71"/>
    <w:rsid w:val="3F13119D"/>
    <w:rsid w:val="3F14B05A"/>
    <w:rsid w:val="3F174241"/>
    <w:rsid w:val="3F1806AB"/>
    <w:rsid w:val="3F1BD8F4"/>
    <w:rsid w:val="3F1FD149"/>
    <w:rsid w:val="3F2045A5"/>
    <w:rsid w:val="3F2095BD"/>
    <w:rsid w:val="3F216BBA"/>
    <w:rsid w:val="3F239F59"/>
    <w:rsid w:val="3F26D0B6"/>
    <w:rsid w:val="3F2A2BEF"/>
    <w:rsid w:val="3F30DE0B"/>
    <w:rsid w:val="3F331281"/>
    <w:rsid w:val="3F3DB8A6"/>
    <w:rsid w:val="3F4129E9"/>
    <w:rsid w:val="3F49AE42"/>
    <w:rsid w:val="3F4AC2C7"/>
    <w:rsid w:val="3F4BD10F"/>
    <w:rsid w:val="3F4D010D"/>
    <w:rsid w:val="3F4DB662"/>
    <w:rsid w:val="3F4DED07"/>
    <w:rsid w:val="3F4DFEC1"/>
    <w:rsid w:val="3F4FC205"/>
    <w:rsid w:val="3F526307"/>
    <w:rsid w:val="3F5AA9FE"/>
    <w:rsid w:val="3F5C219F"/>
    <w:rsid w:val="3F655610"/>
    <w:rsid w:val="3F67061C"/>
    <w:rsid w:val="3F68971D"/>
    <w:rsid w:val="3F8E70BF"/>
    <w:rsid w:val="3F8FAEC3"/>
    <w:rsid w:val="3FA231DF"/>
    <w:rsid w:val="3FA8B7FE"/>
    <w:rsid w:val="3FB16E51"/>
    <w:rsid w:val="3FBA0BAE"/>
    <w:rsid w:val="3FBED075"/>
    <w:rsid w:val="3FC0DB78"/>
    <w:rsid w:val="3FC6F4A5"/>
    <w:rsid w:val="3FCB448F"/>
    <w:rsid w:val="3FCBCA56"/>
    <w:rsid w:val="3FCD1C66"/>
    <w:rsid w:val="3FCF7E63"/>
    <w:rsid w:val="3FD41A24"/>
    <w:rsid w:val="3FD4A5FF"/>
    <w:rsid w:val="3FD80A49"/>
    <w:rsid w:val="3FD9355F"/>
    <w:rsid w:val="3FD97EB2"/>
    <w:rsid w:val="3FE20954"/>
    <w:rsid w:val="3FE6DAFC"/>
    <w:rsid w:val="3FEAB35A"/>
    <w:rsid w:val="3FEB6148"/>
    <w:rsid w:val="3FEBE810"/>
    <w:rsid w:val="3FF145EA"/>
    <w:rsid w:val="3FF41D9E"/>
    <w:rsid w:val="3FFA4DA1"/>
    <w:rsid w:val="3FFE50EB"/>
    <w:rsid w:val="400A65B3"/>
    <w:rsid w:val="400E0643"/>
    <w:rsid w:val="401743E2"/>
    <w:rsid w:val="40202EDC"/>
    <w:rsid w:val="40246A54"/>
    <w:rsid w:val="40266667"/>
    <w:rsid w:val="402A4EE7"/>
    <w:rsid w:val="402C028B"/>
    <w:rsid w:val="402E62E0"/>
    <w:rsid w:val="4032178C"/>
    <w:rsid w:val="40336C33"/>
    <w:rsid w:val="40362C07"/>
    <w:rsid w:val="40371C9B"/>
    <w:rsid w:val="403B9663"/>
    <w:rsid w:val="4048EE55"/>
    <w:rsid w:val="404B84AC"/>
    <w:rsid w:val="4054947F"/>
    <w:rsid w:val="4055B733"/>
    <w:rsid w:val="405D293E"/>
    <w:rsid w:val="405E50D7"/>
    <w:rsid w:val="4066BA12"/>
    <w:rsid w:val="406705B7"/>
    <w:rsid w:val="4067A256"/>
    <w:rsid w:val="4069257B"/>
    <w:rsid w:val="40697358"/>
    <w:rsid w:val="406D41BD"/>
    <w:rsid w:val="407756C8"/>
    <w:rsid w:val="40816446"/>
    <w:rsid w:val="40823451"/>
    <w:rsid w:val="4082A3D4"/>
    <w:rsid w:val="408645BB"/>
    <w:rsid w:val="4089F572"/>
    <w:rsid w:val="408B5663"/>
    <w:rsid w:val="408EEBD9"/>
    <w:rsid w:val="409903DA"/>
    <w:rsid w:val="40A55B5A"/>
    <w:rsid w:val="40A57CC8"/>
    <w:rsid w:val="40A5AA9A"/>
    <w:rsid w:val="40AE1BC2"/>
    <w:rsid w:val="40B4D7F5"/>
    <w:rsid w:val="40C4F976"/>
    <w:rsid w:val="40E03A7B"/>
    <w:rsid w:val="40E39958"/>
    <w:rsid w:val="40E71A5C"/>
    <w:rsid w:val="40E965F8"/>
    <w:rsid w:val="40EA785D"/>
    <w:rsid w:val="40F10AEE"/>
    <w:rsid w:val="40FE0C6A"/>
    <w:rsid w:val="40FEDCF7"/>
    <w:rsid w:val="4102C129"/>
    <w:rsid w:val="4106E84D"/>
    <w:rsid w:val="410DD92D"/>
    <w:rsid w:val="411153B8"/>
    <w:rsid w:val="41124A00"/>
    <w:rsid w:val="4115E10B"/>
    <w:rsid w:val="41175D86"/>
    <w:rsid w:val="411838DF"/>
    <w:rsid w:val="41191B1C"/>
    <w:rsid w:val="41215BD7"/>
    <w:rsid w:val="4124DBA3"/>
    <w:rsid w:val="4124F8F5"/>
    <w:rsid w:val="41262100"/>
    <w:rsid w:val="41266986"/>
    <w:rsid w:val="412BDAC8"/>
    <w:rsid w:val="412C0074"/>
    <w:rsid w:val="413490D8"/>
    <w:rsid w:val="4138CED8"/>
    <w:rsid w:val="41420220"/>
    <w:rsid w:val="4142798B"/>
    <w:rsid w:val="41437629"/>
    <w:rsid w:val="414BF34F"/>
    <w:rsid w:val="414C2F0E"/>
    <w:rsid w:val="414D6CE2"/>
    <w:rsid w:val="414F3239"/>
    <w:rsid w:val="4155954B"/>
    <w:rsid w:val="415DBA2A"/>
    <w:rsid w:val="41626898"/>
    <w:rsid w:val="41636A37"/>
    <w:rsid w:val="41660468"/>
    <w:rsid w:val="41666DBE"/>
    <w:rsid w:val="4176711B"/>
    <w:rsid w:val="41775453"/>
    <w:rsid w:val="417A1D06"/>
    <w:rsid w:val="417DA44E"/>
    <w:rsid w:val="417F04EF"/>
    <w:rsid w:val="418A567C"/>
    <w:rsid w:val="418F9F2A"/>
    <w:rsid w:val="41939161"/>
    <w:rsid w:val="4196063F"/>
    <w:rsid w:val="41966763"/>
    <w:rsid w:val="419BC754"/>
    <w:rsid w:val="41A204AE"/>
    <w:rsid w:val="41A9E852"/>
    <w:rsid w:val="41AE377D"/>
    <w:rsid w:val="41B547C2"/>
    <w:rsid w:val="41B570AC"/>
    <w:rsid w:val="41B5E397"/>
    <w:rsid w:val="41C46ADE"/>
    <w:rsid w:val="41C4AB1F"/>
    <w:rsid w:val="41C75B23"/>
    <w:rsid w:val="41C8A63B"/>
    <w:rsid w:val="41CB4D11"/>
    <w:rsid w:val="41CEACD0"/>
    <w:rsid w:val="41D19E28"/>
    <w:rsid w:val="41D33D16"/>
    <w:rsid w:val="41D38D54"/>
    <w:rsid w:val="41D4D44C"/>
    <w:rsid w:val="41D573CF"/>
    <w:rsid w:val="41D6C14A"/>
    <w:rsid w:val="41D75343"/>
    <w:rsid w:val="41DA51F5"/>
    <w:rsid w:val="41E99E64"/>
    <w:rsid w:val="4202B96F"/>
    <w:rsid w:val="42079088"/>
    <w:rsid w:val="42087697"/>
    <w:rsid w:val="42097B3A"/>
    <w:rsid w:val="42153634"/>
    <w:rsid w:val="42181472"/>
    <w:rsid w:val="421C428A"/>
    <w:rsid w:val="421EF871"/>
    <w:rsid w:val="42281E22"/>
    <w:rsid w:val="422A8D21"/>
    <w:rsid w:val="422EAA06"/>
    <w:rsid w:val="422FD51F"/>
    <w:rsid w:val="4234ADCB"/>
    <w:rsid w:val="4239B5D3"/>
    <w:rsid w:val="423F786A"/>
    <w:rsid w:val="423FC413"/>
    <w:rsid w:val="4252D001"/>
    <w:rsid w:val="4254A42D"/>
    <w:rsid w:val="4255921E"/>
    <w:rsid w:val="4259F659"/>
    <w:rsid w:val="425A0EEF"/>
    <w:rsid w:val="425EAE96"/>
    <w:rsid w:val="42634F14"/>
    <w:rsid w:val="426B48F7"/>
    <w:rsid w:val="426D84F9"/>
    <w:rsid w:val="4275FDC9"/>
    <w:rsid w:val="4277BA9E"/>
    <w:rsid w:val="427813B2"/>
    <w:rsid w:val="4279B752"/>
    <w:rsid w:val="4282134E"/>
    <w:rsid w:val="4283BB15"/>
    <w:rsid w:val="42849F47"/>
    <w:rsid w:val="42858805"/>
    <w:rsid w:val="4291FFD4"/>
    <w:rsid w:val="4292E847"/>
    <w:rsid w:val="42939CC5"/>
    <w:rsid w:val="4299A1F1"/>
    <w:rsid w:val="42A6184C"/>
    <w:rsid w:val="42A82407"/>
    <w:rsid w:val="42AD1DB8"/>
    <w:rsid w:val="42B3E969"/>
    <w:rsid w:val="42B3F203"/>
    <w:rsid w:val="42B50CD6"/>
    <w:rsid w:val="42B656FA"/>
    <w:rsid w:val="42BEDD74"/>
    <w:rsid w:val="42C09626"/>
    <w:rsid w:val="42C72146"/>
    <w:rsid w:val="42CA26FE"/>
    <w:rsid w:val="42CDEBEA"/>
    <w:rsid w:val="42D481E5"/>
    <w:rsid w:val="42DE822C"/>
    <w:rsid w:val="42E29E51"/>
    <w:rsid w:val="42E2DC2F"/>
    <w:rsid w:val="42EA7B2F"/>
    <w:rsid w:val="42EB794F"/>
    <w:rsid w:val="42F17626"/>
    <w:rsid w:val="42F258BE"/>
    <w:rsid w:val="430AE0BA"/>
    <w:rsid w:val="430FAAA6"/>
    <w:rsid w:val="431AA7DC"/>
    <w:rsid w:val="431FF5B4"/>
    <w:rsid w:val="43260DFA"/>
    <w:rsid w:val="432C83D5"/>
    <w:rsid w:val="432F481A"/>
    <w:rsid w:val="432F90D4"/>
    <w:rsid w:val="43377E37"/>
    <w:rsid w:val="433874B5"/>
    <w:rsid w:val="433D8851"/>
    <w:rsid w:val="433EFC8E"/>
    <w:rsid w:val="434028D8"/>
    <w:rsid w:val="434738E9"/>
    <w:rsid w:val="4349C0EA"/>
    <w:rsid w:val="434A0EAD"/>
    <w:rsid w:val="435D2CB8"/>
    <w:rsid w:val="435F2313"/>
    <w:rsid w:val="4364B2D8"/>
    <w:rsid w:val="436B8C9D"/>
    <w:rsid w:val="436CAE48"/>
    <w:rsid w:val="4371C998"/>
    <w:rsid w:val="4371F8C9"/>
    <w:rsid w:val="4379F9BB"/>
    <w:rsid w:val="437ED234"/>
    <w:rsid w:val="43829E17"/>
    <w:rsid w:val="438624B0"/>
    <w:rsid w:val="438ACC2A"/>
    <w:rsid w:val="438E2496"/>
    <w:rsid w:val="439CC3BD"/>
    <w:rsid w:val="439CD0CD"/>
    <w:rsid w:val="43A0D818"/>
    <w:rsid w:val="43A5000B"/>
    <w:rsid w:val="43A66CFE"/>
    <w:rsid w:val="43B88062"/>
    <w:rsid w:val="43B9CA2C"/>
    <w:rsid w:val="43BC289C"/>
    <w:rsid w:val="43BC5C42"/>
    <w:rsid w:val="43BE0446"/>
    <w:rsid w:val="43BECF0A"/>
    <w:rsid w:val="43BFB049"/>
    <w:rsid w:val="43C5C26E"/>
    <w:rsid w:val="43C6F2CF"/>
    <w:rsid w:val="43CF34D7"/>
    <w:rsid w:val="43CF9C87"/>
    <w:rsid w:val="43D039DC"/>
    <w:rsid w:val="43D3DC49"/>
    <w:rsid w:val="43D54E13"/>
    <w:rsid w:val="43DA738B"/>
    <w:rsid w:val="43DBB68F"/>
    <w:rsid w:val="43E4EEC6"/>
    <w:rsid w:val="43E98C3B"/>
    <w:rsid w:val="43EA1B25"/>
    <w:rsid w:val="43EAB15A"/>
    <w:rsid w:val="43EDC221"/>
    <w:rsid w:val="43F38CA9"/>
    <w:rsid w:val="43F3A484"/>
    <w:rsid w:val="43F5604A"/>
    <w:rsid w:val="43FE471F"/>
    <w:rsid w:val="43FFC27F"/>
    <w:rsid w:val="44016DAF"/>
    <w:rsid w:val="44023B34"/>
    <w:rsid w:val="4405F8C6"/>
    <w:rsid w:val="440BB3B0"/>
    <w:rsid w:val="440CC07E"/>
    <w:rsid w:val="440D27AC"/>
    <w:rsid w:val="440D2EDD"/>
    <w:rsid w:val="441C9B54"/>
    <w:rsid w:val="441F7257"/>
    <w:rsid w:val="441FFA5C"/>
    <w:rsid w:val="44211538"/>
    <w:rsid w:val="44212F2F"/>
    <w:rsid w:val="44248571"/>
    <w:rsid w:val="44292225"/>
    <w:rsid w:val="442B9788"/>
    <w:rsid w:val="4430A39D"/>
    <w:rsid w:val="4431E317"/>
    <w:rsid w:val="443942AE"/>
    <w:rsid w:val="443BFFE7"/>
    <w:rsid w:val="4444DE6B"/>
    <w:rsid w:val="444800B9"/>
    <w:rsid w:val="444B5836"/>
    <w:rsid w:val="444F1CA0"/>
    <w:rsid w:val="4451960B"/>
    <w:rsid w:val="4458D937"/>
    <w:rsid w:val="445A19D3"/>
    <w:rsid w:val="445E2BF5"/>
    <w:rsid w:val="4465CFFF"/>
    <w:rsid w:val="446C8E1E"/>
    <w:rsid w:val="4472FFAC"/>
    <w:rsid w:val="44755CDF"/>
    <w:rsid w:val="447702B9"/>
    <w:rsid w:val="4484DABD"/>
    <w:rsid w:val="448D905D"/>
    <w:rsid w:val="449340D6"/>
    <w:rsid w:val="4497D290"/>
    <w:rsid w:val="449A9E4B"/>
    <w:rsid w:val="44A158DA"/>
    <w:rsid w:val="44A86FAD"/>
    <w:rsid w:val="44A92296"/>
    <w:rsid w:val="44B8C816"/>
    <w:rsid w:val="44BCC49D"/>
    <w:rsid w:val="44BE6F04"/>
    <w:rsid w:val="44BEB78E"/>
    <w:rsid w:val="44C51391"/>
    <w:rsid w:val="44C66559"/>
    <w:rsid w:val="44C73A3A"/>
    <w:rsid w:val="44C74F46"/>
    <w:rsid w:val="44D2E425"/>
    <w:rsid w:val="44D42E6D"/>
    <w:rsid w:val="44D4A1E4"/>
    <w:rsid w:val="44DBC9E6"/>
    <w:rsid w:val="44EB1437"/>
    <w:rsid w:val="44FE0988"/>
    <w:rsid w:val="45075A80"/>
    <w:rsid w:val="450B9DB0"/>
    <w:rsid w:val="450BA0CA"/>
    <w:rsid w:val="450E1DA7"/>
    <w:rsid w:val="450F5CCD"/>
    <w:rsid w:val="451C69EE"/>
    <w:rsid w:val="451E770F"/>
    <w:rsid w:val="451ECE20"/>
    <w:rsid w:val="4528E042"/>
    <w:rsid w:val="452E1AC7"/>
    <w:rsid w:val="45306E55"/>
    <w:rsid w:val="4534AE09"/>
    <w:rsid w:val="4534F133"/>
    <w:rsid w:val="4539C719"/>
    <w:rsid w:val="4541F94C"/>
    <w:rsid w:val="45463A8A"/>
    <w:rsid w:val="455613BD"/>
    <w:rsid w:val="4559F9FE"/>
    <w:rsid w:val="4562B4F2"/>
    <w:rsid w:val="45665775"/>
    <w:rsid w:val="4566A02C"/>
    <w:rsid w:val="4566D8BB"/>
    <w:rsid w:val="45701E50"/>
    <w:rsid w:val="457839EA"/>
    <w:rsid w:val="4579AE05"/>
    <w:rsid w:val="457A4199"/>
    <w:rsid w:val="45840720"/>
    <w:rsid w:val="45859159"/>
    <w:rsid w:val="458C67D3"/>
    <w:rsid w:val="45956902"/>
    <w:rsid w:val="4596A1CA"/>
    <w:rsid w:val="459ABDE6"/>
    <w:rsid w:val="459D59D1"/>
    <w:rsid w:val="45A46DBD"/>
    <w:rsid w:val="45A4DEEB"/>
    <w:rsid w:val="45A7779A"/>
    <w:rsid w:val="45A9AA1B"/>
    <w:rsid w:val="45AC274E"/>
    <w:rsid w:val="45AE4A4D"/>
    <w:rsid w:val="45B03912"/>
    <w:rsid w:val="45B39B22"/>
    <w:rsid w:val="45B3E9C0"/>
    <w:rsid w:val="45B4397A"/>
    <w:rsid w:val="45B740A0"/>
    <w:rsid w:val="45BC2ED8"/>
    <w:rsid w:val="45BD010E"/>
    <w:rsid w:val="45BE30A8"/>
    <w:rsid w:val="45C67A6F"/>
    <w:rsid w:val="45C71DED"/>
    <w:rsid w:val="45C83B1A"/>
    <w:rsid w:val="45C8B8EB"/>
    <w:rsid w:val="45CC1A2B"/>
    <w:rsid w:val="45D2399F"/>
    <w:rsid w:val="45D4F723"/>
    <w:rsid w:val="45D8BE7E"/>
    <w:rsid w:val="45DA7032"/>
    <w:rsid w:val="45DC54CE"/>
    <w:rsid w:val="45DF7D5E"/>
    <w:rsid w:val="45DFC019"/>
    <w:rsid w:val="45F5B4CD"/>
    <w:rsid w:val="45FC2B65"/>
    <w:rsid w:val="4607C3D4"/>
    <w:rsid w:val="4610A557"/>
    <w:rsid w:val="46115F91"/>
    <w:rsid w:val="461373EF"/>
    <w:rsid w:val="4622D24E"/>
    <w:rsid w:val="46238BD3"/>
    <w:rsid w:val="462CCF01"/>
    <w:rsid w:val="463258EB"/>
    <w:rsid w:val="4632CE77"/>
    <w:rsid w:val="46379361"/>
    <w:rsid w:val="46387B76"/>
    <w:rsid w:val="463E67F2"/>
    <w:rsid w:val="4644F1A6"/>
    <w:rsid w:val="4646C430"/>
    <w:rsid w:val="464C6691"/>
    <w:rsid w:val="4650559C"/>
    <w:rsid w:val="4652D6F8"/>
    <w:rsid w:val="4654B23A"/>
    <w:rsid w:val="465E4692"/>
    <w:rsid w:val="46602997"/>
    <w:rsid w:val="4662433A"/>
    <w:rsid w:val="466593D3"/>
    <w:rsid w:val="466B4101"/>
    <w:rsid w:val="466C0038"/>
    <w:rsid w:val="466C2B28"/>
    <w:rsid w:val="46773B71"/>
    <w:rsid w:val="467B69AA"/>
    <w:rsid w:val="467BA337"/>
    <w:rsid w:val="467DFC9C"/>
    <w:rsid w:val="467E4C8E"/>
    <w:rsid w:val="467F186A"/>
    <w:rsid w:val="46816D00"/>
    <w:rsid w:val="46933EA2"/>
    <w:rsid w:val="46952C56"/>
    <w:rsid w:val="46969640"/>
    <w:rsid w:val="4696FA9B"/>
    <w:rsid w:val="4698CA37"/>
    <w:rsid w:val="46A03F39"/>
    <w:rsid w:val="46A1EB77"/>
    <w:rsid w:val="46A2B2E6"/>
    <w:rsid w:val="46A43C9D"/>
    <w:rsid w:val="46A5FDB9"/>
    <w:rsid w:val="46AFCEA1"/>
    <w:rsid w:val="46BD336E"/>
    <w:rsid w:val="46BDE4BD"/>
    <w:rsid w:val="46C61D6F"/>
    <w:rsid w:val="46C908C7"/>
    <w:rsid w:val="46CA4080"/>
    <w:rsid w:val="46CB1D81"/>
    <w:rsid w:val="46D09646"/>
    <w:rsid w:val="46D1D48D"/>
    <w:rsid w:val="46D5357A"/>
    <w:rsid w:val="46D6A9B3"/>
    <w:rsid w:val="46E51769"/>
    <w:rsid w:val="46ECABAC"/>
    <w:rsid w:val="46ED8CBC"/>
    <w:rsid w:val="46EF9B43"/>
    <w:rsid w:val="46F00635"/>
    <w:rsid w:val="46F1CB98"/>
    <w:rsid w:val="46F392D4"/>
    <w:rsid w:val="46F7267E"/>
    <w:rsid w:val="46F9FF7D"/>
    <w:rsid w:val="46FA1E48"/>
    <w:rsid w:val="46FBCBC5"/>
    <w:rsid w:val="46FBF9E6"/>
    <w:rsid w:val="4706ED5C"/>
    <w:rsid w:val="470860C3"/>
    <w:rsid w:val="471648CC"/>
    <w:rsid w:val="4717EBF9"/>
    <w:rsid w:val="471B3E25"/>
    <w:rsid w:val="47213066"/>
    <w:rsid w:val="4721E4E4"/>
    <w:rsid w:val="47235C3D"/>
    <w:rsid w:val="4727B921"/>
    <w:rsid w:val="4734D5C6"/>
    <w:rsid w:val="47384AF2"/>
    <w:rsid w:val="473C2341"/>
    <w:rsid w:val="473D0C0A"/>
    <w:rsid w:val="473FA0DD"/>
    <w:rsid w:val="474A61F8"/>
    <w:rsid w:val="474AA032"/>
    <w:rsid w:val="474C4B40"/>
    <w:rsid w:val="474FDF53"/>
    <w:rsid w:val="4750D3D4"/>
    <w:rsid w:val="4751DEFE"/>
    <w:rsid w:val="4753CF43"/>
    <w:rsid w:val="47551547"/>
    <w:rsid w:val="475839B0"/>
    <w:rsid w:val="475A283B"/>
    <w:rsid w:val="475C15D3"/>
    <w:rsid w:val="475E5538"/>
    <w:rsid w:val="47619B9E"/>
    <w:rsid w:val="47673384"/>
    <w:rsid w:val="476E9959"/>
    <w:rsid w:val="476EEF82"/>
    <w:rsid w:val="4773392B"/>
    <w:rsid w:val="477AA8B9"/>
    <w:rsid w:val="477B0D67"/>
    <w:rsid w:val="477CA27A"/>
    <w:rsid w:val="477F5106"/>
    <w:rsid w:val="477FEA5B"/>
    <w:rsid w:val="4785FEF5"/>
    <w:rsid w:val="47914B84"/>
    <w:rsid w:val="4791809E"/>
    <w:rsid w:val="47935452"/>
    <w:rsid w:val="4793974C"/>
    <w:rsid w:val="47940EF7"/>
    <w:rsid w:val="4794B0A6"/>
    <w:rsid w:val="479B00A2"/>
    <w:rsid w:val="47A30E78"/>
    <w:rsid w:val="47A3D2C9"/>
    <w:rsid w:val="47A6268F"/>
    <w:rsid w:val="47A8CF59"/>
    <w:rsid w:val="47B9FC51"/>
    <w:rsid w:val="47BAC38C"/>
    <w:rsid w:val="47C2FD0A"/>
    <w:rsid w:val="47CE1665"/>
    <w:rsid w:val="47D5C0F3"/>
    <w:rsid w:val="47DE07D6"/>
    <w:rsid w:val="47F23816"/>
    <w:rsid w:val="47FB610D"/>
    <w:rsid w:val="47FE0464"/>
    <w:rsid w:val="4800BE68"/>
    <w:rsid w:val="4815DB96"/>
    <w:rsid w:val="4821A088"/>
    <w:rsid w:val="4822ED95"/>
    <w:rsid w:val="4826B86F"/>
    <w:rsid w:val="4829B742"/>
    <w:rsid w:val="482C2132"/>
    <w:rsid w:val="48316759"/>
    <w:rsid w:val="4835829B"/>
    <w:rsid w:val="48366A27"/>
    <w:rsid w:val="483C3075"/>
    <w:rsid w:val="4841CE78"/>
    <w:rsid w:val="484F3144"/>
    <w:rsid w:val="484F941D"/>
    <w:rsid w:val="48535429"/>
    <w:rsid w:val="4855DEC2"/>
    <w:rsid w:val="4856B9F7"/>
    <w:rsid w:val="4858A73D"/>
    <w:rsid w:val="48590C6E"/>
    <w:rsid w:val="485914E0"/>
    <w:rsid w:val="485A4F3A"/>
    <w:rsid w:val="4863FD24"/>
    <w:rsid w:val="486C1706"/>
    <w:rsid w:val="487115BA"/>
    <w:rsid w:val="487347AC"/>
    <w:rsid w:val="48770A1A"/>
    <w:rsid w:val="487F686B"/>
    <w:rsid w:val="48833180"/>
    <w:rsid w:val="48887475"/>
    <w:rsid w:val="48998AD3"/>
    <w:rsid w:val="489A51AC"/>
    <w:rsid w:val="489C92A8"/>
    <w:rsid w:val="489DA4DB"/>
    <w:rsid w:val="489FA75C"/>
    <w:rsid w:val="48A46B1C"/>
    <w:rsid w:val="48A5F3F1"/>
    <w:rsid w:val="48A8CD4B"/>
    <w:rsid w:val="48AFCDC7"/>
    <w:rsid w:val="48B637ED"/>
    <w:rsid w:val="48BE64C4"/>
    <w:rsid w:val="48BEFACF"/>
    <w:rsid w:val="48BF24C2"/>
    <w:rsid w:val="48C3505C"/>
    <w:rsid w:val="48C7EEDE"/>
    <w:rsid w:val="48CC9F10"/>
    <w:rsid w:val="48CEEDD1"/>
    <w:rsid w:val="48D39799"/>
    <w:rsid w:val="48D5ED9F"/>
    <w:rsid w:val="48D9F353"/>
    <w:rsid w:val="48DDEBD4"/>
    <w:rsid w:val="48E3D23B"/>
    <w:rsid w:val="48EA6B26"/>
    <w:rsid w:val="48EC5244"/>
    <w:rsid w:val="48EDCF44"/>
    <w:rsid w:val="48F11436"/>
    <w:rsid w:val="48F2A3A1"/>
    <w:rsid w:val="4900C25F"/>
    <w:rsid w:val="491359A8"/>
    <w:rsid w:val="49139980"/>
    <w:rsid w:val="4914EEC2"/>
    <w:rsid w:val="4919692D"/>
    <w:rsid w:val="491AA5A1"/>
    <w:rsid w:val="492BC589"/>
    <w:rsid w:val="492D985D"/>
    <w:rsid w:val="492F1C4D"/>
    <w:rsid w:val="493139EF"/>
    <w:rsid w:val="493553A4"/>
    <w:rsid w:val="4939104D"/>
    <w:rsid w:val="493ACF60"/>
    <w:rsid w:val="493B00A8"/>
    <w:rsid w:val="493BAD0B"/>
    <w:rsid w:val="4947A435"/>
    <w:rsid w:val="494B6FB5"/>
    <w:rsid w:val="49524542"/>
    <w:rsid w:val="49539528"/>
    <w:rsid w:val="4954DE34"/>
    <w:rsid w:val="49562322"/>
    <w:rsid w:val="49606D40"/>
    <w:rsid w:val="4968C1B9"/>
    <w:rsid w:val="4970C0BA"/>
    <w:rsid w:val="4974E953"/>
    <w:rsid w:val="497523DF"/>
    <w:rsid w:val="4975D8BD"/>
    <w:rsid w:val="49770415"/>
    <w:rsid w:val="49800474"/>
    <w:rsid w:val="49818300"/>
    <w:rsid w:val="49835D68"/>
    <w:rsid w:val="49840573"/>
    <w:rsid w:val="498ACD1C"/>
    <w:rsid w:val="498B2EF5"/>
    <w:rsid w:val="498BD49C"/>
    <w:rsid w:val="498CFE15"/>
    <w:rsid w:val="498D0089"/>
    <w:rsid w:val="498E2774"/>
    <w:rsid w:val="49930930"/>
    <w:rsid w:val="49948AD6"/>
    <w:rsid w:val="49951044"/>
    <w:rsid w:val="499C206B"/>
    <w:rsid w:val="499DB5C8"/>
    <w:rsid w:val="499EF671"/>
    <w:rsid w:val="49A2D745"/>
    <w:rsid w:val="49A58009"/>
    <w:rsid w:val="49B5DD0A"/>
    <w:rsid w:val="49B75824"/>
    <w:rsid w:val="49BA7CDA"/>
    <w:rsid w:val="49BD643C"/>
    <w:rsid w:val="49BEA553"/>
    <w:rsid w:val="49C0604D"/>
    <w:rsid w:val="49C0F698"/>
    <w:rsid w:val="49C460BE"/>
    <w:rsid w:val="49C819F7"/>
    <w:rsid w:val="49C8DD24"/>
    <w:rsid w:val="49CA26D3"/>
    <w:rsid w:val="49CA94C4"/>
    <w:rsid w:val="49CC2763"/>
    <w:rsid w:val="49CCCA4F"/>
    <w:rsid w:val="49D0F411"/>
    <w:rsid w:val="49D284C6"/>
    <w:rsid w:val="49D55BD1"/>
    <w:rsid w:val="49D82A48"/>
    <w:rsid w:val="49DEF819"/>
    <w:rsid w:val="49E0B39E"/>
    <w:rsid w:val="49E2FB50"/>
    <w:rsid w:val="49E5DE6D"/>
    <w:rsid w:val="49E90FEB"/>
    <w:rsid w:val="49EA05DD"/>
    <w:rsid w:val="49F9651E"/>
    <w:rsid w:val="49FC7A2C"/>
    <w:rsid w:val="49FDF12C"/>
    <w:rsid w:val="49FEFB63"/>
    <w:rsid w:val="4A0101C4"/>
    <w:rsid w:val="4A013669"/>
    <w:rsid w:val="4A013FB2"/>
    <w:rsid w:val="4A01D82B"/>
    <w:rsid w:val="4A094795"/>
    <w:rsid w:val="4A0B2EFD"/>
    <w:rsid w:val="4A101DEC"/>
    <w:rsid w:val="4A115051"/>
    <w:rsid w:val="4A192401"/>
    <w:rsid w:val="4A1C72E2"/>
    <w:rsid w:val="4A29A7D1"/>
    <w:rsid w:val="4A33D859"/>
    <w:rsid w:val="4A4118FA"/>
    <w:rsid w:val="4A4E9437"/>
    <w:rsid w:val="4A4F3601"/>
    <w:rsid w:val="4A50B463"/>
    <w:rsid w:val="4A58FA81"/>
    <w:rsid w:val="4A5B6867"/>
    <w:rsid w:val="4A5EA69F"/>
    <w:rsid w:val="4A5F27B1"/>
    <w:rsid w:val="4A5FB01C"/>
    <w:rsid w:val="4A600025"/>
    <w:rsid w:val="4A6946C1"/>
    <w:rsid w:val="4A6D87DF"/>
    <w:rsid w:val="4A72AAD7"/>
    <w:rsid w:val="4A797B07"/>
    <w:rsid w:val="4A7A020B"/>
    <w:rsid w:val="4A7A27D8"/>
    <w:rsid w:val="4A844D71"/>
    <w:rsid w:val="4A84D62B"/>
    <w:rsid w:val="4A874190"/>
    <w:rsid w:val="4A87CDF5"/>
    <w:rsid w:val="4A89F984"/>
    <w:rsid w:val="4A8F7594"/>
    <w:rsid w:val="4A9020FE"/>
    <w:rsid w:val="4A90292B"/>
    <w:rsid w:val="4A961FB7"/>
    <w:rsid w:val="4A9B6158"/>
    <w:rsid w:val="4AA61320"/>
    <w:rsid w:val="4AA8F1D4"/>
    <w:rsid w:val="4AA9DED5"/>
    <w:rsid w:val="4AABD642"/>
    <w:rsid w:val="4ABBEDA8"/>
    <w:rsid w:val="4ABC59BF"/>
    <w:rsid w:val="4AC47C22"/>
    <w:rsid w:val="4ACCA681"/>
    <w:rsid w:val="4ACEABBE"/>
    <w:rsid w:val="4ADF08D1"/>
    <w:rsid w:val="4ADF2583"/>
    <w:rsid w:val="4AE5109A"/>
    <w:rsid w:val="4AE83CEC"/>
    <w:rsid w:val="4B0A9166"/>
    <w:rsid w:val="4B1A9FB0"/>
    <w:rsid w:val="4B1B2AF9"/>
    <w:rsid w:val="4B1D3156"/>
    <w:rsid w:val="4B1D5361"/>
    <w:rsid w:val="4B1DB4B4"/>
    <w:rsid w:val="4B204DE8"/>
    <w:rsid w:val="4B2899EB"/>
    <w:rsid w:val="4B28AEF7"/>
    <w:rsid w:val="4B32CC8D"/>
    <w:rsid w:val="4B351D8C"/>
    <w:rsid w:val="4B3713F3"/>
    <w:rsid w:val="4B3C1DA7"/>
    <w:rsid w:val="4B418CDC"/>
    <w:rsid w:val="4B45790B"/>
    <w:rsid w:val="4B627666"/>
    <w:rsid w:val="4B6BD25D"/>
    <w:rsid w:val="4B6C1424"/>
    <w:rsid w:val="4B6EB532"/>
    <w:rsid w:val="4B7141DB"/>
    <w:rsid w:val="4B7630DB"/>
    <w:rsid w:val="4B7A9D6F"/>
    <w:rsid w:val="4B822685"/>
    <w:rsid w:val="4B88B76D"/>
    <w:rsid w:val="4B89151C"/>
    <w:rsid w:val="4B91FC97"/>
    <w:rsid w:val="4B95F8E2"/>
    <w:rsid w:val="4B999240"/>
    <w:rsid w:val="4B99B84A"/>
    <w:rsid w:val="4B9D06CA"/>
    <w:rsid w:val="4B9D3287"/>
    <w:rsid w:val="4BA11D91"/>
    <w:rsid w:val="4BA2F78B"/>
    <w:rsid w:val="4BAB2D14"/>
    <w:rsid w:val="4BB0DD5E"/>
    <w:rsid w:val="4BB1CBAF"/>
    <w:rsid w:val="4BB38D8C"/>
    <w:rsid w:val="4BBCDEA8"/>
    <w:rsid w:val="4BBD2829"/>
    <w:rsid w:val="4BBDB81B"/>
    <w:rsid w:val="4BBE42BB"/>
    <w:rsid w:val="4BC2BF5B"/>
    <w:rsid w:val="4BC3AF7D"/>
    <w:rsid w:val="4BC8F1DD"/>
    <w:rsid w:val="4BC9CE27"/>
    <w:rsid w:val="4BCB281C"/>
    <w:rsid w:val="4BCFC47E"/>
    <w:rsid w:val="4BD18DD7"/>
    <w:rsid w:val="4BD190CC"/>
    <w:rsid w:val="4BD2C20B"/>
    <w:rsid w:val="4BDF2481"/>
    <w:rsid w:val="4BDF86B3"/>
    <w:rsid w:val="4BDF9A6C"/>
    <w:rsid w:val="4BDFE1D0"/>
    <w:rsid w:val="4BE00B4F"/>
    <w:rsid w:val="4BE3677E"/>
    <w:rsid w:val="4BE3920A"/>
    <w:rsid w:val="4BF1BFDC"/>
    <w:rsid w:val="4BF1F296"/>
    <w:rsid w:val="4BFDF6E1"/>
    <w:rsid w:val="4C051705"/>
    <w:rsid w:val="4C088352"/>
    <w:rsid w:val="4C09C136"/>
    <w:rsid w:val="4C0D3BE2"/>
    <w:rsid w:val="4C0F3154"/>
    <w:rsid w:val="4C1400BA"/>
    <w:rsid w:val="4C167670"/>
    <w:rsid w:val="4C1DCF90"/>
    <w:rsid w:val="4C200BAB"/>
    <w:rsid w:val="4C2D2A90"/>
    <w:rsid w:val="4C30B618"/>
    <w:rsid w:val="4C3AFF00"/>
    <w:rsid w:val="4C3C232F"/>
    <w:rsid w:val="4C435B39"/>
    <w:rsid w:val="4C499DC5"/>
    <w:rsid w:val="4C4A8CC0"/>
    <w:rsid w:val="4C5611F1"/>
    <w:rsid w:val="4C5A846F"/>
    <w:rsid w:val="4C5A878E"/>
    <w:rsid w:val="4C5CC60F"/>
    <w:rsid w:val="4C5F2E23"/>
    <w:rsid w:val="4C636136"/>
    <w:rsid w:val="4C6845BF"/>
    <w:rsid w:val="4C68B26B"/>
    <w:rsid w:val="4C6A4751"/>
    <w:rsid w:val="4C6D9849"/>
    <w:rsid w:val="4C6EF572"/>
    <w:rsid w:val="4C6F3168"/>
    <w:rsid w:val="4C7104CF"/>
    <w:rsid w:val="4C718D66"/>
    <w:rsid w:val="4C772CB9"/>
    <w:rsid w:val="4C781A05"/>
    <w:rsid w:val="4C78D263"/>
    <w:rsid w:val="4C7D1F5D"/>
    <w:rsid w:val="4C8F7A81"/>
    <w:rsid w:val="4C94D223"/>
    <w:rsid w:val="4C976C3B"/>
    <w:rsid w:val="4C9B6D34"/>
    <w:rsid w:val="4C9F9F29"/>
    <w:rsid w:val="4CA384AA"/>
    <w:rsid w:val="4CA479B8"/>
    <w:rsid w:val="4CA9EE62"/>
    <w:rsid w:val="4CB73A47"/>
    <w:rsid w:val="4CB93AD1"/>
    <w:rsid w:val="4CBAA987"/>
    <w:rsid w:val="4CC46338"/>
    <w:rsid w:val="4CC7BC48"/>
    <w:rsid w:val="4CC879AC"/>
    <w:rsid w:val="4CC90C07"/>
    <w:rsid w:val="4CCC0EBE"/>
    <w:rsid w:val="4CCE7D1A"/>
    <w:rsid w:val="4CCF7B5D"/>
    <w:rsid w:val="4CE39232"/>
    <w:rsid w:val="4CE67795"/>
    <w:rsid w:val="4CEFC82F"/>
    <w:rsid w:val="4CF8B72C"/>
    <w:rsid w:val="4CFA3980"/>
    <w:rsid w:val="4CFE29ED"/>
    <w:rsid w:val="4D013B3C"/>
    <w:rsid w:val="4D013CFB"/>
    <w:rsid w:val="4D031123"/>
    <w:rsid w:val="4D051303"/>
    <w:rsid w:val="4D16A7D7"/>
    <w:rsid w:val="4D1CC912"/>
    <w:rsid w:val="4D2E7E29"/>
    <w:rsid w:val="4D2F7A57"/>
    <w:rsid w:val="4D311A0F"/>
    <w:rsid w:val="4D33DB77"/>
    <w:rsid w:val="4D37E6A1"/>
    <w:rsid w:val="4D3E2CB5"/>
    <w:rsid w:val="4D3F2FAB"/>
    <w:rsid w:val="4D4664AA"/>
    <w:rsid w:val="4D476694"/>
    <w:rsid w:val="4D4DC422"/>
    <w:rsid w:val="4D534B69"/>
    <w:rsid w:val="4D62CC2A"/>
    <w:rsid w:val="4D651E77"/>
    <w:rsid w:val="4D668845"/>
    <w:rsid w:val="4D68CCC9"/>
    <w:rsid w:val="4D7496E8"/>
    <w:rsid w:val="4D7AD741"/>
    <w:rsid w:val="4D8014E6"/>
    <w:rsid w:val="4D84F1BC"/>
    <w:rsid w:val="4D87D112"/>
    <w:rsid w:val="4D8B524C"/>
    <w:rsid w:val="4D8CBE9B"/>
    <w:rsid w:val="4D92B92F"/>
    <w:rsid w:val="4DA4627A"/>
    <w:rsid w:val="4DA5109C"/>
    <w:rsid w:val="4DA66DD6"/>
    <w:rsid w:val="4DA96AB4"/>
    <w:rsid w:val="4DA998C3"/>
    <w:rsid w:val="4DAC67F8"/>
    <w:rsid w:val="4DADC28E"/>
    <w:rsid w:val="4DAE4FBD"/>
    <w:rsid w:val="4DB018B3"/>
    <w:rsid w:val="4DB167FE"/>
    <w:rsid w:val="4DB82503"/>
    <w:rsid w:val="4DBC087A"/>
    <w:rsid w:val="4DC75291"/>
    <w:rsid w:val="4DC9AD8A"/>
    <w:rsid w:val="4DC9EE53"/>
    <w:rsid w:val="4DCB776A"/>
    <w:rsid w:val="4DCCE026"/>
    <w:rsid w:val="4DCD45D2"/>
    <w:rsid w:val="4DD2509C"/>
    <w:rsid w:val="4DDAB165"/>
    <w:rsid w:val="4DDC5BC6"/>
    <w:rsid w:val="4DDD7DE3"/>
    <w:rsid w:val="4DDEC3B7"/>
    <w:rsid w:val="4DE176B0"/>
    <w:rsid w:val="4DE4F5AD"/>
    <w:rsid w:val="4DE55FC1"/>
    <w:rsid w:val="4DEA7964"/>
    <w:rsid w:val="4DEC361B"/>
    <w:rsid w:val="4DECDBF4"/>
    <w:rsid w:val="4DF2D721"/>
    <w:rsid w:val="4DF95C34"/>
    <w:rsid w:val="4DFBCA41"/>
    <w:rsid w:val="4E024F7B"/>
    <w:rsid w:val="4E13C579"/>
    <w:rsid w:val="4E1680A8"/>
    <w:rsid w:val="4E17D57A"/>
    <w:rsid w:val="4E1C555B"/>
    <w:rsid w:val="4E221BD9"/>
    <w:rsid w:val="4E260202"/>
    <w:rsid w:val="4E2C9F9D"/>
    <w:rsid w:val="4E2DBA81"/>
    <w:rsid w:val="4E2FF529"/>
    <w:rsid w:val="4E3741B8"/>
    <w:rsid w:val="4E38E82B"/>
    <w:rsid w:val="4E39CE55"/>
    <w:rsid w:val="4E3AF0E5"/>
    <w:rsid w:val="4E3EFE76"/>
    <w:rsid w:val="4E409C5A"/>
    <w:rsid w:val="4E50EFF7"/>
    <w:rsid w:val="4E54F423"/>
    <w:rsid w:val="4E5554E7"/>
    <w:rsid w:val="4E60F456"/>
    <w:rsid w:val="4E69CDC4"/>
    <w:rsid w:val="4E6FA754"/>
    <w:rsid w:val="4E71FB75"/>
    <w:rsid w:val="4E741AB2"/>
    <w:rsid w:val="4E754795"/>
    <w:rsid w:val="4E7568C8"/>
    <w:rsid w:val="4E79630A"/>
    <w:rsid w:val="4E7F442A"/>
    <w:rsid w:val="4E7F7736"/>
    <w:rsid w:val="4E85B877"/>
    <w:rsid w:val="4E89F3CD"/>
    <w:rsid w:val="4E8D065B"/>
    <w:rsid w:val="4E900779"/>
    <w:rsid w:val="4E9386EE"/>
    <w:rsid w:val="4E964E41"/>
    <w:rsid w:val="4E971D00"/>
    <w:rsid w:val="4E9B51D2"/>
    <w:rsid w:val="4EA39D2E"/>
    <w:rsid w:val="4EADF4C2"/>
    <w:rsid w:val="4EB28A4D"/>
    <w:rsid w:val="4EB376A9"/>
    <w:rsid w:val="4EB82992"/>
    <w:rsid w:val="4EBBBB15"/>
    <w:rsid w:val="4EBC56A1"/>
    <w:rsid w:val="4EBCF869"/>
    <w:rsid w:val="4ED0C542"/>
    <w:rsid w:val="4ED1263F"/>
    <w:rsid w:val="4EDA85BF"/>
    <w:rsid w:val="4EDDDF27"/>
    <w:rsid w:val="4EDE1A1F"/>
    <w:rsid w:val="4EE0FDC6"/>
    <w:rsid w:val="4EE35F60"/>
    <w:rsid w:val="4EE4618A"/>
    <w:rsid w:val="4EE93D12"/>
    <w:rsid w:val="4EED4DD6"/>
    <w:rsid w:val="4EF4D79D"/>
    <w:rsid w:val="4EF65CC1"/>
    <w:rsid w:val="4EFA610A"/>
    <w:rsid w:val="4EFC87A3"/>
    <w:rsid w:val="4EFF6DA8"/>
    <w:rsid w:val="4F009524"/>
    <w:rsid w:val="4F0346BC"/>
    <w:rsid w:val="4F073860"/>
    <w:rsid w:val="4F1035A1"/>
    <w:rsid w:val="4F1A95B3"/>
    <w:rsid w:val="4F239392"/>
    <w:rsid w:val="4F2C1983"/>
    <w:rsid w:val="4F2E2451"/>
    <w:rsid w:val="4F2F8645"/>
    <w:rsid w:val="4F327C4A"/>
    <w:rsid w:val="4F343F18"/>
    <w:rsid w:val="4F3A5E2C"/>
    <w:rsid w:val="4F3F4AAE"/>
    <w:rsid w:val="4F3FD6E7"/>
    <w:rsid w:val="4F410448"/>
    <w:rsid w:val="4F472CD7"/>
    <w:rsid w:val="4F48B828"/>
    <w:rsid w:val="4F4A1ACA"/>
    <w:rsid w:val="4F4C449B"/>
    <w:rsid w:val="4F4C69D6"/>
    <w:rsid w:val="4F4FB529"/>
    <w:rsid w:val="4F5B0BC4"/>
    <w:rsid w:val="4F6AF5D4"/>
    <w:rsid w:val="4F6B2456"/>
    <w:rsid w:val="4F7270A7"/>
    <w:rsid w:val="4F72E21C"/>
    <w:rsid w:val="4F8552B5"/>
    <w:rsid w:val="4F8712BF"/>
    <w:rsid w:val="4F8EA4B2"/>
    <w:rsid w:val="4FA1D487"/>
    <w:rsid w:val="4FA424A4"/>
    <w:rsid w:val="4FA49528"/>
    <w:rsid w:val="4FA75B70"/>
    <w:rsid w:val="4FA77859"/>
    <w:rsid w:val="4FB5ECE4"/>
    <w:rsid w:val="4FB9AA20"/>
    <w:rsid w:val="4FC19EB8"/>
    <w:rsid w:val="4FC319C2"/>
    <w:rsid w:val="4FCC4FBF"/>
    <w:rsid w:val="4FD319AE"/>
    <w:rsid w:val="4FD49A50"/>
    <w:rsid w:val="4FD51DC8"/>
    <w:rsid w:val="4FDCC2C1"/>
    <w:rsid w:val="4FDF2EFE"/>
    <w:rsid w:val="4FEEBD53"/>
    <w:rsid w:val="4FEEC809"/>
    <w:rsid w:val="4FEF251B"/>
    <w:rsid w:val="4FF33441"/>
    <w:rsid w:val="4FF51268"/>
    <w:rsid w:val="4FF6FA26"/>
    <w:rsid w:val="4FF9E460"/>
    <w:rsid w:val="4FFA8CAF"/>
    <w:rsid w:val="4FFB784D"/>
    <w:rsid w:val="500008DD"/>
    <w:rsid w:val="5001A25F"/>
    <w:rsid w:val="5001CB9D"/>
    <w:rsid w:val="5001F0DC"/>
    <w:rsid w:val="500786B4"/>
    <w:rsid w:val="5007E10B"/>
    <w:rsid w:val="50091800"/>
    <w:rsid w:val="50119813"/>
    <w:rsid w:val="5012F7A5"/>
    <w:rsid w:val="5015336B"/>
    <w:rsid w:val="5017734B"/>
    <w:rsid w:val="502625D0"/>
    <w:rsid w:val="50281D03"/>
    <w:rsid w:val="502EA7EA"/>
    <w:rsid w:val="50341087"/>
    <w:rsid w:val="5034C4C8"/>
    <w:rsid w:val="50363F99"/>
    <w:rsid w:val="503A6264"/>
    <w:rsid w:val="503B6307"/>
    <w:rsid w:val="503CD843"/>
    <w:rsid w:val="50402604"/>
    <w:rsid w:val="50473A09"/>
    <w:rsid w:val="504E2BB9"/>
    <w:rsid w:val="5050D03D"/>
    <w:rsid w:val="505121F1"/>
    <w:rsid w:val="50575136"/>
    <w:rsid w:val="5058A4FA"/>
    <w:rsid w:val="505C2A68"/>
    <w:rsid w:val="505CFA17"/>
    <w:rsid w:val="505DA93D"/>
    <w:rsid w:val="506508C8"/>
    <w:rsid w:val="506A579B"/>
    <w:rsid w:val="506D4787"/>
    <w:rsid w:val="5071069E"/>
    <w:rsid w:val="507B5A08"/>
    <w:rsid w:val="507C4EE0"/>
    <w:rsid w:val="507D1A57"/>
    <w:rsid w:val="507F2FBE"/>
    <w:rsid w:val="50848716"/>
    <w:rsid w:val="50878EAD"/>
    <w:rsid w:val="5088BED3"/>
    <w:rsid w:val="50904227"/>
    <w:rsid w:val="5095A2D9"/>
    <w:rsid w:val="5099B979"/>
    <w:rsid w:val="509EBE0F"/>
    <w:rsid w:val="50A06744"/>
    <w:rsid w:val="50A4EA5D"/>
    <w:rsid w:val="50A80011"/>
    <w:rsid w:val="50A89899"/>
    <w:rsid w:val="50AEE589"/>
    <w:rsid w:val="50BD4D34"/>
    <w:rsid w:val="50C52E5F"/>
    <w:rsid w:val="50C7CEF0"/>
    <w:rsid w:val="50C87A33"/>
    <w:rsid w:val="50CB9B9D"/>
    <w:rsid w:val="50CDBCA1"/>
    <w:rsid w:val="50D7E6FE"/>
    <w:rsid w:val="50DC547E"/>
    <w:rsid w:val="50E94820"/>
    <w:rsid w:val="50EDE2FA"/>
    <w:rsid w:val="50EE240F"/>
    <w:rsid w:val="50EE31F8"/>
    <w:rsid w:val="50F1B109"/>
    <w:rsid w:val="50F32095"/>
    <w:rsid w:val="50F97B21"/>
    <w:rsid w:val="50F9F8E5"/>
    <w:rsid w:val="50FD67FA"/>
    <w:rsid w:val="51027933"/>
    <w:rsid w:val="5102E43C"/>
    <w:rsid w:val="5109F205"/>
    <w:rsid w:val="511B5952"/>
    <w:rsid w:val="5122ACA5"/>
    <w:rsid w:val="512A25AD"/>
    <w:rsid w:val="513114FA"/>
    <w:rsid w:val="5136C88E"/>
    <w:rsid w:val="5136EB9D"/>
    <w:rsid w:val="5140C8E4"/>
    <w:rsid w:val="51414B3E"/>
    <w:rsid w:val="51447BEC"/>
    <w:rsid w:val="5144DFD0"/>
    <w:rsid w:val="51498876"/>
    <w:rsid w:val="514B794C"/>
    <w:rsid w:val="514D9F31"/>
    <w:rsid w:val="514F7A6C"/>
    <w:rsid w:val="515F5502"/>
    <w:rsid w:val="51607ADC"/>
    <w:rsid w:val="51626E42"/>
    <w:rsid w:val="516D8B1B"/>
    <w:rsid w:val="51705140"/>
    <w:rsid w:val="51761DEC"/>
    <w:rsid w:val="5179DDC5"/>
    <w:rsid w:val="517A5D69"/>
    <w:rsid w:val="517B00FC"/>
    <w:rsid w:val="517C801B"/>
    <w:rsid w:val="517E5A76"/>
    <w:rsid w:val="5188B35C"/>
    <w:rsid w:val="5192A87D"/>
    <w:rsid w:val="5192A988"/>
    <w:rsid w:val="5196B8DB"/>
    <w:rsid w:val="5198D657"/>
    <w:rsid w:val="5199FDCC"/>
    <w:rsid w:val="519AA209"/>
    <w:rsid w:val="51A73DEF"/>
    <w:rsid w:val="51A8A779"/>
    <w:rsid w:val="51AAA210"/>
    <w:rsid w:val="51AE8751"/>
    <w:rsid w:val="51B8C436"/>
    <w:rsid w:val="51B9CB46"/>
    <w:rsid w:val="51BC64FB"/>
    <w:rsid w:val="51BE10BE"/>
    <w:rsid w:val="51C0F584"/>
    <w:rsid w:val="51C8962F"/>
    <w:rsid w:val="51DB791B"/>
    <w:rsid w:val="51E05E06"/>
    <w:rsid w:val="51EE0D35"/>
    <w:rsid w:val="51F5D8F6"/>
    <w:rsid w:val="51F6FD00"/>
    <w:rsid w:val="51FFDB0F"/>
    <w:rsid w:val="5200BE1E"/>
    <w:rsid w:val="520A500C"/>
    <w:rsid w:val="520DFA9B"/>
    <w:rsid w:val="5213EB7F"/>
    <w:rsid w:val="52149847"/>
    <w:rsid w:val="5214F11D"/>
    <w:rsid w:val="5218CE87"/>
    <w:rsid w:val="521F14FD"/>
    <w:rsid w:val="52204882"/>
    <w:rsid w:val="52295C28"/>
    <w:rsid w:val="522C3B93"/>
    <w:rsid w:val="522DEF50"/>
    <w:rsid w:val="5230B485"/>
    <w:rsid w:val="5232E47C"/>
    <w:rsid w:val="5237BD8B"/>
    <w:rsid w:val="524C472B"/>
    <w:rsid w:val="52530377"/>
    <w:rsid w:val="52533018"/>
    <w:rsid w:val="525D80B1"/>
    <w:rsid w:val="52603F4A"/>
    <w:rsid w:val="52618B16"/>
    <w:rsid w:val="526266A8"/>
    <w:rsid w:val="52639621"/>
    <w:rsid w:val="52655CFC"/>
    <w:rsid w:val="5266A17F"/>
    <w:rsid w:val="527188A3"/>
    <w:rsid w:val="5271B7AD"/>
    <w:rsid w:val="5278D0D4"/>
    <w:rsid w:val="527A6481"/>
    <w:rsid w:val="527F1F46"/>
    <w:rsid w:val="5281AEC1"/>
    <w:rsid w:val="5282C85E"/>
    <w:rsid w:val="528513F2"/>
    <w:rsid w:val="5286FC2C"/>
    <w:rsid w:val="528784BA"/>
    <w:rsid w:val="5289AA75"/>
    <w:rsid w:val="528FB709"/>
    <w:rsid w:val="529099E7"/>
    <w:rsid w:val="5290BEF0"/>
    <w:rsid w:val="5291E8B3"/>
    <w:rsid w:val="529372A7"/>
    <w:rsid w:val="52A3CCF6"/>
    <w:rsid w:val="52AC9DC1"/>
    <w:rsid w:val="52ACA90C"/>
    <w:rsid w:val="52B23979"/>
    <w:rsid w:val="52B65167"/>
    <w:rsid w:val="52BC5250"/>
    <w:rsid w:val="52C4B375"/>
    <w:rsid w:val="52CA071B"/>
    <w:rsid w:val="52D45F23"/>
    <w:rsid w:val="52D67485"/>
    <w:rsid w:val="52DF2E0C"/>
    <w:rsid w:val="52E3C8EF"/>
    <w:rsid w:val="52E4F7D1"/>
    <w:rsid w:val="52EA773F"/>
    <w:rsid w:val="52EEEEB1"/>
    <w:rsid w:val="52F2EFCB"/>
    <w:rsid w:val="52F835D8"/>
    <w:rsid w:val="52FAF885"/>
    <w:rsid w:val="5300C2C2"/>
    <w:rsid w:val="530C83C0"/>
    <w:rsid w:val="5311FA61"/>
    <w:rsid w:val="531509E1"/>
    <w:rsid w:val="5317EC95"/>
    <w:rsid w:val="53187505"/>
    <w:rsid w:val="532005B4"/>
    <w:rsid w:val="5324DEDB"/>
    <w:rsid w:val="5326DE54"/>
    <w:rsid w:val="5326FD99"/>
    <w:rsid w:val="532BAF7A"/>
    <w:rsid w:val="53428F20"/>
    <w:rsid w:val="5348DB91"/>
    <w:rsid w:val="534E603D"/>
    <w:rsid w:val="534F9223"/>
    <w:rsid w:val="53530583"/>
    <w:rsid w:val="53559FA3"/>
    <w:rsid w:val="535E27BA"/>
    <w:rsid w:val="536BA842"/>
    <w:rsid w:val="53702E17"/>
    <w:rsid w:val="5376E778"/>
    <w:rsid w:val="5378E11A"/>
    <w:rsid w:val="53856DE6"/>
    <w:rsid w:val="53994EE2"/>
    <w:rsid w:val="539C7771"/>
    <w:rsid w:val="539D9B40"/>
    <w:rsid w:val="53A24994"/>
    <w:rsid w:val="53A5505D"/>
    <w:rsid w:val="53B46F41"/>
    <w:rsid w:val="53B6CCC3"/>
    <w:rsid w:val="53C4C6B4"/>
    <w:rsid w:val="53CA191C"/>
    <w:rsid w:val="53CA30A1"/>
    <w:rsid w:val="53CBE921"/>
    <w:rsid w:val="53D5A14A"/>
    <w:rsid w:val="53D7A470"/>
    <w:rsid w:val="53DB0D72"/>
    <w:rsid w:val="53DE4F3F"/>
    <w:rsid w:val="53E0942A"/>
    <w:rsid w:val="53E24DFC"/>
    <w:rsid w:val="53E7A994"/>
    <w:rsid w:val="53EAB4E5"/>
    <w:rsid w:val="53EC7585"/>
    <w:rsid w:val="53ED544E"/>
    <w:rsid w:val="53EE773B"/>
    <w:rsid w:val="53EFE77C"/>
    <w:rsid w:val="53EFF775"/>
    <w:rsid w:val="53F63FB4"/>
    <w:rsid w:val="53FADFEE"/>
    <w:rsid w:val="53FD19E8"/>
    <w:rsid w:val="53FD6E58"/>
    <w:rsid w:val="53FD90BB"/>
    <w:rsid w:val="5402ABD3"/>
    <w:rsid w:val="5407E64A"/>
    <w:rsid w:val="540A319C"/>
    <w:rsid w:val="540C41E2"/>
    <w:rsid w:val="540CFC52"/>
    <w:rsid w:val="5414E88B"/>
    <w:rsid w:val="5418B4BE"/>
    <w:rsid w:val="541A0D28"/>
    <w:rsid w:val="541ED86D"/>
    <w:rsid w:val="542B4E66"/>
    <w:rsid w:val="54336B5D"/>
    <w:rsid w:val="543EFF8F"/>
    <w:rsid w:val="543FB538"/>
    <w:rsid w:val="5441EEF6"/>
    <w:rsid w:val="544A4DEC"/>
    <w:rsid w:val="545369DD"/>
    <w:rsid w:val="5453E17E"/>
    <w:rsid w:val="5457C3B0"/>
    <w:rsid w:val="545BD704"/>
    <w:rsid w:val="546923B4"/>
    <w:rsid w:val="546C80A3"/>
    <w:rsid w:val="547FFC45"/>
    <w:rsid w:val="54845F34"/>
    <w:rsid w:val="54857FD6"/>
    <w:rsid w:val="5486CD89"/>
    <w:rsid w:val="54885E69"/>
    <w:rsid w:val="5488C54D"/>
    <w:rsid w:val="5493D7E8"/>
    <w:rsid w:val="54970ECF"/>
    <w:rsid w:val="549724C1"/>
    <w:rsid w:val="549BEB90"/>
    <w:rsid w:val="549CDA2A"/>
    <w:rsid w:val="549E5293"/>
    <w:rsid w:val="54A24F77"/>
    <w:rsid w:val="54A6CA5D"/>
    <w:rsid w:val="54AA3A46"/>
    <w:rsid w:val="54AA84E1"/>
    <w:rsid w:val="54B19E4D"/>
    <w:rsid w:val="54B21200"/>
    <w:rsid w:val="54BF7BF4"/>
    <w:rsid w:val="54C3B650"/>
    <w:rsid w:val="54D9191C"/>
    <w:rsid w:val="54E5CFD7"/>
    <w:rsid w:val="54E7A83A"/>
    <w:rsid w:val="54E839E8"/>
    <w:rsid w:val="54EBDCEB"/>
    <w:rsid w:val="54EDC2EB"/>
    <w:rsid w:val="54EFE392"/>
    <w:rsid w:val="54F6D055"/>
    <w:rsid w:val="5500CAA1"/>
    <w:rsid w:val="5503A4CA"/>
    <w:rsid w:val="550506B4"/>
    <w:rsid w:val="5508B929"/>
    <w:rsid w:val="5508EBBE"/>
    <w:rsid w:val="550B82D6"/>
    <w:rsid w:val="550E19D0"/>
    <w:rsid w:val="551165B5"/>
    <w:rsid w:val="55188B9B"/>
    <w:rsid w:val="5518D03F"/>
    <w:rsid w:val="551BD271"/>
    <w:rsid w:val="55205122"/>
    <w:rsid w:val="5520C9DC"/>
    <w:rsid w:val="5526339A"/>
    <w:rsid w:val="552B7AED"/>
    <w:rsid w:val="5537B5FD"/>
    <w:rsid w:val="553C80E2"/>
    <w:rsid w:val="5541D8B9"/>
    <w:rsid w:val="554D9C64"/>
    <w:rsid w:val="5554BE2F"/>
    <w:rsid w:val="555A8E67"/>
    <w:rsid w:val="555C722F"/>
    <w:rsid w:val="5563E8E9"/>
    <w:rsid w:val="55652806"/>
    <w:rsid w:val="556C8370"/>
    <w:rsid w:val="556E478E"/>
    <w:rsid w:val="557671D8"/>
    <w:rsid w:val="55776E46"/>
    <w:rsid w:val="5579DFE0"/>
    <w:rsid w:val="557DF081"/>
    <w:rsid w:val="557E9983"/>
    <w:rsid w:val="557FD836"/>
    <w:rsid w:val="5589D9D1"/>
    <w:rsid w:val="558A0672"/>
    <w:rsid w:val="559097AF"/>
    <w:rsid w:val="5591F250"/>
    <w:rsid w:val="5593B265"/>
    <w:rsid w:val="559C89D5"/>
    <w:rsid w:val="559DA71A"/>
    <w:rsid w:val="55A0F9EF"/>
    <w:rsid w:val="55A4AAB3"/>
    <w:rsid w:val="55A57E0D"/>
    <w:rsid w:val="55A587DD"/>
    <w:rsid w:val="55AA5DAB"/>
    <w:rsid w:val="55ABDA0E"/>
    <w:rsid w:val="55ACE49B"/>
    <w:rsid w:val="55AD125B"/>
    <w:rsid w:val="55ADB5D2"/>
    <w:rsid w:val="55B0CDAF"/>
    <w:rsid w:val="55B1278D"/>
    <w:rsid w:val="55B26B21"/>
    <w:rsid w:val="55B27786"/>
    <w:rsid w:val="55B5DB20"/>
    <w:rsid w:val="55BCF1C1"/>
    <w:rsid w:val="55BD685E"/>
    <w:rsid w:val="55C1A0C5"/>
    <w:rsid w:val="55C2F15E"/>
    <w:rsid w:val="55C43449"/>
    <w:rsid w:val="55C59F14"/>
    <w:rsid w:val="55C8936C"/>
    <w:rsid w:val="55E1A5F5"/>
    <w:rsid w:val="55E67057"/>
    <w:rsid w:val="55E873F1"/>
    <w:rsid w:val="55EE2DCE"/>
    <w:rsid w:val="55EFB73A"/>
    <w:rsid w:val="55F94156"/>
    <w:rsid w:val="55FC049F"/>
    <w:rsid w:val="560012F6"/>
    <w:rsid w:val="56029D35"/>
    <w:rsid w:val="5606B85E"/>
    <w:rsid w:val="560F991D"/>
    <w:rsid w:val="560FAA43"/>
    <w:rsid w:val="56164BE8"/>
    <w:rsid w:val="5616B71F"/>
    <w:rsid w:val="56199511"/>
    <w:rsid w:val="561A634F"/>
    <w:rsid w:val="561AB511"/>
    <w:rsid w:val="56244479"/>
    <w:rsid w:val="5628BCAF"/>
    <w:rsid w:val="5628D9FD"/>
    <w:rsid w:val="562C5B12"/>
    <w:rsid w:val="56329145"/>
    <w:rsid w:val="563BBC92"/>
    <w:rsid w:val="5644489C"/>
    <w:rsid w:val="5646075F"/>
    <w:rsid w:val="56460926"/>
    <w:rsid w:val="564973E6"/>
    <w:rsid w:val="564984F6"/>
    <w:rsid w:val="564F4969"/>
    <w:rsid w:val="56511B12"/>
    <w:rsid w:val="56567AF8"/>
    <w:rsid w:val="56581286"/>
    <w:rsid w:val="56585DC7"/>
    <w:rsid w:val="565A11BB"/>
    <w:rsid w:val="56645100"/>
    <w:rsid w:val="566AAAF9"/>
    <w:rsid w:val="566B4C92"/>
    <w:rsid w:val="5673D4E9"/>
    <w:rsid w:val="56762C7C"/>
    <w:rsid w:val="5679CFA1"/>
    <w:rsid w:val="567D44B9"/>
    <w:rsid w:val="5680EAC6"/>
    <w:rsid w:val="5681C74E"/>
    <w:rsid w:val="568295D7"/>
    <w:rsid w:val="568513B1"/>
    <w:rsid w:val="56879DF3"/>
    <w:rsid w:val="568B2E2E"/>
    <w:rsid w:val="569CA795"/>
    <w:rsid w:val="56A0AD70"/>
    <w:rsid w:val="56A50DB6"/>
    <w:rsid w:val="56A7552A"/>
    <w:rsid w:val="56A943B1"/>
    <w:rsid w:val="56AE4713"/>
    <w:rsid w:val="56AE5856"/>
    <w:rsid w:val="56B24711"/>
    <w:rsid w:val="56B341CE"/>
    <w:rsid w:val="56B68ABF"/>
    <w:rsid w:val="56B6FFFA"/>
    <w:rsid w:val="56B7388C"/>
    <w:rsid w:val="56BA168C"/>
    <w:rsid w:val="56BECD4C"/>
    <w:rsid w:val="56C49A84"/>
    <w:rsid w:val="56C4C74F"/>
    <w:rsid w:val="56C504B7"/>
    <w:rsid w:val="56C534B2"/>
    <w:rsid w:val="56C65028"/>
    <w:rsid w:val="56C673EC"/>
    <w:rsid w:val="56CC0B88"/>
    <w:rsid w:val="56CC6BA1"/>
    <w:rsid w:val="56CCEADE"/>
    <w:rsid w:val="56CE263E"/>
    <w:rsid w:val="56D33FE1"/>
    <w:rsid w:val="56D58635"/>
    <w:rsid w:val="56DE92DE"/>
    <w:rsid w:val="56F0DF77"/>
    <w:rsid w:val="56F74E9C"/>
    <w:rsid w:val="56FA0B99"/>
    <w:rsid w:val="56FA73A6"/>
    <w:rsid w:val="56FF8AB0"/>
    <w:rsid w:val="5700D8D2"/>
    <w:rsid w:val="57061374"/>
    <w:rsid w:val="570619EA"/>
    <w:rsid w:val="570BFB4B"/>
    <w:rsid w:val="57142FF3"/>
    <w:rsid w:val="5718395B"/>
    <w:rsid w:val="5719B91C"/>
    <w:rsid w:val="5719FE67"/>
    <w:rsid w:val="571F4314"/>
    <w:rsid w:val="57226610"/>
    <w:rsid w:val="57249AB5"/>
    <w:rsid w:val="5729F0D9"/>
    <w:rsid w:val="572E2440"/>
    <w:rsid w:val="572E7E24"/>
    <w:rsid w:val="572FD238"/>
    <w:rsid w:val="5732B718"/>
    <w:rsid w:val="5733D15F"/>
    <w:rsid w:val="573FD13A"/>
    <w:rsid w:val="57414650"/>
    <w:rsid w:val="574A9988"/>
    <w:rsid w:val="57531305"/>
    <w:rsid w:val="57571B6F"/>
    <w:rsid w:val="575F5DEB"/>
    <w:rsid w:val="5760D110"/>
    <w:rsid w:val="576129A2"/>
    <w:rsid w:val="57623E9B"/>
    <w:rsid w:val="5765FD77"/>
    <w:rsid w:val="576EC440"/>
    <w:rsid w:val="57700AB5"/>
    <w:rsid w:val="577AC65D"/>
    <w:rsid w:val="577FC8A9"/>
    <w:rsid w:val="578079FD"/>
    <w:rsid w:val="5784E1C1"/>
    <w:rsid w:val="5793445F"/>
    <w:rsid w:val="57983A02"/>
    <w:rsid w:val="57994EDF"/>
    <w:rsid w:val="5799A7D8"/>
    <w:rsid w:val="57A217BC"/>
    <w:rsid w:val="57A70504"/>
    <w:rsid w:val="57A922E7"/>
    <w:rsid w:val="57ADE1B7"/>
    <w:rsid w:val="57BB4B5E"/>
    <w:rsid w:val="57BC372E"/>
    <w:rsid w:val="57BD773C"/>
    <w:rsid w:val="57BE87E3"/>
    <w:rsid w:val="57BECFFE"/>
    <w:rsid w:val="57C24E41"/>
    <w:rsid w:val="57C5735D"/>
    <w:rsid w:val="57CC9AE6"/>
    <w:rsid w:val="57CD1599"/>
    <w:rsid w:val="57D5D007"/>
    <w:rsid w:val="57D69779"/>
    <w:rsid w:val="57D7E887"/>
    <w:rsid w:val="57D888FA"/>
    <w:rsid w:val="57E7745C"/>
    <w:rsid w:val="57E83FD4"/>
    <w:rsid w:val="57F1A1AF"/>
    <w:rsid w:val="57F2603A"/>
    <w:rsid w:val="57F2EE37"/>
    <w:rsid w:val="57F397C5"/>
    <w:rsid w:val="57FCDAB4"/>
    <w:rsid w:val="57FD55F3"/>
    <w:rsid w:val="5803DAE5"/>
    <w:rsid w:val="580511C0"/>
    <w:rsid w:val="580A32D0"/>
    <w:rsid w:val="580AE92F"/>
    <w:rsid w:val="580DBFC4"/>
    <w:rsid w:val="581187DC"/>
    <w:rsid w:val="581F249E"/>
    <w:rsid w:val="581FF581"/>
    <w:rsid w:val="581FFE36"/>
    <w:rsid w:val="58215AF5"/>
    <w:rsid w:val="582770C9"/>
    <w:rsid w:val="582882A9"/>
    <w:rsid w:val="582B0762"/>
    <w:rsid w:val="5831927B"/>
    <w:rsid w:val="5835A389"/>
    <w:rsid w:val="583BF391"/>
    <w:rsid w:val="5848299C"/>
    <w:rsid w:val="58495BC6"/>
    <w:rsid w:val="5849AB6B"/>
    <w:rsid w:val="584F4459"/>
    <w:rsid w:val="5852D278"/>
    <w:rsid w:val="5859BC5B"/>
    <w:rsid w:val="585A1FB8"/>
    <w:rsid w:val="585FF8AA"/>
    <w:rsid w:val="5869DE10"/>
    <w:rsid w:val="5872F39D"/>
    <w:rsid w:val="58750544"/>
    <w:rsid w:val="5875C668"/>
    <w:rsid w:val="587879FD"/>
    <w:rsid w:val="587BDD66"/>
    <w:rsid w:val="587BF15D"/>
    <w:rsid w:val="587C6340"/>
    <w:rsid w:val="5880E50A"/>
    <w:rsid w:val="58842FD7"/>
    <w:rsid w:val="5887BEA4"/>
    <w:rsid w:val="588A8949"/>
    <w:rsid w:val="58938385"/>
    <w:rsid w:val="58959A36"/>
    <w:rsid w:val="5899CF9C"/>
    <w:rsid w:val="589A112F"/>
    <w:rsid w:val="58A07AC9"/>
    <w:rsid w:val="58A0DCA0"/>
    <w:rsid w:val="58A24479"/>
    <w:rsid w:val="58A2C818"/>
    <w:rsid w:val="58AC0493"/>
    <w:rsid w:val="58AD1D4D"/>
    <w:rsid w:val="58AE78C9"/>
    <w:rsid w:val="58AE918F"/>
    <w:rsid w:val="58B57A98"/>
    <w:rsid w:val="58B9F238"/>
    <w:rsid w:val="58BA88BA"/>
    <w:rsid w:val="58BC5552"/>
    <w:rsid w:val="58C2CF9E"/>
    <w:rsid w:val="58C443D5"/>
    <w:rsid w:val="58C9DA16"/>
    <w:rsid w:val="58CF083C"/>
    <w:rsid w:val="58D07B8F"/>
    <w:rsid w:val="58D2497A"/>
    <w:rsid w:val="58D379FC"/>
    <w:rsid w:val="58DC0960"/>
    <w:rsid w:val="58DEA6C9"/>
    <w:rsid w:val="58EE207A"/>
    <w:rsid w:val="58F29FAA"/>
    <w:rsid w:val="58F687CB"/>
    <w:rsid w:val="58FBB693"/>
    <w:rsid w:val="58FF854A"/>
    <w:rsid w:val="59002C7A"/>
    <w:rsid w:val="5906558A"/>
    <w:rsid w:val="590C21C0"/>
    <w:rsid w:val="5911CBA9"/>
    <w:rsid w:val="59154960"/>
    <w:rsid w:val="5919CA67"/>
    <w:rsid w:val="591D1670"/>
    <w:rsid w:val="591DE0FC"/>
    <w:rsid w:val="5922471D"/>
    <w:rsid w:val="59284370"/>
    <w:rsid w:val="592F5000"/>
    <w:rsid w:val="593C9343"/>
    <w:rsid w:val="594355DA"/>
    <w:rsid w:val="5943CC29"/>
    <w:rsid w:val="5946E4D3"/>
    <w:rsid w:val="59725C0C"/>
    <w:rsid w:val="5973FA8E"/>
    <w:rsid w:val="597F0513"/>
    <w:rsid w:val="597FC10E"/>
    <w:rsid w:val="598BDF1E"/>
    <w:rsid w:val="598D6402"/>
    <w:rsid w:val="598FF367"/>
    <w:rsid w:val="5991E7E5"/>
    <w:rsid w:val="5993155C"/>
    <w:rsid w:val="599B5456"/>
    <w:rsid w:val="599BFFF3"/>
    <w:rsid w:val="599C114F"/>
    <w:rsid w:val="59A078B7"/>
    <w:rsid w:val="59A13365"/>
    <w:rsid w:val="59AE6EA6"/>
    <w:rsid w:val="59B19F2A"/>
    <w:rsid w:val="59B2A274"/>
    <w:rsid w:val="59B3BFD3"/>
    <w:rsid w:val="59BE61D9"/>
    <w:rsid w:val="59CDD419"/>
    <w:rsid w:val="59D4D12B"/>
    <w:rsid w:val="59DA8411"/>
    <w:rsid w:val="59DBCE80"/>
    <w:rsid w:val="59DE627A"/>
    <w:rsid w:val="59E0D630"/>
    <w:rsid w:val="59E138F7"/>
    <w:rsid w:val="59EA5754"/>
    <w:rsid w:val="59EB5379"/>
    <w:rsid w:val="59EF01FC"/>
    <w:rsid w:val="59F07A9F"/>
    <w:rsid w:val="59F2322C"/>
    <w:rsid w:val="59FA848B"/>
    <w:rsid w:val="5A00FDEF"/>
    <w:rsid w:val="5A02340E"/>
    <w:rsid w:val="5A0289C9"/>
    <w:rsid w:val="5A02BF7B"/>
    <w:rsid w:val="5A04B282"/>
    <w:rsid w:val="5A0C3A31"/>
    <w:rsid w:val="5A20F526"/>
    <w:rsid w:val="5A217415"/>
    <w:rsid w:val="5A235716"/>
    <w:rsid w:val="5A31EED7"/>
    <w:rsid w:val="5A3BB7B0"/>
    <w:rsid w:val="5A3C3220"/>
    <w:rsid w:val="5A3CC63A"/>
    <w:rsid w:val="5A441F26"/>
    <w:rsid w:val="5A470BBA"/>
    <w:rsid w:val="5A482055"/>
    <w:rsid w:val="5A4A849A"/>
    <w:rsid w:val="5A4B88A6"/>
    <w:rsid w:val="5A53FA76"/>
    <w:rsid w:val="5A5562CC"/>
    <w:rsid w:val="5A56E427"/>
    <w:rsid w:val="5A58529A"/>
    <w:rsid w:val="5A606483"/>
    <w:rsid w:val="5A61910B"/>
    <w:rsid w:val="5A65D5C5"/>
    <w:rsid w:val="5A661D66"/>
    <w:rsid w:val="5A6B9D5B"/>
    <w:rsid w:val="5A6C5335"/>
    <w:rsid w:val="5A6D7974"/>
    <w:rsid w:val="5A70869D"/>
    <w:rsid w:val="5A75687E"/>
    <w:rsid w:val="5A7761CA"/>
    <w:rsid w:val="5A796A62"/>
    <w:rsid w:val="5A7D7F00"/>
    <w:rsid w:val="5A88119A"/>
    <w:rsid w:val="5A96E65A"/>
    <w:rsid w:val="5A99FD0D"/>
    <w:rsid w:val="5A9DB413"/>
    <w:rsid w:val="5A9E5C87"/>
    <w:rsid w:val="5A9E90A2"/>
    <w:rsid w:val="5AA497CC"/>
    <w:rsid w:val="5AA7E590"/>
    <w:rsid w:val="5AA9D935"/>
    <w:rsid w:val="5AAACD95"/>
    <w:rsid w:val="5AAD5FBC"/>
    <w:rsid w:val="5AAD69A5"/>
    <w:rsid w:val="5AAF081E"/>
    <w:rsid w:val="5AB4AE45"/>
    <w:rsid w:val="5AB8C5A4"/>
    <w:rsid w:val="5ABE8259"/>
    <w:rsid w:val="5AC7C11C"/>
    <w:rsid w:val="5AD8F84F"/>
    <w:rsid w:val="5AE0C1AE"/>
    <w:rsid w:val="5AEC1FAD"/>
    <w:rsid w:val="5AED0A49"/>
    <w:rsid w:val="5AEF02BC"/>
    <w:rsid w:val="5AF7256D"/>
    <w:rsid w:val="5AF8505E"/>
    <w:rsid w:val="5B046FA5"/>
    <w:rsid w:val="5B05BC7A"/>
    <w:rsid w:val="5B05E742"/>
    <w:rsid w:val="5B05EB2C"/>
    <w:rsid w:val="5B067C0D"/>
    <w:rsid w:val="5B0A059B"/>
    <w:rsid w:val="5B0C74DE"/>
    <w:rsid w:val="5B11B383"/>
    <w:rsid w:val="5B19D4F7"/>
    <w:rsid w:val="5B1D1A11"/>
    <w:rsid w:val="5B25680B"/>
    <w:rsid w:val="5B2A40A0"/>
    <w:rsid w:val="5B2B33DC"/>
    <w:rsid w:val="5B2DAA47"/>
    <w:rsid w:val="5B2FFA13"/>
    <w:rsid w:val="5B33B46C"/>
    <w:rsid w:val="5B3500DD"/>
    <w:rsid w:val="5B37E7B7"/>
    <w:rsid w:val="5B3FC06B"/>
    <w:rsid w:val="5B416967"/>
    <w:rsid w:val="5B44DBFD"/>
    <w:rsid w:val="5B47994D"/>
    <w:rsid w:val="5B492191"/>
    <w:rsid w:val="5B55B444"/>
    <w:rsid w:val="5B5A5C46"/>
    <w:rsid w:val="5B5E6BF4"/>
    <w:rsid w:val="5B5FD4C3"/>
    <w:rsid w:val="5B621342"/>
    <w:rsid w:val="5B697501"/>
    <w:rsid w:val="5B6A75CB"/>
    <w:rsid w:val="5B6AB0D5"/>
    <w:rsid w:val="5B75687B"/>
    <w:rsid w:val="5B7B0B81"/>
    <w:rsid w:val="5B7C60F0"/>
    <w:rsid w:val="5B7D0958"/>
    <w:rsid w:val="5B83E255"/>
    <w:rsid w:val="5B854E2F"/>
    <w:rsid w:val="5B9CB16A"/>
    <w:rsid w:val="5B9CD5E0"/>
    <w:rsid w:val="5BB0EF8F"/>
    <w:rsid w:val="5BB17E5A"/>
    <w:rsid w:val="5BB37E28"/>
    <w:rsid w:val="5BB52135"/>
    <w:rsid w:val="5BB68960"/>
    <w:rsid w:val="5BBB3469"/>
    <w:rsid w:val="5BC41489"/>
    <w:rsid w:val="5BC590A4"/>
    <w:rsid w:val="5BC9CFEB"/>
    <w:rsid w:val="5BCFEC3B"/>
    <w:rsid w:val="5BD0C275"/>
    <w:rsid w:val="5BD5774F"/>
    <w:rsid w:val="5BD5B26B"/>
    <w:rsid w:val="5BD79977"/>
    <w:rsid w:val="5BDE8953"/>
    <w:rsid w:val="5BE06F2C"/>
    <w:rsid w:val="5BE1EAAE"/>
    <w:rsid w:val="5BE25084"/>
    <w:rsid w:val="5BEED727"/>
    <w:rsid w:val="5BF790E9"/>
    <w:rsid w:val="5BFF428C"/>
    <w:rsid w:val="5C0361F6"/>
    <w:rsid w:val="5C0F3164"/>
    <w:rsid w:val="5C0FD137"/>
    <w:rsid w:val="5C183D7B"/>
    <w:rsid w:val="5C1925AF"/>
    <w:rsid w:val="5C1D536A"/>
    <w:rsid w:val="5C24E312"/>
    <w:rsid w:val="5C2D5AA3"/>
    <w:rsid w:val="5C3304EF"/>
    <w:rsid w:val="5C3ED926"/>
    <w:rsid w:val="5C46CBC6"/>
    <w:rsid w:val="5C4A0952"/>
    <w:rsid w:val="5C4CEB46"/>
    <w:rsid w:val="5C51857B"/>
    <w:rsid w:val="5C5334C6"/>
    <w:rsid w:val="5C591298"/>
    <w:rsid w:val="5C5A98E5"/>
    <w:rsid w:val="5C5B005A"/>
    <w:rsid w:val="5C625510"/>
    <w:rsid w:val="5C69DABA"/>
    <w:rsid w:val="5C7225D8"/>
    <w:rsid w:val="5C759998"/>
    <w:rsid w:val="5C799D88"/>
    <w:rsid w:val="5C7BC571"/>
    <w:rsid w:val="5C8104CC"/>
    <w:rsid w:val="5C82BF5A"/>
    <w:rsid w:val="5C83826A"/>
    <w:rsid w:val="5C839D65"/>
    <w:rsid w:val="5C844D8F"/>
    <w:rsid w:val="5C84C0EC"/>
    <w:rsid w:val="5C8D31CA"/>
    <w:rsid w:val="5C8D4C4D"/>
    <w:rsid w:val="5C8DCFCA"/>
    <w:rsid w:val="5C8DD93D"/>
    <w:rsid w:val="5C92C3E1"/>
    <w:rsid w:val="5C98DCD3"/>
    <w:rsid w:val="5C9A3251"/>
    <w:rsid w:val="5C9F0C3D"/>
    <w:rsid w:val="5C9F4A58"/>
    <w:rsid w:val="5CA7DCA2"/>
    <w:rsid w:val="5CA9B139"/>
    <w:rsid w:val="5CA9DD55"/>
    <w:rsid w:val="5CAA7CFC"/>
    <w:rsid w:val="5CB41D5D"/>
    <w:rsid w:val="5CBA6D13"/>
    <w:rsid w:val="5CBCACB0"/>
    <w:rsid w:val="5CBD0C3D"/>
    <w:rsid w:val="5CC02969"/>
    <w:rsid w:val="5CC418C0"/>
    <w:rsid w:val="5CCB40C4"/>
    <w:rsid w:val="5CCEED81"/>
    <w:rsid w:val="5CCFF9BC"/>
    <w:rsid w:val="5CD33168"/>
    <w:rsid w:val="5CD3AA6C"/>
    <w:rsid w:val="5CDF5681"/>
    <w:rsid w:val="5CE46CD1"/>
    <w:rsid w:val="5CE52085"/>
    <w:rsid w:val="5CE64D1F"/>
    <w:rsid w:val="5CE69368"/>
    <w:rsid w:val="5CE800A9"/>
    <w:rsid w:val="5CF0A471"/>
    <w:rsid w:val="5CF73692"/>
    <w:rsid w:val="5CFA3581"/>
    <w:rsid w:val="5CFB7FFF"/>
    <w:rsid w:val="5D0EED71"/>
    <w:rsid w:val="5D141350"/>
    <w:rsid w:val="5D153BFC"/>
    <w:rsid w:val="5D184E6B"/>
    <w:rsid w:val="5D19C47F"/>
    <w:rsid w:val="5D249E5A"/>
    <w:rsid w:val="5D29094F"/>
    <w:rsid w:val="5D2AED17"/>
    <w:rsid w:val="5D2B6307"/>
    <w:rsid w:val="5D3AB575"/>
    <w:rsid w:val="5D3E481B"/>
    <w:rsid w:val="5D3FE24B"/>
    <w:rsid w:val="5D4AC700"/>
    <w:rsid w:val="5D4D42E3"/>
    <w:rsid w:val="5D52AE31"/>
    <w:rsid w:val="5D532C63"/>
    <w:rsid w:val="5D55729C"/>
    <w:rsid w:val="5D570DFA"/>
    <w:rsid w:val="5D59C3F9"/>
    <w:rsid w:val="5D5D0E5B"/>
    <w:rsid w:val="5D636A4C"/>
    <w:rsid w:val="5D65A04C"/>
    <w:rsid w:val="5D6656CA"/>
    <w:rsid w:val="5D66AA02"/>
    <w:rsid w:val="5D68AD7E"/>
    <w:rsid w:val="5D712E18"/>
    <w:rsid w:val="5D739DFF"/>
    <w:rsid w:val="5D76B4DB"/>
    <w:rsid w:val="5D77188C"/>
    <w:rsid w:val="5D7E5D87"/>
    <w:rsid w:val="5D8100BE"/>
    <w:rsid w:val="5D814302"/>
    <w:rsid w:val="5D821E5F"/>
    <w:rsid w:val="5D84683B"/>
    <w:rsid w:val="5D851B69"/>
    <w:rsid w:val="5D887AF3"/>
    <w:rsid w:val="5D8AFBE8"/>
    <w:rsid w:val="5D95F2B4"/>
    <w:rsid w:val="5D97C152"/>
    <w:rsid w:val="5D9A0C20"/>
    <w:rsid w:val="5D9BEF47"/>
    <w:rsid w:val="5D9CE5F4"/>
    <w:rsid w:val="5DA2CF26"/>
    <w:rsid w:val="5DA30BB4"/>
    <w:rsid w:val="5DAA2E6F"/>
    <w:rsid w:val="5DB4FAE1"/>
    <w:rsid w:val="5DC67045"/>
    <w:rsid w:val="5DC88F57"/>
    <w:rsid w:val="5DCB8066"/>
    <w:rsid w:val="5DD8581C"/>
    <w:rsid w:val="5DD90053"/>
    <w:rsid w:val="5DDA6CC9"/>
    <w:rsid w:val="5DDF09ED"/>
    <w:rsid w:val="5DDF76F8"/>
    <w:rsid w:val="5DDF84A5"/>
    <w:rsid w:val="5DEB08DE"/>
    <w:rsid w:val="5DED19A5"/>
    <w:rsid w:val="5DEEC7F6"/>
    <w:rsid w:val="5DFBE7D4"/>
    <w:rsid w:val="5DFE3D0C"/>
    <w:rsid w:val="5DFF7683"/>
    <w:rsid w:val="5E0380A1"/>
    <w:rsid w:val="5E0FBE81"/>
    <w:rsid w:val="5E1DB602"/>
    <w:rsid w:val="5E1DF436"/>
    <w:rsid w:val="5E1E8486"/>
    <w:rsid w:val="5E1F25FA"/>
    <w:rsid w:val="5E282BB6"/>
    <w:rsid w:val="5E2A50B1"/>
    <w:rsid w:val="5E2C541E"/>
    <w:rsid w:val="5E2FC358"/>
    <w:rsid w:val="5E354993"/>
    <w:rsid w:val="5E3AAB79"/>
    <w:rsid w:val="5E3C4091"/>
    <w:rsid w:val="5E4534A3"/>
    <w:rsid w:val="5E48D0F4"/>
    <w:rsid w:val="5E49FE0C"/>
    <w:rsid w:val="5E5436FC"/>
    <w:rsid w:val="5E5C7750"/>
    <w:rsid w:val="5E624FF7"/>
    <w:rsid w:val="5E6462D2"/>
    <w:rsid w:val="5E6523A0"/>
    <w:rsid w:val="5E672354"/>
    <w:rsid w:val="5E718EB7"/>
    <w:rsid w:val="5E7CD665"/>
    <w:rsid w:val="5E8102C8"/>
    <w:rsid w:val="5E853E04"/>
    <w:rsid w:val="5E85DA6F"/>
    <w:rsid w:val="5E86908F"/>
    <w:rsid w:val="5E87C39D"/>
    <w:rsid w:val="5E9534C0"/>
    <w:rsid w:val="5EA7202D"/>
    <w:rsid w:val="5EAE3EBF"/>
    <w:rsid w:val="5EAFDCA8"/>
    <w:rsid w:val="5EB1512F"/>
    <w:rsid w:val="5EB17A86"/>
    <w:rsid w:val="5EB74021"/>
    <w:rsid w:val="5EB7B981"/>
    <w:rsid w:val="5EB88DCD"/>
    <w:rsid w:val="5EBADBFB"/>
    <w:rsid w:val="5EBB6902"/>
    <w:rsid w:val="5EBC9869"/>
    <w:rsid w:val="5EC47B6B"/>
    <w:rsid w:val="5ECA600E"/>
    <w:rsid w:val="5ECE8F17"/>
    <w:rsid w:val="5ECEF6AB"/>
    <w:rsid w:val="5ED51D72"/>
    <w:rsid w:val="5EE48AFD"/>
    <w:rsid w:val="5EE690D2"/>
    <w:rsid w:val="5EE721C6"/>
    <w:rsid w:val="5EE9695A"/>
    <w:rsid w:val="5EF8EF81"/>
    <w:rsid w:val="5F00997F"/>
    <w:rsid w:val="5F09A51A"/>
    <w:rsid w:val="5F0B1C35"/>
    <w:rsid w:val="5F0F3D7D"/>
    <w:rsid w:val="5F1168D9"/>
    <w:rsid w:val="5F1286D4"/>
    <w:rsid w:val="5F1851EE"/>
    <w:rsid w:val="5F1CEA0B"/>
    <w:rsid w:val="5F1E72CA"/>
    <w:rsid w:val="5F250774"/>
    <w:rsid w:val="5F265EE1"/>
    <w:rsid w:val="5F2AACE9"/>
    <w:rsid w:val="5F2D3201"/>
    <w:rsid w:val="5F2D4544"/>
    <w:rsid w:val="5F2D4AFF"/>
    <w:rsid w:val="5F3013A8"/>
    <w:rsid w:val="5F35C922"/>
    <w:rsid w:val="5F373E6A"/>
    <w:rsid w:val="5F402CE7"/>
    <w:rsid w:val="5F46F2CD"/>
    <w:rsid w:val="5F4B0821"/>
    <w:rsid w:val="5F4E102B"/>
    <w:rsid w:val="5F6139AC"/>
    <w:rsid w:val="5F61FD6E"/>
    <w:rsid w:val="5F625BE4"/>
    <w:rsid w:val="5F6B31B7"/>
    <w:rsid w:val="5F75820B"/>
    <w:rsid w:val="5F7C2A7A"/>
    <w:rsid w:val="5F7E3050"/>
    <w:rsid w:val="5F7F5853"/>
    <w:rsid w:val="5F7F95EC"/>
    <w:rsid w:val="5F7FB892"/>
    <w:rsid w:val="5F858575"/>
    <w:rsid w:val="5F8ED0ED"/>
    <w:rsid w:val="5F94064C"/>
    <w:rsid w:val="5F9CF4B1"/>
    <w:rsid w:val="5F9F1D9E"/>
    <w:rsid w:val="5FA0A218"/>
    <w:rsid w:val="5FA1A383"/>
    <w:rsid w:val="5FA25E3F"/>
    <w:rsid w:val="5FA9FE27"/>
    <w:rsid w:val="5FB0A4C2"/>
    <w:rsid w:val="5FB2117E"/>
    <w:rsid w:val="5FB745C5"/>
    <w:rsid w:val="5FB9E519"/>
    <w:rsid w:val="5FC299F7"/>
    <w:rsid w:val="5FC70C2B"/>
    <w:rsid w:val="5FCC5798"/>
    <w:rsid w:val="5FD1ABA8"/>
    <w:rsid w:val="5FDA0E12"/>
    <w:rsid w:val="5FDDC359"/>
    <w:rsid w:val="5FE7E6A6"/>
    <w:rsid w:val="5FEED674"/>
    <w:rsid w:val="5FF360F8"/>
    <w:rsid w:val="5FF75D78"/>
    <w:rsid w:val="60016C13"/>
    <w:rsid w:val="6004609E"/>
    <w:rsid w:val="600731C1"/>
    <w:rsid w:val="600C7BEF"/>
    <w:rsid w:val="6015359F"/>
    <w:rsid w:val="6018E501"/>
    <w:rsid w:val="601A134B"/>
    <w:rsid w:val="60287E3B"/>
    <w:rsid w:val="602D0D15"/>
    <w:rsid w:val="6030FAAB"/>
    <w:rsid w:val="603227AD"/>
    <w:rsid w:val="6033CA91"/>
    <w:rsid w:val="6033DE54"/>
    <w:rsid w:val="604B93D5"/>
    <w:rsid w:val="604BD13F"/>
    <w:rsid w:val="604E9A24"/>
    <w:rsid w:val="605872A9"/>
    <w:rsid w:val="6058D04A"/>
    <w:rsid w:val="605D2A6B"/>
    <w:rsid w:val="60711F93"/>
    <w:rsid w:val="6078B285"/>
    <w:rsid w:val="607E773D"/>
    <w:rsid w:val="60844924"/>
    <w:rsid w:val="608947AF"/>
    <w:rsid w:val="6089D620"/>
    <w:rsid w:val="608A0FC3"/>
    <w:rsid w:val="608CFB66"/>
    <w:rsid w:val="6095E1F9"/>
    <w:rsid w:val="609A6B8C"/>
    <w:rsid w:val="609D1C45"/>
    <w:rsid w:val="609D5130"/>
    <w:rsid w:val="609F49E4"/>
    <w:rsid w:val="60A0D2D9"/>
    <w:rsid w:val="60B997FC"/>
    <w:rsid w:val="60BB0DF2"/>
    <w:rsid w:val="60BB9C77"/>
    <w:rsid w:val="60C50BAE"/>
    <w:rsid w:val="60C9DCE2"/>
    <w:rsid w:val="60CA93C8"/>
    <w:rsid w:val="60D3830B"/>
    <w:rsid w:val="60D911A5"/>
    <w:rsid w:val="60DB51DA"/>
    <w:rsid w:val="60DC0938"/>
    <w:rsid w:val="60E2327B"/>
    <w:rsid w:val="60E299E6"/>
    <w:rsid w:val="60E44218"/>
    <w:rsid w:val="60E46ED9"/>
    <w:rsid w:val="60E58E0C"/>
    <w:rsid w:val="60E7DDEE"/>
    <w:rsid w:val="60E96D8E"/>
    <w:rsid w:val="60EA2B7F"/>
    <w:rsid w:val="60F5C7A5"/>
    <w:rsid w:val="60F76598"/>
    <w:rsid w:val="60F9D660"/>
    <w:rsid w:val="60FCB2A2"/>
    <w:rsid w:val="610C62C5"/>
    <w:rsid w:val="610E2A31"/>
    <w:rsid w:val="610F2DEA"/>
    <w:rsid w:val="611BF971"/>
    <w:rsid w:val="612514DD"/>
    <w:rsid w:val="6126EB1F"/>
    <w:rsid w:val="6130F818"/>
    <w:rsid w:val="6133A8F6"/>
    <w:rsid w:val="6137A3A8"/>
    <w:rsid w:val="61396A4D"/>
    <w:rsid w:val="613DC26B"/>
    <w:rsid w:val="613F2493"/>
    <w:rsid w:val="6141F92B"/>
    <w:rsid w:val="6143CEAF"/>
    <w:rsid w:val="614445CA"/>
    <w:rsid w:val="6148182D"/>
    <w:rsid w:val="614B3D45"/>
    <w:rsid w:val="614C27C0"/>
    <w:rsid w:val="614C4BCD"/>
    <w:rsid w:val="61512EC7"/>
    <w:rsid w:val="616C1455"/>
    <w:rsid w:val="6170FA4E"/>
    <w:rsid w:val="6172A9D1"/>
    <w:rsid w:val="6174333F"/>
    <w:rsid w:val="617C266D"/>
    <w:rsid w:val="617CF10E"/>
    <w:rsid w:val="617D1680"/>
    <w:rsid w:val="6181C84F"/>
    <w:rsid w:val="61865764"/>
    <w:rsid w:val="618A5E6A"/>
    <w:rsid w:val="6195BE38"/>
    <w:rsid w:val="61970B16"/>
    <w:rsid w:val="61A3CEDE"/>
    <w:rsid w:val="61A4B1E8"/>
    <w:rsid w:val="61A637D6"/>
    <w:rsid w:val="61A66806"/>
    <w:rsid w:val="61A69F1C"/>
    <w:rsid w:val="61A6A098"/>
    <w:rsid w:val="61A8E5CE"/>
    <w:rsid w:val="61B2D870"/>
    <w:rsid w:val="61B51736"/>
    <w:rsid w:val="61B682D2"/>
    <w:rsid w:val="61B8A463"/>
    <w:rsid w:val="61BC873E"/>
    <w:rsid w:val="61C07FA2"/>
    <w:rsid w:val="61C3C752"/>
    <w:rsid w:val="61C602BE"/>
    <w:rsid w:val="61CCE335"/>
    <w:rsid w:val="61D2D00E"/>
    <w:rsid w:val="61D7CA68"/>
    <w:rsid w:val="61D805AD"/>
    <w:rsid w:val="61DD7510"/>
    <w:rsid w:val="61DD9586"/>
    <w:rsid w:val="61E0A4DC"/>
    <w:rsid w:val="61E1B33C"/>
    <w:rsid w:val="61E76436"/>
    <w:rsid w:val="61E7D181"/>
    <w:rsid w:val="61E8CCE1"/>
    <w:rsid w:val="61F2CFB3"/>
    <w:rsid w:val="61F6AF4B"/>
    <w:rsid w:val="61FB259A"/>
    <w:rsid w:val="61FB3492"/>
    <w:rsid w:val="61FDECD1"/>
    <w:rsid w:val="62031D70"/>
    <w:rsid w:val="620DC328"/>
    <w:rsid w:val="621078A5"/>
    <w:rsid w:val="6214E613"/>
    <w:rsid w:val="621DF928"/>
    <w:rsid w:val="621DFBD9"/>
    <w:rsid w:val="621EB233"/>
    <w:rsid w:val="622161AB"/>
    <w:rsid w:val="622C8523"/>
    <w:rsid w:val="622E0D5E"/>
    <w:rsid w:val="62379A5E"/>
    <w:rsid w:val="623DA1D0"/>
    <w:rsid w:val="6240E4A7"/>
    <w:rsid w:val="624969BB"/>
    <w:rsid w:val="6250D788"/>
    <w:rsid w:val="6258CFC3"/>
    <w:rsid w:val="625AD718"/>
    <w:rsid w:val="625C1C97"/>
    <w:rsid w:val="625E46E1"/>
    <w:rsid w:val="62606138"/>
    <w:rsid w:val="6265C293"/>
    <w:rsid w:val="6274FDB2"/>
    <w:rsid w:val="6275EFB8"/>
    <w:rsid w:val="627FD098"/>
    <w:rsid w:val="6282CD82"/>
    <w:rsid w:val="628379CA"/>
    <w:rsid w:val="62879795"/>
    <w:rsid w:val="628AB352"/>
    <w:rsid w:val="628EC830"/>
    <w:rsid w:val="6294E971"/>
    <w:rsid w:val="6295F05D"/>
    <w:rsid w:val="629A8C6F"/>
    <w:rsid w:val="629CB0E1"/>
    <w:rsid w:val="629E6928"/>
    <w:rsid w:val="62A0027D"/>
    <w:rsid w:val="62A13E07"/>
    <w:rsid w:val="62A9E104"/>
    <w:rsid w:val="62B42B90"/>
    <w:rsid w:val="62B6B656"/>
    <w:rsid w:val="62B74DC1"/>
    <w:rsid w:val="62B8799F"/>
    <w:rsid w:val="62BA1E8F"/>
    <w:rsid w:val="62C285A9"/>
    <w:rsid w:val="62C99F9D"/>
    <w:rsid w:val="62CEB440"/>
    <w:rsid w:val="62D5898F"/>
    <w:rsid w:val="62D66E26"/>
    <w:rsid w:val="62E2DB3E"/>
    <w:rsid w:val="62F2AFBD"/>
    <w:rsid w:val="62F40490"/>
    <w:rsid w:val="62F44982"/>
    <w:rsid w:val="62F4E4AE"/>
    <w:rsid w:val="6301F568"/>
    <w:rsid w:val="6303E845"/>
    <w:rsid w:val="6304150C"/>
    <w:rsid w:val="6306CEB5"/>
    <w:rsid w:val="63093EF9"/>
    <w:rsid w:val="630E3738"/>
    <w:rsid w:val="631C080F"/>
    <w:rsid w:val="631C6A84"/>
    <w:rsid w:val="631CEBD0"/>
    <w:rsid w:val="63218E25"/>
    <w:rsid w:val="632AB7C8"/>
    <w:rsid w:val="6330D5D4"/>
    <w:rsid w:val="63391904"/>
    <w:rsid w:val="633AB8AD"/>
    <w:rsid w:val="633F53F3"/>
    <w:rsid w:val="63400454"/>
    <w:rsid w:val="6344B295"/>
    <w:rsid w:val="634510F4"/>
    <w:rsid w:val="6346E298"/>
    <w:rsid w:val="63472A42"/>
    <w:rsid w:val="634AE3F9"/>
    <w:rsid w:val="634BA34A"/>
    <w:rsid w:val="634E2E1F"/>
    <w:rsid w:val="634E42BE"/>
    <w:rsid w:val="635819FA"/>
    <w:rsid w:val="63586028"/>
    <w:rsid w:val="636C8D96"/>
    <w:rsid w:val="636E4843"/>
    <w:rsid w:val="63766D38"/>
    <w:rsid w:val="63768F5C"/>
    <w:rsid w:val="637A56A3"/>
    <w:rsid w:val="637CFC66"/>
    <w:rsid w:val="637D8014"/>
    <w:rsid w:val="637FAC2C"/>
    <w:rsid w:val="63814722"/>
    <w:rsid w:val="639204B1"/>
    <w:rsid w:val="639268EB"/>
    <w:rsid w:val="63928F21"/>
    <w:rsid w:val="6399F116"/>
    <w:rsid w:val="63A73E7A"/>
    <w:rsid w:val="63AB52F6"/>
    <w:rsid w:val="63AB8962"/>
    <w:rsid w:val="63AD0858"/>
    <w:rsid w:val="63AFA8EE"/>
    <w:rsid w:val="63B40A8C"/>
    <w:rsid w:val="63B8EE45"/>
    <w:rsid w:val="63BC0F1D"/>
    <w:rsid w:val="63BE983C"/>
    <w:rsid w:val="63C55CFF"/>
    <w:rsid w:val="63CCA735"/>
    <w:rsid w:val="63CCF44A"/>
    <w:rsid w:val="63CE97C0"/>
    <w:rsid w:val="63DBC698"/>
    <w:rsid w:val="63DE064B"/>
    <w:rsid w:val="63DED5F1"/>
    <w:rsid w:val="63DF1ED4"/>
    <w:rsid w:val="63E0AE56"/>
    <w:rsid w:val="63E338E5"/>
    <w:rsid w:val="63E38DD4"/>
    <w:rsid w:val="63F58869"/>
    <w:rsid w:val="63F7635F"/>
    <w:rsid w:val="63F87A86"/>
    <w:rsid w:val="63F889D5"/>
    <w:rsid w:val="63FFF1B1"/>
    <w:rsid w:val="6404FDE5"/>
    <w:rsid w:val="6405020D"/>
    <w:rsid w:val="64086011"/>
    <w:rsid w:val="640A577D"/>
    <w:rsid w:val="640C2A3A"/>
    <w:rsid w:val="640D7943"/>
    <w:rsid w:val="641115F3"/>
    <w:rsid w:val="64158354"/>
    <w:rsid w:val="641B5277"/>
    <w:rsid w:val="641E675A"/>
    <w:rsid w:val="641F4855"/>
    <w:rsid w:val="6421545D"/>
    <w:rsid w:val="642265BE"/>
    <w:rsid w:val="6423598A"/>
    <w:rsid w:val="6423A52E"/>
    <w:rsid w:val="642A8B86"/>
    <w:rsid w:val="642C3A58"/>
    <w:rsid w:val="642C5692"/>
    <w:rsid w:val="642DD696"/>
    <w:rsid w:val="642EEA52"/>
    <w:rsid w:val="643251B5"/>
    <w:rsid w:val="6433AD61"/>
    <w:rsid w:val="64342489"/>
    <w:rsid w:val="643836B6"/>
    <w:rsid w:val="643D95A8"/>
    <w:rsid w:val="644B1576"/>
    <w:rsid w:val="644C3B9C"/>
    <w:rsid w:val="644F14BE"/>
    <w:rsid w:val="6450BBC4"/>
    <w:rsid w:val="64599FFF"/>
    <w:rsid w:val="6460635C"/>
    <w:rsid w:val="64654725"/>
    <w:rsid w:val="6465713D"/>
    <w:rsid w:val="64667652"/>
    <w:rsid w:val="6468CD3D"/>
    <w:rsid w:val="646E1A01"/>
    <w:rsid w:val="64723371"/>
    <w:rsid w:val="647A8584"/>
    <w:rsid w:val="64816961"/>
    <w:rsid w:val="648917FE"/>
    <w:rsid w:val="648F1065"/>
    <w:rsid w:val="6492E0B6"/>
    <w:rsid w:val="6497CEAD"/>
    <w:rsid w:val="6499D8F5"/>
    <w:rsid w:val="64A2E8CC"/>
    <w:rsid w:val="64AF336D"/>
    <w:rsid w:val="64AFC467"/>
    <w:rsid w:val="64BA6EA6"/>
    <w:rsid w:val="64BCAE3B"/>
    <w:rsid w:val="64BD39FD"/>
    <w:rsid w:val="64BD73D3"/>
    <w:rsid w:val="64BDB8BF"/>
    <w:rsid w:val="64C1C607"/>
    <w:rsid w:val="64C1F670"/>
    <w:rsid w:val="64C59308"/>
    <w:rsid w:val="64C9AABB"/>
    <w:rsid w:val="64CB6EB4"/>
    <w:rsid w:val="64D51C6C"/>
    <w:rsid w:val="64D63E23"/>
    <w:rsid w:val="64D8562A"/>
    <w:rsid w:val="64DCEB18"/>
    <w:rsid w:val="64E3C194"/>
    <w:rsid w:val="64EFB7CA"/>
    <w:rsid w:val="64F0EBE9"/>
    <w:rsid w:val="64F50024"/>
    <w:rsid w:val="64FE93AC"/>
    <w:rsid w:val="6500BC03"/>
    <w:rsid w:val="65012D57"/>
    <w:rsid w:val="6501DFE2"/>
    <w:rsid w:val="6521AE43"/>
    <w:rsid w:val="6527B56E"/>
    <w:rsid w:val="6528C5E2"/>
    <w:rsid w:val="652B56AE"/>
    <w:rsid w:val="652D4AB9"/>
    <w:rsid w:val="65334924"/>
    <w:rsid w:val="6533F12E"/>
    <w:rsid w:val="65345F56"/>
    <w:rsid w:val="65362ED0"/>
    <w:rsid w:val="6536E74A"/>
    <w:rsid w:val="653BA2E6"/>
    <w:rsid w:val="653D62A0"/>
    <w:rsid w:val="6547D019"/>
    <w:rsid w:val="654B1858"/>
    <w:rsid w:val="654C6C11"/>
    <w:rsid w:val="6554499F"/>
    <w:rsid w:val="65550A30"/>
    <w:rsid w:val="656453C9"/>
    <w:rsid w:val="6565267B"/>
    <w:rsid w:val="6566F2D0"/>
    <w:rsid w:val="6568C4AB"/>
    <w:rsid w:val="656C2D49"/>
    <w:rsid w:val="656F9DE9"/>
    <w:rsid w:val="6570EB4B"/>
    <w:rsid w:val="6575B713"/>
    <w:rsid w:val="6581B2B0"/>
    <w:rsid w:val="65883E80"/>
    <w:rsid w:val="658E0261"/>
    <w:rsid w:val="65908B82"/>
    <w:rsid w:val="65938365"/>
    <w:rsid w:val="65993DD6"/>
    <w:rsid w:val="659B2E4A"/>
    <w:rsid w:val="659FC62F"/>
    <w:rsid w:val="659FF46C"/>
    <w:rsid w:val="65A39BEF"/>
    <w:rsid w:val="65AA653A"/>
    <w:rsid w:val="65AD637E"/>
    <w:rsid w:val="65ADE3E7"/>
    <w:rsid w:val="65B09EA3"/>
    <w:rsid w:val="65B1AA6E"/>
    <w:rsid w:val="65B6F9FD"/>
    <w:rsid w:val="65B96179"/>
    <w:rsid w:val="65BAB689"/>
    <w:rsid w:val="65BC1A5D"/>
    <w:rsid w:val="65CD4783"/>
    <w:rsid w:val="65CE1B50"/>
    <w:rsid w:val="65D14DFB"/>
    <w:rsid w:val="65D940CD"/>
    <w:rsid w:val="65DB7D41"/>
    <w:rsid w:val="65DE2F50"/>
    <w:rsid w:val="65E1E0B7"/>
    <w:rsid w:val="65E7DDDA"/>
    <w:rsid w:val="65EBF651"/>
    <w:rsid w:val="65EF38C9"/>
    <w:rsid w:val="65F05C8A"/>
    <w:rsid w:val="65F49052"/>
    <w:rsid w:val="65F50506"/>
    <w:rsid w:val="65FAEB03"/>
    <w:rsid w:val="65FEEE89"/>
    <w:rsid w:val="6602EC4D"/>
    <w:rsid w:val="66044369"/>
    <w:rsid w:val="6610D164"/>
    <w:rsid w:val="66110518"/>
    <w:rsid w:val="66147BD5"/>
    <w:rsid w:val="66180009"/>
    <w:rsid w:val="661BC8FE"/>
    <w:rsid w:val="661E537D"/>
    <w:rsid w:val="66276C8D"/>
    <w:rsid w:val="662CBD87"/>
    <w:rsid w:val="662D0F06"/>
    <w:rsid w:val="6632FBD9"/>
    <w:rsid w:val="6633125D"/>
    <w:rsid w:val="66359709"/>
    <w:rsid w:val="66378D18"/>
    <w:rsid w:val="663C5B6C"/>
    <w:rsid w:val="663F7989"/>
    <w:rsid w:val="663F838F"/>
    <w:rsid w:val="6643D2DD"/>
    <w:rsid w:val="66489C55"/>
    <w:rsid w:val="6649251F"/>
    <w:rsid w:val="664BEEB5"/>
    <w:rsid w:val="66578414"/>
    <w:rsid w:val="665AD98E"/>
    <w:rsid w:val="665EE366"/>
    <w:rsid w:val="6660CEC2"/>
    <w:rsid w:val="6662C182"/>
    <w:rsid w:val="66671C2C"/>
    <w:rsid w:val="666BAA74"/>
    <w:rsid w:val="6672BE68"/>
    <w:rsid w:val="6676C25C"/>
    <w:rsid w:val="667A1353"/>
    <w:rsid w:val="667F0DB8"/>
    <w:rsid w:val="6681EECD"/>
    <w:rsid w:val="6686EC91"/>
    <w:rsid w:val="66880B09"/>
    <w:rsid w:val="6688817D"/>
    <w:rsid w:val="66A9CFD7"/>
    <w:rsid w:val="66BCDB24"/>
    <w:rsid w:val="66C384FB"/>
    <w:rsid w:val="66C660FD"/>
    <w:rsid w:val="66CBFFEF"/>
    <w:rsid w:val="66CC9CE8"/>
    <w:rsid w:val="66CDA6AF"/>
    <w:rsid w:val="66CFA829"/>
    <w:rsid w:val="66D659E1"/>
    <w:rsid w:val="66DCCEB5"/>
    <w:rsid w:val="66E0264D"/>
    <w:rsid w:val="66E2FFD2"/>
    <w:rsid w:val="66EF6580"/>
    <w:rsid w:val="66EFB1BA"/>
    <w:rsid w:val="66F7873D"/>
    <w:rsid w:val="66F9C819"/>
    <w:rsid w:val="66FBA3DA"/>
    <w:rsid w:val="6700AA70"/>
    <w:rsid w:val="67010F7B"/>
    <w:rsid w:val="6702AD5E"/>
    <w:rsid w:val="6702F523"/>
    <w:rsid w:val="6704FB08"/>
    <w:rsid w:val="67150FB5"/>
    <w:rsid w:val="67161215"/>
    <w:rsid w:val="6719ABD1"/>
    <w:rsid w:val="671A7C96"/>
    <w:rsid w:val="672108FC"/>
    <w:rsid w:val="6722464F"/>
    <w:rsid w:val="67241DDC"/>
    <w:rsid w:val="672686DB"/>
    <w:rsid w:val="672A5464"/>
    <w:rsid w:val="672B3AAC"/>
    <w:rsid w:val="6733E501"/>
    <w:rsid w:val="67358B87"/>
    <w:rsid w:val="673AAE17"/>
    <w:rsid w:val="67415B9F"/>
    <w:rsid w:val="67416F4D"/>
    <w:rsid w:val="6747CCF6"/>
    <w:rsid w:val="674A7E73"/>
    <w:rsid w:val="674E276B"/>
    <w:rsid w:val="675199C9"/>
    <w:rsid w:val="6751ECB8"/>
    <w:rsid w:val="67540D94"/>
    <w:rsid w:val="6754A31A"/>
    <w:rsid w:val="6756E42B"/>
    <w:rsid w:val="675F456F"/>
    <w:rsid w:val="676135B1"/>
    <w:rsid w:val="676315CE"/>
    <w:rsid w:val="6764B86A"/>
    <w:rsid w:val="6764E81D"/>
    <w:rsid w:val="6768B0D1"/>
    <w:rsid w:val="676EE514"/>
    <w:rsid w:val="6771F4B0"/>
    <w:rsid w:val="677724D8"/>
    <w:rsid w:val="67776877"/>
    <w:rsid w:val="6780937F"/>
    <w:rsid w:val="6780B450"/>
    <w:rsid w:val="6785FEF8"/>
    <w:rsid w:val="6787F8F2"/>
    <w:rsid w:val="678CDCDF"/>
    <w:rsid w:val="67901809"/>
    <w:rsid w:val="67908F94"/>
    <w:rsid w:val="6791BF88"/>
    <w:rsid w:val="67952F39"/>
    <w:rsid w:val="67966E32"/>
    <w:rsid w:val="6799D9B8"/>
    <w:rsid w:val="67A50BC2"/>
    <w:rsid w:val="67A63626"/>
    <w:rsid w:val="67AF9671"/>
    <w:rsid w:val="67B91C2C"/>
    <w:rsid w:val="67C15BB2"/>
    <w:rsid w:val="67C15D3C"/>
    <w:rsid w:val="67C8C42C"/>
    <w:rsid w:val="67C9EF22"/>
    <w:rsid w:val="67CB1782"/>
    <w:rsid w:val="67CD82C4"/>
    <w:rsid w:val="67CDE5B0"/>
    <w:rsid w:val="67D70E2E"/>
    <w:rsid w:val="67D79A4E"/>
    <w:rsid w:val="67D824C7"/>
    <w:rsid w:val="67DCEC34"/>
    <w:rsid w:val="67E0D15E"/>
    <w:rsid w:val="67E310FC"/>
    <w:rsid w:val="67E5DD73"/>
    <w:rsid w:val="67E9A1DF"/>
    <w:rsid w:val="67ECFEFA"/>
    <w:rsid w:val="67F013F3"/>
    <w:rsid w:val="67F3FD0F"/>
    <w:rsid w:val="67F9D107"/>
    <w:rsid w:val="67FAE56B"/>
    <w:rsid w:val="6804B355"/>
    <w:rsid w:val="6804BECA"/>
    <w:rsid w:val="68063B1D"/>
    <w:rsid w:val="680A4AEB"/>
    <w:rsid w:val="680AD42E"/>
    <w:rsid w:val="680BE2FC"/>
    <w:rsid w:val="68107306"/>
    <w:rsid w:val="6813B622"/>
    <w:rsid w:val="6819900B"/>
    <w:rsid w:val="681A66FB"/>
    <w:rsid w:val="6820B4F0"/>
    <w:rsid w:val="6820F96C"/>
    <w:rsid w:val="68288979"/>
    <w:rsid w:val="682D1DB7"/>
    <w:rsid w:val="683087BA"/>
    <w:rsid w:val="683290B4"/>
    <w:rsid w:val="68331D0E"/>
    <w:rsid w:val="68357EC1"/>
    <w:rsid w:val="684F01A9"/>
    <w:rsid w:val="68500E78"/>
    <w:rsid w:val="68564351"/>
    <w:rsid w:val="68580B9A"/>
    <w:rsid w:val="685A3DBB"/>
    <w:rsid w:val="685E6A7C"/>
    <w:rsid w:val="685F73AD"/>
    <w:rsid w:val="686A4DD4"/>
    <w:rsid w:val="686BAD09"/>
    <w:rsid w:val="68708AD0"/>
    <w:rsid w:val="6873649A"/>
    <w:rsid w:val="6878C5D2"/>
    <w:rsid w:val="6885CCD3"/>
    <w:rsid w:val="6889AA60"/>
    <w:rsid w:val="6891750F"/>
    <w:rsid w:val="6891D416"/>
    <w:rsid w:val="6897A58B"/>
    <w:rsid w:val="689B28AE"/>
    <w:rsid w:val="68A2098D"/>
    <w:rsid w:val="68A30984"/>
    <w:rsid w:val="68AA4176"/>
    <w:rsid w:val="68B4F0BB"/>
    <w:rsid w:val="68CF2A9F"/>
    <w:rsid w:val="68CFF739"/>
    <w:rsid w:val="68D1C3A5"/>
    <w:rsid w:val="68D1D6FF"/>
    <w:rsid w:val="68D1DF1D"/>
    <w:rsid w:val="68D6EDEC"/>
    <w:rsid w:val="68D90D7B"/>
    <w:rsid w:val="68DB0EE3"/>
    <w:rsid w:val="68E450EC"/>
    <w:rsid w:val="68E52E1F"/>
    <w:rsid w:val="68EB775B"/>
    <w:rsid w:val="68EE5076"/>
    <w:rsid w:val="68EECAB4"/>
    <w:rsid w:val="68EF14ED"/>
    <w:rsid w:val="68EF5D9E"/>
    <w:rsid w:val="68FB2B29"/>
    <w:rsid w:val="68FB90E3"/>
    <w:rsid w:val="68FFEA6D"/>
    <w:rsid w:val="6901FC79"/>
    <w:rsid w:val="690473B5"/>
    <w:rsid w:val="6907D6B4"/>
    <w:rsid w:val="690CDD9B"/>
    <w:rsid w:val="690D9EED"/>
    <w:rsid w:val="6914A11D"/>
    <w:rsid w:val="691D6D72"/>
    <w:rsid w:val="691E95F1"/>
    <w:rsid w:val="692427B4"/>
    <w:rsid w:val="693303F9"/>
    <w:rsid w:val="693B8490"/>
    <w:rsid w:val="693C967E"/>
    <w:rsid w:val="693CD14E"/>
    <w:rsid w:val="693F8385"/>
    <w:rsid w:val="69470929"/>
    <w:rsid w:val="6950893A"/>
    <w:rsid w:val="6952DB28"/>
    <w:rsid w:val="695919B4"/>
    <w:rsid w:val="69633893"/>
    <w:rsid w:val="6963C759"/>
    <w:rsid w:val="696B802D"/>
    <w:rsid w:val="6971C0A1"/>
    <w:rsid w:val="69734EDF"/>
    <w:rsid w:val="697359B3"/>
    <w:rsid w:val="6974D77E"/>
    <w:rsid w:val="697653C4"/>
    <w:rsid w:val="697A459D"/>
    <w:rsid w:val="697FA7D7"/>
    <w:rsid w:val="6983D99D"/>
    <w:rsid w:val="698C65C8"/>
    <w:rsid w:val="698D8518"/>
    <w:rsid w:val="6994DA0F"/>
    <w:rsid w:val="69A51B51"/>
    <w:rsid w:val="69A5C8A7"/>
    <w:rsid w:val="69A7D647"/>
    <w:rsid w:val="69AFCB84"/>
    <w:rsid w:val="69C0E7A1"/>
    <w:rsid w:val="69C1CF8D"/>
    <w:rsid w:val="69CC075E"/>
    <w:rsid w:val="69D18CF3"/>
    <w:rsid w:val="69E77AF9"/>
    <w:rsid w:val="69F28BDC"/>
    <w:rsid w:val="69F420DB"/>
    <w:rsid w:val="69F6E4A2"/>
    <w:rsid w:val="69FD5D4E"/>
    <w:rsid w:val="6A036475"/>
    <w:rsid w:val="6A057508"/>
    <w:rsid w:val="6A0B990C"/>
    <w:rsid w:val="6A0EA930"/>
    <w:rsid w:val="6A0FFA59"/>
    <w:rsid w:val="6A134B5E"/>
    <w:rsid w:val="6A13FA38"/>
    <w:rsid w:val="6A19A098"/>
    <w:rsid w:val="6A1DCDC3"/>
    <w:rsid w:val="6A25C32D"/>
    <w:rsid w:val="6A27527C"/>
    <w:rsid w:val="6A33307E"/>
    <w:rsid w:val="6A37B442"/>
    <w:rsid w:val="6A39F598"/>
    <w:rsid w:val="6A3B1551"/>
    <w:rsid w:val="6A3BEE1A"/>
    <w:rsid w:val="6A42DD3C"/>
    <w:rsid w:val="6A43BE01"/>
    <w:rsid w:val="6A46C909"/>
    <w:rsid w:val="6A46F6C3"/>
    <w:rsid w:val="6A47B59D"/>
    <w:rsid w:val="6A4E0D44"/>
    <w:rsid w:val="6A4EA1F1"/>
    <w:rsid w:val="6A560D3C"/>
    <w:rsid w:val="6A58DA87"/>
    <w:rsid w:val="6A599350"/>
    <w:rsid w:val="6A5CEBCB"/>
    <w:rsid w:val="6A5EADA7"/>
    <w:rsid w:val="6A5EBB93"/>
    <w:rsid w:val="6A608599"/>
    <w:rsid w:val="6A6216ED"/>
    <w:rsid w:val="6A6CC9E5"/>
    <w:rsid w:val="6A6DC70E"/>
    <w:rsid w:val="6A724B9E"/>
    <w:rsid w:val="6A7A0C1C"/>
    <w:rsid w:val="6A7A7DE3"/>
    <w:rsid w:val="6A7AF7AC"/>
    <w:rsid w:val="6A7F6803"/>
    <w:rsid w:val="6A804B81"/>
    <w:rsid w:val="6A85F1CC"/>
    <w:rsid w:val="6A8AADC8"/>
    <w:rsid w:val="6A99EF78"/>
    <w:rsid w:val="6A9A9BE0"/>
    <w:rsid w:val="6A9BA1DD"/>
    <w:rsid w:val="6A9C697B"/>
    <w:rsid w:val="6A9E57C2"/>
    <w:rsid w:val="6AA2FE03"/>
    <w:rsid w:val="6AA36852"/>
    <w:rsid w:val="6AA66A0F"/>
    <w:rsid w:val="6AAC4992"/>
    <w:rsid w:val="6AB12298"/>
    <w:rsid w:val="6AB444CB"/>
    <w:rsid w:val="6ABDE05A"/>
    <w:rsid w:val="6ABDEB1A"/>
    <w:rsid w:val="6ABEF88C"/>
    <w:rsid w:val="6AC32661"/>
    <w:rsid w:val="6AC5AC31"/>
    <w:rsid w:val="6AC6EF90"/>
    <w:rsid w:val="6ACC1D45"/>
    <w:rsid w:val="6ACF5132"/>
    <w:rsid w:val="6ACF8A77"/>
    <w:rsid w:val="6AD1579E"/>
    <w:rsid w:val="6ADB502B"/>
    <w:rsid w:val="6ADBC631"/>
    <w:rsid w:val="6ADE27B2"/>
    <w:rsid w:val="6AE91BCE"/>
    <w:rsid w:val="6AEA1058"/>
    <w:rsid w:val="6AF63003"/>
    <w:rsid w:val="6AFE1A32"/>
    <w:rsid w:val="6AFF71F8"/>
    <w:rsid w:val="6B02B72E"/>
    <w:rsid w:val="6B095139"/>
    <w:rsid w:val="6B11424F"/>
    <w:rsid w:val="6B16CD72"/>
    <w:rsid w:val="6B16D064"/>
    <w:rsid w:val="6B19AC3E"/>
    <w:rsid w:val="6B210E7B"/>
    <w:rsid w:val="6B26D5B0"/>
    <w:rsid w:val="6B2A4561"/>
    <w:rsid w:val="6B2CE7E3"/>
    <w:rsid w:val="6B2E72C1"/>
    <w:rsid w:val="6B3614D4"/>
    <w:rsid w:val="6B3B0487"/>
    <w:rsid w:val="6B4AA753"/>
    <w:rsid w:val="6B55477B"/>
    <w:rsid w:val="6B5E98E4"/>
    <w:rsid w:val="6B6902C5"/>
    <w:rsid w:val="6B6E27FE"/>
    <w:rsid w:val="6B6EDA00"/>
    <w:rsid w:val="6B6EDE67"/>
    <w:rsid w:val="6B7372D7"/>
    <w:rsid w:val="6B802EEC"/>
    <w:rsid w:val="6B8773CA"/>
    <w:rsid w:val="6B87B92B"/>
    <w:rsid w:val="6B8A812E"/>
    <w:rsid w:val="6B8BDB7C"/>
    <w:rsid w:val="6B9CF61A"/>
    <w:rsid w:val="6BA09E4E"/>
    <w:rsid w:val="6BA4CB89"/>
    <w:rsid w:val="6BB53DA3"/>
    <w:rsid w:val="6BB843CB"/>
    <w:rsid w:val="6BB9E208"/>
    <w:rsid w:val="6BC06FD4"/>
    <w:rsid w:val="6BC28751"/>
    <w:rsid w:val="6BC4D04C"/>
    <w:rsid w:val="6BC5FFA2"/>
    <w:rsid w:val="6BCA8FEC"/>
    <w:rsid w:val="6BCC23A2"/>
    <w:rsid w:val="6BD079A5"/>
    <w:rsid w:val="6BD4861E"/>
    <w:rsid w:val="6BDC7957"/>
    <w:rsid w:val="6BDE5FBD"/>
    <w:rsid w:val="6BDE6BCD"/>
    <w:rsid w:val="6BDEA26D"/>
    <w:rsid w:val="6BDF7E59"/>
    <w:rsid w:val="6BE32969"/>
    <w:rsid w:val="6BE42375"/>
    <w:rsid w:val="6BE74C38"/>
    <w:rsid w:val="6BE7FF74"/>
    <w:rsid w:val="6BE97E6F"/>
    <w:rsid w:val="6BEC7D49"/>
    <w:rsid w:val="6BEF5321"/>
    <w:rsid w:val="6BF2C189"/>
    <w:rsid w:val="6BFB1566"/>
    <w:rsid w:val="6BFD268B"/>
    <w:rsid w:val="6C09BD2A"/>
    <w:rsid w:val="6C181C9D"/>
    <w:rsid w:val="6C1FCFA0"/>
    <w:rsid w:val="6C25E9B3"/>
    <w:rsid w:val="6C322F20"/>
    <w:rsid w:val="6C337892"/>
    <w:rsid w:val="6C3486DD"/>
    <w:rsid w:val="6C36BFC0"/>
    <w:rsid w:val="6C3BC749"/>
    <w:rsid w:val="6C3D9DEB"/>
    <w:rsid w:val="6C403BC9"/>
    <w:rsid w:val="6C431C0A"/>
    <w:rsid w:val="6C461DD3"/>
    <w:rsid w:val="6C491804"/>
    <w:rsid w:val="6C548A18"/>
    <w:rsid w:val="6C5BB871"/>
    <w:rsid w:val="6C5D5A1E"/>
    <w:rsid w:val="6C638CB6"/>
    <w:rsid w:val="6C71C951"/>
    <w:rsid w:val="6C74390B"/>
    <w:rsid w:val="6C777DB5"/>
    <w:rsid w:val="6C7A60CA"/>
    <w:rsid w:val="6C890D23"/>
    <w:rsid w:val="6C8B4E31"/>
    <w:rsid w:val="6C8F10C4"/>
    <w:rsid w:val="6C98798E"/>
    <w:rsid w:val="6C9940A9"/>
    <w:rsid w:val="6CA57A20"/>
    <w:rsid w:val="6CAEF84A"/>
    <w:rsid w:val="6CBBB2ED"/>
    <w:rsid w:val="6CCEE74C"/>
    <w:rsid w:val="6CD1C9E2"/>
    <w:rsid w:val="6CD7BEE0"/>
    <w:rsid w:val="6CD84EE8"/>
    <w:rsid w:val="6CD99C4E"/>
    <w:rsid w:val="6CE0CFEF"/>
    <w:rsid w:val="6CE247DA"/>
    <w:rsid w:val="6CE82C66"/>
    <w:rsid w:val="6CE8AC06"/>
    <w:rsid w:val="6CE98655"/>
    <w:rsid w:val="6CEF18BB"/>
    <w:rsid w:val="6CF5D0D4"/>
    <w:rsid w:val="6CF79CD5"/>
    <w:rsid w:val="6CFE249F"/>
    <w:rsid w:val="6D08D89B"/>
    <w:rsid w:val="6D0AB64F"/>
    <w:rsid w:val="6D11DF23"/>
    <w:rsid w:val="6D19CC17"/>
    <w:rsid w:val="6D2742D7"/>
    <w:rsid w:val="6D2756B3"/>
    <w:rsid w:val="6D3035C0"/>
    <w:rsid w:val="6D3C10F5"/>
    <w:rsid w:val="6D3EBA3B"/>
    <w:rsid w:val="6D42E4B1"/>
    <w:rsid w:val="6D448AEC"/>
    <w:rsid w:val="6D44CC37"/>
    <w:rsid w:val="6D457B43"/>
    <w:rsid w:val="6D5091D8"/>
    <w:rsid w:val="6D515E8F"/>
    <w:rsid w:val="6D567C9D"/>
    <w:rsid w:val="6D568A3E"/>
    <w:rsid w:val="6D6919C2"/>
    <w:rsid w:val="6D746794"/>
    <w:rsid w:val="6D747A32"/>
    <w:rsid w:val="6D7970CE"/>
    <w:rsid w:val="6D838695"/>
    <w:rsid w:val="6D90DFBC"/>
    <w:rsid w:val="6D91DDFC"/>
    <w:rsid w:val="6D92949B"/>
    <w:rsid w:val="6D95D528"/>
    <w:rsid w:val="6D9A3D99"/>
    <w:rsid w:val="6DA2E174"/>
    <w:rsid w:val="6DA3F868"/>
    <w:rsid w:val="6DA4DF88"/>
    <w:rsid w:val="6DA5375F"/>
    <w:rsid w:val="6DAD783E"/>
    <w:rsid w:val="6DB08641"/>
    <w:rsid w:val="6DB6B313"/>
    <w:rsid w:val="6DBDF590"/>
    <w:rsid w:val="6DBED993"/>
    <w:rsid w:val="6DC04874"/>
    <w:rsid w:val="6DC7274A"/>
    <w:rsid w:val="6DCEEB81"/>
    <w:rsid w:val="6DD18224"/>
    <w:rsid w:val="6DDAB2C7"/>
    <w:rsid w:val="6DDC24AD"/>
    <w:rsid w:val="6DDE6E67"/>
    <w:rsid w:val="6DE1DF22"/>
    <w:rsid w:val="6DE5D0E8"/>
    <w:rsid w:val="6DE7D9C0"/>
    <w:rsid w:val="6DEBC546"/>
    <w:rsid w:val="6DEC0094"/>
    <w:rsid w:val="6DED5C6E"/>
    <w:rsid w:val="6DEDD23C"/>
    <w:rsid w:val="6DF0354A"/>
    <w:rsid w:val="6DFA0BB5"/>
    <w:rsid w:val="6DFA434F"/>
    <w:rsid w:val="6DFC22CC"/>
    <w:rsid w:val="6E036919"/>
    <w:rsid w:val="6E07994A"/>
    <w:rsid w:val="6E07BE24"/>
    <w:rsid w:val="6E09349D"/>
    <w:rsid w:val="6E129018"/>
    <w:rsid w:val="6E18617C"/>
    <w:rsid w:val="6E1DC108"/>
    <w:rsid w:val="6E3E86AC"/>
    <w:rsid w:val="6E3F5397"/>
    <w:rsid w:val="6E3FBB49"/>
    <w:rsid w:val="6E4A29B6"/>
    <w:rsid w:val="6E4E7126"/>
    <w:rsid w:val="6E514335"/>
    <w:rsid w:val="6E5C407E"/>
    <w:rsid w:val="6E65B5A9"/>
    <w:rsid w:val="6E661BBF"/>
    <w:rsid w:val="6E679983"/>
    <w:rsid w:val="6E7373E6"/>
    <w:rsid w:val="6E7857D5"/>
    <w:rsid w:val="6E7B476A"/>
    <w:rsid w:val="6E828F3B"/>
    <w:rsid w:val="6E854E7D"/>
    <w:rsid w:val="6E86576B"/>
    <w:rsid w:val="6E89FD7C"/>
    <w:rsid w:val="6E8CAF15"/>
    <w:rsid w:val="6E8F8B0F"/>
    <w:rsid w:val="6E927FFF"/>
    <w:rsid w:val="6E93087D"/>
    <w:rsid w:val="6E9404DD"/>
    <w:rsid w:val="6E988D49"/>
    <w:rsid w:val="6E9D1169"/>
    <w:rsid w:val="6E9E3B89"/>
    <w:rsid w:val="6E9F3F20"/>
    <w:rsid w:val="6EA20AFE"/>
    <w:rsid w:val="6EA5F7A6"/>
    <w:rsid w:val="6EA68EBA"/>
    <w:rsid w:val="6EAA39F1"/>
    <w:rsid w:val="6EAEDEF4"/>
    <w:rsid w:val="6EB55F74"/>
    <w:rsid w:val="6EBA42E1"/>
    <w:rsid w:val="6EBB6EE8"/>
    <w:rsid w:val="6EC8165F"/>
    <w:rsid w:val="6ED09272"/>
    <w:rsid w:val="6ED5F5F6"/>
    <w:rsid w:val="6ED6DCCB"/>
    <w:rsid w:val="6ED9F351"/>
    <w:rsid w:val="6EE4DC7A"/>
    <w:rsid w:val="6EE57995"/>
    <w:rsid w:val="6EE5FFEB"/>
    <w:rsid w:val="6EE6E108"/>
    <w:rsid w:val="6EE7318C"/>
    <w:rsid w:val="6EEEBB2C"/>
    <w:rsid w:val="6EF21AD0"/>
    <w:rsid w:val="6EF3F5C9"/>
    <w:rsid w:val="6F005D52"/>
    <w:rsid w:val="6F02FD0E"/>
    <w:rsid w:val="6F03DEF0"/>
    <w:rsid w:val="6F03E5B1"/>
    <w:rsid w:val="6F06A1A1"/>
    <w:rsid w:val="6F06D100"/>
    <w:rsid w:val="6F0E5277"/>
    <w:rsid w:val="6F154755"/>
    <w:rsid w:val="6F179477"/>
    <w:rsid w:val="6F1DA9F9"/>
    <w:rsid w:val="6F1E700D"/>
    <w:rsid w:val="6F22F12E"/>
    <w:rsid w:val="6F231191"/>
    <w:rsid w:val="6F250CF2"/>
    <w:rsid w:val="6F263880"/>
    <w:rsid w:val="6F312556"/>
    <w:rsid w:val="6F31AB33"/>
    <w:rsid w:val="6F337C48"/>
    <w:rsid w:val="6F35C6F4"/>
    <w:rsid w:val="6F3DDF63"/>
    <w:rsid w:val="6F46614F"/>
    <w:rsid w:val="6F483C6B"/>
    <w:rsid w:val="6F48D457"/>
    <w:rsid w:val="6F49480F"/>
    <w:rsid w:val="6F4D52F2"/>
    <w:rsid w:val="6F4F0B5D"/>
    <w:rsid w:val="6F54AA3A"/>
    <w:rsid w:val="6F5D4E26"/>
    <w:rsid w:val="6F606581"/>
    <w:rsid w:val="6F636A44"/>
    <w:rsid w:val="6F653370"/>
    <w:rsid w:val="6F65C1A0"/>
    <w:rsid w:val="6F671105"/>
    <w:rsid w:val="6F67E9C4"/>
    <w:rsid w:val="6F68C35C"/>
    <w:rsid w:val="6F6BC3C2"/>
    <w:rsid w:val="6F720067"/>
    <w:rsid w:val="6F720B68"/>
    <w:rsid w:val="6F7C0A90"/>
    <w:rsid w:val="6F7FF90D"/>
    <w:rsid w:val="6F813F6F"/>
    <w:rsid w:val="6F823E47"/>
    <w:rsid w:val="6F84F723"/>
    <w:rsid w:val="6F85CC56"/>
    <w:rsid w:val="6F8710F3"/>
    <w:rsid w:val="6F89F0D0"/>
    <w:rsid w:val="6F8A3229"/>
    <w:rsid w:val="6F951111"/>
    <w:rsid w:val="6F9F225D"/>
    <w:rsid w:val="6FAE0A03"/>
    <w:rsid w:val="6FB5003E"/>
    <w:rsid w:val="6FB5680A"/>
    <w:rsid w:val="6FC11F6A"/>
    <w:rsid w:val="6FC4986A"/>
    <w:rsid w:val="6FC824F3"/>
    <w:rsid w:val="6FCA260E"/>
    <w:rsid w:val="6FCEFD82"/>
    <w:rsid w:val="6FCFA887"/>
    <w:rsid w:val="6FD82899"/>
    <w:rsid w:val="6FDCEE69"/>
    <w:rsid w:val="6FDF32F3"/>
    <w:rsid w:val="6FE31FE2"/>
    <w:rsid w:val="6FE6D2CE"/>
    <w:rsid w:val="6FEB84D0"/>
    <w:rsid w:val="6FEBE93C"/>
    <w:rsid w:val="6FF51A4E"/>
    <w:rsid w:val="6FFAB6F9"/>
    <w:rsid w:val="7000EED8"/>
    <w:rsid w:val="7005C363"/>
    <w:rsid w:val="700BFFC9"/>
    <w:rsid w:val="700E603F"/>
    <w:rsid w:val="70165915"/>
    <w:rsid w:val="7016F4B3"/>
    <w:rsid w:val="7017635D"/>
    <w:rsid w:val="701EEA5F"/>
    <w:rsid w:val="701F91B0"/>
    <w:rsid w:val="7020C555"/>
    <w:rsid w:val="7021001F"/>
    <w:rsid w:val="7021A728"/>
    <w:rsid w:val="702A7F14"/>
    <w:rsid w:val="702E8893"/>
    <w:rsid w:val="702EAC3E"/>
    <w:rsid w:val="70331CCF"/>
    <w:rsid w:val="70472C75"/>
    <w:rsid w:val="7048BAB6"/>
    <w:rsid w:val="70498452"/>
    <w:rsid w:val="70499BA0"/>
    <w:rsid w:val="704AF51A"/>
    <w:rsid w:val="704EA38D"/>
    <w:rsid w:val="70525F76"/>
    <w:rsid w:val="7054DD8D"/>
    <w:rsid w:val="706A8562"/>
    <w:rsid w:val="707A9A38"/>
    <w:rsid w:val="70833095"/>
    <w:rsid w:val="708A6A0B"/>
    <w:rsid w:val="708C8D19"/>
    <w:rsid w:val="708DFA73"/>
    <w:rsid w:val="708FCAB2"/>
    <w:rsid w:val="70916891"/>
    <w:rsid w:val="7094B483"/>
    <w:rsid w:val="7095C0A6"/>
    <w:rsid w:val="70A23D73"/>
    <w:rsid w:val="70A4EB0B"/>
    <w:rsid w:val="70A5DC88"/>
    <w:rsid w:val="70A7101D"/>
    <w:rsid w:val="70AE0479"/>
    <w:rsid w:val="70B3701C"/>
    <w:rsid w:val="70B646A7"/>
    <w:rsid w:val="70BB7353"/>
    <w:rsid w:val="70BCE4E6"/>
    <w:rsid w:val="70BF5957"/>
    <w:rsid w:val="70C039A9"/>
    <w:rsid w:val="70C0ADC8"/>
    <w:rsid w:val="70C27174"/>
    <w:rsid w:val="70D6DB65"/>
    <w:rsid w:val="70E37380"/>
    <w:rsid w:val="70E5978D"/>
    <w:rsid w:val="70E5F3AD"/>
    <w:rsid w:val="70E60B36"/>
    <w:rsid w:val="70F222F3"/>
    <w:rsid w:val="70F74A91"/>
    <w:rsid w:val="70FD61B1"/>
    <w:rsid w:val="7109923B"/>
    <w:rsid w:val="7111CC11"/>
    <w:rsid w:val="711D6EB1"/>
    <w:rsid w:val="7125A12B"/>
    <w:rsid w:val="71272510"/>
    <w:rsid w:val="712A7212"/>
    <w:rsid w:val="713230F4"/>
    <w:rsid w:val="71402706"/>
    <w:rsid w:val="7141B069"/>
    <w:rsid w:val="714A12A6"/>
    <w:rsid w:val="714BE2EA"/>
    <w:rsid w:val="714D720C"/>
    <w:rsid w:val="714EB6A8"/>
    <w:rsid w:val="71538A21"/>
    <w:rsid w:val="7153EC41"/>
    <w:rsid w:val="71562D36"/>
    <w:rsid w:val="715A09A6"/>
    <w:rsid w:val="715C670D"/>
    <w:rsid w:val="715D703D"/>
    <w:rsid w:val="715D848C"/>
    <w:rsid w:val="715FCEA2"/>
    <w:rsid w:val="7166949B"/>
    <w:rsid w:val="716E1A29"/>
    <w:rsid w:val="716E8B43"/>
    <w:rsid w:val="71703AA7"/>
    <w:rsid w:val="7175F6AD"/>
    <w:rsid w:val="7179532C"/>
    <w:rsid w:val="717A892A"/>
    <w:rsid w:val="717DF56C"/>
    <w:rsid w:val="718258AD"/>
    <w:rsid w:val="71832A4B"/>
    <w:rsid w:val="7189C897"/>
    <w:rsid w:val="7192BFAF"/>
    <w:rsid w:val="7196D470"/>
    <w:rsid w:val="71977075"/>
    <w:rsid w:val="71A4C641"/>
    <w:rsid w:val="71A52D30"/>
    <w:rsid w:val="71A55AB7"/>
    <w:rsid w:val="71ABC74D"/>
    <w:rsid w:val="71AD248D"/>
    <w:rsid w:val="71B01273"/>
    <w:rsid w:val="71B46688"/>
    <w:rsid w:val="71BBF6B3"/>
    <w:rsid w:val="71C00146"/>
    <w:rsid w:val="71C89DE4"/>
    <w:rsid w:val="71C9F643"/>
    <w:rsid w:val="71CAD197"/>
    <w:rsid w:val="71CC128E"/>
    <w:rsid w:val="71CD13BB"/>
    <w:rsid w:val="71D0752B"/>
    <w:rsid w:val="71D52A85"/>
    <w:rsid w:val="71DDD3D6"/>
    <w:rsid w:val="71DE540F"/>
    <w:rsid w:val="71E5E7C3"/>
    <w:rsid w:val="71F035D7"/>
    <w:rsid w:val="71F43FE2"/>
    <w:rsid w:val="71F6B074"/>
    <w:rsid w:val="71F85B23"/>
    <w:rsid w:val="71FF439F"/>
    <w:rsid w:val="720002AF"/>
    <w:rsid w:val="72027138"/>
    <w:rsid w:val="720281E5"/>
    <w:rsid w:val="720778B3"/>
    <w:rsid w:val="720BC497"/>
    <w:rsid w:val="720C3C14"/>
    <w:rsid w:val="720CF233"/>
    <w:rsid w:val="72126901"/>
    <w:rsid w:val="72143619"/>
    <w:rsid w:val="72165BA9"/>
    <w:rsid w:val="7216DAA7"/>
    <w:rsid w:val="7218D944"/>
    <w:rsid w:val="721CBEEA"/>
    <w:rsid w:val="721CFEBC"/>
    <w:rsid w:val="721FBFA3"/>
    <w:rsid w:val="72326461"/>
    <w:rsid w:val="7232A9D4"/>
    <w:rsid w:val="72366AC1"/>
    <w:rsid w:val="723DCE78"/>
    <w:rsid w:val="7240BBC1"/>
    <w:rsid w:val="7243EAC1"/>
    <w:rsid w:val="7244B85C"/>
    <w:rsid w:val="7244BBE3"/>
    <w:rsid w:val="724692F0"/>
    <w:rsid w:val="724CFDC3"/>
    <w:rsid w:val="72527992"/>
    <w:rsid w:val="7257C5FB"/>
    <w:rsid w:val="7259D917"/>
    <w:rsid w:val="725E71F7"/>
    <w:rsid w:val="726087B9"/>
    <w:rsid w:val="72771F3E"/>
    <w:rsid w:val="728393E9"/>
    <w:rsid w:val="728752FD"/>
    <w:rsid w:val="72977BD0"/>
    <w:rsid w:val="72A387ED"/>
    <w:rsid w:val="72A49B8B"/>
    <w:rsid w:val="72A72815"/>
    <w:rsid w:val="72ADAAA0"/>
    <w:rsid w:val="72AEDDEE"/>
    <w:rsid w:val="72B96438"/>
    <w:rsid w:val="72BB5638"/>
    <w:rsid w:val="72BC476B"/>
    <w:rsid w:val="72BD61DF"/>
    <w:rsid w:val="72BFCB88"/>
    <w:rsid w:val="72C3590D"/>
    <w:rsid w:val="72C76A81"/>
    <w:rsid w:val="72CEBA09"/>
    <w:rsid w:val="72CF71FF"/>
    <w:rsid w:val="72E00078"/>
    <w:rsid w:val="72E0C785"/>
    <w:rsid w:val="72E1D4C1"/>
    <w:rsid w:val="72E4E4F0"/>
    <w:rsid w:val="72E775EA"/>
    <w:rsid w:val="72E8016C"/>
    <w:rsid w:val="72E8EC68"/>
    <w:rsid w:val="72EF93F4"/>
    <w:rsid w:val="72EFC681"/>
    <w:rsid w:val="72F1835E"/>
    <w:rsid w:val="72F6D10B"/>
    <w:rsid w:val="72FFCA39"/>
    <w:rsid w:val="7300C022"/>
    <w:rsid w:val="730694BA"/>
    <w:rsid w:val="73077DE2"/>
    <w:rsid w:val="7308215E"/>
    <w:rsid w:val="73125709"/>
    <w:rsid w:val="7316DAEE"/>
    <w:rsid w:val="73180BC3"/>
    <w:rsid w:val="731D9FEB"/>
    <w:rsid w:val="7323F73A"/>
    <w:rsid w:val="73260ACC"/>
    <w:rsid w:val="7326333E"/>
    <w:rsid w:val="732DDA26"/>
    <w:rsid w:val="73301B05"/>
    <w:rsid w:val="7330A87B"/>
    <w:rsid w:val="73354941"/>
    <w:rsid w:val="7337A912"/>
    <w:rsid w:val="733C6B80"/>
    <w:rsid w:val="73404080"/>
    <w:rsid w:val="73485998"/>
    <w:rsid w:val="734A8FA4"/>
    <w:rsid w:val="7350DB92"/>
    <w:rsid w:val="7352F7BB"/>
    <w:rsid w:val="735A054C"/>
    <w:rsid w:val="735C11A3"/>
    <w:rsid w:val="735EEEE7"/>
    <w:rsid w:val="7369BC10"/>
    <w:rsid w:val="73751F9B"/>
    <w:rsid w:val="7389292A"/>
    <w:rsid w:val="738B9FC1"/>
    <w:rsid w:val="739346BF"/>
    <w:rsid w:val="739B94F9"/>
    <w:rsid w:val="739DB6A3"/>
    <w:rsid w:val="739FD218"/>
    <w:rsid w:val="73A01A8E"/>
    <w:rsid w:val="73A4D735"/>
    <w:rsid w:val="73AA6507"/>
    <w:rsid w:val="73B6ED3A"/>
    <w:rsid w:val="73BD67EF"/>
    <w:rsid w:val="73C8F461"/>
    <w:rsid w:val="73CAA604"/>
    <w:rsid w:val="73CE0396"/>
    <w:rsid w:val="73D03A7D"/>
    <w:rsid w:val="73D45CA0"/>
    <w:rsid w:val="73D9562F"/>
    <w:rsid w:val="73E28BB9"/>
    <w:rsid w:val="73E46A97"/>
    <w:rsid w:val="73E90355"/>
    <w:rsid w:val="73F08D91"/>
    <w:rsid w:val="73F95A63"/>
    <w:rsid w:val="73FBF861"/>
    <w:rsid w:val="73FF26C4"/>
    <w:rsid w:val="7405E6F2"/>
    <w:rsid w:val="7406D337"/>
    <w:rsid w:val="74120731"/>
    <w:rsid w:val="7412FE37"/>
    <w:rsid w:val="7413E538"/>
    <w:rsid w:val="74198696"/>
    <w:rsid w:val="741BA3F2"/>
    <w:rsid w:val="74204047"/>
    <w:rsid w:val="7424C913"/>
    <w:rsid w:val="7425CF39"/>
    <w:rsid w:val="742B2772"/>
    <w:rsid w:val="7435A6E1"/>
    <w:rsid w:val="7435ED2C"/>
    <w:rsid w:val="743643F4"/>
    <w:rsid w:val="743E5833"/>
    <w:rsid w:val="74422D6E"/>
    <w:rsid w:val="74438FA9"/>
    <w:rsid w:val="7444D552"/>
    <w:rsid w:val="74471110"/>
    <w:rsid w:val="74479AEC"/>
    <w:rsid w:val="744F8872"/>
    <w:rsid w:val="7452D18D"/>
    <w:rsid w:val="74554E35"/>
    <w:rsid w:val="7455B066"/>
    <w:rsid w:val="745BA3DD"/>
    <w:rsid w:val="745E4559"/>
    <w:rsid w:val="7475680E"/>
    <w:rsid w:val="74788043"/>
    <w:rsid w:val="7481277D"/>
    <w:rsid w:val="7482E202"/>
    <w:rsid w:val="7483EA3F"/>
    <w:rsid w:val="7484720C"/>
    <w:rsid w:val="74896E14"/>
    <w:rsid w:val="748BE81B"/>
    <w:rsid w:val="748EBDC8"/>
    <w:rsid w:val="74964167"/>
    <w:rsid w:val="74994C08"/>
    <w:rsid w:val="749CDDA0"/>
    <w:rsid w:val="749DC60A"/>
    <w:rsid w:val="74A50C48"/>
    <w:rsid w:val="74A60109"/>
    <w:rsid w:val="74AAF407"/>
    <w:rsid w:val="74AB50DE"/>
    <w:rsid w:val="74B064DE"/>
    <w:rsid w:val="74B42D8C"/>
    <w:rsid w:val="74B59DF9"/>
    <w:rsid w:val="74B709B8"/>
    <w:rsid w:val="74B83E5E"/>
    <w:rsid w:val="74B884AB"/>
    <w:rsid w:val="74B8AB6B"/>
    <w:rsid w:val="74C26F8F"/>
    <w:rsid w:val="74CCFB2F"/>
    <w:rsid w:val="74D49076"/>
    <w:rsid w:val="74D58A22"/>
    <w:rsid w:val="74D66521"/>
    <w:rsid w:val="74DCFA8A"/>
    <w:rsid w:val="74E01F6C"/>
    <w:rsid w:val="74E96A3B"/>
    <w:rsid w:val="74F07D44"/>
    <w:rsid w:val="74F8CF3B"/>
    <w:rsid w:val="74FC8430"/>
    <w:rsid w:val="74FF042A"/>
    <w:rsid w:val="75012D0D"/>
    <w:rsid w:val="7503ADC1"/>
    <w:rsid w:val="750E4D95"/>
    <w:rsid w:val="750F42F9"/>
    <w:rsid w:val="751B4DFD"/>
    <w:rsid w:val="751F332C"/>
    <w:rsid w:val="751FFB2E"/>
    <w:rsid w:val="75231BAB"/>
    <w:rsid w:val="7525461E"/>
    <w:rsid w:val="7528FD0A"/>
    <w:rsid w:val="752BAA93"/>
    <w:rsid w:val="752C0108"/>
    <w:rsid w:val="7531F940"/>
    <w:rsid w:val="75375BBA"/>
    <w:rsid w:val="753C3872"/>
    <w:rsid w:val="7541A96F"/>
    <w:rsid w:val="754E1588"/>
    <w:rsid w:val="755475F4"/>
    <w:rsid w:val="755AF4D0"/>
    <w:rsid w:val="755DCBE3"/>
    <w:rsid w:val="75600683"/>
    <w:rsid w:val="7566E362"/>
    <w:rsid w:val="7568F24B"/>
    <w:rsid w:val="756A2FFA"/>
    <w:rsid w:val="756A8E40"/>
    <w:rsid w:val="756CA4EA"/>
    <w:rsid w:val="757062C8"/>
    <w:rsid w:val="75745D19"/>
    <w:rsid w:val="7576638D"/>
    <w:rsid w:val="757AA8CC"/>
    <w:rsid w:val="757D5A23"/>
    <w:rsid w:val="7583B4E6"/>
    <w:rsid w:val="758815AE"/>
    <w:rsid w:val="759307DE"/>
    <w:rsid w:val="7597D56A"/>
    <w:rsid w:val="759B231C"/>
    <w:rsid w:val="75B7554D"/>
    <w:rsid w:val="75BE7A5D"/>
    <w:rsid w:val="75C4197E"/>
    <w:rsid w:val="75C531E4"/>
    <w:rsid w:val="75C6FEAF"/>
    <w:rsid w:val="75CCB2E2"/>
    <w:rsid w:val="75CD110A"/>
    <w:rsid w:val="75D4F042"/>
    <w:rsid w:val="75D5D42A"/>
    <w:rsid w:val="75D9790B"/>
    <w:rsid w:val="75DBF5D6"/>
    <w:rsid w:val="75DC7CA3"/>
    <w:rsid w:val="75DFD139"/>
    <w:rsid w:val="75E1EEA6"/>
    <w:rsid w:val="75EAE25A"/>
    <w:rsid w:val="75EF7C13"/>
    <w:rsid w:val="75F76544"/>
    <w:rsid w:val="75FFF0DE"/>
    <w:rsid w:val="760113B2"/>
    <w:rsid w:val="76045AC5"/>
    <w:rsid w:val="76159695"/>
    <w:rsid w:val="7615AEDE"/>
    <w:rsid w:val="76195341"/>
    <w:rsid w:val="761C6050"/>
    <w:rsid w:val="761EEA4B"/>
    <w:rsid w:val="7623AAE2"/>
    <w:rsid w:val="76253143"/>
    <w:rsid w:val="7625DB72"/>
    <w:rsid w:val="76292C42"/>
    <w:rsid w:val="762BD9E1"/>
    <w:rsid w:val="763A536D"/>
    <w:rsid w:val="763BE574"/>
    <w:rsid w:val="763D44E7"/>
    <w:rsid w:val="764CCF0B"/>
    <w:rsid w:val="764DABFC"/>
    <w:rsid w:val="7659883A"/>
    <w:rsid w:val="765C9A69"/>
    <w:rsid w:val="765F3F9E"/>
    <w:rsid w:val="7662036E"/>
    <w:rsid w:val="76678A96"/>
    <w:rsid w:val="76690180"/>
    <w:rsid w:val="766DD03B"/>
    <w:rsid w:val="766E65E7"/>
    <w:rsid w:val="766FA2E2"/>
    <w:rsid w:val="76777859"/>
    <w:rsid w:val="7677BF0A"/>
    <w:rsid w:val="767A5AF1"/>
    <w:rsid w:val="767BA152"/>
    <w:rsid w:val="767F3CDA"/>
    <w:rsid w:val="76868E44"/>
    <w:rsid w:val="768AC3CB"/>
    <w:rsid w:val="768B6C15"/>
    <w:rsid w:val="768FE5EF"/>
    <w:rsid w:val="76953845"/>
    <w:rsid w:val="76963A83"/>
    <w:rsid w:val="769D8CC5"/>
    <w:rsid w:val="76A5FE12"/>
    <w:rsid w:val="76A6D21F"/>
    <w:rsid w:val="76AFA116"/>
    <w:rsid w:val="76BA8753"/>
    <w:rsid w:val="76BE8606"/>
    <w:rsid w:val="76BEB3D4"/>
    <w:rsid w:val="76C0F778"/>
    <w:rsid w:val="76C56F65"/>
    <w:rsid w:val="76C5A540"/>
    <w:rsid w:val="76CA1C18"/>
    <w:rsid w:val="76D12FB5"/>
    <w:rsid w:val="76D3A9B3"/>
    <w:rsid w:val="76D83A45"/>
    <w:rsid w:val="76E8D685"/>
    <w:rsid w:val="76E8E304"/>
    <w:rsid w:val="76F1990E"/>
    <w:rsid w:val="76FB3EE8"/>
    <w:rsid w:val="7704BE9C"/>
    <w:rsid w:val="77088609"/>
    <w:rsid w:val="770AF92C"/>
    <w:rsid w:val="770DC959"/>
    <w:rsid w:val="7713CF54"/>
    <w:rsid w:val="77143120"/>
    <w:rsid w:val="772835AE"/>
    <w:rsid w:val="772B7DA4"/>
    <w:rsid w:val="772F2B73"/>
    <w:rsid w:val="77399CFA"/>
    <w:rsid w:val="77431B98"/>
    <w:rsid w:val="774AC1CD"/>
    <w:rsid w:val="774D9260"/>
    <w:rsid w:val="774F9C08"/>
    <w:rsid w:val="7751747E"/>
    <w:rsid w:val="77537630"/>
    <w:rsid w:val="7753772E"/>
    <w:rsid w:val="775759AA"/>
    <w:rsid w:val="775B6C84"/>
    <w:rsid w:val="775F98D1"/>
    <w:rsid w:val="77620058"/>
    <w:rsid w:val="77624499"/>
    <w:rsid w:val="776D50B2"/>
    <w:rsid w:val="776DAE6F"/>
    <w:rsid w:val="776FDC49"/>
    <w:rsid w:val="777061EB"/>
    <w:rsid w:val="7770B296"/>
    <w:rsid w:val="77713B79"/>
    <w:rsid w:val="7771EFFA"/>
    <w:rsid w:val="77736403"/>
    <w:rsid w:val="77752D98"/>
    <w:rsid w:val="77784D04"/>
    <w:rsid w:val="7779C09F"/>
    <w:rsid w:val="777E42B4"/>
    <w:rsid w:val="7784D23F"/>
    <w:rsid w:val="77896550"/>
    <w:rsid w:val="778E117D"/>
    <w:rsid w:val="77A2E11E"/>
    <w:rsid w:val="77A93BDB"/>
    <w:rsid w:val="77ADAEB0"/>
    <w:rsid w:val="77B20E93"/>
    <w:rsid w:val="77BB89BA"/>
    <w:rsid w:val="77BBE313"/>
    <w:rsid w:val="77BF4F33"/>
    <w:rsid w:val="77BF6203"/>
    <w:rsid w:val="77C47471"/>
    <w:rsid w:val="77C802BB"/>
    <w:rsid w:val="77CED8CE"/>
    <w:rsid w:val="77D1757A"/>
    <w:rsid w:val="77D52275"/>
    <w:rsid w:val="77D7E951"/>
    <w:rsid w:val="77DC573B"/>
    <w:rsid w:val="77DF4B2F"/>
    <w:rsid w:val="77ED0888"/>
    <w:rsid w:val="77EF07D9"/>
    <w:rsid w:val="77EFFBD8"/>
    <w:rsid w:val="77F2BD20"/>
    <w:rsid w:val="77F422C6"/>
    <w:rsid w:val="77F68952"/>
    <w:rsid w:val="77FC03E6"/>
    <w:rsid w:val="77FD40F2"/>
    <w:rsid w:val="77FE5A52"/>
    <w:rsid w:val="7800B550"/>
    <w:rsid w:val="7803AC3A"/>
    <w:rsid w:val="780E304E"/>
    <w:rsid w:val="7810A4F2"/>
    <w:rsid w:val="7814F87B"/>
    <w:rsid w:val="781D1865"/>
    <w:rsid w:val="782503F0"/>
    <w:rsid w:val="7825E1B2"/>
    <w:rsid w:val="7825F29B"/>
    <w:rsid w:val="782B7DB6"/>
    <w:rsid w:val="782C6D3D"/>
    <w:rsid w:val="782E548A"/>
    <w:rsid w:val="78358DFF"/>
    <w:rsid w:val="78396476"/>
    <w:rsid w:val="783ABC26"/>
    <w:rsid w:val="783F9909"/>
    <w:rsid w:val="78405757"/>
    <w:rsid w:val="7843085A"/>
    <w:rsid w:val="7845C0BD"/>
    <w:rsid w:val="7847E231"/>
    <w:rsid w:val="784D6636"/>
    <w:rsid w:val="7853760F"/>
    <w:rsid w:val="785B5857"/>
    <w:rsid w:val="785CB7CF"/>
    <w:rsid w:val="78630A22"/>
    <w:rsid w:val="786ED04A"/>
    <w:rsid w:val="786F11DD"/>
    <w:rsid w:val="78728EE3"/>
    <w:rsid w:val="7877F925"/>
    <w:rsid w:val="78845EF9"/>
    <w:rsid w:val="78884810"/>
    <w:rsid w:val="788C7159"/>
    <w:rsid w:val="7892E499"/>
    <w:rsid w:val="78A136E6"/>
    <w:rsid w:val="78A3E764"/>
    <w:rsid w:val="78A5C816"/>
    <w:rsid w:val="78A7652E"/>
    <w:rsid w:val="78B4ADCC"/>
    <w:rsid w:val="78BD001B"/>
    <w:rsid w:val="78C3E0EB"/>
    <w:rsid w:val="78CD1E6D"/>
    <w:rsid w:val="78D22C34"/>
    <w:rsid w:val="78E00D5D"/>
    <w:rsid w:val="78E102A9"/>
    <w:rsid w:val="78E6A8F4"/>
    <w:rsid w:val="78EA2F74"/>
    <w:rsid w:val="78EE6C06"/>
    <w:rsid w:val="78F2A02A"/>
    <w:rsid w:val="78F5963D"/>
    <w:rsid w:val="78F6EF5E"/>
    <w:rsid w:val="78F7FF8F"/>
    <w:rsid w:val="7904319B"/>
    <w:rsid w:val="79043E67"/>
    <w:rsid w:val="7915E9AC"/>
    <w:rsid w:val="79182152"/>
    <w:rsid w:val="7924098E"/>
    <w:rsid w:val="79243ABD"/>
    <w:rsid w:val="7926C46C"/>
    <w:rsid w:val="792E94FE"/>
    <w:rsid w:val="7932FBF4"/>
    <w:rsid w:val="793E641B"/>
    <w:rsid w:val="7940B404"/>
    <w:rsid w:val="79445412"/>
    <w:rsid w:val="794B011F"/>
    <w:rsid w:val="794C9989"/>
    <w:rsid w:val="794CC943"/>
    <w:rsid w:val="79520925"/>
    <w:rsid w:val="795729F8"/>
    <w:rsid w:val="7958FA92"/>
    <w:rsid w:val="7959B4A2"/>
    <w:rsid w:val="795E6588"/>
    <w:rsid w:val="7964527E"/>
    <w:rsid w:val="79690154"/>
    <w:rsid w:val="796F4468"/>
    <w:rsid w:val="796FD458"/>
    <w:rsid w:val="79759AA4"/>
    <w:rsid w:val="79799D28"/>
    <w:rsid w:val="797AB104"/>
    <w:rsid w:val="797D9228"/>
    <w:rsid w:val="798444A8"/>
    <w:rsid w:val="79864250"/>
    <w:rsid w:val="7990932C"/>
    <w:rsid w:val="799283DE"/>
    <w:rsid w:val="79959B04"/>
    <w:rsid w:val="799C3A04"/>
    <w:rsid w:val="79A370B3"/>
    <w:rsid w:val="79A4E044"/>
    <w:rsid w:val="79B42765"/>
    <w:rsid w:val="79B51310"/>
    <w:rsid w:val="79B8D3CF"/>
    <w:rsid w:val="79BC15E6"/>
    <w:rsid w:val="79C1EDCA"/>
    <w:rsid w:val="79C5866D"/>
    <w:rsid w:val="79C61174"/>
    <w:rsid w:val="79C8AD51"/>
    <w:rsid w:val="79D298C8"/>
    <w:rsid w:val="79D5CDF5"/>
    <w:rsid w:val="79D61E1D"/>
    <w:rsid w:val="79D90C4C"/>
    <w:rsid w:val="79DFF1FA"/>
    <w:rsid w:val="79E53048"/>
    <w:rsid w:val="79E53190"/>
    <w:rsid w:val="79EC93AF"/>
    <w:rsid w:val="79F08739"/>
    <w:rsid w:val="79FBFCC6"/>
    <w:rsid w:val="7A025652"/>
    <w:rsid w:val="7A04E274"/>
    <w:rsid w:val="7A072D45"/>
    <w:rsid w:val="7A08DF9F"/>
    <w:rsid w:val="7A0B0EC2"/>
    <w:rsid w:val="7A16C756"/>
    <w:rsid w:val="7A1FFAB9"/>
    <w:rsid w:val="7A2105FB"/>
    <w:rsid w:val="7A21B159"/>
    <w:rsid w:val="7A2321B7"/>
    <w:rsid w:val="7A23BDE9"/>
    <w:rsid w:val="7A2646E2"/>
    <w:rsid w:val="7A286E90"/>
    <w:rsid w:val="7A3B2AD3"/>
    <w:rsid w:val="7A4BF8FE"/>
    <w:rsid w:val="7A5362AD"/>
    <w:rsid w:val="7A56265D"/>
    <w:rsid w:val="7A57F3D6"/>
    <w:rsid w:val="7A593EBD"/>
    <w:rsid w:val="7A5E8F8C"/>
    <w:rsid w:val="7A614985"/>
    <w:rsid w:val="7A61E3EC"/>
    <w:rsid w:val="7A67AB53"/>
    <w:rsid w:val="7A6D190B"/>
    <w:rsid w:val="7A783B53"/>
    <w:rsid w:val="7A79CF3F"/>
    <w:rsid w:val="7A7F125F"/>
    <w:rsid w:val="7A825804"/>
    <w:rsid w:val="7A865B8B"/>
    <w:rsid w:val="7A8AB7AC"/>
    <w:rsid w:val="7A8DE848"/>
    <w:rsid w:val="7A94D7C2"/>
    <w:rsid w:val="7A9D90E3"/>
    <w:rsid w:val="7AA02649"/>
    <w:rsid w:val="7AA2EDF3"/>
    <w:rsid w:val="7AA42F13"/>
    <w:rsid w:val="7AA79F29"/>
    <w:rsid w:val="7AB0FE4E"/>
    <w:rsid w:val="7AB2ACAA"/>
    <w:rsid w:val="7ABB7BD3"/>
    <w:rsid w:val="7ABC1F3E"/>
    <w:rsid w:val="7ABF505D"/>
    <w:rsid w:val="7AC3764C"/>
    <w:rsid w:val="7AC57C8D"/>
    <w:rsid w:val="7AC70462"/>
    <w:rsid w:val="7AC8467E"/>
    <w:rsid w:val="7ACA2E62"/>
    <w:rsid w:val="7ACB49AF"/>
    <w:rsid w:val="7ACC8F88"/>
    <w:rsid w:val="7ACD0E67"/>
    <w:rsid w:val="7AD0C50E"/>
    <w:rsid w:val="7AD1CD2A"/>
    <w:rsid w:val="7AD90FB3"/>
    <w:rsid w:val="7AD9AC62"/>
    <w:rsid w:val="7AE20C7B"/>
    <w:rsid w:val="7AE6FC89"/>
    <w:rsid w:val="7AE6FE5B"/>
    <w:rsid w:val="7AF4C64D"/>
    <w:rsid w:val="7B02560B"/>
    <w:rsid w:val="7B0BFF9C"/>
    <w:rsid w:val="7B0C6E12"/>
    <w:rsid w:val="7B0CCFD7"/>
    <w:rsid w:val="7B0E2876"/>
    <w:rsid w:val="7B0EEB54"/>
    <w:rsid w:val="7B1545EF"/>
    <w:rsid w:val="7B1552EA"/>
    <w:rsid w:val="7B185D17"/>
    <w:rsid w:val="7B1ED88C"/>
    <w:rsid w:val="7B28A879"/>
    <w:rsid w:val="7B29D089"/>
    <w:rsid w:val="7B2EB72F"/>
    <w:rsid w:val="7B3BDA28"/>
    <w:rsid w:val="7B3DB198"/>
    <w:rsid w:val="7B4327A3"/>
    <w:rsid w:val="7B466038"/>
    <w:rsid w:val="7B46C800"/>
    <w:rsid w:val="7B488F9B"/>
    <w:rsid w:val="7B4B459F"/>
    <w:rsid w:val="7B4C895B"/>
    <w:rsid w:val="7B55A5F7"/>
    <w:rsid w:val="7B583BCD"/>
    <w:rsid w:val="7B5FA7C4"/>
    <w:rsid w:val="7B6026F3"/>
    <w:rsid w:val="7B634C66"/>
    <w:rsid w:val="7B6BD5F8"/>
    <w:rsid w:val="7B824F7B"/>
    <w:rsid w:val="7B826AFB"/>
    <w:rsid w:val="7B864039"/>
    <w:rsid w:val="7B8C2017"/>
    <w:rsid w:val="7B8F2DFF"/>
    <w:rsid w:val="7B9086BB"/>
    <w:rsid w:val="7B9FB576"/>
    <w:rsid w:val="7BA0DFD1"/>
    <w:rsid w:val="7BA1FD20"/>
    <w:rsid w:val="7BA49269"/>
    <w:rsid w:val="7BA4971F"/>
    <w:rsid w:val="7BAE849E"/>
    <w:rsid w:val="7BAF5B5C"/>
    <w:rsid w:val="7BB02FE3"/>
    <w:rsid w:val="7BC02791"/>
    <w:rsid w:val="7BC47683"/>
    <w:rsid w:val="7BC4DB6B"/>
    <w:rsid w:val="7BCEC5F3"/>
    <w:rsid w:val="7BD1B007"/>
    <w:rsid w:val="7BD6221B"/>
    <w:rsid w:val="7BD69C1E"/>
    <w:rsid w:val="7BD7976E"/>
    <w:rsid w:val="7BD8B260"/>
    <w:rsid w:val="7BD93D9F"/>
    <w:rsid w:val="7BDE45CD"/>
    <w:rsid w:val="7BDEA47E"/>
    <w:rsid w:val="7BDF7B62"/>
    <w:rsid w:val="7BDF80CC"/>
    <w:rsid w:val="7BE42206"/>
    <w:rsid w:val="7BE48D9E"/>
    <w:rsid w:val="7BE617B2"/>
    <w:rsid w:val="7BE69904"/>
    <w:rsid w:val="7BE7399D"/>
    <w:rsid w:val="7BEB240D"/>
    <w:rsid w:val="7BF2D5B6"/>
    <w:rsid w:val="7BF5A47B"/>
    <w:rsid w:val="7BF99CAB"/>
    <w:rsid w:val="7C09DC50"/>
    <w:rsid w:val="7C0CE46C"/>
    <w:rsid w:val="7C0EB3AF"/>
    <w:rsid w:val="7C163DDF"/>
    <w:rsid w:val="7C1C4B9E"/>
    <w:rsid w:val="7C1C9DF1"/>
    <w:rsid w:val="7C2A1F04"/>
    <w:rsid w:val="7C2C45CC"/>
    <w:rsid w:val="7C30168D"/>
    <w:rsid w:val="7C306FB2"/>
    <w:rsid w:val="7C39B936"/>
    <w:rsid w:val="7C496997"/>
    <w:rsid w:val="7C4AD565"/>
    <w:rsid w:val="7C4F9E4F"/>
    <w:rsid w:val="7C54D6C4"/>
    <w:rsid w:val="7C5E55B6"/>
    <w:rsid w:val="7C5EE287"/>
    <w:rsid w:val="7C668542"/>
    <w:rsid w:val="7C676C28"/>
    <w:rsid w:val="7C765DC4"/>
    <w:rsid w:val="7C79AE8D"/>
    <w:rsid w:val="7C7A9688"/>
    <w:rsid w:val="7C86148C"/>
    <w:rsid w:val="7C8EB6C9"/>
    <w:rsid w:val="7C935F49"/>
    <w:rsid w:val="7CA93AEE"/>
    <w:rsid w:val="7CAA993C"/>
    <w:rsid w:val="7CB42917"/>
    <w:rsid w:val="7CBAC56A"/>
    <w:rsid w:val="7CBB54D5"/>
    <w:rsid w:val="7CBBB7A7"/>
    <w:rsid w:val="7CBF2949"/>
    <w:rsid w:val="7CC0408F"/>
    <w:rsid w:val="7CC6101F"/>
    <w:rsid w:val="7CCEDDE3"/>
    <w:rsid w:val="7CCF27AB"/>
    <w:rsid w:val="7CD4C9E1"/>
    <w:rsid w:val="7CD8869F"/>
    <w:rsid w:val="7CD9C8D8"/>
    <w:rsid w:val="7CDBCF11"/>
    <w:rsid w:val="7CDC7EA0"/>
    <w:rsid w:val="7CE1C190"/>
    <w:rsid w:val="7CEAEC68"/>
    <w:rsid w:val="7CED4578"/>
    <w:rsid w:val="7CEF6A2F"/>
    <w:rsid w:val="7CF20C36"/>
    <w:rsid w:val="7CF36EA4"/>
    <w:rsid w:val="7CF572A0"/>
    <w:rsid w:val="7CF776B5"/>
    <w:rsid w:val="7CF9BE42"/>
    <w:rsid w:val="7CFF8A88"/>
    <w:rsid w:val="7D0B2B8F"/>
    <w:rsid w:val="7D152D1A"/>
    <w:rsid w:val="7D1F52D7"/>
    <w:rsid w:val="7D25958B"/>
    <w:rsid w:val="7D2864C6"/>
    <w:rsid w:val="7D29D67E"/>
    <w:rsid w:val="7D2BEF0D"/>
    <w:rsid w:val="7D2BFF90"/>
    <w:rsid w:val="7D2E338D"/>
    <w:rsid w:val="7D3078D4"/>
    <w:rsid w:val="7D30BAE3"/>
    <w:rsid w:val="7D329B5D"/>
    <w:rsid w:val="7D3384A2"/>
    <w:rsid w:val="7D35AB3B"/>
    <w:rsid w:val="7D35ED63"/>
    <w:rsid w:val="7D36A8F6"/>
    <w:rsid w:val="7D38C77B"/>
    <w:rsid w:val="7D39428B"/>
    <w:rsid w:val="7D39D20B"/>
    <w:rsid w:val="7D425C1E"/>
    <w:rsid w:val="7D5055CF"/>
    <w:rsid w:val="7D60E49B"/>
    <w:rsid w:val="7D63E86F"/>
    <w:rsid w:val="7D69AD33"/>
    <w:rsid w:val="7D6A3C56"/>
    <w:rsid w:val="7D6FAA3C"/>
    <w:rsid w:val="7D716651"/>
    <w:rsid w:val="7D734B37"/>
    <w:rsid w:val="7D794C37"/>
    <w:rsid w:val="7D7CC18A"/>
    <w:rsid w:val="7D7EB8D9"/>
    <w:rsid w:val="7D806DB3"/>
    <w:rsid w:val="7D83C49B"/>
    <w:rsid w:val="7D90F4F6"/>
    <w:rsid w:val="7D93FA26"/>
    <w:rsid w:val="7D93FB3E"/>
    <w:rsid w:val="7D96F741"/>
    <w:rsid w:val="7D9845CC"/>
    <w:rsid w:val="7D9943C1"/>
    <w:rsid w:val="7DA0BAF6"/>
    <w:rsid w:val="7DA216EA"/>
    <w:rsid w:val="7DA46AF6"/>
    <w:rsid w:val="7DA90343"/>
    <w:rsid w:val="7DAA8076"/>
    <w:rsid w:val="7DAA87E9"/>
    <w:rsid w:val="7DAD1C44"/>
    <w:rsid w:val="7DB4CCCA"/>
    <w:rsid w:val="7DB76317"/>
    <w:rsid w:val="7DBB2BB6"/>
    <w:rsid w:val="7DBBA99E"/>
    <w:rsid w:val="7DBCE8C2"/>
    <w:rsid w:val="7DBEEF4E"/>
    <w:rsid w:val="7DC7AB47"/>
    <w:rsid w:val="7DCE572B"/>
    <w:rsid w:val="7DCE70A8"/>
    <w:rsid w:val="7DD131A4"/>
    <w:rsid w:val="7DD60489"/>
    <w:rsid w:val="7DD94E58"/>
    <w:rsid w:val="7DDAD953"/>
    <w:rsid w:val="7DDFFF81"/>
    <w:rsid w:val="7DE36471"/>
    <w:rsid w:val="7DE61CF1"/>
    <w:rsid w:val="7DEA43FC"/>
    <w:rsid w:val="7DEA4EE4"/>
    <w:rsid w:val="7DEA5674"/>
    <w:rsid w:val="7DEEC733"/>
    <w:rsid w:val="7DEF17E5"/>
    <w:rsid w:val="7DF49231"/>
    <w:rsid w:val="7DF92E1F"/>
    <w:rsid w:val="7DF9BAD7"/>
    <w:rsid w:val="7DFE18A1"/>
    <w:rsid w:val="7E06206D"/>
    <w:rsid w:val="7E0699B0"/>
    <w:rsid w:val="7E0E8929"/>
    <w:rsid w:val="7E17E939"/>
    <w:rsid w:val="7E1BBD29"/>
    <w:rsid w:val="7E1E828B"/>
    <w:rsid w:val="7E2140CC"/>
    <w:rsid w:val="7E2AD50A"/>
    <w:rsid w:val="7E3022F8"/>
    <w:rsid w:val="7E34A599"/>
    <w:rsid w:val="7E383CBA"/>
    <w:rsid w:val="7E39A702"/>
    <w:rsid w:val="7E3A7A78"/>
    <w:rsid w:val="7E415DC7"/>
    <w:rsid w:val="7E4E2373"/>
    <w:rsid w:val="7E50C1E2"/>
    <w:rsid w:val="7E5B8FA0"/>
    <w:rsid w:val="7E5E5FD3"/>
    <w:rsid w:val="7E6579A4"/>
    <w:rsid w:val="7E65EAAE"/>
    <w:rsid w:val="7E6E6766"/>
    <w:rsid w:val="7E711032"/>
    <w:rsid w:val="7E71C37B"/>
    <w:rsid w:val="7E73A129"/>
    <w:rsid w:val="7E7D8300"/>
    <w:rsid w:val="7E83F2FD"/>
    <w:rsid w:val="7E864B68"/>
    <w:rsid w:val="7E88F629"/>
    <w:rsid w:val="7E8D451F"/>
    <w:rsid w:val="7E901344"/>
    <w:rsid w:val="7E9E965C"/>
    <w:rsid w:val="7EA951ED"/>
    <w:rsid w:val="7EA99E8F"/>
    <w:rsid w:val="7EAC531E"/>
    <w:rsid w:val="7EACF055"/>
    <w:rsid w:val="7EAFC2C8"/>
    <w:rsid w:val="7EB110DE"/>
    <w:rsid w:val="7EC3663F"/>
    <w:rsid w:val="7EC3F85C"/>
    <w:rsid w:val="7EC5C9BD"/>
    <w:rsid w:val="7EC94DC5"/>
    <w:rsid w:val="7EC96C4D"/>
    <w:rsid w:val="7ED04688"/>
    <w:rsid w:val="7ED1DA2F"/>
    <w:rsid w:val="7ED62BA7"/>
    <w:rsid w:val="7EDD84DF"/>
    <w:rsid w:val="7EE5B0E8"/>
    <w:rsid w:val="7EE8CC85"/>
    <w:rsid w:val="7EE9A5FA"/>
    <w:rsid w:val="7EEBDA6C"/>
    <w:rsid w:val="7EEEDA01"/>
    <w:rsid w:val="7EF5E97F"/>
    <w:rsid w:val="7EFAF6FC"/>
    <w:rsid w:val="7EFB2D85"/>
    <w:rsid w:val="7EFD9BAA"/>
    <w:rsid w:val="7F06715E"/>
    <w:rsid w:val="7F16E969"/>
    <w:rsid w:val="7F2786D9"/>
    <w:rsid w:val="7F2A36D5"/>
    <w:rsid w:val="7F2CEA4D"/>
    <w:rsid w:val="7F3DD685"/>
    <w:rsid w:val="7F40D171"/>
    <w:rsid w:val="7F4114D7"/>
    <w:rsid w:val="7F41DAAF"/>
    <w:rsid w:val="7F4262F7"/>
    <w:rsid w:val="7F4827A9"/>
    <w:rsid w:val="7F492931"/>
    <w:rsid w:val="7F4A0520"/>
    <w:rsid w:val="7F50582E"/>
    <w:rsid w:val="7F50D3E7"/>
    <w:rsid w:val="7F579F37"/>
    <w:rsid w:val="7F584215"/>
    <w:rsid w:val="7F58D259"/>
    <w:rsid w:val="7F5B00DB"/>
    <w:rsid w:val="7F5B4550"/>
    <w:rsid w:val="7F60A6A2"/>
    <w:rsid w:val="7F60E0CA"/>
    <w:rsid w:val="7F614F1C"/>
    <w:rsid w:val="7F61722D"/>
    <w:rsid w:val="7F65F7DF"/>
    <w:rsid w:val="7F67EFEE"/>
    <w:rsid w:val="7F684263"/>
    <w:rsid w:val="7F699F4C"/>
    <w:rsid w:val="7F6C11AC"/>
    <w:rsid w:val="7F704FD5"/>
    <w:rsid w:val="7F70E17E"/>
    <w:rsid w:val="7F73A62B"/>
    <w:rsid w:val="7F73B954"/>
    <w:rsid w:val="7F73F350"/>
    <w:rsid w:val="7F74E838"/>
    <w:rsid w:val="7F81BD9E"/>
    <w:rsid w:val="7F81DA2D"/>
    <w:rsid w:val="7F820A0D"/>
    <w:rsid w:val="7F82EF1F"/>
    <w:rsid w:val="7F8D8762"/>
    <w:rsid w:val="7F8E3ECE"/>
    <w:rsid w:val="7F9340D6"/>
    <w:rsid w:val="7F96C4D5"/>
    <w:rsid w:val="7FA5F28A"/>
    <w:rsid w:val="7FA7DF5B"/>
    <w:rsid w:val="7FAC46EF"/>
    <w:rsid w:val="7FAD7895"/>
    <w:rsid w:val="7FAE26F4"/>
    <w:rsid w:val="7FAECCC9"/>
    <w:rsid w:val="7FAF1CB3"/>
    <w:rsid w:val="7FB0A9C9"/>
    <w:rsid w:val="7FB1D033"/>
    <w:rsid w:val="7FB462BA"/>
    <w:rsid w:val="7FB57B31"/>
    <w:rsid w:val="7FB7537B"/>
    <w:rsid w:val="7FC1567F"/>
    <w:rsid w:val="7FD0787C"/>
    <w:rsid w:val="7FD13DD8"/>
    <w:rsid w:val="7FD2FB42"/>
    <w:rsid w:val="7FD36445"/>
    <w:rsid w:val="7FD3E7DE"/>
    <w:rsid w:val="7FD45EAA"/>
    <w:rsid w:val="7FDA0F17"/>
    <w:rsid w:val="7FDD77F7"/>
    <w:rsid w:val="7FDF9CF1"/>
    <w:rsid w:val="7FE082C9"/>
    <w:rsid w:val="7FE0E2E1"/>
    <w:rsid w:val="7FE8D18C"/>
    <w:rsid w:val="7FE8E917"/>
    <w:rsid w:val="7FFF983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197E9D"/>
  <w15:chartTrackingRefBased/>
  <w15:docId w15:val="{9D318EDD-3F14-4BE8-9D02-F24DDE162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5" w:line="259" w:lineRule="auto"/>
      </w:pPr>
    </w:pPrDefault>
  </w:docDefaults>
  <w:latentStyles w:defLockedState="0" w:defUIPriority="99" w:defSemiHidden="0" w:defUnhideWhenUsed="0" w:defQFormat="0" w:count="376">
    <w:lsdException w:name="Normal" w:uiPriority="0" w:qFormat="1"/>
    <w:lsdException w:name="heading 1" w:uiPriority="19" w:qFormat="1"/>
    <w:lsdException w:name="heading 2" w:semiHidden="1" w:uiPriority="19" w:unhideWhenUsed="1" w:qFormat="1"/>
    <w:lsdException w:name="heading 3" w:semiHidden="1" w:uiPriority="19" w:unhideWhenUsed="1" w:qFormat="1"/>
    <w:lsdException w:name="heading 4" w:semiHidden="1" w:uiPriority="19" w:unhideWhenUsed="1" w:qFormat="1"/>
    <w:lsdException w:name="heading 5" w:semiHidden="1" w:uiPriority="19" w:unhideWhenUsed="1" w:qFormat="1"/>
    <w:lsdException w:name="heading 6" w:semiHidden="1" w:uiPriority="19" w:unhideWhenUsed="1" w:qFormat="1"/>
    <w:lsdException w:name="heading 7" w:semiHidden="1" w:uiPriority="19" w:unhideWhenUsed="1"/>
    <w:lsdException w:name="heading 8" w:semiHidden="1" w:uiPriority="19" w:unhideWhenUsed="1"/>
    <w:lsdException w:name="heading 9" w:semiHidden="1" w:uiPriority="1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1E80"/>
    <w:pPr>
      <w:spacing w:after="120" w:line="256" w:lineRule="auto"/>
    </w:pPr>
    <w:rPr>
      <w:rFonts w:ascii="Segoe UI" w:hAnsi="Segoe UI"/>
      <w:sz w:val="19"/>
      <w:lang w:val="en-AU"/>
    </w:rPr>
  </w:style>
  <w:style w:type="paragraph" w:styleId="Heading1">
    <w:name w:val="heading 1"/>
    <w:next w:val="Normal"/>
    <w:link w:val="Heading1Char"/>
    <w:uiPriority w:val="19"/>
    <w:qFormat/>
    <w:rsid w:val="000500EF"/>
    <w:pPr>
      <w:keepNext/>
      <w:pageBreakBefore/>
      <w:numPr>
        <w:numId w:val="14"/>
      </w:numPr>
      <w:spacing w:before="120"/>
      <w:ind w:left="357" w:hanging="357"/>
      <w:outlineLvl w:val="0"/>
    </w:pPr>
    <w:rPr>
      <w:rFonts w:ascii="Segoe UI" w:eastAsia="Times New Roman" w:hAnsi="Segoe UI" w:cs="Times New Roman"/>
      <w:b/>
      <w:color w:val="F2F2F2" w:themeColor="background1" w:themeShade="F2"/>
      <w:sz w:val="36"/>
      <w:szCs w:val="19"/>
      <w:lang w:val="en-AU" w:eastAsia="en-AU"/>
    </w:rPr>
  </w:style>
  <w:style w:type="paragraph" w:styleId="Heading2">
    <w:name w:val="heading 2"/>
    <w:basedOn w:val="Heading1"/>
    <w:next w:val="Normal"/>
    <w:link w:val="Heading2Char"/>
    <w:uiPriority w:val="19"/>
    <w:qFormat/>
    <w:rsid w:val="00D6212B"/>
    <w:pPr>
      <w:pageBreakBefore w:val="0"/>
      <w:numPr>
        <w:ilvl w:val="1"/>
      </w:numPr>
      <w:ind w:left="454" w:hanging="454"/>
      <w:outlineLvl w:val="1"/>
    </w:pPr>
    <w:rPr>
      <w:rFonts w:ascii="Segoe UI Semibold" w:hAnsi="Segoe UI Semibold"/>
      <w:color w:val="00264D"/>
      <w:sz w:val="30"/>
    </w:rPr>
  </w:style>
  <w:style w:type="paragraph" w:styleId="Heading3">
    <w:name w:val="heading 3"/>
    <w:basedOn w:val="Heading2"/>
    <w:next w:val="Normal"/>
    <w:link w:val="Heading3Char"/>
    <w:uiPriority w:val="19"/>
    <w:qFormat/>
    <w:rsid w:val="00D6212B"/>
    <w:pPr>
      <w:numPr>
        <w:ilvl w:val="0"/>
        <w:numId w:val="0"/>
      </w:numPr>
      <w:outlineLvl w:val="2"/>
    </w:pPr>
    <w:rPr>
      <w:b w:val="0"/>
      <w:sz w:val="26"/>
    </w:rPr>
  </w:style>
  <w:style w:type="paragraph" w:styleId="Heading4">
    <w:name w:val="heading 4"/>
    <w:basedOn w:val="Heading3"/>
    <w:next w:val="Normal"/>
    <w:link w:val="Heading4Char"/>
    <w:uiPriority w:val="19"/>
    <w:qFormat/>
    <w:rsid w:val="00C16408"/>
    <w:pPr>
      <w:pBdr>
        <w:top w:val="single" w:sz="18" w:space="1" w:color="F25E21" w:themeColor="accent2"/>
        <w:right w:val="single" w:sz="18" w:space="4" w:color="auto"/>
      </w:pBdr>
      <w:spacing w:before="240"/>
      <w:outlineLvl w:val="3"/>
    </w:pPr>
    <w:rPr>
      <w:color w:val="00264D" w:themeColor="background2"/>
      <w:sz w:val="22"/>
    </w:rPr>
  </w:style>
  <w:style w:type="paragraph" w:styleId="Heading5">
    <w:name w:val="heading 5"/>
    <w:basedOn w:val="Normal"/>
    <w:next w:val="Normal"/>
    <w:link w:val="Heading5Char"/>
    <w:uiPriority w:val="19"/>
    <w:qFormat/>
    <w:rsid w:val="0093784E"/>
    <w:pPr>
      <w:keepNext/>
      <w:numPr>
        <w:ilvl w:val="4"/>
        <w:numId w:val="14"/>
      </w:numPr>
      <w:pBdr>
        <w:top w:val="single" w:sz="18" w:space="1" w:color="F8981D" w:themeColor="accent3"/>
        <w:right w:val="single" w:sz="18" w:space="4" w:color="auto"/>
      </w:pBdr>
      <w:spacing w:before="240"/>
      <w:outlineLvl w:val="4"/>
    </w:pPr>
    <w:rPr>
      <w:rFonts w:eastAsia="Times New Roman" w:cs="Times New Roman"/>
      <w:b/>
      <w:color w:val="000000" w:themeColor="text1"/>
      <w:sz w:val="20"/>
      <w:szCs w:val="24"/>
      <w:lang w:eastAsia="en-AU"/>
    </w:rPr>
  </w:style>
  <w:style w:type="paragraph" w:styleId="Heading6">
    <w:name w:val="heading 6"/>
    <w:basedOn w:val="Normal"/>
    <w:next w:val="Normal"/>
    <w:link w:val="Heading6Char"/>
    <w:uiPriority w:val="19"/>
    <w:qFormat/>
    <w:rsid w:val="00BB1D43"/>
    <w:pPr>
      <w:keepNext/>
      <w:keepLines/>
      <w:numPr>
        <w:ilvl w:val="5"/>
        <w:numId w:val="14"/>
      </w:numPr>
      <w:spacing w:before="200" w:after="60"/>
      <w:outlineLvl w:val="5"/>
    </w:pPr>
    <w:rPr>
      <w:rFonts w:eastAsiaTheme="majorEastAsia" w:cstheme="majorBidi"/>
      <w:b/>
      <w:i/>
      <w:iCs/>
      <w:color w:val="000000" w:themeColor="text1"/>
      <w:szCs w:val="19"/>
      <w:lang w:eastAsia="en-AU"/>
    </w:rPr>
  </w:style>
  <w:style w:type="paragraph" w:styleId="Heading7">
    <w:name w:val="heading 7"/>
    <w:basedOn w:val="Normal"/>
    <w:next w:val="Normal"/>
    <w:link w:val="Heading7Char"/>
    <w:uiPriority w:val="19"/>
    <w:semiHidden/>
    <w:rsid w:val="0017738D"/>
    <w:pPr>
      <w:keepNext/>
      <w:keepLines/>
      <w:spacing w:before="200" w:after="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19"/>
    <w:semiHidden/>
    <w:rsid w:val="0017738D"/>
    <w:pPr>
      <w:keepNext/>
      <w:keepLines/>
      <w:spacing w:before="200" w:after="0"/>
      <w:outlineLvl w:val="7"/>
    </w:pPr>
    <w:rPr>
      <w:rFonts w:eastAsiaTheme="majorEastAsia"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9"/>
    <w:rsid w:val="000500EF"/>
    <w:rPr>
      <w:rFonts w:ascii="Segoe UI" w:eastAsia="Times New Roman" w:hAnsi="Segoe UI" w:cs="Times New Roman"/>
      <w:b/>
      <w:color w:val="F2F2F2" w:themeColor="background1" w:themeShade="F2"/>
      <w:sz w:val="36"/>
      <w:szCs w:val="19"/>
      <w:lang w:val="en-AU" w:eastAsia="en-AU"/>
    </w:rPr>
  </w:style>
  <w:style w:type="character" w:customStyle="1" w:styleId="Heading2Char">
    <w:name w:val="Heading 2 Char"/>
    <w:basedOn w:val="DefaultParagraphFont"/>
    <w:link w:val="Heading2"/>
    <w:uiPriority w:val="19"/>
    <w:rsid w:val="00D6212B"/>
    <w:rPr>
      <w:rFonts w:ascii="Segoe UI Semibold" w:eastAsia="Times New Roman" w:hAnsi="Segoe UI Semibold" w:cs="Times New Roman"/>
      <w:b/>
      <w:color w:val="00264D"/>
      <w:sz w:val="30"/>
      <w:szCs w:val="19"/>
      <w:lang w:val="en-AU" w:eastAsia="en-AU"/>
    </w:rPr>
  </w:style>
  <w:style w:type="character" w:customStyle="1" w:styleId="Heading3Char">
    <w:name w:val="Heading 3 Char"/>
    <w:basedOn w:val="DefaultParagraphFont"/>
    <w:link w:val="Heading3"/>
    <w:uiPriority w:val="19"/>
    <w:rsid w:val="00D6212B"/>
    <w:rPr>
      <w:rFonts w:ascii="Segoe UI Semibold" w:eastAsia="Times New Roman" w:hAnsi="Segoe UI Semibold" w:cs="Times New Roman"/>
      <w:color w:val="00264D"/>
      <w:sz w:val="26"/>
      <w:szCs w:val="19"/>
      <w:lang w:val="en-AU" w:eastAsia="en-AU"/>
    </w:rPr>
  </w:style>
  <w:style w:type="character" w:customStyle="1" w:styleId="Heading4Char">
    <w:name w:val="Heading 4 Char"/>
    <w:basedOn w:val="DefaultParagraphFont"/>
    <w:link w:val="Heading4"/>
    <w:uiPriority w:val="19"/>
    <w:rsid w:val="00C16408"/>
    <w:rPr>
      <w:rFonts w:ascii="Segoe UI Semibold" w:eastAsia="Times New Roman" w:hAnsi="Segoe UI Semibold" w:cs="Times New Roman"/>
      <w:color w:val="00264D" w:themeColor="background2"/>
      <w:szCs w:val="19"/>
      <w:lang w:val="en-AU" w:eastAsia="en-AU"/>
    </w:rPr>
  </w:style>
  <w:style w:type="character" w:customStyle="1" w:styleId="Heading5Char">
    <w:name w:val="Heading 5 Char"/>
    <w:basedOn w:val="DefaultParagraphFont"/>
    <w:link w:val="Heading5"/>
    <w:uiPriority w:val="19"/>
    <w:rsid w:val="0093784E"/>
    <w:rPr>
      <w:rFonts w:ascii="Segoe UI" w:eastAsia="Times New Roman" w:hAnsi="Segoe UI" w:cs="Times New Roman"/>
      <w:b/>
      <w:color w:val="000000" w:themeColor="text1"/>
      <w:sz w:val="20"/>
      <w:szCs w:val="24"/>
      <w:lang w:val="en-AU" w:eastAsia="en-AU"/>
    </w:rPr>
  </w:style>
  <w:style w:type="character" w:customStyle="1" w:styleId="Heading6Char">
    <w:name w:val="Heading 6 Char"/>
    <w:basedOn w:val="DefaultParagraphFont"/>
    <w:link w:val="Heading6"/>
    <w:uiPriority w:val="19"/>
    <w:rsid w:val="0017738D"/>
    <w:rPr>
      <w:rFonts w:ascii="Segoe UI" w:eastAsiaTheme="majorEastAsia" w:hAnsi="Segoe UI" w:cstheme="majorBidi"/>
      <w:b/>
      <w:i/>
      <w:iCs/>
      <w:color w:val="000000" w:themeColor="text1"/>
      <w:sz w:val="19"/>
      <w:szCs w:val="19"/>
      <w:lang w:val="en-AU" w:eastAsia="en-AU"/>
    </w:rPr>
  </w:style>
  <w:style w:type="paragraph" w:customStyle="1" w:styleId="Bullet">
    <w:name w:val="Bullet"/>
    <w:basedOn w:val="Normal"/>
    <w:link w:val="BulletChar"/>
    <w:uiPriority w:val="2"/>
    <w:qFormat/>
    <w:rsid w:val="00BB1D43"/>
    <w:pPr>
      <w:numPr>
        <w:numId w:val="2"/>
      </w:numPr>
      <w:suppressAutoHyphens/>
    </w:pPr>
    <w:rPr>
      <w:rFonts w:eastAsia="Times New Roman" w:cs="Times New Roman"/>
      <w:szCs w:val="19"/>
      <w:lang w:eastAsia="en-AU"/>
    </w:rPr>
  </w:style>
  <w:style w:type="paragraph" w:customStyle="1" w:styleId="TableNheader">
    <w:name w:val="Table N header"/>
    <w:basedOn w:val="Normal"/>
    <w:uiPriority w:val="2"/>
    <w:qFormat/>
    <w:rsid w:val="00CB0C9C"/>
    <w:pPr>
      <w:spacing w:before="40" w:after="40" w:line="240" w:lineRule="auto"/>
    </w:pPr>
    <w:rPr>
      <w:rFonts w:asciiTheme="minorHAnsi" w:hAnsiTheme="minorHAnsi"/>
      <w:color w:val="00264D" w:themeColor="background2"/>
      <w:sz w:val="20"/>
    </w:rPr>
  </w:style>
  <w:style w:type="paragraph" w:customStyle="1" w:styleId="TableNText">
    <w:name w:val="Table N Text"/>
    <w:basedOn w:val="Normal"/>
    <w:link w:val="TableNTextChar"/>
    <w:uiPriority w:val="2"/>
    <w:qFormat/>
    <w:rsid w:val="007D7202"/>
    <w:pPr>
      <w:spacing w:before="60" w:after="60"/>
    </w:pPr>
    <w:rPr>
      <w:sz w:val="17"/>
    </w:rPr>
  </w:style>
  <w:style w:type="paragraph" w:styleId="Header">
    <w:name w:val="header"/>
    <w:basedOn w:val="Normal"/>
    <w:link w:val="HeaderChar"/>
    <w:uiPriority w:val="99"/>
    <w:unhideWhenUsed/>
    <w:rsid w:val="0017738D"/>
    <w:pPr>
      <w:tabs>
        <w:tab w:val="center" w:pos="4513"/>
        <w:tab w:val="right" w:pos="9026"/>
      </w:tabs>
      <w:spacing w:after="0"/>
    </w:pPr>
  </w:style>
  <w:style w:type="character" w:customStyle="1" w:styleId="HeaderChar">
    <w:name w:val="Header Char"/>
    <w:basedOn w:val="DefaultParagraphFont"/>
    <w:link w:val="Header"/>
    <w:uiPriority w:val="99"/>
    <w:rsid w:val="0017738D"/>
    <w:rPr>
      <w:rFonts w:ascii="Segoe UI" w:hAnsi="Segoe UI"/>
      <w:sz w:val="19"/>
      <w:lang w:val="en-AU"/>
    </w:rPr>
  </w:style>
  <w:style w:type="paragraph" w:styleId="Footer">
    <w:name w:val="footer"/>
    <w:aliases w:val="Foot note"/>
    <w:basedOn w:val="Normal"/>
    <w:link w:val="FooterChar"/>
    <w:uiPriority w:val="99"/>
    <w:unhideWhenUsed/>
    <w:rsid w:val="0017738D"/>
    <w:pPr>
      <w:tabs>
        <w:tab w:val="center" w:pos="4513"/>
        <w:tab w:val="right" w:pos="9026"/>
      </w:tabs>
      <w:spacing w:after="0"/>
    </w:pPr>
    <w:rPr>
      <w:sz w:val="15"/>
    </w:rPr>
  </w:style>
  <w:style w:type="character" w:customStyle="1" w:styleId="FooterChar">
    <w:name w:val="Footer Char"/>
    <w:aliases w:val="Foot note Char"/>
    <w:basedOn w:val="DefaultParagraphFont"/>
    <w:link w:val="Footer"/>
    <w:uiPriority w:val="99"/>
    <w:rsid w:val="0017738D"/>
    <w:rPr>
      <w:rFonts w:ascii="Segoe UI" w:hAnsi="Segoe UI"/>
      <w:sz w:val="15"/>
      <w:lang w:val="en-AU"/>
    </w:rPr>
  </w:style>
  <w:style w:type="paragraph" w:styleId="Caption">
    <w:name w:val="caption"/>
    <w:basedOn w:val="Normal"/>
    <w:next w:val="Normal"/>
    <w:link w:val="CaptionChar"/>
    <w:uiPriority w:val="35"/>
    <w:qFormat/>
    <w:rsid w:val="0017738D"/>
    <w:pPr>
      <w:keepNext/>
      <w:spacing w:before="240"/>
    </w:pPr>
    <w:rPr>
      <w:rFonts w:ascii="Segoe UI Semibold" w:hAnsi="Segoe UI Semibold"/>
      <w:bCs/>
      <w:color w:val="00264D" w:themeColor="background2"/>
      <w:szCs w:val="18"/>
    </w:rPr>
  </w:style>
  <w:style w:type="paragraph" w:customStyle="1" w:styleId="TableNBullet">
    <w:name w:val="Table N Bullet"/>
    <w:basedOn w:val="Bullet"/>
    <w:link w:val="TableNBulletChar"/>
    <w:uiPriority w:val="2"/>
    <w:qFormat/>
    <w:rsid w:val="00BB1D43"/>
    <w:pPr>
      <w:numPr>
        <w:numId w:val="1"/>
      </w:numPr>
      <w:spacing w:before="60" w:after="60"/>
    </w:pPr>
    <w:rPr>
      <w:sz w:val="17"/>
    </w:rPr>
  </w:style>
  <w:style w:type="paragraph" w:customStyle="1" w:styleId="TableNListnumbered">
    <w:name w:val="Table N List (numbered)"/>
    <w:basedOn w:val="TableNBullet"/>
    <w:uiPriority w:val="2"/>
    <w:qFormat/>
    <w:rsid w:val="00BB1D43"/>
    <w:pPr>
      <w:numPr>
        <w:numId w:val="11"/>
      </w:numPr>
    </w:pPr>
  </w:style>
  <w:style w:type="paragraph" w:customStyle="1" w:styleId="xAppendixLevel1">
    <w:name w:val="xAppendix Level 1"/>
    <w:basedOn w:val="Heading1"/>
    <w:next w:val="Normal"/>
    <w:uiPriority w:val="98"/>
    <w:qFormat/>
    <w:rsid w:val="00BB1D43"/>
    <w:pPr>
      <w:numPr>
        <w:numId w:val="12"/>
      </w:numPr>
    </w:pPr>
    <w:rPr>
      <w:bCs/>
      <w:sz w:val="44"/>
    </w:rPr>
  </w:style>
  <w:style w:type="paragraph" w:customStyle="1" w:styleId="xAppendixLevel2">
    <w:name w:val="xAppendix Level 2"/>
    <w:basedOn w:val="Heading2"/>
    <w:next w:val="Normal"/>
    <w:uiPriority w:val="98"/>
    <w:qFormat/>
    <w:rsid w:val="00BB1D43"/>
    <w:pPr>
      <w:numPr>
        <w:numId w:val="12"/>
      </w:numPr>
    </w:pPr>
    <w:rPr>
      <w:bCs/>
      <w:sz w:val="34"/>
    </w:rPr>
  </w:style>
  <w:style w:type="paragraph" w:customStyle="1" w:styleId="xAppendixLevel3">
    <w:name w:val="xAppendix Level 3"/>
    <w:basedOn w:val="Heading3"/>
    <w:next w:val="Normal"/>
    <w:uiPriority w:val="98"/>
    <w:qFormat/>
    <w:rsid w:val="00BB1D43"/>
    <w:pPr>
      <w:ind w:left="2268" w:hanging="2268"/>
    </w:pPr>
    <w:rPr>
      <w:bCs/>
    </w:rPr>
  </w:style>
  <w:style w:type="paragraph" w:customStyle="1" w:styleId="Listnumbered">
    <w:name w:val="List (numbered)"/>
    <w:basedOn w:val="Normal"/>
    <w:link w:val="ListnumberedChar"/>
    <w:uiPriority w:val="1"/>
    <w:qFormat/>
    <w:rsid w:val="00BB1D43"/>
    <w:pPr>
      <w:ind w:left="340" w:hanging="340"/>
    </w:pPr>
  </w:style>
  <w:style w:type="paragraph" w:customStyle="1" w:styleId="Source">
    <w:name w:val="Source"/>
    <w:basedOn w:val="Normal"/>
    <w:next w:val="Normal"/>
    <w:link w:val="SourceChar"/>
    <w:uiPriority w:val="39"/>
    <w:rsid w:val="0017738D"/>
    <w:pPr>
      <w:spacing w:before="120" w:after="240"/>
    </w:pPr>
    <w:rPr>
      <w:rFonts w:eastAsia="Times New Roman" w:cs="Times New Roman"/>
      <w:i/>
      <w:sz w:val="17"/>
      <w:szCs w:val="19"/>
      <w:lang w:eastAsia="en-AU"/>
    </w:rPr>
  </w:style>
  <w:style w:type="character" w:customStyle="1" w:styleId="SourceChar">
    <w:name w:val="Source Char"/>
    <w:basedOn w:val="DefaultParagraphFont"/>
    <w:link w:val="Source"/>
    <w:uiPriority w:val="39"/>
    <w:rsid w:val="0017738D"/>
    <w:rPr>
      <w:rFonts w:ascii="Segoe UI" w:eastAsia="Times New Roman" w:hAnsi="Segoe UI" w:cs="Times New Roman"/>
      <w:i/>
      <w:sz w:val="17"/>
      <w:szCs w:val="19"/>
      <w:lang w:val="en-AU" w:eastAsia="en-AU"/>
    </w:rPr>
  </w:style>
  <w:style w:type="paragraph" w:customStyle="1" w:styleId="TableExpbullet">
    <w:name w:val="Table Exp bullet"/>
    <w:basedOn w:val="Normal"/>
    <w:uiPriority w:val="3"/>
    <w:qFormat/>
    <w:rsid w:val="00BB1D43"/>
    <w:pPr>
      <w:numPr>
        <w:numId w:val="9"/>
      </w:numPr>
      <w:spacing w:before="60" w:after="60"/>
    </w:pPr>
    <w:rPr>
      <w:sz w:val="16"/>
    </w:rPr>
  </w:style>
  <w:style w:type="paragraph" w:customStyle="1" w:styleId="Tableexpheader">
    <w:name w:val="Table exp header"/>
    <w:basedOn w:val="Normal"/>
    <w:uiPriority w:val="3"/>
    <w:qFormat/>
    <w:rsid w:val="0017738D"/>
    <w:pPr>
      <w:spacing w:before="40" w:after="40" w:line="240" w:lineRule="auto"/>
    </w:pPr>
    <w:rPr>
      <w:rFonts w:ascii="Segoe UI Semibold" w:hAnsi="Segoe UI Semibold"/>
      <w:sz w:val="17"/>
    </w:rPr>
  </w:style>
  <w:style w:type="paragraph" w:customStyle="1" w:styleId="TableexpListnumbered">
    <w:name w:val="Table exp List (numbered)"/>
    <w:basedOn w:val="Normal"/>
    <w:uiPriority w:val="3"/>
    <w:qFormat/>
    <w:rsid w:val="00BB1D43"/>
    <w:pPr>
      <w:numPr>
        <w:numId w:val="15"/>
      </w:numPr>
      <w:spacing w:before="60" w:after="60"/>
    </w:pPr>
    <w:rPr>
      <w:sz w:val="16"/>
    </w:rPr>
  </w:style>
  <w:style w:type="paragraph" w:customStyle="1" w:styleId="TableExpText">
    <w:name w:val="Table Exp Text"/>
    <w:basedOn w:val="Normal"/>
    <w:uiPriority w:val="3"/>
    <w:qFormat/>
    <w:rsid w:val="0017738D"/>
    <w:rPr>
      <w:sz w:val="16"/>
    </w:rPr>
  </w:style>
  <w:style w:type="character" w:customStyle="1" w:styleId="Heading7Char">
    <w:name w:val="Heading 7 Char"/>
    <w:basedOn w:val="DefaultParagraphFont"/>
    <w:link w:val="Heading7"/>
    <w:uiPriority w:val="19"/>
    <w:semiHidden/>
    <w:rsid w:val="0017738D"/>
    <w:rPr>
      <w:rFonts w:ascii="Segoe UI" w:eastAsiaTheme="majorEastAsia" w:hAnsi="Segoe UI" w:cstheme="majorBidi"/>
      <w:i/>
      <w:iCs/>
      <w:color w:val="404040" w:themeColor="text1" w:themeTint="BF"/>
      <w:sz w:val="19"/>
      <w:lang w:val="en-AU"/>
    </w:rPr>
  </w:style>
  <w:style w:type="paragraph" w:customStyle="1" w:styleId="BioName">
    <w:name w:val="Bio Name"/>
    <w:basedOn w:val="Normal"/>
    <w:uiPriority w:val="97"/>
    <w:qFormat/>
    <w:rsid w:val="001326C3"/>
    <w:pPr>
      <w:spacing w:before="60" w:after="60" w:line="240" w:lineRule="auto"/>
      <w:jc w:val="center"/>
    </w:pPr>
    <w:rPr>
      <w:b/>
      <w:caps/>
      <w:color w:val="00264D" w:themeColor="background2"/>
      <w:szCs w:val="19"/>
    </w:rPr>
  </w:style>
  <w:style w:type="paragraph" w:customStyle="1" w:styleId="BioPosition">
    <w:name w:val="Bio Position"/>
    <w:basedOn w:val="Normal"/>
    <w:uiPriority w:val="97"/>
    <w:qFormat/>
    <w:rsid w:val="001326C3"/>
    <w:pPr>
      <w:spacing w:line="240" w:lineRule="auto"/>
      <w:jc w:val="center"/>
    </w:pPr>
    <w:rPr>
      <w:color w:val="00264D" w:themeColor="background2"/>
      <w:szCs w:val="19"/>
    </w:rPr>
  </w:style>
  <w:style w:type="paragraph" w:styleId="BalloonText">
    <w:name w:val="Balloon Text"/>
    <w:basedOn w:val="Normal"/>
    <w:link w:val="BalloonTextChar"/>
    <w:uiPriority w:val="99"/>
    <w:semiHidden/>
    <w:unhideWhenUsed/>
    <w:rsid w:val="001773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38D"/>
    <w:rPr>
      <w:rFonts w:ascii="Tahoma" w:hAnsi="Tahoma" w:cs="Tahoma"/>
      <w:sz w:val="16"/>
      <w:szCs w:val="16"/>
      <w:lang w:val="en-AU"/>
    </w:rPr>
  </w:style>
  <w:style w:type="table" w:styleId="LightList-Accent5">
    <w:name w:val="Light List Accent 5"/>
    <w:basedOn w:val="TableNormal"/>
    <w:uiPriority w:val="61"/>
    <w:rsid w:val="0017738D"/>
    <w:pPr>
      <w:spacing w:after="0" w:line="240" w:lineRule="auto"/>
    </w:pPr>
    <w:tblPr>
      <w:tblStyleRowBandSize w:val="1"/>
      <w:tblStyleColBandSize w:val="1"/>
      <w:tblBorders>
        <w:top w:val="single" w:sz="8" w:space="0" w:color="E6E6E1" w:themeColor="accent5"/>
        <w:left w:val="single" w:sz="8" w:space="0" w:color="E6E6E1" w:themeColor="accent5"/>
        <w:bottom w:val="single" w:sz="8" w:space="0" w:color="E6E6E1" w:themeColor="accent5"/>
        <w:right w:val="single" w:sz="8" w:space="0" w:color="E6E6E1" w:themeColor="accent5"/>
      </w:tblBorders>
    </w:tblPr>
    <w:tblStylePr w:type="firstRow">
      <w:pPr>
        <w:spacing w:before="0" w:after="0" w:line="240" w:lineRule="auto"/>
      </w:pPr>
      <w:rPr>
        <w:b/>
        <w:bCs/>
        <w:color w:val="FFFFFF" w:themeColor="background1"/>
      </w:rPr>
      <w:tblPr/>
      <w:tcPr>
        <w:shd w:val="clear" w:color="auto" w:fill="E6E6E1" w:themeFill="accent5"/>
      </w:tcPr>
    </w:tblStylePr>
    <w:tblStylePr w:type="lastRow">
      <w:pPr>
        <w:spacing w:before="0" w:after="0" w:line="240" w:lineRule="auto"/>
      </w:pPr>
      <w:rPr>
        <w:b/>
        <w:bCs/>
      </w:rPr>
      <w:tblPr/>
      <w:tcPr>
        <w:tcBorders>
          <w:top w:val="double" w:sz="6" w:space="0" w:color="E6E6E1" w:themeColor="accent5"/>
          <w:left w:val="single" w:sz="8" w:space="0" w:color="E6E6E1" w:themeColor="accent5"/>
          <w:bottom w:val="single" w:sz="8" w:space="0" w:color="E6E6E1" w:themeColor="accent5"/>
          <w:right w:val="single" w:sz="8" w:space="0" w:color="E6E6E1" w:themeColor="accent5"/>
        </w:tcBorders>
      </w:tcPr>
    </w:tblStylePr>
    <w:tblStylePr w:type="firstCol">
      <w:rPr>
        <w:b/>
        <w:bCs/>
      </w:rPr>
    </w:tblStylePr>
    <w:tblStylePr w:type="lastCol">
      <w:rPr>
        <w:b/>
        <w:bCs/>
      </w:rPr>
    </w:tblStylePr>
    <w:tblStylePr w:type="band1Vert">
      <w:tblPr/>
      <w:tcPr>
        <w:tcBorders>
          <w:top w:val="single" w:sz="8" w:space="0" w:color="E6E6E1" w:themeColor="accent5"/>
          <w:left w:val="single" w:sz="8" w:space="0" w:color="E6E6E1" w:themeColor="accent5"/>
          <w:bottom w:val="single" w:sz="8" w:space="0" w:color="E6E6E1" w:themeColor="accent5"/>
          <w:right w:val="single" w:sz="8" w:space="0" w:color="E6E6E1" w:themeColor="accent5"/>
        </w:tcBorders>
      </w:tcPr>
    </w:tblStylePr>
    <w:tblStylePr w:type="band1Horz">
      <w:tblPr/>
      <w:tcPr>
        <w:tcBorders>
          <w:top w:val="single" w:sz="8" w:space="0" w:color="E6E6E1" w:themeColor="accent5"/>
          <w:left w:val="single" w:sz="8" w:space="0" w:color="E6E6E1" w:themeColor="accent5"/>
          <w:bottom w:val="single" w:sz="8" w:space="0" w:color="E6E6E1" w:themeColor="accent5"/>
          <w:right w:val="single" w:sz="8" w:space="0" w:color="E6E6E1" w:themeColor="accent5"/>
        </w:tcBorders>
      </w:tcPr>
    </w:tblStylePr>
  </w:style>
  <w:style w:type="table" w:styleId="MediumShading1-Accent5">
    <w:name w:val="Medium Shading 1 Accent 5"/>
    <w:basedOn w:val="TableNormal"/>
    <w:uiPriority w:val="63"/>
    <w:rsid w:val="0017738D"/>
    <w:pPr>
      <w:spacing w:after="0" w:line="240" w:lineRule="auto"/>
    </w:pPr>
    <w:tblPr>
      <w:tblStyleRowBandSize w:val="1"/>
      <w:tblStyleColBandSize w:val="1"/>
      <w:tblBorders>
        <w:top w:val="single" w:sz="8" w:space="0" w:color="ECECE8" w:themeColor="accent5" w:themeTint="BF"/>
        <w:left w:val="single" w:sz="8" w:space="0" w:color="ECECE8" w:themeColor="accent5" w:themeTint="BF"/>
        <w:bottom w:val="single" w:sz="8" w:space="0" w:color="ECECE8" w:themeColor="accent5" w:themeTint="BF"/>
        <w:right w:val="single" w:sz="8" w:space="0" w:color="ECECE8" w:themeColor="accent5" w:themeTint="BF"/>
        <w:insideH w:val="single" w:sz="8" w:space="0" w:color="ECECE8" w:themeColor="accent5" w:themeTint="BF"/>
      </w:tblBorders>
    </w:tblPr>
    <w:tblStylePr w:type="firstRow">
      <w:pPr>
        <w:spacing w:before="0" w:after="0" w:line="240" w:lineRule="auto"/>
      </w:pPr>
      <w:rPr>
        <w:b/>
        <w:bCs/>
        <w:color w:val="FFFFFF" w:themeColor="background1"/>
      </w:rPr>
      <w:tblPr/>
      <w:tcPr>
        <w:tcBorders>
          <w:top w:val="single" w:sz="8" w:space="0" w:color="ECECE8" w:themeColor="accent5" w:themeTint="BF"/>
          <w:left w:val="single" w:sz="8" w:space="0" w:color="ECECE8" w:themeColor="accent5" w:themeTint="BF"/>
          <w:bottom w:val="single" w:sz="8" w:space="0" w:color="ECECE8" w:themeColor="accent5" w:themeTint="BF"/>
          <w:right w:val="single" w:sz="8" w:space="0" w:color="ECECE8" w:themeColor="accent5" w:themeTint="BF"/>
          <w:insideH w:val="nil"/>
          <w:insideV w:val="nil"/>
        </w:tcBorders>
        <w:shd w:val="clear" w:color="auto" w:fill="E6E6E1" w:themeFill="accent5"/>
      </w:tcPr>
    </w:tblStylePr>
    <w:tblStylePr w:type="lastRow">
      <w:pPr>
        <w:spacing w:before="0" w:after="0" w:line="240" w:lineRule="auto"/>
      </w:pPr>
      <w:rPr>
        <w:b/>
        <w:bCs/>
      </w:rPr>
      <w:tblPr/>
      <w:tcPr>
        <w:tcBorders>
          <w:top w:val="double" w:sz="6" w:space="0" w:color="ECECE8" w:themeColor="accent5" w:themeTint="BF"/>
          <w:left w:val="single" w:sz="8" w:space="0" w:color="ECECE8" w:themeColor="accent5" w:themeTint="BF"/>
          <w:bottom w:val="single" w:sz="8" w:space="0" w:color="ECECE8" w:themeColor="accent5" w:themeTint="BF"/>
          <w:right w:val="single" w:sz="8" w:space="0" w:color="ECECE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8F8F7" w:themeFill="accent5" w:themeFillTint="3F"/>
      </w:tcPr>
    </w:tblStylePr>
    <w:tblStylePr w:type="band1Horz">
      <w:tblPr/>
      <w:tcPr>
        <w:tcBorders>
          <w:insideH w:val="nil"/>
          <w:insideV w:val="nil"/>
        </w:tcBorders>
        <w:shd w:val="clear" w:color="auto" w:fill="F8F8F7" w:themeFill="accent5" w:themeFillTint="3F"/>
      </w:tcPr>
    </w:tblStylePr>
    <w:tblStylePr w:type="band2Horz">
      <w:tblPr/>
      <w:tcPr>
        <w:tcBorders>
          <w:insideH w:val="nil"/>
          <w:insideV w:val="nil"/>
        </w:tcBorders>
      </w:tcPr>
    </w:tblStylePr>
  </w:style>
  <w:style w:type="character" w:customStyle="1" w:styleId="TableNBulletChar">
    <w:name w:val="Table N Bullet Char"/>
    <w:basedOn w:val="DefaultParagraphFont"/>
    <w:link w:val="TableNBullet"/>
    <w:uiPriority w:val="2"/>
    <w:rsid w:val="001F189F"/>
    <w:rPr>
      <w:rFonts w:ascii="Segoe UI" w:eastAsia="Times New Roman" w:hAnsi="Segoe UI" w:cs="Times New Roman"/>
      <w:sz w:val="17"/>
      <w:szCs w:val="19"/>
      <w:lang w:val="en-AU" w:eastAsia="en-AU"/>
    </w:rPr>
  </w:style>
  <w:style w:type="table" w:styleId="TableGrid">
    <w:name w:val="Table Grid"/>
    <w:aliases w:val="Nous Table,Table,NOUS,NOUS Side Header"/>
    <w:basedOn w:val="TableNormal"/>
    <w:uiPriority w:val="39"/>
    <w:rsid w:val="00BB1D43"/>
    <w:pPr>
      <w:spacing w:after="0" w:line="240" w:lineRule="auto"/>
    </w:pPr>
    <w:rPr>
      <w:rFonts w:ascii="Segoe UI" w:hAnsi="Segoe UI"/>
      <w:sz w:val="17"/>
    </w:rPr>
    <w:tblPr>
      <w:tblStyleRowBandSize w:val="1"/>
      <w:tblBorders>
        <w:top w:val="single" w:sz="8" w:space="0" w:color="E6E6E1" w:themeColor="accent5"/>
        <w:bottom w:val="single" w:sz="8" w:space="0" w:color="E6E6E1" w:themeColor="accent5"/>
        <w:insideH w:val="single" w:sz="8" w:space="0" w:color="E6E6E1" w:themeColor="accent5"/>
      </w:tblBorders>
      <w:tblCellMar>
        <w:top w:w="57" w:type="dxa"/>
        <w:left w:w="85" w:type="dxa"/>
        <w:bottom w:w="57" w:type="dxa"/>
        <w:right w:w="85" w:type="dxa"/>
      </w:tblCellMar>
    </w:tblPr>
    <w:tcPr>
      <w:vAlign w:val="center"/>
    </w:tcPr>
    <w:tblStylePr w:type="firstRow">
      <w:pPr>
        <w:jc w:val="left"/>
      </w:pPr>
      <w:rPr>
        <w:rFonts w:ascii="Sitka Display" w:hAnsi="Sitka Display"/>
        <w:b w:val="0"/>
        <w:color w:val="00264D" w:themeColor="background2"/>
        <w:sz w:val="18"/>
      </w:rPr>
      <w:tblPr/>
      <w:trPr>
        <w:cantSplit/>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6E6E1" w:themeFill="accent5"/>
      </w:tcPr>
    </w:tblStylePr>
    <w:tblStylePr w:type="band1Horz">
      <w:rPr>
        <w:rFonts w:ascii="Sitka Display" w:hAnsi="Sitka Display"/>
        <w:sz w:val="17"/>
      </w:rPr>
    </w:tblStylePr>
    <w:tblStylePr w:type="band2Horz">
      <w:rPr>
        <w:rFonts w:ascii="Sitka Display" w:hAnsi="Sitka Display"/>
        <w:sz w:val="17"/>
      </w:rPr>
    </w:tblStylePr>
  </w:style>
  <w:style w:type="character" w:customStyle="1" w:styleId="BulletChar">
    <w:name w:val="Bullet Char"/>
    <w:aliases w:val="List Paragraph Char,1st List Paragraph Char,List Paragraph1 Char,Recommendation Char,Body text Char,Bullet Point Char,Bullet point Char,Bulletr List Paragraph Char,Content descriptions Char,FooterText Char,L Char,List Bullet 1 Char"/>
    <w:basedOn w:val="DefaultParagraphFont"/>
    <w:link w:val="Bullet"/>
    <w:uiPriority w:val="2"/>
    <w:rsid w:val="0017738D"/>
    <w:rPr>
      <w:rFonts w:ascii="Segoe UI" w:eastAsia="Times New Roman" w:hAnsi="Segoe UI" w:cs="Times New Roman"/>
      <w:sz w:val="19"/>
      <w:szCs w:val="19"/>
      <w:lang w:val="en-AU" w:eastAsia="en-AU"/>
    </w:rPr>
  </w:style>
  <w:style w:type="paragraph" w:styleId="NoteHeading">
    <w:name w:val="Note Heading"/>
    <w:basedOn w:val="Normal"/>
    <w:next w:val="Normal"/>
    <w:link w:val="NoteHeadingChar"/>
    <w:uiPriority w:val="99"/>
    <w:unhideWhenUsed/>
    <w:rsid w:val="007A7B9F"/>
    <w:pPr>
      <w:pBdr>
        <w:top w:val="single" w:sz="18" w:space="1" w:color="E6E6E1" w:themeColor="accent5"/>
        <w:bottom w:val="single" w:sz="18" w:space="1" w:color="E6E6E1" w:themeColor="accent5"/>
      </w:pBdr>
      <w:spacing w:before="120" w:line="276" w:lineRule="auto"/>
    </w:pPr>
  </w:style>
  <w:style w:type="character" w:customStyle="1" w:styleId="NoteHeadingChar">
    <w:name w:val="Note Heading Char"/>
    <w:basedOn w:val="DefaultParagraphFont"/>
    <w:link w:val="NoteHeading"/>
    <w:uiPriority w:val="99"/>
    <w:rsid w:val="007A7B9F"/>
    <w:rPr>
      <w:rFonts w:ascii="Segoe UI" w:hAnsi="Segoe UI"/>
      <w:sz w:val="19"/>
      <w:lang w:val="en-AU"/>
    </w:rPr>
  </w:style>
  <w:style w:type="paragraph" w:customStyle="1" w:styleId="URL-nous">
    <w:name w:val="URL - nous"/>
    <w:basedOn w:val="Normal"/>
    <w:link w:val="URL-nousChar"/>
    <w:uiPriority w:val="89"/>
    <w:semiHidden/>
    <w:qFormat/>
    <w:rsid w:val="0017738D"/>
    <w:pPr>
      <w:spacing w:after="0"/>
    </w:pPr>
    <w:rPr>
      <w:rFonts w:eastAsia="Times New Roman" w:cs="Times New Roman"/>
      <w:color w:val="FF3A40" w:themeColor="accent1"/>
      <w:spacing w:val="20"/>
      <w:sz w:val="14"/>
      <w:szCs w:val="19"/>
      <w:lang w:eastAsia="en-AU"/>
    </w:rPr>
  </w:style>
  <w:style w:type="character" w:customStyle="1" w:styleId="URL-nousChar">
    <w:name w:val="URL - nous Char"/>
    <w:basedOn w:val="DefaultParagraphFont"/>
    <w:link w:val="URL-nous"/>
    <w:uiPriority w:val="89"/>
    <w:semiHidden/>
    <w:rsid w:val="0017738D"/>
    <w:rPr>
      <w:rFonts w:ascii="Segoe UI" w:eastAsia="Times New Roman" w:hAnsi="Segoe UI" w:cs="Times New Roman"/>
      <w:color w:val="FF3A40" w:themeColor="accent1"/>
      <w:spacing w:val="20"/>
      <w:sz w:val="14"/>
      <w:szCs w:val="19"/>
      <w:lang w:val="en-AU" w:eastAsia="en-AU"/>
    </w:rPr>
  </w:style>
  <w:style w:type="table" w:customStyle="1" w:styleId="NousTableSide">
    <w:name w:val="Nous Table_Side"/>
    <w:basedOn w:val="TableNormal"/>
    <w:uiPriority w:val="99"/>
    <w:rsid w:val="007929C4"/>
    <w:pPr>
      <w:spacing w:after="0" w:line="240" w:lineRule="auto"/>
    </w:pPr>
    <w:rPr>
      <w:rFonts w:ascii="Segoe UI" w:hAnsi="Segoe UI"/>
      <w:sz w:val="17"/>
    </w:rPr>
    <w:tblPr>
      <w:tblBorders>
        <w:top w:val="single" w:sz="8" w:space="0" w:color="E6E6E1" w:themeColor="accent5"/>
        <w:bottom w:val="single" w:sz="8" w:space="0" w:color="E6E6E1" w:themeColor="accent5"/>
        <w:insideH w:val="single" w:sz="8" w:space="0" w:color="E6E6E1" w:themeColor="accent5"/>
      </w:tblBorders>
      <w:tblCellMar>
        <w:top w:w="57" w:type="dxa"/>
        <w:left w:w="85" w:type="dxa"/>
        <w:bottom w:w="57" w:type="dxa"/>
        <w:right w:w="85" w:type="dxa"/>
      </w:tblCellMar>
    </w:tblPr>
    <w:tblStylePr w:type="firstRow">
      <w:tblPr/>
      <w:tcPr>
        <w:shd w:val="clear" w:color="auto" w:fill="00264D" w:themeFill="background2"/>
      </w:tcPr>
    </w:tblStylePr>
    <w:tblStylePr w:type="firstCol">
      <w:pPr>
        <w:jc w:val="left"/>
      </w:pPr>
      <w:rPr>
        <w:rFonts w:ascii="Sitka Display" w:hAnsi="Sitka Display"/>
        <w:b w:val="0"/>
        <w:color w:val="00264D" w:themeColor="background2"/>
        <w:sz w:val="17"/>
      </w:rPr>
      <w:tblPr/>
      <w:tcPr>
        <w:shd w:val="clear" w:color="auto" w:fill="00264D" w:themeFill="background2"/>
      </w:tcPr>
    </w:tblStylePr>
  </w:style>
  <w:style w:type="character" w:customStyle="1" w:styleId="Heading8Char">
    <w:name w:val="Heading 8 Char"/>
    <w:basedOn w:val="DefaultParagraphFont"/>
    <w:link w:val="Heading8"/>
    <w:uiPriority w:val="19"/>
    <w:semiHidden/>
    <w:rsid w:val="0017738D"/>
    <w:rPr>
      <w:rFonts w:ascii="Segoe UI" w:eastAsiaTheme="majorEastAsia" w:hAnsi="Segoe UI" w:cstheme="majorBidi"/>
      <w:color w:val="404040" w:themeColor="text1" w:themeTint="BF"/>
      <w:sz w:val="20"/>
      <w:szCs w:val="20"/>
      <w:lang w:val="en-AU"/>
    </w:rPr>
  </w:style>
  <w:style w:type="character" w:styleId="Hyperlink">
    <w:name w:val="Hyperlink"/>
    <w:basedOn w:val="DefaultParagraphFont"/>
    <w:uiPriority w:val="99"/>
    <w:unhideWhenUsed/>
    <w:rsid w:val="0017738D"/>
    <w:rPr>
      <w:color w:val="00264D" w:themeColor="background2"/>
      <w:u w:val="single"/>
    </w:rPr>
  </w:style>
  <w:style w:type="table" w:customStyle="1" w:styleId="NousTableTopandside">
    <w:name w:val="Nous Table_Top and side"/>
    <w:basedOn w:val="TableNormal"/>
    <w:uiPriority w:val="99"/>
    <w:rsid w:val="00BB1D43"/>
    <w:pPr>
      <w:spacing w:after="0" w:line="240" w:lineRule="auto"/>
    </w:pPr>
    <w:tblPr>
      <w:tblBorders>
        <w:insideH w:val="single" w:sz="8" w:space="0" w:color="F9F9F9"/>
      </w:tblBorders>
      <w:tblCellMar>
        <w:top w:w="57" w:type="dxa"/>
        <w:left w:w="85" w:type="dxa"/>
        <w:bottom w:w="57" w:type="dxa"/>
        <w:right w:w="85" w:type="dxa"/>
      </w:tblCellMar>
    </w:tblPr>
    <w:tblStylePr w:type="firstRow">
      <w:pPr>
        <w:jc w:val="left"/>
      </w:pPr>
      <w:rPr>
        <w:rFonts w:ascii="Sitka Display" w:hAnsi="Sitka Display"/>
        <w:b w:val="0"/>
        <w:color w:val="00264D" w:themeColor="background2"/>
        <w:sz w:val="18"/>
      </w:rPr>
      <w:tblPr/>
      <w:tcPr>
        <w:tcBorders>
          <w:top w:val="single" w:sz="24" w:space="0" w:color="F8981D" w:themeColor="accent3"/>
          <w:insideV w:val="single" w:sz="8" w:space="0" w:color="FFFFFF" w:themeColor="background1"/>
        </w:tcBorders>
        <w:shd w:val="clear" w:color="auto" w:fill="E6E6E1" w:themeFill="accent5"/>
        <w:vAlign w:val="center"/>
      </w:tcPr>
    </w:tblStylePr>
    <w:tblStylePr w:type="firstCol">
      <w:pPr>
        <w:jc w:val="left"/>
      </w:pPr>
      <w:rPr>
        <w:rFonts w:ascii="Sitka Display" w:hAnsi="Sitka Display"/>
        <w:b w:val="0"/>
        <w:color w:val="00264D" w:themeColor="background2"/>
        <w:sz w:val="18"/>
      </w:rPr>
      <w:tblPr/>
      <w:tcPr>
        <w:tcBorders>
          <w:left w:val="nil"/>
        </w:tcBorders>
        <w:shd w:val="clear" w:color="auto" w:fill="E6E6E1" w:themeFill="accent5"/>
      </w:tcPr>
    </w:tblStylePr>
  </w:style>
  <w:style w:type="paragraph" w:customStyle="1" w:styleId="BioHeading">
    <w:name w:val="Bio Heading"/>
    <w:basedOn w:val="TableNText"/>
    <w:uiPriority w:val="97"/>
    <w:rsid w:val="0017738D"/>
    <w:pPr>
      <w:spacing w:before="240" w:after="120" w:line="240" w:lineRule="auto"/>
    </w:pPr>
    <w:rPr>
      <w:color w:val="00264D" w:themeColor="background2"/>
      <w:sz w:val="19"/>
      <w:szCs w:val="19"/>
    </w:rPr>
  </w:style>
  <w:style w:type="paragraph" w:customStyle="1" w:styleId="Sectionintroduction">
    <w:name w:val="Section introduction"/>
    <w:link w:val="SectionintroductionChar"/>
    <w:uiPriority w:val="21"/>
    <w:qFormat/>
    <w:rsid w:val="0017738D"/>
    <w:pPr>
      <w:spacing w:before="120" w:after="120"/>
    </w:pPr>
    <w:rPr>
      <w:rFonts w:ascii="Segoe UI Semilight" w:hAnsi="Segoe UI Semilight"/>
      <w:color w:val="00264D" w:themeColor="background2"/>
      <w:sz w:val="21"/>
      <w:szCs w:val="21"/>
      <w:lang w:val="en-AU"/>
    </w:rPr>
  </w:style>
  <w:style w:type="paragraph" w:customStyle="1" w:styleId="Callout">
    <w:name w:val="Call out"/>
    <w:uiPriority w:val="98"/>
    <w:qFormat/>
    <w:rsid w:val="007A7B9F"/>
    <w:pPr>
      <w:pBdr>
        <w:top w:val="single" w:sz="18" w:space="4" w:color="E6E6E1" w:themeColor="accent5"/>
      </w:pBdr>
    </w:pPr>
    <w:rPr>
      <w:rFonts w:ascii="Segoe UI Semilight" w:hAnsi="Segoe UI Semilight"/>
      <w:i/>
      <w:color w:val="00264D" w:themeColor="background2"/>
      <w:kern w:val="24"/>
      <w:lang w:val="en-AU"/>
    </w:rPr>
  </w:style>
  <w:style w:type="paragraph" w:customStyle="1" w:styleId="Longformcallout">
    <w:name w:val="Long form callout"/>
    <w:basedOn w:val="Normal"/>
    <w:uiPriority w:val="20"/>
    <w:qFormat/>
    <w:rsid w:val="0017738D"/>
    <w:pPr>
      <w:spacing w:before="60" w:after="60" w:line="240" w:lineRule="auto"/>
    </w:pPr>
    <w:rPr>
      <w:color w:val="00264D" w:themeColor="background2"/>
      <w:szCs w:val="19"/>
      <w:lang w:eastAsia="en-AU"/>
    </w:rPr>
  </w:style>
  <w:style w:type="paragraph" w:customStyle="1" w:styleId="longformcalloutbullet">
    <w:name w:val="long form call out bullet"/>
    <w:basedOn w:val="Longformcallout"/>
    <w:uiPriority w:val="20"/>
    <w:qFormat/>
    <w:rsid w:val="00BB1D43"/>
    <w:pPr>
      <w:numPr>
        <w:numId w:val="7"/>
      </w:numPr>
    </w:pPr>
  </w:style>
  <w:style w:type="paragraph" w:customStyle="1" w:styleId="longformcalloutnumber">
    <w:name w:val="long form callout number"/>
    <w:basedOn w:val="longformcalloutbullet"/>
    <w:uiPriority w:val="20"/>
    <w:qFormat/>
    <w:rsid w:val="00BB1D43"/>
    <w:pPr>
      <w:numPr>
        <w:numId w:val="8"/>
      </w:numPr>
    </w:pPr>
  </w:style>
  <w:style w:type="paragraph" w:customStyle="1" w:styleId="NousFooter">
    <w:name w:val="Nous Footer"/>
    <w:basedOn w:val="Normal"/>
    <w:uiPriority w:val="96"/>
    <w:qFormat/>
    <w:rsid w:val="007D7202"/>
    <w:pPr>
      <w:spacing w:after="0"/>
    </w:pPr>
    <w:rPr>
      <w:sz w:val="15"/>
      <w:szCs w:val="15"/>
      <w:lang w:eastAsia="en-AU"/>
    </w:rPr>
  </w:style>
  <w:style w:type="paragraph" w:customStyle="1" w:styleId="ContentsHeading">
    <w:name w:val="Contents Heading"/>
    <w:basedOn w:val="Normal"/>
    <w:uiPriority w:val="19"/>
    <w:rsid w:val="0017738D"/>
    <w:pPr>
      <w:spacing w:before="360" w:after="600" w:line="560" w:lineRule="exact"/>
    </w:pPr>
    <w:rPr>
      <w:rFonts w:eastAsia="Times New Roman" w:cs="Segoe UI"/>
      <w:b/>
      <w:color w:val="00264D"/>
      <w:sz w:val="36"/>
      <w:szCs w:val="36"/>
      <w:lang w:eastAsia="en-AU"/>
    </w:rPr>
  </w:style>
  <w:style w:type="paragraph" w:styleId="TOC2">
    <w:name w:val="toc 2"/>
    <w:basedOn w:val="Normal"/>
    <w:next w:val="Normal"/>
    <w:autoRedefine/>
    <w:uiPriority w:val="39"/>
    <w:unhideWhenUsed/>
    <w:rsid w:val="0017738D"/>
    <w:pPr>
      <w:tabs>
        <w:tab w:val="left" w:pos="851"/>
        <w:tab w:val="right" w:leader="dot" w:pos="8920"/>
      </w:tabs>
      <w:spacing w:after="100" w:line="240" w:lineRule="auto"/>
      <w:ind w:left="426"/>
    </w:pPr>
    <w:rPr>
      <w:lang w:val="en-US"/>
    </w:rPr>
  </w:style>
  <w:style w:type="paragraph" w:styleId="TOC1">
    <w:name w:val="toc 1"/>
    <w:basedOn w:val="Normal"/>
    <w:next w:val="Normal"/>
    <w:autoRedefine/>
    <w:uiPriority w:val="39"/>
    <w:unhideWhenUsed/>
    <w:rsid w:val="00EE1D97"/>
    <w:pPr>
      <w:tabs>
        <w:tab w:val="left" w:pos="426"/>
        <w:tab w:val="left" w:pos="1134"/>
        <w:tab w:val="right" w:leader="dot" w:pos="8920"/>
      </w:tabs>
      <w:spacing w:after="100" w:line="240" w:lineRule="auto"/>
    </w:pPr>
    <w:rPr>
      <w:noProof/>
      <w:lang w:val="en-US"/>
    </w:rPr>
  </w:style>
  <w:style w:type="paragraph" w:customStyle="1" w:styleId="BioQualifications">
    <w:name w:val="Bio Qualifications"/>
    <w:basedOn w:val="Normal"/>
    <w:uiPriority w:val="97"/>
    <w:qFormat/>
    <w:rsid w:val="001326C3"/>
    <w:pPr>
      <w:spacing w:before="240" w:after="60" w:line="240" w:lineRule="auto"/>
      <w:jc w:val="center"/>
    </w:pPr>
    <w:rPr>
      <w:b/>
      <w:color w:val="00264D" w:themeColor="background2"/>
      <w:szCs w:val="17"/>
    </w:rPr>
  </w:style>
  <w:style w:type="character" w:styleId="CommentReference">
    <w:name w:val="annotation reference"/>
    <w:basedOn w:val="DefaultParagraphFont"/>
    <w:uiPriority w:val="99"/>
    <w:semiHidden/>
    <w:unhideWhenUsed/>
    <w:rsid w:val="0017738D"/>
    <w:rPr>
      <w:sz w:val="16"/>
      <w:szCs w:val="16"/>
    </w:rPr>
  </w:style>
  <w:style w:type="paragraph" w:styleId="CommentText">
    <w:name w:val="annotation text"/>
    <w:basedOn w:val="Normal"/>
    <w:link w:val="CommentTextChar"/>
    <w:uiPriority w:val="99"/>
    <w:unhideWhenUsed/>
    <w:rsid w:val="0017738D"/>
    <w:pPr>
      <w:spacing w:line="240" w:lineRule="auto"/>
    </w:pPr>
    <w:rPr>
      <w:sz w:val="20"/>
      <w:szCs w:val="20"/>
    </w:rPr>
  </w:style>
  <w:style w:type="character" w:customStyle="1" w:styleId="CommentTextChar">
    <w:name w:val="Comment Text Char"/>
    <w:basedOn w:val="DefaultParagraphFont"/>
    <w:link w:val="CommentText"/>
    <w:uiPriority w:val="99"/>
    <w:rsid w:val="0017738D"/>
    <w:rPr>
      <w:rFonts w:ascii="Segoe UI" w:hAnsi="Segoe UI"/>
      <w:sz w:val="20"/>
      <w:szCs w:val="20"/>
      <w:lang w:val="en-AU"/>
    </w:rPr>
  </w:style>
  <w:style w:type="paragraph" w:customStyle="1" w:styleId="introductionlist">
    <w:name w:val="introduction list"/>
    <w:basedOn w:val="Sectionintroduction"/>
    <w:uiPriority w:val="21"/>
    <w:qFormat/>
    <w:rsid w:val="00BB1D43"/>
    <w:pPr>
      <w:numPr>
        <w:numId w:val="5"/>
      </w:numPr>
      <w:spacing w:before="60"/>
    </w:pPr>
  </w:style>
  <w:style w:type="paragraph" w:customStyle="1" w:styleId="intoductionbullet">
    <w:name w:val="intoduction bullet"/>
    <w:basedOn w:val="Sectionintroduction"/>
    <w:link w:val="intoductionbulletChar"/>
    <w:uiPriority w:val="21"/>
    <w:qFormat/>
    <w:rsid w:val="00BB1D43"/>
    <w:pPr>
      <w:numPr>
        <w:numId w:val="4"/>
      </w:numPr>
    </w:pPr>
  </w:style>
  <w:style w:type="paragraph" w:customStyle="1" w:styleId="BioQualificationsText">
    <w:name w:val="Bio Qualifications Text"/>
    <w:basedOn w:val="Normal"/>
    <w:uiPriority w:val="97"/>
    <w:qFormat/>
    <w:rsid w:val="001326C3"/>
    <w:pPr>
      <w:spacing w:line="240" w:lineRule="auto"/>
      <w:jc w:val="center"/>
    </w:pPr>
  </w:style>
  <w:style w:type="paragraph" w:customStyle="1" w:styleId="Covertitle">
    <w:name w:val="Cover title"/>
    <w:basedOn w:val="Normal"/>
    <w:link w:val="CovertitleChar"/>
    <w:uiPriority w:val="99"/>
    <w:semiHidden/>
    <w:rsid w:val="0017738D"/>
    <w:pPr>
      <w:suppressAutoHyphens/>
      <w:spacing w:after="0" w:line="720" w:lineRule="exact"/>
    </w:pPr>
    <w:rPr>
      <w:rFonts w:eastAsia="Times New Roman" w:cs="Times New Roman"/>
      <w:color w:val="2E368F" w:themeColor="text2"/>
      <w:sz w:val="84"/>
      <w:szCs w:val="19"/>
      <w:lang w:eastAsia="en-AU"/>
    </w:rPr>
  </w:style>
  <w:style w:type="character" w:customStyle="1" w:styleId="CovertitleChar">
    <w:name w:val="Cover title Char"/>
    <w:basedOn w:val="DefaultParagraphFont"/>
    <w:link w:val="Covertitle"/>
    <w:uiPriority w:val="99"/>
    <w:semiHidden/>
    <w:rsid w:val="0017738D"/>
    <w:rPr>
      <w:rFonts w:ascii="Segoe UI" w:eastAsia="Times New Roman" w:hAnsi="Segoe UI" w:cs="Times New Roman"/>
      <w:color w:val="2E368F" w:themeColor="text2"/>
      <w:sz w:val="84"/>
      <w:szCs w:val="19"/>
      <w:lang w:val="en-AU" w:eastAsia="en-AU"/>
    </w:rPr>
  </w:style>
  <w:style w:type="paragraph" w:customStyle="1" w:styleId="CoverPage-Client">
    <w:name w:val="Cover Page - Client"/>
    <w:link w:val="CoverPage-ClientChar"/>
    <w:uiPriority w:val="99"/>
    <w:semiHidden/>
    <w:rsid w:val="007D7202"/>
    <w:pPr>
      <w:suppressAutoHyphens/>
      <w:spacing w:before="480" w:after="0" w:line="380" w:lineRule="exact"/>
    </w:pPr>
    <w:rPr>
      <w:rFonts w:ascii="Segoe UI" w:eastAsia="Times New Roman" w:hAnsi="Segoe UI" w:cs="Times New Roman"/>
      <w:b/>
      <w:color w:val="FFFFFF" w:themeColor="background1"/>
      <w:sz w:val="36"/>
      <w:szCs w:val="19"/>
      <w:lang w:val="en-AU" w:eastAsia="en-AU"/>
    </w:rPr>
  </w:style>
  <w:style w:type="character" w:customStyle="1" w:styleId="CoverPage-ClientChar">
    <w:name w:val="Cover Page - Client Char"/>
    <w:basedOn w:val="DefaultParagraphFont"/>
    <w:link w:val="CoverPage-Client"/>
    <w:uiPriority w:val="99"/>
    <w:semiHidden/>
    <w:rsid w:val="007D7202"/>
    <w:rPr>
      <w:rFonts w:ascii="Segoe UI" w:eastAsia="Times New Roman" w:hAnsi="Segoe UI" w:cs="Times New Roman"/>
      <w:b/>
      <w:color w:val="FFFFFF" w:themeColor="background1"/>
      <w:sz w:val="36"/>
      <w:szCs w:val="19"/>
      <w:lang w:val="en-AU" w:eastAsia="en-AU"/>
    </w:rPr>
  </w:style>
  <w:style w:type="paragraph" w:customStyle="1" w:styleId="CoverPage-Date">
    <w:name w:val="Cover Page - Date"/>
    <w:basedOn w:val="Normal"/>
    <w:link w:val="CoverPage-DateChar"/>
    <w:uiPriority w:val="99"/>
    <w:semiHidden/>
    <w:rsid w:val="0017738D"/>
    <w:pPr>
      <w:suppressAutoHyphens/>
      <w:spacing w:before="320" w:after="0" w:line="280" w:lineRule="exact"/>
    </w:pPr>
    <w:rPr>
      <w:rFonts w:eastAsia="Times New Roman" w:cs="Times New Roman"/>
      <w:color w:val="00264D" w:themeColor="background2"/>
      <w:sz w:val="24"/>
      <w:szCs w:val="19"/>
      <w:lang w:eastAsia="en-AU"/>
    </w:rPr>
  </w:style>
  <w:style w:type="character" w:customStyle="1" w:styleId="CoverPage-DateChar">
    <w:name w:val="Cover Page - Date Char"/>
    <w:basedOn w:val="DefaultParagraphFont"/>
    <w:link w:val="CoverPage-Date"/>
    <w:uiPriority w:val="99"/>
    <w:semiHidden/>
    <w:rsid w:val="0017738D"/>
    <w:rPr>
      <w:rFonts w:ascii="Segoe UI" w:eastAsia="Times New Roman" w:hAnsi="Segoe UI" w:cs="Times New Roman"/>
      <w:color w:val="00264D" w:themeColor="background2"/>
      <w:sz w:val="24"/>
      <w:szCs w:val="19"/>
      <w:lang w:val="en-AU" w:eastAsia="en-AU"/>
    </w:rPr>
  </w:style>
  <w:style w:type="character" w:styleId="PlaceholderText">
    <w:name w:val="Placeholder Text"/>
    <w:basedOn w:val="DefaultParagraphFont"/>
    <w:uiPriority w:val="99"/>
    <w:semiHidden/>
    <w:rsid w:val="0017738D"/>
    <w:rPr>
      <w:color w:val="808080"/>
    </w:rPr>
  </w:style>
  <w:style w:type="table" w:customStyle="1" w:styleId="Sectionintroductiontable">
    <w:name w:val="Section introduction table"/>
    <w:basedOn w:val="TableNormal"/>
    <w:uiPriority w:val="99"/>
    <w:rsid w:val="00BB1D43"/>
    <w:pPr>
      <w:spacing w:after="0" w:line="240" w:lineRule="auto"/>
    </w:pPr>
    <w:tblPr>
      <w:tblCellMar>
        <w:top w:w="113" w:type="dxa"/>
        <w:left w:w="0" w:type="dxa"/>
        <w:bottom w:w="113" w:type="dxa"/>
        <w:right w:w="0" w:type="dxa"/>
      </w:tblCellMar>
    </w:tblPr>
    <w:tblStylePr w:type="firstRow">
      <w:pPr>
        <w:wordWrap/>
        <w:spacing w:beforeLines="0" w:before="0" w:beforeAutospacing="0" w:afterLines="0" w:after="0" w:afterAutospacing="0"/>
      </w:pPr>
      <w:rPr>
        <w:rFonts w:ascii="Sitka Display" w:hAnsi="Sitka Display"/>
        <w:color w:val="00264D" w:themeColor="background2"/>
        <w:sz w:val="21"/>
      </w:rPr>
      <w:tblPr/>
      <w:tcPr>
        <w:tcBorders>
          <w:top w:val="single" w:sz="8" w:space="0" w:color="00264D" w:themeColor="background2"/>
          <w:left w:val="nil"/>
          <w:bottom w:val="single" w:sz="8" w:space="0" w:color="00264D" w:themeColor="background2"/>
          <w:right w:val="nil"/>
        </w:tcBorders>
      </w:tcPr>
    </w:tblStylePr>
  </w:style>
  <w:style w:type="numbering" w:customStyle="1" w:styleId="Listnumberedmultilevel">
    <w:name w:val="List (numbered)_multilevel"/>
    <w:uiPriority w:val="99"/>
    <w:rsid w:val="0017738D"/>
    <w:pPr>
      <w:numPr>
        <w:numId w:val="6"/>
      </w:numPr>
    </w:pPr>
  </w:style>
  <w:style w:type="numbering" w:customStyle="1" w:styleId="TableexpListnumberedmultilevel">
    <w:name w:val="Table exp List (numbered) multilevel"/>
    <w:uiPriority w:val="99"/>
    <w:rsid w:val="0017738D"/>
    <w:pPr>
      <w:numPr>
        <w:numId w:val="3"/>
      </w:numPr>
    </w:pPr>
  </w:style>
  <w:style w:type="numbering" w:customStyle="1" w:styleId="TableNListnumberedmultilevel">
    <w:name w:val="Table N List (numbered) multilevel"/>
    <w:uiPriority w:val="99"/>
    <w:rsid w:val="0017738D"/>
    <w:pPr>
      <w:numPr>
        <w:numId w:val="11"/>
      </w:numPr>
    </w:pPr>
  </w:style>
  <w:style w:type="table" w:customStyle="1" w:styleId="NousLongformcallout">
    <w:name w:val="Nous_Long form call out"/>
    <w:basedOn w:val="TableNormal"/>
    <w:uiPriority w:val="99"/>
    <w:rsid w:val="0017738D"/>
    <w:pPr>
      <w:spacing w:after="0" w:line="240" w:lineRule="auto"/>
    </w:pPr>
    <w:rPr>
      <w:color w:val="00264D" w:themeColor="background2"/>
    </w:rPr>
    <w:tblPr>
      <w:tblBorders>
        <w:left w:val="single" w:sz="18" w:space="0" w:color="F8981D" w:themeColor="accent3"/>
      </w:tblBorders>
      <w:tblCellMar>
        <w:top w:w="113" w:type="dxa"/>
        <w:bottom w:w="113" w:type="dxa"/>
      </w:tblCellMar>
    </w:tblPr>
    <w:tcPr>
      <w:shd w:val="clear" w:color="auto" w:fill="E6E6E1" w:themeFill="accent5"/>
    </w:tcPr>
  </w:style>
  <w:style w:type="paragraph" w:styleId="FootnoteText">
    <w:name w:val="footnote text"/>
    <w:basedOn w:val="Normal"/>
    <w:link w:val="FootnoteTextChar"/>
    <w:uiPriority w:val="99"/>
    <w:unhideWhenUsed/>
    <w:qFormat/>
    <w:rsid w:val="00FF0077"/>
    <w:pPr>
      <w:spacing w:after="0" w:line="240" w:lineRule="auto"/>
    </w:pPr>
    <w:rPr>
      <w:sz w:val="13"/>
      <w:szCs w:val="18"/>
    </w:rPr>
  </w:style>
  <w:style w:type="character" w:customStyle="1" w:styleId="FootnoteTextChar">
    <w:name w:val="Footnote Text Char"/>
    <w:basedOn w:val="DefaultParagraphFont"/>
    <w:link w:val="FootnoteText"/>
    <w:uiPriority w:val="99"/>
    <w:rsid w:val="00FF0077"/>
    <w:rPr>
      <w:rFonts w:ascii="Segoe UI" w:hAnsi="Segoe UI"/>
      <w:sz w:val="13"/>
      <w:szCs w:val="18"/>
      <w:lang w:val="en-AU"/>
    </w:rPr>
  </w:style>
  <w:style w:type="paragraph" w:customStyle="1" w:styleId="CaseStudytitle">
    <w:name w:val="Case Study title"/>
    <w:basedOn w:val="Normal"/>
    <w:uiPriority w:val="98"/>
    <w:qFormat/>
    <w:rsid w:val="0017738D"/>
    <w:pPr>
      <w:spacing w:line="240" w:lineRule="auto"/>
    </w:pPr>
    <w:rPr>
      <w:rFonts w:asciiTheme="majorHAnsi" w:hAnsiTheme="majorHAnsi"/>
      <w:caps/>
      <w:color w:val="F25E21" w:themeColor="accent2"/>
      <w:sz w:val="24"/>
    </w:rPr>
  </w:style>
  <w:style w:type="character" w:customStyle="1" w:styleId="TableNTextChar">
    <w:name w:val="Table N Text Char"/>
    <w:basedOn w:val="DefaultParagraphFont"/>
    <w:link w:val="TableNText"/>
    <w:uiPriority w:val="2"/>
    <w:rsid w:val="007D7202"/>
    <w:rPr>
      <w:rFonts w:ascii="Segoe UI" w:hAnsi="Segoe UI"/>
      <w:sz w:val="17"/>
      <w:lang w:val="en-AU"/>
    </w:rPr>
  </w:style>
  <w:style w:type="paragraph" w:customStyle="1" w:styleId="introductionbullet2indent">
    <w:name w:val="introduction bullet (2) indent"/>
    <w:basedOn w:val="intoductionbullet"/>
    <w:link w:val="introductionbullet2indentChar"/>
    <w:qFormat/>
    <w:rsid w:val="00BA1E80"/>
    <w:pPr>
      <w:pBdr>
        <w:top w:val="single" w:sz="18" w:space="1" w:color="E6E6E1" w:themeColor="accent5"/>
        <w:bottom w:val="single" w:sz="18" w:space="1" w:color="E6E6E1" w:themeColor="accent5"/>
      </w:pBdr>
      <w:spacing w:after="0" w:line="240" w:lineRule="auto"/>
      <w:ind w:left="0" w:firstLine="284"/>
    </w:pPr>
  </w:style>
  <w:style w:type="paragraph" w:styleId="CommentSubject">
    <w:name w:val="annotation subject"/>
    <w:basedOn w:val="CommentText"/>
    <w:next w:val="CommentText"/>
    <w:link w:val="CommentSubjectChar"/>
    <w:uiPriority w:val="99"/>
    <w:semiHidden/>
    <w:unhideWhenUsed/>
    <w:rsid w:val="006E78FF"/>
    <w:rPr>
      <w:b/>
      <w:bCs/>
    </w:rPr>
  </w:style>
  <w:style w:type="character" w:customStyle="1" w:styleId="CommentSubjectChar">
    <w:name w:val="Comment Subject Char"/>
    <w:basedOn w:val="CommentTextChar"/>
    <w:link w:val="CommentSubject"/>
    <w:uiPriority w:val="99"/>
    <w:semiHidden/>
    <w:rsid w:val="006E78FF"/>
    <w:rPr>
      <w:rFonts w:ascii="Segoe UI" w:hAnsi="Segoe UI"/>
      <w:b/>
      <w:bCs/>
      <w:sz w:val="20"/>
      <w:szCs w:val="20"/>
      <w:lang w:val="en-AU"/>
    </w:rPr>
  </w:style>
  <w:style w:type="paragraph" w:styleId="TOC3">
    <w:name w:val="toc 3"/>
    <w:basedOn w:val="Normal"/>
    <w:next w:val="Normal"/>
    <w:autoRedefine/>
    <w:uiPriority w:val="39"/>
    <w:unhideWhenUsed/>
    <w:rsid w:val="00496A92"/>
    <w:pPr>
      <w:spacing w:after="100"/>
      <w:ind w:left="380"/>
    </w:pPr>
  </w:style>
  <w:style w:type="character" w:styleId="UnresolvedMention">
    <w:name w:val="Unresolved Mention"/>
    <w:basedOn w:val="DefaultParagraphFont"/>
    <w:uiPriority w:val="99"/>
    <w:unhideWhenUsed/>
    <w:rsid w:val="00694BEB"/>
    <w:rPr>
      <w:color w:val="605E5C"/>
      <w:shd w:val="clear" w:color="auto" w:fill="E1DFDD"/>
    </w:rPr>
  </w:style>
  <w:style w:type="character" w:styleId="FootnoteReference">
    <w:name w:val="footnote reference"/>
    <w:basedOn w:val="DefaultParagraphFont"/>
    <w:uiPriority w:val="99"/>
    <w:unhideWhenUsed/>
    <w:qFormat/>
    <w:rsid w:val="00A56200"/>
    <w:rPr>
      <w:vertAlign w:val="superscript"/>
    </w:rPr>
  </w:style>
  <w:style w:type="table" w:customStyle="1" w:styleId="AEMO1">
    <w:name w:val="AEMO1"/>
    <w:basedOn w:val="TableNormal"/>
    <w:next w:val="TableGrid"/>
    <w:uiPriority w:val="39"/>
    <w:rsid w:val="00A56200"/>
    <w:pPr>
      <w:spacing w:after="0" w:line="240" w:lineRule="auto"/>
    </w:pPr>
    <w:rPr>
      <w:rFonts w:ascii="Segoe UI" w:hAnsi="Segoe UI"/>
      <w:sz w:val="17"/>
    </w:rPr>
    <w:tblPr>
      <w:tblStyleRowBandSize w:val="1"/>
      <w:tblBorders>
        <w:top w:val="single" w:sz="8" w:space="0" w:color="E6E6E1" w:themeColor="accent5"/>
        <w:bottom w:val="single" w:sz="8" w:space="0" w:color="E6E6E1" w:themeColor="accent5"/>
        <w:insideH w:val="single" w:sz="8" w:space="0" w:color="E6E6E1" w:themeColor="accent5"/>
      </w:tblBorders>
      <w:tblCellMar>
        <w:top w:w="57" w:type="dxa"/>
        <w:left w:w="85" w:type="dxa"/>
        <w:bottom w:w="57" w:type="dxa"/>
        <w:right w:w="85" w:type="dxa"/>
      </w:tblCellMar>
    </w:tblPr>
    <w:tcPr>
      <w:vAlign w:val="center"/>
    </w:tcPr>
    <w:tblStylePr w:type="firstRow">
      <w:pPr>
        <w:jc w:val="left"/>
      </w:pPr>
      <w:rPr>
        <w:rFonts w:ascii="Sitka Display" w:hAnsi="Sitka Display"/>
        <w:b w:val="0"/>
        <w:color w:val="00264D" w:themeColor="background2"/>
        <w:sz w:val="18"/>
      </w:rPr>
      <w:tblPr/>
      <w:trPr>
        <w:cantSplit/>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6E6E1" w:themeFill="accent5"/>
      </w:tcPr>
    </w:tblStylePr>
    <w:tblStylePr w:type="band1Horz">
      <w:rPr>
        <w:rFonts w:ascii="Sitka Display" w:hAnsi="Sitka Display"/>
        <w:sz w:val="17"/>
      </w:rPr>
    </w:tblStylePr>
    <w:tblStylePr w:type="band2Horz">
      <w:rPr>
        <w:rFonts w:ascii="Sitka Display" w:hAnsi="Sitka Display"/>
        <w:sz w:val="17"/>
      </w:rPr>
    </w:tblStylePr>
  </w:style>
  <w:style w:type="character" w:styleId="Mention">
    <w:name w:val="Mention"/>
    <w:basedOn w:val="DefaultParagraphFont"/>
    <w:uiPriority w:val="99"/>
    <w:unhideWhenUsed/>
    <w:rsid w:val="000E283B"/>
    <w:rPr>
      <w:color w:val="2B579A"/>
      <w:shd w:val="clear" w:color="auto" w:fill="E1DFDD"/>
    </w:rPr>
  </w:style>
  <w:style w:type="paragraph" w:styleId="Subtitle">
    <w:name w:val="Subtitle"/>
    <w:basedOn w:val="Normal"/>
    <w:next w:val="Normal"/>
    <w:link w:val="SubtitleChar"/>
    <w:uiPriority w:val="11"/>
    <w:rsid w:val="00775486"/>
    <w:pPr>
      <w:numPr>
        <w:ilvl w:val="1"/>
      </w:numPr>
      <w:spacing w:after="160"/>
    </w:pPr>
    <w:rPr>
      <w:rFonts w:asciiTheme="minorHAnsi" w:eastAsiaTheme="minorEastAsia" w:hAnsiTheme="minorHAnsi"/>
      <w:color w:val="5A5A5A" w:themeColor="text1" w:themeTint="A5"/>
      <w:spacing w:val="15"/>
      <w:sz w:val="22"/>
    </w:rPr>
  </w:style>
  <w:style w:type="character" w:customStyle="1" w:styleId="SectionintroductionChar">
    <w:name w:val="Section introduction Char"/>
    <w:basedOn w:val="DefaultParagraphFont"/>
    <w:link w:val="Sectionintroduction"/>
    <w:uiPriority w:val="21"/>
    <w:rsid w:val="00B125C9"/>
    <w:rPr>
      <w:rFonts w:ascii="Segoe UI Semilight" w:hAnsi="Segoe UI Semilight"/>
      <w:color w:val="00264D" w:themeColor="background2"/>
      <w:sz w:val="21"/>
      <w:szCs w:val="21"/>
      <w:lang w:val="en-AU"/>
    </w:rPr>
  </w:style>
  <w:style w:type="character" w:customStyle="1" w:styleId="intoductionbulletChar">
    <w:name w:val="intoduction bullet Char"/>
    <w:basedOn w:val="SectionintroductionChar"/>
    <w:link w:val="intoductionbullet"/>
    <w:uiPriority w:val="21"/>
    <w:rsid w:val="00B125C9"/>
    <w:rPr>
      <w:rFonts w:ascii="Segoe UI Semilight" w:hAnsi="Segoe UI Semilight"/>
      <w:color w:val="00264D" w:themeColor="background2"/>
      <w:sz w:val="21"/>
      <w:szCs w:val="21"/>
      <w:lang w:val="en-AU"/>
    </w:rPr>
  </w:style>
  <w:style w:type="paragraph" w:styleId="NormalWeb">
    <w:name w:val="Normal (Web)"/>
    <w:basedOn w:val="Normal"/>
    <w:uiPriority w:val="99"/>
    <w:unhideWhenUsed/>
    <w:rsid w:val="00BA359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17738D"/>
    <w:rPr>
      <w:color w:val="0048C7" w:themeColor="followedHyperlink"/>
      <w:u w:val="single"/>
    </w:rPr>
  </w:style>
  <w:style w:type="paragraph" w:customStyle="1" w:styleId="Default">
    <w:name w:val="Default"/>
    <w:rsid w:val="0089253D"/>
    <w:pPr>
      <w:autoSpaceDE w:val="0"/>
      <w:autoSpaceDN w:val="0"/>
      <w:adjustRightInd w:val="0"/>
      <w:spacing w:after="0" w:line="240" w:lineRule="auto"/>
    </w:pPr>
    <w:rPr>
      <w:rFonts w:ascii="Segoe UI" w:hAnsi="Segoe UI" w:cs="Segoe UI"/>
      <w:color w:val="000000"/>
      <w:sz w:val="24"/>
      <w:szCs w:val="24"/>
      <w:lang w:val="en-AU"/>
    </w:rPr>
  </w:style>
  <w:style w:type="table" w:styleId="ListTable4-Accent5">
    <w:name w:val="List Table 4 Accent 5"/>
    <w:basedOn w:val="TableNormal"/>
    <w:uiPriority w:val="49"/>
    <w:rsid w:val="00A3646F"/>
    <w:pPr>
      <w:spacing w:after="0" w:line="240" w:lineRule="auto"/>
    </w:pPr>
    <w:tblPr>
      <w:tblStyleRowBandSize w:val="1"/>
      <w:tblStyleColBandSize w:val="1"/>
      <w:tblBorders>
        <w:top w:val="single" w:sz="4" w:space="0" w:color="F0F0ED" w:themeColor="accent5" w:themeTint="99"/>
        <w:left w:val="single" w:sz="4" w:space="0" w:color="F0F0ED" w:themeColor="accent5" w:themeTint="99"/>
        <w:bottom w:val="single" w:sz="4" w:space="0" w:color="F0F0ED" w:themeColor="accent5" w:themeTint="99"/>
        <w:right w:val="single" w:sz="4" w:space="0" w:color="F0F0ED" w:themeColor="accent5" w:themeTint="99"/>
        <w:insideH w:val="single" w:sz="4" w:space="0" w:color="F0F0ED" w:themeColor="accent5" w:themeTint="99"/>
      </w:tblBorders>
    </w:tblPr>
    <w:tblStylePr w:type="firstRow">
      <w:rPr>
        <w:b/>
        <w:bCs/>
        <w:color w:val="FFFFFF" w:themeColor="background1"/>
      </w:rPr>
      <w:tblPr/>
      <w:tcPr>
        <w:tcBorders>
          <w:top w:val="single" w:sz="4" w:space="0" w:color="E6E6E1" w:themeColor="accent5"/>
          <w:left w:val="single" w:sz="4" w:space="0" w:color="E6E6E1" w:themeColor="accent5"/>
          <w:bottom w:val="single" w:sz="4" w:space="0" w:color="E6E6E1" w:themeColor="accent5"/>
          <w:right w:val="single" w:sz="4" w:space="0" w:color="E6E6E1" w:themeColor="accent5"/>
          <w:insideH w:val="nil"/>
        </w:tcBorders>
        <w:shd w:val="clear" w:color="auto" w:fill="E6E6E1" w:themeFill="accent5"/>
      </w:tcPr>
    </w:tblStylePr>
    <w:tblStylePr w:type="lastRow">
      <w:rPr>
        <w:b/>
        <w:bCs/>
      </w:rPr>
      <w:tblPr/>
      <w:tcPr>
        <w:tcBorders>
          <w:top w:val="double" w:sz="4" w:space="0" w:color="F0F0ED" w:themeColor="accent5" w:themeTint="99"/>
        </w:tcBorders>
      </w:tcPr>
    </w:tblStylePr>
    <w:tblStylePr w:type="firstCol">
      <w:rPr>
        <w:b/>
        <w:bCs/>
      </w:rPr>
    </w:tblStylePr>
    <w:tblStylePr w:type="lastCol">
      <w:rPr>
        <w:b/>
        <w:bCs/>
      </w:rPr>
    </w:tblStylePr>
    <w:tblStylePr w:type="band1Vert">
      <w:tblPr/>
      <w:tcPr>
        <w:shd w:val="clear" w:color="auto" w:fill="FAFAF9" w:themeFill="accent5" w:themeFillTint="33"/>
      </w:tcPr>
    </w:tblStylePr>
    <w:tblStylePr w:type="band1Horz">
      <w:tblPr/>
      <w:tcPr>
        <w:shd w:val="clear" w:color="auto" w:fill="FAFAF9" w:themeFill="accent5" w:themeFillTint="33"/>
      </w:tcPr>
    </w:tblStylePr>
  </w:style>
  <w:style w:type="paragraph" w:styleId="Revision">
    <w:name w:val="Revision"/>
    <w:hidden/>
    <w:uiPriority w:val="99"/>
    <w:semiHidden/>
    <w:rsid w:val="00A3646F"/>
    <w:pPr>
      <w:spacing w:after="0" w:line="240" w:lineRule="auto"/>
    </w:pPr>
    <w:rPr>
      <w:rFonts w:ascii="Segoe UI" w:hAnsi="Segoe UI"/>
      <w:sz w:val="19"/>
      <w:lang w:val="en-AU"/>
    </w:rPr>
  </w:style>
  <w:style w:type="table" w:customStyle="1" w:styleId="NOUS1">
    <w:name w:val="NOUS1"/>
    <w:basedOn w:val="TableNormal"/>
    <w:uiPriority w:val="99"/>
    <w:rsid w:val="00CB0C9C"/>
    <w:pPr>
      <w:spacing w:after="0" w:line="240" w:lineRule="auto"/>
    </w:pPr>
    <w:rPr>
      <w:rFonts w:ascii="Segoe UI" w:hAnsi="Segoe UI"/>
      <w:sz w:val="17"/>
    </w:rPr>
    <w:tblPr>
      <w:tblBorders>
        <w:bottom w:val="single" w:sz="8" w:space="0" w:color="E6E6E1" w:themeColor="accent5"/>
        <w:insideH w:val="single" w:sz="8" w:space="0" w:color="E6E6E1" w:themeColor="accent5"/>
      </w:tblBorders>
      <w:tblCellMar>
        <w:top w:w="57" w:type="dxa"/>
        <w:left w:w="85" w:type="dxa"/>
        <w:bottom w:w="57" w:type="dxa"/>
        <w:right w:w="85" w:type="dxa"/>
      </w:tblCellMar>
    </w:tblPr>
    <w:tblStylePr w:type="firstRow">
      <w:rPr>
        <w:rFonts w:ascii="Sitka Display" w:hAnsi="Sitka Display"/>
        <w:b/>
        <w:color w:val="auto"/>
        <w:sz w:val="18"/>
      </w:rPr>
      <w:tblPr/>
      <w:trPr>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6E6E1" w:themeFill="accent5"/>
      </w:tcPr>
    </w:tblStylePr>
    <w:tblStylePr w:type="firstCol">
      <w:tblPr/>
      <w:tcPr>
        <w:shd w:val="clear" w:color="auto" w:fill="00264D" w:themeFill="background2"/>
      </w:tcPr>
    </w:tblStylePr>
  </w:style>
  <w:style w:type="paragraph" w:customStyle="1" w:styleId="Tablesubheading">
    <w:name w:val="Table subheading"/>
    <w:basedOn w:val="Normal"/>
    <w:link w:val="TablesubheadingChar"/>
    <w:autoRedefine/>
    <w:qFormat/>
    <w:rsid w:val="00623868"/>
    <w:pPr>
      <w:spacing w:before="40" w:line="240" w:lineRule="auto"/>
    </w:pPr>
    <w:rPr>
      <w:rFonts w:asciiTheme="minorHAnsi" w:hAnsiTheme="minorHAnsi"/>
      <w:b/>
      <w:sz w:val="22"/>
    </w:rPr>
  </w:style>
  <w:style w:type="character" w:customStyle="1" w:styleId="TablesubheadingChar">
    <w:name w:val="Table subheading Char"/>
    <w:basedOn w:val="DefaultParagraphFont"/>
    <w:link w:val="Tablesubheading"/>
    <w:rsid w:val="00623868"/>
    <w:rPr>
      <w:b/>
      <w:lang w:val="en-AU"/>
    </w:rPr>
  </w:style>
  <w:style w:type="character" w:customStyle="1" w:styleId="ListnumberedChar">
    <w:name w:val="List (numbered) Char"/>
    <w:basedOn w:val="DefaultParagraphFont"/>
    <w:link w:val="Listnumbered"/>
    <w:uiPriority w:val="1"/>
    <w:rsid w:val="00196731"/>
    <w:rPr>
      <w:rFonts w:ascii="Segoe UI" w:hAnsi="Segoe UI"/>
      <w:sz w:val="19"/>
      <w:lang w:val="en-AU"/>
    </w:rPr>
  </w:style>
  <w:style w:type="table" w:customStyle="1" w:styleId="DPSTableGrid21">
    <w:name w:val="DPS Table Grid21"/>
    <w:basedOn w:val="TableNormal"/>
    <w:next w:val="TableGrid"/>
    <w:uiPriority w:val="39"/>
    <w:rsid w:val="008D0B3F"/>
    <w:pPr>
      <w:spacing w:after="0" w:line="240" w:lineRule="auto"/>
    </w:pPr>
    <w:rPr>
      <w:rFonts w:ascii="Segoe UI" w:hAnsi="Segoe UI"/>
      <w:color w:val="000000"/>
      <w:sz w:val="17"/>
    </w:rPr>
    <w:tblPr>
      <w:tblBorders>
        <w:bottom w:val="single" w:sz="8" w:space="0" w:color="EDEDE8"/>
        <w:insideH w:val="single" w:sz="8" w:space="0" w:color="EDEDE8"/>
      </w:tblBorders>
      <w:tblCellMar>
        <w:top w:w="57" w:type="dxa"/>
        <w:left w:w="85" w:type="dxa"/>
        <w:bottom w:w="57" w:type="dxa"/>
        <w:right w:w="85" w:type="dxa"/>
      </w:tblCellMar>
    </w:tblPr>
    <w:tcPr>
      <w:shd w:val="clear" w:color="auto" w:fill="FFFFFF"/>
    </w:tcPr>
    <w:tblStylePr w:type="firstRow">
      <w:rPr>
        <w:rFonts w:ascii="Sitka Display" w:hAnsi="Sitka Display"/>
        <w:b/>
        <w:color w:val="00264D"/>
        <w:sz w:val="18"/>
      </w:rPr>
      <w:tblPr/>
      <w:tcPr>
        <w:tcBorders>
          <w:top w:val="single" w:sz="24" w:space="0" w:color="F8981D"/>
          <w:left w:val="nil"/>
          <w:bottom w:val="nil"/>
          <w:right w:val="nil"/>
          <w:insideH w:val="nil"/>
          <w:insideV w:val="single" w:sz="8" w:space="0" w:color="FFFFFF"/>
          <w:tl2br w:val="nil"/>
          <w:tr2bl w:val="nil"/>
        </w:tcBorders>
        <w:shd w:val="clear" w:color="auto" w:fill="EDEDE8"/>
      </w:tcPr>
    </w:tblStylePr>
  </w:style>
  <w:style w:type="table" w:styleId="TableGridLight">
    <w:name w:val="Grid Table Light"/>
    <w:basedOn w:val="TableNormal"/>
    <w:uiPriority w:val="40"/>
    <w:rsid w:val="008F0BD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054D5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ExpBullet0">
    <w:name w:val="Table Exp Bullet"/>
    <w:basedOn w:val="TableNBullet"/>
    <w:uiPriority w:val="3"/>
    <w:qFormat/>
    <w:rsid w:val="00433C5C"/>
    <w:pPr>
      <w:numPr>
        <w:numId w:val="0"/>
      </w:numPr>
      <w:ind w:left="360" w:hanging="360"/>
    </w:pPr>
  </w:style>
  <w:style w:type="table" w:customStyle="1" w:styleId="NOUSSideHeader1">
    <w:name w:val="NOUS Side Header1"/>
    <w:basedOn w:val="TableNormal"/>
    <w:next w:val="TableGrid"/>
    <w:uiPriority w:val="39"/>
    <w:rsid w:val="00BB1D43"/>
    <w:pPr>
      <w:spacing w:after="0" w:line="240" w:lineRule="auto"/>
    </w:pPr>
    <w:rPr>
      <w:rFonts w:ascii="Segoe UI" w:hAnsi="Segoe UI"/>
      <w:sz w:val="17"/>
    </w:rPr>
    <w:tblPr>
      <w:tblStyleRowBandSize w:val="1"/>
      <w:tblBorders>
        <w:top w:val="single" w:sz="8" w:space="0" w:color="E6E6E1" w:themeColor="accent5"/>
        <w:bottom w:val="single" w:sz="8" w:space="0" w:color="E6E6E1" w:themeColor="accent5"/>
        <w:insideH w:val="single" w:sz="8" w:space="0" w:color="E6E6E1" w:themeColor="accent5"/>
      </w:tblBorders>
      <w:tblCellMar>
        <w:top w:w="57" w:type="dxa"/>
        <w:left w:w="85" w:type="dxa"/>
        <w:bottom w:w="57" w:type="dxa"/>
        <w:right w:w="85" w:type="dxa"/>
      </w:tblCellMar>
    </w:tblPr>
    <w:tcPr>
      <w:vAlign w:val="center"/>
    </w:tcPr>
    <w:tblStylePr w:type="firstRow">
      <w:pPr>
        <w:jc w:val="left"/>
      </w:pPr>
      <w:rPr>
        <w:rFonts w:ascii="Sitka Display" w:hAnsi="Sitka Display"/>
        <w:b w:val="0"/>
        <w:color w:val="00264D" w:themeColor="background2"/>
        <w:sz w:val="18"/>
      </w:rPr>
      <w:tblPr/>
      <w:trPr>
        <w:cantSplit/>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6E6E1" w:themeFill="accent5"/>
      </w:tcPr>
    </w:tblStylePr>
    <w:tblStylePr w:type="band1Horz">
      <w:rPr>
        <w:rFonts w:ascii="Sitka Display" w:hAnsi="Sitka Display"/>
        <w:sz w:val="17"/>
      </w:rPr>
    </w:tblStylePr>
    <w:tblStylePr w:type="band2Horz">
      <w:rPr>
        <w:rFonts w:ascii="Sitka Display" w:hAnsi="Sitka Display"/>
        <w:sz w:val="17"/>
      </w:rPr>
    </w:tblStylePr>
  </w:style>
  <w:style w:type="character" w:styleId="Strong">
    <w:name w:val="Strong"/>
    <w:basedOn w:val="DefaultParagraphFont"/>
    <w:uiPriority w:val="22"/>
    <w:qFormat/>
    <w:rsid w:val="00B125C9"/>
    <w:rPr>
      <w:rFonts w:asciiTheme="minorHAnsi" w:hAnsiTheme="minorHAnsi"/>
      <w:b/>
      <w:bCs/>
      <w:sz w:val="19"/>
    </w:rPr>
  </w:style>
  <w:style w:type="character" w:customStyle="1" w:styleId="introductionbullet2indentChar">
    <w:name w:val="introduction bullet (2) indent Char"/>
    <w:basedOn w:val="intoductionbulletChar"/>
    <w:link w:val="introductionbullet2indent"/>
    <w:rsid w:val="00BA1E80"/>
    <w:rPr>
      <w:rFonts w:ascii="Segoe UI Semilight" w:hAnsi="Segoe UI Semilight"/>
      <w:color w:val="00264D" w:themeColor="background2"/>
      <w:sz w:val="21"/>
      <w:szCs w:val="21"/>
      <w:lang w:val="en-AU"/>
    </w:rPr>
  </w:style>
  <w:style w:type="paragraph" w:styleId="PlainText">
    <w:name w:val="Plain Text"/>
    <w:basedOn w:val="Normal"/>
    <w:link w:val="PlainTextChar"/>
    <w:uiPriority w:val="99"/>
    <w:unhideWhenUsed/>
    <w:rsid w:val="00FD6083"/>
    <w:pPr>
      <w:spacing w:after="0" w:line="240" w:lineRule="auto"/>
    </w:pPr>
    <w:rPr>
      <w:rFonts w:cs="Segoe UI"/>
      <w:sz w:val="20"/>
      <w:szCs w:val="20"/>
    </w:rPr>
  </w:style>
  <w:style w:type="character" w:customStyle="1" w:styleId="PlainTextChar">
    <w:name w:val="Plain Text Char"/>
    <w:basedOn w:val="DefaultParagraphFont"/>
    <w:link w:val="PlainText"/>
    <w:uiPriority w:val="99"/>
    <w:rsid w:val="00FD6083"/>
    <w:rPr>
      <w:rFonts w:ascii="Segoe UI" w:hAnsi="Segoe UI" w:cs="Segoe UI"/>
      <w:sz w:val="20"/>
      <w:szCs w:val="20"/>
      <w:lang w:val="en-AU"/>
    </w:rPr>
  </w:style>
  <w:style w:type="character" w:customStyle="1" w:styleId="SubtitleChar">
    <w:name w:val="Subtitle Char"/>
    <w:basedOn w:val="DefaultParagraphFont"/>
    <w:link w:val="Subtitle"/>
    <w:uiPriority w:val="11"/>
    <w:rsid w:val="00775486"/>
    <w:rPr>
      <w:rFonts w:eastAsiaTheme="minorEastAsia"/>
      <w:color w:val="5A5A5A" w:themeColor="text1" w:themeTint="A5"/>
      <w:spacing w:val="15"/>
      <w:lang w:val="en-AU"/>
    </w:rPr>
  </w:style>
  <w:style w:type="character" w:customStyle="1" w:styleId="CaptionChar">
    <w:name w:val="Caption Char"/>
    <w:link w:val="Caption"/>
    <w:uiPriority w:val="35"/>
    <w:rsid w:val="009401E0"/>
    <w:rPr>
      <w:rFonts w:ascii="Segoe UI Semibold" w:hAnsi="Segoe UI Semibold"/>
      <w:bCs/>
      <w:color w:val="00264D" w:themeColor="background2"/>
      <w:sz w:val="19"/>
      <w:szCs w:val="18"/>
      <w:lang w:val="en-AU"/>
    </w:rPr>
  </w:style>
  <w:style w:type="character" w:styleId="Emphasis">
    <w:name w:val="Emphasis"/>
    <w:basedOn w:val="DefaultParagraphFont"/>
    <w:uiPriority w:val="20"/>
    <w:qFormat/>
    <w:rsid w:val="009401E0"/>
    <w:rPr>
      <w:i/>
      <w:iCs/>
    </w:rPr>
  </w:style>
  <w:style w:type="character" w:customStyle="1" w:styleId="CommentTextChar1">
    <w:name w:val="Comment Text Char1"/>
    <w:basedOn w:val="DefaultParagraphFont"/>
    <w:uiPriority w:val="99"/>
    <w:semiHidden/>
    <w:rsid w:val="006C6A15"/>
    <w:rPr>
      <w:sz w:val="20"/>
      <w:szCs w:val="20"/>
    </w:rPr>
  </w:style>
  <w:style w:type="paragraph" w:styleId="EndnoteText">
    <w:name w:val="endnote text"/>
    <w:basedOn w:val="Normal"/>
    <w:link w:val="EndnoteTextChar"/>
    <w:uiPriority w:val="99"/>
    <w:semiHidden/>
    <w:unhideWhenUsed/>
    <w:rsid w:val="00A82EE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2EEF"/>
    <w:rPr>
      <w:rFonts w:ascii="Segoe UI" w:hAnsi="Segoe UI"/>
      <w:sz w:val="20"/>
      <w:szCs w:val="20"/>
      <w:lang w:val="en-AU"/>
    </w:rPr>
  </w:style>
  <w:style w:type="character" w:styleId="EndnoteReference">
    <w:name w:val="endnote reference"/>
    <w:basedOn w:val="DefaultParagraphFont"/>
    <w:uiPriority w:val="99"/>
    <w:semiHidden/>
    <w:unhideWhenUsed/>
    <w:rsid w:val="00A82EEF"/>
    <w:rPr>
      <w:vertAlign w:val="superscript"/>
    </w:rPr>
  </w:style>
  <w:style w:type="paragraph" w:customStyle="1" w:styleId="Noterecommendations">
    <w:name w:val="Note recommendations"/>
    <w:link w:val="NoterecommendationsChar"/>
    <w:qFormat/>
    <w:rsid w:val="000500EF"/>
    <w:pPr>
      <w:pBdr>
        <w:left w:val="single" w:sz="12" w:space="4" w:color="25B3E0" w:themeColor="accent6"/>
      </w:pBdr>
      <w:shd w:val="clear" w:color="auto" w:fill="E6E6E1" w:themeFill="accent5"/>
    </w:pPr>
    <w:rPr>
      <w:rFonts w:cstheme="majorHAnsi"/>
      <w:sz w:val="19"/>
      <w:lang w:val="en-AU" w:eastAsia="en-AU"/>
    </w:rPr>
  </w:style>
  <w:style w:type="character" w:customStyle="1" w:styleId="NoterecommendationsChar">
    <w:name w:val="Note recommendations Char"/>
    <w:basedOn w:val="DefaultParagraphFont"/>
    <w:link w:val="Noterecommendations"/>
    <w:rsid w:val="000500EF"/>
    <w:rPr>
      <w:rFonts w:cstheme="majorHAnsi"/>
      <w:sz w:val="19"/>
      <w:shd w:val="clear" w:color="auto" w:fill="E6E6E1" w:themeFill="accent5"/>
      <w:lang w:val="en-AU" w:eastAsia="en-AU"/>
    </w:rPr>
  </w:style>
  <w:style w:type="paragraph" w:customStyle="1" w:styleId="Heading1nonumbered">
    <w:name w:val="Heading 1 (no numbered)"/>
    <w:basedOn w:val="Heading1"/>
    <w:link w:val="Heading1nonumberedChar"/>
    <w:qFormat/>
    <w:rsid w:val="003723D2"/>
    <w:pPr>
      <w:numPr>
        <w:numId w:val="0"/>
      </w:numPr>
      <w:ind w:left="360"/>
    </w:pPr>
    <w:rPr>
      <w:color w:val="00264D" w:themeColor="background2"/>
      <w:lang w:val="en-US"/>
    </w:rPr>
  </w:style>
  <w:style w:type="character" w:customStyle="1" w:styleId="Heading1nonumberedChar">
    <w:name w:val="Heading 1 (no numbered) Char"/>
    <w:basedOn w:val="Heading1Char"/>
    <w:link w:val="Heading1nonumbered"/>
    <w:rsid w:val="003723D2"/>
    <w:rPr>
      <w:rFonts w:ascii="Segoe UI" w:eastAsia="Times New Roman" w:hAnsi="Segoe UI" w:cs="Times New Roman"/>
      <w:b/>
      <w:color w:val="00264D" w:themeColor="background2"/>
      <w:sz w:val="36"/>
      <w:szCs w:val="19"/>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4872">
      <w:bodyDiv w:val="1"/>
      <w:marLeft w:val="0"/>
      <w:marRight w:val="0"/>
      <w:marTop w:val="0"/>
      <w:marBottom w:val="0"/>
      <w:divBdr>
        <w:top w:val="none" w:sz="0" w:space="0" w:color="auto"/>
        <w:left w:val="none" w:sz="0" w:space="0" w:color="auto"/>
        <w:bottom w:val="none" w:sz="0" w:space="0" w:color="auto"/>
        <w:right w:val="none" w:sz="0" w:space="0" w:color="auto"/>
      </w:divBdr>
    </w:div>
    <w:div w:id="81415664">
      <w:bodyDiv w:val="1"/>
      <w:marLeft w:val="0"/>
      <w:marRight w:val="0"/>
      <w:marTop w:val="0"/>
      <w:marBottom w:val="0"/>
      <w:divBdr>
        <w:top w:val="none" w:sz="0" w:space="0" w:color="auto"/>
        <w:left w:val="none" w:sz="0" w:space="0" w:color="auto"/>
        <w:bottom w:val="none" w:sz="0" w:space="0" w:color="auto"/>
        <w:right w:val="none" w:sz="0" w:space="0" w:color="auto"/>
      </w:divBdr>
    </w:div>
    <w:div w:id="125588642">
      <w:bodyDiv w:val="1"/>
      <w:marLeft w:val="0"/>
      <w:marRight w:val="0"/>
      <w:marTop w:val="0"/>
      <w:marBottom w:val="0"/>
      <w:divBdr>
        <w:top w:val="none" w:sz="0" w:space="0" w:color="auto"/>
        <w:left w:val="none" w:sz="0" w:space="0" w:color="auto"/>
        <w:bottom w:val="none" w:sz="0" w:space="0" w:color="auto"/>
        <w:right w:val="none" w:sz="0" w:space="0" w:color="auto"/>
      </w:divBdr>
    </w:div>
    <w:div w:id="138957623">
      <w:bodyDiv w:val="1"/>
      <w:marLeft w:val="0"/>
      <w:marRight w:val="0"/>
      <w:marTop w:val="0"/>
      <w:marBottom w:val="0"/>
      <w:divBdr>
        <w:top w:val="none" w:sz="0" w:space="0" w:color="auto"/>
        <w:left w:val="none" w:sz="0" w:space="0" w:color="auto"/>
        <w:bottom w:val="none" w:sz="0" w:space="0" w:color="auto"/>
        <w:right w:val="none" w:sz="0" w:space="0" w:color="auto"/>
      </w:divBdr>
    </w:div>
    <w:div w:id="189689829">
      <w:bodyDiv w:val="1"/>
      <w:marLeft w:val="0"/>
      <w:marRight w:val="0"/>
      <w:marTop w:val="0"/>
      <w:marBottom w:val="0"/>
      <w:divBdr>
        <w:top w:val="none" w:sz="0" w:space="0" w:color="auto"/>
        <w:left w:val="none" w:sz="0" w:space="0" w:color="auto"/>
        <w:bottom w:val="none" w:sz="0" w:space="0" w:color="auto"/>
        <w:right w:val="none" w:sz="0" w:space="0" w:color="auto"/>
      </w:divBdr>
      <w:divsChild>
        <w:div w:id="1103108720">
          <w:marLeft w:val="274"/>
          <w:marRight w:val="0"/>
          <w:marTop w:val="120"/>
          <w:marBottom w:val="0"/>
          <w:divBdr>
            <w:top w:val="none" w:sz="0" w:space="0" w:color="auto"/>
            <w:left w:val="none" w:sz="0" w:space="0" w:color="auto"/>
            <w:bottom w:val="none" w:sz="0" w:space="0" w:color="auto"/>
            <w:right w:val="none" w:sz="0" w:space="0" w:color="auto"/>
          </w:divBdr>
        </w:div>
        <w:div w:id="1944875637">
          <w:marLeft w:val="274"/>
          <w:marRight w:val="0"/>
          <w:marTop w:val="120"/>
          <w:marBottom w:val="0"/>
          <w:divBdr>
            <w:top w:val="none" w:sz="0" w:space="0" w:color="auto"/>
            <w:left w:val="none" w:sz="0" w:space="0" w:color="auto"/>
            <w:bottom w:val="none" w:sz="0" w:space="0" w:color="auto"/>
            <w:right w:val="none" w:sz="0" w:space="0" w:color="auto"/>
          </w:divBdr>
        </w:div>
      </w:divsChild>
    </w:div>
    <w:div w:id="205145752">
      <w:bodyDiv w:val="1"/>
      <w:marLeft w:val="0"/>
      <w:marRight w:val="0"/>
      <w:marTop w:val="0"/>
      <w:marBottom w:val="0"/>
      <w:divBdr>
        <w:top w:val="none" w:sz="0" w:space="0" w:color="auto"/>
        <w:left w:val="none" w:sz="0" w:space="0" w:color="auto"/>
        <w:bottom w:val="none" w:sz="0" w:space="0" w:color="auto"/>
        <w:right w:val="none" w:sz="0" w:space="0" w:color="auto"/>
      </w:divBdr>
    </w:div>
    <w:div w:id="214128056">
      <w:bodyDiv w:val="1"/>
      <w:marLeft w:val="0"/>
      <w:marRight w:val="0"/>
      <w:marTop w:val="0"/>
      <w:marBottom w:val="0"/>
      <w:divBdr>
        <w:top w:val="none" w:sz="0" w:space="0" w:color="auto"/>
        <w:left w:val="none" w:sz="0" w:space="0" w:color="auto"/>
        <w:bottom w:val="none" w:sz="0" w:space="0" w:color="auto"/>
        <w:right w:val="none" w:sz="0" w:space="0" w:color="auto"/>
      </w:divBdr>
    </w:div>
    <w:div w:id="214245672">
      <w:bodyDiv w:val="1"/>
      <w:marLeft w:val="0"/>
      <w:marRight w:val="0"/>
      <w:marTop w:val="0"/>
      <w:marBottom w:val="0"/>
      <w:divBdr>
        <w:top w:val="none" w:sz="0" w:space="0" w:color="auto"/>
        <w:left w:val="none" w:sz="0" w:space="0" w:color="auto"/>
        <w:bottom w:val="none" w:sz="0" w:space="0" w:color="auto"/>
        <w:right w:val="none" w:sz="0" w:space="0" w:color="auto"/>
      </w:divBdr>
    </w:div>
    <w:div w:id="215819767">
      <w:bodyDiv w:val="1"/>
      <w:marLeft w:val="0"/>
      <w:marRight w:val="0"/>
      <w:marTop w:val="0"/>
      <w:marBottom w:val="0"/>
      <w:divBdr>
        <w:top w:val="none" w:sz="0" w:space="0" w:color="auto"/>
        <w:left w:val="none" w:sz="0" w:space="0" w:color="auto"/>
        <w:bottom w:val="none" w:sz="0" w:space="0" w:color="auto"/>
        <w:right w:val="none" w:sz="0" w:space="0" w:color="auto"/>
      </w:divBdr>
    </w:div>
    <w:div w:id="248974696">
      <w:bodyDiv w:val="1"/>
      <w:marLeft w:val="0"/>
      <w:marRight w:val="0"/>
      <w:marTop w:val="0"/>
      <w:marBottom w:val="0"/>
      <w:divBdr>
        <w:top w:val="none" w:sz="0" w:space="0" w:color="auto"/>
        <w:left w:val="none" w:sz="0" w:space="0" w:color="auto"/>
        <w:bottom w:val="none" w:sz="0" w:space="0" w:color="auto"/>
        <w:right w:val="none" w:sz="0" w:space="0" w:color="auto"/>
      </w:divBdr>
      <w:divsChild>
        <w:div w:id="693961148">
          <w:marLeft w:val="274"/>
          <w:marRight w:val="0"/>
          <w:marTop w:val="0"/>
          <w:marBottom w:val="0"/>
          <w:divBdr>
            <w:top w:val="none" w:sz="0" w:space="0" w:color="auto"/>
            <w:left w:val="none" w:sz="0" w:space="0" w:color="auto"/>
            <w:bottom w:val="none" w:sz="0" w:space="0" w:color="auto"/>
            <w:right w:val="none" w:sz="0" w:space="0" w:color="auto"/>
          </w:divBdr>
        </w:div>
      </w:divsChild>
    </w:div>
    <w:div w:id="267588821">
      <w:bodyDiv w:val="1"/>
      <w:marLeft w:val="0"/>
      <w:marRight w:val="0"/>
      <w:marTop w:val="0"/>
      <w:marBottom w:val="0"/>
      <w:divBdr>
        <w:top w:val="none" w:sz="0" w:space="0" w:color="auto"/>
        <w:left w:val="none" w:sz="0" w:space="0" w:color="auto"/>
        <w:bottom w:val="none" w:sz="0" w:space="0" w:color="auto"/>
        <w:right w:val="none" w:sz="0" w:space="0" w:color="auto"/>
      </w:divBdr>
    </w:div>
    <w:div w:id="283468283">
      <w:bodyDiv w:val="1"/>
      <w:marLeft w:val="0"/>
      <w:marRight w:val="0"/>
      <w:marTop w:val="0"/>
      <w:marBottom w:val="0"/>
      <w:divBdr>
        <w:top w:val="none" w:sz="0" w:space="0" w:color="auto"/>
        <w:left w:val="none" w:sz="0" w:space="0" w:color="auto"/>
        <w:bottom w:val="none" w:sz="0" w:space="0" w:color="auto"/>
        <w:right w:val="none" w:sz="0" w:space="0" w:color="auto"/>
      </w:divBdr>
    </w:div>
    <w:div w:id="288710425">
      <w:bodyDiv w:val="1"/>
      <w:marLeft w:val="0"/>
      <w:marRight w:val="0"/>
      <w:marTop w:val="0"/>
      <w:marBottom w:val="0"/>
      <w:divBdr>
        <w:top w:val="none" w:sz="0" w:space="0" w:color="auto"/>
        <w:left w:val="none" w:sz="0" w:space="0" w:color="auto"/>
        <w:bottom w:val="none" w:sz="0" w:space="0" w:color="auto"/>
        <w:right w:val="none" w:sz="0" w:space="0" w:color="auto"/>
      </w:divBdr>
    </w:div>
    <w:div w:id="299965411">
      <w:bodyDiv w:val="1"/>
      <w:marLeft w:val="0"/>
      <w:marRight w:val="0"/>
      <w:marTop w:val="0"/>
      <w:marBottom w:val="0"/>
      <w:divBdr>
        <w:top w:val="none" w:sz="0" w:space="0" w:color="auto"/>
        <w:left w:val="none" w:sz="0" w:space="0" w:color="auto"/>
        <w:bottom w:val="none" w:sz="0" w:space="0" w:color="auto"/>
        <w:right w:val="none" w:sz="0" w:space="0" w:color="auto"/>
      </w:divBdr>
    </w:div>
    <w:div w:id="309674163">
      <w:bodyDiv w:val="1"/>
      <w:marLeft w:val="0"/>
      <w:marRight w:val="0"/>
      <w:marTop w:val="0"/>
      <w:marBottom w:val="0"/>
      <w:divBdr>
        <w:top w:val="none" w:sz="0" w:space="0" w:color="auto"/>
        <w:left w:val="none" w:sz="0" w:space="0" w:color="auto"/>
        <w:bottom w:val="none" w:sz="0" w:space="0" w:color="auto"/>
        <w:right w:val="none" w:sz="0" w:space="0" w:color="auto"/>
      </w:divBdr>
    </w:div>
    <w:div w:id="320626321">
      <w:bodyDiv w:val="1"/>
      <w:marLeft w:val="0"/>
      <w:marRight w:val="0"/>
      <w:marTop w:val="0"/>
      <w:marBottom w:val="0"/>
      <w:divBdr>
        <w:top w:val="none" w:sz="0" w:space="0" w:color="auto"/>
        <w:left w:val="none" w:sz="0" w:space="0" w:color="auto"/>
        <w:bottom w:val="none" w:sz="0" w:space="0" w:color="auto"/>
        <w:right w:val="none" w:sz="0" w:space="0" w:color="auto"/>
      </w:divBdr>
      <w:divsChild>
        <w:div w:id="1946840646">
          <w:marLeft w:val="0"/>
          <w:marRight w:val="0"/>
          <w:marTop w:val="0"/>
          <w:marBottom w:val="0"/>
          <w:divBdr>
            <w:top w:val="none" w:sz="0" w:space="0" w:color="auto"/>
            <w:left w:val="none" w:sz="0" w:space="0" w:color="auto"/>
            <w:bottom w:val="none" w:sz="0" w:space="0" w:color="auto"/>
            <w:right w:val="none" w:sz="0" w:space="0" w:color="auto"/>
          </w:divBdr>
        </w:div>
      </w:divsChild>
    </w:div>
    <w:div w:id="329336257">
      <w:bodyDiv w:val="1"/>
      <w:marLeft w:val="0"/>
      <w:marRight w:val="0"/>
      <w:marTop w:val="0"/>
      <w:marBottom w:val="0"/>
      <w:divBdr>
        <w:top w:val="none" w:sz="0" w:space="0" w:color="auto"/>
        <w:left w:val="none" w:sz="0" w:space="0" w:color="auto"/>
        <w:bottom w:val="none" w:sz="0" w:space="0" w:color="auto"/>
        <w:right w:val="none" w:sz="0" w:space="0" w:color="auto"/>
      </w:divBdr>
    </w:div>
    <w:div w:id="374157381">
      <w:bodyDiv w:val="1"/>
      <w:marLeft w:val="0"/>
      <w:marRight w:val="0"/>
      <w:marTop w:val="0"/>
      <w:marBottom w:val="0"/>
      <w:divBdr>
        <w:top w:val="none" w:sz="0" w:space="0" w:color="auto"/>
        <w:left w:val="none" w:sz="0" w:space="0" w:color="auto"/>
        <w:bottom w:val="none" w:sz="0" w:space="0" w:color="auto"/>
        <w:right w:val="none" w:sz="0" w:space="0" w:color="auto"/>
      </w:divBdr>
      <w:divsChild>
        <w:div w:id="107169087">
          <w:marLeft w:val="274"/>
          <w:marRight w:val="0"/>
          <w:marTop w:val="60"/>
          <w:marBottom w:val="60"/>
          <w:divBdr>
            <w:top w:val="none" w:sz="0" w:space="0" w:color="auto"/>
            <w:left w:val="none" w:sz="0" w:space="0" w:color="auto"/>
            <w:bottom w:val="none" w:sz="0" w:space="0" w:color="auto"/>
            <w:right w:val="none" w:sz="0" w:space="0" w:color="auto"/>
          </w:divBdr>
        </w:div>
      </w:divsChild>
    </w:div>
    <w:div w:id="382751599">
      <w:bodyDiv w:val="1"/>
      <w:marLeft w:val="0"/>
      <w:marRight w:val="0"/>
      <w:marTop w:val="0"/>
      <w:marBottom w:val="0"/>
      <w:divBdr>
        <w:top w:val="none" w:sz="0" w:space="0" w:color="auto"/>
        <w:left w:val="none" w:sz="0" w:space="0" w:color="auto"/>
        <w:bottom w:val="none" w:sz="0" w:space="0" w:color="auto"/>
        <w:right w:val="none" w:sz="0" w:space="0" w:color="auto"/>
      </w:divBdr>
    </w:div>
    <w:div w:id="387649020">
      <w:bodyDiv w:val="1"/>
      <w:marLeft w:val="0"/>
      <w:marRight w:val="0"/>
      <w:marTop w:val="0"/>
      <w:marBottom w:val="0"/>
      <w:divBdr>
        <w:top w:val="none" w:sz="0" w:space="0" w:color="auto"/>
        <w:left w:val="none" w:sz="0" w:space="0" w:color="auto"/>
        <w:bottom w:val="none" w:sz="0" w:space="0" w:color="auto"/>
        <w:right w:val="none" w:sz="0" w:space="0" w:color="auto"/>
      </w:divBdr>
    </w:div>
    <w:div w:id="392431955">
      <w:bodyDiv w:val="1"/>
      <w:marLeft w:val="0"/>
      <w:marRight w:val="0"/>
      <w:marTop w:val="0"/>
      <w:marBottom w:val="0"/>
      <w:divBdr>
        <w:top w:val="none" w:sz="0" w:space="0" w:color="auto"/>
        <w:left w:val="none" w:sz="0" w:space="0" w:color="auto"/>
        <w:bottom w:val="none" w:sz="0" w:space="0" w:color="auto"/>
        <w:right w:val="none" w:sz="0" w:space="0" w:color="auto"/>
      </w:divBdr>
    </w:div>
    <w:div w:id="443354506">
      <w:bodyDiv w:val="1"/>
      <w:marLeft w:val="0"/>
      <w:marRight w:val="0"/>
      <w:marTop w:val="0"/>
      <w:marBottom w:val="0"/>
      <w:divBdr>
        <w:top w:val="none" w:sz="0" w:space="0" w:color="auto"/>
        <w:left w:val="none" w:sz="0" w:space="0" w:color="auto"/>
        <w:bottom w:val="none" w:sz="0" w:space="0" w:color="auto"/>
        <w:right w:val="none" w:sz="0" w:space="0" w:color="auto"/>
      </w:divBdr>
    </w:div>
    <w:div w:id="464126131">
      <w:bodyDiv w:val="1"/>
      <w:marLeft w:val="0"/>
      <w:marRight w:val="0"/>
      <w:marTop w:val="0"/>
      <w:marBottom w:val="0"/>
      <w:divBdr>
        <w:top w:val="none" w:sz="0" w:space="0" w:color="auto"/>
        <w:left w:val="none" w:sz="0" w:space="0" w:color="auto"/>
        <w:bottom w:val="none" w:sz="0" w:space="0" w:color="auto"/>
        <w:right w:val="none" w:sz="0" w:space="0" w:color="auto"/>
      </w:divBdr>
    </w:div>
    <w:div w:id="494029823">
      <w:bodyDiv w:val="1"/>
      <w:marLeft w:val="0"/>
      <w:marRight w:val="0"/>
      <w:marTop w:val="0"/>
      <w:marBottom w:val="0"/>
      <w:divBdr>
        <w:top w:val="none" w:sz="0" w:space="0" w:color="auto"/>
        <w:left w:val="none" w:sz="0" w:space="0" w:color="auto"/>
        <w:bottom w:val="none" w:sz="0" w:space="0" w:color="auto"/>
        <w:right w:val="none" w:sz="0" w:space="0" w:color="auto"/>
      </w:divBdr>
    </w:div>
    <w:div w:id="496460694">
      <w:bodyDiv w:val="1"/>
      <w:marLeft w:val="0"/>
      <w:marRight w:val="0"/>
      <w:marTop w:val="0"/>
      <w:marBottom w:val="0"/>
      <w:divBdr>
        <w:top w:val="none" w:sz="0" w:space="0" w:color="auto"/>
        <w:left w:val="none" w:sz="0" w:space="0" w:color="auto"/>
        <w:bottom w:val="none" w:sz="0" w:space="0" w:color="auto"/>
        <w:right w:val="none" w:sz="0" w:space="0" w:color="auto"/>
      </w:divBdr>
      <w:divsChild>
        <w:div w:id="1868448760">
          <w:marLeft w:val="446"/>
          <w:marRight w:val="0"/>
          <w:marTop w:val="240"/>
          <w:marBottom w:val="0"/>
          <w:divBdr>
            <w:top w:val="none" w:sz="0" w:space="0" w:color="auto"/>
            <w:left w:val="none" w:sz="0" w:space="0" w:color="auto"/>
            <w:bottom w:val="none" w:sz="0" w:space="0" w:color="auto"/>
            <w:right w:val="none" w:sz="0" w:space="0" w:color="auto"/>
          </w:divBdr>
        </w:div>
      </w:divsChild>
    </w:div>
    <w:div w:id="497885081">
      <w:bodyDiv w:val="1"/>
      <w:marLeft w:val="0"/>
      <w:marRight w:val="0"/>
      <w:marTop w:val="0"/>
      <w:marBottom w:val="0"/>
      <w:divBdr>
        <w:top w:val="none" w:sz="0" w:space="0" w:color="auto"/>
        <w:left w:val="none" w:sz="0" w:space="0" w:color="auto"/>
        <w:bottom w:val="none" w:sz="0" w:space="0" w:color="auto"/>
        <w:right w:val="none" w:sz="0" w:space="0" w:color="auto"/>
      </w:divBdr>
    </w:div>
    <w:div w:id="510267689">
      <w:bodyDiv w:val="1"/>
      <w:marLeft w:val="0"/>
      <w:marRight w:val="0"/>
      <w:marTop w:val="0"/>
      <w:marBottom w:val="0"/>
      <w:divBdr>
        <w:top w:val="none" w:sz="0" w:space="0" w:color="auto"/>
        <w:left w:val="none" w:sz="0" w:space="0" w:color="auto"/>
        <w:bottom w:val="none" w:sz="0" w:space="0" w:color="auto"/>
        <w:right w:val="none" w:sz="0" w:space="0" w:color="auto"/>
      </w:divBdr>
      <w:divsChild>
        <w:div w:id="29965360">
          <w:marLeft w:val="0"/>
          <w:marRight w:val="0"/>
          <w:marTop w:val="0"/>
          <w:marBottom w:val="0"/>
          <w:divBdr>
            <w:top w:val="none" w:sz="0" w:space="0" w:color="auto"/>
            <w:left w:val="none" w:sz="0" w:space="0" w:color="auto"/>
            <w:bottom w:val="none" w:sz="0" w:space="0" w:color="auto"/>
            <w:right w:val="none" w:sz="0" w:space="0" w:color="auto"/>
          </w:divBdr>
        </w:div>
      </w:divsChild>
    </w:div>
    <w:div w:id="528252285">
      <w:bodyDiv w:val="1"/>
      <w:marLeft w:val="0"/>
      <w:marRight w:val="0"/>
      <w:marTop w:val="0"/>
      <w:marBottom w:val="0"/>
      <w:divBdr>
        <w:top w:val="none" w:sz="0" w:space="0" w:color="auto"/>
        <w:left w:val="none" w:sz="0" w:space="0" w:color="auto"/>
        <w:bottom w:val="none" w:sz="0" w:space="0" w:color="auto"/>
        <w:right w:val="none" w:sz="0" w:space="0" w:color="auto"/>
      </w:divBdr>
    </w:div>
    <w:div w:id="549729871">
      <w:bodyDiv w:val="1"/>
      <w:marLeft w:val="0"/>
      <w:marRight w:val="0"/>
      <w:marTop w:val="0"/>
      <w:marBottom w:val="0"/>
      <w:divBdr>
        <w:top w:val="none" w:sz="0" w:space="0" w:color="auto"/>
        <w:left w:val="none" w:sz="0" w:space="0" w:color="auto"/>
        <w:bottom w:val="none" w:sz="0" w:space="0" w:color="auto"/>
        <w:right w:val="none" w:sz="0" w:space="0" w:color="auto"/>
      </w:divBdr>
      <w:divsChild>
        <w:div w:id="1317686995">
          <w:marLeft w:val="547"/>
          <w:marRight w:val="0"/>
          <w:marTop w:val="91"/>
          <w:marBottom w:val="0"/>
          <w:divBdr>
            <w:top w:val="none" w:sz="0" w:space="0" w:color="auto"/>
            <w:left w:val="none" w:sz="0" w:space="0" w:color="auto"/>
            <w:bottom w:val="none" w:sz="0" w:space="0" w:color="auto"/>
            <w:right w:val="none" w:sz="0" w:space="0" w:color="auto"/>
          </w:divBdr>
        </w:div>
        <w:div w:id="1480153983">
          <w:marLeft w:val="1138"/>
          <w:marRight w:val="0"/>
          <w:marTop w:val="91"/>
          <w:marBottom w:val="0"/>
          <w:divBdr>
            <w:top w:val="none" w:sz="0" w:space="0" w:color="auto"/>
            <w:left w:val="none" w:sz="0" w:space="0" w:color="auto"/>
            <w:bottom w:val="none" w:sz="0" w:space="0" w:color="auto"/>
            <w:right w:val="none" w:sz="0" w:space="0" w:color="auto"/>
          </w:divBdr>
        </w:div>
        <w:div w:id="1524592264">
          <w:marLeft w:val="1138"/>
          <w:marRight w:val="0"/>
          <w:marTop w:val="91"/>
          <w:marBottom w:val="0"/>
          <w:divBdr>
            <w:top w:val="none" w:sz="0" w:space="0" w:color="auto"/>
            <w:left w:val="none" w:sz="0" w:space="0" w:color="auto"/>
            <w:bottom w:val="none" w:sz="0" w:space="0" w:color="auto"/>
            <w:right w:val="none" w:sz="0" w:space="0" w:color="auto"/>
          </w:divBdr>
        </w:div>
        <w:div w:id="2085953084">
          <w:marLeft w:val="547"/>
          <w:marRight w:val="0"/>
          <w:marTop w:val="91"/>
          <w:marBottom w:val="0"/>
          <w:divBdr>
            <w:top w:val="none" w:sz="0" w:space="0" w:color="auto"/>
            <w:left w:val="none" w:sz="0" w:space="0" w:color="auto"/>
            <w:bottom w:val="none" w:sz="0" w:space="0" w:color="auto"/>
            <w:right w:val="none" w:sz="0" w:space="0" w:color="auto"/>
          </w:divBdr>
        </w:div>
      </w:divsChild>
    </w:div>
    <w:div w:id="557861086">
      <w:bodyDiv w:val="1"/>
      <w:marLeft w:val="0"/>
      <w:marRight w:val="0"/>
      <w:marTop w:val="0"/>
      <w:marBottom w:val="0"/>
      <w:divBdr>
        <w:top w:val="none" w:sz="0" w:space="0" w:color="auto"/>
        <w:left w:val="none" w:sz="0" w:space="0" w:color="auto"/>
        <w:bottom w:val="none" w:sz="0" w:space="0" w:color="auto"/>
        <w:right w:val="none" w:sz="0" w:space="0" w:color="auto"/>
      </w:divBdr>
    </w:div>
    <w:div w:id="560794935">
      <w:bodyDiv w:val="1"/>
      <w:marLeft w:val="0"/>
      <w:marRight w:val="0"/>
      <w:marTop w:val="0"/>
      <w:marBottom w:val="0"/>
      <w:divBdr>
        <w:top w:val="none" w:sz="0" w:space="0" w:color="auto"/>
        <w:left w:val="none" w:sz="0" w:space="0" w:color="auto"/>
        <w:bottom w:val="none" w:sz="0" w:space="0" w:color="auto"/>
        <w:right w:val="none" w:sz="0" w:space="0" w:color="auto"/>
      </w:divBdr>
    </w:div>
    <w:div w:id="578245791">
      <w:bodyDiv w:val="1"/>
      <w:marLeft w:val="0"/>
      <w:marRight w:val="0"/>
      <w:marTop w:val="0"/>
      <w:marBottom w:val="0"/>
      <w:divBdr>
        <w:top w:val="none" w:sz="0" w:space="0" w:color="auto"/>
        <w:left w:val="none" w:sz="0" w:space="0" w:color="auto"/>
        <w:bottom w:val="none" w:sz="0" w:space="0" w:color="auto"/>
        <w:right w:val="none" w:sz="0" w:space="0" w:color="auto"/>
      </w:divBdr>
    </w:div>
    <w:div w:id="583076619">
      <w:bodyDiv w:val="1"/>
      <w:marLeft w:val="0"/>
      <w:marRight w:val="0"/>
      <w:marTop w:val="0"/>
      <w:marBottom w:val="0"/>
      <w:divBdr>
        <w:top w:val="none" w:sz="0" w:space="0" w:color="auto"/>
        <w:left w:val="none" w:sz="0" w:space="0" w:color="auto"/>
        <w:bottom w:val="none" w:sz="0" w:space="0" w:color="auto"/>
        <w:right w:val="none" w:sz="0" w:space="0" w:color="auto"/>
      </w:divBdr>
    </w:div>
    <w:div w:id="583805497">
      <w:bodyDiv w:val="1"/>
      <w:marLeft w:val="0"/>
      <w:marRight w:val="0"/>
      <w:marTop w:val="0"/>
      <w:marBottom w:val="0"/>
      <w:divBdr>
        <w:top w:val="none" w:sz="0" w:space="0" w:color="auto"/>
        <w:left w:val="none" w:sz="0" w:space="0" w:color="auto"/>
        <w:bottom w:val="none" w:sz="0" w:space="0" w:color="auto"/>
        <w:right w:val="none" w:sz="0" w:space="0" w:color="auto"/>
      </w:divBdr>
      <w:divsChild>
        <w:div w:id="1991596916">
          <w:marLeft w:val="403"/>
          <w:marRight w:val="0"/>
          <w:marTop w:val="0"/>
          <w:marBottom w:val="120"/>
          <w:divBdr>
            <w:top w:val="none" w:sz="0" w:space="0" w:color="auto"/>
            <w:left w:val="none" w:sz="0" w:space="0" w:color="auto"/>
            <w:bottom w:val="none" w:sz="0" w:space="0" w:color="auto"/>
            <w:right w:val="none" w:sz="0" w:space="0" w:color="auto"/>
          </w:divBdr>
        </w:div>
      </w:divsChild>
    </w:div>
    <w:div w:id="606696181">
      <w:bodyDiv w:val="1"/>
      <w:marLeft w:val="0"/>
      <w:marRight w:val="0"/>
      <w:marTop w:val="0"/>
      <w:marBottom w:val="0"/>
      <w:divBdr>
        <w:top w:val="none" w:sz="0" w:space="0" w:color="auto"/>
        <w:left w:val="none" w:sz="0" w:space="0" w:color="auto"/>
        <w:bottom w:val="none" w:sz="0" w:space="0" w:color="auto"/>
        <w:right w:val="none" w:sz="0" w:space="0" w:color="auto"/>
      </w:divBdr>
    </w:div>
    <w:div w:id="662010147">
      <w:bodyDiv w:val="1"/>
      <w:marLeft w:val="0"/>
      <w:marRight w:val="0"/>
      <w:marTop w:val="0"/>
      <w:marBottom w:val="0"/>
      <w:divBdr>
        <w:top w:val="none" w:sz="0" w:space="0" w:color="auto"/>
        <w:left w:val="none" w:sz="0" w:space="0" w:color="auto"/>
        <w:bottom w:val="none" w:sz="0" w:space="0" w:color="auto"/>
        <w:right w:val="none" w:sz="0" w:space="0" w:color="auto"/>
      </w:divBdr>
    </w:div>
    <w:div w:id="689337269">
      <w:bodyDiv w:val="1"/>
      <w:marLeft w:val="0"/>
      <w:marRight w:val="0"/>
      <w:marTop w:val="0"/>
      <w:marBottom w:val="0"/>
      <w:divBdr>
        <w:top w:val="none" w:sz="0" w:space="0" w:color="auto"/>
        <w:left w:val="none" w:sz="0" w:space="0" w:color="auto"/>
        <w:bottom w:val="none" w:sz="0" w:space="0" w:color="auto"/>
        <w:right w:val="none" w:sz="0" w:space="0" w:color="auto"/>
      </w:divBdr>
    </w:div>
    <w:div w:id="699744951">
      <w:bodyDiv w:val="1"/>
      <w:marLeft w:val="0"/>
      <w:marRight w:val="0"/>
      <w:marTop w:val="0"/>
      <w:marBottom w:val="0"/>
      <w:divBdr>
        <w:top w:val="none" w:sz="0" w:space="0" w:color="auto"/>
        <w:left w:val="none" w:sz="0" w:space="0" w:color="auto"/>
        <w:bottom w:val="none" w:sz="0" w:space="0" w:color="auto"/>
        <w:right w:val="none" w:sz="0" w:space="0" w:color="auto"/>
      </w:divBdr>
      <w:divsChild>
        <w:div w:id="862592170">
          <w:marLeft w:val="274"/>
          <w:marRight w:val="0"/>
          <w:marTop w:val="60"/>
          <w:marBottom w:val="60"/>
          <w:divBdr>
            <w:top w:val="none" w:sz="0" w:space="0" w:color="auto"/>
            <w:left w:val="none" w:sz="0" w:space="0" w:color="auto"/>
            <w:bottom w:val="none" w:sz="0" w:space="0" w:color="auto"/>
            <w:right w:val="none" w:sz="0" w:space="0" w:color="auto"/>
          </w:divBdr>
        </w:div>
      </w:divsChild>
    </w:div>
    <w:div w:id="714505525">
      <w:bodyDiv w:val="1"/>
      <w:marLeft w:val="0"/>
      <w:marRight w:val="0"/>
      <w:marTop w:val="0"/>
      <w:marBottom w:val="0"/>
      <w:divBdr>
        <w:top w:val="none" w:sz="0" w:space="0" w:color="auto"/>
        <w:left w:val="none" w:sz="0" w:space="0" w:color="auto"/>
        <w:bottom w:val="none" w:sz="0" w:space="0" w:color="auto"/>
        <w:right w:val="none" w:sz="0" w:space="0" w:color="auto"/>
      </w:divBdr>
    </w:div>
    <w:div w:id="719398633">
      <w:bodyDiv w:val="1"/>
      <w:marLeft w:val="0"/>
      <w:marRight w:val="0"/>
      <w:marTop w:val="0"/>
      <w:marBottom w:val="0"/>
      <w:divBdr>
        <w:top w:val="none" w:sz="0" w:space="0" w:color="auto"/>
        <w:left w:val="none" w:sz="0" w:space="0" w:color="auto"/>
        <w:bottom w:val="none" w:sz="0" w:space="0" w:color="auto"/>
        <w:right w:val="none" w:sz="0" w:space="0" w:color="auto"/>
      </w:divBdr>
    </w:div>
    <w:div w:id="745568819">
      <w:bodyDiv w:val="1"/>
      <w:marLeft w:val="0"/>
      <w:marRight w:val="0"/>
      <w:marTop w:val="0"/>
      <w:marBottom w:val="0"/>
      <w:divBdr>
        <w:top w:val="none" w:sz="0" w:space="0" w:color="auto"/>
        <w:left w:val="none" w:sz="0" w:space="0" w:color="auto"/>
        <w:bottom w:val="none" w:sz="0" w:space="0" w:color="auto"/>
        <w:right w:val="none" w:sz="0" w:space="0" w:color="auto"/>
      </w:divBdr>
    </w:div>
    <w:div w:id="750977740">
      <w:bodyDiv w:val="1"/>
      <w:marLeft w:val="0"/>
      <w:marRight w:val="0"/>
      <w:marTop w:val="0"/>
      <w:marBottom w:val="0"/>
      <w:divBdr>
        <w:top w:val="none" w:sz="0" w:space="0" w:color="auto"/>
        <w:left w:val="none" w:sz="0" w:space="0" w:color="auto"/>
        <w:bottom w:val="none" w:sz="0" w:space="0" w:color="auto"/>
        <w:right w:val="none" w:sz="0" w:space="0" w:color="auto"/>
      </w:divBdr>
      <w:divsChild>
        <w:div w:id="262108196">
          <w:marLeft w:val="0"/>
          <w:marRight w:val="0"/>
          <w:marTop w:val="0"/>
          <w:marBottom w:val="0"/>
          <w:divBdr>
            <w:top w:val="none" w:sz="0" w:space="0" w:color="auto"/>
            <w:left w:val="none" w:sz="0" w:space="0" w:color="auto"/>
            <w:bottom w:val="none" w:sz="0" w:space="0" w:color="auto"/>
            <w:right w:val="none" w:sz="0" w:space="0" w:color="auto"/>
          </w:divBdr>
        </w:div>
      </w:divsChild>
    </w:div>
    <w:div w:id="758062843">
      <w:bodyDiv w:val="1"/>
      <w:marLeft w:val="0"/>
      <w:marRight w:val="0"/>
      <w:marTop w:val="0"/>
      <w:marBottom w:val="0"/>
      <w:divBdr>
        <w:top w:val="none" w:sz="0" w:space="0" w:color="auto"/>
        <w:left w:val="none" w:sz="0" w:space="0" w:color="auto"/>
        <w:bottom w:val="none" w:sz="0" w:space="0" w:color="auto"/>
        <w:right w:val="none" w:sz="0" w:space="0" w:color="auto"/>
      </w:divBdr>
    </w:div>
    <w:div w:id="767583851">
      <w:bodyDiv w:val="1"/>
      <w:marLeft w:val="0"/>
      <w:marRight w:val="0"/>
      <w:marTop w:val="0"/>
      <w:marBottom w:val="0"/>
      <w:divBdr>
        <w:top w:val="none" w:sz="0" w:space="0" w:color="auto"/>
        <w:left w:val="none" w:sz="0" w:space="0" w:color="auto"/>
        <w:bottom w:val="none" w:sz="0" w:space="0" w:color="auto"/>
        <w:right w:val="none" w:sz="0" w:space="0" w:color="auto"/>
      </w:divBdr>
    </w:div>
    <w:div w:id="770008873">
      <w:bodyDiv w:val="1"/>
      <w:marLeft w:val="0"/>
      <w:marRight w:val="0"/>
      <w:marTop w:val="0"/>
      <w:marBottom w:val="0"/>
      <w:divBdr>
        <w:top w:val="none" w:sz="0" w:space="0" w:color="auto"/>
        <w:left w:val="none" w:sz="0" w:space="0" w:color="auto"/>
        <w:bottom w:val="none" w:sz="0" w:space="0" w:color="auto"/>
        <w:right w:val="none" w:sz="0" w:space="0" w:color="auto"/>
      </w:divBdr>
      <w:divsChild>
        <w:div w:id="5641330">
          <w:marLeft w:val="0"/>
          <w:marRight w:val="0"/>
          <w:marTop w:val="0"/>
          <w:marBottom w:val="0"/>
          <w:divBdr>
            <w:top w:val="none" w:sz="0" w:space="0" w:color="auto"/>
            <w:left w:val="none" w:sz="0" w:space="0" w:color="auto"/>
            <w:bottom w:val="none" w:sz="0" w:space="0" w:color="auto"/>
            <w:right w:val="none" w:sz="0" w:space="0" w:color="auto"/>
          </w:divBdr>
        </w:div>
        <w:div w:id="430903301">
          <w:marLeft w:val="0"/>
          <w:marRight w:val="0"/>
          <w:marTop w:val="0"/>
          <w:marBottom w:val="0"/>
          <w:divBdr>
            <w:top w:val="none" w:sz="0" w:space="0" w:color="auto"/>
            <w:left w:val="none" w:sz="0" w:space="0" w:color="auto"/>
            <w:bottom w:val="none" w:sz="0" w:space="0" w:color="auto"/>
            <w:right w:val="none" w:sz="0" w:space="0" w:color="auto"/>
          </w:divBdr>
        </w:div>
        <w:div w:id="627202663">
          <w:marLeft w:val="0"/>
          <w:marRight w:val="0"/>
          <w:marTop w:val="0"/>
          <w:marBottom w:val="0"/>
          <w:divBdr>
            <w:top w:val="none" w:sz="0" w:space="0" w:color="auto"/>
            <w:left w:val="none" w:sz="0" w:space="0" w:color="auto"/>
            <w:bottom w:val="none" w:sz="0" w:space="0" w:color="auto"/>
            <w:right w:val="none" w:sz="0" w:space="0" w:color="auto"/>
          </w:divBdr>
        </w:div>
        <w:div w:id="951285228">
          <w:marLeft w:val="0"/>
          <w:marRight w:val="0"/>
          <w:marTop w:val="0"/>
          <w:marBottom w:val="0"/>
          <w:divBdr>
            <w:top w:val="none" w:sz="0" w:space="0" w:color="auto"/>
            <w:left w:val="none" w:sz="0" w:space="0" w:color="auto"/>
            <w:bottom w:val="none" w:sz="0" w:space="0" w:color="auto"/>
            <w:right w:val="none" w:sz="0" w:space="0" w:color="auto"/>
          </w:divBdr>
        </w:div>
        <w:div w:id="1214657691">
          <w:marLeft w:val="0"/>
          <w:marRight w:val="0"/>
          <w:marTop w:val="0"/>
          <w:marBottom w:val="0"/>
          <w:divBdr>
            <w:top w:val="none" w:sz="0" w:space="0" w:color="auto"/>
            <w:left w:val="none" w:sz="0" w:space="0" w:color="auto"/>
            <w:bottom w:val="none" w:sz="0" w:space="0" w:color="auto"/>
            <w:right w:val="none" w:sz="0" w:space="0" w:color="auto"/>
          </w:divBdr>
        </w:div>
        <w:div w:id="1952009950">
          <w:marLeft w:val="0"/>
          <w:marRight w:val="0"/>
          <w:marTop w:val="0"/>
          <w:marBottom w:val="0"/>
          <w:divBdr>
            <w:top w:val="none" w:sz="0" w:space="0" w:color="auto"/>
            <w:left w:val="none" w:sz="0" w:space="0" w:color="auto"/>
            <w:bottom w:val="none" w:sz="0" w:space="0" w:color="auto"/>
            <w:right w:val="none" w:sz="0" w:space="0" w:color="auto"/>
          </w:divBdr>
        </w:div>
      </w:divsChild>
    </w:div>
    <w:div w:id="802776310">
      <w:bodyDiv w:val="1"/>
      <w:marLeft w:val="0"/>
      <w:marRight w:val="0"/>
      <w:marTop w:val="0"/>
      <w:marBottom w:val="0"/>
      <w:divBdr>
        <w:top w:val="none" w:sz="0" w:space="0" w:color="auto"/>
        <w:left w:val="none" w:sz="0" w:space="0" w:color="auto"/>
        <w:bottom w:val="none" w:sz="0" w:space="0" w:color="auto"/>
        <w:right w:val="none" w:sz="0" w:space="0" w:color="auto"/>
      </w:divBdr>
    </w:div>
    <w:div w:id="843978996">
      <w:bodyDiv w:val="1"/>
      <w:marLeft w:val="0"/>
      <w:marRight w:val="0"/>
      <w:marTop w:val="0"/>
      <w:marBottom w:val="0"/>
      <w:divBdr>
        <w:top w:val="none" w:sz="0" w:space="0" w:color="auto"/>
        <w:left w:val="none" w:sz="0" w:space="0" w:color="auto"/>
        <w:bottom w:val="none" w:sz="0" w:space="0" w:color="auto"/>
        <w:right w:val="none" w:sz="0" w:space="0" w:color="auto"/>
      </w:divBdr>
    </w:div>
    <w:div w:id="860778871">
      <w:bodyDiv w:val="1"/>
      <w:marLeft w:val="0"/>
      <w:marRight w:val="0"/>
      <w:marTop w:val="0"/>
      <w:marBottom w:val="0"/>
      <w:divBdr>
        <w:top w:val="none" w:sz="0" w:space="0" w:color="auto"/>
        <w:left w:val="none" w:sz="0" w:space="0" w:color="auto"/>
        <w:bottom w:val="none" w:sz="0" w:space="0" w:color="auto"/>
        <w:right w:val="none" w:sz="0" w:space="0" w:color="auto"/>
      </w:divBdr>
      <w:divsChild>
        <w:div w:id="1087458868">
          <w:marLeft w:val="0"/>
          <w:marRight w:val="0"/>
          <w:marTop w:val="0"/>
          <w:marBottom w:val="0"/>
          <w:divBdr>
            <w:top w:val="none" w:sz="0" w:space="0" w:color="auto"/>
            <w:left w:val="none" w:sz="0" w:space="0" w:color="auto"/>
            <w:bottom w:val="none" w:sz="0" w:space="0" w:color="auto"/>
            <w:right w:val="none" w:sz="0" w:space="0" w:color="auto"/>
          </w:divBdr>
        </w:div>
      </w:divsChild>
    </w:div>
    <w:div w:id="885340318">
      <w:bodyDiv w:val="1"/>
      <w:marLeft w:val="0"/>
      <w:marRight w:val="0"/>
      <w:marTop w:val="0"/>
      <w:marBottom w:val="0"/>
      <w:divBdr>
        <w:top w:val="none" w:sz="0" w:space="0" w:color="auto"/>
        <w:left w:val="none" w:sz="0" w:space="0" w:color="auto"/>
        <w:bottom w:val="none" w:sz="0" w:space="0" w:color="auto"/>
        <w:right w:val="none" w:sz="0" w:space="0" w:color="auto"/>
      </w:divBdr>
      <w:divsChild>
        <w:div w:id="1890412092">
          <w:marLeft w:val="547"/>
          <w:marRight w:val="0"/>
          <w:marTop w:val="60"/>
          <w:marBottom w:val="60"/>
          <w:divBdr>
            <w:top w:val="none" w:sz="0" w:space="0" w:color="auto"/>
            <w:left w:val="none" w:sz="0" w:space="0" w:color="auto"/>
            <w:bottom w:val="none" w:sz="0" w:space="0" w:color="auto"/>
            <w:right w:val="none" w:sz="0" w:space="0" w:color="auto"/>
          </w:divBdr>
        </w:div>
      </w:divsChild>
    </w:div>
    <w:div w:id="896209163">
      <w:bodyDiv w:val="1"/>
      <w:marLeft w:val="0"/>
      <w:marRight w:val="0"/>
      <w:marTop w:val="0"/>
      <w:marBottom w:val="0"/>
      <w:divBdr>
        <w:top w:val="none" w:sz="0" w:space="0" w:color="auto"/>
        <w:left w:val="none" w:sz="0" w:space="0" w:color="auto"/>
        <w:bottom w:val="none" w:sz="0" w:space="0" w:color="auto"/>
        <w:right w:val="none" w:sz="0" w:space="0" w:color="auto"/>
      </w:divBdr>
    </w:div>
    <w:div w:id="916131146">
      <w:bodyDiv w:val="1"/>
      <w:marLeft w:val="0"/>
      <w:marRight w:val="0"/>
      <w:marTop w:val="0"/>
      <w:marBottom w:val="0"/>
      <w:divBdr>
        <w:top w:val="none" w:sz="0" w:space="0" w:color="auto"/>
        <w:left w:val="none" w:sz="0" w:space="0" w:color="auto"/>
        <w:bottom w:val="none" w:sz="0" w:space="0" w:color="auto"/>
        <w:right w:val="none" w:sz="0" w:space="0" w:color="auto"/>
      </w:divBdr>
      <w:divsChild>
        <w:div w:id="606887300">
          <w:marLeft w:val="274"/>
          <w:marRight w:val="0"/>
          <w:marTop w:val="60"/>
          <w:marBottom w:val="60"/>
          <w:divBdr>
            <w:top w:val="none" w:sz="0" w:space="0" w:color="auto"/>
            <w:left w:val="none" w:sz="0" w:space="0" w:color="auto"/>
            <w:bottom w:val="none" w:sz="0" w:space="0" w:color="auto"/>
            <w:right w:val="none" w:sz="0" w:space="0" w:color="auto"/>
          </w:divBdr>
        </w:div>
        <w:div w:id="826091644">
          <w:marLeft w:val="274"/>
          <w:marRight w:val="0"/>
          <w:marTop w:val="60"/>
          <w:marBottom w:val="60"/>
          <w:divBdr>
            <w:top w:val="none" w:sz="0" w:space="0" w:color="auto"/>
            <w:left w:val="none" w:sz="0" w:space="0" w:color="auto"/>
            <w:bottom w:val="none" w:sz="0" w:space="0" w:color="auto"/>
            <w:right w:val="none" w:sz="0" w:space="0" w:color="auto"/>
          </w:divBdr>
        </w:div>
        <w:div w:id="1555658285">
          <w:marLeft w:val="274"/>
          <w:marRight w:val="0"/>
          <w:marTop w:val="60"/>
          <w:marBottom w:val="60"/>
          <w:divBdr>
            <w:top w:val="none" w:sz="0" w:space="0" w:color="auto"/>
            <w:left w:val="none" w:sz="0" w:space="0" w:color="auto"/>
            <w:bottom w:val="none" w:sz="0" w:space="0" w:color="auto"/>
            <w:right w:val="none" w:sz="0" w:space="0" w:color="auto"/>
          </w:divBdr>
        </w:div>
      </w:divsChild>
    </w:div>
    <w:div w:id="949816715">
      <w:bodyDiv w:val="1"/>
      <w:marLeft w:val="0"/>
      <w:marRight w:val="0"/>
      <w:marTop w:val="0"/>
      <w:marBottom w:val="0"/>
      <w:divBdr>
        <w:top w:val="none" w:sz="0" w:space="0" w:color="auto"/>
        <w:left w:val="none" w:sz="0" w:space="0" w:color="auto"/>
        <w:bottom w:val="none" w:sz="0" w:space="0" w:color="auto"/>
        <w:right w:val="none" w:sz="0" w:space="0" w:color="auto"/>
      </w:divBdr>
    </w:div>
    <w:div w:id="981353457">
      <w:bodyDiv w:val="1"/>
      <w:marLeft w:val="0"/>
      <w:marRight w:val="0"/>
      <w:marTop w:val="0"/>
      <w:marBottom w:val="0"/>
      <w:divBdr>
        <w:top w:val="none" w:sz="0" w:space="0" w:color="auto"/>
        <w:left w:val="none" w:sz="0" w:space="0" w:color="auto"/>
        <w:bottom w:val="none" w:sz="0" w:space="0" w:color="auto"/>
        <w:right w:val="none" w:sz="0" w:space="0" w:color="auto"/>
      </w:divBdr>
    </w:div>
    <w:div w:id="985938680">
      <w:bodyDiv w:val="1"/>
      <w:marLeft w:val="0"/>
      <w:marRight w:val="0"/>
      <w:marTop w:val="0"/>
      <w:marBottom w:val="0"/>
      <w:divBdr>
        <w:top w:val="none" w:sz="0" w:space="0" w:color="auto"/>
        <w:left w:val="none" w:sz="0" w:space="0" w:color="auto"/>
        <w:bottom w:val="none" w:sz="0" w:space="0" w:color="auto"/>
        <w:right w:val="none" w:sz="0" w:space="0" w:color="auto"/>
      </w:divBdr>
    </w:div>
    <w:div w:id="1000540513">
      <w:bodyDiv w:val="1"/>
      <w:marLeft w:val="0"/>
      <w:marRight w:val="0"/>
      <w:marTop w:val="0"/>
      <w:marBottom w:val="0"/>
      <w:divBdr>
        <w:top w:val="none" w:sz="0" w:space="0" w:color="auto"/>
        <w:left w:val="none" w:sz="0" w:space="0" w:color="auto"/>
        <w:bottom w:val="none" w:sz="0" w:space="0" w:color="auto"/>
        <w:right w:val="none" w:sz="0" w:space="0" w:color="auto"/>
      </w:divBdr>
    </w:div>
    <w:div w:id="1009259404">
      <w:bodyDiv w:val="1"/>
      <w:marLeft w:val="0"/>
      <w:marRight w:val="0"/>
      <w:marTop w:val="0"/>
      <w:marBottom w:val="0"/>
      <w:divBdr>
        <w:top w:val="none" w:sz="0" w:space="0" w:color="auto"/>
        <w:left w:val="none" w:sz="0" w:space="0" w:color="auto"/>
        <w:bottom w:val="none" w:sz="0" w:space="0" w:color="auto"/>
        <w:right w:val="none" w:sz="0" w:space="0" w:color="auto"/>
      </w:divBdr>
    </w:div>
    <w:div w:id="1043559632">
      <w:bodyDiv w:val="1"/>
      <w:marLeft w:val="0"/>
      <w:marRight w:val="0"/>
      <w:marTop w:val="0"/>
      <w:marBottom w:val="0"/>
      <w:divBdr>
        <w:top w:val="none" w:sz="0" w:space="0" w:color="auto"/>
        <w:left w:val="none" w:sz="0" w:space="0" w:color="auto"/>
        <w:bottom w:val="none" w:sz="0" w:space="0" w:color="auto"/>
        <w:right w:val="none" w:sz="0" w:space="0" w:color="auto"/>
      </w:divBdr>
    </w:div>
    <w:div w:id="1044212209">
      <w:bodyDiv w:val="1"/>
      <w:marLeft w:val="0"/>
      <w:marRight w:val="0"/>
      <w:marTop w:val="0"/>
      <w:marBottom w:val="0"/>
      <w:divBdr>
        <w:top w:val="none" w:sz="0" w:space="0" w:color="auto"/>
        <w:left w:val="none" w:sz="0" w:space="0" w:color="auto"/>
        <w:bottom w:val="none" w:sz="0" w:space="0" w:color="auto"/>
        <w:right w:val="none" w:sz="0" w:space="0" w:color="auto"/>
      </w:divBdr>
      <w:divsChild>
        <w:div w:id="60643399">
          <w:marLeft w:val="547"/>
          <w:marRight w:val="0"/>
          <w:marTop w:val="60"/>
          <w:marBottom w:val="60"/>
          <w:divBdr>
            <w:top w:val="none" w:sz="0" w:space="0" w:color="auto"/>
            <w:left w:val="none" w:sz="0" w:space="0" w:color="auto"/>
            <w:bottom w:val="none" w:sz="0" w:space="0" w:color="auto"/>
            <w:right w:val="none" w:sz="0" w:space="0" w:color="auto"/>
          </w:divBdr>
        </w:div>
      </w:divsChild>
    </w:div>
    <w:div w:id="1069112781">
      <w:bodyDiv w:val="1"/>
      <w:marLeft w:val="0"/>
      <w:marRight w:val="0"/>
      <w:marTop w:val="0"/>
      <w:marBottom w:val="0"/>
      <w:divBdr>
        <w:top w:val="none" w:sz="0" w:space="0" w:color="auto"/>
        <w:left w:val="none" w:sz="0" w:space="0" w:color="auto"/>
        <w:bottom w:val="none" w:sz="0" w:space="0" w:color="auto"/>
        <w:right w:val="none" w:sz="0" w:space="0" w:color="auto"/>
      </w:divBdr>
      <w:divsChild>
        <w:div w:id="1981497020">
          <w:marLeft w:val="274"/>
          <w:marRight w:val="0"/>
          <w:marTop w:val="0"/>
          <w:marBottom w:val="0"/>
          <w:divBdr>
            <w:top w:val="none" w:sz="0" w:space="0" w:color="auto"/>
            <w:left w:val="none" w:sz="0" w:space="0" w:color="auto"/>
            <w:bottom w:val="none" w:sz="0" w:space="0" w:color="auto"/>
            <w:right w:val="none" w:sz="0" w:space="0" w:color="auto"/>
          </w:divBdr>
        </w:div>
      </w:divsChild>
    </w:div>
    <w:div w:id="1072967879">
      <w:bodyDiv w:val="1"/>
      <w:marLeft w:val="0"/>
      <w:marRight w:val="0"/>
      <w:marTop w:val="0"/>
      <w:marBottom w:val="0"/>
      <w:divBdr>
        <w:top w:val="none" w:sz="0" w:space="0" w:color="auto"/>
        <w:left w:val="none" w:sz="0" w:space="0" w:color="auto"/>
        <w:bottom w:val="none" w:sz="0" w:space="0" w:color="auto"/>
        <w:right w:val="none" w:sz="0" w:space="0" w:color="auto"/>
      </w:divBdr>
      <w:divsChild>
        <w:div w:id="87390162">
          <w:marLeft w:val="274"/>
          <w:marRight w:val="0"/>
          <w:marTop w:val="0"/>
          <w:marBottom w:val="0"/>
          <w:divBdr>
            <w:top w:val="none" w:sz="0" w:space="0" w:color="auto"/>
            <w:left w:val="none" w:sz="0" w:space="0" w:color="auto"/>
            <w:bottom w:val="none" w:sz="0" w:space="0" w:color="auto"/>
            <w:right w:val="none" w:sz="0" w:space="0" w:color="auto"/>
          </w:divBdr>
        </w:div>
        <w:div w:id="267584797">
          <w:marLeft w:val="274"/>
          <w:marRight w:val="0"/>
          <w:marTop w:val="0"/>
          <w:marBottom w:val="0"/>
          <w:divBdr>
            <w:top w:val="none" w:sz="0" w:space="0" w:color="auto"/>
            <w:left w:val="none" w:sz="0" w:space="0" w:color="auto"/>
            <w:bottom w:val="none" w:sz="0" w:space="0" w:color="auto"/>
            <w:right w:val="none" w:sz="0" w:space="0" w:color="auto"/>
          </w:divBdr>
        </w:div>
      </w:divsChild>
    </w:div>
    <w:div w:id="1077744946">
      <w:bodyDiv w:val="1"/>
      <w:marLeft w:val="0"/>
      <w:marRight w:val="0"/>
      <w:marTop w:val="0"/>
      <w:marBottom w:val="0"/>
      <w:divBdr>
        <w:top w:val="none" w:sz="0" w:space="0" w:color="auto"/>
        <w:left w:val="none" w:sz="0" w:space="0" w:color="auto"/>
        <w:bottom w:val="none" w:sz="0" w:space="0" w:color="auto"/>
        <w:right w:val="none" w:sz="0" w:space="0" w:color="auto"/>
      </w:divBdr>
      <w:divsChild>
        <w:div w:id="802770654">
          <w:marLeft w:val="274"/>
          <w:marRight w:val="0"/>
          <w:marTop w:val="0"/>
          <w:marBottom w:val="0"/>
          <w:divBdr>
            <w:top w:val="none" w:sz="0" w:space="0" w:color="auto"/>
            <w:left w:val="none" w:sz="0" w:space="0" w:color="auto"/>
            <w:bottom w:val="none" w:sz="0" w:space="0" w:color="auto"/>
            <w:right w:val="none" w:sz="0" w:space="0" w:color="auto"/>
          </w:divBdr>
        </w:div>
      </w:divsChild>
    </w:div>
    <w:div w:id="1097559786">
      <w:bodyDiv w:val="1"/>
      <w:marLeft w:val="0"/>
      <w:marRight w:val="0"/>
      <w:marTop w:val="0"/>
      <w:marBottom w:val="0"/>
      <w:divBdr>
        <w:top w:val="none" w:sz="0" w:space="0" w:color="auto"/>
        <w:left w:val="none" w:sz="0" w:space="0" w:color="auto"/>
        <w:bottom w:val="none" w:sz="0" w:space="0" w:color="auto"/>
        <w:right w:val="none" w:sz="0" w:space="0" w:color="auto"/>
      </w:divBdr>
    </w:div>
    <w:div w:id="1136802310">
      <w:bodyDiv w:val="1"/>
      <w:marLeft w:val="0"/>
      <w:marRight w:val="0"/>
      <w:marTop w:val="0"/>
      <w:marBottom w:val="0"/>
      <w:divBdr>
        <w:top w:val="none" w:sz="0" w:space="0" w:color="auto"/>
        <w:left w:val="none" w:sz="0" w:space="0" w:color="auto"/>
        <w:bottom w:val="none" w:sz="0" w:space="0" w:color="auto"/>
        <w:right w:val="none" w:sz="0" w:space="0" w:color="auto"/>
      </w:divBdr>
    </w:div>
    <w:div w:id="1153790925">
      <w:bodyDiv w:val="1"/>
      <w:marLeft w:val="0"/>
      <w:marRight w:val="0"/>
      <w:marTop w:val="0"/>
      <w:marBottom w:val="0"/>
      <w:divBdr>
        <w:top w:val="none" w:sz="0" w:space="0" w:color="auto"/>
        <w:left w:val="none" w:sz="0" w:space="0" w:color="auto"/>
        <w:bottom w:val="none" w:sz="0" w:space="0" w:color="auto"/>
        <w:right w:val="none" w:sz="0" w:space="0" w:color="auto"/>
      </w:divBdr>
    </w:div>
    <w:div w:id="1154298514">
      <w:bodyDiv w:val="1"/>
      <w:marLeft w:val="0"/>
      <w:marRight w:val="0"/>
      <w:marTop w:val="0"/>
      <w:marBottom w:val="0"/>
      <w:divBdr>
        <w:top w:val="none" w:sz="0" w:space="0" w:color="auto"/>
        <w:left w:val="none" w:sz="0" w:space="0" w:color="auto"/>
        <w:bottom w:val="none" w:sz="0" w:space="0" w:color="auto"/>
        <w:right w:val="none" w:sz="0" w:space="0" w:color="auto"/>
      </w:divBdr>
    </w:div>
    <w:div w:id="1166017390">
      <w:bodyDiv w:val="1"/>
      <w:marLeft w:val="0"/>
      <w:marRight w:val="0"/>
      <w:marTop w:val="0"/>
      <w:marBottom w:val="0"/>
      <w:divBdr>
        <w:top w:val="none" w:sz="0" w:space="0" w:color="auto"/>
        <w:left w:val="none" w:sz="0" w:space="0" w:color="auto"/>
        <w:bottom w:val="none" w:sz="0" w:space="0" w:color="auto"/>
        <w:right w:val="none" w:sz="0" w:space="0" w:color="auto"/>
      </w:divBdr>
    </w:div>
    <w:div w:id="1193377483">
      <w:bodyDiv w:val="1"/>
      <w:marLeft w:val="0"/>
      <w:marRight w:val="0"/>
      <w:marTop w:val="0"/>
      <w:marBottom w:val="0"/>
      <w:divBdr>
        <w:top w:val="none" w:sz="0" w:space="0" w:color="auto"/>
        <w:left w:val="none" w:sz="0" w:space="0" w:color="auto"/>
        <w:bottom w:val="none" w:sz="0" w:space="0" w:color="auto"/>
        <w:right w:val="none" w:sz="0" w:space="0" w:color="auto"/>
      </w:divBdr>
      <w:divsChild>
        <w:div w:id="167603339">
          <w:marLeft w:val="274"/>
          <w:marRight w:val="0"/>
          <w:marTop w:val="60"/>
          <w:marBottom w:val="60"/>
          <w:divBdr>
            <w:top w:val="none" w:sz="0" w:space="0" w:color="auto"/>
            <w:left w:val="none" w:sz="0" w:space="0" w:color="auto"/>
            <w:bottom w:val="none" w:sz="0" w:space="0" w:color="auto"/>
            <w:right w:val="none" w:sz="0" w:space="0" w:color="auto"/>
          </w:divBdr>
        </w:div>
        <w:div w:id="867990615">
          <w:marLeft w:val="274"/>
          <w:marRight w:val="0"/>
          <w:marTop w:val="60"/>
          <w:marBottom w:val="60"/>
          <w:divBdr>
            <w:top w:val="none" w:sz="0" w:space="0" w:color="auto"/>
            <w:left w:val="none" w:sz="0" w:space="0" w:color="auto"/>
            <w:bottom w:val="none" w:sz="0" w:space="0" w:color="auto"/>
            <w:right w:val="none" w:sz="0" w:space="0" w:color="auto"/>
          </w:divBdr>
        </w:div>
        <w:div w:id="1291132807">
          <w:marLeft w:val="274"/>
          <w:marRight w:val="0"/>
          <w:marTop w:val="60"/>
          <w:marBottom w:val="60"/>
          <w:divBdr>
            <w:top w:val="none" w:sz="0" w:space="0" w:color="auto"/>
            <w:left w:val="none" w:sz="0" w:space="0" w:color="auto"/>
            <w:bottom w:val="none" w:sz="0" w:space="0" w:color="auto"/>
            <w:right w:val="none" w:sz="0" w:space="0" w:color="auto"/>
          </w:divBdr>
        </w:div>
        <w:div w:id="1535269254">
          <w:marLeft w:val="274"/>
          <w:marRight w:val="0"/>
          <w:marTop w:val="60"/>
          <w:marBottom w:val="60"/>
          <w:divBdr>
            <w:top w:val="none" w:sz="0" w:space="0" w:color="auto"/>
            <w:left w:val="none" w:sz="0" w:space="0" w:color="auto"/>
            <w:bottom w:val="none" w:sz="0" w:space="0" w:color="auto"/>
            <w:right w:val="none" w:sz="0" w:space="0" w:color="auto"/>
          </w:divBdr>
        </w:div>
        <w:div w:id="1597981824">
          <w:marLeft w:val="274"/>
          <w:marRight w:val="0"/>
          <w:marTop w:val="60"/>
          <w:marBottom w:val="60"/>
          <w:divBdr>
            <w:top w:val="none" w:sz="0" w:space="0" w:color="auto"/>
            <w:left w:val="none" w:sz="0" w:space="0" w:color="auto"/>
            <w:bottom w:val="none" w:sz="0" w:space="0" w:color="auto"/>
            <w:right w:val="none" w:sz="0" w:space="0" w:color="auto"/>
          </w:divBdr>
        </w:div>
        <w:div w:id="1695644809">
          <w:marLeft w:val="274"/>
          <w:marRight w:val="0"/>
          <w:marTop w:val="60"/>
          <w:marBottom w:val="60"/>
          <w:divBdr>
            <w:top w:val="none" w:sz="0" w:space="0" w:color="auto"/>
            <w:left w:val="none" w:sz="0" w:space="0" w:color="auto"/>
            <w:bottom w:val="none" w:sz="0" w:space="0" w:color="auto"/>
            <w:right w:val="none" w:sz="0" w:space="0" w:color="auto"/>
          </w:divBdr>
        </w:div>
      </w:divsChild>
    </w:div>
    <w:div w:id="1209299311">
      <w:bodyDiv w:val="1"/>
      <w:marLeft w:val="0"/>
      <w:marRight w:val="0"/>
      <w:marTop w:val="0"/>
      <w:marBottom w:val="0"/>
      <w:divBdr>
        <w:top w:val="none" w:sz="0" w:space="0" w:color="auto"/>
        <w:left w:val="none" w:sz="0" w:space="0" w:color="auto"/>
        <w:bottom w:val="none" w:sz="0" w:space="0" w:color="auto"/>
        <w:right w:val="none" w:sz="0" w:space="0" w:color="auto"/>
      </w:divBdr>
    </w:div>
    <w:div w:id="1222059115">
      <w:bodyDiv w:val="1"/>
      <w:marLeft w:val="0"/>
      <w:marRight w:val="0"/>
      <w:marTop w:val="0"/>
      <w:marBottom w:val="0"/>
      <w:divBdr>
        <w:top w:val="none" w:sz="0" w:space="0" w:color="auto"/>
        <w:left w:val="none" w:sz="0" w:space="0" w:color="auto"/>
        <w:bottom w:val="none" w:sz="0" w:space="0" w:color="auto"/>
        <w:right w:val="none" w:sz="0" w:space="0" w:color="auto"/>
      </w:divBdr>
    </w:div>
    <w:div w:id="1246458769">
      <w:bodyDiv w:val="1"/>
      <w:marLeft w:val="0"/>
      <w:marRight w:val="0"/>
      <w:marTop w:val="0"/>
      <w:marBottom w:val="0"/>
      <w:divBdr>
        <w:top w:val="none" w:sz="0" w:space="0" w:color="auto"/>
        <w:left w:val="none" w:sz="0" w:space="0" w:color="auto"/>
        <w:bottom w:val="none" w:sz="0" w:space="0" w:color="auto"/>
        <w:right w:val="none" w:sz="0" w:space="0" w:color="auto"/>
      </w:divBdr>
      <w:divsChild>
        <w:div w:id="1723361746">
          <w:marLeft w:val="274"/>
          <w:marRight w:val="0"/>
          <w:marTop w:val="120"/>
          <w:marBottom w:val="0"/>
          <w:divBdr>
            <w:top w:val="none" w:sz="0" w:space="0" w:color="auto"/>
            <w:left w:val="none" w:sz="0" w:space="0" w:color="auto"/>
            <w:bottom w:val="none" w:sz="0" w:space="0" w:color="auto"/>
            <w:right w:val="none" w:sz="0" w:space="0" w:color="auto"/>
          </w:divBdr>
        </w:div>
      </w:divsChild>
    </w:div>
    <w:div w:id="1259485609">
      <w:bodyDiv w:val="1"/>
      <w:marLeft w:val="0"/>
      <w:marRight w:val="0"/>
      <w:marTop w:val="0"/>
      <w:marBottom w:val="0"/>
      <w:divBdr>
        <w:top w:val="none" w:sz="0" w:space="0" w:color="auto"/>
        <w:left w:val="none" w:sz="0" w:space="0" w:color="auto"/>
        <w:bottom w:val="none" w:sz="0" w:space="0" w:color="auto"/>
        <w:right w:val="none" w:sz="0" w:space="0" w:color="auto"/>
      </w:divBdr>
    </w:div>
    <w:div w:id="1275749183">
      <w:bodyDiv w:val="1"/>
      <w:marLeft w:val="0"/>
      <w:marRight w:val="0"/>
      <w:marTop w:val="0"/>
      <w:marBottom w:val="0"/>
      <w:divBdr>
        <w:top w:val="none" w:sz="0" w:space="0" w:color="auto"/>
        <w:left w:val="none" w:sz="0" w:space="0" w:color="auto"/>
        <w:bottom w:val="none" w:sz="0" w:space="0" w:color="auto"/>
        <w:right w:val="none" w:sz="0" w:space="0" w:color="auto"/>
      </w:divBdr>
      <w:divsChild>
        <w:div w:id="449905940">
          <w:marLeft w:val="274"/>
          <w:marRight w:val="0"/>
          <w:marTop w:val="0"/>
          <w:marBottom w:val="0"/>
          <w:divBdr>
            <w:top w:val="none" w:sz="0" w:space="0" w:color="auto"/>
            <w:left w:val="none" w:sz="0" w:space="0" w:color="auto"/>
            <w:bottom w:val="none" w:sz="0" w:space="0" w:color="auto"/>
            <w:right w:val="none" w:sz="0" w:space="0" w:color="auto"/>
          </w:divBdr>
        </w:div>
        <w:div w:id="1137720713">
          <w:marLeft w:val="274"/>
          <w:marRight w:val="0"/>
          <w:marTop w:val="0"/>
          <w:marBottom w:val="0"/>
          <w:divBdr>
            <w:top w:val="none" w:sz="0" w:space="0" w:color="auto"/>
            <w:left w:val="none" w:sz="0" w:space="0" w:color="auto"/>
            <w:bottom w:val="none" w:sz="0" w:space="0" w:color="auto"/>
            <w:right w:val="none" w:sz="0" w:space="0" w:color="auto"/>
          </w:divBdr>
        </w:div>
      </w:divsChild>
    </w:div>
    <w:div w:id="1297372495">
      <w:bodyDiv w:val="1"/>
      <w:marLeft w:val="0"/>
      <w:marRight w:val="0"/>
      <w:marTop w:val="0"/>
      <w:marBottom w:val="0"/>
      <w:divBdr>
        <w:top w:val="none" w:sz="0" w:space="0" w:color="auto"/>
        <w:left w:val="none" w:sz="0" w:space="0" w:color="auto"/>
        <w:bottom w:val="none" w:sz="0" w:space="0" w:color="auto"/>
        <w:right w:val="none" w:sz="0" w:space="0" w:color="auto"/>
      </w:divBdr>
    </w:div>
    <w:div w:id="1299804455">
      <w:bodyDiv w:val="1"/>
      <w:marLeft w:val="0"/>
      <w:marRight w:val="0"/>
      <w:marTop w:val="0"/>
      <w:marBottom w:val="0"/>
      <w:divBdr>
        <w:top w:val="none" w:sz="0" w:space="0" w:color="auto"/>
        <w:left w:val="none" w:sz="0" w:space="0" w:color="auto"/>
        <w:bottom w:val="none" w:sz="0" w:space="0" w:color="auto"/>
        <w:right w:val="none" w:sz="0" w:space="0" w:color="auto"/>
      </w:divBdr>
    </w:div>
    <w:div w:id="1310204589">
      <w:bodyDiv w:val="1"/>
      <w:marLeft w:val="0"/>
      <w:marRight w:val="0"/>
      <w:marTop w:val="0"/>
      <w:marBottom w:val="0"/>
      <w:divBdr>
        <w:top w:val="none" w:sz="0" w:space="0" w:color="auto"/>
        <w:left w:val="none" w:sz="0" w:space="0" w:color="auto"/>
        <w:bottom w:val="none" w:sz="0" w:space="0" w:color="auto"/>
        <w:right w:val="none" w:sz="0" w:space="0" w:color="auto"/>
      </w:divBdr>
    </w:div>
    <w:div w:id="1313295789">
      <w:bodyDiv w:val="1"/>
      <w:marLeft w:val="0"/>
      <w:marRight w:val="0"/>
      <w:marTop w:val="0"/>
      <w:marBottom w:val="0"/>
      <w:divBdr>
        <w:top w:val="none" w:sz="0" w:space="0" w:color="auto"/>
        <w:left w:val="none" w:sz="0" w:space="0" w:color="auto"/>
        <w:bottom w:val="none" w:sz="0" w:space="0" w:color="auto"/>
        <w:right w:val="none" w:sz="0" w:space="0" w:color="auto"/>
      </w:divBdr>
    </w:div>
    <w:div w:id="1344936531">
      <w:bodyDiv w:val="1"/>
      <w:marLeft w:val="0"/>
      <w:marRight w:val="0"/>
      <w:marTop w:val="0"/>
      <w:marBottom w:val="0"/>
      <w:divBdr>
        <w:top w:val="none" w:sz="0" w:space="0" w:color="auto"/>
        <w:left w:val="none" w:sz="0" w:space="0" w:color="auto"/>
        <w:bottom w:val="none" w:sz="0" w:space="0" w:color="auto"/>
        <w:right w:val="none" w:sz="0" w:space="0" w:color="auto"/>
      </w:divBdr>
      <w:divsChild>
        <w:div w:id="66660168">
          <w:marLeft w:val="274"/>
          <w:marRight w:val="0"/>
          <w:marTop w:val="0"/>
          <w:marBottom w:val="0"/>
          <w:divBdr>
            <w:top w:val="none" w:sz="0" w:space="0" w:color="auto"/>
            <w:left w:val="none" w:sz="0" w:space="0" w:color="auto"/>
            <w:bottom w:val="none" w:sz="0" w:space="0" w:color="auto"/>
            <w:right w:val="none" w:sz="0" w:space="0" w:color="auto"/>
          </w:divBdr>
        </w:div>
        <w:div w:id="1060129369">
          <w:marLeft w:val="274"/>
          <w:marRight w:val="0"/>
          <w:marTop w:val="0"/>
          <w:marBottom w:val="0"/>
          <w:divBdr>
            <w:top w:val="none" w:sz="0" w:space="0" w:color="auto"/>
            <w:left w:val="none" w:sz="0" w:space="0" w:color="auto"/>
            <w:bottom w:val="none" w:sz="0" w:space="0" w:color="auto"/>
            <w:right w:val="none" w:sz="0" w:space="0" w:color="auto"/>
          </w:divBdr>
        </w:div>
      </w:divsChild>
    </w:div>
    <w:div w:id="1361854789">
      <w:bodyDiv w:val="1"/>
      <w:marLeft w:val="0"/>
      <w:marRight w:val="0"/>
      <w:marTop w:val="0"/>
      <w:marBottom w:val="0"/>
      <w:divBdr>
        <w:top w:val="none" w:sz="0" w:space="0" w:color="auto"/>
        <w:left w:val="none" w:sz="0" w:space="0" w:color="auto"/>
        <w:bottom w:val="none" w:sz="0" w:space="0" w:color="auto"/>
        <w:right w:val="none" w:sz="0" w:space="0" w:color="auto"/>
      </w:divBdr>
      <w:divsChild>
        <w:div w:id="205917385">
          <w:marLeft w:val="115"/>
          <w:marRight w:val="0"/>
          <w:marTop w:val="0"/>
          <w:marBottom w:val="20"/>
          <w:divBdr>
            <w:top w:val="none" w:sz="0" w:space="0" w:color="auto"/>
            <w:left w:val="none" w:sz="0" w:space="0" w:color="auto"/>
            <w:bottom w:val="none" w:sz="0" w:space="0" w:color="auto"/>
            <w:right w:val="none" w:sz="0" w:space="0" w:color="auto"/>
          </w:divBdr>
        </w:div>
        <w:div w:id="1386491860">
          <w:marLeft w:val="115"/>
          <w:marRight w:val="0"/>
          <w:marTop w:val="0"/>
          <w:marBottom w:val="20"/>
          <w:divBdr>
            <w:top w:val="none" w:sz="0" w:space="0" w:color="auto"/>
            <w:left w:val="none" w:sz="0" w:space="0" w:color="auto"/>
            <w:bottom w:val="none" w:sz="0" w:space="0" w:color="auto"/>
            <w:right w:val="none" w:sz="0" w:space="0" w:color="auto"/>
          </w:divBdr>
        </w:div>
        <w:div w:id="1492523259">
          <w:marLeft w:val="115"/>
          <w:marRight w:val="0"/>
          <w:marTop w:val="0"/>
          <w:marBottom w:val="20"/>
          <w:divBdr>
            <w:top w:val="none" w:sz="0" w:space="0" w:color="auto"/>
            <w:left w:val="none" w:sz="0" w:space="0" w:color="auto"/>
            <w:bottom w:val="none" w:sz="0" w:space="0" w:color="auto"/>
            <w:right w:val="none" w:sz="0" w:space="0" w:color="auto"/>
          </w:divBdr>
        </w:div>
        <w:div w:id="1922173778">
          <w:marLeft w:val="115"/>
          <w:marRight w:val="0"/>
          <w:marTop w:val="0"/>
          <w:marBottom w:val="20"/>
          <w:divBdr>
            <w:top w:val="none" w:sz="0" w:space="0" w:color="auto"/>
            <w:left w:val="none" w:sz="0" w:space="0" w:color="auto"/>
            <w:bottom w:val="none" w:sz="0" w:space="0" w:color="auto"/>
            <w:right w:val="none" w:sz="0" w:space="0" w:color="auto"/>
          </w:divBdr>
        </w:div>
      </w:divsChild>
    </w:div>
    <w:div w:id="1369836620">
      <w:bodyDiv w:val="1"/>
      <w:marLeft w:val="0"/>
      <w:marRight w:val="0"/>
      <w:marTop w:val="0"/>
      <w:marBottom w:val="0"/>
      <w:divBdr>
        <w:top w:val="none" w:sz="0" w:space="0" w:color="auto"/>
        <w:left w:val="none" w:sz="0" w:space="0" w:color="auto"/>
        <w:bottom w:val="none" w:sz="0" w:space="0" w:color="auto"/>
        <w:right w:val="none" w:sz="0" w:space="0" w:color="auto"/>
      </w:divBdr>
    </w:div>
    <w:div w:id="1407534791">
      <w:bodyDiv w:val="1"/>
      <w:marLeft w:val="0"/>
      <w:marRight w:val="0"/>
      <w:marTop w:val="0"/>
      <w:marBottom w:val="0"/>
      <w:divBdr>
        <w:top w:val="none" w:sz="0" w:space="0" w:color="auto"/>
        <w:left w:val="none" w:sz="0" w:space="0" w:color="auto"/>
        <w:bottom w:val="none" w:sz="0" w:space="0" w:color="auto"/>
        <w:right w:val="none" w:sz="0" w:space="0" w:color="auto"/>
      </w:divBdr>
    </w:div>
    <w:div w:id="1433933289">
      <w:bodyDiv w:val="1"/>
      <w:marLeft w:val="0"/>
      <w:marRight w:val="0"/>
      <w:marTop w:val="0"/>
      <w:marBottom w:val="0"/>
      <w:divBdr>
        <w:top w:val="none" w:sz="0" w:space="0" w:color="auto"/>
        <w:left w:val="none" w:sz="0" w:space="0" w:color="auto"/>
        <w:bottom w:val="none" w:sz="0" w:space="0" w:color="auto"/>
        <w:right w:val="none" w:sz="0" w:space="0" w:color="auto"/>
      </w:divBdr>
    </w:div>
    <w:div w:id="1441950499">
      <w:bodyDiv w:val="1"/>
      <w:marLeft w:val="0"/>
      <w:marRight w:val="0"/>
      <w:marTop w:val="0"/>
      <w:marBottom w:val="0"/>
      <w:divBdr>
        <w:top w:val="none" w:sz="0" w:space="0" w:color="auto"/>
        <w:left w:val="none" w:sz="0" w:space="0" w:color="auto"/>
        <w:bottom w:val="none" w:sz="0" w:space="0" w:color="auto"/>
        <w:right w:val="none" w:sz="0" w:space="0" w:color="auto"/>
      </w:divBdr>
      <w:divsChild>
        <w:div w:id="16540463">
          <w:marLeft w:val="274"/>
          <w:marRight w:val="0"/>
          <w:marTop w:val="0"/>
          <w:marBottom w:val="0"/>
          <w:divBdr>
            <w:top w:val="none" w:sz="0" w:space="0" w:color="auto"/>
            <w:left w:val="none" w:sz="0" w:space="0" w:color="auto"/>
            <w:bottom w:val="none" w:sz="0" w:space="0" w:color="auto"/>
            <w:right w:val="none" w:sz="0" w:space="0" w:color="auto"/>
          </w:divBdr>
        </w:div>
        <w:div w:id="30226789">
          <w:marLeft w:val="274"/>
          <w:marRight w:val="0"/>
          <w:marTop w:val="0"/>
          <w:marBottom w:val="0"/>
          <w:divBdr>
            <w:top w:val="none" w:sz="0" w:space="0" w:color="auto"/>
            <w:left w:val="none" w:sz="0" w:space="0" w:color="auto"/>
            <w:bottom w:val="none" w:sz="0" w:space="0" w:color="auto"/>
            <w:right w:val="none" w:sz="0" w:space="0" w:color="auto"/>
          </w:divBdr>
        </w:div>
        <w:div w:id="49620652">
          <w:marLeft w:val="274"/>
          <w:marRight w:val="0"/>
          <w:marTop w:val="0"/>
          <w:marBottom w:val="0"/>
          <w:divBdr>
            <w:top w:val="none" w:sz="0" w:space="0" w:color="auto"/>
            <w:left w:val="none" w:sz="0" w:space="0" w:color="auto"/>
            <w:bottom w:val="none" w:sz="0" w:space="0" w:color="auto"/>
            <w:right w:val="none" w:sz="0" w:space="0" w:color="auto"/>
          </w:divBdr>
        </w:div>
        <w:div w:id="171383103">
          <w:marLeft w:val="274"/>
          <w:marRight w:val="0"/>
          <w:marTop w:val="0"/>
          <w:marBottom w:val="0"/>
          <w:divBdr>
            <w:top w:val="none" w:sz="0" w:space="0" w:color="auto"/>
            <w:left w:val="none" w:sz="0" w:space="0" w:color="auto"/>
            <w:bottom w:val="none" w:sz="0" w:space="0" w:color="auto"/>
            <w:right w:val="none" w:sz="0" w:space="0" w:color="auto"/>
          </w:divBdr>
        </w:div>
        <w:div w:id="289435573">
          <w:marLeft w:val="274"/>
          <w:marRight w:val="0"/>
          <w:marTop w:val="0"/>
          <w:marBottom w:val="0"/>
          <w:divBdr>
            <w:top w:val="none" w:sz="0" w:space="0" w:color="auto"/>
            <w:left w:val="none" w:sz="0" w:space="0" w:color="auto"/>
            <w:bottom w:val="none" w:sz="0" w:space="0" w:color="auto"/>
            <w:right w:val="none" w:sz="0" w:space="0" w:color="auto"/>
          </w:divBdr>
        </w:div>
        <w:div w:id="449667862">
          <w:marLeft w:val="274"/>
          <w:marRight w:val="0"/>
          <w:marTop w:val="0"/>
          <w:marBottom w:val="0"/>
          <w:divBdr>
            <w:top w:val="none" w:sz="0" w:space="0" w:color="auto"/>
            <w:left w:val="none" w:sz="0" w:space="0" w:color="auto"/>
            <w:bottom w:val="none" w:sz="0" w:space="0" w:color="auto"/>
            <w:right w:val="none" w:sz="0" w:space="0" w:color="auto"/>
          </w:divBdr>
        </w:div>
        <w:div w:id="478813550">
          <w:marLeft w:val="274"/>
          <w:marRight w:val="0"/>
          <w:marTop w:val="0"/>
          <w:marBottom w:val="0"/>
          <w:divBdr>
            <w:top w:val="none" w:sz="0" w:space="0" w:color="auto"/>
            <w:left w:val="none" w:sz="0" w:space="0" w:color="auto"/>
            <w:bottom w:val="none" w:sz="0" w:space="0" w:color="auto"/>
            <w:right w:val="none" w:sz="0" w:space="0" w:color="auto"/>
          </w:divBdr>
        </w:div>
        <w:div w:id="566190494">
          <w:marLeft w:val="274"/>
          <w:marRight w:val="0"/>
          <w:marTop w:val="0"/>
          <w:marBottom w:val="0"/>
          <w:divBdr>
            <w:top w:val="none" w:sz="0" w:space="0" w:color="auto"/>
            <w:left w:val="none" w:sz="0" w:space="0" w:color="auto"/>
            <w:bottom w:val="none" w:sz="0" w:space="0" w:color="auto"/>
            <w:right w:val="none" w:sz="0" w:space="0" w:color="auto"/>
          </w:divBdr>
        </w:div>
        <w:div w:id="648167018">
          <w:marLeft w:val="274"/>
          <w:marRight w:val="0"/>
          <w:marTop w:val="0"/>
          <w:marBottom w:val="0"/>
          <w:divBdr>
            <w:top w:val="none" w:sz="0" w:space="0" w:color="auto"/>
            <w:left w:val="none" w:sz="0" w:space="0" w:color="auto"/>
            <w:bottom w:val="none" w:sz="0" w:space="0" w:color="auto"/>
            <w:right w:val="none" w:sz="0" w:space="0" w:color="auto"/>
          </w:divBdr>
        </w:div>
        <w:div w:id="718699931">
          <w:marLeft w:val="274"/>
          <w:marRight w:val="0"/>
          <w:marTop w:val="0"/>
          <w:marBottom w:val="0"/>
          <w:divBdr>
            <w:top w:val="none" w:sz="0" w:space="0" w:color="auto"/>
            <w:left w:val="none" w:sz="0" w:space="0" w:color="auto"/>
            <w:bottom w:val="none" w:sz="0" w:space="0" w:color="auto"/>
            <w:right w:val="none" w:sz="0" w:space="0" w:color="auto"/>
          </w:divBdr>
        </w:div>
        <w:div w:id="768700443">
          <w:marLeft w:val="274"/>
          <w:marRight w:val="0"/>
          <w:marTop w:val="0"/>
          <w:marBottom w:val="0"/>
          <w:divBdr>
            <w:top w:val="none" w:sz="0" w:space="0" w:color="auto"/>
            <w:left w:val="none" w:sz="0" w:space="0" w:color="auto"/>
            <w:bottom w:val="none" w:sz="0" w:space="0" w:color="auto"/>
            <w:right w:val="none" w:sz="0" w:space="0" w:color="auto"/>
          </w:divBdr>
        </w:div>
        <w:div w:id="826746093">
          <w:marLeft w:val="274"/>
          <w:marRight w:val="0"/>
          <w:marTop w:val="0"/>
          <w:marBottom w:val="0"/>
          <w:divBdr>
            <w:top w:val="none" w:sz="0" w:space="0" w:color="auto"/>
            <w:left w:val="none" w:sz="0" w:space="0" w:color="auto"/>
            <w:bottom w:val="none" w:sz="0" w:space="0" w:color="auto"/>
            <w:right w:val="none" w:sz="0" w:space="0" w:color="auto"/>
          </w:divBdr>
        </w:div>
        <w:div w:id="843399227">
          <w:marLeft w:val="274"/>
          <w:marRight w:val="0"/>
          <w:marTop w:val="0"/>
          <w:marBottom w:val="0"/>
          <w:divBdr>
            <w:top w:val="none" w:sz="0" w:space="0" w:color="auto"/>
            <w:left w:val="none" w:sz="0" w:space="0" w:color="auto"/>
            <w:bottom w:val="none" w:sz="0" w:space="0" w:color="auto"/>
            <w:right w:val="none" w:sz="0" w:space="0" w:color="auto"/>
          </w:divBdr>
        </w:div>
        <w:div w:id="933510902">
          <w:marLeft w:val="274"/>
          <w:marRight w:val="0"/>
          <w:marTop w:val="0"/>
          <w:marBottom w:val="0"/>
          <w:divBdr>
            <w:top w:val="none" w:sz="0" w:space="0" w:color="auto"/>
            <w:left w:val="none" w:sz="0" w:space="0" w:color="auto"/>
            <w:bottom w:val="none" w:sz="0" w:space="0" w:color="auto"/>
            <w:right w:val="none" w:sz="0" w:space="0" w:color="auto"/>
          </w:divBdr>
        </w:div>
        <w:div w:id="991061336">
          <w:marLeft w:val="274"/>
          <w:marRight w:val="0"/>
          <w:marTop w:val="0"/>
          <w:marBottom w:val="0"/>
          <w:divBdr>
            <w:top w:val="none" w:sz="0" w:space="0" w:color="auto"/>
            <w:left w:val="none" w:sz="0" w:space="0" w:color="auto"/>
            <w:bottom w:val="none" w:sz="0" w:space="0" w:color="auto"/>
            <w:right w:val="none" w:sz="0" w:space="0" w:color="auto"/>
          </w:divBdr>
        </w:div>
        <w:div w:id="1011687452">
          <w:marLeft w:val="274"/>
          <w:marRight w:val="0"/>
          <w:marTop w:val="0"/>
          <w:marBottom w:val="0"/>
          <w:divBdr>
            <w:top w:val="none" w:sz="0" w:space="0" w:color="auto"/>
            <w:left w:val="none" w:sz="0" w:space="0" w:color="auto"/>
            <w:bottom w:val="none" w:sz="0" w:space="0" w:color="auto"/>
            <w:right w:val="none" w:sz="0" w:space="0" w:color="auto"/>
          </w:divBdr>
        </w:div>
        <w:div w:id="1020740468">
          <w:marLeft w:val="274"/>
          <w:marRight w:val="0"/>
          <w:marTop w:val="0"/>
          <w:marBottom w:val="0"/>
          <w:divBdr>
            <w:top w:val="none" w:sz="0" w:space="0" w:color="auto"/>
            <w:left w:val="none" w:sz="0" w:space="0" w:color="auto"/>
            <w:bottom w:val="none" w:sz="0" w:space="0" w:color="auto"/>
            <w:right w:val="none" w:sz="0" w:space="0" w:color="auto"/>
          </w:divBdr>
        </w:div>
        <w:div w:id="1083339153">
          <w:marLeft w:val="274"/>
          <w:marRight w:val="0"/>
          <w:marTop w:val="0"/>
          <w:marBottom w:val="0"/>
          <w:divBdr>
            <w:top w:val="none" w:sz="0" w:space="0" w:color="auto"/>
            <w:left w:val="none" w:sz="0" w:space="0" w:color="auto"/>
            <w:bottom w:val="none" w:sz="0" w:space="0" w:color="auto"/>
            <w:right w:val="none" w:sz="0" w:space="0" w:color="auto"/>
          </w:divBdr>
        </w:div>
        <w:div w:id="1158115177">
          <w:marLeft w:val="274"/>
          <w:marRight w:val="0"/>
          <w:marTop w:val="0"/>
          <w:marBottom w:val="0"/>
          <w:divBdr>
            <w:top w:val="none" w:sz="0" w:space="0" w:color="auto"/>
            <w:left w:val="none" w:sz="0" w:space="0" w:color="auto"/>
            <w:bottom w:val="none" w:sz="0" w:space="0" w:color="auto"/>
            <w:right w:val="none" w:sz="0" w:space="0" w:color="auto"/>
          </w:divBdr>
        </w:div>
        <w:div w:id="1232234673">
          <w:marLeft w:val="274"/>
          <w:marRight w:val="0"/>
          <w:marTop w:val="0"/>
          <w:marBottom w:val="0"/>
          <w:divBdr>
            <w:top w:val="none" w:sz="0" w:space="0" w:color="auto"/>
            <w:left w:val="none" w:sz="0" w:space="0" w:color="auto"/>
            <w:bottom w:val="none" w:sz="0" w:space="0" w:color="auto"/>
            <w:right w:val="none" w:sz="0" w:space="0" w:color="auto"/>
          </w:divBdr>
        </w:div>
        <w:div w:id="1247301629">
          <w:marLeft w:val="274"/>
          <w:marRight w:val="0"/>
          <w:marTop w:val="0"/>
          <w:marBottom w:val="0"/>
          <w:divBdr>
            <w:top w:val="none" w:sz="0" w:space="0" w:color="auto"/>
            <w:left w:val="none" w:sz="0" w:space="0" w:color="auto"/>
            <w:bottom w:val="none" w:sz="0" w:space="0" w:color="auto"/>
            <w:right w:val="none" w:sz="0" w:space="0" w:color="auto"/>
          </w:divBdr>
        </w:div>
        <w:div w:id="1332558760">
          <w:marLeft w:val="274"/>
          <w:marRight w:val="0"/>
          <w:marTop w:val="0"/>
          <w:marBottom w:val="0"/>
          <w:divBdr>
            <w:top w:val="none" w:sz="0" w:space="0" w:color="auto"/>
            <w:left w:val="none" w:sz="0" w:space="0" w:color="auto"/>
            <w:bottom w:val="none" w:sz="0" w:space="0" w:color="auto"/>
            <w:right w:val="none" w:sz="0" w:space="0" w:color="auto"/>
          </w:divBdr>
        </w:div>
        <w:div w:id="1338725945">
          <w:marLeft w:val="274"/>
          <w:marRight w:val="0"/>
          <w:marTop w:val="0"/>
          <w:marBottom w:val="0"/>
          <w:divBdr>
            <w:top w:val="none" w:sz="0" w:space="0" w:color="auto"/>
            <w:left w:val="none" w:sz="0" w:space="0" w:color="auto"/>
            <w:bottom w:val="none" w:sz="0" w:space="0" w:color="auto"/>
            <w:right w:val="none" w:sz="0" w:space="0" w:color="auto"/>
          </w:divBdr>
        </w:div>
        <w:div w:id="1385718620">
          <w:marLeft w:val="274"/>
          <w:marRight w:val="0"/>
          <w:marTop w:val="0"/>
          <w:marBottom w:val="0"/>
          <w:divBdr>
            <w:top w:val="none" w:sz="0" w:space="0" w:color="auto"/>
            <w:left w:val="none" w:sz="0" w:space="0" w:color="auto"/>
            <w:bottom w:val="none" w:sz="0" w:space="0" w:color="auto"/>
            <w:right w:val="none" w:sz="0" w:space="0" w:color="auto"/>
          </w:divBdr>
        </w:div>
        <w:div w:id="1514412468">
          <w:marLeft w:val="274"/>
          <w:marRight w:val="0"/>
          <w:marTop w:val="0"/>
          <w:marBottom w:val="0"/>
          <w:divBdr>
            <w:top w:val="none" w:sz="0" w:space="0" w:color="auto"/>
            <w:left w:val="none" w:sz="0" w:space="0" w:color="auto"/>
            <w:bottom w:val="none" w:sz="0" w:space="0" w:color="auto"/>
            <w:right w:val="none" w:sz="0" w:space="0" w:color="auto"/>
          </w:divBdr>
        </w:div>
        <w:div w:id="1551573167">
          <w:marLeft w:val="274"/>
          <w:marRight w:val="0"/>
          <w:marTop w:val="0"/>
          <w:marBottom w:val="0"/>
          <w:divBdr>
            <w:top w:val="none" w:sz="0" w:space="0" w:color="auto"/>
            <w:left w:val="none" w:sz="0" w:space="0" w:color="auto"/>
            <w:bottom w:val="none" w:sz="0" w:space="0" w:color="auto"/>
            <w:right w:val="none" w:sz="0" w:space="0" w:color="auto"/>
          </w:divBdr>
        </w:div>
        <w:div w:id="1749619858">
          <w:marLeft w:val="274"/>
          <w:marRight w:val="0"/>
          <w:marTop w:val="0"/>
          <w:marBottom w:val="0"/>
          <w:divBdr>
            <w:top w:val="none" w:sz="0" w:space="0" w:color="auto"/>
            <w:left w:val="none" w:sz="0" w:space="0" w:color="auto"/>
            <w:bottom w:val="none" w:sz="0" w:space="0" w:color="auto"/>
            <w:right w:val="none" w:sz="0" w:space="0" w:color="auto"/>
          </w:divBdr>
        </w:div>
        <w:div w:id="1777868490">
          <w:marLeft w:val="274"/>
          <w:marRight w:val="0"/>
          <w:marTop w:val="0"/>
          <w:marBottom w:val="0"/>
          <w:divBdr>
            <w:top w:val="none" w:sz="0" w:space="0" w:color="auto"/>
            <w:left w:val="none" w:sz="0" w:space="0" w:color="auto"/>
            <w:bottom w:val="none" w:sz="0" w:space="0" w:color="auto"/>
            <w:right w:val="none" w:sz="0" w:space="0" w:color="auto"/>
          </w:divBdr>
        </w:div>
        <w:div w:id="2110814754">
          <w:marLeft w:val="274"/>
          <w:marRight w:val="0"/>
          <w:marTop w:val="0"/>
          <w:marBottom w:val="0"/>
          <w:divBdr>
            <w:top w:val="none" w:sz="0" w:space="0" w:color="auto"/>
            <w:left w:val="none" w:sz="0" w:space="0" w:color="auto"/>
            <w:bottom w:val="none" w:sz="0" w:space="0" w:color="auto"/>
            <w:right w:val="none" w:sz="0" w:space="0" w:color="auto"/>
          </w:divBdr>
        </w:div>
      </w:divsChild>
    </w:div>
    <w:div w:id="1442602735">
      <w:bodyDiv w:val="1"/>
      <w:marLeft w:val="0"/>
      <w:marRight w:val="0"/>
      <w:marTop w:val="0"/>
      <w:marBottom w:val="0"/>
      <w:divBdr>
        <w:top w:val="none" w:sz="0" w:space="0" w:color="auto"/>
        <w:left w:val="none" w:sz="0" w:space="0" w:color="auto"/>
        <w:bottom w:val="none" w:sz="0" w:space="0" w:color="auto"/>
        <w:right w:val="none" w:sz="0" w:space="0" w:color="auto"/>
      </w:divBdr>
    </w:div>
    <w:div w:id="1456173695">
      <w:bodyDiv w:val="1"/>
      <w:marLeft w:val="0"/>
      <w:marRight w:val="0"/>
      <w:marTop w:val="0"/>
      <w:marBottom w:val="0"/>
      <w:divBdr>
        <w:top w:val="none" w:sz="0" w:space="0" w:color="auto"/>
        <w:left w:val="none" w:sz="0" w:space="0" w:color="auto"/>
        <w:bottom w:val="none" w:sz="0" w:space="0" w:color="auto"/>
        <w:right w:val="none" w:sz="0" w:space="0" w:color="auto"/>
      </w:divBdr>
    </w:div>
    <w:div w:id="1470829977">
      <w:bodyDiv w:val="1"/>
      <w:marLeft w:val="0"/>
      <w:marRight w:val="0"/>
      <w:marTop w:val="0"/>
      <w:marBottom w:val="0"/>
      <w:divBdr>
        <w:top w:val="none" w:sz="0" w:space="0" w:color="auto"/>
        <w:left w:val="none" w:sz="0" w:space="0" w:color="auto"/>
        <w:bottom w:val="none" w:sz="0" w:space="0" w:color="auto"/>
        <w:right w:val="none" w:sz="0" w:space="0" w:color="auto"/>
      </w:divBdr>
    </w:div>
    <w:div w:id="1504321966">
      <w:bodyDiv w:val="1"/>
      <w:marLeft w:val="0"/>
      <w:marRight w:val="0"/>
      <w:marTop w:val="0"/>
      <w:marBottom w:val="0"/>
      <w:divBdr>
        <w:top w:val="none" w:sz="0" w:space="0" w:color="auto"/>
        <w:left w:val="none" w:sz="0" w:space="0" w:color="auto"/>
        <w:bottom w:val="none" w:sz="0" w:space="0" w:color="auto"/>
        <w:right w:val="none" w:sz="0" w:space="0" w:color="auto"/>
      </w:divBdr>
    </w:div>
    <w:div w:id="1513568912">
      <w:bodyDiv w:val="1"/>
      <w:marLeft w:val="0"/>
      <w:marRight w:val="0"/>
      <w:marTop w:val="0"/>
      <w:marBottom w:val="0"/>
      <w:divBdr>
        <w:top w:val="none" w:sz="0" w:space="0" w:color="auto"/>
        <w:left w:val="none" w:sz="0" w:space="0" w:color="auto"/>
        <w:bottom w:val="none" w:sz="0" w:space="0" w:color="auto"/>
        <w:right w:val="none" w:sz="0" w:space="0" w:color="auto"/>
      </w:divBdr>
    </w:div>
    <w:div w:id="1518081972">
      <w:bodyDiv w:val="1"/>
      <w:marLeft w:val="0"/>
      <w:marRight w:val="0"/>
      <w:marTop w:val="0"/>
      <w:marBottom w:val="0"/>
      <w:divBdr>
        <w:top w:val="none" w:sz="0" w:space="0" w:color="auto"/>
        <w:left w:val="none" w:sz="0" w:space="0" w:color="auto"/>
        <w:bottom w:val="none" w:sz="0" w:space="0" w:color="auto"/>
        <w:right w:val="none" w:sz="0" w:space="0" w:color="auto"/>
      </w:divBdr>
      <w:divsChild>
        <w:div w:id="54210072">
          <w:marLeft w:val="0"/>
          <w:marRight w:val="0"/>
          <w:marTop w:val="0"/>
          <w:marBottom w:val="0"/>
          <w:divBdr>
            <w:top w:val="none" w:sz="0" w:space="0" w:color="auto"/>
            <w:left w:val="none" w:sz="0" w:space="0" w:color="auto"/>
            <w:bottom w:val="none" w:sz="0" w:space="0" w:color="auto"/>
            <w:right w:val="none" w:sz="0" w:space="0" w:color="auto"/>
          </w:divBdr>
        </w:div>
      </w:divsChild>
    </w:div>
    <w:div w:id="1519539634">
      <w:bodyDiv w:val="1"/>
      <w:marLeft w:val="0"/>
      <w:marRight w:val="0"/>
      <w:marTop w:val="0"/>
      <w:marBottom w:val="0"/>
      <w:divBdr>
        <w:top w:val="none" w:sz="0" w:space="0" w:color="auto"/>
        <w:left w:val="none" w:sz="0" w:space="0" w:color="auto"/>
        <w:bottom w:val="none" w:sz="0" w:space="0" w:color="auto"/>
        <w:right w:val="none" w:sz="0" w:space="0" w:color="auto"/>
      </w:divBdr>
    </w:div>
    <w:div w:id="1528521441">
      <w:bodyDiv w:val="1"/>
      <w:marLeft w:val="0"/>
      <w:marRight w:val="0"/>
      <w:marTop w:val="0"/>
      <w:marBottom w:val="0"/>
      <w:divBdr>
        <w:top w:val="none" w:sz="0" w:space="0" w:color="auto"/>
        <w:left w:val="none" w:sz="0" w:space="0" w:color="auto"/>
        <w:bottom w:val="none" w:sz="0" w:space="0" w:color="auto"/>
        <w:right w:val="none" w:sz="0" w:space="0" w:color="auto"/>
      </w:divBdr>
    </w:div>
    <w:div w:id="1541435997">
      <w:bodyDiv w:val="1"/>
      <w:marLeft w:val="0"/>
      <w:marRight w:val="0"/>
      <w:marTop w:val="0"/>
      <w:marBottom w:val="0"/>
      <w:divBdr>
        <w:top w:val="none" w:sz="0" w:space="0" w:color="auto"/>
        <w:left w:val="none" w:sz="0" w:space="0" w:color="auto"/>
        <w:bottom w:val="none" w:sz="0" w:space="0" w:color="auto"/>
        <w:right w:val="none" w:sz="0" w:space="0" w:color="auto"/>
      </w:divBdr>
      <w:divsChild>
        <w:div w:id="55011317">
          <w:marLeft w:val="274"/>
          <w:marRight w:val="0"/>
          <w:marTop w:val="60"/>
          <w:marBottom w:val="60"/>
          <w:divBdr>
            <w:top w:val="none" w:sz="0" w:space="0" w:color="auto"/>
            <w:left w:val="none" w:sz="0" w:space="0" w:color="auto"/>
            <w:bottom w:val="none" w:sz="0" w:space="0" w:color="auto"/>
            <w:right w:val="none" w:sz="0" w:space="0" w:color="auto"/>
          </w:divBdr>
        </w:div>
        <w:div w:id="321390838">
          <w:marLeft w:val="274"/>
          <w:marRight w:val="0"/>
          <w:marTop w:val="60"/>
          <w:marBottom w:val="60"/>
          <w:divBdr>
            <w:top w:val="none" w:sz="0" w:space="0" w:color="auto"/>
            <w:left w:val="none" w:sz="0" w:space="0" w:color="auto"/>
            <w:bottom w:val="none" w:sz="0" w:space="0" w:color="auto"/>
            <w:right w:val="none" w:sz="0" w:space="0" w:color="auto"/>
          </w:divBdr>
        </w:div>
        <w:div w:id="355426398">
          <w:marLeft w:val="274"/>
          <w:marRight w:val="0"/>
          <w:marTop w:val="60"/>
          <w:marBottom w:val="60"/>
          <w:divBdr>
            <w:top w:val="none" w:sz="0" w:space="0" w:color="auto"/>
            <w:left w:val="none" w:sz="0" w:space="0" w:color="auto"/>
            <w:bottom w:val="none" w:sz="0" w:space="0" w:color="auto"/>
            <w:right w:val="none" w:sz="0" w:space="0" w:color="auto"/>
          </w:divBdr>
        </w:div>
        <w:div w:id="405806226">
          <w:marLeft w:val="274"/>
          <w:marRight w:val="0"/>
          <w:marTop w:val="60"/>
          <w:marBottom w:val="60"/>
          <w:divBdr>
            <w:top w:val="none" w:sz="0" w:space="0" w:color="auto"/>
            <w:left w:val="none" w:sz="0" w:space="0" w:color="auto"/>
            <w:bottom w:val="none" w:sz="0" w:space="0" w:color="auto"/>
            <w:right w:val="none" w:sz="0" w:space="0" w:color="auto"/>
          </w:divBdr>
        </w:div>
        <w:div w:id="1944264645">
          <w:marLeft w:val="274"/>
          <w:marRight w:val="0"/>
          <w:marTop w:val="60"/>
          <w:marBottom w:val="60"/>
          <w:divBdr>
            <w:top w:val="none" w:sz="0" w:space="0" w:color="auto"/>
            <w:left w:val="none" w:sz="0" w:space="0" w:color="auto"/>
            <w:bottom w:val="none" w:sz="0" w:space="0" w:color="auto"/>
            <w:right w:val="none" w:sz="0" w:space="0" w:color="auto"/>
          </w:divBdr>
        </w:div>
      </w:divsChild>
    </w:div>
    <w:div w:id="1545411186">
      <w:bodyDiv w:val="1"/>
      <w:marLeft w:val="0"/>
      <w:marRight w:val="0"/>
      <w:marTop w:val="0"/>
      <w:marBottom w:val="0"/>
      <w:divBdr>
        <w:top w:val="none" w:sz="0" w:space="0" w:color="auto"/>
        <w:left w:val="none" w:sz="0" w:space="0" w:color="auto"/>
        <w:bottom w:val="none" w:sz="0" w:space="0" w:color="auto"/>
        <w:right w:val="none" w:sz="0" w:space="0" w:color="auto"/>
      </w:divBdr>
    </w:div>
    <w:div w:id="1555702832">
      <w:bodyDiv w:val="1"/>
      <w:marLeft w:val="0"/>
      <w:marRight w:val="0"/>
      <w:marTop w:val="0"/>
      <w:marBottom w:val="0"/>
      <w:divBdr>
        <w:top w:val="none" w:sz="0" w:space="0" w:color="auto"/>
        <w:left w:val="none" w:sz="0" w:space="0" w:color="auto"/>
        <w:bottom w:val="none" w:sz="0" w:space="0" w:color="auto"/>
        <w:right w:val="none" w:sz="0" w:space="0" w:color="auto"/>
      </w:divBdr>
    </w:div>
    <w:div w:id="1584529916">
      <w:bodyDiv w:val="1"/>
      <w:marLeft w:val="0"/>
      <w:marRight w:val="0"/>
      <w:marTop w:val="0"/>
      <w:marBottom w:val="0"/>
      <w:divBdr>
        <w:top w:val="none" w:sz="0" w:space="0" w:color="auto"/>
        <w:left w:val="none" w:sz="0" w:space="0" w:color="auto"/>
        <w:bottom w:val="none" w:sz="0" w:space="0" w:color="auto"/>
        <w:right w:val="none" w:sz="0" w:space="0" w:color="auto"/>
      </w:divBdr>
      <w:divsChild>
        <w:div w:id="9913164">
          <w:marLeft w:val="0"/>
          <w:marRight w:val="0"/>
          <w:marTop w:val="0"/>
          <w:marBottom w:val="0"/>
          <w:divBdr>
            <w:top w:val="none" w:sz="0" w:space="0" w:color="auto"/>
            <w:left w:val="none" w:sz="0" w:space="0" w:color="auto"/>
            <w:bottom w:val="none" w:sz="0" w:space="0" w:color="auto"/>
            <w:right w:val="none" w:sz="0" w:space="0" w:color="auto"/>
          </w:divBdr>
        </w:div>
      </w:divsChild>
    </w:div>
    <w:div w:id="1593121643">
      <w:bodyDiv w:val="1"/>
      <w:marLeft w:val="0"/>
      <w:marRight w:val="0"/>
      <w:marTop w:val="0"/>
      <w:marBottom w:val="0"/>
      <w:divBdr>
        <w:top w:val="none" w:sz="0" w:space="0" w:color="auto"/>
        <w:left w:val="none" w:sz="0" w:space="0" w:color="auto"/>
        <w:bottom w:val="none" w:sz="0" w:space="0" w:color="auto"/>
        <w:right w:val="none" w:sz="0" w:space="0" w:color="auto"/>
      </w:divBdr>
    </w:div>
    <w:div w:id="1604609318">
      <w:bodyDiv w:val="1"/>
      <w:marLeft w:val="0"/>
      <w:marRight w:val="0"/>
      <w:marTop w:val="0"/>
      <w:marBottom w:val="0"/>
      <w:divBdr>
        <w:top w:val="none" w:sz="0" w:space="0" w:color="auto"/>
        <w:left w:val="none" w:sz="0" w:space="0" w:color="auto"/>
        <w:bottom w:val="none" w:sz="0" w:space="0" w:color="auto"/>
        <w:right w:val="none" w:sz="0" w:space="0" w:color="auto"/>
      </w:divBdr>
      <w:divsChild>
        <w:div w:id="196167777">
          <w:marLeft w:val="0"/>
          <w:marRight w:val="0"/>
          <w:marTop w:val="0"/>
          <w:marBottom w:val="0"/>
          <w:divBdr>
            <w:top w:val="none" w:sz="0" w:space="0" w:color="auto"/>
            <w:left w:val="none" w:sz="0" w:space="0" w:color="auto"/>
            <w:bottom w:val="none" w:sz="0" w:space="0" w:color="auto"/>
            <w:right w:val="none" w:sz="0" w:space="0" w:color="auto"/>
          </w:divBdr>
        </w:div>
      </w:divsChild>
    </w:div>
    <w:div w:id="1610744223">
      <w:bodyDiv w:val="1"/>
      <w:marLeft w:val="0"/>
      <w:marRight w:val="0"/>
      <w:marTop w:val="0"/>
      <w:marBottom w:val="0"/>
      <w:divBdr>
        <w:top w:val="none" w:sz="0" w:space="0" w:color="auto"/>
        <w:left w:val="none" w:sz="0" w:space="0" w:color="auto"/>
        <w:bottom w:val="none" w:sz="0" w:space="0" w:color="auto"/>
        <w:right w:val="none" w:sz="0" w:space="0" w:color="auto"/>
      </w:divBdr>
      <w:divsChild>
        <w:div w:id="250895897">
          <w:marLeft w:val="274"/>
          <w:marRight w:val="0"/>
          <w:marTop w:val="60"/>
          <w:marBottom w:val="60"/>
          <w:divBdr>
            <w:top w:val="none" w:sz="0" w:space="0" w:color="auto"/>
            <w:left w:val="none" w:sz="0" w:space="0" w:color="auto"/>
            <w:bottom w:val="none" w:sz="0" w:space="0" w:color="auto"/>
            <w:right w:val="none" w:sz="0" w:space="0" w:color="auto"/>
          </w:divBdr>
        </w:div>
        <w:div w:id="308478288">
          <w:marLeft w:val="274"/>
          <w:marRight w:val="0"/>
          <w:marTop w:val="60"/>
          <w:marBottom w:val="60"/>
          <w:divBdr>
            <w:top w:val="none" w:sz="0" w:space="0" w:color="auto"/>
            <w:left w:val="none" w:sz="0" w:space="0" w:color="auto"/>
            <w:bottom w:val="none" w:sz="0" w:space="0" w:color="auto"/>
            <w:right w:val="none" w:sz="0" w:space="0" w:color="auto"/>
          </w:divBdr>
        </w:div>
        <w:div w:id="855777750">
          <w:marLeft w:val="274"/>
          <w:marRight w:val="0"/>
          <w:marTop w:val="60"/>
          <w:marBottom w:val="60"/>
          <w:divBdr>
            <w:top w:val="none" w:sz="0" w:space="0" w:color="auto"/>
            <w:left w:val="none" w:sz="0" w:space="0" w:color="auto"/>
            <w:bottom w:val="none" w:sz="0" w:space="0" w:color="auto"/>
            <w:right w:val="none" w:sz="0" w:space="0" w:color="auto"/>
          </w:divBdr>
        </w:div>
        <w:div w:id="1954435207">
          <w:marLeft w:val="274"/>
          <w:marRight w:val="0"/>
          <w:marTop w:val="60"/>
          <w:marBottom w:val="60"/>
          <w:divBdr>
            <w:top w:val="none" w:sz="0" w:space="0" w:color="auto"/>
            <w:left w:val="none" w:sz="0" w:space="0" w:color="auto"/>
            <w:bottom w:val="none" w:sz="0" w:space="0" w:color="auto"/>
            <w:right w:val="none" w:sz="0" w:space="0" w:color="auto"/>
          </w:divBdr>
        </w:div>
        <w:div w:id="1993831887">
          <w:marLeft w:val="274"/>
          <w:marRight w:val="0"/>
          <w:marTop w:val="60"/>
          <w:marBottom w:val="60"/>
          <w:divBdr>
            <w:top w:val="none" w:sz="0" w:space="0" w:color="auto"/>
            <w:left w:val="none" w:sz="0" w:space="0" w:color="auto"/>
            <w:bottom w:val="none" w:sz="0" w:space="0" w:color="auto"/>
            <w:right w:val="none" w:sz="0" w:space="0" w:color="auto"/>
          </w:divBdr>
        </w:div>
      </w:divsChild>
    </w:div>
    <w:div w:id="1660186724">
      <w:bodyDiv w:val="1"/>
      <w:marLeft w:val="0"/>
      <w:marRight w:val="0"/>
      <w:marTop w:val="0"/>
      <w:marBottom w:val="0"/>
      <w:divBdr>
        <w:top w:val="none" w:sz="0" w:space="0" w:color="auto"/>
        <w:left w:val="none" w:sz="0" w:space="0" w:color="auto"/>
        <w:bottom w:val="none" w:sz="0" w:space="0" w:color="auto"/>
        <w:right w:val="none" w:sz="0" w:space="0" w:color="auto"/>
      </w:divBdr>
    </w:div>
    <w:div w:id="1666203156">
      <w:bodyDiv w:val="1"/>
      <w:marLeft w:val="0"/>
      <w:marRight w:val="0"/>
      <w:marTop w:val="0"/>
      <w:marBottom w:val="0"/>
      <w:divBdr>
        <w:top w:val="none" w:sz="0" w:space="0" w:color="auto"/>
        <w:left w:val="none" w:sz="0" w:space="0" w:color="auto"/>
        <w:bottom w:val="none" w:sz="0" w:space="0" w:color="auto"/>
        <w:right w:val="none" w:sz="0" w:space="0" w:color="auto"/>
      </w:divBdr>
    </w:div>
    <w:div w:id="1669669248">
      <w:bodyDiv w:val="1"/>
      <w:marLeft w:val="0"/>
      <w:marRight w:val="0"/>
      <w:marTop w:val="0"/>
      <w:marBottom w:val="0"/>
      <w:divBdr>
        <w:top w:val="none" w:sz="0" w:space="0" w:color="auto"/>
        <w:left w:val="none" w:sz="0" w:space="0" w:color="auto"/>
        <w:bottom w:val="none" w:sz="0" w:space="0" w:color="auto"/>
        <w:right w:val="none" w:sz="0" w:space="0" w:color="auto"/>
      </w:divBdr>
    </w:div>
    <w:div w:id="1677223749">
      <w:bodyDiv w:val="1"/>
      <w:marLeft w:val="0"/>
      <w:marRight w:val="0"/>
      <w:marTop w:val="0"/>
      <w:marBottom w:val="0"/>
      <w:divBdr>
        <w:top w:val="none" w:sz="0" w:space="0" w:color="auto"/>
        <w:left w:val="none" w:sz="0" w:space="0" w:color="auto"/>
        <w:bottom w:val="none" w:sz="0" w:space="0" w:color="auto"/>
        <w:right w:val="none" w:sz="0" w:space="0" w:color="auto"/>
      </w:divBdr>
      <w:divsChild>
        <w:div w:id="1848056313">
          <w:marLeft w:val="274"/>
          <w:marRight w:val="0"/>
          <w:marTop w:val="60"/>
          <w:marBottom w:val="60"/>
          <w:divBdr>
            <w:top w:val="none" w:sz="0" w:space="0" w:color="auto"/>
            <w:left w:val="none" w:sz="0" w:space="0" w:color="auto"/>
            <w:bottom w:val="none" w:sz="0" w:space="0" w:color="auto"/>
            <w:right w:val="none" w:sz="0" w:space="0" w:color="auto"/>
          </w:divBdr>
        </w:div>
      </w:divsChild>
    </w:div>
    <w:div w:id="1682734627">
      <w:bodyDiv w:val="1"/>
      <w:marLeft w:val="0"/>
      <w:marRight w:val="0"/>
      <w:marTop w:val="0"/>
      <w:marBottom w:val="0"/>
      <w:divBdr>
        <w:top w:val="none" w:sz="0" w:space="0" w:color="auto"/>
        <w:left w:val="none" w:sz="0" w:space="0" w:color="auto"/>
        <w:bottom w:val="none" w:sz="0" w:space="0" w:color="auto"/>
        <w:right w:val="none" w:sz="0" w:space="0" w:color="auto"/>
      </w:divBdr>
      <w:divsChild>
        <w:div w:id="19858302">
          <w:marLeft w:val="0"/>
          <w:marRight w:val="0"/>
          <w:marTop w:val="0"/>
          <w:marBottom w:val="0"/>
          <w:divBdr>
            <w:top w:val="none" w:sz="0" w:space="0" w:color="auto"/>
            <w:left w:val="none" w:sz="0" w:space="0" w:color="auto"/>
            <w:bottom w:val="none" w:sz="0" w:space="0" w:color="auto"/>
            <w:right w:val="none" w:sz="0" w:space="0" w:color="auto"/>
          </w:divBdr>
          <w:divsChild>
            <w:div w:id="806360392">
              <w:marLeft w:val="0"/>
              <w:marRight w:val="0"/>
              <w:marTop w:val="0"/>
              <w:marBottom w:val="0"/>
              <w:divBdr>
                <w:top w:val="none" w:sz="0" w:space="0" w:color="auto"/>
                <w:left w:val="none" w:sz="0" w:space="0" w:color="auto"/>
                <w:bottom w:val="none" w:sz="0" w:space="0" w:color="auto"/>
                <w:right w:val="none" w:sz="0" w:space="0" w:color="auto"/>
              </w:divBdr>
            </w:div>
          </w:divsChild>
        </w:div>
        <w:div w:id="26955451">
          <w:marLeft w:val="0"/>
          <w:marRight w:val="0"/>
          <w:marTop w:val="0"/>
          <w:marBottom w:val="0"/>
          <w:divBdr>
            <w:top w:val="none" w:sz="0" w:space="0" w:color="auto"/>
            <w:left w:val="none" w:sz="0" w:space="0" w:color="auto"/>
            <w:bottom w:val="none" w:sz="0" w:space="0" w:color="auto"/>
            <w:right w:val="none" w:sz="0" w:space="0" w:color="auto"/>
          </w:divBdr>
          <w:divsChild>
            <w:div w:id="1209487325">
              <w:marLeft w:val="0"/>
              <w:marRight w:val="0"/>
              <w:marTop w:val="0"/>
              <w:marBottom w:val="0"/>
              <w:divBdr>
                <w:top w:val="none" w:sz="0" w:space="0" w:color="auto"/>
                <w:left w:val="none" w:sz="0" w:space="0" w:color="auto"/>
                <w:bottom w:val="none" w:sz="0" w:space="0" w:color="auto"/>
                <w:right w:val="none" w:sz="0" w:space="0" w:color="auto"/>
              </w:divBdr>
            </w:div>
            <w:div w:id="1658996152">
              <w:marLeft w:val="0"/>
              <w:marRight w:val="0"/>
              <w:marTop w:val="0"/>
              <w:marBottom w:val="0"/>
              <w:divBdr>
                <w:top w:val="none" w:sz="0" w:space="0" w:color="auto"/>
                <w:left w:val="none" w:sz="0" w:space="0" w:color="auto"/>
                <w:bottom w:val="none" w:sz="0" w:space="0" w:color="auto"/>
                <w:right w:val="none" w:sz="0" w:space="0" w:color="auto"/>
              </w:divBdr>
            </w:div>
          </w:divsChild>
        </w:div>
        <w:div w:id="29425931">
          <w:marLeft w:val="0"/>
          <w:marRight w:val="0"/>
          <w:marTop w:val="0"/>
          <w:marBottom w:val="0"/>
          <w:divBdr>
            <w:top w:val="none" w:sz="0" w:space="0" w:color="auto"/>
            <w:left w:val="none" w:sz="0" w:space="0" w:color="auto"/>
            <w:bottom w:val="none" w:sz="0" w:space="0" w:color="auto"/>
            <w:right w:val="none" w:sz="0" w:space="0" w:color="auto"/>
          </w:divBdr>
          <w:divsChild>
            <w:div w:id="1273047880">
              <w:marLeft w:val="0"/>
              <w:marRight w:val="0"/>
              <w:marTop w:val="0"/>
              <w:marBottom w:val="0"/>
              <w:divBdr>
                <w:top w:val="none" w:sz="0" w:space="0" w:color="auto"/>
                <w:left w:val="none" w:sz="0" w:space="0" w:color="auto"/>
                <w:bottom w:val="none" w:sz="0" w:space="0" w:color="auto"/>
                <w:right w:val="none" w:sz="0" w:space="0" w:color="auto"/>
              </w:divBdr>
            </w:div>
          </w:divsChild>
        </w:div>
        <w:div w:id="37053603">
          <w:marLeft w:val="0"/>
          <w:marRight w:val="0"/>
          <w:marTop w:val="0"/>
          <w:marBottom w:val="0"/>
          <w:divBdr>
            <w:top w:val="none" w:sz="0" w:space="0" w:color="auto"/>
            <w:left w:val="none" w:sz="0" w:space="0" w:color="auto"/>
            <w:bottom w:val="none" w:sz="0" w:space="0" w:color="auto"/>
            <w:right w:val="none" w:sz="0" w:space="0" w:color="auto"/>
          </w:divBdr>
          <w:divsChild>
            <w:div w:id="317346862">
              <w:marLeft w:val="0"/>
              <w:marRight w:val="0"/>
              <w:marTop w:val="0"/>
              <w:marBottom w:val="0"/>
              <w:divBdr>
                <w:top w:val="none" w:sz="0" w:space="0" w:color="auto"/>
                <w:left w:val="none" w:sz="0" w:space="0" w:color="auto"/>
                <w:bottom w:val="none" w:sz="0" w:space="0" w:color="auto"/>
                <w:right w:val="none" w:sz="0" w:space="0" w:color="auto"/>
              </w:divBdr>
            </w:div>
          </w:divsChild>
        </w:div>
        <w:div w:id="45185996">
          <w:marLeft w:val="0"/>
          <w:marRight w:val="0"/>
          <w:marTop w:val="0"/>
          <w:marBottom w:val="0"/>
          <w:divBdr>
            <w:top w:val="none" w:sz="0" w:space="0" w:color="auto"/>
            <w:left w:val="none" w:sz="0" w:space="0" w:color="auto"/>
            <w:bottom w:val="none" w:sz="0" w:space="0" w:color="auto"/>
            <w:right w:val="none" w:sz="0" w:space="0" w:color="auto"/>
          </w:divBdr>
          <w:divsChild>
            <w:div w:id="1473448146">
              <w:marLeft w:val="0"/>
              <w:marRight w:val="0"/>
              <w:marTop w:val="0"/>
              <w:marBottom w:val="0"/>
              <w:divBdr>
                <w:top w:val="none" w:sz="0" w:space="0" w:color="auto"/>
                <w:left w:val="none" w:sz="0" w:space="0" w:color="auto"/>
                <w:bottom w:val="none" w:sz="0" w:space="0" w:color="auto"/>
                <w:right w:val="none" w:sz="0" w:space="0" w:color="auto"/>
              </w:divBdr>
            </w:div>
            <w:div w:id="1886063987">
              <w:marLeft w:val="0"/>
              <w:marRight w:val="0"/>
              <w:marTop w:val="0"/>
              <w:marBottom w:val="0"/>
              <w:divBdr>
                <w:top w:val="none" w:sz="0" w:space="0" w:color="auto"/>
                <w:left w:val="none" w:sz="0" w:space="0" w:color="auto"/>
                <w:bottom w:val="none" w:sz="0" w:space="0" w:color="auto"/>
                <w:right w:val="none" w:sz="0" w:space="0" w:color="auto"/>
              </w:divBdr>
            </w:div>
          </w:divsChild>
        </w:div>
        <w:div w:id="61106047">
          <w:marLeft w:val="0"/>
          <w:marRight w:val="0"/>
          <w:marTop w:val="0"/>
          <w:marBottom w:val="0"/>
          <w:divBdr>
            <w:top w:val="none" w:sz="0" w:space="0" w:color="auto"/>
            <w:left w:val="none" w:sz="0" w:space="0" w:color="auto"/>
            <w:bottom w:val="none" w:sz="0" w:space="0" w:color="auto"/>
            <w:right w:val="none" w:sz="0" w:space="0" w:color="auto"/>
          </w:divBdr>
          <w:divsChild>
            <w:div w:id="712998127">
              <w:marLeft w:val="0"/>
              <w:marRight w:val="0"/>
              <w:marTop w:val="0"/>
              <w:marBottom w:val="0"/>
              <w:divBdr>
                <w:top w:val="none" w:sz="0" w:space="0" w:color="auto"/>
                <w:left w:val="none" w:sz="0" w:space="0" w:color="auto"/>
                <w:bottom w:val="none" w:sz="0" w:space="0" w:color="auto"/>
                <w:right w:val="none" w:sz="0" w:space="0" w:color="auto"/>
              </w:divBdr>
            </w:div>
          </w:divsChild>
        </w:div>
        <w:div w:id="75590117">
          <w:marLeft w:val="0"/>
          <w:marRight w:val="0"/>
          <w:marTop w:val="0"/>
          <w:marBottom w:val="0"/>
          <w:divBdr>
            <w:top w:val="none" w:sz="0" w:space="0" w:color="auto"/>
            <w:left w:val="none" w:sz="0" w:space="0" w:color="auto"/>
            <w:bottom w:val="none" w:sz="0" w:space="0" w:color="auto"/>
            <w:right w:val="none" w:sz="0" w:space="0" w:color="auto"/>
          </w:divBdr>
          <w:divsChild>
            <w:div w:id="1882207693">
              <w:marLeft w:val="0"/>
              <w:marRight w:val="0"/>
              <w:marTop w:val="0"/>
              <w:marBottom w:val="0"/>
              <w:divBdr>
                <w:top w:val="none" w:sz="0" w:space="0" w:color="auto"/>
                <w:left w:val="none" w:sz="0" w:space="0" w:color="auto"/>
                <w:bottom w:val="none" w:sz="0" w:space="0" w:color="auto"/>
                <w:right w:val="none" w:sz="0" w:space="0" w:color="auto"/>
              </w:divBdr>
            </w:div>
          </w:divsChild>
        </w:div>
        <w:div w:id="141822806">
          <w:marLeft w:val="0"/>
          <w:marRight w:val="0"/>
          <w:marTop w:val="0"/>
          <w:marBottom w:val="0"/>
          <w:divBdr>
            <w:top w:val="none" w:sz="0" w:space="0" w:color="auto"/>
            <w:left w:val="none" w:sz="0" w:space="0" w:color="auto"/>
            <w:bottom w:val="none" w:sz="0" w:space="0" w:color="auto"/>
            <w:right w:val="none" w:sz="0" w:space="0" w:color="auto"/>
          </w:divBdr>
          <w:divsChild>
            <w:div w:id="1990556394">
              <w:marLeft w:val="0"/>
              <w:marRight w:val="0"/>
              <w:marTop w:val="0"/>
              <w:marBottom w:val="0"/>
              <w:divBdr>
                <w:top w:val="none" w:sz="0" w:space="0" w:color="auto"/>
                <w:left w:val="none" w:sz="0" w:space="0" w:color="auto"/>
                <w:bottom w:val="none" w:sz="0" w:space="0" w:color="auto"/>
                <w:right w:val="none" w:sz="0" w:space="0" w:color="auto"/>
              </w:divBdr>
            </w:div>
          </w:divsChild>
        </w:div>
        <w:div w:id="146095391">
          <w:marLeft w:val="0"/>
          <w:marRight w:val="0"/>
          <w:marTop w:val="0"/>
          <w:marBottom w:val="0"/>
          <w:divBdr>
            <w:top w:val="none" w:sz="0" w:space="0" w:color="auto"/>
            <w:left w:val="none" w:sz="0" w:space="0" w:color="auto"/>
            <w:bottom w:val="none" w:sz="0" w:space="0" w:color="auto"/>
            <w:right w:val="none" w:sz="0" w:space="0" w:color="auto"/>
          </w:divBdr>
          <w:divsChild>
            <w:div w:id="954824789">
              <w:marLeft w:val="0"/>
              <w:marRight w:val="0"/>
              <w:marTop w:val="0"/>
              <w:marBottom w:val="0"/>
              <w:divBdr>
                <w:top w:val="none" w:sz="0" w:space="0" w:color="auto"/>
                <w:left w:val="none" w:sz="0" w:space="0" w:color="auto"/>
                <w:bottom w:val="none" w:sz="0" w:space="0" w:color="auto"/>
                <w:right w:val="none" w:sz="0" w:space="0" w:color="auto"/>
              </w:divBdr>
            </w:div>
            <w:div w:id="1694186598">
              <w:marLeft w:val="0"/>
              <w:marRight w:val="0"/>
              <w:marTop w:val="0"/>
              <w:marBottom w:val="0"/>
              <w:divBdr>
                <w:top w:val="none" w:sz="0" w:space="0" w:color="auto"/>
                <w:left w:val="none" w:sz="0" w:space="0" w:color="auto"/>
                <w:bottom w:val="none" w:sz="0" w:space="0" w:color="auto"/>
                <w:right w:val="none" w:sz="0" w:space="0" w:color="auto"/>
              </w:divBdr>
            </w:div>
          </w:divsChild>
        </w:div>
        <w:div w:id="169609260">
          <w:marLeft w:val="0"/>
          <w:marRight w:val="0"/>
          <w:marTop w:val="0"/>
          <w:marBottom w:val="0"/>
          <w:divBdr>
            <w:top w:val="none" w:sz="0" w:space="0" w:color="auto"/>
            <w:left w:val="none" w:sz="0" w:space="0" w:color="auto"/>
            <w:bottom w:val="none" w:sz="0" w:space="0" w:color="auto"/>
            <w:right w:val="none" w:sz="0" w:space="0" w:color="auto"/>
          </w:divBdr>
          <w:divsChild>
            <w:div w:id="2020544874">
              <w:marLeft w:val="0"/>
              <w:marRight w:val="0"/>
              <w:marTop w:val="0"/>
              <w:marBottom w:val="0"/>
              <w:divBdr>
                <w:top w:val="none" w:sz="0" w:space="0" w:color="auto"/>
                <w:left w:val="none" w:sz="0" w:space="0" w:color="auto"/>
                <w:bottom w:val="none" w:sz="0" w:space="0" w:color="auto"/>
                <w:right w:val="none" w:sz="0" w:space="0" w:color="auto"/>
              </w:divBdr>
            </w:div>
          </w:divsChild>
        </w:div>
        <w:div w:id="169804936">
          <w:marLeft w:val="0"/>
          <w:marRight w:val="0"/>
          <w:marTop w:val="0"/>
          <w:marBottom w:val="0"/>
          <w:divBdr>
            <w:top w:val="none" w:sz="0" w:space="0" w:color="auto"/>
            <w:left w:val="none" w:sz="0" w:space="0" w:color="auto"/>
            <w:bottom w:val="none" w:sz="0" w:space="0" w:color="auto"/>
            <w:right w:val="none" w:sz="0" w:space="0" w:color="auto"/>
          </w:divBdr>
          <w:divsChild>
            <w:div w:id="34888534">
              <w:marLeft w:val="0"/>
              <w:marRight w:val="0"/>
              <w:marTop w:val="0"/>
              <w:marBottom w:val="0"/>
              <w:divBdr>
                <w:top w:val="none" w:sz="0" w:space="0" w:color="auto"/>
                <w:left w:val="none" w:sz="0" w:space="0" w:color="auto"/>
                <w:bottom w:val="none" w:sz="0" w:space="0" w:color="auto"/>
                <w:right w:val="none" w:sz="0" w:space="0" w:color="auto"/>
              </w:divBdr>
            </w:div>
          </w:divsChild>
        </w:div>
        <w:div w:id="176696342">
          <w:marLeft w:val="0"/>
          <w:marRight w:val="0"/>
          <w:marTop w:val="0"/>
          <w:marBottom w:val="0"/>
          <w:divBdr>
            <w:top w:val="none" w:sz="0" w:space="0" w:color="auto"/>
            <w:left w:val="none" w:sz="0" w:space="0" w:color="auto"/>
            <w:bottom w:val="none" w:sz="0" w:space="0" w:color="auto"/>
            <w:right w:val="none" w:sz="0" w:space="0" w:color="auto"/>
          </w:divBdr>
          <w:divsChild>
            <w:div w:id="201403138">
              <w:marLeft w:val="0"/>
              <w:marRight w:val="0"/>
              <w:marTop w:val="0"/>
              <w:marBottom w:val="0"/>
              <w:divBdr>
                <w:top w:val="none" w:sz="0" w:space="0" w:color="auto"/>
                <w:left w:val="none" w:sz="0" w:space="0" w:color="auto"/>
                <w:bottom w:val="none" w:sz="0" w:space="0" w:color="auto"/>
                <w:right w:val="none" w:sz="0" w:space="0" w:color="auto"/>
              </w:divBdr>
            </w:div>
            <w:div w:id="1476071829">
              <w:marLeft w:val="0"/>
              <w:marRight w:val="0"/>
              <w:marTop w:val="0"/>
              <w:marBottom w:val="0"/>
              <w:divBdr>
                <w:top w:val="none" w:sz="0" w:space="0" w:color="auto"/>
                <w:left w:val="none" w:sz="0" w:space="0" w:color="auto"/>
                <w:bottom w:val="none" w:sz="0" w:space="0" w:color="auto"/>
                <w:right w:val="none" w:sz="0" w:space="0" w:color="auto"/>
              </w:divBdr>
            </w:div>
          </w:divsChild>
        </w:div>
        <w:div w:id="247349055">
          <w:marLeft w:val="0"/>
          <w:marRight w:val="0"/>
          <w:marTop w:val="0"/>
          <w:marBottom w:val="0"/>
          <w:divBdr>
            <w:top w:val="none" w:sz="0" w:space="0" w:color="auto"/>
            <w:left w:val="none" w:sz="0" w:space="0" w:color="auto"/>
            <w:bottom w:val="none" w:sz="0" w:space="0" w:color="auto"/>
            <w:right w:val="none" w:sz="0" w:space="0" w:color="auto"/>
          </w:divBdr>
          <w:divsChild>
            <w:div w:id="1768575526">
              <w:marLeft w:val="0"/>
              <w:marRight w:val="0"/>
              <w:marTop w:val="0"/>
              <w:marBottom w:val="0"/>
              <w:divBdr>
                <w:top w:val="none" w:sz="0" w:space="0" w:color="auto"/>
                <w:left w:val="none" w:sz="0" w:space="0" w:color="auto"/>
                <w:bottom w:val="none" w:sz="0" w:space="0" w:color="auto"/>
                <w:right w:val="none" w:sz="0" w:space="0" w:color="auto"/>
              </w:divBdr>
            </w:div>
          </w:divsChild>
        </w:div>
        <w:div w:id="281353017">
          <w:marLeft w:val="0"/>
          <w:marRight w:val="0"/>
          <w:marTop w:val="0"/>
          <w:marBottom w:val="0"/>
          <w:divBdr>
            <w:top w:val="none" w:sz="0" w:space="0" w:color="auto"/>
            <w:left w:val="none" w:sz="0" w:space="0" w:color="auto"/>
            <w:bottom w:val="none" w:sz="0" w:space="0" w:color="auto"/>
            <w:right w:val="none" w:sz="0" w:space="0" w:color="auto"/>
          </w:divBdr>
          <w:divsChild>
            <w:div w:id="1361315704">
              <w:marLeft w:val="0"/>
              <w:marRight w:val="0"/>
              <w:marTop w:val="0"/>
              <w:marBottom w:val="0"/>
              <w:divBdr>
                <w:top w:val="none" w:sz="0" w:space="0" w:color="auto"/>
                <w:left w:val="none" w:sz="0" w:space="0" w:color="auto"/>
                <w:bottom w:val="none" w:sz="0" w:space="0" w:color="auto"/>
                <w:right w:val="none" w:sz="0" w:space="0" w:color="auto"/>
              </w:divBdr>
            </w:div>
          </w:divsChild>
        </w:div>
        <w:div w:id="283580153">
          <w:marLeft w:val="0"/>
          <w:marRight w:val="0"/>
          <w:marTop w:val="0"/>
          <w:marBottom w:val="0"/>
          <w:divBdr>
            <w:top w:val="none" w:sz="0" w:space="0" w:color="auto"/>
            <w:left w:val="none" w:sz="0" w:space="0" w:color="auto"/>
            <w:bottom w:val="none" w:sz="0" w:space="0" w:color="auto"/>
            <w:right w:val="none" w:sz="0" w:space="0" w:color="auto"/>
          </w:divBdr>
          <w:divsChild>
            <w:div w:id="691151938">
              <w:marLeft w:val="0"/>
              <w:marRight w:val="0"/>
              <w:marTop w:val="0"/>
              <w:marBottom w:val="0"/>
              <w:divBdr>
                <w:top w:val="none" w:sz="0" w:space="0" w:color="auto"/>
                <w:left w:val="none" w:sz="0" w:space="0" w:color="auto"/>
                <w:bottom w:val="none" w:sz="0" w:space="0" w:color="auto"/>
                <w:right w:val="none" w:sz="0" w:space="0" w:color="auto"/>
              </w:divBdr>
            </w:div>
          </w:divsChild>
        </w:div>
        <w:div w:id="306738450">
          <w:marLeft w:val="0"/>
          <w:marRight w:val="0"/>
          <w:marTop w:val="0"/>
          <w:marBottom w:val="0"/>
          <w:divBdr>
            <w:top w:val="none" w:sz="0" w:space="0" w:color="auto"/>
            <w:left w:val="none" w:sz="0" w:space="0" w:color="auto"/>
            <w:bottom w:val="none" w:sz="0" w:space="0" w:color="auto"/>
            <w:right w:val="none" w:sz="0" w:space="0" w:color="auto"/>
          </w:divBdr>
          <w:divsChild>
            <w:div w:id="939488196">
              <w:marLeft w:val="0"/>
              <w:marRight w:val="0"/>
              <w:marTop w:val="0"/>
              <w:marBottom w:val="0"/>
              <w:divBdr>
                <w:top w:val="none" w:sz="0" w:space="0" w:color="auto"/>
                <w:left w:val="none" w:sz="0" w:space="0" w:color="auto"/>
                <w:bottom w:val="none" w:sz="0" w:space="0" w:color="auto"/>
                <w:right w:val="none" w:sz="0" w:space="0" w:color="auto"/>
              </w:divBdr>
            </w:div>
            <w:div w:id="1616642582">
              <w:marLeft w:val="0"/>
              <w:marRight w:val="0"/>
              <w:marTop w:val="0"/>
              <w:marBottom w:val="0"/>
              <w:divBdr>
                <w:top w:val="none" w:sz="0" w:space="0" w:color="auto"/>
                <w:left w:val="none" w:sz="0" w:space="0" w:color="auto"/>
                <w:bottom w:val="none" w:sz="0" w:space="0" w:color="auto"/>
                <w:right w:val="none" w:sz="0" w:space="0" w:color="auto"/>
              </w:divBdr>
            </w:div>
          </w:divsChild>
        </w:div>
        <w:div w:id="445732935">
          <w:marLeft w:val="0"/>
          <w:marRight w:val="0"/>
          <w:marTop w:val="0"/>
          <w:marBottom w:val="0"/>
          <w:divBdr>
            <w:top w:val="none" w:sz="0" w:space="0" w:color="auto"/>
            <w:left w:val="none" w:sz="0" w:space="0" w:color="auto"/>
            <w:bottom w:val="none" w:sz="0" w:space="0" w:color="auto"/>
            <w:right w:val="none" w:sz="0" w:space="0" w:color="auto"/>
          </w:divBdr>
          <w:divsChild>
            <w:div w:id="456459168">
              <w:marLeft w:val="0"/>
              <w:marRight w:val="0"/>
              <w:marTop w:val="0"/>
              <w:marBottom w:val="0"/>
              <w:divBdr>
                <w:top w:val="none" w:sz="0" w:space="0" w:color="auto"/>
                <w:left w:val="none" w:sz="0" w:space="0" w:color="auto"/>
                <w:bottom w:val="none" w:sz="0" w:space="0" w:color="auto"/>
                <w:right w:val="none" w:sz="0" w:space="0" w:color="auto"/>
              </w:divBdr>
            </w:div>
          </w:divsChild>
        </w:div>
        <w:div w:id="521819505">
          <w:marLeft w:val="0"/>
          <w:marRight w:val="0"/>
          <w:marTop w:val="0"/>
          <w:marBottom w:val="0"/>
          <w:divBdr>
            <w:top w:val="none" w:sz="0" w:space="0" w:color="auto"/>
            <w:left w:val="none" w:sz="0" w:space="0" w:color="auto"/>
            <w:bottom w:val="none" w:sz="0" w:space="0" w:color="auto"/>
            <w:right w:val="none" w:sz="0" w:space="0" w:color="auto"/>
          </w:divBdr>
          <w:divsChild>
            <w:div w:id="1895004303">
              <w:marLeft w:val="0"/>
              <w:marRight w:val="0"/>
              <w:marTop w:val="0"/>
              <w:marBottom w:val="0"/>
              <w:divBdr>
                <w:top w:val="none" w:sz="0" w:space="0" w:color="auto"/>
                <w:left w:val="none" w:sz="0" w:space="0" w:color="auto"/>
                <w:bottom w:val="none" w:sz="0" w:space="0" w:color="auto"/>
                <w:right w:val="none" w:sz="0" w:space="0" w:color="auto"/>
              </w:divBdr>
            </w:div>
          </w:divsChild>
        </w:div>
        <w:div w:id="523984285">
          <w:marLeft w:val="0"/>
          <w:marRight w:val="0"/>
          <w:marTop w:val="0"/>
          <w:marBottom w:val="0"/>
          <w:divBdr>
            <w:top w:val="none" w:sz="0" w:space="0" w:color="auto"/>
            <w:left w:val="none" w:sz="0" w:space="0" w:color="auto"/>
            <w:bottom w:val="none" w:sz="0" w:space="0" w:color="auto"/>
            <w:right w:val="none" w:sz="0" w:space="0" w:color="auto"/>
          </w:divBdr>
          <w:divsChild>
            <w:div w:id="2109504064">
              <w:marLeft w:val="0"/>
              <w:marRight w:val="0"/>
              <w:marTop w:val="0"/>
              <w:marBottom w:val="0"/>
              <w:divBdr>
                <w:top w:val="none" w:sz="0" w:space="0" w:color="auto"/>
                <w:left w:val="none" w:sz="0" w:space="0" w:color="auto"/>
                <w:bottom w:val="none" w:sz="0" w:space="0" w:color="auto"/>
                <w:right w:val="none" w:sz="0" w:space="0" w:color="auto"/>
              </w:divBdr>
            </w:div>
          </w:divsChild>
        </w:div>
        <w:div w:id="589654406">
          <w:marLeft w:val="0"/>
          <w:marRight w:val="0"/>
          <w:marTop w:val="0"/>
          <w:marBottom w:val="0"/>
          <w:divBdr>
            <w:top w:val="none" w:sz="0" w:space="0" w:color="auto"/>
            <w:left w:val="none" w:sz="0" w:space="0" w:color="auto"/>
            <w:bottom w:val="none" w:sz="0" w:space="0" w:color="auto"/>
            <w:right w:val="none" w:sz="0" w:space="0" w:color="auto"/>
          </w:divBdr>
          <w:divsChild>
            <w:div w:id="65808611">
              <w:marLeft w:val="0"/>
              <w:marRight w:val="0"/>
              <w:marTop w:val="0"/>
              <w:marBottom w:val="0"/>
              <w:divBdr>
                <w:top w:val="none" w:sz="0" w:space="0" w:color="auto"/>
                <w:left w:val="none" w:sz="0" w:space="0" w:color="auto"/>
                <w:bottom w:val="none" w:sz="0" w:space="0" w:color="auto"/>
                <w:right w:val="none" w:sz="0" w:space="0" w:color="auto"/>
              </w:divBdr>
            </w:div>
          </w:divsChild>
        </w:div>
        <w:div w:id="624117610">
          <w:marLeft w:val="0"/>
          <w:marRight w:val="0"/>
          <w:marTop w:val="0"/>
          <w:marBottom w:val="0"/>
          <w:divBdr>
            <w:top w:val="none" w:sz="0" w:space="0" w:color="auto"/>
            <w:left w:val="none" w:sz="0" w:space="0" w:color="auto"/>
            <w:bottom w:val="none" w:sz="0" w:space="0" w:color="auto"/>
            <w:right w:val="none" w:sz="0" w:space="0" w:color="auto"/>
          </w:divBdr>
          <w:divsChild>
            <w:div w:id="1876891777">
              <w:marLeft w:val="0"/>
              <w:marRight w:val="0"/>
              <w:marTop w:val="0"/>
              <w:marBottom w:val="0"/>
              <w:divBdr>
                <w:top w:val="none" w:sz="0" w:space="0" w:color="auto"/>
                <w:left w:val="none" w:sz="0" w:space="0" w:color="auto"/>
                <w:bottom w:val="none" w:sz="0" w:space="0" w:color="auto"/>
                <w:right w:val="none" w:sz="0" w:space="0" w:color="auto"/>
              </w:divBdr>
            </w:div>
          </w:divsChild>
        </w:div>
        <w:div w:id="644240940">
          <w:marLeft w:val="0"/>
          <w:marRight w:val="0"/>
          <w:marTop w:val="0"/>
          <w:marBottom w:val="0"/>
          <w:divBdr>
            <w:top w:val="none" w:sz="0" w:space="0" w:color="auto"/>
            <w:left w:val="none" w:sz="0" w:space="0" w:color="auto"/>
            <w:bottom w:val="none" w:sz="0" w:space="0" w:color="auto"/>
            <w:right w:val="none" w:sz="0" w:space="0" w:color="auto"/>
          </w:divBdr>
          <w:divsChild>
            <w:div w:id="1532260988">
              <w:marLeft w:val="0"/>
              <w:marRight w:val="0"/>
              <w:marTop w:val="0"/>
              <w:marBottom w:val="0"/>
              <w:divBdr>
                <w:top w:val="none" w:sz="0" w:space="0" w:color="auto"/>
                <w:left w:val="none" w:sz="0" w:space="0" w:color="auto"/>
                <w:bottom w:val="none" w:sz="0" w:space="0" w:color="auto"/>
                <w:right w:val="none" w:sz="0" w:space="0" w:color="auto"/>
              </w:divBdr>
            </w:div>
          </w:divsChild>
        </w:div>
        <w:div w:id="657925966">
          <w:marLeft w:val="0"/>
          <w:marRight w:val="0"/>
          <w:marTop w:val="0"/>
          <w:marBottom w:val="0"/>
          <w:divBdr>
            <w:top w:val="none" w:sz="0" w:space="0" w:color="auto"/>
            <w:left w:val="none" w:sz="0" w:space="0" w:color="auto"/>
            <w:bottom w:val="none" w:sz="0" w:space="0" w:color="auto"/>
            <w:right w:val="none" w:sz="0" w:space="0" w:color="auto"/>
          </w:divBdr>
          <w:divsChild>
            <w:div w:id="1237472690">
              <w:marLeft w:val="0"/>
              <w:marRight w:val="0"/>
              <w:marTop w:val="0"/>
              <w:marBottom w:val="0"/>
              <w:divBdr>
                <w:top w:val="none" w:sz="0" w:space="0" w:color="auto"/>
                <w:left w:val="none" w:sz="0" w:space="0" w:color="auto"/>
                <w:bottom w:val="none" w:sz="0" w:space="0" w:color="auto"/>
                <w:right w:val="none" w:sz="0" w:space="0" w:color="auto"/>
              </w:divBdr>
            </w:div>
          </w:divsChild>
        </w:div>
        <w:div w:id="674066562">
          <w:marLeft w:val="0"/>
          <w:marRight w:val="0"/>
          <w:marTop w:val="0"/>
          <w:marBottom w:val="0"/>
          <w:divBdr>
            <w:top w:val="none" w:sz="0" w:space="0" w:color="auto"/>
            <w:left w:val="none" w:sz="0" w:space="0" w:color="auto"/>
            <w:bottom w:val="none" w:sz="0" w:space="0" w:color="auto"/>
            <w:right w:val="none" w:sz="0" w:space="0" w:color="auto"/>
          </w:divBdr>
          <w:divsChild>
            <w:div w:id="638460361">
              <w:marLeft w:val="0"/>
              <w:marRight w:val="0"/>
              <w:marTop w:val="0"/>
              <w:marBottom w:val="0"/>
              <w:divBdr>
                <w:top w:val="none" w:sz="0" w:space="0" w:color="auto"/>
                <w:left w:val="none" w:sz="0" w:space="0" w:color="auto"/>
                <w:bottom w:val="none" w:sz="0" w:space="0" w:color="auto"/>
                <w:right w:val="none" w:sz="0" w:space="0" w:color="auto"/>
              </w:divBdr>
            </w:div>
          </w:divsChild>
        </w:div>
        <w:div w:id="720984281">
          <w:marLeft w:val="0"/>
          <w:marRight w:val="0"/>
          <w:marTop w:val="0"/>
          <w:marBottom w:val="0"/>
          <w:divBdr>
            <w:top w:val="none" w:sz="0" w:space="0" w:color="auto"/>
            <w:left w:val="none" w:sz="0" w:space="0" w:color="auto"/>
            <w:bottom w:val="none" w:sz="0" w:space="0" w:color="auto"/>
            <w:right w:val="none" w:sz="0" w:space="0" w:color="auto"/>
          </w:divBdr>
          <w:divsChild>
            <w:div w:id="2117096648">
              <w:marLeft w:val="0"/>
              <w:marRight w:val="0"/>
              <w:marTop w:val="0"/>
              <w:marBottom w:val="0"/>
              <w:divBdr>
                <w:top w:val="none" w:sz="0" w:space="0" w:color="auto"/>
                <w:left w:val="none" w:sz="0" w:space="0" w:color="auto"/>
                <w:bottom w:val="none" w:sz="0" w:space="0" w:color="auto"/>
                <w:right w:val="none" w:sz="0" w:space="0" w:color="auto"/>
              </w:divBdr>
            </w:div>
          </w:divsChild>
        </w:div>
        <w:div w:id="809591905">
          <w:marLeft w:val="0"/>
          <w:marRight w:val="0"/>
          <w:marTop w:val="0"/>
          <w:marBottom w:val="0"/>
          <w:divBdr>
            <w:top w:val="none" w:sz="0" w:space="0" w:color="auto"/>
            <w:left w:val="none" w:sz="0" w:space="0" w:color="auto"/>
            <w:bottom w:val="none" w:sz="0" w:space="0" w:color="auto"/>
            <w:right w:val="none" w:sz="0" w:space="0" w:color="auto"/>
          </w:divBdr>
          <w:divsChild>
            <w:div w:id="2088764497">
              <w:marLeft w:val="0"/>
              <w:marRight w:val="0"/>
              <w:marTop w:val="0"/>
              <w:marBottom w:val="0"/>
              <w:divBdr>
                <w:top w:val="none" w:sz="0" w:space="0" w:color="auto"/>
                <w:left w:val="none" w:sz="0" w:space="0" w:color="auto"/>
                <w:bottom w:val="none" w:sz="0" w:space="0" w:color="auto"/>
                <w:right w:val="none" w:sz="0" w:space="0" w:color="auto"/>
              </w:divBdr>
            </w:div>
          </w:divsChild>
        </w:div>
        <w:div w:id="847713227">
          <w:marLeft w:val="0"/>
          <w:marRight w:val="0"/>
          <w:marTop w:val="0"/>
          <w:marBottom w:val="0"/>
          <w:divBdr>
            <w:top w:val="none" w:sz="0" w:space="0" w:color="auto"/>
            <w:left w:val="none" w:sz="0" w:space="0" w:color="auto"/>
            <w:bottom w:val="none" w:sz="0" w:space="0" w:color="auto"/>
            <w:right w:val="none" w:sz="0" w:space="0" w:color="auto"/>
          </w:divBdr>
          <w:divsChild>
            <w:div w:id="2062437179">
              <w:marLeft w:val="0"/>
              <w:marRight w:val="0"/>
              <w:marTop w:val="0"/>
              <w:marBottom w:val="0"/>
              <w:divBdr>
                <w:top w:val="none" w:sz="0" w:space="0" w:color="auto"/>
                <w:left w:val="none" w:sz="0" w:space="0" w:color="auto"/>
                <w:bottom w:val="none" w:sz="0" w:space="0" w:color="auto"/>
                <w:right w:val="none" w:sz="0" w:space="0" w:color="auto"/>
              </w:divBdr>
            </w:div>
          </w:divsChild>
        </w:div>
        <w:div w:id="855996735">
          <w:marLeft w:val="0"/>
          <w:marRight w:val="0"/>
          <w:marTop w:val="0"/>
          <w:marBottom w:val="0"/>
          <w:divBdr>
            <w:top w:val="none" w:sz="0" w:space="0" w:color="auto"/>
            <w:left w:val="none" w:sz="0" w:space="0" w:color="auto"/>
            <w:bottom w:val="none" w:sz="0" w:space="0" w:color="auto"/>
            <w:right w:val="none" w:sz="0" w:space="0" w:color="auto"/>
          </w:divBdr>
          <w:divsChild>
            <w:div w:id="24642852">
              <w:marLeft w:val="0"/>
              <w:marRight w:val="0"/>
              <w:marTop w:val="0"/>
              <w:marBottom w:val="0"/>
              <w:divBdr>
                <w:top w:val="none" w:sz="0" w:space="0" w:color="auto"/>
                <w:left w:val="none" w:sz="0" w:space="0" w:color="auto"/>
                <w:bottom w:val="none" w:sz="0" w:space="0" w:color="auto"/>
                <w:right w:val="none" w:sz="0" w:space="0" w:color="auto"/>
              </w:divBdr>
            </w:div>
          </w:divsChild>
        </w:div>
        <w:div w:id="881096965">
          <w:marLeft w:val="0"/>
          <w:marRight w:val="0"/>
          <w:marTop w:val="0"/>
          <w:marBottom w:val="0"/>
          <w:divBdr>
            <w:top w:val="none" w:sz="0" w:space="0" w:color="auto"/>
            <w:left w:val="none" w:sz="0" w:space="0" w:color="auto"/>
            <w:bottom w:val="none" w:sz="0" w:space="0" w:color="auto"/>
            <w:right w:val="none" w:sz="0" w:space="0" w:color="auto"/>
          </w:divBdr>
          <w:divsChild>
            <w:div w:id="2103601704">
              <w:marLeft w:val="0"/>
              <w:marRight w:val="0"/>
              <w:marTop w:val="0"/>
              <w:marBottom w:val="0"/>
              <w:divBdr>
                <w:top w:val="none" w:sz="0" w:space="0" w:color="auto"/>
                <w:left w:val="none" w:sz="0" w:space="0" w:color="auto"/>
                <w:bottom w:val="none" w:sz="0" w:space="0" w:color="auto"/>
                <w:right w:val="none" w:sz="0" w:space="0" w:color="auto"/>
              </w:divBdr>
            </w:div>
          </w:divsChild>
        </w:div>
        <w:div w:id="985745093">
          <w:marLeft w:val="0"/>
          <w:marRight w:val="0"/>
          <w:marTop w:val="0"/>
          <w:marBottom w:val="0"/>
          <w:divBdr>
            <w:top w:val="none" w:sz="0" w:space="0" w:color="auto"/>
            <w:left w:val="none" w:sz="0" w:space="0" w:color="auto"/>
            <w:bottom w:val="none" w:sz="0" w:space="0" w:color="auto"/>
            <w:right w:val="none" w:sz="0" w:space="0" w:color="auto"/>
          </w:divBdr>
          <w:divsChild>
            <w:div w:id="1769766115">
              <w:marLeft w:val="0"/>
              <w:marRight w:val="0"/>
              <w:marTop w:val="0"/>
              <w:marBottom w:val="0"/>
              <w:divBdr>
                <w:top w:val="none" w:sz="0" w:space="0" w:color="auto"/>
                <w:left w:val="none" w:sz="0" w:space="0" w:color="auto"/>
                <w:bottom w:val="none" w:sz="0" w:space="0" w:color="auto"/>
                <w:right w:val="none" w:sz="0" w:space="0" w:color="auto"/>
              </w:divBdr>
            </w:div>
          </w:divsChild>
        </w:div>
        <w:div w:id="1070469568">
          <w:marLeft w:val="0"/>
          <w:marRight w:val="0"/>
          <w:marTop w:val="0"/>
          <w:marBottom w:val="0"/>
          <w:divBdr>
            <w:top w:val="none" w:sz="0" w:space="0" w:color="auto"/>
            <w:left w:val="none" w:sz="0" w:space="0" w:color="auto"/>
            <w:bottom w:val="none" w:sz="0" w:space="0" w:color="auto"/>
            <w:right w:val="none" w:sz="0" w:space="0" w:color="auto"/>
          </w:divBdr>
          <w:divsChild>
            <w:div w:id="1468276002">
              <w:marLeft w:val="0"/>
              <w:marRight w:val="0"/>
              <w:marTop w:val="0"/>
              <w:marBottom w:val="0"/>
              <w:divBdr>
                <w:top w:val="none" w:sz="0" w:space="0" w:color="auto"/>
                <w:left w:val="none" w:sz="0" w:space="0" w:color="auto"/>
                <w:bottom w:val="none" w:sz="0" w:space="0" w:color="auto"/>
                <w:right w:val="none" w:sz="0" w:space="0" w:color="auto"/>
              </w:divBdr>
            </w:div>
          </w:divsChild>
        </w:div>
        <w:div w:id="1162355314">
          <w:marLeft w:val="0"/>
          <w:marRight w:val="0"/>
          <w:marTop w:val="0"/>
          <w:marBottom w:val="0"/>
          <w:divBdr>
            <w:top w:val="none" w:sz="0" w:space="0" w:color="auto"/>
            <w:left w:val="none" w:sz="0" w:space="0" w:color="auto"/>
            <w:bottom w:val="none" w:sz="0" w:space="0" w:color="auto"/>
            <w:right w:val="none" w:sz="0" w:space="0" w:color="auto"/>
          </w:divBdr>
          <w:divsChild>
            <w:div w:id="1480610293">
              <w:marLeft w:val="0"/>
              <w:marRight w:val="0"/>
              <w:marTop w:val="0"/>
              <w:marBottom w:val="0"/>
              <w:divBdr>
                <w:top w:val="none" w:sz="0" w:space="0" w:color="auto"/>
                <w:left w:val="none" w:sz="0" w:space="0" w:color="auto"/>
                <w:bottom w:val="none" w:sz="0" w:space="0" w:color="auto"/>
                <w:right w:val="none" w:sz="0" w:space="0" w:color="auto"/>
              </w:divBdr>
            </w:div>
          </w:divsChild>
        </w:div>
        <w:div w:id="1171525055">
          <w:marLeft w:val="0"/>
          <w:marRight w:val="0"/>
          <w:marTop w:val="0"/>
          <w:marBottom w:val="0"/>
          <w:divBdr>
            <w:top w:val="none" w:sz="0" w:space="0" w:color="auto"/>
            <w:left w:val="none" w:sz="0" w:space="0" w:color="auto"/>
            <w:bottom w:val="none" w:sz="0" w:space="0" w:color="auto"/>
            <w:right w:val="none" w:sz="0" w:space="0" w:color="auto"/>
          </w:divBdr>
          <w:divsChild>
            <w:div w:id="1394892134">
              <w:marLeft w:val="0"/>
              <w:marRight w:val="0"/>
              <w:marTop w:val="0"/>
              <w:marBottom w:val="0"/>
              <w:divBdr>
                <w:top w:val="none" w:sz="0" w:space="0" w:color="auto"/>
                <w:left w:val="none" w:sz="0" w:space="0" w:color="auto"/>
                <w:bottom w:val="none" w:sz="0" w:space="0" w:color="auto"/>
                <w:right w:val="none" w:sz="0" w:space="0" w:color="auto"/>
              </w:divBdr>
            </w:div>
          </w:divsChild>
        </w:div>
        <w:div w:id="1283075346">
          <w:marLeft w:val="0"/>
          <w:marRight w:val="0"/>
          <w:marTop w:val="0"/>
          <w:marBottom w:val="0"/>
          <w:divBdr>
            <w:top w:val="none" w:sz="0" w:space="0" w:color="auto"/>
            <w:left w:val="none" w:sz="0" w:space="0" w:color="auto"/>
            <w:bottom w:val="none" w:sz="0" w:space="0" w:color="auto"/>
            <w:right w:val="none" w:sz="0" w:space="0" w:color="auto"/>
          </w:divBdr>
          <w:divsChild>
            <w:div w:id="643851115">
              <w:marLeft w:val="0"/>
              <w:marRight w:val="0"/>
              <w:marTop w:val="0"/>
              <w:marBottom w:val="0"/>
              <w:divBdr>
                <w:top w:val="none" w:sz="0" w:space="0" w:color="auto"/>
                <w:left w:val="none" w:sz="0" w:space="0" w:color="auto"/>
                <w:bottom w:val="none" w:sz="0" w:space="0" w:color="auto"/>
                <w:right w:val="none" w:sz="0" w:space="0" w:color="auto"/>
              </w:divBdr>
            </w:div>
            <w:div w:id="789085108">
              <w:marLeft w:val="0"/>
              <w:marRight w:val="0"/>
              <w:marTop w:val="0"/>
              <w:marBottom w:val="0"/>
              <w:divBdr>
                <w:top w:val="none" w:sz="0" w:space="0" w:color="auto"/>
                <w:left w:val="none" w:sz="0" w:space="0" w:color="auto"/>
                <w:bottom w:val="none" w:sz="0" w:space="0" w:color="auto"/>
                <w:right w:val="none" w:sz="0" w:space="0" w:color="auto"/>
              </w:divBdr>
            </w:div>
          </w:divsChild>
        </w:div>
        <w:div w:id="1356230093">
          <w:marLeft w:val="0"/>
          <w:marRight w:val="0"/>
          <w:marTop w:val="0"/>
          <w:marBottom w:val="0"/>
          <w:divBdr>
            <w:top w:val="none" w:sz="0" w:space="0" w:color="auto"/>
            <w:left w:val="none" w:sz="0" w:space="0" w:color="auto"/>
            <w:bottom w:val="none" w:sz="0" w:space="0" w:color="auto"/>
            <w:right w:val="none" w:sz="0" w:space="0" w:color="auto"/>
          </w:divBdr>
          <w:divsChild>
            <w:div w:id="1544633257">
              <w:marLeft w:val="0"/>
              <w:marRight w:val="0"/>
              <w:marTop w:val="0"/>
              <w:marBottom w:val="0"/>
              <w:divBdr>
                <w:top w:val="none" w:sz="0" w:space="0" w:color="auto"/>
                <w:left w:val="none" w:sz="0" w:space="0" w:color="auto"/>
                <w:bottom w:val="none" w:sz="0" w:space="0" w:color="auto"/>
                <w:right w:val="none" w:sz="0" w:space="0" w:color="auto"/>
              </w:divBdr>
            </w:div>
          </w:divsChild>
        </w:div>
        <w:div w:id="1372341755">
          <w:marLeft w:val="0"/>
          <w:marRight w:val="0"/>
          <w:marTop w:val="0"/>
          <w:marBottom w:val="0"/>
          <w:divBdr>
            <w:top w:val="none" w:sz="0" w:space="0" w:color="auto"/>
            <w:left w:val="none" w:sz="0" w:space="0" w:color="auto"/>
            <w:bottom w:val="none" w:sz="0" w:space="0" w:color="auto"/>
            <w:right w:val="none" w:sz="0" w:space="0" w:color="auto"/>
          </w:divBdr>
          <w:divsChild>
            <w:div w:id="1646928136">
              <w:marLeft w:val="0"/>
              <w:marRight w:val="0"/>
              <w:marTop w:val="0"/>
              <w:marBottom w:val="0"/>
              <w:divBdr>
                <w:top w:val="none" w:sz="0" w:space="0" w:color="auto"/>
                <w:left w:val="none" w:sz="0" w:space="0" w:color="auto"/>
                <w:bottom w:val="none" w:sz="0" w:space="0" w:color="auto"/>
                <w:right w:val="none" w:sz="0" w:space="0" w:color="auto"/>
              </w:divBdr>
            </w:div>
          </w:divsChild>
        </w:div>
        <w:div w:id="1400906199">
          <w:marLeft w:val="0"/>
          <w:marRight w:val="0"/>
          <w:marTop w:val="0"/>
          <w:marBottom w:val="0"/>
          <w:divBdr>
            <w:top w:val="none" w:sz="0" w:space="0" w:color="auto"/>
            <w:left w:val="none" w:sz="0" w:space="0" w:color="auto"/>
            <w:bottom w:val="none" w:sz="0" w:space="0" w:color="auto"/>
            <w:right w:val="none" w:sz="0" w:space="0" w:color="auto"/>
          </w:divBdr>
          <w:divsChild>
            <w:div w:id="1826162527">
              <w:marLeft w:val="0"/>
              <w:marRight w:val="0"/>
              <w:marTop w:val="0"/>
              <w:marBottom w:val="0"/>
              <w:divBdr>
                <w:top w:val="none" w:sz="0" w:space="0" w:color="auto"/>
                <w:left w:val="none" w:sz="0" w:space="0" w:color="auto"/>
                <w:bottom w:val="none" w:sz="0" w:space="0" w:color="auto"/>
                <w:right w:val="none" w:sz="0" w:space="0" w:color="auto"/>
              </w:divBdr>
            </w:div>
          </w:divsChild>
        </w:div>
        <w:div w:id="1612662354">
          <w:marLeft w:val="0"/>
          <w:marRight w:val="0"/>
          <w:marTop w:val="0"/>
          <w:marBottom w:val="0"/>
          <w:divBdr>
            <w:top w:val="none" w:sz="0" w:space="0" w:color="auto"/>
            <w:left w:val="none" w:sz="0" w:space="0" w:color="auto"/>
            <w:bottom w:val="none" w:sz="0" w:space="0" w:color="auto"/>
            <w:right w:val="none" w:sz="0" w:space="0" w:color="auto"/>
          </w:divBdr>
          <w:divsChild>
            <w:div w:id="938106312">
              <w:marLeft w:val="0"/>
              <w:marRight w:val="0"/>
              <w:marTop w:val="0"/>
              <w:marBottom w:val="0"/>
              <w:divBdr>
                <w:top w:val="none" w:sz="0" w:space="0" w:color="auto"/>
                <w:left w:val="none" w:sz="0" w:space="0" w:color="auto"/>
                <w:bottom w:val="none" w:sz="0" w:space="0" w:color="auto"/>
                <w:right w:val="none" w:sz="0" w:space="0" w:color="auto"/>
              </w:divBdr>
            </w:div>
          </w:divsChild>
        </w:div>
        <w:div w:id="1813329009">
          <w:marLeft w:val="0"/>
          <w:marRight w:val="0"/>
          <w:marTop w:val="0"/>
          <w:marBottom w:val="0"/>
          <w:divBdr>
            <w:top w:val="none" w:sz="0" w:space="0" w:color="auto"/>
            <w:left w:val="none" w:sz="0" w:space="0" w:color="auto"/>
            <w:bottom w:val="none" w:sz="0" w:space="0" w:color="auto"/>
            <w:right w:val="none" w:sz="0" w:space="0" w:color="auto"/>
          </w:divBdr>
          <w:divsChild>
            <w:div w:id="650868330">
              <w:marLeft w:val="0"/>
              <w:marRight w:val="0"/>
              <w:marTop w:val="0"/>
              <w:marBottom w:val="0"/>
              <w:divBdr>
                <w:top w:val="none" w:sz="0" w:space="0" w:color="auto"/>
                <w:left w:val="none" w:sz="0" w:space="0" w:color="auto"/>
                <w:bottom w:val="none" w:sz="0" w:space="0" w:color="auto"/>
                <w:right w:val="none" w:sz="0" w:space="0" w:color="auto"/>
              </w:divBdr>
            </w:div>
          </w:divsChild>
        </w:div>
        <w:div w:id="1846281698">
          <w:marLeft w:val="0"/>
          <w:marRight w:val="0"/>
          <w:marTop w:val="0"/>
          <w:marBottom w:val="0"/>
          <w:divBdr>
            <w:top w:val="none" w:sz="0" w:space="0" w:color="auto"/>
            <w:left w:val="none" w:sz="0" w:space="0" w:color="auto"/>
            <w:bottom w:val="none" w:sz="0" w:space="0" w:color="auto"/>
            <w:right w:val="none" w:sz="0" w:space="0" w:color="auto"/>
          </w:divBdr>
          <w:divsChild>
            <w:div w:id="386151697">
              <w:marLeft w:val="0"/>
              <w:marRight w:val="0"/>
              <w:marTop w:val="0"/>
              <w:marBottom w:val="0"/>
              <w:divBdr>
                <w:top w:val="none" w:sz="0" w:space="0" w:color="auto"/>
                <w:left w:val="none" w:sz="0" w:space="0" w:color="auto"/>
                <w:bottom w:val="none" w:sz="0" w:space="0" w:color="auto"/>
                <w:right w:val="none" w:sz="0" w:space="0" w:color="auto"/>
              </w:divBdr>
            </w:div>
          </w:divsChild>
        </w:div>
        <w:div w:id="1911963136">
          <w:marLeft w:val="0"/>
          <w:marRight w:val="0"/>
          <w:marTop w:val="0"/>
          <w:marBottom w:val="0"/>
          <w:divBdr>
            <w:top w:val="none" w:sz="0" w:space="0" w:color="auto"/>
            <w:left w:val="none" w:sz="0" w:space="0" w:color="auto"/>
            <w:bottom w:val="none" w:sz="0" w:space="0" w:color="auto"/>
            <w:right w:val="none" w:sz="0" w:space="0" w:color="auto"/>
          </w:divBdr>
          <w:divsChild>
            <w:div w:id="14156753">
              <w:marLeft w:val="0"/>
              <w:marRight w:val="0"/>
              <w:marTop w:val="0"/>
              <w:marBottom w:val="0"/>
              <w:divBdr>
                <w:top w:val="none" w:sz="0" w:space="0" w:color="auto"/>
                <w:left w:val="none" w:sz="0" w:space="0" w:color="auto"/>
                <w:bottom w:val="none" w:sz="0" w:space="0" w:color="auto"/>
                <w:right w:val="none" w:sz="0" w:space="0" w:color="auto"/>
              </w:divBdr>
            </w:div>
          </w:divsChild>
        </w:div>
        <w:div w:id="1939824824">
          <w:marLeft w:val="0"/>
          <w:marRight w:val="0"/>
          <w:marTop w:val="0"/>
          <w:marBottom w:val="0"/>
          <w:divBdr>
            <w:top w:val="none" w:sz="0" w:space="0" w:color="auto"/>
            <w:left w:val="none" w:sz="0" w:space="0" w:color="auto"/>
            <w:bottom w:val="none" w:sz="0" w:space="0" w:color="auto"/>
            <w:right w:val="none" w:sz="0" w:space="0" w:color="auto"/>
          </w:divBdr>
          <w:divsChild>
            <w:div w:id="1540896341">
              <w:marLeft w:val="0"/>
              <w:marRight w:val="0"/>
              <w:marTop w:val="0"/>
              <w:marBottom w:val="0"/>
              <w:divBdr>
                <w:top w:val="none" w:sz="0" w:space="0" w:color="auto"/>
                <w:left w:val="none" w:sz="0" w:space="0" w:color="auto"/>
                <w:bottom w:val="none" w:sz="0" w:space="0" w:color="auto"/>
                <w:right w:val="none" w:sz="0" w:space="0" w:color="auto"/>
              </w:divBdr>
            </w:div>
          </w:divsChild>
        </w:div>
        <w:div w:id="1969847151">
          <w:marLeft w:val="0"/>
          <w:marRight w:val="0"/>
          <w:marTop w:val="0"/>
          <w:marBottom w:val="0"/>
          <w:divBdr>
            <w:top w:val="none" w:sz="0" w:space="0" w:color="auto"/>
            <w:left w:val="none" w:sz="0" w:space="0" w:color="auto"/>
            <w:bottom w:val="none" w:sz="0" w:space="0" w:color="auto"/>
            <w:right w:val="none" w:sz="0" w:space="0" w:color="auto"/>
          </w:divBdr>
          <w:divsChild>
            <w:div w:id="812337327">
              <w:marLeft w:val="0"/>
              <w:marRight w:val="0"/>
              <w:marTop w:val="0"/>
              <w:marBottom w:val="0"/>
              <w:divBdr>
                <w:top w:val="none" w:sz="0" w:space="0" w:color="auto"/>
                <w:left w:val="none" w:sz="0" w:space="0" w:color="auto"/>
                <w:bottom w:val="none" w:sz="0" w:space="0" w:color="auto"/>
                <w:right w:val="none" w:sz="0" w:space="0" w:color="auto"/>
              </w:divBdr>
            </w:div>
            <w:div w:id="1648126101">
              <w:marLeft w:val="0"/>
              <w:marRight w:val="0"/>
              <w:marTop w:val="0"/>
              <w:marBottom w:val="0"/>
              <w:divBdr>
                <w:top w:val="none" w:sz="0" w:space="0" w:color="auto"/>
                <w:left w:val="none" w:sz="0" w:space="0" w:color="auto"/>
                <w:bottom w:val="none" w:sz="0" w:space="0" w:color="auto"/>
                <w:right w:val="none" w:sz="0" w:space="0" w:color="auto"/>
              </w:divBdr>
            </w:div>
          </w:divsChild>
        </w:div>
        <w:div w:id="2021076786">
          <w:marLeft w:val="0"/>
          <w:marRight w:val="0"/>
          <w:marTop w:val="0"/>
          <w:marBottom w:val="0"/>
          <w:divBdr>
            <w:top w:val="none" w:sz="0" w:space="0" w:color="auto"/>
            <w:left w:val="none" w:sz="0" w:space="0" w:color="auto"/>
            <w:bottom w:val="none" w:sz="0" w:space="0" w:color="auto"/>
            <w:right w:val="none" w:sz="0" w:space="0" w:color="auto"/>
          </w:divBdr>
          <w:divsChild>
            <w:div w:id="274600154">
              <w:marLeft w:val="0"/>
              <w:marRight w:val="0"/>
              <w:marTop w:val="0"/>
              <w:marBottom w:val="0"/>
              <w:divBdr>
                <w:top w:val="none" w:sz="0" w:space="0" w:color="auto"/>
                <w:left w:val="none" w:sz="0" w:space="0" w:color="auto"/>
                <w:bottom w:val="none" w:sz="0" w:space="0" w:color="auto"/>
                <w:right w:val="none" w:sz="0" w:space="0" w:color="auto"/>
              </w:divBdr>
            </w:div>
          </w:divsChild>
        </w:div>
        <w:div w:id="2061784713">
          <w:marLeft w:val="0"/>
          <w:marRight w:val="0"/>
          <w:marTop w:val="0"/>
          <w:marBottom w:val="0"/>
          <w:divBdr>
            <w:top w:val="none" w:sz="0" w:space="0" w:color="auto"/>
            <w:left w:val="none" w:sz="0" w:space="0" w:color="auto"/>
            <w:bottom w:val="none" w:sz="0" w:space="0" w:color="auto"/>
            <w:right w:val="none" w:sz="0" w:space="0" w:color="auto"/>
          </w:divBdr>
          <w:divsChild>
            <w:div w:id="859707317">
              <w:marLeft w:val="0"/>
              <w:marRight w:val="0"/>
              <w:marTop w:val="0"/>
              <w:marBottom w:val="0"/>
              <w:divBdr>
                <w:top w:val="none" w:sz="0" w:space="0" w:color="auto"/>
                <w:left w:val="none" w:sz="0" w:space="0" w:color="auto"/>
                <w:bottom w:val="none" w:sz="0" w:space="0" w:color="auto"/>
                <w:right w:val="none" w:sz="0" w:space="0" w:color="auto"/>
              </w:divBdr>
            </w:div>
          </w:divsChild>
        </w:div>
        <w:div w:id="2085760324">
          <w:marLeft w:val="0"/>
          <w:marRight w:val="0"/>
          <w:marTop w:val="0"/>
          <w:marBottom w:val="0"/>
          <w:divBdr>
            <w:top w:val="none" w:sz="0" w:space="0" w:color="auto"/>
            <w:left w:val="none" w:sz="0" w:space="0" w:color="auto"/>
            <w:bottom w:val="none" w:sz="0" w:space="0" w:color="auto"/>
            <w:right w:val="none" w:sz="0" w:space="0" w:color="auto"/>
          </w:divBdr>
          <w:divsChild>
            <w:div w:id="1315528774">
              <w:marLeft w:val="0"/>
              <w:marRight w:val="0"/>
              <w:marTop w:val="0"/>
              <w:marBottom w:val="0"/>
              <w:divBdr>
                <w:top w:val="none" w:sz="0" w:space="0" w:color="auto"/>
                <w:left w:val="none" w:sz="0" w:space="0" w:color="auto"/>
                <w:bottom w:val="none" w:sz="0" w:space="0" w:color="auto"/>
                <w:right w:val="none" w:sz="0" w:space="0" w:color="auto"/>
              </w:divBdr>
            </w:div>
          </w:divsChild>
        </w:div>
        <w:div w:id="2125729308">
          <w:marLeft w:val="0"/>
          <w:marRight w:val="0"/>
          <w:marTop w:val="0"/>
          <w:marBottom w:val="0"/>
          <w:divBdr>
            <w:top w:val="none" w:sz="0" w:space="0" w:color="auto"/>
            <w:left w:val="none" w:sz="0" w:space="0" w:color="auto"/>
            <w:bottom w:val="none" w:sz="0" w:space="0" w:color="auto"/>
            <w:right w:val="none" w:sz="0" w:space="0" w:color="auto"/>
          </w:divBdr>
          <w:divsChild>
            <w:div w:id="60911800">
              <w:marLeft w:val="0"/>
              <w:marRight w:val="0"/>
              <w:marTop w:val="0"/>
              <w:marBottom w:val="0"/>
              <w:divBdr>
                <w:top w:val="none" w:sz="0" w:space="0" w:color="auto"/>
                <w:left w:val="none" w:sz="0" w:space="0" w:color="auto"/>
                <w:bottom w:val="none" w:sz="0" w:space="0" w:color="auto"/>
                <w:right w:val="none" w:sz="0" w:space="0" w:color="auto"/>
              </w:divBdr>
            </w:div>
          </w:divsChild>
        </w:div>
        <w:div w:id="2129082371">
          <w:marLeft w:val="0"/>
          <w:marRight w:val="0"/>
          <w:marTop w:val="0"/>
          <w:marBottom w:val="0"/>
          <w:divBdr>
            <w:top w:val="none" w:sz="0" w:space="0" w:color="auto"/>
            <w:left w:val="none" w:sz="0" w:space="0" w:color="auto"/>
            <w:bottom w:val="none" w:sz="0" w:space="0" w:color="auto"/>
            <w:right w:val="none" w:sz="0" w:space="0" w:color="auto"/>
          </w:divBdr>
          <w:divsChild>
            <w:div w:id="143845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368121">
      <w:bodyDiv w:val="1"/>
      <w:marLeft w:val="0"/>
      <w:marRight w:val="0"/>
      <w:marTop w:val="0"/>
      <w:marBottom w:val="0"/>
      <w:divBdr>
        <w:top w:val="none" w:sz="0" w:space="0" w:color="auto"/>
        <w:left w:val="none" w:sz="0" w:space="0" w:color="auto"/>
        <w:bottom w:val="none" w:sz="0" w:space="0" w:color="auto"/>
        <w:right w:val="none" w:sz="0" w:space="0" w:color="auto"/>
      </w:divBdr>
    </w:div>
    <w:div w:id="1768115729">
      <w:bodyDiv w:val="1"/>
      <w:marLeft w:val="0"/>
      <w:marRight w:val="0"/>
      <w:marTop w:val="0"/>
      <w:marBottom w:val="0"/>
      <w:divBdr>
        <w:top w:val="none" w:sz="0" w:space="0" w:color="auto"/>
        <w:left w:val="none" w:sz="0" w:space="0" w:color="auto"/>
        <w:bottom w:val="none" w:sz="0" w:space="0" w:color="auto"/>
        <w:right w:val="none" w:sz="0" w:space="0" w:color="auto"/>
      </w:divBdr>
      <w:divsChild>
        <w:div w:id="1156871659">
          <w:marLeft w:val="547"/>
          <w:marRight w:val="0"/>
          <w:marTop w:val="0"/>
          <w:marBottom w:val="120"/>
          <w:divBdr>
            <w:top w:val="none" w:sz="0" w:space="0" w:color="auto"/>
            <w:left w:val="none" w:sz="0" w:space="0" w:color="auto"/>
            <w:bottom w:val="none" w:sz="0" w:space="0" w:color="auto"/>
            <w:right w:val="none" w:sz="0" w:space="0" w:color="auto"/>
          </w:divBdr>
        </w:div>
        <w:div w:id="1817453678">
          <w:marLeft w:val="547"/>
          <w:marRight w:val="0"/>
          <w:marTop w:val="0"/>
          <w:marBottom w:val="120"/>
          <w:divBdr>
            <w:top w:val="none" w:sz="0" w:space="0" w:color="auto"/>
            <w:left w:val="none" w:sz="0" w:space="0" w:color="auto"/>
            <w:bottom w:val="none" w:sz="0" w:space="0" w:color="auto"/>
            <w:right w:val="none" w:sz="0" w:space="0" w:color="auto"/>
          </w:divBdr>
        </w:div>
        <w:div w:id="2133017331">
          <w:marLeft w:val="547"/>
          <w:marRight w:val="0"/>
          <w:marTop w:val="0"/>
          <w:marBottom w:val="120"/>
          <w:divBdr>
            <w:top w:val="none" w:sz="0" w:space="0" w:color="auto"/>
            <w:left w:val="none" w:sz="0" w:space="0" w:color="auto"/>
            <w:bottom w:val="none" w:sz="0" w:space="0" w:color="auto"/>
            <w:right w:val="none" w:sz="0" w:space="0" w:color="auto"/>
          </w:divBdr>
        </w:div>
      </w:divsChild>
    </w:div>
    <w:div w:id="1809591835">
      <w:bodyDiv w:val="1"/>
      <w:marLeft w:val="0"/>
      <w:marRight w:val="0"/>
      <w:marTop w:val="0"/>
      <w:marBottom w:val="0"/>
      <w:divBdr>
        <w:top w:val="none" w:sz="0" w:space="0" w:color="auto"/>
        <w:left w:val="none" w:sz="0" w:space="0" w:color="auto"/>
        <w:bottom w:val="none" w:sz="0" w:space="0" w:color="auto"/>
        <w:right w:val="none" w:sz="0" w:space="0" w:color="auto"/>
      </w:divBdr>
      <w:divsChild>
        <w:div w:id="293871672">
          <w:marLeft w:val="547"/>
          <w:marRight w:val="0"/>
          <w:marTop w:val="91"/>
          <w:marBottom w:val="0"/>
          <w:divBdr>
            <w:top w:val="none" w:sz="0" w:space="0" w:color="auto"/>
            <w:left w:val="none" w:sz="0" w:space="0" w:color="auto"/>
            <w:bottom w:val="none" w:sz="0" w:space="0" w:color="auto"/>
            <w:right w:val="none" w:sz="0" w:space="0" w:color="auto"/>
          </w:divBdr>
        </w:div>
        <w:div w:id="1112938554">
          <w:marLeft w:val="1109"/>
          <w:marRight w:val="0"/>
          <w:marTop w:val="91"/>
          <w:marBottom w:val="0"/>
          <w:divBdr>
            <w:top w:val="none" w:sz="0" w:space="0" w:color="auto"/>
            <w:left w:val="none" w:sz="0" w:space="0" w:color="auto"/>
            <w:bottom w:val="none" w:sz="0" w:space="0" w:color="auto"/>
            <w:right w:val="none" w:sz="0" w:space="0" w:color="auto"/>
          </w:divBdr>
        </w:div>
        <w:div w:id="1335298421">
          <w:marLeft w:val="1109"/>
          <w:marRight w:val="0"/>
          <w:marTop w:val="91"/>
          <w:marBottom w:val="0"/>
          <w:divBdr>
            <w:top w:val="none" w:sz="0" w:space="0" w:color="auto"/>
            <w:left w:val="none" w:sz="0" w:space="0" w:color="auto"/>
            <w:bottom w:val="none" w:sz="0" w:space="0" w:color="auto"/>
            <w:right w:val="none" w:sz="0" w:space="0" w:color="auto"/>
          </w:divBdr>
        </w:div>
      </w:divsChild>
    </w:div>
    <w:div w:id="1811940288">
      <w:bodyDiv w:val="1"/>
      <w:marLeft w:val="0"/>
      <w:marRight w:val="0"/>
      <w:marTop w:val="0"/>
      <w:marBottom w:val="0"/>
      <w:divBdr>
        <w:top w:val="none" w:sz="0" w:space="0" w:color="auto"/>
        <w:left w:val="none" w:sz="0" w:space="0" w:color="auto"/>
        <w:bottom w:val="none" w:sz="0" w:space="0" w:color="auto"/>
        <w:right w:val="none" w:sz="0" w:space="0" w:color="auto"/>
      </w:divBdr>
    </w:div>
    <w:div w:id="1894345611">
      <w:bodyDiv w:val="1"/>
      <w:marLeft w:val="0"/>
      <w:marRight w:val="0"/>
      <w:marTop w:val="0"/>
      <w:marBottom w:val="0"/>
      <w:divBdr>
        <w:top w:val="none" w:sz="0" w:space="0" w:color="auto"/>
        <w:left w:val="none" w:sz="0" w:space="0" w:color="auto"/>
        <w:bottom w:val="none" w:sz="0" w:space="0" w:color="auto"/>
        <w:right w:val="none" w:sz="0" w:space="0" w:color="auto"/>
      </w:divBdr>
      <w:divsChild>
        <w:div w:id="1472139481">
          <w:marLeft w:val="403"/>
          <w:marRight w:val="0"/>
          <w:marTop w:val="0"/>
          <w:marBottom w:val="120"/>
          <w:divBdr>
            <w:top w:val="none" w:sz="0" w:space="0" w:color="auto"/>
            <w:left w:val="none" w:sz="0" w:space="0" w:color="auto"/>
            <w:bottom w:val="none" w:sz="0" w:space="0" w:color="auto"/>
            <w:right w:val="none" w:sz="0" w:space="0" w:color="auto"/>
          </w:divBdr>
        </w:div>
      </w:divsChild>
    </w:div>
    <w:div w:id="1902134240">
      <w:bodyDiv w:val="1"/>
      <w:marLeft w:val="0"/>
      <w:marRight w:val="0"/>
      <w:marTop w:val="0"/>
      <w:marBottom w:val="0"/>
      <w:divBdr>
        <w:top w:val="none" w:sz="0" w:space="0" w:color="auto"/>
        <w:left w:val="none" w:sz="0" w:space="0" w:color="auto"/>
        <w:bottom w:val="none" w:sz="0" w:space="0" w:color="auto"/>
        <w:right w:val="none" w:sz="0" w:space="0" w:color="auto"/>
      </w:divBdr>
      <w:divsChild>
        <w:div w:id="287974625">
          <w:marLeft w:val="0"/>
          <w:marRight w:val="0"/>
          <w:marTop w:val="0"/>
          <w:marBottom w:val="0"/>
          <w:divBdr>
            <w:top w:val="none" w:sz="0" w:space="0" w:color="auto"/>
            <w:left w:val="none" w:sz="0" w:space="0" w:color="auto"/>
            <w:bottom w:val="none" w:sz="0" w:space="0" w:color="auto"/>
            <w:right w:val="none" w:sz="0" w:space="0" w:color="auto"/>
          </w:divBdr>
        </w:div>
      </w:divsChild>
    </w:div>
    <w:div w:id="1922636005">
      <w:bodyDiv w:val="1"/>
      <w:marLeft w:val="0"/>
      <w:marRight w:val="0"/>
      <w:marTop w:val="0"/>
      <w:marBottom w:val="0"/>
      <w:divBdr>
        <w:top w:val="none" w:sz="0" w:space="0" w:color="auto"/>
        <w:left w:val="none" w:sz="0" w:space="0" w:color="auto"/>
        <w:bottom w:val="none" w:sz="0" w:space="0" w:color="auto"/>
        <w:right w:val="none" w:sz="0" w:space="0" w:color="auto"/>
      </w:divBdr>
      <w:divsChild>
        <w:div w:id="959065748">
          <w:marLeft w:val="274"/>
          <w:marRight w:val="0"/>
          <w:marTop w:val="60"/>
          <w:marBottom w:val="60"/>
          <w:divBdr>
            <w:top w:val="none" w:sz="0" w:space="0" w:color="auto"/>
            <w:left w:val="none" w:sz="0" w:space="0" w:color="auto"/>
            <w:bottom w:val="none" w:sz="0" w:space="0" w:color="auto"/>
            <w:right w:val="none" w:sz="0" w:space="0" w:color="auto"/>
          </w:divBdr>
        </w:div>
      </w:divsChild>
    </w:div>
    <w:div w:id="1923374572">
      <w:bodyDiv w:val="1"/>
      <w:marLeft w:val="0"/>
      <w:marRight w:val="0"/>
      <w:marTop w:val="0"/>
      <w:marBottom w:val="0"/>
      <w:divBdr>
        <w:top w:val="none" w:sz="0" w:space="0" w:color="auto"/>
        <w:left w:val="none" w:sz="0" w:space="0" w:color="auto"/>
        <w:bottom w:val="none" w:sz="0" w:space="0" w:color="auto"/>
        <w:right w:val="none" w:sz="0" w:space="0" w:color="auto"/>
      </w:divBdr>
    </w:div>
    <w:div w:id="1934850178">
      <w:bodyDiv w:val="1"/>
      <w:marLeft w:val="0"/>
      <w:marRight w:val="0"/>
      <w:marTop w:val="0"/>
      <w:marBottom w:val="0"/>
      <w:divBdr>
        <w:top w:val="none" w:sz="0" w:space="0" w:color="auto"/>
        <w:left w:val="none" w:sz="0" w:space="0" w:color="auto"/>
        <w:bottom w:val="none" w:sz="0" w:space="0" w:color="auto"/>
        <w:right w:val="none" w:sz="0" w:space="0" w:color="auto"/>
      </w:divBdr>
    </w:div>
    <w:div w:id="1936859536">
      <w:bodyDiv w:val="1"/>
      <w:marLeft w:val="0"/>
      <w:marRight w:val="0"/>
      <w:marTop w:val="0"/>
      <w:marBottom w:val="0"/>
      <w:divBdr>
        <w:top w:val="none" w:sz="0" w:space="0" w:color="auto"/>
        <w:left w:val="none" w:sz="0" w:space="0" w:color="auto"/>
        <w:bottom w:val="none" w:sz="0" w:space="0" w:color="auto"/>
        <w:right w:val="none" w:sz="0" w:space="0" w:color="auto"/>
      </w:divBdr>
      <w:divsChild>
        <w:div w:id="421297053">
          <w:marLeft w:val="274"/>
          <w:marRight w:val="0"/>
          <w:marTop w:val="60"/>
          <w:marBottom w:val="60"/>
          <w:divBdr>
            <w:top w:val="none" w:sz="0" w:space="0" w:color="auto"/>
            <w:left w:val="none" w:sz="0" w:space="0" w:color="auto"/>
            <w:bottom w:val="none" w:sz="0" w:space="0" w:color="auto"/>
            <w:right w:val="none" w:sz="0" w:space="0" w:color="auto"/>
          </w:divBdr>
        </w:div>
      </w:divsChild>
    </w:div>
    <w:div w:id="1953055182">
      <w:bodyDiv w:val="1"/>
      <w:marLeft w:val="0"/>
      <w:marRight w:val="0"/>
      <w:marTop w:val="0"/>
      <w:marBottom w:val="0"/>
      <w:divBdr>
        <w:top w:val="none" w:sz="0" w:space="0" w:color="auto"/>
        <w:left w:val="none" w:sz="0" w:space="0" w:color="auto"/>
        <w:bottom w:val="none" w:sz="0" w:space="0" w:color="auto"/>
        <w:right w:val="none" w:sz="0" w:space="0" w:color="auto"/>
      </w:divBdr>
    </w:div>
    <w:div w:id="1979919413">
      <w:bodyDiv w:val="1"/>
      <w:marLeft w:val="0"/>
      <w:marRight w:val="0"/>
      <w:marTop w:val="0"/>
      <w:marBottom w:val="0"/>
      <w:divBdr>
        <w:top w:val="none" w:sz="0" w:space="0" w:color="auto"/>
        <w:left w:val="none" w:sz="0" w:space="0" w:color="auto"/>
        <w:bottom w:val="none" w:sz="0" w:space="0" w:color="auto"/>
        <w:right w:val="none" w:sz="0" w:space="0" w:color="auto"/>
      </w:divBdr>
    </w:div>
    <w:div w:id="1998604546">
      <w:bodyDiv w:val="1"/>
      <w:marLeft w:val="0"/>
      <w:marRight w:val="0"/>
      <w:marTop w:val="0"/>
      <w:marBottom w:val="0"/>
      <w:divBdr>
        <w:top w:val="none" w:sz="0" w:space="0" w:color="auto"/>
        <w:left w:val="none" w:sz="0" w:space="0" w:color="auto"/>
        <w:bottom w:val="none" w:sz="0" w:space="0" w:color="auto"/>
        <w:right w:val="none" w:sz="0" w:space="0" w:color="auto"/>
      </w:divBdr>
      <w:divsChild>
        <w:div w:id="866255469">
          <w:marLeft w:val="274"/>
          <w:marRight w:val="0"/>
          <w:marTop w:val="120"/>
          <w:marBottom w:val="0"/>
          <w:divBdr>
            <w:top w:val="none" w:sz="0" w:space="0" w:color="auto"/>
            <w:left w:val="none" w:sz="0" w:space="0" w:color="auto"/>
            <w:bottom w:val="none" w:sz="0" w:space="0" w:color="auto"/>
            <w:right w:val="none" w:sz="0" w:space="0" w:color="auto"/>
          </w:divBdr>
        </w:div>
        <w:div w:id="1365323382">
          <w:marLeft w:val="274"/>
          <w:marRight w:val="0"/>
          <w:marTop w:val="120"/>
          <w:marBottom w:val="0"/>
          <w:divBdr>
            <w:top w:val="none" w:sz="0" w:space="0" w:color="auto"/>
            <w:left w:val="none" w:sz="0" w:space="0" w:color="auto"/>
            <w:bottom w:val="none" w:sz="0" w:space="0" w:color="auto"/>
            <w:right w:val="none" w:sz="0" w:space="0" w:color="auto"/>
          </w:divBdr>
        </w:div>
      </w:divsChild>
    </w:div>
    <w:div w:id="1999573968">
      <w:bodyDiv w:val="1"/>
      <w:marLeft w:val="0"/>
      <w:marRight w:val="0"/>
      <w:marTop w:val="0"/>
      <w:marBottom w:val="0"/>
      <w:divBdr>
        <w:top w:val="none" w:sz="0" w:space="0" w:color="auto"/>
        <w:left w:val="none" w:sz="0" w:space="0" w:color="auto"/>
        <w:bottom w:val="none" w:sz="0" w:space="0" w:color="auto"/>
        <w:right w:val="none" w:sz="0" w:space="0" w:color="auto"/>
      </w:divBdr>
    </w:div>
    <w:div w:id="2004122602">
      <w:bodyDiv w:val="1"/>
      <w:marLeft w:val="0"/>
      <w:marRight w:val="0"/>
      <w:marTop w:val="0"/>
      <w:marBottom w:val="0"/>
      <w:divBdr>
        <w:top w:val="none" w:sz="0" w:space="0" w:color="auto"/>
        <w:left w:val="none" w:sz="0" w:space="0" w:color="auto"/>
        <w:bottom w:val="none" w:sz="0" w:space="0" w:color="auto"/>
        <w:right w:val="none" w:sz="0" w:space="0" w:color="auto"/>
      </w:divBdr>
      <w:divsChild>
        <w:div w:id="867060948">
          <w:marLeft w:val="0"/>
          <w:marRight w:val="0"/>
          <w:marTop w:val="0"/>
          <w:marBottom w:val="0"/>
          <w:divBdr>
            <w:top w:val="none" w:sz="0" w:space="0" w:color="auto"/>
            <w:left w:val="none" w:sz="0" w:space="0" w:color="auto"/>
            <w:bottom w:val="none" w:sz="0" w:space="0" w:color="auto"/>
            <w:right w:val="none" w:sz="0" w:space="0" w:color="auto"/>
          </w:divBdr>
        </w:div>
      </w:divsChild>
    </w:div>
    <w:div w:id="2034189204">
      <w:bodyDiv w:val="1"/>
      <w:marLeft w:val="0"/>
      <w:marRight w:val="0"/>
      <w:marTop w:val="0"/>
      <w:marBottom w:val="0"/>
      <w:divBdr>
        <w:top w:val="none" w:sz="0" w:space="0" w:color="auto"/>
        <w:left w:val="none" w:sz="0" w:space="0" w:color="auto"/>
        <w:bottom w:val="none" w:sz="0" w:space="0" w:color="auto"/>
        <w:right w:val="none" w:sz="0" w:space="0" w:color="auto"/>
      </w:divBdr>
      <w:divsChild>
        <w:div w:id="49311153">
          <w:marLeft w:val="547"/>
          <w:marRight w:val="0"/>
          <w:marTop w:val="91"/>
          <w:marBottom w:val="0"/>
          <w:divBdr>
            <w:top w:val="none" w:sz="0" w:space="0" w:color="auto"/>
            <w:left w:val="none" w:sz="0" w:space="0" w:color="auto"/>
            <w:bottom w:val="none" w:sz="0" w:space="0" w:color="auto"/>
            <w:right w:val="none" w:sz="0" w:space="0" w:color="auto"/>
          </w:divBdr>
        </w:div>
        <w:div w:id="1313368195">
          <w:marLeft w:val="547"/>
          <w:marRight w:val="0"/>
          <w:marTop w:val="91"/>
          <w:marBottom w:val="0"/>
          <w:divBdr>
            <w:top w:val="none" w:sz="0" w:space="0" w:color="auto"/>
            <w:left w:val="none" w:sz="0" w:space="0" w:color="auto"/>
            <w:bottom w:val="none" w:sz="0" w:space="0" w:color="auto"/>
            <w:right w:val="none" w:sz="0" w:space="0" w:color="auto"/>
          </w:divBdr>
        </w:div>
        <w:div w:id="1487165130">
          <w:marLeft w:val="547"/>
          <w:marRight w:val="0"/>
          <w:marTop w:val="91"/>
          <w:marBottom w:val="0"/>
          <w:divBdr>
            <w:top w:val="none" w:sz="0" w:space="0" w:color="auto"/>
            <w:left w:val="none" w:sz="0" w:space="0" w:color="auto"/>
            <w:bottom w:val="none" w:sz="0" w:space="0" w:color="auto"/>
            <w:right w:val="none" w:sz="0" w:space="0" w:color="auto"/>
          </w:divBdr>
        </w:div>
        <w:div w:id="1788235985">
          <w:marLeft w:val="547"/>
          <w:marRight w:val="0"/>
          <w:marTop w:val="91"/>
          <w:marBottom w:val="0"/>
          <w:divBdr>
            <w:top w:val="none" w:sz="0" w:space="0" w:color="auto"/>
            <w:left w:val="none" w:sz="0" w:space="0" w:color="auto"/>
            <w:bottom w:val="none" w:sz="0" w:space="0" w:color="auto"/>
            <w:right w:val="none" w:sz="0" w:space="0" w:color="auto"/>
          </w:divBdr>
        </w:div>
      </w:divsChild>
    </w:div>
    <w:div w:id="2050914678">
      <w:bodyDiv w:val="1"/>
      <w:marLeft w:val="0"/>
      <w:marRight w:val="0"/>
      <w:marTop w:val="0"/>
      <w:marBottom w:val="0"/>
      <w:divBdr>
        <w:top w:val="none" w:sz="0" w:space="0" w:color="auto"/>
        <w:left w:val="none" w:sz="0" w:space="0" w:color="auto"/>
        <w:bottom w:val="none" w:sz="0" w:space="0" w:color="auto"/>
        <w:right w:val="none" w:sz="0" w:space="0" w:color="auto"/>
      </w:divBdr>
      <w:divsChild>
        <w:div w:id="168059130">
          <w:marLeft w:val="274"/>
          <w:marRight w:val="0"/>
          <w:marTop w:val="120"/>
          <w:marBottom w:val="0"/>
          <w:divBdr>
            <w:top w:val="none" w:sz="0" w:space="0" w:color="auto"/>
            <w:left w:val="none" w:sz="0" w:space="0" w:color="auto"/>
            <w:bottom w:val="none" w:sz="0" w:space="0" w:color="auto"/>
            <w:right w:val="none" w:sz="0" w:space="0" w:color="auto"/>
          </w:divBdr>
        </w:div>
      </w:divsChild>
    </w:div>
    <w:div w:id="2103530315">
      <w:bodyDiv w:val="1"/>
      <w:marLeft w:val="0"/>
      <w:marRight w:val="0"/>
      <w:marTop w:val="0"/>
      <w:marBottom w:val="0"/>
      <w:divBdr>
        <w:top w:val="none" w:sz="0" w:space="0" w:color="auto"/>
        <w:left w:val="none" w:sz="0" w:space="0" w:color="auto"/>
        <w:bottom w:val="none" w:sz="0" w:space="0" w:color="auto"/>
        <w:right w:val="none" w:sz="0" w:space="0" w:color="auto"/>
      </w:divBdr>
    </w:div>
    <w:div w:id="2111704851">
      <w:bodyDiv w:val="1"/>
      <w:marLeft w:val="0"/>
      <w:marRight w:val="0"/>
      <w:marTop w:val="0"/>
      <w:marBottom w:val="0"/>
      <w:divBdr>
        <w:top w:val="none" w:sz="0" w:space="0" w:color="auto"/>
        <w:left w:val="none" w:sz="0" w:space="0" w:color="auto"/>
        <w:bottom w:val="none" w:sz="0" w:space="0" w:color="auto"/>
        <w:right w:val="none" w:sz="0" w:space="0" w:color="auto"/>
      </w:divBdr>
      <w:divsChild>
        <w:div w:id="1383942422">
          <w:marLeft w:val="446"/>
          <w:marRight w:val="0"/>
          <w:marTop w:val="240"/>
          <w:marBottom w:val="0"/>
          <w:divBdr>
            <w:top w:val="none" w:sz="0" w:space="0" w:color="auto"/>
            <w:left w:val="none" w:sz="0" w:space="0" w:color="auto"/>
            <w:bottom w:val="none" w:sz="0" w:space="0" w:color="auto"/>
            <w:right w:val="none" w:sz="0" w:space="0" w:color="auto"/>
          </w:divBdr>
        </w:div>
      </w:divsChild>
    </w:div>
    <w:div w:id="2125032330">
      <w:bodyDiv w:val="1"/>
      <w:marLeft w:val="0"/>
      <w:marRight w:val="0"/>
      <w:marTop w:val="0"/>
      <w:marBottom w:val="0"/>
      <w:divBdr>
        <w:top w:val="none" w:sz="0" w:space="0" w:color="auto"/>
        <w:left w:val="none" w:sz="0" w:space="0" w:color="auto"/>
        <w:bottom w:val="none" w:sz="0" w:space="0" w:color="auto"/>
        <w:right w:val="none" w:sz="0" w:space="0" w:color="auto"/>
      </w:divBdr>
      <w:divsChild>
        <w:div w:id="909845940">
          <w:marLeft w:val="403"/>
          <w:marRight w:val="0"/>
          <w:marTop w:val="0"/>
          <w:marBottom w:val="120"/>
          <w:divBdr>
            <w:top w:val="none" w:sz="0" w:space="0" w:color="auto"/>
            <w:left w:val="none" w:sz="0" w:space="0" w:color="auto"/>
            <w:bottom w:val="none" w:sz="0" w:space="0" w:color="auto"/>
            <w:right w:val="none" w:sz="0" w:space="0" w:color="auto"/>
          </w:divBdr>
        </w:div>
      </w:divsChild>
    </w:div>
  </w:divs>
  <w:encoding w:val="macintos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svg"/><Relationship Id="rId117" Type="http://schemas.openxmlformats.org/officeDocument/2006/relationships/image" Target="media/image84.png"/><Relationship Id="rId21" Type="http://schemas.openxmlformats.org/officeDocument/2006/relationships/image" Target="media/image5.svg"/><Relationship Id="rId42" Type="http://schemas.openxmlformats.org/officeDocument/2006/relationships/image" Target="media/image20.png"/><Relationship Id="rId47" Type="http://schemas.openxmlformats.org/officeDocument/2006/relationships/image" Target="media/image25.svg"/><Relationship Id="rId63" Type="http://schemas.openxmlformats.org/officeDocument/2006/relationships/image" Target="media/image39.png"/><Relationship Id="rId68" Type="http://schemas.openxmlformats.org/officeDocument/2006/relationships/image" Target="media/image44.svg"/><Relationship Id="rId84" Type="http://schemas.openxmlformats.org/officeDocument/2006/relationships/image" Target="media/image58.svg"/><Relationship Id="rId112" Type="http://schemas.openxmlformats.org/officeDocument/2006/relationships/image" Target="media/image81.svg"/><Relationship Id="rId16" Type="http://schemas.openxmlformats.org/officeDocument/2006/relationships/image" Target="media/image3.jpeg"/><Relationship Id="rId107" Type="http://schemas.openxmlformats.org/officeDocument/2006/relationships/image" Target="media/image76.svg"/><Relationship Id="rId11" Type="http://schemas.openxmlformats.org/officeDocument/2006/relationships/endnotes" Target="endnotes.xml"/><Relationship Id="rId32" Type="http://schemas.openxmlformats.org/officeDocument/2006/relationships/image" Target="media/image15.png"/><Relationship Id="rId37" Type="http://schemas.openxmlformats.org/officeDocument/2006/relationships/footer" Target="footer5.xml"/><Relationship Id="rId53" Type="http://schemas.openxmlformats.org/officeDocument/2006/relationships/footer" Target="footer7.xml"/><Relationship Id="rId58" Type="http://schemas.openxmlformats.org/officeDocument/2006/relationships/image" Target="media/image34.emf"/><Relationship Id="rId74" Type="http://schemas.openxmlformats.org/officeDocument/2006/relationships/image" Target="media/image50.svg"/><Relationship Id="rId79" Type="http://schemas.openxmlformats.org/officeDocument/2006/relationships/image" Target="media/image55.png"/><Relationship Id="rId102" Type="http://schemas.openxmlformats.org/officeDocument/2006/relationships/image" Target="media/image71.png"/><Relationship Id="rId123" Type="http://schemas.openxmlformats.org/officeDocument/2006/relationships/footer" Target="footer10.xml"/><Relationship Id="rId128" Type="http://schemas.openxmlformats.org/officeDocument/2006/relationships/fontTable" Target="fontTable.xml"/><Relationship Id="rId5" Type="http://schemas.openxmlformats.org/officeDocument/2006/relationships/customXml" Target="../customXml/item5.xml"/><Relationship Id="rId95" Type="http://schemas.openxmlformats.org/officeDocument/2006/relationships/image" Target="media/image64.png"/><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svg"/><Relationship Id="rId35" Type="http://schemas.openxmlformats.org/officeDocument/2006/relationships/footer" Target="footer4.xml"/><Relationship Id="rId43" Type="http://schemas.openxmlformats.org/officeDocument/2006/relationships/image" Target="media/image21.svg"/><Relationship Id="rId48" Type="http://schemas.openxmlformats.org/officeDocument/2006/relationships/image" Target="media/image26.png"/><Relationship Id="rId56" Type="http://schemas.openxmlformats.org/officeDocument/2006/relationships/image" Target="media/image32.emf"/><Relationship Id="rId64" Type="http://schemas.openxmlformats.org/officeDocument/2006/relationships/image" Target="media/image40.svg"/><Relationship Id="rId69"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69.png"/><Relationship Id="rId105" Type="http://schemas.openxmlformats.org/officeDocument/2006/relationships/image" Target="media/image74.svg"/><Relationship Id="rId113" Type="http://schemas.openxmlformats.org/officeDocument/2006/relationships/header" Target="header9.xml"/><Relationship Id="rId118" Type="http://schemas.openxmlformats.org/officeDocument/2006/relationships/image" Target="media/image85.svg"/><Relationship Id="rId126" Type="http://schemas.openxmlformats.org/officeDocument/2006/relationships/header" Target="header13.xml"/><Relationship Id="rId8" Type="http://schemas.openxmlformats.org/officeDocument/2006/relationships/settings" Target="settings.xml"/><Relationship Id="rId51" Type="http://schemas.openxmlformats.org/officeDocument/2006/relationships/image" Target="media/image29.svg"/><Relationship Id="rId72" Type="http://schemas.openxmlformats.org/officeDocument/2006/relationships/image" Target="media/image48.svg"/><Relationship Id="rId80" Type="http://schemas.openxmlformats.org/officeDocument/2006/relationships/image" Target="media/image56.svg"/><Relationship Id="rId85" Type="http://schemas.openxmlformats.org/officeDocument/2006/relationships/image" Target="media/image59.emf"/><Relationship Id="rId93" Type="http://schemas.openxmlformats.org/officeDocument/2006/relationships/image" Target="media/image62.emf"/><Relationship Id="rId98" Type="http://schemas.openxmlformats.org/officeDocument/2006/relationships/image" Target="media/image67.svg"/><Relationship Id="rId121" Type="http://schemas.openxmlformats.org/officeDocument/2006/relationships/header" Target="header10.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6.svg"/><Relationship Id="rId38" Type="http://schemas.openxmlformats.org/officeDocument/2006/relationships/header" Target="header6.xml"/><Relationship Id="rId46" Type="http://schemas.openxmlformats.org/officeDocument/2006/relationships/image" Target="media/image24.pn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2.svg"/><Relationship Id="rId108" Type="http://schemas.openxmlformats.org/officeDocument/2006/relationships/image" Target="media/image77.png"/><Relationship Id="rId116" Type="http://schemas.openxmlformats.org/officeDocument/2006/relationships/image" Target="media/image83.svg"/><Relationship Id="rId124" Type="http://schemas.openxmlformats.org/officeDocument/2006/relationships/header" Target="header12.xml"/><Relationship Id="rId129" Type="http://schemas.openxmlformats.org/officeDocument/2006/relationships/glossaryDocument" Target="glossary/document.xml"/><Relationship Id="rId20" Type="http://schemas.openxmlformats.org/officeDocument/2006/relationships/image" Target="media/image4.png"/><Relationship Id="rId41" Type="http://schemas.openxmlformats.org/officeDocument/2006/relationships/image" Target="media/image19.svg"/><Relationship Id="rId54" Type="http://schemas.openxmlformats.org/officeDocument/2006/relationships/image" Target="media/image30.png"/><Relationship Id="rId62" Type="http://schemas.openxmlformats.org/officeDocument/2006/relationships/image" Target="media/image38.svg"/><Relationship Id="rId70" Type="http://schemas.openxmlformats.org/officeDocument/2006/relationships/image" Target="media/image46.svg"/><Relationship Id="rId75" Type="http://schemas.openxmlformats.org/officeDocument/2006/relationships/image" Target="media/image51.png"/><Relationship Id="rId83" Type="http://schemas.openxmlformats.org/officeDocument/2006/relationships/image" Target="media/image57.png"/><Relationship Id="rId96" Type="http://schemas.openxmlformats.org/officeDocument/2006/relationships/image" Target="media/image65.svg"/><Relationship Id="rId111" Type="http://schemas.openxmlformats.org/officeDocument/2006/relationships/image" Target="media/image80.png"/><Relationship Id="rId132"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svg"/><Relationship Id="rId36" Type="http://schemas.openxmlformats.org/officeDocument/2006/relationships/header" Target="header5.xml"/><Relationship Id="rId49" Type="http://schemas.openxmlformats.org/officeDocument/2006/relationships/image" Target="media/image27.svg"/><Relationship Id="rId57" Type="http://schemas.openxmlformats.org/officeDocument/2006/relationships/image" Target="media/image33.emf"/><Relationship Id="rId106" Type="http://schemas.openxmlformats.org/officeDocument/2006/relationships/image" Target="media/image75.png"/><Relationship Id="rId114" Type="http://schemas.openxmlformats.org/officeDocument/2006/relationships/footer" Target="footer9.xml"/><Relationship Id="rId119" Type="http://schemas.openxmlformats.org/officeDocument/2006/relationships/image" Target="media/image86.png"/><Relationship Id="rId127" Type="http://schemas.openxmlformats.org/officeDocument/2006/relationships/footer" Target="footer11.xml"/><Relationship Id="rId10" Type="http://schemas.openxmlformats.org/officeDocument/2006/relationships/footnotes" Target="footnotes.xml"/><Relationship Id="rId31" Type="http://schemas.openxmlformats.org/officeDocument/2006/relationships/hyperlink" Target="https://beyondblueltd-my.sharepoint.com/personal/georgia_kelly_beyondblue_org_au/_layouts/15/Doc.aspx?sourcedoc=%7BED42FF23-5622-439F-9FEE-AE7D265091CB%7D&amp;file=1.%2020221115%20Project%20Steering%20Committee%20Agenda_CHAIR%20NOTES.docx&amp;action=default&amp;mobileredirect=true" TargetMode="External"/><Relationship Id="rId44" Type="http://schemas.openxmlformats.org/officeDocument/2006/relationships/image" Target="media/image22.png"/><Relationship Id="rId52" Type="http://schemas.openxmlformats.org/officeDocument/2006/relationships/header" Target="header7.xml"/><Relationship Id="rId60" Type="http://schemas.openxmlformats.org/officeDocument/2006/relationships/image" Target="media/image36.sv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svg"/><Relationship Id="rId81" Type="http://schemas.openxmlformats.org/officeDocument/2006/relationships/header" Target="header8.xml"/><Relationship Id="rId86" Type="http://schemas.openxmlformats.org/officeDocument/2006/relationships/image" Target="media/image60.png"/><Relationship Id="rId94" Type="http://schemas.openxmlformats.org/officeDocument/2006/relationships/image" Target="media/image63.emf"/><Relationship Id="rId99" Type="http://schemas.openxmlformats.org/officeDocument/2006/relationships/image" Target="media/image68.png"/><Relationship Id="rId101" Type="http://schemas.openxmlformats.org/officeDocument/2006/relationships/image" Target="media/image70.svg"/><Relationship Id="rId122" Type="http://schemas.openxmlformats.org/officeDocument/2006/relationships/header" Target="header11.xml"/><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footer" Target="footer6.xml"/><Relationship Id="rId109" Type="http://schemas.openxmlformats.org/officeDocument/2006/relationships/image" Target="media/image78.svg"/><Relationship Id="rId34" Type="http://schemas.openxmlformats.org/officeDocument/2006/relationships/header" Target="header4.xml"/><Relationship Id="rId50" Type="http://schemas.openxmlformats.org/officeDocument/2006/relationships/image" Target="media/image28.png"/><Relationship Id="rId55" Type="http://schemas.openxmlformats.org/officeDocument/2006/relationships/image" Target="media/image31.svg"/><Relationship Id="rId76" Type="http://schemas.openxmlformats.org/officeDocument/2006/relationships/image" Target="media/image52.sv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7.svg"/><Relationship Id="rId125" Type="http://schemas.openxmlformats.org/officeDocument/2006/relationships/image" Target="media/image88.png"/><Relationship Id="rId7" Type="http://schemas.openxmlformats.org/officeDocument/2006/relationships/styles" Target="styles.xml"/><Relationship Id="rId71" Type="http://schemas.openxmlformats.org/officeDocument/2006/relationships/image" Target="media/image47.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svg"/><Relationship Id="rId40" Type="http://schemas.openxmlformats.org/officeDocument/2006/relationships/image" Target="media/image18.png"/><Relationship Id="rId45" Type="http://schemas.openxmlformats.org/officeDocument/2006/relationships/image" Target="media/image23.svg"/><Relationship Id="rId66" Type="http://schemas.openxmlformats.org/officeDocument/2006/relationships/image" Target="media/image42.png"/><Relationship Id="rId87" Type="http://schemas.openxmlformats.org/officeDocument/2006/relationships/image" Target="media/image61.svg"/><Relationship Id="rId110" Type="http://schemas.openxmlformats.org/officeDocument/2006/relationships/image" Target="media/image79.emf"/><Relationship Id="rId115" Type="http://schemas.openxmlformats.org/officeDocument/2006/relationships/image" Target="media/image82.png"/><Relationship Id="rId131" Type="http://schemas.microsoft.com/office/2019/05/relationships/documenttasks" Target="documenttasks/documenttasks1.xml"/><Relationship Id="rId61" Type="http://schemas.openxmlformats.org/officeDocument/2006/relationships/image" Target="media/image37.png"/><Relationship Id="rId82" Type="http://schemas.openxmlformats.org/officeDocument/2006/relationships/footer" Target="footer8.xml"/></Relationships>
</file>

<file path=word/_rels/footnotes.xml.rels><?xml version="1.0" encoding="UTF-8" standalone="yes"?>
<Relationships xmlns="http://schemas.openxmlformats.org/package/2006/relationships"><Relationship Id="rId3" Type="http://schemas.openxmlformats.org/officeDocument/2006/relationships/hyperlink" Target="https://www.orygen.org.au/Policy/Policy-Areas/Government-policy-service-delivery-and-workforce/Service-delivery/Defining-the-missing-middle/orygen-defining-the-missing-middle-pdf.aspx?ext=" TargetMode="External"/><Relationship Id="rId2" Type="http://schemas.openxmlformats.org/officeDocument/2006/relationships/hyperlink" Target="https://cbpatsisp.com.au/clearing-house/best-practice-screening-assessment/mental-health-assessment" TargetMode="External"/><Relationship Id="rId1" Type="http://schemas.openxmlformats.org/officeDocument/2006/relationships/hyperlink" Target="https://cdn.odi.org/media/documents/913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17.jpeg"/></Relationships>
</file>

<file path=word/_rels/header11.xml.rels><?xml version="1.0" encoding="UTF-8" standalone="yes"?>
<Relationships xmlns="http://schemas.openxmlformats.org/package/2006/relationships"><Relationship Id="rId1" Type="http://schemas.openxmlformats.org/officeDocument/2006/relationships/image" Target="media/image17.jpeg"/></Relationships>
</file>

<file path=word/_rels/header12.xml.rels><?xml version="1.0" encoding="UTF-8" standalone="yes"?>
<Relationships xmlns="http://schemas.openxmlformats.org/package/2006/relationships"><Relationship Id="rId1" Type="http://schemas.openxmlformats.org/officeDocument/2006/relationships/image" Target="media/image17.jpeg"/></Relationships>
</file>

<file path=word/_rels/header13.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7.jpeg"/></Relationships>
</file>

<file path=word/_rels/header5.xml.rels><?xml version="1.0" encoding="UTF-8" standalone="yes"?>
<Relationships xmlns="http://schemas.openxmlformats.org/package/2006/relationships"><Relationship Id="rId1" Type="http://schemas.openxmlformats.org/officeDocument/2006/relationships/image" Target="media/image17.jpeg"/></Relationships>
</file>

<file path=word/_rels/header6.xml.rels><?xml version="1.0" encoding="UTF-8" standalone="yes"?>
<Relationships xmlns="http://schemas.openxmlformats.org/package/2006/relationships"><Relationship Id="rId1" Type="http://schemas.openxmlformats.org/officeDocument/2006/relationships/image" Target="media/image17.jpeg"/></Relationships>
</file>

<file path=word/_rels/header7.xml.rels><?xml version="1.0" encoding="UTF-8" standalone="yes"?>
<Relationships xmlns="http://schemas.openxmlformats.org/package/2006/relationships"><Relationship Id="rId1" Type="http://schemas.openxmlformats.org/officeDocument/2006/relationships/image" Target="media/image17.jpeg"/></Relationships>
</file>

<file path=word/_rels/header8.xml.rels><?xml version="1.0" encoding="UTF-8" standalone="yes"?>
<Relationships xmlns="http://schemas.openxmlformats.org/package/2006/relationships"><Relationship Id="rId1" Type="http://schemas.openxmlformats.org/officeDocument/2006/relationships/image" Target="media/image17.jpeg"/></Relationships>
</file>

<file path=word/_rels/header9.xml.rels><?xml version="1.0" encoding="UTF-8" standalone="yes"?>
<Relationships xmlns="http://schemas.openxmlformats.org/package/2006/relationships"><Relationship Id="rId1" Type="http://schemas.openxmlformats.org/officeDocument/2006/relationships/image" Target="media/image17.jpeg"/></Relationships>
</file>

<file path=word/documenttasks/documenttasks1.xml><?xml version="1.0" encoding="utf-8"?>
<t:Tasks xmlns:t="http://schemas.microsoft.com/office/tasks/2019/documenttasks" xmlns:oel="http://schemas.microsoft.com/office/2019/extlst">
  <t:Task id="{4C569C92-68DA-48B7-89D2-6A5D19A9C6BD}">
    <t:Anchor>
      <t:Comment id="621384275"/>
    </t:Anchor>
    <t:History>
      <t:Event id="{7A580221-7EAA-4A06-91F0-C7888A99BE67}" time="2021-10-14T02:53:34.9Z">
        <t:Attribution userId="S::kate.mcgrath@beyondblue.org.au::022e1d1a-bb49-4b1e-900b-664033b71f7e" userProvider="AD" userName="Kate McGrath"/>
        <t:Anchor>
          <t:Comment id="1127649023"/>
        </t:Anchor>
        <t:Create/>
      </t:Event>
      <t:Event id="{CC1A690A-E239-4F4C-974C-FF3AACEBB711}" time="2021-10-14T02:53:34.9Z">
        <t:Attribution userId="S::kate.mcgrath@beyondblue.org.au::022e1d1a-bb49-4b1e-900b-664033b71f7e" userProvider="AD" userName="Kate McGrath"/>
        <t:Anchor>
          <t:Comment id="1127649023"/>
        </t:Anchor>
        <t:Assign userId="S::Eliza.Hovey@beyondblue.org.au::d90b0b7d-84c8-40df-89ca-8782b92f62a2" userProvider="AD" userName="Eliza Hovey"/>
      </t:Event>
      <t:Event id="{1661841F-4994-40DB-B705-5EB812E45E82}" time="2021-10-14T02:53:34.9Z">
        <t:Attribution userId="S::kate.mcgrath@beyondblue.org.au::022e1d1a-bb49-4b1e-900b-664033b71f7e" userProvider="AD" userName="Kate McGrath"/>
        <t:Anchor>
          <t:Comment id="1127649023"/>
        </t:Anchor>
        <t:SetTitle title="@Eliza Hovey it must be and I will need to follow up. I am deeply concerned by the number of Episodes across all of the sites. The numbers are grossly out by what has been reported via the quarterly reports. REDCAB by my count have at least 350 …"/>
      </t:Event>
    </t:History>
  </t:Task>
  <t:Task id="{A6867592-7A33-487A-9AE2-C3795BE7E7FD}">
    <t:Anchor>
      <t:Comment id="186661060"/>
    </t:Anchor>
    <t:History>
      <t:Event id="{E782451B-4662-40C5-9599-088DA5662EE7}" time="2021-10-18T06:26:10.738Z">
        <t:Attribution userId="S::clare.sullivan@beyondblue.org.au::55bf99fc-b3c7-4be5-8696-d040559deafa" userProvider="AD" userName="Clare Sullivan"/>
        <t:Anchor>
          <t:Comment id="186661060"/>
        </t:Anchor>
        <t:Create/>
      </t:Event>
      <t:Event id="{C60F4697-7981-4785-89D8-A0833C0B3132}" time="2021-10-18T06:26:10.738Z">
        <t:Attribution userId="S::clare.sullivan@beyondblue.org.au::55bf99fc-b3c7-4be5-8696-d040559deafa" userProvider="AD" userName="Clare Sullivan"/>
        <t:Anchor>
          <t:Comment id="186661060"/>
        </t:Anchor>
        <t:Assign userId="S::Joanne.Papworth@beyondblue.org.au::ae8f17b7-1be2-4432-847a-a310d35539a9" userProvider="AD" userName="Joanne Papworth"/>
      </t:Event>
      <t:Event id="{1BB6051C-AE7B-4640-8ECC-4A2AA2858CDE}" time="2021-10-18T06:26:10.738Z">
        <t:Attribution userId="S::clare.sullivan@beyondblue.org.au::55bf99fc-b3c7-4be5-8696-d040559deafa" userProvider="AD" userName="Clare Sullivan"/>
        <t:Anchor>
          <t:Comment id="186661060"/>
        </t:Anchor>
        <t:SetTitle title="@Joanne Papworth , could you please check I have articulated this correctly. Also, awiting the amount spent from the 11.89m. Thanks"/>
      </t:Event>
    </t:History>
  </t:Task>
  <t:Task id="{4A856526-23F4-445F-8BB9-2B9B8ADB676A}">
    <t:Anchor>
      <t:Comment id="1012584972"/>
    </t:Anchor>
    <t:History>
      <t:Event id="{F5986761-2704-418D-BFA8-7CA265281624}" time="2021-10-18T06:31:47.291Z">
        <t:Attribution userId="S::clare.sullivan@beyondblue.org.au::55bf99fc-b3c7-4be5-8696-d040559deafa" userProvider="AD" userName="Clare Sullivan"/>
        <t:Anchor>
          <t:Comment id="1012584972"/>
        </t:Anchor>
        <t:Create/>
      </t:Event>
      <t:Event id="{40FF3BCF-77BE-403D-B520-186FBD3D6A6B}" time="2021-10-18T06:31:47.291Z">
        <t:Attribution userId="S::clare.sullivan@beyondblue.org.au::55bf99fc-b3c7-4be5-8696-d040559deafa" userProvider="AD" userName="Clare Sullivan"/>
        <t:Anchor>
          <t:Comment id="1012584972"/>
        </t:Anchor>
        <t:Assign userId="S::Joanne.Papworth@beyondblue.org.au::ae8f17b7-1be2-4432-847a-a310d35539a9" userProvider="AD" userName="Joanne Papworth"/>
      </t:Event>
      <t:Event id="{0C476DB0-5671-46BC-99A4-6AA6892543D4}" time="2021-10-18T06:31:47.291Z">
        <t:Attribution userId="S::clare.sullivan@beyondblue.org.au::55bf99fc-b3c7-4be5-8696-d040559deafa" userProvider="AD" userName="Clare Sullivan"/>
        <t:Anchor>
          <t:Comment id="1012584972"/>
        </t:Anchor>
        <t:SetTitle title="@Joanne Papworth could you please review this and ensure I have articulated it correctly? Also, still awaiting the amoutn spent from the 11.89m. Thanks"/>
      </t:Event>
    </t:History>
  </t:Task>
  <t:Task id="{2F2E2566-C82C-4C20-BB90-7D74A805C34F}">
    <t:Anchor>
      <t:Comment id="622337012"/>
    </t:Anchor>
    <t:History>
      <t:Event id="{B7FB0792-9649-4669-AEDA-E54A71E4300C}" time="2021-10-18T21:32:11.492Z">
        <t:Attribution userId="S::kate.mcgrath@beyondblue.org.au::022e1d1a-bb49-4b1e-900b-664033b71f7e" userProvider="AD" userName="Kate McGrath"/>
        <t:Anchor>
          <t:Comment id="1661125932"/>
        </t:Anchor>
        <t:Create/>
      </t:Event>
      <t:Event id="{51AB0CB1-C038-4C05-959A-38BC344DEE02}" time="2021-10-18T21:32:11.492Z">
        <t:Attribution userId="S::kate.mcgrath@beyondblue.org.au::022e1d1a-bb49-4b1e-900b-664033b71f7e" userProvider="AD" userName="Kate McGrath"/>
        <t:Anchor>
          <t:Comment id="1661125932"/>
        </t:Anchor>
        <t:Assign userId="S::Eliza.Hovey@beyondblue.org.au::d90b0b7d-84c8-40df-89ca-8782b92f62a2" userProvider="AD" userName="Eliza Hovey"/>
      </t:Event>
      <t:Event id="{58042549-B9E0-4669-9072-49F35C7A2D45}" time="2021-10-18T21:32:11.492Z">
        <t:Attribution userId="S::kate.mcgrath@beyondblue.org.au::022e1d1a-bb49-4b1e-900b-664033b71f7e" userProvider="AD" userName="Kate McGrath"/>
        <t:Anchor>
          <t:Comment id="1661125932"/>
        </t:Anchor>
        <t:SetTitle title="@Eliza Hovey I agree with not having a site listed at all"/>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83461517-C688-4044-B662-3F575A0F26CC}"/>
      </w:docPartPr>
      <w:docPartBody>
        <w:p w:rsidR="00C367DC" w:rsidRDefault="00C367DC"/>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Semibold">
    <w:panose1 w:val="020B07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tka Display">
    <w:panose1 w:val="02000505000000020004"/>
    <w:charset w:val="00"/>
    <w:family w:val="auto"/>
    <w:pitch w:val="variable"/>
    <w:sig w:usb0="A00002EF" w:usb1="4000204B" w:usb2="00000000" w:usb3="00000000" w:csb0="0000019F" w:csb1="00000000"/>
  </w:font>
  <w:font w:name="Segoe UI Semilight">
    <w:panose1 w:val="020B04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C367DC"/>
    <w:rsid w:val="000033B6"/>
    <w:rsid w:val="00023F94"/>
    <w:rsid w:val="00024D10"/>
    <w:rsid w:val="00045780"/>
    <w:rsid w:val="0009512D"/>
    <w:rsid w:val="000960FD"/>
    <w:rsid w:val="000A18B3"/>
    <w:rsid w:val="000C3A8E"/>
    <w:rsid w:val="000C58B3"/>
    <w:rsid w:val="000C76F5"/>
    <w:rsid w:val="000D78F3"/>
    <w:rsid w:val="001127E7"/>
    <w:rsid w:val="00113A86"/>
    <w:rsid w:val="00115D00"/>
    <w:rsid w:val="00141FF0"/>
    <w:rsid w:val="001631BD"/>
    <w:rsid w:val="001928B7"/>
    <w:rsid w:val="001A5DF3"/>
    <w:rsid w:val="00206F6B"/>
    <w:rsid w:val="002172C8"/>
    <w:rsid w:val="00227E78"/>
    <w:rsid w:val="00244E81"/>
    <w:rsid w:val="00247A93"/>
    <w:rsid w:val="0025474D"/>
    <w:rsid w:val="002611BF"/>
    <w:rsid w:val="002618D3"/>
    <w:rsid w:val="00261EFF"/>
    <w:rsid w:val="00265E1F"/>
    <w:rsid w:val="002975AC"/>
    <w:rsid w:val="002A0412"/>
    <w:rsid w:val="002A3441"/>
    <w:rsid w:val="002A6291"/>
    <w:rsid w:val="002A7E68"/>
    <w:rsid w:val="002B0CA9"/>
    <w:rsid w:val="002E20F4"/>
    <w:rsid w:val="002E22A8"/>
    <w:rsid w:val="002E54D9"/>
    <w:rsid w:val="0031047A"/>
    <w:rsid w:val="00332FAD"/>
    <w:rsid w:val="00372462"/>
    <w:rsid w:val="00373C41"/>
    <w:rsid w:val="003768B9"/>
    <w:rsid w:val="00391B0A"/>
    <w:rsid w:val="003A74BD"/>
    <w:rsid w:val="003B0960"/>
    <w:rsid w:val="003D3DCA"/>
    <w:rsid w:val="00411593"/>
    <w:rsid w:val="00423940"/>
    <w:rsid w:val="0044488C"/>
    <w:rsid w:val="004548F8"/>
    <w:rsid w:val="00496FE8"/>
    <w:rsid w:val="004C6C9D"/>
    <w:rsid w:val="004D59F8"/>
    <w:rsid w:val="004D6340"/>
    <w:rsid w:val="00503558"/>
    <w:rsid w:val="00504AA8"/>
    <w:rsid w:val="0050552E"/>
    <w:rsid w:val="00562C74"/>
    <w:rsid w:val="005A12CD"/>
    <w:rsid w:val="005A7424"/>
    <w:rsid w:val="005C0DD6"/>
    <w:rsid w:val="005E512E"/>
    <w:rsid w:val="005E7620"/>
    <w:rsid w:val="0061009A"/>
    <w:rsid w:val="00611C5E"/>
    <w:rsid w:val="0064150A"/>
    <w:rsid w:val="00660308"/>
    <w:rsid w:val="0067240B"/>
    <w:rsid w:val="00673921"/>
    <w:rsid w:val="00696EE9"/>
    <w:rsid w:val="006C3DAC"/>
    <w:rsid w:val="006D3868"/>
    <w:rsid w:val="00701E94"/>
    <w:rsid w:val="007150DE"/>
    <w:rsid w:val="007271E7"/>
    <w:rsid w:val="00731118"/>
    <w:rsid w:val="007614BC"/>
    <w:rsid w:val="007701CC"/>
    <w:rsid w:val="00795052"/>
    <w:rsid w:val="007A3296"/>
    <w:rsid w:val="007D6D62"/>
    <w:rsid w:val="007F1CE2"/>
    <w:rsid w:val="00813ACC"/>
    <w:rsid w:val="00853E9A"/>
    <w:rsid w:val="00875B22"/>
    <w:rsid w:val="00882F1B"/>
    <w:rsid w:val="008A3475"/>
    <w:rsid w:val="00912BC4"/>
    <w:rsid w:val="00934C19"/>
    <w:rsid w:val="00935A14"/>
    <w:rsid w:val="00982E77"/>
    <w:rsid w:val="009941BE"/>
    <w:rsid w:val="009A22F5"/>
    <w:rsid w:val="009B68B2"/>
    <w:rsid w:val="009C2127"/>
    <w:rsid w:val="00A10051"/>
    <w:rsid w:val="00A101C6"/>
    <w:rsid w:val="00A476F3"/>
    <w:rsid w:val="00A5456D"/>
    <w:rsid w:val="00A570E3"/>
    <w:rsid w:val="00A77E2A"/>
    <w:rsid w:val="00AA6A6F"/>
    <w:rsid w:val="00AB2CFE"/>
    <w:rsid w:val="00AC5C6F"/>
    <w:rsid w:val="00AD6770"/>
    <w:rsid w:val="00AF49F7"/>
    <w:rsid w:val="00B05660"/>
    <w:rsid w:val="00B124D5"/>
    <w:rsid w:val="00B40DBB"/>
    <w:rsid w:val="00B42BC9"/>
    <w:rsid w:val="00B8036B"/>
    <w:rsid w:val="00B8293E"/>
    <w:rsid w:val="00B87A59"/>
    <w:rsid w:val="00B9377D"/>
    <w:rsid w:val="00B95888"/>
    <w:rsid w:val="00BA3520"/>
    <w:rsid w:val="00BA71E0"/>
    <w:rsid w:val="00BB26C4"/>
    <w:rsid w:val="00BB69EF"/>
    <w:rsid w:val="00BC6152"/>
    <w:rsid w:val="00BE3518"/>
    <w:rsid w:val="00C114C6"/>
    <w:rsid w:val="00C2704A"/>
    <w:rsid w:val="00C367DC"/>
    <w:rsid w:val="00C465B6"/>
    <w:rsid w:val="00C645A5"/>
    <w:rsid w:val="00C719D8"/>
    <w:rsid w:val="00C72EA9"/>
    <w:rsid w:val="00C74F48"/>
    <w:rsid w:val="00C80D16"/>
    <w:rsid w:val="00CB09BB"/>
    <w:rsid w:val="00CB5AF1"/>
    <w:rsid w:val="00CC5796"/>
    <w:rsid w:val="00CE2F97"/>
    <w:rsid w:val="00CF6888"/>
    <w:rsid w:val="00D11C94"/>
    <w:rsid w:val="00D124DD"/>
    <w:rsid w:val="00D26AAE"/>
    <w:rsid w:val="00D5160F"/>
    <w:rsid w:val="00D77F6C"/>
    <w:rsid w:val="00D94D07"/>
    <w:rsid w:val="00DA6608"/>
    <w:rsid w:val="00DB222B"/>
    <w:rsid w:val="00DB6E0E"/>
    <w:rsid w:val="00DC0487"/>
    <w:rsid w:val="00DC38F1"/>
    <w:rsid w:val="00DC55DC"/>
    <w:rsid w:val="00DF2268"/>
    <w:rsid w:val="00E218DB"/>
    <w:rsid w:val="00E2372B"/>
    <w:rsid w:val="00E259F7"/>
    <w:rsid w:val="00E835C2"/>
    <w:rsid w:val="00E9525E"/>
    <w:rsid w:val="00EC58FA"/>
    <w:rsid w:val="00ED442B"/>
    <w:rsid w:val="00EE6855"/>
    <w:rsid w:val="00F12500"/>
    <w:rsid w:val="00F510BA"/>
    <w:rsid w:val="00F73992"/>
    <w:rsid w:val="00FA4E13"/>
    <w:rsid w:val="00FB1A6B"/>
    <w:rsid w:val="00FD50A9"/>
    <w:rsid w:val="00FE61D2"/>
    <w:rsid w:val="00FF26D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macintosh"/>
</w:webSettings>
</file>

<file path=word/theme/theme1.xml><?xml version="1.0" encoding="utf-8"?>
<a:theme xmlns:a="http://schemas.openxmlformats.org/drawingml/2006/main" name="Default Theme">
  <a:themeElements>
    <a:clrScheme name="New Brand">
      <a:dk1>
        <a:sysClr val="windowText" lastClr="000000"/>
      </a:dk1>
      <a:lt1>
        <a:sysClr val="window" lastClr="FFFFFF"/>
      </a:lt1>
      <a:dk2>
        <a:srgbClr val="2E368F"/>
      </a:dk2>
      <a:lt2>
        <a:srgbClr val="00264D"/>
      </a:lt2>
      <a:accent1>
        <a:srgbClr val="FF3A40"/>
      </a:accent1>
      <a:accent2>
        <a:srgbClr val="F25E21"/>
      </a:accent2>
      <a:accent3>
        <a:srgbClr val="F8981D"/>
      </a:accent3>
      <a:accent4>
        <a:srgbClr val="FED13B"/>
      </a:accent4>
      <a:accent5>
        <a:srgbClr val="E6E6E1"/>
      </a:accent5>
      <a:accent6>
        <a:srgbClr val="25B3E0"/>
      </a:accent6>
      <a:hlink>
        <a:srgbClr val="0048C7"/>
      </a:hlink>
      <a:folHlink>
        <a:srgbClr val="0048C7"/>
      </a:folHlink>
    </a:clrScheme>
    <a:fontScheme name="Nous Font">
      <a:majorFont>
        <a:latin typeface="Segoe UI Semibold"/>
        <a:ea typeface=""/>
        <a:cs typeface=""/>
      </a:majorFont>
      <a:minorFont>
        <a:latin typeface="Segoe U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chemeClr val="accent3"/>
          </a:solid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ln w="25400" cap="rnd">
          <a:solidFill>
            <a:schemeClr val="accent3"/>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2022-12-21T00:00:00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3B9E4F469BEA64FB420E794D5933D38" ma:contentTypeVersion="14" ma:contentTypeDescription="Create a new document." ma:contentTypeScope="" ma:versionID="43564c379dabd75de7a99f82cd225ec6">
  <xsd:schema xmlns:xsd="http://www.w3.org/2001/XMLSchema" xmlns:xs="http://www.w3.org/2001/XMLSchema" xmlns:p="http://schemas.microsoft.com/office/2006/metadata/properties" xmlns:ns2="044a19b2-ac5d-46c4-a81d-b4e06634bda8" xmlns:ns3="f1b7021c-744a-49de-8fc3-6d479e2643b6" targetNamespace="http://schemas.microsoft.com/office/2006/metadata/properties" ma:root="true" ma:fieldsID="6ab2ceeb788d68589133c6f9b74eff95" ns2:_="" ns3:_="">
    <xsd:import namespace="044a19b2-ac5d-46c4-a81d-b4e06634bda8"/>
    <xsd:import namespace="f1b7021c-744a-49de-8fc3-6d479e2643b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4a19b2-ac5d-46c4-a81d-b4e06634bd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62a39602-bab5-4ac0-a14f-71daef3a253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1b7021c-744a-49de-8fc3-6d479e2643b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230d81f9-a844-405f-894c-f65862aa3747}" ma:internalName="TaxCatchAll" ma:showField="CatchAllData" ma:web="f1b7021c-744a-49de-8fc3-6d479e2643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f1b7021c-744a-49de-8fc3-6d479e2643b6">
      <UserInfo>
        <DisplayName>Vanessa Butler</DisplayName>
        <AccountId>23</AccountId>
        <AccountType/>
      </UserInfo>
      <UserInfo>
        <DisplayName>BBL09 The Way Back Support Service Evaluation (re-issue) Members</DisplayName>
        <AccountId>8</AccountId>
        <AccountType/>
      </UserInfo>
      <UserInfo>
        <DisplayName>Sarah Bell</DisplayName>
        <AccountId>82</AccountId>
        <AccountType/>
      </UserInfo>
      <UserInfo>
        <DisplayName>Design</DisplayName>
        <AccountId>209</AccountId>
        <AccountType/>
      </UserInfo>
      <UserInfo>
        <DisplayName>Kaitlyn Lamb</DisplayName>
        <AccountId>79</AccountId>
        <AccountType/>
      </UserInfo>
      <UserInfo>
        <DisplayName>Michaela Von Perger</DisplayName>
        <AccountId>126</AccountId>
        <AccountType/>
      </UserInfo>
    </SharedWithUsers>
    <lcf76f155ced4ddcb4097134ff3c332f xmlns="044a19b2-ac5d-46c4-a81d-b4e06634bda8">
      <Terms xmlns="http://schemas.microsoft.com/office/infopath/2007/PartnerControls"/>
    </lcf76f155ced4ddcb4097134ff3c332f>
    <TaxCatchAll xmlns="f1b7021c-744a-49de-8fc3-6d479e2643b6"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A2EFBA-C9B3-496A-9863-FA09AB7D0F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4a19b2-ac5d-46c4-a81d-b4e06634bda8"/>
    <ds:schemaRef ds:uri="f1b7021c-744a-49de-8fc3-6d479e2643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B462EA-10A7-4754-94DC-A6846B7C0C55}">
  <ds:schemaRefs>
    <ds:schemaRef ds:uri="http://schemas.microsoft.com/office/2006/metadata/properties"/>
    <ds:schemaRef ds:uri="http://schemas.microsoft.com/office/infopath/2007/PartnerControls"/>
    <ds:schemaRef ds:uri="f1b7021c-744a-49de-8fc3-6d479e2643b6"/>
    <ds:schemaRef ds:uri="044a19b2-ac5d-46c4-a81d-b4e06634bda8"/>
  </ds:schemaRefs>
</ds:datastoreItem>
</file>

<file path=customXml/itemProps4.xml><?xml version="1.0" encoding="utf-8"?>
<ds:datastoreItem xmlns:ds="http://schemas.openxmlformats.org/officeDocument/2006/customXml" ds:itemID="{9AE5C921-58EB-4B7B-A167-27975A194CAB}">
  <ds:schemaRefs>
    <ds:schemaRef ds:uri="http://schemas.openxmlformats.org/officeDocument/2006/bibliography"/>
  </ds:schemaRefs>
</ds:datastoreItem>
</file>

<file path=customXml/itemProps5.xml><?xml version="1.0" encoding="utf-8"?>
<ds:datastoreItem xmlns:ds="http://schemas.openxmlformats.org/officeDocument/2006/customXml" ds:itemID="{D51B4A30-4335-4615-B531-124E826026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98</Pages>
  <Words>31392</Words>
  <Characters>174858</Characters>
  <Application>Microsoft Office Word</Application>
  <DocSecurity>4</DocSecurity>
  <Lines>5640</Lines>
  <Paragraphs>3326</Paragraphs>
  <ScaleCrop>false</ScaleCrop>
  <HeadingPairs>
    <vt:vector size="2" baseType="variant">
      <vt:variant>
        <vt:lpstr>Title</vt:lpstr>
      </vt:variant>
      <vt:variant>
        <vt:i4>1</vt:i4>
      </vt:variant>
    </vt:vector>
  </HeadingPairs>
  <TitlesOfParts>
    <vt:vector size="1" baseType="lpstr">
      <vt:lpstr>The Way Back Support Services Evaluation | Final Evaluation Report</vt:lpstr>
    </vt:vector>
  </TitlesOfParts>
  <Company/>
  <LinksUpToDate>false</LinksUpToDate>
  <CharactersWithSpaces>202924</CharactersWithSpaces>
  <SharedDoc>false</SharedDoc>
  <HLinks>
    <vt:vector size="216" baseType="variant">
      <vt:variant>
        <vt:i4>3080316</vt:i4>
      </vt:variant>
      <vt:variant>
        <vt:i4>228</vt:i4>
      </vt:variant>
      <vt:variant>
        <vt:i4>0</vt:i4>
      </vt:variant>
      <vt:variant>
        <vt:i4>5</vt:i4>
      </vt:variant>
      <vt:variant>
        <vt:lpwstr>https://beyondblueltd-my.sharepoint.com/personal/georgia_kelly_beyondblue_org_au/_layouts/15/Doc.aspx?sourcedoc=%7BED42FF23-5622-439F-9FEE-AE7D265091CB%7D&amp;file=1.%2020221115%20Project%20Steering%20Committee%20Agenda_CHAIR%20NOTES.docx&amp;action=default&amp;mobileredirect=true</vt:lpwstr>
      </vt:variant>
      <vt:variant>
        <vt:lpwstr/>
      </vt:variant>
      <vt:variant>
        <vt:i4>1441845</vt:i4>
      </vt:variant>
      <vt:variant>
        <vt:i4>188</vt:i4>
      </vt:variant>
      <vt:variant>
        <vt:i4>0</vt:i4>
      </vt:variant>
      <vt:variant>
        <vt:i4>5</vt:i4>
      </vt:variant>
      <vt:variant>
        <vt:lpwstr/>
      </vt:variant>
      <vt:variant>
        <vt:lpwstr>_Toc121320702</vt:lpwstr>
      </vt:variant>
      <vt:variant>
        <vt:i4>1441845</vt:i4>
      </vt:variant>
      <vt:variant>
        <vt:i4>182</vt:i4>
      </vt:variant>
      <vt:variant>
        <vt:i4>0</vt:i4>
      </vt:variant>
      <vt:variant>
        <vt:i4>5</vt:i4>
      </vt:variant>
      <vt:variant>
        <vt:lpwstr/>
      </vt:variant>
      <vt:variant>
        <vt:lpwstr>_Toc121320701</vt:lpwstr>
      </vt:variant>
      <vt:variant>
        <vt:i4>1441845</vt:i4>
      </vt:variant>
      <vt:variant>
        <vt:i4>176</vt:i4>
      </vt:variant>
      <vt:variant>
        <vt:i4>0</vt:i4>
      </vt:variant>
      <vt:variant>
        <vt:i4>5</vt:i4>
      </vt:variant>
      <vt:variant>
        <vt:lpwstr/>
      </vt:variant>
      <vt:variant>
        <vt:lpwstr>_Toc121320700</vt:lpwstr>
      </vt:variant>
      <vt:variant>
        <vt:i4>2031668</vt:i4>
      </vt:variant>
      <vt:variant>
        <vt:i4>170</vt:i4>
      </vt:variant>
      <vt:variant>
        <vt:i4>0</vt:i4>
      </vt:variant>
      <vt:variant>
        <vt:i4>5</vt:i4>
      </vt:variant>
      <vt:variant>
        <vt:lpwstr/>
      </vt:variant>
      <vt:variant>
        <vt:lpwstr>_Toc121320699</vt:lpwstr>
      </vt:variant>
      <vt:variant>
        <vt:i4>2031668</vt:i4>
      </vt:variant>
      <vt:variant>
        <vt:i4>164</vt:i4>
      </vt:variant>
      <vt:variant>
        <vt:i4>0</vt:i4>
      </vt:variant>
      <vt:variant>
        <vt:i4>5</vt:i4>
      </vt:variant>
      <vt:variant>
        <vt:lpwstr/>
      </vt:variant>
      <vt:variant>
        <vt:lpwstr>_Toc121320698</vt:lpwstr>
      </vt:variant>
      <vt:variant>
        <vt:i4>2031668</vt:i4>
      </vt:variant>
      <vt:variant>
        <vt:i4>158</vt:i4>
      </vt:variant>
      <vt:variant>
        <vt:i4>0</vt:i4>
      </vt:variant>
      <vt:variant>
        <vt:i4>5</vt:i4>
      </vt:variant>
      <vt:variant>
        <vt:lpwstr/>
      </vt:variant>
      <vt:variant>
        <vt:lpwstr>_Toc121320697</vt:lpwstr>
      </vt:variant>
      <vt:variant>
        <vt:i4>2031668</vt:i4>
      </vt:variant>
      <vt:variant>
        <vt:i4>152</vt:i4>
      </vt:variant>
      <vt:variant>
        <vt:i4>0</vt:i4>
      </vt:variant>
      <vt:variant>
        <vt:i4>5</vt:i4>
      </vt:variant>
      <vt:variant>
        <vt:lpwstr/>
      </vt:variant>
      <vt:variant>
        <vt:lpwstr>_Toc121320696</vt:lpwstr>
      </vt:variant>
      <vt:variant>
        <vt:i4>2031668</vt:i4>
      </vt:variant>
      <vt:variant>
        <vt:i4>146</vt:i4>
      </vt:variant>
      <vt:variant>
        <vt:i4>0</vt:i4>
      </vt:variant>
      <vt:variant>
        <vt:i4>5</vt:i4>
      </vt:variant>
      <vt:variant>
        <vt:lpwstr/>
      </vt:variant>
      <vt:variant>
        <vt:lpwstr>_Toc121320695</vt:lpwstr>
      </vt:variant>
      <vt:variant>
        <vt:i4>2031668</vt:i4>
      </vt:variant>
      <vt:variant>
        <vt:i4>140</vt:i4>
      </vt:variant>
      <vt:variant>
        <vt:i4>0</vt:i4>
      </vt:variant>
      <vt:variant>
        <vt:i4>5</vt:i4>
      </vt:variant>
      <vt:variant>
        <vt:lpwstr/>
      </vt:variant>
      <vt:variant>
        <vt:lpwstr>_Toc121320694</vt:lpwstr>
      </vt:variant>
      <vt:variant>
        <vt:i4>2031668</vt:i4>
      </vt:variant>
      <vt:variant>
        <vt:i4>134</vt:i4>
      </vt:variant>
      <vt:variant>
        <vt:i4>0</vt:i4>
      </vt:variant>
      <vt:variant>
        <vt:i4>5</vt:i4>
      </vt:variant>
      <vt:variant>
        <vt:lpwstr/>
      </vt:variant>
      <vt:variant>
        <vt:lpwstr>_Toc121320693</vt:lpwstr>
      </vt:variant>
      <vt:variant>
        <vt:i4>2031668</vt:i4>
      </vt:variant>
      <vt:variant>
        <vt:i4>128</vt:i4>
      </vt:variant>
      <vt:variant>
        <vt:i4>0</vt:i4>
      </vt:variant>
      <vt:variant>
        <vt:i4>5</vt:i4>
      </vt:variant>
      <vt:variant>
        <vt:lpwstr/>
      </vt:variant>
      <vt:variant>
        <vt:lpwstr>_Toc121320692</vt:lpwstr>
      </vt:variant>
      <vt:variant>
        <vt:i4>2031668</vt:i4>
      </vt:variant>
      <vt:variant>
        <vt:i4>122</vt:i4>
      </vt:variant>
      <vt:variant>
        <vt:i4>0</vt:i4>
      </vt:variant>
      <vt:variant>
        <vt:i4>5</vt:i4>
      </vt:variant>
      <vt:variant>
        <vt:lpwstr/>
      </vt:variant>
      <vt:variant>
        <vt:lpwstr>_Toc121320691</vt:lpwstr>
      </vt:variant>
      <vt:variant>
        <vt:i4>2031668</vt:i4>
      </vt:variant>
      <vt:variant>
        <vt:i4>116</vt:i4>
      </vt:variant>
      <vt:variant>
        <vt:i4>0</vt:i4>
      </vt:variant>
      <vt:variant>
        <vt:i4>5</vt:i4>
      </vt:variant>
      <vt:variant>
        <vt:lpwstr/>
      </vt:variant>
      <vt:variant>
        <vt:lpwstr>_Toc121320690</vt:lpwstr>
      </vt:variant>
      <vt:variant>
        <vt:i4>1966132</vt:i4>
      </vt:variant>
      <vt:variant>
        <vt:i4>110</vt:i4>
      </vt:variant>
      <vt:variant>
        <vt:i4>0</vt:i4>
      </vt:variant>
      <vt:variant>
        <vt:i4>5</vt:i4>
      </vt:variant>
      <vt:variant>
        <vt:lpwstr/>
      </vt:variant>
      <vt:variant>
        <vt:lpwstr>_Toc121320689</vt:lpwstr>
      </vt:variant>
      <vt:variant>
        <vt:i4>1966132</vt:i4>
      </vt:variant>
      <vt:variant>
        <vt:i4>104</vt:i4>
      </vt:variant>
      <vt:variant>
        <vt:i4>0</vt:i4>
      </vt:variant>
      <vt:variant>
        <vt:i4>5</vt:i4>
      </vt:variant>
      <vt:variant>
        <vt:lpwstr/>
      </vt:variant>
      <vt:variant>
        <vt:lpwstr>_Toc121320688</vt:lpwstr>
      </vt:variant>
      <vt:variant>
        <vt:i4>1966132</vt:i4>
      </vt:variant>
      <vt:variant>
        <vt:i4>98</vt:i4>
      </vt:variant>
      <vt:variant>
        <vt:i4>0</vt:i4>
      </vt:variant>
      <vt:variant>
        <vt:i4>5</vt:i4>
      </vt:variant>
      <vt:variant>
        <vt:lpwstr/>
      </vt:variant>
      <vt:variant>
        <vt:lpwstr>_Toc121320687</vt:lpwstr>
      </vt:variant>
      <vt:variant>
        <vt:i4>1966132</vt:i4>
      </vt:variant>
      <vt:variant>
        <vt:i4>92</vt:i4>
      </vt:variant>
      <vt:variant>
        <vt:i4>0</vt:i4>
      </vt:variant>
      <vt:variant>
        <vt:i4>5</vt:i4>
      </vt:variant>
      <vt:variant>
        <vt:lpwstr/>
      </vt:variant>
      <vt:variant>
        <vt:lpwstr>_Toc121320686</vt:lpwstr>
      </vt:variant>
      <vt:variant>
        <vt:i4>1966132</vt:i4>
      </vt:variant>
      <vt:variant>
        <vt:i4>86</vt:i4>
      </vt:variant>
      <vt:variant>
        <vt:i4>0</vt:i4>
      </vt:variant>
      <vt:variant>
        <vt:i4>5</vt:i4>
      </vt:variant>
      <vt:variant>
        <vt:lpwstr/>
      </vt:variant>
      <vt:variant>
        <vt:lpwstr>_Toc121320685</vt:lpwstr>
      </vt:variant>
      <vt:variant>
        <vt:i4>1966132</vt:i4>
      </vt:variant>
      <vt:variant>
        <vt:i4>80</vt:i4>
      </vt:variant>
      <vt:variant>
        <vt:i4>0</vt:i4>
      </vt:variant>
      <vt:variant>
        <vt:i4>5</vt:i4>
      </vt:variant>
      <vt:variant>
        <vt:lpwstr/>
      </vt:variant>
      <vt:variant>
        <vt:lpwstr>_Toc121320684</vt:lpwstr>
      </vt:variant>
      <vt:variant>
        <vt:i4>1966132</vt:i4>
      </vt:variant>
      <vt:variant>
        <vt:i4>74</vt:i4>
      </vt:variant>
      <vt:variant>
        <vt:i4>0</vt:i4>
      </vt:variant>
      <vt:variant>
        <vt:i4>5</vt:i4>
      </vt:variant>
      <vt:variant>
        <vt:lpwstr/>
      </vt:variant>
      <vt:variant>
        <vt:lpwstr>_Toc121320683</vt:lpwstr>
      </vt:variant>
      <vt:variant>
        <vt:i4>1966132</vt:i4>
      </vt:variant>
      <vt:variant>
        <vt:i4>68</vt:i4>
      </vt:variant>
      <vt:variant>
        <vt:i4>0</vt:i4>
      </vt:variant>
      <vt:variant>
        <vt:i4>5</vt:i4>
      </vt:variant>
      <vt:variant>
        <vt:lpwstr/>
      </vt:variant>
      <vt:variant>
        <vt:lpwstr>_Toc121320682</vt:lpwstr>
      </vt:variant>
      <vt:variant>
        <vt:i4>1966132</vt:i4>
      </vt:variant>
      <vt:variant>
        <vt:i4>62</vt:i4>
      </vt:variant>
      <vt:variant>
        <vt:i4>0</vt:i4>
      </vt:variant>
      <vt:variant>
        <vt:i4>5</vt:i4>
      </vt:variant>
      <vt:variant>
        <vt:lpwstr/>
      </vt:variant>
      <vt:variant>
        <vt:lpwstr>_Toc121320681</vt:lpwstr>
      </vt:variant>
      <vt:variant>
        <vt:i4>1966132</vt:i4>
      </vt:variant>
      <vt:variant>
        <vt:i4>56</vt:i4>
      </vt:variant>
      <vt:variant>
        <vt:i4>0</vt:i4>
      </vt:variant>
      <vt:variant>
        <vt:i4>5</vt:i4>
      </vt:variant>
      <vt:variant>
        <vt:lpwstr/>
      </vt:variant>
      <vt:variant>
        <vt:lpwstr>_Toc121320680</vt:lpwstr>
      </vt:variant>
      <vt:variant>
        <vt:i4>1114164</vt:i4>
      </vt:variant>
      <vt:variant>
        <vt:i4>50</vt:i4>
      </vt:variant>
      <vt:variant>
        <vt:i4>0</vt:i4>
      </vt:variant>
      <vt:variant>
        <vt:i4>5</vt:i4>
      </vt:variant>
      <vt:variant>
        <vt:lpwstr/>
      </vt:variant>
      <vt:variant>
        <vt:lpwstr>_Toc121320679</vt:lpwstr>
      </vt:variant>
      <vt:variant>
        <vt:i4>1114164</vt:i4>
      </vt:variant>
      <vt:variant>
        <vt:i4>44</vt:i4>
      </vt:variant>
      <vt:variant>
        <vt:i4>0</vt:i4>
      </vt:variant>
      <vt:variant>
        <vt:i4>5</vt:i4>
      </vt:variant>
      <vt:variant>
        <vt:lpwstr/>
      </vt:variant>
      <vt:variant>
        <vt:lpwstr>_Toc121320678</vt:lpwstr>
      </vt:variant>
      <vt:variant>
        <vt:i4>1114164</vt:i4>
      </vt:variant>
      <vt:variant>
        <vt:i4>38</vt:i4>
      </vt:variant>
      <vt:variant>
        <vt:i4>0</vt:i4>
      </vt:variant>
      <vt:variant>
        <vt:i4>5</vt:i4>
      </vt:variant>
      <vt:variant>
        <vt:lpwstr/>
      </vt:variant>
      <vt:variant>
        <vt:lpwstr>_Toc121320677</vt:lpwstr>
      </vt:variant>
      <vt:variant>
        <vt:i4>1114164</vt:i4>
      </vt:variant>
      <vt:variant>
        <vt:i4>32</vt:i4>
      </vt:variant>
      <vt:variant>
        <vt:i4>0</vt:i4>
      </vt:variant>
      <vt:variant>
        <vt:i4>5</vt:i4>
      </vt:variant>
      <vt:variant>
        <vt:lpwstr/>
      </vt:variant>
      <vt:variant>
        <vt:lpwstr>_Toc121320676</vt:lpwstr>
      </vt:variant>
      <vt:variant>
        <vt:i4>1114164</vt:i4>
      </vt:variant>
      <vt:variant>
        <vt:i4>26</vt:i4>
      </vt:variant>
      <vt:variant>
        <vt:i4>0</vt:i4>
      </vt:variant>
      <vt:variant>
        <vt:i4>5</vt:i4>
      </vt:variant>
      <vt:variant>
        <vt:lpwstr/>
      </vt:variant>
      <vt:variant>
        <vt:lpwstr>_Toc121320675</vt:lpwstr>
      </vt:variant>
      <vt:variant>
        <vt:i4>1114164</vt:i4>
      </vt:variant>
      <vt:variant>
        <vt:i4>20</vt:i4>
      </vt:variant>
      <vt:variant>
        <vt:i4>0</vt:i4>
      </vt:variant>
      <vt:variant>
        <vt:i4>5</vt:i4>
      </vt:variant>
      <vt:variant>
        <vt:lpwstr/>
      </vt:variant>
      <vt:variant>
        <vt:lpwstr>_Toc121320674</vt:lpwstr>
      </vt:variant>
      <vt:variant>
        <vt:i4>1114164</vt:i4>
      </vt:variant>
      <vt:variant>
        <vt:i4>14</vt:i4>
      </vt:variant>
      <vt:variant>
        <vt:i4>0</vt:i4>
      </vt:variant>
      <vt:variant>
        <vt:i4>5</vt:i4>
      </vt:variant>
      <vt:variant>
        <vt:lpwstr/>
      </vt:variant>
      <vt:variant>
        <vt:lpwstr>_Toc121320673</vt:lpwstr>
      </vt:variant>
      <vt:variant>
        <vt:i4>1114164</vt:i4>
      </vt:variant>
      <vt:variant>
        <vt:i4>8</vt:i4>
      </vt:variant>
      <vt:variant>
        <vt:i4>0</vt:i4>
      </vt:variant>
      <vt:variant>
        <vt:i4>5</vt:i4>
      </vt:variant>
      <vt:variant>
        <vt:lpwstr/>
      </vt:variant>
      <vt:variant>
        <vt:lpwstr>_Toc121320672</vt:lpwstr>
      </vt:variant>
      <vt:variant>
        <vt:i4>1114164</vt:i4>
      </vt:variant>
      <vt:variant>
        <vt:i4>2</vt:i4>
      </vt:variant>
      <vt:variant>
        <vt:i4>0</vt:i4>
      </vt:variant>
      <vt:variant>
        <vt:i4>5</vt:i4>
      </vt:variant>
      <vt:variant>
        <vt:lpwstr/>
      </vt:variant>
      <vt:variant>
        <vt:lpwstr>_Toc121320671</vt:lpwstr>
      </vt:variant>
      <vt:variant>
        <vt:i4>4522053</vt:i4>
      </vt:variant>
      <vt:variant>
        <vt:i4>6</vt:i4>
      </vt:variant>
      <vt:variant>
        <vt:i4>0</vt:i4>
      </vt:variant>
      <vt:variant>
        <vt:i4>5</vt:i4>
      </vt:variant>
      <vt:variant>
        <vt:lpwstr>https://www.orygen.org.au/Policy/Policy-Areas/Government-policy-service-delivery-and-workforce/Service-delivery/Defining-the-missing-middle/orygen-defining-the-missing-middle-pdf.aspx?ext=</vt:lpwstr>
      </vt:variant>
      <vt:variant>
        <vt:lpwstr/>
      </vt:variant>
      <vt:variant>
        <vt:i4>2424878</vt:i4>
      </vt:variant>
      <vt:variant>
        <vt:i4>3</vt:i4>
      </vt:variant>
      <vt:variant>
        <vt:i4>0</vt:i4>
      </vt:variant>
      <vt:variant>
        <vt:i4>5</vt:i4>
      </vt:variant>
      <vt:variant>
        <vt:lpwstr>https://cbpatsisp.com.au/clearing-house/best-practice-screening-assessment/mental-health-assessment</vt:lpwstr>
      </vt:variant>
      <vt:variant>
        <vt:lpwstr/>
      </vt:variant>
      <vt:variant>
        <vt:i4>5505052</vt:i4>
      </vt:variant>
      <vt:variant>
        <vt:i4>0</vt:i4>
      </vt:variant>
      <vt:variant>
        <vt:i4>0</vt:i4>
      </vt:variant>
      <vt:variant>
        <vt:i4>5</vt:i4>
      </vt:variant>
      <vt:variant>
        <vt:lpwstr>https://cdn.odi.org/media/documents/9138.pdf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Way Back Support Services Evaluation | Final Evaluation Report</dc:title>
  <dc:subject>Mental health and suicide prevention</dc:subject>
  <dc:creator>Australian Government Department of Health and Aged Care</dc:creator>
  <cp:keywords>Beyond blue; Mental health and suicide prevention; Preventive health</cp:keywords>
  <dc:description/>
  <cp:lastModifiedBy>Department of Health and Aged Care</cp:lastModifiedBy>
  <cp:revision>2</cp:revision>
  <cp:lastPrinted>2023-02-03T06:33:00Z</cp:lastPrinted>
  <dcterms:created xsi:type="dcterms:W3CDTF">2023-03-22T23:53:00Z</dcterms:created>
  <dcterms:modified xsi:type="dcterms:W3CDTF">2023-03-22T23:53:00Z</dcterms:modified>
</cp:coreProperties>
</file>