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7D3E" w14:textId="5D0F4D6A" w:rsidR="00BA2732" w:rsidRPr="00B2180E" w:rsidRDefault="008576AC" w:rsidP="00B2180E">
      <w:pPr>
        <w:pStyle w:val="Heading1"/>
        <w:rPr>
          <w:szCs w:val="44"/>
        </w:rPr>
      </w:pPr>
      <w:r w:rsidRPr="00B2180E">
        <w:rPr>
          <w:szCs w:val="44"/>
        </w:rPr>
        <w:t>Roadmap Implementation Governance Group (RIGG)</w:t>
      </w:r>
    </w:p>
    <w:p w14:paraId="51A053CE" w14:textId="1FCB1E58" w:rsidR="00F46033" w:rsidRPr="00B2180E" w:rsidRDefault="00CC11F0" w:rsidP="00E91C6E">
      <w:pPr>
        <w:pStyle w:val="Heading2"/>
      </w:pPr>
      <w:r w:rsidRPr="00B2180E">
        <w:t xml:space="preserve">Meeting </w:t>
      </w:r>
      <w:r w:rsidR="002A53BE" w:rsidRPr="00B2180E">
        <w:t>Summary</w:t>
      </w:r>
      <w:r w:rsidR="008576AC" w:rsidRPr="00B2180E">
        <w:t xml:space="preserve"> – </w:t>
      </w:r>
      <w:r w:rsidR="007674B4" w:rsidRPr="00B2180E">
        <w:t>14 November 2022</w:t>
      </w:r>
    </w:p>
    <w:p w14:paraId="39465D4D" w14:textId="7A28C272" w:rsidR="00F46033" w:rsidRPr="001757A9" w:rsidRDefault="00F46033" w:rsidP="001757A9">
      <w:pPr>
        <w:pStyle w:val="Heading3"/>
      </w:pPr>
      <w:r w:rsidRPr="00C17F39">
        <w:t>Introduction</w:t>
      </w:r>
    </w:p>
    <w:p w14:paraId="5B76222C" w14:textId="5F5A429B" w:rsidR="00F46033" w:rsidRPr="00E91C6E" w:rsidRDefault="00F46033" w:rsidP="00E91C6E">
      <w:r w:rsidRPr="00E91C6E">
        <w:t xml:space="preserve">The Chair welcomed all members to the </w:t>
      </w:r>
      <w:r w:rsidR="00B2180E" w:rsidRPr="00E91C6E">
        <w:t>fourth</w:t>
      </w:r>
      <w:r w:rsidRPr="00E91C6E">
        <w:t xml:space="preserve"> Roadmap Implementation Governance Group (RIGG) </w:t>
      </w:r>
      <w:r w:rsidR="00176D1D" w:rsidRPr="00E91C6E">
        <w:t>meeting</w:t>
      </w:r>
      <w:r w:rsidR="002213C2" w:rsidRPr="00E91C6E">
        <w:t xml:space="preserve"> and gave an Acknowledgement of Country</w:t>
      </w:r>
      <w:r w:rsidR="007674B4" w:rsidRPr="00E91C6E">
        <w:t xml:space="preserve"> and acknowledgement </w:t>
      </w:r>
      <w:r w:rsidR="0077789B" w:rsidRPr="00E91C6E">
        <w:t>of intellectual disability</w:t>
      </w:r>
      <w:r w:rsidR="007674B4" w:rsidRPr="00E91C6E">
        <w:t xml:space="preserve"> self</w:t>
      </w:r>
      <w:r w:rsidR="0089056A" w:rsidRPr="00E91C6E">
        <w:noBreakHyphen/>
      </w:r>
      <w:r w:rsidR="007674B4" w:rsidRPr="00E91C6E">
        <w:t>advocates</w:t>
      </w:r>
      <w:r w:rsidR="00176D1D" w:rsidRPr="00E91C6E">
        <w:t>.</w:t>
      </w:r>
    </w:p>
    <w:p w14:paraId="38D48FB7" w14:textId="629A5315" w:rsidR="00F46033" w:rsidRPr="00E91C6E" w:rsidRDefault="00F46033" w:rsidP="00E91C6E">
      <w:r w:rsidRPr="00E91C6E">
        <w:t xml:space="preserve">The Chair gave a verbal declaration about confidentiality and conflicts of interest. Members were asked to declare </w:t>
      </w:r>
      <w:r w:rsidR="005F22A9" w:rsidRPr="00E91C6E">
        <w:t>any</w:t>
      </w:r>
      <w:r w:rsidR="003E56F3" w:rsidRPr="00E91C6E">
        <w:t xml:space="preserve"> </w:t>
      </w:r>
      <w:r w:rsidRPr="00E91C6E">
        <w:t>conflicts of interest</w:t>
      </w:r>
      <w:r w:rsidR="008B51F0" w:rsidRPr="00E91C6E">
        <w:t xml:space="preserve"> that were not declared at the previous meeting. </w:t>
      </w:r>
      <w:r w:rsidR="000435A0" w:rsidRPr="00E91C6E">
        <w:t>No new conflicts of interest were declared.</w:t>
      </w:r>
    </w:p>
    <w:p w14:paraId="41787BF0" w14:textId="5D9AD54F" w:rsidR="00F23259" w:rsidRPr="00E91C6E" w:rsidRDefault="001E7B92" w:rsidP="00E91C6E">
      <w:r w:rsidRPr="00E91C6E">
        <w:t>The Chair</w:t>
      </w:r>
      <w:r w:rsidR="00CD14F8" w:rsidRPr="00E91C6E">
        <w:t xml:space="preserve"> </w:t>
      </w:r>
      <w:r w:rsidR="00CC09C6" w:rsidRPr="00E91C6E">
        <w:t xml:space="preserve">advised </w:t>
      </w:r>
      <w:r w:rsidR="00991C9B" w:rsidRPr="00E91C6E">
        <w:t xml:space="preserve">that the Australian Government </w:t>
      </w:r>
      <w:r w:rsidR="0089056A" w:rsidRPr="00E91C6E">
        <w:t>announced funding for a permanent</w:t>
      </w:r>
      <w:r w:rsidR="00991C9B" w:rsidRPr="00E91C6E">
        <w:t xml:space="preserve"> National Centre of Excellence in Intellectual Disability Health</w:t>
      </w:r>
      <w:r w:rsidR="00CD14F8" w:rsidRPr="00E91C6E">
        <w:t xml:space="preserve">. </w:t>
      </w:r>
      <w:r w:rsidR="00991C9B" w:rsidRPr="00E91C6E">
        <w:t>The Government allocated $15.9 million in the October 2022 Budget, for a total commitment of $23.9 million over four years from 2022-23 for the National Centre, with funding to continue beyond those four years.</w:t>
      </w:r>
      <w:r w:rsidR="00CD14F8" w:rsidRPr="00E91C6E">
        <w:t xml:space="preserve"> </w:t>
      </w:r>
      <w:r w:rsidR="00991C9B" w:rsidRPr="00E91C6E">
        <w:t>In addition to funding for a National Centre, $20 million is being made available from the Medical Research Future Fund Emerging Priorities and Consumer Driven Research Initiative from 2024-25, for research on improving the health of people with intellectual disability.</w:t>
      </w:r>
    </w:p>
    <w:p w14:paraId="1E696C58" w14:textId="3808CF61" w:rsidR="001C0D9F" w:rsidRPr="00E91C6E" w:rsidRDefault="001C0D9F" w:rsidP="00BB7669">
      <w:pPr>
        <w:pStyle w:val="Heading4"/>
      </w:pPr>
      <w:r w:rsidRPr="00E91C6E">
        <w:t>Previous meeting</w:t>
      </w:r>
    </w:p>
    <w:p w14:paraId="773E84C4" w14:textId="34783D87" w:rsidR="00F23259" w:rsidRPr="00E91C6E" w:rsidRDefault="001E7B92" w:rsidP="00E91C6E">
      <w:r w:rsidRPr="00E91C6E">
        <w:t xml:space="preserve">The previous meeting summary was endorsed by members with </w:t>
      </w:r>
      <w:r w:rsidR="00627F2F" w:rsidRPr="00E91C6E">
        <w:t>no</w:t>
      </w:r>
      <w:r w:rsidR="001C0D9F" w:rsidRPr="00E91C6E">
        <w:t xml:space="preserve"> change</w:t>
      </w:r>
      <w:r w:rsidRPr="00E91C6E">
        <w:t>.</w:t>
      </w:r>
    </w:p>
    <w:p w14:paraId="4B2A5DD0" w14:textId="7B0EF22B" w:rsidR="00CD14F8" w:rsidRPr="00E91C6E" w:rsidRDefault="00CD14F8" w:rsidP="00E91C6E">
      <w:pPr>
        <w:pStyle w:val="Heading4"/>
      </w:pPr>
      <w:r w:rsidRPr="00E91C6E">
        <w:t>Following up on action items</w:t>
      </w:r>
    </w:p>
    <w:p w14:paraId="61A67D86" w14:textId="317325D9" w:rsidR="00CD14F8" w:rsidRPr="00E91C6E" w:rsidRDefault="00CD14F8" w:rsidP="00E91C6E">
      <w:r w:rsidRPr="00E91C6E">
        <w:t xml:space="preserve">The two action items from the previous meeting were </w:t>
      </w:r>
      <w:r w:rsidR="001A2511" w:rsidRPr="00E91C6E">
        <w:t xml:space="preserve">marked as </w:t>
      </w:r>
      <w:r w:rsidRPr="00E91C6E">
        <w:t>completed.</w:t>
      </w:r>
      <w:r w:rsidR="001A2511" w:rsidRPr="00E91C6E">
        <w:t xml:space="preserve"> No action items from previous meetings remain</w:t>
      </w:r>
      <w:r w:rsidR="00CA543D" w:rsidRPr="00E91C6E">
        <w:t xml:space="preserve"> </w:t>
      </w:r>
      <w:r w:rsidR="001A2511" w:rsidRPr="00E91C6E">
        <w:t>open.</w:t>
      </w:r>
    </w:p>
    <w:p w14:paraId="4C3A6765" w14:textId="74F5DA6D" w:rsidR="00F46033" w:rsidRPr="00E91C6E" w:rsidRDefault="001A2511" w:rsidP="00E91C6E">
      <w:pPr>
        <w:pStyle w:val="Heading3"/>
      </w:pPr>
      <w:r w:rsidRPr="00E91C6E">
        <w:t xml:space="preserve">Update from the </w:t>
      </w:r>
      <w:r w:rsidR="00CC09C6" w:rsidRPr="00E91C6E">
        <w:t>I</w:t>
      </w:r>
      <w:r w:rsidRPr="00E91C6E">
        <w:t xml:space="preserve">ntellectual </w:t>
      </w:r>
      <w:r w:rsidR="00CC09C6" w:rsidRPr="00E91C6E">
        <w:t>D</w:t>
      </w:r>
      <w:r w:rsidRPr="00E91C6E">
        <w:t xml:space="preserve">isability </w:t>
      </w:r>
      <w:r w:rsidR="00CC09C6" w:rsidRPr="00E91C6E">
        <w:t>F</w:t>
      </w:r>
      <w:r w:rsidRPr="00E91C6E">
        <w:t xml:space="preserve">ocus </w:t>
      </w:r>
      <w:r w:rsidR="00CC09C6" w:rsidRPr="00E91C6E">
        <w:t>G</w:t>
      </w:r>
      <w:r w:rsidRPr="00E91C6E">
        <w:t>roup</w:t>
      </w:r>
    </w:p>
    <w:p w14:paraId="282E8151" w14:textId="6F625F1C" w:rsidR="00F97AF4" w:rsidRPr="00E91C6E" w:rsidRDefault="00787F38" w:rsidP="00E91C6E">
      <w:r w:rsidRPr="00E91C6E">
        <w:t xml:space="preserve">A member </w:t>
      </w:r>
      <w:r w:rsidR="0089056A" w:rsidRPr="00E91C6E">
        <w:t>of</w:t>
      </w:r>
      <w:r w:rsidR="00F95722" w:rsidRPr="00E91C6E">
        <w:t xml:space="preserve"> </w:t>
      </w:r>
      <w:r w:rsidRPr="00E91C6E">
        <w:t xml:space="preserve">the Intellectual Disability Focus Group (Focus Group) </w:t>
      </w:r>
      <w:r w:rsidR="0089056A" w:rsidRPr="00E91C6E">
        <w:t xml:space="preserve">provided a summary of discussions </w:t>
      </w:r>
      <w:r w:rsidR="00CC09C6" w:rsidRPr="00E91C6E">
        <w:t>from the first two</w:t>
      </w:r>
      <w:r w:rsidRPr="00E91C6E">
        <w:t xml:space="preserve"> Focus Group meetings</w:t>
      </w:r>
      <w:r w:rsidR="00CC09C6" w:rsidRPr="00E91C6E">
        <w:t xml:space="preserve"> held in August.</w:t>
      </w:r>
      <w:r w:rsidR="0089056A" w:rsidRPr="00E91C6E">
        <w:t xml:space="preserve"> </w:t>
      </w:r>
      <w:r w:rsidR="002B287F" w:rsidRPr="00E91C6E">
        <w:t>At the first</w:t>
      </w:r>
      <w:r w:rsidR="0089056A" w:rsidRPr="00E91C6E">
        <w:t xml:space="preserve"> induction meeting</w:t>
      </w:r>
      <w:r w:rsidR="002B287F" w:rsidRPr="00E91C6E">
        <w:t>,</w:t>
      </w:r>
      <w:r w:rsidR="0089056A" w:rsidRPr="00E91C6E">
        <w:t xml:space="preserve"> members </w:t>
      </w:r>
      <w:r w:rsidR="00CC09C6" w:rsidRPr="00E91C6E">
        <w:t>talked</w:t>
      </w:r>
      <w:r w:rsidR="008D5290" w:rsidRPr="00E91C6E">
        <w:t xml:space="preserve"> about how the Focus Group </w:t>
      </w:r>
      <w:r w:rsidR="004D18BF" w:rsidRPr="00E91C6E">
        <w:t xml:space="preserve">will tell the </w:t>
      </w:r>
      <w:r w:rsidR="00A22F84" w:rsidRPr="00E91C6E">
        <w:t>Government</w:t>
      </w:r>
      <w:r w:rsidR="004D18BF" w:rsidRPr="00E91C6E">
        <w:t xml:space="preserve"> about health issues for people with intellectual disability and share their ideas for improving health care</w:t>
      </w:r>
      <w:r w:rsidR="00586EED" w:rsidRPr="00E91C6E">
        <w:t>.</w:t>
      </w:r>
      <w:r w:rsidR="008D5290" w:rsidRPr="00E91C6E">
        <w:t xml:space="preserve"> At the second meeting, members were consulted about the draft capability framework for the Intellectual Disability Curriculum Development project.</w:t>
      </w:r>
    </w:p>
    <w:p w14:paraId="24B87C83" w14:textId="3EDA05C1" w:rsidR="00787F38" w:rsidRPr="00E91C6E" w:rsidRDefault="00C21002" w:rsidP="00E91C6E">
      <w:pPr>
        <w:pStyle w:val="Heading3"/>
      </w:pPr>
      <w:bookmarkStart w:id="0" w:name="_Hlk98417548"/>
      <w:r w:rsidRPr="00E91C6E">
        <w:lastRenderedPageBreak/>
        <w:t>Department</w:t>
      </w:r>
      <w:r w:rsidR="00787F38" w:rsidRPr="00E91C6E">
        <w:t xml:space="preserve"> of Health and Aged Care Roadmap Projects</w:t>
      </w:r>
    </w:p>
    <w:p w14:paraId="021DF971" w14:textId="76064141" w:rsidR="00787F38" w:rsidRPr="00E91C6E" w:rsidRDefault="00787F38" w:rsidP="00E91C6E">
      <w:r w:rsidRPr="00E91C6E">
        <w:t xml:space="preserve">The </w:t>
      </w:r>
      <w:r w:rsidR="00C21002" w:rsidRPr="00E91C6E">
        <w:t>Department</w:t>
      </w:r>
      <w:r w:rsidRPr="00E91C6E">
        <w:t xml:space="preserve"> of Health and Aged Care (</w:t>
      </w:r>
      <w:r w:rsidR="004C5F00" w:rsidRPr="00E91C6E">
        <w:t xml:space="preserve">the </w:t>
      </w:r>
      <w:r w:rsidR="00C21002" w:rsidRPr="00E91C6E">
        <w:t>Department</w:t>
      </w:r>
      <w:r w:rsidR="004C5F00" w:rsidRPr="00E91C6E">
        <w:t xml:space="preserve">) </w:t>
      </w:r>
      <w:r w:rsidR="008D5290" w:rsidRPr="00E91C6E">
        <w:t>gave</w:t>
      </w:r>
      <w:r w:rsidR="004C5F00" w:rsidRPr="00E91C6E">
        <w:t xml:space="preserve"> an update on recent progress on the four projects</w:t>
      </w:r>
      <w:r w:rsidR="008D5290" w:rsidRPr="00E91C6E">
        <w:t xml:space="preserve"> currently being </w:t>
      </w:r>
      <w:r w:rsidR="002B287F" w:rsidRPr="00E91C6E">
        <w:t>implemented by the Department</w:t>
      </w:r>
      <w:r w:rsidR="004C5F00" w:rsidRPr="00E91C6E">
        <w:t>.</w:t>
      </w:r>
      <w:r w:rsidR="00586EED" w:rsidRPr="00E91C6E">
        <w:t xml:space="preserve"> A summary is included at </w:t>
      </w:r>
      <w:hyperlink w:anchor="_Attachment_A:_Department" w:history="1">
        <w:r w:rsidR="00586EED" w:rsidRPr="009574C6">
          <w:rPr>
            <w:rStyle w:val="Hyperlink"/>
          </w:rPr>
          <w:t>Attachment A</w:t>
        </w:r>
      </w:hyperlink>
      <w:r w:rsidR="00586EED" w:rsidRPr="00E91C6E">
        <w:t xml:space="preserve">. </w:t>
      </w:r>
    </w:p>
    <w:p w14:paraId="1E7F8E32" w14:textId="314822AA" w:rsidR="008D5290" w:rsidRPr="00E91C6E" w:rsidRDefault="008D5290" w:rsidP="00E91C6E">
      <w:r w:rsidRPr="00E91C6E">
        <w:t>Members raised the following points about the projects:</w:t>
      </w:r>
    </w:p>
    <w:p w14:paraId="1B12C07C" w14:textId="7E8477EF" w:rsidR="00B26FFF" w:rsidRDefault="008D5290" w:rsidP="00E91C6E">
      <w:pPr>
        <w:pStyle w:val="ListBullet"/>
      </w:pPr>
      <w:r w:rsidRPr="00B26FFF">
        <w:t xml:space="preserve">Organisations </w:t>
      </w:r>
      <w:r w:rsidR="004267B8">
        <w:t>asked for</w:t>
      </w:r>
      <w:r w:rsidRPr="00B26FFF">
        <w:t xml:space="preserve"> earlie</w:t>
      </w:r>
      <w:r w:rsidR="00B26FFF">
        <w:t xml:space="preserve">r advance notice </w:t>
      </w:r>
      <w:r w:rsidRPr="00B26FFF">
        <w:t>of public consultations</w:t>
      </w:r>
      <w:r w:rsidR="00B26FFF">
        <w:t>, and a longer consultation period</w:t>
      </w:r>
      <w:r w:rsidR="004267B8">
        <w:t xml:space="preserve"> to facilitate feedback from stakeholders.</w:t>
      </w:r>
    </w:p>
    <w:p w14:paraId="439AE588" w14:textId="7CC25B75" w:rsidR="008D5290" w:rsidRPr="00B26FFF" w:rsidRDefault="008D5290" w:rsidP="00E91C6E">
      <w:pPr>
        <w:pStyle w:val="ListBullet2"/>
      </w:pPr>
      <w:r w:rsidRPr="00B26FFF">
        <w:t xml:space="preserve">The Department agreed to </w:t>
      </w:r>
      <w:r w:rsidR="00B26FFF">
        <w:t>look at these issues.</w:t>
      </w:r>
    </w:p>
    <w:p w14:paraId="5D34FAD3" w14:textId="690BA58A" w:rsidR="00B26FFF" w:rsidRDefault="008D5290" w:rsidP="00E91C6E">
      <w:pPr>
        <w:pStyle w:val="ListBullet"/>
      </w:pPr>
      <w:r w:rsidRPr="00B26FFF">
        <w:t xml:space="preserve">The </w:t>
      </w:r>
      <w:r w:rsidR="00EE5577">
        <w:t>Capability</w:t>
      </w:r>
      <w:r w:rsidRPr="00B26FFF">
        <w:t xml:space="preserve"> </w:t>
      </w:r>
      <w:r w:rsidR="00EE5577">
        <w:t>F</w:t>
      </w:r>
      <w:r w:rsidRPr="00B26FFF">
        <w:t xml:space="preserve">ramework </w:t>
      </w:r>
      <w:r w:rsidR="00B26FFF">
        <w:t xml:space="preserve">being developed in the Curriculum Development Project </w:t>
      </w:r>
      <w:r w:rsidRPr="00B26FFF">
        <w:t xml:space="preserve">could be </w:t>
      </w:r>
      <w:r w:rsidR="00B26FFF" w:rsidRPr="00B26FFF">
        <w:t>adapted</w:t>
      </w:r>
      <w:r w:rsidRPr="00B26FFF">
        <w:t xml:space="preserve"> for wider use, for example </w:t>
      </w:r>
      <w:r w:rsidR="00B26FFF" w:rsidRPr="00B26FFF">
        <w:t xml:space="preserve">in learning modules for the NDIS Quality and Safeguards Commission. </w:t>
      </w:r>
    </w:p>
    <w:p w14:paraId="103E762C" w14:textId="272E2BA2" w:rsidR="008D5290" w:rsidRPr="00B26FFF" w:rsidRDefault="00B26FFF" w:rsidP="00E91C6E">
      <w:pPr>
        <w:pStyle w:val="ListBullet2"/>
      </w:pPr>
      <w:r w:rsidRPr="00B26FFF">
        <w:t xml:space="preserve">The Department agreed this could be considered </w:t>
      </w:r>
      <w:r>
        <w:t>in</w:t>
      </w:r>
      <w:r w:rsidRPr="00B26FFF">
        <w:t xml:space="preserve"> the future.</w:t>
      </w:r>
    </w:p>
    <w:p w14:paraId="6DF58AB5" w14:textId="7C841D64" w:rsidR="001D39B1" w:rsidRPr="00E91C6E" w:rsidRDefault="001D39B1" w:rsidP="00E91C6E">
      <w:pPr>
        <w:pStyle w:val="Heading3"/>
      </w:pPr>
      <w:r w:rsidRPr="00E91C6E">
        <w:t>Oral health priority actions – Implementation</w:t>
      </w:r>
    </w:p>
    <w:p w14:paraId="393F7EC7" w14:textId="05BFAEDF" w:rsidR="000212DE" w:rsidRPr="00E91C6E" w:rsidRDefault="000212DE" w:rsidP="00E91C6E">
      <w:r w:rsidRPr="00E91C6E">
        <w:t xml:space="preserve">RIGG members </w:t>
      </w:r>
      <w:r w:rsidR="00F1154A" w:rsidRPr="00E91C6E">
        <w:t>were asked out-of-session to identify the</w:t>
      </w:r>
      <w:r w:rsidR="00CC09C6" w:rsidRPr="00E91C6E">
        <w:t>ir</w:t>
      </w:r>
      <w:r w:rsidR="00F1154A" w:rsidRPr="00E91C6E">
        <w:t xml:space="preserve"> top three oral health priority actions. These were:</w:t>
      </w:r>
    </w:p>
    <w:p w14:paraId="54DA52DC" w14:textId="1AC9ABAD" w:rsidR="009D05C3" w:rsidRPr="00E91C6E" w:rsidRDefault="002B287F" w:rsidP="00E91C6E">
      <w:pPr>
        <w:pStyle w:val="Heading4"/>
      </w:pPr>
      <w:r w:rsidRPr="00E91C6E">
        <w:t xml:space="preserve">Equal </w:t>
      </w:r>
      <w:r w:rsidR="009D05C3" w:rsidRPr="00E91C6E">
        <w:t>Priority 1: D.S.4 Expanding oral health promotion</w:t>
      </w:r>
    </w:p>
    <w:p w14:paraId="7A081B72" w14:textId="7A81F8C4" w:rsidR="009D05C3" w:rsidRPr="00E91C6E" w:rsidRDefault="009D05C3" w:rsidP="00E91C6E">
      <w:r>
        <w:t>The Commonwealth to work with the disability sector to identify ways of implementing training in oral health as compulsory for disability support workers (Certificate IV), noting that it currently only contains elective content on this issue.</w:t>
      </w:r>
    </w:p>
    <w:p w14:paraId="4F7139FC" w14:textId="77777777" w:rsidR="009D05C3" w:rsidRPr="00E91C6E" w:rsidRDefault="009D05C3" w:rsidP="00E91C6E">
      <w:pPr>
        <w:pStyle w:val="Heading4"/>
      </w:pPr>
      <w:r w:rsidRPr="00E91C6E">
        <w:t>Equal Priority 1: D.S.1 Increasing the volume of services</w:t>
      </w:r>
    </w:p>
    <w:p w14:paraId="5EBDAA0D" w14:textId="77777777" w:rsidR="009D05C3" w:rsidRPr="00E91C6E" w:rsidRDefault="009D05C3" w:rsidP="00E91C6E">
      <w:r w:rsidRPr="00C209EA">
        <w:t xml:space="preserve">Commonwealth Department of Health </w:t>
      </w:r>
      <w:r>
        <w:t xml:space="preserve">and Aged Care </w:t>
      </w:r>
      <w:r w:rsidRPr="00C209EA">
        <w:t xml:space="preserve">to: </w:t>
      </w:r>
    </w:p>
    <w:p w14:paraId="2D31983B" w14:textId="28857257" w:rsidR="009D05C3" w:rsidRPr="00E91C6E" w:rsidRDefault="009D05C3" w:rsidP="00E91C6E">
      <w:pPr>
        <w:pStyle w:val="ListBullet"/>
      </w:pPr>
      <w:r w:rsidRPr="00E91C6E">
        <w:t>work with the Australian Dental Association to promote the Child Dental Benefits Schedule (CDBS) to people with intellectual disability</w:t>
      </w:r>
    </w:p>
    <w:p w14:paraId="62A9CB4D" w14:textId="228031F3" w:rsidR="009D05C3" w:rsidRPr="00E91C6E" w:rsidRDefault="009D05C3" w:rsidP="00E91C6E">
      <w:pPr>
        <w:pStyle w:val="ListBullet"/>
      </w:pPr>
      <w:r w:rsidRPr="00E91C6E">
        <w:t xml:space="preserve">investigate the uptake of the CDBS by </w:t>
      </w:r>
      <w:proofErr w:type="gramStart"/>
      <w:r w:rsidRPr="00E91C6E">
        <w:t>particular cohorts</w:t>
      </w:r>
      <w:proofErr w:type="gramEnd"/>
      <w:r w:rsidRPr="00E91C6E">
        <w:t>, including children with intellectual disability, to help inform the development of appropriate models of care</w:t>
      </w:r>
    </w:p>
    <w:p w14:paraId="26E927D5" w14:textId="62CCA3BC" w:rsidR="009D05C3" w:rsidRPr="00E91C6E" w:rsidRDefault="009D05C3" w:rsidP="00E91C6E">
      <w:pPr>
        <w:pStyle w:val="ListBullet"/>
      </w:pPr>
      <w:r w:rsidRPr="00E91C6E">
        <w:t>explore the feasibility of financing a dental schedule under the Dental Benefits Act 2008 and other options for people with disability that better support complex and difficult services, such as in hospital services under general anaesthetic</w:t>
      </w:r>
    </w:p>
    <w:p w14:paraId="59A9EE91" w14:textId="77777777" w:rsidR="009D05C3" w:rsidRPr="00E91C6E" w:rsidRDefault="009D05C3" w:rsidP="00E91C6E">
      <w:pPr>
        <w:pStyle w:val="ListBullet"/>
      </w:pPr>
      <w:r w:rsidRPr="00E91C6E">
        <w:t>lead work with states and territories, peak oral health organisations and PHNs, including in the context of the proposed National Centre of Excellence in Intellectual Disability Health, to support the implementation of ‘hub and spoke’ models of care that facilitate upskilling, communication, and appropriate referral between centralised special needs dentists and community dental clinics.</w:t>
      </w:r>
    </w:p>
    <w:p w14:paraId="55618DD5" w14:textId="77777777" w:rsidR="009D05C3" w:rsidRPr="00E91C6E" w:rsidRDefault="009D05C3" w:rsidP="00E91C6E">
      <w:pPr>
        <w:pStyle w:val="Heading4"/>
      </w:pPr>
      <w:r w:rsidRPr="00E91C6E">
        <w:t>Priority 3: D.S.3 Expanding workforce training</w:t>
      </w:r>
    </w:p>
    <w:p w14:paraId="1A8B0CD5" w14:textId="77777777" w:rsidR="009D05C3" w:rsidRDefault="009D05C3" w:rsidP="00E91C6E">
      <w:r>
        <w:t>Commonwealth Department of Health and Aged Care to:</w:t>
      </w:r>
    </w:p>
    <w:p w14:paraId="637802CC" w14:textId="5FB2539D" w:rsidR="009D05C3" w:rsidRPr="00E91C6E" w:rsidRDefault="003A6BAF" w:rsidP="00E91C6E">
      <w:pPr>
        <w:pStyle w:val="ListBullet"/>
      </w:pPr>
      <w:r w:rsidRPr="00E91C6E">
        <w:t>w</w:t>
      </w:r>
      <w:r w:rsidR="009D05C3" w:rsidRPr="00E91C6E">
        <w:t xml:space="preserve">ork with deans of dental schools on courses for dentists, dental </w:t>
      </w:r>
      <w:proofErr w:type="gramStart"/>
      <w:r w:rsidR="009D05C3" w:rsidRPr="00E91C6E">
        <w:t>therapists</w:t>
      </w:r>
      <w:proofErr w:type="gramEnd"/>
      <w:r w:rsidR="009D05C3" w:rsidRPr="00E91C6E">
        <w:t xml:space="preserve"> and hygienists to specialise in oral health care for people with disability</w:t>
      </w:r>
    </w:p>
    <w:p w14:paraId="0E102786" w14:textId="6FAA254B" w:rsidR="009D05C3" w:rsidRPr="00E91C6E" w:rsidRDefault="003A6BAF" w:rsidP="00E91C6E">
      <w:pPr>
        <w:pStyle w:val="ListBullet"/>
      </w:pPr>
      <w:r w:rsidRPr="00E91C6E">
        <w:t>w</w:t>
      </w:r>
      <w:r w:rsidR="009D05C3" w:rsidRPr="00E91C6E">
        <w:t>ork with the Australian Dental Association to develop continuing professional development modules.</w:t>
      </w:r>
    </w:p>
    <w:p w14:paraId="06E8A984" w14:textId="697C7A4F" w:rsidR="00C21002" w:rsidRDefault="009D05C3" w:rsidP="00E91C6E">
      <w:r>
        <w:lastRenderedPageBreak/>
        <w:t xml:space="preserve">Members discussed strategies and ideas for implementing these actions. The Department agreed to </w:t>
      </w:r>
      <w:r w:rsidR="00C106B5">
        <w:t xml:space="preserve">collate and </w:t>
      </w:r>
      <w:r>
        <w:t xml:space="preserve">circulate </w:t>
      </w:r>
      <w:r w:rsidR="00C106B5">
        <w:t xml:space="preserve">draft recommendations </w:t>
      </w:r>
      <w:r w:rsidR="003A6BAF">
        <w:t>to</w:t>
      </w:r>
      <w:r w:rsidR="00C106B5">
        <w:t xml:space="preserve"> members </w:t>
      </w:r>
      <w:r w:rsidR="003A6BAF">
        <w:t>for</w:t>
      </w:r>
      <w:r w:rsidR="00C106B5">
        <w:t xml:space="preserve"> feedback.</w:t>
      </w:r>
    </w:p>
    <w:p w14:paraId="24C356D2" w14:textId="46977776" w:rsidR="00BA5FCC" w:rsidRPr="00E91C6E" w:rsidRDefault="00F65FEB" w:rsidP="00BB7669">
      <w:pPr>
        <w:pStyle w:val="Heading3"/>
      </w:pPr>
      <w:r w:rsidRPr="00E91C6E">
        <w:t>Research presentation</w:t>
      </w:r>
      <w:r w:rsidRPr="00343BD6">
        <w:t xml:space="preserve"> </w:t>
      </w:r>
      <w:r w:rsidR="00343BD6" w:rsidRPr="00343BD6">
        <w:t>-</w:t>
      </w:r>
      <w:r w:rsidRPr="00E91C6E">
        <w:t xml:space="preserve"> Guide to supporting the health of people with intellectual disability</w:t>
      </w:r>
    </w:p>
    <w:p w14:paraId="4ADC6C78" w14:textId="60C84B91" w:rsidR="00995F0F" w:rsidRPr="00E91C6E" w:rsidRDefault="00F65FEB" w:rsidP="00E91C6E">
      <w:r w:rsidRPr="00E91C6E">
        <w:t>Dr Rachel Skoss from the Institute for Health Research, University of Notre Dame Australia presented an overview of</w:t>
      </w:r>
      <w:r w:rsidR="00C106B5" w:rsidRPr="00E91C6E">
        <w:t xml:space="preserve"> </w:t>
      </w:r>
      <w:bookmarkStart w:id="1" w:name="_Hlk119511339"/>
      <w:r w:rsidR="00930ACD" w:rsidRPr="00E91C6E">
        <w:fldChar w:fldCharType="begin"/>
      </w:r>
      <w:r w:rsidR="00930ACD" w:rsidRPr="00E91C6E">
        <w:instrText xml:space="preserve"> HYPERLINK "https://www.notredame.edu.au/__data/assets/pdf_file/0025/327463/Health-Care-Guide.pdf" </w:instrText>
      </w:r>
      <w:r w:rsidR="00930ACD" w:rsidRPr="00E91C6E">
        <w:fldChar w:fldCharType="separate"/>
      </w:r>
      <w:r w:rsidR="00C106B5" w:rsidRPr="00E91C6E">
        <w:rPr>
          <w:rStyle w:val="Hyperlink"/>
        </w:rPr>
        <w:t>Health Care for People Who Need Extra Support</w:t>
      </w:r>
      <w:r w:rsidR="00930ACD" w:rsidRPr="00E91C6E">
        <w:fldChar w:fldCharType="end"/>
      </w:r>
      <w:r w:rsidR="006C7157" w:rsidRPr="00E91C6E">
        <w:t xml:space="preserve"> (the guide)</w:t>
      </w:r>
      <w:bookmarkEnd w:id="1"/>
      <w:r w:rsidR="00C106B5" w:rsidRPr="00E91C6E">
        <w:t>. Dr</w:t>
      </w:r>
      <w:r w:rsidR="00095A4C" w:rsidRPr="00E91C6E">
        <w:t> </w:t>
      </w:r>
      <w:r w:rsidR="00C106B5" w:rsidRPr="00E91C6E">
        <w:t xml:space="preserve">Skoss developed </w:t>
      </w:r>
      <w:r w:rsidR="006C7157" w:rsidRPr="00E91C6E">
        <w:t>the</w:t>
      </w:r>
      <w:r w:rsidR="00C106B5" w:rsidRPr="00E91C6E">
        <w:t xml:space="preserve"> </w:t>
      </w:r>
      <w:r w:rsidRPr="00E91C6E">
        <w:t xml:space="preserve">guide </w:t>
      </w:r>
      <w:r w:rsidR="00C106B5" w:rsidRPr="00E91C6E">
        <w:t>to</w:t>
      </w:r>
      <w:r w:rsidRPr="00E91C6E">
        <w:t xml:space="preserve"> help support workers, </w:t>
      </w:r>
      <w:r w:rsidR="00172AC2" w:rsidRPr="00E91C6E">
        <w:t>families,</w:t>
      </w:r>
      <w:r w:rsidRPr="00E91C6E">
        <w:t xml:space="preserve"> and carers with health literacy</w:t>
      </w:r>
      <w:r w:rsidR="00995F0F" w:rsidRPr="00E91C6E">
        <w:t xml:space="preserve"> when caring for people with intellectual disability</w:t>
      </w:r>
      <w:r w:rsidRPr="00E91C6E">
        <w:t xml:space="preserve">. </w:t>
      </w:r>
    </w:p>
    <w:p w14:paraId="670DEA83" w14:textId="1F8537D8" w:rsidR="005655D8" w:rsidRPr="00E91C6E" w:rsidRDefault="005655D8" w:rsidP="00E91C6E">
      <w:r w:rsidRPr="00E91C6E">
        <w:t>Members congratulated Dr Skoss on the guide. Dr Skoss invited members to contact her directly for more information.</w:t>
      </w:r>
    </w:p>
    <w:p w14:paraId="483B78EA" w14:textId="14D641FB" w:rsidR="005F7FE4" w:rsidRPr="00E91C6E" w:rsidRDefault="005655D8" w:rsidP="00E91C6E">
      <w:r w:rsidRPr="00E91C6E">
        <w:t xml:space="preserve">It was agreed that a separate discussion with </w:t>
      </w:r>
      <w:r w:rsidR="00A25087" w:rsidRPr="00E91C6E">
        <w:t>interested parties</w:t>
      </w:r>
      <w:r w:rsidR="00E202E1" w:rsidRPr="00E91C6E">
        <w:t xml:space="preserve"> </w:t>
      </w:r>
      <w:r w:rsidR="00995F0F" w:rsidRPr="00E91C6E">
        <w:t>should</w:t>
      </w:r>
      <w:r w:rsidRPr="00E91C6E">
        <w:t xml:space="preserve"> be held to consider how </w:t>
      </w:r>
      <w:r w:rsidR="00995F0F" w:rsidRPr="00E91C6E">
        <w:t>to best promote and use the guide</w:t>
      </w:r>
      <w:r w:rsidRPr="00E91C6E">
        <w:t xml:space="preserve">. The Department will </w:t>
      </w:r>
      <w:r w:rsidR="00A25087" w:rsidRPr="00E91C6E">
        <w:t xml:space="preserve">discuss with the Department of Social Services and its portfolio agencies with a view to organising </w:t>
      </w:r>
      <w:r w:rsidRPr="00E91C6E">
        <w:t xml:space="preserve">a meeting </w:t>
      </w:r>
      <w:r w:rsidR="004D18BF" w:rsidRPr="00E91C6E">
        <w:t xml:space="preserve">in </w:t>
      </w:r>
      <w:r w:rsidRPr="00E91C6E">
        <w:t>early 2023.</w:t>
      </w:r>
    </w:p>
    <w:p w14:paraId="05EEA2DB" w14:textId="4119828D" w:rsidR="009234A5" w:rsidRPr="00E91C6E" w:rsidRDefault="009234A5" w:rsidP="00BB7669">
      <w:pPr>
        <w:pStyle w:val="Heading3"/>
      </w:pPr>
      <w:r w:rsidRPr="00E91C6E">
        <w:t>Other business</w:t>
      </w:r>
    </w:p>
    <w:p w14:paraId="6D7B2E66" w14:textId="7C162E7D" w:rsidR="009234A5" w:rsidRPr="00E91C6E" w:rsidRDefault="00C17F39" w:rsidP="00E91C6E">
      <w:r w:rsidRPr="00E91C6E">
        <w:t xml:space="preserve">The Department provided an update on the status of the first annual progress report for the </w:t>
      </w:r>
      <w:proofErr w:type="gramStart"/>
      <w:r w:rsidRPr="00E91C6E">
        <w:t>Roadmap</w:t>
      </w:r>
      <w:proofErr w:type="gramEnd"/>
      <w:r w:rsidRPr="00E91C6E">
        <w:t xml:space="preserve">. </w:t>
      </w:r>
      <w:r w:rsidR="00995F0F" w:rsidRPr="00E91C6E">
        <w:t>I</w:t>
      </w:r>
      <w:r w:rsidRPr="00E91C6E">
        <w:t>nformation regarding the status of Roadmap actions</w:t>
      </w:r>
      <w:r w:rsidR="00995F0F" w:rsidRPr="00E91C6E">
        <w:t xml:space="preserve"> has been received from </w:t>
      </w:r>
      <w:proofErr w:type="gramStart"/>
      <w:r w:rsidR="00995F0F" w:rsidRPr="00E91C6E">
        <w:t>the majority of</w:t>
      </w:r>
      <w:proofErr w:type="gramEnd"/>
      <w:r w:rsidR="00995F0F" w:rsidRPr="00E91C6E">
        <w:t xml:space="preserve"> stakeholders and is being collated and analysed</w:t>
      </w:r>
      <w:r w:rsidRPr="00E91C6E">
        <w:t xml:space="preserve">. </w:t>
      </w:r>
      <w:r w:rsidR="00995F0F" w:rsidRPr="00E91C6E">
        <w:t xml:space="preserve">A draft of </w:t>
      </w:r>
      <w:r w:rsidR="00A25087" w:rsidRPr="00E91C6E">
        <w:t xml:space="preserve">the </w:t>
      </w:r>
      <w:r w:rsidR="00995F0F" w:rsidRPr="00E91C6E">
        <w:t xml:space="preserve">report </w:t>
      </w:r>
      <w:r w:rsidR="00A25087" w:rsidRPr="00E91C6E">
        <w:t xml:space="preserve">will </w:t>
      </w:r>
      <w:r w:rsidR="00995F0F" w:rsidRPr="00E91C6E">
        <w:t>be provided for discussion at the next meeting.</w:t>
      </w:r>
    </w:p>
    <w:p w14:paraId="7E3828F9" w14:textId="2EEA4C3B" w:rsidR="004F53C9" w:rsidRPr="00E91C6E" w:rsidRDefault="00F46033" w:rsidP="00BB7669">
      <w:pPr>
        <w:pStyle w:val="Heading3"/>
      </w:pPr>
      <w:r w:rsidRPr="00E91C6E">
        <w:t>Meeting close</w:t>
      </w:r>
    </w:p>
    <w:bookmarkEnd w:id="0"/>
    <w:p w14:paraId="78DA80B3" w14:textId="0020FC24" w:rsidR="00C17F39" w:rsidRPr="00E91C6E" w:rsidRDefault="00C17F39" w:rsidP="00E91C6E">
      <w:r w:rsidRPr="00E91C6E">
        <w:t xml:space="preserve">The Chair </w:t>
      </w:r>
      <w:r w:rsidR="00995F0F" w:rsidRPr="00E91C6E">
        <w:t>advised</w:t>
      </w:r>
      <w:r w:rsidRPr="00E91C6E">
        <w:t xml:space="preserve"> the next meeting will include a discussion about procedural sedation. This was raised out-of-session by the South Australia </w:t>
      </w:r>
      <w:r w:rsidR="00E202E1" w:rsidRPr="00E91C6E">
        <w:t xml:space="preserve">government </w:t>
      </w:r>
      <w:r w:rsidRPr="00E91C6E">
        <w:t>representative.</w:t>
      </w:r>
    </w:p>
    <w:p w14:paraId="7FBF66B1" w14:textId="59B8C568" w:rsidR="00F46033" w:rsidRPr="00E91C6E" w:rsidRDefault="005832EF" w:rsidP="00E91C6E">
      <w:r w:rsidRPr="00E91C6E">
        <w:t xml:space="preserve">The next meeting will be on </w:t>
      </w:r>
      <w:r w:rsidR="008E1878" w:rsidRPr="00E91C6E">
        <w:t>Monday 20 February 2023.</w:t>
      </w:r>
    </w:p>
    <w:p w14:paraId="06F49D38" w14:textId="622713A2" w:rsidR="00C17F39" w:rsidRPr="00E91C6E" w:rsidRDefault="00C17F39" w:rsidP="00E91C6E">
      <w:pPr>
        <w:pStyle w:val="Heading3"/>
      </w:pPr>
      <w:r w:rsidRPr="00E91C6E">
        <w:t>Next steps</w:t>
      </w:r>
    </w:p>
    <w:p w14:paraId="49D949DA" w14:textId="17B30615" w:rsidR="006C7157" w:rsidRPr="00C17F39" w:rsidRDefault="006C7157" w:rsidP="00E91C6E">
      <w:pPr>
        <w:pStyle w:val="ListBullet"/>
      </w:pPr>
      <w:r w:rsidRPr="00C17F39">
        <w:t xml:space="preserve">Secretariat </w:t>
      </w:r>
      <w:r>
        <w:t>to circulate</w:t>
      </w:r>
      <w:r w:rsidRPr="00C17F39">
        <w:t xml:space="preserve"> </w:t>
      </w:r>
      <w:r>
        <w:t>draft</w:t>
      </w:r>
      <w:r w:rsidRPr="00C17F39">
        <w:t xml:space="preserve"> recommendations on </w:t>
      </w:r>
      <w:r>
        <w:t>implementation of oral health priority actions</w:t>
      </w:r>
      <w:r w:rsidRPr="00C17F39">
        <w:t xml:space="preserve"> for RIGG members to comment on</w:t>
      </w:r>
      <w:r w:rsidR="00E202E1">
        <w:t xml:space="preserve"> out-of-session</w:t>
      </w:r>
      <w:r w:rsidRPr="00C17F39">
        <w:t>.</w:t>
      </w:r>
    </w:p>
    <w:p w14:paraId="2CA659D1" w14:textId="38F0DC25" w:rsidR="00C17F39" w:rsidRPr="00E91C6E" w:rsidRDefault="006C7157" w:rsidP="00E91C6E">
      <w:pPr>
        <w:pStyle w:val="ListBullet"/>
      </w:pPr>
      <w:r>
        <w:t>Department of Health and Aged Care to convene a meeting of key agencies in early 2023 to discuss promotion and implementation of the guide and training of support workers</w:t>
      </w:r>
      <w:r w:rsidR="00C17F39" w:rsidRPr="00C17F39">
        <w:t>.</w:t>
      </w:r>
    </w:p>
    <w:p w14:paraId="188B2CA8" w14:textId="3DA795E6" w:rsidR="00B2180E" w:rsidRPr="00E91C6E" w:rsidRDefault="00B2180E" w:rsidP="00E91C6E">
      <w:r w:rsidRPr="00E91C6E">
        <w:br w:type="page"/>
      </w:r>
    </w:p>
    <w:p w14:paraId="666539BC" w14:textId="7B5B390A" w:rsidR="00586EED" w:rsidRPr="00586EED" w:rsidRDefault="00B2180E" w:rsidP="00BB7669">
      <w:pPr>
        <w:pStyle w:val="Heading2"/>
      </w:pPr>
      <w:bookmarkStart w:id="2" w:name="_Attachment_A:_Department"/>
      <w:bookmarkEnd w:id="2"/>
      <w:r>
        <w:lastRenderedPageBreak/>
        <w:t xml:space="preserve">Attachment A: </w:t>
      </w:r>
      <w:r w:rsidR="00C21002">
        <w:t>Department</w:t>
      </w:r>
      <w:r w:rsidRPr="00671593">
        <w:t xml:space="preserve"> of Health Project </w:t>
      </w:r>
      <w:r w:rsidR="00E91C6E">
        <w:t>u</w:t>
      </w:r>
      <w:r w:rsidRPr="00671593">
        <w:t>pdate</w:t>
      </w:r>
      <w:r>
        <w:t>s</w:t>
      </w:r>
      <w:r w:rsidRPr="00671593">
        <w:t xml:space="preserve"> – Summary</w:t>
      </w:r>
    </w:p>
    <w:p w14:paraId="122FF360" w14:textId="77777777" w:rsidR="00586EED" w:rsidRPr="00E91C6E" w:rsidRDefault="00586EED" w:rsidP="00E91C6E">
      <w:r w:rsidRPr="00E91C6E">
        <w:t>National Roadmap for Improving the Health of People with Intellectual Disability</w:t>
      </w:r>
    </w:p>
    <w:p w14:paraId="75AC0C5C" w14:textId="0C759A5E" w:rsidR="00586EED" w:rsidRPr="00E91C6E" w:rsidRDefault="00586EED" w:rsidP="00E91C6E">
      <w:r w:rsidRPr="00E91C6E">
        <w:t xml:space="preserve">The </w:t>
      </w:r>
      <w:r w:rsidR="00C21002" w:rsidRPr="00E91C6E">
        <w:t>Department</w:t>
      </w:r>
      <w:r w:rsidRPr="00E91C6E">
        <w:t xml:space="preserve"> is </w:t>
      </w:r>
      <w:r w:rsidR="002B287F" w:rsidRPr="00E91C6E">
        <w:t xml:space="preserve">currently </w:t>
      </w:r>
      <w:r w:rsidRPr="00E91C6E">
        <w:t xml:space="preserve">delivering four projects under the </w:t>
      </w:r>
      <w:proofErr w:type="gramStart"/>
      <w:r w:rsidRPr="00E91C6E">
        <w:t>Roadmap</w:t>
      </w:r>
      <w:proofErr w:type="gramEnd"/>
      <w:r w:rsidRPr="00E91C6E">
        <w:t>. These are:</w:t>
      </w:r>
    </w:p>
    <w:p w14:paraId="64632792" w14:textId="16AFBEDA" w:rsidR="00586EED" w:rsidRPr="00E91C6E" w:rsidRDefault="00586EED" w:rsidP="00E91C6E">
      <w:pPr>
        <w:pStyle w:val="ListBullet"/>
      </w:pPr>
      <w:r w:rsidRPr="00E91C6E">
        <w:t xml:space="preserve">National Centre of Excellence in Intellectual Disability Health </w:t>
      </w:r>
    </w:p>
    <w:p w14:paraId="4AF1F982" w14:textId="77777777" w:rsidR="00586EED" w:rsidRPr="00E91C6E" w:rsidRDefault="00586EED" w:rsidP="00E91C6E">
      <w:pPr>
        <w:pStyle w:val="ListBullet"/>
      </w:pPr>
      <w:r w:rsidRPr="00E91C6E">
        <w:t xml:space="preserve">Intellectual disability curriculum development </w:t>
      </w:r>
    </w:p>
    <w:p w14:paraId="3FFDD887" w14:textId="77777777" w:rsidR="00586EED" w:rsidRPr="00E91C6E" w:rsidRDefault="00586EED" w:rsidP="00E91C6E">
      <w:pPr>
        <w:pStyle w:val="ListBullet"/>
      </w:pPr>
      <w:r w:rsidRPr="00E91C6E">
        <w:t>Annual health assessments</w:t>
      </w:r>
    </w:p>
    <w:p w14:paraId="086886E4" w14:textId="6BE9584F" w:rsidR="00586EED" w:rsidRPr="00E91C6E" w:rsidRDefault="00586EED" w:rsidP="00E91C6E">
      <w:pPr>
        <w:pStyle w:val="ListBullet"/>
      </w:pPr>
      <w:r w:rsidRPr="00E91C6E">
        <w:t xml:space="preserve">Primary </w:t>
      </w:r>
      <w:r w:rsidR="00316074" w:rsidRPr="00E91C6E">
        <w:t>C</w:t>
      </w:r>
      <w:r w:rsidRPr="00E91C6E">
        <w:t xml:space="preserve">are </w:t>
      </w:r>
      <w:r w:rsidR="00316074" w:rsidRPr="00E91C6E">
        <w:t>E</w:t>
      </w:r>
      <w:r w:rsidRPr="00E91C6E">
        <w:t xml:space="preserve">nhancement </w:t>
      </w:r>
      <w:r w:rsidR="00316074" w:rsidRPr="00E91C6E">
        <w:t>P</w:t>
      </w:r>
      <w:r w:rsidRPr="00E91C6E">
        <w:t>rogram, or PCEP</w:t>
      </w:r>
    </w:p>
    <w:p w14:paraId="2146ACFA" w14:textId="31BCEF11" w:rsidR="00586EED" w:rsidRPr="00E91C6E" w:rsidRDefault="00586EED" w:rsidP="00E91C6E">
      <w:r w:rsidRPr="00E91C6E">
        <w:t>A lot of progress has been made in these projects over recent months.</w:t>
      </w:r>
    </w:p>
    <w:p w14:paraId="01D00C13" w14:textId="320FC007" w:rsidR="00586EED" w:rsidRPr="00E91C6E" w:rsidRDefault="00586EED" w:rsidP="00BB7669">
      <w:pPr>
        <w:pStyle w:val="Heading3"/>
      </w:pPr>
      <w:r w:rsidRPr="00E91C6E">
        <w:t>National Centre of Excellence in Intellectual Disability Health</w:t>
      </w:r>
    </w:p>
    <w:p w14:paraId="256BE8FB" w14:textId="594306EA" w:rsidR="00586EED" w:rsidRPr="00165372" w:rsidRDefault="00586EED" w:rsidP="00586EED">
      <w:pPr>
        <w:rPr>
          <w:szCs w:val="22"/>
        </w:rPr>
      </w:pPr>
      <w:r w:rsidRPr="00165372">
        <w:rPr>
          <w:szCs w:val="22"/>
        </w:rPr>
        <w:t>In the 2021-22 Budget, Commonwealth funding of $1.4 million was allocated to enable the scoping and co-design of options for a National Centre of Excellence in Intellectual Disability Health (National Centre). The final scoping and co-design report was approved in March</w:t>
      </w:r>
      <w:r w:rsidR="0037452C">
        <w:rPr>
          <w:szCs w:val="22"/>
        </w:rPr>
        <w:t> </w:t>
      </w:r>
      <w:r w:rsidRPr="00165372">
        <w:rPr>
          <w:szCs w:val="22"/>
        </w:rPr>
        <w:t>2022.</w:t>
      </w:r>
    </w:p>
    <w:p w14:paraId="1D1FD007" w14:textId="71619BB2" w:rsidR="00586EED" w:rsidRDefault="00586EED" w:rsidP="006C7157">
      <w:pPr>
        <w:rPr>
          <w:szCs w:val="22"/>
        </w:rPr>
      </w:pPr>
      <w:r>
        <w:rPr>
          <w:szCs w:val="22"/>
        </w:rPr>
        <w:t>In the 2022 Pre-Election Fiscal Outlook, a total of $8 million over 2 years from 2022-23 was allocated for the National Centre of Excellence in Intellectual Disability Health. In the October 2022 Budget</w:t>
      </w:r>
      <w:r w:rsidR="00316074">
        <w:rPr>
          <w:szCs w:val="22"/>
        </w:rPr>
        <w:t>,</w:t>
      </w:r>
      <w:r>
        <w:rPr>
          <w:szCs w:val="22"/>
        </w:rPr>
        <w:t xml:space="preserve"> t</w:t>
      </w:r>
      <w:r w:rsidRPr="00165372">
        <w:rPr>
          <w:szCs w:val="22"/>
        </w:rPr>
        <w:t xml:space="preserve">he Government </w:t>
      </w:r>
      <w:r>
        <w:rPr>
          <w:szCs w:val="22"/>
        </w:rPr>
        <w:t>allocated a further $15.9 million, for a total commitment of $23.9 million over four years from 2022-23 (ongoing), for</w:t>
      </w:r>
      <w:r w:rsidRPr="00165372">
        <w:rPr>
          <w:szCs w:val="22"/>
        </w:rPr>
        <w:t xml:space="preserve"> the National Centre</w:t>
      </w:r>
      <w:r>
        <w:rPr>
          <w:szCs w:val="22"/>
        </w:rPr>
        <w:t xml:space="preserve">. </w:t>
      </w:r>
    </w:p>
    <w:p w14:paraId="1F1D2255" w14:textId="7AF8A4B0" w:rsidR="006C7157" w:rsidRPr="00E91C6E" w:rsidRDefault="006C7157" w:rsidP="00BB7669">
      <w:pPr>
        <w:pStyle w:val="Heading4"/>
      </w:pPr>
      <w:r w:rsidRPr="00E91C6E">
        <w:t>Next steps:</w:t>
      </w:r>
    </w:p>
    <w:p w14:paraId="2FD2FDA8" w14:textId="11987484" w:rsidR="006C7157" w:rsidRPr="00E91C6E" w:rsidRDefault="00A25087" w:rsidP="00E91C6E">
      <w:pPr>
        <w:pStyle w:val="ListBullet"/>
      </w:pPr>
      <w:r w:rsidRPr="00E91C6E">
        <w:t>In early 2023, o</w:t>
      </w:r>
      <w:r w:rsidR="007D63E2" w:rsidRPr="00E91C6E">
        <w:t>rganisations will be invited</w:t>
      </w:r>
      <w:r w:rsidR="00BD0082" w:rsidRPr="00E91C6E">
        <w:t xml:space="preserve"> to apply for a grant to establish and run the National Centre. </w:t>
      </w:r>
      <w:r w:rsidR="007D63E2" w:rsidRPr="00E91C6E">
        <w:t>The Department</w:t>
      </w:r>
      <w:r w:rsidR="00BD0082" w:rsidRPr="00E91C6E">
        <w:t xml:space="preserve"> will run information sessions before the grant opportunity opens. Organisations will have </w:t>
      </w:r>
      <w:r w:rsidR="003A6BAF" w:rsidRPr="00E91C6E">
        <w:t xml:space="preserve">around </w:t>
      </w:r>
      <w:r w:rsidR="00BD0082" w:rsidRPr="00E91C6E">
        <w:t>2 months to apply.</w:t>
      </w:r>
    </w:p>
    <w:p w14:paraId="024F8CDB" w14:textId="7F7DAEA7" w:rsidR="00BD0082" w:rsidRPr="00E91C6E" w:rsidRDefault="00BD0082" w:rsidP="00E91C6E">
      <w:pPr>
        <w:pStyle w:val="ListBullet"/>
      </w:pPr>
      <w:r w:rsidRPr="00E91C6E">
        <w:t xml:space="preserve">RIGG members will be advised </w:t>
      </w:r>
      <w:r w:rsidR="003A6BAF" w:rsidRPr="00E91C6E">
        <w:t xml:space="preserve">by email </w:t>
      </w:r>
      <w:r w:rsidRPr="00E91C6E">
        <w:t>when the grant opportunity opens.</w:t>
      </w:r>
    </w:p>
    <w:p w14:paraId="687C5F3A" w14:textId="77777777" w:rsidR="00586EED" w:rsidRPr="00E91C6E" w:rsidRDefault="00586EED" w:rsidP="00BB7669">
      <w:pPr>
        <w:pStyle w:val="Heading3"/>
      </w:pPr>
      <w:r w:rsidRPr="00E91C6E">
        <w:t>Curriculum Development in Intellectual Disability Health</w:t>
      </w:r>
    </w:p>
    <w:p w14:paraId="065E273D" w14:textId="77777777" w:rsidR="00586EED" w:rsidRPr="00165372" w:rsidRDefault="00586EED" w:rsidP="00586EED">
      <w:pPr>
        <w:rPr>
          <w:szCs w:val="22"/>
        </w:rPr>
      </w:pPr>
      <w:r w:rsidRPr="00165372">
        <w:rPr>
          <w:szCs w:val="22"/>
        </w:rPr>
        <w:t xml:space="preserve">In the 2021-22 Budget, Commonwealth funding of $4.7 million was allocated to curriculum development in intellectual disability health. A key objective of this work is to develop an Intellectual Disability Health Capability Framework (the Framework). The Framework is being designed to support universities to integrate intellectual disability health care principles into their current pre-registration education curricula. The Framework will provide guidance and be supported by resources that can be adopted by universities and accreditation authorities to ensure curricula prepare graduates with the key capabilities required to provide the highest quality care to people with intellectual disability in their future health professional careers. </w:t>
      </w:r>
    </w:p>
    <w:p w14:paraId="4A8B48A7" w14:textId="77777777" w:rsidR="0077789B" w:rsidRPr="0077789B" w:rsidRDefault="00586EED" w:rsidP="0077789B">
      <w:pPr>
        <w:rPr>
          <w:szCs w:val="22"/>
        </w:rPr>
      </w:pPr>
      <w:r w:rsidRPr="0077789B">
        <w:rPr>
          <w:szCs w:val="22"/>
        </w:rPr>
        <w:t xml:space="preserve">In June 2022, the </w:t>
      </w:r>
      <w:r w:rsidR="00C21002" w:rsidRPr="0077789B">
        <w:rPr>
          <w:szCs w:val="22"/>
        </w:rPr>
        <w:t>Department</w:t>
      </w:r>
      <w:r w:rsidRPr="0077789B">
        <w:rPr>
          <w:szCs w:val="22"/>
        </w:rPr>
        <w:t xml:space="preserve"> engaged individuals from </w:t>
      </w:r>
      <w:r w:rsidR="00C21002" w:rsidRPr="0077789B">
        <w:rPr>
          <w:szCs w:val="22"/>
        </w:rPr>
        <w:t>Department</w:t>
      </w:r>
      <w:r w:rsidRPr="0077789B">
        <w:rPr>
          <w:szCs w:val="22"/>
        </w:rPr>
        <w:t xml:space="preserve"> of Developmental Disability Neuropsychiatry (3DN), Australian Medical Council, Flinders University, Medical Deans Australia and New Zealand, and the Australasian Council of Dental Schools with specific expertise to form a specialist drafting group for the co-design and development of the Framework. </w:t>
      </w:r>
      <w:r w:rsidR="0077789B" w:rsidRPr="0077789B">
        <w:rPr>
          <w:szCs w:val="22"/>
        </w:rPr>
        <w:t>The final Framework, including learning outcomes and implementation guide, is expected to be completed by the end of 2023.</w:t>
      </w:r>
    </w:p>
    <w:p w14:paraId="103C3F4D" w14:textId="54BBC2C1" w:rsidR="0077789B" w:rsidRPr="00E91C6E" w:rsidRDefault="0077789B" w:rsidP="00BB7669">
      <w:pPr>
        <w:pStyle w:val="Heading4"/>
      </w:pPr>
      <w:r w:rsidRPr="00E91C6E">
        <w:lastRenderedPageBreak/>
        <w:t>Next steps:</w:t>
      </w:r>
    </w:p>
    <w:p w14:paraId="422B590E" w14:textId="25BDCBE8" w:rsidR="0077789B" w:rsidRPr="00E91C6E" w:rsidRDefault="0077789B" w:rsidP="00E91C6E">
      <w:pPr>
        <w:pStyle w:val="ListBullet"/>
      </w:pPr>
      <w:r w:rsidRPr="00E91C6E">
        <w:t xml:space="preserve">There will be a public consultation on the draft </w:t>
      </w:r>
      <w:r w:rsidR="00EE5577" w:rsidRPr="00E91C6E">
        <w:t xml:space="preserve">Capability </w:t>
      </w:r>
      <w:r w:rsidRPr="00E91C6E">
        <w:t>Framework. Members will be advised when it opens.</w:t>
      </w:r>
    </w:p>
    <w:p w14:paraId="65369677" w14:textId="77777777" w:rsidR="00586EED" w:rsidRPr="00E91C6E" w:rsidRDefault="00586EED" w:rsidP="00BB7669">
      <w:pPr>
        <w:pStyle w:val="Heading3"/>
      </w:pPr>
      <w:bookmarkStart w:id="3" w:name="_Hlk119401064"/>
      <w:r w:rsidRPr="00E91C6E">
        <w:t>Annual Health Assessments</w:t>
      </w:r>
    </w:p>
    <w:bookmarkEnd w:id="3"/>
    <w:p w14:paraId="7A373B4D" w14:textId="2E541FA7" w:rsidR="00586EED" w:rsidRDefault="00586EED" w:rsidP="00586EED">
      <w:pPr>
        <w:rPr>
          <w:szCs w:val="22"/>
        </w:rPr>
      </w:pPr>
      <w:r w:rsidRPr="00165372">
        <w:rPr>
          <w:szCs w:val="22"/>
        </w:rPr>
        <w:t>In the 2021-22 Budget, Commonwealth funding of $6.7 million was allocated to improve the uptake and implementation of annual health assessments for people with intellectual disability</w:t>
      </w:r>
      <w:r w:rsidRPr="00BD3F9F">
        <w:rPr>
          <w:rFonts w:cs="Arial"/>
          <w:szCs w:val="22"/>
        </w:rPr>
        <w:t xml:space="preserve">. </w:t>
      </w:r>
      <w:r w:rsidR="00BD3F9F" w:rsidRPr="00BD3F9F">
        <w:rPr>
          <w:rFonts w:eastAsia="Calibri" w:cs="Arial"/>
        </w:rPr>
        <w:t xml:space="preserve">There is a special form that GPs can use to do annual health assessments. </w:t>
      </w:r>
      <w:r w:rsidR="00BD3F9F" w:rsidRPr="00BD3F9F">
        <w:rPr>
          <w:rFonts w:cs="Arial"/>
          <w:szCs w:val="22"/>
        </w:rPr>
        <w:t>The</w:t>
      </w:r>
      <w:r w:rsidR="00BD3F9F">
        <w:rPr>
          <w:szCs w:val="22"/>
        </w:rPr>
        <w:t xml:space="preserve"> Department is negotiating a license to be able to share a form that helps GPs to do annual health assessments for people with intellectual disability. </w:t>
      </w:r>
    </w:p>
    <w:p w14:paraId="379F674A" w14:textId="0CA0ED07" w:rsidR="0077789B" w:rsidRPr="00E91C6E" w:rsidRDefault="0077789B" w:rsidP="00BB7669">
      <w:pPr>
        <w:pStyle w:val="Heading4"/>
      </w:pPr>
      <w:r w:rsidRPr="00E91C6E">
        <w:t>Next steps:</w:t>
      </w:r>
    </w:p>
    <w:p w14:paraId="14B1DECB" w14:textId="024FDB09" w:rsidR="0077789B" w:rsidRPr="00E91C6E" w:rsidRDefault="0077789B" w:rsidP="00E91C6E">
      <w:pPr>
        <w:pStyle w:val="ListBullet"/>
      </w:pPr>
      <w:r w:rsidRPr="00E91C6E">
        <w:t xml:space="preserve">We will notify members when we have permission to use </w:t>
      </w:r>
      <w:r w:rsidR="00BD3F9F" w:rsidRPr="00E91C6E">
        <w:t>the special form</w:t>
      </w:r>
      <w:r w:rsidR="00D13B7D" w:rsidRPr="00E91C6E">
        <w:t xml:space="preserve"> for annual health assessments.</w:t>
      </w:r>
    </w:p>
    <w:p w14:paraId="67142DF0" w14:textId="4E48E7F3" w:rsidR="00D13B7D" w:rsidRPr="00E91C6E" w:rsidRDefault="00D13B7D" w:rsidP="00E91C6E">
      <w:pPr>
        <w:pStyle w:val="ListBullet"/>
      </w:pPr>
      <w:r w:rsidRPr="00E91C6E">
        <w:t xml:space="preserve">When we have permission, </w:t>
      </w:r>
      <w:r w:rsidR="009D5D76" w:rsidRPr="00E91C6E">
        <w:t xml:space="preserve">we </w:t>
      </w:r>
      <w:r w:rsidRPr="00E91C6E">
        <w:t>will develop a project plan to:</w:t>
      </w:r>
    </w:p>
    <w:p w14:paraId="0C9A3ED1" w14:textId="734DDD59" w:rsidR="00D13B7D" w:rsidRPr="00E91C6E" w:rsidRDefault="00D13B7D" w:rsidP="00E91C6E">
      <w:pPr>
        <w:pStyle w:val="ListBullet2"/>
      </w:pPr>
      <w:r w:rsidRPr="00E91C6E">
        <w:t xml:space="preserve">make the </w:t>
      </w:r>
      <w:r w:rsidR="00BD3F9F" w:rsidRPr="00E91C6E">
        <w:t>special form</w:t>
      </w:r>
      <w:r w:rsidRPr="00E91C6E">
        <w:t xml:space="preserve"> freely available to people with intellectual disability, their families and carers, and GPs</w:t>
      </w:r>
    </w:p>
    <w:p w14:paraId="535BACBC" w14:textId="241EC1D8" w:rsidR="00D13B7D" w:rsidRPr="00E91C6E" w:rsidRDefault="00D13B7D" w:rsidP="00E91C6E">
      <w:pPr>
        <w:pStyle w:val="ListBullet2"/>
      </w:pPr>
      <w:r w:rsidRPr="00E91C6E">
        <w:t xml:space="preserve">make it easier for people to use the </w:t>
      </w:r>
      <w:r w:rsidR="00BD3F9F" w:rsidRPr="00E91C6E">
        <w:t>special form</w:t>
      </w:r>
      <w:r w:rsidRPr="00E91C6E">
        <w:t>, and</w:t>
      </w:r>
    </w:p>
    <w:p w14:paraId="3DE83271" w14:textId="67C10EAB" w:rsidR="00D13B7D" w:rsidRPr="00E91C6E" w:rsidRDefault="00D13B7D" w:rsidP="00E91C6E">
      <w:pPr>
        <w:pStyle w:val="ListBullet2"/>
      </w:pPr>
      <w:r w:rsidRPr="00E91C6E">
        <w:t xml:space="preserve">make the </w:t>
      </w:r>
      <w:r w:rsidR="00BD3F9F" w:rsidRPr="00E91C6E">
        <w:t>special form</w:t>
      </w:r>
      <w:r w:rsidRPr="00E91C6E">
        <w:t xml:space="preserve"> easier for GPs to use on their computer</w:t>
      </w:r>
    </w:p>
    <w:p w14:paraId="5A1DD13B" w14:textId="77777777" w:rsidR="00586EED" w:rsidRPr="00E91C6E" w:rsidRDefault="00586EED" w:rsidP="00BB7669">
      <w:pPr>
        <w:pStyle w:val="Heading3"/>
      </w:pPr>
      <w:r w:rsidRPr="00E91C6E">
        <w:t>Primary Care Enhancement Program (PCEP)</w:t>
      </w:r>
    </w:p>
    <w:p w14:paraId="5FA7D507" w14:textId="77777777" w:rsidR="00D13B7D" w:rsidRDefault="00586EED" w:rsidP="00586EED">
      <w:pPr>
        <w:rPr>
          <w:rFonts w:cs="Arial"/>
        </w:rPr>
      </w:pPr>
      <w:r w:rsidRPr="00DD6B8E">
        <w:rPr>
          <w:rFonts w:cs="Arial"/>
        </w:rPr>
        <w:t>Commonwealth funding of $6.56 million has been committed over four years from 2020-21 to deliver the Primary Care Enhancement Program for people with intellectual disability (PCEP). This initiative will</w:t>
      </w:r>
      <w:r w:rsidR="00D13B7D">
        <w:rPr>
          <w:rFonts w:cs="Arial"/>
        </w:rPr>
        <w:t>:</w:t>
      </w:r>
    </w:p>
    <w:p w14:paraId="53327E60" w14:textId="77777777" w:rsidR="00D13B7D" w:rsidRPr="00E91C6E" w:rsidRDefault="00586EED" w:rsidP="00E91C6E">
      <w:pPr>
        <w:pStyle w:val="ListBullet"/>
      </w:pPr>
      <w:r w:rsidRPr="00E91C6E">
        <w:t xml:space="preserve">help </w:t>
      </w:r>
      <w:r w:rsidR="00D13B7D" w:rsidRPr="00E91C6E">
        <w:t>GPs</w:t>
      </w:r>
      <w:r w:rsidRPr="00E91C6E">
        <w:t xml:space="preserve"> and other health professionals provide better care to people with intellectual disability</w:t>
      </w:r>
      <w:r w:rsidR="00D13B7D" w:rsidRPr="00E91C6E">
        <w:t>,</w:t>
      </w:r>
      <w:r w:rsidRPr="00E91C6E">
        <w:t xml:space="preserve"> and </w:t>
      </w:r>
    </w:p>
    <w:p w14:paraId="44F0B37A" w14:textId="7A561362" w:rsidR="00586EED" w:rsidRPr="00E91C6E" w:rsidRDefault="00586EED" w:rsidP="00E91C6E">
      <w:pPr>
        <w:pStyle w:val="ListBullet"/>
      </w:pPr>
      <w:r w:rsidRPr="00E91C6E">
        <w:t xml:space="preserve">give people with intellectual disability improved access to appropriate, quality health services that meet their needs.  </w:t>
      </w:r>
    </w:p>
    <w:p w14:paraId="61223080" w14:textId="32C4BB67" w:rsidR="00586EED" w:rsidRPr="00A5349A" w:rsidRDefault="00586EED" w:rsidP="00586EED">
      <w:pPr>
        <w:rPr>
          <w:rFonts w:cs="Arial"/>
          <w:szCs w:val="22"/>
        </w:rPr>
      </w:pPr>
      <w:r w:rsidRPr="00A5349A">
        <w:rPr>
          <w:rFonts w:cs="Arial"/>
          <w:szCs w:val="22"/>
        </w:rPr>
        <w:t xml:space="preserve">The </w:t>
      </w:r>
      <w:r w:rsidR="00C21002">
        <w:rPr>
          <w:rFonts w:cs="Arial"/>
          <w:szCs w:val="22"/>
        </w:rPr>
        <w:t>Department</w:t>
      </w:r>
      <w:r w:rsidRPr="00A5349A">
        <w:rPr>
          <w:rFonts w:cs="Arial"/>
          <w:szCs w:val="22"/>
        </w:rPr>
        <w:t xml:space="preserve"> is working with four lead Primary Health Networks (PHNs) to develop the PCEP (Central and Eastern Sydney PHN; Central Queensland, Wide Bay, Sunshine Coast PHN; Western Victoria PHN; Primary Health Tasmania). The Council for Intellectual Disability (CID) also develop</w:t>
      </w:r>
      <w:r w:rsidR="00D13B7D">
        <w:rPr>
          <w:rFonts w:cs="Arial"/>
          <w:szCs w:val="22"/>
        </w:rPr>
        <w:t>ed</w:t>
      </w:r>
      <w:r w:rsidRPr="00A5349A">
        <w:rPr>
          <w:rFonts w:cs="Arial"/>
          <w:szCs w:val="22"/>
        </w:rPr>
        <w:t xml:space="preserve"> resources and training materials, including:</w:t>
      </w:r>
    </w:p>
    <w:p w14:paraId="77AB8EE4" w14:textId="31DE71BD" w:rsidR="00586EED" w:rsidRPr="00E91C6E" w:rsidRDefault="00586EED" w:rsidP="00E91C6E">
      <w:pPr>
        <w:pStyle w:val="ListBullet"/>
      </w:pPr>
      <w:r w:rsidRPr="00E91C6E">
        <w:t>a training module for delivery to primary health care professionals by PHNs</w:t>
      </w:r>
    </w:p>
    <w:p w14:paraId="0B95AC5B" w14:textId="42B9D750" w:rsidR="00586EED" w:rsidRPr="00E91C6E" w:rsidRDefault="00586EED" w:rsidP="00E91C6E">
      <w:pPr>
        <w:pStyle w:val="ListBullet"/>
      </w:pPr>
      <w:r w:rsidRPr="00E91C6E">
        <w:t xml:space="preserve">resources for </w:t>
      </w:r>
      <w:r w:rsidR="006B76A4" w:rsidRPr="00E91C6E">
        <w:t xml:space="preserve">GPs </w:t>
      </w:r>
      <w:r w:rsidRPr="00E91C6E">
        <w:t>and other primary care professionals, including information about the National Disability Insurance Scheme</w:t>
      </w:r>
      <w:r w:rsidR="006B76A4" w:rsidRPr="00E91C6E">
        <w:t>,</w:t>
      </w:r>
      <w:r w:rsidRPr="00E91C6E">
        <w:t xml:space="preserve"> and</w:t>
      </w:r>
    </w:p>
    <w:p w14:paraId="0801C55A" w14:textId="77777777" w:rsidR="00586EED" w:rsidRPr="00E91C6E" w:rsidRDefault="00586EED" w:rsidP="00E91C6E">
      <w:pPr>
        <w:pStyle w:val="ListBullet"/>
      </w:pPr>
      <w:r w:rsidRPr="00E91C6E">
        <w:t xml:space="preserve">health promotion materials in Easy Read format for people with intellectual disability and their families. </w:t>
      </w:r>
    </w:p>
    <w:p w14:paraId="688032AE" w14:textId="453ABED9" w:rsidR="00586EED" w:rsidRPr="00C209EA" w:rsidRDefault="00586EED" w:rsidP="00586EED">
      <w:pPr>
        <w:rPr>
          <w:szCs w:val="22"/>
        </w:rPr>
      </w:pPr>
      <w:r>
        <w:rPr>
          <w:szCs w:val="22"/>
        </w:rPr>
        <w:t xml:space="preserve">Resources developed under the PCEP are now available on the </w:t>
      </w:r>
      <w:r w:rsidR="00C21002">
        <w:rPr>
          <w:szCs w:val="22"/>
        </w:rPr>
        <w:t>Department</w:t>
      </w:r>
      <w:r>
        <w:rPr>
          <w:szCs w:val="22"/>
        </w:rPr>
        <w:t>’s website for health professionals and people with intellectual disability to use. A</w:t>
      </w:r>
      <w:r w:rsidR="004D18BF">
        <w:rPr>
          <w:szCs w:val="22"/>
        </w:rPr>
        <w:t xml:space="preserve"> </w:t>
      </w:r>
      <w:r>
        <w:rPr>
          <w:szCs w:val="22"/>
        </w:rPr>
        <w:t xml:space="preserve">link to these resources </w:t>
      </w:r>
      <w:r w:rsidR="00697326">
        <w:rPr>
          <w:szCs w:val="22"/>
        </w:rPr>
        <w:t>can be found here</w:t>
      </w:r>
      <w:r>
        <w:rPr>
          <w:szCs w:val="22"/>
        </w:rPr>
        <w:t>:</w:t>
      </w:r>
    </w:p>
    <w:p w14:paraId="19253C97" w14:textId="112FDB55" w:rsidR="00586EED" w:rsidRDefault="001757A9" w:rsidP="00586EED">
      <w:pPr>
        <w:rPr>
          <w:rFonts w:cs="Arial"/>
          <w:szCs w:val="22"/>
        </w:rPr>
      </w:pPr>
      <w:hyperlink r:id="rId11" w:anchor="resources" w:history="1">
        <w:r w:rsidR="00586EED">
          <w:rPr>
            <w:rStyle w:val="Hyperlink"/>
          </w:rPr>
          <w:t xml:space="preserve">National Roadmap for Improving the Health of People with Intellectual Disability | Australian Government </w:t>
        </w:r>
        <w:r w:rsidR="00C21002">
          <w:rPr>
            <w:rStyle w:val="Hyperlink"/>
          </w:rPr>
          <w:t>Department</w:t>
        </w:r>
        <w:r w:rsidR="00586EED">
          <w:rPr>
            <w:rStyle w:val="Hyperlink"/>
          </w:rPr>
          <w:t xml:space="preserve"> of Health and Aged Care</w:t>
        </w:r>
      </w:hyperlink>
    </w:p>
    <w:p w14:paraId="2E12CA4A" w14:textId="34387CF8" w:rsidR="009D5D76" w:rsidRPr="009D5D76" w:rsidRDefault="006B76A4" w:rsidP="00586EED">
      <w:pPr>
        <w:rPr>
          <w:rFonts w:cs="Arial"/>
          <w:szCs w:val="22"/>
        </w:rPr>
      </w:pPr>
      <w:r>
        <w:rPr>
          <w:rFonts w:cs="Arial"/>
          <w:szCs w:val="22"/>
        </w:rPr>
        <w:t>The Department has</w:t>
      </w:r>
      <w:r w:rsidR="009D5D76">
        <w:rPr>
          <w:rFonts w:cs="Arial"/>
          <w:szCs w:val="22"/>
        </w:rPr>
        <w:t xml:space="preserve"> engaged an organisation to do an evaluation of the PCEP.</w:t>
      </w:r>
    </w:p>
    <w:p w14:paraId="44923E9A" w14:textId="47C36552" w:rsidR="00586EED" w:rsidRPr="00E91C6E" w:rsidRDefault="00D13B7D" w:rsidP="00BB7669">
      <w:pPr>
        <w:pStyle w:val="Heading4"/>
      </w:pPr>
      <w:r w:rsidRPr="00E91C6E">
        <w:lastRenderedPageBreak/>
        <w:t>Next steps:</w:t>
      </w:r>
    </w:p>
    <w:p w14:paraId="3CB9F169" w14:textId="1C3C1346" w:rsidR="00D13B7D" w:rsidRPr="00E91C6E" w:rsidRDefault="00D13B7D" w:rsidP="00E91C6E">
      <w:pPr>
        <w:pStyle w:val="ListBullet"/>
      </w:pPr>
      <w:r w:rsidRPr="00E91C6E">
        <w:t>The evaluator will collect the first set of information from the PHNs at the end of November 2022</w:t>
      </w:r>
    </w:p>
    <w:p w14:paraId="4ED503FB" w14:textId="20E3F34D" w:rsidR="00D13B7D" w:rsidRPr="00E91C6E" w:rsidRDefault="009D5D76" w:rsidP="00E91C6E">
      <w:pPr>
        <w:pStyle w:val="ListBullet"/>
      </w:pPr>
      <w:r w:rsidRPr="00E91C6E">
        <w:t>The evaluator</w:t>
      </w:r>
      <w:r w:rsidR="00D13B7D" w:rsidRPr="00E91C6E">
        <w:t xml:space="preserve"> will visit each PHN region in 2023 to talk to health workers, people with intellectual disability and advocacy groups. The information they collect will be part of the evaluation.</w:t>
      </w:r>
    </w:p>
    <w:p w14:paraId="612E658B" w14:textId="14559869" w:rsidR="00270271" w:rsidRPr="00E91C6E" w:rsidRDefault="00D13B7D" w:rsidP="00E91C6E">
      <w:pPr>
        <w:pStyle w:val="ListBullet"/>
      </w:pPr>
      <w:r w:rsidRPr="00E91C6E">
        <w:t xml:space="preserve">The PHNs will keep </w:t>
      </w:r>
      <w:r w:rsidR="004D18BF" w:rsidRPr="00E91C6E">
        <w:t>delivering</w:t>
      </w:r>
      <w:r w:rsidRPr="00E91C6E">
        <w:t xml:space="preserve"> training to health workers until December 2022. There are plans to deliver more training in 2023.</w:t>
      </w:r>
    </w:p>
    <w:sectPr w:rsidR="00270271" w:rsidRPr="00E91C6E" w:rsidSect="008579C7">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78E32" w14:textId="77777777" w:rsidR="00074037" w:rsidRDefault="00074037" w:rsidP="006B56BB">
      <w:r>
        <w:separator/>
      </w:r>
    </w:p>
    <w:p w14:paraId="4106DE1E" w14:textId="77777777" w:rsidR="00074037" w:rsidRDefault="00074037"/>
  </w:endnote>
  <w:endnote w:type="continuationSeparator" w:id="0">
    <w:p w14:paraId="476B77D7" w14:textId="77777777" w:rsidR="00074037" w:rsidRDefault="00074037" w:rsidP="006B56BB">
      <w:r>
        <w:continuationSeparator/>
      </w:r>
    </w:p>
    <w:p w14:paraId="00E13EA3" w14:textId="77777777" w:rsidR="00074037" w:rsidRDefault="00074037"/>
  </w:endnote>
  <w:endnote w:type="continuationNotice" w:id="1">
    <w:p w14:paraId="388D9FC4" w14:textId="77777777" w:rsidR="00074037" w:rsidRDefault="00074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0ACA" w14:textId="77777777" w:rsidR="00C617B9" w:rsidRDefault="00C61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8862" w14:textId="1E838B55" w:rsidR="00450FFA" w:rsidRDefault="00450FFA" w:rsidP="00753F14">
    <w:pPr>
      <w:pStyle w:val="Footer"/>
      <w:tabs>
        <w:tab w:val="clear" w:pos="4513"/>
      </w:tabs>
    </w:pPr>
    <w:r>
      <w:t xml:space="preserve">RIGG </w:t>
    </w:r>
    <w:r w:rsidRPr="00440411">
      <w:t xml:space="preserve">– </w:t>
    </w:r>
    <w:r>
      <w:t>Meeting Summary – 1</w:t>
    </w:r>
    <w:r w:rsidR="008E1878">
      <w:t xml:space="preserve">4 November </w:t>
    </w:r>
    <w:r>
      <w:t>2022</w:t>
    </w:r>
    <w:sdt>
      <w:sdtPr>
        <w:id w:val="-1702395296"/>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CFB6" w14:textId="4617D94C" w:rsidR="00450FFA" w:rsidRDefault="00450FFA" w:rsidP="00753F14">
    <w:pPr>
      <w:pStyle w:val="Footer"/>
      <w:tabs>
        <w:tab w:val="clear" w:pos="4513"/>
      </w:tabs>
    </w:pPr>
    <w:r>
      <w:t xml:space="preserve">RIGG </w:t>
    </w:r>
    <w:r w:rsidRPr="00440411">
      <w:t xml:space="preserve">– </w:t>
    </w:r>
    <w:r>
      <w:t xml:space="preserve">Meeting Summary – </w:t>
    </w:r>
    <w:r w:rsidR="00C617B9">
      <w:t>14 November</w:t>
    </w:r>
    <w:r>
      <w:t xml:space="preserve"> 2022</w:t>
    </w:r>
    <w:r>
      <w:tab/>
    </w:r>
    <w:r w:rsidRPr="003D033A">
      <w:fldChar w:fldCharType="begin"/>
    </w:r>
    <w:r w:rsidRPr="003D033A">
      <w:instrText xml:space="preserve"> PAGE   \* MERGEFORMAT </w:instrText>
    </w:r>
    <w:r w:rsidRPr="003D033A">
      <w:fldChar w:fldCharType="separate"/>
    </w:r>
    <w:r>
      <w:t>1</w:t>
    </w:r>
    <w:r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2D50" w14:textId="77777777" w:rsidR="00074037" w:rsidRDefault="00074037" w:rsidP="006B56BB">
      <w:r>
        <w:separator/>
      </w:r>
    </w:p>
    <w:p w14:paraId="35531A9F" w14:textId="77777777" w:rsidR="00074037" w:rsidRDefault="00074037"/>
  </w:footnote>
  <w:footnote w:type="continuationSeparator" w:id="0">
    <w:p w14:paraId="08BE3B4D" w14:textId="77777777" w:rsidR="00074037" w:rsidRDefault="00074037" w:rsidP="006B56BB">
      <w:r>
        <w:continuationSeparator/>
      </w:r>
    </w:p>
    <w:p w14:paraId="04F5A988" w14:textId="77777777" w:rsidR="00074037" w:rsidRDefault="00074037"/>
  </w:footnote>
  <w:footnote w:type="continuationNotice" w:id="1">
    <w:p w14:paraId="371CB86F" w14:textId="77777777" w:rsidR="00074037" w:rsidRDefault="000740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9F00" w14:textId="77777777" w:rsidR="00C617B9" w:rsidRDefault="00C61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E381" w14:textId="0FBB63A9" w:rsidR="00450FFA" w:rsidRPr="0090756C" w:rsidRDefault="00450FFA" w:rsidP="00671593">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EDD1" w14:textId="7DFD5797" w:rsidR="00450FFA" w:rsidRDefault="00450FFA">
    <w:pPr>
      <w:pStyle w:val="Header"/>
    </w:pPr>
    <w:r>
      <w:rPr>
        <w:noProof/>
        <w:lang w:eastAsia="en-AU"/>
      </w:rPr>
      <w:drawing>
        <wp:inline distT="0" distB="0" distL="0" distR="0" wp14:anchorId="7B1624FA" wp14:editId="1B958508">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0695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D82D2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9C675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40233F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86E25F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47923280"/>
    <w:lvl w:ilvl="0">
      <w:start w:val="1"/>
      <w:numFmt w:val="decimal"/>
      <w:lvlText w:val="%1."/>
      <w:lvlJc w:val="left"/>
      <w:pPr>
        <w:tabs>
          <w:tab w:val="num" w:pos="360"/>
        </w:tabs>
        <w:ind w:left="360" w:hanging="360"/>
      </w:pPr>
    </w:lvl>
  </w:abstractNum>
  <w:abstractNum w:abstractNumId="6" w15:restartNumberingAfterBreak="0">
    <w:nsid w:val="002F3837"/>
    <w:multiLevelType w:val="hybridMultilevel"/>
    <w:tmpl w:val="C4D493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8700D6"/>
    <w:multiLevelType w:val="hybridMultilevel"/>
    <w:tmpl w:val="7436B5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6051061"/>
    <w:multiLevelType w:val="hybridMultilevel"/>
    <w:tmpl w:val="2DA2FF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76A2698"/>
    <w:multiLevelType w:val="hybridMultilevel"/>
    <w:tmpl w:val="640447EC"/>
    <w:lvl w:ilvl="0" w:tplc="BC06C8CE">
      <w:start w:val="1"/>
      <w:numFmt w:val="decimal"/>
      <w:pStyle w:val="TableNListnumbered"/>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D1413D"/>
    <w:multiLevelType w:val="multilevel"/>
    <w:tmpl w:val="E14812AE"/>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67" w:hanging="283"/>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40DF67D5"/>
    <w:multiLevelType w:val="hybridMultilevel"/>
    <w:tmpl w:val="441085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8065819"/>
    <w:multiLevelType w:val="hybridMultilevel"/>
    <w:tmpl w:val="46A464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3261DEC"/>
    <w:multiLevelType w:val="hybridMultilevel"/>
    <w:tmpl w:val="55BA1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435470B"/>
    <w:multiLevelType w:val="hybridMultilevel"/>
    <w:tmpl w:val="5EB227A0"/>
    <w:lvl w:ilvl="0" w:tplc="B01CADF2">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7D26447"/>
    <w:multiLevelType w:val="hybridMultilevel"/>
    <w:tmpl w:val="AAE0C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8E046C6"/>
    <w:multiLevelType w:val="hybridMultilevel"/>
    <w:tmpl w:val="BA80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4B33F5"/>
    <w:multiLevelType w:val="hybridMultilevel"/>
    <w:tmpl w:val="4C68B9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25681D"/>
    <w:multiLevelType w:val="hybridMultilevel"/>
    <w:tmpl w:val="D53863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FD4171"/>
    <w:multiLevelType w:val="hybridMultilevel"/>
    <w:tmpl w:val="BD305E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AEA4451"/>
    <w:multiLevelType w:val="hybridMultilevel"/>
    <w:tmpl w:val="2CB8E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276F03"/>
    <w:multiLevelType w:val="hybridMultilevel"/>
    <w:tmpl w:val="0D0AB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6"/>
  </w:num>
  <w:num w:numId="2">
    <w:abstractNumId w:val="27"/>
  </w:num>
  <w:num w:numId="3">
    <w:abstractNumId w:val="8"/>
  </w:num>
  <w:num w:numId="4">
    <w:abstractNumId w:val="10"/>
  </w:num>
  <w:num w:numId="5">
    <w:abstractNumId w:val="23"/>
  </w:num>
  <w:num w:numId="6">
    <w:abstractNumId w:val="7"/>
  </w:num>
  <w:num w:numId="7">
    <w:abstractNumId w:val="18"/>
  </w:num>
  <w:num w:numId="8">
    <w:abstractNumId w:val="13"/>
  </w:num>
  <w:num w:numId="9">
    <w:abstractNumId w:val="12"/>
  </w:num>
  <w:num w:numId="10">
    <w:abstractNumId w:val="21"/>
  </w:num>
  <w:num w:numId="11">
    <w:abstractNumId w:val="26"/>
  </w:num>
  <w:num w:numId="12">
    <w:abstractNumId w:val="6"/>
  </w:num>
  <w:num w:numId="13">
    <w:abstractNumId w:val="14"/>
  </w:num>
  <w:num w:numId="14">
    <w:abstractNumId w:val="22"/>
  </w:num>
  <w:num w:numId="15">
    <w:abstractNumId w:val="20"/>
  </w:num>
  <w:num w:numId="16">
    <w:abstractNumId w:val="24"/>
  </w:num>
  <w:num w:numId="17">
    <w:abstractNumId w:val="15"/>
  </w:num>
  <w:num w:numId="18">
    <w:abstractNumId w:val="9"/>
  </w:num>
  <w:num w:numId="19">
    <w:abstractNumId w:val="25"/>
  </w:num>
  <w:num w:numId="20">
    <w:abstractNumId w:val="18"/>
  </w:num>
  <w:num w:numId="21">
    <w:abstractNumId w:val="18"/>
  </w:num>
  <w:num w:numId="22">
    <w:abstractNumId w:val="11"/>
  </w:num>
  <w:num w:numId="23">
    <w:abstractNumId w:val="18"/>
  </w:num>
  <w:num w:numId="24">
    <w:abstractNumId w:val="19"/>
  </w:num>
  <w:num w:numId="25">
    <w:abstractNumId w:val="17"/>
  </w:num>
  <w:num w:numId="26">
    <w:abstractNumId w:val="8"/>
  </w:num>
  <w:num w:numId="27">
    <w:abstractNumId w:val="4"/>
  </w:num>
  <w:num w:numId="28">
    <w:abstractNumId w:val="3"/>
  </w:num>
  <w:num w:numId="29">
    <w:abstractNumId w:val="2"/>
  </w:num>
  <w:num w:numId="30">
    <w:abstractNumId w:val="5"/>
  </w:num>
  <w:num w:numId="31">
    <w:abstractNumId w:val="1"/>
  </w:num>
  <w:num w:numId="3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A0"/>
    <w:rsid w:val="00003743"/>
    <w:rsid w:val="000047B4"/>
    <w:rsid w:val="00005712"/>
    <w:rsid w:val="0000739D"/>
    <w:rsid w:val="00007FD8"/>
    <w:rsid w:val="000117F8"/>
    <w:rsid w:val="0001460F"/>
    <w:rsid w:val="00014E5A"/>
    <w:rsid w:val="00017FD8"/>
    <w:rsid w:val="00020F3D"/>
    <w:rsid w:val="000212DE"/>
    <w:rsid w:val="00022629"/>
    <w:rsid w:val="00026139"/>
    <w:rsid w:val="00027601"/>
    <w:rsid w:val="000325F3"/>
    <w:rsid w:val="00033321"/>
    <w:rsid w:val="000333B9"/>
    <w:rsid w:val="000338E5"/>
    <w:rsid w:val="00033ECC"/>
    <w:rsid w:val="0003422F"/>
    <w:rsid w:val="0004068A"/>
    <w:rsid w:val="000435A0"/>
    <w:rsid w:val="0004403B"/>
    <w:rsid w:val="00046FF0"/>
    <w:rsid w:val="00050176"/>
    <w:rsid w:val="00067456"/>
    <w:rsid w:val="00067C52"/>
    <w:rsid w:val="00070280"/>
    <w:rsid w:val="00071506"/>
    <w:rsid w:val="0007154F"/>
    <w:rsid w:val="00073BBC"/>
    <w:rsid w:val="00074037"/>
    <w:rsid w:val="000754EB"/>
    <w:rsid w:val="000811C0"/>
    <w:rsid w:val="00081AB1"/>
    <w:rsid w:val="00084654"/>
    <w:rsid w:val="00084991"/>
    <w:rsid w:val="00090316"/>
    <w:rsid w:val="00093981"/>
    <w:rsid w:val="000941F8"/>
    <w:rsid w:val="00095A4C"/>
    <w:rsid w:val="00096A2E"/>
    <w:rsid w:val="000975FA"/>
    <w:rsid w:val="000A1DB7"/>
    <w:rsid w:val="000A4327"/>
    <w:rsid w:val="000A7726"/>
    <w:rsid w:val="000B067A"/>
    <w:rsid w:val="000B14BC"/>
    <w:rsid w:val="000B1540"/>
    <w:rsid w:val="000B1CC0"/>
    <w:rsid w:val="000B1E53"/>
    <w:rsid w:val="000B33FD"/>
    <w:rsid w:val="000B4A01"/>
    <w:rsid w:val="000B4ABA"/>
    <w:rsid w:val="000B5246"/>
    <w:rsid w:val="000B6062"/>
    <w:rsid w:val="000C243A"/>
    <w:rsid w:val="000C4B16"/>
    <w:rsid w:val="000C50C3"/>
    <w:rsid w:val="000C5E14"/>
    <w:rsid w:val="000D21F6"/>
    <w:rsid w:val="000D3B82"/>
    <w:rsid w:val="000D4500"/>
    <w:rsid w:val="000D7011"/>
    <w:rsid w:val="000D7AEA"/>
    <w:rsid w:val="000E2C66"/>
    <w:rsid w:val="000E550F"/>
    <w:rsid w:val="000E66AA"/>
    <w:rsid w:val="000F123C"/>
    <w:rsid w:val="000F2931"/>
    <w:rsid w:val="000F2FED"/>
    <w:rsid w:val="000F682E"/>
    <w:rsid w:val="000F6A15"/>
    <w:rsid w:val="00101780"/>
    <w:rsid w:val="0010616D"/>
    <w:rsid w:val="00110478"/>
    <w:rsid w:val="00112326"/>
    <w:rsid w:val="00113D80"/>
    <w:rsid w:val="0011711B"/>
    <w:rsid w:val="00117F8A"/>
    <w:rsid w:val="00121B9B"/>
    <w:rsid w:val="00122ADC"/>
    <w:rsid w:val="0012678D"/>
    <w:rsid w:val="00130F59"/>
    <w:rsid w:val="00133EC0"/>
    <w:rsid w:val="00141CE5"/>
    <w:rsid w:val="00144908"/>
    <w:rsid w:val="00146B24"/>
    <w:rsid w:val="00150937"/>
    <w:rsid w:val="001520DC"/>
    <w:rsid w:val="001571C7"/>
    <w:rsid w:val="00161094"/>
    <w:rsid w:val="001621BB"/>
    <w:rsid w:val="00163AD6"/>
    <w:rsid w:val="00167C0A"/>
    <w:rsid w:val="001702A3"/>
    <w:rsid w:val="00172AC2"/>
    <w:rsid w:val="001757A9"/>
    <w:rsid w:val="0017665C"/>
    <w:rsid w:val="00176D1D"/>
    <w:rsid w:val="00177AD2"/>
    <w:rsid w:val="001815A8"/>
    <w:rsid w:val="001840FA"/>
    <w:rsid w:val="00187295"/>
    <w:rsid w:val="00190079"/>
    <w:rsid w:val="00191532"/>
    <w:rsid w:val="00191592"/>
    <w:rsid w:val="0019622E"/>
    <w:rsid w:val="001964D0"/>
    <w:rsid w:val="001966A7"/>
    <w:rsid w:val="001A1EF3"/>
    <w:rsid w:val="001A2511"/>
    <w:rsid w:val="001A4627"/>
    <w:rsid w:val="001A4979"/>
    <w:rsid w:val="001B0543"/>
    <w:rsid w:val="001B08BB"/>
    <w:rsid w:val="001B0F2D"/>
    <w:rsid w:val="001B15D3"/>
    <w:rsid w:val="001B3443"/>
    <w:rsid w:val="001B6FB9"/>
    <w:rsid w:val="001C0326"/>
    <w:rsid w:val="001C0D9F"/>
    <w:rsid w:val="001C192F"/>
    <w:rsid w:val="001C2085"/>
    <w:rsid w:val="001C3C42"/>
    <w:rsid w:val="001D0656"/>
    <w:rsid w:val="001D39B1"/>
    <w:rsid w:val="001D7869"/>
    <w:rsid w:val="001E7B92"/>
    <w:rsid w:val="001F2277"/>
    <w:rsid w:val="001F2E90"/>
    <w:rsid w:val="001F4558"/>
    <w:rsid w:val="002026CD"/>
    <w:rsid w:val="00202C73"/>
    <w:rsid w:val="002033FC"/>
    <w:rsid w:val="002044BB"/>
    <w:rsid w:val="00210B09"/>
    <w:rsid w:val="00210C9E"/>
    <w:rsid w:val="00211840"/>
    <w:rsid w:val="00220E5F"/>
    <w:rsid w:val="002212B5"/>
    <w:rsid w:val="002213C2"/>
    <w:rsid w:val="00224D15"/>
    <w:rsid w:val="00225212"/>
    <w:rsid w:val="00226668"/>
    <w:rsid w:val="00230376"/>
    <w:rsid w:val="0023229A"/>
    <w:rsid w:val="00233809"/>
    <w:rsid w:val="00240046"/>
    <w:rsid w:val="00243396"/>
    <w:rsid w:val="00243EB9"/>
    <w:rsid w:val="0024797F"/>
    <w:rsid w:val="0025119E"/>
    <w:rsid w:val="00251269"/>
    <w:rsid w:val="002535C0"/>
    <w:rsid w:val="002547E0"/>
    <w:rsid w:val="002579FE"/>
    <w:rsid w:val="00257C91"/>
    <w:rsid w:val="0026172C"/>
    <w:rsid w:val="00261DD7"/>
    <w:rsid w:val="0026311C"/>
    <w:rsid w:val="0026668C"/>
    <w:rsid w:val="00266AC1"/>
    <w:rsid w:val="00270271"/>
    <w:rsid w:val="0027178C"/>
    <w:rsid w:val="002719FA"/>
    <w:rsid w:val="00272483"/>
    <w:rsid w:val="00272668"/>
    <w:rsid w:val="0027330B"/>
    <w:rsid w:val="00275FF7"/>
    <w:rsid w:val="00276B43"/>
    <w:rsid w:val="00276FA6"/>
    <w:rsid w:val="002803AD"/>
    <w:rsid w:val="00282052"/>
    <w:rsid w:val="0028519E"/>
    <w:rsid w:val="002856A5"/>
    <w:rsid w:val="002872ED"/>
    <w:rsid w:val="002877D6"/>
    <w:rsid w:val="002905C2"/>
    <w:rsid w:val="00295AF2"/>
    <w:rsid w:val="00295C91"/>
    <w:rsid w:val="00297151"/>
    <w:rsid w:val="002A0169"/>
    <w:rsid w:val="002A200B"/>
    <w:rsid w:val="002A53BE"/>
    <w:rsid w:val="002B20E6"/>
    <w:rsid w:val="002B287F"/>
    <w:rsid w:val="002B42A3"/>
    <w:rsid w:val="002C0CDD"/>
    <w:rsid w:val="002C38C4"/>
    <w:rsid w:val="002C5B7B"/>
    <w:rsid w:val="002D1077"/>
    <w:rsid w:val="002D2A3E"/>
    <w:rsid w:val="002D55EB"/>
    <w:rsid w:val="002E1A1D"/>
    <w:rsid w:val="002E2DEB"/>
    <w:rsid w:val="002E4081"/>
    <w:rsid w:val="002E57C8"/>
    <w:rsid w:val="002E5B78"/>
    <w:rsid w:val="002F3AE3"/>
    <w:rsid w:val="0030464B"/>
    <w:rsid w:val="003046A9"/>
    <w:rsid w:val="00305D17"/>
    <w:rsid w:val="0030786C"/>
    <w:rsid w:val="00314902"/>
    <w:rsid w:val="00315A6D"/>
    <w:rsid w:val="00316074"/>
    <w:rsid w:val="00316D31"/>
    <w:rsid w:val="003233DE"/>
    <w:rsid w:val="0032466B"/>
    <w:rsid w:val="0032697C"/>
    <w:rsid w:val="00326CAC"/>
    <w:rsid w:val="00330FA8"/>
    <w:rsid w:val="003319B9"/>
    <w:rsid w:val="003330EB"/>
    <w:rsid w:val="00334C00"/>
    <w:rsid w:val="00337E65"/>
    <w:rsid w:val="003415FD"/>
    <w:rsid w:val="003429F0"/>
    <w:rsid w:val="00343BD6"/>
    <w:rsid w:val="00344D7B"/>
    <w:rsid w:val="00345A82"/>
    <w:rsid w:val="0035097A"/>
    <w:rsid w:val="003540A4"/>
    <w:rsid w:val="00357BCC"/>
    <w:rsid w:val="00360E4E"/>
    <w:rsid w:val="0036170F"/>
    <w:rsid w:val="00370AAA"/>
    <w:rsid w:val="003712D3"/>
    <w:rsid w:val="00373CEA"/>
    <w:rsid w:val="00374333"/>
    <w:rsid w:val="0037452C"/>
    <w:rsid w:val="00375F77"/>
    <w:rsid w:val="00381BBE"/>
    <w:rsid w:val="00382903"/>
    <w:rsid w:val="003833E9"/>
    <w:rsid w:val="00383DC1"/>
    <w:rsid w:val="003846FF"/>
    <w:rsid w:val="003857D4"/>
    <w:rsid w:val="00385AD4"/>
    <w:rsid w:val="00386A60"/>
    <w:rsid w:val="00387924"/>
    <w:rsid w:val="0039205F"/>
    <w:rsid w:val="003926D3"/>
    <w:rsid w:val="0039384D"/>
    <w:rsid w:val="00395C23"/>
    <w:rsid w:val="0039615B"/>
    <w:rsid w:val="00397023"/>
    <w:rsid w:val="003A2E4F"/>
    <w:rsid w:val="003A4438"/>
    <w:rsid w:val="003A4B6A"/>
    <w:rsid w:val="003A4E28"/>
    <w:rsid w:val="003A5013"/>
    <w:rsid w:val="003A5078"/>
    <w:rsid w:val="003A62DD"/>
    <w:rsid w:val="003A6BAF"/>
    <w:rsid w:val="003A775A"/>
    <w:rsid w:val="003A7DEA"/>
    <w:rsid w:val="003B0542"/>
    <w:rsid w:val="003B213A"/>
    <w:rsid w:val="003B3FC5"/>
    <w:rsid w:val="003B43AD"/>
    <w:rsid w:val="003C0FEC"/>
    <w:rsid w:val="003C2AC8"/>
    <w:rsid w:val="003C6F7F"/>
    <w:rsid w:val="003D033A"/>
    <w:rsid w:val="003D0E66"/>
    <w:rsid w:val="003D17F9"/>
    <w:rsid w:val="003D2D88"/>
    <w:rsid w:val="003D38EC"/>
    <w:rsid w:val="003D41EA"/>
    <w:rsid w:val="003D4850"/>
    <w:rsid w:val="003D535A"/>
    <w:rsid w:val="003D5A62"/>
    <w:rsid w:val="003E05DB"/>
    <w:rsid w:val="003E1396"/>
    <w:rsid w:val="003E37FD"/>
    <w:rsid w:val="003E5265"/>
    <w:rsid w:val="003E56F3"/>
    <w:rsid w:val="003E7C02"/>
    <w:rsid w:val="003F0955"/>
    <w:rsid w:val="003F5F4D"/>
    <w:rsid w:val="003F646F"/>
    <w:rsid w:val="003F7996"/>
    <w:rsid w:val="00400F00"/>
    <w:rsid w:val="00404F8B"/>
    <w:rsid w:val="00405256"/>
    <w:rsid w:val="004075E9"/>
    <w:rsid w:val="00410031"/>
    <w:rsid w:val="004120A1"/>
    <w:rsid w:val="004123F0"/>
    <w:rsid w:val="0041308C"/>
    <w:rsid w:val="00415C81"/>
    <w:rsid w:val="00417A6F"/>
    <w:rsid w:val="004267B8"/>
    <w:rsid w:val="00426A00"/>
    <w:rsid w:val="004274F4"/>
    <w:rsid w:val="00432378"/>
    <w:rsid w:val="00440411"/>
    <w:rsid w:val="00440D65"/>
    <w:rsid w:val="004421E8"/>
    <w:rsid w:val="004435E6"/>
    <w:rsid w:val="00447E31"/>
    <w:rsid w:val="00450EA0"/>
    <w:rsid w:val="00450FFA"/>
    <w:rsid w:val="00453923"/>
    <w:rsid w:val="00454B9B"/>
    <w:rsid w:val="00457858"/>
    <w:rsid w:val="00460B0B"/>
    <w:rsid w:val="00461023"/>
    <w:rsid w:val="00462FAC"/>
    <w:rsid w:val="00464631"/>
    <w:rsid w:val="00464B79"/>
    <w:rsid w:val="00467879"/>
    <w:rsid w:val="00467BBF"/>
    <w:rsid w:val="00467F33"/>
    <w:rsid w:val="004704A4"/>
    <w:rsid w:val="00476657"/>
    <w:rsid w:val="00476823"/>
    <w:rsid w:val="0048242D"/>
    <w:rsid w:val="00482DC4"/>
    <w:rsid w:val="0048593C"/>
    <w:rsid w:val="004867E2"/>
    <w:rsid w:val="004929A9"/>
    <w:rsid w:val="004A49C5"/>
    <w:rsid w:val="004A5A01"/>
    <w:rsid w:val="004A78D9"/>
    <w:rsid w:val="004A7AE8"/>
    <w:rsid w:val="004B4B47"/>
    <w:rsid w:val="004B5A85"/>
    <w:rsid w:val="004C5F00"/>
    <w:rsid w:val="004C6BCF"/>
    <w:rsid w:val="004D18BF"/>
    <w:rsid w:val="004D58BF"/>
    <w:rsid w:val="004E0F6C"/>
    <w:rsid w:val="004E4335"/>
    <w:rsid w:val="004E621B"/>
    <w:rsid w:val="004F13EE"/>
    <w:rsid w:val="004F2022"/>
    <w:rsid w:val="004F53C9"/>
    <w:rsid w:val="004F5B82"/>
    <w:rsid w:val="004F7737"/>
    <w:rsid w:val="004F7C05"/>
    <w:rsid w:val="00501C94"/>
    <w:rsid w:val="005020B9"/>
    <w:rsid w:val="00506432"/>
    <w:rsid w:val="005154CA"/>
    <w:rsid w:val="00516E67"/>
    <w:rsid w:val="00517490"/>
    <w:rsid w:val="0052051D"/>
    <w:rsid w:val="00520FDF"/>
    <w:rsid w:val="00525AC1"/>
    <w:rsid w:val="00527F67"/>
    <w:rsid w:val="00535FED"/>
    <w:rsid w:val="00536EF0"/>
    <w:rsid w:val="00541452"/>
    <w:rsid w:val="00541D29"/>
    <w:rsid w:val="00543547"/>
    <w:rsid w:val="0054507A"/>
    <w:rsid w:val="00545EE6"/>
    <w:rsid w:val="0054768D"/>
    <w:rsid w:val="005479F3"/>
    <w:rsid w:val="00554DD8"/>
    <w:rsid w:val="005550E7"/>
    <w:rsid w:val="0055615A"/>
    <w:rsid w:val="005564FB"/>
    <w:rsid w:val="005572C7"/>
    <w:rsid w:val="005611B5"/>
    <w:rsid w:val="00561B3D"/>
    <w:rsid w:val="005622C2"/>
    <w:rsid w:val="005650ED"/>
    <w:rsid w:val="005655D8"/>
    <w:rsid w:val="00575754"/>
    <w:rsid w:val="00581FBA"/>
    <w:rsid w:val="005823DC"/>
    <w:rsid w:val="005832EF"/>
    <w:rsid w:val="00585BCD"/>
    <w:rsid w:val="00586EED"/>
    <w:rsid w:val="005900C2"/>
    <w:rsid w:val="00591E20"/>
    <w:rsid w:val="00595408"/>
    <w:rsid w:val="00595E84"/>
    <w:rsid w:val="005A0C59"/>
    <w:rsid w:val="005A48EB"/>
    <w:rsid w:val="005A6CFB"/>
    <w:rsid w:val="005B73A4"/>
    <w:rsid w:val="005C5AEB"/>
    <w:rsid w:val="005D0D0A"/>
    <w:rsid w:val="005D1A10"/>
    <w:rsid w:val="005D3E7F"/>
    <w:rsid w:val="005D47F9"/>
    <w:rsid w:val="005E0A3F"/>
    <w:rsid w:val="005E6883"/>
    <w:rsid w:val="005E772F"/>
    <w:rsid w:val="005F22A9"/>
    <w:rsid w:val="005F39D7"/>
    <w:rsid w:val="005F4ECA"/>
    <w:rsid w:val="005F7FE4"/>
    <w:rsid w:val="006041BE"/>
    <w:rsid w:val="006043C7"/>
    <w:rsid w:val="00607381"/>
    <w:rsid w:val="006159C3"/>
    <w:rsid w:val="00624B52"/>
    <w:rsid w:val="006265E0"/>
    <w:rsid w:val="00627F2F"/>
    <w:rsid w:val="00630794"/>
    <w:rsid w:val="00631DF4"/>
    <w:rsid w:val="00634175"/>
    <w:rsid w:val="006408AC"/>
    <w:rsid w:val="006511B6"/>
    <w:rsid w:val="00657FF8"/>
    <w:rsid w:val="00670C68"/>
    <w:rsid w:val="00670D99"/>
    <w:rsid w:val="00670E2B"/>
    <w:rsid w:val="00671593"/>
    <w:rsid w:val="0067236F"/>
    <w:rsid w:val="006734BB"/>
    <w:rsid w:val="0067697A"/>
    <w:rsid w:val="00680946"/>
    <w:rsid w:val="0068134A"/>
    <w:rsid w:val="006821EB"/>
    <w:rsid w:val="006822FA"/>
    <w:rsid w:val="0068374C"/>
    <w:rsid w:val="006932E3"/>
    <w:rsid w:val="0069447E"/>
    <w:rsid w:val="00697144"/>
    <w:rsid w:val="00697326"/>
    <w:rsid w:val="006A060A"/>
    <w:rsid w:val="006A4040"/>
    <w:rsid w:val="006A5D7C"/>
    <w:rsid w:val="006B2286"/>
    <w:rsid w:val="006B4349"/>
    <w:rsid w:val="006B56BB"/>
    <w:rsid w:val="006B76A4"/>
    <w:rsid w:val="006C1D37"/>
    <w:rsid w:val="006C2A47"/>
    <w:rsid w:val="006C5485"/>
    <w:rsid w:val="006C5C8D"/>
    <w:rsid w:val="006C7157"/>
    <w:rsid w:val="006C7531"/>
    <w:rsid w:val="006C77A8"/>
    <w:rsid w:val="006D4098"/>
    <w:rsid w:val="006D7681"/>
    <w:rsid w:val="006D7B2E"/>
    <w:rsid w:val="006E02EA"/>
    <w:rsid w:val="006E0968"/>
    <w:rsid w:val="006E1D99"/>
    <w:rsid w:val="006E2AF6"/>
    <w:rsid w:val="006E66B1"/>
    <w:rsid w:val="006F15DB"/>
    <w:rsid w:val="006F3636"/>
    <w:rsid w:val="007000DB"/>
    <w:rsid w:val="00701275"/>
    <w:rsid w:val="00707F56"/>
    <w:rsid w:val="00713558"/>
    <w:rsid w:val="007153F3"/>
    <w:rsid w:val="00720D08"/>
    <w:rsid w:val="007263B9"/>
    <w:rsid w:val="00730E51"/>
    <w:rsid w:val="007334F8"/>
    <w:rsid w:val="007339CD"/>
    <w:rsid w:val="007358DE"/>
    <w:rsid w:val="007359D8"/>
    <w:rsid w:val="007362D4"/>
    <w:rsid w:val="007375FA"/>
    <w:rsid w:val="00742C87"/>
    <w:rsid w:val="007440FF"/>
    <w:rsid w:val="007464EE"/>
    <w:rsid w:val="00750C49"/>
    <w:rsid w:val="00753F14"/>
    <w:rsid w:val="0076071E"/>
    <w:rsid w:val="0076348C"/>
    <w:rsid w:val="0076672A"/>
    <w:rsid w:val="007674B4"/>
    <w:rsid w:val="00771084"/>
    <w:rsid w:val="00772FE1"/>
    <w:rsid w:val="00775E45"/>
    <w:rsid w:val="00776E74"/>
    <w:rsid w:val="0077789B"/>
    <w:rsid w:val="0078370D"/>
    <w:rsid w:val="00785169"/>
    <w:rsid w:val="00787F38"/>
    <w:rsid w:val="007935BC"/>
    <w:rsid w:val="00793C67"/>
    <w:rsid w:val="00794DB4"/>
    <w:rsid w:val="007954AB"/>
    <w:rsid w:val="007A0A6A"/>
    <w:rsid w:val="007A14C5"/>
    <w:rsid w:val="007A4A10"/>
    <w:rsid w:val="007A70AC"/>
    <w:rsid w:val="007B1760"/>
    <w:rsid w:val="007B227E"/>
    <w:rsid w:val="007B2F9D"/>
    <w:rsid w:val="007C113E"/>
    <w:rsid w:val="007C1FDC"/>
    <w:rsid w:val="007C5CB2"/>
    <w:rsid w:val="007C6819"/>
    <w:rsid w:val="007C6D9C"/>
    <w:rsid w:val="007C7DDB"/>
    <w:rsid w:val="007D2CC7"/>
    <w:rsid w:val="007D63E2"/>
    <w:rsid w:val="007D673D"/>
    <w:rsid w:val="007E032D"/>
    <w:rsid w:val="007E08E1"/>
    <w:rsid w:val="007E417B"/>
    <w:rsid w:val="007E4D09"/>
    <w:rsid w:val="007F0E36"/>
    <w:rsid w:val="007F2220"/>
    <w:rsid w:val="007F4B3E"/>
    <w:rsid w:val="00801177"/>
    <w:rsid w:val="0080366A"/>
    <w:rsid w:val="0080370D"/>
    <w:rsid w:val="008124E8"/>
    <w:rsid w:val="008127AF"/>
    <w:rsid w:val="00812B46"/>
    <w:rsid w:val="0081486B"/>
    <w:rsid w:val="00815700"/>
    <w:rsid w:val="00817718"/>
    <w:rsid w:val="008220A9"/>
    <w:rsid w:val="00822A29"/>
    <w:rsid w:val="008257AA"/>
    <w:rsid w:val="008264EB"/>
    <w:rsid w:val="00826B8F"/>
    <w:rsid w:val="00831E8A"/>
    <w:rsid w:val="00833CFB"/>
    <w:rsid w:val="00835C76"/>
    <w:rsid w:val="0083669F"/>
    <w:rsid w:val="008376E2"/>
    <w:rsid w:val="00843049"/>
    <w:rsid w:val="00845E08"/>
    <w:rsid w:val="008476E1"/>
    <w:rsid w:val="00850FB1"/>
    <w:rsid w:val="0085209B"/>
    <w:rsid w:val="00855E92"/>
    <w:rsid w:val="0085604C"/>
    <w:rsid w:val="00856A89"/>
    <w:rsid w:val="00856B66"/>
    <w:rsid w:val="008576AC"/>
    <w:rsid w:val="008579C7"/>
    <w:rsid w:val="008601AC"/>
    <w:rsid w:val="00861A5F"/>
    <w:rsid w:val="00862A0F"/>
    <w:rsid w:val="008644AD"/>
    <w:rsid w:val="00865735"/>
    <w:rsid w:val="00865DDB"/>
    <w:rsid w:val="00866447"/>
    <w:rsid w:val="00867538"/>
    <w:rsid w:val="00871EC9"/>
    <w:rsid w:val="00873614"/>
    <w:rsid w:val="00873D90"/>
    <w:rsid w:val="00873FC8"/>
    <w:rsid w:val="00876FDF"/>
    <w:rsid w:val="00883C1C"/>
    <w:rsid w:val="00884C63"/>
    <w:rsid w:val="00885908"/>
    <w:rsid w:val="008864B7"/>
    <w:rsid w:val="00886C05"/>
    <w:rsid w:val="00886C50"/>
    <w:rsid w:val="0089056A"/>
    <w:rsid w:val="00891183"/>
    <w:rsid w:val="00891E8A"/>
    <w:rsid w:val="008935FF"/>
    <w:rsid w:val="0089677E"/>
    <w:rsid w:val="008A5F42"/>
    <w:rsid w:val="008A7438"/>
    <w:rsid w:val="008B1334"/>
    <w:rsid w:val="008B25C7"/>
    <w:rsid w:val="008B26B7"/>
    <w:rsid w:val="008B51F0"/>
    <w:rsid w:val="008C0278"/>
    <w:rsid w:val="008C24E9"/>
    <w:rsid w:val="008C741C"/>
    <w:rsid w:val="008D0533"/>
    <w:rsid w:val="008D42CB"/>
    <w:rsid w:val="008D48C9"/>
    <w:rsid w:val="008D5290"/>
    <w:rsid w:val="008D5F67"/>
    <w:rsid w:val="008D6381"/>
    <w:rsid w:val="008E0C77"/>
    <w:rsid w:val="008E15B0"/>
    <w:rsid w:val="008E1878"/>
    <w:rsid w:val="008E5C8E"/>
    <w:rsid w:val="008E625F"/>
    <w:rsid w:val="008F1F05"/>
    <w:rsid w:val="008F264D"/>
    <w:rsid w:val="009040E9"/>
    <w:rsid w:val="00905680"/>
    <w:rsid w:val="009074E1"/>
    <w:rsid w:val="0090756C"/>
    <w:rsid w:val="009112F7"/>
    <w:rsid w:val="009122AF"/>
    <w:rsid w:val="00912D54"/>
    <w:rsid w:val="00913248"/>
    <w:rsid w:val="0091389F"/>
    <w:rsid w:val="009208F7"/>
    <w:rsid w:val="00921649"/>
    <w:rsid w:val="00922517"/>
    <w:rsid w:val="00922722"/>
    <w:rsid w:val="009234A5"/>
    <w:rsid w:val="009261E6"/>
    <w:rsid w:val="009268E1"/>
    <w:rsid w:val="00927308"/>
    <w:rsid w:val="00930ACD"/>
    <w:rsid w:val="00932A2A"/>
    <w:rsid w:val="009344DE"/>
    <w:rsid w:val="00945E7F"/>
    <w:rsid w:val="00946632"/>
    <w:rsid w:val="00947D86"/>
    <w:rsid w:val="009557C1"/>
    <w:rsid w:val="009574C6"/>
    <w:rsid w:val="00960D6E"/>
    <w:rsid w:val="00964ECF"/>
    <w:rsid w:val="00965982"/>
    <w:rsid w:val="009724AB"/>
    <w:rsid w:val="00974B59"/>
    <w:rsid w:val="009766C1"/>
    <w:rsid w:val="00976779"/>
    <w:rsid w:val="0098122D"/>
    <w:rsid w:val="00982929"/>
    <w:rsid w:val="0098340B"/>
    <w:rsid w:val="00986830"/>
    <w:rsid w:val="00991C9B"/>
    <w:rsid w:val="009924C3"/>
    <w:rsid w:val="00992F60"/>
    <w:rsid w:val="00993102"/>
    <w:rsid w:val="00995F0F"/>
    <w:rsid w:val="00997AF5"/>
    <w:rsid w:val="00997DB7"/>
    <w:rsid w:val="009B1570"/>
    <w:rsid w:val="009B2E2E"/>
    <w:rsid w:val="009B61EA"/>
    <w:rsid w:val="009B7ED8"/>
    <w:rsid w:val="009C10E7"/>
    <w:rsid w:val="009C4516"/>
    <w:rsid w:val="009C6F10"/>
    <w:rsid w:val="009D05C3"/>
    <w:rsid w:val="009D0BF9"/>
    <w:rsid w:val="009D148F"/>
    <w:rsid w:val="009D3D70"/>
    <w:rsid w:val="009D5D76"/>
    <w:rsid w:val="009E6F7E"/>
    <w:rsid w:val="009E7A57"/>
    <w:rsid w:val="009F4803"/>
    <w:rsid w:val="009F486A"/>
    <w:rsid w:val="009F4DBC"/>
    <w:rsid w:val="009F4F6A"/>
    <w:rsid w:val="009F5D01"/>
    <w:rsid w:val="009F672D"/>
    <w:rsid w:val="00A049F0"/>
    <w:rsid w:val="00A063AE"/>
    <w:rsid w:val="00A12633"/>
    <w:rsid w:val="00A12A1A"/>
    <w:rsid w:val="00A13EB5"/>
    <w:rsid w:val="00A16D6E"/>
    <w:rsid w:val="00A16E36"/>
    <w:rsid w:val="00A22F84"/>
    <w:rsid w:val="00A24961"/>
    <w:rsid w:val="00A24B10"/>
    <w:rsid w:val="00A25087"/>
    <w:rsid w:val="00A277EF"/>
    <w:rsid w:val="00A30E9B"/>
    <w:rsid w:val="00A3755D"/>
    <w:rsid w:val="00A378B4"/>
    <w:rsid w:val="00A43681"/>
    <w:rsid w:val="00A4512D"/>
    <w:rsid w:val="00A50244"/>
    <w:rsid w:val="00A51A5F"/>
    <w:rsid w:val="00A627D7"/>
    <w:rsid w:val="00A628DF"/>
    <w:rsid w:val="00A648F7"/>
    <w:rsid w:val="00A656C7"/>
    <w:rsid w:val="00A67D63"/>
    <w:rsid w:val="00A705AF"/>
    <w:rsid w:val="00A72454"/>
    <w:rsid w:val="00A77696"/>
    <w:rsid w:val="00A80557"/>
    <w:rsid w:val="00A81954"/>
    <w:rsid w:val="00A81D33"/>
    <w:rsid w:val="00A81D96"/>
    <w:rsid w:val="00A8341C"/>
    <w:rsid w:val="00A858F7"/>
    <w:rsid w:val="00A90690"/>
    <w:rsid w:val="00A9147A"/>
    <w:rsid w:val="00A930AE"/>
    <w:rsid w:val="00AA1A95"/>
    <w:rsid w:val="00AA260F"/>
    <w:rsid w:val="00AA3092"/>
    <w:rsid w:val="00AA7DBF"/>
    <w:rsid w:val="00AB1EE7"/>
    <w:rsid w:val="00AB2C0B"/>
    <w:rsid w:val="00AB4B37"/>
    <w:rsid w:val="00AB5762"/>
    <w:rsid w:val="00AB6D9A"/>
    <w:rsid w:val="00AC24B7"/>
    <w:rsid w:val="00AC2679"/>
    <w:rsid w:val="00AC4BE4"/>
    <w:rsid w:val="00AD05E6"/>
    <w:rsid w:val="00AD0D3F"/>
    <w:rsid w:val="00AD6613"/>
    <w:rsid w:val="00AD68E1"/>
    <w:rsid w:val="00AE0721"/>
    <w:rsid w:val="00AE1D7D"/>
    <w:rsid w:val="00AE2934"/>
    <w:rsid w:val="00AE2A8B"/>
    <w:rsid w:val="00AE3F64"/>
    <w:rsid w:val="00AF7386"/>
    <w:rsid w:val="00AF7934"/>
    <w:rsid w:val="00B00B81"/>
    <w:rsid w:val="00B04580"/>
    <w:rsid w:val="00B0463C"/>
    <w:rsid w:val="00B04B09"/>
    <w:rsid w:val="00B101BF"/>
    <w:rsid w:val="00B16A51"/>
    <w:rsid w:val="00B2180E"/>
    <w:rsid w:val="00B22143"/>
    <w:rsid w:val="00B26FFF"/>
    <w:rsid w:val="00B32222"/>
    <w:rsid w:val="00B352D8"/>
    <w:rsid w:val="00B3618D"/>
    <w:rsid w:val="00B36233"/>
    <w:rsid w:val="00B374C8"/>
    <w:rsid w:val="00B41882"/>
    <w:rsid w:val="00B42851"/>
    <w:rsid w:val="00B45AC7"/>
    <w:rsid w:val="00B50070"/>
    <w:rsid w:val="00B52376"/>
    <w:rsid w:val="00B5372F"/>
    <w:rsid w:val="00B54577"/>
    <w:rsid w:val="00B61129"/>
    <w:rsid w:val="00B63D7E"/>
    <w:rsid w:val="00B66441"/>
    <w:rsid w:val="00B67E7F"/>
    <w:rsid w:val="00B746DB"/>
    <w:rsid w:val="00B746E8"/>
    <w:rsid w:val="00B7583B"/>
    <w:rsid w:val="00B82164"/>
    <w:rsid w:val="00B839B2"/>
    <w:rsid w:val="00B94252"/>
    <w:rsid w:val="00B9511C"/>
    <w:rsid w:val="00B95891"/>
    <w:rsid w:val="00B9715A"/>
    <w:rsid w:val="00BA14BE"/>
    <w:rsid w:val="00BA2732"/>
    <w:rsid w:val="00BA293D"/>
    <w:rsid w:val="00BA4216"/>
    <w:rsid w:val="00BA49BC"/>
    <w:rsid w:val="00BA52B3"/>
    <w:rsid w:val="00BA56B7"/>
    <w:rsid w:val="00BA5FCC"/>
    <w:rsid w:val="00BA6161"/>
    <w:rsid w:val="00BA7A1E"/>
    <w:rsid w:val="00BB2F6C"/>
    <w:rsid w:val="00BB3875"/>
    <w:rsid w:val="00BB5860"/>
    <w:rsid w:val="00BB5DF6"/>
    <w:rsid w:val="00BB6AAD"/>
    <w:rsid w:val="00BB7669"/>
    <w:rsid w:val="00BC2349"/>
    <w:rsid w:val="00BC2A04"/>
    <w:rsid w:val="00BC35EC"/>
    <w:rsid w:val="00BC3EAB"/>
    <w:rsid w:val="00BC4A19"/>
    <w:rsid w:val="00BC4E6D"/>
    <w:rsid w:val="00BD0082"/>
    <w:rsid w:val="00BD0617"/>
    <w:rsid w:val="00BD1F1A"/>
    <w:rsid w:val="00BD2E9B"/>
    <w:rsid w:val="00BD3F9F"/>
    <w:rsid w:val="00BD5F6C"/>
    <w:rsid w:val="00BD7FB2"/>
    <w:rsid w:val="00BE2B02"/>
    <w:rsid w:val="00BE4827"/>
    <w:rsid w:val="00BF06FB"/>
    <w:rsid w:val="00BF20BB"/>
    <w:rsid w:val="00C00930"/>
    <w:rsid w:val="00C032EA"/>
    <w:rsid w:val="00C03F32"/>
    <w:rsid w:val="00C060AD"/>
    <w:rsid w:val="00C106B5"/>
    <w:rsid w:val="00C113BF"/>
    <w:rsid w:val="00C17B4D"/>
    <w:rsid w:val="00C17F39"/>
    <w:rsid w:val="00C21002"/>
    <w:rsid w:val="00C2176E"/>
    <w:rsid w:val="00C23430"/>
    <w:rsid w:val="00C26E6C"/>
    <w:rsid w:val="00C272E1"/>
    <w:rsid w:val="00C27D67"/>
    <w:rsid w:val="00C34B9A"/>
    <w:rsid w:val="00C4631F"/>
    <w:rsid w:val="00C46A8C"/>
    <w:rsid w:val="00C47CDE"/>
    <w:rsid w:val="00C50B47"/>
    <w:rsid w:val="00C50E16"/>
    <w:rsid w:val="00C55258"/>
    <w:rsid w:val="00C55F10"/>
    <w:rsid w:val="00C57AE2"/>
    <w:rsid w:val="00C60387"/>
    <w:rsid w:val="00C617B9"/>
    <w:rsid w:val="00C63675"/>
    <w:rsid w:val="00C66CAF"/>
    <w:rsid w:val="00C71ED6"/>
    <w:rsid w:val="00C72F75"/>
    <w:rsid w:val="00C744F5"/>
    <w:rsid w:val="00C82EEB"/>
    <w:rsid w:val="00C86693"/>
    <w:rsid w:val="00C93CDB"/>
    <w:rsid w:val="00C950DA"/>
    <w:rsid w:val="00C95C72"/>
    <w:rsid w:val="00C9717C"/>
    <w:rsid w:val="00C971DC"/>
    <w:rsid w:val="00CA16B7"/>
    <w:rsid w:val="00CA543D"/>
    <w:rsid w:val="00CA5549"/>
    <w:rsid w:val="00CA556A"/>
    <w:rsid w:val="00CA62AE"/>
    <w:rsid w:val="00CB5B1A"/>
    <w:rsid w:val="00CB7329"/>
    <w:rsid w:val="00CC09C6"/>
    <w:rsid w:val="00CC11F0"/>
    <w:rsid w:val="00CC220B"/>
    <w:rsid w:val="00CC2B45"/>
    <w:rsid w:val="00CC2D10"/>
    <w:rsid w:val="00CC4CAA"/>
    <w:rsid w:val="00CC5C43"/>
    <w:rsid w:val="00CD02AE"/>
    <w:rsid w:val="00CD14F8"/>
    <w:rsid w:val="00CD2A4F"/>
    <w:rsid w:val="00CE03CA"/>
    <w:rsid w:val="00CE22F1"/>
    <w:rsid w:val="00CE305D"/>
    <w:rsid w:val="00CE50F2"/>
    <w:rsid w:val="00CE60FE"/>
    <w:rsid w:val="00CE6502"/>
    <w:rsid w:val="00CF193C"/>
    <w:rsid w:val="00CF2331"/>
    <w:rsid w:val="00CF320C"/>
    <w:rsid w:val="00CF7D3C"/>
    <w:rsid w:val="00D00BAC"/>
    <w:rsid w:val="00D01F09"/>
    <w:rsid w:val="00D03C34"/>
    <w:rsid w:val="00D0455F"/>
    <w:rsid w:val="00D048D6"/>
    <w:rsid w:val="00D11697"/>
    <w:rsid w:val="00D13B7D"/>
    <w:rsid w:val="00D147EB"/>
    <w:rsid w:val="00D178A4"/>
    <w:rsid w:val="00D20EA6"/>
    <w:rsid w:val="00D218C7"/>
    <w:rsid w:val="00D222D7"/>
    <w:rsid w:val="00D34667"/>
    <w:rsid w:val="00D346B9"/>
    <w:rsid w:val="00D35D74"/>
    <w:rsid w:val="00D401E1"/>
    <w:rsid w:val="00D408B4"/>
    <w:rsid w:val="00D43526"/>
    <w:rsid w:val="00D468B6"/>
    <w:rsid w:val="00D5012F"/>
    <w:rsid w:val="00D524C8"/>
    <w:rsid w:val="00D63ED3"/>
    <w:rsid w:val="00D64246"/>
    <w:rsid w:val="00D67915"/>
    <w:rsid w:val="00D70E24"/>
    <w:rsid w:val="00D72B61"/>
    <w:rsid w:val="00D746FA"/>
    <w:rsid w:val="00D76E0F"/>
    <w:rsid w:val="00D8112B"/>
    <w:rsid w:val="00D92066"/>
    <w:rsid w:val="00DA3D1D"/>
    <w:rsid w:val="00DA6705"/>
    <w:rsid w:val="00DB1D78"/>
    <w:rsid w:val="00DB615A"/>
    <w:rsid w:val="00DB6286"/>
    <w:rsid w:val="00DB645F"/>
    <w:rsid w:val="00DB76E9"/>
    <w:rsid w:val="00DC0A67"/>
    <w:rsid w:val="00DC1D5E"/>
    <w:rsid w:val="00DC5220"/>
    <w:rsid w:val="00DC5C5B"/>
    <w:rsid w:val="00DC6042"/>
    <w:rsid w:val="00DD2061"/>
    <w:rsid w:val="00DD7DAB"/>
    <w:rsid w:val="00DE0697"/>
    <w:rsid w:val="00DE1601"/>
    <w:rsid w:val="00DE3355"/>
    <w:rsid w:val="00DE3530"/>
    <w:rsid w:val="00DE3839"/>
    <w:rsid w:val="00DE42A0"/>
    <w:rsid w:val="00DE6AD6"/>
    <w:rsid w:val="00DF0C60"/>
    <w:rsid w:val="00DF22A5"/>
    <w:rsid w:val="00DF40E1"/>
    <w:rsid w:val="00DF486F"/>
    <w:rsid w:val="00DF4D38"/>
    <w:rsid w:val="00DF577D"/>
    <w:rsid w:val="00DF5B5B"/>
    <w:rsid w:val="00DF7619"/>
    <w:rsid w:val="00DF7C61"/>
    <w:rsid w:val="00E00419"/>
    <w:rsid w:val="00E042D8"/>
    <w:rsid w:val="00E0588A"/>
    <w:rsid w:val="00E06586"/>
    <w:rsid w:val="00E07EE7"/>
    <w:rsid w:val="00E1103B"/>
    <w:rsid w:val="00E174B3"/>
    <w:rsid w:val="00E17B44"/>
    <w:rsid w:val="00E202E1"/>
    <w:rsid w:val="00E20F27"/>
    <w:rsid w:val="00E22443"/>
    <w:rsid w:val="00E27FEA"/>
    <w:rsid w:val="00E34869"/>
    <w:rsid w:val="00E377BB"/>
    <w:rsid w:val="00E4086F"/>
    <w:rsid w:val="00E43B3C"/>
    <w:rsid w:val="00E50188"/>
    <w:rsid w:val="00E50BB3"/>
    <w:rsid w:val="00E515CB"/>
    <w:rsid w:val="00E52260"/>
    <w:rsid w:val="00E53BD0"/>
    <w:rsid w:val="00E573F1"/>
    <w:rsid w:val="00E6272E"/>
    <w:rsid w:val="00E639B6"/>
    <w:rsid w:val="00E6434B"/>
    <w:rsid w:val="00E64503"/>
    <w:rsid w:val="00E6463D"/>
    <w:rsid w:val="00E71090"/>
    <w:rsid w:val="00E72E9B"/>
    <w:rsid w:val="00E73575"/>
    <w:rsid w:val="00E81732"/>
    <w:rsid w:val="00E850C3"/>
    <w:rsid w:val="00E85D90"/>
    <w:rsid w:val="00E8783C"/>
    <w:rsid w:val="00E87DF2"/>
    <w:rsid w:val="00E91C6E"/>
    <w:rsid w:val="00E9462E"/>
    <w:rsid w:val="00E953E3"/>
    <w:rsid w:val="00EA125A"/>
    <w:rsid w:val="00EA1456"/>
    <w:rsid w:val="00EA2504"/>
    <w:rsid w:val="00EA470E"/>
    <w:rsid w:val="00EA47A7"/>
    <w:rsid w:val="00EA57EB"/>
    <w:rsid w:val="00EA5842"/>
    <w:rsid w:val="00EB0D2B"/>
    <w:rsid w:val="00EB26E7"/>
    <w:rsid w:val="00EB28C4"/>
    <w:rsid w:val="00EB3226"/>
    <w:rsid w:val="00EB3ED0"/>
    <w:rsid w:val="00EC213A"/>
    <w:rsid w:val="00EC7744"/>
    <w:rsid w:val="00EC7760"/>
    <w:rsid w:val="00ED0AAD"/>
    <w:rsid w:val="00ED0DAD"/>
    <w:rsid w:val="00ED0F46"/>
    <w:rsid w:val="00ED2373"/>
    <w:rsid w:val="00ED3301"/>
    <w:rsid w:val="00ED7185"/>
    <w:rsid w:val="00ED7ED0"/>
    <w:rsid w:val="00EE3E8A"/>
    <w:rsid w:val="00EE5577"/>
    <w:rsid w:val="00EF1CD7"/>
    <w:rsid w:val="00EF2429"/>
    <w:rsid w:val="00EF275B"/>
    <w:rsid w:val="00EF58B8"/>
    <w:rsid w:val="00EF591C"/>
    <w:rsid w:val="00EF6ECA"/>
    <w:rsid w:val="00F024E1"/>
    <w:rsid w:val="00F041A1"/>
    <w:rsid w:val="00F06C10"/>
    <w:rsid w:val="00F1096F"/>
    <w:rsid w:val="00F1154A"/>
    <w:rsid w:val="00F12589"/>
    <w:rsid w:val="00F12595"/>
    <w:rsid w:val="00F12680"/>
    <w:rsid w:val="00F134D9"/>
    <w:rsid w:val="00F1403D"/>
    <w:rsid w:val="00F1463F"/>
    <w:rsid w:val="00F16317"/>
    <w:rsid w:val="00F17C82"/>
    <w:rsid w:val="00F21302"/>
    <w:rsid w:val="00F23259"/>
    <w:rsid w:val="00F321DE"/>
    <w:rsid w:val="00F33777"/>
    <w:rsid w:val="00F37564"/>
    <w:rsid w:val="00F37951"/>
    <w:rsid w:val="00F40648"/>
    <w:rsid w:val="00F44917"/>
    <w:rsid w:val="00F45D42"/>
    <w:rsid w:val="00F46033"/>
    <w:rsid w:val="00F47DA2"/>
    <w:rsid w:val="00F519FC"/>
    <w:rsid w:val="00F60A75"/>
    <w:rsid w:val="00F6239D"/>
    <w:rsid w:val="00F6260C"/>
    <w:rsid w:val="00F633C0"/>
    <w:rsid w:val="00F65445"/>
    <w:rsid w:val="00F65FEB"/>
    <w:rsid w:val="00F66FBB"/>
    <w:rsid w:val="00F71179"/>
    <w:rsid w:val="00F715D2"/>
    <w:rsid w:val="00F7274F"/>
    <w:rsid w:val="00F73A8A"/>
    <w:rsid w:val="00F74E84"/>
    <w:rsid w:val="00F76FA8"/>
    <w:rsid w:val="00F81F5B"/>
    <w:rsid w:val="00F81F76"/>
    <w:rsid w:val="00F93F08"/>
    <w:rsid w:val="00F94CED"/>
    <w:rsid w:val="00F94FB0"/>
    <w:rsid w:val="00F95722"/>
    <w:rsid w:val="00F9641F"/>
    <w:rsid w:val="00F97AF4"/>
    <w:rsid w:val="00F97F74"/>
    <w:rsid w:val="00FA02BB"/>
    <w:rsid w:val="00FA2CEE"/>
    <w:rsid w:val="00FA318C"/>
    <w:rsid w:val="00FA566A"/>
    <w:rsid w:val="00FA6E33"/>
    <w:rsid w:val="00FB05CD"/>
    <w:rsid w:val="00FB0BFF"/>
    <w:rsid w:val="00FB33E8"/>
    <w:rsid w:val="00FB586D"/>
    <w:rsid w:val="00FB6F92"/>
    <w:rsid w:val="00FB7859"/>
    <w:rsid w:val="00FC026E"/>
    <w:rsid w:val="00FC1357"/>
    <w:rsid w:val="00FC5124"/>
    <w:rsid w:val="00FD4731"/>
    <w:rsid w:val="00FD6768"/>
    <w:rsid w:val="00FD6FC2"/>
    <w:rsid w:val="00FE361A"/>
    <w:rsid w:val="00FE787C"/>
    <w:rsid w:val="00FF0AB0"/>
    <w:rsid w:val="00FF1072"/>
    <w:rsid w:val="00FF28AC"/>
    <w:rsid w:val="00FF5FD5"/>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B307F8"/>
  <w15:docId w15:val="{2D02B036-74E8-453C-B4FB-9A2D2C62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9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91C6E"/>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themeColor="text1"/>
      <w:sz w:val="21"/>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uiPriority w:val="9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customStyle="1" w:styleId="TableNheader">
    <w:name w:val="Table N header"/>
    <w:basedOn w:val="Heading5"/>
    <w:uiPriority w:val="2"/>
    <w:qFormat/>
    <w:rsid w:val="008576AC"/>
    <w:pPr>
      <w:spacing w:before="40" w:after="40"/>
    </w:pPr>
    <w:rPr>
      <w:rFonts w:ascii="Segoe UI Semibold" w:hAnsi="Segoe UI Semibold" w:cs="Times New Roman"/>
      <w:bCs w:val="0"/>
      <w:color w:val="EEECE1" w:themeColor="background2"/>
      <w:sz w:val="18"/>
      <w:szCs w:val="24"/>
      <w:lang w:eastAsia="en-AU"/>
    </w:rPr>
  </w:style>
  <w:style w:type="paragraph" w:customStyle="1" w:styleId="TableNBullet">
    <w:name w:val="Table N Bullet"/>
    <w:basedOn w:val="Normal"/>
    <w:link w:val="TableNBulletChar"/>
    <w:uiPriority w:val="9"/>
    <w:qFormat/>
    <w:rsid w:val="008576AC"/>
    <w:pPr>
      <w:keepNext/>
      <w:numPr>
        <w:numId w:val="8"/>
      </w:numPr>
      <w:spacing w:before="40" w:after="40" w:line="240" w:lineRule="auto"/>
      <w:outlineLvl w:val="4"/>
    </w:pPr>
    <w:rPr>
      <w:rFonts w:ascii="Segoe UI" w:hAnsi="Segoe UI"/>
      <w:sz w:val="17"/>
      <w:lang w:eastAsia="en-AU"/>
    </w:rPr>
  </w:style>
  <w:style w:type="paragraph" w:customStyle="1" w:styleId="TableExpText">
    <w:name w:val="Table Exp Text"/>
    <w:basedOn w:val="Normal"/>
    <w:uiPriority w:val="2"/>
    <w:qFormat/>
    <w:rsid w:val="008576AC"/>
    <w:pPr>
      <w:keepNext/>
      <w:spacing w:before="40" w:after="40" w:line="240" w:lineRule="auto"/>
      <w:outlineLvl w:val="4"/>
    </w:pPr>
    <w:rPr>
      <w:rFonts w:ascii="Segoe UI" w:hAnsi="Segoe UI"/>
      <w:sz w:val="16"/>
      <w:lang w:eastAsia="en-AU"/>
    </w:rPr>
  </w:style>
  <w:style w:type="table" w:customStyle="1" w:styleId="NOUSSideHeader">
    <w:name w:val="NOUS Side Header"/>
    <w:basedOn w:val="TableNormal"/>
    <w:uiPriority w:val="99"/>
    <w:rsid w:val="008576AC"/>
    <w:rPr>
      <w:rFonts w:ascii="Segoe UI" w:eastAsiaTheme="minorHAnsi" w:hAnsi="Segoe UI" w:cstheme="minorBidi"/>
      <w:sz w:val="17"/>
      <w:szCs w:val="22"/>
      <w:lang w:val="en-US" w:eastAsia="en-US"/>
    </w:rPr>
    <w:tblPr>
      <w:tblBorders>
        <w:top w:val="single" w:sz="8" w:space="0" w:color="4BACC6" w:themeColor="accent5"/>
        <w:bottom w:val="single" w:sz="8" w:space="0" w:color="4BACC6" w:themeColor="accent5"/>
        <w:insideH w:val="single" w:sz="8" w:space="0" w:color="4BACC6" w:themeColor="accent5"/>
      </w:tblBorders>
    </w:tblPr>
    <w:tcPr>
      <w:shd w:val="clear" w:color="auto" w:fill="FFFFFF" w:themeFill="background1"/>
    </w:tcPr>
    <w:tblStylePr w:type="firstCol">
      <w:rPr>
        <w:rFonts w:ascii="Segoe UI Semibold" w:hAnsi="Segoe UI Semibold"/>
        <w:color w:val="EEECE1" w:themeColor="background2"/>
        <w:sz w:val="18"/>
      </w:rPr>
      <w:tblPr/>
      <w:tcPr>
        <w:tcBorders>
          <w:top w:val="nil"/>
          <w:left w:val="single" w:sz="24" w:space="0" w:color="9BBB59" w:themeColor="accent3"/>
          <w:bottom w:val="nil"/>
          <w:right w:val="nil"/>
          <w:insideH w:val="nil"/>
          <w:insideV w:val="nil"/>
          <w:tl2br w:val="nil"/>
          <w:tr2bl w:val="nil"/>
        </w:tcBorders>
        <w:shd w:val="clear" w:color="auto" w:fill="4BACC6" w:themeFill="accent5"/>
      </w:tcPr>
    </w:tblStylePr>
  </w:style>
  <w:style w:type="character" w:customStyle="1" w:styleId="TableNBulletChar">
    <w:name w:val="Table N Bullet Char"/>
    <w:basedOn w:val="DefaultParagraphFont"/>
    <w:link w:val="TableNBullet"/>
    <w:uiPriority w:val="9"/>
    <w:rsid w:val="008576AC"/>
    <w:rPr>
      <w:rFonts w:ascii="Segoe UI" w:hAnsi="Segoe UI"/>
      <w:sz w:val="17"/>
      <w:szCs w:val="24"/>
    </w:rPr>
  </w:style>
  <w:style w:type="paragraph" w:customStyle="1" w:styleId="TableNListnumbered">
    <w:name w:val="Table N List (numbered)"/>
    <w:basedOn w:val="TableNBullet"/>
    <w:uiPriority w:val="1"/>
    <w:qFormat/>
    <w:rsid w:val="00E953E3"/>
    <w:pPr>
      <w:numPr>
        <w:numId w:val="9"/>
      </w:numPr>
    </w:pPr>
  </w:style>
  <w:style w:type="character" w:styleId="FootnoteReference">
    <w:name w:val="footnote reference"/>
    <w:basedOn w:val="DefaultParagraphFont"/>
    <w:semiHidden/>
    <w:unhideWhenUsed/>
    <w:rsid w:val="008220A9"/>
    <w:rPr>
      <w:vertAlign w:val="superscript"/>
    </w:rPr>
  </w:style>
  <w:style w:type="paragraph" w:styleId="NormalWeb">
    <w:name w:val="Normal (Web)"/>
    <w:basedOn w:val="Normal"/>
    <w:uiPriority w:val="99"/>
    <w:semiHidden/>
    <w:unhideWhenUsed/>
    <w:rsid w:val="0054507A"/>
    <w:pPr>
      <w:spacing w:before="100" w:beforeAutospacing="1" w:after="100" w:afterAutospacing="1" w:line="240" w:lineRule="auto"/>
    </w:pPr>
    <w:rPr>
      <w:rFonts w:ascii="Times New Roman" w:eastAsiaTheme="minorHAnsi" w:hAnsi="Times New Roman"/>
      <w:sz w:val="24"/>
      <w:lang w:eastAsia="en-AU"/>
    </w:rPr>
  </w:style>
  <w:style w:type="character" w:styleId="UnresolvedMention">
    <w:name w:val="Unresolved Mention"/>
    <w:basedOn w:val="DefaultParagraphFont"/>
    <w:uiPriority w:val="99"/>
    <w:semiHidden/>
    <w:unhideWhenUsed/>
    <w:rsid w:val="00997AF5"/>
    <w:rPr>
      <w:color w:val="605E5C"/>
      <w:shd w:val="clear" w:color="auto" w:fill="E1DFDD"/>
    </w:rPr>
  </w:style>
  <w:style w:type="paragraph" w:styleId="Revision">
    <w:name w:val="Revision"/>
    <w:hidden/>
    <w:uiPriority w:val="99"/>
    <w:semiHidden/>
    <w:rsid w:val="00C03F3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1133">
      <w:bodyDiv w:val="1"/>
      <w:marLeft w:val="0"/>
      <w:marRight w:val="0"/>
      <w:marTop w:val="0"/>
      <w:marBottom w:val="0"/>
      <w:divBdr>
        <w:top w:val="none" w:sz="0" w:space="0" w:color="auto"/>
        <w:left w:val="none" w:sz="0" w:space="0" w:color="auto"/>
        <w:bottom w:val="none" w:sz="0" w:space="0" w:color="auto"/>
        <w:right w:val="none" w:sz="0" w:space="0" w:color="auto"/>
      </w:divBdr>
    </w:div>
    <w:div w:id="26404611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2402505">
      <w:bodyDiv w:val="1"/>
      <w:marLeft w:val="0"/>
      <w:marRight w:val="0"/>
      <w:marTop w:val="0"/>
      <w:marBottom w:val="0"/>
      <w:divBdr>
        <w:top w:val="none" w:sz="0" w:space="0" w:color="auto"/>
        <w:left w:val="none" w:sz="0" w:space="0" w:color="auto"/>
        <w:bottom w:val="none" w:sz="0" w:space="0" w:color="auto"/>
        <w:right w:val="none" w:sz="0" w:space="0" w:color="auto"/>
      </w:divBdr>
    </w:div>
    <w:div w:id="855773225">
      <w:bodyDiv w:val="1"/>
      <w:marLeft w:val="0"/>
      <w:marRight w:val="0"/>
      <w:marTop w:val="0"/>
      <w:marBottom w:val="0"/>
      <w:divBdr>
        <w:top w:val="none" w:sz="0" w:space="0" w:color="auto"/>
        <w:left w:val="none" w:sz="0" w:space="0" w:color="auto"/>
        <w:bottom w:val="none" w:sz="0" w:space="0" w:color="auto"/>
        <w:right w:val="none" w:sz="0" w:space="0" w:color="auto"/>
      </w:divBdr>
    </w:div>
    <w:div w:id="120482985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94756635">
      <w:bodyDiv w:val="1"/>
      <w:marLeft w:val="0"/>
      <w:marRight w:val="0"/>
      <w:marTop w:val="0"/>
      <w:marBottom w:val="0"/>
      <w:divBdr>
        <w:top w:val="none" w:sz="0" w:space="0" w:color="auto"/>
        <w:left w:val="none" w:sz="0" w:space="0" w:color="auto"/>
        <w:bottom w:val="none" w:sz="0" w:space="0" w:color="auto"/>
        <w:right w:val="none" w:sz="0" w:space="0" w:color="auto"/>
      </w:divBdr>
    </w:div>
    <w:div w:id="1540968647">
      <w:bodyDiv w:val="1"/>
      <w:marLeft w:val="0"/>
      <w:marRight w:val="0"/>
      <w:marTop w:val="0"/>
      <w:marBottom w:val="0"/>
      <w:divBdr>
        <w:top w:val="none" w:sz="0" w:space="0" w:color="auto"/>
        <w:left w:val="none" w:sz="0" w:space="0" w:color="auto"/>
        <w:bottom w:val="none" w:sz="0" w:space="0" w:color="auto"/>
        <w:right w:val="none" w:sz="0" w:space="0" w:color="auto"/>
      </w:divBdr>
    </w:div>
    <w:div w:id="1644503488">
      <w:bodyDiv w:val="1"/>
      <w:marLeft w:val="0"/>
      <w:marRight w:val="0"/>
      <w:marTop w:val="0"/>
      <w:marBottom w:val="0"/>
      <w:divBdr>
        <w:top w:val="none" w:sz="0" w:space="0" w:color="auto"/>
        <w:left w:val="none" w:sz="0" w:space="0" w:color="auto"/>
        <w:bottom w:val="none" w:sz="0" w:space="0" w:color="auto"/>
        <w:right w:val="none" w:sz="0" w:space="0" w:color="auto"/>
      </w:divBdr>
    </w:div>
    <w:div w:id="1706439670">
      <w:bodyDiv w:val="1"/>
      <w:marLeft w:val="0"/>
      <w:marRight w:val="0"/>
      <w:marTop w:val="0"/>
      <w:marBottom w:val="0"/>
      <w:divBdr>
        <w:top w:val="none" w:sz="0" w:space="0" w:color="auto"/>
        <w:left w:val="none" w:sz="0" w:space="0" w:color="auto"/>
        <w:bottom w:val="none" w:sz="0" w:space="0" w:color="auto"/>
        <w:right w:val="none" w:sz="0" w:space="0" w:color="auto"/>
      </w:divBdr>
    </w:div>
    <w:div w:id="1967853633">
      <w:bodyDiv w:val="1"/>
      <w:marLeft w:val="0"/>
      <w:marRight w:val="0"/>
      <w:marTop w:val="0"/>
      <w:marBottom w:val="0"/>
      <w:divBdr>
        <w:top w:val="none" w:sz="0" w:space="0" w:color="auto"/>
        <w:left w:val="none" w:sz="0" w:space="0" w:color="auto"/>
        <w:bottom w:val="none" w:sz="0" w:space="0" w:color="auto"/>
        <w:right w:val="none" w:sz="0" w:space="0" w:color="auto"/>
      </w:divBdr>
    </w:div>
    <w:div w:id="204428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initiatives-and-programs/national-roadmap-for-improving-the-health-of-people-with-intellectual-disabilit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2.xml><?xml version="1.0" encoding="utf-8"?>
<ds:datastoreItem xmlns:ds="http://schemas.openxmlformats.org/officeDocument/2006/customXml" ds:itemID="{ED4F7479-2F1A-40FE-A7FB-CE4718ABC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8BEE96F7-0E57-46BD-A12B-87791F3A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1810</Words>
  <Characters>10665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Roadmap Implementation Governance Group (RIGG) – Meeting summary 14 November 2022</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Implementation Governance Group (RIGG) – Meeting summary 14 November 2022</dc:title>
  <dc:subject>Disability</dc:subject>
  <dc:creator>Australian Government Department of Health and Aged Care</dc:creator>
  <cp:keywords>Roadmap Implementation Governance Group ; RIGG; Disability; </cp:keywords>
  <cp:lastModifiedBy>Department of Health and Aged Care</cp:lastModifiedBy>
  <cp:revision>2</cp:revision>
  <dcterms:created xsi:type="dcterms:W3CDTF">2023-03-24T07:19:00Z</dcterms:created>
  <dcterms:modified xsi:type="dcterms:W3CDTF">2023-03-24T07:19:00Z</dcterms:modified>
</cp:coreProperties>
</file>